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716D8491" w:rsidR="003C0362" w:rsidRPr="0069414D"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34A67B0A">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sidR="00154D3E">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595F95C0" w14:textId="290A6E83" w:rsidR="003C0362" w:rsidRPr="00491DB0" w:rsidRDefault="00953F25" w:rsidP="002F7878">
      <w:pPr>
        <w:pStyle w:val="Heading1"/>
        <w:ind w:left="567"/>
        <w:rPr>
          <w:rStyle w:val="IntenseReference"/>
          <w:b/>
          <w:bCs w:val="0"/>
          <w:smallCaps w:val="0"/>
          <w:color w:val="7030A0"/>
          <w:spacing w:val="0"/>
        </w:rPr>
      </w:pPr>
      <w:r w:rsidRPr="00491DB0">
        <w:rPr>
          <w:rStyle w:val="IntenseReference"/>
          <w:b/>
          <w:bCs w:val="0"/>
          <w:smallCaps w:val="0"/>
          <w:color w:val="7030A0"/>
          <w:spacing w:val="0"/>
        </w:rPr>
        <w:t>Wiltshire</w:t>
      </w:r>
      <w:r w:rsidR="00491DB0" w:rsidRPr="00491DB0">
        <w:rPr>
          <w:rStyle w:val="IntenseReference"/>
          <w:b/>
          <w:bCs w:val="0"/>
          <w:smallCaps w:val="0"/>
          <w:color w:val="7030A0"/>
          <w:spacing w:val="0"/>
        </w:rPr>
        <w:t xml:space="preserve"> </w:t>
      </w:r>
      <w:r w:rsidR="000369E4">
        <w:rPr>
          <w:rStyle w:val="IntenseReference"/>
          <w:b/>
          <w:bCs w:val="0"/>
          <w:smallCaps w:val="0"/>
          <w:color w:val="7030A0"/>
          <w:spacing w:val="0"/>
        </w:rPr>
        <w:t xml:space="preserve">MAPPA </w:t>
      </w:r>
      <w:r w:rsidR="00491DB0" w:rsidRPr="00491DB0">
        <w:t>Annual Report</w:t>
      </w:r>
      <w:r w:rsidR="000369E4">
        <w:t xml:space="preserve"> </w:t>
      </w:r>
      <w:r w:rsidR="00491DB0" w:rsidRPr="00491DB0">
        <w:t>2025</w:t>
      </w:r>
      <w:r w:rsidR="00B8299E">
        <w:t xml:space="preserve"> to </w:t>
      </w:r>
      <w:r w:rsidR="00491DB0" w:rsidRPr="00491DB0">
        <w:t>2026</w:t>
      </w:r>
    </w:p>
    <w:p w14:paraId="3BD9C663" w14:textId="5447F899" w:rsidR="009311B4" w:rsidRPr="0069414D" w:rsidRDefault="003C0362" w:rsidP="00233AB5">
      <w:pPr>
        <w:pStyle w:val="Default"/>
        <w:rPr>
          <w:rFonts w:ascii="Arial" w:hAnsi="Arial" w:cs="Arial"/>
          <w:color w:val="7030A0"/>
          <w:sz w:val="68"/>
          <w:szCs w:val="68"/>
        </w:rPr>
      </w:pPr>
      <w:r w:rsidRPr="0069414D">
        <w:rPr>
          <w:noProof/>
          <w:color w:val="7030A0"/>
        </w:rPr>
        <w:drawing>
          <wp:inline distT="0" distB="0" distL="0" distR="0" wp14:anchorId="5042E0A7" wp14:editId="3CAEC6E7">
            <wp:extent cx="7439025" cy="5740400"/>
            <wp:effectExtent l="57150" t="0" r="66675" b="10795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7445779" cy="5745612"/>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inline>
        </w:drawing>
      </w:r>
    </w:p>
    <w:p w14:paraId="5681D774" w14:textId="40D1388D" w:rsidR="00C260DF" w:rsidRPr="002962CB" w:rsidRDefault="00C260DF" w:rsidP="00CD0AE4">
      <w:pPr>
        <w:spacing w:line="240" w:lineRule="atLeast"/>
        <w:jc w:val="right"/>
        <w:rPr>
          <w:color w:val="7030A0"/>
          <w:sz w:val="72"/>
          <w:szCs w:val="72"/>
        </w:rPr>
      </w:pP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2F7878" w:rsidRDefault="00332EE6" w:rsidP="002F7878">
      <w:pPr>
        <w:pStyle w:val="Heading2"/>
      </w:pPr>
      <w:r w:rsidRPr="002F7878">
        <w:lastRenderedPageBreak/>
        <w:t>Intro</w:t>
      </w:r>
      <w:r w:rsidR="00687BD5" w:rsidRPr="002F7878">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230273DE" w14:textId="77777777" w:rsidR="00332EE6" w:rsidRDefault="00332EE6" w:rsidP="00332EE6">
      <w:pPr>
        <w:pStyle w:val="Default"/>
        <w:rPr>
          <w:rFonts w:ascii="Arial" w:hAnsi="Arial" w:cs="Arial"/>
          <w:color w:val="FFFFFF"/>
          <w:sz w:val="20"/>
          <w:szCs w:val="20"/>
        </w:rPr>
      </w:pPr>
    </w:p>
    <w:p w14:paraId="4536757A" w14:textId="6F34AB9D" w:rsidR="007B288B" w:rsidRPr="000E67A0" w:rsidRDefault="007B288B" w:rsidP="000E67A0">
      <w:pPr>
        <w:pStyle w:val="MAPPA-Bodytext"/>
        <w:rPr>
          <w:rFonts w:cs="Times New Roman"/>
          <w:sz w:val="24"/>
          <w:szCs w:val="24"/>
          <w:lang w:val="en-GB"/>
        </w:rPr>
      </w:pPr>
      <w:r w:rsidRPr="000E67A0">
        <w:rPr>
          <w:rFonts w:cs="Times New Roman"/>
          <w:sz w:val="24"/>
          <w:szCs w:val="24"/>
          <w:lang w:val="en-GB"/>
        </w:rPr>
        <w:t>Welcome to the Wiltshire MAPPA Annual Report 2025</w:t>
      </w:r>
      <w:r w:rsidR="00A172B0">
        <w:rPr>
          <w:rFonts w:cs="Times New Roman"/>
          <w:sz w:val="24"/>
          <w:szCs w:val="24"/>
          <w:lang w:val="en-GB"/>
        </w:rPr>
        <w:t xml:space="preserve"> to </w:t>
      </w:r>
      <w:r w:rsidRPr="000E67A0">
        <w:rPr>
          <w:rFonts w:cs="Times New Roman"/>
          <w:sz w:val="24"/>
          <w:szCs w:val="24"/>
          <w:lang w:val="en-GB"/>
        </w:rPr>
        <w:t>2026.</w:t>
      </w:r>
    </w:p>
    <w:p w14:paraId="5545AAE0" w14:textId="6C2126C9" w:rsidR="007B288B" w:rsidRPr="000E67A0" w:rsidRDefault="007B288B" w:rsidP="000E67A0">
      <w:pPr>
        <w:pStyle w:val="MAPPA-Bodytext"/>
        <w:rPr>
          <w:rFonts w:cs="Times New Roman"/>
          <w:sz w:val="24"/>
          <w:szCs w:val="24"/>
          <w:lang w:val="en-GB"/>
        </w:rPr>
      </w:pPr>
      <w:r w:rsidRPr="000E67A0">
        <w:rPr>
          <w:rFonts w:cs="Times New Roman"/>
          <w:sz w:val="24"/>
          <w:szCs w:val="24"/>
          <w:lang w:val="en-GB"/>
        </w:rPr>
        <w:t>I am pleased to present this report on behalf of our</w:t>
      </w:r>
      <w:r w:rsidR="00E51E86" w:rsidRPr="000E67A0">
        <w:rPr>
          <w:rFonts w:cs="Times New Roman"/>
          <w:sz w:val="24"/>
          <w:szCs w:val="24"/>
          <w:lang w:val="en-GB"/>
        </w:rPr>
        <w:t xml:space="preserve"> </w:t>
      </w:r>
      <w:r w:rsidRPr="000E67A0">
        <w:rPr>
          <w:rFonts w:cs="Times New Roman"/>
          <w:sz w:val="24"/>
          <w:szCs w:val="24"/>
          <w:lang w:val="en-GB"/>
        </w:rPr>
        <w:t>Multi-Agency Public Protection Arrangements (MAPPA) partners across Wiltshire. This report provides an overview of our collective work over the past year, highlighting key developments, achievements, and areas of continued focus in our shared mission to protect the public from serious harm.</w:t>
      </w:r>
    </w:p>
    <w:p w14:paraId="6CB9403E" w14:textId="77777777" w:rsidR="007B288B" w:rsidRPr="000E67A0" w:rsidRDefault="007B288B" w:rsidP="000E67A0">
      <w:pPr>
        <w:pStyle w:val="MAPPA-Bodytext"/>
        <w:rPr>
          <w:rFonts w:cs="Times New Roman"/>
          <w:sz w:val="24"/>
          <w:szCs w:val="24"/>
          <w:lang w:val="en-GB"/>
        </w:rPr>
      </w:pPr>
      <w:r w:rsidRPr="000E67A0">
        <w:rPr>
          <w:rFonts w:cs="Times New Roman"/>
          <w:sz w:val="24"/>
          <w:szCs w:val="24"/>
          <w:lang w:val="en-GB"/>
        </w:rPr>
        <w:t>At the heart of MAPPA is a commitment to effective partnership working. The Police, Probation Service, Prison Service, and our many duty-to-cooperate agencies continue to work together to assess, manage, and reduce the risks posed by sexual and violent offenders. Through strong collaboration, information sharing, and professional challenge, we strive to ensure that public protection remains at the forefront of all our decision-making.</w:t>
      </w:r>
    </w:p>
    <w:p w14:paraId="19E287CE" w14:textId="77777777" w:rsidR="007B288B" w:rsidRPr="000E67A0" w:rsidRDefault="007B288B" w:rsidP="000E67A0">
      <w:pPr>
        <w:pStyle w:val="MAPPA-Bodytext"/>
        <w:rPr>
          <w:rFonts w:cs="Times New Roman"/>
          <w:sz w:val="24"/>
          <w:szCs w:val="24"/>
          <w:lang w:val="en-GB"/>
        </w:rPr>
      </w:pPr>
      <w:r w:rsidRPr="000E67A0">
        <w:rPr>
          <w:rFonts w:cs="Times New Roman"/>
          <w:sz w:val="24"/>
          <w:szCs w:val="24"/>
          <w:lang w:val="en-GB"/>
        </w:rPr>
        <w:t>For victims, families, and communities affected by serious offending, the impact can be significant and long-lasting. Whilst individuals managed through MAPPA represent a relatively small proportion of those within the criminal justice system, the risks they present require robust oversight and coordinated intervention. This responsibility is one that all our partner agencies take extremely seriously.</w:t>
      </w:r>
    </w:p>
    <w:p w14:paraId="2280B84A" w14:textId="00F7DF6A" w:rsidR="007B288B" w:rsidRPr="000E67A0" w:rsidRDefault="007B288B" w:rsidP="000E67A0">
      <w:pPr>
        <w:pStyle w:val="MAPPA-Bodytext"/>
        <w:rPr>
          <w:rFonts w:cs="Times New Roman"/>
          <w:sz w:val="24"/>
          <w:szCs w:val="24"/>
          <w:lang w:val="en-GB"/>
        </w:rPr>
      </w:pPr>
      <w:r w:rsidRPr="000E67A0">
        <w:rPr>
          <w:rFonts w:cs="Times New Roman"/>
          <w:sz w:val="24"/>
          <w:szCs w:val="24"/>
          <w:lang w:val="en-GB"/>
        </w:rPr>
        <w:t>Throughout 2025</w:t>
      </w:r>
      <w:r w:rsidR="00A172B0">
        <w:rPr>
          <w:rFonts w:cs="Times New Roman"/>
          <w:sz w:val="24"/>
          <w:szCs w:val="24"/>
          <w:lang w:val="en-GB"/>
        </w:rPr>
        <w:t xml:space="preserve"> to </w:t>
      </w:r>
      <w:r w:rsidRPr="000E67A0">
        <w:rPr>
          <w:rFonts w:cs="Times New Roman"/>
          <w:sz w:val="24"/>
          <w:szCs w:val="24"/>
          <w:lang w:val="en-GB"/>
        </w:rPr>
        <w:t xml:space="preserve">2026, Wiltshire MAPPA has continued to strengthen its arrangements </w:t>
      </w:r>
      <w:r w:rsidRPr="000E67A0">
        <w:rPr>
          <w:rFonts w:cs="Times New Roman"/>
          <w:sz w:val="24"/>
          <w:szCs w:val="24"/>
          <w:lang w:val="en-GB"/>
        </w:rPr>
        <w:t>through the development of referral pathways, enhanced multi-agency training, and improved strategic governance. We have also undertaken a number of reviews to better understand and improve how we work together in managing risk, both within our communities and across the custodial estate. These activities reflect our commitment to continuous learning, improvement, and the delivery of effective public protection.</w:t>
      </w:r>
    </w:p>
    <w:p w14:paraId="3F2AA92D" w14:textId="77777777" w:rsidR="007B288B" w:rsidRPr="000E67A0" w:rsidRDefault="007B288B" w:rsidP="000E67A0">
      <w:pPr>
        <w:pStyle w:val="MAPPA-Bodytext"/>
        <w:rPr>
          <w:rFonts w:cs="Times New Roman"/>
          <w:sz w:val="24"/>
          <w:szCs w:val="24"/>
          <w:lang w:val="en-GB"/>
        </w:rPr>
      </w:pPr>
      <w:r w:rsidRPr="000E67A0">
        <w:rPr>
          <w:rFonts w:cs="Times New Roman"/>
          <w:sz w:val="24"/>
          <w:szCs w:val="24"/>
          <w:lang w:val="en-GB"/>
        </w:rPr>
        <w:t>This report also provides an opportunity to recognise the dedication and professionalism of the practitioners, managers, partner agencies, and lay advisers who contribute to the success of Wiltshire MAPPA. Their expertise, commitment, and willingness to work collaboratively are fundamental to ensuring that our arrangements remain effective and responsive to emerging challenges.</w:t>
      </w:r>
    </w:p>
    <w:p w14:paraId="62A90953" w14:textId="77777777" w:rsidR="007B288B" w:rsidRPr="000E67A0" w:rsidRDefault="007B288B" w:rsidP="000E67A0">
      <w:pPr>
        <w:pStyle w:val="MAPPA-Bodytext"/>
        <w:rPr>
          <w:rFonts w:cs="Times New Roman"/>
          <w:sz w:val="24"/>
          <w:szCs w:val="24"/>
          <w:lang w:val="en-GB"/>
        </w:rPr>
      </w:pPr>
      <w:r w:rsidRPr="000E67A0">
        <w:rPr>
          <w:rFonts w:cs="Times New Roman"/>
          <w:sz w:val="24"/>
          <w:szCs w:val="24"/>
          <w:lang w:val="en-GB"/>
        </w:rPr>
        <w:t>I hope this report provides assurance and insight into the important work being</w:t>
      </w:r>
      <w:r w:rsidRPr="000E67A0">
        <w:rPr>
          <w:rFonts w:eastAsiaTheme="majorEastAsia" w:cstheme="majorBidi"/>
          <w:color w:val="7030A0"/>
          <w:sz w:val="24"/>
          <w:szCs w:val="24"/>
        </w:rPr>
        <w:t xml:space="preserve"> </w:t>
      </w:r>
      <w:r w:rsidRPr="000E67A0">
        <w:rPr>
          <w:rFonts w:cs="Times New Roman"/>
          <w:sz w:val="24"/>
          <w:szCs w:val="24"/>
          <w:lang w:val="en-GB"/>
        </w:rPr>
        <w:t>carried out across Wiltshire. While much has been achieved during the year, we remain focused on building upon these foundations, strengthening our partnerships, and continuing to deliver the highest standards of public protection for the communities we serve.</w:t>
      </w:r>
    </w:p>
    <w:p w14:paraId="7ED73BEF" w14:textId="4FEA4032" w:rsidR="000552D4" w:rsidRDefault="00B2073E" w:rsidP="000E67A0">
      <w:pPr>
        <w:pStyle w:val="MAPPA-Bodytext"/>
        <w:rPr>
          <w:rFonts w:cs="Times New Roman"/>
          <w:sz w:val="24"/>
          <w:szCs w:val="24"/>
          <w:lang w:val="en-GB"/>
        </w:rPr>
      </w:pPr>
      <w:r w:rsidRPr="000E67A0">
        <w:rPr>
          <w:rFonts w:cs="Times New Roman"/>
          <w:sz w:val="24"/>
          <w:szCs w:val="24"/>
          <w:lang w:val="en-GB"/>
        </w:rPr>
        <w:t>Huw Wilford</w:t>
      </w:r>
      <w:r w:rsidR="0012064D" w:rsidRPr="000E67A0">
        <w:rPr>
          <w:rFonts w:cs="Times New Roman"/>
          <w:sz w:val="24"/>
          <w:szCs w:val="24"/>
          <w:lang w:val="en-GB"/>
        </w:rPr>
        <w:t xml:space="preserve"> </w:t>
      </w:r>
    </w:p>
    <w:p w14:paraId="0F4BDAF7" w14:textId="2C062BB1" w:rsidR="000E67A0" w:rsidRDefault="006F4B65" w:rsidP="000E67A0">
      <w:pPr>
        <w:pStyle w:val="MAPPA-Bodytext"/>
        <w:rPr>
          <w:rFonts w:cs="Times New Roman"/>
          <w:sz w:val="24"/>
          <w:szCs w:val="24"/>
          <w:lang w:val="en-GB"/>
        </w:rPr>
      </w:pPr>
      <w:r w:rsidRPr="000E67A0">
        <w:rPr>
          <w:rFonts w:cs="Times New Roman"/>
          <w:sz w:val="24"/>
          <w:szCs w:val="24"/>
          <w:lang w:val="en-GB"/>
        </w:rPr>
        <w:t xml:space="preserve">SMB </w:t>
      </w:r>
      <w:r w:rsidR="00DD55D5" w:rsidRPr="000E67A0">
        <w:rPr>
          <w:rFonts w:cs="Times New Roman"/>
          <w:sz w:val="24"/>
          <w:szCs w:val="24"/>
          <w:lang w:val="en-GB"/>
        </w:rPr>
        <w:t>Chair</w:t>
      </w:r>
      <w:r w:rsidR="00DD55D5">
        <w:rPr>
          <w:rFonts w:cs="Times New Roman"/>
          <w:sz w:val="24"/>
          <w:szCs w:val="24"/>
          <w:lang w:val="en-GB"/>
        </w:rPr>
        <w:t xml:space="preserve"> -</w:t>
      </w:r>
      <w:r w:rsidR="000552D4">
        <w:rPr>
          <w:rFonts w:cs="Times New Roman"/>
          <w:sz w:val="24"/>
          <w:szCs w:val="24"/>
          <w:lang w:val="en-GB"/>
        </w:rPr>
        <w:t xml:space="preserve"> Wiltshire</w:t>
      </w:r>
    </w:p>
    <w:p w14:paraId="62333CEA" w14:textId="77777777" w:rsidR="00332EE6" w:rsidRPr="000E67A0" w:rsidRDefault="00332EE6" w:rsidP="000E67A0">
      <w:pPr>
        <w:pStyle w:val="Default"/>
        <w:rPr>
          <w:rFonts w:ascii="Arial" w:hAnsi="Arial" w:cs="Arial"/>
          <w:color w:val="FFFFFF"/>
          <w:sz w:val="28"/>
          <w:szCs w:val="28"/>
        </w:rPr>
      </w:pPr>
    </w:p>
    <w:p w14:paraId="62B4C59B" w14:textId="77777777" w:rsidR="00332EE6" w:rsidRPr="000E67A0" w:rsidRDefault="00332EE6" w:rsidP="000E67A0">
      <w:pPr>
        <w:pStyle w:val="Default"/>
        <w:rPr>
          <w:rFonts w:ascii="Arial" w:hAnsi="Arial" w:cs="Arial"/>
          <w:color w:val="FFFFFF"/>
          <w:sz w:val="28"/>
          <w:szCs w:val="28"/>
        </w:rPr>
        <w:sectPr w:rsidR="00332EE6" w:rsidRPr="000E67A0" w:rsidSect="00867C9E">
          <w:type w:val="continuous"/>
          <w:pgSz w:w="11905" w:h="16837" w:code="9"/>
          <w:pgMar w:top="720" w:right="720" w:bottom="720" w:left="720" w:header="720" w:footer="567" w:gutter="0"/>
          <w:cols w:num="2" w:space="720"/>
          <w:noEndnote/>
          <w:rtlGutter/>
        </w:sectPr>
      </w:pPr>
    </w:p>
    <w:p w14:paraId="4C0DC8AA" w14:textId="77777777" w:rsidR="00332EE6" w:rsidRPr="000E67A0" w:rsidRDefault="00332EE6" w:rsidP="000E67A0">
      <w:pPr>
        <w:pStyle w:val="Default"/>
        <w:rPr>
          <w:rFonts w:ascii="Arial" w:hAnsi="Arial" w:cs="Arial"/>
          <w:color w:val="FFFFFF"/>
          <w:sz w:val="28"/>
          <w:szCs w:val="28"/>
        </w:rPr>
      </w:pPr>
    </w:p>
    <w:p w14:paraId="47D7F72D" w14:textId="77777777" w:rsidR="00332EE6" w:rsidRPr="007C7106" w:rsidRDefault="00332EE6" w:rsidP="00332EE6">
      <w:pPr>
        <w:pStyle w:val="Default"/>
        <w:rPr>
          <w:rFonts w:ascii="Arial" w:hAnsi="Arial" w:cs="Arial"/>
          <w:color w:val="FFFFFF"/>
          <w:sz w:val="20"/>
          <w:szCs w:val="20"/>
        </w:rPr>
      </w:pPr>
    </w:p>
    <w:p w14:paraId="52820FAF" w14:textId="77777777" w:rsidR="0007539B" w:rsidRDefault="0007539B">
      <w:pPr>
        <w:suppressAutoHyphens w:val="0"/>
        <w:autoSpaceDE/>
        <w:autoSpaceDN/>
        <w:adjustRightInd/>
        <w:spacing w:after="0" w:line="240" w:lineRule="auto"/>
        <w:textAlignment w:val="auto"/>
        <w:rPr>
          <w:rFonts w:cs="Arial"/>
          <w:color w:val="7030A0"/>
          <w:sz w:val="100"/>
          <w:szCs w:val="100"/>
        </w:rPr>
      </w:pPr>
      <w:r>
        <w:br w:type="page"/>
      </w:r>
    </w:p>
    <w:p w14:paraId="63DEABAF" w14:textId="6E1FC3AD" w:rsidR="0007539B" w:rsidRPr="005C29CF" w:rsidRDefault="001A7975" w:rsidP="00B8299E">
      <w:pPr>
        <w:pStyle w:val="Heading2"/>
      </w:pPr>
      <w:r w:rsidRPr="005C29CF">
        <w:lastRenderedPageBreak/>
        <w:t>U</w:t>
      </w:r>
      <w:r w:rsidR="00C03CDC">
        <w:t xml:space="preserve">pdate from </w:t>
      </w:r>
      <w:r w:rsidRPr="005C29CF">
        <w:t>N</w:t>
      </w:r>
      <w:r w:rsidR="00C03CDC">
        <w:t>ational</w:t>
      </w:r>
      <w:r w:rsidRPr="005C29CF">
        <w:t xml:space="preserve"> S</w:t>
      </w:r>
      <w:r w:rsidR="00C03CDC">
        <w:t>ecurity</w:t>
      </w:r>
      <w:r w:rsidRPr="005C29CF">
        <w:t xml:space="preserve"> </w:t>
      </w:r>
      <w:r w:rsidR="00C03CDC" w:rsidRPr="005C29CF">
        <w:t>D</w:t>
      </w:r>
      <w:r w:rsidR="00C03CDC">
        <w:t>ivision</w:t>
      </w:r>
      <w:r w:rsidR="00106D6B" w:rsidRPr="005C29CF">
        <w:t xml:space="preserve"> </w:t>
      </w:r>
    </w:p>
    <w:p w14:paraId="31C8F644" w14:textId="77777777" w:rsidR="00106D6B" w:rsidRDefault="00106D6B" w:rsidP="00106D6B">
      <w:pPr>
        <w:rPr>
          <w:rFonts w:cs="Arial"/>
        </w:rPr>
      </w:pPr>
    </w:p>
    <w:p w14:paraId="76113C14" w14:textId="12DC8AE4" w:rsidR="00106D6B" w:rsidRDefault="00106D6B" w:rsidP="00106D6B">
      <w:pPr>
        <w:rPr>
          <w:rFonts w:cs="Arial"/>
          <w:color w:val="auto"/>
        </w:rPr>
      </w:pPr>
      <w:r>
        <w:rPr>
          <w:rFonts w:cs="Arial"/>
        </w:rPr>
        <w:t>“The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The majority of cases are managed through Multi-Agency Public Protection Arrangements (MAPPA).</w:t>
      </w:r>
    </w:p>
    <w:p w14:paraId="004C0FF7" w14:textId="77777777" w:rsidR="00106D6B" w:rsidRDefault="00106D6B" w:rsidP="00106D6B">
      <w:pPr>
        <w:rPr>
          <w:rFonts w:cs="Arial"/>
        </w:rPr>
      </w:pPr>
      <w:r>
        <w:rPr>
          <w:rFonts w:cs="Arial"/>
        </w:rPr>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721E9928" w14:textId="77777777" w:rsidR="00106D6B" w:rsidRDefault="00106D6B" w:rsidP="00106D6B">
      <w:pPr>
        <w:rPr>
          <w:rFonts w:cs="Arial"/>
        </w:rPr>
      </w:pPr>
      <w:r>
        <w:rPr>
          <w:rFonts w:cs="Arial"/>
        </w:rPr>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185F61EE" w14:textId="559CCC86" w:rsidR="00106D6B" w:rsidRDefault="00106D6B" w:rsidP="00106D6B">
      <w:pPr>
        <w:rPr>
          <w:rFonts w:cs="Arial"/>
        </w:rPr>
      </w:pPr>
      <w:r>
        <w:rPr>
          <w:rFonts w:cs="Arial"/>
        </w:rPr>
        <w:t>2025</w:t>
      </w:r>
      <w:r w:rsidR="00A172B0">
        <w:rPr>
          <w:rFonts w:cs="Arial"/>
        </w:rPr>
        <w:t xml:space="preserve"> to </w:t>
      </w:r>
      <w:r>
        <w:rPr>
          <w:rFonts w:cs="Arial"/>
        </w:rPr>
        <w:t xml:space="preserve">2026 has been a productive year for the NSD, with further bespoke Chairs Training delivered to colleagues responsible for chairing Category Four MAPPA meetings, alongside a range of wider training and development events. The NSD remains proud of the work it undertakes and its continued contribution to public protection; delivering </w:t>
      </w:r>
      <w:r w:rsidR="005C29CF">
        <w:rPr>
          <w:rFonts w:cs="Arial"/>
        </w:rPr>
        <w:t>high-quality</w:t>
      </w:r>
      <w:r>
        <w:rPr>
          <w:rFonts w:cs="Arial"/>
        </w:rPr>
        <w:t xml:space="preserve"> services that support the safety of the communities we serve</w:t>
      </w:r>
    </w:p>
    <w:p w14:paraId="52BAAEA4" w14:textId="77777777" w:rsidR="00106D6B" w:rsidRDefault="00106D6B" w:rsidP="00106D6B">
      <w:pPr>
        <w:rPr>
          <w:rFonts w:cs="Arial"/>
        </w:rPr>
      </w:pPr>
      <w:r>
        <w:rPr>
          <w:rFonts w:cs="Arial"/>
        </w:rPr>
        <w:t>MAPPA Coordinator</w:t>
      </w:r>
    </w:p>
    <w:p w14:paraId="2259D676" w14:textId="5ECAA73D" w:rsidR="00106D6B" w:rsidRDefault="00106D6B" w:rsidP="00106D6B">
      <w:pPr>
        <w:rPr>
          <w:rFonts w:cs="Arial"/>
        </w:rPr>
      </w:pPr>
      <w:r>
        <w:rPr>
          <w:rFonts w:cs="Arial"/>
        </w:rPr>
        <w:t>National Security Division</w:t>
      </w:r>
    </w:p>
    <w:p w14:paraId="6B853CAA" w14:textId="77777777" w:rsidR="00106D6B" w:rsidRDefault="00106D6B" w:rsidP="00106D6B">
      <w:pPr>
        <w:rPr>
          <w:rFonts w:cs="Arial"/>
        </w:rPr>
      </w:pPr>
    </w:p>
    <w:p w14:paraId="717530C1" w14:textId="77777777" w:rsidR="00106D6B" w:rsidRDefault="00106D6B" w:rsidP="00106D6B">
      <w:pPr>
        <w:rPr>
          <w:rFonts w:cs="Arial"/>
        </w:rPr>
      </w:pPr>
    </w:p>
    <w:p w14:paraId="37DC44A4" w14:textId="77777777" w:rsidR="00106D6B" w:rsidRDefault="00106D6B" w:rsidP="00106D6B">
      <w:pPr>
        <w:rPr>
          <w:rFonts w:cs="Arial"/>
        </w:rPr>
      </w:pPr>
    </w:p>
    <w:p w14:paraId="7324ED1F" w14:textId="77777777" w:rsidR="00106D6B" w:rsidRDefault="00106D6B" w:rsidP="00106D6B"/>
    <w:p w14:paraId="75888CE4" w14:textId="77777777" w:rsidR="00106D6B" w:rsidRPr="00106D6B" w:rsidRDefault="00106D6B" w:rsidP="00106D6B"/>
    <w:p w14:paraId="433255E2" w14:textId="24EAEEFA" w:rsidR="00332EE6" w:rsidRPr="0069414D" w:rsidRDefault="00332EE6" w:rsidP="00B8299E">
      <w:pPr>
        <w:pStyle w:val="Heading2"/>
      </w:pPr>
      <w:r w:rsidRPr="0007539B">
        <w:br w:type="page"/>
      </w:r>
      <w:r w:rsidRPr="0069414D">
        <w:lastRenderedPageBreak/>
        <w:t xml:space="preserve">What </w:t>
      </w:r>
      <w:r w:rsidR="009C3D25">
        <w:t>are</w:t>
      </w:r>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B8299E" w:rsidRDefault="00332EE6" w:rsidP="00B8299E">
      <w:pPr>
        <w:pStyle w:val="Heading3"/>
      </w:pPr>
      <w:r w:rsidRPr="00B8299E">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r w:rsidRPr="00206B09">
        <w:rPr>
          <w:sz w:val="24"/>
          <w:szCs w:val="24"/>
          <w:lang w:val="en-GB"/>
        </w:rPr>
        <w:t xml:space="preserve">A number of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B8299E">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w:t>
      </w:r>
      <w:r w:rsidRPr="00206B09">
        <w:rPr>
          <w:sz w:val="24"/>
          <w:szCs w:val="24"/>
          <w:lang w:val="en-GB"/>
        </w:rPr>
        <w:t>agencies to inform the risk assessments and 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That is as far as MAPPA extend in the majority of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6045A79E"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r w:rsidR="00FE66F2" w:rsidRPr="00206B09">
        <w:rPr>
          <w:sz w:val="24"/>
          <w:szCs w:val="24"/>
          <w:lang w:val="en-GB"/>
        </w:rPr>
        <w:t>generally,</w:t>
      </w:r>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206B09" w:rsidRDefault="00332EE6" w:rsidP="00332EE6">
      <w:pPr>
        <w:pStyle w:val="MAPPA-Bodytext"/>
        <w:rPr>
          <w:sz w:val="24"/>
          <w:szCs w:val="24"/>
          <w:lang w:val="en-GB"/>
        </w:rPr>
      </w:pPr>
      <w:r w:rsidRPr="00206B09">
        <w:rPr>
          <w:sz w:val="24"/>
          <w:szCs w:val="24"/>
          <w:lang w:val="en-GB"/>
        </w:rPr>
        <w:t xml:space="preserve">MAPPA are supported by ViSOR.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ViSOR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ViSOR allows staff from the Police, Probation and Prison Services to work on the same IT system, improving the quality and timeliness of risk assessments and interventions to prevent offending. </w:t>
      </w:r>
    </w:p>
    <w:p w14:paraId="44E72049" w14:textId="5043F5C0" w:rsidR="02428A1E" w:rsidRDefault="5E1FAAAF" w:rsidP="302C0245">
      <w:pPr>
        <w:pStyle w:val="MAPPA-Bodytext"/>
      </w:pPr>
      <w:r w:rsidRPr="08C59A73">
        <w:rPr>
          <w:sz w:val="36"/>
          <w:szCs w:val="36"/>
        </w:rPr>
        <w:t xml:space="preserve"> MAPPA ‘25</w:t>
      </w:r>
      <w:r w:rsidRPr="08C59A73">
        <w:rPr>
          <w:sz w:val="24"/>
          <w:szCs w:val="24"/>
          <w:lang w:val="en-GB"/>
        </w:rPr>
        <w:t xml:space="preserve"> </w:t>
      </w:r>
    </w:p>
    <w:p w14:paraId="6657B3A8" w14:textId="1BD70BC2" w:rsidR="02428A1E" w:rsidRPr="00DC0159" w:rsidRDefault="02428A1E" w:rsidP="302C0245">
      <w:pPr>
        <w:pStyle w:val="MAPPA-Bodytext"/>
        <w:rPr>
          <w:sz w:val="24"/>
          <w:szCs w:val="24"/>
        </w:rPr>
      </w:pPr>
      <w:hyperlink r:id="rId20" w:history="1"/>
      <w:r w:rsidR="530464EC" w:rsidRPr="00DC0159">
        <w:rPr>
          <w:sz w:val="24"/>
          <w:szCs w:val="24"/>
        </w:rPr>
        <w:t xml:space="preserve">2025 marked the 25th anniversary of the legislation that first introduced mandatory multi-agency co-operation in the management of those convicted of violent and sexual offences. </w:t>
      </w:r>
    </w:p>
    <w:p w14:paraId="3A74D70F" w14:textId="6FFA05F7" w:rsidR="530464EC" w:rsidRDefault="530464EC">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6587D85A" w14:textId="6F38BBBE" w:rsidR="302C0245" w:rsidRDefault="302C0245"/>
    <w:p w14:paraId="6256ED9E" w14:textId="70419C15" w:rsidR="302C0245" w:rsidRDefault="530464EC" w:rsidP="000369E4">
      <w:pPr>
        <w:pStyle w:val="Heading3"/>
      </w:pPr>
      <w:r>
        <w:t>Local MAPPA ‘25 Activity</w:t>
      </w:r>
    </w:p>
    <w:p w14:paraId="599D7BFF" w14:textId="77777777" w:rsidR="00A05656" w:rsidRDefault="530464EC" w:rsidP="00A05656">
      <w:r w:rsidRPr="302C0245">
        <w:t xml:space="preserve">All MAPPA reports from England and Wales are </w:t>
      </w:r>
      <w:hyperlink r:id="rId21" w:history="1">
        <w:r w:rsidR="00A05656" w:rsidRPr="000914FD">
          <w:rPr>
            <w:rStyle w:val="Hyperlink"/>
            <w:rFonts w:cs="Arial"/>
          </w:rPr>
          <w:t>published online on GOV.UK</w:t>
        </w:r>
      </w:hyperlink>
    </w:p>
    <w:p w14:paraId="4DFCC160" w14:textId="09AAC10E"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2"/>
          <w:type w:val="continuous"/>
          <w:pgSz w:w="11905" w:h="16837" w:code="9"/>
          <w:pgMar w:top="720" w:right="720" w:bottom="720" w:left="720" w:header="720" w:footer="567" w:gutter="0"/>
          <w:cols w:space="720"/>
          <w:noEndnote/>
        </w:sectPr>
      </w:pPr>
    </w:p>
    <w:p w14:paraId="039BA6E9" w14:textId="77777777" w:rsidR="00332EE6" w:rsidRPr="0069414D" w:rsidRDefault="00332EE6" w:rsidP="00B8299E">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B8299E">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B8299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B8299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B8299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B8299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77314E61" w:rsidR="006F27F5" w:rsidRPr="00523CF4" w:rsidRDefault="007F286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890</w:t>
            </w:r>
          </w:p>
        </w:tc>
        <w:tc>
          <w:tcPr>
            <w:tcW w:w="2186" w:type="dxa"/>
          </w:tcPr>
          <w:p w14:paraId="1638E0FC" w14:textId="6BE7020C" w:rsidR="006F27F5" w:rsidRPr="00523CF4" w:rsidRDefault="007F286A"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221</w:t>
            </w:r>
          </w:p>
        </w:tc>
        <w:tc>
          <w:tcPr>
            <w:tcW w:w="2186" w:type="dxa"/>
          </w:tcPr>
          <w:p w14:paraId="1F1BCFAF" w14:textId="39C303E8" w:rsidR="006F27F5" w:rsidRPr="00523CF4" w:rsidRDefault="0088212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2696998C" w:rsidR="006F27F5" w:rsidRPr="00523CF4" w:rsidRDefault="0088212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1,111</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7A8D5E4E" w:rsidR="006F27F5" w:rsidRPr="00523CF4" w:rsidRDefault="0088212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10F8D0CE" w14:textId="1C67DD5C" w:rsidR="006F27F5" w:rsidRPr="00523CF4" w:rsidRDefault="0088212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346F3891" w14:textId="57A3D22F" w:rsidR="006F27F5" w:rsidRPr="00523CF4" w:rsidRDefault="0088212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29D9E254" w14:textId="42C34504" w:rsidR="006F27F5" w:rsidRPr="00523CF4" w:rsidRDefault="00882125"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1B61C1A8" w:rsidR="006F27F5" w:rsidRPr="00523CF4" w:rsidRDefault="00AA60F9"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6751848" w14:textId="3B5BC6E5" w:rsidR="006F27F5" w:rsidRPr="00523CF4" w:rsidRDefault="00AA60F9" w:rsidP="00AA60F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314FEE" w14:textId="1358E7DD" w:rsidR="006F27F5" w:rsidRPr="00523CF4" w:rsidRDefault="00AA60F9"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FD44C20" w14:textId="54C3C72D" w:rsidR="006F27F5" w:rsidRPr="00523CF4" w:rsidRDefault="00AA60F9"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5D0FE3E1" w:rsidR="006F27F5" w:rsidRPr="00523CF4" w:rsidRDefault="00754187"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894</w:t>
            </w:r>
          </w:p>
        </w:tc>
        <w:tc>
          <w:tcPr>
            <w:tcW w:w="2186" w:type="dxa"/>
          </w:tcPr>
          <w:p w14:paraId="4B320A3C" w14:textId="5B7D3112" w:rsidR="006F27F5" w:rsidRPr="00523CF4" w:rsidRDefault="00754187"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222</w:t>
            </w:r>
          </w:p>
        </w:tc>
        <w:tc>
          <w:tcPr>
            <w:tcW w:w="2186" w:type="dxa"/>
          </w:tcPr>
          <w:p w14:paraId="59BF82DA" w14:textId="6CD0758C" w:rsidR="006F27F5" w:rsidRPr="00523CF4" w:rsidRDefault="00754187"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230BC3FB" w14:textId="599AD508" w:rsidR="006F27F5" w:rsidRPr="00523CF4" w:rsidRDefault="00754187"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1,120</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B8299E">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B8299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B8299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B8299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B8299E">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1BEEF244" w:rsidR="00AA3E8E" w:rsidRPr="00523CF4" w:rsidRDefault="00754187"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13</w:t>
            </w:r>
          </w:p>
        </w:tc>
        <w:tc>
          <w:tcPr>
            <w:tcW w:w="2186" w:type="dxa"/>
          </w:tcPr>
          <w:p w14:paraId="231D96FE" w14:textId="3ECA3DA4" w:rsidR="00AA3E8E" w:rsidRPr="00523CF4" w:rsidRDefault="00754187"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11</w:t>
            </w:r>
          </w:p>
        </w:tc>
        <w:tc>
          <w:tcPr>
            <w:tcW w:w="2186" w:type="dxa"/>
          </w:tcPr>
          <w:p w14:paraId="413645CC" w14:textId="6B689094" w:rsidR="00AA3E8E" w:rsidRPr="00523CF4" w:rsidRDefault="00D10E34"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22</w:t>
            </w:r>
          </w:p>
        </w:tc>
        <w:tc>
          <w:tcPr>
            <w:tcW w:w="2186" w:type="dxa"/>
          </w:tcPr>
          <w:p w14:paraId="5A206D70" w14:textId="2410E74C" w:rsidR="00AA3E8E" w:rsidRPr="00523CF4" w:rsidRDefault="00D10E34"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46</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37861BC9" w:rsidR="00AA3E8E" w:rsidRPr="00523CF4" w:rsidRDefault="00D10E34"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4AF1F0B4" w14:textId="2EE4CB4E" w:rsidR="00AA3E8E" w:rsidRPr="00523CF4" w:rsidRDefault="00D10E34"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3EABFC56" w14:textId="1A584EA6" w:rsidR="00AA3E8E" w:rsidRPr="00523CF4" w:rsidRDefault="00D10E34"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66FC4C00" w14:textId="48CDEB94" w:rsidR="00AA3E8E" w:rsidRPr="00523CF4" w:rsidRDefault="00D10E34"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2FEBB048" w:rsidR="00AA3E8E" w:rsidRPr="00523CF4" w:rsidRDefault="00D10E34"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13</w:t>
            </w:r>
          </w:p>
        </w:tc>
        <w:tc>
          <w:tcPr>
            <w:tcW w:w="2186" w:type="dxa"/>
          </w:tcPr>
          <w:p w14:paraId="5D543B3B" w14:textId="6593D3D5" w:rsidR="00AA3E8E" w:rsidRPr="00523CF4" w:rsidRDefault="00D10E34"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w:t>
            </w:r>
          </w:p>
        </w:tc>
        <w:tc>
          <w:tcPr>
            <w:tcW w:w="2186" w:type="dxa"/>
          </w:tcPr>
          <w:p w14:paraId="03713ACD" w14:textId="74BE405A" w:rsidR="00AA3E8E" w:rsidRPr="00523CF4" w:rsidRDefault="00D10E34"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23</w:t>
            </w:r>
          </w:p>
        </w:tc>
        <w:tc>
          <w:tcPr>
            <w:tcW w:w="2186" w:type="dxa"/>
          </w:tcPr>
          <w:p w14:paraId="29E98152" w14:textId="10062881" w:rsidR="00AA3E8E" w:rsidRPr="00523CF4" w:rsidRDefault="00141A6C"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48</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B8299E">
            <w:r>
              <w:t>Category 1</w:t>
            </w:r>
            <w:r w:rsidR="00332EE6" w:rsidRPr="00523CF4">
              <w:t xml:space="preserve"> cautioned for breach of notification requirements</w:t>
            </w:r>
          </w:p>
        </w:tc>
        <w:tc>
          <w:tcPr>
            <w:tcW w:w="2086" w:type="dxa"/>
          </w:tcPr>
          <w:p w14:paraId="764C61A1" w14:textId="5BA17EE8" w:rsidR="00332EE6" w:rsidRPr="00523CF4" w:rsidRDefault="004C31D1"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B8299E">
            <w:r>
              <w:t>Category 1</w:t>
            </w:r>
            <w:r w:rsidRPr="00523CF4">
              <w:t xml:space="preserve"> </w:t>
            </w:r>
            <w:r>
              <w:t>convicted</w:t>
            </w:r>
            <w:r w:rsidRPr="00523CF4">
              <w:t xml:space="preserve"> for breach of notification requirements</w:t>
            </w:r>
          </w:p>
        </w:tc>
        <w:tc>
          <w:tcPr>
            <w:tcW w:w="2086" w:type="dxa"/>
          </w:tcPr>
          <w:p w14:paraId="169D2F63" w14:textId="3C3BF892" w:rsidR="00052623" w:rsidRPr="00523CF4" w:rsidRDefault="004C31D1"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14</w:t>
            </w:r>
          </w:p>
        </w:tc>
      </w:tr>
    </w:tbl>
    <w:p w14:paraId="1CA33BF3"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5"/>
        <w:gridCol w:w="2090"/>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369A8F58" w:rsidR="00332EE6" w:rsidRPr="00523CF4" w:rsidRDefault="00594B3D" w:rsidP="00B8299E">
            <w:r>
              <w:t>Category 1</w:t>
            </w:r>
            <w:r w:rsidR="00332EE6" w:rsidRPr="00523CF4">
              <w:t xml:space="preserve"> who have had their </w:t>
            </w:r>
            <w:r w:rsidR="007145C5" w:rsidRPr="00523CF4">
              <w:t>lifetime</w:t>
            </w:r>
            <w:r w:rsidR="00332EE6" w:rsidRPr="00523CF4">
              <w:t xml:space="preserve"> notification revoked on application </w:t>
            </w:r>
          </w:p>
        </w:tc>
        <w:tc>
          <w:tcPr>
            <w:tcW w:w="2113" w:type="dxa"/>
          </w:tcPr>
          <w:p w14:paraId="4CFE77A5" w14:textId="71EB9AC6" w:rsidR="00332EE6" w:rsidRPr="00523CF4" w:rsidRDefault="002D392C"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10</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B8299E">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6ADADEEC" w:rsidR="00A231D9" w:rsidRPr="00523CF4" w:rsidRDefault="00104A17"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110</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69A6F5EC" w:rsidR="00A231D9" w:rsidRPr="00523CF4" w:rsidRDefault="00104A17"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4535580B" w:rsidR="00A231D9" w:rsidRPr="00523CF4" w:rsidRDefault="00104A17"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2</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B8299E">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2A7F7AC2" w:rsidR="00332EE6" w:rsidRPr="00523CF4" w:rsidRDefault="00104A17"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w:t>
            </w:r>
          </w:p>
        </w:tc>
      </w:tr>
    </w:tbl>
    <w:p w14:paraId="64BFE535" w14:textId="77777777" w:rsidR="00595C55" w:rsidRDefault="00595C55" w:rsidP="003F01A6"/>
    <w:p w14:paraId="78E4FAD4" w14:textId="540AB58C" w:rsidR="00D6369A" w:rsidRPr="00D6369A" w:rsidRDefault="00D6369A" w:rsidP="00B8299E">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B8299E">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B8299E">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B8299E">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B8299E">
            <w:pPr>
              <w:pStyle w:val="StyleMAPPA-TabletextBold"/>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653539D1" w:rsidR="00AA3E8E" w:rsidRPr="00523CF4" w:rsidRDefault="00ED6315"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34F9E68F" w14:textId="45F7FF69" w:rsidR="00AA3E8E" w:rsidRPr="00523CF4" w:rsidRDefault="00ED6315"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720ECB5F" w14:textId="560E3BFB" w:rsidR="00AA3E8E" w:rsidRPr="00523CF4" w:rsidRDefault="00ED6315"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1215E25D" w:rsidR="00AA3E8E" w:rsidRPr="00523CF4" w:rsidRDefault="00ED6315" w:rsidP="00B06F75">
            <w:pPr>
              <w:pStyle w:val="MAPPA-Tabletext"/>
              <w:jc w:val="right"/>
              <w:rPr>
                <w:b w:val="0"/>
                <w:bCs w:val="0"/>
                <w:sz w:val="24"/>
                <w:szCs w:val="24"/>
                <w:lang w:val="en-GB"/>
              </w:rPr>
            </w:pPr>
            <w:r>
              <w:rPr>
                <w:b w:val="0"/>
                <w:bCs w:val="0"/>
                <w:sz w:val="24"/>
                <w:szCs w:val="24"/>
                <w:lang w:val="en-GB"/>
              </w:rPr>
              <w:t>14</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6C99C0B5" w:rsidR="00AA3E8E" w:rsidRPr="00523CF4" w:rsidRDefault="00ED6315"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72FF4F7" w14:textId="6182BF10" w:rsidR="00AA3E8E" w:rsidRPr="00523CF4" w:rsidRDefault="00ED6315"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D55EA6" w14:textId="6FE8A472" w:rsidR="00AA3E8E" w:rsidRPr="00523CF4" w:rsidRDefault="00ED6315"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4AF9AF3C" w:rsidR="00AA3E8E" w:rsidRPr="00523CF4" w:rsidRDefault="00ED6315" w:rsidP="00B06F75">
            <w:pPr>
              <w:pStyle w:val="MAPPA-Tabletext"/>
              <w:jc w:val="right"/>
              <w:rPr>
                <w:b w:val="0"/>
                <w:bCs w:val="0"/>
                <w:sz w:val="24"/>
                <w:szCs w:val="24"/>
                <w:lang w:val="en-GB"/>
              </w:rPr>
            </w:pPr>
            <w:r>
              <w:rPr>
                <w:b w:val="0"/>
                <w:bCs w:val="0"/>
                <w:sz w:val="24"/>
                <w:szCs w:val="24"/>
                <w:lang w:val="en-GB"/>
              </w:rPr>
              <w:t>0</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67C47A85" w:rsidR="00AA3E8E" w:rsidRPr="00523CF4" w:rsidRDefault="00ED6315"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2</w:t>
            </w:r>
          </w:p>
        </w:tc>
        <w:tc>
          <w:tcPr>
            <w:tcW w:w="2186" w:type="dxa"/>
          </w:tcPr>
          <w:p w14:paraId="184256C5" w14:textId="779D2577" w:rsidR="00AA3E8E" w:rsidRPr="00523CF4" w:rsidRDefault="00ED6315"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5</w:t>
            </w:r>
          </w:p>
        </w:tc>
        <w:tc>
          <w:tcPr>
            <w:tcW w:w="2186" w:type="dxa"/>
          </w:tcPr>
          <w:p w14:paraId="44078787" w14:textId="62B34EAC" w:rsidR="00AA3E8E" w:rsidRPr="00523CF4" w:rsidRDefault="00ED6315"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7</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49AC2CDF" w:rsidR="00AA3E8E" w:rsidRPr="00523CF4" w:rsidRDefault="00ED6315" w:rsidP="00B06F75">
            <w:pPr>
              <w:pStyle w:val="MAPPA-Tabletext"/>
              <w:jc w:val="right"/>
              <w:rPr>
                <w:b w:val="0"/>
                <w:bCs w:val="0"/>
                <w:sz w:val="24"/>
                <w:szCs w:val="24"/>
                <w:lang w:val="en-GB"/>
              </w:rPr>
            </w:pPr>
            <w:r>
              <w:rPr>
                <w:b w:val="0"/>
                <w:bCs w:val="0"/>
                <w:sz w:val="24"/>
                <w:szCs w:val="24"/>
                <w:lang w:val="en-GB"/>
              </w:rPr>
              <w:t>14</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4FAD52B6" w:rsidR="00FA3513" w:rsidRPr="00523CF4" w:rsidRDefault="00921654" w:rsidP="00316362">
            <w:pPr>
              <w:pStyle w:val="MAPPA-Tabletext"/>
              <w:jc w:val="right"/>
              <w:rPr>
                <w:b w:val="0"/>
                <w:bCs w:val="0"/>
                <w:sz w:val="24"/>
                <w:szCs w:val="24"/>
                <w:lang w:val="en-GB"/>
              </w:rPr>
            </w:pPr>
            <w:r>
              <w:rPr>
                <w:b w:val="0"/>
                <w:bCs w:val="0"/>
                <w:sz w:val="24"/>
                <w:szCs w:val="24"/>
                <w:lang w:val="en-GB"/>
              </w:rPr>
              <w:t>0</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474ADFB1" w:rsidR="00FA3513" w:rsidRPr="00523CF4" w:rsidRDefault="00921654"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1E745F65" w:rsidR="00FA3513" w:rsidRPr="00523CF4" w:rsidRDefault="00921654" w:rsidP="00316362">
            <w:pPr>
              <w:pStyle w:val="MAPPA-Tabletext"/>
              <w:jc w:val="right"/>
              <w:rPr>
                <w:b w:val="0"/>
                <w:bCs w:val="0"/>
                <w:sz w:val="24"/>
                <w:szCs w:val="24"/>
                <w:lang w:val="en-GB"/>
              </w:rPr>
            </w:pPr>
            <w:r>
              <w:rPr>
                <w:b w:val="0"/>
                <w:bCs w:val="0"/>
                <w:sz w:val="24"/>
                <w:szCs w:val="24"/>
                <w:lang w:val="en-GB"/>
              </w:rPr>
              <w:t>0</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B8299E">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1DABA13E" w:rsidR="00332EE6" w:rsidRPr="004265C9" w:rsidRDefault="00921654"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129</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B8299E">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3"/>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B8299E">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more, or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categories, but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more, or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action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free standing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in order to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r w:rsidR="00F53711" w:rsidRPr="00B510E5">
        <w:rPr>
          <w:sz w:val="24"/>
          <w:szCs w:val="24"/>
          <w:lang w:val="en-GB"/>
        </w:rPr>
        <w:t>has</w:t>
      </w:r>
      <w:r w:rsidR="3CAB031D" w:rsidRPr="00B510E5">
        <w:rPr>
          <w:sz w:val="24"/>
          <w:szCs w:val="24"/>
          <w:lang w:val="en-GB"/>
        </w:rPr>
        <w:t xml:space="preserve"> to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r w:rsidR="005F4133" w:rsidRPr="00B52CDC">
        <w:rPr>
          <w:sz w:val="24"/>
          <w:szCs w:val="24"/>
        </w:rPr>
        <w:t>i</w:t>
      </w:r>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w:t>
      </w:r>
      <w:r w:rsidRPr="00B510E5">
        <w:rPr>
          <w:rFonts w:ascii="Arial" w:hAnsi="Arial" w:cs="Arial"/>
        </w:rPr>
        <w:t xml:space="preserve">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An individual subject to an SRO is required to notify the police of their name and home address within three days of the order being made and also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with the exception of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The criminal standard of proof continues to apply. The person concerned is able to appeal against the making of the order and the police or the person concerned are able to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submit an application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77777777" w:rsidR="00332EE6" w:rsidRPr="0069414D" w:rsidRDefault="00332EE6" w:rsidP="00B8299E">
      <w:pPr>
        <w:pStyle w:val="Heading2"/>
      </w:pPr>
      <w:r w:rsidRPr="0069414D">
        <w:lastRenderedPageBreak/>
        <w:t>Local page</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4"/>
          <w:pgSz w:w="11905" w:h="16837" w:code="9"/>
          <w:pgMar w:top="720" w:right="720" w:bottom="720" w:left="720" w:header="720" w:footer="567" w:gutter="0"/>
          <w:cols w:space="720"/>
          <w:noEndnote/>
        </w:sectPr>
      </w:pPr>
    </w:p>
    <w:p w14:paraId="2E4AE49B" w14:textId="77777777" w:rsidR="00332EE6" w:rsidRPr="00916D29" w:rsidRDefault="00332EE6" w:rsidP="00332EE6">
      <w:pPr>
        <w:pStyle w:val="MAPPA-Bodytext"/>
        <w:rPr>
          <w:lang w:val="en-GB"/>
        </w:rPr>
      </w:pPr>
    </w:p>
    <w:p w14:paraId="0A30EB00" w14:textId="77777777" w:rsidR="00332EE6" w:rsidRPr="00916D29" w:rsidRDefault="00332EE6" w:rsidP="00332EE6">
      <w:pPr>
        <w:pStyle w:val="MAPPA-HeadingPara"/>
        <w:rPr>
          <w:lang w:val="en-GB"/>
        </w:rPr>
        <w:sectPr w:rsidR="00332EE6" w:rsidRPr="00916D29" w:rsidSect="00867C9E">
          <w:type w:val="continuous"/>
          <w:pgSz w:w="11905" w:h="16837" w:code="9"/>
          <w:pgMar w:top="720" w:right="720" w:bottom="720" w:left="720" w:header="720" w:footer="567" w:gutter="0"/>
          <w:cols w:space="720"/>
          <w:noEndnote/>
        </w:sectPr>
      </w:pPr>
    </w:p>
    <w:p w14:paraId="588A8C40" w14:textId="77777777" w:rsidR="000458D1" w:rsidRPr="000458D1" w:rsidRDefault="000458D1" w:rsidP="00B8299E">
      <w:pPr>
        <w:pStyle w:val="Heading3"/>
      </w:pPr>
      <w:r w:rsidRPr="000458D1">
        <w:t>1. SMB Updates</w:t>
      </w:r>
    </w:p>
    <w:p w14:paraId="56335841" w14:textId="6D541C25" w:rsidR="000458D1" w:rsidRPr="000458D1" w:rsidRDefault="000458D1" w:rsidP="000458D1">
      <w:pPr>
        <w:pStyle w:val="MAPPA-Bodytext"/>
        <w:rPr>
          <w:sz w:val="24"/>
          <w:szCs w:val="24"/>
        </w:rPr>
      </w:pPr>
      <w:r w:rsidRPr="000458D1">
        <w:rPr>
          <w:sz w:val="24"/>
          <w:szCs w:val="24"/>
        </w:rPr>
        <w:t>During 202</w:t>
      </w:r>
      <w:r w:rsidR="003B3B3B">
        <w:rPr>
          <w:sz w:val="24"/>
          <w:szCs w:val="24"/>
        </w:rPr>
        <w:t>5</w:t>
      </w:r>
      <w:r w:rsidR="00A172B0">
        <w:rPr>
          <w:sz w:val="24"/>
          <w:szCs w:val="24"/>
        </w:rPr>
        <w:t xml:space="preserve"> to </w:t>
      </w:r>
      <w:r w:rsidRPr="000458D1">
        <w:rPr>
          <w:sz w:val="24"/>
          <w:szCs w:val="24"/>
        </w:rPr>
        <w:t>202</w:t>
      </w:r>
      <w:r w:rsidR="003B3B3B">
        <w:rPr>
          <w:sz w:val="24"/>
          <w:szCs w:val="24"/>
        </w:rPr>
        <w:t>6</w:t>
      </w:r>
      <w:r w:rsidRPr="000458D1">
        <w:rPr>
          <w:sz w:val="24"/>
          <w:szCs w:val="24"/>
        </w:rPr>
        <w:t xml:space="preserve">, Wiltshire MAPPA continued to develop strong partnership working through the Strategic Management Board (SMB). The Chair of the SMB is now </w:t>
      </w:r>
      <w:r w:rsidRPr="000458D1">
        <w:rPr>
          <w:b/>
          <w:bCs/>
          <w:sz w:val="24"/>
          <w:szCs w:val="24"/>
        </w:rPr>
        <w:t>Huw Wilford, Head of PDU Wiltshire/Swindon Probation</w:t>
      </w:r>
      <w:r w:rsidRPr="000458D1">
        <w:rPr>
          <w:sz w:val="24"/>
          <w:szCs w:val="24"/>
        </w:rPr>
        <w:t>, reflecting the commitment of Probation and partner agencies to effective multi-agency public protection arrangements across Wiltshire and Swindon.</w:t>
      </w:r>
    </w:p>
    <w:p w14:paraId="0ACD89C3" w14:textId="45FE3849" w:rsidR="000458D1" w:rsidRPr="000458D1" w:rsidRDefault="000458D1" w:rsidP="000458D1">
      <w:pPr>
        <w:pStyle w:val="MAPPA-Bodytext"/>
        <w:rPr>
          <w:sz w:val="24"/>
          <w:szCs w:val="24"/>
        </w:rPr>
      </w:pPr>
      <w:r w:rsidRPr="000458D1">
        <w:rPr>
          <w:sz w:val="24"/>
          <w:szCs w:val="24"/>
        </w:rPr>
        <w:t>The SMB continues to meet quarterly to review the operation and effectiveness of MAPPA across Wiltshire. Throughout 202</w:t>
      </w:r>
      <w:r w:rsidR="000B5A37">
        <w:rPr>
          <w:sz w:val="24"/>
          <w:szCs w:val="24"/>
        </w:rPr>
        <w:t>5</w:t>
      </w:r>
      <w:r w:rsidR="00B8299E">
        <w:rPr>
          <w:sz w:val="24"/>
          <w:szCs w:val="24"/>
        </w:rPr>
        <w:t xml:space="preserve"> to </w:t>
      </w:r>
      <w:r w:rsidRPr="000458D1">
        <w:rPr>
          <w:sz w:val="24"/>
          <w:szCs w:val="24"/>
        </w:rPr>
        <w:t>202</w:t>
      </w:r>
      <w:r w:rsidR="000B5A37">
        <w:rPr>
          <w:sz w:val="24"/>
          <w:szCs w:val="24"/>
        </w:rPr>
        <w:t>6</w:t>
      </w:r>
      <w:r w:rsidRPr="000458D1">
        <w:rPr>
          <w:sz w:val="24"/>
          <w:szCs w:val="24"/>
        </w:rPr>
        <w:t>, the SMB maintained active oversight of Level 3 cases to ensure that strategic barriers to risk management were identified and addressed promptly. This oversight has supported the allocation of resources necessary to manage risk effectively and facilitate the safest possible resettlement and reintegration plans for those subject to MAPPA management.</w:t>
      </w:r>
    </w:p>
    <w:p w14:paraId="0A2AB0A5" w14:textId="67184B75" w:rsidR="000458D1" w:rsidRPr="000458D1" w:rsidRDefault="000458D1" w:rsidP="000458D1">
      <w:pPr>
        <w:pStyle w:val="MAPPA-Bodytext"/>
        <w:rPr>
          <w:sz w:val="24"/>
          <w:szCs w:val="24"/>
        </w:rPr>
      </w:pPr>
      <w:r w:rsidRPr="000458D1">
        <w:rPr>
          <w:sz w:val="24"/>
          <w:szCs w:val="24"/>
        </w:rPr>
        <w:t>The Board has also enhanced its scrutiny of Level 1 cases managed by Probation, Police and Health partners, ensuring better understanding of the wider MAPPA cohort and promoting consistency in risk management practices. Further development of oversight arrangements will continue</w:t>
      </w:r>
      <w:r w:rsidR="00597FF4">
        <w:rPr>
          <w:sz w:val="24"/>
          <w:szCs w:val="24"/>
        </w:rPr>
        <w:t xml:space="preserve">, </w:t>
      </w:r>
      <w:r w:rsidRPr="000458D1">
        <w:rPr>
          <w:sz w:val="24"/>
          <w:szCs w:val="24"/>
        </w:rPr>
        <w:t>including strengthened engagement with Duty to Cooperate agencies where appropriate.</w:t>
      </w:r>
    </w:p>
    <w:p w14:paraId="22C76343" w14:textId="77777777" w:rsidR="000458D1" w:rsidRPr="000458D1" w:rsidRDefault="000458D1" w:rsidP="000458D1">
      <w:pPr>
        <w:pStyle w:val="MAPPA-Bodytext"/>
        <w:rPr>
          <w:sz w:val="24"/>
          <w:szCs w:val="24"/>
        </w:rPr>
      </w:pPr>
      <w:r w:rsidRPr="000458D1">
        <w:rPr>
          <w:sz w:val="24"/>
          <w:szCs w:val="24"/>
        </w:rPr>
        <w:t>Wiltshire MAPPA has also continued to focus on workforce development and resilience, ensuring administrative and operational support structures are in place to maintain the effective delivery of MAPPA processes across the area.</w:t>
      </w:r>
    </w:p>
    <w:p w14:paraId="5637D974" w14:textId="48093471" w:rsidR="000458D1" w:rsidRPr="000458D1" w:rsidRDefault="00B8299E" w:rsidP="00B8299E">
      <w:pPr>
        <w:pStyle w:val="Heading3"/>
      </w:pPr>
      <w:r>
        <w:br w:type="column"/>
      </w:r>
      <w:r w:rsidR="000458D1" w:rsidRPr="000458D1">
        <w:t>2. Local Operation of MAPPA</w:t>
      </w:r>
    </w:p>
    <w:p w14:paraId="379E285C" w14:textId="2A13A444" w:rsidR="000458D1" w:rsidRPr="000458D1" w:rsidRDefault="000458D1" w:rsidP="000458D1">
      <w:pPr>
        <w:pStyle w:val="MAPPA-Bodytext"/>
        <w:rPr>
          <w:sz w:val="24"/>
          <w:szCs w:val="24"/>
        </w:rPr>
      </w:pPr>
      <w:r w:rsidRPr="000458D1">
        <w:rPr>
          <w:sz w:val="24"/>
          <w:szCs w:val="24"/>
        </w:rPr>
        <w:t>Individuals in Wiltshire who are eligible for management under MAPPA are identified by the Probation Service, Police, Youth Justice Services, Mental Health Services and other relevant agencies. Information is shared appropriately to assess the risks an individual may pose, identify potential victims and determine the most effective measures required to protect the public.</w:t>
      </w:r>
    </w:p>
    <w:p w14:paraId="497F1681" w14:textId="77777777" w:rsidR="000458D1" w:rsidRPr="000458D1" w:rsidRDefault="000458D1" w:rsidP="000458D1">
      <w:pPr>
        <w:pStyle w:val="MAPPA-Bodytext"/>
        <w:rPr>
          <w:sz w:val="24"/>
          <w:szCs w:val="24"/>
        </w:rPr>
      </w:pPr>
      <w:r w:rsidRPr="000458D1">
        <w:rPr>
          <w:sz w:val="24"/>
          <w:szCs w:val="24"/>
        </w:rPr>
        <w:t>All Level 3 cases managed in the community are reviewed regularly, with meetings chaired by senior leaders from either the Probation Service or Wiltshire Police. Senior management involvement ensures that decisions regarding resources, interventions and public protection measures can be made swiftly and effectively. It also ensures that senior leaders maintain oversight of the highest-risk individuals managed under MAPPA arrangements.</w:t>
      </w:r>
    </w:p>
    <w:p w14:paraId="2B8F3ED6" w14:textId="77777777" w:rsidR="000458D1" w:rsidRPr="000458D1" w:rsidRDefault="000458D1" w:rsidP="000458D1">
      <w:pPr>
        <w:pStyle w:val="MAPPA-Bodytext"/>
        <w:rPr>
          <w:sz w:val="24"/>
          <w:szCs w:val="24"/>
        </w:rPr>
      </w:pPr>
      <w:r w:rsidRPr="000458D1">
        <w:rPr>
          <w:sz w:val="24"/>
          <w:szCs w:val="24"/>
        </w:rPr>
        <w:t>In addition, Level 2 meetings are held frequently throughout the year and are chaired by the MAPPA Coordinator, senior Probation practitioners or Police representatives from the Management of Sexual and Violent Offenders teams. Wiltshire continues to aim for regular reviews that exceed national minimum requirements, ensuring dynamic risk management and effective multi-agency planning.</w:t>
      </w:r>
    </w:p>
    <w:p w14:paraId="316A67C4" w14:textId="77777777" w:rsidR="000458D1" w:rsidRPr="000458D1" w:rsidRDefault="000458D1" w:rsidP="000458D1">
      <w:pPr>
        <w:pStyle w:val="MAPPA-Bodytext"/>
        <w:rPr>
          <w:sz w:val="24"/>
          <w:szCs w:val="24"/>
        </w:rPr>
      </w:pPr>
      <w:r w:rsidRPr="000458D1">
        <w:rPr>
          <w:sz w:val="24"/>
          <w:szCs w:val="24"/>
        </w:rPr>
        <w:t>Attendance and engagement from prison establishments remain strong, supported by the continued use of Microsoft Teams and hybrid meeting arrangements. The contribution of Duty to Cooperate agencies continues to be an important aspect of local MAPPA activity, supporting comprehensive risk assessment and management planning.</w:t>
      </w:r>
    </w:p>
    <w:p w14:paraId="5A1BA3BE" w14:textId="77777777" w:rsidR="000458D1" w:rsidRPr="000458D1" w:rsidRDefault="000458D1" w:rsidP="000458D1">
      <w:pPr>
        <w:pStyle w:val="MAPPA-Bodytext"/>
        <w:rPr>
          <w:sz w:val="24"/>
          <w:szCs w:val="24"/>
        </w:rPr>
      </w:pPr>
      <w:r w:rsidRPr="000458D1">
        <w:rPr>
          <w:sz w:val="24"/>
          <w:szCs w:val="24"/>
        </w:rPr>
        <w:t xml:space="preserve">Victim Liaison Officers (VLOs) play a vital role in the MAPPA process, ensuring the voice of victims is represented within discussions and </w:t>
      </w:r>
      <w:r w:rsidRPr="000458D1">
        <w:rPr>
          <w:sz w:val="24"/>
          <w:szCs w:val="24"/>
        </w:rPr>
        <w:lastRenderedPageBreak/>
        <w:t>that victim safety remains central to risk management planning. Their contribution helps achieve an appropriate balance between public protection, offender management and victim considerations.</w:t>
      </w:r>
    </w:p>
    <w:p w14:paraId="71658C2F" w14:textId="22444957" w:rsidR="000458D1" w:rsidRPr="000458D1" w:rsidRDefault="000458D1" w:rsidP="000458D1">
      <w:pPr>
        <w:pStyle w:val="MAPPA-Bodytext"/>
        <w:rPr>
          <w:sz w:val="24"/>
          <w:szCs w:val="24"/>
        </w:rPr>
      </w:pPr>
      <w:r w:rsidRPr="000458D1">
        <w:rPr>
          <w:sz w:val="24"/>
          <w:szCs w:val="24"/>
        </w:rPr>
        <w:t>Disclosure is considered at every MAPPA meeting in accordance with national guidance. Disclosure may involve sharing information with a third party where this is necessary to protect the public, safeguard children or vulnerable adults, or reduce the likelihood of serious harm. Any disclosure is carefully considered to ensure it is necessary, proportionate and justified, with clear plans for implementation where agreed.</w:t>
      </w:r>
      <w:r w:rsidR="00A77670">
        <w:rPr>
          <w:sz w:val="24"/>
          <w:szCs w:val="24"/>
        </w:rPr>
        <w:t xml:space="preserve"> The National MAPPA team </w:t>
      </w:r>
      <w:r w:rsidR="000A76F0">
        <w:rPr>
          <w:sz w:val="24"/>
          <w:szCs w:val="24"/>
        </w:rPr>
        <w:t>recently updated relevant forms to capture Disclosure discussion and rational</w:t>
      </w:r>
      <w:r w:rsidR="00580CA4">
        <w:rPr>
          <w:sz w:val="24"/>
          <w:szCs w:val="24"/>
        </w:rPr>
        <w:t>e</w:t>
      </w:r>
      <w:r w:rsidR="000A76F0">
        <w:rPr>
          <w:sz w:val="24"/>
          <w:szCs w:val="24"/>
        </w:rPr>
        <w:t xml:space="preserve"> for </w:t>
      </w:r>
      <w:r w:rsidR="00FD7C52">
        <w:rPr>
          <w:sz w:val="24"/>
          <w:szCs w:val="24"/>
        </w:rPr>
        <w:t xml:space="preserve">any </w:t>
      </w:r>
      <w:r w:rsidR="000A76F0">
        <w:rPr>
          <w:sz w:val="24"/>
          <w:szCs w:val="24"/>
        </w:rPr>
        <w:t xml:space="preserve">decisions more </w:t>
      </w:r>
      <w:r w:rsidR="006C454C">
        <w:rPr>
          <w:sz w:val="24"/>
          <w:szCs w:val="24"/>
        </w:rPr>
        <w:t xml:space="preserve">robustly.  </w:t>
      </w:r>
    </w:p>
    <w:p w14:paraId="5FBFD0F2" w14:textId="77777777" w:rsidR="000458D1" w:rsidRPr="000458D1" w:rsidRDefault="000458D1" w:rsidP="00B8299E">
      <w:pPr>
        <w:pStyle w:val="Heading3"/>
      </w:pPr>
      <w:r w:rsidRPr="000458D1">
        <w:t>3. Performance</w:t>
      </w:r>
    </w:p>
    <w:p w14:paraId="5CBFC714" w14:textId="77777777" w:rsidR="000458D1" w:rsidRPr="000458D1" w:rsidRDefault="000458D1" w:rsidP="000458D1">
      <w:pPr>
        <w:pStyle w:val="MAPPA-Bodytext"/>
        <w:rPr>
          <w:sz w:val="24"/>
          <w:szCs w:val="24"/>
        </w:rPr>
      </w:pPr>
      <w:r w:rsidRPr="000458D1">
        <w:rPr>
          <w:sz w:val="24"/>
          <w:szCs w:val="24"/>
        </w:rPr>
        <w:t>Wiltshire MAPPA continues to demonstrate strong performance against national MAPPA Key Performance Indicators (KPIs). The SMB maintains oversight of performance data and works with all Responsible Authority and Duty to Cooperate agencies to ensure effective participation within the MAPPA process.</w:t>
      </w:r>
    </w:p>
    <w:p w14:paraId="44452B13" w14:textId="77777777" w:rsidR="000458D1" w:rsidRPr="000458D1" w:rsidRDefault="000458D1" w:rsidP="000458D1">
      <w:pPr>
        <w:pStyle w:val="MAPPA-Bodytext"/>
        <w:rPr>
          <w:sz w:val="24"/>
          <w:szCs w:val="24"/>
        </w:rPr>
      </w:pPr>
      <w:r w:rsidRPr="000458D1">
        <w:rPr>
          <w:sz w:val="24"/>
          <w:szCs w:val="24"/>
        </w:rPr>
        <w:t>The active involvement of partner agencies remains a key strength within Wiltshire. Consistent attendance at Level 2 and Level 3 meetings supports effective information sharing, collaborative decision-making and robust risk management planning. Where attendance or information sharing standards fall below expectation, these issues are reviewed through governance arrangements and addressed through partner engagement.</w:t>
      </w:r>
    </w:p>
    <w:p w14:paraId="2C924574" w14:textId="77777777" w:rsidR="000458D1" w:rsidRPr="000458D1" w:rsidRDefault="000458D1" w:rsidP="000458D1">
      <w:pPr>
        <w:pStyle w:val="MAPPA-Bodytext"/>
        <w:rPr>
          <w:sz w:val="24"/>
          <w:szCs w:val="24"/>
        </w:rPr>
      </w:pPr>
      <w:r w:rsidRPr="000458D1">
        <w:rPr>
          <w:sz w:val="24"/>
          <w:szCs w:val="24"/>
        </w:rPr>
        <w:t>Risk management plans developed through MAPPA meetings continue to be tailored to individual circumstances. Effective plans incorporate appropriate levels of supervision, monitoring and control measures, interventions and treatment opportunities, and victim safety considerations. Where relevant, the voice and needs of children are also considered within planning and decision-making.</w:t>
      </w:r>
    </w:p>
    <w:p w14:paraId="027F4CE9" w14:textId="77777777" w:rsidR="000458D1" w:rsidRPr="000458D1" w:rsidRDefault="000458D1" w:rsidP="000458D1">
      <w:pPr>
        <w:pStyle w:val="MAPPA-Bodytext"/>
        <w:rPr>
          <w:sz w:val="24"/>
          <w:szCs w:val="24"/>
        </w:rPr>
      </w:pPr>
      <w:r w:rsidRPr="000458D1">
        <w:rPr>
          <w:sz w:val="24"/>
          <w:szCs w:val="24"/>
        </w:rPr>
        <w:t xml:space="preserve">The SMB continues to review performance trends and use management information to </w:t>
      </w:r>
      <w:r w:rsidRPr="000458D1">
        <w:rPr>
          <w:sz w:val="24"/>
          <w:szCs w:val="24"/>
        </w:rPr>
        <w:t>identify areas for improvement, strengthen partnership working and ensure resources are directed towards those individuals who present the greatest risk of serious harm.</w:t>
      </w:r>
    </w:p>
    <w:p w14:paraId="2F9BE310" w14:textId="1BF86121" w:rsidR="000458D1" w:rsidRPr="000458D1" w:rsidRDefault="000458D1" w:rsidP="000458D1">
      <w:pPr>
        <w:pStyle w:val="MAPPA-Bodytext"/>
        <w:rPr>
          <w:sz w:val="24"/>
          <w:szCs w:val="24"/>
        </w:rPr>
      </w:pPr>
      <w:r w:rsidRPr="000458D1">
        <w:rPr>
          <w:sz w:val="24"/>
          <w:szCs w:val="24"/>
        </w:rPr>
        <w:t>individuals managed under MAPPA arrangements commit a serious sexual or violent offence and the circumstances meet the national criteria for review.</w:t>
      </w:r>
    </w:p>
    <w:p w14:paraId="54A3EADA" w14:textId="7307305D" w:rsidR="000458D1" w:rsidRPr="000458D1" w:rsidRDefault="00F97F8E" w:rsidP="00B8299E">
      <w:pPr>
        <w:pStyle w:val="Heading3"/>
      </w:pPr>
      <w:r>
        <w:t>4</w:t>
      </w:r>
      <w:r w:rsidR="000458D1" w:rsidRPr="000458D1">
        <w:t>. MAPPA Awareness Training</w:t>
      </w:r>
    </w:p>
    <w:p w14:paraId="2F758C5B" w14:textId="617533ED" w:rsidR="000458D1" w:rsidRPr="000458D1" w:rsidRDefault="000458D1" w:rsidP="000458D1">
      <w:pPr>
        <w:pStyle w:val="MAPPA-Bodytext"/>
        <w:rPr>
          <w:sz w:val="24"/>
          <w:szCs w:val="24"/>
        </w:rPr>
      </w:pPr>
      <w:r w:rsidRPr="000458D1">
        <w:rPr>
          <w:sz w:val="24"/>
          <w:szCs w:val="24"/>
        </w:rPr>
        <w:t>MAPPA awareness training has remained a significant priority for Wiltshire throughout 202</w:t>
      </w:r>
      <w:r w:rsidR="00DD3065">
        <w:rPr>
          <w:sz w:val="24"/>
          <w:szCs w:val="24"/>
        </w:rPr>
        <w:t>5</w:t>
      </w:r>
      <w:r w:rsidR="00B8299E">
        <w:rPr>
          <w:sz w:val="24"/>
          <w:szCs w:val="24"/>
        </w:rPr>
        <w:t xml:space="preserve"> to </w:t>
      </w:r>
      <w:r w:rsidRPr="000458D1">
        <w:rPr>
          <w:sz w:val="24"/>
          <w:szCs w:val="24"/>
        </w:rPr>
        <w:t>202</w:t>
      </w:r>
      <w:r w:rsidR="00DD3065">
        <w:rPr>
          <w:sz w:val="24"/>
          <w:szCs w:val="24"/>
        </w:rPr>
        <w:t>6</w:t>
      </w:r>
      <w:r w:rsidRPr="000458D1">
        <w:rPr>
          <w:sz w:val="24"/>
          <w:szCs w:val="24"/>
        </w:rPr>
        <w:t>. Training sessions have been delivered to practitioners and stakeholders across a range of agencies to strengthen understanding of MAPPA's purpose, processes and responsibilities.</w:t>
      </w:r>
    </w:p>
    <w:p w14:paraId="4B964CC2" w14:textId="77777777" w:rsidR="000458D1" w:rsidRPr="000458D1" w:rsidRDefault="000458D1" w:rsidP="000458D1">
      <w:pPr>
        <w:pStyle w:val="MAPPA-Bodytext"/>
        <w:rPr>
          <w:sz w:val="24"/>
          <w:szCs w:val="24"/>
        </w:rPr>
      </w:pPr>
      <w:r w:rsidRPr="000458D1">
        <w:rPr>
          <w:sz w:val="24"/>
          <w:szCs w:val="24"/>
        </w:rPr>
        <w:t>The SMB recognises that effective multi-agency public protection depends upon practitioners understanding both their own role and the role of partner agencies. Ongoing awareness and development activity helps to promote consistent practice, improve information sharing and support effective risk management across Wiltshire and Swindon.</w:t>
      </w:r>
    </w:p>
    <w:p w14:paraId="600B962D" w14:textId="63247518" w:rsidR="000458D1" w:rsidRPr="000458D1" w:rsidRDefault="000458D1" w:rsidP="000458D1">
      <w:pPr>
        <w:pStyle w:val="MAPPA-Bodytext"/>
        <w:rPr>
          <w:sz w:val="24"/>
          <w:szCs w:val="24"/>
        </w:rPr>
      </w:pPr>
      <w:r w:rsidRPr="000458D1">
        <w:rPr>
          <w:sz w:val="24"/>
          <w:szCs w:val="24"/>
        </w:rPr>
        <w:t xml:space="preserve">Wiltshire will continue to expand learning opportunities during </w:t>
      </w:r>
      <w:r w:rsidR="00F97F8E">
        <w:rPr>
          <w:sz w:val="24"/>
          <w:szCs w:val="24"/>
        </w:rPr>
        <w:t>the next coming year</w:t>
      </w:r>
      <w:r w:rsidR="00790C9F">
        <w:rPr>
          <w:sz w:val="24"/>
          <w:szCs w:val="24"/>
        </w:rPr>
        <w:t>,</w:t>
      </w:r>
      <w:r w:rsidRPr="000458D1">
        <w:rPr>
          <w:sz w:val="24"/>
          <w:szCs w:val="24"/>
        </w:rPr>
        <w:t xml:space="preserve"> ensuring agencies remain informed of national developments, local learning and emerging risks.</w:t>
      </w:r>
    </w:p>
    <w:p w14:paraId="378D252C" w14:textId="6DF74765" w:rsidR="000458D1" w:rsidRPr="000458D1" w:rsidRDefault="00790C9F" w:rsidP="00B8299E">
      <w:pPr>
        <w:pStyle w:val="Heading3"/>
      </w:pPr>
      <w:r>
        <w:t>5</w:t>
      </w:r>
      <w:r w:rsidR="000458D1" w:rsidRPr="000458D1">
        <w:t>. A Final Word from Huw Wilford</w:t>
      </w:r>
    </w:p>
    <w:p w14:paraId="3CD7E73F" w14:textId="77777777" w:rsidR="000458D1" w:rsidRPr="000458D1" w:rsidRDefault="000458D1" w:rsidP="000458D1">
      <w:pPr>
        <w:pStyle w:val="MAPPA-Bodytext"/>
        <w:rPr>
          <w:sz w:val="24"/>
          <w:szCs w:val="24"/>
        </w:rPr>
      </w:pPr>
      <w:r w:rsidRPr="000458D1">
        <w:rPr>
          <w:sz w:val="24"/>
          <w:szCs w:val="24"/>
        </w:rPr>
        <w:t>I am pleased to introduce the MAPPA Annual Report for Wiltshire, which highlights the continued commitment of our partner agencies to protecting the public and managing those individuals who present the highest risk of serious harm.</w:t>
      </w:r>
    </w:p>
    <w:p w14:paraId="41CF22B2" w14:textId="06B5AAF6" w:rsidR="000458D1" w:rsidRPr="000458D1" w:rsidRDefault="000458D1" w:rsidP="000458D1">
      <w:pPr>
        <w:pStyle w:val="MAPPA-Bodytext"/>
        <w:rPr>
          <w:sz w:val="24"/>
          <w:szCs w:val="24"/>
        </w:rPr>
      </w:pPr>
      <w:r w:rsidRPr="000458D1">
        <w:rPr>
          <w:sz w:val="24"/>
          <w:szCs w:val="24"/>
        </w:rPr>
        <w:t>Throughout 202</w:t>
      </w:r>
      <w:r w:rsidR="00DD3065">
        <w:rPr>
          <w:sz w:val="24"/>
          <w:szCs w:val="24"/>
        </w:rPr>
        <w:t>5</w:t>
      </w:r>
      <w:r w:rsidR="00B8299E">
        <w:rPr>
          <w:sz w:val="24"/>
          <w:szCs w:val="24"/>
        </w:rPr>
        <w:t xml:space="preserve"> to </w:t>
      </w:r>
      <w:r w:rsidRPr="000458D1">
        <w:rPr>
          <w:sz w:val="24"/>
          <w:szCs w:val="24"/>
        </w:rPr>
        <w:t>202</w:t>
      </w:r>
      <w:r w:rsidR="00DD3065">
        <w:rPr>
          <w:sz w:val="24"/>
          <w:szCs w:val="24"/>
        </w:rPr>
        <w:t>6</w:t>
      </w:r>
      <w:r w:rsidRPr="000458D1">
        <w:rPr>
          <w:sz w:val="24"/>
          <w:szCs w:val="24"/>
        </w:rPr>
        <w:t xml:space="preserve">, agencies across </w:t>
      </w:r>
      <w:r w:rsidR="00DD3065">
        <w:rPr>
          <w:sz w:val="24"/>
          <w:szCs w:val="24"/>
        </w:rPr>
        <w:t>W</w:t>
      </w:r>
      <w:r w:rsidRPr="000458D1">
        <w:rPr>
          <w:sz w:val="24"/>
          <w:szCs w:val="24"/>
        </w:rPr>
        <w:t>iltshir</w:t>
      </w:r>
      <w:r w:rsidR="00790C9F">
        <w:rPr>
          <w:sz w:val="24"/>
          <w:szCs w:val="24"/>
        </w:rPr>
        <w:t xml:space="preserve">e </w:t>
      </w:r>
      <w:r w:rsidRPr="000458D1">
        <w:rPr>
          <w:sz w:val="24"/>
          <w:szCs w:val="24"/>
        </w:rPr>
        <w:t xml:space="preserve">have continued to work collaboratively to strengthen our MAPPA arrangements, develop professional practice and maintain a strong focus on public protection. The dedication shown by Responsible Authority and Duty to Cooperate </w:t>
      </w:r>
      <w:r w:rsidRPr="000458D1">
        <w:rPr>
          <w:sz w:val="24"/>
          <w:szCs w:val="24"/>
        </w:rPr>
        <w:lastRenderedPageBreak/>
        <w:t>agencies demonstrates the strength of our partnership approach.</w:t>
      </w:r>
    </w:p>
    <w:p w14:paraId="4272D317" w14:textId="14EC1CBE" w:rsidR="000458D1" w:rsidRPr="000458D1" w:rsidRDefault="000458D1" w:rsidP="000458D1">
      <w:pPr>
        <w:pStyle w:val="MAPPA-Bodytext"/>
        <w:rPr>
          <w:sz w:val="24"/>
          <w:szCs w:val="24"/>
        </w:rPr>
      </w:pPr>
      <w:r w:rsidRPr="000458D1">
        <w:rPr>
          <w:sz w:val="24"/>
          <w:szCs w:val="24"/>
        </w:rPr>
        <w:t>The effective management of risk relies upon strong relationships, constructive challenge and a shared commitment to safeguarding our communities.</w:t>
      </w:r>
    </w:p>
    <w:p w14:paraId="4A18FDAF" w14:textId="77777777" w:rsidR="000458D1" w:rsidRPr="000458D1" w:rsidRDefault="000458D1" w:rsidP="000458D1">
      <w:pPr>
        <w:pStyle w:val="MAPPA-Bodytext"/>
        <w:rPr>
          <w:sz w:val="24"/>
          <w:szCs w:val="24"/>
        </w:rPr>
      </w:pPr>
      <w:r w:rsidRPr="000458D1">
        <w:rPr>
          <w:sz w:val="24"/>
          <w:szCs w:val="24"/>
        </w:rPr>
        <w:t>I would like to thank all MAPPA partners for their professionalism, expertise and continued dedication throughout the year. Together, we will continue to strengthen our arrangements and work towards achieving the best possible outcomes for victims, communities and those we manage under MAPPA.</w:t>
      </w:r>
    </w:p>
    <w:p w14:paraId="6620B6A1" w14:textId="4E5B0F91" w:rsidR="007C76D7" w:rsidRPr="005904A8" w:rsidRDefault="000458D1" w:rsidP="00332EE6">
      <w:pPr>
        <w:pStyle w:val="MAPPA-Bodytext"/>
        <w:rPr>
          <w:b/>
          <w:bCs/>
          <w:sz w:val="24"/>
          <w:szCs w:val="24"/>
        </w:rPr>
        <w:sectPr w:rsidR="007C76D7" w:rsidRPr="005904A8" w:rsidSect="00867C9E">
          <w:type w:val="continuous"/>
          <w:pgSz w:w="11905" w:h="16837" w:code="9"/>
          <w:pgMar w:top="720" w:right="720" w:bottom="720" w:left="720" w:header="720" w:footer="567" w:gutter="0"/>
          <w:cols w:num="2" w:space="720"/>
          <w:noEndnote/>
        </w:sectPr>
      </w:pPr>
      <w:r w:rsidRPr="000458D1">
        <w:rPr>
          <w:b/>
          <w:bCs/>
          <w:sz w:val="24"/>
          <w:szCs w:val="24"/>
        </w:rPr>
        <w:t>Huw Wilford</w:t>
      </w:r>
      <w:r w:rsidRPr="000458D1">
        <w:rPr>
          <w:sz w:val="24"/>
          <w:szCs w:val="24"/>
        </w:rPr>
        <w:br/>
      </w:r>
      <w:r w:rsidRPr="000458D1">
        <w:rPr>
          <w:b/>
          <w:bCs/>
          <w:sz w:val="24"/>
          <w:szCs w:val="24"/>
        </w:rPr>
        <w:t>Chair, Wiltshire MAPPA Strategic Management Board</w:t>
      </w:r>
      <w:r w:rsidRPr="000458D1">
        <w:rPr>
          <w:sz w:val="24"/>
          <w:szCs w:val="24"/>
        </w:rPr>
        <w:br/>
      </w:r>
      <w:r w:rsidRPr="000458D1">
        <w:rPr>
          <w:b/>
          <w:bCs/>
          <w:sz w:val="24"/>
          <w:szCs w:val="24"/>
        </w:rPr>
        <w:t>Head of PDU Wiltshire/Swindon Probati</w:t>
      </w:r>
      <w:r w:rsidR="00CB4BDE">
        <w:rPr>
          <w:b/>
          <w:bCs/>
          <w:sz w:val="24"/>
          <w:szCs w:val="24"/>
        </w:rPr>
        <w:t>o</w:t>
      </w:r>
      <w:r w:rsidR="005904A8">
        <w:rPr>
          <w:b/>
          <w:bCs/>
          <w:sz w:val="24"/>
          <w:szCs w:val="24"/>
        </w:rPr>
        <w:t>n</w:t>
      </w:r>
    </w:p>
    <w:p w14:paraId="36D23879" w14:textId="77777777" w:rsidR="00A05656" w:rsidRDefault="00332EE6" w:rsidP="00A05656">
      <w:r w:rsidRPr="00B01E0C">
        <w:rPr>
          <w:b/>
          <w:color w:val="7030A0"/>
          <w:sz w:val="26"/>
          <w:szCs w:val="26"/>
        </w:rPr>
        <w:lastRenderedPageBreak/>
        <w:t xml:space="preserve">All MAPPA reports from England and Wales are </w:t>
      </w:r>
      <w:hyperlink r:id="rId25" w:history="1">
        <w:r w:rsidR="00A05656" w:rsidRPr="000914FD">
          <w:rPr>
            <w:rStyle w:val="Hyperlink"/>
            <w:rFonts w:cs="Arial"/>
          </w:rPr>
          <w:t>published online on GOV.UK</w:t>
        </w:r>
      </w:hyperlink>
    </w:p>
    <w:p w14:paraId="14EA9D9B" w14:textId="39CD43D6" w:rsidR="00332EE6" w:rsidRPr="00B01E0C" w:rsidRDefault="00332EE6" w:rsidP="000D4EF9">
      <w:pPr>
        <w:pStyle w:val="MAPPA-Bodytext"/>
        <w:spacing w:before="4800"/>
        <w:rPr>
          <w:b/>
          <w:color w:val="007DC3"/>
          <w:sz w:val="26"/>
          <w:szCs w:val="26"/>
          <w:lang w:val="en-GB"/>
        </w:rPr>
      </w:pPr>
    </w:p>
    <w:p w14:paraId="1D3F21DD" w14:textId="77777777" w:rsidR="00782444" w:rsidRPr="00B01E0C" w:rsidRDefault="00782444" w:rsidP="00240CDE">
      <w:pPr>
        <w:pStyle w:val="MAPPA-Bodytext"/>
        <w:rPr>
          <w:b/>
          <w:color w:val="7030A0"/>
          <w:sz w:val="26"/>
          <w:szCs w:val="26"/>
          <w:lang w:val="en-GB"/>
        </w:rPr>
      </w:pPr>
    </w:p>
    <w:p w14:paraId="3D8ACAA2" w14:textId="2436BFA9" w:rsidR="000E3453" w:rsidRPr="006954C2" w:rsidRDefault="00E1528C" w:rsidP="00A7139C">
      <w:pPr>
        <w:pStyle w:val="MAPPA-Bodytext"/>
        <w:spacing w:line="240" w:lineRule="atLeast"/>
        <w:rPr>
          <w:b/>
          <w:color w:val="7030A0"/>
          <w:sz w:val="24"/>
          <w:szCs w:val="24"/>
          <w:lang w:val="en-GB"/>
        </w:rPr>
        <w:sectPr w:rsidR="000E3453" w:rsidRPr="006954C2" w:rsidSect="00A7139C">
          <w:footerReference w:type="default" r:id="rId26"/>
          <w:pgSz w:w="11905" w:h="16837" w:code="9"/>
          <w:pgMar w:top="720" w:right="720" w:bottom="720" w:left="720" w:header="720" w:footer="567" w:gutter="0"/>
          <w:cols w:space="720"/>
          <w:noEndnote/>
          <w:docGrid w:linePitch="360"/>
        </w:sectPr>
      </w:pPr>
      <w:r>
        <w:rPr>
          <w:noProof/>
        </w:rPr>
        <w:drawing>
          <wp:inline distT="0" distB="0" distL="0" distR="0" wp14:anchorId="1FB8CF13" wp14:editId="0A14788F">
            <wp:extent cx="1209675" cy="880110"/>
            <wp:effectExtent l="0" t="0" r="9525"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66049" cy="921125"/>
                    </a:xfrm>
                    <a:prstGeom prst="rect">
                      <a:avLst/>
                    </a:prstGeom>
                    <a:noFill/>
                    <a:ln>
                      <a:noFill/>
                    </a:ln>
                  </pic:spPr>
                </pic:pic>
              </a:graphicData>
            </a:graphic>
          </wp:inline>
        </w:drawing>
      </w:r>
      <w:r>
        <w:rPr>
          <w:b/>
          <w:color w:val="7030A0"/>
          <w:sz w:val="24"/>
          <w:szCs w:val="24"/>
          <w:lang w:val="en-GB"/>
        </w:rPr>
        <w:tab/>
      </w:r>
      <w:r>
        <w:rPr>
          <w:b/>
          <w:color w:val="7030A0"/>
          <w:sz w:val="24"/>
          <w:szCs w:val="24"/>
          <w:lang w:val="en-GB"/>
        </w:rPr>
        <w:tab/>
      </w:r>
      <w:r>
        <w:rPr>
          <w:b/>
          <w:color w:val="7030A0"/>
          <w:sz w:val="24"/>
          <w:szCs w:val="24"/>
          <w:lang w:val="en-GB"/>
        </w:rPr>
        <w:tab/>
      </w:r>
      <w:r w:rsidR="00CB7DE0">
        <w:rPr>
          <w:noProof/>
        </w:rPr>
        <w:drawing>
          <wp:inline distT="0" distB="0" distL="0" distR="0" wp14:anchorId="73A8DA9E" wp14:editId="38D73ED6">
            <wp:extent cx="1047750" cy="1265555"/>
            <wp:effectExtent l="0" t="0" r="0" b="0"/>
            <wp:docPr id="160890575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905754" name="Picture 1">
                      <a:extLst>
                        <a:ext uri="{C183D7F6-B498-43B3-948B-1728B52AA6E4}">
                          <adec:decorative xmlns:adec="http://schemas.microsoft.com/office/drawing/2017/decorative" val="1"/>
                        </a:ext>
                      </a:extLst>
                    </pic:cNvPr>
                    <pic:cNvPicPr/>
                  </pic:nvPicPr>
                  <pic:blipFill>
                    <a:blip r:embed="rId28"/>
                    <a:stretch>
                      <a:fillRect/>
                    </a:stretch>
                  </pic:blipFill>
                  <pic:spPr>
                    <a:xfrm>
                      <a:off x="0" y="0"/>
                      <a:ext cx="1071719" cy="1294507"/>
                    </a:xfrm>
                    <a:prstGeom prst="rect">
                      <a:avLst/>
                    </a:prstGeom>
                  </pic:spPr>
                </pic:pic>
              </a:graphicData>
            </a:graphic>
          </wp:inline>
        </w:drawing>
      </w:r>
      <w:r>
        <w:rPr>
          <w:b/>
          <w:color w:val="7030A0"/>
          <w:sz w:val="24"/>
          <w:szCs w:val="24"/>
          <w:lang w:val="en-GB"/>
        </w:rPr>
        <w:tab/>
      </w:r>
      <w:r>
        <w:rPr>
          <w:b/>
          <w:color w:val="7030A0"/>
          <w:sz w:val="24"/>
          <w:szCs w:val="24"/>
          <w:lang w:val="en-GB"/>
        </w:rPr>
        <w:tab/>
      </w:r>
      <w:r>
        <w:rPr>
          <w:b/>
          <w:color w:val="7030A0"/>
          <w:sz w:val="24"/>
          <w:szCs w:val="24"/>
          <w:lang w:val="en-GB"/>
        </w:rPr>
        <w:tab/>
      </w:r>
      <w:r w:rsidR="00CA4247">
        <w:rPr>
          <w:noProof/>
        </w:rPr>
        <w:drawing>
          <wp:inline distT="0" distB="0" distL="0" distR="0" wp14:anchorId="0A7B547C" wp14:editId="55166EA6">
            <wp:extent cx="1631950" cy="655983"/>
            <wp:effectExtent l="0" t="0" r="635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57294" cy="666170"/>
                    </a:xfrm>
                    <a:prstGeom prst="rect">
                      <a:avLst/>
                    </a:prstGeom>
                    <a:noFill/>
                    <a:ln>
                      <a:noFill/>
                    </a:ln>
                  </pic:spPr>
                </pic:pic>
              </a:graphicData>
            </a:graphic>
          </wp:inline>
        </w:drawing>
      </w:r>
      <w:r>
        <w:rPr>
          <w:b/>
          <w:color w:val="7030A0"/>
          <w:sz w:val="24"/>
          <w:szCs w:val="24"/>
          <w:lang w:val="en-GB"/>
        </w:rPr>
        <w:tab/>
      </w:r>
    </w:p>
    <w:p w14:paraId="3FCACFD1" w14:textId="2A8DC3A9" w:rsidR="00240CDE" w:rsidRPr="00B01E0C" w:rsidRDefault="00240CDE" w:rsidP="00240CDE">
      <w:pPr>
        <w:pStyle w:val="MAPPA-Bodytext"/>
        <w:jc w:val="center"/>
        <w:rPr>
          <w:b/>
          <w:color w:val="007DC3"/>
          <w:sz w:val="26"/>
          <w:szCs w:val="26"/>
          <w:lang w:val="en-GB"/>
        </w:rPr>
      </w:pPr>
    </w:p>
    <w:p w14:paraId="62935087" w14:textId="77777777" w:rsidR="00240CDE" w:rsidRPr="00B01E0C" w:rsidRDefault="00240CDE" w:rsidP="00240CDE">
      <w:pPr>
        <w:pStyle w:val="MAPPA-Bodytext"/>
        <w:jc w:val="center"/>
        <w:rPr>
          <w:b/>
          <w:color w:val="7030A0"/>
          <w:sz w:val="26"/>
          <w:szCs w:val="26"/>
          <w:lang w:val="en-GB"/>
        </w:rPr>
      </w:pPr>
    </w:p>
    <w:p w14:paraId="184D6788" w14:textId="730B00F8" w:rsidR="00DE3907" w:rsidRPr="00AA7FE7" w:rsidRDefault="00DE3907" w:rsidP="00080DFC">
      <w:pPr>
        <w:spacing w:line="240" w:lineRule="atLeast"/>
        <w:rPr>
          <w:b/>
          <w:bCs/>
          <w:color w:val="7030A0"/>
        </w:rPr>
      </w:pPr>
    </w:p>
    <w:sectPr w:rsidR="00DE3907" w:rsidRPr="00AA7FE7"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87C58" w14:textId="77777777" w:rsidR="00CE56B7" w:rsidRDefault="00CE56B7" w:rsidP="001A5708">
      <w:pPr>
        <w:pStyle w:val="MAPPA-Bodytext"/>
      </w:pPr>
      <w:r>
        <w:separator/>
      </w:r>
    </w:p>
  </w:endnote>
  <w:endnote w:type="continuationSeparator" w:id="0">
    <w:p w14:paraId="1640C8A1" w14:textId="77777777" w:rsidR="00CE56B7" w:rsidRDefault="00CE56B7" w:rsidP="001A5708">
      <w:pPr>
        <w:pStyle w:val="MAPPA-Bodytext"/>
      </w:pPr>
      <w:r>
        <w:continuationSeparator/>
      </w:r>
    </w:p>
  </w:endnote>
  <w:endnote w:type="continuationNotice" w:id="1">
    <w:p w14:paraId="76382411" w14:textId="77777777" w:rsidR="00CE56B7" w:rsidRDefault="00CE56B7"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42D7A742" w:rsidR="00DE3907"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5" behindDoc="0" locked="0" layoutInCell="1" allowOverlap="1" wp14:anchorId="66386CC9" wp14:editId="044482C8">
              <wp:simplePos x="0" y="10013950"/>
              <wp:positionH relativeFrom="page">
                <wp:align>center</wp:align>
              </wp:positionH>
              <wp:positionV relativeFrom="page">
                <wp:align>bottom</wp:align>
              </wp:positionV>
              <wp:extent cx="622300" cy="355600"/>
              <wp:effectExtent l="0" t="0" r="6350" b="0"/>
              <wp:wrapNone/>
              <wp:docPr id="167170718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386CC9" id="_x0000_t202" coordsize="21600,21600" o:spt="202" path="m,l,21600r21600,l21600,xe">
              <v:stroke joinstyle="miter"/>
              <v:path gradientshapeok="t" o:connecttype="rect"/>
            </v:shapetype>
            <v:shape id="Text Box 7" o:spid="_x0000_s1030" type="#_x0000_t202" alt="OFFICIAL" style="position:absolute;margin-left:0;margin-top:0;width:49pt;height:2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cpB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qKj93voTrTUAjDvr2Tm4ZKb4UPTwJpwdQtiTY8&#10;0qENdCWHC+KsBvz5N3uMJ97Jy1lHgim5JUVzZr5b2kfU1ghwBPsEpl/yeaTHHts7IBlO6UU4mSBZ&#10;MZgRaoT2heS8joXIJaykciXfj/AuDMql5yDVep2CSEZOhK3dORlTR7oil8/9i0B3ITzQph5gVJMo&#10;3vE+xMab3q2PgdhPS4nUDkReGCcJprVenkvU+Nv/FHV91Ktf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AcFcpBDAIAABwEAAAO&#10;AAAAAAAAAAAAAAAAAC4CAABkcnMvZTJvRG9jLnhtbFBLAQItABQABgAIAAAAIQDhfhLQ2QAAAAMB&#10;AAAPAAAAAAAAAAAAAAAAAGYEAABkcnMvZG93bnJldi54bWxQSwUGAAAAAAQABADzAAAAbAUAAAAA&#10;" filled="f" stroked="f">
              <v:textbox style="mso-fit-shape-to-text:t" inset="0,0,0,15pt">
                <w:txbxContent>
                  <w:p w14:paraId="463A2A6E" w14:textId="407A8EE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2"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3"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4"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5"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735E92"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6"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7"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9D73B" w14:textId="77777777" w:rsidR="00CE56B7" w:rsidRDefault="00CE56B7" w:rsidP="001A5708">
      <w:pPr>
        <w:pStyle w:val="MAPPA-Bodytext"/>
      </w:pPr>
      <w:r>
        <w:separator/>
      </w:r>
    </w:p>
  </w:footnote>
  <w:footnote w:type="continuationSeparator" w:id="0">
    <w:p w14:paraId="256F715E" w14:textId="77777777" w:rsidR="00CE56B7" w:rsidRDefault="00CE56B7" w:rsidP="001A5708">
      <w:pPr>
        <w:pStyle w:val="MAPPA-Bodytext"/>
      </w:pPr>
      <w:r>
        <w:continuationSeparator/>
      </w:r>
    </w:p>
  </w:footnote>
  <w:footnote w:type="continuationNotice" w:id="1">
    <w:p w14:paraId="6B264151" w14:textId="77777777" w:rsidR="00CE56B7" w:rsidRDefault="00CE56B7"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1"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369E4"/>
    <w:rsid w:val="00044A8E"/>
    <w:rsid w:val="000458D1"/>
    <w:rsid w:val="00051C64"/>
    <w:rsid w:val="00052623"/>
    <w:rsid w:val="000536B2"/>
    <w:rsid w:val="000552D4"/>
    <w:rsid w:val="000575B1"/>
    <w:rsid w:val="000576D6"/>
    <w:rsid w:val="00062F55"/>
    <w:rsid w:val="000739BA"/>
    <w:rsid w:val="0007539B"/>
    <w:rsid w:val="000809B8"/>
    <w:rsid w:val="00080DFC"/>
    <w:rsid w:val="000870D8"/>
    <w:rsid w:val="0009323B"/>
    <w:rsid w:val="0009506C"/>
    <w:rsid w:val="000A2DB3"/>
    <w:rsid w:val="000A6775"/>
    <w:rsid w:val="000A76F0"/>
    <w:rsid w:val="000B3DC7"/>
    <w:rsid w:val="000B5A37"/>
    <w:rsid w:val="000D082C"/>
    <w:rsid w:val="000D4EF9"/>
    <w:rsid w:val="000E3453"/>
    <w:rsid w:val="000E3C5B"/>
    <w:rsid w:val="000E67A0"/>
    <w:rsid w:val="000F355B"/>
    <w:rsid w:val="000F65BF"/>
    <w:rsid w:val="00104025"/>
    <w:rsid w:val="00104A17"/>
    <w:rsid w:val="00105344"/>
    <w:rsid w:val="00106D6B"/>
    <w:rsid w:val="001143B7"/>
    <w:rsid w:val="0012064D"/>
    <w:rsid w:val="00127B7C"/>
    <w:rsid w:val="0013260D"/>
    <w:rsid w:val="00140627"/>
    <w:rsid w:val="00141A6C"/>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A7975"/>
    <w:rsid w:val="001B4354"/>
    <w:rsid w:val="001C2687"/>
    <w:rsid w:val="001D15DF"/>
    <w:rsid w:val="001D5B9B"/>
    <w:rsid w:val="001E4AC5"/>
    <w:rsid w:val="001E793A"/>
    <w:rsid w:val="001F341F"/>
    <w:rsid w:val="001F3FB5"/>
    <w:rsid w:val="00203010"/>
    <w:rsid w:val="00206B09"/>
    <w:rsid w:val="0020762B"/>
    <w:rsid w:val="0021358B"/>
    <w:rsid w:val="002171AC"/>
    <w:rsid w:val="00224C51"/>
    <w:rsid w:val="00225767"/>
    <w:rsid w:val="00230E77"/>
    <w:rsid w:val="00233AB5"/>
    <w:rsid w:val="00240CDE"/>
    <w:rsid w:val="002446A8"/>
    <w:rsid w:val="0024482A"/>
    <w:rsid w:val="0025291B"/>
    <w:rsid w:val="00253F9E"/>
    <w:rsid w:val="00254EE2"/>
    <w:rsid w:val="002621F5"/>
    <w:rsid w:val="00271EB2"/>
    <w:rsid w:val="0027253A"/>
    <w:rsid w:val="00273407"/>
    <w:rsid w:val="00274A96"/>
    <w:rsid w:val="00276BD6"/>
    <w:rsid w:val="00281FCC"/>
    <w:rsid w:val="0028255E"/>
    <w:rsid w:val="00283D9A"/>
    <w:rsid w:val="002850D6"/>
    <w:rsid w:val="002962CB"/>
    <w:rsid w:val="00296A85"/>
    <w:rsid w:val="002A5E53"/>
    <w:rsid w:val="002B1B3E"/>
    <w:rsid w:val="002B3DF0"/>
    <w:rsid w:val="002C0567"/>
    <w:rsid w:val="002C2403"/>
    <w:rsid w:val="002D392C"/>
    <w:rsid w:val="002D5862"/>
    <w:rsid w:val="002E767F"/>
    <w:rsid w:val="002F46BF"/>
    <w:rsid w:val="002F763F"/>
    <w:rsid w:val="002F7878"/>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563AC"/>
    <w:rsid w:val="003643C6"/>
    <w:rsid w:val="003668BB"/>
    <w:rsid w:val="00391BEB"/>
    <w:rsid w:val="00395ED3"/>
    <w:rsid w:val="00396101"/>
    <w:rsid w:val="00396499"/>
    <w:rsid w:val="00397110"/>
    <w:rsid w:val="003A385F"/>
    <w:rsid w:val="003A7DAA"/>
    <w:rsid w:val="003B3B3B"/>
    <w:rsid w:val="003B63B3"/>
    <w:rsid w:val="003B6695"/>
    <w:rsid w:val="003C0362"/>
    <w:rsid w:val="003C36DD"/>
    <w:rsid w:val="003D3D7F"/>
    <w:rsid w:val="003E0591"/>
    <w:rsid w:val="003E0965"/>
    <w:rsid w:val="003E0B74"/>
    <w:rsid w:val="003F01A6"/>
    <w:rsid w:val="003F03F6"/>
    <w:rsid w:val="003F73FB"/>
    <w:rsid w:val="00407E23"/>
    <w:rsid w:val="00410720"/>
    <w:rsid w:val="00416B8E"/>
    <w:rsid w:val="00421553"/>
    <w:rsid w:val="004265C9"/>
    <w:rsid w:val="0043417E"/>
    <w:rsid w:val="00440E43"/>
    <w:rsid w:val="00441138"/>
    <w:rsid w:val="00441413"/>
    <w:rsid w:val="0044659C"/>
    <w:rsid w:val="00447974"/>
    <w:rsid w:val="004602E7"/>
    <w:rsid w:val="0046416B"/>
    <w:rsid w:val="00466AFF"/>
    <w:rsid w:val="004702F0"/>
    <w:rsid w:val="00476A59"/>
    <w:rsid w:val="00481AE8"/>
    <w:rsid w:val="00486257"/>
    <w:rsid w:val="00486695"/>
    <w:rsid w:val="00490949"/>
    <w:rsid w:val="00491DB0"/>
    <w:rsid w:val="004A110B"/>
    <w:rsid w:val="004A1DC1"/>
    <w:rsid w:val="004C31D1"/>
    <w:rsid w:val="004C40BA"/>
    <w:rsid w:val="004D2C69"/>
    <w:rsid w:val="004D5668"/>
    <w:rsid w:val="004E35DC"/>
    <w:rsid w:val="004E51F9"/>
    <w:rsid w:val="004E7E67"/>
    <w:rsid w:val="004F36A2"/>
    <w:rsid w:val="004F6BAD"/>
    <w:rsid w:val="00507932"/>
    <w:rsid w:val="0051052E"/>
    <w:rsid w:val="00514F8C"/>
    <w:rsid w:val="0052037E"/>
    <w:rsid w:val="00523CF4"/>
    <w:rsid w:val="005250EB"/>
    <w:rsid w:val="0052760C"/>
    <w:rsid w:val="005350B3"/>
    <w:rsid w:val="00542928"/>
    <w:rsid w:val="00544F4A"/>
    <w:rsid w:val="005556BC"/>
    <w:rsid w:val="00560418"/>
    <w:rsid w:val="00561E0B"/>
    <w:rsid w:val="00562E7B"/>
    <w:rsid w:val="00563E49"/>
    <w:rsid w:val="00575CC8"/>
    <w:rsid w:val="00580CA4"/>
    <w:rsid w:val="005904A8"/>
    <w:rsid w:val="0059208A"/>
    <w:rsid w:val="00593013"/>
    <w:rsid w:val="00594656"/>
    <w:rsid w:val="00594B3D"/>
    <w:rsid w:val="00595295"/>
    <w:rsid w:val="005957DB"/>
    <w:rsid w:val="00595C55"/>
    <w:rsid w:val="00597FF4"/>
    <w:rsid w:val="005A1B9A"/>
    <w:rsid w:val="005A4FD4"/>
    <w:rsid w:val="005C1E3D"/>
    <w:rsid w:val="005C29CF"/>
    <w:rsid w:val="005C4A2A"/>
    <w:rsid w:val="005D0433"/>
    <w:rsid w:val="005D189A"/>
    <w:rsid w:val="005E1880"/>
    <w:rsid w:val="005E20D8"/>
    <w:rsid w:val="005F006A"/>
    <w:rsid w:val="005F4133"/>
    <w:rsid w:val="005F4DAB"/>
    <w:rsid w:val="00605AEC"/>
    <w:rsid w:val="006139F9"/>
    <w:rsid w:val="006231D6"/>
    <w:rsid w:val="00626C9F"/>
    <w:rsid w:val="00630DBA"/>
    <w:rsid w:val="00631192"/>
    <w:rsid w:val="0063638C"/>
    <w:rsid w:val="006506E6"/>
    <w:rsid w:val="006529F4"/>
    <w:rsid w:val="006540DE"/>
    <w:rsid w:val="0065675B"/>
    <w:rsid w:val="00662BE5"/>
    <w:rsid w:val="00663F0A"/>
    <w:rsid w:val="0066652E"/>
    <w:rsid w:val="00672210"/>
    <w:rsid w:val="00673321"/>
    <w:rsid w:val="00683239"/>
    <w:rsid w:val="00683618"/>
    <w:rsid w:val="00684DD2"/>
    <w:rsid w:val="006877F7"/>
    <w:rsid w:val="00687BD5"/>
    <w:rsid w:val="0069414D"/>
    <w:rsid w:val="00694A98"/>
    <w:rsid w:val="006954C2"/>
    <w:rsid w:val="00695CEC"/>
    <w:rsid w:val="0069789C"/>
    <w:rsid w:val="006A056D"/>
    <w:rsid w:val="006A45B8"/>
    <w:rsid w:val="006A7F33"/>
    <w:rsid w:val="006B21EE"/>
    <w:rsid w:val="006B2A8A"/>
    <w:rsid w:val="006B2BB6"/>
    <w:rsid w:val="006B75D2"/>
    <w:rsid w:val="006C454C"/>
    <w:rsid w:val="006C58FB"/>
    <w:rsid w:val="006D59A4"/>
    <w:rsid w:val="006D6914"/>
    <w:rsid w:val="006E2307"/>
    <w:rsid w:val="006E3B3D"/>
    <w:rsid w:val="006E46E2"/>
    <w:rsid w:val="006E5311"/>
    <w:rsid w:val="006E71D8"/>
    <w:rsid w:val="006F0EEF"/>
    <w:rsid w:val="006F27F5"/>
    <w:rsid w:val="006F4B65"/>
    <w:rsid w:val="007000D6"/>
    <w:rsid w:val="007043B9"/>
    <w:rsid w:val="007059C7"/>
    <w:rsid w:val="00711231"/>
    <w:rsid w:val="00711B4E"/>
    <w:rsid w:val="007131AC"/>
    <w:rsid w:val="007145C5"/>
    <w:rsid w:val="00716097"/>
    <w:rsid w:val="00717E7B"/>
    <w:rsid w:val="007203E9"/>
    <w:rsid w:val="00722F6A"/>
    <w:rsid w:val="00724145"/>
    <w:rsid w:val="00730FAC"/>
    <w:rsid w:val="007323D9"/>
    <w:rsid w:val="00735E92"/>
    <w:rsid w:val="00740AED"/>
    <w:rsid w:val="00740F8A"/>
    <w:rsid w:val="0074223D"/>
    <w:rsid w:val="00744D61"/>
    <w:rsid w:val="00745F1E"/>
    <w:rsid w:val="007477FB"/>
    <w:rsid w:val="00754187"/>
    <w:rsid w:val="007560AF"/>
    <w:rsid w:val="00761E84"/>
    <w:rsid w:val="00770457"/>
    <w:rsid w:val="007774E2"/>
    <w:rsid w:val="00782444"/>
    <w:rsid w:val="00783E05"/>
    <w:rsid w:val="00786A3A"/>
    <w:rsid w:val="00790C9F"/>
    <w:rsid w:val="007A2145"/>
    <w:rsid w:val="007A47E1"/>
    <w:rsid w:val="007A5CA4"/>
    <w:rsid w:val="007A7F00"/>
    <w:rsid w:val="007B0338"/>
    <w:rsid w:val="007B122C"/>
    <w:rsid w:val="007B288B"/>
    <w:rsid w:val="007B423B"/>
    <w:rsid w:val="007B7706"/>
    <w:rsid w:val="007C0669"/>
    <w:rsid w:val="007C08AC"/>
    <w:rsid w:val="007C095C"/>
    <w:rsid w:val="007C6D23"/>
    <w:rsid w:val="007C7106"/>
    <w:rsid w:val="007C76D7"/>
    <w:rsid w:val="007E2BA1"/>
    <w:rsid w:val="007F1B0B"/>
    <w:rsid w:val="007F286A"/>
    <w:rsid w:val="007F347E"/>
    <w:rsid w:val="00813634"/>
    <w:rsid w:val="00815132"/>
    <w:rsid w:val="008218B2"/>
    <w:rsid w:val="00821A79"/>
    <w:rsid w:val="008252D2"/>
    <w:rsid w:val="008258A0"/>
    <w:rsid w:val="00833817"/>
    <w:rsid w:val="0083468F"/>
    <w:rsid w:val="00836998"/>
    <w:rsid w:val="0084039F"/>
    <w:rsid w:val="00841CA4"/>
    <w:rsid w:val="00845D34"/>
    <w:rsid w:val="00846E32"/>
    <w:rsid w:val="00853299"/>
    <w:rsid w:val="0085658F"/>
    <w:rsid w:val="00856D56"/>
    <w:rsid w:val="00862A26"/>
    <w:rsid w:val="008633FA"/>
    <w:rsid w:val="00866269"/>
    <w:rsid w:val="00866E1A"/>
    <w:rsid w:val="00867C9E"/>
    <w:rsid w:val="00874FC1"/>
    <w:rsid w:val="00882125"/>
    <w:rsid w:val="008872F1"/>
    <w:rsid w:val="0089121C"/>
    <w:rsid w:val="008A3A68"/>
    <w:rsid w:val="008B6D15"/>
    <w:rsid w:val="008C1531"/>
    <w:rsid w:val="008C3C42"/>
    <w:rsid w:val="008C6282"/>
    <w:rsid w:val="008D1CDE"/>
    <w:rsid w:val="008D26FC"/>
    <w:rsid w:val="008E15B2"/>
    <w:rsid w:val="008E1CB2"/>
    <w:rsid w:val="008E2C4B"/>
    <w:rsid w:val="008E62AA"/>
    <w:rsid w:val="008F243E"/>
    <w:rsid w:val="008F2A10"/>
    <w:rsid w:val="008F479F"/>
    <w:rsid w:val="008F69D6"/>
    <w:rsid w:val="00900E5D"/>
    <w:rsid w:val="0090299B"/>
    <w:rsid w:val="00904927"/>
    <w:rsid w:val="00905512"/>
    <w:rsid w:val="0091273E"/>
    <w:rsid w:val="00912A31"/>
    <w:rsid w:val="009134FD"/>
    <w:rsid w:val="00913F81"/>
    <w:rsid w:val="00916031"/>
    <w:rsid w:val="00916D29"/>
    <w:rsid w:val="0092048C"/>
    <w:rsid w:val="009207D1"/>
    <w:rsid w:val="00921654"/>
    <w:rsid w:val="009311B4"/>
    <w:rsid w:val="0093207E"/>
    <w:rsid w:val="00934DF5"/>
    <w:rsid w:val="009365BE"/>
    <w:rsid w:val="00940740"/>
    <w:rsid w:val="009423B9"/>
    <w:rsid w:val="00944F50"/>
    <w:rsid w:val="009451A3"/>
    <w:rsid w:val="00953406"/>
    <w:rsid w:val="0095383C"/>
    <w:rsid w:val="00953F25"/>
    <w:rsid w:val="00962504"/>
    <w:rsid w:val="009644E6"/>
    <w:rsid w:val="00965E28"/>
    <w:rsid w:val="0097502F"/>
    <w:rsid w:val="00982C08"/>
    <w:rsid w:val="00985C16"/>
    <w:rsid w:val="00986F99"/>
    <w:rsid w:val="009934FE"/>
    <w:rsid w:val="009A077B"/>
    <w:rsid w:val="009A247D"/>
    <w:rsid w:val="009A2F9E"/>
    <w:rsid w:val="009A51C1"/>
    <w:rsid w:val="009B2502"/>
    <w:rsid w:val="009B6413"/>
    <w:rsid w:val="009B7898"/>
    <w:rsid w:val="009C1ED5"/>
    <w:rsid w:val="009C3B63"/>
    <w:rsid w:val="009C3D25"/>
    <w:rsid w:val="009C6961"/>
    <w:rsid w:val="009D37D4"/>
    <w:rsid w:val="009E77A2"/>
    <w:rsid w:val="009F0030"/>
    <w:rsid w:val="009F12C4"/>
    <w:rsid w:val="009F3A55"/>
    <w:rsid w:val="00A00189"/>
    <w:rsid w:val="00A02438"/>
    <w:rsid w:val="00A03396"/>
    <w:rsid w:val="00A05656"/>
    <w:rsid w:val="00A06CCA"/>
    <w:rsid w:val="00A10F10"/>
    <w:rsid w:val="00A11B78"/>
    <w:rsid w:val="00A1656D"/>
    <w:rsid w:val="00A172B0"/>
    <w:rsid w:val="00A231D9"/>
    <w:rsid w:val="00A23250"/>
    <w:rsid w:val="00A24965"/>
    <w:rsid w:val="00A34DE7"/>
    <w:rsid w:val="00A40864"/>
    <w:rsid w:val="00A40FC6"/>
    <w:rsid w:val="00A44770"/>
    <w:rsid w:val="00A55FDE"/>
    <w:rsid w:val="00A63E9A"/>
    <w:rsid w:val="00A7139C"/>
    <w:rsid w:val="00A77670"/>
    <w:rsid w:val="00A77D39"/>
    <w:rsid w:val="00A8230F"/>
    <w:rsid w:val="00A85101"/>
    <w:rsid w:val="00A868F0"/>
    <w:rsid w:val="00A870F0"/>
    <w:rsid w:val="00A903CE"/>
    <w:rsid w:val="00A92CE4"/>
    <w:rsid w:val="00A95389"/>
    <w:rsid w:val="00AA3E8E"/>
    <w:rsid w:val="00AA60F9"/>
    <w:rsid w:val="00AA7FE7"/>
    <w:rsid w:val="00AB5644"/>
    <w:rsid w:val="00AB6B32"/>
    <w:rsid w:val="00AC3FBF"/>
    <w:rsid w:val="00AC5A64"/>
    <w:rsid w:val="00AC6E16"/>
    <w:rsid w:val="00AC7361"/>
    <w:rsid w:val="00AD38C4"/>
    <w:rsid w:val="00AD78C6"/>
    <w:rsid w:val="00AE42DA"/>
    <w:rsid w:val="00AE4C19"/>
    <w:rsid w:val="00AE535B"/>
    <w:rsid w:val="00AF7C22"/>
    <w:rsid w:val="00B01E0C"/>
    <w:rsid w:val="00B0446D"/>
    <w:rsid w:val="00B06F75"/>
    <w:rsid w:val="00B10B3C"/>
    <w:rsid w:val="00B12CA9"/>
    <w:rsid w:val="00B148FC"/>
    <w:rsid w:val="00B163F4"/>
    <w:rsid w:val="00B2073E"/>
    <w:rsid w:val="00B23C80"/>
    <w:rsid w:val="00B24A02"/>
    <w:rsid w:val="00B27C0E"/>
    <w:rsid w:val="00B3120E"/>
    <w:rsid w:val="00B31964"/>
    <w:rsid w:val="00B33112"/>
    <w:rsid w:val="00B402ED"/>
    <w:rsid w:val="00B46863"/>
    <w:rsid w:val="00B46F6C"/>
    <w:rsid w:val="00B50D53"/>
    <w:rsid w:val="00B510E5"/>
    <w:rsid w:val="00B52CDC"/>
    <w:rsid w:val="00B54A0B"/>
    <w:rsid w:val="00B56214"/>
    <w:rsid w:val="00B614A4"/>
    <w:rsid w:val="00B700D7"/>
    <w:rsid w:val="00B712A7"/>
    <w:rsid w:val="00B715E8"/>
    <w:rsid w:val="00B72238"/>
    <w:rsid w:val="00B8299E"/>
    <w:rsid w:val="00B862DB"/>
    <w:rsid w:val="00B93D73"/>
    <w:rsid w:val="00B95D22"/>
    <w:rsid w:val="00B95D25"/>
    <w:rsid w:val="00BA2863"/>
    <w:rsid w:val="00BB1AE2"/>
    <w:rsid w:val="00BB2E22"/>
    <w:rsid w:val="00BB6A95"/>
    <w:rsid w:val="00BC0531"/>
    <w:rsid w:val="00BC5172"/>
    <w:rsid w:val="00BC7756"/>
    <w:rsid w:val="00BD2C5A"/>
    <w:rsid w:val="00BF736E"/>
    <w:rsid w:val="00C0210E"/>
    <w:rsid w:val="00C03CDC"/>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7622"/>
    <w:rsid w:val="00C91687"/>
    <w:rsid w:val="00CA3666"/>
    <w:rsid w:val="00CA4247"/>
    <w:rsid w:val="00CA696D"/>
    <w:rsid w:val="00CB001A"/>
    <w:rsid w:val="00CB008B"/>
    <w:rsid w:val="00CB4BDE"/>
    <w:rsid w:val="00CB7DE0"/>
    <w:rsid w:val="00CC18D3"/>
    <w:rsid w:val="00CC1C96"/>
    <w:rsid w:val="00CC2DEB"/>
    <w:rsid w:val="00CC596D"/>
    <w:rsid w:val="00CD0AE4"/>
    <w:rsid w:val="00CD3DE2"/>
    <w:rsid w:val="00CD42C9"/>
    <w:rsid w:val="00CE3605"/>
    <w:rsid w:val="00CE4008"/>
    <w:rsid w:val="00CE56B7"/>
    <w:rsid w:val="00CE58B2"/>
    <w:rsid w:val="00CF01E6"/>
    <w:rsid w:val="00CF0C97"/>
    <w:rsid w:val="00CF1FE2"/>
    <w:rsid w:val="00CF477A"/>
    <w:rsid w:val="00CF64B5"/>
    <w:rsid w:val="00D05B67"/>
    <w:rsid w:val="00D10E34"/>
    <w:rsid w:val="00D128D2"/>
    <w:rsid w:val="00D13714"/>
    <w:rsid w:val="00D155AE"/>
    <w:rsid w:val="00D16C41"/>
    <w:rsid w:val="00D26C99"/>
    <w:rsid w:val="00D34B1E"/>
    <w:rsid w:val="00D35A9B"/>
    <w:rsid w:val="00D517EB"/>
    <w:rsid w:val="00D5409B"/>
    <w:rsid w:val="00D5631F"/>
    <w:rsid w:val="00D56F7B"/>
    <w:rsid w:val="00D57D76"/>
    <w:rsid w:val="00D635C0"/>
    <w:rsid w:val="00D6369A"/>
    <w:rsid w:val="00D6651B"/>
    <w:rsid w:val="00D678FB"/>
    <w:rsid w:val="00D8050D"/>
    <w:rsid w:val="00D8081A"/>
    <w:rsid w:val="00D83865"/>
    <w:rsid w:val="00D86E33"/>
    <w:rsid w:val="00D929AA"/>
    <w:rsid w:val="00D9469B"/>
    <w:rsid w:val="00D94DE2"/>
    <w:rsid w:val="00DA027D"/>
    <w:rsid w:val="00DA07C6"/>
    <w:rsid w:val="00DA582B"/>
    <w:rsid w:val="00DA6F10"/>
    <w:rsid w:val="00DB45B9"/>
    <w:rsid w:val="00DB56AB"/>
    <w:rsid w:val="00DB5F85"/>
    <w:rsid w:val="00DB6331"/>
    <w:rsid w:val="00DB7179"/>
    <w:rsid w:val="00DC0159"/>
    <w:rsid w:val="00DC02EE"/>
    <w:rsid w:val="00DC1361"/>
    <w:rsid w:val="00DC2D52"/>
    <w:rsid w:val="00DC3228"/>
    <w:rsid w:val="00DC35A8"/>
    <w:rsid w:val="00DC576A"/>
    <w:rsid w:val="00DD3065"/>
    <w:rsid w:val="00DD55D5"/>
    <w:rsid w:val="00DE3907"/>
    <w:rsid w:val="00DE4A8E"/>
    <w:rsid w:val="00DF1F1D"/>
    <w:rsid w:val="00DF3446"/>
    <w:rsid w:val="00DF4F2F"/>
    <w:rsid w:val="00E03F8D"/>
    <w:rsid w:val="00E1528C"/>
    <w:rsid w:val="00E20257"/>
    <w:rsid w:val="00E27F78"/>
    <w:rsid w:val="00E32C81"/>
    <w:rsid w:val="00E50500"/>
    <w:rsid w:val="00E51E86"/>
    <w:rsid w:val="00E53FDC"/>
    <w:rsid w:val="00E6063B"/>
    <w:rsid w:val="00E6461E"/>
    <w:rsid w:val="00E653CC"/>
    <w:rsid w:val="00E75826"/>
    <w:rsid w:val="00E758B3"/>
    <w:rsid w:val="00E83424"/>
    <w:rsid w:val="00EA28A2"/>
    <w:rsid w:val="00EA5086"/>
    <w:rsid w:val="00EA5D08"/>
    <w:rsid w:val="00EB0094"/>
    <w:rsid w:val="00EB26C4"/>
    <w:rsid w:val="00EB47DB"/>
    <w:rsid w:val="00EB7D01"/>
    <w:rsid w:val="00EC23F1"/>
    <w:rsid w:val="00ED169D"/>
    <w:rsid w:val="00ED543E"/>
    <w:rsid w:val="00ED6315"/>
    <w:rsid w:val="00ED6F4D"/>
    <w:rsid w:val="00EE119F"/>
    <w:rsid w:val="00EE21ED"/>
    <w:rsid w:val="00EE680F"/>
    <w:rsid w:val="00EF2DDC"/>
    <w:rsid w:val="00F0078E"/>
    <w:rsid w:val="00F02C4D"/>
    <w:rsid w:val="00F04209"/>
    <w:rsid w:val="00F06663"/>
    <w:rsid w:val="00F12CA0"/>
    <w:rsid w:val="00F143BD"/>
    <w:rsid w:val="00F14FED"/>
    <w:rsid w:val="00F16EF8"/>
    <w:rsid w:val="00F333E2"/>
    <w:rsid w:val="00F346C9"/>
    <w:rsid w:val="00F3592D"/>
    <w:rsid w:val="00F37895"/>
    <w:rsid w:val="00F43667"/>
    <w:rsid w:val="00F44D5D"/>
    <w:rsid w:val="00F45482"/>
    <w:rsid w:val="00F53711"/>
    <w:rsid w:val="00F53D72"/>
    <w:rsid w:val="00F564EA"/>
    <w:rsid w:val="00F62E0C"/>
    <w:rsid w:val="00F672E9"/>
    <w:rsid w:val="00F72BBE"/>
    <w:rsid w:val="00F75549"/>
    <w:rsid w:val="00F762D0"/>
    <w:rsid w:val="00F82A5E"/>
    <w:rsid w:val="00F83EB4"/>
    <w:rsid w:val="00F9080F"/>
    <w:rsid w:val="00F967D7"/>
    <w:rsid w:val="00F97F8E"/>
    <w:rsid w:val="00FA3513"/>
    <w:rsid w:val="00FA54A1"/>
    <w:rsid w:val="00FA6524"/>
    <w:rsid w:val="00FA7018"/>
    <w:rsid w:val="00FB3B49"/>
    <w:rsid w:val="00FC066E"/>
    <w:rsid w:val="00FC5883"/>
    <w:rsid w:val="00FD3AE1"/>
    <w:rsid w:val="00FD5A6F"/>
    <w:rsid w:val="00FD6B53"/>
    <w:rsid w:val="00FD7C52"/>
    <w:rsid w:val="00FE4378"/>
    <w:rsid w:val="00FE66F2"/>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DB0"/>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2F7878"/>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2F7878"/>
    <w:pPr>
      <w:outlineLvl w:val="1"/>
    </w:pPr>
  </w:style>
  <w:style w:type="paragraph" w:styleId="Heading3">
    <w:name w:val="heading 3"/>
    <w:basedOn w:val="Style1"/>
    <w:next w:val="Normal"/>
    <w:link w:val="Heading3Char"/>
    <w:unhideWhenUsed/>
    <w:qFormat/>
    <w:locked/>
    <w:rsid w:val="00B8299E"/>
    <w:pPr>
      <w:spacing w:after="240" w:line="240" w:lineRule="auto"/>
      <w:outlineLvl w:val="2"/>
    </w:pPr>
    <w:rPr>
      <w:b w:val="0"/>
    </w:r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2F7878"/>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pPr>
      <w:spacing w:line="360" w:lineRule="auto"/>
    </w:pPr>
    <w:rPr>
      <w:b/>
      <w:bCs/>
      <w:color w:val="auto"/>
    </w:rPr>
  </w:style>
  <w:style w:type="character" w:customStyle="1" w:styleId="Heading2Char">
    <w:name w:val="Heading 2 Char"/>
    <w:basedOn w:val="DefaultParagraphFont"/>
    <w:link w:val="Heading2"/>
    <w:rsid w:val="002F7878"/>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B8299E"/>
    <w:rPr>
      <w:rFonts w:ascii="Arial" w:hAnsi="Arial" w:cs="Arial"/>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8.xml"/><Relationship Id="rId3" Type="http://schemas.openxmlformats.org/officeDocument/2006/relationships/customXml" Target="../customXml/item3.xml"/><Relationship Id="rId21" Type="http://schemas.openxmlformats.org/officeDocument/2006/relationships/hyperlink" Target="https://www.gov.uk/government/collections/multi-agency-public-protection-arrangements-mappa-annual-report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https://www.gov.uk/government/collections/multi-agency-public-protection-arrangements-mappa-annual-reports"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ov.uk"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32"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3.png"/><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2.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3.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2FB91D-D747-4E75-8C65-FA2032ED8A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69</TotalTime>
  <Pages>14</Pages>
  <Words>3797</Words>
  <Characters>21644</Characters>
  <Application>Microsoft Office Word</Application>
  <DocSecurity>0</DocSecurity>
  <Lines>180</Lines>
  <Paragraphs>50</Paragraphs>
  <ScaleCrop>false</ScaleCrop>
  <Company/>
  <LinksUpToDate>false</LinksUpToDate>
  <CharactersWithSpaces>25391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73</cp:revision>
  <dcterms:created xsi:type="dcterms:W3CDTF">2026-09-28T08:27:00Z</dcterms:created>
  <dcterms:modified xsi:type="dcterms:W3CDTF">2026-10-29T09:51:00Z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