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Pr>
          <w:noProof/>
          <w:lang w:val="en-GB"/>
        </w:rPr>
        <w:drawing>
          <wp:inline distT="0" distB="0" distL="0" distR="0" wp14:anchorId="35AA6594" wp14:editId="6E83F386">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Pr>
          <w:noProof/>
          <w:lang w:val="en-GB"/>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t>Enw'r ardal 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t>Enw'r ardal yma</w:t>
                      </w:r>
                    </w:p>
                  </w:txbxContent>
                </v:textbox>
              </v:shape>
            </w:pict>
          </mc:Fallback>
        </mc:AlternateContent>
      </w:r>
    </w:p>
    <w:p w14:paraId="767F2A60" w14:textId="77777777" w:rsidR="00F05510" w:rsidRDefault="00F05510" w:rsidP="00F05510">
      <w:pPr>
        <w:pStyle w:val="Heading1"/>
        <w:rPr>
          <w:rStyle w:val="IntenseReference"/>
          <w:b/>
          <w:bCs w:val="0"/>
          <w:smallCaps w:val="0"/>
          <w:color w:val="7030A0"/>
          <w:spacing w:val="0"/>
        </w:rPr>
      </w:pPr>
    </w:p>
    <w:p w14:paraId="595F95C0" w14:textId="2D3572BB" w:rsidR="003C0362" w:rsidRDefault="0067695D" w:rsidP="00F05510">
      <w:pPr>
        <w:pStyle w:val="Heading1"/>
        <w:ind w:left="567"/>
      </w:pPr>
      <w:r w:rsidRPr="00F05510">
        <w:rPr>
          <w:rStyle w:val="IntenseReference"/>
          <w:b/>
          <w:bCs w:val="0"/>
          <w:smallCaps w:val="0"/>
          <w:color w:val="7030A0"/>
          <w:spacing w:val="0"/>
        </w:rPr>
        <w:t>MAPPA Gwent</w:t>
      </w:r>
      <w:r w:rsidR="00F05510" w:rsidRPr="00F05510">
        <w:rPr>
          <w:rStyle w:val="IntenseReference"/>
          <w:b/>
          <w:bCs w:val="0"/>
          <w:smallCaps w:val="0"/>
          <w:color w:val="7030A0"/>
          <w:spacing w:val="0"/>
        </w:rPr>
        <w:t xml:space="preserve"> </w:t>
      </w:r>
      <w:r w:rsidR="00F05510" w:rsidRPr="00F05510">
        <w:t>Adroddiad Blynyddol 2025</w:t>
      </w:r>
      <w:r w:rsidR="00F05510">
        <w:t xml:space="preserve"> i </w:t>
      </w:r>
      <w:r w:rsidR="00F05510" w:rsidRPr="00F05510">
        <w:t>2026</w:t>
      </w:r>
    </w:p>
    <w:p w14:paraId="247164D1" w14:textId="77777777" w:rsidR="00F05510" w:rsidRPr="00F05510" w:rsidRDefault="00F05510" w:rsidP="00F05510"/>
    <w:p w14:paraId="3BD9C663" w14:textId="5447F899" w:rsidR="009311B4" w:rsidRPr="0069414D" w:rsidRDefault="003C0362" w:rsidP="00233AB5">
      <w:pPr>
        <w:pStyle w:val="Default"/>
        <w:rPr>
          <w:rFonts w:ascii="Arial" w:hAnsi="Arial" w:cs="Arial"/>
          <w:color w:val="7030A0"/>
          <w:sz w:val="68"/>
          <w:szCs w:val="68"/>
        </w:rPr>
      </w:pPr>
      <w:r>
        <w:rPr>
          <w:noProof/>
          <w:color w:val="7030A0"/>
          <w:lang w:val="en-GB"/>
        </w:rPr>
        <w:drawing>
          <wp:inline distT="0" distB="0" distL="0" distR="0" wp14:anchorId="5042E0A7" wp14:editId="5CEC6D2F">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F05510" w:rsidRDefault="00332EE6" w:rsidP="00F05510">
      <w:pPr>
        <w:pStyle w:val="Heading2"/>
      </w:pPr>
      <w:r w:rsidRPr="00F05510">
        <w:lastRenderedPageBreak/>
        <w:t>Cyflwyniad</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3C5DF92" w14:textId="77777777" w:rsidR="00332EE6" w:rsidRDefault="00332EE6" w:rsidP="00332EE6">
      <w:pPr>
        <w:pStyle w:val="Default"/>
        <w:rPr>
          <w:rFonts w:ascii="Arial" w:hAnsi="Arial" w:cs="Arial"/>
          <w:color w:val="FFFFFF"/>
          <w:sz w:val="20"/>
          <w:szCs w:val="20"/>
        </w:rPr>
      </w:pPr>
    </w:p>
    <w:p w14:paraId="0B3FA0A4" w14:textId="77777777" w:rsidR="003C5E71" w:rsidRDefault="003C5E71" w:rsidP="00332EE6">
      <w:pPr>
        <w:pStyle w:val="Default"/>
        <w:rPr>
          <w:rFonts w:ascii="Arial" w:hAnsi="Arial" w:cs="Arial"/>
          <w:color w:val="FFFFFF"/>
          <w:sz w:val="20"/>
          <w:szCs w:val="20"/>
        </w:rPr>
        <w:sectPr w:rsidR="003C5E71" w:rsidSect="00867C9E">
          <w:footerReference w:type="first" r:id="rId19"/>
          <w:pgSz w:w="11905" w:h="16837" w:code="9"/>
          <w:pgMar w:top="720" w:right="720" w:bottom="720" w:left="720" w:header="720" w:footer="567" w:gutter="0"/>
          <w:pgNumType w:start="1"/>
          <w:cols w:space="720"/>
          <w:noEndnote/>
          <w:titlePg/>
        </w:sectPr>
      </w:pPr>
    </w:p>
    <w:p w14:paraId="55C77702" w14:textId="77777777" w:rsidR="003C5E71" w:rsidRPr="00244A39" w:rsidRDefault="003C5E71" w:rsidP="003C5E71">
      <w:pPr>
        <w:pStyle w:val="NormalWeb"/>
        <w:spacing w:line="300" w:lineRule="atLeast"/>
        <w:rPr>
          <w:rFonts w:ascii="Arial" w:hAnsi="Arial" w:cs="Arial"/>
        </w:rPr>
      </w:pPr>
      <w:r>
        <w:rPr>
          <w:rFonts w:ascii="Arial" w:hAnsi="Arial"/>
        </w:rPr>
        <w:t>Braint yw cael cyfrannu at Adroddiad Blynyddol Trefniadau Amlasiantaethol ar gyfer Amddiffyn y Cyhoedd (MAPPA) 2025/26.</w:t>
      </w:r>
    </w:p>
    <w:p w14:paraId="602D7259" w14:textId="77777777" w:rsidR="003C5E71" w:rsidRPr="00244A39" w:rsidRDefault="003C5E71" w:rsidP="003C5E71">
      <w:pPr>
        <w:pStyle w:val="NormalWeb"/>
        <w:spacing w:line="300" w:lineRule="atLeast"/>
        <w:rPr>
          <w:rFonts w:ascii="Arial" w:hAnsi="Arial" w:cs="Arial"/>
        </w:rPr>
      </w:pPr>
      <w:r>
        <w:rPr>
          <w:rFonts w:ascii="Arial" w:hAnsi="Arial"/>
        </w:rPr>
        <w:t>Mae MAPPA yn parhau i chwarae rhan hollbwysig yn y gwaith o ddiogelu ein cymunedau drwy weithio’n effeithiol mewn partneriaeth. Cryfder MAPPA yw cyd-ymrwymiad y Gwasanaeth Prawf, yr Heddlu, y Gwasanaeth Carchardai, Gwasanaethau Iechyd, Awdurdodau Lleol, Darparwyr Tai, Gwasanaethau Cyfiawnder Ieuenctid a phartneriaid allweddol eraill, sydd i gyd yn gweithio gyda’i gilydd i reoli’r risgiau a berir gan y rhai sy’n cyflwyno’r potensial mwyaf ar gyfer niwed difrifol. Mae’r cyfrifoldeb cyffredin hwn yn parhau i fod yn hanfodol wrth gynnal hyder y cyhoedd a chefnogi cymunedau mwy diogel ledled Cymru.</w:t>
      </w:r>
    </w:p>
    <w:p w14:paraId="4A88AC61" w14:textId="77777777" w:rsidR="003C5E71" w:rsidRPr="00244A39" w:rsidRDefault="003C5E71" w:rsidP="003C5E71">
      <w:pPr>
        <w:pStyle w:val="NormalWeb"/>
        <w:spacing w:line="300" w:lineRule="atLeast"/>
        <w:rPr>
          <w:rFonts w:ascii="Arial" w:hAnsi="Arial" w:cs="Arial"/>
        </w:rPr>
      </w:pPr>
      <w:r>
        <w:rPr>
          <w:rFonts w:ascii="Arial" w:hAnsi="Arial"/>
        </w:rPr>
        <w:t>Dros y flwyddyn ddiwethaf, mae’r system cyfiawnder troseddol wedi parhau i esblygu wrth ymateb i alw cynyddol, cymhlethdod ac anghenion gwasanaeth sy’n newid. Drwy gydol y cyfnod hwn, mae partneriaethau MAPPA wedi dangos gwydnwch a phroffesiynoldeb ac wedi canolbwyntio ar ddiogelu’r cyhoedd. Mae gallu asiantaethau i rannu gwybodaeth, herio ei gilydd yn adeiladol a chydlynu cynlluniau cadarn i reoli risg yn parhau i fod yn rhan ganolog o ymarfer effeithiol.</w:t>
      </w:r>
      <w:r>
        <w:rPr>
          <w:rStyle w:val="xxxjie0"/>
          <w:rFonts w:ascii="Arial" w:hAnsi="Arial"/>
        </w:rPr>
        <w:t xml:space="preserve"> </w:t>
      </w:r>
    </w:p>
    <w:p w14:paraId="7849DC3A" w14:textId="77777777" w:rsidR="003C5E71" w:rsidRPr="00244A39" w:rsidRDefault="003C5E71" w:rsidP="003C5E71">
      <w:pPr>
        <w:pStyle w:val="NormalWeb"/>
        <w:spacing w:line="300" w:lineRule="atLeast"/>
        <w:rPr>
          <w:rFonts w:ascii="Arial" w:hAnsi="Arial" w:cs="Arial"/>
        </w:rPr>
      </w:pPr>
      <w:r>
        <w:rPr>
          <w:rFonts w:ascii="Arial" w:hAnsi="Arial"/>
        </w:rPr>
        <w:t xml:space="preserve">Eleni, mae datblygiadau sylweddol wedi digwydd ar draws y Gwasanaeth Prawf o ganlyniad i roi Rhaglen Gwasanaeth Prawf Ein Dyfodol (OFPS) ar waith. Mae’r diwygiadau hyn yn dwyn ynghyd newidiadau i drefniadau dedfrydu a rheoli troseddwyr, yn ogystal â dulliau goruchwylio newydd sy’n </w:t>
      </w:r>
      <w:r>
        <w:rPr>
          <w:rFonts w:ascii="Arial" w:hAnsi="Arial"/>
        </w:rPr>
        <w:t>cefnogi arferion mwy cyson a chymesur sy’n seiliedig ar dystiolaeth. Mae cyflwyno fframweithiau goruchwylio strwythuredig ac offer gwell i reoli risg, yn ogystal â thargedu’r adnoddau lle mae eu hangen fwyaf, yn cryfhau ein gallu ar y cyd i reoli risg yn effeithiol a diogelu’r cyhoedd ymhellach. Mae’r datblygiadau hyn yn atgyfnerthu pwysigrwydd gwaith cydweithio cryf rhwng sawl asiantaeth a’r rôl ganolog y mae MAPPA yn parhau i’w chwarae wrth oruchwylio a rheoli unigolion sy’n peri’r lefelau uchaf o risg.</w:t>
      </w:r>
    </w:p>
    <w:p w14:paraId="449298DA" w14:textId="77777777" w:rsidR="003C5E71" w:rsidRPr="00244A39" w:rsidRDefault="003C5E71" w:rsidP="003C5E71">
      <w:pPr>
        <w:pStyle w:val="NormalWeb"/>
        <w:spacing w:line="300" w:lineRule="atLeast"/>
        <w:rPr>
          <w:rFonts w:ascii="Arial" w:hAnsi="Arial" w:cs="Arial"/>
        </w:rPr>
      </w:pPr>
      <w:r>
        <w:rPr>
          <w:rFonts w:ascii="Arial" w:hAnsi="Arial"/>
        </w:rPr>
        <w:t>Mae’r adroddiad hefyd yn tynnu sylw at ba mor bwysig yw gwaith MAPPA yn ystod y cyfnod adrodd, ac yn rhoi cipolwg ar yr unigolion sy’n cael eu rheoli o dan y trefniadau hyn. Mae’r adroddiad hefyd yn dangos pa mor effeithiol yw cydweithio amlasiantaethol wrth ymateb i risg, mynd i’r afael ag ymddygiad troseddol a lleihau’r tebygolrwydd o niwed yn y dyfodol.</w:t>
      </w:r>
      <w:r>
        <w:rPr>
          <w:rStyle w:val="xxxjie0"/>
          <w:rFonts w:ascii="Arial" w:hAnsi="Arial"/>
        </w:rPr>
        <w:t xml:space="preserve"> </w:t>
      </w:r>
    </w:p>
    <w:p w14:paraId="46FEBFBB" w14:textId="77777777" w:rsidR="003C5E71" w:rsidRPr="00244A39" w:rsidRDefault="003C5E71" w:rsidP="003C5E71">
      <w:pPr>
        <w:pStyle w:val="NormalWeb"/>
        <w:spacing w:line="300" w:lineRule="atLeast"/>
        <w:rPr>
          <w:rFonts w:ascii="Arial" w:hAnsi="Arial" w:cs="Arial"/>
        </w:rPr>
      </w:pPr>
      <w:r>
        <w:rPr>
          <w:rFonts w:ascii="Arial" w:hAnsi="Arial"/>
        </w:rPr>
        <w:t>Wrth i ni edrych tua’r dyfodol, rydym ni wedi ymrwymo o hyd i ddysgu o ymarfer, croesawu arloesedd a chryfhau ein partneriaethau ymhellach. Er mwyn diogelu’r cyhoedd yn effeithiol ac atal niwed difrifol, mae angen perthnasoedd cryf, atebolrwydd a phenderfyniad ar y cyd. Mae ymroddiad parhaus ymarferwyr ac asiantaethau partner ledled Cymru yn dyst i bwysigrwydd y gwaith hwn.</w:t>
      </w:r>
      <w:r>
        <w:rPr>
          <w:rStyle w:val="xxxjie0"/>
          <w:rFonts w:ascii="Arial" w:hAnsi="Arial"/>
        </w:rPr>
        <w:t xml:space="preserve"> </w:t>
      </w:r>
    </w:p>
    <w:p w14:paraId="360E4F49" w14:textId="77777777" w:rsidR="003C5E71" w:rsidRPr="00244A39" w:rsidRDefault="003C5E71" w:rsidP="003C5E71">
      <w:pPr>
        <w:pStyle w:val="NormalWeb"/>
        <w:spacing w:line="300" w:lineRule="atLeast"/>
        <w:rPr>
          <w:rFonts w:ascii="Arial" w:hAnsi="Arial" w:cs="Arial"/>
        </w:rPr>
      </w:pPr>
      <w:r>
        <w:rPr>
          <w:rFonts w:ascii="Arial" w:hAnsi="Arial"/>
        </w:rPr>
        <w:t>Hoffwn ddiolch i bawb a fu’n ymwneud â gwaith MAPPA drwy gydol y flwyddyn. Mae eu proffesiynoldeb, eu harbenigedd a’u hymrwymiad yn cyfrannu’n sylweddol at y gwaith o ddiogelu’r cyhoedd a chefnogi cymunedau mwy diogel ledled Cymru.</w:t>
      </w:r>
      <w:r>
        <w:rPr>
          <w:rStyle w:val="xxxjie0"/>
          <w:rFonts w:ascii="Arial" w:hAnsi="Arial"/>
        </w:rPr>
        <w:t xml:space="preserve"> </w:t>
      </w:r>
    </w:p>
    <w:p w14:paraId="6585E4D2" w14:textId="77777777" w:rsidR="000A4EE9" w:rsidRDefault="000A4EE9" w:rsidP="000A4EE9">
      <w:pPr>
        <w:rPr>
          <w:rFonts w:cs="Arial"/>
          <w:b/>
          <w:bCs/>
        </w:rPr>
      </w:pPr>
    </w:p>
    <w:p w14:paraId="65A532F8" w14:textId="76965341" w:rsidR="003C5E71" w:rsidRDefault="003C5E71" w:rsidP="000A4EE9">
      <w:pPr>
        <w:rPr>
          <w:rFonts w:cs="Arial"/>
          <w:b/>
          <w:bCs/>
        </w:rPr>
      </w:pPr>
      <w:r>
        <w:rPr>
          <w:noProof/>
        </w:rPr>
        <w:lastRenderedPageBreak/>
        <w:drawing>
          <wp:anchor distT="0" distB="0" distL="114300" distR="114300" simplePos="0" relativeHeight="251660288" behindDoc="0" locked="0" layoutInCell="1" allowOverlap="1" wp14:anchorId="0004D1CA" wp14:editId="61D5A9CE">
            <wp:simplePos x="0" y="0"/>
            <wp:positionH relativeFrom="column">
              <wp:posOffset>0</wp:posOffset>
            </wp:positionH>
            <wp:positionV relativeFrom="paragraph">
              <wp:posOffset>316865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4EE36EF9" w14:textId="77777777" w:rsidR="003C5E71" w:rsidRDefault="003C5E71" w:rsidP="000A4EE9">
      <w:pPr>
        <w:rPr>
          <w:rFonts w:cs="Arial"/>
          <w:b/>
          <w:bCs/>
        </w:rPr>
      </w:pPr>
    </w:p>
    <w:p w14:paraId="593536B4" w14:textId="77777777" w:rsidR="003C5E71" w:rsidRDefault="003C5E71" w:rsidP="000A4EE9">
      <w:pPr>
        <w:rPr>
          <w:rFonts w:cs="Arial"/>
          <w:b/>
          <w:bCs/>
        </w:rPr>
      </w:pPr>
    </w:p>
    <w:p w14:paraId="007ECADC" w14:textId="77777777" w:rsidR="003C5E71" w:rsidRDefault="003C5E71" w:rsidP="000A4EE9">
      <w:pPr>
        <w:rPr>
          <w:rFonts w:cs="Arial"/>
          <w:b/>
          <w:bCs/>
        </w:rPr>
      </w:pPr>
    </w:p>
    <w:p w14:paraId="008500C9" w14:textId="77777777" w:rsidR="003C5E71" w:rsidRDefault="003C5E71" w:rsidP="000A4EE9">
      <w:pPr>
        <w:rPr>
          <w:rFonts w:cs="Arial"/>
          <w:b/>
          <w:bCs/>
        </w:rPr>
      </w:pPr>
    </w:p>
    <w:p w14:paraId="45A2FA69" w14:textId="77777777" w:rsidR="003C5E71" w:rsidRDefault="003C5E71" w:rsidP="000A4EE9">
      <w:pPr>
        <w:rPr>
          <w:b/>
        </w:rPr>
      </w:pPr>
    </w:p>
    <w:p w14:paraId="3A8B2594" w14:textId="77777777" w:rsidR="003C5E71" w:rsidRDefault="003C5E71" w:rsidP="000A4EE9">
      <w:pPr>
        <w:rPr>
          <w:b/>
        </w:rPr>
      </w:pPr>
    </w:p>
    <w:p w14:paraId="75A9AD4A" w14:textId="77777777" w:rsidR="003C5E71" w:rsidRDefault="003C5E71" w:rsidP="000A4EE9">
      <w:pPr>
        <w:rPr>
          <w:b/>
        </w:rPr>
      </w:pPr>
    </w:p>
    <w:p w14:paraId="5CA83470" w14:textId="072D7337" w:rsidR="000A4EE9" w:rsidRPr="0076174A" w:rsidRDefault="000A4EE9" w:rsidP="000A4EE9">
      <w:pPr>
        <w:rPr>
          <w:rFonts w:cs="Arial"/>
          <w:b/>
          <w:bCs/>
        </w:rPr>
      </w:pPr>
      <w:r>
        <w:rPr>
          <w:b/>
        </w:rPr>
        <w:t xml:space="preserve">Nicola Davies, </w:t>
      </w:r>
    </w:p>
    <w:p w14:paraId="3BF0A46C" w14:textId="77777777" w:rsidR="000A4EE9" w:rsidRPr="0076174A" w:rsidRDefault="000A4EE9" w:rsidP="000A4EE9">
      <w:pPr>
        <w:rPr>
          <w:rFonts w:cs="Arial"/>
        </w:rPr>
      </w:pPr>
      <w:r>
        <w:t>Cyfarwyddwr Gwasanaeth Prawf Rhanbarthol Cymru, Gwasanaeth Prawf Cymru</w:t>
      </w:r>
    </w:p>
    <w:p w14:paraId="5BCEF743" w14:textId="6B06DB2F"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3063A2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F5C664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A56017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6F28EE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14CF8F"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DB656A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DCDC49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2C6D92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2C0333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42132A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103E5E4"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8F080F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92FA8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E60E9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F03E7E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9D8F33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B19A85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1140D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E2B21D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A99886B"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39E88D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FFAEBB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71E043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49BD52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FFDD20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B78612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D9FD27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7A3045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C5575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02B9CA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805F02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E85C06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928AB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2D720C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EBB96B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1638B5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67FF0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ACEF67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F75310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7BBC1A0"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37A83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BD96F0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045AC54"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C6F5C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D7E8D9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693727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214AEF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2BF19B9"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0E9CF9E5"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A46428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9DB8AA2"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05DCC3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09237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B84A0D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EA9056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30E28C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6C3C916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6E8C0B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06A655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4BC5D5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ACD053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5F840E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54C1E61"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4E8900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6281467"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1DEAE01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9E2428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970EAB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FB0D113"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B92F9ED"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2738A4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BC2FDE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7FCE64A"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57D8F9DC"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742014F"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75B8A79E"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42B2E5F8"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596A386" w14:textId="77777777" w:rsidR="000A4EE9" w:rsidRDefault="000A4EE9" w:rsidP="00D97F1A">
      <w:pPr>
        <w:suppressAutoHyphens w:val="0"/>
        <w:autoSpaceDE/>
        <w:autoSpaceDN/>
        <w:adjustRightInd/>
        <w:spacing w:after="0" w:line="240" w:lineRule="auto"/>
        <w:textAlignment w:val="auto"/>
        <w:rPr>
          <w:rFonts w:eastAsia="Aptos" w:cs="Arial"/>
          <w:color w:val="auto"/>
          <w:lang w:eastAsia="en-US"/>
          <w14:ligatures w14:val="standardContextual"/>
        </w:rPr>
      </w:pPr>
    </w:p>
    <w:p w14:paraId="3E94201B" w14:textId="77777777" w:rsidR="003C5E71" w:rsidRDefault="003C5E71" w:rsidP="00D97F1A">
      <w:pPr>
        <w:suppressAutoHyphens w:val="0"/>
        <w:autoSpaceDE/>
        <w:autoSpaceDN/>
        <w:adjustRightInd/>
        <w:spacing w:after="0" w:line="240" w:lineRule="auto"/>
        <w:textAlignment w:val="auto"/>
        <w:rPr>
          <w:color w:val="auto"/>
        </w:rPr>
      </w:pPr>
    </w:p>
    <w:p w14:paraId="4CE40921" w14:textId="77777777" w:rsidR="003C5E71" w:rsidRDefault="003C5E71" w:rsidP="00D97F1A">
      <w:pPr>
        <w:suppressAutoHyphens w:val="0"/>
        <w:autoSpaceDE/>
        <w:autoSpaceDN/>
        <w:adjustRightInd/>
        <w:spacing w:after="0" w:line="240" w:lineRule="auto"/>
        <w:textAlignment w:val="auto"/>
        <w:rPr>
          <w:color w:val="auto"/>
        </w:rPr>
      </w:pPr>
    </w:p>
    <w:p w14:paraId="039B1C08" w14:textId="77777777" w:rsidR="003C5E71" w:rsidRDefault="003C5E71" w:rsidP="00D97F1A">
      <w:pPr>
        <w:suppressAutoHyphens w:val="0"/>
        <w:autoSpaceDE/>
        <w:autoSpaceDN/>
        <w:adjustRightInd/>
        <w:spacing w:after="0" w:line="240" w:lineRule="auto"/>
        <w:textAlignment w:val="auto"/>
        <w:rPr>
          <w:color w:val="auto"/>
        </w:rPr>
      </w:pPr>
    </w:p>
    <w:p w14:paraId="20DE997B" w14:textId="77777777" w:rsidR="00F05510" w:rsidRDefault="00F05510">
      <w:pPr>
        <w:suppressAutoHyphens w:val="0"/>
        <w:autoSpaceDE/>
        <w:autoSpaceDN/>
        <w:adjustRightInd/>
        <w:spacing w:after="0" w:line="240" w:lineRule="auto"/>
        <w:textAlignment w:val="auto"/>
        <w:rPr>
          <w:color w:val="auto"/>
        </w:rPr>
      </w:pPr>
      <w:r>
        <w:rPr>
          <w:color w:val="auto"/>
        </w:rPr>
        <w:br w:type="page"/>
      </w:r>
    </w:p>
    <w:p w14:paraId="45923067" w14:textId="5CE03859"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lastRenderedPageBreak/>
        <w:t>Fel Cadeirydd Bwrdd Rheoli Strategol Trefniadau Amlasiantaethol ar gyfer Amddiffyn y Cyhoedd Gwent (MAPPA), mae’n fraint gennyf gyflwyno Adroddiad Blynyddol 2025/26. Mae MAPPA yn parhau i chwarae rhan hollbwysig yn y gwaith o ddiogelu’r cyhoedd drwy reoli unigolion sy’n peri risg o niwed difrifol yn effeithiol, gan ddod â’r heddlu, y gwasanaeth prawf, gwasanaethau carchardai a’n partneriaid diogelu ehangach at ei gilydd i rannu’r cyfrifoldeb dros leihau risg ac atal niwed.</w:t>
      </w:r>
    </w:p>
    <w:p w14:paraId="1457C459"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Unwaith eto, nodweddwyd y flwyddyn ddiwethaf gan newid sylweddol a chynnydd yn y galw. Mae datblygiadau parhaus mewn polisi ac ymarfer cenedlaethol wedi ei gwneud yn ofynnol i bartneriaid barhau i ymateb ac addasu, tra bo cymhlethdod y risg sy’n cael ei rheoli ar draws ein cymunedau yn parhau i roi pwysau sylweddol ar wasanaethau. Mae’r heriau hyn yn bodoli ochr yn ochr â gofynion gweithredol ehangach, pwysau ar y gweithlu ac adnoddau, a disgwyliadau cynyddol ar draws y cyd-destun cyfiawnder troseddol a diogelu.</w:t>
      </w:r>
    </w:p>
    <w:p w14:paraId="06145783"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Yn y cyd-destun hwn, mae ymrwymiad parhaus ein partneriaid MAPPA wedi bod yn arbennig o bwysig. Mae diogelu’r cyhoedd yn effeithiol yn dibynnu ar asiantaethau’n cydweithio, yn rhannu gwybodaeth yn briodol, yn cyfrannu arbenigedd proffesiynol ac yn cynnal ffocws clir ar reoli risg. Rwy’n dal yn ddiolchgar am broffesiynoldeb ac ymrwymiad cydweithwyr ar draws ein holl sefydliadau partner statudol ac ehangach, yn enwedig ar adeg pan mae’r galw’n cynyddu ym mhob maes.</w:t>
      </w:r>
    </w:p>
    <w:p w14:paraId="556DF383"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Drwy gydol 2025/26, rydym wedi parhau i gryfhau ein dull o ymdrin ag atebolrwydd, llywodraethu ac ansawdd ymarfer MAPPA. Rydym yn dal i ganolbwyntio ar sicrhau bod rheoli risg yn gadarn, bod modd ei amddiffyn a’i gefnogi drwy rannu gwybodaeth yn effeithiol a dogfennau clir. Rydym hefyd yn cydnabod pwysigrwydd dysgu, ymarfer myfyriol a chraffu effeithiol wrth gefnogi gwelliant parhaus a sicrhau bod ein trefniadau’n parhau i ymateb i risgiau sy’n dod i’r amlwg a gofynion sy’n newid.</w:t>
      </w:r>
    </w:p>
    <w:p w14:paraId="7623C7E5"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 xml:space="preserve">Wrth i ni edrych ymlaen at 2026/27, rydym yn gwneud hynny gan gydnabod bod rhagor o newid a her yn anochel. Ein blaenoriaeth fydd </w:t>
      </w:r>
      <w:r>
        <w:rPr>
          <w:color w:val="auto"/>
        </w:rPr>
        <w:t>sicrhau bod MAPPA yng Ngwent yn parhau i fod yn gadarn ac yn ymatebol, gyda gwaith partneriaeth cryf wrth ei wraidd. Byddwn yn parhau i gryfhau llywodraethu ac atebolrwydd, meithrin cyfleoedd ar gyfer dysgu ar y cyd a cheisio gwneud y defnydd gorau o wybodaeth a dealltwriaeth i ddeall risg, nodi meysydd i’w gwella a chefnogi’r broses o wneud penderfyniadau effeithiol.</w:t>
      </w:r>
    </w:p>
    <w:p w14:paraId="55B89E31" w14:textId="77777777"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Yn bwysicaf oll, byddwn yn parhau i ganolbwyntio ar y cyd ar y diben sy’n dod â holl bartneriaid MAPPA at ei gilydd: diogelu’r cyhoedd, lleihau niwed difrifol a chefnogi cymunedau mwy diogel ledled Gwent.</w:t>
      </w:r>
    </w:p>
    <w:p w14:paraId="26999D56" w14:textId="6808B79A" w:rsidR="00D97F1A" w:rsidRPr="00D97F1A" w:rsidRDefault="00D97F1A" w:rsidP="00D97F1A">
      <w:pPr>
        <w:suppressAutoHyphens w:val="0"/>
        <w:autoSpaceDE/>
        <w:autoSpaceDN/>
        <w:adjustRightInd/>
        <w:spacing w:after="0" w:line="240" w:lineRule="auto"/>
        <w:textAlignment w:val="auto"/>
        <w:rPr>
          <w:rFonts w:eastAsia="Aptos" w:cs="Arial"/>
          <w:color w:val="auto"/>
          <w14:ligatures w14:val="standardContextual"/>
        </w:rPr>
      </w:pPr>
      <w:r>
        <w:rPr>
          <w:color w:val="auto"/>
        </w:rPr>
        <w:t>Hoffwn ddiolch i’n holl bartneriaid a chydweithwyr am eu hymroddiad, eu proffesiynoldeb a’u cyfraniad parhaus drwy gydol y flwyddyn ddiwethaf. Mae’r amgylchedd rydym yn gweithredu ynddo yn mynd yn fwyfwy heriol, ond mae cryfder ein partneriaeth a’n hymrwymiad ar y cyd i ddiogelu’r cyhoedd yn dal yn hanfodol er mwyn mynd i’r afael â’r heriau hynny.</w:t>
      </w:r>
    </w:p>
    <w:p w14:paraId="3023DFA5" w14:textId="164A052A" w:rsidR="00332EE6" w:rsidRDefault="00D97F1A" w:rsidP="00F05510">
      <w:pPr>
        <w:pStyle w:val="Style1"/>
      </w:pPr>
      <w:r>
        <w:rPr>
          <w:noProof/>
          <w:lang w:val="en-GB"/>
        </w:rPr>
        <w:drawing>
          <wp:inline distT="0" distB="0" distL="0" distR="0" wp14:anchorId="30B4E337" wp14:editId="65738029">
            <wp:extent cx="2019300" cy="2019300"/>
            <wp:effectExtent l="0" t="0" r="0" b="0"/>
            <wp:docPr id="11226807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80759"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p>
    <w:p w14:paraId="59D09D7B" w14:textId="77777777" w:rsidR="00D97F1A" w:rsidRPr="00174B07" w:rsidRDefault="00D97F1A" w:rsidP="00D97F1A">
      <w:r>
        <w:rPr>
          <w:b/>
        </w:rPr>
        <w:t>Cyflwyniad y Cadeirydd – Victoria Harris, Pennaeth PDU Gwent</w:t>
      </w:r>
    </w:p>
    <w:p w14:paraId="4ACB8B8A" w14:textId="77777777" w:rsidR="00D97F1A" w:rsidRPr="006A45B8" w:rsidRDefault="00D97F1A" w:rsidP="00F05510">
      <w:pPr>
        <w:pStyle w:val="Style1"/>
      </w:pPr>
    </w:p>
    <w:p w14:paraId="6B47882B" w14:textId="77777777" w:rsidR="00332EE6" w:rsidRPr="006A45B8" w:rsidRDefault="00332EE6" w:rsidP="00332EE6">
      <w:pPr>
        <w:pStyle w:val="MAPPA-Bodytext"/>
      </w:pPr>
      <w:r>
        <w:br w:type="column"/>
      </w: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33255E2" w14:textId="458EB520" w:rsidR="00332EE6" w:rsidRPr="0069414D" w:rsidRDefault="00332EE6" w:rsidP="009E4C33">
      <w:pPr>
        <w:pStyle w:val="Heading2"/>
      </w:pPr>
      <w:r>
        <w:t>Beth yw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9E4C33" w:rsidRDefault="00332EE6" w:rsidP="009E4C33">
      <w:pPr>
        <w:pStyle w:val="Heading3"/>
      </w:pPr>
      <w:r w:rsidRPr="009E4C33">
        <w:t>Cefndir MAPPA</w:t>
      </w:r>
    </w:p>
    <w:p w14:paraId="697B7DB2" w14:textId="5ACAD8C5" w:rsidR="00332EE6" w:rsidRPr="009E09E6" w:rsidRDefault="00332EE6" w:rsidP="00332EE6">
      <w:pPr>
        <w:pStyle w:val="MAPPA-Bodytext-numbered"/>
        <w:ind w:left="0" w:firstLine="0"/>
        <w:rPr>
          <w:sz w:val="22"/>
          <w:szCs w:val="24"/>
        </w:rPr>
      </w:pPr>
      <w:r w:rsidRPr="009E09E6">
        <w:rPr>
          <w:sz w:val="22"/>
        </w:rPr>
        <w:t xml:space="preserve">Cyfres o drefniadau yw MAPPA (Trefniadau Amlasiantaethol ar gyfer Amddiffyn y Cyhoedd) i reoli’r risg a gyflwynir </w:t>
      </w:r>
      <w:r w:rsidRPr="009E09E6">
        <w:rPr>
          <w:rStyle w:val="Strong"/>
          <w:sz w:val="22"/>
        </w:rPr>
        <w:t>gan</w:t>
      </w:r>
      <w:r w:rsidRPr="009E09E6">
        <w:rPr>
          <w:sz w:val="22"/>
        </w:rPr>
        <w:t xml:space="preserve"> y troseddwyr rhyw, terfysgaeth a threisgar gwaethaf (unigolion cymwys ar gyfer MAPPA) o dan ddarpariaethau rhannau 325 i 327B o Ddeddf Cyfiawnder Troseddol 2003.</w:t>
      </w:r>
    </w:p>
    <w:p w14:paraId="4191F8F2" w14:textId="77777777" w:rsidR="00332EE6" w:rsidRPr="009E09E6" w:rsidRDefault="00332EE6" w:rsidP="00332EE6">
      <w:pPr>
        <w:pStyle w:val="MAPPA-Bodytext-numbered"/>
        <w:ind w:left="0" w:firstLine="0"/>
        <w:rPr>
          <w:sz w:val="22"/>
          <w:szCs w:val="24"/>
        </w:rPr>
      </w:pPr>
      <w:r w:rsidRPr="009E09E6">
        <w:rPr>
          <w:sz w:val="22"/>
        </w:rPr>
        <w:t>Mae'n dod â'r Heddlu, y Gwasanaeth Prawf a'r Gwasanaeth Carchardai ym mhob un o'r 42 o ardaloedd yng Nghymru a Lloegr at ei gilydd o dan gorff sy'n cael ei alw'n Awdurdod Cyfrifol MAPPA.</w:t>
      </w:r>
    </w:p>
    <w:p w14:paraId="1808293E" w14:textId="7E1AEBC9" w:rsidR="00332EE6" w:rsidRPr="009E09E6" w:rsidRDefault="00332EE6" w:rsidP="00332EE6">
      <w:pPr>
        <w:pStyle w:val="MAPPA-Bodytext-numbered"/>
        <w:ind w:left="0" w:firstLine="0"/>
        <w:rPr>
          <w:sz w:val="22"/>
          <w:szCs w:val="24"/>
        </w:rPr>
      </w:pPr>
      <w:r w:rsidRPr="009E09E6">
        <w:rPr>
          <w:sz w:val="22"/>
        </w:rPr>
        <w:t>Mae gan nifer o asiantaethau eraill Ddyletswydd i Gydweithredu (DTC) gyda’r Awdurdod Cyfrifol. Mae'r rhain yn cynnwys y Gwasanaethau Cymdeithasol, Gwasanaethau Iechyd, Timau Troseddwyr Ifanc Lleol, Yr Adran Gwaith a Phensiynau, y Swyddfa Gartref, a’r Awdurdodau Addysg a Thai Lleol.</w:t>
      </w:r>
    </w:p>
    <w:p w14:paraId="0C22F463" w14:textId="40806DF9" w:rsidR="00332EE6" w:rsidRPr="009E09E6" w:rsidRDefault="00332369" w:rsidP="003F01A6">
      <w:pPr>
        <w:rPr>
          <w:sz w:val="22"/>
        </w:rPr>
      </w:pPr>
      <w:r w:rsidRPr="009E09E6">
        <w:rPr>
          <w:sz w:val="22"/>
        </w:rPr>
        <w:t xml:space="preserve">Y Byrddau Rheoli Strategol (SMBs) Lleol sy’n cynnwys uwch gynrychiolwyr o bob un o’r Awdurdodau Cyfrifol ac asiantaethau DTC sy’n gyfrifol am gyflwyno MAPPA yn eu hardaloedd. Mae’n ofynnol hefyd i’r Awdurdod Cyfrifol benodi dau Gynghorydd Lleyg i eistedd ar bob SMB MAPPA. </w:t>
      </w:r>
    </w:p>
    <w:p w14:paraId="34062AAB" w14:textId="2C5ADB9A" w:rsidR="00332EE6" w:rsidRPr="009E09E6" w:rsidRDefault="00332EE6" w:rsidP="00332EE6">
      <w:pPr>
        <w:pStyle w:val="MAPPA-Bodytext-numbered"/>
        <w:ind w:left="0" w:firstLine="0"/>
        <w:rPr>
          <w:sz w:val="22"/>
          <w:szCs w:val="24"/>
        </w:rPr>
      </w:pPr>
      <w:r w:rsidRPr="009E09E6">
        <w:rPr>
          <w:sz w:val="22"/>
        </w:rPr>
        <w:t>Mae’r Cynghorwyr Lleyg yn aelodau o’r cyhoedd a benodir gan y Gweinidog, sydd heb unrhyw gysylltiad â’r busnes o reoli unigolion cymwys ar gyfer MAPPA ac sy’n gweithredu fel arsylwyr annibynnol ond gwybodus; gallent ofyn cwestiynau na fyddai staff proffesiynol yn gweithio yn y maes yn meddwl eu gofyn. Maent hefyd yn cyfrannu eu dealltwriaeth a’u persbectif ar y gymuned leol at y SMB (mae'n rhaid bod ganddynt gysylltiadau cryf â'r gymuned leol a'u bod yn byw yno).</w:t>
      </w:r>
    </w:p>
    <w:p w14:paraId="5C721498" w14:textId="77777777" w:rsidR="009E4C33" w:rsidRDefault="009E4C33" w:rsidP="00F05510">
      <w:pPr>
        <w:pStyle w:val="Style1"/>
      </w:pPr>
    </w:p>
    <w:p w14:paraId="6B9FBE81" w14:textId="3CCB4064" w:rsidR="00332EE6" w:rsidRPr="006A45B8" w:rsidRDefault="00332EE6" w:rsidP="009E4C33">
      <w:pPr>
        <w:pStyle w:val="Heading3"/>
      </w:pPr>
      <w:r>
        <w:t>Sut mae MAPPA yn gweithio</w:t>
      </w:r>
    </w:p>
    <w:p w14:paraId="6A5C59A4" w14:textId="1BAF861E" w:rsidR="00332EE6" w:rsidRPr="009E09E6" w:rsidRDefault="00332EE6" w:rsidP="00332EE6">
      <w:pPr>
        <w:pStyle w:val="MAPPA-Bodytext"/>
        <w:rPr>
          <w:sz w:val="22"/>
          <w:szCs w:val="24"/>
        </w:rPr>
      </w:pPr>
      <w:r w:rsidRPr="009E09E6">
        <w:rPr>
          <w:sz w:val="22"/>
        </w:rPr>
        <w:t>Mae unigolion sy’n gymwys ar gyfer MAPPA yn cael eu pennu ac mae gwybodaeth amdanynt yn cael ei rhannu rhwng asiantaethau fel sail i asesiadau risg a chynlluniau rheoli risg y bobl sy’n eu rheoli neu eu goruchwylio.</w:t>
      </w:r>
    </w:p>
    <w:p w14:paraId="73E7CF4D" w14:textId="7F39BD4B" w:rsidR="00332EE6" w:rsidRPr="009E09E6" w:rsidRDefault="00332EE6" w:rsidP="00332EE6">
      <w:pPr>
        <w:pStyle w:val="MAPPA-Bodytext"/>
        <w:rPr>
          <w:sz w:val="22"/>
          <w:szCs w:val="24"/>
        </w:rPr>
      </w:pPr>
      <w:r w:rsidRPr="009E09E6">
        <w:rPr>
          <w:sz w:val="22"/>
        </w:rPr>
        <w:t>Dyna gyn belled ag y mae MAPPA yn mynd yn y rhan fwyaf o achosion. Ond, mewn rhai achosion, mae angen goruchwyliaeth ar lefel uwch a rheolaeth amlasiantaethol strwythuredig. Mewn achosion o'r fath, bydd ymarferwyr yr asiantaethau perthnasol yn mynychu cyfarfodydd rheolaidd MAPPA.</w:t>
      </w:r>
    </w:p>
    <w:p w14:paraId="1F08BE4D" w14:textId="5D2543D3" w:rsidR="00332EE6" w:rsidRPr="009E09E6" w:rsidRDefault="00332EE6" w:rsidP="00332EE6">
      <w:pPr>
        <w:pStyle w:val="MAPPA-Bodytext"/>
        <w:rPr>
          <w:sz w:val="22"/>
          <w:szCs w:val="24"/>
        </w:rPr>
      </w:pPr>
      <w:r w:rsidRPr="009E09E6">
        <w:rPr>
          <w:sz w:val="22"/>
        </w:rPr>
        <w:t xml:space="preserve">Mae pedwar categori o unigolyn sy'n gymwys ar gyfer MAPPA: </w:t>
      </w:r>
    </w:p>
    <w:p w14:paraId="2D79573B" w14:textId="71A34E32" w:rsidR="00332EE6" w:rsidRPr="009E09E6" w:rsidRDefault="00332EE6" w:rsidP="00332EE6">
      <w:pPr>
        <w:pStyle w:val="MAPPA-Bodytext"/>
        <w:numPr>
          <w:ilvl w:val="0"/>
          <w:numId w:val="1"/>
        </w:numPr>
        <w:rPr>
          <w:sz w:val="22"/>
          <w:szCs w:val="24"/>
        </w:rPr>
      </w:pPr>
      <w:r w:rsidRPr="009E09E6">
        <w:rPr>
          <w:b/>
          <w:bCs/>
          <w:sz w:val="22"/>
        </w:rPr>
        <w:t>Categori 1</w:t>
      </w:r>
      <w:r w:rsidRPr="009E09E6">
        <w:rPr>
          <w:sz w:val="22"/>
        </w:rPr>
        <w:t xml:space="preserve"> – yn amodol ar ofynion hysbys</w:t>
      </w:r>
      <w:r w:rsidR="00597713">
        <w:rPr>
          <w:sz w:val="22"/>
        </w:rPr>
        <w:t>u</w:t>
      </w:r>
      <w:r w:rsidRPr="009E09E6">
        <w:rPr>
          <w:sz w:val="22"/>
        </w:rPr>
        <w:t xml:space="preserve"> troseddwyr rhyw; </w:t>
      </w:r>
    </w:p>
    <w:p w14:paraId="2314424F" w14:textId="40A4B9D0" w:rsidR="00332EE6" w:rsidRPr="009E09E6" w:rsidRDefault="00332EE6" w:rsidP="00332EE6">
      <w:pPr>
        <w:pStyle w:val="MAPPA-Bodytext"/>
        <w:numPr>
          <w:ilvl w:val="0"/>
          <w:numId w:val="1"/>
        </w:numPr>
        <w:rPr>
          <w:sz w:val="22"/>
          <w:szCs w:val="24"/>
        </w:rPr>
      </w:pPr>
      <w:r w:rsidRPr="009E09E6">
        <w:rPr>
          <w:b/>
          <w:sz w:val="22"/>
        </w:rPr>
        <w:t>Categori 2</w:t>
      </w:r>
      <w:r w:rsidRPr="009E09E6">
        <w:rPr>
          <w:sz w:val="22"/>
        </w:rPr>
        <w:t xml:space="preserve"> – y rheini a gafwyd yn euog o droseddau treisgar yn bennaf ac sydd wedi eu dedfrydu i 12 mis neu fwy yn y carchar neu i orchymyn ysbyty; </w:t>
      </w:r>
    </w:p>
    <w:p w14:paraId="5B409C4D" w14:textId="0C56D331" w:rsidR="00332EE6" w:rsidRPr="009E09E6" w:rsidRDefault="00332EE6" w:rsidP="00332EE6">
      <w:pPr>
        <w:pStyle w:val="MAPPA-Bodytext"/>
        <w:numPr>
          <w:ilvl w:val="0"/>
          <w:numId w:val="1"/>
        </w:numPr>
        <w:rPr>
          <w:sz w:val="22"/>
          <w:szCs w:val="24"/>
        </w:rPr>
      </w:pPr>
      <w:r w:rsidRPr="009E09E6">
        <w:rPr>
          <w:b/>
          <w:sz w:val="22"/>
        </w:rPr>
        <w:t>Categori 3</w:t>
      </w:r>
      <w:r w:rsidRPr="009E09E6">
        <w:rPr>
          <w:sz w:val="22"/>
        </w:rPr>
        <w:t xml:space="preserve"> – troseddwyr nad ydynt yn gymwys o dan gategorïau 1, 2 na 4 ond y mae eu troseddau’n cyflwyno risg o niwed difrifol. </w:t>
      </w:r>
    </w:p>
    <w:p w14:paraId="4DE10BE9" w14:textId="7943CF6F" w:rsidR="009451A3" w:rsidRPr="009E09E6" w:rsidRDefault="009451A3" w:rsidP="00332EE6">
      <w:pPr>
        <w:pStyle w:val="MAPPA-Bodytext"/>
        <w:numPr>
          <w:ilvl w:val="0"/>
          <w:numId w:val="1"/>
        </w:numPr>
        <w:rPr>
          <w:sz w:val="22"/>
          <w:szCs w:val="24"/>
        </w:rPr>
      </w:pPr>
      <w:r w:rsidRPr="009E09E6">
        <w:rPr>
          <w:b/>
          <w:bCs/>
          <w:sz w:val="22"/>
        </w:rPr>
        <w:t>Categori 4</w:t>
      </w:r>
      <w:r w:rsidRPr="009E09E6">
        <w:rPr>
          <w:sz w:val="22"/>
        </w:rPr>
        <w:t xml:space="preserve"> – terfysgaeth a gafwyd yn euog ac unigolion sydd mewn perygl o derfysgaeth</w:t>
      </w:r>
    </w:p>
    <w:p w14:paraId="1DC760A5" w14:textId="77777777" w:rsidR="005C1E3D" w:rsidRPr="009E09E6" w:rsidRDefault="005C1E3D" w:rsidP="00332EE6">
      <w:pPr>
        <w:pStyle w:val="MAPPA-Bodytext"/>
        <w:rPr>
          <w:sz w:val="22"/>
          <w:szCs w:val="24"/>
        </w:rPr>
      </w:pPr>
      <w:r w:rsidRPr="009E09E6">
        <w:rPr>
          <w:sz w:val="22"/>
        </w:rPr>
        <w:t>Nid yw data ar unigolion Categori 4 wedi’i gynnwys yn yr adroddiad hwn oherwydd materion diogelu data sy’n ymwneud â niferoedd isel. Bydd y data hwn yn cael ei gyfuno a’i gyhoeddi’n genedlaethol.</w:t>
      </w:r>
    </w:p>
    <w:p w14:paraId="58B91A60" w14:textId="3B03D9CD" w:rsidR="00332EE6" w:rsidRPr="00B42B0D" w:rsidRDefault="00332EE6" w:rsidP="00332EE6">
      <w:pPr>
        <w:pStyle w:val="MAPPA-Bodytext"/>
        <w:rPr>
          <w:sz w:val="22"/>
          <w:szCs w:val="24"/>
        </w:rPr>
      </w:pPr>
      <w:r w:rsidRPr="009E09E6">
        <w:rPr>
          <w:sz w:val="22"/>
        </w:rPr>
        <w:t xml:space="preserve">Mae tair lefel o reolaeth i sicrhau bod yr adnoddau’n canolbwyntio ar yr achosion lle </w:t>
      </w:r>
      <w:r w:rsidRPr="00B42B0D">
        <w:rPr>
          <w:sz w:val="22"/>
        </w:rPr>
        <w:t xml:space="preserve">mae </w:t>
      </w:r>
      <w:r w:rsidRPr="00B42B0D">
        <w:rPr>
          <w:sz w:val="22"/>
        </w:rPr>
        <w:lastRenderedPageBreak/>
        <w:t xml:space="preserve">eu hangen fwyaf; fel arfer, y rheini sy’n peri risg uwch o niwed difrifol. </w:t>
      </w:r>
    </w:p>
    <w:p w14:paraId="5035BE00" w14:textId="301D59D6" w:rsidR="00332EE6" w:rsidRPr="00B42B0D" w:rsidRDefault="00332EE6" w:rsidP="00332EE6">
      <w:pPr>
        <w:pStyle w:val="MAPPA-Bodytext"/>
        <w:numPr>
          <w:ilvl w:val="0"/>
          <w:numId w:val="2"/>
        </w:numPr>
        <w:rPr>
          <w:sz w:val="22"/>
          <w:szCs w:val="24"/>
        </w:rPr>
      </w:pPr>
      <w:r w:rsidRPr="00B42B0D">
        <w:rPr>
          <w:b/>
          <w:bCs/>
          <w:sz w:val="22"/>
        </w:rPr>
        <w:t xml:space="preserve">Lefel 1 </w:t>
      </w:r>
      <w:r w:rsidRPr="00B42B0D">
        <w:rPr>
          <w:sz w:val="22"/>
        </w:rPr>
        <w:t xml:space="preserve">yw lle mae’r unigolyn yn cael ei reoli gan y brif asiantaeth drwy gyfnewid gwybodaeth a darparu </w:t>
      </w:r>
      <w:r w:rsidRPr="00B42B0D">
        <w:rPr>
          <w:b/>
          <w:bCs/>
          <w:sz w:val="22"/>
        </w:rPr>
        <w:t>cymorth amlasiantaethol</w:t>
      </w:r>
      <w:r w:rsidRPr="00B42B0D">
        <w:rPr>
          <w:sz w:val="22"/>
        </w:rPr>
        <w:t xml:space="preserve"> yn ôl yr angen ond heb gyfarfodydd MAPPA ffurfiol; </w:t>
      </w:r>
    </w:p>
    <w:p w14:paraId="38C6D9C5" w14:textId="250D4B6F" w:rsidR="00332EE6" w:rsidRPr="00B42B0D" w:rsidRDefault="00332EE6" w:rsidP="00332EE6">
      <w:pPr>
        <w:pStyle w:val="MAPPA-Bodytext"/>
        <w:numPr>
          <w:ilvl w:val="0"/>
          <w:numId w:val="2"/>
        </w:numPr>
        <w:rPr>
          <w:sz w:val="22"/>
          <w:szCs w:val="24"/>
        </w:rPr>
      </w:pPr>
      <w:r w:rsidRPr="00B42B0D">
        <w:rPr>
          <w:b/>
          <w:bCs/>
          <w:sz w:val="22"/>
        </w:rPr>
        <w:t>Lefel 2</w:t>
      </w:r>
      <w:r w:rsidRPr="00B42B0D">
        <w:rPr>
          <w:sz w:val="22"/>
        </w:rPr>
        <w:t xml:space="preserve"> yw lle mae angen cyfarfodydd MAPPA ffurfiol i reoli’r unigolyn. </w:t>
      </w:r>
    </w:p>
    <w:p w14:paraId="3F9D3741" w14:textId="353ACE21" w:rsidR="00332EE6" w:rsidRPr="00B42B0D" w:rsidRDefault="00332EE6" w:rsidP="00332EE6">
      <w:pPr>
        <w:pStyle w:val="MAPPA-Bodytext"/>
        <w:numPr>
          <w:ilvl w:val="0"/>
          <w:numId w:val="2"/>
        </w:numPr>
        <w:rPr>
          <w:sz w:val="22"/>
          <w:szCs w:val="24"/>
        </w:rPr>
      </w:pPr>
      <w:r w:rsidRPr="00B42B0D">
        <w:rPr>
          <w:b/>
          <w:sz w:val="22"/>
        </w:rPr>
        <w:t>Lefel 3</w:t>
      </w:r>
      <w:r w:rsidRPr="00B42B0D">
        <w:rPr>
          <w:sz w:val="22"/>
        </w:rPr>
        <w:t xml:space="preserve"> yw lle mae’r cynlluniau rheoli risg yn gofyn am bresenoldeb ac ymrwymiad adnoddau ar lefel uwch mewn cyfarfodydd MAPPA. </w:t>
      </w:r>
    </w:p>
    <w:p w14:paraId="3A1A7E49" w14:textId="77777777" w:rsidR="003C5E71" w:rsidRDefault="003C5E71" w:rsidP="00332EE6">
      <w:pPr>
        <w:pStyle w:val="MAPPA-Bodytext"/>
        <w:rPr>
          <w:sz w:val="22"/>
        </w:rPr>
      </w:pPr>
    </w:p>
    <w:p w14:paraId="38A66C75" w14:textId="2169F760" w:rsidR="002F66EC" w:rsidRPr="009E4C33" w:rsidRDefault="00332EE6" w:rsidP="302C0245">
      <w:pPr>
        <w:pStyle w:val="MAPPA-Bodytext"/>
        <w:rPr>
          <w:sz w:val="22"/>
          <w:szCs w:val="24"/>
        </w:rPr>
      </w:pPr>
      <w:r w:rsidRPr="00B42B0D">
        <w:rPr>
          <w:sz w:val="22"/>
        </w:rPr>
        <w:t xml:space="preserve">Cefnogir MAPPA gan ViSOR. System Technoleg Gwybodaeth genedlaethol yw hon i helpu i reoli unigolion sy’n cyflwyno risg ddifrifol o niwed i’r cyhoedd. Mae defnyddio ViSOR yn ei gwneud yn haws rhannu gwybodaeth ar draws sefydliadau a throsglwyddo gwybodaeth allweddol yn ddiogel pan fydd unigolion risg uchel yn symud rhwng ardaloedd, gan wella unrhyw fesurau diogelu'r cyhoedd. Mae ViSOR yn golygu bod staff yr Heddlu, y Gwasanaeth Prawf a Charchardai'n gallu gweithio ar yr un system TG, gan wella ansawdd a phrydlondeb asesiadau risg ac ymyriadau i atal troseddu. </w:t>
      </w:r>
    </w:p>
    <w:p w14:paraId="44E72049" w14:textId="58A1221C" w:rsidR="02428A1E" w:rsidRPr="00B42B0D" w:rsidRDefault="5E1FAAAF" w:rsidP="009E4C33">
      <w:pPr>
        <w:pStyle w:val="Heading3"/>
        <w:rPr>
          <w:sz w:val="18"/>
        </w:rPr>
      </w:pPr>
      <w:r w:rsidRPr="00B42B0D">
        <w:t>MAPPA ’25</w:t>
      </w:r>
      <w:r w:rsidRPr="00B42B0D">
        <w:rPr>
          <w:sz w:val="22"/>
        </w:rPr>
        <w:t xml:space="preserve"> </w:t>
      </w:r>
    </w:p>
    <w:p w14:paraId="6657B3A8" w14:textId="1BD70BC2" w:rsidR="02428A1E" w:rsidRPr="00B42B0D" w:rsidRDefault="02428A1E" w:rsidP="302C0245">
      <w:pPr>
        <w:pStyle w:val="MAPPA-Bodytext"/>
        <w:rPr>
          <w:sz w:val="22"/>
          <w:szCs w:val="24"/>
        </w:rPr>
      </w:pPr>
      <w:r w:rsidRPr="00B42B0D">
        <w:rPr>
          <w:sz w:val="22"/>
        </w:rPr>
        <w:t xml:space="preserve">Roedd 2025 yn nodi 25 mlynedd o’r ddeddfwriaeth a gyflwynodd gydweithrediad amlasiantaethol gorfodol am y tro cyntaf wrth reoli’r rhai a gafwyd yn euog o droseddau treisgar a rhywiol. </w:t>
      </w:r>
    </w:p>
    <w:p w14:paraId="52DFBE6B" w14:textId="5EFB41CA" w:rsidR="530464EC" w:rsidRDefault="530464EC">
      <w:r w:rsidRPr="00B42B0D">
        <w:rPr>
          <w:sz w:val="22"/>
        </w:rPr>
        <w:t>Drwy gydol y flwyddyn, cynhaliodd y Tîm MAPPA Cenedlaethol ddigwyddiadau ymgysylltu ar-lein i gynyddu ymwybyddiaeth a hyder yn MAPPA a gwella ymarfer MAPPA ar draws amrywiaeth eang o asiantaethau. Roedd y digwyddiadau’n ymdrin â phynciau gan gynnwys rheoli plant ac oedolion ifanc, rheoli risgiau terfysgol, dyneiddio MAPPA a gwerth partneriaethau carchar. Bu’r digwyddiadau ar-lein yn hynod lwyddiannus gyda mwy na 5,000 o weithwyr proffesiynol yn bresennol yn y digwyddiadau byw. Roedd Byrddau Rheoli Strategol (SMBs) lleol MAPPA hefyd wedi cynnal digwyddiadau i nodi’r 25 mlynedd, gan ddod â phartneriaid at ei gilydd i gryfhau trefniadau partneriaethol.</w:t>
      </w:r>
    </w:p>
    <w:p w14:paraId="1040A85F" w14:textId="77777777" w:rsidR="00FF0EFB" w:rsidRPr="003707FD" w:rsidRDefault="00FF0EFB" w:rsidP="00FF0EFB">
      <w:pPr>
        <w:pStyle w:val="MAPPA-Bodytext"/>
        <w:spacing w:line="240" w:lineRule="auto"/>
        <w:rPr>
          <w:sz w:val="32"/>
          <w:szCs w:val="32"/>
        </w:rPr>
      </w:pPr>
      <w:r w:rsidRPr="003707FD">
        <w:rPr>
          <w:sz w:val="24"/>
          <w:szCs w:val="28"/>
        </w:rPr>
        <w:t xml:space="preserve">Mae holl adroddiadau MAPPA Cymru a Lloegr yn cael eu </w:t>
      </w:r>
      <w:hyperlink r:id="rId22" w:history="1">
        <w:r w:rsidRPr="003707FD">
          <w:rPr>
            <w:rStyle w:val="Hyperlink"/>
            <w:rFonts w:cs="Arial"/>
            <w:sz w:val="24"/>
            <w:szCs w:val="28"/>
          </w:rPr>
          <w:t>cyhoeddi ar-lein ar GOV.UK</w:t>
        </w:r>
      </w:hyperlink>
      <w:r w:rsidRPr="003707FD">
        <w:rPr>
          <w:sz w:val="24"/>
          <w:szCs w:val="28"/>
        </w:rPr>
        <w:t>.</w:t>
      </w: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F05510">
      <w:pPr>
        <w:pStyle w:val="Heading1"/>
        <w:sectPr w:rsidR="009B7898" w:rsidSect="00867C9E">
          <w:footerReference w:type="default" r:id="rId23"/>
          <w:type w:val="continuous"/>
          <w:pgSz w:w="11905" w:h="16837" w:code="9"/>
          <w:pgMar w:top="720" w:right="720" w:bottom="720" w:left="720" w:header="720" w:footer="567" w:gutter="0"/>
          <w:cols w:space="720"/>
          <w:noEndnote/>
        </w:sectPr>
      </w:pPr>
    </w:p>
    <w:p w14:paraId="039BA6E9" w14:textId="77777777" w:rsidR="00332EE6" w:rsidRPr="0069414D" w:rsidRDefault="00332EE6" w:rsidP="009E4C33">
      <w:pPr>
        <w:pStyle w:val="Heading2"/>
      </w:pPr>
      <w:r>
        <w:lastRenderedPageBreak/>
        <w:t>Ystadegau MAPPA</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9E4C33">
      <w:pPr>
        <w:pStyle w:val="Heading3"/>
        <w:rPr>
          <w:szCs w:val="28"/>
        </w:rPr>
      </w:pPr>
      <w:r>
        <w:t>Unigolion sy'n gymwys ar gyfer MAPPA ar 31 Mawrth 2026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rPr>
            </w:pPr>
          </w:p>
        </w:tc>
        <w:tc>
          <w:tcPr>
            <w:tcW w:w="2185" w:type="dxa"/>
          </w:tcPr>
          <w:p w14:paraId="695974D0" w14:textId="452104AC" w:rsidR="006F27F5" w:rsidRPr="00523CF4" w:rsidRDefault="006F27F5"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1:</w:t>
            </w:r>
            <w:r>
              <w:rPr>
                <w:b w:val="0"/>
                <w:sz w:val="24"/>
              </w:rPr>
              <w:br/>
              <w:t>Yn amodol ar ofynion hysbysu troseddwyr rhyw</w:t>
            </w:r>
          </w:p>
        </w:tc>
        <w:tc>
          <w:tcPr>
            <w:tcW w:w="2186" w:type="dxa"/>
          </w:tcPr>
          <w:p w14:paraId="27E33B89" w14:textId="77777777" w:rsidR="006F27F5" w:rsidRPr="00523CF4" w:rsidRDefault="006F27F5"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2:</w:t>
            </w:r>
            <w:r>
              <w:rPr>
                <w:b w:val="0"/>
                <w:sz w:val="24"/>
              </w:rPr>
              <w:br/>
              <w:t>Troseddwyr</w:t>
            </w:r>
            <w:r>
              <w:rPr>
                <w:b w:val="0"/>
                <w:sz w:val="24"/>
              </w:rPr>
              <w:br/>
              <w:t>treisgar</w:t>
            </w:r>
          </w:p>
        </w:tc>
        <w:tc>
          <w:tcPr>
            <w:tcW w:w="2186" w:type="dxa"/>
          </w:tcPr>
          <w:p w14:paraId="536FC6CB" w14:textId="77777777" w:rsidR="006F27F5" w:rsidRPr="00523CF4" w:rsidRDefault="006F27F5"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3:</w:t>
            </w:r>
            <w:r>
              <w:rPr>
                <w:b w:val="0"/>
                <w:sz w:val="24"/>
              </w:rPr>
              <w:br/>
              <w:t>Troseddwyr peryglus eraill</w:t>
            </w:r>
          </w:p>
        </w:tc>
        <w:tc>
          <w:tcPr>
            <w:tcW w:w="2186" w:type="dxa"/>
          </w:tcPr>
          <w:p w14:paraId="022A334A" w14:textId="0E22E09D" w:rsidR="006F27F5" w:rsidRPr="00523CF4" w:rsidRDefault="006F27F5"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Cyfanswm</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rPr>
            </w:pPr>
            <w:r>
              <w:rPr>
                <w:b w:val="0"/>
                <w:sz w:val="24"/>
              </w:rPr>
              <w:t>Lefel 1</w:t>
            </w:r>
          </w:p>
        </w:tc>
        <w:tc>
          <w:tcPr>
            <w:tcW w:w="2185" w:type="dxa"/>
          </w:tcPr>
          <w:p w14:paraId="58BE43B8" w14:textId="671B8AD9"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877</w:t>
            </w:r>
          </w:p>
        </w:tc>
        <w:tc>
          <w:tcPr>
            <w:tcW w:w="2186" w:type="dxa"/>
          </w:tcPr>
          <w:p w14:paraId="1638E0FC" w14:textId="3F12055B"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184</w:t>
            </w:r>
          </w:p>
        </w:tc>
        <w:tc>
          <w:tcPr>
            <w:tcW w:w="2186" w:type="dxa"/>
          </w:tcPr>
          <w:p w14:paraId="1F1BCFAF" w14:textId="6CCE5A87"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w:t>
            </w:r>
          </w:p>
        </w:tc>
        <w:tc>
          <w:tcPr>
            <w:tcW w:w="2186" w:type="dxa"/>
          </w:tcPr>
          <w:p w14:paraId="08FB1F87" w14:textId="44B13748"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1,061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rPr>
            </w:pPr>
            <w:r>
              <w:rPr>
                <w:b w:val="0"/>
                <w:sz w:val="24"/>
              </w:rPr>
              <w:t>Lefel 2</w:t>
            </w:r>
          </w:p>
        </w:tc>
        <w:tc>
          <w:tcPr>
            <w:tcW w:w="2185" w:type="dxa"/>
          </w:tcPr>
          <w:p w14:paraId="23BFD270" w14:textId="4D5C49EF"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11</w:t>
            </w:r>
          </w:p>
        </w:tc>
        <w:tc>
          <w:tcPr>
            <w:tcW w:w="2186" w:type="dxa"/>
          </w:tcPr>
          <w:p w14:paraId="10F8D0CE" w14:textId="09455722"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11</w:t>
            </w:r>
          </w:p>
        </w:tc>
        <w:tc>
          <w:tcPr>
            <w:tcW w:w="2186" w:type="dxa"/>
          </w:tcPr>
          <w:p w14:paraId="346F3891" w14:textId="795A2330"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12</w:t>
            </w:r>
          </w:p>
        </w:tc>
        <w:tc>
          <w:tcPr>
            <w:tcW w:w="2186" w:type="dxa"/>
          </w:tcPr>
          <w:p w14:paraId="29D9E254" w14:textId="62520241"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rPr>
            </w:pPr>
            <w:r>
              <w:rPr>
                <w:b w:val="0"/>
                <w:sz w:val="24"/>
              </w:rPr>
              <w:t>Lefel 3</w:t>
            </w:r>
          </w:p>
        </w:tc>
        <w:tc>
          <w:tcPr>
            <w:tcW w:w="2185" w:type="dxa"/>
          </w:tcPr>
          <w:p w14:paraId="48775E9A" w14:textId="5DA29999"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26751848" w14:textId="41EB779F"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5314FEE" w14:textId="0158DDF7"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FD44C20" w14:textId="4947FFFB"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rPr>
            </w:pPr>
            <w:r>
              <w:rPr>
                <w:b w:val="0"/>
                <w:sz w:val="24"/>
              </w:rPr>
              <w:t>Cyfanswm</w:t>
            </w:r>
          </w:p>
        </w:tc>
        <w:tc>
          <w:tcPr>
            <w:tcW w:w="2185" w:type="dxa"/>
          </w:tcPr>
          <w:p w14:paraId="5425DA3C" w14:textId="2440803E"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888</w:t>
            </w:r>
          </w:p>
        </w:tc>
        <w:tc>
          <w:tcPr>
            <w:tcW w:w="2186" w:type="dxa"/>
          </w:tcPr>
          <w:p w14:paraId="4B320A3C" w14:textId="0CFE6833"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195</w:t>
            </w:r>
          </w:p>
        </w:tc>
        <w:tc>
          <w:tcPr>
            <w:tcW w:w="2186" w:type="dxa"/>
          </w:tcPr>
          <w:p w14:paraId="59BF82DA" w14:textId="157E72BC"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12</w:t>
            </w:r>
          </w:p>
        </w:tc>
        <w:tc>
          <w:tcPr>
            <w:tcW w:w="2186" w:type="dxa"/>
          </w:tcPr>
          <w:p w14:paraId="230BC3FB" w14:textId="261EBEAE" w:rsidR="006F27F5"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1,095</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9E4C33">
      <w:pPr>
        <w:pStyle w:val="Heading3"/>
        <w:rPr>
          <w:szCs w:val="28"/>
        </w:rPr>
      </w:pPr>
      <w:r>
        <w:t>Troseddwyr sy'n gymwys ar gyfer MAPPA – Lefelau 2 a 3 yn ôl categori (cyfanswm blynyddol)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rPr>
            </w:pPr>
          </w:p>
        </w:tc>
        <w:tc>
          <w:tcPr>
            <w:tcW w:w="2185" w:type="dxa"/>
          </w:tcPr>
          <w:p w14:paraId="63700176" w14:textId="79D46B9E" w:rsidR="00AA3E8E" w:rsidRPr="00523CF4" w:rsidRDefault="00AA3E8E"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1:</w:t>
            </w:r>
            <w:r>
              <w:rPr>
                <w:b w:val="0"/>
                <w:sz w:val="24"/>
              </w:rPr>
              <w:br/>
              <w:t>Yn amodol ar ofynion hysbysu troseddwyr rhyw</w:t>
            </w:r>
          </w:p>
        </w:tc>
        <w:tc>
          <w:tcPr>
            <w:tcW w:w="2186" w:type="dxa"/>
          </w:tcPr>
          <w:p w14:paraId="5AF50998" w14:textId="77777777" w:rsidR="00AA3E8E" w:rsidRPr="00523CF4" w:rsidRDefault="00AA3E8E"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2:</w:t>
            </w:r>
            <w:r>
              <w:rPr>
                <w:b w:val="0"/>
                <w:sz w:val="24"/>
              </w:rPr>
              <w:br/>
              <w:t>Troseddwyr</w:t>
            </w:r>
            <w:r>
              <w:rPr>
                <w:b w:val="0"/>
                <w:sz w:val="24"/>
              </w:rPr>
              <w:br/>
              <w:t>treisgar</w:t>
            </w:r>
          </w:p>
        </w:tc>
        <w:tc>
          <w:tcPr>
            <w:tcW w:w="2186" w:type="dxa"/>
          </w:tcPr>
          <w:p w14:paraId="057E047C" w14:textId="77777777" w:rsidR="00AA3E8E" w:rsidRPr="00523CF4" w:rsidRDefault="00AA3E8E"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Categori 3:</w:t>
            </w:r>
            <w:r>
              <w:rPr>
                <w:b w:val="0"/>
                <w:sz w:val="24"/>
              </w:rPr>
              <w:br/>
              <w:t>Troseddwyr peryglus eraill</w:t>
            </w:r>
          </w:p>
        </w:tc>
        <w:tc>
          <w:tcPr>
            <w:tcW w:w="2186" w:type="dxa"/>
          </w:tcPr>
          <w:p w14:paraId="4E7EAA9D" w14:textId="6285795A" w:rsidR="00AA3E8E" w:rsidRPr="00523CF4" w:rsidRDefault="00AA3E8E" w:rsidP="009E4C3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r>
              <w:rPr>
                <w:b w:val="0"/>
                <w:sz w:val="24"/>
              </w:rPr>
              <w:t>Cyfanswm</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rPr>
            </w:pPr>
            <w:r>
              <w:rPr>
                <w:b w:val="0"/>
                <w:sz w:val="24"/>
              </w:rPr>
              <w:t>Lefel 2</w:t>
            </w:r>
          </w:p>
        </w:tc>
        <w:tc>
          <w:tcPr>
            <w:tcW w:w="2185" w:type="dxa"/>
          </w:tcPr>
          <w:p w14:paraId="1F693B88" w14:textId="1C498AC4"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31</w:t>
            </w:r>
          </w:p>
        </w:tc>
        <w:tc>
          <w:tcPr>
            <w:tcW w:w="2186" w:type="dxa"/>
          </w:tcPr>
          <w:p w14:paraId="231D96FE" w14:textId="32529F8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51</w:t>
            </w:r>
          </w:p>
        </w:tc>
        <w:tc>
          <w:tcPr>
            <w:tcW w:w="2186" w:type="dxa"/>
          </w:tcPr>
          <w:p w14:paraId="413645CC" w14:textId="57F573E2"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58</w:t>
            </w:r>
          </w:p>
        </w:tc>
        <w:tc>
          <w:tcPr>
            <w:tcW w:w="2186" w:type="dxa"/>
          </w:tcPr>
          <w:p w14:paraId="5A206D70" w14:textId="3C10BE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140</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rPr>
            </w:pPr>
            <w:r>
              <w:rPr>
                <w:b w:val="0"/>
                <w:sz w:val="24"/>
              </w:rPr>
              <w:t>Lefel 3</w:t>
            </w:r>
          </w:p>
        </w:tc>
        <w:tc>
          <w:tcPr>
            <w:tcW w:w="2185" w:type="dxa"/>
          </w:tcPr>
          <w:p w14:paraId="3001AA60" w14:textId="1A810011"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w:t>
            </w:r>
          </w:p>
        </w:tc>
        <w:tc>
          <w:tcPr>
            <w:tcW w:w="2186" w:type="dxa"/>
          </w:tcPr>
          <w:p w14:paraId="4AF1F0B4" w14:textId="61EC511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tcW w:w="2186" w:type="dxa"/>
          </w:tcPr>
          <w:p w14:paraId="3EABFC56" w14:textId="41F07D35"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w:t>
            </w:r>
          </w:p>
        </w:tc>
        <w:tc>
          <w:tcPr>
            <w:tcW w:w="2186" w:type="dxa"/>
          </w:tcPr>
          <w:p w14:paraId="66FC4C00" w14:textId="4C48A8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10</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rPr>
            </w:pPr>
            <w:r>
              <w:rPr>
                <w:b w:val="0"/>
                <w:sz w:val="24"/>
              </w:rPr>
              <w:t>Cyfanswm</w:t>
            </w:r>
          </w:p>
        </w:tc>
        <w:tc>
          <w:tcPr>
            <w:tcW w:w="2185" w:type="dxa"/>
          </w:tcPr>
          <w:p w14:paraId="2B2248EB" w14:textId="1C9EF11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38</w:t>
            </w:r>
          </w:p>
        </w:tc>
        <w:tc>
          <w:tcPr>
            <w:tcW w:w="2186" w:type="dxa"/>
          </w:tcPr>
          <w:p w14:paraId="5D543B3B" w14:textId="13666BD0"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52</w:t>
            </w:r>
          </w:p>
        </w:tc>
        <w:tc>
          <w:tcPr>
            <w:tcW w:w="2186" w:type="dxa"/>
          </w:tcPr>
          <w:p w14:paraId="03713ACD" w14:textId="0FBEABFE"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60</w:t>
            </w:r>
          </w:p>
        </w:tc>
        <w:tc>
          <w:tcPr>
            <w:tcW w:w="2186" w:type="dxa"/>
          </w:tcPr>
          <w:p w14:paraId="29E98152" w14:textId="7F35238C" w:rsidR="00AA3E8E" w:rsidRPr="00523CF4" w:rsidRDefault="0067695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150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9E4C33">
            <w:r>
              <w:t>Categori 1 wedi cael rhybudd am dorri'r gofynion hysbysu</w:t>
            </w:r>
          </w:p>
        </w:tc>
        <w:tc>
          <w:tcPr>
            <w:tcW w:w="2086" w:type="dxa"/>
          </w:tcPr>
          <w:p w14:paraId="764C61A1" w14:textId="34A1B728" w:rsidR="00332EE6"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9E4C33">
            <w:r>
              <w:t>Categori 1 wedi eu canfod yn euog o dorri'r gofynion hysbysu</w:t>
            </w:r>
          </w:p>
        </w:tc>
        <w:tc>
          <w:tcPr>
            <w:tcW w:w="2086" w:type="dxa"/>
          </w:tcPr>
          <w:p w14:paraId="169D2F63" w14:textId="7DE62BDE" w:rsidR="00052623"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16</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9E4C33">
            <w:r>
              <w:t xml:space="preserve">Categori 1 lle penderfynwyd diddymu eu gofyniad hysbysu gydol oes drwy wneud cais </w:t>
            </w:r>
          </w:p>
        </w:tc>
        <w:tc>
          <w:tcPr>
            <w:tcW w:w="2113" w:type="dxa"/>
          </w:tcPr>
          <w:p w14:paraId="4CFE77A5" w14:textId="022DED98" w:rsidR="00332EE6"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9E4C33">
      <w:pPr>
        <w:pStyle w:val="Heading3"/>
        <w:rPr>
          <w:szCs w:val="28"/>
        </w:rPr>
      </w:pPr>
      <w:r>
        <w:t>Gorchmynion cyfyngu ar gyfer troseddwyr Categori 1</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rPr>
            </w:pPr>
            <w:r>
              <w:rPr>
                <w:sz w:val="24"/>
              </w:rPr>
              <w:t>Gorchmynion Atal Niwed Rhywiol (SHPO)</w:t>
            </w:r>
          </w:p>
        </w:tc>
        <w:tc>
          <w:tcPr>
            <w:tcW w:w="2096" w:type="dxa"/>
          </w:tcPr>
          <w:p w14:paraId="381A6CA1" w14:textId="2E7F0AB3"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85</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rPr>
            </w:pPr>
            <w:r>
              <w:rPr>
                <w:sz w:val="24"/>
              </w:rPr>
              <w:t>SHPO gyda chyfyngiad ar fynd dramor</w:t>
            </w:r>
          </w:p>
        </w:tc>
        <w:tc>
          <w:tcPr>
            <w:tcW w:w="2096" w:type="dxa"/>
          </w:tcPr>
          <w:p w14:paraId="2A0225E7" w14:textId="5ACA3A1C"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rPr>
            </w:pPr>
            <w:r>
              <w:rPr>
                <w:sz w:val="24"/>
              </w:rPr>
              <w:t>Gorchymyn Hysbysu</w:t>
            </w:r>
          </w:p>
        </w:tc>
        <w:tc>
          <w:tcPr>
            <w:tcW w:w="2096" w:type="dxa"/>
          </w:tcPr>
          <w:p w14:paraId="022D0B7D" w14:textId="1B243025" w:rsidR="00A231D9" w:rsidRPr="00523CF4" w:rsidRDefault="0067695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9E4C33">
            <w:r>
              <w:t xml:space="preserve">Nifer yr unigolion a ddaeth yn destun gofynion hysbysu troseddwr rhyw yn dilyn torri Gorchymyn Risg Rhywiol (SRO) </w:t>
            </w:r>
          </w:p>
        </w:tc>
        <w:tc>
          <w:tcPr>
            <w:tcW w:w="2113" w:type="dxa"/>
          </w:tcPr>
          <w:p w14:paraId="61A0E328" w14:textId="5657CB77" w:rsidR="00332EE6" w:rsidRPr="00523CF4"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64BFE535" w14:textId="77777777" w:rsidR="00595C55" w:rsidRDefault="00595C55" w:rsidP="003F01A6"/>
    <w:p w14:paraId="78E4FAD4" w14:textId="540AB58C" w:rsidR="00D6369A" w:rsidRPr="00D6369A" w:rsidRDefault="00D6369A" w:rsidP="009E4C33">
      <w:pPr>
        <w:pStyle w:val="Heading3"/>
        <w:rPr>
          <w:szCs w:val="28"/>
        </w:rPr>
      </w:pPr>
      <w:r>
        <w:t>Unigolion Lefelau 2 a 3 sydd wedi dychwelyd i'r ddalfa</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rPr>
            </w:pPr>
            <w:r>
              <w:rPr>
                <w:b w:val="0"/>
                <w:sz w:val="24"/>
              </w:rPr>
              <w:t>Dychwelyd i’r ddalfa am dorri amodau trwydded</w:t>
            </w:r>
          </w:p>
        </w:tc>
        <w:tc>
          <w:tcPr>
            <w:tcW w:w="2185" w:type="dxa"/>
          </w:tcPr>
          <w:p w14:paraId="7413D478" w14:textId="3158D9AC" w:rsidR="00AA3E8E" w:rsidRPr="00523CF4" w:rsidRDefault="00AA3E8E" w:rsidP="009E4C33">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1:</w:t>
            </w:r>
            <w:r>
              <w:rPr>
                <w:sz w:val="24"/>
              </w:rPr>
              <w:br/>
              <w:t>Yn amodol ar ofynion hysbysu</w:t>
            </w:r>
          </w:p>
        </w:tc>
        <w:tc>
          <w:tcPr>
            <w:tcW w:w="2186" w:type="dxa"/>
          </w:tcPr>
          <w:p w14:paraId="37CAFD40" w14:textId="77777777" w:rsidR="00AA3E8E" w:rsidRPr="00523CF4" w:rsidRDefault="00AA3E8E" w:rsidP="009E4C33">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2:</w:t>
            </w:r>
            <w:r>
              <w:rPr>
                <w:sz w:val="24"/>
              </w:rPr>
              <w:br/>
              <w:t>Troseddwyr</w:t>
            </w:r>
            <w:r>
              <w:rPr>
                <w:sz w:val="24"/>
              </w:rPr>
              <w:br/>
              <w:t>treisgar</w:t>
            </w:r>
          </w:p>
        </w:tc>
        <w:tc>
          <w:tcPr>
            <w:tcW w:w="2186" w:type="dxa"/>
          </w:tcPr>
          <w:p w14:paraId="01624B42" w14:textId="77777777" w:rsidR="00AA3E8E" w:rsidRPr="00523CF4" w:rsidRDefault="00AA3E8E" w:rsidP="009E4C33">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r>
              <w:rPr>
                <w:sz w:val="24"/>
              </w:rPr>
              <w:t>Categori 3:</w:t>
            </w:r>
            <w:r>
              <w:rPr>
                <w:sz w:val="24"/>
              </w:rPr>
              <w:br/>
              <w:t>Troseddwyr peryglus eraill</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9E4C33">
            <w:pPr>
              <w:pStyle w:val="StyleMAPPA-TabletextBold"/>
              <w:rPr>
                <w:sz w:val="24"/>
                <w:szCs w:val="24"/>
              </w:rPr>
            </w:pPr>
            <w:r>
              <w:rPr>
                <w:sz w:val="24"/>
              </w:rPr>
              <w:t>Cyfanswm</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rPr>
            </w:pPr>
            <w:r>
              <w:rPr>
                <w:b w:val="0"/>
                <w:sz w:val="24"/>
              </w:rPr>
              <w:t>Lefel 2</w:t>
            </w:r>
          </w:p>
        </w:tc>
        <w:tc>
          <w:tcPr>
            <w:tcW w:w="2185" w:type="dxa"/>
          </w:tcPr>
          <w:p w14:paraId="2AA5C817" w14:textId="01256DC6"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4</w:t>
            </w:r>
          </w:p>
        </w:tc>
        <w:tc>
          <w:tcPr>
            <w:tcW w:w="2186" w:type="dxa"/>
          </w:tcPr>
          <w:p w14:paraId="34F9E68F" w14:textId="01A24812"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15</w:t>
            </w:r>
          </w:p>
        </w:tc>
        <w:tc>
          <w:tcPr>
            <w:tcW w:w="2186" w:type="dxa"/>
          </w:tcPr>
          <w:p w14:paraId="720ECB5F" w14:textId="1DC0477E"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6846824" w:rsidR="00AA3E8E" w:rsidRPr="00523CF4" w:rsidRDefault="0067695D" w:rsidP="00B06F75">
            <w:pPr>
              <w:pStyle w:val="MAPPA-Tabletext"/>
              <w:jc w:val="right"/>
              <w:rPr>
                <w:b w:val="0"/>
                <w:bCs w:val="0"/>
                <w:sz w:val="24"/>
                <w:szCs w:val="24"/>
              </w:rPr>
            </w:pPr>
            <w:r>
              <w:rPr>
                <w:b w:val="0"/>
                <w:sz w:val="24"/>
              </w:rPr>
              <w:t>32</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rPr>
            </w:pPr>
            <w:r>
              <w:rPr>
                <w:b w:val="0"/>
                <w:sz w:val="24"/>
              </w:rPr>
              <w:t>Lefel 3</w:t>
            </w:r>
          </w:p>
        </w:tc>
        <w:tc>
          <w:tcPr>
            <w:tcW w:w="2185" w:type="dxa"/>
          </w:tcPr>
          <w:p w14:paraId="19A6985D" w14:textId="13F0FABB"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tcW w:w="2186" w:type="dxa"/>
          </w:tcPr>
          <w:p w14:paraId="272FF4F7" w14:textId="49B38642"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tcW w:w="2186" w:type="dxa"/>
          </w:tcPr>
          <w:p w14:paraId="75D55EA6" w14:textId="44F8C468" w:rsidR="00AA3E8E" w:rsidRPr="00523CF4" w:rsidRDefault="0067695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09BF4EF" w:rsidR="00AA3E8E" w:rsidRPr="00523CF4" w:rsidRDefault="0067695D" w:rsidP="00B06F75">
            <w:pPr>
              <w:pStyle w:val="MAPPA-Tabletext"/>
              <w:jc w:val="right"/>
              <w:rPr>
                <w:b w:val="0"/>
                <w:bCs w:val="0"/>
                <w:sz w:val="24"/>
                <w:szCs w:val="24"/>
              </w:rPr>
            </w:pPr>
            <w:r>
              <w:rPr>
                <w:b w:val="0"/>
                <w:sz w:val="24"/>
              </w:rPr>
              <w:t>3</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rPr>
            </w:pPr>
            <w:r>
              <w:rPr>
                <w:b w:val="0"/>
                <w:sz w:val="24"/>
              </w:rPr>
              <w:t>Cyfanswm</w:t>
            </w:r>
          </w:p>
        </w:tc>
        <w:tc>
          <w:tcPr>
            <w:tcW w:w="2185" w:type="dxa"/>
          </w:tcPr>
          <w:p w14:paraId="553CCAF1" w14:textId="1ECF9B73"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5</w:t>
            </w:r>
          </w:p>
        </w:tc>
        <w:tc>
          <w:tcPr>
            <w:tcW w:w="2186" w:type="dxa"/>
          </w:tcPr>
          <w:p w14:paraId="184256C5" w14:textId="372C3DD5"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16</w:t>
            </w:r>
          </w:p>
        </w:tc>
        <w:tc>
          <w:tcPr>
            <w:tcW w:w="2186" w:type="dxa"/>
          </w:tcPr>
          <w:p w14:paraId="44078787" w14:textId="391B5AE2" w:rsidR="00AA3E8E" w:rsidRPr="00523CF4" w:rsidRDefault="0067695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14</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FC334C7" w:rsidR="00AA3E8E" w:rsidRPr="00523CF4" w:rsidRDefault="0067695D" w:rsidP="00B06F75">
            <w:pPr>
              <w:pStyle w:val="MAPPA-Tabletext"/>
              <w:jc w:val="right"/>
              <w:rPr>
                <w:b w:val="0"/>
                <w:bCs w:val="0"/>
                <w:sz w:val="24"/>
                <w:szCs w:val="24"/>
              </w:rPr>
            </w:pPr>
            <w:r>
              <w:rPr>
                <w:b w:val="0"/>
                <w:sz w:val="24"/>
              </w:rPr>
              <w:t>35</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rPr>
            </w:pPr>
            <w:r>
              <w:rPr>
                <w:b w:val="0"/>
                <w:sz w:val="24"/>
              </w:rPr>
              <w:t>Torri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rPr>
            </w:pPr>
            <w:r>
              <w:rPr>
                <w:b w:val="0"/>
                <w:sz w:val="24"/>
              </w:rPr>
              <w:t>Lefel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ECC8545" w:rsidR="00FA3513" w:rsidRPr="00523CF4" w:rsidRDefault="0067695D" w:rsidP="00316362">
            <w:pPr>
              <w:pStyle w:val="MAPPA-Tabletext"/>
              <w:jc w:val="right"/>
              <w:rPr>
                <w:b w:val="0"/>
                <w:bCs w:val="0"/>
                <w:sz w:val="24"/>
                <w:szCs w:val="24"/>
              </w:rPr>
            </w:pPr>
            <w:r>
              <w:rPr>
                <w:b w:val="0"/>
                <w:sz w:val="24"/>
              </w:rPr>
              <w:t>2</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rPr>
            </w:pPr>
            <w:r>
              <w:rPr>
                <w:b w:val="0"/>
                <w:sz w:val="24"/>
              </w:rPr>
              <w:t>Lefel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57216CC6" w:rsidR="00FA3513" w:rsidRPr="00523CF4" w:rsidRDefault="0067695D" w:rsidP="00316362">
            <w:pPr>
              <w:pStyle w:val="MAPPA-Tabletext"/>
              <w:jc w:val="right"/>
              <w:rPr>
                <w:b w:val="0"/>
                <w:bCs w:val="0"/>
                <w:sz w:val="24"/>
                <w:szCs w:val="24"/>
              </w:rPr>
            </w:pPr>
            <w:r>
              <w:rPr>
                <w:b w:val="0"/>
                <w:sz w:val="24"/>
              </w:rPr>
              <w:t>1</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rPr>
            </w:pPr>
            <w:r>
              <w:rPr>
                <w:b w:val="0"/>
                <w:sz w:val="24"/>
              </w:rPr>
              <w:t>Cyfanswm</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3856D76C" w:rsidR="00FA3513" w:rsidRPr="00523CF4" w:rsidRDefault="0067695D" w:rsidP="00316362">
            <w:pPr>
              <w:pStyle w:val="MAPPA-Tabletext"/>
              <w:jc w:val="right"/>
              <w:rPr>
                <w:b w:val="0"/>
                <w:bCs w:val="0"/>
                <w:sz w:val="24"/>
                <w:szCs w:val="24"/>
              </w:rPr>
            </w:pPr>
            <w:r>
              <w:rPr>
                <w:b w:val="0"/>
                <w:sz w:val="24"/>
              </w:rPr>
              <w:t>3</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9E4C33">
            <w:r>
              <w:t>Cyfanswm nifer yr unigolion sy’n destun gofynion hysbysu troseddwyr rhyw fesul 100,000 o’r boblogaeth</w:t>
            </w:r>
          </w:p>
        </w:tc>
        <w:tc>
          <w:tcPr>
            <w:tcW w:w="2113" w:type="dxa"/>
          </w:tcPr>
          <w:p w14:paraId="08702378" w14:textId="61C67732" w:rsidR="00332EE6" w:rsidRPr="004265C9" w:rsidRDefault="0067695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165</w:t>
            </w:r>
          </w:p>
        </w:tc>
      </w:tr>
    </w:tbl>
    <w:p w14:paraId="07E10B6F" w14:textId="77777777" w:rsidR="00332EE6" w:rsidRPr="001F3FB5" w:rsidRDefault="00332EE6" w:rsidP="003F01A6"/>
    <w:p w14:paraId="1BAD0327" w14:textId="65FE60B3" w:rsidR="00C7230A" w:rsidRPr="00C7230A" w:rsidRDefault="00626C9F" w:rsidP="003F01A6">
      <w:r>
        <w:t>Mae'r ffigur hwn wedi’i gyfrifo gan ddefnyddio'r amcangyfrifon o'r boblogaeth trigolion ganol 2025, a gyhoeddwyd gan y Swyddfa Ystadegau Gwladol ar 30 Gorffennaf 2026, ac eithrio plant iau na 10 mlwydd oed.</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9E4C33">
      <w:pPr>
        <w:pStyle w:val="Heading2"/>
      </w:pPr>
      <w:r>
        <w:lastRenderedPageBreak/>
        <w:t>Esboniad o’r tablau ystadegol</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9E4C33">
      <w:pPr>
        <w:pStyle w:val="Heading3"/>
      </w:pPr>
      <w:r>
        <w:t>Cefndir MAPPA</w:t>
      </w:r>
    </w:p>
    <w:p w14:paraId="465B1916" w14:textId="53502994" w:rsidR="00332EE6" w:rsidRPr="00B510E5" w:rsidRDefault="00332EE6" w:rsidP="00332EE6">
      <w:pPr>
        <w:pStyle w:val="MAPPA-Bodytext"/>
        <w:rPr>
          <w:sz w:val="24"/>
          <w:szCs w:val="24"/>
        </w:rPr>
      </w:pPr>
      <w:r>
        <w:rPr>
          <w:sz w:val="24"/>
        </w:rPr>
        <w:t>Mae cyfanswm r unigolion sy’n gymwys ar gyfer MAPPA, yn ôl categori, yn adlewyrchu’r darlun ar 31 Mawrth 2026 (hynny yw, maent yn rhoi cipolwg). Mae gweddill y data yn berthnasol i'r cyfnod rhwng 1 Ebrill 2025 a 31 Mawrth 2026.</w:t>
      </w:r>
    </w:p>
    <w:p w14:paraId="2FDE30CB" w14:textId="4446B526" w:rsidR="00332EE6" w:rsidRPr="00B510E5" w:rsidRDefault="00332EE6" w:rsidP="00332EE6">
      <w:pPr>
        <w:pStyle w:val="MAPPA-Bodytext"/>
        <w:rPr>
          <w:sz w:val="24"/>
          <w:szCs w:val="24"/>
        </w:rPr>
      </w:pPr>
      <w:r>
        <w:rPr>
          <w:rStyle w:val="Style3Char"/>
          <w:sz w:val="24"/>
        </w:rPr>
        <w:t>(a) Unigolion sy’n gymwys ar gyfer MAPPA</w:t>
      </w:r>
      <w:r>
        <w:rPr>
          <w:color w:val="7030A0"/>
          <w:sz w:val="24"/>
        </w:rPr>
        <w:t xml:space="preserve"> </w:t>
      </w:r>
      <w:r>
        <w:rPr>
          <w:sz w:val="24"/>
        </w:rPr>
        <w:t>– mae’r gyfraith yn diffinio unigolion fel rhai sy’n gymwys i gael eu rheoli gan MAPPA oherwydd eu bod wedi cyflawni troseddau rhywiol, treisgar neu derfysgol penodol neu eu bod ar hyn o bryd yn peri risg o niwed difrifol. Rheolir y rhan fwyaf ar Lefel 1 heb gyfarfodydd MAPPA ffurfiol. Mae’r ffigurau hyn yn cynnwys dim ond yr unigolion sy’n gymwys ar gyfer MAPPA ac sy’n byw yn y gymuned. Nid ydynt yn cynnwys rhai sydd yn y carchar neu dan glo o dan y Ddeddf Iechyd Meddwl.</w:t>
      </w:r>
    </w:p>
    <w:p w14:paraId="7A02A061" w14:textId="1BB5AAFC" w:rsidR="00332EE6" w:rsidRPr="00B510E5" w:rsidRDefault="00332EE6" w:rsidP="00332EE6">
      <w:pPr>
        <w:pStyle w:val="MAPPA-Bodytext"/>
        <w:rPr>
          <w:sz w:val="24"/>
          <w:szCs w:val="24"/>
        </w:rPr>
      </w:pPr>
      <w:r>
        <w:rPr>
          <w:rStyle w:val="Style3Char"/>
          <w:sz w:val="24"/>
        </w:rPr>
        <w:t>(b) Unigolion sy’n destun Gofynion Hysbysu Troseddwr rhyw</w:t>
      </w:r>
      <w:r>
        <w:rPr>
          <w:color w:val="7030A0"/>
          <w:sz w:val="24"/>
        </w:rPr>
        <w:t xml:space="preserve"> </w:t>
      </w:r>
      <w:r>
        <w:rPr>
          <w:sz w:val="24"/>
        </w:rPr>
        <w:t>– sef y rhai sydd angen hysbysu’r heddlu ynghylch eu henw, cyfeiriad a manylion personol eraill a rhoi gwybod iddynt am unrhyw newidiadau sy’n digwydd wedyn (sef y “gofyniad hysbysu.”) Mae’r unigolion hyn yn cael eu hasesu a’u rheoli gan yr heddlu. Gallant hefyd gael eu rheoli gan y gwasanaeth prawf, cyfiawnder ieuenctid neu’r gwasanaeth iechyd os ydynt yn destun trwydded neu orchymyn ysbyty. Mae methu â chydymffurfio â’r gofyniad hysbysu’n drosedd sy’n arwain at uchafswm cosb o bum mlynedd yn y carchar.</w:t>
      </w:r>
    </w:p>
    <w:p w14:paraId="51CF91C3" w14:textId="65106FDD" w:rsidR="00332EE6" w:rsidRPr="00B510E5" w:rsidRDefault="00332EE6" w:rsidP="00332EE6">
      <w:pPr>
        <w:pStyle w:val="MAPPA-Bodytext"/>
        <w:rPr>
          <w:sz w:val="24"/>
          <w:szCs w:val="24"/>
        </w:rPr>
      </w:pPr>
      <w:r>
        <w:rPr>
          <w:rStyle w:val="Style3Char"/>
          <w:sz w:val="24"/>
        </w:rPr>
        <w:t>(c) Troseddwyr Treisgar</w:t>
      </w:r>
      <w:r>
        <w:rPr>
          <w:color w:val="7030A0"/>
          <w:sz w:val="24"/>
        </w:rPr>
        <w:t xml:space="preserve"> </w:t>
      </w:r>
      <w:r>
        <w:rPr>
          <w:sz w:val="24"/>
        </w:rPr>
        <w:t xml:space="preserve">– unigolion a gafwyd yn euog o droseddau treisgar a ddedfrydwyd i garchar neu a gadwyd dan glo am 12 mis neu fwy, neu a gadwyd dan orchymyn ysbyty a nifer fach o unigolion a gafwyd yn euog o droseddau rhywiol nad ydynt yn ddarostyngedig i ofynion hysbysu. </w:t>
      </w:r>
      <w:r>
        <w:rPr>
          <w:sz w:val="24"/>
        </w:rPr>
        <w:t xml:space="preserve">Mae’r unigolion hyn yn cael eu hasesu a’u rheoli gan y Gwasanaeth Prawf, y Gwasanaeth Cyfiawnder Ieuenctid neu’r Gwasanaethau Iechyd Meddwl. </w:t>
      </w:r>
    </w:p>
    <w:p w14:paraId="2317CEAB" w14:textId="1BC1C01C" w:rsidR="00332EE6" w:rsidRDefault="00332EE6" w:rsidP="00332EE6">
      <w:pPr>
        <w:pStyle w:val="MAPPA-Bodytext"/>
        <w:rPr>
          <w:sz w:val="24"/>
          <w:szCs w:val="24"/>
        </w:rPr>
      </w:pPr>
      <w:r>
        <w:rPr>
          <w:rStyle w:val="Style3Char"/>
          <w:sz w:val="24"/>
        </w:rPr>
        <w:t>(d) Troseddwyr Peryglus Eraill</w:t>
      </w:r>
      <w:r>
        <w:rPr>
          <w:color w:val="7030A0"/>
          <w:sz w:val="24"/>
        </w:rPr>
        <w:t xml:space="preserve"> </w:t>
      </w:r>
      <w:r>
        <w:rPr>
          <w:sz w:val="24"/>
        </w:rPr>
        <w:t>– unigolion nad ydynt yn gymwys o dan y ddau gategori cymwys eraill ar gyfer MAPPA ond sy’n cyflwyno risg o niwed difrifol sydd angen ei reoli drwy gyfarfodydd MAPPA. Mae’r troseddwyr hyn yn cael eu hasesu a’u rheoli gan ba bynnag asiantaeth sy’n bennaf gyfrifol amdanynt.</w:t>
      </w:r>
    </w:p>
    <w:p w14:paraId="2B7BA79B" w14:textId="5F0340F6" w:rsidR="00441413" w:rsidRPr="00B510E5" w:rsidRDefault="00441413" w:rsidP="00332EE6">
      <w:pPr>
        <w:pStyle w:val="MAPPA-Bodytext"/>
        <w:rPr>
          <w:sz w:val="24"/>
          <w:szCs w:val="24"/>
        </w:rPr>
      </w:pPr>
      <w:r>
        <w:rPr>
          <w:rStyle w:val="Style3Char"/>
          <w:sz w:val="24"/>
        </w:rPr>
        <w:t>(e) Troseddwyr Risg Terfysgaeth a Therfysgaeth</w:t>
      </w:r>
      <w:r>
        <w:rPr>
          <w:color w:val="7030A0"/>
          <w:sz w:val="24"/>
        </w:rPr>
        <w:t xml:space="preserve"> </w:t>
      </w:r>
      <w:r>
        <w:rPr>
          <w:sz w:val="24"/>
        </w:rPr>
        <w:t xml:space="preserve">– unigolion sy’n ddarostyngedig i ofynion hysbysu troseddwyr terfysgaeth; unigolion a gafwyd yn euog o derfysgaeth, neu droseddau sy’n ymwneud â therfysgaeth, a ddedfrydwyd i garchar neu eu cadw dan glo am 12 mis neu fwy, neu a gafodd eu cadw dan orchymyn ysbyty; a’r unigolion sydd wedi cyflawni trosedd ac a allai fod mewn perygl o gymryd rhan mewn gweithgarwch sy’n gysylltiedig â therfysgaeth. Mae’r unigolion hyn yn cael eu hasesu a’u rheoli gan yr Heddlu Gwrthderfysgaeth ac Adran Diogelwch Cenedlaethol y Gwasanaeth Prawf. </w:t>
      </w:r>
    </w:p>
    <w:p w14:paraId="378631D4" w14:textId="0E133D83" w:rsidR="007C00E4" w:rsidRPr="009E4C33" w:rsidRDefault="00332EE6" w:rsidP="00332EE6">
      <w:pPr>
        <w:pStyle w:val="MAPPA-Bodytext"/>
        <w:rPr>
          <w:sz w:val="24"/>
        </w:rPr>
      </w:pPr>
      <w:r>
        <w:rPr>
          <w:rStyle w:val="Style3Char"/>
          <w:sz w:val="24"/>
        </w:rPr>
        <w:t xml:space="preserve">(f) Torri </w:t>
      </w:r>
      <w:r w:rsidR="00CF5C27">
        <w:rPr>
          <w:rStyle w:val="Style3Char"/>
          <w:sz w:val="24"/>
        </w:rPr>
        <w:t xml:space="preserve">Amodau </w:t>
      </w:r>
      <w:r>
        <w:rPr>
          <w:rStyle w:val="Style3Char"/>
          <w:sz w:val="24"/>
        </w:rPr>
        <w:t>Trwydded</w:t>
      </w:r>
      <w:r>
        <w:rPr>
          <w:color w:val="7030A0"/>
          <w:sz w:val="24"/>
        </w:rPr>
        <w:t xml:space="preserve"> </w:t>
      </w:r>
      <w:r>
        <w:rPr>
          <w:sz w:val="24"/>
        </w:rPr>
        <w:t>– bydd unigolion sy’n cael eu rhyddhau i’r gymuned ar ôl cyfnod yn y carchar yn cael eu rhoi ar drwydded gydag amodau (o dan oruchwyliaeth y gwasanaeth prawf). Os nad yw’r unigolyn yn cydymffurfio â’r amodau hyn, bydd y Gwasanaeth Prawf yn cymryd camau tor-amod a gall yr unigolyn gael ei alw’n ôl i’r carchar.</w:t>
      </w:r>
    </w:p>
    <w:p w14:paraId="7BD23C9F" w14:textId="236D43D0" w:rsidR="00332EE6" w:rsidRPr="00B510E5" w:rsidRDefault="00332EE6" w:rsidP="00332EE6">
      <w:pPr>
        <w:pStyle w:val="MAPPA-Bodytext"/>
        <w:rPr>
          <w:sz w:val="24"/>
          <w:szCs w:val="24"/>
        </w:rPr>
      </w:pPr>
      <w:r>
        <w:rPr>
          <w:rStyle w:val="Style3Char"/>
          <w:sz w:val="24"/>
        </w:rPr>
        <w:t>(g) Gorchymyn Atal Niwed Rhywiol (SHPO) (gan gynnwys unrhyw gyfyngiad ychwanegol ar fynd dramor).</w:t>
      </w:r>
      <w:r>
        <w:rPr>
          <w:b/>
          <w:color w:val="7030A0"/>
          <w:sz w:val="24"/>
        </w:rPr>
        <w:t xml:space="preserve"> </w:t>
      </w:r>
      <w:r>
        <w:rPr>
          <w:sz w:val="24"/>
        </w:rPr>
        <w:t xml:space="preserve">Bwriad Gorchmynion Atal Niwed Rhywiol (SHPO) ac SHPOs dros dro yw diogelu’r cyhoedd rhag unigolion a gafwyd yn euog o drosedd rhywiol </w:t>
      </w:r>
      <w:r>
        <w:rPr>
          <w:sz w:val="24"/>
        </w:rPr>
        <w:lastRenderedPageBreak/>
        <w:t>neu dreisgar sy’n peri risg o niwed rhywiol i’r cyhoedd, drwy osod cyfyngiadau a/neu rwymedigaethau cadarnhaol ar eu hymddygiad. Maent yn gofyn bod yr unigolyn yn rhoi ei fanylion i’r heddlu (yn unol â Rhan 2 o Ddeddf 2003) drwy gydol cyfnod y gorchymyn.</w:t>
      </w:r>
    </w:p>
    <w:p w14:paraId="4B6C928D" w14:textId="16994397" w:rsidR="00332EE6" w:rsidRPr="00B510E5" w:rsidRDefault="00332EE6" w:rsidP="00332EE6">
      <w:pPr>
        <w:pStyle w:val="MAPPA-Bodytext"/>
        <w:rPr>
          <w:sz w:val="24"/>
          <w:szCs w:val="24"/>
        </w:rPr>
      </w:pPr>
      <w:r>
        <w:rPr>
          <w:sz w:val="24"/>
        </w:rPr>
        <w:t>Rhaid i’r llys fod yn fodlon yn ôl pwysau tebygolrwydd bod angen y gorchymyn i warchod y cyhoedd (neu unrhyw aelodau penodol o'r cyhoedd) yn y DU, neu blant neu oedolion agored i niwed (neu unrhyw blant neu oedolion agored i niwed penodol) dramor, rhag niwed rhywiol gan y troseddwr. Yn achos gorchymyn a wneir ar gais annibynnol gan Brif Swyddog Heddlu neu’r Asiantaeth Droseddu Genedlaethol (NCA), yr Heddlu Trafnidiaeth Prydeinig (BTP), neu’r Heddlu’r Weinyddiaeth Amddiffyn (MODP), rhaid i’r prif swyddog/NCA/ BTP/MODP ddangos bod yr unigolyn wedi ymddwyn yn y fath fodd ers ei gael yn euog fel bod angen y gorchymyn.</w:t>
      </w:r>
    </w:p>
    <w:p w14:paraId="1F3F0F8E" w14:textId="77777777" w:rsidR="00332EE6" w:rsidRPr="00B510E5" w:rsidRDefault="00332EE6" w:rsidP="00332EE6">
      <w:pPr>
        <w:pStyle w:val="MAPPA-Bodytext"/>
        <w:rPr>
          <w:sz w:val="24"/>
          <w:szCs w:val="24"/>
        </w:rPr>
      </w:pPr>
      <w:r>
        <w:rPr>
          <w:sz w:val="24"/>
        </w:rPr>
        <w:t>Y cyfnod lleiaf ar gyfer gorchymyn llawn yw pum mlynedd. Yr isafswm oed yw deg, sef oed cyfrifoldeb troseddol, ond lle mae’r diffynnydd o dan 18 oed dylid ond ystyried cais am orchymyn mewn amgylchiadau eithriadol.</w:t>
      </w:r>
    </w:p>
    <w:p w14:paraId="51447661" w14:textId="6BABDDE5" w:rsidR="00332EE6" w:rsidRPr="00B510E5" w:rsidRDefault="00332EE6" w:rsidP="00332EE6">
      <w:pPr>
        <w:pStyle w:val="MAPPA-Bodytext"/>
        <w:rPr>
          <w:sz w:val="24"/>
          <w:szCs w:val="24"/>
        </w:rPr>
      </w:pPr>
      <w:r>
        <w:rPr>
          <w:rStyle w:val="Style3Char"/>
          <w:sz w:val="24"/>
        </w:rPr>
        <w:t>(h) Gorchymyn Hysbysu</w:t>
      </w:r>
      <w:r>
        <w:rPr>
          <w:color w:val="7030A0"/>
          <w:sz w:val="24"/>
        </w:rPr>
        <w:t xml:space="preserve"> </w:t>
      </w:r>
      <w:r>
        <w:rPr>
          <w:sz w:val="24"/>
        </w:rPr>
        <w:t>– lle mae angen i unigolion a gafwyd yn euog o gyflawni troseddau rhywiol dramor gofrestru â’r heddlu er mwyn diogelu'r cyhoedd yn y DU rhag y risg a gyflwynir ganddynt. Gall yr heddlu yng Nghymru a Lloegr roi gorchymyn hysbysu’n uniongyrchol i droseddwr sydd eisoes yn y DU neu sy’n bwriadu dod i’r DU ac sy’n gorfod hysbysu o fewn tri diwrnod i’w dderbyn. Mae gan unigolion hawl i apelio yn erbyn hysbysiad.</w:t>
      </w:r>
    </w:p>
    <w:p w14:paraId="47C6A86B" w14:textId="410C39CE" w:rsidR="00332EE6" w:rsidRPr="00B52CDC" w:rsidRDefault="00332EE6" w:rsidP="003F01A6">
      <w:pPr>
        <w:pStyle w:val="Style3"/>
        <w:rPr>
          <w:b w:val="0"/>
          <w:bCs/>
          <w:color w:val="auto"/>
          <w:sz w:val="24"/>
          <w:szCs w:val="24"/>
        </w:rPr>
      </w:pPr>
      <w:r>
        <w:rPr>
          <w:sz w:val="24"/>
        </w:rPr>
        <w:t xml:space="preserve">(i) Gorchymyn Risg Rhywiol (gan gynnwys unrhyw gyfyngiad ychwanegol ar deithio dramor </w:t>
      </w:r>
      <w:r>
        <w:rPr>
          <w:b w:val="0"/>
          <w:color w:val="auto"/>
          <w:sz w:val="24"/>
        </w:rPr>
        <w:t xml:space="preserve">– gellir gwneud y Gorchymyn Risg Rhywiol (SRO) am unigolyn sydd heb ei gael yn euog o drosedd rywiol neu dreisgar (nac unrhyw drosedd arall) ond sy'n cyflwyno risg o niwed rhywiol. </w:t>
      </w:r>
    </w:p>
    <w:p w14:paraId="1DC09C6F" w14:textId="08C6BF9B" w:rsidR="00332EE6" w:rsidRPr="00B510E5" w:rsidRDefault="00332EE6" w:rsidP="00B510E5">
      <w:pPr>
        <w:pStyle w:val="Default"/>
        <w:spacing w:after="240" w:line="260" w:lineRule="exact"/>
        <w:rPr>
          <w:rFonts w:ascii="Arial" w:hAnsi="Arial" w:cs="Arial"/>
        </w:rPr>
      </w:pPr>
      <w:r>
        <w:rPr>
          <w:rFonts w:ascii="Arial" w:hAnsi="Arial"/>
        </w:rPr>
        <w:t xml:space="preserve">Gall y SRO gael ei wneud mewn llys ynadon ar gais yr heddlu, NCA, BTP neu’r MODP lle mae unigolyn wedi cyflawni gweithred o natur rywiol ac mae’r llys yn fodlon bod yr unigolyn </w:t>
      </w:r>
      <w:r>
        <w:rPr>
          <w:rFonts w:ascii="Arial" w:hAnsi="Arial"/>
        </w:rPr>
        <w:t>yn cyflwyno risg o niwed i’r cyhoedd yn y DU neu i blant neu oedolion agored i niwed dramor.</w:t>
      </w:r>
    </w:p>
    <w:p w14:paraId="46501F2F" w14:textId="6F504256" w:rsidR="00332EE6" w:rsidRPr="00B510E5" w:rsidRDefault="00332EE6" w:rsidP="00B510E5">
      <w:pPr>
        <w:pStyle w:val="Default"/>
        <w:spacing w:after="240" w:line="260" w:lineRule="exact"/>
        <w:rPr>
          <w:rFonts w:ascii="Arial" w:hAnsi="Arial" w:cs="Arial"/>
        </w:rPr>
      </w:pPr>
      <w:r>
        <w:rPr>
          <w:rFonts w:ascii="Arial" w:hAnsi="Arial"/>
        </w:rPr>
        <w:t xml:space="preserve">Gall SRO wahardd yr unigolyn rhag gwneud unrhyw beth a ddisgrifir ynddo, gan gynnwys teithio dramor, neu osod rhwymedigaethau cadarnhaol arno. Rhaid i unrhyw waharddiad a/neu rwymedigaeth fod yn angenrheidiol i warchod y cyhoedd yn y DU rhag niwed rhywiol, neu yng nghyswllt mynd dramor, gwarchod plant neu oedolion agored i niwed rhag niwed rhywiol. </w:t>
      </w:r>
    </w:p>
    <w:p w14:paraId="60DF46B9" w14:textId="233005BE" w:rsidR="00332EE6" w:rsidRPr="00B510E5" w:rsidRDefault="00332EE6" w:rsidP="00B510E5">
      <w:pPr>
        <w:pStyle w:val="Default"/>
        <w:spacing w:after="240" w:line="260" w:lineRule="exact"/>
        <w:rPr>
          <w:rFonts w:ascii="Arial" w:hAnsi="Arial" w:cs="Arial"/>
        </w:rPr>
      </w:pPr>
      <w:r>
        <w:rPr>
          <w:rFonts w:ascii="Arial" w:hAnsi="Arial"/>
        </w:rPr>
        <w:t>Mae’n ofynnol i unigolyn gyda SRO hysbysu’r heddlu ynghylch eu henw a’u cyfeiriad cartref o fewn tri diwrnod i wneud y gorchymyn a hefyd rhoi gwybod am unrhyw newidiadau i’r wybodaeth yma o fewn tri diwrnod.</w:t>
      </w:r>
    </w:p>
    <w:p w14:paraId="70A9034B" w14:textId="3BCE081F" w:rsidR="00332EE6" w:rsidRPr="00B510E5" w:rsidRDefault="00332EE6" w:rsidP="00B510E5">
      <w:pPr>
        <w:pStyle w:val="Default"/>
        <w:spacing w:after="240" w:line="260" w:lineRule="exact"/>
        <w:rPr>
          <w:rFonts w:ascii="Arial" w:hAnsi="Arial" w:cs="Arial"/>
        </w:rPr>
      </w:pPr>
      <w:r>
        <w:rPr>
          <w:rFonts w:ascii="Arial" w:hAnsi="Arial"/>
        </w:rPr>
        <w:t xml:space="preserve">Mae SRO yn gallu para am ddwy flynedd o leiaf ond heb unrhyw uchafswm, ac eithrio unrhyw gyfyngiadau ar fynd dramor sy’n gallu, lle mae’n berthnasol, para am bum mlynedd ar y mwyaf (ond gall gael ei adnewyddu). </w:t>
      </w:r>
    </w:p>
    <w:p w14:paraId="0080A405" w14:textId="77777777" w:rsidR="00332EE6" w:rsidRPr="00B510E5" w:rsidRDefault="00332EE6" w:rsidP="00B510E5">
      <w:pPr>
        <w:pStyle w:val="Default"/>
        <w:spacing w:after="240" w:line="260" w:lineRule="exact"/>
        <w:rPr>
          <w:rFonts w:ascii="Arial" w:hAnsi="Arial" w:cs="Arial"/>
        </w:rPr>
      </w:pPr>
      <w:r>
        <w:rPr>
          <w:rFonts w:ascii="Arial" w:hAnsi="Arial"/>
        </w:rPr>
        <w:t>Mae’r safon droseddol o brawf yn parhau i fod yn berthnasol. Gall y person sy’n destun y gorchymyn apelio yn ei erbyn a gall yr heddlu neu’r person dan sylw wneud cais i amrywio, adnewyddu neu ollwng y gorchymyn.</w:t>
      </w:r>
    </w:p>
    <w:p w14:paraId="16873D44" w14:textId="0735E707" w:rsidR="00332EE6" w:rsidRPr="00B510E5" w:rsidRDefault="00332EE6" w:rsidP="00B510E5">
      <w:pPr>
        <w:pStyle w:val="Default"/>
        <w:spacing w:after="240" w:line="260" w:lineRule="exact"/>
        <w:rPr>
          <w:rFonts w:ascii="Arial" w:hAnsi="Arial" w:cs="Arial"/>
        </w:rPr>
      </w:pPr>
      <w:r>
        <w:rPr>
          <w:rFonts w:ascii="Arial" w:hAnsi="Arial"/>
        </w:rPr>
        <w:t xml:space="preserve">Mae torri SRO yn drosedd a’r uchafswm cosb yw pum mlynedd yn y carchar. Lle mae unigolyn yn torri ei SRO, bydd yn dod yn destun gofynion hysbysu llawn.  </w:t>
      </w:r>
    </w:p>
    <w:p w14:paraId="65DE7393" w14:textId="0C4B28AC" w:rsidR="00332EE6" w:rsidRPr="00B510E5" w:rsidRDefault="00332EE6" w:rsidP="003F01A6">
      <w:r>
        <w:t>Mae unigolion sy’n destun SRO yn cael eu cofnodi ar VISOR fel Person Peryglus Posibl (PDP) ond nid ydynt yn gymwys ar gyfer MAPPA.</w:t>
      </w:r>
    </w:p>
    <w:p w14:paraId="13A77397" w14:textId="5D413DD4" w:rsidR="00332EE6" w:rsidRPr="00A55FDE" w:rsidRDefault="00332EE6" w:rsidP="003F01A6">
      <w:pPr>
        <w:pStyle w:val="Style3"/>
        <w:rPr>
          <w:b w:val="0"/>
          <w:bCs/>
          <w:color w:val="auto"/>
          <w:sz w:val="24"/>
          <w:szCs w:val="24"/>
        </w:rPr>
      </w:pPr>
      <w:r>
        <w:rPr>
          <w:sz w:val="24"/>
        </w:rPr>
        <w:t xml:space="preserve">(j) Diddymwyd gofyniad hysbysu gydol oes drwy wneud cais </w:t>
      </w:r>
      <w:r>
        <w:rPr>
          <w:b w:val="0"/>
          <w:color w:val="auto"/>
          <w:sz w:val="24"/>
        </w:rPr>
        <w:t>– Gall unigolion cymwys gyflwyno cais i’r heddlu adolygu eu gofynion hysbysu amhenodol. Bydd yr heddlu’n adolygu’r cais ac yn penderfynu a ddylid diddymu’r gofynion hysbysu. Gwneir y penderfyniad hwn ar lefel Uwch-arolygydd. Bydd y rhai sy’n parhau i gyflwyno risg sylweddol yn aros yn ddarostyngedig i ofynion hysbysu am oes, lle bo angen.</w:t>
      </w:r>
    </w:p>
    <w:p w14:paraId="7E9ED5F4" w14:textId="341AEA8C" w:rsidR="00332EE6" w:rsidRPr="00B01E0C" w:rsidRDefault="00332EE6" w:rsidP="00A55FDE">
      <w:pPr>
        <w:rPr>
          <w:szCs w:val="28"/>
        </w:rPr>
      </w:pPr>
      <w:r>
        <w:t xml:space="preserve">Ni fydd unigolion ond yn dod yn gymwys i ofyn am adolygiad ar ôl bod yn destun </w:t>
      </w:r>
      <w:r>
        <w:lastRenderedPageBreak/>
        <w:t xml:space="preserve">gofynion hysbysu amhenodol am o leiaf 15 mlynedd yn achos oedolion, ac 8 mlynedd yn achos plant.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9E4C33">
      <w:pPr>
        <w:pStyle w:val="Heading2"/>
      </w:pPr>
      <w:r>
        <w:lastRenderedPageBreak/>
        <w:t>Tudalen leol</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5"/>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2D86E3BC" w14:textId="64E073D8" w:rsidR="000A4EE9" w:rsidRPr="000A4EE9" w:rsidRDefault="00324995" w:rsidP="000A4EE9">
      <w:pPr>
        <w:spacing w:after="29"/>
        <w:ind w:left="-5" w:right="11"/>
        <w:rPr>
          <w:b/>
          <w:bCs/>
          <w:color w:val="7030A0"/>
        </w:rPr>
      </w:pPr>
      <w:r>
        <w:rPr>
          <w:b/>
          <w:color w:val="7030A0"/>
        </w:rPr>
        <w:t>Victoria Harris</w:t>
      </w:r>
      <w:r w:rsidR="000A4EE9">
        <w:rPr>
          <w:b/>
          <w:color w:val="7030A0"/>
        </w:rPr>
        <w:t xml:space="preserve">, Pennaeth Uned Cyflawni’r Gwasanaeth Prawf  </w:t>
      </w:r>
    </w:p>
    <w:p w14:paraId="11BA1297" w14:textId="322D97D1" w:rsidR="000A4EE9" w:rsidRPr="000A4EE9" w:rsidRDefault="000A4EE9" w:rsidP="000A4EE9">
      <w:pPr>
        <w:spacing w:after="29"/>
        <w:ind w:left="-5" w:right="11"/>
        <w:rPr>
          <w:b/>
          <w:bCs/>
          <w:color w:val="7030A0"/>
        </w:rPr>
      </w:pPr>
      <w:r>
        <w:rPr>
          <w:b/>
          <w:color w:val="7030A0"/>
        </w:rPr>
        <w:t xml:space="preserve"> </w:t>
      </w:r>
    </w:p>
    <w:p w14:paraId="7C31E0F3" w14:textId="1E2D8F0B" w:rsidR="000A4EE9" w:rsidRPr="000A4EE9" w:rsidRDefault="000A4EE9" w:rsidP="000A4EE9">
      <w:pPr>
        <w:spacing w:after="29"/>
        <w:ind w:left="-5" w:right="11"/>
        <w:rPr>
          <w:b/>
          <w:bCs/>
          <w:color w:val="7030A0"/>
        </w:rPr>
      </w:pPr>
      <w:r>
        <w:rPr>
          <w:b/>
          <w:color w:val="7030A0"/>
        </w:rPr>
        <w:t xml:space="preserve">Prif Gwnstabl Cynorthwyol, Vicki Townsend, Heddlu Gwent </w:t>
      </w:r>
    </w:p>
    <w:p w14:paraId="208FB8A6" w14:textId="77777777" w:rsidR="000A4EE9" w:rsidRPr="000A4EE9" w:rsidRDefault="000A4EE9" w:rsidP="000A4EE9">
      <w:pPr>
        <w:spacing w:after="19" w:line="259" w:lineRule="auto"/>
        <w:rPr>
          <w:b/>
          <w:bCs/>
          <w:color w:val="7030A0"/>
        </w:rPr>
      </w:pPr>
      <w:r>
        <w:rPr>
          <w:b/>
          <w:color w:val="7030A0"/>
        </w:rPr>
        <w:t xml:space="preserve"> </w:t>
      </w:r>
    </w:p>
    <w:p w14:paraId="7ED4307F" w14:textId="4B706709" w:rsidR="000A4EE9" w:rsidRPr="000A4EE9" w:rsidRDefault="000A4EE9" w:rsidP="000A4EE9">
      <w:pPr>
        <w:spacing w:after="29"/>
        <w:ind w:right="11"/>
        <w:rPr>
          <w:b/>
          <w:bCs/>
          <w:color w:val="7030A0"/>
        </w:rPr>
      </w:pPr>
      <w:r>
        <w:rPr>
          <w:b/>
          <w:color w:val="7030A0"/>
        </w:rPr>
        <w:t>Rob Denman</w:t>
      </w:r>
      <w:r w:rsidR="00324995">
        <w:rPr>
          <w:b/>
          <w:color w:val="7030A0"/>
        </w:rPr>
        <w:t xml:space="preserve">, </w:t>
      </w:r>
      <w:r>
        <w:rPr>
          <w:b/>
          <w:color w:val="7030A0"/>
        </w:rPr>
        <w:t>Llywodraethwr yng Ngharchar Ei Fawrhydi Brynbuga a Phrescoed</w:t>
      </w:r>
    </w:p>
    <w:p w14:paraId="6B202644" w14:textId="77777777" w:rsidR="000A4EE9" w:rsidRPr="000A4EE9" w:rsidRDefault="000A4EE9" w:rsidP="000A4EE9">
      <w:pPr>
        <w:spacing w:after="29"/>
        <w:ind w:right="11"/>
        <w:rPr>
          <w:b/>
          <w:bCs/>
          <w:color w:val="7030A0"/>
        </w:rPr>
      </w:pPr>
    </w:p>
    <w:p w14:paraId="113F5320" w14:textId="788D1AD0" w:rsidR="000A4EE9" w:rsidRPr="000A4EE9" w:rsidRDefault="000A4EE9" w:rsidP="000A4EE9">
      <w:pPr>
        <w:spacing w:after="29"/>
        <w:ind w:right="11"/>
        <w:rPr>
          <w:b/>
          <w:bCs/>
          <w:color w:val="7030A0"/>
        </w:rPr>
      </w:pPr>
      <w:r>
        <w:rPr>
          <w:b/>
          <w:color w:val="7030A0"/>
        </w:rPr>
        <w:t>Cally Coleman, Cydlynydd MAPPA Gwent</w:t>
      </w:r>
    </w:p>
    <w:p w14:paraId="3EDE7931" w14:textId="77777777" w:rsidR="000A4EE9" w:rsidRPr="0036271C" w:rsidRDefault="000A4EE9" w:rsidP="000A4EE9">
      <w:pPr>
        <w:spacing w:after="29"/>
        <w:ind w:right="11"/>
        <w:rPr>
          <w:color w:val="7030A0"/>
        </w:rPr>
      </w:pPr>
    </w:p>
    <w:p w14:paraId="29B07B3E" w14:textId="77777777" w:rsidR="000A4EE9" w:rsidRPr="00B959AB" w:rsidRDefault="000A4EE9" w:rsidP="000A4EE9">
      <w:pPr>
        <w:spacing w:after="160" w:line="278" w:lineRule="auto"/>
        <w:rPr>
          <w:sz w:val="22"/>
        </w:rPr>
      </w:pPr>
      <w:r w:rsidRPr="00B959AB">
        <w:rPr>
          <w:sz w:val="22"/>
        </w:rPr>
        <w:t>Drwy gydol y flwyddyn, mae SMB Gwent wedi parhau i ddarparu goruchwyliaeth strategol effeithiol o MAPPA ar draws y rhanbarth, gan gefnogi cydweithrediad amlasiantaethol cryf i reoli unigolion sy’n peri’r risg uchaf o niwed difrifol. Mae’r Bwrdd wedi parhau i ganolbwyntio ar lywodraethu effeithiol, monitro perfformiad a sicrhau ansawdd i sicrhau bod trefniadau MAPPA yn parhau i fod yn gadarn ac yn ymatebol i risgiau sy’n dod i’r amlwg.</w:t>
      </w:r>
    </w:p>
    <w:p w14:paraId="7274B803" w14:textId="77777777" w:rsidR="000A4EE9" w:rsidRPr="00B959AB" w:rsidRDefault="000A4EE9" w:rsidP="000A4EE9">
      <w:pPr>
        <w:spacing w:after="160" w:line="278" w:lineRule="auto"/>
        <w:rPr>
          <w:sz w:val="22"/>
        </w:rPr>
      </w:pPr>
      <w:r w:rsidRPr="00B959AB">
        <w:rPr>
          <w:sz w:val="22"/>
        </w:rPr>
        <w:t>Mae cynnydd sylweddol wedi’i wneud o ran cryfhau gweithio mewn partneriaeth a gwella cysondeb prosesau MAPPA ar draws y rhanbarth. Mae asiantaethau wedi parhau i ddangos ymgysylltiad cryf o ran rhannu gwybodaeth, cynllunio rheoli risg a mynychu cyfarfodydd MAPPA, gan sicrhau bod diogelu’r cyhoedd yn parhau i fod yn flaenllaw wrth wneud penderfyniadau.</w:t>
      </w:r>
    </w:p>
    <w:p w14:paraId="02C437AA" w14:textId="77777777" w:rsidR="000A4EE9" w:rsidRPr="00B959AB" w:rsidRDefault="000A4EE9" w:rsidP="000A4EE9">
      <w:pPr>
        <w:spacing w:after="160" w:line="278" w:lineRule="auto"/>
        <w:rPr>
          <w:sz w:val="22"/>
        </w:rPr>
      </w:pPr>
      <w:r w:rsidRPr="00B959AB">
        <w:rPr>
          <w:sz w:val="22"/>
        </w:rPr>
        <w:t xml:space="preserve">Mae’r Bwrdd hefyd wedi parhau i hyrwyddo dysgu a datblygu drwy adolygu archwiliadau, canfyddiadau adolygiadau Troseddau Difrifol Pellach a gynhaliwyd yn genedlaethol, a chanllawiau ac arferion gorau sy’n dod i’r amlwg. Er nad yw Gwent wedi profi unrhyw Droseddau Difrifol Pellach sy’n gysylltiedig â MAPPA y mae angen eu hadolygu yn ystod y cyfnod adrodd, mae’r Bwrdd Rheoli Strategol wedi mynd ati’n rhagweithiol i ystyried dysgu o achosion ac adolygiadau mewn meysydd eraill er mwyn </w:t>
      </w:r>
      <w:r w:rsidRPr="00B959AB">
        <w:rPr>
          <w:sz w:val="22"/>
        </w:rPr>
        <w:t>cryfhau arferion lleol, cefnogi gwelliant parhaus a gwella effeithiolrwydd trefniadau rheoli risg.</w:t>
      </w:r>
    </w:p>
    <w:p w14:paraId="3C982FE0" w14:textId="77777777" w:rsidR="000A4EE9" w:rsidRPr="00B959AB" w:rsidRDefault="000A4EE9" w:rsidP="000A4EE9">
      <w:pPr>
        <w:spacing w:after="160" w:line="278" w:lineRule="auto"/>
        <w:rPr>
          <w:sz w:val="22"/>
        </w:rPr>
      </w:pPr>
      <w:r w:rsidRPr="00B959AB">
        <w:rPr>
          <w:sz w:val="22"/>
        </w:rPr>
        <w:t>Un llwyddiant nodedig eleni fu’r ffocws parhaus ar wella ansawdd data a threfniadau llywodraethu ar draws MAPPA Gwent. Mae gwaith sylweddol wedi cael ei wneud gan asiantaethau partner i adolygu a mynd i’r afael ag achosion MAPPA heb eu fflagio, gwella cywirdeb cofnodion MAPPA a chryfhau prosesau sicrwydd. Mae’r gwaith hwn wedi helpu i sicrhau bod unigolion cymwys yn cael eu nodi a’u rheoli’n briodol o fewn MAPPA, gan gefnogi goruchwyliaeth effeithiol a diogelu’r cyhoedd.</w:t>
      </w:r>
    </w:p>
    <w:p w14:paraId="35718A48" w14:textId="77777777" w:rsidR="000A4EE9" w:rsidRPr="00B959AB" w:rsidRDefault="000A4EE9" w:rsidP="000A4EE9">
      <w:pPr>
        <w:spacing w:after="160" w:line="278" w:lineRule="auto"/>
        <w:rPr>
          <w:sz w:val="22"/>
        </w:rPr>
      </w:pPr>
      <w:r w:rsidRPr="00B959AB">
        <w:rPr>
          <w:sz w:val="22"/>
        </w:rPr>
        <w:t>Gan edrych i’r dyfodol, bydd SMB Gwent yn parhau i ganolbwyntio ar gryfhau ymgysylltiad amlasiantaethol, cynnal arferion MAPPA o ansawdd uchel, a sicrhau bod trefniadau amddiffyn y cyhoedd yn cael eu goruchwylio’n effeithiol ar draws y rhanbarth.</w:t>
      </w:r>
    </w:p>
    <w:p w14:paraId="5FD2B7D5" w14:textId="77777777" w:rsidR="000A4EE9" w:rsidRPr="00B959AB" w:rsidRDefault="000A4EE9" w:rsidP="000A4EE9">
      <w:pPr>
        <w:spacing w:after="160" w:line="278" w:lineRule="auto"/>
        <w:rPr>
          <w:sz w:val="22"/>
        </w:rPr>
      </w:pPr>
      <w:r w:rsidRPr="00B959AB">
        <w:rPr>
          <w:sz w:val="22"/>
        </w:rPr>
        <w:t>Un o’r blaenoriaethau allweddol ar gyfer y flwyddyn i ddod fydd gwreiddio’r newidiadau a gyflwynwyd gan Ddeddf Dedfrydu 2026 a monitro’r effaith ar gymhwysedd MAPPA, trefniadau rheoli troseddwyr, a’r galw ar draws asiantaethau partner. Bydd y Bwrdd yn parhau i gydweithio â phartneriaid i sicrhau bod y newidiadau’n cael eu rhoi ar waith yn effeithiol, nodi unrhyw heriau sy’n dod i’r amlwg a chefnogi ymarferwyr i addasu i’r fframwaith deddfwriaethol newydd.</w:t>
      </w:r>
    </w:p>
    <w:p w14:paraId="31E351C1" w14:textId="77777777" w:rsidR="000A4EE9" w:rsidRPr="00B959AB" w:rsidRDefault="000A4EE9" w:rsidP="000A4EE9">
      <w:pPr>
        <w:spacing w:after="160" w:line="278" w:lineRule="auto"/>
        <w:rPr>
          <w:sz w:val="22"/>
        </w:rPr>
      </w:pPr>
      <w:r w:rsidRPr="00B959AB">
        <w:rPr>
          <w:sz w:val="22"/>
        </w:rPr>
        <w:t>Bydd y Bwrdd Rheoli Strategol hefyd yn parhau i hyrwyddo dysgu sefydliadol, monitro risgiau sy’n dod i’r amlwg a rhannu arferion gorau ar draws asiantaethau, gan sicrhau bod cyfleoedd i wella prosesau MAPPA a gwaith amlasiantaeth yn cael eu nodi a’u rhoi ar waith ar yr un pryd â chynnal y safonau uchel o rannu gwybodaeth, asesu risg a barn broffesiynol sy’n sail i ddiogelu’r cyhoedd yn effeithiol.</w:t>
      </w:r>
    </w:p>
    <w:p w14:paraId="52CCEC3A" w14:textId="1D52EC14" w:rsidR="000A4EE9" w:rsidRPr="00B959AB" w:rsidRDefault="000A4EE9" w:rsidP="000A4EE9">
      <w:pPr>
        <w:spacing w:after="160" w:line="278" w:lineRule="auto"/>
        <w:rPr>
          <w:b/>
          <w:bCs/>
          <w:color w:val="7030A0"/>
          <w:sz w:val="22"/>
        </w:rPr>
      </w:pPr>
      <w:r w:rsidRPr="00B959AB">
        <w:rPr>
          <w:b/>
          <w:color w:val="7030A0"/>
          <w:sz w:val="22"/>
        </w:rPr>
        <w:t>Cydlynydd MAPPA, yr Adran Diogelwch Gwladol</w:t>
      </w:r>
    </w:p>
    <w:p w14:paraId="047537C5" w14:textId="1FE8A52E" w:rsidR="000A4EE9" w:rsidRPr="00B959AB" w:rsidRDefault="000A4EE9" w:rsidP="000A4EE9">
      <w:pPr>
        <w:spacing w:after="160" w:line="278" w:lineRule="auto"/>
        <w:rPr>
          <w:color w:val="auto"/>
          <w:sz w:val="22"/>
        </w:rPr>
      </w:pPr>
      <w:r w:rsidRPr="00B959AB">
        <w:rPr>
          <w:color w:val="auto"/>
          <w:sz w:val="22"/>
        </w:rPr>
        <w:lastRenderedPageBreak/>
        <w:t>Mae’r Adran Diogelwch Gwladol (NSD) yn adran arbenigol yn y Gwasanaeth Prawf, sy’n gweithredu ledled Cymru a Lloegr i asesu a rheoli’r risgiau sy’n cael eu hachosi gan dair carfan, sef unigolion a gafwyd yn euog o droseddau’r Ddeddf Terfysgaeth, neu yr aseswyd eu bod yn peri risg o derfysgaeth; Achosion Diogelu’r Cyhoedd Critigol; a’r rhai a gafwyd yn euog o droseddau yn gysylltiedig â Throseddau Cyfundrefnol Difrifol. Mae’r rhan fwyaf o achosion yn cael eu rheoli drwy Drefniadau Amlasiantaethol ar gyfer Amddiffyn y Cyhoedd (MAPPA).</w:t>
      </w:r>
    </w:p>
    <w:p w14:paraId="516A1110" w14:textId="3B1F6336" w:rsidR="000A4EE9" w:rsidRPr="00B959AB" w:rsidRDefault="000A4EE9" w:rsidP="000A4EE9">
      <w:pPr>
        <w:spacing w:after="160" w:line="278" w:lineRule="auto"/>
        <w:rPr>
          <w:color w:val="auto"/>
          <w:sz w:val="22"/>
        </w:rPr>
      </w:pPr>
      <w:r w:rsidRPr="00B959AB">
        <w:rPr>
          <w:color w:val="auto"/>
          <w:sz w:val="22"/>
        </w:rPr>
        <w:t>Mae’r NSD yn mabwysiadu dull gweithredu amlddisgyblaethol ac amlasiantaethol gwell, gan sicrhau bod adnoddau’n cael eu canolbwyntio ar yr achosion sydd eu hangen fwyaf. Caiff hyn ei gefnogi gan bartneriaethau cryf sydd wedi hen ennill eu plwyf, yn enwedig gyda Phlismona Gwrthderfysgaeth (CTP) a’r Uned Eithafiaeth ar y Cyd (JEXU).</w:t>
      </w:r>
    </w:p>
    <w:p w14:paraId="6D1D738B" w14:textId="77777777" w:rsidR="000A4EE9" w:rsidRPr="0036271C" w:rsidRDefault="000A4EE9" w:rsidP="000A4EE9">
      <w:pPr>
        <w:spacing w:after="160" w:line="278" w:lineRule="auto"/>
        <w:rPr>
          <w:color w:val="auto"/>
        </w:rPr>
      </w:pPr>
      <w:r w:rsidRPr="00B959AB">
        <w:rPr>
          <w:color w:val="auto"/>
          <w:sz w:val="22"/>
        </w:rPr>
        <w:t xml:space="preserve">Codwyd Lefel Bygythiad Terfysgaeth y DU i Difrifol ym mis Mai 2026, ac rydym yn parhau i weithredu mewn amgylchedd heriol. Mae tirwedd MAPPA Categori Pedwar yn cael ei </w:t>
      </w:r>
      <w:r>
        <w:rPr>
          <w:color w:val="auto"/>
        </w:rPr>
        <w:t>siapio gan grwpiau eithafol sefydledig ac unigolion sy’n cael eu cymell gan ideolegau newydd a datblygol. Mae argaeledd cynyddol deallusrwydd artiffisial a thechnolegau uwch eraill yn cyflwyno risgiau ychwanegol, gan gynnwys mwy o bropaganda, radicaleiddio ar-lein, a thwyllwybodaeth soffistigedig.</w:t>
      </w:r>
    </w:p>
    <w:p w14:paraId="1DE68872" w14:textId="77777777" w:rsidR="000A4EE9" w:rsidRPr="0036271C" w:rsidRDefault="000A4EE9" w:rsidP="000A4EE9">
      <w:pPr>
        <w:spacing w:after="160" w:line="278" w:lineRule="auto"/>
        <w:rPr>
          <w:color w:val="auto"/>
        </w:rPr>
      </w:pPr>
    </w:p>
    <w:p w14:paraId="391CECC4" w14:textId="77777777" w:rsidR="00536062" w:rsidRPr="00B959AB" w:rsidRDefault="000A4EE9" w:rsidP="00536062">
      <w:pPr>
        <w:spacing w:after="160" w:line="278" w:lineRule="auto"/>
        <w:rPr>
          <w:color w:val="auto"/>
          <w:sz w:val="22"/>
        </w:rPr>
      </w:pPr>
      <w:r>
        <w:rPr>
          <w:color w:val="auto"/>
        </w:rPr>
        <w:t xml:space="preserve">Bu 2025-2026 yn flwyddyn gynhyrchiol i’r NSD, gyda rhagor o Hyfforddiant pwrpasol i Gadeiryddion yn cael ei ddarparu i gydweithwyr sy’n gyfrifol am gadeirio </w:t>
      </w:r>
      <w:r w:rsidRPr="00B959AB">
        <w:rPr>
          <w:color w:val="auto"/>
          <w:sz w:val="22"/>
        </w:rPr>
        <w:t>cyfarfodydd MAPPA Categori 4, ochr yn ochr ag amrywiaeth o ddigwyddiadau hyfforddi a datblygu ehangach. Mae’r NSD yn dal yn falch o’r gwaith mae’n ei wneud a’i gyfraniad parhaus at ddiogelu’r cyhoedd; gan ddarparu gwasanaethau o ansawdd uchel sy’n cefnogi diogelwch y cymunedau rydym yn eu gwasanaethu.</w:t>
      </w:r>
    </w:p>
    <w:p w14:paraId="6620B6A1" w14:textId="7CF97A9A" w:rsidR="00332EE6" w:rsidRPr="000A4EE9" w:rsidRDefault="00332EE6" w:rsidP="000A4EE9">
      <w:pPr>
        <w:spacing w:after="160" w:line="278" w:lineRule="auto"/>
        <w:sectPr w:rsidR="00332EE6" w:rsidRPr="000A4EE9" w:rsidSect="00867C9E">
          <w:type w:val="continuous"/>
          <w:pgSz w:w="11905" w:h="16837" w:code="9"/>
          <w:pgMar w:top="720" w:right="720" w:bottom="720" w:left="720" w:header="720" w:footer="567" w:gutter="0"/>
          <w:cols w:num="2" w:space="720"/>
          <w:noEndnote/>
        </w:sectPr>
      </w:pPr>
    </w:p>
    <w:p w14:paraId="0AA84FC5" w14:textId="77777777" w:rsidR="002446FC" w:rsidRDefault="00332EE6" w:rsidP="002446FC">
      <w:r>
        <w:rPr>
          <w:b/>
          <w:color w:val="7030A0"/>
          <w:sz w:val="26"/>
        </w:rPr>
        <w:lastRenderedPageBreak/>
        <w:t xml:space="preserve">Mae holl adroddiadau MAPPA o Gymru a Lloegr yn cael eu </w:t>
      </w:r>
      <w:hyperlink r:id="rId26" w:history="1">
        <w:r w:rsidR="002446FC" w:rsidRPr="00A96528">
          <w:rPr>
            <w:rStyle w:val="Hyperlink"/>
            <w:rFonts w:cs="Arial"/>
            <w:b/>
            <w:sz w:val="26"/>
          </w:rPr>
          <w:t>cyhoeddi ar-lein ar GOV.UK</w:t>
        </w:r>
      </w:hyperlink>
    </w:p>
    <w:p w14:paraId="07ACF0A5" w14:textId="7608FD59" w:rsidR="00332EE6" w:rsidRPr="00B01E0C" w:rsidRDefault="00332EE6" w:rsidP="002446FC">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522D9C5D" w14:textId="6CF7527F" w:rsidR="00332EE6" w:rsidRDefault="00332EE6" w:rsidP="009E4C33">
      <w:pPr>
        <w:pStyle w:val="MAPPA-Bodytext"/>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D8ACAA2" w14:textId="37851E42" w:rsidR="000E3453" w:rsidRPr="006954C2" w:rsidRDefault="00E1528C" w:rsidP="00536062">
      <w:pPr>
        <w:pStyle w:val="MAPPA-Bodytext"/>
        <w:spacing w:line="240" w:lineRule="atLeast"/>
        <w:rPr>
          <w:b/>
          <w:color w:val="7030A0"/>
          <w:sz w:val="24"/>
          <w:szCs w:val="24"/>
        </w:rPr>
        <w:sectPr w:rsidR="000E3453" w:rsidRPr="006954C2" w:rsidSect="00867C9E">
          <w:footerReference w:type="default" r:id="rId27"/>
          <w:pgSz w:w="11905" w:h="16837" w:code="9"/>
          <w:pgMar w:top="720" w:right="720" w:bottom="720" w:left="720" w:header="720" w:footer="567" w:gutter="0"/>
          <w:cols w:space="720"/>
          <w:noEndnote/>
          <w:docGrid w:linePitch="360"/>
        </w:sectPr>
      </w:pPr>
      <w:r>
        <w:rPr>
          <w:noProof/>
          <w:lang w:val="en-GB"/>
        </w:rPr>
        <w:drawing>
          <wp:inline distT="0" distB="0" distL="0" distR="0" wp14:anchorId="1FB8CF13" wp14:editId="3431D160">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rPr>
        <w:tab/>
      </w:r>
      <w:r>
        <w:rPr>
          <w:b/>
          <w:color w:val="7030A0"/>
          <w:sz w:val="24"/>
        </w:rPr>
        <w:tab/>
      </w:r>
      <w:r>
        <w:rPr>
          <w:b/>
          <w:color w:val="7030A0"/>
          <w:sz w:val="24"/>
        </w:rPr>
        <w:tab/>
        <w:t xml:space="preserve">      </w:t>
      </w:r>
      <w:r>
        <w:rPr>
          <w:noProof/>
          <w:lang w:val="en-GB"/>
        </w:rPr>
        <w:drawing>
          <wp:inline distT="0" distB="0" distL="0" distR="0" wp14:anchorId="0EBF6C25" wp14:editId="2D5FA5AF">
            <wp:extent cx="1111391" cy="1136650"/>
            <wp:effectExtent l="0" t="0" r="0" b="6350"/>
            <wp:docPr id="1570051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5106" name="Picture 1">
                      <a:extLst>
                        <a:ext uri="{C183D7F6-B498-43B3-948B-1728B52AA6E4}">
                          <adec:decorative xmlns:adec="http://schemas.microsoft.com/office/drawing/2017/decorative" val="1"/>
                        </a:ext>
                      </a:extLst>
                    </pic:cNvPr>
                    <pic:cNvPicPr/>
                  </pic:nvPicPr>
                  <pic:blipFill>
                    <a:blip r:embed="rId29"/>
                    <a:stretch>
                      <a:fillRect/>
                    </a:stretch>
                  </pic:blipFill>
                  <pic:spPr>
                    <a:xfrm>
                      <a:off x="0" y="0"/>
                      <a:ext cx="1116971" cy="1142357"/>
                    </a:xfrm>
                    <a:prstGeom prst="rect">
                      <a:avLst/>
                    </a:prstGeom>
                  </pic:spPr>
                </pic:pic>
              </a:graphicData>
            </a:graphic>
          </wp:inline>
        </w:drawing>
      </w:r>
      <w:r>
        <w:rPr>
          <w:b/>
          <w:color w:val="7030A0"/>
          <w:sz w:val="24"/>
        </w:rPr>
        <w:tab/>
      </w:r>
      <w:r>
        <w:rPr>
          <w:b/>
          <w:color w:val="7030A0"/>
          <w:sz w:val="24"/>
        </w:rPr>
        <w:tab/>
      </w:r>
      <w:r>
        <w:rPr>
          <w:b/>
          <w:color w:val="7030A0"/>
          <w:sz w:val="24"/>
        </w:rPr>
        <w:tab/>
      </w:r>
      <w:r>
        <w:rPr>
          <w:b/>
          <w:color w:val="7030A0"/>
          <w:sz w:val="24"/>
        </w:rPr>
        <w:tab/>
      </w:r>
      <w:r>
        <w:rPr>
          <w:noProof/>
          <w:lang w:val="en-GB"/>
        </w:rPr>
        <w:drawing>
          <wp:inline distT="0" distB="0" distL="0" distR="0" wp14:anchorId="3252529B" wp14:editId="1B273DE9">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184D6788" w14:textId="471D7F82" w:rsidR="00DE3907" w:rsidRPr="00536062" w:rsidRDefault="00DE3907" w:rsidP="00080DFC">
      <w:pPr>
        <w:spacing w:line="240" w:lineRule="atLeast"/>
        <w:rPr>
          <w:rFonts w:cs="Arial"/>
        </w:rPr>
      </w:pPr>
    </w:p>
    <w:sectPr w:rsidR="00DE3907" w:rsidRPr="0053606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9DCC" w14:textId="77777777" w:rsidR="0041554C" w:rsidRDefault="0041554C" w:rsidP="001A5708">
      <w:pPr>
        <w:pStyle w:val="MAPPA-Bodytext"/>
      </w:pPr>
      <w:r>
        <w:separator/>
      </w:r>
    </w:p>
  </w:endnote>
  <w:endnote w:type="continuationSeparator" w:id="0">
    <w:p w14:paraId="7468AB79" w14:textId="77777777" w:rsidR="0041554C" w:rsidRDefault="0041554C" w:rsidP="001A5708">
      <w:pPr>
        <w:pStyle w:val="MAPPA-Bodytext"/>
      </w:pPr>
      <w:r>
        <w:continuationSeparator/>
      </w:r>
    </w:p>
  </w:endnote>
  <w:endnote w:type="continuationNotice" w:id="1">
    <w:p w14:paraId="54436601" w14:textId="77777777" w:rsidR="0041554C" w:rsidRDefault="0041554C"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lang w:val="en-GB"/>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E579E48" w:rsidR="00DE3907"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sidRPr="00735E92">
      <w:rPr>
        <w:rStyle w:val="PageNumber"/>
        <w:rFonts w:cs="Arial"/>
        <w:sz w:val="18"/>
      </w:rPr>
      <w:fldChar w:fldCharType="begin"/>
    </w:r>
    <w:r w:rsidR="00DE3907" w:rsidRPr="00735E92">
      <w:rPr>
        <w:rStyle w:val="PageNumber"/>
        <w:rFonts w:cs="Arial"/>
        <w:sz w:val="18"/>
      </w:rPr>
      <w:instrText xml:space="preserve">PAGE  </w:instrText>
    </w:r>
    <w:r w:rsidR="00DE3907" w:rsidRPr="00735E92">
      <w:rPr>
        <w:rStyle w:val="PageNumber"/>
        <w:rFonts w:cs="Arial"/>
        <w:sz w:val="18"/>
      </w:rPr>
      <w:fldChar w:fldCharType="separate"/>
    </w:r>
    <w:r w:rsidR="009E09E6">
      <w:rPr>
        <w:rStyle w:val="PageNumber"/>
        <w:rFonts w:cs="Arial"/>
        <w:noProof/>
        <w:sz w:val="18"/>
      </w:rPr>
      <w:t>5</w:t>
    </w:r>
    <w:r w:rsidR="00DE3907" w:rsidRPr="00735E92">
      <w:rPr>
        <w:rStyle w:val="PageNumber"/>
        <w:rFonts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lang w:val="en-GB"/>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sz w:val="18"/>
      </w:rPr>
      <w:t xml:space="preserve"> </w:t>
    </w:r>
    <w:r>
      <w:rPr>
        <w:rStyle w:val="PageNumber"/>
        <w:sz w:val="18"/>
      </w:rPr>
      <w:t>| Rhowch enw'r ardal yma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07856263"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42B0D">
      <w:rPr>
        <w:rStyle w:val="PageNumber"/>
        <w:rFonts w:cs="Arial"/>
        <w:noProof/>
        <w:sz w:val="18"/>
      </w:rPr>
      <w:t>1</w:t>
    </w:r>
    <w:r w:rsidR="00332EE6" w:rsidRPr="00735E92">
      <w:rPr>
        <w:rStyle w:val="PageNumber"/>
        <w:rFonts w:cs="Arial"/>
        <w:sz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302581BB"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7C00E4">
      <w:rPr>
        <w:rStyle w:val="PageNumber"/>
        <w:rFonts w:cs="Arial"/>
        <w:noProof/>
        <w:sz w:val="18"/>
      </w:rPr>
      <w:t>7</w:t>
    </w:r>
    <w:r w:rsidR="00332EE6" w:rsidRPr="00735E92">
      <w:rPr>
        <w:rStyle w:val="PageNumber"/>
        <w:rFonts w:cs="Arial"/>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7DE31887"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959AB">
      <w:rPr>
        <w:rStyle w:val="PageNumber"/>
        <w:rFonts w:cs="Arial"/>
        <w:noProof/>
        <w:sz w:val="18"/>
      </w:rPr>
      <w:t>1</w:t>
    </w:r>
    <w:r w:rsidR="00B959AB">
      <w:rPr>
        <w:rStyle w:val="PageNumber"/>
        <w:rFonts w:cs="Arial"/>
        <w:noProof/>
        <w:sz w:val="18"/>
      </w:rPr>
      <w:t>0</w:t>
    </w:r>
    <w:r w:rsidR="00332EE6" w:rsidRPr="00735E92">
      <w:rPr>
        <w:rStyle w:val="PageNumber"/>
        <w:rFonts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303464AF"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B959AB">
      <w:rPr>
        <w:rStyle w:val="PageNumber"/>
        <w:rFonts w:cs="Arial"/>
        <w:noProof/>
        <w:sz w:val="18"/>
      </w:rPr>
      <w:t>1</w:t>
    </w:r>
    <w:r w:rsidR="00B959AB">
      <w:rPr>
        <w:rStyle w:val="PageNumber"/>
        <w:rFonts w:cs="Arial"/>
        <w:noProof/>
        <w:sz w:val="18"/>
      </w:rPr>
      <w:t>2</w:t>
    </w:r>
    <w:r w:rsidR="00332EE6" w:rsidRPr="00735E92">
      <w:rPr>
        <w:rStyle w:val="PageNumber"/>
        <w:rFonts w:cs="Arial"/>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FD127" w14:textId="77777777" w:rsidR="0041554C" w:rsidRDefault="0041554C" w:rsidP="001A5708">
      <w:pPr>
        <w:pStyle w:val="MAPPA-Bodytext"/>
      </w:pPr>
      <w:r>
        <w:separator/>
      </w:r>
    </w:p>
  </w:footnote>
  <w:footnote w:type="continuationSeparator" w:id="0">
    <w:p w14:paraId="23CCF704" w14:textId="77777777" w:rsidR="0041554C" w:rsidRDefault="0041554C" w:rsidP="001A5708">
      <w:pPr>
        <w:pStyle w:val="MAPPA-Bodytext"/>
      </w:pPr>
      <w:r>
        <w:continuationSeparator/>
      </w:r>
    </w:p>
  </w:footnote>
  <w:footnote w:type="continuationNotice" w:id="1">
    <w:p w14:paraId="202B8069" w14:textId="77777777" w:rsidR="0041554C" w:rsidRDefault="0041554C"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lang w:val="en-GB"/>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lang w:val="en-GB"/>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lang w:val="en-GB"/>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274942">
    <w:abstractNumId w:val="1"/>
  </w:num>
  <w:num w:numId="2" w16cid:durableId="746651844">
    <w:abstractNumId w:val="2"/>
  </w:num>
  <w:num w:numId="3" w16cid:durableId="488785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3C98"/>
    <w:rsid w:val="000349AE"/>
    <w:rsid w:val="00036426"/>
    <w:rsid w:val="00044A75"/>
    <w:rsid w:val="00044A8E"/>
    <w:rsid w:val="00051C64"/>
    <w:rsid w:val="00052623"/>
    <w:rsid w:val="000536B2"/>
    <w:rsid w:val="000575B1"/>
    <w:rsid w:val="000576D6"/>
    <w:rsid w:val="00062F55"/>
    <w:rsid w:val="000739BA"/>
    <w:rsid w:val="000809B8"/>
    <w:rsid w:val="00080DFC"/>
    <w:rsid w:val="0009323B"/>
    <w:rsid w:val="00093EF9"/>
    <w:rsid w:val="0009506C"/>
    <w:rsid w:val="000A2DB3"/>
    <w:rsid w:val="000A4EE9"/>
    <w:rsid w:val="000A6775"/>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6FC"/>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680"/>
    <w:rsid w:val="002B1B3E"/>
    <w:rsid w:val="002B3DF0"/>
    <w:rsid w:val="002C0567"/>
    <w:rsid w:val="002C2403"/>
    <w:rsid w:val="002D5862"/>
    <w:rsid w:val="002E767F"/>
    <w:rsid w:val="002F46BF"/>
    <w:rsid w:val="002F66EC"/>
    <w:rsid w:val="002F763F"/>
    <w:rsid w:val="00302FA6"/>
    <w:rsid w:val="00304627"/>
    <w:rsid w:val="00305294"/>
    <w:rsid w:val="00315A5A"/>
    <w:rsid w:val="00316362"/>
    <w:rsid w:val="00317908"/>
    <w:rsid w:val="00324995"/>
    <w:rsid w:val="00331827"/>
    <w:rsid w:val="00331886"/>
    <w:rsid w:val="00332369"/>
    <w:rsid w:val="00332EE6"/>
    <w:rsid w:val="00334657"/>
    <w:rsid w:val="00335BEB"/>
    <w:rsid w:val="00337928"/>
    <w:rsid w:val="0034316C"/>
    <w:rsid w:val="00347A55"/>
    <w:rsid w:val="00351A15"/>
    <w:rsid w:val="003554C4"/>
    <w:rsid w:val="003563AC"/>
    <w:rsid w:val="003668BB"/>
    <w:rsid w:val="00385E87"/>
    <w:rsid w:val="00391BEB"/>
    <w:rsid w:val="00395ED3"/>
    <w:rsid w:val="00396101"/>
    <w:rsid w:val="00396499"/>
    <w:rsid w:val="00397110"/>
    <w:rsid w:val="003A385F"/>
    <w:rsid w:val="003A7DAA"/>
    <w:rsid w:val="003B0052"/>
    <w:rsid w:val="003B63B3"/>
    <w:rsid w:val="003B6695"/>
    <w:rsid w:val="003C0362"/>
    <w:rsid w:val="003C36DD"/>
    <w:rsid w:val="003C5E71"/>
    <w:rsid w:val="003D3D7F"/>
    <w:rsid w:val="003E0591"/>
    <w:rsid w:val="003E0965"/>
    <w:rsid w:val="003E0B74"/>
    <w:rsid w:val="003F01A6"/>
    <w:rsid w:val="003F03F6"/>
    <w:rsid w:val="003F73FB"/>
    <w:rsid w:val="00407E23"/>
    <w:rsid w:val="00410720"/>
    <w:rsid w:val="0041554C"/>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36062"/>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97713"/>
    <w:rsid w:val="005A1B9A"/>
    <w:rsid w:val="005A4FD4"/>
    <w:rsid w:val="005B5C11"/>
    <w:rsid w:val="005C1E3D"/>
    <w:rsid w:val="005C4A2A"/>
    <w:rsid w:val="005C5A96"/>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7695D"/>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6F7730"/>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0E4"/>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09E6"/>
    <w:rsid w:val="009E4C33"/>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6065"/>
    <w:rsid w:val="00AF65DD"/>
    <w:rsid w:val="00AF7C22"/>
    <w:rsid w:val="00B01E0C"/>
    <w:rsid w:val="00B0446D"/>
    <w:rsid w:val="00B06F75"/>
    <w:rsid w:val="00B10B3C"/>
    <w:rsid w:val="00B11A79"/>
    <w:rsid w:val="00B148FC"/>
    <w:rsid w:val="00B163F4"/>
    <w:rsid w:val="00B23C80"/>
    <w:rsid w:val="00B24A02"/>
    <w:rsid w:val="00B27C0E"/>
    <w:rsid w:val="00B3120E"/>
    <w:rsid w:val="00B31964"/>
    <w:rsid w:val="00B33112"/>
    <w:rsid w:val="00B402ED"/>
    <w:rsid w:val="00B42B0D"/>
    <w:rsid w:val="00B46863"/>
    <w:rsid w:val="00B46F6C"/>
    <w:rsid w:val="00B50D53"/>
    <w:rsid w:val="00B510E5"/>
    <w:rsid w:val="00B52CDC"/>
    <w:rsid w:val="00B54A0B"/>
    <w:rsid w:val="00B56214"/>
    <w:rsid w:val="00B614A4"/>
    <w:rsid w:val="00B700D7"/>
    <w:rsid w:val="00B712A7"/>
    <w:rsid w:val="00B72238"/>
    <w:rsid w:val="00B862DB"/>
    <w:rsid w:val="00B93D73"/>
    <w:rsid w:val="00B959AB"/>
    <w:rsid w:val="00B95D25"/>
    <w:rsid w:val="00BA2863"/>
    <w:rsid w:val="00BB15C5"/>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5C27"/>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97F1A"/>
    <w:rsid w:val="00DA027D"/>
    <w:rsid w:val="00DA07C6"/>
    <w:rsid w:val="00DA582B"/>
    <w:rsid w:val="00DA6F10"/>
    <w:rsid w:val="00DB45B9"/>
    <w:rsid w:val="00DB56AB"/>
    <w:rsid w:val="00DB6331"/>
    <w:rsid w:val="00DB7179"/>
    <w:rsid w:val="00DB7DA2"/>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EF3665"/>
    <w:rsid w:val="00F0078E"/>
    <w:rsid w:val="00F02C4D"/>
    <w:rsid w:val="00F04209"/>
    <w:rsid w:val="00F05510"/>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18D4"/>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0FF0EFB"/>
    <w:rsid w:val="00FF3979"/>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y-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510"/>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F05510"/>
    <w:pPr>
      <w:outlineLvl w:val="0"/>
    </w:pPr>
    <w:rPr>
      <w:rFonts w:ascii="Arial" w:hAnsi="Arial" w:cs="Arial"/>
      <w:b/>
      <w:color w:val="7030A0"/>
      <w:sz w:val="84"/>
      <w:szCs w:val="84"/>
    </w:rPr>
  </w:style>
  <w:style w:type="paragraph" w:styleId="Heading2">
    <w:name w:val="heading 2"/>
    <w:basedOn w:val="Heading1"/>
    <w:next w:val="Normal"/>
    <w:link w:val="Heading2Char"/>
    <w:unhideWhenUsed/>
    <w:qFormat/>
    <w:locked/>
    <w:rsid w:val="00F05510"/>
    <w:pPr>
      <w:outlineLvl w:val="1"/>
    </w:pPr>
  </w:style>
  <w:style w:type="paragraph" w:styleId="Heading3">
    <w:name w:val="heading 3"/>
    <w:basedOn w:val="Style1"/>
    <w:next w:val="Normal"/>
    <w:link w:val="Heading3Char"/>
    <w:unhideWhenUsed/>
    <w:qFormat/>
    <w:locked/>
    <w:rsid w:val="009E4C33"/>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customStyle="1" w:styleId="UnresolvedMention2">
    <w:name w:val="Unresolved Mention2"/>
    <w:basedOn w:val="DefaultParagraphFont"/>
    <w:uiPriority w:val="99"/>
    <w:unhideWhenUsed/>
    <w:rsid w:val="00152647"/>
    <w:rPr>
      <w:color w:val="605E5C"/>
      <w:shd w:val="clear" w:color="auto" w:fill="E1DFDD"/>
    </w:rPr>
  </w:style>
  <w:style w:type="character" w:customStyle="1" w:styleId="Mention1">
    <w:name w:val="Mention1"/>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F05510"/>
    <w:rPr>
      <w:rFonts w:ascii="Arial" w:hAnsi="Arial" w:cs="Arial"/>
      <w:b/>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F05510"/>
    <w:rPr>
      <w:rFonts w:ascii="Arial" w:hAnsi="Arial" w:cs="Arial"/>
      <w:b/>
      <w:color w:val="7030A0"/>
      <w:sz w:val="84"/>
      <w:szCs w:val="84"/>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9E4C33"/>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3C5E71"/>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3C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7.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collections/multi-agency-public-protection-arrangements-mappa-annual-reports" TargetMode="External"/><Relationship Id="rId27" Type="http://schemas.openxmlformats.org/officeDocument/2006/relationships/footer" Target="footer8.xml"/><Relationship Id="rId30" Type="http://schemas.openxmlformats.org/officeDocument/2006/relationships/image" Target="media/image7.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3.xml><?xml version="1.0" encoding="utf-8"?>
<ds:datastoreItem xmlns:ds="http://schemas.openxmlformats.org/officeDocument/2006/customXml" ds:itemID="{A68D0245-A4B5-4F75-870C-27A042F34E4D}">
  <ds:schemaRefs>
    <ds:schemaRef ds:uri="http://schemas.openxmlformats.org/officeDocument/2006/bibliography"/>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8</TotalTime>
  <Pages>15</Pages>
  <Words>3781</Words>
  <Characters>21552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7</cp:revision>
  <dcterms:created xsi:type="dcterms:W3CDTF">2026-10-22T13:25:00Z</dcterms:created>
  <dcterms:modified xsi:type="dcterms:W3CDTF">2026-10-29T09:34:00Z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