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31CE9A" w14:textId="77777777" w:rsidR="001E1C1E" w:rsidRDefault="00000000">
      <w:pPr>
        <w:spacing w:after="0" w:line="276" w:lineRule="auto"/>
        <w:ind w:left="-425" w:right="-550"/>
        <w:jc w:val="both"/>
        <w:rPr>
          <w:b/>
          <w:bCs/>
        </w:rPr>
      </w:pPr>
      <w:r>
        <w:tab/>
      </w:r>
      <w:r>
        <w:tab/>
      </w:r>
      <w:r>
        <w:tab/>
      </w:r>
      <w:r>
        <w:tab/>
      </w:r>
      <w:r>
        <w:tab/>
      </w:r>
      <w:r>
        <w:tab/>
      </w:r>
      <w:r>
        <w:tab/>
      </w:r>
      <w:r>
        <w:tab/>
      </w:r>
    </w:p>
    <w:p w14:paraId="3FCF9EFF" w14:textId="77777777" w:rsidR="001E1C1E" w:rsidRDefault="00000000">
      <w:pPr>
        <w:spacing w:after="0" w:line="276" w:lineRule="auto"/>
        <w:ind w:left="-425" w:right="-550"/>
        <w:jc w:val="center"/>
        <w:rPr>
          <w:b/>
          <w:bCs/>
          <w:sz w:val="28"/>
          <w:szCs w:val="28"/>
        </w:rPr>
      </w:pPr>
      <w:r>
        <w:rPr>
          <w:b/>
          <w:bCs/>
          <w:sz w:val="28"/>
          <w:szCs w:val="28"/>
        </w:rPr>
        <w:t xml:space="preserve">Procurement Compliance and Oversight </w:t>
      </w:r>
    </w:p>
    <w:p w14:paraId="1B136731" w14:textId="77777777" w:rsidR="001E1C1E" w:rsidRDefault="00000000">
      <w:pPr>
        <w:spacing w:after="0" w:line="276" w:lineRule="auto"/>
        <w:ind w:left="-425" w:right="-550"/>
        <w:jc w:val="center"/>
        <w:rPr>
          <w:sz w:val="28"/>
          <w:szCs w:val="28"/>
        </w:rPr>
      </w:pPr>
      <w:r>
        <w:rPr>
          <w:b/>
          <w:bCs/>
          <w:sz w:val="28"/>
          <w:szCs w:val="28"/>
        </w:rPr>
        <w:t xml:space="preserve"> Progress Report 2025/26</w:t>
      </w:r>
    </w:p>
    <w:p w14:paraId="526A9260" w14:textId="77777777" w:rsidR="001E1C1E" w:rsidRDefault="001E1C1E">
      <w:pPr>
        <w:spacing w:after="0" w:line="276" w:lineRule="auto"/>
        <w:ind w:left="-425" w:right="-550"/>
        <w:jc w:val="both"/>
      </w:pPr>
    </w:p>
    <w:p w14:paraId="5D7E42F7" w14:textId="77777777" w:rsidR="001E1C1E" w:rsidRDefault="00000000">
      <w:pPr>
        <w:spacing w:after="0" w:line="276" w:lineRule="auto"/>
        <w:ind w:left="-425" w:right="-550"/>
        <w:jc w:val="center"/>
        <w:rPr>
          <w:rFonts w:ascii="Times" w:eastAsia="Times" w:hAnsi="Times" w:cs="Times"/>
          <w:vertAlign w:val="subscript"/>
        </w:rPr>
      </w:pPr>
      <w:r>
        <w:t>Trends from 6 April 2025 to 5 April 2026</w:t>
      </w:r>
    </w:p>
    <w:p w14:paraId="4FDBF29E" w14:textId="77777777" w:rsidR="001E1C1E" w:rsidRDefault="001E1C1E">
      <w:pPr>
        <w:spacing w:after="240" w:line="276" w:lineRule="auto"/>
        <w:jc w:val="both"/>
        <w:rPr>
          <w:b/>
          <w:bCs/>
        </w:rPr>
      </w:pPr>
    </w:p>
    <w:p w14:paraId="43F77F06" w14:textId="77777777" w:rsidR="001E1C1E" w:rsidRDefault="00000000">
      <w:pPr>
        <w:spacing w:after="240" w:line="276" w:lineRule="auto"/>
        <w:jc w:val="both"/>
      </w:pPr>
      <w:r>
        <w:rPr>
          <w:b/>
          <w:bCs/>
        </w:rPr>
        <w:t>Foreword by Andrew Forzani</w:t>
      </w:r>
    </w:p>
    <w:p w14:paraId="08D0EB0A" w14:textId="77777777" w:rsidR="001E1C1E" w:rsidRDefault="00000000">
      <w:pPr>
        <w:spacing w:after="240" w:line="276" w:lineRule="auto"/>
        <w:jc w:val="both"/>
      </w:pPr>
      <w:r>
        <w:t xml:space="preserve">Welcome to the Public Procurement and Oversight Progress Report for 2025/26. This reporting period marks a significant milestone in our journey following the introduction of the Procurement Act 2023 (PA23), which brought in new procurement oversight powers. This publication represents the 15th progress report on public procurement compliance, marking a key transition from a single service to a dual service model. </w:t>
      </w:r>
    </w:p>
    <w:p w14:paraId="51D59AA6" w14:textId="77777777" w:rsidR="001E1C1E" w:rsidRDefault="00000000">
      <w:pPr>
        <w:spacing w:after="240" w:line="276" w:lineRule="auto"/>
        <w:jc w:val="both"/>
      </w:pPr>
      <w:r>
        <w:t xml:space="preserve">The transition to this new legislative landscape has led to an increase in cases with the Public Procurement Review Service (PPRS) handling 136 new cases this year, a 52.8% increase largely driven by public sector buyers adjusting to the new regulations. Despite the increase, the PPRS has continued to deliver unblocking £380,970.82 in late payments and maintaining a 100% success rate in releasing valid, overdue, and undisputed invoices. Furthermore, the launch of the Procurement Compliance Service (PCS) in February 2026 introduces a vital mechanism to address institutional and systemic compliance concerns. </w:t>
      </w:r>
    </w:p>
    <w:p w14:paraId="0A9ABF1B" w14:textId="77777777" w:rsidR="001E1C1E" w:rsidRDefault="00000000">
      <w:pPr>
        <w:spacing w:after="240" w:line="276" w:lineRule="auto"/>
        <w:jc w:val="both"/>
      </w:pPr>
      <w:r>
        <w:t xml:space="preserve">These developments align directly with the core pillars of the GCF Strategy 2026–2029, particularly our strategic focus on People and expanding commercial capability across the Function. </w:t>
      </w:r>
    </w:p>
    <w:p w14:paraId="6DA21864" w14:textId="77777777" w:rsidR="001E1C1E" w:rsidRDefault="00000000" w:rsidP="00D57993">
      <w:pPr>
        <w:spacing w:after="240" w:line="276" w:lineRule="auto"/>
        <w:rPr>
          <w:b/>
          <w:bCs/>
          <w:sz w:val="22"/>
          <w:szCs w:val="22"/>
        </w:rPr>
      </w:pPr>
      <w:r>
        <w:rPr>
          <w:b/>
          <w:bCs/>
        </w:rPr>
        <w:t xml:space="preserve">Andrew Forzani </w:t>
      </w:r>
      <w:r>
        <w:br/>
        <w:t xml:space="preserve">Government Chief Commercial Officer </w:t>
      </w:r>
      <w:r>
        <w:br/>
        <w:t xml:space="preserve">Head of Function and Chair, </w:t>
      </w:r>
      <w:r>
        <w:br/>
        <w:t>Government Commercial Agency.</w:t>
      </w:r>
      <w:r>
        <w:br w:type="page"/>
      </w:r>
    </w:p>
    <w:p w14:paraId="7E8EAD42" w14:textId="77777777" w:rsidR="001E1C1E" w:rsidRDefault="00000000">
      <w:pPr>
        <w:spacing w:after="240" w:line="276" w:lineRule="auto"/>
        <w:jc w:val="both"/>
        <w:rPr>
          <w:i/>
          <w:iCs/>
        </w:rPr>
      </w:pPr>
      <w:r>
        <w:rPr>
          <w:b/>
          <w:bCs/>
        </w:rPr>
        <w:lastRenderedPageBreak/>
        <w:t>Introduction by Prof. Barry Hooper</w:t>
      </w:r>
    </w:p>
    <w:p w14:paraId="4299C3C6" w14:textId="77777777" w:rsidR="001E1C1E" w:rsidRDefault="00000000">
      <w:pPr>
        <w:spacing w:after="240" w:line="276" w:lineRule="auto"/>
        <w:jc w:val="both"/>
      </w:pPr>
      <w:r>
        <w:t xml:space="preserve">Managed by Procurement Compliance and Oversight (PCO) within the Standards, Assurance and Strategy team, this report provides insight of how public sector authorities are complying with the Procurement Act 2023 (PA23) and where relevant the Public Contracts Regulations 2015 (PPRS only), setting out the main trends observed by both the PPRS and the PCS across different sectors. </w:t>
      </w:r>
    </w:p>
    <w:p w14:paraId="1FF85414" w14:textId="77777777" w:rsidR="001E1C1E" w:rsidRDefault="00000000">
      <w:pPr>
        <w:spacing w:after="240" w:line="276" w:lineRule="auto"/>
        <w:jc w:val="both"/>
      </w:pPr>
      <w:r>
        <w:t xml:space="preserve">The data from the past year highlights clear operational realities, with top reported issues such as Payment, G-Cloud, Transparency, and Evaluation indicating exactly where issues persist. In alignment with the Commercial Functional Strategy's focus on elevating our people by expanding their capabilities and skills, we must interrogate this data to uncover systemic friction points and address them directly. </w:t>
      </w:r>
    </w:p>
    <w:p w14:paraId="14BE523E" w14:textId="77777777" w:rsidR="001E1C1E" w:rsidRDefault="00000000">
      <w:pPr>
        <w:spacing w:after="240" w:line="276" w:lineRule="auto"/>
        <w:jc w:val="both"/>
        <w:rPr>
          <w:rFonts w:ascii="Times" w:eastAsia="Times" w:hAnsi="Times" w:cs="Times"/>
          <w:highlight w:val="yellow"/>
        </w:rPr>
      </w:pPr>
      <w:r>
        <w:t>The true value of this oversight lies in how we apply its findings to drive continuous improvement across the commercial function. Our priorities for 2026/27 are centred on establishing an active feedback loop with contracting authorities. We will deliver a series of targeted insights and masterclass sessions for the public sector buying community designed to explicitly feedback the issues that are raised to the PPRS. By translating these case findings into practical learning, we will improve long-term procurement quality and ensure the landscape possesses the required skills to execute compliant, high-impact commercial outcomes.</w:t>
      </w:r>
    </w:p>
    <w:p w14:paraId="6465D93B" w14:textId="77777777" w:rsidR="001E1C1E" w:rsidRDefault="00000000" w:rsidP="00D57993">
      <w:pPr>
        <w:spacing w:after="0" w:line="276" w:lineRule="auto"/>
        <w:ind w:left="-425" w:right="-550"/>
        <w:jc w:val="both"/>
        <w:rPr>
          <w:b/>
          <w:bCs/>
        </w:rPr>
      </w:pPr>
      <w:r>
        <w:rPr>
          <w:b/>
          <w:bCs/>
        </w:rPr>
        <w:t xml:space="preserve">Prof. Barry Hooper MCIM, FWCC, FCIPS </w:t>
      </w:r>
    </w:p>
    <w:p w14:paraId="324B9BEE" w14:textId="77777777" w:rsidR="001E1C1E" w:rsidRDefault="00000000" w:rsidP="00D57993">
      <w:pPr>
        <w:spacing w:after="0" w:line="276" w:lineRule="auto"/>
        <w:ind w:left="-425" w:right="-550"/>
        <w:jc w:val="both"/>
        <w:rPr>
          <w:b/>
          <w:bCs/>
        </w:rPr>
      </w:pPr>
      <w:r>
        <w:t>Director of Strategy, Assurance &amp; Standards</w:t>
      </w:r>
      <w:r>
        <w:br w:type="page"/>
      </w:r>
    </w:p>
    <w:p w14:paraId="19A9B7BB" w14:textId="77777777" w:rsidR="001E1C1E" w:rsidRDefault="00000000">
      <w:pPr>
        <w:spacing w:after="0" w:line="276" w:lineRule="auto"/>
        <w:ind w:left="-425" w:right="-550"/>
        <w:jc w:val="both"/>
        <w:rPr>
          <w:b/>
          <w:bCs/>
        </w:rPr>
      </w:pPr>
      <w:r>
        <w:rPr>
          <w:b/>
          <w:bCs/>
        </w:rPr>
        <w:lastRenderedPageBreak/>
        <w:t>Contents:</w:t>
      </w:r>
    </w:p>
    <w:sdt>
      <w:sdtPr>
        <w:id w:val="-1284410424"/>
        <w:docPartObj>
          <w:docPartGallery w:val="Table of Contents"/>
          <w:docPartUnique/>
        </w:docPartObj>
      </w:sdtPr>
      <w:sdtContent>
        <w:p w14:paraId="1EFA323D" w14:textId="77777777" w:rsidR="001E1C1E" w:rsidRDefault="00000000">
          <w:pPr>
            <w:widowControl w:val="0"/>
            <w:spacing w:before="60" w:after="0" w:line="240" w:lineRule="auto"/>
            <w:rPr>
              <w:color w:val="1155CC"/>
              <w:sz w:val="22"/>
              <w:szCs w:val="22"/>
              <w:u w:val="single"/>
            </w:rPr>
          </w:pPr>
          <w:r>
            <w:fldChar w:fldCharType="begin"/>
          </w:r>
          <w:r>
            <w:instrText xml:space="preserve"> TOC \h \u \z \n \t "Heading 1,1,Heading 2,2,Heading 3,3,Heading 4,4,Heading 5,5,Heading 6,6,"</w:instrText>
          </w:r>
          <w:r>
            <w:fldChar w:fldCharType="separate"/>
          </w:r>
          <w:hyperlink w:anchor="_z1264vo5a1ev">
            <w:r>
              <w:rPr>
                <w:color w:val="1155CC"/>
                <w:u w:val="single"/>
              </w:rPr>
              <w:t>1. Background</w:t>
            </w:r>
          </w:hyperlink>
        </w:p>
        <w:p w14:paraId="7F661590" w14:textId="77777777" w:rsidR="001E1C1E" w:rsidRDefault="00000000">
          <w:pPr>
            <w:widowControl w:val="0"/>
            <w:spacing w:before="60" w:after="0" w:line="240" w:lineRule="auto"/>
            <w:rPr>
              <w:color w:val="1155CC"/>
              <w:sz w:val="22"/>
              <w:szCs w:val="22"/>
              <w:u w:val="single"/>
            </w:rPr>
          </w:pPr>
          <w:hyperlink w:anchor="_mpwro2x9e60o">
            <w:r>
              <w:rPr>
                <w:color w:val="1155CC"/>
                <w:u w:val="single"/>
              </w:rPr>
              <w:t>2. Executive Summary</w:t>
            </w:r>
          </w:hyperlink>
        </w:p>
        <w:p w14:paraId="0A56397D" w14:textId="77777777" w:rsidR="001E1C1E" w:rsidRDefault="00000000">
          <w:pPr>
            <w:widowControl w:val="0"/>
            <w:spacing w:before="60" w:after="0" w:line="240" w:lineRule="auto"/>
            <w:rPr>
              <w:color w:val="1155CC"/>
              <w:sz w:val="22"/>
              <w:szCs w:val="22"/>
              <w:u w:val="single"/>
            </w:rPr>
          </w:pPr>
          <w:hyperlink w:anchor="_yzqbf31o592v">
            <w:r>
              <w:rPr>
                <w:color w:val="1155CC"/>
                <w:sz w:val="22"/>
                <w:szCs w:val="22"/>
                <w:u w:val="single"/>
              </w:rPr>
              <w:t>3. Public Procurement Review Service Highlights</w:t>
            </w:r>
          </w:hyperlink>
        </w:p>
        <w:p w14:paraId="28E833C6" w14:textId="77777777" w:rsidR="001E1C1E" w:rsidRDefault="00000000">
          <w:pPr>
            <w:widowControl w:val="0"/>
            <w:spacing w:before="60" w:after="0" w:line="240" w:lineRule="auto"/>
            <w:rPr>
              <w:color w:val="1155CC"/>
              <w:sz w:val="22"/>
              <w:szCs w:val="22"/>
              <w:u w:val="single"/>
            </w:rPr>
          </w:pPr>
          <w:hyperlink w:anchor="_k8nnikc5g6a5">
            <w:r>
              <w:rPr>
                <w:color w:val="1155CC"/>
                <w:u w:val="single"/>
              </w:rPr>
              <w:t>3.1 Cases Received and Sectors Involved</w:t>
            </w:r>
          </w:hyperlink>
        </w:p>
        <w:p w14:paraId="6F16F1B8" w14:textId="77777777" w:rsidR="001E1C1E" w:rsidRDefault="00000000">
          <w:pPr>
            <w:widowControl w:val="0"/>
            <w:spacing w:before="60" w:after="0" w:line="240" w:lineRule="auto"/>
            <w:rPr>
              <w:color w:val="1155CC"/>
              <w:sz w:val="22"/>
              <w:szCs w:val="22"/>
              <w:u w:val="single"/>
            </w:rPr>
          </w:pPr>
          <w:hyperlink w:anchor="_ll147u1fapna">
            <w:r>
              <w:rPr>
                <w:color w:val="1155CC"/>
                <w:u w:val="single"/>
              </w:rPr>
              <w:t>3.2. Non-case Enquiries</w:t>
            </w:r>
          </w:hyperlink>
        </w:p>
        <w:p w14:paraId="5E4401EC" w14:textId="77777777" w:rsidR="001E1C1E" w:rsidRDefault="00000000">
          <w:pPr>
            <w:widowControl w:val="0"/>
            <w:spacing w:before="60" w:after="0" w:line="240" w:lineRule="auto"/>
            <w:rPr>
              <w:color w:val="1155CC"/>
              <w:sz w:val="22"/>
              <w:szCs w:val="22"/>
              <w:u w:val="single"/>
            </w:rPr>
          </w:pPr>
          <w:hyperlink w:anchor="_2et92p0">
            <w:r>
              <w:rPr>
                <w:color w:val="1155CC"/>
                <w:sz w:val="22"/>
                <w:szCs w:val="22"/>
                <w:u w:val="single"/>
              </w:rPr>
              <w:t>3.3. Main Issues Raised</w:t>
            </w:r>
          </w:hyperlink>
        </w:p>
        <w:p w14:paraId="720AB218" w14:textId="77777777" w:rsidR="001E1C1E" w:rsidRDefault="00000000">
          <w:pPr>
            <w:widowControl w:val="0"/>
            <w:spacing w:before="60" w:after="0" w:line="240" w:lineRule="auto"/>
            <w:rPr>
              <w:color w:val="1155CC"/>
              <w:sz w:val="22"/>
              <w:szCs w:val="22"/>
              <w:u w:val="single"/>
            </w:rPr>
          </w:pPr>
          <w:hyperlink w:anchor="_pajyoi9ihs2n">
            <w:r>
              <w:rPr>
                <w:color w:val="1155CC"/>
                <w:sz w:val="22"/>
                <w:szCs w:val="22"/>
                <w:u w:val="single"/>
              </w:rPr>
              <w:t>3.4. Sub Level Classification</w:t>
            </w:r>
          </w:hyperlink>
        </w:p>
        <w:p w14:paraId="1F5F2A1F" w14:textId="77777777" w:rsidR="001E1C1E" w:rsidRDefault="00000000">
          <w:pPr>
            <w:widowControl w:val="0"/>
            <w:spacing w:before="60" w:after="0" w:line="240" w:lineRule="auto"/>
            <w:rPr>
              <w:color w:val="1155CC"/>
              <w:sz w:val="22"/>
              <w:szCs w:val="22"/>
              <w:u w:val="single"/>
            </w:rPr>
          </w:pPr>
          <w:hyperlink w:anchor="_hv1yk9aiuxpp">
            <w:r>
              <w:rPr>
                <w:color w:val="1155CC"/>
                <w:u w:val="single"/>
              </w:rPr>
              <w:t>3.5. Top Issues and Action</w:t>
            </w:r>
          </w:hyperlink>
        </w:p>
        <w:p w14:paraId="20DFB437" w14:textId="77777777" w:rsidR="001E1C1E" w:rsidRDefault="00000000">
          <w:pPr>
            <w:widowControl w:val="0"/>
            <w:spacing w:before="60" w:after="0" w:line="240" w:lineRule="auto"/>
            <w:rPr>
              <w:color w:val="1155CC"/>
              <w:sz w:val="22"/>
              <w:szCs w:val="22"/>
              <w:u w:val="single"/>
            </w:rPr>
          </w:pPr>
          <w:hyperlink w:anchor="_1jlpi38it4oi">
            <w:r>
              <w:rPr>
                <w:color w:val="1155CC"/>
                <w:u w:val="single"/>
              </w:rPr>
              <w:t>3.6. Case Received and Sectors Involved</w:t>
            </w:r>
          </w:hyperlink>
        </w:p>
        <w:p w14:paraId="41116A5D" w14:textId="77777777" w:rsidR="001E1C1E" w:rsidRDefault="00000000">
          <w:pPr>
            <w:widowControl w:val="0"/>
            <w:spacing w:before="60" w:after="0" w:line="240" w:lineRule="auto"/>
            <w:rPr>
              <w:color w:val="1155CC"/>
              <w:sz w:val="22"/>
              <w:szCs w:val="22"/>
              <w:u w:val="single"/>
            </w:rPr>
          </w:pPr>
          <w:hyperlink w:anchor="_ed9nmiqhdbru">
            <w:r>
              <w:rPr>
                <w:color w:val="1155CC"/>
                <w:sz w:val="22"/>
                <w:szCs w:val="22"/>
                <w:u w:val="single"/>
              </w:rPr>
              <w:t>3.6.1  Collapsed and Rejected Cases</w:t>
            </w:r>
          </w:hyperlink>
        </w:p>
        <w:p w14:paraId="542A3718" w14:textId="77777777" w:rsidR="001E1C1E" w:rsidRDefault="00000000">
          <w:pPr>
            <w:widowControl w:val="0"/>
            <w:spacing w:before="60" w:after="0" w:line="240" w:lineRule="auto"/>
            <w:rPr>
              <w:color w:val="1155CC"/>
              <w:sz w:val="22"/>
              <w:szCs w:val="22"/>
              <w:u w:val="single"/>
            </w:rPr>
          </w:pPr>
          <w:hyperlink w:anchor="_u8wd98p44igz">
            <w:r>
              <w:rPr>
                <w:color w:val="1155CC"/>
                <w:u w:val="single"/>
              </w:rPr>
              <w:t>3.7. Service Satisfaction Surveys</w:t>
            </w:r>
          </w:hyperlink>
        </w:p>
        <w:p w14:paraId="72906E3B" w14:textId="77777777" w:rsidR="001E1C1E" w:rsidRDefault="00000000">
          <w:pPr>
            <w:widowControl w:val="0"/>
            <w:spacing w:before="60" w:after="0" w:line="240" w:lineRule="auto"/>
            <w:rPr>
              <w:color w:val="1155CC"/>
              <w:sz w:val="22"/>
              <w:szCs w:val="22"/>
              <w:u w:val="single"/>
            </w:rPr>
          </w:pPr>
          <w:hyperlink w:anchor="_b44vzsnvgj5t">
            <w:r>
              <w:rPr>
                <w:color w:val="1155CC"/>
                <w:sz w:val="22"/>
                <w:szCs w:val="22"/>
                <w:u w:val="single"/>
              </w:rPr>
              <w:t>3.8. Actions in response to Feedback</w:t>
            </w:r>
          </w:hyperlink>
        </w:p>
        <w:p w14:paraId="29E1B775" w14:textId="77777777" w:rsidR="001E1C1E" w:rsidRDefault="00000000">
          <w:pPr>
            <w:widowControl w:val="0"/>
            <w:spacing w:before="60" w:after="0" w:line="240" w:lineRule="auto"/>
            <w:rPr>
              <w:color w:val="1155CC"/>
              <w:sz w:val="22"/>
              <w:szCs w:val="22"/>
              <w:u w:val="single"/>
            </w:rPr>
          </w:pPr>
          <w:hyperlink w:anchor="_5diwzmorkb3t">
            <w:r>
              <w:rPr>
                <w:color w:val="1155CC"/>
                <w:u w:val="single"/>
              </w:rPr>
              <w:t>4. The Procurement Compliance Service</w:t>
            </w:r>
          </w:hyperlink>
        </w:p>
        <w:p w14:paraId="5347DE3E" w14:textId="77777777" w:rsidR="001E1C1E" w:rsidRDefault="00000000">
          <w:pPr>
            <w:widowControl w:val="0"/>
            <w:spacing w:before="60" w:after="0" w:line="240" w:lineRule="auto"/>
            <w:rPr>
              <w:color w:val="1155CC"/>
              <w:sz w:val="22"/>
              <w:szCs w:val="22"/>
              <w:u w:val="single"/>
            </w:rPr>
          </w:pPr>
          <w:hyperlink w:anchor="_9nwm46d3aq78">
            <w:r>
              <w:rPr>
                <w:color w:val="1155CC"/>
                <w:u w:val="single"/>
              </w:rPr>
              <w:t>4.1. Promoting Procurement Compliance and Oversight</w:t>
            </w:r>
          </w:hyperlink>
        </w:p>
        <w:p w14:paraId="0725C918" w14:textId="77777777" w:rsidR="001E1C1E" w:rsidRDefault="00000000">
          <w:pPr>
            <w:widowControl w:val="0"/>
            <w:spacing w:before="60" w:after="0" w:line="240" w:lineRule="auto"/>
            <w:rPr>
              <w:color w:val="1155CC"/>
              <w:sz w:val="22"/>
              <w:szCs w:val="22"/>
              <w:u w:val="single"/>
            </w:rPr>
          </w:pPr>
          <w:hyperlink w:anchor="_39aqef802cuj">
            <w:r>
              <w:rPr>
                <w:color w:val="1155CC"/>
                <w:u w:val="single"/>
              </w:rPr>
              <w:t>5. Forward Look for 2026/27</w:t>
            </w:r>
          </w:hyperlink>
        </w:p>
        <w:p w14:paraId="4FA045A8" w14:textId="77777777" w:rsidR="001E1C1E" w:rsidRDefault="00000000">
          <w:pPr>
            <w:widowControl w:val="0"/>
            <w:spacing w:before="60" w:after="0" w:line="240" w:lineRule="auto"/>
            <w:rPr>
              <w:color w:val="1155CC"/>
              <w:sz w:val="22"/>
              <w:szCs w:val="22"/>
              <w:u w:val="single"/>
            </w:rPr>
          </w:pPr>
          <w:hyperlink w:anchor="_du9ltu97c0lw">
            <w:r>
              <w:rPr>
                <w:color w:val="1155CC"/>
                <w:sz w:val="22"/>
                <w:szCs w:val="22"/>
                <w:u w:val="single"/>
              </w:rPr>
              <w:t>6. Contact Us</w:t>
            </w:r>
          </w:hyperlink>
        </w:p>
        <w:p w14:paraId="529D10C0" w14:textId="77777777" w:rsidR="001E1C1E" w:rsidRDefault="00000000">
          <w:pPr>
            <w:widowControl w:val="0"/>
            <w:spacing w:before="60" w:after="0" w:line="240" w:lineRule="auto"/>
            <w:rPr>
              <w:color w:val="1155CC"/>
              <w:sz w:val="22"/>
              <w:szCs w:val="22"/>
              <w:u w:val="single"/>
            </w:rPr>
          </w:pPr>
          <w:hyperlink w:anchor="_x19sl0yta3uw">
            <w:r>
              <w:rPr>
                <w:color w:val="1155CC"/>
                <w:u w:val="single"/>
              </w:rPr>
              <w:t>Annex A - Main Trends for Central Government</w:t>
            </w:r>
          </w:hyperlink>
        </w:p>
        <w:p w14:paraId="6E9883F8" w14:textId="77777777" w:rsidR="001E1C1E" w:rsidRDefault="00000000">
          <w:pPr>
            <w:widowControl w:val="0"/>
            <w:spacing w:before="60" w:after="0" w:line="240" w:lineRule="auto"/>
            <w:rPr>
              <w:color w:val="1155CC"/>
              <w:sz w:val="22"/>
              <w:szCs w:val="22"/>
              <w:u w:val="single"/>
            </w:rPr>
          </w:pPr>
          <w:hyperlink w:anchor="_2s8eyo1">
            <w:r>
              <w:rPr>
                <w:color w:val="1155CC"/>
                <w:u w:val="single"/>
              </w:rPr>
              <w:t>Annex B - Main Trends for Wider Public Sector</w:t>
            </w:r>
          </w:hyperlink>
          <w:r>
            <w:fldChar w:fldCharType="end"/>
          </w:r>
        </w:p>
      </w:sdtContent>
    </w:sdt>
    <w:p w14:paraId="6C0BA259" w14:textId="77777777" w:rsidR="001E1C1E" w:rsidRDefault="001E1C1E">
      <w:pPr>
        <w:spacing w:after="0" w:line="276" w:lineRule="auto"/>
        <w:ind w:left="-425" w:right="-550"/>
        <w:jc w:val="both"/>
        <w:rPr>
          <w:b/>
          <w:bCs/>
        </w:rPr>
      </w:pPr>
    </w:p>
    <w:p w14:paraId="156027D8" w14:textId="77777777" w:rsidR="001E1C1E" w:rsidRDefault="001E1C1E">
      <w:pPr>
        <w:spacing w:after="0" w:line="276" w:lineRule="auto"/>
        <w:ind w:left="-425" w:right="-550"/>
        <w:jc w:val="both"/>
        <w:rPr>
          <w:b/>
          <w:bCs/>
          <w:highlight w:val="yellow"/>
        </w:rPr>
      </w:pPr>
    </w:p>
    <w:p w14:paraId="24E55885" w14:textId="77777777" w:rsidR="001E1C1E" w:rsidRDefault="001E1C1E">
      <w:pPr>
        <w:spacing w:after="0" w:line="276" w:lineRule="auto"/>
        <w:ind w:left="-425" w:right="-550"/>
        <w:jc w:val="both"/>
        <w:rPr>
          <w:b/>
          <w:bCs/>
          <w:highlight w:val="yellow"/>
        </w:rPr>
      </w:pPr>
    </w:p>
    <w:p w14:paraId="0D81B1FF" w14:textId="77777777" w:rsidR="001E1C1E" w:rsidRDefault="001E1C1E">
      <w:pPr>
        <w:spacing w:after="0" w:line="276" w:lineRule="auto"/>
        <w:ind w:left="-425" w:right="-550"/>
        <w:jc w:val="both"/>
        <w:rPr>
          <w:b/>
          <w:bCs/>
          <w:highlight w:val="yellow"/>
        </w:rPr>
      </w:pPr>
    </w:p>
    <w:p w14:paraId="439648A5" w14:textId="77777777" w:rsidR="001E1C1E" w:rsidRDefault="001E1C1E">
      <w:pPr>
        <w:spacing w:after="0" w:line="276" w:lineRule="auto"/>
        <w:ind w:left="-425" w:right="-550"/>
        <w:jc w:val="both"/>
        <w:rPr>
          <w:b/>
          <w:bCs/>
          <w:highlight w:val="yellow"/>
        </w:rPr>
      </w:pPr>
    </w:p>
    <w:p w14:paraId="776DC6F1" w14:textId="77777777" w:rsidR="001E1C1E" w:rsidRDefault="001E1C1E">
      <w:pPr>
        <w:spacing w:after="0" w:line="276" w:lineRule="auto"/>
        <w:ind w:left="-425" w:right="-550"/>
        <w:jc w:val="both"/>
        <w:rPr>
          <w:b/>
          <w:bCs/>
          <w:highlight w:val="yellow"/>
        </w:rPr>
      </w:pPr>
    </w:p>
    <w:p w14:paraId="4976060F" w14:textId="77777777" w:rsidR="001E1C1E" w:rsidRDefault="001E1C1E">
      <w:pPr>
        <w:spacing w:after="0" w:line="276" w:lineRule="auto"/>
        <w:ind w:left="-425" w:right="-550"/>
        <w:jc w:val="both"/>
        <w:rPr>
          <w:b/>
          <w:bCs/>
          <w:highlight w:val="yellow"/>
        </w:rPr>
      </w:pPr>
    </w:p>
    <w:p w14:paraId="4FD346B0" w14:textId="77777777" w:rsidR="001E1C1E" w:rsidRDefault="001E1C1E">
      <w:pPr>
        <w:spacing w:after="0" w:line="276" w:lineRule="auto"/>
        <w:ind w:left="-425" w:right="-550"/>
        <w:jc w:val="both"/>
        <w:rPr>
          <w:b/>
          <w:bCs/>
          <w:highlight w:val="yellow"/>
        </w:rPr>
      </w:pPr>
    </w:p>
    <w:p w14:paraId="774BB496" w14:textId="77777777" w:rsidR="001E1C1E" w:rsidRDefault="00000000">
      <w:pPr>
        <w:pStyle w:val="Heading1"/>
        <w:spacing w:line="276" w:lineRule="auto"/>
        <w:ind w:left="-425" w:right="-550"/>
        <w:jc w:val="both"/>
        <w:rPr>
          <w:sz w:val="24"/>
          <w:szCs w:val="24"/>
          <w:highlight w:val="yellow"/>
        </w:rPr>
      </w:pPr>
      <w:bookmarkStart w:id="0" w:name="_jsf287leo5kc" w:colFirst="0" w:colLast="0"/>
      <w:bookmarkEnd w:id="0"/>
      <w:r>
        <w:br w:type="page"/>
      </w:r>
    </w:p>
    <w:p w14:paraId="2E5BD8DA" w14:textId="77777777" w:rsidR="001E1C1E" w:rsidRDefault="00000000">
      <w:pPr>
        <w:pStyle w:val="Heading1"/>
        <w:numPr>
          <w:ilvl w:val="0"/>
          <w:numId w:val="9"/>
        </w:numPr>
        <w:jc w:val="both"/>
        <w:rPr>
          <w:sz w:val="24"/>
          <w:szCs w:val="24"/>
        </w:rPr>
      </w:pPr>
      <w:bookmarkStart w:id="1" w:name="_z1264vo5a1ev" w:colFirst="0" w:colLast="0"/>
      <w:bookmarkEnd w:id="1"/>
      <w:r>
        <w:rPr>
          <w:sz w:val="24"/>
          <w:szCs w:val="24"/>
        </w:rPr>
        <w:lastRenderedPageBreak/>
        <w:t>Background</w:t>
      </w:r>
    </w:p>
    <w:p w14:paraId="149AEE80" w14:textId="77777777" w:rsidR="001E1C1E" w:rsidRDefault="00000000">
      <w:pPr>
        <w:pBdr>
          <w:top w:val="nil"/>
          <w:left w:val="nil"/>
          <w:bottom w:val="nil"/>
          <w:right w:val="nil"/>
          <w:between w:val="nil"/>
        </w:pBdr>
        <w:spacing w:line="276" w:lineRule="auto"/>
        <w:ind w:left="-425" w:right="-550"/>
        <w:jc w:val="both"/>
      </w:pPr>
      <w:r>
        <w:t xml:space="preserve">Procurement Compliance and Oversight (PCO), aims to improve the capability and practices of contracting authorities for the benefit of everyone involved in public procurement by ensuring their compliance with the Procurement Act 2023 (PA23). PA23 introduced new procurement oversight powers and with it, the establishment of the Procurement Review Unit when it came into force in February 2025. </w:t>
      </w:r>
    </w:p>
    <w:p w14:paraId="16BC6D09" w14:textId="77777777" w:rsidR="001E1C1E" w:rsidRDefault="00000000">
      <w:pPr>
        <w:pBdr>
          <w:top w:val="nil"/>
          <w:left w:val="nil"/>
          <w:bottom w:val="nil"/>
          <w:right w:val="nil"/>
          <w:between w:val="nil"/>
        </w:pBdr>
        <w:spacing w:line="276" w:lineRule="auto"/>
        <w:ind w:left="-425" w:right="-550"/>
        <w:jc w:val="both"/>
      </w:pPr>
      <w:r>
        <w:t xml:space="preserve">Alongside the existing Public Procurement Review Service (PPRS) which continues its focus on individual procurement concerns from suppliers and late payments, the Procurement Compliance Service (PCS) was created to consider the most severe compliance breaches at the institutional or systemic level. The PCS began accepting referrals in February 2026, to allow for procurements to begin to take place under the new legislation. </w:t>
      </w:r>
    </w:p>
    <w:p w14:paraId="55AF9F27" w14:textId="77777777" w:rsidR="001E1C1E" w:rsidRDefault="00000000">
      <w:pPr>
        <w:pBdr>
          <w:top w:val="nil"/>
          <w:left w:val="nil"/>
          <w:bottom w:val="nil"/>
          <w:right w:val="nil"/>
          <w:between w:val="nil"/>
        </w:pBdr>
        <w:spacing w:line="276" w:lineRule="auto"/>
        <w:ind w:left="-425" w:right="-550"/>
        <w:jc w:val="both"/>
      </w:pPr>
      <w:r>
        <w:t>In April 2026, the PRU was disbanded, with the Debarment Review Service moving to the newly created Government Commercial Agency (GCA). The PPRS and PCS were renamed the PCO and retained in the Commercial Function as part of Standards, Assurance and Strategy, based within the Cabinet Office.</w:t>
      </w:r>
    </w:p>
    <w:p w14:paraId="4D796D70" w14:textId="77777777" w:rsidR="001E1C1E" w:rsidRDefault="00000000">
      <w:pPr>
        <w:pStyle w:val="Heading1"/>
        <w:numPr>
          <w:ilvl w:val="0"/>
          <w:numId w:val="9"/>
        </w:numPr>
        <w:spacing w:line="276" w:lineRule="auto"/>
        <w:ind w:right="-550"/>
        <w:jc w:val="both"/>
        <w:rPr>
          <w:sz w:val="24"/>
          <w:szCs w:val="24"/>
        </w:rPr>
      </w:pPr>
      <w:bookmarkStart w:id="2" w:name="_mpwro2x9e60o" w:colFirst="0" w:colLast="0"/>
      <w:bookmarkEnd w:id="2"/>
      <w:r>
        <w:rPr>
          <w:sz w:val="24"/>
          <w:szCs w:val="24"/>
        </w:rPr>
        <w:t>Executive Summary</w:t>
      </w:r>
    </w:p>
    <w:p w14:paraId="46684C76" w14:textId="77777777" w:rsidR="001E1C1E" w:rsidRDefault="00000000">
      <w:pPr>
        <w:spacing w:after="0" w:line="276" w:lineRule="auto"/>
        <w:ind w:left="-425" w:right="-550"/>
        <w:jc w:val="both"/>
      </w:pPr>
      <w:r>
        <w:t xml:space="preserve">This Progress Report for Procurement Compliance and Oversight (PCO) sets out the main trends observed by the Public Procurement Review Service (PPRS) from 6 April 2025 to 5 April 2026 and initial insights from the Procurement Compliance Service (PCS) since it began receiving referrals in February 2026. The report includes a comparison of procurement issues across sectors, details user survey feedback, and provides a forward look for the 2026/27 financial year. </w:t>
      </w:r>
    </w:p>
    <w:p w14:paraId="2A4A1E7D" w14:textId="77777777" w:rsidR="001E1C1E" w:rsidRDefault="001E1C1E">
      <w:pPr>
        <w:spacing w:after="0" w:line="276" w:lineRule="auto"/>
        <w:ind w:left="-425" w:right="-550"/>
        <w:jc w:val="both"/>
      </w:pPr>
    </w:p>
    <w:p w14:paraId="78807028" w14:textId="77777777" w:rsidR="001E1C1E" w:rsidRDefault="00000000">
      <w:pPr>
        <w:spacing w:after="0" w:line="276" w:lineRule="auto"/>
        <w:ind w:left="-425" w:right="-550"/>
        <w:jc w:val="both"/>
      </w:pPr>
      <w:r>
        <w:t xml:space="preserve">The Public Procurement Review Service (PPRS) allows public sector suppliers and potential government suppliers to raise concerns, with the option to remain anonymous, where they believe that there has been poor public sector procurement practice. PPRS also accepts cases raised by suppliers concerning the late payment (i.e. not paid within 30 calendar days or as stated in the contract terms) of valid and undisputed invoices on a public sector contract. PPRS received 136 cases in 2025/26 (plus 18 cases carried forward, making a 52.8% increase from 89 cases in 2024/25. This rise was primarily driven by public sector buyers adjusting to the legislative transition under the Procurement Act 2023 (PA23). This year 61.0% (83 cases) came from first-time service users. </w:t>
      </w:r>
    </w:p>
    <w:p w14:paraId="725BAB0F" w14:textId="77777777" w:rsidR="001E1C1E" w:rsidRDefault="001E1C1E">
      <w:pPr>
        <w:spacing w:after="0" w:line="276" w:lineRule="auto"/>
        <w:ind w:left="-425" w:right="-550"/>
        <w:jc w:val="both"/>
      </w:pPr>
    </w:p>
    <w:p w14:paraId="41BE5A75" w14:textId="77777777" w:rsidR="001E1C1E" w:rsidRDefault="00000000">
      <w:pPr>
        <w:spacing w:after="0" w:line="276" w:lineRule="auto"/>
        <w:ind w:left="-425" w:right="-550"/>
        <w:jc w:val="both"/>
      </w:pPr>
      <w:r>
        <w:t xml:space="preserve">During the same period, there were 2,446 contract opportunities posted on Contracts Finder, while 17,077 opportunities. And 59,731 award notices were published on Find a Tender Service. PPRS also handled 150 general enquiries, up from 90 the previous year, signposting non-complaint matters and referring complex cases to the PCS and Debarment Review Service </w:t>
      </w:r>
    </w:p>
    <w:p w14:paraId="3EA105A8" w14:textId="77777777" w:rsidR="001E1C1E" w:rsidRDefault="001E1C1E">
      <w:pPr>
        <w:spacing w:after="0" w:line="276" w:lineRule="auto"/>
        <w:ind w:left="-425" w:right="-550"/>
        <w:jc w:val="both"/>
      </w:pPr>
    </w:p>
    <w:p w14:paraId="4262DEFD" w14:textId="77777777" w:rsidR="001E1C1E" w:rsidRDefault="001E1C1E">
      <w:pPr>
        <w:spacing w:after="0" w:line="276" w:lineRule="auto"/>
        <w:ind w:left="-425" w:right="-550"/>
        <w:jc w:val="both"/>
      </w:pPr>
    </w:p>
    <w:p w14:paraId="66116B65" w14:textId="77777777" w:rsidR="001E1C1E" w:rsidRDefault="00000000">
      <w:pPr>
        <w:spacing w:after="0" w:line="276" w:lineRule="auto"/>
        <w:ind w:left="-425" w:right="-550"/>
        <w:jc w:val="both"/>
      </w:pPr>
      <w:r>
        <w:t xml:space="preserve">The top 4 reported issues to PPRS this year were: </w:t>
      </w:r>
    </w:p>
    <w:p w14:paraId="4551F994" w14:textId="77777777" w:rsidR="001E1C1E" w:rsidRDefault="00000000">
      <w:pPr>
        <w:numPr>
          <w:ilvl w:val="0"/>
          <w:numId w:val="4"/>
        </w:numPr>
        <w:spacing w:after="0" w:line="276" w:lineRule="auto"/>
        <w:ind w:right="-550"/>
        <w:jc w:val="both"/>
      </w:pPr>
      <w:r>
        <w:lastRenderedPageBreak/>
        <w:t xml:space="preserve">Payment. </w:t>
      </w:r>
    </w:p>
    <w:p w14:paraId="74E06E37" w14:textId="77777777" w:rsidR="001E1C1E" w:rsidRDefault="00000000">
      <w:pPr>
        <w:numPr>
          <w:ilvl w:val="0"/>
          <w:numId w:val="4"/>
        </w:numPr>
        <w:spacing w:after="0" w:line="276" w:lineRule="auto"/>
        <w:ind w:right="-550"/>
        <w:jc w:val="both"/>
      </w:pPr>
      <w:r>
        <w:t xml:space="preserve">G-Cloud Use (Direct Award). </w:t>
      </w:r>
    </w:p>
    <w:p w14:paraId="60F130CF" w14:textId="77777777" w:rsidR="001E1C1E" w:rsidRDefault="00000000">
      <w:pPr>
        <w:numPr>
          <w:ilvl w:val="0"/>
          <w:numId w:val="4"/>
        </w:numPr>
        <w:spacing w:after="0" w:line="276" w:lineRule="auto"/>
        <w:ind w:right="-550"/>
        <w:jc w:val="both"/>
      </w:pPr>
      <w:r>
        <w:t xml:space="preserve">Transparency (including Feedback and Communication). </w:t>
      </w:r>
    </w:p>
    <w:p w14:paraId="1FEA66B8" w14:textId="77777777" w:rsidR="001E1C1E" w:rsidRDefault="00000000">
      <w:pPr>
        <w:numPr>
          <w:ilvl w:val="0"/>
          <w:numId w:val="4"/>
        </w:numPr>
        <w:spacing w:after="0" w:line="276" w:lineRule="auto"/>
        <w:ind w:right="-550"/>
        <w:jc w:val="both"/>
      </w:pPr>
      <w:r>
        <w:t>Evaluation.</w:t>
      </w:r>
    </w:p>
    <w:p w14:paraId="7E735B6F" w14:textId="77777777" w:rsidR="001E1C1E" w:rsidRDefault="001E1C1E">
      <w:pPr>
        <w:spacing w:after="0" w:line="276" w:lineRule="auto"/>
        <w:ind w:left="-425" w:right="-550"/>
        <w:jc w:val="both"/>
      </w:pPr>
    </w:p>
    <w:p w14:paraId="2A87B32D" w14:textId="77777777" w:rsidR="001E1C1E" w:rsidRDefault="00000000">
      <w:pPr>
        <w:spacing w:after="0" w:line="276" w:lineRule="auto"/>
        <w:ind w:left="-425" w:right="-550"/>
        <w:jc w:val="both"/>
      </w:pPr>
      <w:r>
        <w:t>Additional trending concerns included:</w:t>
      </w:r>
    </w:p>
    <w:p w14:paraId="32F196F2" w14:textId="77777777" w:rsidR="001E1C1E" w:rsidRDefault="00000000">
      <w:pPr>
        <w:numPr>
          <w:ilvl w:val="0"/>
          <w:numId w:val="8"/>
        </w:numPr>
        <w:spacing w:after="0" w:line="276" w:lineRule="auto"/>
        <w:ind w:right="-550"/>
        <w:jc w:val="both"/>
      </w:pPr>
      <w:r>
        <w:t xml:space="preserve">Contract Management. </w:t>
      </w:r>
    </w:p>
    <w:p w14:paraId="79389455" w14:textId="77777777" w:rsidR="001E1C1E" w:rsidRDefault="00000000">
      <w:pPr>
        <w:numPr>
          <w:ilvl w:val="0"/>
          <w:numId w:val="8"/>
        </w:numPr>
        <w:spacing w:after="0" w:line="276" w:lineRule="auto"/>
        <w:ind w:right="-550"/>
        <w:jc w:val="both"/>
      </w:pPr>
      <w:r>
        <w:t xml:space="preserve">SME Exclusion. </w:t>
      </w:r>
    </w:p>
    <w:p w14:paraId="0A9F7998" w14:textId="77777777" w:rsidR="001E1C1E" w:rsidRDefault="00000000">
      <w:pPr>
        <w:numPr>
          <w:ilvl w:val="0"/>
          <w:numId w:val="8"/>
        </w:numPr>
        <w:spacing w:after="0" w:line="276" w:lineRule="auto"/>
        <w:ind w:right="-550"/>
        <w:jc w:val="both"/>
      </w:pPr>
      <w:r>
        <w:t xml:space="preserve">Pricing. </w:t>
      </w:r>
    </w:p>
    <w:p w14:paraId="2308614F" w14:textId="77777777" w:rsidR="001E1C1E" w:rsidRDefault="001E1C1E">
      <w:pPr>
        <w:spacing w:after="0" w:line="276" w:lineRule="auto"/>
        <w:ind w:left="-425" w:right="-550"/>
        <w:jc w:val="both"/>
      </w:pPr>
    </w:p>
    <w:p w14:paraId="1389EA2B" w14:textId="77777777" w:rsidR="001E1C1E" w:rsidRDefault="00000000">
      <w:pPr>
        <w:spacing w:after="0" w:line="276" w:lineRule="auto"/>
        <w:ind w:left="-425" w:right="-550"/>
        <w:jc w:val="both"/>
      </w:pPr>
      <w:r>
        <w:t xml:space="preserve">Payment remained the primary issue, though cases fell by 12.5%. PPRS unblocked £380,970.82 in late payments, a 15.9% increase in value over 2024/25, and maintained a 100% success rate in releasing valid, undisputed invoices. Total unblocked funds since PPRS inception now stand at £13.8 million. In terms of speed, 86.6% of cases met SLAs, resolving within two months for the central government and three months for wider public sector bodies. Prompt intervention directly enabled adjustments to live procurements in two instances. </w:t>
      </w:r>
    </w:p>
    <w:p w14:paraId="2CE93EA0" w14:textId="77777777" w:rsidR="001E1C1E" w:rsidRDefault="001E1C1E">
      <w:pPr>
        <w:spacing w:after="0" w:line="276" w:lineRule="auto"/>
        <w:ind w:left="-425" w:right="-550"/>
        <w:jc w:val="both"/>
      </w:pPr>
    </w:p>
    <w:p w14:paraId="0B145326" w14:textId="77777777" w:rsidR="001E1C1E" w:rsidRDefault="00000000">
      <w:pPr>
        <w:spacing w:after="0" w:line="276" w:lineRule="auto"/>
        <w:ind w:left="-425" w:right="-550"/>
        <w:jc w:val="both"/>
      </w:pPr>
      <w:r>
        <w:t xml:space="preserve">The newly established PCS received 10 referrals during its initial launch window through 31 March 2026, focusing on systemic and institutional compliance breaches. Early PCS referral trends centred on Transparency (30%), Direct Awards (20%), and Contract Modifications (20%). User satisfaction remains strong with 92.6% of surveyed suppliers would use PPRS again, while 90.5% of contracting authorities found PPRS advice and recommendations useful. </w:t>
      </w:r>
    </w:p>
    <w:p w14:paraId="25C6962C" w14:textId="77777777" w:rsidR="001E1C1E" w:rsidRDefault="001E1C1E">
      <w:pPr>
        <w:spacing w:after="0" w:line="276" w:lineRule="auto"/>
        <w:ind w:left="-425" w:right="-550"/>
        <w:jc w:val="both"/>
      </w:pPr>
    </w:p>
    <w:p w14:paraId="4E7BE6C2" w14:textId="77777777" w:rsidR="001E1C1E" w:rsidRDefault="00000000">
      <w:pPr>
        <w:spacing w:after="0" w:line="276" w:lineRule="auto"/>
        <w:ind w:left="-425" w:right="-550"/>
        <w:jc w:val="both"/>
      </w:pPr>
      <w:r>
        <w:t>Looking ahead to 2026/27, PCO will undertake a review of the PPRS Protocol, embed PCS investigations, leverage AI tools for case analysis, and deliver targeted master class sessions, based on case insights, across the public sector buying community to build commercial capability.</w:t>
      </w:r>
    </w:p>
    <w:p w14:paraId="025072FA" w14:textId="77777777" w:rsidR="001E1C1E" w:rsidRDefault="00000000">
      <w:pPr>
        <w:pStyle w:val="Heading1"/>
        <w:numPr>
          <w:ilvl w:val="0"/>
          <w:numId w:val="9"/>
        </w:numPr>
        <w:spacing w:after="0" w:line="276" w:lineRule="auto"/>
        <w:ind w:right="-550"/>
        <w:jc w:val="both"/>
        <w:rPr>
          <w:sz w:val="24"/>
          <w:szCs w:val="24"/>
        </w:rPr>
      </w:pPr>
      <w:bookmarkStart w:id="3" w:name="_yzqbf31o592v" w:colFirst="0" w:colLast="0"/>
      <w:bookmarkEnd w:id="3"/>
      <w:r>
        <w:rPr>
          <w:sz w:val="24"/>
          <w:szCs w:val="24"/>
        </w:rPr>
        <w:t>Public Procurement Review Service Highlights</w:t>
      </w:r>
    </w:p>
    <w:p w14:paraId="635793C5" w14:textId="77777777" w:rsidR="001E1C1E" w:rsidRDefault="00000000">
      <w:pPr>
        <w:pStyle w:val="Heading1"/>
        <w:spacing w:line="276" w:lineRule="auto"/>
        <w:ind w:left="-425" w:right="-550"/>
        <w:jc w:val="both"/>
        <w:rPr>
          <w:b w:val="0"/>
          <w:bCs w:val="0"/>
          <w:sz w:val="24"/>
          <w:szCs w:val="24"/>
        </w:rPr>
      </w:pPr>
      <w:bookmarkStart w:id="4" w:name="_k8nnikc5g6a5" w:colFirst="0" w:colLast="0"/>
      <w:bookmarkEnd w:id="4"/>
      <w:r>
        <w:rPr>
          <w:sz w:val="24"/>
          <w:szCs w:val="24"/>
        </w:rPr>
        <w:t xml:space="preserve">3.1 Cases Received and Sectors Involved </w:t>
      </w:r>
    </w:p>
    <w:p w14:paraId="31CCDA31" w14:textId="77777777" w:rsidR="001E1C1E" w:rsidRDefault="00000000">
      <w:pPr>
        <w:spacing w:after="0" w:line="276" w:lineRule="auto"/>
        <w:ind w:left="-425" w:right="-550"/>
        <w:jc w:val="both"/>
      </w:pPr>
      <w:r>
        <w:t xml:space="preserve">In the reporting year ended 5 April 2026, 136 new cases were received along with a further 18 cases which were carried forward from the previous year. This report focuses on the trends for the 105 cases handled through to closure; the remaining cases were either collapsed or rejected once further information was received. </w:t>
      </w:r>
    </w:p>
    <w:p w14:paraId="1ADB4A51" w14:textId="77777777" w:rsidR="001E1C1E" w:rsidRDefault="001E1C1E">
      <w:pPr>
        <w:spacing w:after="0" w:line="276" w:lineRule="auto"/>
        <w:ind w:left="-425" w:right="-550"/>
        <w:jc w:val="both"/>
        <w:rPr>
          <w:highlight w:val="yellow"/>
        </w:rPr>
      </w:pPr>
    </w:p>
    <w:p w14:paraId="69BEC7F6" w14:textId="77777777" w:rsidR="001E1C1E" w:rsidRDefault="00000000">
      <w:pPr>
        <w:spacing w:after="0" w:line="276" w:lineRule="auto"/>
        <w:ind w:left="-425" w:right="-550"/>
        <w:jc w:val="both"/>
      </w:pPr>
      <w:r>
        <w:t xml:space="preserve">Cases are rejected if new evidence arises indicating that the complaint raised falls outside our scope and remit. We collapse cases if we lose contact with a supplier, if they request to withdraw from the service, or if they request to work directly with the contracting authority.  29 cases were carried forward to 2026/27. </w:t>
      </w:r>
    </w:p>
    <w:p w14:paraId="570A0D98" w14:textId="77777777" w:rsidR="001E1C1E" w:rsidRDefault="001E1C1E">
      <w:pPr>
        <w:spacing w:after="0" w:line="276" w:lineRule="auto"/>
        <w:ind w:left="-425" w:right="-550"/>
        <w:jc w:val="both"/>
        <w:rPr>
          <w:highlight w:val="yellow"/>
        </w:rPr>
      </w:pPr>
    </w:p>
    <w:p w14:paraId="37B86945" w14:textId="77777777" w:rsidR="001E1C1E" w:rsidRDefault="00000000">
      <w:pPr>
        <w:spacing w:after="0" w:line="276" w:lineRule="auto"/>
        <w:ind w:left="-425" w:right="-550"/>
        <w:jc w:val="both"/>
        <w:rPr>
          <w:b/>
          <w:bCs/>
          <w:i/>
          <w:iCs/>
        </w:rPr>
      </w:pPr>
      <w:r>
        <w:rPr>
          <w:b/>
          <w:bCs/>
          <w:i/>
          <w:iCs/>
        </w:rPr>
        <w:lastRenderedPageBreak/>
        <w:t xml:space="preserve">Chart 1: Sectors we have received concerns about since the service started (closed only): </w:t>
      </w:r>
    </w:p>
    <w:p w14:paraId="38AB48DE" w14:textId="77777777" w:rsidR="001E1C1E" w:rsidRDefault="00000000">
      <w:pPr>
        <w:spacing w:after="0" w:line="276" w:lineRule="auto"/>
        <w:ind w:left="-425" w:right="-550"/>
        <w:jc w:val="both"/>
      </w:pPr>
      <w:r>
        <w:rPr>
          <w:noProof/>
        </w:rPr>
        <w:drawing>
          <wp:anchor distT="114300" distB="114300" distL="114300" distR="114300" simplePos="0" relativeHeight="251658240" behindDoc="0" locked="0" layoutInCell="1" hidden="0" allowOverlap="1" wp14:anchorId="61F9DE54" wp14:editId="49D32FD4">
            <wp:simplePos x="0" y="0"/>
            <wp:positionH relativeFrom="page">
              <wp:posOffset>188700</wp:posOffset>
            </wp:positionH>
            <wp:positionV relativeFrom="page">
              <wp:posOffset>1966889</wp:posOffset>
            </wp:positionV>
            <wp:extent cx="7181122" cy="3524274"/>
            <wp:effectExtent l="0" t="0" r="0" b="0"/>
            <wp:wrapSquare wrapText="bothSides" distT="114300" distB="114300" distL="114300" distR="114300"/>
            <wp:docPr id="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7"/>
                    <a:srcRect/>
                    <a:stretch>
                      <a:fillRect/>
                    </a:stretch>
                  </pic:blipFill>
                  <pic:spPr>
                    <a:xfrm>
                      <a:off x="0" y="0"/>
                      <a:ext cx="7181122" cy="3524274"/>
                    </a:xfrm>
                    <a:prstGeom prst="rect">
                      <a:avLst/>
                    </a:prstGeom>
                    <a:ln/>
                  </pic:spPr>
                </pic:pic>
              </a:graphicData>
            </a:graphic>
          </wp:anchor>
        </w:drawing>
      </w:r>
    </w:p>
    <w:p w14:paraId="1E174D75" w14:textId="77777777" w:rsidR="001E1C1E" w:rsidRDefault="00000000">
      <w:pPr>
        <w:spacing w:after="0" w:line="276" w:lineRule="auto"/>
        <w:ind w:left="-425" w:right="-550"/>
        <w:jc w:val="both"/>
      </w:pPr>
      <w:r>
        <w:t>The number of complaints received for CG has increased from 16 cases in 2024/25 to 27 cases in 2025/26. There has also been an increase in the number of cases received for WPS, from 67 cases in 2024/25 to 78 in 2025/26.</w:t>
      </w:r>
    </w:p>
    <w:p w14:paraId="7F034F0D" w14:textId="77777777" w:rsidR="001E1C1E" w:rsidRDefault="001E1C1E">
      <w:pPr>
        <w:spacing w:after="0" w:line="276" w:lineRule="auto"/>
        <w:ind w:left="-425" w:right="-550"/>
        <w:jc w:val="both"/>
      </w:pPr>
    </w:p>
    <w:p w14:paraId="3CFCA5DA" w14:textId="77777777" w:rsidR="001E1C1E" w:rsidRDefault="00000000">
      <w:pPr>
        <w:spacing w:after="0" w:line="276" w:lineRule="auto"/>
        <w:ind w:left="-425" w:right="-550"/>
        <w:jc w:val="both"/>
        <w:rPr>
          <w:b/>
          <w:bCs/>
          <w:highlight w:val="yellow"/>
        </w:rPr>
      </w:pPr>
      <w:r>
        <w:t>Case numbers have increased since the introduction of the new Procurement Act 2023. This is most likely due to public sector buyers’ lower familiarity with the new regulations.</w:t>
      </w:r>
    </w:p>
    <w:p w14:paraId="4373670C" w14:textId="77777777" w:rsidR="001E1C1E" w:rsidRDefault="00000000">
      <w:pPr>
        <w:pStyle w:val="Heading1"/>
        <w:pBdr>
          <w:top w:val="nil"/>
          <w:left w:val="nil"/>
          <w:bottom w:val="nil"/>
          <w:right w:val="nil"/>
          <w:between w:val="nil"/>
        </w:pBdr>
        <w:spacing w:line="276" w:lineRule="auto"/>
        <w:ind w:left="-425" w:right="-550"/>
        <w:jc w:val="both"/>
        <w:rPr>
          <w:sz w:val="24"/>
          <w:szCs w:val="24"/>
        </w:rPr>
      </w:pPr>
      <w:bookmarkStart w:id="5" w:name="_ll147u1fapna" w:colFirst="0" w:colLast="0"/>
      <w:bookmarkEnd w:id="5"/>
      <w:r>
        <w:rPr>
          <w:sz w:val="24"/>
          <w:szCs w:val="24"/>
        </w:rPr>
        <w:t>3.2. Non-case Enquiries</w:t>
      </w:r>
    </w:p>
    <w:p w14:paraId="3D4522CF" w14:textId="77777777" w:rsidR="001E1C1E" w:rsidRDefault="00000000">
      <w:pPr>
        <w:spacing w:after="0" w:line="276" w:lineRule="auto"/>
        <w:ind w:left="-425" w:right="-550"/>
        <w:jc w:val="both"/>
      </w:pPr>
      <w:r>
        <w:t xml:space="preserve">PPRS continually reviews its processes and identifies areas for improvement. We track enquiries received to understand the volume that does not progress to a full case. Often, these are of a general nature seeking further information, or enquiries that could be handled directly by contracting authorities without the need to establish a case. </w:t>
      </w:r>
    </w:p>
    <w:p w14:paraId="205524CF" w14:textId="77777777" w:rsidR="001E1C1E" w:rsidRDefault="001E1C1E">
      <w:pPr>
        <w:spacing w:after="0" w:line="276" w:lineRule="auto"/>
        <w:ind w:left="-425" w:right="-550"/>
        <w:jc w:val="both"/>
        <w:rPr>
          <w:highlight w:val="yellow"/>
        </w:rPr>
      </w:pPr>
    </w:p>
    <w:p w14:paraId="7D71E938" w14:textId="77777777" w:rsidR="001E1C1E" w:rsidRDefault="00000000">
      <w:pPr>
        <w:spacing w:after="0" w:line="276" w:lineRule="auto"/>
        <w:ind w:left="-425" w:right="-550"/>
        <w:jc w:val="both"/>
      </w:pPr>
      <w:r>
        <w:t xml:space="preserve">We handled 150 enquiries by 5 April 2026, compared to 90 enquiries handled by the same point the previous year. Additionally, we have also classified the nature of the enquiry to identify any further trends that could support our ongoing spot check programme. Of the enquiries received, 62 were not related to complaints about procurement processes and were signposted appropriately, while 35 were outside our scope and remit. Furthermore, 11 did not respond to our requests for further information needed to establish a case and 4 were referred to the Devolved Administrations. Seven enquiries were </w:t>
      </w:r>
      <w:r>
        <w:lastRenderedPageBreak/>
        <w:t>referred to Debarment Review Service, and two were referred to Procurement Compliance Service. The remainder were answered by PPRS.</w:t>
      </w:r>
    </w:p>
    <w:p w14:paraId="160D0940" w14:textId="77777777" w:rsidR="001E1C1E" w:rsidRDefault="00000000">
      <w:pPr>
        <w:pStyle w:val="Heading1"/>
        <w:spacing w:line="276" w:lineRule="auto"/>
        <w:ind w:left="-425" w:right="-550"/>
        <w:jc w:val="both"/>
        <w:rPr>
          <w:sz w:val="24"/>
          <w:szCs w:val="24"/>
        </w:rPr>
      </w:pPr>
      <w:bookmarkStart w:id="6" w:name="_2et92p0" w:colFirst="0" w:colLast="0"/>
      <w:bookmarkEnd w:id="6"/>
      <w:r>
        <w:rPr>
          <w:sz w:val="24"/>
          <w:szCs w:val="24"/>
        </w:rPr>
        <w:t xml:space="preserve">3.3. Main Issues Raised </w:t>
      </w:r>
    </w:p>
    <w:p w14:paraId="0D289220" w14:textId="77777777" w:rsidR="001E1C1E" w:rsidRDefault="00000000">
      <w:pPr>
        <w:spacing w:after="0" w:line="276" w:lineRule="auto"/>
        <w:ind w:left="-425" w:right="-550"/>
        <w:jc w:val="both"/>
        <w:rPr>
          <w:b/>
          <w:bCs/>
        </w:rPr>
      </w:pPr>
      <w:r>
        <w:rPr>
          <w:b/>
          <w:bCs/>
        </w:rPr>
        <w:t>High Level Classification</w:t>
      </w:r>
    </w:p>
    <w:p w14:paraId="687AA01A" w14:textId="77777777" w:rsidR="001E1C1E" w:rsidRDefault="00000000">
      <w:pPr>
        <w:spacing w:after="0" w:line="276" w:lineRule="auto"/>
        <w:ind w:left="-420" w:right="-550"/>
        <w:jc w:val="both"/>
      </w:pPr>
      <w:r>
        <w:t xml:space="preserve">We classify enquiries by the overarching nature of the issue. The types of concerns we investigate are categorised at the closure stage of the investigation. These fall under 7 categories: </w:t>
      </w:r>
    </w:p>
    <w:p w14:paraId="435CF46A" w14:textId="77777777" w:rsidR="001E1C1E" w:rsidRDefault="001E1C1E">
      <w:pPr>
        <w:spacing w:after="0" w:line="276" w:lineRule="auto"/>
        <w:ind w:left="-420" w:right="-550"/>
        <w:jc w:val="both"/>
      </w:pPr>
    </w:p>
    <w:p w14:paraId="601960B8" w14:textId="77777777" w:rsidR="001E1C1E" w:rsidRDefault="00000000">
      <w:pPr>
        <w:numPr>
          <w:ilvl w:val="0"/>
          <w:numId w:val="2"/>
        </w:numPr>
        <w:spacing w:after="0" w:line="276" w:lineRule="auto"/>
        <w:ind w:right="-550"/>
        <w:jc w:val="both"/>
      </w:pPr>
      <w:r>
        <w:t>Procurement Strategy (the approach to achieving what the contracting authority requires from the procurement)</w:t>
      </w:r>
    </w:p>
    <w:p w14:paraId="48A0675B" w14:textId="77777777" w:rsidR="001E1C1E" w:rsidRDefault="00000000">
      <w:pPr>
        <w:numPr>
          <w:ilvl w:val="0"/>
          <w:numId w:val="2"/>
        </w:numPr>
        <w:spacing w:after="0" w:line="276" w:lineRule="auto"/>
        <w:ind w:right="-550"/>
        <w:jc w:val="both"/>
      </w:pPr>
      <w:r>
        <w:t>Procurement Process (issues relating to the submission or evaluation of tenders)</w:t>
      </w:r>
    </w:p>
    <w:p w14:paraId="4CA9F935" w14:textId="77777777" w:rsidR="001E1C1E" w:rsidRDefault="00000000">
      <w:pPr>
        <w:numPr>
          <w:ilvl w:val="0"/>
          <w:numId w:val="2"/>
        </w:numPr>
        <w:spacing w:after="0" w:line="276" w:lineRule="auto"/>
        <w:ind w:right="-550"/>
        <w:jc w:val="both"/>
      </w:pPr>
      <w:r>
        <w:t>Late Payment</w:t>
      </w:r>
    </w:p>
    <w:p w14:paraId="2FCA365B" w14:textId="77777777" w:rsidR="001E1C1E" w:rsidRDefault="00000000">
      <w:pPr>
        <w:numPr>
          <w:ilvl w:val="0"/>
          <w:numId w:val="2"/>
        </w:numPr>
        <w:spacing w:after="0" w:line="276" w:lineRule="auto"/>
        <w:ind w:right="-550"/>
        <w:jc w:val="both"/>
      </w:pPr>
      <w:r>
        <w:t>Transparency (where the process was not clear)</w:t>
      </w:r>
    </w:p>
    <w:p w14:paraId="7B93FB33" w14:textId="77777777" w:rsidR="001E1C1E" w:rsidRDefault="00000000">
      <w:pPr>
        <w:numPr>
          <w:ilvl w:val="0"/>
          <w:numId w:val="2"/>
        </w:numPr>
        <w:spacing w:after="0" w:line="276" w:lineRule="auto"/>
        <w:ind w:right="-550"/>
        <w:jc w:val="both"/>
      </w:pPr>
      <w:r>
        <w:t>Technology/Systems (e.g. broken links or issues with eTendering Portals)</w:t>
      </w:r>
    </w:p>
    <w:p w14:paraId="7718D1EE" w14:textId="77777777" w:rsidR="001E1C1E" w:rsidRDefault="00000000">
      <w:pPr>
        <w:numPr>
          <w:ilvl w:val="0"/>
          <w:numId w:val="2"/>
        </w:numPr>
        <w:spacing w:after="0" w:line="276" w:lineRule="auto"/>
        <w:ind w:right="-550"/>
        <w:jc w:val="both"/>
      </w:pPr>
      <w:r>
        <w:t>Contract Management (problems at any stage of the contract management process)</w:t>
      </w:r>
    </w:p>
    <w:p w14:paraId="0E3A81CA" w14:textId="77777777" w:rsidR="001E1C1E" w:rsidRDefault="00000000">
      <w:pPr>
        <w:numPr>
          <w:ilvl w:val="0"/>
          <w:numId w:val="2"/>
        </w:numPr>
        <w:spacing w:after="0" w:line="276" w:lineRule="auto"/>
        <w:ind w:right="-550"/>
        <w:jc w:val="both"/>
      </w:pPr>
      <w:r>
        <w:t xml:space="preserve">Bureaucracy of the Process (procurement red tape)  </w:t>
      </w:r>
    </w:p>
    <w:p w14:paraId="7591CC44" w14:textId="77777777" w:rsidR="001E1C1E" w:rsidRDefault="001E1C1E">
      <w:pPr>
        <w:spacing w:after="0" w:line="276" w:lineRule="auto"/>
        <w:ind w:left="-425" w:right="-550"/>
        <w:jc w:val="both"/>
      </w:pPr>
    </w:p>
    <w:p w14:paraId="75563B25" w14:textId="77777777" w:rsidR="001E1C1E" w:rsidRDefault="00000000">
      <w:pPr>
        <w:spacing w:after="0" w:line="276" w:lineRule="auto"/>
        <w:ind w:left="-425" w:right="-550"/>
        <w:jc w:val="both"/>
      </w:pPr>
      <w:r>
        <w:t xml:space="preserve">This high level classification enables us to produce and analyse trends around the main issues received. </w:t>
      </w:r>
    </w:p>
    <w:p w14:paraId="0827F0C2" w14:textId="77777777" w:rsidR="001E1C1E" w:rsidRDefault="001E1C1E">
      <w:pPr>
        <w:spacing w:after="0" w:line="276" w:lineRule="auto"/>
        <w:ind w:left="-425" w:right="-550"/>
        <w:jc w:val="both"/>
        <w:rPr>
          <w:highlight w:val="yellow"/>
        </w:rPr>
      </w:pPr>
    </w:p>
    <w:p w14:paraId="7F4BEEC1" w14:textId="77777777" w:rsidR="001E1C1E" w:rsidRDefault="00000000">
      <w:pPr>
        <w:spacing w:after="0" w:line="276" w:lineRule="auto"/>
        <w:ind w:left="-425" w:right="-550"/>
        <w:jc w:val="both"/>
        <w:rPr>
          <w:b/>
          <w:bCs/>
          <w:i/>
          <w:iCs/>
        </w:rPr>
      </w:pPr>
      <w:r>
        <w:rPr>
          <w:b/>
          <w:bCs/>
          <w:i/>
          <w:iCs/>
        </w:rPr>
        <w:t xml:space="preserve">Chart 2: Types of Issues raised - High Level - 2025/26 comparison against previous year: </w:t>
      </w:r>
    </w:p>
    <w:p w14:paraId="1F136FBB" w14:textId="77777777" w:rsidR="001E1C1E" w:rsidRDefault="001E1C1E">
      <w:pPr>
        <w:spacing w:after="0" w:line="276" w:lineRule="auto"/>
        <w:ind w:left="-425" w:right="-550"/>
        <w:jc w:val="both"/>
        <w:rPr>
          <w:b/>
          <w:bCs/>
          <w:i/>
          <w:iCs/>
        </w:rPr>
      </w:pPr>
    </w:p>
    <w:p w14:paraId="47B21819" w14:textId="77777777" w:rsidR="001E1C1E" w:rsidRDefault="00000000">
      <w:pPr>
        <w:spacing w:after="0" w:line="276" w:lineRule="auto"/>
        <w:ind w:left="-425" w:right="-550"/>
        <w:jc w:val="both"/>
        <w:rPr>
          <w:b/>
          <w:bCs/>
        </w:rPr>
      </w:pPr>
      <w:r>
        <w:rPr>
          <w:b/>
          <w:bCs/>
          <w:noProof/>
        </w:rPr>
        <w:drawing>
          <wp:anchor distT="114300" distB="114300" distL="114300" distR="114300" simplePos="0" relativeHeight="251659264" behindDoc="0" locked="0" layoutInCell="1" hidden="0" allowOverlap="1" wp14:anchorId="45DEC6C2" wp14:editId="0E7BEC27">
            <wp:simplePos x="0" y="0"/>
            <wp:positionH relativeFrom="page">
              <wp:posOffset>503025</wp:posOffset>
            </wp:positionH>
            <wp:positionV relativeFrom="page">
              <wp:posOffset>6522908</wp:posOffset>
            </wp:positionV>
            <wp:extent cx="6517397" cy="2940179"/>
            <wp:effectExtent l="0" t="0" r="0" b="0"/>
            <wp:wrapSquare wrapText="bothSides" distT="114300" distB="114300" distL="114300" distR="114300"/>
            <wp:docPr id="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8"/>
                    <a:srcRect/>
                    <a:stretch>
                      <a:fillRect/>
                    </a:stretch>
                  </pic:blipFill>
                  <pic:spPr>
                    <a:xfrm>
                      <a:off x="0" y="0"/>
                      <a:ext cx="6517397" cy="2940179"/>
                    </a:xfrm>
                    <a:prstGeom prst="rect">
                      <a:avLst/>
                    </a:prstGeom>
                    <a:ln/>
                  </pic:spPr>
                </pic:pic>
              </a:graphicData>
            </a:graphic>
          </wp:anchor>
        </w:drawing>
      </w:r>
    </w:p>
    <w:p w14:paraId="357E7DCA" w14:textId="77777777" w:rsidR="001E1C1E" w:rsidRDefault="001E1C1E" w:rsidP="00D57993">
      <w:pPr>
        <w:spacing w:after="0" w:line="276" w:lineRule="auto"/>
        <w:ind w:right="-550"/>
        <w:jc w:val="both"/>
        <w:rPr>
          <w:b/>
          <w:bCs/>
        </w:rPr>
      </w:pPr>
    </w:p>
    <w:p w14:paraId="50AC73FE" w14:textId="77777777" w:rsidR="001E1C1E" w:rsidRDefault="001E1C1E">
      <w:pPr>
        <w:spacing w:after="0" w:line="276" w:lineRule="auto"/>
        <w:ind w:left="-425" w:right="-550"/>
        <w:jc w:val="both"/>
        <w:rPr>
          <w:highlight w:val="yellow"/>
        </w:rPr>
      </w:pPr>
    </w:p>
    <w:p w14:paraId="02EAA74D" w14:textId="77777777" w:rsidR="001E1C1E" w:rsidRDefault="00000000">
      <w:pPr>
        <w:numPr>
          <w:ilvl w:val="0"/>
          <w:numId w:val="5"/>
        </w:numPr>
        <w:spacing w:after="0" w:line="276" w:lineRule="auto"/>
        <w:ind w:right="-550"/>
        <w:jc w:val="both"/>
      </w:pPr>
      <w:r>
        <w:t>In 2025/26 there was a decrease in ‘Payment’ cases to 28 cases (30.5% of all cases) compared to 2024/25 where ‘Payment’ cases accounted for 32 cases (38.6% of all cases).</w:t>
      </w:r>
    </w:p>
    <w:p w14:paraId="7F20E825" w14:textId="77777777" w:rsidR="001E1C1E" w:rsidRDefault="00000000">
      <w:pPr>
        <w:numPr>
          <w:ilvl w:val="0"/>
          <w:numId w:val="5"/>
        </w:numPr>
        <w:spacing w:after="0" w:line="276" w:lineRule="auto"/>
        <w:ind w:right="-550"/>
        <w:jc w:val="both"/>
      </w:pPr>
      <w:r>
        <w:t>PPRS routinely reminds contracting authorities of their obligations under the Prompt Payment Policy and the PCR 2015 regulation 113</w:t>
      </w:r>
      <w:r>
        <w:rPr>
          <w:vertAlign w:val="superscript"/>
        </w:rPr>
        <w:footnoteReference w:id="1"/>
      </w:r>
      <w:r>
        <w:t xml:space="preserve">. </w:t>
      </w:r>
    </w:p>
    <w:p w14:paraId="2C76D5F8" w14:textId="77777777" w:rsidR="001E1C1E" w:rsidRDefault="00000000">
      <w:pPr>
        <w:numPr>
          <w:ilvl w:val="0"/>
          <w:numId w:val="5"/>
        </w:numPr>
        <w:spacing w:after="0" w:line="276" w:lineRule="auto"/>
        <w:ind w:right="-550"/>
        <w:jc w:val="both"/>
      </w:pPr>
      <w:r>
        <w:t>‘Procurement Process’- has remained similar with 31 in 2024/25 (37.3%) and 37 in 2025/26 (35.2%).</w:t>
      </w:r>
    </w:p>
    <w:p w14:paraId="65FB65AE" w14:textId="77777777" w:rsidR="001E1C1E" w:rsidRDefault="00000000">
      <w:pPr>
        <w:numPr>
          <w:ilvl w:val="0"/>
          <w:numId w:val="5"/>
        </w:numPr>
        <w:spacing w:after="0" w:line="276" w:lineRule="auto"/>
        <w:ind w:right="-550"/>
        <w:jc w:val="both"/>
      </w:pPr>
      <w:r>
        <w:t>‘Procurement Strategy’ - has increased in cases from  8 cases in 2024/25 (9.6%) to 20 cases in 2025/26 (19.0%).</w:t>
      </w:r>
    </w:p>
    <w:p w14:paraId="7878B533" w14:textId="77777777" w:rsidR="001E1C1E" w:rsidRDefault="00000000">
      <w:pPr>
        <w:numPr>
          <w:ilvl w:val="0"/>
          <w:numId w:val="5"/>
        </w:numPr>
        <w:spacing w:after="0" w:line="276" w:lineRule="auto"/>
        <w:ind w:right="-550"/>
        <w:jc w:val="both"/>
      </w:pPr>
      <w:r>
        <w:t>‘Transparency’ - has increased in cases from 5 in 2024/25 (6.0%) to 14 in 2025/26 (13.3%).</w:t>
      </w:r>
    </w:p>
    <w:p w14:paraId="49CC626F" w14:textId="77777777" w:rsidR="001E1C1E" w:rsidRDefault="00000000">
      <w:pPr>
        <w:numPr>
          <w:ilvl w:val="0"/>
          <w:numId w:val="5"/>
        </w:numPr>
        <w:spacing w:after="0" w:line="276" w:lineRule="auto"/>
        <w:ind w:right="-550"/>
        <w:jc w:val="both"/>
      </w:pPr>
      <w:r>
        <w:t>‘Contract Management’ - there was a decrease in cases from 6 cases (7.2%) in 2024/25 to 3 cases (2.9%) in 2025/26.</w:t>
      </w:r>
    </w:p>
    <w:p w14:paraId="40E90E5F" w14:textId="77777777" w:rsidR="001E1C1E" w:rsidRDefault="00000000">
      <w:pPr>
        <w:numPr>
          <w:ilvl w:val="0"/>
          <w:numId w:val="5"/>
        </w:numPr>
        <w:spacing w:after="0" w:line="276" w:lineRule="auto"/>
        <w:ind w:right="-550"/>
        <w:jc w:val="both"/>
      </w:pPr>
      <w:r>
        <w:t>‘Technology/Systems’ - there were zero cases in 2024/25 and there were three (2.9%) in 2025/26.</w:t>
      </w:r>
    </w:p>
    <w:p w14:paraId="47D92861" w14:textId="77777777" w:rsidR="001E1C1E" w:rsidRDefault="00000000">
      <w:pPr>
        <w:numPr>
          <w:ilvl w:val="0"/>
          <w:numId w:val="5"/>
        </w:numPr>
        <w:spacing w:after="0" w:line="276" w:lineRule="auto"/>
        <w:ind w:right="-550"/>
        <w:jc w:val="both"/>
      </w:pPr>
      <w:r>
        <w:t>‘Bureaucracy of the whole process’ - there was one case (1.2%) in 2024/25 where there were zero in 2025/26.</w:t>
      </w:r>
    </w:p>
    <w:p w14:paraId="70EEF138" w14:textId="77777777" w:rsidR="001E1C1E" w:rsidRDefault="00000000">
      <w:pPr>
        <w:pStyle w:val="Heading1"/>
        <w:spacing w:after="0" w:line="276" w:lineRule="auto"/>
        <w:ind w:left="-425" w:right="-550"/>
        <w:jc w:val="both"/>
        <w:rPr>
          <w:sz w:val="24"/>
          <w:szCs w:val="24"/>
        </w:rPr>
      </w:pPr>
      <w:bookmarkStart w:id="7" w:name="_pajyoi9ihs2n" w:colFirst="0" w:colLast="0"/>
      <w:bookmarkEnd w:id="7"/>
      <w:r>
        <w:rPr>
          <w:sz w:val="24"/>
          <w:szCs w:val="24"/>
        </w:rPr>
        <w:t>3.4. Sub Level Classification</w:t>
      </w:r>
    </w:p>
    <w:p w14:paraId="19A8E556" w14:textId="77777777" w:rsidR="001E1C1E" w:rsidRDefault="001E1C1E">
      <w:pPr>
        <w:spacing w:after="0" w:line="276" w:lineRule="auto"/>
        <w:ind w:left="-425" w:right="-550"/>
        <w:jc w:val="both"/>
        <w:rPr>
          <w:b/>
          <w:bCs/>
        </w:rPr>
      </w:pPr>
    </w:p>
    <w:p w14:paraId="7F72CE9C" w14:textId="77777777" w:rsidR="001E1C1E" w:rsidRDefault="00000000">
      <w:pPr>
        <w:spacing w:after="0" w:line="276" w:lineRule="auto"/>
        <w:ind w:left="-425" w:right="-550"/>
        <w:jc w:val="both"/>
      </w:pPr>
      <w:r>
        <w:t>Closed cases are further classified to provide a more granular level of detail to enable us to identify and analyse trends. Late payment accounted for more than a quarter (26.7%) of all issues reported to PPRS this year with 28 cases, compared to just over a third, 32 cases (38.6%), of all cases the previous year. Within this report we have grouped issues where two cases or a single case has been received as ‘Other’</w:t>
      </w:r>
      <w:r>
        <w:rPr>
          <w:vertAlign w:val="superscript"/>
        </w:rPr>
        <w:footnoteReference w:id="2"/>
      </w:r>
      <w:r>
        <w:t>.</w:t>
      </w:r>
    </w:p>
    <w:p w14:paraId="726D239D" w14:textId="77777777" w:rsidR="001E1C1E" w:rsidRDefault="001E1C1E">
      <w:pPr>
        <w:spacing w:after="0" w:line="276" w:lineRule="auto"/>
        <w:ind w:left="-425" w:right="-550"/>
        <w:jc w:val="both"/>
      </w:pPr>
    </w:p>
    <w:p w14:paraId="5FFC426F" w14:textId="77777777" w:rsidR="001E1C1E" w:rsidRDefault="00000000">
      <w:pPr>
        <w:spacing w:after="0" w:line="276" w:lineRule="auto"/>
        <w:ind w:left="-425" w:right="-550"/>
        <w:jc w:val="both"/>
      </w:pPr>
      <w:r>
        <w:t>‘Upheld’ represents cases where we have made recommendations for change in the contracting authority’s processes and provided signposting to published guidance. ‘Not upheld’ refers to cases where the contracting authority has followed the correct procedures and we were able to educate suppliers.</w:t>
      </w:r>
    </w:p>
    <w:p w14:paraId="6B8D74AA" w14:textId="77777777" w:rsidR="001E1C1E" w:rsidRDefault="001E1C1E">
      <w:pPr>
        <w:spacing w:after="0" w:line="276" w:lineRule="auto"/>
        <w:ind w:left="-425" w:right="-550"/>
        <w:jc w:val="both"/>
        <w:rPr>
          <w:b/>
          <w:bCs/>
        </w:rPr>
      </w:pPr>
    </w:p>
    <w:p w14:paraId="2CC17D85" w14:textId="77777777" w:rsidR="001E1C1E" w:rsidRDefault="001E1C1E">
      <w:pPr>
        <w:spacing w:after="0" w:line="276" w:lineRule="auto"/>
        <w:ind w:left="-425" w:right="-550"/>
        <w:jc w:val="both"/>
        <w:rPr>
          <w:highlight w:val="yellow"/>
        </w:rPr>
      </w:pPr>
    </w:p>
    <w:p w14:paraId="15F91031" w14:textId="77777777" w:rsidR="001E1C1E" w:rsidRDefault="001E1C1E">
      <w:pPr>
        <w:spacing w:after="0" w:line="276" w:lineRule="auto"/>
        <w:ind w:left="-425" w:right="-550"/>
        <w:jc w:val="both"/>
        <w:rPr>
          <w:highlight w:val="yellow"/>
        </w:rPr>
      </w:pPr>
    </w:p>
    <w:p w14:paraId="0EEED61C" w14:textId="77777777" w:rsidR="001E1C1E" w:rsidRDefault="001E1C1E">
      <w:pPr>
        <w:spacing w:after="0" w:line="276" w:lineRule="auto"/>
        <w:ind w:left="-425" w:right="-550"/>
        <w:jc w:val="both"/>
        <w:rPr>
          <w:highlight w:val="yellow"/>
        </w:rPr>
      </w:pPr>
    </w:p>
    <w:p w14:paraId="7B98AD63" w14:textId="77777777" w:rsidR="001E1C1E" w:rsidRDefault="001E1C1E">
      <w:pPr>
        <w:spacing w:after="0" w:line="276" w:lineRule="auto"/>
        <w:ind w:left="-425" w:right="-550"/>
        <w:jc w:val="both"/>
        <w:rPr>
          <w:highlight w:val="yellow"/>
        </w:rPr>
      </w:pPr>
    </w:p>
    <w:p w14:paraId="54B61390" w14:textId="77777777" w:rsidR="00D57993" w:rsidRDefault="00D57993">
      <w:pPr>
        <w:spacing w:after="0" w:line="276" w:lineRule="auto"/>
        <w:ind w:left="-425" w:right="-550"/>
        <w:jc w:val="both"/>
        <w:rPr>
          <w:highlight w:val="yellow"/>
        </w:rPr>
      </w:pPr>
    </w:p>
    <w:p w14:paraId="2B40982A" w14:textId="77777777" w:rsidR="001E1C1E" w:rsidRDefault="001E1C1E">
      <w:pPr>
        <w:spacing w:after="0" w:line="276" w:lineRule="auto"/>
        <w:ind w:left="-425" w:right="-550"/>
        <w:jc w:val="both"/>
        <w:rPr>
          <w:highlight w:val="yellow"/>
        </w:rPr>
      </w:pPr>
    </w:p>
    <w:p w14:paraId="681A5DFE" w14:textId="77777777" w:rsidR="001E1C1E" w:rsidRDefault="00000000">
      <w:pPr>
        <w:spacing w:after="0" w:line="276" w:lineRule="auto"/>
        <w:ind w:left="-425" w:right="-550"/>
        <w:jc w:val="both"/>
        <w:rPr>
          <w:highlight w:val="yellow"/>
        </w:rPr>
      </w:pPr>
      <w:r>
        <w:rPr>
          <w:b/>
          <w:bCs/>
          <w:i/>
          <w:iCs/>
        </w:rPr>
        <w:lastRenderedPageBreak/>
        <w:t>Chart 3: Types of Issues raised - Sub Level 2025/26</w:t>
      </w:r>
    </w:p>
    <w:p w14:paraId="5694D833" w14:textId="77777777" w:rsidR="001E1C1E" w:rsidRDefault="001E1C1E">
      <w:pPr>
        <w:spacing w:after="0" w:line="276" w:lineRule="auto"/>
        <w:ind w:left="-425" w:right="-550"/>
        <w:jc w:val="both"/>
        <w:rPr>
          <w:highlight w:val="yellow"/>
        </w:rPr>
      </w:pPr>
    </w:p>
    <w:tbl>
      <w:tblPr>
        <w:tblStyle w:val="a"/>
        <w:tblW w:w="10125"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15"/>
        <w:gridCol w:w="1575"/>
        <w:gridCol w:w="1935"/>
        <w:gridCol w:w="1575"/>
        <w:gridCol w:w="2025"/>
      </w:tblGrid>
      <w:tr w:rsidR="001E1C1E" w14:paraId="1910A289" w14:textId="77777777">
        <w:tc>
          <w:tcPr>
            <w:tcW w:w="3015" w:type="dxa"/>
            <w:shd w:val="clear" w:color="auto" w:fill="005ABB"/>
            <w:tcMar>
              <w:top w:w="100" w:type="dxa"/>
              <w:left w:w="100" w:type="dxa"/>
              <w:bottom w:w="100" w:type="dxa"/>
              <w:right w:w="100" w:type="dxa"/>
            </w:tcMar>
          </w:tcPr>
          <w:p w14:paraId="27371131" w14:textId="77777777" w:rsidR="001E1C1E" w:rsidRDefault="00000000">
            <w:pPr>
              <w:widowControl w:val="0"/>
              <w:pBdr>
                <w:top w:val="nil"/>
                <w:left w:val="nil"/>
                <w:bottom w:val="nil"/>
                <w:right w:val="nil"/>
                <w:between w:val="nil"/>
              </w:pBdr>
              <w:spacing w:after="0" w:line="240" w:lineRule="auto"/>
              <w:rPr>
                <w:color w:val="FFFFFF"/>
              </w:rPr>
            </w:pPr>
            <w:r>
              <w:rPr>
                <w:color w:val="FFFFFF"/>
              </w:rPr>
              <w:t>Type of Issue Raised</w:t>
            </w:r>
          </w:p>
        </w:tc>
        <w:tc>
          <w:tcPr>
            <w:tcW w:w="1575" w:type="dxa"/>
            <w:shd w:val="clear" w:color="auto" w:fill="005ABB"/>
            <w:tcMar>
              <w:top w:w="100" w:type="dxa"/>
              <w:left w:w="100" w:type="dxa"/>
              <w:bottom w:w="100" w:type="dxa"/>
              <w:right w:w="100" w:type="dxa"/>
            </w:tcMar>
          </w:tcPr>
          <w:p w14:paraId="069B5787" w14:textId="77777777" w:rsidR="001E1C1E" w:rsidRDefault="00000000">
            <w:pPr>
              <w:widowControl w:val="0"/>
              <w:pBdr>
                <w:top w:val="nil"/>
                <w:left w:val="nil"/>
                <w:bottom w:val="nil"/>
                <w:right w:val="nil"/>
                <w:between w:val="nil"/>
              </w:pBdr>
              <w:spacing w:after="0" w:line="240" w:lineRule="auto"/>
              <w:rPr>
                <w:color w:val="FFFFFF"/>
              </w:rPr>
            </w:pPr>
            <w:r>
              <w:rPr>
                <w:color w:val="FFFFFF"/>
              </w:rPr>
              <w:t>No .of Cases</w:t>
            </w:r>
          </w:p>
        </w:tc>
        <w:tc>
          <w:tcPr>
            <w:tcW w:w="1935" w:type="dxa"/>
            <w:shd w:val="clear" w:color="auto" w:fill="005ABB"/>
            <w:tcMar>
              <w:top w:w="100" w:type="dxa"/>
              <w:left w:w="100" w:type="dxa"/>
              <w:bottom w:w="100" w:type="dxa"/>
              <w:right w:w="100" w:type="dxa"/>
            </w:tcMar>
          </w:tcPr>
          <w:p w14:paraId="1079778A" w14:textId="77777777" w:rsidR="001E1C1E" w:rsidRDefault="00000000">
            <w:pPr>
              <w:widowControl w:val="0"/>
              <w:pBdr>
                <w:top w:val="nil"/>
                <w:left w:val="nil"/>
                <w:bottom w:val="nil"/>
                <w:right w:val="nil"/>
                <w:between w:val="nil"/>
              </w:pBdr>
              <w:spacing w:after="0" w:line="240" w:lineRule="auto"/>
              <w:rPr>
                <w:color w:val="FFFFFF"/>
              </w:rPr>
            </w:pPr>
            <w:r>
              <w:rPr>
                <w:color w:val="FFFFFF"/>
              </w:rPr>
              <w:t>% of Total</w:t>
            </w:r>
          </w:p>
        </w:tc>
        <w:tc>
          <w:tcPr>
            <w:tcW w:w="1575" w:type="dxa"/>
            <w:shd w:val="clear" w:color="auto" w:fill="005ABB"/>
            <w:tcMar>
              <w:top w:w="100" w:type="dxa"/>
              <w:left w:w="100" w:type="dxa"/>
              <w:bottom w:w="100" w:type="dxa"/>
              <w:right w:w="100" w:type="dxa"/>
            </w:tcMar>
          </w:tcPr>
          <w:p w14:paraId="1EEBA407" w14:textId="77777777" w:rsidR="001E1C1E" w:rsidRDefault="00000000">
            <w:pPr>
              <w:widowControl w:val="0"/>
              <w:pBdr>
                <w:top w:val="nil"/>
                <w:left w:val="nil"/>
                <w:bottom w:val="nil"/>
                <w:right w:val="nil"/>
                <w:between w:val="nil"/>
              </w:pBdr>
              <w:spacing w:after="0" w:line="240" w:lineRule="auto"/>
              <w:rPr>
                <w:color w:val="FFFFFF"/>
              </w:rPr>
            </w:pPr>
            <w:r>
              <w:rPr>
                <w:color w:val="FFFFFF"/>
              </w:rPr>
              <w:t>Upheld</w:t>
            </w:r>
          </w:p>
        </w:tc>
        <w:tc>
          <w:tcPr>
            <w:tcW w:w="2025" w:type="dxa"/>
            <w:shd w:val="clear" w:color="auto" w:fill="005ABB"/>
            <w:tcMar>
              <w:top w:w="100" w:type="dxa"/>
              <w:left w:w="100" w:type="dxa"/>
              <w:bottom w:w="100" w:type="dxa"/>
              <w:right w:w="100" w:type="dxa"/>
            </w:tcMar>
          </w:tcPr>
          <w:p w14:paraId="5100718A" w14:textId="77777777" w:rsidR="001E1C1E" w:rsidRDefault="00000000">
            <w:pPr>
              <w:widowControl w:val="0"/>
              <w:pBdr>
                <w:top w:val="nil"/>
                <w:left w:val="nil"/>
                <w:bottom w:val="nil"/>
                <w:right w:val="nil"/>
                <w:between w:val="nil"/>
              </w:pBdr>
              <w:spacing w:after="0" w:line="240" w:lineRule="auto"/>
              <w:rPr>
                <w:color w:val="FFFFFF"/>
              </w:rPr>
            </w:pPr>
            <w:r>
              <w:rPr>
                <w:color w:val="FFFFFF"/>
              </w:rPr>
              <w:t>Not Upheld</w:t>
            </w:r>
          </w:p>
        </w:tc>
      </w:tr>
      <w:tr w:rsidR="001E1C1E" w14:paraId="6E84C084" w14:textId="77777777">
        <w:tc>
          <w:tcPr>
            <w:tcW w:w="3015" w:type="dxa"/>
            <w:shd w:val="clear" w:color="auto" w:fill="CFE2F3"/>
            <w:tcMar>
              <w:top w:w="100" w:type="dxa"/>
              <w:left w:w="100" w:type="dxa"/>
              <w:bottom w:w="100" w:type="dxa"/>
              <w:right w:w="100" w:type="dxa"/>
            </w:tcMar>
          </w:tcPr>
          <w:p w14:paraId="2E382EB9" w14:textId="77777777" w:rsidR="001E1C1E" w:rsidRDefault="00000000">
            <w:pPr>
              <w:widowControl w:val="0"/>
              <w:pBdr>
                <w:top w:val="nil"/>
                <w:left w:val="nil"/>
                <w:bottom w:val="nil"/>
                <w:right w:val="nil"/>
                <w:between w:val="nil"/>
              </w:pBdr>
              <w:spacing w:after="0" w:line="240" w:lineRule="auto"/>
            </w:pPr>
            <w:r>
              <w:t>Late Payments</w:t>
            </w:r>
          </w:p>
        </w:tc>
        <w:tc>
          <w:tcPr>
            <w:tcW w:w="1575" w:type="dxa"/>
            <w:shd w:val="clear" w:color="auto" w:fill="CFE2F3"/>
            <w:tcMar>
              <w:top w:w="100" w:type="dxa"/>
              <w:left w:w="100" w:type="dxa"/>
              <w:bottom w:w="100" w:type="dxa"/>
              <w:right w:w="100" w:type="dxa"/>
            </w:tcMar>
          </w:tcPr>
          <w:p w14:paraId="3C653797" w14:textId="77777777" w:rsidR="001E1C1E" w:rsidRDefault="00000000">
            <w:pPr>
              <w:widowControl w:val="0"/>
              <w:pBdr>
                <w:top w:val="nil"/>
                <w:left w:val="nil"/>
                <w:bottom w:val="nil"/>
                <w:right w:val="nil"/>
                <w:between w:val="nil"/>
              </w:pBdr>
              <w:spacing w:after="0" w:line="240" w:lineRule="auto"/>
            </w:pPr>
            <w:r>
              <w:t>28</w:t>
            </w:r>
          </w:p>
        </w:tc>
        <w:tc>
          <w:tcPr>
            <w:tcW w:w="1935" w:type="dxa"/>
            <w:shd w:val="clear" w:color="auto" w:fill="CFE2F3"/>
            <w:tcMar>
              <w:top w:w="100" w:type="dxa"/>
              <w:left w:w="100" w:type="dxa"/>
              <w:bottom w:w="100" w:type="dxa"/>
              <w:right w:w="100" w:type="dxa"/>
            </w:tcMar>
          </w:tcPr>
          <w:p w14:paraId="1212612B" w14:textId="77777777" w:rsidR="001E1C1E" w:rsidRDefault="00000000">
            <w:pPr>
              <w:widowControl w:val="0"/>
              <w:pBdr>
                <w:top w:val="nil"/>
                <w:left w:val="nil"/>
                <w:bottom w:val="nil"/>
                <w:right w:val="nil"/>
                <w:between w:val="nil"/>
              </w:pBdr>
              <w:spacing w:after="0" w:line="240" w:lineRule="auto"/>
            </w:pPr>
            <w:r>
              <w:t>26.7%</w:t>
            </w:r>
          </w:p>
        </w:tc>
        <w:tc>
          <w:tcPr>
            <w:tcW w:w="1575" w:type="dxa"/>
            <w:shd w:val="clear" w:color="auto" w:fill="CFE2F3"/>
            <w:tcMar>
              <w:top w:w="100" w:type="dxa"/>
              <w:left w:w="100" w:type="dxa"/>
              <w:bottom w:w="100" w:type="dxa"/>
              <w:right w:w="100" w:type="dxa"/>
            </w:tcMar>
          </w:tcPr>
          <w:p w14:paraId="662662C5" w14:textId="77777777" w:rsidR="001E1C1E" w:rsidRDefault="00000000">
            <w:pPr>
              <w:widowControl w:val="0"/>
              <w:pBdr>
                <w:top w:val="nil"/>
                <w:left w:val="nil"/>
                <w:bottom w:val="nil"/>
                <w:right w:val="nil"/>
                <w:between w:val="nil"/>
              </w:pBdr>
              <w:spacing w:after="0" w:line="240" w:lineRule="auto"/>
            </w:pPr>
            <w:r>
              <w:t>25</w:t>
            </w:r>
          </w:p>
        </w:tc>
        <w:tc>
          <w:tcPr>
            <w:tcW w:w="2025" w:type="dxa"/>
            <w:shd w:val="clear" w:color="auto" w:fill="CFE2F3"/>
            <w:tcMar>
              <w:top w:w="100" w:type="dxa"/>
              <w:left w:w="100" w:type="dxa"/>
              <w:bottom w:w="100" w:type="dxa"/>
              <w:right w:w="100" w:type="dxa"/>
            </w:tcMar>
          </w:tcPr>
          <w:p w14:paraId="69A80996" w14:textId="77777777" w:rsidR="001E1C1E" w:rsidRDefault="00000000">
            <w:pPr>
              <w:widowControl w:val="0"/>
              <w:pBdr>
                <w:top w:val="nil"/>
                <w:left w:val="nil"/>
                <w:bottom w:val="nil"/>
                <w:right w:val="nil"/>
                <w:between w:val="nil"/>
              </w:pBdr>
              <w:spacing w:after="0" w:line="240" w:lineRule="auto"/>
            </w:pPr>
            <w:r>
              <w:t>3</w:t>
            </w:r>
          </w:p>
        </w:tc>
      </w:tr>
      <w:tr w:rsidR="001E1C1E" w14:paraId="15D5C9FA" w14:textId="77777777">
        <w:tc>
          <w:tcPr>
            <w:tcW w:w="3015" w:type="dxa"/>
            <w:shd w:val="clear" w:color="auto" w:fill="auto"/>
            <w:tcMar>
              <w:top w:w="100" w:type="dxa"/>
              <w:left w:w="100" w:type="dxa"/>
              <w:bottom w:w="100" w:type="dxa"/>
              <w:right w:w="100" w:type="dxa"/>
            </w:tcMar>
          </w:tcPr>
          <w:p w14:paraId="75DA7FE9" w14:textId="77777777" w:rsidR="001E1C1E" w:rsidRDefault="00000000">
            <w:pPr>
              <w:widowControl w:val="0"/>
              <w:pBdr>
                <w:top w:val="nil"/>
                <w:left w:val="nil"/>
                <w:bottom w:val="nil"/>
                <w:right w:val="nil"/>
                <w:between w:val="nil"/>
              </w:pBdr>
              <w:spacing w:after="0" w:line="240" w:lineRule="auto"/>
            </w:pPr>
            <w:r>
              <w:t>Other</w:t>
            </w:r>
          </w:p>
        </w:tc>
        <w:tc>
          <w:tcPr>
            <w:tcW w:w="1575" w:type="dxa"/>
            <w:shd w:val="clear" w:color="auto" w:fill="auto"/>
            <w:tcMar>
              <w:top w:w="100" w:type="dxa"/>
              <w:left w:w="100" w:type="dxa"/>
              <w:bottom w:w="100" w:type="dxa"/>
              <w:right w:w="100" w:type="dxa"/>
            </w:tcMar>
          </w:tcPr>
          <w:p w14:paraId="5A6A0681" w14:textId="77777777" w:rsidR="001E1C1E" w:rsidRDefault="00000000">
            <w:pPr>
              <w:widowControl w:val="0"/>
              <w:pBdr>
                <w:top w:val="nil"/>
                <w:left w:val="nil"/>
                <w:bottom w:val="nil"/>
                <w:right w:val="nil"/>
                <w:between w:val="nil"/>
              </w:pBdr>
              <w:spacing w:after="0" w:line="240" w:lineRule="auto"/>
            </w:pPr>
            <w:r>
              <w:t>23</w:t>
            </w:r>
          </w:p>
        </w:tc>
        <w:tc>
          <w:tcPr>
            <w:tcW w:w="1935" w:type="dxa"/>
            <w:shd w:val="clear" w:color="auto" w:fill="auto"/>
            <w:tcMar>
              <w:top w:w="100" w:type="dxa"/>
              <w:left w:w="100" w:type="dxa"/>
              <w:bottom w:w="100" w:type="dxa"/>
              <w:right w:w="100" w:type="dxa"/>
            </w:tcMar>
          </w:tcPr>
          <w:p w14:paraId="30885C41" w14:textId="77777777" w:rsidR="001E1C1E" w:rsidRDefault="00000000">
            <w:pPr>
              <w:widowControl w:val="0"/>
              <w:spacing w:after="0" w:line="240" w:lineRule="auto"/>
            </w:pPr>
            <w:r>
              <w:t>21.9%</w:t>
            </w:r>
          </w:p>
        </w:tc>
        <w:tc>
          <w:tcPr>
            <w:tcW w:w="1575" w:type="dxa"/>
            <w:shd w:val="clear" w:color="auto" w:fill="auto"/>
            <w:tcMar>
              <w:top w:w="100" w:type="dxa"/>
              <w:left w:w="100" w:type="dxa"/>
              <w:bottom w:w="100" w:type="dxa"/>
              <w:right w:w="100" w:type="dxa"/>
            </w:tcMar>
          </w:tcPr>
          <w:p w14:paraId="7A47F7D6" w14:textId="77777777" w:rsidR="001E1C1E" w:rsidRDefault="00000000">
            <w:pPr>
              <w:widowControl w:val="0"/>
              <w:pBdr>
                <w:top w:val="nil"/>
                <w:left w:val="nil"/>
                <w:bottom w:val="nil"/>
                <w:right w:val="nil"/>
                <w:between w:val="nil"/>
              </w:pBdr>
              <w:spacing w:after="0" w:line="240" w:lineRule="auto"/>
            </w:pPr>
            <w:r>
              <w:t>10</w:t>
            </w:r>
          </w:p>
        </w:tc>
        <w:tc>
          <w:tcPr>
            <w:tcW w:w="2025" w:type="dxa"/>
            <w:shd w:val="clear" w:color="auto" w:fill="auto"/>
            <w:tcMar>
              <w:top w:w="100" w:type="dxa"/>
              <w:left w:w="100" w:type="dxa"/>
              <w:bottom w:w="100" w:type="dxa"/>
              <w:right w:w="100" w:type="dxa"/>
            </w:tcMar>
          </w:tcPr>
          <w:p w14:paraId="35FBBEDC" w14:textId="77777777" w:rsidR="001E1C1E" w:rsidRDefault="00000000">
            <w:pPr>
              <w:widowControl w:val="0"/>
              <w:pBdr>
                <w:top w:val="nil"/>
                <w:left w:val="nil"/>
                <w:bottom w:val="nil"/>
                <w:right w:val="nil"/>
                <w:between w:val="nil"/>
              </w:pBdr>
              <w:spacing w:after="0" w:line="240" w:lineRule="auto"/>
            </w:pPr>
            <w:r>
              <w:t>13</w:t>
            </w:r>
          </w:p>
        </w:tc>
      </w:tr>
      <w:tr w:rsidR="001E1C1E" w14:paraId="126B4DBE" w14:textId="77777777">
        <w:tc>
          <w:tcPr>
            <w:tcW w:w="3015" w:type="dxa"/>
            <w:shd w:val="clear" w:color="auto" w:fill="CFE2F3"/>
            <w:tcMar>
              <w:top w:w="100" w:type="dxa"/>
              <w:left w:w="100" w:type="dxa"/>
              <w:bottom w:w="100" w:type="dxa"/>
              <w:right w:w="100" w:type="dxa"/>
            </w:tcMar>
          </w:tcPr>
          <w:p w14:paraId="45B23D4F" w14:textId="77777777" w:rsidR="001E1C1E" w:rsidRDefault="00000000">
            <w:pPr>
              <w:widowControl w:val="0"/>
              <w:pBdr>
                <w:top w:val="nil"/>
                <w:left w:val="nil"/>
                <w:bottom w:val="nil"/>
                <w:right w:val="nil"/>
                <w:between w:val="nil"/>
              </w:pBdr>
              <w:spacing w:after="0" w:line="240" w:lineRule="auto"/>
            </w:pPr>
            <w:r>
              <w:t>G-Cloud</w:t>
            </w:r>
          </w:p>
        </w:tc>
        <w:tc>
          <w:tcPr>
            <w:tcW w:w="1575" w:type="dxa"/>
            <w:shd w:val="clear" w:color="auto" w:fill="CFE2F3"/>
            <w:tcMar>
              <w:top w:w="100" w:type="dxa"/>
              <w:left w:w="100" w:type="dxa"/>
              <w:bottom w:w="100" w:type="dxa"/>
              <w:right w:w="100" w:type="dxa"/>
            </w:tcMar>
          </w:tcPr>
          <w:p w14:paraId="61E6D018" w14:textId="77777777" w:rsidR="001E1C1E" w:rsidRDefault="00000000">
            <w:pPr>
              <w:widowControl w:val="0"/>
              <w:pBdr>
                <w:top w:val="nil"/>
                <w:left w:val="nil"/>
                <w:bottom w:val="nil"/>
                <w:right w:val="nil"/>
                <w:between w:val="nil"/>
              </w:pBdr>
              <w:spacing w:after="0" w:line="240" w:lineRule="auto"/>
            </w:pPr>
            <w:r>
              <w:t>9</w:t>
            </w:r>
          </w:p>
        </w:tc>
        <w:tc>
          <w:tcPr>
            <w:tcW w:w="1935" w:type="dxa"/>
            <w:shd w:val="clear" w:color="auto" w:fill="CFE2F3"/>
            <w:tcMar>
              <w:top w:w="100" w:type="dxa"/>
              <w:left w:w="100" w:type="dxa"/>
              <w:bottom w:w="100" w:type="dxa"/>
              <w:right w:w="100" w:type="dxa"/>
            </w:tcMar>
          </w:tcPr>
          <w:p w14:paraId="6ECA2519" w14:textId="77777777" w:rsidR="001E1C1E" w:rsidRDefault="00000000">
            <w:pPr>
              <w:widowControl w:val="0"/>
              <w:pBdr>
                <w:top w:val="nil"/>
                <w:left w:val="nil"/>
                <w:bottom w:val="nil"/>
                <w:right w:val="nil"/>
                <w:between w:val="nil"/>
              </w:pBdr>
              <w:spacing w:after="0" w:line="240" w:lineRule="auto"/>
            </w:pPr>
            <w:r>
              <w:t>8.6%</w:t>
            </w:r>
          </w:p>
        </w:tc>
        <w:tc>
          <w:tcPr>
            <w:tcW w:w="1575" w:type="dxa"/>
            <w:shd w:val="clear" w:color="auto" w:fill="CFE2F3"/>
            <w:tcMar>
              <w:top w:w="100" w:type="dxa"/>
              <w:left w:w="100" w:type="dxa"/>
              <w:bottom w:w="100" w:type="dxa"/>
              <w:right w:w="100" w:type="dxa"/>
            </w:tcMar>
          </w:tcPr>
          <w:p w14:paraId="5BFE1E00" w14:textId="77777777" w:rsidR="001E1C1E" w:rsidRDefault="00000000">
            <w:pPr>
              <w:widowControl w:val="0"/>
              <w:pBdr>
                <w:top w:val="nil"/>
                <w:left w:val="nil"/>
                <w:bottom w:val="nil"/>
                <w:right w:val="nil"/>
                <w:between w:val="nil"/>
              </w:pBdr>
              <w:spacing w:after="0" w:line="240" w:lineRule="auto"/>
            </w:pPr>
            <w:r>
              <w:t>4</w:t>
            </w:r>
          </w:p>
        </w:tc>
        <w:tc>
          <w:tcPr>
            <w:tcW w:w="2025" w:type="dxa"/>
            <w:shd w:val="clear" w:color="auto" w:fill="CFE2F3"/>
            <w:tcMar>
              <w:top w:w="100" w:type="dxa"/>
              <w:left w:w="100" w:type="dxa"/>
              <w:bottom w:w="100" w:type="dxa"/>
              <w:right w:w="100" w:type="dxa"/>
            </w:tcMar>
          </w:tcPr>
          <w:p w14:paraId="3ED1D1D2" w14:textId="77777777" w:rsidR="001E1C1E" w:rsidRDefault="00000000">
            <w:pPr>
              <w:widowControl w:val="0"/>
              <w:pBdr>
                <w:top w:val="nil"/>
                <w:left w:val="nil"/>
                <w:bottom w:val="nil"/>
                <w:right w:val="nil"/>
                <w:between w:val="nil"/>
              </w:pBdr>
              <w:spacing w:after="0" w:line="240" w:lineRule="auto"/>
            </w:pPr>
            <w:r>
              <w:t>5</w:t>
            </w:r>
          </w:p>
        </w:tc>
      </w:tr>
      <w:tr w:rsidR="001E1C1E" w14:paraId="748A6096" w14:textId="77777777">
        <w:tc>
          <w:tcPr>
            <w:tcW w:w="3015" w:type="dxa"/>
            <w:shd w:val="clear" w:color="auto" w:fill="auto"/>
            <w:tcMar>
              <w:top w:w="100" w:type="dxa"/>
              <w:left w:w="100" w:type="dxa"/>
              <w:bottom w:w="100" w:type="dxa"/>
              <w:right w:w="100" w:type="dxa"/>
            </w:tcMar>
          </w:tcPr>
          <w:p w14:paraId="39922D71" w14:textId="77777777" w:rsidR="001E1C1E" w:rsidRDefault="00000000">
            <w:pPr>
              <w:widowControl w:val="0"/>
              <w:pBdr>
                <w:top w:val="nil"/>
                <w:left w:val="nil"/>
                <w:bottom w:val="nil"/>
                <w:right w:val="nil"/>
                <w:between w:val="nil"/>
              </w:pBdr>
              <w:spacing w:after="0" w:line="240" w:lineRule="auto"/>
            </w:pPr>
            <w:r>
              <w:t>Evaluation</w:t>
            </w:r>
          </w:p>
        </w:tc>
        <w:tc>
          <w:tcPr>
            <w:tcW w:w="1575" w:type="dxa"/>
            <w:shd w:val="clear" w:color="auto" w:fill="auto"/>
            <w:tcMar>
              <w:top w:w="100" w:type="dxa"/>
              <w:left w:w="100" w:type="dxa"/>
              <w:bottom w:w="100" w:type="dxa"/>
              <w:right w:w="100" w:type="dxa"/>
            </w:tcMar>
          </w:tcPr>
          <w:p w14:paraId="37E62377" w14:textId="77777777" w:rsidR="001E1C1E" w:rsidRDefault="00000000">
            <w:pPr>
              <w:widowControl w:val="0"/>
              <w:pBdr>
                <w:top w:val="nil"/>
                <w:left w:val="nil"/>
                <w:bottom w:val="nil"/>
                <w:right w:val="nil"/>
                <w:between w:val="nil"/>
              </w:pBdr>
              <w:spacing w:after="0" w:line="240" w:lineRule="auto"/>
            </w:pPr>
            <w:r>
              <w:t>7</w:t>
            </w:r>
          </w:p>
        </w:tc>
        <w:tc>
          <w:tcPr>
            <w:tcW w:w="1935" w:type="dxa"/>
            <w:shd w:val="clear" w:color="auto" w:fill="auto"/>
            <w:tcMar>
              <w:top w:w="100" w:type="dxa"/>
              <w:left w:w="100" w:type="dxa"/>
              <w:bottom w:w="100" w:type="dxa"/>
              <w:right w:w="100" w:type="dxa"/>
            </w:tcMar>
          </w:tcPr>
          <w:p w14:paraId="12EB56CA" w14:textId="77777777" w:rsidR="001E1C1E" w:rsidRDefault="00000000">
            <w:pPr>
              <w:widowControl w:val="0"/>
              <w:pBdr>
                <w:top w:val="nil"/>
                <w:left w:val="nil"/>
                <w:bottom w:val="nil"/>
                <w:right w:val="nil"/>
                <w:between w:val="nil"/>
              </w:pBdr>
              <w:spacing w:after="0" w:line="240" w:lineRule="auto"/>
            </w:pPr>
            <w:r>
              <w:t>6.7%</w:t>
            </w:r>
          </w:p>
        </w:tc>
        <w:tc>
          <w:tcPr>
            <w:tcW w:w="1575" w:type="dxa"/>
            <w:shd w:val="clear" w:color="auto" w:fill="auto"/>
            <w:tcMar>
              <w:top w:w="100" w:type="dxa"/>
              <w:left w:w="100" w:type="dxa"/>
              <w:bottom w:w="100" w:type="dxa"/>
              <w:right w:w="100" w:type="dxa"/>
            </w:tcMar>
          </w:tcPr>
          <w:p w14:paraId="696D2C97" w14:textId="77777777" w:rsidR="001E1C1E" w:rsidRDefault="00000000">
            <w:pPr>
              <w:widowControl w:val="0"/>
              <w:pBdr>
                <w:top w:val="nil"/>
                <w:left w:val="nil"/>
                <w:bottom w:val="nil"/>
                <w:right w:val="nil"/>
                <w:between w:val="nil"/>
              </w:pBdr>
              <w:spacing w:after="0" w:line="240" w:lineRule="auto"/>
            </w:pPr>
            <w:r>
              <w:t>3</w:t>
            </w:r>
          </w:p>
        </w:tc>
        <w:tc>
          <w:tcPr>
            <w:tcW w:w="2025" w:type="dxa"/>
            <w:shd w:val="clear" w:color="auto" w:fill="auto"/>
            <w:tcMar>
              <w:top w:w="100" w:type="dxa"/>
              <w:left w:w="100" w:type="dxa"/>
              <w:bottom w:w="100" w:type="dxa"/>
              <w:right w:w="100" w:type="dxa"/>
            </w:tcMar>
          </w:tcPr>
          <w:p w14:paraId="1C549950" w14:textId="77777777" w:rsidR="001E1C1E" w:rsidRDefault="00000000">
            <w:pPr>
              <w:widowControl w:val="0"/>
              <w:pBdr>
                <w:top w:val="nil"/>
                <w:left w:val="nil"/>
                <w:bottom w:val="nil"/>
                <w:right w:val="nil"/>
                <w:between w:val="nil"/>
              </w:pBdr>
              <w:spacing w:after="0" w:line="240" w:lineRule="auto"/>
            </w:pPr>
            <w:r>
              <w:t>4</w:t>
            </w:r>
          </w:p>
        </w:tc>
      </w:tr>
      <w:tr w:rsidR="001E1C1E" w14:paraId="1A6F4E34" w14:textId="77777777">
        <w:tc>
          <w:tcPr>
            <w:tcW w:w="3015" w:type="dxa"/>
            <w:shd w:val="clear" w:color="auto" w:fill="CFE2F3"/>
            <w:tcMar>
              <w:top w:w="100" w:type="dxa"/>
              <w:left w:w="100" w:type="dxa"/>
              <w:bottom w:w="100" w:type="dxa"/>
              <w:right w:w="100" w:type="dxa"/>
            </w:tcMar>
          </w:tcPr>
          <w:p w14:paraId="7BA8421D" w14:textId="77777777" w:rsidR="001E1C1E" w:rsidRDefault="00000000">
            <w:pPr>
              <w:widowControl w:val="0"/>
              <w:pBdr>
                <w:top w:val="nil"/>
                <w:left w:val="nil"/>
                <w:bottom w:val="nil"/>
                <w:right w:val="nil"/>
                <w:between w:val="nil"/>
              </w:pBdr>
              <w:spacing w:after="0" w:line="240" w:lineRule="auto"/>
            </w:pPr>
            <w:r>
              <w:t>SME Exclusion</w:t>
            </w:r>
          </w:p>
        </w:tc>
        <w:tc>
          <w:tcPr>
            <w:tcW w:w="1575" w:type="dxa"/>
            <w:shd w:val="clear" w:color="auto" w:fill="CFE2F3"/>
            <w:tcMar>
              <w:top w:w="100" w:type="dxa"/>
              <w:left w:w="100" w:type="dxa"/>
              <w:bottom w:w="100" w:type="dxa"/>
              <w:right w:w="100" w:type="dxa"/>
            </w:tcMar>
          </w:tcPr>
          <w:p w14:paraId="00FD5AD5" w14:textId="77777777" w:rsidR="001E1C1E" w:rsidRDefault="00000000">
            <w:pPr>
              <w:widowControl w:val="0"/>
              <w:pBdr>
                <w:top w:val="nil"/>
                <w:left w:val="nil"/>
                <w:bottom w:val="nil"/>
                <w:right w:val="nil"/>
                <w:between w:val="nil"/>
              </w:pBdr>
              <w:spacing w:after="0" w:line="240" w:lineRule="auto"/>
            </w:pPr>
            <w:r>
              <w:t>4</w:t>
            </w:r>
          </w:p>
        </w:tc>
        <w:tc>
          <w:tcPr>
            <w:tcW w:w="1935" w:type="dxa"/>
            <w:shd w:val="clear" w:color="auto" w:fill="CFE2F3"/>
            <w:tcMar>
              <w:top w:w="100" w:type="dxa"/>
              <w:left w:w="100" w:type="dxa"/>
              <w:bottom w:w="100" w:type="dxa"/>
              <w:right w:w="100" w:type="dxa"/>
            </w:tcMar>
          </w:tcPr>
          <w:p w14:paraId="12926071" w14:textId="77777777" w:rsidR="001E1C1E" w:rsidRDefault="00000000">
            <w:pPr>
              <w:widowControl w:val="0"/>
              <w:pBdr>
                <w:top w:val="nil"/>
                <w:left w:val="nil"/>
                <w:bottom w:val="nil"/>
                <w:right w:val="nil"/>
                <w:between w:val="nil"/>
              </w:pBdr>
              <w:spacing w:after="0" w:line="240" w:lineRule="auto"/>
            </w:pPr>
            <w:r>
              <w:t>3.8%</w:t>
            </w:r>
          </w:p>
        </w:tc>
        <w:tc>
          <w:tcPr>
            <w:tcW w:w="1575" w:type="dxa"/>
            <w:shd w:val="clear" w:color="auto" w:fill="CFE2F3"/>
            <w:tcMar>
              <w:top w:w="100" w:type="dxa"/>
              <w:left w:w="100" w:type="dxa"/>
              <w:bottom w:w="100" w:type="dxa"/>
              <w:right w:w="100" w:type="dxa"/>
            </w:tcMar>
          </w:tcPr>
          <w:p w14:paraId="148A9856" w14:textId="77777777" w:rsidR="001E1C1E" w:rsidRDefault="00000000">
            <w:pPr>
              <w:widowControl w:val="0"/>
              <w:pBdr>
                <w:top w:val="nil"/>
                <w:left w:val="nil"/>
                <w:bottom w:val="nil"/>
                <w:right w:val="nil"/>
                <w:between w:val="nil"/>
              </w:pBdr>
              <w:spacing w:after="0" w:line="240" w:lineRule="auto"/>
            </w:pPr>
            <w:r>
              <w:t>2</w:t>
            </w:r>
          </w:p>
        </w:tc>
        <w:tc>
          <w:tcPr>
            <w:tcW w:w="2025" w:type="dxa"/>
            <w:shd w:val="clear" w:color="auto" w:fill="CFE2F3"/>
            <w:tcMar>
              <w:top w:w="100" w:type="dxa"/>
              <w:left w:w="100" w:type="dxa"/>
              <w:bottom w:w="100" w:type="dxa"/>
              <w:right w:w="100" w:type="dxa"/>
            </w:tcMar>
          </w:tcPr>
          <w:p w14:paraId="2402CC96" w14:textId="77777777" w:rsidR="001E1C1E" w:rsidRDefault="00000000">
            <w:pPr>
              <w:widowControl w:val="0"/>
              <w:pBdr>
                <w:top w:val="nil"/>
                <w:left w:val="nil"/>
                <w:bottom w:val="nil"/>
                <w:right w:val="nil"/>
                <w:between w:val="nil"/>
              </w:pBdr>
              <w:spacing w:after="0" w:line="240" w:lineRule="auto"/>
            </w:pPr>
            <w:r>
              <w:t>2</w:t>
            </w:r>
          </w:p>
        </w:tc>
      </w:tr>
      <w:tr w:rsidR="001E1C1E" w14:paraId="23110218" w14:textId="77777777">
        <w:trPr>
          <w:trHeight w:val="395"/>
        </w:trPr>
        <w:tc>
          <w:tcPr>
            <w:tcW w:w="3015" w:type="dxa"/>
            <w:shd w:val="clear" w:color="auto" w:fill="auto"/>
            <w:tcMar>
              <w:top w:w="100" w:type="dxa"/>
              <w:left w:w="100" w:type="dxa"/>
              <w:bottom w:w="100" w:type="dxa"/>
              <w:right w:w="100" w:type="dxa"/>
            </w:tcMar>
          </w:tcPr>
          <w:p w14:paraId="3B17E976" w14:textId="77777777" w:rsidR="001E1C1E" w:rsidRDefault="00000000">
            <w:pPr>
              <w:widowControl w:val="0"/>
              <w:pBdr>
                <w:top w:val="nil"/>
                <w:left w:val="nil"/>
                <w:bottom w:val="nil"/>
                <w:right w:val="nil"/>
                <w:between w:val="nil"/>
              </w:pBdr>
              <w:spacing w:after="0" w:line="240" w:lineRule="auto"/>
            </w:pPr>
            <w:r>
              <w:t>Prices</w:t>
            </w:r>
          </w:p>
        </w:tc>
        <w:tc>
          <w:tcPr>
            <w:tcW w:w="1575" w:type="dxa"/>
            <w:shd w:val="clear" w:color="auto" w:fill="auto"/>
            <w:tcMar>
              <w:top w:w="100" w:type="dxa"/>
              <w:left w:w="100" w:type="dxa"/>
              <w:bottom w:w="100" w:type="dxa"/>
              <w:right w:w="100" w:type="dxa"/>
            </w:tcMar>
          </w:tcPr>
          <w:p w14:paraId="1F64176B" w14:textId="77777777" w:rsidR="001E1C1E" w:rsidRDefault="00000000">
            <w:pPr>
              <w:widowControl w:val="0"/>
              <w:pBdr>
                <w:top w:val="nil"/>
                <w:left w:val="nil"/>
                <w:bottom w:val="nil"/>
                <w:right w:val="nil"/>
                <w:between w:val="nil"/>
              </w:pBdr>
              <w:spacing w:after="0" w:line="240" w:lineRule="auto"/>
            </w:pPr>
            <w:r>
              <w:t>4</w:t>
            </w:r>
          </w:p>
        </w:tc>
        <w:tc>
          <w:tcPr>
            <w:tcW w:w="1935" w:type="dxa"/>
            <w:shd w:val="clear" w:color="auto" w:fill="auto"/>
            <w:tcMar>
              <w:top w:w="100" w:type="dxa"/>
              <w:left w:w="100" w:type="dxa"/>
              <w:bottom w:w="100" w:type="dxa"/>
              <w:right w:w="100" w:type="dxa"/>
            </w:tcMar>
          </w:tcPr>
          <w:p w14:paraId="5DE320DC" w14:textId="77777777" w:rsidR="001E1C1E" w:rsidRDefault="00000000">
            <w:pPr>
              <w:widowControl w:val="0"/>
              <w:spacing w:after="0" w:line="240" w:lineRule="auto"/>
            </w:pPr>
            <w:r>
              <w:t>3.8%</w:t>
            </w:r>
          </w:p>
        </w:tc>
        <w:tc>
          <w:tcPr>
            <w:tcW w:w="1575" w:type="dxa"/>
            <w:shd w:val="clear" w:color="auto" w:fill="auto"/>
            <w:tcMar>
              <w:top w:w="100" w:type="dxa"/>
              <w:left w:w="100" w:type="dxa"/>
              <w:bottom w:w="100" w:type="dxa"/>
              <w:right w:w="100" w:type="dxa"/>
            </w:tcMar>
          </w:tcPr>
          <w:p w14:paraId="6D709294" w14:textId="77777777" w:rsidR="001E1C1E" w:rsidRDefault="00000000">
            <w:pPr>
              <w:widowControl w:val="0"/>
              <w:pBdr>
                <w:top w:val="nil"/>
                <w:left w:val="nil"/>
                <w:bottom w:val="nil"/>
                <w:right w:val="nil"/>
                <w:between w:val="nil"/>
              </w:pBdr>
              <w:spacing w:after="0" w:line="240" w:lineRule="auto"/>
            </w:pPr>
            <w:r>
              <w:t>1</w:t>
            </w:r>
          </w:p>
        </w:tc>
        <w:tc>
          <w:tcPr>
            <w:tcW w:w="2025" w:type="dxa"/>
            <w:shd w:val="clear" w:color="auto" w:fill="auto"/>
            <w:tcMar>
              <w:top w:w="100" w:type="dxa"/>
              <w:left w:w="100" w:type="dxa"/>
              <w:bottom w:w="100" w:type="dxa"/>
              <w:right w:w="100" w:type="dxa"/>
            </w:tcMar>
          </w:tcPr>
          <w:p w14:paraId="12B41EDF" w14:textId="77777777" w:rsidR="001E1C1E" w:rsidRDefault="00000000">
            <w:pPr>
              <w:widowControl w:val="0"/>
              <w:pBdr>
                <w:top w:val="nil"/>
                <w:left w:val="nil"/>
                <w:bottom w:val="nil"/>
                <w:right w:val="nil"/>
                <w:between w:val="nil"/>
              </w:pBdr>
              <w:spacing w:after="0" w:line="240" w:lineRule="auto"/>
            </w:pPr>
            <w:r>
              <w:t>3</w:t>
            </w:r>
          </w:p>
        </w:tc>
      </w:tr>
      <w:tr w:rsidR="001E1C1E" w14:paraId="7A7DE361" w14:textId="77777777">
        <w:tc>
          <w:tcPr>
            <w:tcW w:w="3015" w:type="dxa"/>
            <w:shd w:val="clear" w:color="auto" w:fill="CFE2F3"/>
            <w:tcMar>
              <w:top w:w="100" w:type="dxa"/>
              <w:left w:w="100" w:type="dxa"/>
              <w:bottom w:w="100" w:type="dxa"/>
              <w:right w:w="100" w:type="dxa"/>
            </w:tcMar>
          </w:tcPr>
          <w:p w14:paraId="5E8A0538" w14:textId="77777777" w:rsidR="001E1C1E" w:rsidRDefault="00000000">
            <w:pPr>
              <w:widowControl w:val="0"/>
              <w:pBdr>
                <w:top w:val="nil"/>
                <w:left w:val="nil"/>
                <w:bottom w:val="nil"/>
                <w:right w:val="nil"/>
                <w:between w:val="nil"/>
              </w:pBdr>
              <w:spacing w:after="0" w:line="240" w:lineRule="auto"/>
            </w:pPr>
            <w:r>
              <w:t>Feedback</w:t>
            </w:r>
          </w:p>
        </w:tc>
        <w:tc>
          <w:tcPr>
            <w:tcW w:w="1575" w:type="dxa"/>
            <w:shd w:val="clear" w:color="auto" w:fill="CFE2F3"/>
            <w:tcMar>
              <w:top w:w="100" w:type="dxa"/>
              <w:left w:w="100" w:type="dxa"/>
              <w:bottom w:w="100" w:type="dxa"/>
              <w:right w:w="100" w:type="dxa"/>
            </w:tcMar>
          </w:tcPr>
          <w:p w14:paraId="6FF71F84" w14:textId="77777777" w:rsidR="001E1C1E" w:rsidRDefault="00000000">
            <w:pPr>
              <w:widowControl w:val="0"/>
              <w:pBdr>
                <w:top w:val="nil"/>
                <w:left w:val="nil"/>
                <w:bottom w:val="nil"/>
                <w:right w:val="nil"/>
                <w:between w:val="nil"/>
              </w:pBdr>
              <w:spacing w:after="0" w:line="240" w:lineRule="auto"/>
            </w:pPr>
            <w:r>
              <w:t>4</w:t>
            </w:r>
          </w:p>
        </w:tc>
        <w:tc>
          <w:tcPr>
            <w:tcW w:w="1935" w:type="dxa"/>
            <w:shd w:val="clear" w:color="auto" w:fill="CFE2F3"/>
            <w:tcMar>
              <w:top w:w="100" w:type="dxa"/>
              <w:left w:w="100" w:type="dxa"/>
              <w:bottom w:w="100" w:type="dxa"/>
              <w:right w:w="100" w:type="dxa"/>
            </w:tcMar>
          </w:tcPr>
          <w:p w14:paraId="7680F38D" w14:textId="77777777" w:rsidR="001E1C1E" w:rsidRDefault="00000000">
            <w:pPr>
              <w:widowControl w:val="0"/>
              <w:spacing w:after="0" w:line="240" w:lineRule="auto"/>
            </w:pPr>
            <w:r>
              <w:t>3.8%</w:t>
            </w:r>
          </w:p>
        </w:tc>
        <w:tc>
          <w:tcPr>
            <w:tcW w:w="1575" w:type="dxa"/>
            <w:shd w:val="clear" w:color="auto" w:fill="CFE2F3"/>
            <w:tcMar>
              <w:top w:w="100" w:type="dxa"/>
              <w:left w:w="100" w:type="dxa"/>
              <w:bottom w:w="100" w:type="dxa"/>
              <w:right w:w="100" w:type="dxa"/>
            </w:tcMar>
          </w:tcPr>
          <w:p w14:paraId="4C0C57F1" w14:textId="77777777" w:rsidR="001E1C1E" w:rsidRDefault="00000000">
            <w:pPr>
              <w:widowControl w:val="0"/>
              <w:pBdr>
                <w:top w:val="nil"/>
                <w:left w:val="nil"/>
                <w:bottom w:val="nil"/>
                <w:right w:val="nil"/>
                <w:between w:val="nil"/>
              </w:pBdr>
              <w:spacing w:after="0" w:line="240" w:lineRule="auto"/>
            </w:pPr>
            <w:r>
              <w:t>3</w:t>
            </w:r>
          </w:p>
        </w:tc>
        <w:tc>
          <w:tcPr>
            <w:tcW w:w="2025" w:type="dxa"/>
            <w:shd w:val="clear" w:color="auto" w:fill="CFE2F3"/>
            <w:tcMar>
              <w:top w:w="100" w:type="dxa"/>
              <w:left w:w="100" w:type="dxa"/>
              <w:bottom w:w="100" w:type="dxa"/>
              <w:right w:w="100" w:type="dxa"/>
            </w:tcMar>
          </w:tcPr>
          <w:p w14:paraId="10968BCD" w14:textId="77777777" w:rsidR="001E1C1E" w:rsidRDefault="00000000">
            <w:pPr>
              <w:widowControl w:val="0"/>
              <w:pBdr>
                <w:top w:val="nil"/>
                <w:left w:val="nil"/>
                <w:bottom w:val="nil"/>
                <w:right w:val="nil"/>
                <w:between w:val="nil"/>
              </w:pBdr>
              <w:spacing w:after="0" w:line="240" w:lineRule="auto"/>
            </w:pPr>
            <w:r>
              <w:t>1</w:t>
            </w:r>
          </w:p>
        </w:tc>
      </w:tr>
      <w:tr w:rsidR="001E1C1E" w14:paraId="2026EA0B" w14:textId="77777777">
        <w:tc>
          <w:tcPr>
            <w:tcW w:w="3015" w:type="dxa"/>
            <w:shd w:val="clear" w:color="auto" w:fill="auto"/>
            <w:tcMar>
              <w:top w:w="100" w:type="dxa"/>
              <w:left w:w="100" w:type="dxa"/>
              <w:bottom w:w="100" w:type="dxa"/>
              <w:right w:w="100" w:type="dxa"/>
            </w:tcMar>
          </w:tcPr>
          <w:p w14:paraId="4A88EB03" w14:textId="77777777" w:rsidR="001E1C1E" w:rsidRDefault="00000000">
            <w:pPr>
              <w:widowControl w:val="0"/>
              <w:pBdr>
                <w:top w:val="nil"/>
                <w:left w:val="nil"/>
                <w:bottom w:val="nil"/>
                <w:right w:val="nil"/>
                <w:between w:val="nil"/>
              </w:pBdr>
              <w:spacing w:after="0" w:line="240" w:lineRule="auto"/>
            </w:pPr>
            <w:r>
              <w:t>Contract Management</w:t>
            </w:r>
          </w:p>
        </w:tc>
        <w:tc>
          <w:tcPr>
            <w:tcW w:w="1575" w:type="dxa"/>
            <w:shd w:val="clear" w:color="auto" w:fill="auto"/>
            <w:tcMar>
              <w:top w:w="100" w:type="dxa"/>
              <w:left w:w="100" w:type="dxa"/>
              <w:bottom w:w="100" w:type="dxa"/>
              <w:right w:w="100" w:type="dxa"/>
            </w:tcMar>
          </w:tcPr>
          <w:p w14:paraId="01ACA5CA" w14:textId="77777777" w:rsidR="001E1C1E" w:rsidRDefault="00000000">
            <w:pPr>
              <w:widowControl w:val="0"/>
              <w:pBdr>
                <w:top w:val="nil"/>
                <w:left w:val="nil"/>
                <w:bottom w:val="nil"/>
                <w:right w:val="nil"/>
                <w:between w:val="nil"/>
              </w:pBdr>
              <w:spacing w:after="0" w:line="240" w:lineRule="auto"/>
            </w:pPr>
            <w:r>
              <w:t>4</w:t>
            </w:r>
          </w:p>
        </w:tc>
        <w:tc>
          <w:tcPr>
            <w:tcW w:w="1935" w:type="dxa"/>
            <w:shd w:val="clear" w:color="auto" w:fill="auto"/>
            <w:tcMar>
              <w:top w:w="100" w:type="dxa"/>
              <w:left w:w="100" w:type="dxa"/>
              <w:bottom w:w="100" w:type="dxa"/>
              <w:right w:w="100" w:type="dxa"/>
            </w:tcMar>
          </w:tcPr>
          <w:p w14:paraId="5760E5BD" w14:textId="77777777" w:rsidR="001E1C1E" w:rsidRDefault="00000000">
            <w:pPr>
              <w:widowControl w:val="0"/>
              <w:spacing w:after="0" w:line="240" w:lineRule="auto"/>
            </w:pPr>
            <w:r>
              <w:t>3.8%</w:t>
            </w:r>
          </w:p>
        </w:tc>
        <w:tc>
          <w:tcPr>
            <w:tcW w:w="1575" w:type="dxa"/>
            <w:shd w:val="clear" w:color="auto" w:fill="auto"/>
            <w:tcMar>
              <w:top w:w="100" w:type="dxa"/>
              <w:left w:w="100" w:type="dxa"/>
              <w:bottom w:w="100" w:type="dxa"/>
              <w:right w:w="100" w:type="dxa"/>
            </w:tcMar>
          </w:tcPr>
          <w:p w14:paraId="3B5A55B6" w14:textId="77777777" w:rsidR="001E1C1E" w:rsidRDefault="00000000">
            <w:pPr>
              <w:widowControl w:val="0"/>
              <w:pBdr>
                <w:top w:val="nil"/>
                <w:left w:val="nil"/>
                <w:bottom w:val="nil"/>
                <w:right w:val="nil"/>
                <w:between w:val="nil"/>
              </w:pBdr>
              <w:spacing w:after="0" w:line="240" w:lineRule="auto"/>
            </w:pPr>
            <w:r>
              <w:t>4</w:t>
            </w:r>
          </w:p>
        </w:tc>
        <w:tc>
          <w:tcPr>
            <w:tcW w:w="2025" w:type="dxa"/>
            <w:shd w:val="clear" w:color="auto" w:fill="auto"/>
            <w:tcMar>
              <w:top w:w="100" w:type="dxa"/>
              <w:left w:w="100" w:type="dxa"/>
              <w:bottom w:w="100" w:type="dxa"/>
              <w:right w:w="100" w:type="dxa"/>
            </w:tcMar>
          </w:tcPr>
          <w:p w14:paraId="1396EDA1" w14:textId="77777777" w:rsidR="001E1C1E" w:rsidRDefault="00000000">
            <w:pPr>
              <w:widowControl w:val="0"/>
              <w:pBdr>
                <w:top w:val="nil"/>
                <w:left w:val="nil"/>
                <w:bottom w:val="nil"/>
                <w:right w:val="nil"/>
                <w:between w:val="nil"/>
              </w:pBdr>
              <w:spacing w:after="0" w:line="240" w:lineRule="auto"/>
            </w:pPr>
            <w:r>
              <w:t>0</w:t>
            </w:r>
          </w:p>
        </w:tc>
      </w:tr>
      <w:tr w:rsidR="001E1C1E" w14:paraId="20529658" w14:textId="77777777">
        <w:tc>
          <w:tcPr>
            <w:tcW w:w="3015" w:type="dxa"/>
            <w:shd w:val="clear" w:color="auto" w:fill="CFE2F3"/>
            <w:tcMar>
              <w:top w:w="100" w:type="dxa"/>
              <w:left w:w="100" w:type="dxa"/>
              <w:bottom w:w="100" w:type="dxa"/>
              <w:right w:w="100" w:type="dxa"/>
            </w:tcMar>
          </w:tcPr>
          <w:p w14:paraId="0FED7673" w14:textId="77777777" w:rsidR="001E1C1E" w:rsidRDefault="00000000">
            <w:pPr>
              <w:widowControl w:val="0"/>
              <w:pBdr>
                <w:top w:val="nil"/>
                <w:left w:val="nil"/>
                <w:bottom w:val="nil"/>
                <w:right w:val="nil"/>
                <w:between w:val="nil"/>
              </w:pBdr>
              <w:spacing w:after="0" w:line="240" w:lineRule="auto"/>
            </w:pPr>
            <w:r>
              <w:t>Communication</w:t>
            </w:r>
          </w:p>
        </w:tc>
        <w:tc>
          <w:tcPr>
            <w:tcW w:w="1575" w:type="dxa"/>
            <w:shd w:val="clear" w:color="auto" w:fill="CFE2F3"/>
            <w:tcMar>
              <w:top w:w="100" w:type="dxa"/>
              <w:left w:w="100" w:type="dxa"/>
              <w:bottom w:w="100" w:type="dxa"/>
              <w:right w:w="100" w:type="dxa"/>
            </w:tcMar>
          </w:tcPr>
          <w:p w14:paraId="23E5D413" w14:textId="77777777" w:rsidR="001E1C1E" w:rsidRDefault="00000000">
            <w:pPr>
              <w:widowControl w:val="0"/>
              <w:pBdr>
                <w:top w:val="nil"/>
                <w:left w:val="nil"/>
                <w:bottom w:val="nil"/>
                <w:right w:val="nil"/>
                <w:between w:val="nil"/>
              </w:pBdr>
              <w:spacing w:after="0" w:line="240" w:lineRule="auto"/>
            </w:pPr>
            <w:r>
              <w:t>4</w:t>
            </w:r>
          </w:p>
        </w:tc>
        <w:tc>
          <w:tcPr>
            <w:tcW w:w="1935" w:type="dxa"/>
            <w:shd w:val="clear" w:color="auto" w:fill="CFE2F3"/>
            <w:tcMar>
              <w:top w:w="100" w:type="dxa"/>
              <w:left w:w="100" w:type="dxa"/>
              <w:bottom w:w="100" w:type="dxa"/>
              <w:right w:w="100" w:type="dxa"/>
            </w:tcMar>
          </w:tcPr>
          <w:p w14:paraId="43059C84" w14:textId="77777777" w:rsidR="001E1C1E" w:rsidRDefault="00000000">
            <w:pPr>
              <w:widowControl w:val="0"/>
              <w:spacing w:after="0" w:line="240" w:lineRule="auto"/>
            </w:pPr>
            <w:r>
              <w:t>3.8%</w:t>
            </w:r>
          </w:p>
        </w:tc>
        <w:tc>
          <w:tcPr>
            <w:tcW w:w="1575" w:type="dxa"/>
            <w:shd w:val="clear" w:color="auto" w:fill="CFE2F3"/>
            <w:tcMar>
              <w:top w:w="100" w:type="dxa"/>
              <w:left w:w="100" w:type="dxa"/>
              <w:bottom w:w="100" w:type="dxa"/>
              <w:right w:w="100" w:type="dxa"/>
            </w:tcMar>
          </w:tcPr>
          <w:p w14:paraId="495255F6" w14:textId="77777777" w:rsidR="001E1C1E" w:rsidRDefault="00000000">
            <w:pPr>
              <w:widowControl w:val="0"/>
              <w:pBdr>
                <w:top w:val="nil"/>
                <w:left w:val="nil"/>
                <w:bottom w:val="nil"/>
                <w:right w:val="nil"/>
                <w:between w:val="nil"/>
              </w:pBdr>
              <w:spacing w:after="0" w:line="240" w:lineRule="auto"/>
            </w:pPr>
            <w:r>
              <w:t>2</w:t>
            </w:r>
          </w:p>
        </w:tc>
        <w:tc>
          <w:tcPr>
            <w:tcW w:w="2025" w:type="dxa"/>
            <w:shd w:val="clear" w:color="auto" w:fill="CFE2F3"/>
            <w:tcMar>
              <w:top w:w="100" w:type="dxa"/>
              <w:left w:w="100" w:type="dxa"/>
              <w:bottom w:w="100" w:type="dxa"/>
              <w:right w:w="100" w:type="dxa"/>
            </w:tcMar>
          </w:tcPr>
          <w:p w14:paraId="76B88852" w14:textId="77777777" w:rsidR="001E1C1E" w:rsidRDefault="00000000">
            <w:pPr>
              <w:widowControl w:val="0"/>
              <w:pBdr>
                <w:top w:val="nil"/>
                <w:left w:val="nil"/>
                <w:bottom w:val="nil"/>
                <w:right w:val="nil"/>
                <w:between w:val="nil"/>
              </w:pBdr>
              <w:spacing w:after="0" w:line="240" w:lineRule="auto"/>
            </w:pPr>
            <w:r>
              <w:t>2</w:t>
            </w:r>
          </w:p>
        </w:tc>
      </w:tr>
      <w:tr w:rsidR="001E1C1E" w14:paraId="0D5E56DF" w14:textId="77777777">
        <w:tc>
          <w:tcPr>
            <w:tcW w:w="3015" w:type="dxa"/>
            <w:shd w:val="clear" w:color="auto" w:fill="auto"/>
            <w:tcMar>
              <w:top w:w="100" w:type="dxa"/>
              <w:left w:w="100" w:type="dxa"/>
              <w:bottom w:w="100" w:type="dxa"/>
              <w:right w:w="100" w:type="dxa"/>
            </w:tcMar>
          </w:tcPr>
          <w:p w14:paraId="1B5E7ED2" w14:textId="77777777" w:rsidR="001E1C1E" w:rsidRDefault="00000000">
            <w:pPr>
              <w:widowControl w:val="0"/>
              <w:pBdr>
                <w:top w:val="nil"/>
                <w:left w:val="nil"/>
                <w:bottom w:val="nil"/>
                <w:right w:val="nil"/>
                <w:between w:val="nil"/>
              </w:pBdr>
              <w:spacing w:after="0" w:line="240" w:lineRule="auto"/>
            </w:pPr>
            <w:r>
              <w:t>Transparency</w:t>
            </w:r>
          </w:p>
        </w:tc>
        <w:tc>
          <w:tcPr>
            <w:tcW w:w="1575" w:type="dxa"/>
            <w:shd w:val="clear" w:color="auto" w:fill="auto"/>
            <w:tcMar>
              <w:top w:w="100" w:type="dxa"/>
              <w:left w:w="100" w:type="dxa"/>
              <w:bottom w:w="100" w:type="dxa"/>
              <w:right w:w="100" w:type="dxa"/>
            </w:tcMar>
          </w:tcPr>
          <w:p w14:paraId="1333F165" w14:textId="77777777" w:rsidR="001E1C1E" w:rsidRDefault="00000000">
            <w:pPr>
              <w:widowControl w:val="0"/>
              <w:pBdr>
                <w:top w:val="nil"/>
                <w:left w:val="nil"/>
                <w:bottom w:val="nil"/>
                <w:right w:val="nil"/>
                <w:between w:val="nil"/>
              </w:pBdr>
              <w:spacing w:after="0" w:line="240" w:lineRule="auto"/>
            </w:pPr>
            <w:r>
              <w:t>3</w:t>
            </w:r>
          </w:p>
        </w:tc>
        <w:tc>
          <w:tcPr>
            <w:tcW w:w="1935" w:type="dxa"/>
            <w:shd w:val="clear" w:color="auto" w:fill="auto"/>
            <w:tcMar>
              <w:top w:w="100" w:type="dxa"/>
              <w:left w:w="100" w:type="dxa"/>
              <w:bottom w:w="100" w:type="dxa"/>
              <w:right w:w="100" w:type="dxa"/>
            </w:tcMar>
          </w:tcPr>
          <w:p w14:paraId="4AC05E85" w14:textId="77777777" w:rsidR="001E1C1E" w:rsidRDefault="00000000">
            <w:pPr>
              <w:widowControl w:val="0"/>
              <w:spacing w:after="0" w:line="240" w:lineRule="auto"/>
            </w:pPr>
            <w:r>
              <w:t>2.9%</w:t>
            </w:r>
          </w:p>
        </w:tc>
        <w:tc>
          <w:tcPr>
            <w:tcW w:w="1575" w:type="dxa"/>
            <w:shd w:val="clear" w:color="auto" w:fill="auto"/>
            <w:tcMar>
              <w:top w:w="100" w:type="dxa"/>
              <w:left w:w="100" w:type="dxa"/>
              <w:bottom w:w="100" w:type="dxa"/>
              <w:right w:w="100" w:type="dxa"/>
            </w:tcMar>
          </w:tcPr>
          <w:p w14:paraId="50F7024F" w14:textId="77777777" w:rsidR="001E1C1E" w:rsidRDefault="00000000">
            <w:pPr>
              <w:widowControl w:val="0"/>
              <w:pBdr>
                <w:top w:val="nil"/>
                <w:left w:val="nil"/>
                <w:bottom w:val="nil"/>
                <w:right w:val="nil"/>
                <w:between w:val="nil"/>
              </w:pBdr>
              <w:spacing w:after="0" w:line="240" w:lineRule="auto"/>
            </w:pPr>
            <w:r>
              <w:t>0</w:t>
            </w:r>
          </w:p>
        </w:tc>
        <w:tc>
          <w:tcPr>
            <w:tcW w:w="2025" w:type="dxa"/>
            <w:shd w:val="clear" w:color="auto" w:fill="auto"/>
            <w:tcMar>
              <w:top w:w="100" w:type="dxa"/>
              <w:left w:w="100" w:type="dxa"/>
              <w:bottom w:w="100" w:type="dxa"/>
              <w:right w:w="100" w:type="dxa"/>
            </w:tcMar>
          </w:tcPr>
          <w:p w14:paraId="2F20836A" w14:textId="77777777" w:rsidR="001E1C1E" w:rsidRDefault="00000000">
            <w:pPr>
              <w:widowControl w:val="0"/>
              <w:pBdr>
                <w:top w:val="nil"/>
                <w:left w:val="nil"/>
                <w:bottom w:val="nil"/>
                <w:right w:val="nil"/>
                <w:between w:val="nil"/>
              </w:pBdr>
              <w:spacing w:after="0" w:line="240" w:lineRule="auto"/>
            </w:pPr>
            <w:r>
              <w:t>3</w:t>
            </w:r>
          </w:p>
        </w:tc>
      </w:tr>
      <w:tr w:rsidR="001E1C1E" w14:paraId="6FCDC332" w14:textId="77777777">
        <w:tc>
          <w:tcPr>
            <w:tcW w:w="3015" w:type="dxa"/>
            <w:shd w:val="clear" w:color="auto" w:fill="CFE2F3"/>
            <w:tcMar>
              <w:top w:w="100" w:type="dxa"/>
              <w:left w:w="100" w:type="dxa"/>
              <w:bottom w:w="100" w:type="dxa"/>
              <w:right w:w="100" w:type="dxa"/>
            </w:tcMar>
          </w:tcPr>
          <w:p w14:paraId="773768EC" w14:textId="77777777" w:rsidR="001E1C1E" w:rsidRDefault="00000000">
            <w:pPr>
              <w:widowControl w:val="0"/>
              <w:pBdr>
                <w:top w:val="nil"/>
                <w:left w:val="nil"/>
                <w:bottom w:val="nil"/>
                <w:right w:val="nil"/>
                <w:between w:val="nil"/>
              </w:pBdr>
              <w:spacing w:after="0" w:line="240" w:lineRule="auto"/>
            </w:pPr>
            <w:r>
              <w:t>Timescales</w:t>
            </w:r>
          </w:p>
        </w:tc>
        <w:tc>
          <w:tcPr>
            <w:tcW w:w="1575" w:type="dxa"/>
            <w:shd w:val="clear" w:color="auto" w:fill="CFE2F3"/>
            <w:tcMar>
              <w:top w:w="100" w:type="dxa"/>
              <w:left w:w="100" w:type="dxa"/>
              <w:bottom w:w="100" w:type="dxa"/>
              <w:right w:w="100" w:type="dxa"/>
            </w:tcMar>
          </w:tcPr>
          <w:p w14:paraId="23C1239E" w14:textId="77777777" w:rsidR="001E1C1E" w:rsidRDefault="00000000">
            <w:pPr>
              <w:widowControl w:val="0"/>
              <w:pBdr>
                <w:top w:val="nil"/>
                <w:left w:val="nil"/>
                <w:bottom w:val="nil"/>
                <w:right w:val="nil"/>
                <w:between w:val="nil"/>
              </w:pBdr>
              <w:spacing w:after="0" w:line="240" w:lineRule="auto"/>
            </w:pPr>
            <w:r>
              <w:t>3</w:t>
            </w:r>
          </w:p>
        </w:tc>
        <w:tc>
          <w:tcPr>
            <w:tcW w:w="1935" w:type="dxa"/>
            <w:shd w:val="clear" w:color="auto" w:fill="CFE2F3"/>
            <w:tcMar>
              <w:top w:w="100" w:type="dxa"/>
              <w:left w:w="100" w:type="dxa"/>
              <w:bottom w:w="100" w:type="dxa"/>
              <w:right w:w="100" w:type="dxa"/>
            </w:tcMar>
          </w:tcPr>
          <w:p w14:paraId="43801DDE" w14:textId="77777777" w:rsidR="001E1C1E" w:rsidRDefault="00000000">
            <w:pPr>
              <w:widowControl w:val="0"/>
              <w:spacing w:after="0" w:line="240" w:lineRule="auto"/>
            </w:pPr>
            <w:r>
              <w:t>2.9%</w:t>
            </w:r>
          </w:p>
        </w:tc>
        <w:tc>
          <w:tcPr>
            <w:tcW w:w="1575" w:type="dxa"/>
            <w:shd w:val="clear" w:color="auto" w:fill="CFE2F3"/>
            <w:tcMar>
              <w:top w:w="100" w:type="dxa"/>
              <w:left w:w="100" w:type="dxa"/>
              <w:bottom w:w="100" w:type="dxa"/>
              <w:right w:w="100" w:type="dxa"/>
            </w:tcMar>
          </w:tcPr>
          <w:p w14:paraId="2506B3B4" w14:textId="77777777" w:rsidR="001E1C1E" w:rsidRDefault="00000000">
            <w:pPr>
              <w:widowControl w:val="0"/>
              <w:pBdr>
                <w:top w:val="nil"/>
                <w:left w:val="nil"/>
                <w:bottom w:val="nil"/>
                <w:right w:val="nil"/>
                <w:between w:val="nil"/>
              </w:pBdr>
              <w:spacing w:after="0" w:line="240" w:lineRule="auto"/>
            </w:pPr>
            <w:r>
              <w:t>2</w:t>
            </w:r>
          </w:p>
        </w:tc>
        <w:tc>
          <w:tcPr>
            <w:tcW w:w="2025" w:type="dxa"/>
            <w:shd w:val="clear" w:color="auto" w:fill="CFE2F3"/>
            <w:tcMar>
              <w:top w:w="100" w:type="dxa"/>
              <w:left w:w="100" w:type="dxa"/>
              <w:bottom w:w="100" w:type="dxa"/>
              <w:right w:w="100" w:type="dxa"/>
            </w:tcMar>
          </w:tcPr>
          <w:p w14:paraId="0D28C301" w14:textId="77777777" w:rsidR="001E1C1E" w:rsidRDefault="00000000">
            <w:pPr>
              <w:widowControl w:val="0"/>
              <w:pBdr>
                <w:top w:val="nil"/>
                <w:left w:val="nil"/>
                <w:bottom w:val="nil"/>
                <w:right w:val="nil"/>
                <w:between w:val="nil"/>
              </w:pBdr>
              <w:spacing w:after="0" w:line="240" w:lineRule="auto"/>
            </w:pPr>
            <w:r>
              <w:t>1</w:t>
            </w:r>
          </w:p>
        </w:tc>
      </w:tr>
      <w:tr w:rsidR="001E1C1E" w14:paraId="3BC7BA74" w14:textId="77777777">
        <w:tc>
          <w:tcPr>
            <w:tcW w:w="3015" w:type="dxa"/>
            <w:shd w:val="clear" w:color="auto" w:fill="auto"/>
            <w:tcMar>
              <w:top w:w="100" w:type="dxa"/>
              <w:left w:w="100" w:type="dxa"/>
              <w:bottom w:w="100" w:type="dxa"/>
              <w:right w:w="100" w:type="dxa"/>
            </w:tcMar>
          </w:tcPr>
          <w:p w14:paraId="43C63A18" w14:textId="77777777" w:rsidR="001E1C1E" w:rsidRDefault="00000000">
            <w:pPr>
              <w:widowControl w:val="0"/>
              <w:pBdr>
                <w:top w:val="nil"/>
                <w:left w:val="nil"/>
                <w:bottom w:val="nil"/>
                <w:right w:val="nil"/>
                <w:between w:val="nil"/>
              </w:pBdr>
              <w:spacing w:after="0" w:line="240" w:lineRule="auto"/>
            </w:pPr>
            <w:r>
              <w:t>Technical Issues with E-Portal</w:t>
            </w:r>
          </w:p>
        </w:tc>
        <w:tc>
          <w:tcPr>
            <w:tcW w:w="1575" w:type="dxa"/>
            <w:shd w:val="clear" w:color="auto" w:fill="auto"/>
            <w:tcMar>
              <w:top w:w="100" w:type="dxa"/>
              <w:left w:w="100" w:type="dxa"/>
              <w:bottom w:w="100" w:type="dxa"/>
              <w:right w:w="100" w:type="dxa"/>
            </w:tcMar>
          </w:tcPr>
          <w:p w14:paraId="26AF77F9" w14:textId="77777777" w:rsidR="001E1C1E" w:rsidRDefault="00000000">
            <w:pPr>
              <w:widowControl w:val="0"/>
              <w:pBdr>
                <w:top w:val="nil"/>
                <w:left w:val="nil"/>
                <w:bottom w:val="nil"/>
                <w:right w:val="nil"/>
                <w:between w:val="nil"/>
              </w:pBdr>
              <w:spacing w:after="0" w:line="240" w:lineRule="auto"/>
            </w:pPr>
            <w:r>
              <w:t>3</w:t>
            </w:r>
          </w:p>
        </w:tc>
        <w:tc>
          <w:tcPr>
            <w:tcW w:w="1935" w:type="dxa"/>
            <w:shd w:val="clear" w:color="auto" w:fill="auto"/>
            <w:tcMar>
              <w:top w:w="100" w:type="dxa"/>
              <w:left w:w="100" w:type="dxa"/>
              <w:bottom w:w="100" w:type="dxa"/>
              <w:right w:w="100" w:type="dxa"/>
            </w:tcMar>
          </w:tcPr>
          <w:p w14:paraId="349A4959" w14:textId="77777777" w:rsidR="001E1C1E" w:rsidRDefault="00000000">
            <w:pPr>
              <w:widowControl w:val="0"/>
              <w:spacing w:after="0" w:line="240" w:lineRule="auto"/>
            </w:pPr>
            <w:r>
              <w:t>2.9%</w:t>
            </w:r>
          </w:p>
        </w:tc>
        <w:tc>
          <w:tcPr>
            <w:tcW w:w="1575" w:type="dxa"/>
            <w:shd w:val="clear" w:color="auto" w:fill="auto"/>
            <w:tcMar>
              <w:top w:w="100" w:type="dxa"/>
              <w:left w:w="100" w:type="dxa"/>
              <w:bottom w:w="100" w:type="dxa"/>
              <w:right w:w="100" w:type="dxa"/>
            </w:tcMar>
          </w:tcPr>
          <w:p w14:paraId="1DFCB686" w14:textId="77777777" w:rsidR="001E1C1E" w:rsidRDefault="00000000">
            <w:pPr>
              <w:widowControl w:val="0"/>
              <w:pBdr>
                <w:top w:val="nil"/>
                <w:left w:val="nil"/>
                <w:bottom w:val="nil"/>
                <w:right w:val="nil"/>
                <w:between w:val="nil"/>
              </w:pBdr>
              <w:spacing w:after="0" w:line="240" w:lineRule="auto"/>
            </w:pPr>
            <w:r>
              <w:t>1</w:t>
            </w:r>
          </w:p>
        </w:tc>
        <w:tc>
          <w:tcPr>
            <w:tcW w:w="2025" w:type="dxa"/>
            <w:shd w:val="clear" w:color="auto" w:fill="auto"/>
            <w:tcMar>
              <w:top w:w="100" w:type="dxa"/>
              <w:left w:w="100" w:type="dxa"/>
              <w:bottom w:w="100" w:type="dxa"/>
              <w:right w:w="100" w:type="dxa"/>
            </w:tcMar>
          </w:tcPr>
          <w:p w14:paraId="02F2E855" w14:textId="77777777" w:rsidR="001E1C1E" w:rsidRDefault="00000000">
            <w:pPr>
              <w:widowControl w:val="0"/>
              <w:pBdr>
                <w:top w:val="nil"/>
                <w:left w:val="nil"/>
                <w:bottom w:val="nil"/>
                <w:right w:val="nil"/>
                <w:between w:val="nil"/>
              </w:pBdr>
              <w:spacing w:after="0" w:line="240" w:lineRule="auto"/>
            </w:pPr>
            <w:r>
              <w:t>2</w:t>
            </w:r>
          </w:p>
        </w:tc>
      </w:tr>
      <w:tr w:rsidR="001E1C1E" w14:paraId="7C8C43BD" w14:textId="77777777">
        <w:tc>
          <w:tcPr>
            <w:tcW w:w="3015" w:type="dxa"/>
            <w:shd w:val="clear" w:color="auto" w:fill="CFE2F3"/>
            <w:tcMar>
              <w:top w:w="100" w:type="dxa"/>
              <w:left w:w="100" w:type="dxa"/>
              <w:bottom w:w="100" w:type="dxa"/>
              <w:right w:w="100" w:type="dxa"/>
            </w:tcMar>
          </w:tcPr>
          <w:p w14:paraId="7848C91C" w14:textId="77777777" w:rsidR="001E1C1E" w:rsidRDefault="00000000">
            <w:pPr>
              <w:widowControl w:val="0"/>
              <w:pBdr>
                <w:top w:val="nil"/>
                <w:left w:val="nil"/>
                <w:bottom w:val="nil"/>
                <w:right w:val="nil"/>
                <w:between w:val="nil"/>
              </w:pBdr>
              <w:spacing w:after="0" w:line="240" w:lineRule="auto"/>
            </w:pPr>
            <w:r>
              <w:t>Changing Approach</w:t>
            </w:r>
          </w:p>
        </w:tc>
        <w:tc>
          <w:tcPr>
            <w:tcW w:w="1575" w:type="dxa"/>
            <w:shd w:val="clear" w:color="auto" w:fill="CFE2F3"/>
            <w:tcMar>
              <w:top w:w="100" w:type="dxa"/>
              <w:left w:w="100" w:type="dxa"/>
              <w:bottom w:w="100" w:type="dxa"/>
              <w:right w:w="100" w:type="dxa"/>
            </w:tcMar>
          </w:tcPr>
          <w:p w14:paraId="1B582744" w14:textId="77777777" w:rsidR="001E1C1E" w:rsidRDefault="00000000">
            <w:pPr>
              <w:widowControl w:val="0"/>
              <w:pBdr>
                <w:top w:val="nil"/>
                <w:left w:val="nil"/>
                <w:bottom w:val="nil"/>
                <w:right w:val="nil"/>
                <w:between w:val="nil"/>
              </w:pBdr>
              <w:spacing w:after="0" w:line="240" w:lineRule="auto"/>
            </w:pPr>
            <w:r>
              <w:t>3</w:t>
            </w:r>
          </w:p>
        </w:tc>
        <w:tc>
          <w:tcPr>
            <w:tcW w:w="1935" w:type="dxa"/>
            <w:shd w:val="clear" w:color="auto" w:fill="CFE2F3"/>
            <w:tcMar>
              <w:top w:w="100" w:type="dxa"/>
              <w:left w:w="100" w:type="dxa"/>
              <w:bottom w:w="100" w:type="dxa"/>
              <w:right w:w="100" w:type="dxa"/>
            </w:tcMar>
          </w:tcPr>
          <w:p w14:paraId="1FE72B5B" w14:textId="77777777" w:rsidR="001E1C1E" w:rsidRDefault="00000000">
            <w:pPr>
              <w:widowControl w:val="0"/>
              <w:spacing w:after="0" w:line="240" w:lineRule="auto"/>
            </w:pPr>
            <w:r>
              <w:t>2.9%</w:t>
            </w:r>
          </w:p>
        </w:tc>
        <w:tc>
          <w:tcPr>
            <w:tcW w:w="1575" w:type="dxa"/>
            <w:shd w:val="clear" w:color="auto" w:fill="CFE2F3"/>
            <w:tcMar>
              <w:top w:w="100" w:type="dxa"/>
              <w:left w:w="100" w:type="dxa"/>
              <w:bottom w:w="100" w:type="dxa"/>
              <w:right w:w="100" w:type="dxa"/>
            </w:tcMar>
          </w:tcPr>
          <w:p w14:paraId="0276F8C3" w14:textId="77777777" w:rsidR="001E1C1E" w:rsidRDefault="00000000">
            <w:pPr>
              <w:widowControl w:val="0"/>
              <w:pBdr>
                <w:top w:val="nil"/>
                <w:left w:val="nil"/>
                <w:bottom w:val="nil"/>
                <w:right w:val="nil"/>
                <w:between w:val="nil"/>
              </w:pBdr>
              <w:spacing w:after="0" w:line="240" w:lineRule="auto"/>
            </w:pPr>
            <w:r>
              <w:t>0</w:t>
            </w:r>
          </w:p>
        </w:tc>
        <w:tc>
          <w:tcPr>
            <w:tcW w:w="2025" w:type="dxa"/>
            <w:shd w:val="clear" w:color="auto" w:fill="CFE2F3"/>
            <w:tcMar>
              <w:top w:w="100" w:type="dxa"/>
              <w:left w:w="100" w:type="dxa"/>
              <w:bottom w:w="100" w:type="dxa"/>
              <w:right w:w="100" w:type="dxa"/>
            </w:tcMar>
          </w:tcPr>
          <w:p w14:paraId="2931F4E2" w14:textId="77777777" w:rsidR="001E1C1E" w:rsidRDefault="00000000">
            <w:pPr>
              <w:widowControl w:val="0"/>
              <w:pBdr>
                <w:top w:val="nil"/>
                <w:left w:val="nil"/>
                <w:bottom w:val="nil"/>
                <w:right w:val="nil"/>
                <w:between w:val="nil"/>
              </w:pBdr>
              <w:spacing w:after="0" w:line="240" w:lineRule="auto"/>
            </w:pPr>
            <w:r>
              <w:t>3</w:t>
            </w:r>
          </w:p>
        </w:tc>
      </w:tr>
      <w:tr w:rsidR="001E1C1E" w14:paraId="21B31FB1" w14:textId="77777777">
        <w:tc>
          <w:tcPr>
            <w:tcW w:w="3015" w:type="dxa"/>
            <w:shd w:val="clear" w:color="auto" w:fill="auto"/>
            <w:tcMar>
              <w:top w:w="100" w:type="dxa"/>
              <w:left w:w="100" w:type="dxa"/>
              <w:bottom w:w="100" w:type="dxa"/>
              <w:right w:w="100" w:type="dxa"/>
            </w:tcMar>
          </w:tcPr>
          <w:p w14:paraId="2C0F9F00" w14:textId="77777777" w:rsidR="001E1C1E" w:rsidRDefault="00000000">
            <w:pPr>
              <w:widowControl w:val="0"/>
              <w:spacing w:after="0" w:line="240" w:lineRule="auto"/>
            </w:pPr>
            <w:r>
              <w:t>Award</w:t>
            </w:r>
          </w:p>
        </w:tc>
        <w:tc>
          <w:tcPr>
            <w:tcW w:w="1575" w:type="dxa"/>
            <w:shd w:val="clear" w:color="auto" w:fill="auto"/>
            <w:tcMar>
              <w:top w:w="100" w:type="dxa"/>
              <w:left w:w="100" w:type="dxa"/>
              <w:bottom w:w="100" w:type="dxa"/>
              <w:right w:w="100" w:type="dxa"/>
            </w:tcMar>
          </w:tcPr>
          <w:p w14:paraId="6E5387DB" w14:textId="77777777" w:rsidR="001E1C1E" w:rsidRDefault="00000000">
            <w:pPr>
              <w:widowControl w:val="0"/>
              <w:pBdr>
                <w:top w:val="nil"/>
                <w:left w:val="nil"/>
                <w:bottom w:val="nil"/>
                <w:right w:val="nil"/>
                <w:between w:val="nil"/>
              </w:pBdr>
              <w:spacing w:after="0" w:line="240" w:lineRule="auto"/>
            </w:pPr>
            <w:r>
              <w:t>3</w:t>
            </w:r>
          </w:p>
        </w:tc>
        <w:tc>
          <w:tcPr>
            <w:tcW w:w="1935" w:type="dxa"/>
            <w:shd w:val="clear" w:color="auto" w:fill="auto"/>
            <w:tcMar>
              <w:top w:w="100" w:type="dxa"/>
              <w:left w:w="100" w:type="dxa"/>
              <w:bottom w:w="100" w:type="dxa"/>
              <w:right w:w="100" w:type="dxa"/>
            </w:tcMar>
          </w:tcPr>
          <w:p w14:paraId="158FD9FE" w14:textId="77777777" w:rsidR="001E1C1E" w:rsidRDefault="00000000">
            <w:pPr>
              <w:widowControl w:val="0"/>
              <w:spacing w:after="0" w:line="240" w:lineRule="auto"/>
            </w:pPr>
            <w:r>
              <w:t>2.9%</w:t>
            </w:r>
          </w:p>
        </w:tc>
        <w:tc>
          <w:tcPr>
            <w:tcW w:w="1575" w:type="dxa"/>
            <w:shd w:val="clear" w:color="auto" w:fill="auto"/>
            <w:tcMar>
              <w:top w:w="100" w:type="dxa"/>
              <w:left w:w="100" w:type="dxa"/>
              <w:bottom w:w="100" w:type="dxa"/>
              <w:right w:w="100" w:type="dxa"/>
            </w:tcMar>
          </w:tcPr>
          <w:p w14:paraId="4AAA9B72" w14:textId="77777777" w:rsidR="001E1C1E" w:rsidRDefault="00000000">
            <w:pPr>
              <w:widowControl w:val="0"/>
              <w:pBdr>
                <w:top w:val="nil"/>
                <w:left w:val="nil"/>
                <w:bottom w:val="nil"/>
                <w:right w:val="nil"/>
                <w:between w:val="nil"/>
              </w:pBdr>
              <w:spacing w:after="0" w:line="240" w:lineRule="auto"/>
            </w:pPr>
            <w:r>
              <w:t>1</w:t>
            </w:r>
          </w:p>
        </w:tc>
        <w:tc>
          <w:tcPr>
            <w:tcW w:w="2025" w:type="dxa"/>
            <w:shd w:val="clear" w:color="auto" w:fill="auto"/>
            <w:tcMar>
              <w:top w:w="100" w:type="dxa"/>
              <w:left w:w="100" w:type="dxa"/>
              <w:bottom w:w="100" w:type="dxa"/>
              <w:right w:w="100" w:type="dxa"/>
            </w:tcMar>
          </w:tcPr>
          <w:p w14:paraId="0E1A4AC5" w14:textId="77777777" w:rsidR="001E1C1E" w:rsidRDefault="00000000">
            <w:pPr>
              <w:widowControl w:val="0"/>
              <w:pBdr>
                <w:top w:val="nil"/>
                <w:left w:val="nil"/>
                <w:bottom w:val="nil"/>
                <w:right w:val="nil"/>
                <w:between w:val="nil"/>
              </w:pBdr>
              <w:spacing w:after="0" w:line="240" w:lineRule="auto"/>
            </w:pPr>
            <w:r>
              <w:t>2</w:t>
            </w:r>
          </w:p>
        </w:tc>
      </w:tr>
      <w:tr w:rsidR="001E1C1E" w14:paraId="1F53761A" w14:textId="77777777">
        <w:tc>
          <w:tcPr>
            <w:tcW w:w="3015" w:type="dxa"/>
            <w:shd w:val="clear" w:color="auto" w:fill="CFE2F3"/>
            <w:tcMar>
              <w:top w:w="100" w:type="dxa"/>
              <w:left w:w="100" w:type="dxa"/>
              <w:bottom w:w="100" w:type="dxa"/>
              <w:right w:w="100" w:type="dxa"/>
            </w:tcMar>
          </w:tcPr>
          <w:p w14:paraId="6FD37EA6" w14:textId="77777777" w:rsidR="001E1C1E" w:rsidRDefault="00000000">
            <w:pPr>
              <w:widowControl w:val="0"/>
              <w:pBdr>
                <w:top w:val="nil"/>
                <w:left w:val="nil"/>
                <w:bottom w:val="nil"/>
                <w:right w:val="nil"/>
                <w:between w:val="nil"/>
              </w:pBdr>
              <w:spacing w:after="0" w:line="240" w:lineRule="auto"/>
            </w:pPr>
            <w:r>
              <w:t>Assessment &amp; Scoring</w:t>
            </w:r>
          </w:p>
        </w:tc>
        <w:tc>
          <w:tcPr>
            <w:tcW w:w="1575" w:type="dxa"/>
            <w:shd w:val="clear" w:color="auto" w:fill="CFE2F3"/>
            <w:tcMar>
              <w:top w:w="100" w:type="dxa"/>
              <w:left w:w="100" w:type="dxa"/>
              <w:bottom w:w="100" w:type="dxa"/>
              <w:right w:w="100" w:type="dxa"/>
            </w:tcMar>
          </w:tcPr>
          <w:p w14:paraId="1FAE8CBC" w14:textId="77777777" w:rsidR="001E1C1E" w:rsidRDefault="00000000">
            <w:pPr>
              <w:widowControl w:val="0"/>
              <w:pBdr>
                <w:top w:val="nil"/>
                <w:left w:val="nil"/>
                <w:bottom w:val="nil"/>
                <w:right w:val="nil"/>
                <w:between w:val="nil"/>
              </w:pBdr>
              <w:spacing w:after="0" w:line="240" w:lineRule="auto"/>
            </w:pPr>
            <w:r>
              <w:t>3</w:t>
            </w:r>
          </w:p>
        </w:tc>
        <w:tc>
          <w:tcPr>
            <w:tcW w:w="1935" w:type="dxa"/>
            <w:shd w:val="clear" w:color="auto" w:fill="CFE2F3"/>
            <w:tcMar>
              <w:top w:w="100" w:type="dxa"/>
              <w:left w:w="100" w:type="dxa"/>
              <w:bottom w:w="100" w:type="dxa"/>
              <w:right w:w="100" w:type="dxa"/>
            </w:tcMar>
          </w:tcPr>
          <w:p w14:paraId="0659C777" w14:textId="77777777" w:rsidR="001E1C1E" w:rsidRDefault="00000000">
            <w:pPr>
              <w:widowControl w:val="0"/>
              <w:spacing w:after="0" w:line="240" w:lineRule="auto"/>
            </w:pPr>
            <w:r>
              <w:t>2.9%</w:t>
            </w:r>
          </w:p>
        </w:tc>
        <w:tc>
          <w:tcPr>
            <w:tcW w:w="1575" w:type="dxa"/>
            <w:shd w:val="clear" w:color="auto" w:fill="CFE2F3"/>
            <w:tcMar>
              <w:top w:w="100" w:type="dxa"/>
              <w:left w:w="100" w:type="dxa"/>
              <w:bottom w:w="100" w:type="dxa"/>
              <w:right w:w="100" w:type="dxa"/>
            </w:tcMar>
          </w:tcPr>
          <w:p w14:paraId="3D45D86D" w14:textId="77777777" w:rsidR="001E1C1E" w:rsidRDefault="00000000">
            <w:pPr>
              <w:widowControl w:val="0"/>
              <w:pBdr>
                <w:top w:val="nil"/>
                <w:left w:val="nil"/>
                <w:bottom w:val="nil"/>
                <w:right w:val="nil"/>
                <w:between w:val="nil"/>
              </w:pBdr>
              <w:spacing w:after="0" w:line="240" w:lineRule="auto"/>
            </w:pPr>
            <w:r>
              <w:t>2</w:t>
            </w:r>
          </w:p>
        </w:tc>
        <w:tc>
          <w:tcPr>
            <w:tcW w:w="2025" w:type="dxa"/>
            <w:shd w:val="clear" w:color="auto" w:fill="CFE2F3"/>
            <w:tcMar>
              <w:top w:w="100" w:type="dxa"/>
              <w:left w:w="100" w:type="dxa"/>
              <w:bottom w:w="100" w:type="dxa"/>
              <w:right w:w="100" w:type="dxa"/>
            </w:tcMar>
          </w:tcPr>
          <w:p w14:paraId="3B8CB047" w14:textId="77777777" w:rsidR="001E1C1E" w:rsidRDefault="00000000">
            <w:pPr>
              <w:widowControl w:val="0"/>
              <w:pBdr>
                <w:top w:val="nil"/>
                <w:left w:val="nil"/>
                <w:bottom w:val="nil"/>
                <w:right w:val="nil"/>
                <w:between w:val="nil"/>
              </w:pBdr>
              <w:spacing w:after="0" w:line="240" w:lineRule="auto"/>
            </w:pPr>
            <w:r>
              <w:t>1</w:t>
            </w:r>
          </w:p>
        </w:tc>
      </w:tr>
      <w:tr w:rsidR="001E1C1E" w14:paraId="655F2E84" w14:textId="77777777">
        <w:tc>
          <w:tcPr>
            <w:tcW w:w="3015" w:type="dxa"/>
            <w:shd w:val="clear" w:color="auto" w:fill="005ABB"/>
            <w:tcMar>
              <w:top w:w="100" w:type="dxa"/>
              <w:left w:w="100" w:type="dxa"/>
              <w:bottom w:w="100" w:type="dxa"/>
              <w:right w:w="100" w:type="dxa"/>
            </w:tcMar>
          </w:tcPr>
          <w:p w14:paraId="5FE682E8" w14:textId="77777777" w:rsidR="001E1C1E" w:rsidRDefault="001E1C1E">
            <w:pPr>
              <w:widowControl w:val="0"/>
              <w:spacing w:after="0" w:line="240" w:lineRule="auto"/>
              <w:rPr>
                <w:color w:val="FFFFFF"/>
              </w:rPr>
            </w:pPr>
          </w:p>
        </w:tc>
        <w:tc>
          <w:tcPr>
            <w:tcW w:w="1575" w:type="dxa"/>
            <w:shd w:val="clear" w:color="auto" w:fill="005ABB"/>
            <w:tcMar>
              <w:top w:w="100" w:type="dxa"/>
              <w:left w:w="100" w:type="dxa"/>
              <w:bottom w:w="100" w:type="dxa"/>
              <w:right w:w="100" w:type="dxa"/>
            </w:tcMar>
          </w:tcPr>
          <w:p w14:paraId="2938F8B7" w14:textId="77777777" w:rsidR="001E1C1E" w:rsidRDefault="00000000">
            <w:pPr>
              <w:widowControl w:val="0"/>
              <w:spacing w:after="0" w:line="240" w:lineRule="auto"/>
              <w:rPr>
                <w:color w:val="FFFFFF"/>
              </w:rPr>
            </w:pPr>
            <w:r>
              <w:rPr>
                <w:color w:val="FFFFFF"/>
              </w:rPr>
              <w:t>105</w:t>
            </w:r>
          </w:p>
        </w:tc>
        <w:tc>
          <w:tcPr>
            <w:tcW w:w="1935" w:type="dxa"/>
            <w:shd w:val="clear" w:color="auto" w:fill="005ABB"/>
            <w:tcMar>
              <w:top w:w="100" w:type="dxa"/>
              <w:left w:w="100" w:type="dxa"/>
              <w:bottom w:w="100" w:type="dxa"/>
              <w:right w:w="100" w:type="dxa"/>
            </w:tcMar>
          </w:tcPr>
          <w:p w14:paraId="09AA56AE" w14:textId="77777777" w:rsidR="001E1C1E" w:rsidRDefault="00000000">
            <w:pPr>
              <w:widowControl w:val="0"/>
              <w:spacing w:after="0" w:line="240" w:lineRule="auto"/>
              <w:rPr>
                <w:color w:val="FFFFFF"/>
              </w:rPr>
            </w:pPr>
            <w:r>
              <w:rPr>
                <w:color w:val="FFFFFF"/>
              </w:rPr>
              <w:t>100%</w:t>
            </w:r>
          </w:p>
        </w:tc>
        <w:tc>
          <w:tcPr>
            <w:tcW w:w="1575" w:type="dxa"/>
            <w:shd w:val="clear" w:color="auto" w:fill="005ABB"/>
            <w:tcMar>
              <w:top w:w="100" w:type="dxa"/>
              <w:left w:w="100" w:type="dxa"/>
              <w:bottom w:w="100" w:type="dxa"/>
              <w:right w:w="100" w:type="dxa"/>
            </w:tcMar>
          </w:tcPr>
          <w:p w14:paraId="66CC0EA6" w14:textId="77777777" w:rsidR="001E1C1E" w:rsidRDefault="00000000">
            <w:pPr>
              <w:widowControl w:val="0"/>
              <w:spacing w:after="0" w:line="240" w:lineRule="auto"/>
              <w:rPr>
                <w:color w:val="FFFFFF"/>
              </w:rPr>
            </w:pPr>
            <w:r>
              <w:rPr>
                <w:color w:val="FFFFFF"/>
              </w:rPr>
              <w:t>60</w:t>
            </w:r>
          </w:p>
        </w:tc>
        <w:tc>
          <w:tcPr>
            <w:tcW w:w="2025" w:type="dxa"/>
            <w:shd w:val="clear" w:color="auto" w:fill="005ABB"/>
            <w:tcMar>
              <w:top w:w="100" w:type="dxa"/>
              <w:left w:w="100" w:type="dxa"/>
              <w:bottom w:w="100" w:type="dxa"/>
              <w:right w:w="100" w:type="dxa"/>
            </w:tcMar>
          </w:tcPr>
          <w:p w14:paraId="3D5AF469" w14:textId="77777777" w:rsidR="001E1C1E" w:rsidRDefault="00000000">
            <w:pPr>
              <w:widowControl w:val="0"/>
              <w:spacing w:after="0" w:line="240" w:lineRule="auto"/>
              <w:rPr>
                <w:color w:val="FFFFFF"/>
              </w:rPr>
            </w:pPr>
            <w:r>
              <w:rPr>
                <w:color w:val="FFFFFF"/>
              </w:rPr>
              <w:t>45</w:t>
            </w:r>
          </w:p>
        </w:tc>
      </w:tr>
    </w:tbl>
    <w:p w14:paraId="0F887E02" w14:textId="77777777" w:rsidR="001E1C1E" w:rsidRDefault="001E1C1E">
      <w:pPr>
        <w:spacing w:after="0" w:line="276" w:lineRule="auto"/>
        <w:ind w:left="-425" w:right="-550"/>
        <w:jc w:val="both"/>
        <w:rPr>
          <w:highlight w:val="yellow"/>
        </w:rPr>
      </w:pPr>
    </w:p>
    <w:p w14:paraId="0256D677" w14:textId="77777777" w:rsidR="001E1C1E" w:rsidRDefault="001E1C1E">
      <w:pPr>
        <w:spacing w:after="0" w:line="276" w:lineRule="auto"/>
        <w:ind w:left="-425" w:right="-550"/>
        <w:jc w:val="both"/>
        <w:rPr>
          <w:highlight w:val="yellow"/>
        </w:rPr>
      </w:pPr>
    </w:p>
    <w:p w14:paraId="586E4E7F" w14:textId="77777777" w:rsidR="001E1C1E" w:rsidRDefault="001E1C1E">
      <w:pPr>
        <w:spacing w:after="0" w:line="276" w:lineRule="auto"/>
        <w:ind w:left="-425" w:right="-550"/>
        <w:jc w:val="both"/>
      </w:pPr>
    </w:p>
    <w:p w14:paraId="1AC651FB" w14:textId="77777777" w:rsidR="001E1C1E" w:rsidRDefault="001E1C1E">
      <w:pPr>
        <w:spacing w:after="0" w:line="276" w:lineRule="auto"/>
        <w:ind w:left="-425" w:right="-550"/>
        <w:jc w:val="both"/>
        <w:rPr>
          <w:highlight w:val="yellow"/>
        </w:rPr>
      </w:pPr>
    </w:p>
    <w:p w14:paraId="4543CD9E" w14:textId="77777777" w:rsidR="001E1C1E" w:rsidRDefault="00000000">
      <w:pPr>
        <w:pStyle w:val="Heading1"/>
        <w:spacing w:line="276" w:lineRule="auto"/>
        <w:ind w:left="-425" w:right="-550"/>
        <w:jc w:val="both"/>
        <w:rPr>
          <w:sz w:val="24"/>
          <w:szCs w:val="24"/>
          <w:highlight w:val="yellow"/>
        </w:rPr>
      </w:pPr>
      <w:bookmarkStart w:id="8" w:name="_tyjcwt" w:colFirst="0" w:colLast="0"/>
      <w:bookmarkEnd w:id="8"/>
      <w:r>
        <w:br w:type="page"/>
      </w:r>
    </w:p>
    <w:p w14:paraId="55341285" w14:textId="77777777" w:rsidR="001E1C1E" w:rsidRDefault="00000000">
      <w:pPr>
        <w:pStyle w:val="Heading1"/>
        <w:spacing w:line="276" w:lineRule="auto"/>
        <w:ind w:left="-425" w:right="-550"/>
        <w:jc w:val="both"/>
        <w:rPr>
          <w:sz w:val="24"/>
          <w:szCs w:val="24"/>
        </w:rPr>
      </w:pPr>
      <w:bookmarkStart w:id="9" w:name="_hv1yk9aiuxpp" w:colFirst="0" w:colLast="0"/>
      <w:bookmarkEnd w:id="9"/>
      <w:r>
        <w:rPr>
          <w:sz w:val="24"/>
          <w:szCs w:val="24"/>
        </w:rPr>
        <w:lastRenderedPageBreak/>
        <w:t xml:space="preserve">3.5. Top Issues and Action  </w:t>
      </w:r>
    </w:p>
    <w:p w14:paraId="49B75647" w14:textId="77777777" w:rsidR="001E1C1E" w:rsidRDefault="00000000">
      <w:pPr>
        <w:spacing w:after="0" w:line="276" w:lineRule="auto"/>
        <w:ind w:left="-425" w:right="-550"/>
        <w:jc w:val="both"/>
      </w:pPr>
      <w:r>
        <w:t>The main areas of complaints received against contracting authorities are outlined in the table below. There was an increase in the number of complaints acknowledged by contracting authorities, indicating recognition that improvements could be made in the future.</w:t>
      </w:r>
    </w:p>
    <w:p w14:paraId="1975B318" w14:textId="77777777" w:rsidR="001E1C1E" w:rsidRDefault="001E1C1E">
      <w:pPr>
        <w:spacing w:after="0" w:line="276" w:lineRule="auto"/>
        <w:ind w:left="-425" w:right="-550"/>
        <w:jc w:val="both"/>
        <w:rPr>
          <w:highlight w:val="yellow"/>
        </w:rPr>
      </w:pPr>
    </w:p>
    <w:tbl>
      <w:tblPr>
        <w:tblStyle w:val="a0"/>
        <w:tblW w:w="10725" w:type="dxa"/>
        <w:tblInd w:w="-4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70"/>
        <w:gridCol w:w="3960"/>
        <w:gridCol w:w="4695"/>
      </w:tblGrid>
      <w:tr w:rsidR="001E1C1E" w14:paraId="4B4E5188" w14:textId="77777777">
        <w:trPr>
          <w:trHeight w:val="420"/>
        </w:trPr>
        <w:tc>
          <w:tcPr>
            <w:tcW w:w="10725" w:type="dxa"/>
            <w:gridSpan w:val="3"/>
            <w:shd w:val="clear" w:color="auto" w:fill="005ABB"/>
            <w:tcMar>
              <w:top w:w="100" w:type="dxa"/>
              <w:left w:w="100" w:type="dxa"/>
              <w:bottom w:w="100" w:type="dxa"/>
              <w:right w:w="100" w:type="dxa"/>
            </w:tcMar>
          </w:tcPr>
          <w:p w14:paraId="53645644" w14:textId="77777777" w:rsidR="001E1C1E" w:rsidRDefault="00000000">
            <w:pPr>
              <w:widowControl w:val="0"/>
              <w:spacing w:after="0" w:line="240" w:lineRule="auto"/>
              <w:jc w:val="both"/>
              <w:rPr>
                <w:b/>
                <w:bCs/>
                <w:color w:val="FFFFFF"/>
              </w:rPr>
            </w:pPr>
            <w:r>
              <w:rPr>
                <w:b/>
                <w:bCs/>
                <w:color w:val="FFFFFF"/>
              </w:rPr>
              <w:t xml:space="preserve">MAIN TRENDS </w:t>
            </w:r>
          </w:p>
        </w:tc>
      </w:tr>
      <w:tr w:rsidR="001E1C1E" w14:paraId="14B26976" w14:textId="77777777">
        <w:tc>
          <w:tcPr>
            <w:tcW w:w="2070" w:type="dxa"/>
            <w:shd w:val="clear" w:color="auto" w:fill="005ABB"/>
            <w:tcMar>
              <w:top w:w="100" w:type="dxa"/>
              <w:left w:w="100" w:type="dxa"/>
              <w:bottom w:w="100" w:type="dxa"/>
              <w:right w:w="100" w:type="dxa"/>
            </w:tcMar>
          </w:tcPr>
          <w:p w14:paraId="169ABEA7" w14:textId="77777777" w:rsidR="001E1C1E" w:rsidRDefault="00000000">
            <w:pPr>
              <w:widowControl w:val="0"/>
              <w:spacing w:after="0" w:line="240" w:lineRule="auto"/>
              <w:jc w:val="both"/>
              <w:rPr>
                <w:b/>
                <w:bCs/>
                <w:color w:val="FFFFFF"/>
              </w:rPr>
            </w:pPr>
            <w:r>
              <w:rPr>
                <w:b/>
                <w:bCs/>
                <w:color w:val="FFFFFF"/>
              </w:rPr>
              <w:t>Issue</w:t>
            </w:r>
          </w:p>
        </w:tc>
        <w:tc>
          <w:tcPr>
            <w:tcW w:w="3960" w:type="dxa"/>
            <w:shd w:val="clear" w:color="auto" w:fill="005ABB"/>
            <w:tcMar>
              <w:top w:w="100" w:type="dxa"/>
              <w:left w:w="100" w:type="dxa"/>
              <w:bottom w:w="100" w:type="dxa"/>
              <w:right w:w="100" w:type="dxa"/>
            </w:tcMar>
          </w:tcPr>
          <w:p w14:paraId="4990C3E4" w14:textId="77777777" w:rsidR="001E1C1E" w:rsidRDefault="00000000">
            <w:pPr>
              <w:widowControl w:val="0"/>
              <w:spacing w:after="0" w:line="240" w:lineRule="auto"/>
              <w:jc w:val="both"/>
              <w:rPr>
                <w:b/>
                <w:bCs/>
                <w:color w:val="FFFFFF"/>
              </w:rPr>
            </w:pPr>
            <w:r>
              <w:rPr>
                <w:b/>
                <w:bCs/>
                <w:color w:val="FFFFFF"/>
              </w:rPr>
              <w:t>Context</w:t>
            </w:r>
          </w:p>
        </w:tc>
        <w:tc>
          <w:tcPr>
            <w:tcW w:w="4695" w:type="dxa"/>
            <w:shd w:val="clear" w:color="auto" w:fill="005ABB"/>
            <w:tcMar>
              <w:top w:w="100" w:type="dxa"/>
              <w:left w:w="100" w:type="dxa"/>
              <w:bottom w:w="100" w:type="dxa"/>
              <w:right w:w="100" w:type="dxa"/>
            </w:tcMar>
          </w:tcPr>
          <w:p w14:paraId="51B7D6A5" w14:textId="77777777" w:rsidR="001E1C1E" w:rsidRDefault="00000000">
            <w:pPr>
              <w:widowControl w:val="0"/>
              <w:spacing w:after="0" w:line="240" w:lineRule="auto"/>
              <w:jc w:val="both"/>
              <w:rPr>
                <w:b/>
                <w:bCs/>
                <w:color w:val="FFFFFF"/>
              </w:rPr>
            </w:pPr>
            <w:r>
              <w:rPr>
                <w:b/>
                <w:bCs/>
                <w:color w:val="FFFFFF"/>
              </w:rPr>
              <w:t>Action</w:t>
            </w:r>
          </w:p>
        </w:tc>
      </w:tr>
      <w:tr w:rsidR="001E1C1E" w14:paraId="493EAF3C" w14:textId="77777777">
        <w:trPr>
          <w:trHeight w:val="5389"/>
        </w:trPr>
        <w:tc>
          <w:tcPr>
            <w:tcW w:w="2070" w:type="dxa"/>
            <w:shd w:val="clear" w:color="auto" w:fill="auto"/>
            <w:tcMar>
              <w:top w:w="100" w:type="dxa"/>
              <w:left w:w="100" w:type="dxa"/>
              <w:bottom w:w="100" w:type="dxa"/>
              <w:right w:w="100" w:type="dxa"/>
            </w:tcMar>
          </w:tcPr>
          <w:p w14:paraId="1B848E77" w14:textId="77777777" w:rsidR="001E1C1E" w:rsidRDefault="00000000">
            <w:pPr>
              <w:widowControl w:val="0"/>
              <w:spacing w:after="0" w:line="240" w:lineRule="auto"/>
              <w:jc w:val="both"/>
            </w:pPr>
            <w:r>
              <w:t>‘Payment’</w:t>
            </w:r>
          </w:p>
          <w:p w14:paraId="475A205B" w14:textId="77777777" w:rsidR="001E1C1E" w:rsidRDefault="001E1C1E">
            <w:pPr>
              <w:widowControl w:val="0"/>
              <w:spacing w:after="0" w:line="240" w:lineRule="auto"/>
              <w:jc w:val="both"/>
            </w:pPr>
          </w:p>
          <w:p w14:paraId="67981494" w14:textId="77777777" w:rsidR="001E1C1E" w:rsidRDefault="00000000">
            <w:pPr>
              <w:widowControl w:val="0"/>
              <w:spacing w:after="0" w:line="240" w:lineRule="auto"/>
              <w:jc w:val="both"/>
            </w:pPr>
            <w:r>
              <w:t>25 cases raised</w:t>
            </w:r>
          </w:p>
          <w:p w14:paraId="505A6395" w14:textId="77777777" w:rsidR="001E1C1E" w:rsidRDefault="001E1C1E">
            <w:pPr>
              <w:widowControl w:val="0"/>
              <w:spacing w:after="0" w:line="240" w:lineRule="auto"/>
              <w:jc w:val="both"/>
            </w:pPr>
          </w:p>
          <w:p w14:paraId="36AB2199" w14:textId="77777777" w:rsidR="001E1C1E" w:rsidRDefault="00000000">
            <w:pPr>
              <w:widowControl w:val="0"/>
              <w:spacing w:after="0" w:line="240" w:lineRule="auto"/>
              <w:jc w:val="both"/>
            </w:pPr>
            <w:r>
              <w:t>CG five cases (four upheld);</w:t>
            </w:r>
          </w:p>
          <w:p w14:paraId="5E34B595" w14:textId="77777777" w:rsidR="001E1C1E" w:rsidRDefault="00000000">
            <w:pPr>
              <w:widowControl w:val="0"/>
              <w:spacing w:after="0" w:line="240" w:lineRule="auto"/>
              <w:jc w:val="both"/>
            </w:pPr>
            <w:r>
              <w:t>WPS - 23 cases (21 upheld)</w:t>
            </w:r>
          </w:p>
          <w:p w14:paraId="27270E84" w14:textId="77777777" w:rsidR="001E1C1E" w:rsidRDefault="001E1C1E">
            <w:pPr>
              <w:widowControl w:val="0"/>
              <w:spacing w:after="0" w:line="240" w:lineRule="auto"/>
              <w:jc w:val="both"/>
            </w:pPr>
          </w:p>
          <w:p w14:paraId="20649B52" w14:textId="77777777" w:rsidR="001E1C1E" w:rsidRDefault="00000000">
            <w:pPr>
              <w:widowControl w:val="0"/>
              <w:spacing w:after="0" w:line="240" w:lineRule="auto"/>
              <w:jc w:val="both"/>
            </w:pPr>
            <w:r>
              <w:t xml:space="preserve">(payment complaints are closed at the point where the supplier receives payment) </w:t>
            </w:r>
          </w:p>
        </w:tc>
        <w:tc>
          <w:tcPr>
            <w:tcW w:w="3960" w:type="dxa"/>
            <w:shd w:val="clear" w:color="auto" w:fill="auto"/>
            <w:tcMar>
              <w:top w:w="100" w:type="dxa"/>
              <w:left w:w="100" w:type="dxa"/>
              <w:bottom w:w="100" w:type="dxa"/>
              <w:right w:w="100" w:type="dxa"/>
            </w:tcMar>
          </w:tcPr>
          <w:p w14:paraId="4EA76990" w14:textId="77777777" w:rsidR="001E1C1E" w:rsidRDefault="00000000">
            <w:pPr>
              <w:widowControl w:val="0"/>
              <w:spacing w:after="0" w:line="240" w:lineRule="auto"/>
              <w:jc w:val="both"/>
            </w:pPr>
            <w:r>
              <w:t>The cases concerned either the non-payment of valid and undisputed invoices or disputes regarding invoices.</w:t>
            </w:r>
          </w:p>
          <w:p w14:paraId="07898BD0" w14:textId="77777777" w:rsidR="001E1C1E" w:rsidRDefault="001E1C1E">
            <w:pPr>
              <w:widowControl w:val="0"/>
              <w:spacing w:after="0" w:line="240" w:lineRule="auto"/>
              <w:jc w:val="both"/>
            </w:pPr>
          </w:p>
          <w:p w14:paraId="42C55D84" w14:textId="77777777" w:rsidR="001E1C1E" w:rsidRDefault="00000000">
            <w:pPr>
              <w:widowControl w:val="0"/>
              <w:spacing w:after="0" w:line="240" w:lineRule="auto"/>
              <w:jc w:val="both"/>
              <w:rPr>
                <w:color w:val="222222"/>
              </w:rPr>
            </w:pPr>
            <w:r>
              <w:t xml:space="preserve">Where public sector invoices are not paid within 30 days and are not disputed, interest becomes liable as set out in the Late Payment of Commercial Debts (Interest) Act 1998. In addition, under the PCR 2015, public sector buyers must publish the amount of interest paid to suppliers due to late payment. As specified in regulation 113 of the PCR 2015 </w:t>
            </w:r>
            <w:r>
              <w:rPr>
                <w:color w:val="222222"/>
              </w:rPr>
              <w:t xml:space="preserve"> </w:t>
            </w:r>
          </w:p>
          <w:p w14:paraId="28A15836" w14:textId="77777777" w:rsidR="001E1C1E" w:rsidRDefault="001E1C1E">
            <w:pPr>
              <w:widowControl w:val="0"/>
              <w:spacing w:after="0" w:line="240" w:lineRule="auto"/>
              <w:jc w:val="both"/>
              <w:rPr>
                <w:color w:val="222222"/>
              </w:rPr>
            </w:pPr>
          </w:p>
          <w:p w14:paraId="50C1DF7D" w14:textId="77777777" w:rsidR="001E1C1E" w:rsidRDefault="00000000">
            <w:pPr>
              <w:widowControl w:val="0"/>
              <w:spacing w:after="0" w:line="240" w:lineRule="auto"/>
              <w:jc w:val="both"/>
              <w:rPr>
                <w:color w:val="222222"/>
              </w:rPr>
            </w:pPr>
            <w:hyperlink r:id="rId9">
              <w:r>
                <w:rPr>
                  <w:color w:val="1155CC"/>
                  <w:u w:val="single"/>
                </w:rPr>
                <w:t>https://www.gov.uk/guidance/prompt-payment-policy</w:t>
              </w:r>
            </w:hyperlink>
          </w:p>
          <w:p w14:paraId="38A7B060" w14:textId="77777777" w:rsidR="001E1C1E" w:rsidRDefault="001E1C1E">
            <w:pPr>
              <w:widowControl w:val="0"/>
              <w:spacing w:after="0" w:line="240" w:lineRule="auto"/>
              <w:jc w:val="both"/>
              <w:rPr>
                <w:color w:val="222222"/>
              </w:rPr>
            </w:pPr>
          </w:p>
        </w:tc>
        <w:tc>
          <w:tcPr>
            <w:tcW w:w="4695" w:type="dxa"/>
            <w:shd w:val="clear" w:color="auto" w:fill="auto"/>
            <w:tcMar>
              <w:top w:w="100" w:type="dxa"/>
              <w:left w:w="100" w:type="dxa"/>
              <w:bottom w:w="100" w:type="dxa"/>
              <w:right w:w="100" w:type="dxa"/>
            </w:tcMar>
          </w:tcPr>
          <w:p w14:paraId="14263748" w14:textId="77777777" w:rsidR="001E1C1E" w:rsidRDefault="00000000">
            <w:pPr>
              <w:widowControl w:val="0"/>
              <w:spacing w:after="0" w:line="240" w:lineRule="auto"/>
              <w:jc w:val="both"/>
            </w:pPr>
            <w:r>
              <w:t>We unblocked £380,970.82 in late payments on behalf of suppliers.</w:t>
            </w:r>
          </w:p>
          <w:p w14:paraId="192387EC" w14:textId="77777777" w:rsidR="001E1C1E" w:rsidRDefault="001E1C1E">
            <w:pPr>
              <w:widowControl w:val="0"/>
              <w:spacing w:after="0" w:line="240" w:lineRule="auto"/>
              <w:jc w:val="both"/>
            </w:pPr>
          </w:p>
          <w:p w14:paraId="03221625" w14:textId="77777777" w:rsidR="001E1C1E" w:rsidRDefault="00000000">
            <w:pPr>
              <w:widowControl w:val="0"/>
              <w:spacing w:after="0" w:line="240" w:lineRule="auto"/>
              <w:jc w:val="both"/>
            </w:pPr>
            <w:r>
              <w:t>We remind contracting authorities of their obligations under the PCR 2015</w:t>
            </w:r>
            <w:r>
              <w:rPr>
                <w:vertAlign w:val="superscript"/>
              </w:rPr>
              <w:footnoteReference w:id="3"/>
            </w:r>
            <w:r>
              <w:rPr>
                <w:vertAlign w:val="superscript"/>
              </w:rPr>
              <w:t>,</w:t>
            </w:r>
            <w:r>
              <w:t xml:space="preserve"> including PPN 02/20</w:t>
            </w:r>
            <w:r>
              <w:rPr>
                <w:color w:val="222222"/>
                <w:vertAlign w:val="superscript"/>
              </w:rPr>
              <w:footnoteReference w:id="4"/>
            </w:r>
            <w:r>
              <w:rPr>
                <w:color w:val="222222"/>
                <w:vertAlign w:val="superscript"/>
              </w:rPr>
              <w:t xml:space="preserve"> </w:t>
            </w:r>
            <w:r>
              <w:t>and PPN 04/20</w:t>
            </w:r>
            <w:r>
              <w:rPr>
                <w:vertAlign w:val="superscript"/>
              </w:rPr>
              <w:footnoteReference w:id="5"/>
            </w:r>
            <w:r>
              <w:t xml:space="preserve"> that set out information and guidance for public bodies on payment of their suppliers to ensure service continuity during the coronavirus outbreak.</w:t>
            </w:r>
          </w:p>
          <w:p w14:paraId="4DB83FC4" w14:textId="77777777" w:rsidR="001E1C1E" w:rsidRDefault="001E1C1E">
            <w:pPr>
              <w:widowControl w:val="0"/>
              <w:spacing w:after="0" w:line="240" w:lineRule="auto"/>
              <w:jc w:val="both"/>
              <w:rPr>
                <w:highlight w:val="yellow"/>
              </w:rPr>
            </w:pPr>
          </w:p>
          <w:p w14:paraId="30731022" w14:textId="77777777" w:rsidR="001E1C1E" w:rsidRDefault="001E1C1E">
            <w:pPr>
              <w:widowControl w:val="0"/>
              <w:spacing w:after="0" w:line="240" w:lineRule="auto"/>
              <w:jc w:val="both"/>
              <w:rPr>
                <w:color w:val="222222"/>
                <w:highlight w:val="yellow"/>
              </w:rPr>
            </w:pPr>
          </w:p>
        </w:tc>
      </w:tr>
      <w:tr w:rsidR="001E1C1E" w14:paraId="7D0554E0" w14:textId="77777777">
        <w:trPr>
          <w:trHeight w:val="4440"/>
        </w:trPr>
        <w:tc>
          <w:tcPr>
            <w:tcW w:w="2070"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4D56432" w14:textId="77777777" w:rsidR="001E1C1E" w:rsidRDefault="00000000">
            <w:pPr>
              <w:widowControl w:val="0"/>
              <w:spacing w:before="240" w:after="0" w:line="276" w:lineRule="auto"/>
              <w:jc w:val="both"/>
            </w:pPr>
            <w:r>
              <w:lastRenderedPageBreak/>
              <w:t>‘G-Cloud’</w:t>
            </w:r>
          </w:p>
          <w:p w14:paraId="09718C03" w14:textId="77777777" w:rsidR="001E1C1E" w:rsidRDefault="00000000">
            <w:pPr>
              <w:widowControl w:val="0"/>
              <w:spacing w:before="240" w:after="0" w:line="276" w:lineRule="auto"/>
              <w:jc w:val="both"/>
            </w:pPr>
            <w:r>
              <w:rPr>
                <w:rFonts w:ascii="Times New Roman" w:eastAsia="Times New Roman" w:hAnsi="Times New Roman" w:cs="Times New Roman"/>
              </w:rPr>
              <w:t xml:space="preserve"> </w:t>
            </w:r>
            <w:r>
              <w:t>Nine cases:</w:t>
            </w:r>
          </w:p>
          <w:p w14:paraId="64150B41" w14:textId="77777777" w:rsidR="001E1C1E" w:rsidRDefault="00000000">
            <w:pPr>
              <w:widowControl w:val="0"/>
              <w:spacing w:before="240" w:after="0" w:line="276" w:lineRule="auto"/>
              <w:jc w:val="both"/>
            </w:pPr>
            <w:r>
              <w:t>CG - four cases (three upheld)</w:t>
            </w:r>
          </w:p>
          <w:p w14:paraId="165DB759" w14:textId="77777777" w:rsidR="001E1C1E" w:rsidRDefault="00000000">
            <w:pPr>
              <w:widowControl w:val="0"/>
              <w:spacing w:before="240" w:after="0" w:line="276" w:lineRule="auto"/>
              <w:jc w:val="both"/>
            </w:pPr>
            <w:r>
              <w:t>WPS - five cases (one upheld)</w:t>
            </w:r>
          </w:p>
        </w:tc>
        <w:tc>
          <w:tcPr>
            <w:tcW w:w="3960"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14:paraId="244F990A" w14:textId="77777777" w:rsidR="001E1C1E" w:rsidRDefault="00000000">
            <w:pPr>
              <w:widowControl w:val="0"/>
              <w:spacing w:before="240" w:after="0" w:line="276" w:lineRule="auto"/>
              <w:jc w:val="both"/>
            </w:pPr>
            <w:r>
              <w:t>Suppliers were concerned about a lack of transparency in G-Cloud procurements, and were concerned that customers were able to misuse the direct award process under G-Cloud.</w:t>
            </w:r>
          </w:p>
        </w:tc>
        <w:tc>
          <w:tcPr>
            <w:tcW w:w="4695"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14:paraId="1CAEE7F5" w14:textId="77777777" w:rsidR="001E1C1E" w:rsidRDefault="00000000">
            <w:pPr>
              <w:widowControl w:val="0"/>
              <w:spacing w:before="240" w:after="0" w:line="276" w:lineRule="auto"/>
              <w:jc w:val="both"/>
            </w:pPr>
            <w:r>
              <w:t xml:space="preserve">PPRS upheld around half the cases it received. There is some evidence that G-Cloud is being used to avoid the rigorous requirements for direct award under the new act, and PPRS intends to monitor trends once the new iteration of G-Cloud goes live later in 2026. </w:t>
            </w:r>
          </w:p>
        </w:tc>
      </w:tr>
      <w:tr w:rsidR="001E1C1E" w14:paraId="5E8AA0B4" w14:textId="77777777">
        <w:tc>
          <w:tcPr>
            <w:tcW w:w="2070"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0962264" w14:textId="77777777" w:rsidR="001E1C1E" w:rsidRDefault="00000000">
            <w:pPr>
              <w:widowControl w:val="0"/>
              <w:spacing w:before="240" w:after="0" w:line="276" w:lineRule="auto"/>
              <w:jc w:val="both"/>
            </w:pPr>
            <w:r>
              <w:t>Transparency</w:t>
            </w:r>
          </w:p>
          <w:p w14:paraId="2AB22A79" w14:textId="77777777" w:rsidR="001E1C1E" w:rsidRDefault="00000000">
            <w:pPr>
              <w:widowControl w:val="0"/>
              <w:spacing w:before="240" w:after="0" w:line="276" w:lineRule="auto"/>
              <w:jc w:val="both"/>
            </w:pPr>
            <w:r>
              <w:t>Eleven cases raised</w:t>
            </w:r>
          </w:p>
          <w:p w14:paraId="10143D20" w14:textId="77777777" w:rsidR="001E1C1E" w:rsidRDefault="00000000">
            <w:pPr>
              <w:widowControl w:val="0"/>
              <w:spacing w:before="240" w:after="0" w:line="276" w:lineRule="auto"/>
              <w:jc w:val="both"/>
            </w:pPr>
            <w:r>
              <w:t>CG - two cases (one upheld)</w:t>
            </w:r>
          </w:p>
          <w:p w14:paraId="7379ADF1" w14:textId="77777777" w:rsidR="001E1C1E" w:rsidRDefault="00000000">
            <w:pPr>
              <w:widowControl w:val="0"/>
              <w:spacing w:before="240" w:after="0" w:line="276" w:lineRule="auto"/>
              <w:jc w:val="both"/>
            </w:pPr>
            <w:r>
              <w:t>WPS - nine cases (four upheld)</w:t>
            </w:r>
          </w:p>
        </w:tc>
        <w:tc>
          <w:tcPr>
            <w:tcW w:w="3960"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14:paraId="1E12F508" w14:textId="77777777" w:rsidR="001E1C1E" w:rsidRDefault="00000000">
            <w:pPr>
              <w:widowControl w:val="0"/>
              <w:spacing w:before="240" w:after="0" w:line="276" w:lineRule="auto"/>
              <w:jc w:val="both"/>
            </w:pPr>
            <w:r>
              <w:t>The complaints related to feedback and communication. Suppliers were concerned about the lack of clarity in these areas, which lowered confidence in the procurement process overall.</w:t>
            </w:r>
          </w:p>
        </w:tc>
        <w:tc>
          <w:tcPr>
            <w:tcW w:w="4695"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14:paraId="584EFEC2" w14:textId="77777777" w:rsidR="001E1C1E" w:rsidRDefault="00000000">
            <w:pPr>
              <w:widowControl w:val="0"/>
              <w:spacing w:before="240" w:after="0" w:line="276" w:lineRule="auto"/>
              <w:jc w:val="both"/>
            </w:pPr>
            <w:r>
              <w:t>Around a third of these cases were upheld. Transparency is a key part of democratic accountability, and is crucial in the execution of public duties.</w:t>
            </w:r>
          </w:p>
          <w:p w14:paraId="699043EC" w14:textId="77777777" w:rsidR="001E1C1E" w:rsidRDefault="00000000">
            <w:pPr>
              <w:widowControl w:val="0"/>
              <w:spacing w:before="240" w:after="0" w:line="276" w:lineRule="auto"/>
              <w:jc w:val="both"/>
            </w:pPr>
            <w:r>
              <w:t>Where cases were upheld, customers were encouraged to communicate with greater clarity and to give more detail.</w:t>
            </w:r>
          </w:p>
        </w:tc>
      </w:tr>
      <w:tr w:rsidR="001E1C1E" w14:paraId="3C05B486" w14:textId="77777777">
        <w:tc>
          <w:tcPr>
            <w:tcW w:w="2070"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7440FC8" w14:textId="77777777" w:rsidR="001E1C1E" w:rsidRDefault="00000000">
            <w:pPr>
              <w:widowControl w:val="0"/>
              <w:spacing w:before="240" w:after="0" w:line="276" w:lineRule="auto"/>
              <w:jc w:val="both"/>
              <w:rPr>
                <w:rFonts w:ascii="Times New Roman" w:eastAsia="Times New Roman" w:hAnsi="Times New Roman" w:cs="Times New Roman"/>
              </w:rPr>
            </w:pPr>
            <w:r>
              <w:t>‘Evaluation’</w:t>
            </w:r>
          </w:p>
          <w:p w14:paraId="591E1ED5" w14:textId="77777777" w:rsidR="001E1C1E" w:rsidRDefault="00000000">
            <w:pPr>
              <w:widowControl w:val="0"/>
              <w:spacing w:before="240" w:after="0" w:line="276" w:lineRule="auto"/>
              <w:jc w:val="both"/>
              <w:rPr>
                <w:rFonts w:ascii="Times New Roman" w:eastAsia="Times New Roman" w:hAnsi="Times New Roman" w:cs="Times New Roman"/>
              </w:rPr>
            </w:pPr>
            <w:r>
              <w:t>Seven cases raised</w:t>
            </w:r>
          </w:p>
          <w:p w14:paraId="7391AD8A" w14:textId="77777777" w:rsidR="001E1C1E" w:rsidRDefault="00000000">
            <w:pPr>
              <w:widowControl w:val="0"/>
              <w:spacing w:before="240" w:after="0" w:line="276" w:lineRule="auto"/>
              <w:jc w:val="both"/>
            </w:pPr>
            <w:r>
              <w:t>CG - one case (not upheld)</w:t>
            </w:r>
          </w:p>
          <w:p w14:paraId="36BB7102" w14:textId="77777777" w:rsidR="001E1C1E" w:rsidRDefault="00000000">
            <w:pPr>
              <w:widowControl w:val="0"/>
              <w:spacing w:before="240" w:after="0" w:line="276" w:lineRule="auto"/>
              <w:jc w:val="both"/>
            </w:pPr>
            <w:r>
              <w:t>WPS - six cases (two upheld)</w:t>
            </w:r>
          </w:p>
        </w:tc>
        <w:tc>
          <w:tcPr>
            <w:tcW w:w="3960"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14:paraId="4FEB2687" w14:textId="77777777" w:rsidR="001E1C1E" w:rsidRDefault="00000000">
            <w:pPr>
              <w:widowControl w:val="0"/>
              <w:spacing w:before="240" w:after="0" w:line="276" w:lineRule="auto"/>
              <w:jc w:val="both"/>
            </w:pPr>
            <w:r>
              <w:t>Concerns were raised on how the evaluation process was run, including the evaluation criteria and potential conflicts of interest within the evaluation panel. There were also concerns about the due diligence being undertaken prior to award</w:t>
            </w:r>
          </w:p>
        </w:tc>
        <w:tc>
          <w:tcPr>
            <w:tcW w:w="4695"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14:paraId="0B31E9DB" w14:textId="77777777" w:rsidR="001E1C1E" w:rsidRDefault="00000000">
            <w:pPr>
              <w:widowControl w:val="0"/>
              <w:spacing w:before="240" w:after="0" w:line="276" w:lineRule="auto"/>
              <w:jc w:val="both"/>
            </w:pPr>
            <w:r>
              <w:t xml:space="preserve">For the majority of cases, where complaints were not upheld, PPRS was able to confirm a fair and transparent process had been followed that aligned with the advertised opportunity. </w:t>
            </w:r>
          </w:p>
          <w:p w14:paraId="14E51DC0" w14:textId="77777777" w:rsidR="001E1C1E" w:rsidRDefault="00000000">
            <w:pPr>
              <w:widowControl w:val="0"/>
              <w:spacing w:before="240" w:after="0" w:line="276" w:lineRule="auto"/>
              <w:jc w:val="both"/>
            </w:pPr>
            <w:r>
              <w:t>Where complaints were upheld, PPRS recommended that contracting authorities provide clear guidance on the way in which answers will be evaluated, to ensure all opportunities meet the relevant sections of the Public Contract Regulations 2015 or the Procurement Act 2023.</w:t>
            </w:r>
          </w:p>
          <w:p w14:paraId="34B30227" w14:textId="77777777" w:rsidR="001E1C1E" w:rsidRDefault="00000000">
            <w:pPr>
              <w:widowControl w:val="0"/>
              <w:spacing w:before="240" w:after="0" w:line="276" w:lineRule="auto"/>
              <w:jc w:val="both"/>
            </w:pPr>
            <w:r>
              <w:lastRenderedPageBreak/>
              <w:t>Where improvements could be made in the future PPRS recommended that the Authority should consider referring to the Sourcing Playbook when planning future evaluations.</w:t>
            </w:r>
          </w:p>
          <w:p w14:paraId="52665CDF" w14:textId="77777777" w:rsidR="001E1C1E" w:rsidRDefault="00000000">
            <w:pPr>
              <w:widowControl w:val="0"/>
              <w:spacing w:before="240" w:after="0" w:line="276" w:lineRule="auto"/>
              <w:jc w:val="both"/>
            </w:pPr>
            <w:r>
              <w:t>PPRS also followed-up with the authorities, as appropriate, to review the implementation of this recommendation.</w:t>
            </w:r>
          </w:p>
        </w:tc>
      </w:tr>
    </w:tbl>
    <w:p w14:paraId="41EB4688" w14:textId="77777777" w:rsidR="001E1C1E" w:rsidRDefault="00000000">
      <w:pPr>
        <w:pStyle w:val="Heading1"/>
        <w:spacing w:before="400" w:line="276" w:lineRule="auto"/>
        <w:ind w:left="-425" w:right="-550"/>
        <w:jc w:val="both"/>
        <w:rPr>
          <w:sz w:val="24"/>
          <w:szCs w:val="24"/>
        </w:rPr>
      </w:pPr>
      <w:bookmarkStart w:id="10" w:name="_1jlpi38it4oi" w:colFirst="0" w:colLast="0"/>
      <w:bookmarkEnd w:id="10"/>
      <w:r>
        <w:rPr>
          <w:sz w:val="24"/>
          <w:szCs w:val="24"/>
        </w:rPr>
        <w:t>3.6. Case Received and Sectors Involved</w:t>
      </w:r>
    </w:p>
    <w:p w14:paraId="79FD9EAD" w14:textId="77777777" w:rsidR="001E1C1E" w:rsidRDefault="00000000">
      <w:pPr>
        <w:spacing w:after="0" w:line="276" w:lineRule="auto"/>
        <w:ind w:left="-425" w:right="-550"/>
        <w:jc w:val="both"/>
      </w:pPr>
      <w:r>
        <w:t>Where PPRS upholds a case, the main output is a report including best practice guidance. Under the new Procurement Act 2023, if we consider that the issues raised might have wider applicability to general public procurement practice, we work with the PCS and the commercial policy team to determine how to promote best practice. As this year marked the first year of the Procurement Act 2023, the cases were a mixture of issues raised under the new act, and issues related to legacy contracts and frameworks.</w:t>
      </w:r>
    </w:p>
    <w:p w14:paraId="11BD59CC" w14:textId="77777777" w:rsidR="001E1C1E" w:rsidRDefault="001E1C1E">
      <w:pPr>
        <w:spacing w:after="0" w:line="276" w:lineRule="auto"/>
        <w:ind w:left="-425" w:right="-550"/>
        <w:jc w:val="both"/>
      </w:pPr>
    </w:p>
    <w:p w14:paraId="282A9FD5" w14:textId="77777777" w:rsidR="001E1C1E" w:rsidRDefault="00000000">
      <w:pPr>
        <w:spacing w:after="0" w:line="276" w:lineRule="auto"/>
        <w:ind w:left="-425" w:right="-550"/>
        <w:jc w:val="both"/>
      </w:pPr>
      <w:r>
        <w:t xml:space="preserve">Serious or persistent issues are escalated within contracting authorities and can be raised with the SME Crown Representative in addition to our investigations. </w:t>
      </w:r>
    </w:p>
    <w:p w14:paraId="0642751D" w14:textId="77777777" w:rsidR="001E1C1E" w:rsidRDefault="001E1C1E">
      <w:pPr>
        <w:spacing w:after="0" w:line="276" w:lineRule="auto"/>
        <w:ind w:left="-425" w:right="-550"/>
        <w:jc w:val="both"/>
        <w:rPr>
          <w:highlight w:val="yellow"/>
        </w:rPr>
      </w:pPr>
    </w:p>
    <w:p w14:paraId="3E939EFE" w14:textId="77777777" w:rsidR="001E1C1E" w:rsidRDefault="00000000">
      <w:pPr>
        <w:spacing w:after="0" w:line="276" w:lineRule="auto"/>
        <w:ind w:left="-425" w:right="-550"/>
        <w:jc w:val="both"/>
      </w:pPr>
      <w:r>
        <w:t>Prompt review resulted in changes being made to two live procurements. We handled 43 cases where the contracting authority had followed the correct procedure and we were able to advise the supplier to help them understand what had occurred and why. This represented a decrease from 35 cases the previous year.</w:t>
      </w:r>
    </w:p>
    <w:p w14:paraId="40475EB9" w14:textId="77777777" w:rsidR="001E1C1E" w:rsidRDefault="001E1C1E">
      <w:pPr>
        <w:spacing w:after="0" w:line="276" w:lineRule="auto"/>
        <w:ind w:left="-425" w:right="-550"/>
        <w:jc w:val="both"/>
      </w:pPr>
    </w:p>
    <w:p w14:paraId="0D09C0FE" w14:textId="77777777" w:rsidR="001E1C1E" w:rsidRDefault="001E1C1E">
      <w:pPr>
        <w:spacing w:after="0" w:line="276" w:lineRule="auto"/>
        <w:ind w:left="-425" w:right="-550"/>
        <w:jc w:val="both"/>
        <w:rPr>
          <w:b/>
          <w:bCs/>
          <w:i/>
          <w:iCs/>
        </w:rPr>
      </w:pPr>
    </w:p>
    <w:p w14:paraId="4A3D8553" w14:textId="77777777" w:rsidR="001E1C1E" w:rsidRDefault="001E1C1E">
      <w:pPr>
        <w:spacing w:after="0" w:line="276" w:lineRule="auto"/>
        <w:ind w:left="-425" w:right="-550"/>
        <w:jc w:val="both"/>
        <w:rPr>
          <w:b/>
          <w:bCs/>
          <w:i/>
          <w:iCs/>
        </w:rPr>
      </w:pPr>
    </w:p>
    <w:p w14:paraId="35308BB5" w14:textId="77777777" w:rsidR="001E1C1E" w:rsidRDefault="001E1C1E">
      <w:pPr>
        <w:spacing w:after="0" w:line="276" w:lineRule="auto"/>
        <w:ind w:left="-425" w:right="-550"/>
        <w:jc w:val="both"/>
        <w:rPr>
          <w:b/>
          <w:bCs/>
          <w:i/>
          <w:iCs/>
        </w:rPr>
      </w:pPr>
    </w:p>
    <w:p w14:paraId="226C6E54" w14:textId="77777777" w:rsidR="001E1C1E" w:rsidRDefault="001E1C1E">
      <w:pPr>
        <w:spacing w:after="0" w:line="276" w:lineRule="auto"/>
        <w:ind w:left="-425" w:right="-550"/>
        <w:jc w:val="both"/>
        <w:rPr>
          <w:b/>
          <w:bCs/>
          <w:i/>
          <w:iCs/>
        </w:rPr>
      </w:pPr>
    </w:p>
    <w:p w14:paraId="34D1629C" w14:textId="77777777" w:rsidR="001E1C1E" w:rsidRDefault="001E1C1E">
      <w:pPr>
        <w:spacing w:after="0" w:line="276" w:lineRule="auto"/>
        <w:ind w:left="-425" w:right="-550"/>
        <w:jc w:val="both"/>
        <w:rPr>
          <w:b/>
          <w:bCs/>
          <w:i/>
          <w:iCs/>
        </w:rPr>
      </w:pPr>
    </w:p>
    <w:p w14:paraId="5FC0C932" w14:textId="77777777" w:rsidR="001E1C1E" w:rsidRDefault="001E1C1E">
      <w:pPr>
        <w:spacing w:after="0" w:line="276" w:lineRule="auto"/>
        <w:ind w:left="-425" w:right="-550"/>
        <w:jc w:val="both"/>
        <w:rPr>
          <w:b/>
          <w:bCs/>
          <w:i/>
          <w:iCs/>
        </w:rPr>
      </w:pPr>
    </w:p>
    <w:p w14:paraId="01F36ACB" w14:textId="77777777" w:rsidR="001E1C1E" w:rsidRDefault="001E1C1E">
      <w:pPr>
        <w:spacing w:after="0" w:line="276" w:lineRule="auto"/>
        <w:ind w:left="-425" w:right="-550"/>
        <w:jc w:val="both"/>
        <w:rPr>
          <w:b/>
          <w:bCs/>
          <w:i/>
          <w:iCs/>
        </w:rPr>
      </w:pPr>
    </w:p>
    <w:p w14:paraId="7254A93D" w14:textId="77777777" w:rsidR="001E1C1E" w:rsidRDefault="001E1C1E">
      <w:pPr>
        <w:spacing w:after="0" w:line="276" w:lineRule="auto"/>
        <w:ind w:left="-425" w:right="-550"/>
        <w:jc w:val="both"/>
        <w:rPr>
          <w:b/>
          <w:bCs/>
          <w:i/>
          <w:iCs/>
        </w:rPr>
      </w:pPr>
    </w:p>
    <w:p w14:paraId="34ED6B8B" w14:textId="77777777" w:rsidR="001E1C1E" w:rsidRDefault="001E1C1E">
      <w:pPr>
        <w:spacing w:after="0" w:line="276" w:lineRule="auto"/>
        <w:ind w:left="-425" w:right="-550"/>
        <w:jc w:val="both"/>
        <w:rPr>
          <w:b/>
          <w:bCs/>
          <w:i/>
          <w:iCs/>
        </w:rPr>
      </w:pPr>
    </w:p>
    <w:p w14:paraId="134390EF" w14:textId="77777777" w:rsidR="001E1C1E" w:rsidRDefault="001E1C1E">
      <w:pPr>
        <w:spacing w:after="0" w:line="276" w:lineRule="auto"/>
        <w:ind w:left="-425" w:right="-550"/>
        <w:jc w:val="both"/>
        <w:rPr>
          <w:b/>
          <w:bCs/>
          <w:i/>
          <w:iCs/>
        </w:rPr>
      </w:pPr>
    </w:p>
    <w:p w14:paraId="221BE7B5" w14:textId="77777777" w:rsidR="001E1C1E" w:rsidRDefault="001E1C1E">
      <w:pPr>
        <w:spacing w:after="0" w:line="276" w:lineRule="auto"/>
        <w:ind w:left="-425" w:right="-550"/>
        <w:jc w:val="both"/>
        <w:rPr>
          <w:b/>
          <w:bCs/>
          <w:i/>
          <w:iCs/>
        </w:rPr>
      </w:pPr>
    </w:p>
    <w:p w14:paraId="2394DE27" w14:textId="77777777" w:rsidR="001E1C1E" w:rsidRDefault="001E1C1E">
      <w:pPr>
        <w:spacing w:after="0" w:line="276" w:lineRule="auto"/>
        <w:ind w:left="-425" w:right="-550"/>
        <w:jc w:val="both"/>
        <w:rPr>
          <w:b/>
          <w:bCs/>
          <w:i/>
          <w:iCs/>
        </w:rPr>
      </w:pPr>
    </w:p>
    <w:p w14:paraId="211B3804" w14:textId="77777777" w:rsidR="001E1C1E" w:rsidRDefault="001E1C1E">
      <w:pPr>
        <w:spacing w:after="0" w:line="276" w:lineRule="auto"/>
        <w:ind w:left="-425" w:right="-550"/>
        <w:jc w:val="both"/>
        <w:rPr>
          <w:b/>
          <w:bCs/>
          <w:i/>
          <w:iCs/>
        </w:rPr>
      </w:pPr>
    </w:p>
    <w:p w14:paraId="2C40AD9F" w14:textId="77777777" w:rsidR="001E1C1E" w:rsidRDefault="00000000">
      <w:pPr>
        <w:pStyle w:val="Heading1"/>
        <w:widowControl w:val="0"/>
        <w:spacing w:after="0" w:line="276" w:lineRule="auto"/>
        <w:ind w:left="-425" w:right="-550"/>
        <w:jc w:val="both"/>
        <w:rPr>
          <w:sz w:val="24"/>
          <w:szCs w:val="24"/>
        </w:rPr>
      </w:pPr>
      <w:bookmarkStart w:id="11" w:name="_ed9nmiqhdbru" w:colFirst="0" w:colLast="0"/>
      <w:bookmarkEnd w:id="11"/>
      <w:r>
        <w:rPr>
          <w:sz w:val="24"/>
          <w:szCs w:val="24"/>
        </w:rPr>
        <w:lastRenderedPageBreak/>
        <w:t xml:space="preserve">3.6.1  Collapsed and Rejected Cases </w:t>
      </w:r>
    </w:p>
    <w:p w14:paraId="48518121" w14:textId="77777777" w:rsidR="001E1C1E" w:rsidRDefault="001E1C1E">
      <w:pPr>
        <w:spacing w:after="0" w:line="276" w:lineRule="auto"/>
        <w:ind w:left="-425" w:right="-550"/>
        <w:jc w:val="both"/>
        <w:rPr>
          <w:b/>
          <w:bCs/>
          <w:i/>
          <w:iCs/>
        </w:rPr>
      </w:pPr>
    </w:p>
    <w:p w14:paraId="79D3BD0E" w14:textId="77777777" w:rsidR="001E1C1E" w:rsidRDefault="00000000">
      <w:pPr>
        <w:spacing w:after="0" w:line="276" w:lineRule="auto"/>
        <w:ind w:left="-425" w:right="-550"/>
        <w:jc w:val="both"/>
      </w:pPr>
      <w:r>
        <w:rPr>
          <w:b/>
          <w:bCs/>
          <w:i/>
          <w:iCs/>
        </w:rPr>
        <w:t>Chart 4: Outcome of closed cases - 2025/26 compared against 2024/25</w:t>
      </w:r>
    </w:p>
    <w:p w14:paraId="30FDDA6E" w14:textId="2A34A173" w:rsidR="001E1C1E" w:rsidRDefault="00000000" w:rsidP="00C1677D">
      <w:pPr>
        <w:spacing w:after="0" w:line="276" w:lineRule="auto"/>
        <w:ind w:left="-425" w:right="-550"/>
        <w:jc w:val="both"/>
      </w:pPr>
      <w:r>
        <w:rPr>
          <w:noProof/>
        </w:rPr>
        <w:drawing>
          <wp:anchor distT="114300" distB="114300" distL="114300" distR="114300" simplePos="0" relativeHeight="251660288" behindDoc="0" locked="0" layoutInCell="1" hidden="0" allowOverlap="1" wp14:anchorId="431F4851" wp14:editId="22263574">
            <wp:simplePos x="0" y="0"/>
            <wp:positionH relativeFrom="page">
              <wp:posOffset>468100</wp:posOffset>
            </wp:positionH>
            <wp:positionV relativeFrom="page">
              <wp:posOffset>2174932</wp:posOffset>
            </wp:positionV>
            <wp:extent cx="6192000" cy="3835400"/>
            <wp:effectExtent l="0" t="0" r="0" b="0"/>
            <wp:wrapSquare wrapText="bothSides" distT="114300" distB="114300" distL="114300" distR="11430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6192000" cy="3835400"/>
                    </a:xfrm>
                    <a:prstGeom prst="rect">
                      <a:avLst/>
                    </a:prstGeom>
                    <a:ln/>
                  </pic:spPr>
                </pic:pic>
              </a:graphicData>
            </a:graphic>
          </wp:anchor>
        </w:drawing>
      </w:r>
      <w:r>
        <w:t>Out of 125 cases managed, two cases were rejected and 18 cases were collapsed. This compared to nine cases (two rejected, seven collapsed) in the previous year.  Cases are rejected if new evidence indicates that the complaint falls outside our scope and remit. We collapse cases if we lose contact with a supplier, they request to withdraw from the service, or they request to work directly with the contracting authority.</w:t>
      </w:r>
    </w:p>
    <w:p w14:paraId="15B17C1D" w14:textId="5A4AD9C2" w:rsidR="001E1C1E" w:rsidRDefault="00000000">
      <w:pPr>
        <w:pStyle w:val="Heading1"/>
        <w:widowControl w:val="0"/>
        <w:spacing w:before="400" w:line="276" w:lineRule="auto"/>
        <w:ind w:left="-425" w:right="-550"/>
        <w:jc w:val="both"/>
        <w:rPr>
          <w:sz w:val="24"/>
          <w:szCs w:val="24"/>
        </w:rPr>
      </w:pPr>
      <w:bookmarkStart w:id="12" w:name="_u8wd98p44igz" w:colFirst="0" w:colLast="0"/>
      <w:bookmarkEnd w:id="12"/>
      <w:r>
        <w:rPr>
          <w:sz w:val="24"/>
          <w:szCs w:val="24"/>
        </w:rPr>
        <w:t xml:space="preserve">3.7. Service Satisfaction Surveys </w:t>
      </w:r>
    </w:p>
    <w:p w14:paraId="54F32952" w14:textId="77777777" w:rsidR="001E1C1E" w:rsidRDefault="00000000">
      <w:pPr>
        <w:spacing w:after="0" w:line="276" w:lineRule="auto"/>
        <w:ind w:left="-425" w:right="-550"/>
        <w:jc w:val="both"/>
      </w:pPr>
      <w:r>
        <w:t>We aim to handle CG cases within 60 days and WPS cases within 90 days. In 2025/26 86.6% of cases were managed through to conclusion within this service level agreement (SLA).</w:t>
      </w:r>
    </w:p>
    <w:p w14:paraId="0F84FEE4" w14:textId="77777777" w:rsidR="001E1C1E" w:rsidRDefault="001E1C1E">
      <w:pPr>
        <w:spacing w:after="0" w:line="276" w:lineRule="auto"/>
        <w:ind w:left="-425" w:right="-550"/>
        <w:jc w:val="both"/>
        <w:rPr>
          <w:highlight w:val="yellow"/>
        </w:rPr>
      </w:pPr>
    </w:p>
    <w:p w14:paraId="0E767477" w14:textId="5AB7CB9A" w:rsidR="001E1C1E" w:rsidRPr="00BB1FD1" w:rsidRDefault="00000000" w:rsidP="00BB1FD1">
      <w:pPr>
        <w:spacing w:after="0" w:line="276" w:lineRule="auto"/>
        <w:ind w:left="-425" w:right="-550"/>
        <w:jc w:val="both"/>
      </w:pPr>
      <w:r>
        <w:t xml:space="preserve">Feedback surveys are sent directly to suppliers and contracting authorities following case closure. Feedback from suppliers has shown that we have a positive impact on public sector procurement by recommending changes in contracting authorities’ procurement activities. </w:t>
      </w:r>
    </w:p>
    <w:p w14:paraId="715EA30A" w14:textId="77777777" w:rsidR="001E1C1E" w:rsidRDefault="001E1C1E">
      <w:pPr>
        <w:spacing w:after="0" w:line="276" w:lineRule="auto"/>
        <w:ind w:left="-425" w:right="-550"/>
        <w:jc w:val="both"/>
        <w:rPr>
          <w:b/>
          <w:bCs/>
        </w:rPr>
      </w:pPr>
    </w:p>
    <w:p w14:paraId="56A19E1C" w14:textId="77777777" w:rsidR="001E1C1E" w:rsidRDefault="00000000">
      <w:pPr>
        <w:spacing w:after="0" w:line="276" w:lineRule="auto"/>
        <w:ind w:left="-425" w:right="-550"/>
        <w:jc w:val="both"/>
        <w:rPr>
          <w:b/>
          <w:bCs/>
        </w:rPr>
      </w:pPr>
      <w:r>
        <w:rPr>
          <w:b/>
          <w:bCs/>
        </w:rPr>
        <w:t xml:space="preserve">Supplier Feedback </w:t>
      </w:r>
    </w:p>
    <w:p w14:paraId="113B6C2B" w14:textId="77777777" w:rsidR="001E1C1E" w:rsidRDefault="00000000">
      <w:pPr>
        <w:spacing w:after="0" w:line="276" w:lineRule="auto"/>
        <w:ind w:left="-425" w:right="-550"/>
        <w:jc w:val="both"/>
      </w:pPr>
      <w:r>
        <w:t>A total of 101 surveys have been sent to suppliers. We had 27 responses, giving a 26.7% response rate, down from 52.4% the previous year.</w:t>
      </w:r>
    </w:p>
    <w:p w14:paraId="2FB178DA" w14:textId="77777777" w:rsidR="001E1C1E" w:rsidRDefault="001E1C1E">
      <w:pPr>
        <w:spacing w:after="0" w:line="276" w:lineRule="auto"/>
        <w:ind w:left="-425" w:right="-550"/>
        <w:jc w:val="both"/>
        <w:rPr>
          <w:highlight w:val="yellow"/>
        </w:rPr>
      </w:pPr>
    </w:p>
    <w:p w14:paraId="467604C2" w14:textId="77777777" w:rsidR="001E1C1E" w:rsidRDefault="00000000">
      <w:pPr>
        <w:numPr>
          <w:ilvl w:val="0"/>
          <w:numId w:val="1"/>
        </w:numPr>
        <w:spacing w:after="0" w:line="276" w:lineRule="auto"/>
        <w:jc w:val="both"/>
        <w:rPr>
          <w:sz w:val="22"/>
          <w:szCs w:val="22"/>
        </w:rPr>
      </w:pPr>
      <w:r>
        <w:t>81.5% agreed it was easy to find information on PPRS, down from 87.5% the previous year</w:t>
      </w:r>
    </w:p>
    <w:p w14:paraId="38A15DD8" w14:textId="77777777" w:rsidR="001E1C1E" w:rsidRDefault="00000000">
      <w:pPr>
        <w:numPr>
          <w:ilvl w:val="0"/>
          <w:numId w:val="1"/>
        </w:numPr>
        <w:spacing w:after="0" w:line="276" w:lineRule="auto"/>
        <w:jc w:val="both"/>
        <w:rPr>
          <w:sz w:val="22"/>
          <w:szCs w:val="22"/>
        </w:rPr>
      </w:pPr>
      <w:r>
        <w:t>92.6% agreed the process and outcome was explained, down from 93.8% the previous year</w:t>
      </w:r>
    </w:p>
    <w:p w14:paraId="2199F95E" w14:textId="77777777" w:rsidR="001E1C1E" w:rsidRDefault="00000000">
      <w:pPr>
        <w:numPr>
          <w:ilvl w:val="0"/>
          <w:numId w:val="1"/>
        </w:numPr>
        <w:spacing w:after="0" w:line="276" w:lineRule="auto"/>
        <w:jc w:val="both"/>
        <w:rPr>
          <w:sz w:val="22"/>
          <w:szCs w:val="22"/>
        </w:rPr>
      </w:pPr>
      <w:r>
        <w:t>92.6% were satisfied with the service provided, up from 81.8% the previous year</w:t>
      </w:r>
    </w:p>
    <w:p w14:paraId="2B005315" w14:textId="77777777" w:rsidR="001E1C1E" w:rsidRDefault="00000000">
      <w:pPr>
        <w:numPr>
          <w:ilvl w:val="0"/>
          <w:numId w:val="1"/>
        </w:numPr>
        <w:spacing w:after="0" w:line="276" w:lineRule="auto"/>
        <w:jc w:val="both"/>
        <w:rPr>
          <w:sz w:val="26"/>
          <w:szCs w:val="26"/>
        </w:rPr>
      </w:pPr>
      <w:r>
        <w:t>92.6% were happy that the caseworker understood the issues involved and was professional throughout, up from 83.3% the previous year</w:t>
      </w:r>
    </w:p>
    <w:p w14:paraId="46800E7E" w14:textId="77777777" w:rsidR="001E1C1E" w:rsidRDefault="00000000">
      <w:pPr>
        <w:numPr>
          <w:ilvl w:val="0"/>
          <w:numId w:val="1"/>
        </w:numPr>
        <w:spacing w:after="0" w:line="276" w:lineRule="auto"/>
        <w:jc w:val="both"/>
        <w:rPr>
          <w:sz w:val="22"/>
          <w:szCs w:val="22"/>
        </w:rPr>
      </w:pPr>
      <w:r>
        <w:t>92.6% would use the service again, down from 96.9% the previous year</w:t>
      </w:r>
    </w:p>
    <w:p w14:paraId="39B8C4A7" w14:textId="77777777" w:rsidR="001E1C1E" w:rsidRDefault="00000000">
      <w:pPr>
        <w:numPr>
          <w:ilvl w:val="0"/>
          <w:numId w:val="1"/>
        </w:numPr>
        <w:spacing w:after="0" w:line="276" w:lineRule="auto"/>
        <w:jc w:val="both"/>
        <w:rPr>
          <w:sz w:val="22"/>
          <w:szCs w:val="22"/>
        </w:rPr>
      </w:pPr>
      <w:r>
        <w:t>92.6% would recommend the PPRS to others, up from 90.6% the previous year</w:t>
      </w:r>
    </w:p>
    <w:p w14:paraId="005CFC16" w14:textId="77777777" w:rsidR="001E1C1E" w:rsidRDefault="001E1C1E">
      <w:pPr>
        <w:spacing w:after="0" w:line="276" w:lineRule="auto"/>
        <w:ind w:right="-550"/>
        <w:jc w:val="both"/>
        <w:rPr>
          <w:highlight w:val="yellow"/>
        </w:rPr>
      </w:pPr>
    </w:p>
    <w:p w14:paraId="0A3F7B10" w14:textId="77777777" w:rsidR="001E1C1E" w:rsidRDefault="00000000">
      <w:pPr>
        <w:spacing w:after="0" w:line="276" w:lineRule="auto"/>
        <w:ind w:left="-425" w:right="-550"/>
        <w:jc w:val="both"/>
        <w:rPr>
          <w:b/>
          <w:bCs/>
        </w:rPr>
      </w:pPr>
      <w:r>
        <w:rPr>
          <w:b/>
          <w:bCs/>
        </w:rPr>
        <w:t>Contracting Authority Feedback</w:t>
      </w:r>
    </w:p>
    <w:p w14:paraId="4060C897" w14:textId="77777777" w:rsidR="001E1C1E" w:rsidRDefault="00000000">
      <w:pPr>
        <w:spacing w:after="0" w:line="276" w:lineRule="auto"/>
        <w:ind w:left="-425" w:right="-550"/>
        <w:jc w:val="both"/>
      </w:pPr>
      <w:r>
        <w:rPr>
          <w:color w:val="222222"/>
        </w:rPr>
        <w:t xml:space="preserve">A total of 99 surveys have been sent to </w:t>
      </w:r>
      <w:r>
        <w:t>contracting authorities that have been contacted by PPRS and we have received 21 responses giving a response rate of 21.2%, which has decreased from 33.3% the previous year.</w:t>
      </w:r>
    </w:p>
    <w:p w14:paraId="5BFC1E6A" w14:textId="77777777" w:rsidR="001E1C1E" w:rsidRDefault="001E1C1E">
      <w:pPr>
        <w:spacing w:after="0" w:line="276" w:lineRule="auto"/>
        <w:ind w:left="720"/>
        <w:jc w:val="both"/>
      </w:pPr>
    </w:p>
    <w:p w14:paraId="7227A3B1" w14:textId="77777777" w:rsidR="001E1C1E" w:rsidRDefault="00000000">
      <w:pPr>
        <w:numPr>
          <w:ilvl w:val="0"/>
          <w:numId w:val="1"/>
        </w:numPr>
        <w:spacing w:after="0" w:line="276" w:lineRule="auto"/>
        <w:jc w:val="both"/>
        <w:rPr>
          <w:sz w:val="22"/>
          <w:szCs w:val="22"/>
        </w:rPr>
      </w:pPr>
      <w:r>
        <w:t>95.2% agreed the process and case outcome was explained, down from 95.5% the previous year</w:t>
      </w:r>
    </w:p>
    <w:p w14:paraId="75BFBFAC" w14:textId="77777777" w:rsidR="001E1C1E" w:rsidRDefault="00000000">
      <w:pPr>
        <w:numPr>
          <w:ilvl w:val="0"/>
          <w:numId w:val="1"/>
        </w:numPr>
        <w:spacing w:after="0" w:line="276" w:lineRule="auto"/>
        <w:jc w:val="both"/>
        <w:rPr>
          <w:sz w:val="26"/>
          <w:szCs w:val="26"/>
        </w:rPr>
      </w:pPr>
      <w:r>
        <w:t>85.7% were happy that the caseworker understood the issues involved and was professional throughout, down from 100% the previous year</w:t>
      </w:r>
    </w:p>
    <w:p w14:paraId="58292BC9" w14:textId="77777777" w:rsidR="001E1C1E" w:rsidRDefault="00000000">
      <w:pPr>
        <w:numPr>
          <w:ilvl w:val="0"/>
          <w:numId w:val="1"/>
        </w:numPr>
        <w:spacing w:after="0" w:line="276" w:lineRule="auto"/>
        <w:jc w:val="both"/>
        <w:rPr>
          <w:sz w:val="22"/>
          <w:szCs w:val="22"/>
        </w:rPr>
      </w:pPr>
      <w:r>
        <w:t>90.5% agreed that the advice received and recommendations were useful, down from 100% the previous year</w:t>
      </w:r>
    </w:p>
    <w:p w14:paraId="3E819310" w14:textId="77777777" w:rsidR="001E1C1E" w:rsidRDefault="00000000">
      <w:pPr>
        <w:numPr>
          <w:ilvl w:val="0"/>
          <w:numId w:val="1"/>
        </w:numPr>
        <w:spacing w:after="0" w:line="276" w:lineRule="auto"/>
        <w:jc w:val="both"/>
        <w:rPr>
          <w:sz w:val="22"/>
          <w:szCs w:val="22"/>
        </w:rPr>
      </w:pPr>
      <w:r>
        <w:t>85.7% agreed that PPRS is a helpful route to question procurement practice, down from 100% the previous year</w:t>
      </w:r>
    </w:p>
    <w:p w14:paraId="0BF3ACE0" w14:textId="77777777" w:rsidR="001E1C1E" w:rsidRDefault="00000000">
      <w:pPr>
        <w:pStyle w:val="Heading1"/>
        <w:spacing w:after="0" w:line="276" w:lineRule="auto"/>
        <w:ind w:left="-425" w:right="-550"/>
        <w:jc w:val="both"/>
        <w:rPr>
          <w:sz w:val="24"/>
          <w:szCs w:val="24"/>
        </w:rPr>
      </w:pPr>
      <w:bookmarkStart w:id="13" w:name="_b44vzsnvgj5t" w:colFirst="0" w:colLast="0"/>
      <w:bookmarkEnd w:id="13"/>
      <w:r>
        <w:rPr>
          <w:sz w:val="24"/>
          <w:szCs w:val="24"/>
        </w:rPr>
        <w:t xml:space="preserve">3.8. Actions in response to Feedback </w:t>
      </w:r>
    </w:p>
    <w:p w14:paraId="1E3BBB9C" w14:textId="77777777" w:rsidR="001E1C1E" w:rsidRDefault="00000000">
      <w:pPr>
        <w:spacing w:after="0" w:line="276" w:lineRule="auto"/>
        <w:ind w:left="-425" w:right="-550"/>
        <w:jc w:val="both"/>
      </w:pPr>
      <w:r>
        <w:t xml:space="preserve">We rely on the surveys to give us information to help improve the service we provide going forward. </w:t>
      </w:r>
      <w:r>
        <w:rPr>
          <w:color w:val="222222"/>
        </w:rPr>
        <w:t>We received a lot of positive feedback from both suppliers and contracting authorities, s</w:t>
      </w:r>
      <w:r>
        <w:t>ome of the comments this year have include:</w:t>
      </w:r>
    </w:p>
    <w:p w14:paraId="749905EB" w14:textId="77777777" w:rsidR="001E1C1E" w:rsidRDefault="001E1C1E">
      <w:pPr>
        <w:spacing w:after="0" w:line="276" w:lineRule="auto"/>
        <w:ind w:left="-425" w:right="-550"/>
        <w:jc w:val="both"/>
        <w:rPr>
          <w:highlight w:val="yellow"/>
        </w:rPr>
      </w:pPr>
    </w:p>
    <w:p w14:paraId="2D84F5B1" w14:textId="77777777" w:rsidR="001E1C1E" w:rsidRDefault="00000000">
      <w:pPr>
        <w:spacing w:after="0" w:line="276" w:lineRule="auto"/>
        <w:ind w:right="-550"/>
        <w:jc w:val="both"/>
        <w:rPr>
          <w:b/>
          <w:bCs/>
        </w:rPr>
      </w:pPr>
      <w:r>
        <w:rPr>
          <w:b/>
          <w:bCs/>
        </w:rPr>
        <w:t>Supplier comments</w:t>
      </w:r>
    </w:p>
    <w:p w14:paraId="60D261BD" w14:textId="77777777" w:rsidR="001E1C1E" w:rsidRDefault="00000000">
      <w:pPr>
        <w:numPr>
          <w:ilvl w:val="0"/>
          <w:numId w:val="3"/>
        </w:numPr>
        <w:spacing w:after="0" w:line="276" w:lineRule="auto"/>
        <w:ind w:left="1133" w:right="-550"/>
        <w:jc w:val="both"/>
        <w:rPr>
          <w:i/>
          <w:iCs/>
        </w:rPr>
      </w:pPr>
      <w:r>
        <w:rPr>
          <w:i/>
          <w:iCs/>
        </w:rPr>
        <w:t xml:space="preserve">Excellent communication. Excellent information sharing e.g. applicable legislation relevant to this issue. </w:t>
      </w:r>
    </w:p>
    <w:p w14:paraId="01FC72B8" w14:textId="69101CFA" w:rsidR="001E1C1E" w:rsidRDefault="00C1677D">
      <w:pPr>
        <w:numPr>
          <w:ilvl w:val="0"/>
          <w:numId w:val="3"/>
        </w:numPr>
        <w:spacing w:after="0" w:line="276" w:lineRule="auto"/>
        <w:ind w:left="1133" w:right="-550"/>
        <w:jc w:val="both"/>
        <w:rPr>
          <w:i/>
          <w:iCs/>
        </w:rPr>
      </w:pPr>
      <w:r>
        <w:rPr>
          <w:i/>
          <w:iCs/>
        </w:rPr>
        <w:t>Overall,</w:t>
      </w:r>
      <w:r w:rsidR="00000000">
        <w:rPr>
          <w:i/>
          <w:iCs/>
        </w:rPr>
        <w:t xml:space="preserve"> I was really impressed with the service and ease of it. [The caseworker] was very informative throughout, keeping me up to date with the procedure and explaining how it worked. Thank you</w:t>
      </w:r>
    </w:p>
    <w:p w14:paraId="4CC9B544" w14:textId="77777777" w:rsidR="001E1C1E" w:rsidRDefault="00000000">
      <w:pPr>
        <w:numPr>
          <w:ilvl w:val="0"/>
          <w:numId w:val="3"/>
        </w:numPr>
        <w:spacing w:after="0" w:line="276" w:lineRule="auto"/>
        <w:ind w:left="1133" w:right="-550"/>
        <w:jc w:val="both"/>
        <w:rPr>
          <w:i/>
          <w:iCs/>
        </w:rPr>
      </w:pPr>
      <w:r>
        <w:rPr>
          <w:i/>
          <w:iCs/>
        </w:rPr>
        <w:t>It felt like the caseworker took the time and effort to thoroughly read and understand our response/position. Was impressed by [their] professionalism and as a result had more trust in service/decisions made.</w:t>
      </w:r>
    </w:p>
    <w:p w14:paraId="713BC2ED" w14:textId="77777777" w:rsidR="001E1C1E" w:rsidRDefault="00000000">
      <w:pPr>
        <w:numPr>
          <w:ilvl w:val="0"/>
          <w:numId w:val="3"/>
        </w:numPr>
        <w:spacing w:after="0" w:line="276" w:lineRule="auto"/>
        <w:ind w:left="1133" w:right="-550"/>
        <w:jc w:val="both"/>
        <w:rPr>
          <w:i/>
          <w:iCs/>
        </w:rPr>
      </w:pPr>
      <w:r>
        <w:rPr>
          <w:i/>
          <w:iCs/>
        </w:rPr>
        <w:lastRenderedPageBreak/>
        <w:t>I am very grateful for your service. After being ignored by [the] council for over a month, as soon as the PPRS got involved, they contacted me and the situation got resolved quickly after that. I suspect I'd still be being ignored if it wasn’t for the PPRS. Thank you for what you do!!</w:t>
      </w:r>
    </w:p>
    <w:p w14:paraId="1CB1EB0C" w14:textId="77777777" w:rsidR="001E1C1E" w:rsidRDefault="00000000">
      <w:pPr>
        <w:numPr>
          <w:ilvl w:val="0"/>
          <w:numId w:val="3"/>
        </w:numPr>
        <w:spacing w:after="0" w:line="276" w:lineRule="auto"/>
        <w:ind w:left="1133" w:right="-550"/>
        <w:jc w:val="both"/>
        <w:rPr>
          <w:i/>
          <w:iCs/>
        </w:rPr>
      </w:pPr>
      <w:r>
        <w:rPr>
          <w:i/>
          <w:iCs/>
        </w:rPr>
        <w:t>PPRS were very reactive and genuinely interested in our case. They were easy to deal with and made every effort to familiarise themselves with a very technical case very quickly.</w:t>
      </w:r>
    </w:p>
    <w:p w14:paraId="7092E307" w14:textId="77777777" w:rsidR="001E1C1E" w:rsidRDefault="00000000">
      <w:pPr>
        <w:numPr>
          <w:ilvl w:val="0"/>
          <w:numId w:val="3"/>
        </w:numPr>
        <w:spacing w:after="0" w:line="276" w:lineRule="auto"/>
        <w:ind w:left="1133" w:right="-550"/>
        <w:jc w:val="both"/>
        <w:rPr>
          <w:i/>
          <w:iCs/>
        </w:rPr>
      </w:pPr>
      <w:r>
        <w:rPr>
          <w:i/>
          <w:iCs/>
        </w:rPr>
        <w:t>I found the service professional and very supportive, with good communication and responses to email or calls. The case workers fully understood the issues I had and were very responsive</w:t>
      </w:r>
    </w:p>
    <w:p w14:paraId="4E1C822C" w14:textId="77777777" w:rsidR="001E1C1E" w:rsidRDefault="00000000">
      <w:pPr>
        <w:numPr>
          <w:ilvl w:val="0"/>
          <w:numId w:val="3"/>
        </w:numPr>
        <w:spacing w:after="0" w:line="276" w:lineRule="auto"/>
        <w:ind w:left="1133" w:right="-550"/>
        <w:jc w:val="both"/>
        <w:rPr>
          <w:i/>
          <w:iCs/>
        </w:rPr>
      </w:pPr>
      <w:r>
        <w:rPr>
          <w:i/>
          <w:iCs/>
        </w:rPr>
        <w:t>The matter that we raised was dealt with promptly with frequent updates throughout. The conclusion of the investigation was shared with us with clear, logical outcomes and next steps.</w:t>
      </w:r>
    </w:p>
    <w:p w14:paraId="36BAAAED" w14:textId="77777777" w:rsidR="001E1C1E" w:rsidRDefault="001E1C1E">
      <w:pPr>
        <w:spacing w:after="0" w:line="276" w:lineRule="auto"/>
        <w:ind w:right="-550"/>
        <w:jc w:val="both"/>
        <w:rPr>
          <w:i/>
          <w:iCs/>
        </w:rPr>
      </w:pPr>
    </w:p>
    <w:p w14:paraId="323C10E1" w14:textId="77777777" w:rsidR="001E1C1E" w:rsidRDefault="00000000">
      <w:pPr>
        <w:spacing w:after="0" w:line="276" w:lineRule="auto"/>
        <w:ind w:right="-550"/>
        <w:jc w:val="both"/>
        <w:rPr>
          <w:b/>
          <w:bCs/>
        </w:rPr>
      </w:pPr>
      <w:r>
        <w:rPr>
          <w:b/>
          <w:bCs/>
        </w:rPr>
        <w:t>Customer comments</w:t>
      </w:r>
    </w:p>
    <w:p w14:paraId="456045DB" w14:textId="77777777" w:rsidR="001E1C1E" w:rsidRDefault="00000000">
      <w:pPr>
        <w:numPr>
          <w:ilvl w:val="0"/>
          <w:numId w:val="3"/>
        </w:numPr>
        <w:spacing w:after="0" w:line="276" w:lineRule="auto"/>
        <w:ind w:left="1133" w:right="-550"/>
        <w:jc w:val="both"/>
        <w:rPr>
          <w:i/>
          <w:iCs/>
        </w:rPr>
      </w:pPr>
      <w:r>
        <w:rPr>
          <w:i/>
          <w:iCs/>
        </w:rPr>
        <w:t>We agreed with the PPRS view</w:t>
      </w:r>
    </w:p>
    <w:p w14:paraId="1964AC4A" w14:textId="77777777" w:rsidR="001E1C1E" w:rsidRDefault="00000000">
      <w:pPr>
        <w:numPr>
          <w:ilvl w:val="0"/>
          <w:numId w:val="3"/>
        </w:numPr>
        <w:spacing w:after="0" w:line="276" w:lineRule="auto"/>
        <w:ind w:left="1133" w:right="-550"/>
        <w:jc w:val="both"/>
        <w:rPr>
          <w:i/>
          <w:iCs/>
        </w:rPr>
      </w:pPr>
      <w:r>
        <w:rPr>
          <w:i/>
          <w:iCs/>
        </w:rPr>
        <w:t>The recommendations made by the caseworker were very easy to understand and follow, without confusion or delay on getting the case resolved.</w:t>
      </w:r>
    </w:p>
    <w:p w14:paraId="46326288" w14:textId="77777777" w:rsidR="001E1C1E" w:rsidRDefault="00000000">
      <w:pPr>
        <w:numPr>
          <w:ilvl w:val="0"/>
          <w:numId w:val="3"/>
        </w:numPr>
        <w:spacing w:after="0" w:line="276" w:lineRule="auto"/>
        <w:ind w:left="1133" w:right="-550"/>
        <w:jc w:val="both"/>
        <w:rPr>
          <w:i/>
          <w:iCs/>
        </w:rPr>
      </w:pPr>
      <w:r>
        <w:rPr>
          <w:i/>
          <w:iCs/>
        </w:rPr>
        <w:t>The advice was clear and we will be able to use the recommendation to support future procurement planning</w:t>
      </w:r>
    </w:p>
    <w:p w14:paraId="15FAD878" w14:textId="77777777" w:rsidR="001E1C1E" w:rsidRDefault="00000000">
      <w:pPr>
        <w:numPr>
          <w:ilvl w:val="0"/>
          <w:numId w:val="3"/>
        </w:numPr>
        <w:spacing w:after="0" w:line="276" w:lineRule="auto"/>
        <w:ind w:left="1133" w:right="-550"/>
        <w:jc w:val="both"/>
        <w:rPr>
          <w:i/>
          <w:iCs/>
        </w:rPr>
      </w:pPr>
      <w:r>
        <w:rPr>
          <w:i/>
          <w:iCs/>
        </w:rPr>
        <w:t>Recommendations were clearly set out and were appropriate to the issue</w:t>
      </w:r>
    </w:p>
    <w:p w14:paraId="534F3DFF" w14:textId="77777777" w:rsidR="001E1C1E" w:rsidRDefault="00000000">
      <w:pPr>
        <w:numPr>
          <w:ilvl w:val="0"/>
          <w:numId w:val="3"/>
        </w:numPr>
        <w:spacing w:after="0" w:line="276" w:lineRule="auto"/>
        <w:ind w:left="1133" w:right="-550"/>
        <w:jc w:val="both"/>
        <w:rPr>
          <w:i/>
          <w:iCs/>
        </w:rPr>
      </w:pPr>
      <w:r>
        <w:rPr>
          <w:i/>
          <w:iCs/>
        </w:rPr>
        <w:t>The email communication was clear and friendly. When asking for some clarifications, the responses again were clear and friendly.</w:t>
      </w:r>
    </w:p>
    <w:p w14:paraId="220A47A4" w14:textId="77777777" w:rsidR="001E1C1E" w:rsidRDefault="00000000">
      <w:pPr>
        <w:numPr>
          <w:ilvl w:val="0"/>
          <w:numId w:val="3"/>
        </w:numPr>
        <w:spacing w:after="0" w:line="276" w:lineRule="auto"/>
        <w:ind w:left="1133" w:right="-550"/>
        <w:jc w:val="both"/>
        <w:rPr>
          <w:i/>
          <w:iCs/>
        </w:rPr>
      </w:pPr>
      <w:r>
        <w:rPr>
          <w:i/>
          <w:iCs/>
        </w:rPr>
        <w:t>clear and concise</w:t>
      </w:r>
    </w:p>
    <w:p w14:paraId="7F6B168C" w14:textId="77777777" w:rsidR="001E1C1E" w:rsidRDefault="001E1C1E">
      <w:pPr>
        <w:widowControl w:val="0"/>
        <w:spacing w:after="0" w:line="276" w:lineRule="auto"/>
        <w:ind w:left="1440"/>
        <w:jc w:val="both"/>
        <w:rPr>
          <w:i/>
          <w:iCs/>
          <w:highlight w:val="yellow"/>
        </w:rPr>
      </w:pPr>
    </w:p>
    <w:p w14:paraId="4A4CECFF" w14:textId="77777777" w:rsidR="001E1C1E" w:rsidRDefault="00000000">
      <w:pPr>
        <w:spacing w:after="0" w:line="276" w:lineRule="auto"/>
        <w:ind w:left="-425" w:right="-550"/>
        <w:jc w:val="both"/>
      </w:pPr>
      <w:r>
        <w:t>In terms of making improvements to the service we have taken on the constructive feedback received below:</w:t>
      </w:r>
    </w:p>
    <w:p w14:paraId="042CE176" w14:textId="77777777" w:rsidR="001E1C1E" w:rsidRDefault="001E1C1E">
      <w:pPr>
        <w:spacing w:after="0" w:line="240" w:lineRule="auto"/>
        <w:ind w:left="-425" w:right="-550"/>
        <w:jc w:val="both"/>
      </w:pPr>
    </w:p>
    <w:tbl>
      <w:tblPr>
        <w:tblStyle w:val="a1"/>
        <w:tblW w:w="10365" w:type="dxa"/>
        <w:tblInd w:w="-6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75"/>
        <w:gridCol w:w="5790"/>
      </w:tblGrid>
      <w:tr w:rsidR="001E1C1E" w14:paraId="46D242C2" w14:textId="77777777">
        <w:trPr>
          <w:trHeight w:val="512"/>
        </w:trPr>
        <w:tc>
          <w:tcPr>
            <w:tcW w:w="4575" w:type="dxa"/>
            <w:shd w:val="clear" w:color="auto" w:fill="0077C0"/>
            <w:tcMar>
              <w:top w:w="100" w:type="dxa"/>
              <w:left w:w="100" w:type="dxa"/>
              <w:bottom w:w="100" w:type="dxa"/>
              <w:right w:w="100" w:type="dxa"/>
            </w:tcMar>
          </w:tcPr>
          <w:p w14:paraId="48D211C8" w14:textId="77777777" w:rsidR="001E1C1E" w:rsidRDefault="00000000">
            <w:pPr>
              <w:widowControl w:val="0"/>
              <w:spacing w:after="0" w:line="276" w:lineRule="auto"/>
              <w:ind w:right="-183"/>
              <w:jc w:val="both"/>
              <w:rPr>
                <w:b/>
                <w:bCs/>
                <w:color w:val="FFFFFF"/>
              </w:rPr>
            </w:pPr>
            <w:r>
              <w:rPr>
                <w:b/>
                <w:bCs/>
                <w:color w:val="FFFFFF"/>
              </w:rPr>
              <w:t>You Said</w:t>
            </w:r>
          </w:p>
        </w:tc>
        <w:tc>
          <w:tcPr>
            <w:tcW w:w="5790" w:type="dxa"/>
            <w:shd w:val="clear" w:color="auto" w:fill="0077C0"/>
            <w:tcMar>
              <w:top w:w="100" w:type="dxa"/>
              <w:left w:w="100" w:type="dxa"/>
              <w:bottom w:w="100" w:type="dxa"/>
              <w:right w:w="100" w:type="dxa"/>
            </w:tcMar>
          </w:tcPr>
          <w:p w14:paraId="3E00FC0D" w14:textId="77777777" w:rsidR="001E1C1E" w:rsidRDefault="00000000">
            <w:pPr>
              <w:widowControl w:val="0"/>
              <w:spacing w:after="0" w:line="276" w:lineRule="auto"/>
              <w:ind w:right="-183"/>
              <w:jc w:val="both"/>
              <w:rPr>
                <w:b/>
                <w:bCs/>
                <w:color w:val="FFFFFF"/>
              </w:rPr>
            </w:pPr>
            <w:r>
              <w:rPr>
                <w:b/>
                <w:bCs/>
                <w:color w:val="FFFFFF"/>
              </w:rPr>
              <w:t>Our response</w:t>
            </w:r>
          </w:p>
        </w:tc>
      </w:tr>
      <w:tr w:rsidR="001E1C1E" w14:paraId="2EBFA4A5" w14:textId="77777777">
        <w:trPr>
          <w:trHeight w:val="1125"/>
        </w:trPr>
        <w:tc>
          <w:tcPr>
            <w:tcW w:w="4575" w:type="dxa"/>
            <w:shd w:val="clear" w:color="auto" w:fill="auto"/>
            <w:tcMar>
              <w:top w:w="100" w:type="dxa"/>
              <w:left w:w="100" w:type="dxa"/>
              <w:bottom w:w="100" w:type="dxa"/>
              <w:right w:w="100" w:type="dxa"/>
            </w:tcMar>
          </w:tcPr>
          <w:p w14:paraId="0B57E39F" w14:textId="77777777" w:rsidR="001E1C1E" w:rsidRDefault="00000000">
            <w:pPr>
              <w:spacing w:after="0" w:line="276" w:lineRule="auto"/>
              <w:ind w:right="-42"/>
              <w:jc w:val="both"/>
              <w:rPr>
                <w:i/>
                <w:iCs/>
              </w:rPr>
            </w:pPr>
            <w:r>
              <w:rPr>
                <w:i/>
                <w:iCs/>
              </w:rPr>
              <w:t>“However the question looms at the moment as to what the purpose of the process was if purchasing authorities suffer no consequences for their non compliant practice”</w:t>
            </w:r>
          </w:p>
          <w:p w14:paraId="45C407C1" w14:textId="77777777" w:rsidR="001E1C1E" w:rsidRDefault="001E1C1E">
            <w:pPr>
              <w:spacing w:after="0" w:line="276" w:lineRule="auto"/>
              <w:ind w:right="-42"/>
              <w:jc w:val="both"/>
              <w:rPr>
                <w:i/>
                <w:iCs/>
              </w:rPr>
            </w:pPr>
          </w:p>
          <w:p w14:paraId="0C6A4B69" w14:textId="77777777" w:rsidR="001E1C1E" w:rsidRDefault="00000000">
            <w:pPr>
              <w:spacing w:after="0" w:line="276" w:lineRule="auto"/>
              <w:ind w:right="-42"/>
              <w:jc w:val="both"/>
              <w:rPr>
                <w:i/>
                <w:iCs/>
              </w:rPr>
            </w:pPr>
            <w:r>
              <w:rPr>
                <w:i/>
                <w:iCs/>
              </w:rPr>
              <w:t>“They know what they've done, but they clearly don't care...and so far there are no consequences for them”</w:t>
            </w:r>
          </w:p>
          <w:p w14:paraId="64DBBBE1" w14:textId="77777777" w:rsidR="001E1C1E" w:rsidRDefault="001E1C1E">
            <w:pPr>
              <w:spacing w:after="0" w:line="276" w:lineRule="auto"/>
              <w:ind w:right="-42"/>
              <w:jc w:val="both"/>
              <w:rPr>
                <w:i/>
                <w:iCs/>
              </w:rPr>
            </w:pPr>
          </w:p>
          <w:p w14:paraId="5CC3A48B" w14:textId="77777777" w:rsidR="001E1C1E" w:rsidRDefault="00000000">
            <w:pPr>
              <w:spacing w:after="0" w:line="276" w:lineRule="auto"/>
              <w:ind w:right="-42"/>
              <w:jc w:val="both"/>
              <w:rPr>
                <w:i/>
                <w:iCs/>
              </w:rPr>
            </w:pPr>
            <w:r>
              <w:rPr>
                <w:i/>
                <w:iCs/>
              </w:rPr>
              <w:lastRenderedPageBreak/>
              <w:t>“However, there doesn't seem to be a huge amount of consequences to come out of the procedure, or accountability on the department.”</w:t>
            </w:r>
          </w:p>
        </w:tc>
        <w:tc>
          <w:tcPr>
            <w:tcW w:w="5790" w:type="dxa"/>
            <w:shd w:val="clear" w:color="auto" w:fill="auto"/>
            <w:tcMar>
              <w:top w:w="100" w:type="dxa"/>
              <w:left w:w="100" w:type="dxa"/>
              <w:bottom w:w="100" w:type="dxa"/>
              <w:right w:w="100" w:type="dxa"/>
            </w:tcMar>
          </w:tcPr>
          <w:p w14:paraId="588C415C" w14:textId="77777777" w:rsidR="001E1C1E" w:rsidRDefault="00000000">
            <w:pPr>
              <w:spacing w:after="0" w:line="276" w:lineRule="auto"/>
              <w:jc w:val="both"/>
            </w:pPr>
            <w:r>
              <w:lastRenderedPageBreak/>
              <w:t>The Procurement Compliance Service (PCS) sits alongside the Public Procurement Review Service (PPRS). In cases where PPRS believes that a customer authority will repeat the non-compliant behaviour, there is now the option to refer the issue over to the PCS.</w:t>
            </w:r>
          </w:p>
          <w:p w14:paraId="17B45099" w14:textId="77777777" w:rsidR="001E1C1E" w:rsidRDefault="001E1C1E">
            <w:pPr>
              <w:spacing w:after="0" w:line="276" w:lineRule="auto"/>
              <w:jc w:val="both"/>
            </w:pPr>
          </w:p>
          <w:p w14:paraId="7B84BFD1" w14:textId="77777777" w:rsidR="001E1C1E" w:rsidRDefault="00000000">
            <w:pPr>
              <w:spacing w:after="0" w:line="276" w:lineRule="auto"/>
              <w:jc w:val="both"/>
            </w:pPr>
            <w:r>
              <w:t>PCS is able to conduct a more thorough review of any institutional failings and put an improvement plan in place.</w:t>
            </w:r>
          </w:p>
        </w:tc>
      </w:tr>
      <w:tr w:rsidR="001E1C1E" w14:paraId="3A083882" w14:textId="77777777">
        <w:trPr>
          <w:trHeight w:val="4950"/>
        </w:trPr>
        <w:tc>
          <w:tcPr>
            <w:tcW w:w="4575" w:type="dxa"/>
            <w:shd w:val="clear" w:color="auto" w:fill="auto"/>
            <w:tcMar>
              <w:top w:w="100" w:type="dxa"/>
              <w:left w:w="100" w:type="dxa"/>
              <w:bottom w:w="100" w:type="dxa"/>
              <w:right w:w="100" w:type="dxa"/>
            </w:tcMar>
          </w:tcPr>
          <w:p w14:paraId="091C2131" w14:textId="77777777" w:rsidR="001E1C1E" w:rsidRDefault="00000000">
            <w:pPr>
              <w:spacing w:after="0" w:line="276" w:lineRule="auto"/>
              <w:jc w:val="both"/>
              <w:rPr>
                <w:i/>
                <w:iCs/>
              </w:rPr>
            </w:pPr>
            <w:r>
              <w:rPr>
                <w:i/>
                <w:iCs/>
              </w:rPr>
              <w:lastRenderedPageBreak/>
              <w:t>“We think it would be useful to address all issues raised by the complainant and to make findings of fact on them as part of the investigation process. In this way, it will be possible for complainants to see that all aspects of the complaint has been dealt with.”</w:t>
            </w:r>
          </w:p>
          <w:p w14:paraId="173200B6" w14:textId="77777777" w:rsidR="001E1C1E" w:rsidRDefault="001E1C1E">
            <w:pPr>
              <w:spacing w:after="0" w:line="276" w:lineRule="auto"/>
              <w:jc w:val="both"/>
              <w:rPr>
                <w:i/>
                <w:iCs/>
              </w:rPr>
            </w:pPr>
          </w:p>
          <w:p w14:paraId="74520A86" w14:textId="77777777" w:rsidR="001E1C1E" w:rsidRDefault="00000000">
            <w:pPr>
              <w:spacing w:after="0" w:line="276" w:lineRule="auto"/>
              <w:jc w:val="both"/>
              <w:rPr>
                <w:i/>
                <w:iCs/>
              </w:rPr>
            </w:pPr>
            <w:r>
              <w:rPr>
                <w:i/>
                <w:iCs/>
              </w:rPr>
              <w:t>“One of the aspects where your service could have perhaps been better was in agreeing the extent and terms of reference of the matters to be investigated”</w:t>
            </w:r>
          </w:p>
        </w:tc>
        <w:tc>
          <w:tcPr>
            <w:tcW w:w="5790" w:type="dxa"/>
            <w:shd w:val="clear" w:color="auto" w:fill="auto"/>
            <w:tcMar>
              <w:top w:w="100" w:type="dxa"/>
              <w:left w:w="100" w:type="dxa"/>
              <w:bottom w:w="100" w:type="dxa"/>
              <w:right w:w="100" w:type="dxa"/>
            </w:tcMar>
          </w:tcPr>
          <w:p w14:paraId="0A6AB0AB" w14:textId="77777777" w:rsidR="001E1C1E" w:rsidRDefault="00000000">
            <w:pPr>
              <w:spacing w:after="0" w:line="276" w:lineRule="auto"/>
              <w:jc w:val="both"/>
            </w:pPr>
            <w:r>
              <w:t>PPRS will strengthen the sections of the PPRS Protocol that outlines how we deal with initial supplier engagement. We will ensure all cases start with an agreed scope for the investigation to ensure that all aspects of the complaint are dealt with.</w:t>
            </w:r>
          </w:p>
        </w:tc>
      </w:tr>
    </w:tbl>
    <w:p w14:paraId="686CA964" w14:textId="77777777" w:rsidR="001E1C1E" w:rsidRDefault="00000000">
      <w:pPr>
        <w:pStyle w:val="Heading1"/>
        <w:spacing w:after="0" w:line="276" w:lineRule="auto"/>
        <w:ind w:right="-550"/>
        <w:jc w:val="both"/>
        <w:rPr>
          <w:sz w:val="24"/>
          <w:szCs w:val="24"/>
        </w:rPr>
      </w:pPr>
      <w:bookmarkStart w:id="14" w:name="_5diwzmorkb3t" w:colFirst="0" w:colLast="0"/>
      <w:bookmarkEnd w:id="14"/>
      <w:r>
        <w:rPr>
          <w:sz w:val="24"/>
          <w:szCs w:val="24"/>
        </w:rPr>
        <w:t>4. The Procurement Compliance Service</w:t>
      </w:r>
    </w:p>
    <w:p w14:paraId="2BAB5D30" w14:textId="77777777" w:rsidR="001E1C1E" w:rsidRDefault="001E1C1E">
      <w:pPr>
        <w:spacing w:after="0" w:line="276" w:lineRule="auto"/>
        <w:jc w:val="both"/>
        <w:rPr>
          <w:sz w:val="22"/>
          <w:szCs w:val="22"/>
        </w:rPr>
      </w:pPr>
    </w:p>
    <w:p w14:paraId="6822B794" w14:textId="1035325E" w:rsidR="001E1C1E" w:rsidRDefault="00000000">
      <w:pPr>
        <w:spacing w:after="0" w:line="276" w:lineRule="auto"/>
        <w:jc w:val="both"/>
      </w:pPr>
      <w:r>
        <w:t>The Procurement Compliance Service (PCS) started accepting referrals in February 2026 and focuses on investigating in-scope contracting</w:t>
      </w:r>
      <w:r w:rsidR="00C1677D">
        <w:t xml:space="preserve"> authorities’</w:t>
      </w:r>
      <w:r>
        <w:t xml:space="preserve"> compliance with the requirements of the PA23 to improve the capability and practices of contracting authorities. Referrals can be made by anyone and PCS focuses on systemic (actual or potential breaches common across multiple contracting authorities) and institutional (breaches that are regularly being made, or are anticipated to be made, by one particular contracting authority). Following an investigation, findings and recommendations will be captured in a report which may be published on </w:t>
      </w:r>
      <w:hyperlink r:id="rId11">
        <w:r>
          <w:rPr>
            <w:color w:val="1155CC"/>
            <w:u w:val="single"/>
          </w:rPr>
          <w:t>GOV.UK</w:t>
        </w:r>
      </w:hyperlink>
      <w:r>
        <w:t>. A contracting authority may also be requested to provide progress reports (which could include an action plan), to demonstrate what actions (if any) the contracting authority has taken as a result of a recommendation. These may also be published. The PCS may issue guidance that applies to contracting authorities more generally relating to the lessons learnt from an investigation.</w:t>
      </w:r>
    </w:p>
    <w:p w14:paraId="16E98B00" w14:textId="77777777" w:rsidR="001E1C1E" w:rsidRDefault="001E1C1E">
      <w:pPr>
        <w:spacing w:after="0" w:line="276" w:lineRule="auto"/>
        <w:jc w:val="both"/>
      </w:pPr>
    </w:p>
    <w:p w14:paraId="18863780" w14:textId="430A5016" w:rsidR="001E1C1E" w:rsidRDefault="00000000">
      <w:pPr>
        <w:spacing w:after="0" w:line="276" w:lineRule="auto"/>
        <w:jc w:val="both"/>
      </w:pPr>
      <w:r>
        <w:t xml:space="preserve">Since PCS’s launch, in February 2026 to March 31st 2026, the service received 10 referrals. Of these, 8 have been outside the scope and remit of the service. These have included referrals for procurements undertaken under other legislation (such as PCR2015 and the </w:t>
      </w:r>
      <w:r>
        <w:lastRenderedPageBreak/>
        <w:t xml:space="preserve">NHS Provider Selection Regime) and 2 have been referred onto the PPRS. The remaining two progressed to triage. </w:t>
      </w:r>
    </w:p>
    <w:p w14:paraId="700BDB53" w14:textId="350C556D" w:rsidR="001E1C1E" w:rsidRDefault="001E1C1E">
      <w:pPr>
        <w:spacing w:after="0" w:line="276" w:lineRule="auto"/>
        <w:ind w:left="-425" w:right="-550"/>
        <w:jc w:val="both"/>
        <w:rPr>
          <w:b/>
          <w:bCs/>
          <w:i/>
          <w:iCs/>
        </w:rPr>
      </w:pPr>
    </w:p>
    <w:p w14:paraId="2F790B54" w14:textId="674C567C" w:rsidR="00BB1FD1" w:rsidRDefault="00BB1FD1">
      <w:pPr>
        <w:spacing w:after="0" w:line="276" w:lineRule="auto"/>
        <w:ind w:left="-425" w:right="-550"/>
        <w:jc w:val="both"/>
        <w:rPr>
          <w:b/>
          <w:bCs/>
          <w:i/>
          <w:iCs/>
        </w:rPr>
      </w:pPr>
    </w:p>
    <w:p w14:paraId="44E18762" w14:textId="104A0C50" w:rsidR="00BB1FD1" w:rsidRDefault="00BB1FD1" w:rsidP="00F2211D">
      <w:pPr>
        <w:spacing w:after="0" w:line="276" w:lineRule="auto"/>
        <w:ind w:left="-425" w:right="-550"/>
        <w:jc w:val="both"/>
      </w:pPr>
      <w:r>
        <w:rPr>
          <w:noProof/>
        </w:rPr>
        <w:drawing>
          <wp:anchor distT="114300" distB="114300" distL="114300" distR="114300" simplePos="0" relativeHeight="251661312" behindDoc="0" locked="0" layoutInCell="1" hidden="0" allowOverlap="1" wp14:anchorId="2EDD5771" wp14:editId="741A0031">
            <wp:simplePos x="0" y="0"/>
            <wp:positionH relativeFrom="margin">
              <wp:posOffset>116205</wp:posOffset>
            </wp:positionH>
            <wp:positionV relativeFrom="page">
              <wp:posOffset>6219190</wp:posOffset>
            </wp:positionV>
            <wp:extent cx="5591175" cy="3552825"/>
            <wp:effectExtent l="0" t="0" r="9525" b="9525"/>
            <wp:wrapSquare wrapText="bothSides" distT="114300" distB="114300" distL="114300" distR="11430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5591175" cy="3552825"/>
                    </a:xfrm>
                    <a:prstGeom prst="rect">
                      <a:avLst/>
                    </a:prstGeom>
                    <a:ln/>
                  </pic:spPr>
                </pic:pic>
              </a:graphicData>
            </a:graphic>
            <wp14:sizeRelH relativeFrom="margin">
              <wp14:pctWidth>0</wp14:pctWidth>
            </wp14:sizeRelH>
            <wp14:sizeRelV relativeFrom="margin">
              <wp14:pctHeight>0</wp14:pctHeight>
            </wp14:sizeRelV>
          </wp:anchor>
        </w:drawing>
      </w:r>
      <w:r w:rsidR="00000000">
        <w:rPr>
          <w:b/>
          <w:bCs/>
          <w:i/>
          <w:iCs/>
        </w:rPr>
        <w:t>Chart 5: PCS Referral Themes for 2025/26</w:t>
      </w:r>
      <w:bookmarkStart w:id="15" w:name="_fsbmrhylxv55" w:colFirst="0" w:colLast="0"/>
      <w:bookmarkEnd w:id="15"/>
    </w:p>
    <w:p w14:paraId="68E1EE19" w14:textId="785A8D09" w:rsidR="001E1C1E" w:rsidRDefault="00000000">
      <w:pPr>
        <w:pStyle w:val="Heading1"/>
        <w:spacing w:line="276" w:lineRule="auto"/>
        <w:ind w:left="-425" w:right="-550"/>
        <w:jc w:val="both"/>
        <w:rPr>
          <w:sz w:val="24"/>
          <w:szCs w:val="24"/>
        </w:rPr>
      </w:pPr>
      <w:r>
        <w:rPr>
          <w:sz w:val="24"/>
          <w:szCs w:val="24"/>
        </w:rPr>
        <w:t>4.1. Promoting Procurement Compliance and Oversight</w:t>
      </w:r>
    </w:p>
    <w:p w14:paraId="3E78184A" w14:textId="77777777" w:rsidR="001E1C1E" w:rsidRDefault="00000000">
      <w:pPr>
        <w:spacing w:after="0" w:line="276" w:lineRule="auto"/>
        <w:ind w:left="-425" w:right="-550"/>
        <w:jc w:val="both"/>
      </w:pPr>
      <w:r>
        <w:t>The PPRS and PCS have a presence on GOV.UK as part of Procurement Compliance &amp; Oversight, where the services’ scope and remits, referral forms and further information can be found.</w:t>
      </w:r>
    </w:p>
    <w:p w14:paraId="2048953E" w14:textId="77777777" w:rsidR="001E1C1E" w:rsidRDefault="001E1C1E">
      <w:pPr>
        <w:spacing w:after="0" w:line="276" w:lineRule="auto"/>
        <w:ind w:left="-425" w:right="-550"/>
        <w:jc w:val="both"/>
      </w:pPr>
    </w:p>
    <w:p w14:paraId="1B923482" w14:textId="77777777" w:rsidR="001E1C1E" w:rsidRDefault="00000000">
      <w:pPr>
        <w:spacing w:after="0" w:line="276" w:lineRule="auto"/>
        <w:ind w:left="-425" w:right="-550"/>
        <w:jc w:val="both"/>
      </w:pPr>
      <w:r>
        <w:t>The services are promoted on UK government Find a Tender</w:t>
      </w:r>
      <w:r>
        <w:rPr>
          <w:vertAlign w:val="superscript"/>
        </w:rPr>
        <w:footnoteReference w:id="6"/>
      </w:r>
      <w:r>
        <w:t xml:space="preserve"> homepage and Contracts Finder</w:t>
      </w:r>
      <w:r>
        <w:rPr>
          <w:vertAlign w:val="superscript"/>
        </w:rPr>
        <w:footnoteReference w:id="7"/>
      </w:r>
      <w:r>
        <w:t>, where notices for public sector procurements are published. The Find a Tender service allows organisations to search and apply for high value contracts (usually above £135,000) and awards for all public procurements over £30,000. The Find a Tender service published</w:t>
      </w:r>
      <w:r>
        <w:rPr>
          <w:color w:val="0B0C0C"/>
          <w:highlight w:val="white"/>
        </w:rPr>
        <w:t xml:space="preserve"> 14,817</w:t>
      </w:r>
      <w:r>
        <w:t xml:space="preserve"> tender notices and 59,731 award and contract notices in 2025/26. Contracts Finder, which publishes notices for procurements completed under the previous legislation such as framework call offs, published 39,088 award notices in 2025/26. PPRS is also promoted on the SME Hub</w:t>
      </w:r>
      <w:r>
        <w:rPr>
          <w:vertAlign w:val="superscript"/>
        </w:rPr>
        <w:footnoteReference w:id="8"/>
      </w:r>
      <w:r>
        <w:t xml:space="preserve"> on GOV.UK and is referenced within the commercial playbooks. As these are updated, they will include all PCO services.</w:t>
      </w:r>
    </w:p>
    <w:p w14:paraId="52F50F8E" w14:textId="0D67BBB8" w:rsidR="001E1C1E" w:rsidRDefault="00000000">
      <w:pPr>
        <w:spacing w:before="240" w:after="240" w:line="276" w:lineRule="auto"/>
        <w:ind w:left="-425" w:right="-607"/>
        <w:jc w:val="both"/>
      </w:pPr>
      <w:r>
        <w:t>We continue to promote PCO services through the Cabinet Office’s SME Panel and the Government Commercial Agency (GCA) SME Crown Representatives. Additionally, we</w:t>
      </w:r>
      <w:r w:rsidR="00C1677D">
        <w:t xml:space="preserve"> </w:t>
      </w:r>
      <w:r>
        <w:t xml:space="preserve">work with the Small Business Commissioner, the SME Crown Representative, similar services in the Devolved </w:t>
      </w:r>
      <w:r>
        <w:lastRenderedPageBreak/>
        <w:t>Administrations</w:t>
      </w:r>
      <w:r>
        <w:rPr>
          <w:vertAlign w:val="superscript"/>
        </w:rPr>
        <w:footnoteReference w:id="9"/>
      </w:r>
      <w:r>
        <w:t xml:space="preserve"> and the VCSE Crown Representative to identify trends and share experience of best practices. We also strengthen procurement practitioner understanding of the services by presenting at commercial meetings across the public sector and presenting Transforming Public Procurement, now Public Procurement Community, webinars for the entire public sector. </w:t>
      </w:r>
    </w:p>
    <w:p w14:paraId="1E629A7F" w14:textId="77777777" w:rsidR="001E1C1E" w:rsidRDefault="00000000">
      <w:pPr>
        <w:pStyle w:val="Heading1"/>
        <w:spacing w:before="400" w:line="276" w:lineRule="auto"/>
        <w:ind w:left="-425" w:right="-550"/>
        <w:jc w:val="both"/>
        <w:rPr>
          <w:b w:val="0"/>
          <w:bCs w:val="0"/>
          <w:sz w:val="40"/>
          <w:szCs w:val="40"/>
        </w:rPr>
      </w:pPr>
      <w:bookmarkStart w:id="16" w:name="_39aqef802cuj" w:colFirst="0" w:colLast="0"/>
      <w:bookmarkEnd w:id="16"/>
      <w:r>
        <w:rPr>
          <w:sz w:val="24"/>
          <w:szCs w:val="24"/>
        </w:rPr>
        <w:t>5. Forward Look for 2026/27</w:t>
      </w:r>
    </w:p>
    <w:p w14:paraId="47CDC0CB" w14:textId="77777777" w:rsidR="001E1C1E" w:rsidRDefault="00000000">
      <w:pPr>
        <w:spacing w:after="0" w:line="276" w:lineRule="auto"/>
        <w:ind w:left="-425" w:right="-550"/>
        <w:jc w:val="both"/>
      </w:pPr>
      <w:r>
        <w:t>The PCO is committed to continuous improvement. We will adapt the service outputs in line with policy, feedback, trends and issues.</w:t>
      </w:r>
    </w:p>
    <w:p w14:paraId="3B6A109A" w14:textId="77777777" w:rsidR="001E1C1E" w:rsidRDefault="001E1C1E">
      <w:pPr>
        <w:spacing w:after="0" w:line="276" w:lineRule="auto"/>
        <w:ind w:left="-425" w:right="-550"/>
        <w:jc w:val="both"/>
      </w:pPr>
    </w:p>
    <w:p w14:paraId="6F0BAA27" w14:textId="77777777" w:rsidR="001E1C1E" w:rsidRDefault="00000000">
      <w:pPr>
        <w:spacing w:after="0" w:line="276" w:lineRule="auto"/>
        <w:ind w:left="-425" w:right="-550"/>
        <w:jc w:val="both"/>
      </w:pPr>
      <w:r>
        <w:t>With one year since the new Procurement Act 2023 went live and the launch of Procurement Compliance and Oversight it is a good opportunity to reflect on historic trends and ensure that the service is fit for purpose.</w:t>
      </w:r>
    </w:p>
    <w:p w14:paraId="2D8B7B94" w14:textId="77777777" w:rsidR="001E1C1E" w:rsidRDefault="001E1C1E">
      <w:pPr>
        <w:spacing w:after="0" w:line="276" w:lineRule="auto"/>
        <w:ind w:left="-425" w:right="-550"/>
        <w:jc w:val="both"/>
      </w:pPr>
    </w:p>
    <w:p w14:paraId="5B109556" w14:textId="77777777" w:rsidR="001E1C1E" w:rsidRDefault="00000000">
      <w:pPr>
        <w:spacing w:after="0" w:line="276" w:lineRule="auto"/>
        <w:ind w:left="-425" w:right="-550"/>
        <w:jc w:val="both"/>
      </w:pPr>
      <w:r>
        <w:t>The top reported issues have shifted over time and the current complexity of the procurement landscape - with procurements under legacy frameworks that are still governed by the Public Contracts Regulations 2015 sitting alongside procurements under the Procurement Act 2023 - presents a challenge for suppliers. It is crucial that suppliers can continue to engage with public sector procurement with confidence.</w:t>
      </w:r>
    </w:p>
    <w:p w14:paraId="263DE367" w14:textId="77777777" w:rsidR="001E1C1E" w:rsidRDefault="001E1C1E">
      <w:pPr>
        <w:spacing w:after="0" w:line="276" w:lineRule="auto"/>
        <w:ind w:left="-425" w:right="-550"/>
        <w:jc w:val="both"/>
      </w:pPr>
    </w:p>
    <w:p w14:paraId="2F49B41F" w14:textId="77777777" w:rsidR="001E1C1E" w:rsidRDefault="00000000">
      <w:pPr>
        <w:spacing w:after="0" w:line="276" w:lineRule="auto"/>
        <w:ind w:left="-425" w:right="-550"/>
        <w:jc w:val="both"/>
      </w:pPr>
      <w:r>
        <w:t xml:space="preserve">Our priorities for 2026/27 include: </w:t>
      </w:r>
    </w:p>
    <w:p w14:paraId="398FCA9A" w14:textId="77777777" w:rsidR="001E1C1E" w:rsidRDefault="001E1C1E">
      <w:pPr>
        <w:spacing w:after="0" w:line="276" w:lineRule="auto"/>
        <w:ind w:left="-425" w:right="-550"/>
        <w:jc w:val="both"/>
      </w:pPr>
    </w:p>
    <w:p w14:paraId="5C5C3868" w14:textId="77777777" w:rsidR="001E1C1E" w:rsidRDefault="00000000">
      <w:pPr>
        <w:numPr>
          <w:ilvl w:val="0"/>
          <w:numId w:val="6"/>
        </w:numPr>
        <w:spacing w:after="0" w:line="276" w:lineRule="auto"/>
        <w:ind w:right="-550"/>
        <w:jc w:val="both"/>
      </w:pPr>
      <w:r>
        <w:t>Refreshing the PPRS Protocol to reflect feedback from stakeholders and to ensure alignment with emerging issues under the new Procurement Act</w:t>
      </w:r>
    </w:p>
    <w:p w14:paraId="58ECCC0A" w14:textId="77777777" w:rsidR="001E1C1E" w:rsidRDefault="00000000">
      <w:pPr>
        <w:numPr>
          <w:ilvl w:val="0"/>
          <w:numId w:val="6"/>
        </w:numPr>
        <w:spacing w:after="0" w:line="276" w:lineRule="auto"/>
        <w:ind w:right="-550"/>
        <w:jc w:val="both"/>
      </w:pPr>
      <w:r>
        <w:t>PCS will embed the service, responding to issues identified in referrals, investigations and monitoring to improve commercial capability across the sector</w:t>
      </w:r>
    </w:p>
    <w:p w14:paraId="0F5C88CE" w14:textId="77777777" w:rsidR="001E1C1E" w:rsidRDefault="00000000">
      <w:pPr>
        <w:numPr>
          <w:ilvl w:val="0"/>
          <w:numId w:val="6"/>
        </w:numPr>
        <w:spacing w:after="0" w:line="276" w:lineRule="auto"/>
        <w:ind w:right="-550"/>
        <w:jc w:val="both"/>
      </w:pPr>
      <w:r>
        <w:t>Using AI to improve team efficiencies and to improve the quality of our research and recommendations</w:t>
      </w:r>
    </w:p>
    <w:p w14:paraId="6BF91343" w14:textId="77777777" w:rsidR="001E1C1E" w:rsidRDefault="00000000">
      <w:pPr>
        <w:numPr>
          <w:ilvl w:val="0"/>
          <w:numId w:val="6"/>
        </w:numPr>
        <w:spacing w:after="0" w:line="276" w:lineRule="auto"/>
        <w:ind w:right="-550"/>
        <w:jc w:val="both"/>
      </w:pPr>
      <w:r>
        <w:t>Providing quarterly trend analysis to ensure Procurement Compliance &amp; Oversight can respond quickly to new developments</w:t>
      </w:r>
    </w:p>
    <w:p w14:paraId="4D64D5AB" w14:textId="77777777" w:rsidR="001E1C1E" w:rsidRDefault="00000000">
      <w:pPr>
        <w:numPr>
          <w:ilvl w:val="0"/>
          <w:numId w:val="6"/>
        </w:numPr>
        <w:spacing w:after="0" w:line="276" w:lineRule="auto"/>
        <w:ind w:right="-550"/>
        <w:jc w:val="both"/>
      </w:pPr>
      <w:r>
        <w:t>Providing an active feedback loop to suppliers and contracting authorities:</w:t>
      </w:r>
    </w:p>
    <w:p w14:paraId="3065E35A" w14:textId="77777777" w:rsidR="001E1C1E" w:rsidRDefault="00000000">
      <w:pPr>
        <w:numPr>
          <w:ilvl w:val="1"/>
          <w:numId w:val="6"/>
        </w:numPr>
        <w:spacing w:after="0" w:line="276" w:lineRule="auto"/>
        <w:ind w:right="-550"/>
        <w:jc w:val="both"/>
      </w:pPr>
      <w:r>
        <w:t>Continue to work with suppliers and public sector procurement practitioners to ensure that the service offer is clear and understood.</w:t>
      </w:r>
    </w:p>
    <w:p w14:paraId="4FCFD28E" w14:textId="77777777" w:rsidR="001E1C1E" w:rsidRDefault="00000000">
      <w:pPr>
        <w:numPr>
          <w:ilvl w:val="1"/>
          <w:numId w:val="6"/>
        </w:numPr>
        <w:spacing w:after="0" w:line="276" w:lineRule="auto"/>
        <w:ind w:right="-550"/>
        <w:jc w:val="both"/>
      </w:pPr>
      <w:r>
        <w:t>Continue to work with suppliers to ensure that their concerns are heard and responded to.</w:t>
      </w:r>
    </w:p>
    <w:p w14:paraId="72CD69C6" w14:textId="77777777" w:rsidR="001E1C1E" w:rsidRDefault="00000000">
      <w:pPr>
        <w:numPr>
          <w:ilvl w:val="1"/>
          <w:numId w:val="6"/>
        </w:numPr>
        <w:spacing w:after="0" w:line="276" w:lineRule="auto"/>
        <w:ind w:right="-550"/>
        <w:jc w:val="both"/>
      </w:pPr>
      <w:r>
        <w:t>Continue to work with contracting authorities to ensure that recommendations are taken forward in future procurements</w:t>
      </w:r>
    </w:p>
    <w:p w14:paraId="4D5FC91D" w14:textId="77777777" w:rsidR="001E1C1E" w:rsidRDefault="00000000">
      <w:pPr>
        <w:numPr>
          <w:ilvl w:val="1"/>
          <w:numId w:val="6"/>
        </w:numPr>
        <w:spacing w:after="0" w:line="276" w:lineRule="auto"/>
        <w:ind w:right="-550"/>
        <w:jc w:val="both"/>
      </w:pPr>
      <w:r>
        <w:lastRenderedPageBreak/>
        <w:t>Continue to work with teams across the Government Commercial Function and the GCA to feedback on the issues that are raised to improve commercial capability</w:t>
      </w:r>
    </w:p>
    <w:p w14:paraId="6EB344DC" w14:textId="77777777" w:rsidR="001E1C1E" w:rsidRDefault="00000000">
      <w:pPr>
        <w:numPr>
          <w:ilvl w:val="1"/>
          <w:numId w:val="6"/>
        </w:numPr>
        <w:spacing w:after="0" w:line="276" w:lineRule="auto"/>
        <w:ind w:right="-550"/>
        <w:jc w:val="both"/>
      </w:pPr>
      <w:r>
        <w:t>Share the lessons learned from our reviews more widely in order to increase the quality of public sector procurements, through a series of insights sessions for the public sector buying community</w:t>
      </w:r>
    </w:p>
    <w:p w14:paraId="6E659844" w14:textId="77777777" w:rsidR="001E1C1E" w:rsidRDefault="00000000">
      <w:pPr>
        <w:pStyle w:val="Heading1"/>
        <w:spacing w:after="0" w:line="276" w:lineRule="auto"/>
        <w:ind w:left="-425" w:right="-550"/>
        <w:jc w:val="both"/>
        <w:rPr>
          <w:sz w:val="24"/>
          <w:szCs w:val="24"/>
        </w:rPr>
      </w:pPr>
      <w:bookmarkStart w:id="17" w:name="_du9ltu97c0lw" w:colFirst="0" w:colLast="0"/>
      <w:bookmarkEnd w:id="17"/>
      <w:r>
        <w:rPr>
          <w:sz w:val="24"/>
          <w:szCs w:val="24"/>
        </w:rPr>
        <w:t>6. Contact Us</w:t>
      </w:r>
    </w:p>
    <w:p w14:paraId="4A8F5BB8" w14:textId="77777777" w:rsidR="001E1C1E" w:rsidRDefault="001E1C1E">
      <w:pPr>
        <w:spacing w:after="0" w:line="276" w:lineRule="auto"/>
        <w:ind w:left="-425" w:right="-550"/>
        <w:jc w:val="both"/>
      </w:pPr>
    </w:p>
    <w:p w14:paraId="78BE74C9" w14:textId="77777777" w:rsidR="001E1C1E" w:rsidRDefault="00000000">
      <w:pPr>
        <w:spacing w:after="0" w:line="276" w:lineRule="auto"/>
        <w:ind w:left="-425" w:right="-550"/>
        <w:jc w:val="both"/>
      </w:pPr>
      <w:r>
        <w:t xml:space="preserve">The PCO is a small team, made up of case workers. All initial external communication with the team(s) must be conducted via the referral form for the service(s). </w:t>
      </w:r>
    </w:p>
    <w:p w14:paraId="3D934625" w14:textId="77777777" w:rsidR="001E1C1E" w:rsidRDefault="001E1C1E">
      <w:pPr>
        <w:spacing w:after="0" w:line="276" w:lineRule="auto"/>
        <w:ind w:left="-425" w:right="-550"/>
        <w:jc w:val="both"/>
      </w:pPr>
    </w:p>
    <w:p w14:paraId="55F6CE7C" w14:textId="77777777" w:rsidR="001E1C1E" w:rsidRDefault="00000000">
      <w:pPr>
        <w:spacing w:after="0" w:line="276" w:lineRule="auto"/>
        <w:ind w:left="-425" w:right="-550"/>
        <w:jc w:val="both"/>
      </w:pPr>
      <w:r>
        <w:t xml:space="preserve">Both teams are notified of each new referral form via their respective shared inbox. Once a case has commenced, the same case worker will liaise with the referrer and/or the contracting authority, where appropriate. </w:t>
      </w:r>
    </w:p>
    <w:p w14:paraId="785C4B1A" w14:textId="77777777" w:rsidR="001E1C1E" w:rsidRDefault="001E1C1E" w:rsidP="00F2211D">
      <w:pPr>
        <w:spacing w:after="0" w:line="276" w:lineRule="auto"/>
        <w:ind w:left="-425" w:right="-550"/>
      </w:pPr>
    </w:p>
    <w:p w14:paraId="42A5CCBC" w14:textId="08412467" w:rsidR="001E1C1E" w:rsidRDefault="00000000" w:rsidP="00F2211D">
      <w:pPr>
        <w:spacing w:after="0" w:line="276" w:lineRule="auto"/>
        <w:ind w:left="-425" w:right="-550"/>
      </w:pPr>
      <w:r>
        <w:t xml:space="preserve">A service description can be found on the </w:t>
      </w:r>
      <w:hyperlink r:id="rId13" w:anchor="overview">
        <w:r>
          <w:rPr>
            <w:color w:val="1155CC"/>
            <w:u w:val="single"/>
          </w:rPr>
          <w:t>PCO GOV.UK</w:t>
        </w:r>
      </w:hyperlink>
      <w:r>
        <w:t xml:space="preserve"> page.</w:t>
      </w:r>
      <w:r w:rsidR="00F2211D">
        <w:t xml:space="preserve"> </w:t>
      </w:r>
      <w:r>
        <w:t xml:space="preserve">For more information on the PCO and to make a referral to either PPRS or PCS, please visit </w:t>
      </w:r>
      <w:hyperlink r:id="rId14">
        <w:r>
          <w:rPr>
            <w:color w:val="1155CC"/>
            <w:u w:val="single"/>
          </w:rPr>
          <w:t>https://www.gov.uk/guidance/procurementcompliance-oversight</w:t>
        </w:r>
      </w:hyperlink>
      <w:r>
        <w:t xml:space="preserve">  </w:t>
      </w:r>
    </w:p>
    <w:p w14:paraId="6DAC1E89" w14:textId="77777777" w:rsidR="001E1C1E" w:rsidRDefault="001E1C1E">
      <w:pPr>
        <w:spacing w:after="0" w:line="276" w:lineRule="auto"/>
        <w:ind w:left="-425" w:right="-550"/>
        <w:jc w:val="both"/>
      </w:pPr>
    </w:p>
    <w:p w14:paraId="7F1C7097" w14:textId="77777777" w:rsidR="001E1C1E" w:rsidRDefault="00000000">
      <w:pPr>
        <w:spacing w:after="0" w:line="276" w:lineRule="auto"/>
        <w:ind w:left="-425" w:right="-550"/>
        <w:jc w:val="both"/>
      </w:pPr>
      <w:r>
        <w:t xml:space="preserve">The PCO operates Monday to Friday during normal business hours. </w:t>
      </w:r>
    </w:p>
    <w:p w14:paraId="011856C2" w14:textId="77777777" w:rsidR="001E1C1E" w:rsidRDefault="00000000">
      <w:pPr>
        <w:numPr>
          <w:ilvl w:val="0"/>
          <w:numId w:val="7"/>
        </w:numPr>
        <w:spacing w:after="0" w:line="276" w:lineRule="auto"/>
        <w:ind w:right="-550"/>
        <w:jc w:val="both"/>
      </w:pPr>
      <w:r>
        <w:t xml:space="preserve">procurementcompliance@cabinetoffice.gov.uk </w:t>
      </w:r>
    </w:p>
    <w:p w14:paraId="27DF9437" w14:textId="3D00FFB9" w:rsidR="001E1C1E" w:rsidRDefault="00000000" w:rsidP="00F2211D">
      <w:pPr>
        <w:numPr>
          <w:ilvl w:val="0"/>
          <w:numId w:val="7"/>
        </w:numPr>
        <w:spacing w:after="0" w:line="276" w:lineRule="auto"/>
        <w:ind w:right="-550"/>
        <w:jc w:val="both"/>
      </w:pPr>
      <w:r>
        <w:t>publicprocurementreview@cabinetoffice.gov.uk</w:t>
      </w:r>
      <w:bookmarkStart w:id="18" w:name="_az1j6ah27ejl" w:colFirst="0" w:colLast="0"/>
      <w:bookmarkEnd w:id="18"/>
      <w:r>
        <w:br w:type="page"/>
      </w:r>
    </w:p>
    <w:p w14:paraId="4745CDB2" w14:textId="77777777" w:rsidR="001E1C1E" w:rsidRDefault="00000000">
      <w:pPr>
        <w:pStyle w:val="Heading1"/>
        <w:spacing w:line="276" w:lineRule="auto"/>
        <w:ind w:left="-425" w:right="-550"/>
        <w:jc w:val="both"/>
        <w:rPr>
          <w:sz w:val="24"/>
          <w:szCs w:val="24"/>
        </w:rPr>
      </w:pPr>
      <w:bookmarkStart w:id="19" w:name="_x19sl0yta3uw" w:colFirst="0" w:colLast="0"/>
      <w:bookmarkEnd w:id="19"/>
      <w:r>
        <w:rPr>
          <w:sz w:val="24"/>
          <w:szCs w:val="24"/>
        </w:rPr>
        <w:lastRenderedPageBreak/>
        <w:t>Annex A - Main Trends for Central Government</w:t>
      </w:r>
    </w:p>
    <w:p w14:paraId="5BF10156" w14:textId="77777777" w:rsidR="001E1C1E" w:rsidRDefault="00000000">
      <w:pPr>
        <w:spacing w:after="0" w:line="276" w:lineRule="auto"/>
        <w:ind w:left="-425" w:right="-550"/>
        <w:jc w:val="both"/>
      </w:pPr>
      <w:r>
        <w:rPr>
          <w:b/>
          <w:bCs/>
          <w:i/>
          <w:iCs/>
        </w:rPr>
        <w:t>Chart 6: Issues investigated with CG - High Level - 2025/26 comparison against previous year</w:t>
      </w:r>
    </w:p>
    <w:p w14:paraId="47CD3654" w14:textId="77777777" w:rsidR="001E1C1E" w:rsidRDefault="00000000">
      <w:pPr>
        <w:spacing w:after="0" w:line="276" w:lineRule="auto"/>
        <w:ind w:left="-425" w:right="-550"/>
        <w:jc w:val="both"/>
      </w:pPr>
      <w:r>
        <w:rPr>
          <w:noProof/>
        </w:rPr>
        <w:drawing>
          <wp:anchor distT="114300" distB="114300" distL="114300" distR="114300" simplePos="0" relativeHeight="251662336" behindDoc="0" locked="0" layoutInCell="1" hidden="0" allowOverlap="1" wp14:anchorId="7D78C1B9" wp14:editId="1CACCEEB">
            <wp:simplePos x="0" y="0"/>
            <wp:positionH relativeFrom="page">
              <wp:posOffset>188700</wp:posOffset>
            </wp:positionH>
            <wp:positionV relativeFrom="page">
              <wp:posOffset>2100239</wp:posOffset>
            </wp:positionV>
            <wp:extent cx="7178991" cy="4446611"/>
            <wp:effectExtent l="0" t="0" r="0" b="0"/>
            <wp:wrapSquare wrapText="bothSides" distT="114300" distB="114300" distL="114300" distR="114300"/>
            <wp:docPr id="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5"/>
                    <a:srcRect/>
                    <a:stretch>
                      <a:fillRect/>
                    </a:stretch>
                  </pic:blipFill>
                  <pic:spPr>
                    <a:xfrm>
                      <a:off x="0" y="0"/>
                      <a:ext cx="7178991" cy="4446611"/>
                    </a:xfrm>
                    <a:prstGeom prst="rect">
                      <a:avLst/>
                    </a:prstGeom>
                    <a:ln/>
                  </pic:spPr>
                </pic:pic>
              </a:graphicData>
            </a:graphic>
          </wp:anchor>
        </w:drawing>
      </w:r>
    </w:p>
    <w:p w14:paraId="26AA188C" w14:textId="77777777" w:rsidR="001E1C1E" w:rsidRDefault="00000000">
      <w:pPr>
        <w:spacing w:after="0" w:line="276" w:lineRule="auto"/>
        <w:ind w:left="-425" w:right="-550"/>
        <w:jc w:val="both"/>
      </w:pPr>
      <w:r>
        <w:t xml:space="preserve">We investigated 27 cases classified as CG in 2025/26, an increase from 16 the previous year. Cases classified as ‘Procurement Process’ had the highest number of complaints with nine cases, an increase from seven the previous year; three complaints were upheld, which is a decrease from five cases upheld in 2024/25. Cases categorised under ‘Procurement Strategy’ increased in this sector this year, accounting for six cases, where four were upheld, compared to three cases, where two were upheld in the previous year. </w:t>
      </w:r>
    </w:p>
    <w:p w14:paraId="667C7924" w14:textId="77777777" w:rsidR="001E1C1E" w:rsidRDefault="001E1C1E">
      <w:pPr>
        <w:spacing w:after="0" w:line="276" w:lineRule="auto"/>
        <w:ind w:left="-425" w:right="-550"/>
        <w:jc w:val="both"/>
        <w:rPr>
          <w:highlight w:val="yellow"/>
        </w:rPr>
      </w:pPr>
    </w:p>
    <w:p w14:paraId="50404274" w14:textId="77777777" w:rsidR="001E1C1E" w:rsidRDefault="00000000">
      <w:pPr>
        <w:spacing w:after="0" w:line="240" w:lineRule="auto"/>
        <w:ind w:left="-425" w:right="-550"/>
        <w:jc w:val="both"/>
        <w:rPr>
          <w:highlight w:val="yellow"/>
        </w:rPr>
      </w:pPr>
      <w:r>
        <w:br w:type="page"/>
      </w:r>
    </w:p>
    <w:p w14:paraId="4C4236F4" w14:textId="77777777" w:rsidR="001E1C1E" w:rsidRDefault="00000000">
      <w:pPr>
        <w:spacing w:after="0" w:line="276" w:lineRule="auto"/>
        <w:ind w:left="-425" w:right="-550"/>
        <w:jc w:val="both"/>
        <w:rPr>
          <w:b/>
          <w:bCs/>
          <w:i/>
          <w:iCs/>
        </w:rPr>
      </w:pPr>
      <w:r>
        <w:rPr>
          <w:b/>
          <w:bCs/>
          <w:i/>
          <w:iCs/>
        </w:rPr>
        <w:lastRenderedPageBreak/>
        <w:t>Chart 7: Issues investigated with CG - Sub Level - 2025/26</w:t>
      </w:r>
    </w:p>
    <w:p w14:paraId="23430E2D" w14:textId="77777777" w:rsidR="001E1C1E" w:rsidRDefault="00000000">
      <w:pPr>
        <w:spacing w:after="0" w:line="276" w:lineRule="auto"/>
        <w:ind w:left="-425" w:right="-550"/>
        <w:jc w:val="both"/>
        <w:rPr>
          <w:b/>
          <w:bCs/>
          <w:i/>
          <w:iCs/>
        </w:rPr>
      </w:pPr>
      <w:r>
        <w:rPr>
          <w:b/>
          <w:bCs/>
          <w:i/>
          <w:iCs/>
          <w:noProof/>
        </w:rPr>
        <w:drawing>
          <wp:anchor distT="114300" distB="114300" distL="114300" distR="114300" simplePos="0" relativeHeight="251663360" behindDoc="0" locked="0" layoutInCell="1" hidden="0" allowOverlap="1" wp14:anchorId="2C8AD8D3" wp14:editId="65ACED1E">
            <wp:simplePos x="0" y="0"/>
            <wp:positionH relativeFrom="page">
              <wp:posOffset>598275</wp:posOffset>
            </wp:positionH>
            <wp:positionV relativeFrom="page">
              <wp:posOffset>1765357</wp:posOffset>
            </wp:positionV>
            <wp:extent cx="6463088" cy="3766325"/>
            <wp:effectExtent l="0" t="0" r="0" b="0"/>
            <wp:wrapSquare wrapText="bothSides" distT="114300" distB="114300" distL="114300" distR="114300"/>
            <wp:docPr id="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6"/>
                    <a:srcRect/>
                    <a:stretch>
                      <a:fillRect/>
                    </a:stretch>
                  </pic:blipFill>
                  <pic:spPr>
                    <a:xfrm>
                      <a:off x="0" y="0"/>
                      <a:ext cx="6463088" cy="3766325"/>
                    </a:xfrm>
                    <a:prstGeom prst="rect">
                      <a:avLst/>
                    </a:prstGeom>
                    <a:ln/>
                  </pic:spPr>
                </pic:pic>
              </a:graphicData>
            </a:graphic>
          </wp:anchor>
        </w:drawing>
      </w:r>
    </w:p>
    <w:p w14:paraId="5E839E86" w14:textId="77777777" w:rsidR="001E1C1E" w:rsidRDefault="001E1C1E">
      <w:pPr>
        <w:spacing w:after="0" w:line="276" w:lineRule="auto"/>
        <w:ind w:left="-425" w:right="-550"/>
        <w:jc w:val="both"/>
        <w:rPr>
          <w:b/>
          <w:bCs/>
          <w:i/>
          <w:iCs/>
        </w:rPr>
      </w:pPr>
    </w:p>
    <w:p w14:paraId="440237C4" w14:textId="77777777" w:rsidR="001E1C1E" w:rsidRDefault="00000000">
      <w:pPr>
        <w:widowControl w:val="0"/>
        <w:spacing w:after="0" w:line="276" w:lineRule="auto"/>
        <w:ind w:left="-425" w:right="-550"/>
        <w:jc w:val="both"/>
      </w:pPr>
      <w:r>
        <w:t>‘Payment’ was the highest reported issue with five complaints. ‘G-Cloud’ was the second highest reported issue for CG with four cases. Four ‘Payment’ complaints were upheld, where the Contracting Authority accepted our recommendations. Three ‘G-Cloud’ cases were upheld, where the Contracting Authority accepted our recommendations. ‘Timescales’ received three complaints and ‘Technical issue with e-portal’, ‘Prices’, and ‘Award’ all received two complaints.</w:t>
      </w:r>
    </w:p>
    <w:p w14:paraId="24222549" w14:textId="77777777" w:rsidR="001E1C1E" w:rsidRDefault="001E1C1E">
      <w:pPr>
        <w:widowControl w:val="0"/>
        <w:spacing w:after="0" w:line="276" w:lineRule="auto"/>
        <w:ind w:left="-425" w:right="-550"/>
        <w:jc w:val="both"/>
        <w:rPr>
          <w:highlight w:val="yellow"/>
        </w:rPr>
      </w:pPr>
    </w:p>
    <w:p w14:paraId="4CFD1525" w14:textId="50EB73D6" w:rsidR="001E1C1E" w:rsidRDefault="00000000">
      <w:pPr>
        <w:widowControl w:val="0"/>
        <w:spacing w:after="0" w:line="276" w:lineRule="auto"/>
        <w:ind w:left="-425" w:right="-550"/>
        <w:jc w:val="both"/>
      </w:pPr>
      <w:r>
        <w:t>In the previous year the highest reported issues were regarding ‘Payment’ and ‘Evaluation’ both with three cases and ‘Communication’ and ‘Transparency’ with two cases.</w:t>
      </w:r>
    </w:p>
    <w:p w14:paraId="24210C0D" w14:textId="77777777" w:rsidR="001E1C1E" w:rsidRDefault="001E1C1E">
      <w:pPr>
        <w:widowControl w:val="0"/>
        <w:spacing w:after="0" w:line="276" w:lineRule="auto"/>
        <w:ind w:left="-425" w:right="-550"/>
        <w:jc w:val="both"/>
        <w:rPr>
          <w:highlight w:val="yellow"/>
        </w:rPr>
      </w:pPr>
    </w:p>
    <w:p w14:paraId="22D81FDF" w14:textId="77777777" w:rsidR="001E1C1E" w:rsidRDefault="00000000">
      <w:pPr>
        <w:widowControl w:val="0"/>
        <w:spacing w:after="0" w:line="276" w:lineRule="auto"/>
        <w:ind w:left="-425" w:right="-550"/>
        <w:jc w:val="both"/>
      </w:pPr>
      <w:r>
        <w:t>Individual complaints were received regarding ‘SME exclusion’, ‘Feedback’, ‘Favours incumbent’, ‘Evaluation’, ‘contract management’, ‘Conflict of interest’, ‘Communication’, ‘Assessment and scoring’, and ‘Advertisement’.</w:t>
      </w:r>
    </w:p>
    <w:p w14:paraId="584B7CFC" w14:textId="77777777" w:rsidR="001E1C1E" w:rsidRDefault="001E1C1E">
      <w:pPr>
        <w:spacing w:after="0" w:line="276" w:lineRule="auto"/>
        <w:ind w:left="-425" w:right="-550"/>
        <w:jc w:val="both"/>
        <w:rPr>
          <w:highlight w:val="yellow"/>
        </w:rPr>
      </w:pPr>
    </w:p>
    <w:p w14:paraId="6306BA9E" w14:textId="77777777" w:rsidR="001E1C1E" w:rsidRDefault="001E1C1E">
      <w:pPr>
        <w:widowControl w:val="0"/>
        <w:spacing w:after="0" w:line="276" w:lineRule="auto"/>
        <w:ind w:left="-425" w:right="-550"/>
        <w:jc w:val="both"/>
        <w:rPr>
          <w:b/>
          <w:bCs/>
          <w:i/>
          <w:iCs/>
          <w:highlight w:val="yellow"/>
        </w:rPr>
      </w:pPr>
    </w:p>
    <w:p w14:paraId="14322EE5" w14:textId="77777777" w:rsidR="001E1C1E" w:rsidRDefault="001E1C1E">
      <w:pPr>
        <w:widowControl w:val="0"/>
        <w:spacing w:after="0" w:line="276" w:lineRule="auto"/>
        <w:ind w:left="-425" w:right="-550"/>
        <w:jc w:val="both"/>
        <w:rPr>
          <w:b/>
          <w:bCs/>
          <w:i/>
          <w:iCs/>
          <w:highlight w:val="yellow"/>
        </w:rPr>
      </w:pPr>
    </w:p>
    <w:p w14:paraId="643DC574" w14:textId="77777777" w:rsidR="001E1C1E" w:rsidRDefault="001E1C1E">
      <w:pPr>
        <w:widowControl w:val="0"/>
        <w:spacing w:after="0" w:line="276" w:lineRule="auto"/>
        <w:ind w:left="-425" w:right="-550"/>
        <w:jc w:val="both"/>
        <w:rPr>
          <w:b/>
          <w:bCs/>
          <w:i/>
          <w:iCs/>
          <w:highlight w:val="yellow"/>
        </w:rPr>
      </w:pPr>
    </w:p>
    <w:p w14:paraId="30CCF12C" w14:textId="77777777" w:rsidR="001E1C1E" w:rsidRDefault="001E1C1E">
      <w:pPr>
        <w:widowControl w:val="0"/>
        <w:spacing w:after="0" w:line="276" w:lineRule="auto"/>
        <w:ind w:left="-425" w:right="-550"/>
        <w:jc w:val="both"/>
        <w:rPr>
          <w:b/>
          <w:bCs/>
          <w:i/>
          <w:iCs/>
          <w:highlight w:val="yellow"/>
        </w:rPr>
      </w:pPr>
    </w:p>
    <w:p w14:paraId="414CEC64" w14:textId="77777777" w:rsidR="001E1C1E" w:rsidRDefault="001E1C1E">
      <w:pPr>
        <w:widowControl w:val="0"/>
        <w:spacing w:after="0" w:line="276" w:lineRule="auto"/>
        <w:ind w:left="-425" w:right="-550"/>
        <w:jc w:val="both"/>
        <w:rPr>
          <w:b/>
          <w:bCs/>
          <w:i/>
          <w:iCs/>
        </w:rPr>
      </w:pPr>
    </w:p>
    <w:p w14:paraId="3F159624" w14:textId="77777777" w:rsidR="001E1C1E" w:rsidRDefault="001E1C1E">
      <w:pPr>
        <w:widowControl w:val="0"/>
        <w:spacing w:after="0" w:line="276" w:lineRule="auto"/>
        <w:ind w:left="-425" w:right="-550"/>
        <w:jc w:val="both"/>
        <w:rPr>
          <w:b/>
          <w:bCs/>
          <w:i/>
          <w:iCs/>
        </w:rPr>
      </w:pPr>
    </w:p>
    <w:p w14:paraId="3A2DA670" w14:textId="77777777" w:rsidR="001E1C1E" w:rsidRDefault="00000000">
      <w:pPr>
        <w:widowControl w:val="0"/>
        <w:spacing w:after="0" w:line="276" w:lineRule="auto"/>
        <w:ind w:left="-425" w:right="-550"/>
        <w:jc w:val="both"/>
      </w:pPr>
      <w:r>
        <w:rPr>
          <w:b/>
          <w:bCs/>
          <w:i/>
          <w:iCs/>
        </w:rPr>
        <w:t>Chart 8: CG department split of cases not upheld and upheld 2025/26</w:t>
      </w:r>
      <w:r>
        <w:rPr>
          <w:noProof/>
        </w:rPr>
        <w:drawing>
          <wp:anchor distT="114300" distB="114300" distL="114300" distR="114300" simplePos="0" relativeHeight="251664384" behindDoc="0" locked="0" layoutInCell="1" hidden="0" allowOverlap="1" wp14:anchorId="36118944" wp14:editId="59CBC8B9">
            <wp:simplePos x="0" y="0"/>
            <wp:positionH relativeFrom="page">
              <wp:posOffset>369675</wp:posOffset>
            </wp:positionH>
            <wp:positionV relativeFrom="page">
              <wp:posOffset>2004989</wp:posOffset>
            </wp:positionV>
            <wp:extent cx="6802650" cy="4186246"/>
            <wp:effectExtent l="0" t="0" r="0" b="0"/>
            <wp:wrapSquare wrapText="bothSides" distT="114300" distB="114300" distL="114300" distR="11430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7"/>
                    <a:srcRect/>
                    <a:stretch>
                      <a:fillRect/>
                    </a:stretch>
                  </pic:blipFill>
                  <pic:spPr>
                    <a:xfrm>
                      <a:off x="0" y="0"/>
                      <a:ext cx="6802650" cy="4186246"/>
                    </a:xfrm>
                    <a:prstGeom prst="rect">
                      <a:avLst/>
                    </a:prstGeom>
                    <a:ln/>
                  </pic:spPr>
                </pic:pic>
              </a:graphicData>
            </a:graphic>
          </wp:anchor>
        </w:drawing>
      </w:r>
    </w:p>
    <w:p w14:paraId="0456FBD8" w14:textId="77777777" w:rsidR="001E1C1E" w:rsidRDefault="001E1C1E">
      <w:pPr>
        <w:widowControl w:val="0"/>
        <w:spacing w:after="0" w:line="276" w:lineRule="auto"/>
        <w:ind w:left="-425" w:right="-550"/>
        <w:jc w:val="both"/>
        <w:rPr>
          <w:highlight w:val="yellow"/>
        </w:rPr>
      </w:pPr>
    </w:p>
    <w:p w14:paraId="18084930" w14:textId="77777777" w:rsidR="001E1C1E" w:rsidRDefault="00000000">
      <w:pPr>
        <w:spacing w:after="0" w:line="240" w:lineRule="auto"/>
        <w:ind w:left="-425" w:right="-550"/>
        <w:jc w:val="both"/>
      </w:pPr>
      <w:r>
        <w:rPr>
          <w:color w:val="222222"/>
        </w:rPr>
        <w:t xml:space="preserve">59.3% (16 cases) of the </w:t>
      </w:r>
      <w:r>
        <w:t xml:space="preserve">complaints made on CG cases were upheld in 2025/26, down from </w:t>
      </w:r>
      <w:r>
        <w:rPr>
          <w:color w:val="222222"/>
        </w:rPr>
        <w:t>68.8% (11 cases) of complaints</w:t>
      </w:r>
      <w:r>
        <w:t xml:space="preserve"> that were upheld in 2024/25.  A detailed breakdown of complaints upheld can be seen in Section 6: Top Issues and Action above (page 10).</w:t>
      </w:r>
    </w:p>
    <w:p w14:paraId="10EC875D" w14:textId="77777777" w:rsidR="001E1C1E" w:rsidRDefault="001E1C1E">
      <w:pPr>
        <w:spacing w:after="0" w:line="240" w:lineRule="auto"/>
        <w:ind w:left="-425" w:right="-550"/>
        <w:jc w:val="both"/>
        <w:rPr>
          <w:highlight w:val="yellow"/>
        </w:rPr>
      </w:pPr>
    </w:p>
    <w:p w14:paraId="5D11B4DA" w14:textId="77777777" w:rsidR="001E1C1E" w:rsidRDefault="00000000">
      <w:pPr>
        <w:spacing w:after="0" w:line="240" w:lineRule="auto"/>
        <w:ind w:left="-425" w:right="-550"/>
        <w:jc w:val="both"/>
        <w:rPr>
          <w:highlight w:val="yellow"/>
        </w:rPr>
      </w:pPr>
      <w:r>
        <w:rPr>
          <w:highlight w:val="yellow"/>
        </w:rPr>
        <w:t xml:space="preserve"> </w:t>
      </w:r>
    </w:p>
    <w:p w14:paraId="0B5406A2" w14:textId="77777777" w:rsidR="001E1C1E" w:rsidRDefault="001E1C1E">
      <w:pPr>
        <w:spacing w:after="0" w:line="240" w:lineRule="auto"/>
        <w:ind w:left="-425" w:right="-550"/>
        <w:jc w:val="both"/>
        <w:rPr>
          <w:highlight w:val="yellow"/>
        </w:rPr>
      </w:pPr>
    </w:p>
    <w:p w14:paraId="318F3CDC" w14:textId="77777777" w:rsidR="001E1C1E" w:rsidRDefault="00000000">
      <w:pPr>
        <w:pStyle w:val="Heading1"/>
        <w:widowControl w:val="0"/>
        <w:spacing w:line="276" w:lineRule="auto"/>
        <w:ind w:left="-425" w:right="-550"/>
        <w:jc w:val="both"/>
        <w:rPr>
          <w:sz w:val="24"/>
          <w:szCs w:val="24"/>
        </w:rPr>
      </w:pPr>
      <w:bookmarkStart w:id="20" w:name="_2s8eyo1" w:colFirst="0" w:colLast="0"/>
      <w:bookmarkEnd w:id="20"/>
      <w:r>
        <w:br w:type="page"/>
      </w:r>
      <w:r>
        <w:rPr>
          <w:sz w:val="24"/>
          <w:szCs w:val="24"/>
        </w:rPr>
        <w:lastRenderedPageBreak/>
        <w:t>Annex B - Main Trends for Wider Public Sector</w:t>
      </w:r>
    </w:p>
    <w:p w14:paraId="5F1E8CC0" w14:textId="77777777" w:rsidR="001E1C1E" w:rsidRDefault="00000000">
      <w:pPr>
        <w:spacing w:after="0" w:line="276" w:lineRule="auto"/>
        <w:ind w:left="-425" w:right="-550"/>
        <w:jc w:val="both"/>
        <w:rPr>
          <w:b/>
          <w:bCs/>
          <w:i/>
          <w:iCs/>
        </w:rPr>
      </w:pPr>
      <w:r>
        <w:rPr>
          <w:b/>
          <w:bCs/>
          <w:i/>
          <w:iCs/>
        </w:rPr>
        <w:t>Chart 9: Issues investigated with the WPS - High Level - 2025/26 comparison against previous year</w:t>
      </w:r>
    </w:p>
    <w:p w14:paraId="320A90DF" w14:textId="77777777" w:rsidR="001E1C1E" w:rsidRDefault="00000000">
      <w:pPr>
        <w:spacing w:after="0" w:line="276" w:lineRule="auto"/>
        <w:ind w:left="-425" w:right="-550"/>
        <w:jc w:val="both"/>
      </w:pPr>
      <w:r>
        <w:rPr>
          <w:noProof/>
        </w:rPr>
        <w:drawing>
          <wp:anchor distT="114300" distB="114300" distL="114300" distR="114300" simplePos="0" relativeHeight="251665408" behindDoc="0" locked="0" layoutInCell="1" hidden="0" allowOverlap="1" wp14:anchorId="79E044EF" wp14:editId="2BC17BF6">
            <wp:simplePos x="0" y="0"/>
            <wp:positionH relativeFrom="page">
              <wp:posOffset>55350</wp:posOffset>
            </wp:positionH>
            <wp:positionV relativeFrom="page">
              <wp:posOffset>2232082</wp:posOffset>
            </wp:positionV>
            <wp:extent cx="7420736" cy="4349693"/>
            <wp:effectExtent l="0" t="0" r="0" b="0"/>
            <wp:wrapSquare wrapText="bothSides" distT="114300" distB="114300" distL="114300" distR="114300"/>
            <wp:docPr id="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a:stretch>
                      <a:fillRect/>
                    </a:stretch>
                  </pic:blipFill>
                  <pic:spPr>
                    <a:xfrm>
                      <a:off x="0" y="0"/>
                      <a:ext cx="7420736" cy="4349693"/>
                    </a:xfrm>
                    <a:prstGeom prst="rect">
                      <a:avLst/>
                    </a:prstGeom>
                    <a:ln/>
                  </pic:spPr>
                </pic:pic>
              </a:graphicData>
            </a:graphic>
          </wp:anchor>
        </w:drawing>
      </w:r>
      <w:r>
        <w:t>The WPS accounted for 74.3% of cases, the number of complaints closed increased from 67 (80.7%) in 2024/25 to 78 this year. In 2025/26 ‘Payment’ received the highest number of complaints, 23 cases, down from the 29 cases closed the previous year. ‘Procurement Process' cases continued to be prevalent with 28 cases, up from 24 cases the previous year.</w:t>
      </w:r>
    </w:p>
    <w:p w14:paraId="5A647CCC" w14:textId="77777777" w:rsidR="001E1C1E" w:rsidRDefault="001E1C1E">
      <w:pPr>
        <w:spacing w:after="0" w:line="276" w:lineRule="auto"/>
        <w:ind w:left="-425" w:right="-550"/>
        <w:jc w:val="both"/>
        <w:rPr>
          <w:highlight w:val="yellow"/>
        </w:rPr>
      </w:pPr>
    </w:p>
    <w:p w14:paraId="5C148A61" w14:textId="77777777" w:rsidR="001E1C1E" w:rsidRDefault="001E1C1E">
      <w:pPr>
        <w:spacing w:after="0" w:line="276" w:lineRule="auto"/>
        <w:ind w:left="-425" w:right="-550"/>
        <w:jc w:val="both"/>
        <w:rPr>
          <w:b/>
          <w:bCs/>
          <w:i/>
          <w:iCs/>
          <w:highlight w:val="yellow"/>
        </w:rPr>
      </w:pPr>
    </w:p>
    <w:p w14:paraId="1B0D9723" w14:textId="77777777" w:rsidR="001E1C1E" w:rsidRDefault="001E1C1E">
      <w:pPr>
        <w:spacing w:after="0" w:line="276" w:lineRule="auto"/>
        <w:ind w:left="-425" w:right="-550"/>
        <w:jc w:val="both"/>
        <w:rPr>
          <w:b/>
          <w:bCs/>
          <w:i/>
          <w:iCs/>
          <w:highlight w:val="yellow"/>
        </w:rPr>
      </w:pPr>
    </w:p>
    <w:p w14:paraId="736BE2C4" w14:textId="77777777" w:rsidR="001E1C1E" w:rsidRDefault="001E1C1E">
      <w:pPr>
        <w:spacing w:after="0" w:line="276" w:lineRule="auto"/>
        <w:ind w:left="-425" w:right="-550"/>
        <w:jc w:val="both"/>
        <w:rPr>
          <w:b/>
          <w:bCs/>
          <w:i/>
          <w:iCs/>
        </w:rPr>
      </w:pPr>
    </w:p>
    <w:p w14:paraId="0CE77D3B" w14:textId="77777777" w:rsidR="001E1C1E" w:rsidRDefault="001E1C1E">
      <w:pPr>
        <w:spacing w:after="0" w:line="276" w:lineRule="auto"/>
        <w:ind w:left="-425" w:right="-550"/>
        <w:jc w:val="both"/>
        <w:rPr>
          <w:b/>
          <w:bCs/>
          <w:i/>
          <w:iCs/>
        </w:rPr>
      </w:pPr>
    </w:p>
    <w:p w14:paraId="27BBF602" w14:textId="77777777" w:rsidR="001E1C1E" w:rsidRDefault="001E1C1E">
      <w:pPr>
        <w:spacing w:after="0" w:line="276" w:lineRule="auto"/>
        <w:ind w:left="-425" w:right="-550"/>
        <w:jc w:val="both"/>
        <w:rPr>
          <w:b/>
          <w:bCs/>
          <w:i/>
          <w:iCs/>
        </w:rPr>
      </w:pPr>
    </w:p>
    <w:p w14:paraId="70D97FB1" w14:textId="77777777" w:rsidR="001E1C1E" w:rsidRDefault="001E1C1E">
      <w:pPr>
        <w:spacing w:after="0" w:line="276" w:lineRule="auto"/>
        <w:ind w:left="-425" w:right="-550"/>
        <w:jc w:val="both"/>
        <w:rPr>
          <w:b/>
          <w:bCs/>
          <w:i/>
          <w:iCs/>
        </w:rPr>
      </w:pPr>
    </w:p>
    <w:p w14:paraId="6304A8C1" w14:textId="77777777" w:rsidR="001E1C1E" w:rsidRDefault="001E1C1E">
      <w:pPr>
        <w:spacing w:after="0" w:line="276" w:lineRule="auto"/>
        <w:ind w:left="-425" w:right="-550"/>
        <w:jc w:val="both"/>
        <w:rPr>
          <w:b/>
          <w:bCs/>
          <w:i/>
          <w:iCs/>
        </w:rPr>
      </w:pPr>
    </w:p>
    <w:p w14:paraId="44CACCE7" w14:textId="77777777" w:rsidR="001E1C1E" w:rsidRDefault="001E1C1E">
      <w:pPr>
        <w:spacing w:after="0" w:line="276" w:lineRule="auto"/>
        <w:ind w:left="-425" w:right="-550"/>
        <w:jc w:val="both"/>
        <w:rPr>
          <w:b/>
          <w:bCs/>
          <w:i/>
          <w:iCs/>
        </w:rPr>
      </w:pPr>
    </w:p>
    <w:p w14:paraId="33239D20" w14:textId="77777777" w:rsidR="001E1C1E" w:rsidRDefault="001E1C1E">
      <w:pPr>
        <w:spacing w:after="0" w:line="276" w:lineRule="auto"/>
        <w:ind w:left="-425" w:right="-550"/>
        <w:jc w:val="both"/>
        <w:rPr>
          <w:b/>
          <w:bCs/>
          <w:i/>
          <w:iCs/>
        </w:rPr>
      </w:pPr>
    </w:p>
    <w:p w14:paraId="784F9AFB" w14:textId="77777777" w:rsidR="001E1C1E" w:rsidRDefault="001E1C1E">
      <w:pPr>
        <w:spacing w:after="0" w:line="276" w:lineRule="auto"/>
        <w:ind w:left="-425" w:right="-550"/>
        <w:jc w:val="both"/>
        <w:rPr>
          <w:b/>
          <w:bCs/>
          <w:i/>
          <w:iCs/>
        </w:rPr>
      </w:pPr>
    </w:p>
    <w:p w14:paraId="20F97E87" w14:textId="77777777" w:rsidR="001E1C1E" w:rsidRDefault="00000000">
      <w:pPr>
        <w:spacing w:after="0" w:line="276" w:lineRule="auto"/>
        <w:ind w:left="-425" w:right="-550"/>
        <w:jc w:val="both"/>
        <w:rPr>
          <w:b/>
          <w:bCs/>
          <w:i/>
          <w:iCs/>
        </w:rPr>
      </w:pPr>
      <w:r>
        <w:rPr>
          <w:b/>
          <w:bCs/>
          <w:i/>
          <w:iCs/>
        </w:rPr>
        <w:lastRenderedPageBreak/>
        <w:t>Chart 10: Issues investigated with the WPS - Sub Level 2025/26</w:t>
      </w:r>
    </w:p>
    <w:p w14:paraId="1E77D7E3" w14:textId="77777777" w:rsidR="001E1C1E" w:rsidRDefault="001E1C1E">
      <w:pPr>
        <w:spacing w:after="0" w:line="276" w:lineRule="auto"/>
        <w:ind w:left="-425" w:right="-550"/>
        <w:jc w:val="both"/>
        <w:rPr>
          <w:highlight w:val="yellow"/>
        </w:rPr>
      </w:pPr>
    </w:p>
    <w:tbl>
      <w:tblPr>
        <w:tblStyle w:val="a2"/>
        <w:tblW w:w="10125"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15"/>
        <w:gridCol w:w="1575"/>
        <w:gridCol w:w="1935"/>
        <w:gridCol w:w="1575"/>
        <w:gridCol w:w="2025"/>
      </w:tblGrid>
      <w:tr w:rsidR="001E1C1E" w14:paraId="1ED75258" w14:textId="77777777">
        <w:tc>
          <w:tcPr>
            <w:tcW w:w="3015" w:type="dxa"/>
            <w:shd w:val="clear" w:color="auto" w:fill="005ABB"/>
            <w:tcMar>
              <w:top w:w="100" w:type="dxa"/>
              <w:left w:w="100" w:type="dxa"/>
              <w:bottom w:w="100" w:type="dxa"/>
              <w:right w:w="100" w:type="dxa"/>
            </w:tcMar>
          </w:tcPr>
          <w:p w14:paraId="76A1E6F2" w14:textId="77777777" w:rsidR="001E1C1E" w:rsidRDefault="00000000">
            <w:pPr>
              <w:widowControl w:val="0"/>
              <w:spacing w:after="0" w:line="240" w:lineRule="auto"/>
              <w:rPr>
                <w:color w:val="FFFFFF"/>
              </w:rPr>
            </w:pPr>
            <w:r>
              <w:rPr>
                <w:color w:val="FFFFFF"/>
              </w:rPr>
              <w:t>Type of Issue Raised</w:t>
            </w:r>
          </w:p>
        </w:tc>
        <w:tc>
          <w:tcPr>
            <w:tcW w:w="1575" w:type="dxa"/>
            <w:shd w:val="clear" w:color="auto" w:fill="005ABB"/>
            <w:tcMar>
              <w:top w:w="100" w:type="dxa"/>
              <w:left w:w="100" w:type="dxa"/>
              <w:bottom w:w="100" w:type="dxa"/>
              <w:right w:w="100" w:type="dxa"/>
            </w:tcMar>
          </w:tcPr>
          <w:p w14:paraId="3C25B6B1" w14:textId="77777777" w:rsidR="001E1C1E" w:rsidRDefault="00000000">
            <w:pPr>
              <w:widowControl w:val="0"/>
              <w:spacing w:after="0" w:line="240" w:lineRule="auto"/>
              <w:rPr>
                <w:color w:val="FFFFFF"/>
              </w:rPr>
            </w:pPr>
            <w:r>
              <w:rPr>
                <w:color w:val="FFFFFF"/>
              </w:rPr>
              <w:t>No .of Cases</w:t>
            </w:r>
          </w:p>
        </w:tc>
        <w:tc>
          <w:tcPr>
            <w:tcW w:w="1935" w:type="dxa"/>
            <w:shd w:val="clear" w:color="auto" w:fill="005ABB"/>
            <w:tcMar>
              <w:top w:w="100" w:type="dxa"/>
              <w:left w:w="100" w:type="dxa"/>
              <w:bottom w:w="100" w:type="dxa"/>
              <w:right w:w="100" w:type="dxa"/>
            </w:tcMar>
          </w:tcPr>
          <w:p w14:paraId="0DDE89FB" w14:textId="77777777" w:rsidR="001E1C1E" w:rsidRDefault="00000000">
            <w:pPr>
              <w:widowControl w:val="0"/>
              <w:spacing w:after="0" w:line="240" w:lineRule="auto"/>
              <w:rPr>
                <w:color w:val="FFFFFF"/>
              </w:rPr>
            </w:pPr>
            <w:r>
              <w:rPr>
                <w:color w:val="FFFFFF"/>
              </w:rPr>
              <w:t>% of Total</w:t>
            </w:r>
          </w:p>
        </w:tc>
        <w:tc>
          <w:tcPr>
            <w:tcW w:w="1575" w:type="dxa"/>
            <w:shd w:val="clear" w:color="auto" w:fill="005ABB"/>
            <w:tcMar>
              <w:top w:w="100" w:type="dxa"/>
              <w:left w:w="100" w:type="dxa"/>
              <w:bottom w:w="100" w:type="dxa"/>
              <w:right w:w="100" w:type="dxa"/>
            </w:tcMar>
          </w:tcPr>
          <w:p w14:paraId="2D602851" w14:textId="77777777" w:rsidR="001E1C1E" w:rsidRDefault="00000000">
            <w:pPr>
              <w:widowControl w:val="0"/>
              <w:spacing w:after="0" w:line="240" w:lineRule="auto"/>
              <w:rPr>
                <w:color w:val="FFFFFF"/>
              </w:rPr>
            </w:pPr>
            <w:r>
              <w:rPr>
                <w:color w:val="FFFFFF"/>
              </w:rPr>
              <w:t>Upheld</w:t>
            </w:r>
          </w:p>
        </w:tc>
        <w:tc>
          <w:tcPr>
            <w:tcW w:w="2025" w:type="dxa"/>
            <w:shd w:val="clear" w:color="auto" w:fill="005ABB"/>
            <w:tcMar>
              <w:top w:w="100" w:type="dxa"/>
              <w:left w:w="100" w:type="dxa"/>
              <w:bottom w:w="100" w:type="dxa"/>
              <w:right w:w="100" w:type="dxa"/>
            </w:tcMar>
          </w:tcPr>
          <w:p w14:paraId="5CF785DD" w14:textId="77777777" w:rsidR="001E1C1E" w:rsidRDefault="00000000">
            <w:pPr>
              <w:widowControl w:val="0"/>
              <w:spacing w:after="0" w:line="240" w:lineRule="auto"/>
              <w:rPr>
                <w:color w:val="FFFFFF"/>
              </w:rPr>
            </w:pPr>
            <w:r>
              <w:rPr>
                <w:color w:val="FFFFFF"/>
              </w:rPr>
              <w:t>Not Upheld</w:t>
            </w:r>
          </w:p>
        </w:tc>
      </w:tr>
      <w:tr w:rsidR="001E1C1E" w14:paraId="3AE13F1C" w14:textId="77777777">
        <w:tc>
          <w:tcPr>
            <w:tcW w:w="3015" w:type="dxa"/>
            <w:shd w:val="clear" w:color="auto" w:fill="CFE2F3"/>
            <w:tcMar>
              <w:top w:w="100" w:type="dxa"/>
              <w:left w:w="100" w:type="dxa"/>
              <w:bottom w:w="100" w:type="dxa"/>
              <w:right w:w="100" w:type="dxa"/>
            </w:tcMar>
          </w:tcPr>
          <w:p w14:paraId="457EB264" w14:textId="77777777" w:rsidR="001E1C1E" w:rsidRDefault="00000000">
            <w:pPr>
              <w:widowControl w:val="0"/>
              <w:spacing w:after="0" w:line="240" w:lineRule="auto"/>
            </w:pPr>
            <w:r>
              <w:t>Payments</w:t>
            </w:r>
          </w:p>
        </w:tc>
        <w:tc>
          <w:tcPr>
            <w:tcW w:w="1575" w:type="dxa"/>
            <w:shd w:val="clear" w:color="auto" w:fill="CFE2F3"/>
            <w:tcMar>
              <w:top w:w="100" w:type="dxa"/>
              <w:left w:w="100" w:type="dxa"/>
              <w:bottom w:w="100" w:type="dxa"/>
              <w:right w:w="100" w:type="dxa"/>
            </w:tcMar>
          </w:tcPr>
          <w:p w14:paraId="288E778D" w14:textId="77777777" w:rsidR="001E1C1E" w:rsidRDefault="00000000">
            <w:pPr>
              <w:widowControl w:val="0"/>
              <w:spacing w:after="0" w:line="240" w:lineRule="auto"/>
            </w:pPr>
            <w:r>
              <w:t>21</w:t>
            </w:r>
          </w:p>
        </w:tc>
        <w:tc>
          <w:tcPr>
            <w:tcW w:w="1935" w:type="dxa"/>
            <w:shd w:val="clear" w:color="auto" w:fill="CFE2F3"/>
            <w:tcMar>
              <w:top w:w="100" w:type="dxa"/>
              <w:left w:w="100" w:type="dxa"/>
              <w:bottom w:w="100" w:type="dxa"/>
              <w:right w:w="100" w:type="dxa"/>
            </w:tcMar>
          </w:tcPr>
          <w:p w14:paraId="7C8D3229" w14:textId="77777777" w:rsidR="001E1C1E" w:rsidRDefault="00000000">
            <w:pPr>
              <w:widowControl w:val="0"/>
              <w:spacing w:after="0" w:line="240" w:lineRule="auto"/>
            </w:pPr>
            <w:r>
              <w:t>29.11%</w:t>
            </w:r>
          </w:p>
        </w:tc>
        <w:tc>
          <w:tcPr>
            <w:tcW w:w="1575" w:type="dxa"/>
            <w:shd w:val="clear" w:color="auto" w:fill="CFE2F3"/>
            <w:tcMar>
              <w:top w:w="100" w:type="dxa"/>
              <w:left w:w="100" w:type="dxa"/>
              <w:bottom w:w="100" w:type="dxa"/>
              <w:right w:w="100" w:type="dxa"/>
            </w:tcMar>
          </w:tcPr>
          <w:p w14:paraId="4FCA5C35" w14:textId="77777777" w:rsidR="001E1C1E" w:rsidRDefault="00000000">
            <w:pPr>
              <w:widowControl w:val="0"/>
              <w:spacing w:after="0" w:line="240" w:lineRule="auto"/>
            </w:pPr>
            <w:r>
              <w:t>21</w:t>
            </w:r>
          </w:p>
        </w:tc>
        <w:tc>
          <w:tcPr>
            <w:tcW w:w="2025" w:type="dxa"/>
            <w:shd w:val="clear" w:color="auto" w:fill="CFE2F3"/>
            <w:tcMar>
              <w:top w:w="100" w:type="dxa"/>
              <w:left w:w="100" w:type="dxa"/>
              <w:bottom w:w="100" w:type="dxa"/>
              <w:right w:w="100" w:type="dxa"/>
            </w:tcMar>
          </w:tcPr>
          <w:p w14:paraId="21404D46" w14:textId="77777777" w:rsidR="001E1C1E" w:rsidRDefault="00000000">
            <w:pPr>
              <w:widowControl w:val="0"/>
              <w:spacing w:after="0" w:line="240" w:lineRule="auto"/>
            </w:pPr>
            <w:r>
              <w:t>2</w:t>
            </w:r>
          </w:p>
        </w:tc>
      </w:tr>
      <w:tr w:rsidR="001E1C1E" w14:paraId="150FB7B3" w14:textId="77777777">
        <w:tc>
          <w:tcPr>
            <w:tcW w:w="3015" w:type="dxa"/>
            <w:shd w:val="clear" w:color="auto" w:fill="auto"/>
            <w:tcMar>
              <w:top w:w="100" w:type="dxa"/>
              <w:left w:w="100" w:type="dxa"/>
              <w:bottom w:w="100" w:type="dxa"/>
              <w:right w:w="100" w:type="dxa"/>
            </w:tcMar>
          </w:tcPr>
          <w:p w14:paraId="6E3EF65A" w14:textId="77777777" w:rsidR="001E1C1E" w:rsidRDefault="00000000">
            <w:pPr>
              <w:widowControl w:val="0"/>
              <w:spacing w:after="0" w:line="240" w:lineRule="auto"/>
            </w:pPr>
            <w:r>
              <w:t>Evaluation</w:t>
            </w:r>
          </w:p>
        </w:tc>
        <w:tc>
          <w:tcPr>
            <w:tcW w:w="1575" w:type="dxa"/>
            <w:shd w:val="clear" w:color="auto" w:fill="auto"/>
            <w:tcMar>
              <w:top w:w="100" w:type="dxa"/>
              <w:left w:w="100" w:type="dxa"/>
              <w:bottom w:w="100" w:type="dxa"/>
              <w:right w:w="100" w:type="dxa"/>
            </w:tcMar>
          </w:tcPr>
          <w:p w14:paraId="007DCB18" w14:textId="77777777" w:rsidR="001E1C1E" w:rsidRDefault="00000000">
            <w:pPr>
              <w:widowControl w:val="0"/>
              <w:spacing w:after="0" w:line="240" w:lineRule="auto"/>
            </w:pPr>
            <w:r>
              <w:t>6</w:t>
            </w:r>
          </w:p>
        </w:tc>
        <w:tc>
          <w:tcPr>
            <w:tcW w:w="1935" w:type="dxa"/>
            <w:shd w:val="clear" w:color="auto" w:fill="auto"/>
            <w:tcMar>
              <w:top w:w="100" w:type="dxa"/>
              <w:left w:w="100" w:type="dxa"/>
              <w:bottom w:w="100" w:type="dxa"/>
              <w:right w:w="100" w:type="dxa"/>
            </w:tcMar>
          </w:tcPr>
          <w:p w14:paraId="74E4F683" w14:textId="77777777" w:rsidR="001E1C1E" w:rsidRDefault="00000000">
            <w:pPr>
              <w:widowControl w:val="0"/>
              <w:spacing w:after="0" w:line="240" w:lineRule="auto"/>
            </w:pPr>
            <w:r>
              <w:t>7.58%</w:t>
            </w:r>
          </w:p>
        </w:tc>
        <w:tc>
          <w:tcPr>
            <w:tcW w:w="1575" w:type="dxa"/>
            <w:shd w:val="clear" w:color="auto" w:fill="auto"/>
            <w:tcMar>
              <w:top w:w="100" w:type="dxa"/>
              <w:left w:w="100" w:type="dxa"/>
              <w:bottom w:w="100" w:type="dxa"/>
              <w:right w:w="100" w:type="dxa"/>
            </w:tcMar>
          </w:tcPr>
          <w:p w14:paraId="0ED1F289" w14:textId="77777777" w:rsidR="001E1C1E" w:rsidRDefault="00000000">
            <w:pPr>
              <w:widowControl w:val="0"/>
              <w:spacing w:after="0" w:line="240" w:lineRule="auto"/>
            </w:pPr>
            <w:r>
              <w:t>4</w:t>
            </w:r>
          </w:p>
        </w:tc>
        <w:tc>
          <w:tcPr>
            <w:tcW w:w="2025" w:type="dxa"/>
            <w:shd w:val="clear" w:color="auto" w:fill="auto"/>
            <w:tcMar>
              <w:top w:w="100" w:type="dxa"/>
              <w:left w:w="100" w:type="dxa"/>
              <w:bottom w:w="100" w:type="dxa"/>
              <w:right w:w="100" w:type="dxa"/>
            </w:tcMar>
          </w:tcPr>
          <w:p w14:paraId="275222D9" w14:textId="77777777" w:rsidR="001E1C1E" w:rsidRDefault="00000000">
            <w:pPr>
              <w:widowControl w:val="0"/>
              <w:spacing w:after="0" w:line="240" w:lineRule="auto"/>
            </w:pPr>
            <w:r>
              <w:t>2</w:t>
            </w:r>
          </w:p>
        </w:tc>
      </w:tr>
      <w:tr w:rsidR="001E1C1E" w14:paraId="41B60F09" w14:textId="77777777">
        <w:tc>
          <w:tcPr>
            <w:tcW w:w="3015" w:type="dxa"/>
            <w:shd w:val="clear" w:color="auto" w:fill="CFE2F3"/>
            <w:tcMar>
              <w:top w:w="100" w:type="dxa"/>
              <w:left w:w="100" w:type="dxa"/>
              <w:bottom w:w="100" w:type="dxa"/>
              <w:right w:w="100" w:type="dxa"/>
            </w:tcMar>
          </w:tcPr>
          <w:p w14:paraId="170711D7" w14:textId="77777777" w:rsidR="001E1C1E" w:rsidRDefault="00000000">
            <w:pPr>
              <w:widowControl w:val="0"/>
              <w:spacing w:after="0" w:line="240" w:lineRule="auto"/>
            </w:pPr>
            <w:r>
              <w:t>G-Cloud</w:t>
            </w:r>
          </w:p>
        </w:tc>
        <w:tc>
          <w:tcPr>
            <w:tcW w:w="1575" w:type="dxa"/>
            <w:shd w:val="clear" w:color="auto" w:fill="CFE2F3"/>
            <w:tcMar>
              <w:top w:w="100" w:type="dxa"/>
              <w:left w:w="100" w:type="dxa"/>
              <w:bottom w:w="100" w:type="dxa"/>
              <w:right w:w="100" w:type="dxa"/>
            </w:tcMar>
          </w:tcPr>
          <w:p w14:paraId="05442759" w14:textId="77777777" w:rsidR="001E1C1E" w:rsidRDefault="00000000">
            <w:pPr>
              <w:widowControl w:val="0"/>
              <w:spacing w:after="0" w:line="240" w:lineRule="auto"/>
            </w:pPr>
            <w:r>
              <w:t>5</w:t>
            </w:r>
          </w:p>
        </w:tc>
        <w:tc>
          <w:tcPr>
            <w:tcW w:w="1935" w:type="dxa"/>
            <w:shd w:val="clear" w:color="auto" w:fill="CFE2F3"/>
            <w:tcMar>
              <w:top w:w="100" w:type="dxa"/>
              <w:left w:w="100" w:type="dxa"/>
              <w:bottom w:w="100" w:type="dxa"/>
              <w:right w:w="100" w:type="dxa"/>
            </w:tcMar>
          </w:tcPr>
          <w:p w14:paraId="22A62453" w14:textId="77777777" w:rsidR="001E1C1E" w:rsidRDefault="00000000">
            <w:pPr>
              <w:widowControl w:val="0"/>
              <w:spacing w:after="0" w:line="240" w:lineRule="auto"/>
            </w:pPr>
            <w:r>
              <w:t>6.33%</w:t>
            </w:r>
          </w:p>
        </w:tc>
        <w:tc>
          <w:tcPr>
            <w:tcW w:w="1575" w:type="dxa"/>
            <w:shd w:val="clear" w:color="auto" w:fill="CFE2F3"/>
            <w:tcMar>
              <w:top w:w="100" w:type="dxa"/>
              <w:left w:w="100" w:type="dxa"/>
              <w:bottom w:w="100" w:type="dxa"/>
              <w:right w:w="100" w:type="dxa"/>
            </w:tcMar>
          </w:tcPr>
          <w:p w14:paraId="5ACC5752" w14:textId="77777777" w:rsidR="001E1C1E" w:rsidRDefault="00000000">
            <w:pPr>
              <w:widowControl w:val="0"/>
              <w:spacing w:after="0" w:line="240" w:lineRule="auto"/>
            </w:pPr>
            <w:r>
              <w:t>1</w:t>
            </w:r>
          </w:p>
        </w:tc>
        <w:tc>
          <w:tcPr>
            <w:tcW w:w="2025" w:type="dxa"/>
            <w:shd w:val="clear" w:color="auto" w:fill="CFE2F3"/>
            <w:tcMar>
              <w:top w:w="100" w:type="dxa"/>
              <w:left w:w="100" w:type="dxa"/>
              <w:bottom w:w="100" w:type="dxa"/>
              <w:right w:w="100" w:type="dxa"/>
            </w:tcMar>
          </w:tcPr>
          <w:p w14:paraId="6C3ED674" w14:textId="77777777" w:rsidR="001E1C1E" w:rsidRDefault="00000000">
            <w:pPr>
              <w:widowControl w:val="0"/>
              <w:spacing w:after="0" w:line="240" w:lineRule="auto"/>
            </w:pPr>
            <w:r>
              <w:t>4</w:t>
            </w:r>
          </w:p>
        </w:tc>
      </w:tr>
      <w:tr w:rsidR="001E1C1E" w14:paraId="56F7966E" w14:textId="77777777">
        <w:tc>
          <w:tcPr>
            <w:tcW w:w="3015" w:type="dxa"/>
            <w:shd w:val="clear" w:color="auto" w:fill="auto"/>
            <w:tcMar>
              <w:top w:w="100" w:type="dxa"/>
              <w:left w:w="100" w:type="dxa"/>
              <w:bottom w:w="100" w:type="dxa"/>
              <w:right w:w="100" w:type="dxa"/>
            </w:tcMar>
          </w:tcPr>
          <w:p w14:paraId="006B9F85" w14:textId="77777777" w:rsidR="001E1C1E" w:rsidRDefault="00000000">
            <w:pPr>
              <w:widowControl w:val="0"/>
              <w:spacing w:after="0" w:line="240" w:lineRule="auto"/>
            </w:pPr>
            <w:r>
              <w:t>Evaluation</w:t>
            </w:r>
          </w:p>
        </w:tc>
        <w:tc>
          <w:tcPr>
            <w:tcW w:w="1575" w:type="dxa"/>
            <w:shd w:val="clear" w:color="auto" w:fill="auto"/>
            <w:tcMar>
              <w:top w:w="100" w:type="dxa"/>
              <w:left w:w="100" w:type="dxa"/>
              <w:bottom w:w="100" w:type="dxa"/>
              <w:right w:w="100" w:type="dxa"/>
            </w:tcMar>
          </w:tcPr>
          <w:p w14:paraId="3BD35D3A" w14:textId="77777777" w:rsidR="001E1C1E" w:rsidRDefault="00000000">
            <w:pPr>
              <w:widowControl w:val="0"/>
              <w:spacing w:after="0" w:line="240" w:lineRule="auto"/>
            </w:pPr>
            <w:r>
              <w:t>3</w:t>
            </w:r>
          </w:p>
        </w:tc>
        <w:tc>
          <w:tcPr>
            <w:tcW w:w="1935" w:type="dxa"/>
            <w:shd w:val="clear" w:color="auto" w:fill="auto"/>
            <w:tcMar>
              <w:top w:w="100" w:type="dxa"/>
              <w:left w:w="100" w:type="dxa"/>
              <w:bottom w:w="100" w:type="dxa"/>
              <w:right w:w="100" w:type="dxa"/>
            </w:tcMar>
          </w:tcPr>
          <w:p w14:paraId="36AC3E7B" w14:textId="77777777" w:rsidR="001E1C1E" w:rsidRDefault="00000000">
            <w:pPr>
              <w:widowControl w:val="0"/>
              <w:spacing w:after="0" w:line="240" w:lineRule="auto"/>
            </w:pPr>
            <w:r>
              <w:t>3.80%</w:t>
            </w:r>
          </w:p>
        </w:tc>
        <w:tc>
          <w:tcPr>
            <w:tcW w:w="1575" w:type="dxa"/>
            <w:shd w:val="clear" w:color="auto" w:fill="auto"/>
            <w:tcMar>
              <w:top w:w="100" w:type="dxa"/>
              <w:left w:w="100" w:type="dxa"/>
              <w:bottom w:w="100" w:type="dxa"/>
              <w:right w:w="100" w:type="dxa"/>
            </w:tcMar>
          </w:tcPr>
          <w:p w14:paraId="08E5D3C5" w14:textId="77777777" w:rsidR="001E1C1E" w:rsidRDefault="00000000">
            <w:pPr>
              <w:widowControl w:val="0"/>
              <w:spacing w:after="0" w:line="240" w:lineRule="auto"/>
            </w:pPr>
            <w:r>
              <w:t>0</w:t>
            </w:r>
          </w:p>
        </w:tc>
        <w:tc>
          <w:tcPr>
            <w:tcW w:w="2025" w:type="dxa"/>
            <w:shd w:val="clear" w:color="auto" w:fill="auto"/>
            <w:tcMar>
              <w:top w:w="100" w:type="dxa"/>
              <w:left w:w="100" w:type="dxa"/>
              <w:bottom w:w="100" w:type="dxa"/>
              <w:right w:w="100" w:type="dxa"/>
            </w:tcMar>
          </w:tcPr>
          <w:p w14:paraId="73F9F34C" w14:textId="77777777" w:rsidR="001E1C1E" w:rsidRDefault="00000000">
            <w:pPr>
              <w:widowControl w:val="0"/>
              <w:spacing w:after="0" w:line="240" w:lineRule="auto"/>
            </w:pPr>
            <w:r>
              <w:t>3</w:t>
            </w:r>
          </w:p>
        </w:tc>
      </w:tr>
      <w:tr w:rsidR="001E1C1E" w14:paraId="6BD42F99" w14:textId="77777777">
        <w:tc>
          <w:tcPr>
            <w:tcW w:w="3015" w:type="dxa"/>
            <w:shd w:val="clear" w:color="auto" w:fill="CFE2F3"/>
            <w:tcMar>
              <w:top w:w="100" w:type="dxa"/>
              <w:left w:w="100" w:type="dxa"/>
              <w:bottom w:w="100" w:type="dxa"/>
              <w:right w:w="100" w:type="dxa"/>
            </w:tcMar>
          </w:tcPr>
          <w:p w14:paraId="7352E27C" w14:textId="77777777" w:rsidR="001E1C1E" w:rsidRDefault="00000000">
            <w:pPr>
              <w:widowControl w:val="0"/>
              <w:spacing w:after="0" w:line="240" w:lineRule="auto"/>
            </w:pPr>
            <w:r>
              <w:t>SME Exclusion</w:t>
            </w:r>
          </w:p>
        </w:tc>
        <w:tc>
          <w:tcPr>
            <w:tcW w:w="1575" w:type="dxa"/>
            <w:shd w:val="clear" w:color="auto" w:fill="CFE2F3"/>
            <w:tcMar>
              <w:top w:w="100" w:type="dxa"/>
              <w:left w:w="100" w:type="dxa"/>
              <w:bottom w:w="100" w:type="dxa"/>
              <w:right w:w="100" w:type="dxa"/>
            </w:tcMar>
          </w:tcPr>
          <w:p w14:paraId="4DC797CC" w14:textId="77777777" w:rsidR="001E1C1E" w:rsidRDefault="00000000">
            <w:pPr>
              <w:widowControl w:val="0"/>
              <w:spacing w:after="0" w:line="240" w:lineRule="auto"/>
            </w:pPr>
            <w:r>
              <w:t>3</w:t>
            </w:r>
          </w:p>
        </w:tc>
        <w:tc>
          <w:tcPr>
            <w:tcW w:w="1935" w:type="dxa"/>
            <w:shd w:val="clear" w:color="auto" w:fill="CFE2F3"/>
            <w:tcMar>
              <w:top w:w="100" w:type="dxa"/>
              <w:left w:w="100" w:type="dxa"/>
              <w:bottom w:w="100" w:type="dxa"/>
              <w:right w:w="100" w:type="dxa"/>
            </w:tcMar>
          </w:tcPr>
          <w:p w14:paraId="7D17448C" w14:textId="77777777" w:rsidR="001E1C1E" w:rsidRDefault="00000000">
            <w:pPr>
              <w:widowControl w:val="0"/>
              <w:spacing w:after="0" w:line="240" w:lineRule="auto"/>
            </w:pPr>
            <w:r>
              <w:t>3.80%</w:t>
            </w:r>
          </w:p>
        </w:tc>
        <w:tc>
          <w:tcPr>
            <w:tcW w:w="1575" w:type="dxa"/>
            <w:shd w:val="clear" w:color="auto" w:fill="CFE2F3"/>
            <w:tcMar>
              <w:top w:w="100" w:type="dxa"/>
              <w:left w:w="100" w:type="dxa"/>
              <w:bottom w:w="100" w:type="dxa"/>
              <w:right w:w="100" w:type="dxa"/>
            </w:tcMar>
          </w:tcPr>
          <w:p w14:paraId="00ADAE18" w14:textId="77777777" w:rsidR="001E1C1E" w:rsidRDefault="00000000">
            <w:pPr>
              <w:widowControl w:val="0"/>
              <w:spacing w:after="0" w:line="240" w:lineRule="auto"/>
            </w:pPr>
            <w:r>
              <w:t>1</w:t>
            </w:r>
          </w:p>
        </w:tc>
        <w:tc>
          <w:tcPr>
            <w:tcW w:w="2025" w:type="dxa"/>
            <w:shd w:val="clear" w:color="auto" w:fill="CFE2F3"/>
            <w:tcMar>
              <w:top w:w="100" w:type="dxa"/>
              <w:left w:w="100" w:type="dxa"/>
              <w:bottom w:w="100" w:type="dxa"/>
              <w:right w:w="100" w:type="dxa"/>
            </w:tcMar>
          </w:tcPr>
          <w:p w14:paraId="21FC6C51" w14:textId="77777777" w:rsidR="001E1C1E" w:rsidRDefault="00000000">
            <w:pPr>
              <w:widowControl w:val="0"/>
              <w:spacing w:after="0" w:line="240" w:lineRule="auto"/>
            </w:pPr>
            <w:r>
              <w:t>2</w:t>
            </w:r>
          </w:p>
        </w:tc>
      </w:tr>
      <w:tr w:rsidR="001E1C1E" w14:paraId="00356D28" w14:textId="77777777">
        <w:trPr>
          <w:trHeight w:val="395"/>
        </w:trPr>
        <w:tc>
          <w:tcPr>
            <w:tcW w:w="3015" w:type="dxa"/>
            <w:shd w:val="clear" w:color="auto" w:fill="auto"/>
            <w:tcMar>
              <w:top w:w="100" w:type="dxa"/>
              <w:left w:w="100" w:type="dxa"/>
              <w:bottom w:w="100" w:type="dxa"/>
              <w:right w:w="100" w:type="dxa"/>
            </w:tcMar>
          </w:tcPr>
          <w:p w14:paraId="4632F38F" w14:textId="77777777" w:rsidR="001E1C1E" w:rsidRDefault="00000000">
            <w:pPr>
              <w:widowControl w:val="0"/>
              <w:spacing w:after="0" w:line="240" w:lineRule="auto"/>
            </w:pPr>
            <w:r>
              <w:t>Feedback</w:t>
            </w:r>
          </w:p>
        </w:tc>
        <w:tc>
          <w:tcPr>
            <w:tcW w:w="1575" w:type="dxa"/>
            <w:shd w:val="clear" w:color="auto" w:fill="auto"/>
            <w:tcMar>
              <w:top w:w="100" w:type="dxa"/>
              <w:left w:w="100" w:type="dxa"/>
              <w:bottom w:w="100" w:type="dxa"/>
              <w:right w:w="100" w:type="dxa"/>
            </w:tcMar>
          </w:tcPr>
          <w:p w14:paraId="2BB697A2" w14:textId="77777777" w:rsidR="001E1C1E" w:rsidRDefault="00000000">
            <w:pPr>
              <w:widowControl w:val="0"/>
              <w:spacing w:after="0" w:line="240" w:lineRule="auto"/>
            </w:pPr>
            <w:r>
              <w:t>3</w:t>
            </w:r>
          </w:p>
        </w:tc>
        <w:tc>
          <w:tcPr>
            <w:tcW w:w="1935" w:type="dxa"/>
            <w:shd w:val="clear" w:color="auto" w:fill="auto"/>
            <w:tcMar>
              <w:top w:w="100" w:type="dxa"/>
              <w:left w:w="100" w:type="dxa"/>
              <w:bottom w:w="100" w:type="dxa"/>
              <w:right w:w="100" w:type="dxa"/>
            </w:tcMar>
          </w:tcPr>
          <w:p w14:paraId="16E3DDCC" w14:textId="77777777" w:rsidR="001E1C1E" w:rsidRDefault="00000000">
            <w:pPr>
              <w:widowControl w:val="0"/>
              <w:spacing w:after="0" w:line="240" w:lineRule="auto"/>
            </w:pPr>
            <w:r>
              <w:t>3.80%</w:t>
            </w:r>
          </w:p>
        </w:tc>
        <w:tc>
          <w:tcPr>
            <w:tcW w:w="1575" w:type="dxa"/>
            <w:shd w:val="clear" w:color="auto" w:fill="auto"/>
            <w:tcMar>
              <w:top w:w="100" w:type="dxa"/>
              <w:left w:w="100" w:type="dxa"/>
              <w:bottom w:w="100" w:type="dxa"/>
              <w:right w:w="100" w:type="dxa"/>
            </w:tcMar>
          </w:tcPr>
          <w:p w14:paraId="3EC09A93" w14:textId="77777777" w:rsidR="001E1C1E" w:rsidRDefault="00000000">
            <w:pPr>
              <w:widowControl w:val="0"/>
              <w:spacing w:after="0" w:line="240" w:lineRule="auto"/>
            </w:pPr>
            <w:r>
              <w:t>3</w:t>
            </w:r>
          </w:p>
        </w:tc>
        <w:tc>
          <w:tcPr>
            <w:tcW w:w="2025" w:type="dxa"/>
            <w:shd w:val="clear" w:color="auto" w:fill="auto"/>
            <w:tcMar>
              <w:top w:w="100" w:type="dxa"/>
              <w:left w:w="100" w:type="dxa"/>
              <w:bottom w:w="100" w:type="dxa"/>
              <w:right w:w="100" w:type="dxa"/>
            </w:tcMar>
          </w:tcPr>
          <w:p w14:paraId="7DF6CD78" w14:textId="77777777" w:rsidR="001E1C1E" w:rsidRDefault="00000000">
            <w:pPr>
              <w:widowControl w:val="0"/>
              <w:spacing w:after="0" w:line="240" w:lineRule="auto"/>
            </w:pPr>
            <w:r>
              <w:t>0</w:t>
            </w:r>
          </w:p>
        </w:tc>
      </w:tr>
      <w:tr w:rsidR="001E1C1E" w14:paraId="154B0A41" w14:textId="77777777">
        <w:tc>
          <w:tcPr>
            <w:tcW w:w="3015" w:type="dxa"/>
            <w:shd w:val="clear" w:color="auto" w:fill="CFE2F3"/>
            <w:tcMar>
              <w:top w:w="100" w:type="dxa"/>
              <w:left w:w="100" w:type="dxa"/>
              <w:bottom w:w="100" w:type="dxa"/>
              <w:right w:w="100" w:type="dxa"/>
            </w:tcMar>
          </w:tcPr>
          <w:p w14:paraId="1CA9550D" w14:textId="77777777" w:rsidR="001E1C1E" w:rsidRDefault="00000000">
            <w:pPr>
              <w:widowControl w:val="0"/>
              <w:spacing w:after="0" w:line="240" w:lineRule="auto"/>
            </w:pPr>
            <w:r>
              <w:t>Contract Management</w:t>
            </w:r>
          </w:p>
        </w:tc>
        <w:tc>
          <w:tcPr>
            <w:tcW w:w="1575" w:type="dxa"/>
            <w:shd w:val="clear" w:color="auto" w:fill="CFE2F3"/>
            <w:tcMar>
              <w:top w:w="100" w:type="dxa"/>
              <w:left w:w="100" w:type="dxa"/>
              <w:bottom w:w="100" w:type="dxa"/>
              <w:right w:w="100" w:type="dxa"/>
            </w:tcMar>
          </w:tcPr>
          <w:p w14:paraId="27308C12" w14:textId="77777777" w:rsidR="001E1C1E" w:rsidRDefault="00000000">
            <w:pPr>
              <w:widowControl w:val="0"/>
              <w:spacing w:after="0" w:line="240" w:lineRule="auto"/>
            </w:pPr>
            <w:r>
              <w:t>3</w:t>
            </w:r>
          </w:p>
        </w:tc>
        <w:tc>
          <w:tcPr>
            <w:tcW w:w="1935" w:type="dxa"/>
            <w:shd w:val="clear" w:color="auto" w:fill="CFE2F3"/>
            <w:tcMar>
              <w:top w:w="100" w:type="dxa"/>
              <w:left w:w="100" w:type="dxa"/>
              <w:bottom w:w="100" w:type="dxa"/>
              <w:right w:w="100" w:type="dxa"/>
            </w:tcMar>
          </w:tcPr>
          <w:p w14:paraId="0C7A672F" w14:textId="77777777" w:rsidR="001E1C1E" w:rsidRDefault="00000000">
            <w:pPr>
              <w:widowControl w:val="0"/>
              <w:spacing w:after="0" w:line="240" w:lineRule="auto"/>
            </w:pPr>
            <w:r>
              <w:t>3.80%</w:t>
            </w:r>
          </w:p>
        </w:tc>
        <w:tc>
          <w:tcPr>
            <w:tcW w:w="1575" w:type="dxa"/>
            <w:shd w:val="clear" w:color="auto" w:fill="CFE2F3"/>
            <w:tcMar>
              <w:top w:w="100" w:type="dxa"/>
              <w:left w:w="100" w:type="dxa"/>
              <w:bottom w:w="100" w:type="dxa"/>
              <w:right w:w="100" w:type="dxa"/>
            </w:tcMar>
          </w:tcPr>
          <w:p w14:paraId="4ED524FB" w14:textId="77777777" w:rsidR="001E1C1E" w:rsidRDefault="00000000">
            <w:pPr>
              <w:widowControl w:val="0"/>
              <w:spacing w:after="0" w:line="240" w:lineRule="auto"/>
            </w:pPr>
            <w:r>
              <w:t>3</w:t>
            </w:r>
          </w:p>
        </w:tc>
        <w:tc>
          <w:tcPr>
            <w:tcW w:w="2025" w:type="dxa"/>
            <w:shd w:val="clear" w:color="auto" w:fill="CFE2F3"/>
            <w:tcMar>
              <w:top w:w="100" w:type="dxa"/>
              <w:left w:w="100" w:type="dxa"/>
              <w:bottom w:w="100" w:type="dxa"/>
              <w:right w:w="100" w:type="dxa"/>
            </w:tcMar>
          </w:tcPr>
          <w:p w14:paraId="61F87FC8" w14:textId="77777777" w:rsidR="001E1C1E" w:rsidRDefault="00000000">
            <w:pPr>
              <w:widowControl w:val="0"/>
              <w:spacing w:after="0" w:line="240" w:lineRule="auto"/>
            </w:pPr>
            <w:r>
              <w:t>0</w:t>
            </w:r>
          </w:p>
        </w:tc>
      </w:tr>
      <w:tr w:rsidR="001E1C1E" w14:paraId="1AA3BCD7" w14:textId="77777777">
        <w:tc>
          <w:tcPr>
            <w:tcW w:w="3015" w:type="dxa"/>
            <w:shd w:val="clear" w:color="auto" w:fill="auto"/>
            <w:tcMar>
              <w:top w:w="100" w:type="dxa"/>
              <w:left w:w="100" w:type="dxa"/>
              <w:bottom w:w="100" w:type="dxa"/>
              <w:right w:w="100" w:type="dxa"/>
            </w:tcMar>
          </w:tcPr>
          <w:p w14:paraId="7AD516FB" w14:textId="77777777" w:rsidR="001E1C1E" w:rsidRDefault="00000000">
            <w:pPr>
              <w:widowControl w:val="0"/>
              <w:spacing w:after="0" w:line="240" w:lineRule="auto"/>
            </w:pPr>
            <w:r>
              <w:t>Communication</w:t>
            </w:r>
          </w:p>
        </w:tc>
        <w:tc>
          <w:tcPr>
            <w:tcW w:w="1575" w:type="dxa"/>
            <w:shd w:val="clear" w:color="auto" w:fill="auto"/>
            <w:tcMar>
              <w:top w:w="100" w:type="dxa"/>
              <w:left w:w="100" w:type="dxa"/>
              <w:bottom w:w="100" w:type="dxa"/>
              <w:right w:w="100" w:type="dxa"/>
            </w:tcMar>
          </w:tcPr>
          <w:p w14:paraId="5BDFA44D" w14:textId="77777777" w:rsidR="001E1C1E" w:rsidRDefault="00000000">
            <w:pPr>
              <w:widowControl w:val="0"/>
              <w:spacing w:after="0" w:line="240" w:lineRule="auto"/>
            </w:pPr>
            <w:r>
              <w:t>3</w:t>
            </w:r>
          </w:p>
        </w:tc>
        <w:tc>
          <w:tcPr>
            <w:tcW w:w="1935" w:type="dxa"/>
            <w:shd w:val="clear" w:color="auto" w:fill="auto"/>
            <w:tcMar>
              <w:top w:w="100" w:type="dxa"/>
              <w:left w:w="100" w:type="dxa"/>
              <w:bottom w:w="100" w:type="dxa"/>
              <w:right w:w="100" w:type="dxa"/>
            </w:tcMar>
          </w:tcPr>
          <w:p w14:paraId="2DAF0766" w14:textId="77777777" w:rsidR="001E1C1E" w:rsidRDefault="00000000">
            <w:pPr>
              <w:widowControl w:val="0"/>
              <w:spacing w:after="0" w:line="240" w:lineRule="auto"/>
            </w:pPr>
            <w:r>
              <w:t>3.80%</w:t>
            </w:r>
          </w:p>
        </w:tc>
        <w:tc>
          <w:tcPr>
            <w:tcW w:w="1575" w:type="dxa"/>
            <w:shd w:val="clear" w:color="auto" w:fill="auto"/>
            <w:tcMar>
              <w:top w:w="100" w:type="dxa"/>
              <w:left w:w="100" w:type="dxa"/>
              <w:bottom w:w="100" w:type="dxa"/>
              <w:right w:w="100" w:type="dxa"/>
            </w:tcMar>
          </w:tcPr>
          <w:p w14:paraId="2EBB9D56" w14:textId="77777777" w:rsidR="001E1C1E" w:rsidRDefault="00000000">
            <w:pPr>
              <w:widowControl w:val="0"/>
              <w:spacing w:after="0" w:line="240" w:lineRule="auto"/>
            </w:pPr>
            <w:r>
              <w:t>1</w:t>
            </w:r>
          </w:p>
        </w:tc>
        <w:tc>
          <w:tcPr>
            <w:tcW w:w="2025" w:type="dxa"/>
            <w:shd w:val="clear" w:color="auto" w:fill="auto"/>
            <w:tcMar>
              <w:top w:w="100" w:type="dxa"/>
              <w:left w:w="100" w:type="dxa"/>
              <w:bottom w:w="100" w:type="dxa"/>
              <w:right w:w="100" w:type="dxa"/>
            </w:tcMar>
          </w:tcPr>
          <w:p w14:paraId="6E8FB871" w14:textId="77777777" w:rsidR="001E1C1E" w:rsidRDefault="00000000">
            <w:pPr>
              <w:widowControl w:val="0"/>
              <w:spacing w:after="0" w:line="240" w:lineRule="auto"/>
            </w:pPr>
            <w:r>
              <w:t>2</w:t>
            </w:r>
          </w:p>
        </w:tc>
      </w:tr>
      <w:tr w:rsidR="001E1C1E" w14:paraId="5436F81F" w14:textId="77777777">
        <w:tc>
          <w:tcPr>
            <w:tcW w:w="3015" w:type="dxa"/>
            <w:shd w:val="clear" w:color="auto" w:fill="CFE2F3"/>
            <w:tcMar>
              <w:top w:w="100" w:type="dxa"/>
              <w:left w:w="100" w:type="dxa"/>
              <w:bottom w:w="100" w:type="dxa"/>
              <w:right w:w="100" w:type="dxa"/>
            </w:tcMar>
          </w:tcPr>
          <w:p w14:paraId="16904C44" w14:textId="77777777" w:rsidR="001E1C1E" w:rsidRDefault="00000000">
            <w:pPr>
              <w:widowControl w:val="0"/>
              <w:spacing w:after="0" w:line="240" w:lineRule="auto"/>
            </w:pPr>
            <w:r>
              <w:t>Changing Approach</w:t>
            </w:r>
          </w:p>
        </w:tc>
        <w:tc>
          <w:tcPr>
            <w:tcW w:w="1575" w:type="dxa"/>
            <w:shd w:val="clear" w:color="auto" w:fill="CFE2F3"/>
            <w:tcMar>
              <w:top w:w="100" w:type="dxa"/>
              <w:left w:w="100" w:type="dxa"/>
              <w:bottom w:w="100" w:type="dxa"/>
              <w:right w:w="100" w:type="dxa"/>
            </w:tcMar>
          </w:tcPr>
          <w:p w14:paraId="38CA7D1C" w14:textId="77777777" w:rsidR="001E1C1E" w:rsidRDefault="00000000">
            <w:pPr>
              <w:widowControl w:val="0"/>
              <w:spacing w:after="0" w:line="240" w:lineRule="auto"/>
            </w:pPr>
            <w:r>
              <w:t>3</w:t>
            </w:r>
          </w:p>
        </w:tc>
        <w:tc>
          <w:tcPr>
            <w:tcW w:w="1935" w:type="dxa"/>
            <w:shd w:val="clear" w:color="auto" w:fill="CFE2F3"/>
            <w:tcMar>
              <w:top w:w="100" w:type="dxa"/>
              <w:left w:w="100" w:type="dxa"/>
              <w:bottom w:w="100" w:type="dxa"/>
              <w:right w:w="100" w:type="dxa"/>
            </w:tcMar>
          </w:tcPr>
          <w:p w14:paraId="4B2E5BAF" w14:textId="77777777" w:rsidR="001E1C1E" w:rsidRDefault="00000000">
            <w:pPr>
              <w:widowControl w:val="0"/>
              <w:spacing w:after="0" w:line="240" w:lineRule="auto"/>
            </w:pPr>
            <w:r>
              <w:t>3.80%</w:t>
            </w:r>
          </w:p>
        </w:tc>
        <w:tc>
          <w:tcPr>
            <w:tcW w:w="1575" w:type="dxa"/>
            <w:shd w:val="clear" w:color="auto" w:fill="CFE2F3"/>
            <w:tcMar>
              <w:top w:w="100" w:type="dxa"/>
              <w:left w:w="100" w:type="dxa"/>
              <w:bottom w:w="100" w:type="dxa"/>
              <w:right w:w="100" w:type="dxa"/>
            </w:tcMar>
          </w:tcPr>
          <w:p w14:paraId="4C803179" w14:textId="77777777" w:rsidR="001E1C1E" w:rsidRDefault="00000000">
            <w:pPr>
              <w:widowControl w:val="0"/>
              <w:spacing w:after="0" w:line="240" w:lineRule="auto"/>
            </w:pPr>
            <w:r>
              <w:t>3</w:t>
            </w:r>
          </w:p>
        </w:tc>
        <w:tc>
          <w:tcPr>
            <w:tcW w:w="2025" w:type="dxa"/>
            <w:shd w:val="clear" w:color="auto" w:fill="CFE2F3"/>
            <w:tcMar>
              <w:top w:w="100" w:type="dxa"/>
              <w:left w:w="100" w:type="dxa"/>
              <w:bottom w:w="100" w:type="dxa"/>
              <w:right w:w="100" w:type="dxa"/>
            </w:tcMar>
          </w:tcPr>
          <w:p w14:paraId="6CF6D42F" w14:textId="77777777" w:rsidR="001E1C1E" w:rsidRDefault="00000000">
            <w:pPr>
              <w:widowControl w:val="0"/>
              <w:spacing w:after="0" w:line="240" w:lineRule="auto"/>
            </w:pPr>
            <w:r>
              <w:t>0</w:t>
            </w:r>
          </w:p>
        </w:tc>
      </w:tr>
      <w:tr w:rsidR="001E1C1E" w14:paraId="2640CC44" w14:textId="77777777">
        <w:tc>
          <w:tcPr>
            <w:tcW w:w="3015" w:type="dxa"/>
            <w:shd w:val="clear" w:color="auto" w:fill="auto"/>
            <w:tcMar>
              <w:top w:w="100" w:type="dxa"/>
              <w:left w:w="100" w:type="dxa"/>
              <w:bottom w:w="100" w:type="dxa"/>
              <w:right w:w="100" w:type="dxa"/>
            </w:tcMar>
          </w:tcPr>
          <w:p w14:paraId="5BD9B093" w14:textId="77777777" w:rsidR="001E1C1E" w:rsidRDefault="00000000">
            <w:pPr>
              <w:widowControl w:val="0"/>
              <w:spacing w:after="0" w:line="240" w:lineRule="auto"/>
            </w:pPr>
            <w:r>
              <w:t>TUPE</w:t>
            </w:r>
          </w:p>
        </w:tc>
        <w:tc>
          <w:tcPr>
            <w:tcW w:w="1575" w:type="dxa"/>
            <w:shd w:val="clear" w:color="auto" w:fill="auto"/>
            <w:tcMar>
              <w:top w:w="100" w:type="dxa"/>
              <w:left w:w="100" w:type="dxa"/>
              <w:bottom w:w="100" w:type="dxa"/>
              <w:right w:w="100" w:type="dxa"/>
            </w:tcMar>
          </w:tcPr>
          <w:p w14:paraId="4957E625" w14:textId="77777777" w:rsidR="001E1C1E" w:rsidRDefault="00000000">
            <w:pPr>
              <w:widowControl w:val="0"/>
              <w:spacing w:after="0" w:line="240" w:lineRule="auto"/>
            </w:pPr>
            <w:r>
              <w:t>2</w:t>
            </w:r>
          </w:p>
        </w:tc>
        <w:tc>
          <w:tcPr>
            <w:tcW w:w="1935" w:type="dxa"/>
            <w:shd w:val="clear" w:color="auto" w:fill="auto"/>
            <w:tcMar>
              <w:top w:w="100" w:type="dxa"/>
              <w:left w:w="100" w:type="dxa"/>
              <w:bottom w:w="100" w:type="dxa"/>
              <w:right w:w="100" w:type="dxa"/>
            </w:tcMar>
          </w:tcPr>
          <w:p w14:paraId="4C25051D" w14:textId="77777777" w:rsidR="001E1C1E" w:rsidRDefault="00000000">
            <w:pPr>
              <w:widowControl w:val="0"/>
              <w:spacing w:after="0" w:line="240" w:lineRule="auto"/>
            </w:pPr>
            <w:r>
              <w:t>2.53%</w:t>
            </w:r>
          </w:p>
        </w:tc>
        <w:tc>
          <w:tcPr>
            <w:tcW w:w="1575" w:type="dxa"/>
            <w:shd w:val="clear" w:color="auto" w:fill="auto"/>
            <w:tcMar>
              <w:top w:w="100" w:type="dxa"/>
              <w:left w:w="100" w:type="dxa"/>
              <w:bottom w:w="100" w:type="dxa"/>
              <w:right w:w="100" w:type="dxa"/>
            </w:tcMar>
          </w:tcPr>
          <w:p w14:paraId="4342040C" w14:textId="77777777" w:rsidR="001E1C1E" w:rsidRDefault="00000000">
            <w:pPr>
              <w:widowControl w:val="0"/>
              <w:spacing w:after="0" w:line="240" w:lineRule="auto"/>
            </w:pPr>
            <w:r>
              <w:t>2</w:t>
            </w:r>
          </w:p>
        </w:tc>
        <w:tc>
          <w:tcPr>
            <w:tcW w:w="2025" w:type="dxa"/>
            <w:shd w:val="clear" w:color="auto" w:fill="auto"/>
            <w:tcMar>
              <w:top w:w="100" w:type="dxa"/>
              <w:left w:w="100" w:type="dxa"/>
              <w:bottom w:w="100" w:type="dxa"/>
              <w:right w:w="100" w:type="dxa"/>
            </w:tcMar>
          </w:tcPr>
          <w:p w14:paraId="56A22A62" w14:textId="77777777" w:rsidR="001E1C1E" w:rsidRDefault="00000000">
            <w:pPr>
              <w:widowControl w:val="0"/>
              <w:spacing w:after="0" w:line="240" w:lineRule="auto"/>
            </w:pPr>
            <w:r>
              <w:t>0</w:t>
            </w:r>
          </w:p>
        </w:tc>
      </w:tr>
      <w:tr w:rsidR="001E1C1E" w14:paraId="03526206" w14:textId="77777777">
        <w:tc>
          <w:tcPr>
            <w:tcW w:w="3015" w:type="dxa"/>
            <w:shd w:val="clear" w:color="auto" w:fill="CFE2F3"/>
            <w:tcMar>
              <w:top w:w="100" w:type="dxa"/>
              <w:left w:w="100" w:type="dxa"/>
              <w:bottom w:w="100" w:type="dxa"/>
              <w:right w:w="100" w:type="dxa"/>
            </w:tcMar>
          </w:tcPr>
          <w:p w14:paraId="1EE91E4D" w14:textId="77777777" w:rsidR="001E1C1E" w:rsidRDefault="00000000">
            <w:pPr>
              <w:widowControl w:val="0"/>
              <w:spacing w:after="0" w:line="240" w:lineRule="auto"/>
            </w:pPr>
            <w:r>
              <w:t>Tender Withdrawn</w:t>
            </w:r>
          </w:p>
        </w:tc>
        <w:tc>
          <w:tcPr>
            <w:tcW w:w="1575" w:type="dxa"/>
            <w:shd w:val="clear" w:color="auto" w:fill="CFE2F3"/>
            <w:tcMar>
              <w:top w:w="100" w:type="dxa"/>
              <w:left w:w="100" w:type="dxa"/>
              <w:bottom w:w="100" w:type="dxa"/>
              <w:right w:w="100" w:type="dxa"/>
            </w:tcMar>
          </w:tcPr>
          <w:p w14:paraId="703C4264" w14:textId="77777777" w:rsidR="001E1C1E" w:rsidRDefault="00000000">
            <w:pPr>
              <w:widowControl w:val="0"/>
              <w:spacing w:after="0" w:line="240" w:lineRule="auto"/>
            </w:pPr>
            <w:r>
              <w:t>2</w:t>
            </w:r>
          </w:p>
        </w:tc>
        <w:tc>
          <w:tcPr>
            <w:tcW w:w="1935" w:type="dxa"/>
            <w:shd w:val="clear" w:color="auto" w:fill="CFE2F3"/>
            <w:tcMar>
              <w:top w:w="100" w:type="dxa"/>
              <w:left w:w="100" w:type="dxa"/>
              <w:bottom w:w="100" w:type="dxa"/>
              <w:right w:w="100" w:type="dxa"/>
            </w:tcMar>
          </w:tcPr>
          <w:p w14:paraId="52CBEF09" w14:textId="77777777" w:rsidR="001E1C1E" w:rsidRDefault="00000000">
            <w:pPr>
              <w:widowControl w:val="0"/>
              <w:spacing w:after="0" w:line="240" w:lineRule="auto"/>
            </w:pPr>
            <w:r>
              <w:t>2.53%</w:t>
            </w:r>
          </w:p>
        </w:tc>
        <w:tc>
          <w:tcPr>
            <w:tcW w:w="1575" w:type="dxa"/>
            <w:shd w:val="clear" w:color="auto" w:fill="CFE2F3"/>
            <w:tcMar>
              <w:top w:w="100" w:type="dxa"/>
              <w:left w:w="100" w:type="dxa"/>
              <w:bottom w:w="100" w:type="dxa"/>
              <w:right w:w="100" w:type="dxa"/>
            </w:tcMar>
          </w:tcPr>
          <w:p w14:paraId="749E1E15" w14:textId="77777777" w:rsidR="001E1C1E" w:rsidRDefault="00000000">
            <w:pPr>
              <w:widowControl w:val="0"/>
              <w:spacing w:after="0" w:line="240" w:lineRule="auto"/>
            </w:pPr>
            <w:r>
              <w:t>0</w:t>
            </w:r>
          </w:p>
        </w:tc>
        <w:tc>
          <w:tcPr>
            <w:tcW w:w="2025" w:type="dxa"/>
            <w:shd w:val="clear" w:color="auto" w:fill="CFE2F3"/>
            <w:tcMar>
              <w:top w:w="100" w:type="dxa"/>
              <w:left w:w="100" w:type="dxa"/>
              <w:bottom w:w="100" w:type="dxa"/>
              <w:right w:w="100" w:type="dxa"/>
            </w:tcMar>
          </w:tcPr>
          <w:p w14:paraId="70F50875" w14:textId="77777777" w:rsidR="001E1C1E" w:rsidRDefault="00000000">
            <w:pPr>
              <w:widowControl w:val="0"/>
              <w:spacing w:after="0" w:line="240" w:lineRule="auto"/>
            </w:pPr>
            <w:r>
              <w:t>2</w:t>
            </w:r>
          </w:p>
        </w:tc>
      </w:tr>
      <w:tr w:rsidR="001E1C1E" w14:paraId="76D2C2EC" w14:textId="77777777">
        <w:tc>
          <w:tcPr>
            <w:tcW w:w="3015" w:type="dxa"/>
            <w:shd w:val="clear" w:color="auto" w:fill="auto"/>
            <w:tcMar>
              <w:top w:w="100" w:type="dxa"/>
              <w:left w:w="100" w:type="dxa"/>
              <w:bottom w:w="100" w:type="dxa"/>
              <w:right w:w="100" w:type="dxa"/>
            </w:tcMar>
          </w:tcPr>
          <w:p w14:paraId="0A873ADA" w14:textId="77777777" w:rsidR="001E1C1E" w:rsidRDefault="00000000">
            <w:pPr>
              <w:widowControl w:val="0"/>
              <w:spacing w:after="0" w:line="240" w:lineRule="auto"/>
            </w:pPr>
            <w:r>
              <w:t>Tender Process</w:t>
            </w:r>
          </w:p>
        </w:tc>
        <w:tc>
          <w:tcPr>
            <w:tcW w:w="1575" w:type="dxa"/>
            <w:shd w:val="clear" w:color="auto" w:fill="auto"/>
            <w:tcMar>
              <w:top w:w="100" w:type="dxa"/>
              <w:left w:w="100" w:type="dxa"/>
              <w:bottom w:w="100" w:type="dxa"/>
              <w:right w:w="100" w:type="dxa"/>
            </w:tcMar>
          </w:tcPr>
          <w:p w14:paraId="00E9794B" w14:textId="77777777" w:rsidR="001E1C1E" w:rsidRDefault="00000000">
            <w:pPr>
              <w:widowControl w:val="0"/>
              <w:spacing w:after="0" w:line="240" w:lineRule="auto"/>
            </w:pPr>
            <w:r>
              <w:t>2</w:t>
            </w:r>
          </w:p>
        </w:tc>
        <w:tc>
          <w:tcPr>
            <w:tcW w:w="1935" w:type="dxa"/>
            <w:shd w:val="clear" w:color="auto" w:fill="auto"/>
            <w:tcMar>
              <w:top w:w="100" w:type="dxa"/>
              <w:left w:w="100" w:type="dxa"/>
              <w:bottom w:w="100" w:type="dxa"/>
              <w:right w:w="100" w:type="dxa"/>
            </w:tcMar>
          </w:tcPr>
          <w:p w14:paraId="17DEF048" w14:textId="77777777" w:rsidR="001E1C1E" w:rsidRDefault="00000000">
            <w:pPr>
              <w:widowControl w:val="0"/>
              <w:spacing w:after="0" w:line="240" w:lineRule="auto"/>
            </w:pPr>
            <w:r>
              <w:t>2.53%</w:t>
            </w:r>
          </w:p>
        </w:tc>
        <w:tc>
          <w:tcPr>
            <w:tcW w:w="1575" w:type="dxa"/>
            <w:shd w:val="clear" w:color="auto" w:fill="auto"/>
            <w:tcMar>
              <w:top w:w="100" w:type="dxa"/>
              <w:left w:w="100" w:type="dxa"/>
              <w:bottom w:w="100" w:type="dxa"/>
              <w:right w:w="100" w:type="dxa"/>
            </w:tcMar>
          </w:tcPr>
          <w:p w14:paraId="5EB4ADA9" w14:textId="77777777" w:rsidR="001E1C1E" w:rsidRDefault="00000000">
            <w:pPr>
              <w:widowControl w:val="0"/>
              <w:spacing w:after="0" w:line="240" w:lineRule="auto"/>
            </w:pPr>
            <w:r>
              <w:t>1</w:t>
            </w:r>
          </w:p>
        </w:tc>
        <w:tc>
          <w:tcPr>
            <w:tcW w:w="2025" w:type="dxa"/>
            <w:shd w:val="clear" w:color="auto" w:fill="auto"/>
            <w:tcMar>
              <w:top w:w="100" w:type="dxa"/>
              <w:left w:w="100" w:type="dxa"/>
              <w:bottom w:w="100" w:type="dxa"/>
              <w:right w:w="100" w:type="dxa"/>
            </w:tcMar>
          </w:tcPr>
          <w:p w14:paraId="547710F7" w14:textId="77777777" w:rsidR="001E1C1E" w:rsidRDefault="00000000">
            <w:pPr>
              <w:widowControl w:val="0"/>
              <w:spacing w:after="0" w:line="240" w:lineRule="auto"/>
            </w:pPr>
            <w:r>
              <w:t>1</w:t>
            </w:r>
          </w:p>
        </w:tc>
      </w:tr>
      <w:tr w:rsidR="001E1C1E" w14:paraId="05015EE6" w14:textId="77777777">
        <w:tc>
          <w:tcPr>
            <w:tcW w:w="3015" w:type="dxa"/>
            <w:shd w:val="clear" w:color="auto" w:fill="CFE2F3"/>
            <w:tcMar>
              <w:top w:w="100" w:type="dxa"/>
              <w:left w:w="100" w:type="dxa"/>
              <w:bottom w:w="100" w:type="dxa"/>
              <w:right w:w="100" w:type="dxa"/>
            </w:tcMar>
          </w:tcPr>
          <w:p w14:paraId="0E8CC6DB" w14:textId="77777777" w:rsidR="001E1C1E" w:rsidRDefault="00000000">
            <w:pPr>
              <w:widowControl w:val="0"/>
              <w:spacing w:after="0" w:line="240" w:lineRule="auto"/>
            </w:pPr>
            <w:r>
              <w:t>Prices</w:t>
            </w:r>
          </w:p>
        </w:tc>
        <w:tc>
          <w:tcPr>
            <w:tcW w:w="1575" w:type="dxa"/>
            <w:shd w:val="clear" w:color="auto" w:fill="CFE2F3"/>
            <w:tcMar>
              <w:top w:w="100" w:type="dxa"/>
              <w:left w:w="100" w:type="dxa"/>
              <w:bottom w:w="100" w:type="dxa"/>
              <w:right w:w="100" w:type="dxa"/>
            </w:tcMar>
          </w:tcPr>
          <w:p w14:paraId="49B5816C" w14:textId="77777777" w:rsidR="001E1C1E" w:rsidRDefault="00000000">
            <w:pPr>
              <w:widowControl w:val="0"/>
              <w:spacing w:after="0" w:line="240" w:lineRule="auto"/>
            </w:pPr>
            <w:r>
              <w:t>2</w:t>
            </w:r>
          </w:p>
        </w:tc>
        <w:tc>
          <w:tcPr>
            <w:tcW w:w="1935" w:type="dxa"/>
            <w:shd w:val="clear" w:color="auto" w:fill="CFE2F3"/>
            <w:tcMar>
              <w:top w:w="100" w:type="dxa"/>
              <w:left w:w="100" w:type="dxa"/>
              <w:bottom w:w="100" w:type="dxa"/>
              <w:right w:w="100" w:type="dxa"/>
            </w:tcMar>
          </w:tcPr>
          <w:p w14:paraId="5332D91C" w14:textId="77777777" w:rsidR="001E1C1E" w:rsidRDefault="00000000">
            <w:pPr>
              <w:widowControl w:val="0"/>
              <w:spacing w:after="0" w:line="240" w:lineRule="auto"/>
            </w:pPr>
            <w:r>
              <w:t>2.53%</w:t>
            </w:r>
          </w:p>
        </w:tc>
        <w:tc>
          <w:tcPr>
            <w:tcW w:w="1575" w:type="dxa"/>
            <w:shd w:val="clear" w:color="auto" w:fill="CFE2F3"/>
            <w:tcMar>
              <w:top w:w="100" w:type="dxa"/>
              <w:left w:w="100" w:type="dxa"/>
              <w:bottom w:w="100" w:type="dxa"/>
              <w:right w:w="100" w:type="dxa"/>
            </w:tcMar>
          </w:tcPr>
          <w:p w14:paraId="60BFEEF2" w14:textId="77777777" w:rsidR="001E1C1E" w:rsidRDefault="00000000">
            <w:pPr>
              <w:widowControl w:val="0"/>
              <w:spacing w:after="0" w:line="240" w:lineRule="auto"/>
            </w:pPr>
            <w:r>
              <w:t>0</w:t>
            </w:r>
          </w:p>
        </w:tc>
        <w:tc>
          <w:tcPr>
            <w:tcW w:w="2025" w:type="dxa"/>
            <w:shd w:val="clear" w:color="auto" w:fill="CFE2F3"/>
            <w:tcMar>
              <w:top w:w="100" w:type="dxa"/>
              <w:left w:w="100" w:type="dxa"/>
              <w:bottom w:w="100" w:type="dxa"/>
              <w:right w:w="100" w:type="dxa"/>
            </w:tcMar>
          </w:tcPr>
          <w:p w14:paraId="3E3EA9B5" w14:textId="77777777" w:rsidR="001E1C1E" w:rsidRDefault="00000000">
            <w:pPr>
              <w:widowControl w:val="0"/>
              <w:spacing w:after="0" w:line="240" w:lineRule="auto"/>
            </w:pPr>
            <w:r>
              <w:t>2</w:t>
            </w:r>
          </w:p>
        </w:tc>
      </w:tr>
      <w:tr w:rsidR="001E1C1E" w14:paraId="771BC5B4" w14:textId="77777777">
        <w:tc>
          <w:tcPr>
            <w:tcW w:w="3015" w:type="dxa"/>
            <w:shd w:val="clear" w:color="auto" w:fill="auto"/>
            <w:tcMar>
              <w:top w:w="100" w:type="dxa"/>
              <w:left w:w="100" w:type="dxa"/>
              <w:bottom w:w="100" w:type="dxa"/>
              <w:right w:w="100" w:type="dxa"/>
            </w:tcMar>
          </w:tcPr>
          <w:p w14:paraId="20A23E60" w14:textId="77777777" w:rsidR="001E1C1E" w:rsidRDefault="00000000">
            <w:pPr>
              <w:widowControl w:val="0"/>
              <w:spacing w:after="0" w:line="240" w:lineRule="auto"/>
            </w:pPr>
            <w:r>
              <w:t>Experience</w:t>
            </w:r>
          </w:p>
        </w:tc>
        <w:tc>
          <w:tcPr>
            <w:tcW w:w="1575" w:type="dxa"/>
            <w:shd w:val="clear" w:color="auto" w:fill="auto"/>
            <w:tcMar>
              <w:top w:w="100" w:type="dxa"/>
              <w:left w:w="100" w:type="dxa"/>
              <w:bottom w:w="100" w:type="dxa"/>
              <w:right w:w="100" w:type="dxa"/>
            </w:tcMar>
          </w:tcPr>
          <w:p w14:paraId="0B3FB1C9" w14:textId="77777777" w:rsidR="001E1C1E" w:rsidRDefault="00000000">
            <w:pPr>
              <w:widowControl w:val="0"/>
              <w:spacing w:after="0" w:line="240" w:lineRule="auto"/>
            </w:pPr>
            <w:r>
              <w:t>2</w:t>
            </w:r>
          </w:p>
        </w:tc>
        <w:tc>
          <w:tcPr>
            <w:tcW w:w="1935" w:type="dxa"/>
            <w:shd w:val="clear" w:color="auto" w:fill="auto"/>
            <w:tcMar>
              <w:top w:w="100" w:type="dxa"/>
              <w:left w:w="100" w:type="dxa"/>
              <w:bottom w:w="100" w:type="dxa"/>
              <w:right w:w="100" w:type="dxa"/>
            </w:tcMar>
          </w:tcPr>
          <w:p w14:paraId="25941562" w14:textId="77777777" w:rsidR="001E1C1E" w:rsidRDefault="00000000">
            <w:pPr>
              <w:widowControl w:val="0"/>
              <w:spacing w:after="0" w:line="240" w:lineRule="auto"/>
            </w:pPr>
            <w:r>
              <w:t>2.53%</w:t>
            </w:r>
          </w:p>
        </w:tc>
        <w:tc>
          <w:tcPr>
            <w:tcW w:w="1575" w:type="dxa"/>
            <w:shd w:val="clear" w:color="auto" w:fill="auto"/>
            <w:tcMar>
              <w:top w:w="100" w:type="dxa"/>
              <w:left w:w="100" w:type="dxa"/>
              <w:bottom w:w="100" w:type="dxa"/>
              <w:right w:w="100" w:type="dxa"/>
            </w:tcMar>
          </w:tcPr>
          <w:p w14:paraId="3D050E45" w14:textId="77777777" w:rsidR="001E1C1E" w:rsidRDefault="00000000">
            <w:pPr>
              <w:widowControl w:val="0"/>
              <w:spacing w:after="0" w:line="240" w:lineRule="auto"/>
            </w:pPr>
            <w:r>
              <w:t>0</w:t>
            </w:r>
          </w:p>
        </w:tc>
        <w:tc>
          <w:tcPr>
            <w:tcW w:w="2025" w:type="dxa"/>
            <w:shd w:val="clear" w:color="auto" w:fill="auto"/>
            <w:tcMar>
              <w:top w:w="100" w:type="dxa"/>
              <w:left w:w="100" w:type="dxa"/>
              <w:bottom w:w="100" w:type="dxa"/>
              <w:right w:w="100" w:type="dxa"/>
            </w:tcMar>
          </w:tcPr>
          <w:p w14:paraId="0601335A" w14:textId="77777777" w:rsidR="001E1C1E" w:rsidRDefault="00000000">
            <w:pPr>
              <w:widowControl w:val="0"/>
              <w:spacing w:after="0" w:line="240" w:lineRule="auto"/>
            </w:pPr>
            <w:r>
              <w:t>2</w:t>
            </w:r>
          </w:p>
        </w:tc>
      </w:tr>
      <w:tr w:rsidR="001E1C1E" w14:paraId="553D99B5" w14:textId="77777777">
        <w:tc>
          <w:tcPr>
            <w:tcW w:w="3015" w:type="dxa"/>
            <w:shd w:val="clear" w:color="auto" w:fill="CFE2F3"/>
            <w:tcMar>
              <w:top w:w="100" w:type="dxa"/>
              <w:left w:w="100" w:type="dxa"/>
              <w:bottom w:w="100" w:type="dxa"/>
              <w:right w:w="100" w:type="dxa"/>
            </w:tcMar>
          </w:tcPr>
          <w:p w14:paraId="7F7C8B90" w14:textId="77777777" w:rsidR="001E1C1E" w:rsidRDefault="00000000">
            <w:pPr>
              <w:widowControl w:val="0"/>
              <w:spacing w:after="0" w:line="240" w:lineRule="auto"/>
            </w:pPr>
            <w:r>
              <w:t>Clarification</w:t>
            </w:r>
          </w:p>
        </w:tc>
        <w:tc>
          <w:tcPr>
            <w:tcW w:w="1575" w:type="dxa"/>
            <w:shd w:val="clear" w:color="auto" w:fill="CFE2F3"/>
            <w:tcMar>
              <w:top w:w="100" w:type="dxa"/>
              <w:left w:w="100" w:type="dxa"/>
              <w:bottom w:w="100" w:type="dxa"/>
              <w:right w:w="100" w:type="dxa"/>
            </w:tcMar>
          </w:tcPr>
          <w:p w14:paraId="68031935" w14:textId="77777777" w:rsidR="001E1C1E" w:rsidRDefault="00000000">
            <w:pPr>
              <w:widowControl w:val="0"/>
              <w:spacing w:after="0" w:line="240" w:lineRule="auto"/>
            </w:pPr>
            <w:r>
              <w:t>2</w:t>
            </w:r>
          </w:p>
        </w:tc>
        <w:tc>
          <w:tcPr>
            <w:tcW w:w="1935" w:type="dxa"/>
            <w:shd w:val="clear" w:color="auto" w:fill="CFE2F3"/>
            <w:tcMar>
              <w:top w:w="100" w:type="dxa"/>
              <w:left w:w="100" w:type="dxa"/>
              <w:bottom w:w="100" w:type="dxa"/>
              <w:right w:w="100" w:type="dxa"/>
            </w:tcMar>
          </w:tcPr>
          <w:p w14:paraId="59EAF6DF" w14:textId="77777777" w:rsidR="001E1C1E" w:rsidRDefault="00000000">
            <w:pPr>
              <w:widowControl w:val="0"/>
              <w:spacing w:after="0" w:line="240" w:lineRule="auto"/>
            </w:pPr>
            <w:r>
              <w:t>2.53%</w:t>
            </w:r>
          </w:p>
        </w:tc>
        <w:tc>
          <w:tcPr>
            <w:tcW w:w="1575" w:type="dxa"/>
            <w:shd w:val="clear" w:color="auto" w:fill="CFE2F3"/>
            <w:tcMar>
              <w:top w:w="100" w:type="dxa"/>
              <w:left w:w="100" w:type="dxa"/>
              <w:bottom w:w="100" w:type="dxa"/>
              <w:right w:w="100" w:type="dxa"/>
            </w:tcMar>
          </w:tcPr>
          <w:p w14:paraId="260DA314" w14:textId="77777777" w:rsidR="001E1C1E" w:rsidRDefault="00000000">
            <w:pPr>
              <w:widowControl w:val="0"/>
              <w:spacing w:after="0" w:line="240" w:lineRule="auto"/>
            </w:pPr>
            <w:r>
              <w:t>1</w:t>
            </w:r>
          </w:p>
        </w:tc>
        <w:tc>
          <w:tcPr>
            <w:tcW w:w="2025" w:type="dxa"/>
            <w:shd w:val="clear" w:color="auto" w:fill="CFE2F3"/>
            <w:tcMar>
              <w:top w:w="100" w:type="dxa"/>
              <w:left w:w="100" w:type="dxa"/>
              <w:bottom w:w="100" w:type="dxa"/>
              <w:right w:w="100" w:type="dxa"/>
            </w:tcMar>
          </w:tcPr>
          <w:p w14:paraId="7435F67A" w14:textId="77777777" w:rsidR="001E1C1E" w:rsidRDefault="00000000">
            <w:pPr>
              <w:widowControl w:val="0"/>
              <w:spacing w:after="0" w:line="240" w:lineRule="auto"/>
            </w:pPr>
            <w:r>
              <w:t>1</w:t>
            </w:r>
          </w:p>
        </w:tc>
      </w:tr>
      <w:tr w:rsidR="001E1C1E" w14:paraId="19301AAF" w14:textId="77777777">
        <w:tc>
          <w:tcPr>
            <w:tcW w:w="3015" w:type="dxa"/>
            <w:shd w:val="clear" w:color="auto" w:fill="FFFFFF"/>
            <w:tcMar>
              <w:top w:w="100" w:type="dxa"/>
              <w:left w:w="100" w:type="dxa"/>
              <w:bottom w:w="100" w:type="dxa"/>
              <w:right w:w="100" w:type="dxa"/>
            </w:tcMar>
          </w:tcPr>
          <w:p w14:paraId="373EAA78" w14:textId="77777777" w:rsidR="001E1C1E" w:rsidRDefault="00000000">
            <w:pPr>
              <w:widowControl w:val="0"/>
              <w:spacing w:after="0" w:line="240" w:lineRule="auto"/>
            </w:pPr>
            <w:r>
              <w:t>Award</w:t>
            </w:r>
          </w:p>
        </w:tc>
        <w:tc>
          <w:tcPr>
            <w:tcW w:w="1575" w:type="dxa"/>
            <w:shd w:val="clear" w:color="auto" w:fill="FFFFFF"/>
            <w:tcMar>
              <w:top w:w="100" w:type="dxa"/>
              <w:left w:w="100" w:type="dxa"/>
              <w:bottom w:w="100" w:type="dxa"/>
              <w:right w:w="100" w:type="dxa"/>
            </w:tcMar>
          </w:tcPr>
          <w:p w14:paraId="7A1E7EC7" w14:textId="77777777" w:rsidR="001E1C1E" w:rsidRDefault="00000000">
            <w:pPr>
              <w:widowControl w:val="0"/>
              <w:spacing w:after="0" w:line="240" w:lineRule="auto"/>
            </w:pPr>
            <w:r>
              <w:t>2</w:t>
            </w:r>
          </w:p>
        </w:tc>
        <w:tc>
          <w:tcPr>
            <w:tcW w:w="1935" w:type="dxa"/>
            <w:shd w:val="clear" w:color="auto" w:fill="FFFFFF"/>
            <w:tcMar>
              <w:top w:w="100" w:type="dxa"/>
              <w:left w:w="100" w:type="dxa"/>
              <w:bottom w:w="100" w:type="dxa"/>
              <w:right w:w="100" w:type="dxa"/>
            </w:tcMar>
          </w:tcPr>
          <w:p w14:paraId="7EF2998A" w14:textId="77777777" w:rsidR="001E1C1E" w:rsidRDefault="00000000">
            <w:pPr>
              <w:widowControl w:val="0"/>
              <w:spacing w:after="0" w:line="240" w:lineRule="auto"/>
            </w:pPr>
            <w:r>
              <w:t>2.53%</w:t>
            </w:r>
          </w:p>
        </w:tc>
        <w:tc>
          <w:tcPr>
            <w:tcW w:w="1575" w:type="dxa"/>
            <w:shd w:val="clear" w:color="auto" w:fill="FFFFFF"/>
            <w:tcMar>
              <w:top w:w="100" w:type="dxa"/>
              <w:left w:w="100" w:type="dxa"/>
              <w:bottom w:w="100" w:type="dxa"/>
              <w:right w:w="100" w:type="dxa"/>
            </w:tcMar>
          </w:tcPr>
          <w:p w14:paraId="3BF95013" w14:textId="77777777" w:rsidR="001E1C1E" w:rsidRDefault="00000000">
            <w:pPr>
              <w:widowControl w:val="0"/>
              <w:spacing w:after="0" w:line="240" w:lineRule="auto"/>
            </w:pPr>
            <w:r>
              <w:t>0</w:t>
            </w:r>
          </w:p>
        </w:tc>
        <w:tc>
          <w:tcPr>
            <w:tcW w:w="2025" w:type="dxa"/>
            <w:shd w:val="clear" w:color="auto" w:fill="FFFFFF"/>
            <w:tcMar>
              <w:top w:w="100" w:type="dxa"/>
              <w:left w:w="100" w:type="dxa"/>
              <w:bottom w:w="100" w:type="dxa"/>
              <w:right w:w="100" w:type="dxa"/>
            </w:tcMar>
          </w:tcPr>
          <w:p w14:paraId="6681B600" w14:textId="77777777" w:rsidR="001E1C1E" w:rsidRDefault="00000000">
            <w:pPr>
              <w:widowControl w:val="0"/>
              <w:spacing w:after="0" w:line="240" w:lineRule="auto"/>
            </w:pPr>
            <w:r>
              <w:t>2</w:t>
            </w:r>
          </w:p>
        </w:tc>
      </w:tr>
      <w:tr w:rsidR="001E1C1E" w14:paraId="308B5DF5" w14:textId="77777777">
        <w:tc>
          <w:tcPr>
            <w:tcW w:w="3015" w:type="dxa"/>
            <w:shd w:val="clear" w:color="auto" w:fill="CFE2F3"/>
            <w:tcMar>
              <w:top w:w="100" w:type="dxa"/>
              <w:left w:w="100" w:type="dxa"/>
              <w:bottom w:w="100" w:type="dxa"/>
              <w:right w:w="100" w:type="dxa"/>
            </w:tcMar>
          </w:tcPr>
          <w:p w14:paraId="657C68A4" w14:textId="77777777" w:rsidR="001E1C1E" w:rsidRDefault="00000000">
            <w:pPr>
              <w:widowControl w:val="0"/>
              <w:spacing w:after="0" w:line="240" w:lineRule="auto"/>
            </w:pPr>
            <w:r>
              <w:t>Assessment &amp; Scoring</w:t>
            </w:r>
          </w:p>
        </w:tc>
        <w:tc>
          <w:tcPr>
            <w:tcW w:w="1575" w:type="dxa"/>
            <w:shd w:val="clear" w:color="auto" w:fill="CFE2F3"/>
            <w:tcMar>
              <w:top w:w="100" w:type="dxa"/>
              <w:left w:w="100" w:type="dxa"/>
              <w:bottom w:w="100" w:type="dxa"/>
              <w:right w:w="100" w:type="dxa"/>
            </w:tcMar>
          </w:tcPr>
          <w:p w14:paraId="70C736D7" w14:textId="77777777" w:rsidR="001E1C1E" w:rsidRDefault="00000000">
            <w:pPr>
              <w:widowControl w:val="0"/>
              <w:spacing w:after="0" w:line="240" w:lineRule="auto"/>
            </w:pPr>
            <w:r>
              <w:t>2</w:t>
            </w:r>
          </w:p>
        </w:tc>
        <w:tc>
          <w:tcPr>
            <w:tcW w:w="1935" w:type="dxa"/>
            <w:shd w:val="clear" w:color="auto" w:fill="CFE2F3"/>
            <w:tcMar>
              <w:top w:w="100" w:type="dxa"/>
              <w:left w:w="100" w:type="dxa"/>
              <w:bottom w:w="100" w:type="dxa"/>
              <w:right w:w="100" w:type="dxa"/>
            </w:tcMar>
          </w:tcPr>
          <w:p w14:paraId="258FB916" w14:textId="77777777" w:rsidR="001E1C1E" w:rsidRDefault="00000000">
            <w:pPr>
              <w:widowControl w:val="0"/>
              <w:spacing w:after="0" w:line="240" w:lineRule="auto"/>
            </w:pPr>
            <w:r>
              <w:t>2.53%</w:t>
            </w:r>
          </w:p>
        </w:tc>
        <w:tc>
          <w:tcPr>
            <w:tcW w:w="1575" w:type="dxa"/>
            <w:shd w:val="clear" w:color="auto" w:fill="CFE2F3"/>
            <w:tcMar>
              <w:top w:w="100" w:type="dxa"/>
              <w:left w:w="100" w:type="dxa"/>
              <w:bottom w:w="100" w:type="dxa"/>
              <w:right w:w="100" w:type="dxa"/>
            </w:tcMar>
          </w:tcPr>
          <w:p w14:paraId="15BC58E3" w14:textId="77777777" w:rsidR="001E1C1E" w:rsidRDefault="00000000">
            <w:pPr>
              <w:widowControl w:val="0"/>
              <w:spacing w:after="0" w:line="240" w:lineRule="auto"/>
            </w:pPr>
            <w:r>
              <w:t>2</w:t>
            </w:r>
          </w:p>
        </w:tc>
        <w:tc>
          <w:tcPr>
            <w:tcW w:w="2025" w:type="dxa"/>
            <w:shd w:val="clear" w:color="auto" w:fill="CFE2F3"/>
            <w:tcMar>
              <w:top w:w="100" w:type="dxa"/>
              <w:left w:w="100" w:type="dxa"/>
              <w:bottom w:w="100" w:type="dxa"/>
              <w:right w:w="100" w:type="dxa"/>
            </w:tcMar>
          </w:tcPr>
          <w:p w14:paraId="75AAB269" w14:textId="77777777" w:rsidR="001E1C1E" w:rsidRDefault="00000000">
            <w:pPr>
              <w:widowControl w:val="0"/>
              <w:spacing w:after="0" w:line="240" w:lineRule="auto"/>
            </w:pPr>
            <w:r>
              <w:t>0</w:t>
            </w:r>
          </w:p>
        </w:tc>
      </w:tr>
      <w:tr w:rsidR="001E1C1E" w14:paraId="3AC028F3" w14:textId="77777777">
        <w:tc>
          <w:tcPr>
            <w:tcW w:w="3015" w:type="dxa"/>
            <w:shd w:val="clear" w:color="auto" w:fill="FFFFFF"/>
            <w:tcMar>
              <w:top w:w="100" w:type="dxa"/>
              <w:left w:w="100" w:type="dxa"/>
              <w:bottom w:w="100" w:type="dxa"/>
              <w:right w:w="100" w:type="dxa"/>
            </w:tcMar>
          </w:tcPr>
          <w:p w14:paraId="6DA04490" w14:textId="77777777" w:rsidR="001E1C1E" w:rsidRDefault="00000000">
            <w:pPr>
              <w:widowControl w:val="0"/>
              <w:spacing w:after="0" w:line="240" w:lineRule="auto"/>
            </w:pPr>
            <w:r>
              <w:t>Tender Requirement</w:t>
            </w:r>
          </w:p>
        </w:tc>
        <w:tc>
          <w:tcPr>
            <w:tcW w:w="1575" w:type="dxa"/>
            <w:shd w:val="clear" w:color="auto" w:fill="FFFFFF"/>
            <w:tcMar>
              <w:top w:w="100" w:type="dxa"/>
              <w:left w:w="100" w:type="dxa"/>
              <w:bottom w:w="100" w:type="dxa"/>
              <w:right w:w="100" w:type="dxa"/>
            </w:tcMar>
          </w:tcPr>
          <w:p w14:paraId="387329DF" w14:textId="77777777" w:rsidR="001E1C1E" w:rsidRDefault="00000000">
            <w:pPr>
              <w:widowControl w:val="0"/>
              <w:spacing w:after="0" w:line="240" w:lineRule="auto"/>
            </w:pPr>
            <w:r>
              <w:t>1</w:t>
            </w:r>
          </w:p>
        </w:tc>
        <w:tc>
          <w:tcPr>
            <w:tcW w:w="1935" w:type="dxa"/>
            <w:shd w:val="clear" w:color="auto" w:fill="FFFFFF"/>
            <w:tcMar>
              <w:top w:w="100" w:type="dxa"/>
              <w:left w:w="100" w:type="dxa"/>
              <w:bottom w:w="100" w:type="dxa"/>
              <w:right w:w="100" w:type="dxa"/>
            </w:tcMar>
          </w:tcPr>
          <w:p w14:paraId="351A16AC" w14:textId="77777777" w:rsidR="001E1C1E" w:rsidRDefault="00000000">
            <w:pPr>
              <w:widowControl w:val="0"/>
              <w:spacing w:after="0" w:line="240" w:lineRule="auto"/>
            </w:pPr>
            <w:r>
              <w:t>1.27%</w:t>
            </w:r>
          </w:p>
        </w:tc>
        <w:tc>
          <w:tcPr>
            <w:tcW w:w="1575" w:type="dxa"/>
            <w:shd w:val="clear" w:color="auto" w:fill="FFFFFF"/>
            <w:tcMar>
              <w:top w:w="100" w:type="dxa"/>
              <w:left w:w="100" w:type="dxa"/>
              <w:bottom w:w="100" w:type="dxa"/>
              <w:right w:w="100" w:type="dxa"/>
            </w:tcMar>
          </w:tcPr>
          <w:p w14:paraId="44E482F9" w14:textId="77777777" w:rsidR="001E1C1E" w:rsidRDefault="00000000">
            <w:pPr>
              <w:widowControl w:val="0"/>
              <w:spacing w:after="0" w:line="240" w:lineRule="auto"/>
            </w:pPr>
            <w:r>
              <w:t>0</w:t>
            </w:r>
          </w:p>
        </w:tc>
        <w:tc>
          <w:tcPr>
            <w:tcW w:w="2025" w:type="dxa"/>
            <w:shd w:val="clear" w:color="auto" w:fill="FFFFFF"/>
            <w:tcMar>
              <w:top w:w="100" w:type="dxa"/>
              <w:left w:w="100" w:type="dxa"/>
              <w:bottom w:w="100" w:type="dxa"/>
              <w:right w:w="100" w:type="dxa"/>
            </w:tcMar>
          </w:tcPr>
          <w:p w14:paraId="0D817708" w14:textId="77777777" w:rsidR="001E1C1E" w:rsidRDefault="00000000">
            <w:pPr>
              <w:widowControl w:val="0"/>
              <w:spacing w:after="0" w:line="240" w:lineRule="auto"/>
            </w:pPr>
            <w:r>
              <w:t>1</w:t>
            </w:r>
          </w:p>
        </w:tc>
      </w:tr>
      <w:tr w:rsidR="001E1C1E" w14:paraId="096E1A91" w14:textId="77777777">
        <w:tc>
          <w:tcPr>
            <w:tcW w:w="3015" w:type="dxa"/>
            <w:shd w:val="clear" w:color="auto" w:fill="CFE2F3"/>
            <w:tcMar>
              <w:top w:w="100" w:type="dxa"/>
              <w:left w:w="100" w:type="dxa"/>
              <w:bottom w:w="100" w:type="dxa"/>
              <w:right w:w="100" w:type="dxa"/>
            </w:tcMar>
          </w:tcPr>
          <w:p w14:paraId="78EFD135" w14:textId="77777777" w:rsidR="001E1C1E" w:rsidRDefault="00000000">
            <w:pPr>
              <w:widowControl w:val="0"/>
              <w:spacing w:after="0" w:line="240" w:lineRule="auto"/>
            </w:pPr>
            <w:r>
              <w:t>Technical Issue with E-Portal</w:t>
            </w:r>
          </w:p>
        </w:tc>
        <w:tc>
          <w:tcPr>
            <w:tcW w:w="1575" w:type="dxa"/>
            <w:shd w:val="clear" w:color="auto" w:fill="CFE2F3"/>
            <w:tcMar>
              <w:top w:w="100" w:type="dxa"/>
              <w:left w:w="100" w:type="dxa"/>
              <w:bottom w:w="100" w:type="dxa"/>
              <w:right w:w="100" w:type="dxa"/>
            </w:tcMar>
          </w:tcPr>
          <w:p w14:paraId="2339E3C7" w14:textId="77777777" w:rsidR="001E1C1E" w:rsidRDefault="00000000">
            <w:pPr>
              <w:widowControl w:val="0"/>
              <w:spacing w:after="0" w:line="240" w:lineRule="auto"/>
            </w:pPr>
            <w:r>
              <w:t>1</w:t>
            </w:r>
          </w:p>
        </w:tc>
        <w:tc>
          <w:tcPr>
            <w:tcW w:w="1935" w:type="dxa"/>
            <w:shd w:val="clear" w:color="auto" w:fill="CFE2F3"/>
            <w:tcMar>
              <w:top w:w="100" w:type="dxa"/>
              <w:left w:w="100" w:type="dxa"/>
              <w:bottom w:w="100" w:type="dxa"/>
              <w:right w:w="100" w:type="dxa"/>
            </w:tcMar>
          </w:tcPr>
          <w:p w14:paraId="7EE41724" w14:textId="77777777" w:rsidR="001E1C1E" w:rsidRDefault="00000000">
            <w:pPr>
              <w:widowControl w:val="0"/>
              <w:spacing w:after="0" w:line="240" w:lineRule="auto"/>
            </w:pPr>
            <w:r>
              <w:t>1.27%</w:t>
            </w:r>
          </w:p>
        </w:tc>
        <w:tc>
          <w:tcPr>
            <w:tcW w:w="1575" w:type="dxa"/>
            <w:shd w:val="clear" w:color="auto" w:fill="CFE2F3"/>
            <w:tcMar>
              <w:top w:w="100" w:type="dxa"/>
              <w:left w:w="100" w:type="dxa"/>
              <w:bottom w:w="100" w:type="dxa"/>
              <w:right w:w="100" w:type="dxa"/>
            </w:tcMar>
          </w:tcPr>
          <w:p w14:paraId="0F58B5B8" w14:textId="77777777" w:rsidR="001E1C1E" w:rsidRDefault="00000000">
            <w:pPr>
              <w:widowControl w:val="0"/>
              <w:spacing w:after="0" w:line="240" w:lineRule="auto"/>
            </w:pPr>
            <w:r>
              <w:t>1</w:t>
            </w:r>
          </w:p>
        </w:tc>
        <w:tc>
          <w:tcPr>
            <w:tcW w:w="2025" w:type="dxa"/>
            <w:shd w:val="clear" w:color="auto" w:fill="CFE2F3"/>
            <w:tcMar>
              <w:top w:w="100" w:type="dxa"/>
              <w:left w:w="100" w:type="dxa"/>
              <w:bottom w:w="100" w:type="dxa"/>
              <w:right w:w="100" w:type="dxa"/>
            </w:tcMar>
          </w:tcPr>
          <w:p w14:paraId="59400E36" w14:textId="77777777" w:rsidR="001E1C1E" w:rsidRDefault="00000000">
            <w:pPr>
              <w:widowControl w:val="0"/>
              <w:spacing w:after="0" w:line="240" w:lineRule="auto"/>
            </w:pPr>
            <w:r>
              <w:t>0</w:t>
            </w:r>
          </w:p>
        </w:tc>
      </w:tr>
      <w:tr w:rsidR="001E1C1E" w14:paraId="33153A0F" w14:textId="77777777">
        <w:tc>
          <w:tcPr>
            <w:tcW w:w="3015" w:type="dxa"/>
            <w:shd w:val="clear" w:color="auto" w:fill="FFFFFF"/>
            <w:tcMar>
              <w:top w:w="100" w:type="dxa"/>
              <w:left w:w="100" w:type="dxa"/>
              <w:bottom w:w="100" w:type="dxa"/>
              <w:right w:w="100" w:type="dxa"/>
            </w:tcMar>
          </w:tcPr>
          <w:p w14:paraId="5FFDE432" w14:textId="77777777" w:rsidR="001E1C1E" w:rsidRDefault="00000000">
            <w:pPr>
              <w:widowControl w:val="0"/>
              <w:spacing w:after="0" w:line="240" w:lineRule="auto"/>
            </w:pPr>
            <w:r>
              <w:t>Scoring</w:t>
            </w:r>
          </w:p>
        </w:tc>
        <w:tc>
          <w:tcPr>
            <w:tcW w:w="1575" w:type="dxa"/>
            <w:shd w:val="clear" w:color="auto" w:fill="FFFFFF"/>
            <w:tcMar>
              <w:top w:w="100" w:type="dxa"/>
              <w:left w:w="100" w:type="dxa"/>
              <w:bottom w:w="100" w:type="dxa"/>
              <w:right w:w="100" w:type="dxa"/>
            </w:tcMar>
          </w:tcPr>
          <w:p w14:paraId="2A2842DC" w14:textId="77777777" w:rsidR="001E1C1E" w:rsidRDefault="00000000">
            <w:pPr>
              <w:widowControl w:val="0"/>
              <w:spacing w:after="0" w:line="240" w:lineRule="auto"/>
            </w:pPr>
            <w:r>
              <w:t>1</w:t>
            </w:r>
          </w:p>
        </w:tc>
        <w:tc>
          <w:tcPr>
            <w:tcW w:w="1935" w:type="dxa"/>
            <w:shd w:val="clear" w:color="auto" w:fill="FFFFFF"/>
            <w:tcMar>
              <w:top w:w="100" w:type="dxa"/>
              <w:left w:w="100" w:type="dxa"/>
              <w:bottom w:w="100" w:type="dxa"/>
              <w:right w:w="100" w:type="dxa"/>
            </w:tcMar>
          </w:tcPr>
          <w:p w14:paraId="6599AC97" w14:textId="77777777" w:rsidR="001E1C1E" w:rsidRDefault="00000000">
            <w:pPr>
              <w:widowControl w:val="0"/>
              <w:spacing w:after="0" w:line="240" w:lineRule="auto"/>
            </w:pPr>
            <w:r>
              <w:t>1.27%</w:t>
            </w:r>
          </w:p>
        </w:tc>
        <w:tc>
          <w:tcPr>
            <w:tcW w:w="1575" w:type="dxa"/>
            <w:shd w:val="clear" w:color="auto" w:fill="FFFFFF"/>
            <w:tcMar>
              <w:top w:w="100" w:type="dxa"/>
              <w:left w:w="100" w:type="dxa"/>
              <w:bottom w:w="100" w:type="dxa"/>
              <w:right w:w="100" w:type="dxa"/>
            </w:tcMar>
          </w:tcPr>
          <w:p w14:paraId="537EFF4F" w14:textId="77777777" w:rsidR="001E1C1E" w:rsidRDefault="00000000">
            <w:pPr>
              <w:widowControl w:val="0"/>
              <w:spacing w:after="0" w:line="240" w:lineRule="auto"/>
            </w:pPr>
            <w:r>
              <w:t>0</w:t>
            </w:r>
          </w:p>
        </w:tc>
        <w:tc>
          <w:tcPr>
            <w:tcW w:w="2025" w:type="dxa"/>
            <w:shd w:val="clear" w:color="auto" w:fill="FFFFFF"/>
            <w:tcMar>
              <w:top w:w="100" w:type="dxa"/>
              <w:left w:w="100" w:type="dxa"/>
              <w:bottom w:w="100" w:type="dxa"/>
              <w:right w:w="100" w:type="dxa"/>
            </w:tcMar>
          </w:tcPr>
          <w:p w14:paraId="4A156D77" w14:textId="77777777" w:rsidR="001E1C1E" w:rsidRDefault="00000000">
            <w:pPr>
              <w:widowControl w:val="0"/>
              <w:spacing w:after="0" w:line="240" w:lineRule="auto"/>
            </w:pPr>
            <w:r>
              <w:t>1</w:t>
            </w:r>
          </w:p>
        </w:tc>
      </w:tr>
      <w:tr w:rsidR="001E1C1E" w14:paraId="54A7551E" w14:textId="77777777">
        <w:tc>
          <w:tcPr>
            <w:tcW w:w="3015" w:type="dxa"/>
            <w:shd w:val="clear" w:color="auto" w:fill="CFE2F3"/>
            <w:tcMar>
              <w:top w:w="100" w:type="dxa"/>
              <w:left w:w="100" w:type="dxa"/>
              <w:bottom w:w="100" w:type="dxa"/>
              <w:right w:w="100" w:type="dxa"/>
            </w:tcMar>
          </w:tcPr>
          <w:p w14:paraId="50612465" w14:textId="77777777" w:rsidR="001E1C1E" w:rsidRDefault="00000000">
            <w:pPr>
              <w:widowControl w:val="0"/>
              <w:spacing w:after="0" w:line="240" w:lineRule="auto"/>
            </w:pPr>
            <w:r>
              <w:t>Release of Commercial in Confidence Information</w:t>
            </w:r>
          </w:p>
        </w:tc>
        <w:tc>
          <w:tcPr>
            <w:tcW w:w="1575" w:type="dxa"/>
            <w:shd w:val="clear" w:color="auto" w:fill="CFE2F3"/>
            <w:tcMar>
              <w:top w:w="100" w:type="dxa"/>
              <w:left w:w="100" w:type="dxa"/>
              <w:bottom w:w="100" w:type="dxa"/>
              <w:right w:w="100" w:type="dxa"/>
            </w:tcMar>
          </w:tcPr>
          <w:p w14:paraId="39BE1374" w14:textId="77777777" w:rsidR="001E1C1E" w:rsidRDefault="00000000">
            <w:pPr>
              <w:widowControl w:val="0"/>
              <w:spacing w:after="0" w:line="240" w:lineRule="auto"/>
            </w:pPr>
            <w:r>
              <w:t>1</w:t>
            </w:r>
          </w:p>
        </w:tc>
        <w:tc>
          <w:tcPr>
            <w:tcW w:w="1935" w:type="dxa"/>
            <w:shd w:val="clear" w:color="auto" w:fill="CFE2F3"/>
            <w:tcMar>
              <w:top w:w="100" w:type="dxa"/>
              <w:left w:w="100" w:type="dxa"/>
              <w:bottom w:w="100" w:type="dxa"/>
              <w:right w:w="100" w:type="dxa"/>
            </w:tcMar>
          </w:tcPr>
          <w:p w14:paraId="4BFD1E09" w14:textId="77777777" w:rsidR="001E1C1E" w:rsidRDefault="00000000">
            <w:pPr>
              <w:widowControl w:val="0"/>
              <w:spacing w:after="0" w:line="240" w:lineRule="auto"/>
            </w:pPr>
            <w:r>
              <w:t>1.27%</w:t>
            </w:r>
          </w:p>
        </w:tc>
        <w:tc>
          <w:tcPr>
            <w:tcW w:w="1575" w:type="dxa"/>
            <w:shd w:val="clear" w:color="auto" w:fill="CFE2F3"/>
            <w:tcMar>
              <w:top w:w="100" w:type="dxa"/>
              <w:left w:w="100" w:type="dxa"/>
              <w:bottom w:w="100" w:type="dxa"/>
              <w:right w:w="100" w:type="dxa"/>
            </w:tcMar>
          </w:tcPr>
          <w:p w14:paraId="48761164" w14:textId="77777777" w:rsidR="001E1C1E" w:rsidRDefault="00000000">
            <w:pPr>
              <w:widowControl w:val="0"/>
              <w:spacing w:after="0" w:line="240" w:lineRule="auto"/>
            </w:pPr>
            <w:r>
              <w:t>1</w:t>
            </w:r>
          </w:p>
        </w:tc>
        <w:tc>
          <w:tcPr>
            <w:tcW w:w="2025" w:type="dxa"/>
            <w:shd w:val="clear" w:color="auto" w:fill="CFE2F3"/>
            <w:tcMar>
              <w:top w:w="100" w:type="dxa"/>
              <w:left w:w="100" w:type="dxa"/>
              <w:bottom w:w="100" w:type="dxa"/>
              <w:right w:w="100" w:type="dxa"/>
            </w:tcMar>
          </w:tcPr>
          <w:p w14:paraId="74860629" w14:textId="77777777" w:rsidR="001E1C1E" w:rsidRDefault="00000000">
            <w:pPr>
              <w:widowControl w:val="0"/>
              <w:spacing w:after="0" w:line="240" w:lineRule="auto"/>
            </w:pPr>
            <w:r>
              <w:t>0</w:t>
            </w:r>
          </w:p>
        </w:tc>
      </w:tr>
      <w:tr w:rsidR="001E1C1E" w14:paraId="75EEA98F" w14:textId="77777777">
        <w:tc>
          <w:tcPr>
            <w:tcW w:w="3015" w:type="dxa"/>
            <w:shd w:val="clear" w:color="auto" w:fill="FFFFFF"/>
            <w:tcMar>
              <w:top w:w="100" w:type="dxa"/>
              <w:left w:w="100" w:type="dxa"/>
              <w:bottom w:w="100" w:type="dxa"/>
              <w:right w:w="100" w:type="dxa"/>
            </w:tcMar>
          </w:tcPr>
          <w:p w14:paraId="3279546A" w14:textId="77777777" w:rsidR="001E1C1E" w:rsidRDefault="00000000">
            <w:pPr>
              <w:widowControl w:val="0"/>
              <w:spacing w:after="0" w:line="240" w:lineRule="auto"/>
            </w:pPr>
            <w:r>
              <w:t>References</w:t>
            </w:r>
          </w:p>
        </w:tc>
        <w:tc>
          <w:tcPr>
            <w:tcW w:w="1575" w:type="dxa"/>
            <w:shd w:val="clear" w:color="auto" w:fill="FFFFFF"/>
            <w:tcMar>
              <w:top w:w="100" w:type="dxa"/>
              <w:left w:w="100" w:type="dxa"/>
              <w:bottom w:w="100" w:type="dxa"/>
              <w:right w:w="100" w:type="dxa"/>
            </w:tcMar>
          </w:tcPr>
          <w:p w14:paraId="73A82B4A" w14:textId="77777777" w:rsidR="001E1C1E" w:rsidRDefault="00000000">
            <w:pPr>
              <w:widowControl w:val="0"/>
              <w:spacing w:after="0" w:line="240" w:lineRule="auto"/>
            </w:pPr>
            <w:r>
              <w:t>1</w:t>
            </w:r>
          </w:p>
        </w:tc>
        <w:tc>
          <w:tcPr>
            <w:tcW w:w="1935" w:type="dxa"/>
            <w:shd w:val="clear" w:color="auto" w:fill="FFFFFF"/>
            <w:tcMar>
              <w:top w:w="100" w:type="dxa"/>
              <w:left w:w="100" w:type="dxa"/>
              <w:bottom w:w="100" w:type="dxa"/>
              <w:right w:w="100" w:type="dxa"/>
            </w:tcMar>
          </w:tcPr>
          <w:p w14:paraId="1591AC59" w14:textId="77777777" w:rsidR="001E1C1E" w:rsidRDefault="00000000">
            <w:pPr>
              <w:widowControl w:val="0"/>
              <w:spacing w:after="0" w:line="240" w:lineRule="auto"/>
            </w:pPr>
            <w:r>
              <w:t>1.27%</w:t>
            </w:r>
          </w:p>
        </w:tc>
        <w:tc>
          <w:tcPr>
            <w:tcW w:w="1575" w:type="dxa"/>
            <w:shd w:val="clear" w:color="auto" w:fill="FFFFFF"/>
            <w:tcMar>
              <w:top w:w="100" w:type="dxa"/>
              <w:left w:w="100" w:type="dxa"/>
              <w:bottom w:w="100" w:type="dxa"/>
              <w:right w:w="100" w:type="dxa"/>
            </w:tcMar>
          </w:tcPr>
          <w:p w14:paraId="108D8C8E" w14:textId="77777777" w:rsidR="001E1C1E" w:rsidRDefault="00000000">
            <w:pPr>
              <w:widowControl w:val="0"/>
              <w:spacing w:after="0" w:line="240" w:lineRule="auto"/>
            </w:pPr>
            <w:r>
              <w:t>0</w:t>
            </w:r>
          </w:p>
        </w:tc>
        <w:tc>
          <w:tcPr>
            <w:tcW w:w="2025" w:type="dxa"/>
            <w:shd w:val="clear" w:color="auto" w:fill="FFFFFF"/>
            <w:tcMar>
              <w:top w:w="100" w:type="dxa"/>
              <w:left w:w="100" w:type="dxa"/>
              <w:bottom w:w="100" w:type="dxa"/>
              <w:right w:w="100" w:type="dxa"/>
            </w:tcMar>
          </w:tcPr>
          <w:p w14:paraId="2155DC3C" w14:textId="77777777" w:rsidR="001E1C1E" w:rsidRDefault="00000000">
            <w:pPr>
              <w:widowControl w:val="0"/>
              <w:spacing w:after="0" w:line="240" w:lineRule="auto"/>
            </w:pPr>
            <w:r>
              <w:t>1</w:t>
            </w:r>
          </w:p>
        </w:tc>
      </w:tr>
      <w:tr w:rsidR="001E1C1E" w14:paraId="5060DFEE" w14:textId="77777777">
        <w:tc>
          <w:tcPr>
            <w:tcW w:w="3015" w:type="dxa"/>
            <w:shd w:val="clear" w:color="auto" w:fill="CFE2F3"/>
            <w:tcMar>
              <w:top w:w="100" w:type="dxa"/>
              <w:left w:w="100" w:type="dxa"/>
              <w:bottom w:w="100" w:type="dxa"/>
              <w:right w:w="100" w:type="dxa"/>
            </w:tcMar>
          </w:tcPr>
          <w:p w14:paraId="5FEBC2E4" w14:textId="77777777" w:rsidR="001E1C1E" w:rsidRDefault="00000000">
            <w:pPr>
              <w:widowControl w:val="0"/>
              <w:spacing w:after="0" w:line="240" w:lineRule="auto"/>
            </w:pPr>
            <w:r>
              <w:lastRenderedPageBreak/>
              <w:t>Previous Experience</w:t>
            </w:r>
          </w:p>
        </w:tc>
        <w:tc>
          <w:tcPr>
            <w:tcW w:w="1575" w:type="dxa"/>
            <w:shd w:val="clear" w:color="auto" w:fill="CFE2F3"/>
            <w:tcMar>
              <w:top w:w="100" w:type="dxa"/>
              <w:left w:w="100" w:type="dxa"/>
              <w:bottom w:w="100" w:type="dxa"/>
              <w:right w:w="100" w:type="dxa"/>
            </w:tcMar>
          </w:tcPr>
          <w:p w14:paraId="72A08D0D" w14:textId="77777777" w:rsidR="001E1C1E" w:rsidRDefault="00000000">
            <w:pPr>
              <w:widowControl w:val="0"/>
              <w:spacing w:after="0" w:line="240" w:lineRule="auto"/>
            </w:pPr>
            <w:r>
              <w:t>1</w:t>
            </w:r>
          </w:p>
        </w:tc>
        <w:tc>
          <w:tcPr>
            <w:tcW w:w="1935" w:type="dxa"/>
            <w:shd w:val="clear" w:color="auto" w:fill="CFE2F3"/>
            <w:tcMar>
              <w:top w:w="100" w:type="dxa"/>
              <w:left w:w="100" w:type="dxa"/>
              <w:bottom w:w="100" w:type="dxa"/>
              <w:right w:w="100" w:type="dxa"/>
            </w:tcMar>
          </w:tcPr>
          <w:p w14:paraId="14501EF7" w14:textId="77777777" w:rsidR="001E1C1E" w:rsidRDefault="00000000">
            <w:pPr>
              <w:widowControl w:val="0"/>
              <w:spacing w:after="0" w:line="240" w:lineRule="auto"/>
            </w:pPr>
            <w:r>
              <w:t>1.27%</w:t>
            </w:r>
          </w:p>
        </w:tc>
        <w:tc>
          <w:tcPr>
            <w:tcW w:w="1575" w:type="dxa"/>
            <w:shd w:val="clear" w:color="auto" w:fill="CFE2F3"/>
            <w:tcMar>
              <w:top w:w="100" w:type="dxa"/>
              <w:left w:w="100" w:type="dxa"/>
              <w:bottom w:w="100" w:type="dxa"/>
              <w:right w:w="100" w:type="dxa"/>
            </w:tcMar>
          </w:tcPr>
          <w:p w14:paraId="60C0AB4B" w14:textId="77777777" w:rsidR="001E1C1E" w:rsidRDefault="00000000">
            <w:pPr>
              <w:widowControl w:val="0"/>
              <w:spacing w:after="0" w:line="240" w:lineRule="auto"/>
            </w:pPr>
            <w:r>
              <w:t>1</w:t>
            </w:r>
          </w:p>
        </w:tc>
        <w:tc>
          <w:tcPr>
            <w:tcW w:w="2025" w:type="dxa"/>
            <w:shd w:val="clear" w:color="auto" w:fill="CFE2F3"/>
            <w:tcMar>
              <w:top w:w="100" w:type="dxa"/>
              <w:left w:w="100" w:type="dxa"/>
              <w:bottom w:w="100" w:type="dxa"/>
              <w:right w:w="100" w:type="dxa"/>
            </w:tcMar>
          </w:tcPr>
          <w:p w14:paraId="5A78339C" w14:textId="77777777" w:rsidR="001E1C1E" w:rsidRDefault="00000000">
            <w:pPr>
              <w:widowControl w:val="0"/>
              <w:spacing w:after="0" w:line="240" w:lineRule="auto"/>
            </w:pPr>
            <w:r>
              <w:t>0</w:t>
            </w:r>
          </w:p>
        </w:tc>
      </w:tr>
      <w:tr w:rsidR="001E1C1E" w14:paraId="42781CC0" w14:textId="77777777">
        <w:tc>
          <w:tcPr>
            <w:tcW w:w="3015" w:type="dxa"/>
            <w:shd w:val="clear" w:color="auto" w:fill="FFFFFF"/>
            <w:tcMar>
              <w:top w:w="100" w:type="dxa"/>
              <w:left w:w="100" w:type="dxa"/>
              <w:bottom w:w="100" w:type="dxa"/>
              <w:right w:w="100" w:type="dxa"/>
            </w:tcMar>
          </w:tcPr>
          <w:p w14:paraId="2F7B9BC2" w14:textId="77777777" w:rsidR="001E1C1E" w:rsidRDefault="00000000">
            <w:pPr>
              <w:widowControl w:val="0"/>
              <w:spacing w:after="0" w:line="240" w:lineRule="auto"/>
            </w:pPr>
            <w:r>
              <w:t>Favours Incumbent</w:t>
            </w:r>
          </w:p>
        </w:tc>
        <w:tc>
          <w:tcPr>
            <w:tcW w:w="1575" w:type="dxa"/>
            <w:shd w:val="clear" w:color="auto" w:fill="FFFFFF"/>
            <w:tcMar>
              <w:top w:w="100" w:type="dxa"/>
              <w:left w:w="100" w:type="dxa"/>
              <w:bottom w:w="100" w:type="dxa"/>
              <w:right w:w="100" w:type="dxa"/>
            </w:tcMar>
          </w:tcPr>
          <w:p w14:paraId="34132357" w14:textId="77777777" w:rsidR="001E1C1E" w:rsidRDefault="00000000">
            <w:pPr>
              <w:widowControl w:val="0"/>
              <w:spacing w:after="0" w:line="240" w:lineRule="auto"/>
            </w:pPr>
            <w:r>
              <w:t>1</w:t>
            </w:r>
          </w:p>
        </w:tc>
        <w:tc>
          <w:tcPr>
            <w:tcW w:w="1935" w:type="dxa"/>
            <w:shd w:val="clear" w:color="auto" w:fill="FFFFFF"/>
            <w:tcMar>
              <w:top w:w="100" w:type="dxa"/>
              <w:left w:w="100" w:type="dxa"/>
              <w:bottom w:w="100" w:type="dxa"/>
              <w:right w:w="100" w:type="dxa"/>
            </w:tcMar>
          </w:tcPr>
          <w:p w14:paraId="5D3F8D7B" w14:textId="77777777" w:rsidR="001E1C1E" w:rsidRDefault="00000000">
            <w:pPr>
              <w:widowControl w:val="0"/>
              <w:spacing w:after="0" w:line="240" w:lineRule="auto"/>
            </w:pPr>
            <w:r>
              <w:t>1.27%</w:t>
            </w:r>
          </w:p>
        </w:tc>
        <w:tc>
          <w:tcPr>
            <w:tcW w:w="1575" w:type="dxa"/>
            <w:shd w:val="clear" w:color="auto" w:fill="FFFFFF"/>
            <w:tcMar>
              <w:top w:w="100" w:type="dxa"/>
              <w:left w:w="100" w:type="dxa"/>
              <w:bottom w:w="100" w:type="dxa"/>
              <w:right w:w="100" w:type="dxa"/>
            </w:tcMar>
          </w:tcPr>
          <w:p w14:paraId="6A238F75" w14:textId="77777777" w:rsidR="001E1C1E" w:rsidRDefault="00000000">
            <w:pPr>
              <w:widowControl w:val="0"/>
              <w:spacing w:after="0" w:line="240" w:lineRule="auto"/>
            </w:pPr>
            <w:r>
              <w:t>0</w:t>
            </w:r>
          </w:p>
        </w:tc>
        <w:tc>
          <w:tcPr>
            <w:tcW w:w="2025" w:type="dxa"/>
            <w:shd w:val="clear" w:color="auto" w:fill="FFFFFF"/>
            <w:tcMar>
              <w:top w:w="100" w:type="dxa"/>
              <w:left w:w="100" w:type="dxa"/>
              <w:bottom w:w="100" w:type="dxa"/>
              <w:right w:w="100" w:type="dxa"/>
            </w:tcMar>
          </w:tcPr>
          <w:p w14:paraId="71436B4B" w14:textId="77777777" w:rsidR="001E1C1E" w:rsidRDefault="00000000">
            <w:pPr>
              <w:widowControl w:val="0"/>
              <w:spacing w:after="0" w:line="240" w:lineRule="auto"/>
            </w:pPr>
            <w:r>
              <w:t>1</w:t>
            </w:r>
          </w:p>
        </w:tc>
      </w:tr>
      <w:tr w:rsidR="001E1C1E" w14:paraId="61238300" w14:textId="77777777">
        <w:tc>
          <w:tcPr>
            <w:tcW w:w="3015" w:type="dxa"/>
            <w:shd w:val="clear" w:color="auto" w:fill="CFE2F3"/>
            <w:tcMar>
              <w:top w:w="100" w:type="dxa"/>
              <w:left w:w="100" w:type="dxa"/>
              <w:bottom w:w="100" w:type="dxa"/>
              <w:right w:w="100" w:type="dxa"/>
            </w:tcMar>
          </w:tcPr>
          <w:p w14:paraId="14F3B902" w14:textId="77777777" w:rsidR="001E1C1E" w:rsidRDefault="00000000">
            <w:pPr>
              <w:widowControl w:val="0"/>
              <w:spacing w:after="0" w:line="240" w:lineRule="auto"/>
            </w:pPr>
            <w:r>
              <w:t>Costing in Bids</w:t>
            </w:r>
          </w:p>
        </w:tc>
        <w:tc>
          <w:tcPr>
            <w:tcW w:w="1575" w:type="dxa"/>
            <w:shd w:val="clear" w:color="auto" w:fill="CFE2F3"/>
            <w:tcMar>
              <w:top w:w="100" w:type="dxa"/>
              <w:left w:w="100" w:type="dxa"/>
              <w:bottom w:w="100" w:type="dxa"/>
              <w:right w:w="100" w:type="dxa"/>
            </w:tcMar>
          </w:tcPr>
          <w:p w14:paraId="650D5199" w14:textId="77777777" w:rsidR="001E1C1E" w:rsidRDefault="00000000">
            <w:pPr>
              <w:widowControl w:val="0"/>
              <w:spacing w:after="0" w:line="240" w:lineRule="auto"/>
            </w:pPr>
            <w:r>
              <w:t>1</w:t>
            </w:r>
          </w:p>
        </w:tc>
        <w:tc>
          <w:tcPr>
            <w:tcW w:w="1935" w:type="dxa"/>
            <w:shd w:val="clear" w:color="auto" w:fill="CFE2F3"/>
            <w:tcMar>
              <w:top w:w="100" w:type="dxa"/>
              <w:left w:w="100" w:type="dxa"/>
              <w:bottom w:w="100" w:type="dxa"/>
              <w:right w:w="100" w:type="dxa"/>
            </w:tcMar>
          </w:tcPr>
          <w:p w14:paraId="4B004C8C" w14:textId="77777777" w:rsidR="001E1C1E" w:rsidRDefault="00000000">
            <w:pPr>
              <w:widowControl w:val="0"/>
              <w:spacing w:after="0" w:line="240" w:lineRule="auto"/>
            </w:pPr>
            <w:r>
              <w:t>1.27%</w:t>
            </w:r>
          </w:p>
        </w:tc>
        <w:tc>
          <w:tcPr>
            <w:tcW w:w="1575" w:type="dxa"/>
            <w:shd w:val="clear" w:color="auto" w:fill="CFE2F3"/>
            <w:tcMar>
              <w:top w:w="100" w:type="dxa"/>
              <w:left w:w="100" w:type="dxa"/>
              <w:bottom w:w="100" w:type="dxa"/>
              <w:right w:w="100" w:type="dxa"/>
            </w:tcMar>
          </w:tcPr>
          <w:p w14:paraId="65857B43" w14:textId="77777777" w:rsidR="001E1C1E" w:rsidRDefault="00000000">
            <w:pPr>
              <w:widowControl w:val="0"/>
              <w:spacing w:after="0" w:line="240" w:lineRule="auto"/>
            </w:pPr>
            <w:r>
              <w:t>1</w:t>
            </w:r>
          </w:p>
        </w:tc>
        <w:tc>
          <w:tcPr>
            <w:tcW w:w="2025" w:type="dxa"/>
            <w:shd w:val="clear" w:color="auto" w:fill="CFE2F3"/>
            <w:tcMar>
              <w:top w:w="100" w:type="dxa"/>
              <w:left w:w="100" w:type="dxa"/>
              <w:bottom w:w="100" w:type="dxa"/>
              <w:right w:w="100" w:type="dxa"/>
            </w:tcMar>
          </w:tcPr>
          <w:p w14:paraId="4CD6A277" w14:textId="77777777" w:rsidR="001E1C1E" w:rsidRDefault="00000000">
            <w:pPr>
              <w:widowControl w:val="0"/>
              <w:spacing w:after="0" w:line="240" w:lineRule="auto"/>
            </w:pPr>
            <w:r>
              <w:t>0</w:t>
            </w:r>
          </w:p>
        </w:tc>
      </w:tr>
      <w:tr w:rsidR="001E1C1E" w14:paraId="24733E92" w14:textId="77777777">
        <w:tc>
          <w:tcPr>
            <w:tcW w:w="3015" w:type="dxa"/>
            <w:shd w:val="clear" w:color="auto" w:fill="FFFFFF"/>
            <w:tcMar>
              <w:top w:w="100" w:type="dxa"/>
              <w:left w:w="100" w:type="dxa"/>
              <w:bottom w:w="100" w:type="dxa"/>
              <w:right w:w="100" w:type="dxa"/>
            </w:tcMar>
          </w:tcPr>
          <w:p w14:paraId="2A6573B0" w14:textId="77777777" w:rsidR="001E1C1E" w:rsidRDefault="00000000">
            <w:pPr>
              <w:widowControl w:val="0"/>
              <w:spacing w:after="0" w:line="240" w:lineRule="auto"/>
            </w:pPr>
            <w:r>
              <w:t>Competition</w:t>
            </w:r>
          </w:p>
        </w:tc>
        <w:tc>
          <w:tcPr>
            <w:tcW w:w="1575" w:type="dxa"/>
            <w:shd w:val="clear" w:color="auto" w:fill="FFFFFF"/>
            <w:tcMar>
              <w:top w:w="100" w:type="dxa"/>
              <w:left w:w="100" w:type="dxa"/>
              <w:bottom w:w="100" w:type="dxa"/>
              <w:right w:w="100" w:type="dxa"/>
            </w:tcMar>
          </w:tcPr>
          <w:p w14:paraId="1113F4DE" w14:textId="77777777" w:rsidR="001E1C1E" w:rsidRDefault="00000000">
            <w:pPr>
              <w:widowControl w:val="0"/>
              <w:spacing w:after="0" w:line="240" w:lineRule="auto"/>
            </w:pPr>
            <w:r>
              <w:t>1</w:t>
            </w:r>
          </w:p>
        </w:tc>
        <w:tc>
          <w:tcPr>
            <w:tcW w:w="1935" w:type="dxa"/>
            <w:shd w:val="clear" w:color="auto" w:fill="FFFFFF"/>
            <w:tcMar>
              <w:top w:w="100" w:type="dxa"/>
              <w:left w:w="100" w:type="dxa"/>
              <w:bottom w:w="100" w:type="dxa"/>
              <w:right w:w="100" w:type="dxa"/>
            </w:tcMar>
          </w:tcPr>
          <w:p w14:paraId="45A59887" w14:textId="77777777" w:rsidR="001E1C1E" w:rsidRDefault="00000000">
            <w:pPr>
              <w:widowControl w:val="0"/>
              <w:spacing w:after="0" w:line="240" w:lineRule="auto"/>
            </w:pPr>
            <w:r>
              <w:t>1.27%</w:t>
            </w:r>
          </w:p>
        </w:tc>
        <w:tc>
          <w:tcPr>
            <w:tcW w:w="1575" w:type="dxa"/>
            <w:shd w:val="clear" w:color="auto" w:fill="FFFFFF"/>
            <w:tcMar>
              <w:top w:w="100" w:type="dxa"/>
              <w:left w:w="100" w:type="dxa"/>
              <w:bottom w:w="100" w:type="dxa"/>
              <w:right w:w="100" w:type="dxa"/>
            </w:tcMar>
          </w:tcPr>
          <w:p w14:paraId="7CD94F80" w14:textId="77777777" w:rsidR="001E1C1E" w:rsidRDefault="00000000">
            <w:pPr>
              <w:widowControl w:val="0"/>
              <w:spacing w:after="0" w:line="240" w:lineRule="auto"/>
            </w:pPr>
            <w:r>
              <w:t>0</w:t>
            </w:r>
          </w:p>
        </w:tc>
        <w:tc>
          <w:tcPr>
            <w:tcW w:w="2025" w:type="dxa"/>
            <w:shd w:val="clear" w:color="auto" w:fill="FFFFFF"/>
            <w:tcMar>
              <w:top w:w="100" w:type="dxa"/>
              <w:left w:w="100" w:type="dxa"/>
              <w:bottom w:w="100" w:type="dxa"/>
              <w:right w:w="100" w:type="dxa"/>
            </w:tcMar>
          </w:tcPr>
          <w:p w14:paraId="37CBE73F" w14:textId="77777777" w:rsidR="001E1C1E" w:rsidRDefault="00000000">
            <w:pPr>
              <w:widowControl w:val="0"/>
              <w:spacing w:after="0" w:line="240" w:lineRule="auto"/>
            </w:pPr>
            <w:r>
              <w:t>1</w:t>
            </w:r>
          </w:p>
        </w:tc>
      </w:tr>
      <w:tr w:rsidR="001E1C1E" w14:paraId="373949D7" w14:textId="77777777">
        <w:tc>
          <w:tcPr>
            <w:tcW w:w="3015" w:type="dxa"/>
            <w:shd w:val="clear" w:color="auto" w:fill="CFE2F3"/>
            <w:tcMar>
              <w:top w:w="100" w:type="dxa"/>
              <w:left w:w="100" w:type="dxa"/>
              <w:bottom w:w="100" w:type="dxa"/>
              <w:right w:w="100" w:type="dxa"/>
            </w:tcMar>
          </w:tcPr>
          <w:p w14:paraId="743422FB" w14:textId="77777777" w:rsidR="001E1C1E" w:rsidRDefault="00000000">
            <w:pPr>
              <w:widowControl w:val="0"/>
              <w:spacing w:after="0" w:line="240" w:lineRule="auto"/>
            </w:pPr>
            <w:r>
              <w:t>Advertisement</w:t>
            </w:r>
          </w:p>
        </w:tc>
        <w:tc>
          <w:tcPr>
            <w:tcW w:w="1575" w:type="dxa"/>
            <w:shd w:val="clear" w:color="auto" w:fill="CFE2F3"/>
            <w:tcMar>
              <w:top w:w="100" w:type="dxa"/>
              <w:left w:w="100" w:type="dxa"/>
              <w:bottom w:w="100" w:type="dxa"/>
              <w:right w:w="100" w:type="dxa"/>
            </w:tcMar>
          </w:tcPr>
          <w:p w14:paraId="0F2EDD04" w14:textId="77777777" w:rsidR="001E1C1E" w:rsidRDefault="00000000">
            <w:pPr>
              <w:widowControl w:val="0"/>
              <w:spacing w:after="0" w:line="240" w:lineRule="auto"/>
            </w:pPr>
            <w:r>
              <w:t>1</w:t>
            </w:r>
          </w:p>
        </w:tc>
        <w:tc>
          <w:tcPr>
            <w:tcW w:w="1935" w:type="dxa"/>
            <w:shd w:val="clear" w:color="auto" w:fill="CFE2F3"/>
            <w:tcMar>
              <w:top w:w="100" w:type="dxa"/>
              <w:left w:w="100" w:type="dxa"/>
              <w:bottom w:w="100" w:type="dxa"/>
              <w:right w:w="100" w:type="dxa"/>
            </w:tcMar>
          </w:tcPr>
          <w:p w14:paraId="13E1903D" w14:textId="77777777" w:rsidR="001E1C1E" w:rsidRDefault="00000000">
            <w:pPr>
              <w:widowControl w:val="0"/>
              <w:spacing w:after="0" w:line="240" w:lineRule="auto"/>
            </w:pPr>
            <w:r>
              <w:t>1.27%</w:t>
            </w:r>
          </w:p>
        </w:tc>
        <w:tc>
          <w:tcPr>
            <w:tcW w:w="1575" w:type="dxa"/>
            <w:shd w:val="clear" w:color="auto" w:fill="CFE2F3"/>
            <w:tcMar>
              <w:top w:w="100" w:type="dxa"/>
              <w:left w:w="100" w:type="dxa"/>
              <w:bottom w:w="100" w:type="dxa"/>
              <w:right w:w="100" w:type="dxa"/>
            </w:tcMar>
          </w:tcPr>
          <w:p w14:paraId="4F6726F6" w14:textId="77777777" w:rsidR="001E1C1E" w:rsidRDefault="00000000">
            <w:pPr>
              <w:widowControl w:val="0"/>
              <w:spacing w:after="0" w:line="240" w:lineRule="auto"/>
            </w:pPr>
            <w:r>
              <w:t>0</w:t>
            </w:r>
          </w:p>
        </w:tc>
        <w:tc>
          <w:tcPr>
            <w:tcW w:w="2025" w:type="dxa"/>
            <w:shd w:val="clear" w:color="auto" w:fill="CFE2F3"/>
            <w:tcMar>
              <w:top w:w="100" w:type="dxa"/>
              <w:left w:w="100" w:type="dxa"/>
              <w:bottom w:w="100" w:type="dxa"/>
              <w:right w:w="100" w:type="dxa"/>
            </w:tcMar>
          </w:tcPr>
          <w:p w14:paraId="434E8B0D" w14:textId="77777777" w:rsidR="001E1C1E" w:rsidRDefault="00000000">
            <w:pPr>
              <w:widowControl w:val="0"/>
              <w:spacing w:after="0" w:line="240" w:lineRule="auto"/>
            </w:pPr>
            <w:r>
              <w:t>1</w:t>
            </w:r>
          </w:p>
        </w:tc>
      </w:tr>
      <w:tr w:rsidR="001E1C1E" w14:paraId="10C325C2" w14:textId="77777777">
        <w:tc>
          <w:tcPr>
            <w:tcW w:w="3015" w:type="dxa"/>
            <w:shd w:val="clear" w:color="auto" w:fill="FFFFFF"/>
            <w:tcMar>
              <w:top w:w="100" w:type="dxa"/>
              <w:left w:w="100" w:type="dxa"/>
              <w:bottom w:w="100" w:type="dxa"/>
              <w:right w:w="100" w:type="dxa"/>
            </w:tcMar>
          </w:tcPr>
          <w:p w14:paraId="2BD287F6" w14:textId="77777777" w:rsidR="001E1C1E" w:rsidRDefault="00000000">
            <w:pPr>
              <w:widowControl w:val="0"/>
              <w:spacing w:after="0" w:line="240" w:lineRule="auto"/>
            </w:pPr>
            <w:r>
              <w:t>Administration</w:t>
            </w:r>
          </w:p>
        </w:tc>
        <w:tc>
          <w:tcPr>
            <w:tcW w:w="1575" w:type="dxa"/>
            <w:shd w:val="clear" w:color="auto" w:fill="FFFFFF"/>
            <w:tcMar>
              <w:top w:w="100" w:type="dxa"/>
              <w:left w:w="100" w:type="dxa"/>
              <w:bottom w:w="100" w:type="dxa"/>
              <w:right w:w="100" w:type="dxa"/>
            </w:tcMar>
          </w:tcPr>
          <w:p w14:paraId="46B6AD73" w14:textId="77777777" w:rsidR="001E1C1E" w:rsidRDefault="00000000">
            <w:pPr>
              <w:widowControl w:val="0"/>
              <w:spacing w:after="0" w:line="240" w:lineRule="auto"/>
            </w:pPr>
            <w:r>
              <w:t>1</w:t>
            </w:r>
          </w:p>
        </w:tc>
        <w:tc>
          <w:tcPr>
            <w:tcW w:w="1935" w:type="dxa"/>
            <w:shd w:val="clear" w:color="auto" w:fill="FFFFFF"/>
            <w:tcMar>
              <w:top w:w="100" w:type="dxa"/>
              <w:left w:w="100" w:type="dxa"/>
              <w:bottom w:w="100" w:type="dxa"/>
              <w:right w:w="100" w:type="dxa"/>
            </w:tcMar>
          </w:tcPr>
          <w:p w14:paraId="692900BF" w14:textId="77777777" w:rsidR="001E1C1E" w:rsidRDefault="00000000">
            <w:pPr>
              <w:widowControl w:val="0"/>
              <w:spacing w:after="0" w:line="240" w:lineRule="auto"/>
            </w:pPr>
            <w:r>
              <w:t>1.27%</w:t>
            </w:r>
          </w:p>
        </w:tc>
        <w:tc>
          <w:tcPr>
            <w:tcW w:w="1575" w:type="dxa"/>
            <w:shd w:val="clear" w:color="auto" w:fill="FFFFFF"/>
            <w:tcMar>
              <w:top w:w="100" w:type="dxa"/>
              <w:left w:w="100" w:type="dxa"/>
              <w:bottom w:w="100" w:type="dxa"/>
              <w:right w:w="100" w:type="dxa"/>
            </w:tcMar>
          </w:tcPr>
          <w:p w14:paraId="650E95C5" w14:textId="77777777" w:rsidR="001E1C1E" w:rsidRDefault="00000000">
            <w:pPr>
              <w:widowControl w:val="0"/>
              <w:spacing w:after="0" w:line="240" w:lineRule="auto"/>
            </w:pPr>
            <w:r>
              <w:t>1</w:t>
            </w:r>
          </w:p>
        </w:tc>
        <w:tc>
          <w:tcPr>
            <w:tcW w:w="2025" w:type="dxa"/>
            <w:shd w:val="clear" w:color="auto" w:fill="FFFFFF"/>
            <w:tcMar>
              <w:top w:w="100" w:type="dxa"/>
              <w:left w:w="100" w:type="dxa"/>
              <w:bottom w:w="100" w:type="dxa"/>
              <w:right w:w="100" w:type="dxa"/>
            </w:tcMar>
          </w:tcPr>
          <w:p w14:paraId="7B94A677" w14:textId="77777777" w:rsidR="001E1C1E" w:rsidRDefault="00000000">
            <w:pPr>
              <w:widowControl w:val="0"/>
              <w:spacing w:after="0" w:line="240" w:lineRule="auto"/>
            </w:pPr>
            <w:r>
              <w:t>0</w:t>
            </w:r>
          </w:p>
        </w:tc>
      </w:tr>
      <w:tr w:rsidR="001E1C1E" w14:paraId="30A678B0" w14:textId="77777777">
        <w:tc>
          <w:tcPr>
            <w:tcW w:w="3015" w:type="dxa"/>
            <w:shd w:val="clear" w:color="auto" w:fill="005ABB"/>
            <w:tcMar>
              <w:top w:w="100" w:type="dxa"/>
              <w:left w:w="100" w:type="dxa"/>
              <w:bottom w:w="100" w:type="dxa"/>
              <w:right w:w="100" w:type="dxa"/>
            </w:tcMar>
          </w:tcPr>
          <w:p w14:paraId="298C4723" w14:textId="77777777" w:rsidR="001E1C1E" w:rsidRDefault="001E1C1E">
            <w:pPr>
              <w:widowControl w:val="0"/>
              <w:spacing w:after="0" w:line="240" w:lineRule="auto"/>
              <w:rPr>
                <w:color w:val="FFFFFF"/>
              </w:rPr>
            </w:pPr>
          </w:p>
        </w:tc>
        <w:tc>
          <w:tcPr>
            <w:tcW w:w="1575" w:type="dxa"/>
            <w:shd w:val="clear" w:color="auto" w:fill="005ABB"/>
            <w:tcMar>
              <w:top w:w="100" w:type="dxa"/>
              <w:left w:w="100" w:type="dxa"/>
              <w:bottom w:w="100" w:type="dxa"/>
              <w:right w:w="100" w:type="dxa"/>
            </w:tcMar>
          </w:tcPr>
          <w:p w14:paraId="0591E462" w14:textId="77777777" w:rsidR="001E1C1E" w:rsidRDefault="00000000">
            <w:pPr>
              <w:widowControl w:val="0"/>
              <w:spacing w:after="0" w:line="240" w:lineRule="auto"/>
              <w:rPr>
                <w:color w:val="FFFFFF"/>
              </w:rPr>
            </w:pPr>
            <w:r>
              <w:rPr>
                <w:color w:val="FFFFFF"/>
              </w:rPr>
              <w:t>105</w:t>
            </w:r>
          </w:p>
        </w:tc>
        <w:tc>
          <w:tcPr>
            <w:tcW w:w="1935" w:type="dxa"/>
            <w:shd w:val="clear" w:color="auto" w:fill="005ABB"/>
            <w:tcMar>
              <w:top w:w="100" w:type="dxa"/>
              <w:left w:w="100" w:type="dxa"/>
              <w:bottom w:w="100" w:type="dxa"/>
              <w:right w:w="100" w:type="dxa"/>
            </w:tcMar>
          </w:tcPr>
          <w:p w14:paraId="48F32ED6" w14:textId="77777777" w:rsidR="001E1C1E" w:rsidRDefault="00000000">
            <w:pPr>
              <w:widowControl w:val="0"/>
              <w:spacing w:after="0" w:line="240" w:lineRule="auto"/>
              <w:rPr>
                <w:color w:val="FFFFFF"/>
              </w:rPr>
            </w:pPr>
            <w:r>
              <w:rPr>
                <w:color w:val="FFFFFF"/>
              </w:rPr>
              <w:t>100%</w:t>
            </w:r>
          </w:p>
        </w:tc>
        <w:tc>
          <w:tcPr>
            <w:tcW w:w="1575" w:type="dxa"/>
            <w:shd w:val="clear" w:color="auto" w:fill="005ABB"/>
            <w:tcMar>
              <w:top w:w="100" w:type="dxa"/>
              <w:left w:w="100" w:type="dxa"/>
              <w:bottom w:w="100" w:type="dxa"/>
              <w:right w:w="100" w:type="dxa"/>
            </w:tcMar>
          </w:tcPr>
          <w:p w14:paraId="34589A2A" w14:textId="77777777" w:rsidR="001E1C1E" w:rsidRDefault="00000000">
            <w:pPr>
              <w:widowControl w:val="0"/>
              <w:spacing w:after="0" w:line="240" w:lineRule="auto"/>
              <w:rPr>
                <w:color w:val="FFFFFF"/>
              </w:rPr>
            </w:pPr>
            <w:r>
              <w:rPr>
                <w:color w:val="FFFFFF"/>
              </w:rPr>
              <w:t>50</w:t>
            </w:r>
          </w:p>
        </w:tc>
        <w:tc>
          <w:tcPr>
            <w:tcW w:w="2025" w:type="dxa"/>
            <w:shd w:val="clear" w:color="auto" w:fill="005ABB"/>
            <w:tcMar>
              <w:top w:w="100" w:type="dxa"/>
              <w:left w:w="100" w:type="dxa"/>
              <w:bottom w:w="100" w:type="dxa"/>
              <w:right w:w="100" w:type="dxa"/>
            </w:tcMar>
          </w:tcPr>
          <w:p w14:paraId="461F0F9B" w14:textId="77777777" w:rsidR="001E1C1E" w:rsidRDefault="00000000">
            <w:pPr>
              <w:widowControl w:val="0"/>
              <w:spacing w:after="0" w:line="240" w:lineRule="auto"/>
              <w:rPr>
                <w:color w:val="FFFFFF"/>
              </w:rPr>
            </w:pPr>
            <w:r>
              <w:rPr>
                <w:color w:val="FFFFFF"/>
              </w:rPr>
              <w:t>32</w:t>
            </w:r>
          </w:p>
        </w:tc>
      </w:tr>
    </w:tbl>
    <w:p w14:paraId="7D70C76F" w14:textId="77777777" w:rsidR="001E1C1E" w:rsidRDefault="001E1C1E">
      <w:pPr>
        <w:widowControl w:val="0"/>
        <w:spacing w:after="0" w:line="276" w:lineRule="auto"/>
        <w:ind w:left="-425" w:right="-550"/>
        <w:jc w:val="both"/>
        <w:rPr>
          <w:b/>
          <w:bCs/>
          <w:i/>
          <w:iCs/>
        </w:rPr>
      </w:pPr>
    </w:p>
    <w:p w14:paraId="6A9FE2CF" w14:textId="77777777" w:rsidR="001E1C1E" w:rsidRDefault="00000000">
      <w:pPr>
        <w:widowControl w:val="0"/>
        <w:spacing w:after="0" w:line="276" w:lineRule="auto"/>
        <w:ind w:left="-425" w:right="-550"/>
        <w:jc w:val="both"/>
      </w:pPr>
      <w:r>
        <w:t xml:space="preserve">Payment accounted for 29.5% (23 cases) of all WPS issues reported to PPRS in 2025/26.  This is a decrease from the previous year where ‘Payment’ represented 43.3% (29 cases) of WPS complaints.  ‘Evaluation’ at 7.7% is an increase to the previous year where only 3 complaints were received. ‘G-Cloud’ received 5 complaints, where in the previous year there were none. </w:t>
      </w:r>
    </w:p>
    <w:p w14:paraId="12CD1836" w14:textId="77777777" w:rsidR="001E1C1E" w:rsidRDefault="001E1C1E">
      <w:pPr>
        <w:widowControl w:val="0"/>
        <w:spacing w:after="0" w:line="276" w:lineRule="auto"/>
        <w:ind w:left="-425" w:right="-550"/>
        <w:jc w:val="both"/>
      </w:pPr>
    </w:p>
    <w:p w14:paraId="61269081" w14:textId="1B1BB1EF" w:rsidR="001E1C1E" w:rsidRDefault="00000000">
      <w:pPr>
        <w:widowControl w:val="0"/>
        <w:spacing w:after="0" w:line="276" w:lineRule="auto"/>
        <w:ind w:left="-425" w:right="-550"/>
        <w:jc w:val="both"/>
        <w:rPr>
          <w:b/>
          <w:bCs/>
          <w:i/>
          <w:iCs/>
        </w:rPr>
      </w:pPr>
      <w:r>
        <w:t>‘SME exclusion’, ‘Feedback’, ‘Contract management’, ‘Communication’, and ‘Changing approach’ received 3 cases. ‘TUPE’, ‘Tender withdrawn’, ‘Tender process’, ‘Prices’, ‘Experience’, ‘Clarification’, and ‘Assessment &amp; scoring’ received 2 complaints. In the previous year the highest reported issues were regarding ‘Payment’ with 29 cases, ‘Communication’ with 5 cases, ‘Transparency’, ‘Evaluation’, and ‘Award’, with 3 cases.</w:t>
      </w:r>
    </w:p>
    <w:p w14:paraId="1F828A3E" w14:textId="77777777" w:rsidR="001E1C1E" w:rsidRDefault="001E1C1E">
      <w:pPr>
        <w:widowControl w:val="0"/>
        <w:spacing w:after="0" w:line="276" w:lineRule="auto"/>
        <w:ind w:left="-425" w:right="-550"/>
        <w:jc w:val="both"/>
        <w:rPr>
          <w:b/>
          <w:bCs/>
          <w:i/>
          <w:iCs/>
        </w:rPr>
      </w:pPr>
    </w:p>
    <w:p w14:paraId="6DFE3D25" w14:textId="77777777" w:rsidR="001E1C1E" w:rsidRDefault="001E1C1E">
      <w:pPr>
        <w:widowControl w:val="0"/>
        <w:spacing w:after="0" w:line="276" w:lineRule="auto"/>
        <w:ind w:left="-425" w:right="-550"/>
        <w:jc w:val="both"/>
        <w:rPr>
          <w:b/>
          <w:bCs/>
          <w:i/>
          <w:iCs/>
        </w:rPr>
      </w:pPr>
    </w:p>
    <w:p w14:paraId="4D7C9F5D" w14:textId="77777777" w:rsidR="001E1C1E" w:rsidRDefault="001E1C1E">
      <w:pPr>
        <w:widowControl w:val="0"/>
        <w:spacing w:after="0" w:line="276" w:lineRule="auto"/>
        <w:ind w:left="-425" w:right="-550"/>
        <w:jc w:val="both"/>
        <w:rPr>
          <w:b/>
          <w:bCs/>
          <w:i/>
          <w:iCs/>
        </w:rPr>
      </w:pPr>
    </w:p>
    <w:p w14:paraId="40FA946B" w14:textId="77777777" w:rsidR="001E1C1E" w:rsidRDefault="001E1C1E">
      <w:pPr>
        <w:widowControl w:val="0"/>
        <w:spacing w:after="0" w:line="276" w:lineRule="auto"/>
        <w:ind w:left="-425" w:right="-550"/>
        <w:jc w:val="both"/>
        <w:rPr>
          <w:b/>
          <w:bCs/>
          <w:i/>
          <w:iCs/>
        </w:rPr>
      </w:pPr>
    </w:p>
    <w:p w14:paraId="681C9A58" w14:textId="77777777" w:rsidR="001E1C1E" w:rsidRDefault="001E1C1E">
      <w:pPr>
        <w:widowControl w:val="0"/>
        <w:spacing w:after="0" w:line="276" w:lineRule="auto"/>
        <w:ind w:left="-425" w:right="-550"/>
        <w:jc w:val="both"/>
        <w:rPr>
          <w:b/>
          <w:bCs/>
          <w:i/>
          <w:iCs/>
        </w:rPr>
      </w:pPr>
    </w:p>
    <w:p w14:paraId="2C5A1B21" w14:textId="77777777" w:rsidR="001E1C1E" w:rsidRDefault="001E1C1E">
      <w:pPr>
        <w:widowControl w:val="0"/>
        <w:spacing w:after="0" w:line="276" w:lineRule="auto"/>
        <w:ind w:left="-425" w:right="-550"/>
        <w:jc w:val="both"/>
        <w:rPr>
          <w:b/>
          <w:bCs/>
          <w:i/>
          <w:iCs/>
        </w:rPr>
      </w:pPr>
    </w:p>
    <w:p w14:paraId="17CF8FD1" w14:textId="77777777" w:rsidR="001E1C1E" w:rsidRDefault="001E1C1E">
      <w:pPr>
        <w:widowControl w:val="0"/>
        <w:spacing w:after="0" w:line="276" w:lineRule="auto"/>
        <w:ind w:left="-425" w:right="-550"/>
        <w:jc w:val="both"/>
        <w:rPr>
          <w:b/>
          <w:bCs/>
          <w:i/>
          <w:iCs/>
        </w:rPr>
      </w:pPr>
    </w:p>
    <w:p w14:paraId="10CCFBB4" w14:textId="77777777" w:rsidR="001E1C1E" w:rsidRDefault="001E1C1E">
      <w:pPr>
        <w:widowControl w:val="0"/>
        <w:spacing w:after="0" w:line="276" w:lineRule="auto"/>
        <w:ind w:left="-425" w:right="-550"/>
        <w:jc w:val="both"/>
        <w:rPr>
          <w:b/>
          <w:bCs/>
          <w:i/>
          <w:iCs/>
        </w:rPr>
      </w:pPr>
    </w:p>
    <w:p w14:paraId="22E0D367" w14:textId="77777777" w:rsidR="001E1C1E" w:rsidRDefault="001E1C1E">
      <w:pPr>
        <w:widowControl w:val="0"/>
        <w:spacing w:after="0" w:line="276" w:lineRule="auto"/>
        <w:ind w:left="-425" w:right="-550"/>
        <w:jc w:val="both"/>
        <w:rPr>
          <w:b/>
          <w:bCs/>
          <w:i/>
          <w:iCs/>
        </w:rPr>
      </w:pPr>
    </w:p>
    <w:p w14:paraId="261AD3F0" w14:textId="77777777" w:rsidR="001E1C1E" w:rsidRDefault="001E1C1E">
      <w:pPr>
        <w:widowControl w:val="0"/>
        <w:spacing w:after="0" w:line="276" w:lineRule="auto"/>
        <w:ind w:left="-425" w:right="-550"/>
        <w:jc w:val="both"/>
        <w:rPr>
          <w:b/>
          <w:bCs/>
          <w:i/>
          <w:iCs/>
        </w:rPr>
      </w:pPr>
    </w:p>
    <w:p w14:paraId="6E415688" w14:textId="77777777" w:rsidR="001E1C1E" w:rsidRDefault="001E1C1E">
      <w:pPr>
        <w:widowControl w:val="0"/>
        <w:spacing w:after="0" w:line="276" w:lineRule="auto"/>
        <w:ind w:left="-425" w:right="-550"/>
        <w:jc w:val="both"/>
        <w:rPr>
          <w:b/>
          <w:bCs/>
          <w:i/>
          <w:iCs/>
        </w:rPr>
      </w:pPr>
    </w:p>
    <w:p w14:paraId="5BA19006" w14:textId="77777777" w:rsidR="001E1C1E" w:rsidRDefault="001E1C1E">
      <w:pPr>
        <w:widowControl w:val="0"/>
        <w:spacing w:after="0" w:line="276" w:lineRule="auto"/>
        <w:ind w:left="-425" w:right="-550"/>
        <w:jc w:val="both"/>
        <w:rPr>
          <w:b/>
          <w:bCs/>
          <w:i/>
          <w:iCs/>
        </w:rPr>
      </w:pPr>
    </w:p>
    <w:p w14:paraId="601F1051" w14:textId="77777777" w:rsidR="001E1C1E" w:rsidRDefault="001E1C1E">
      <w:pPr>
        <w:widowControl w:val="0"/>
        <w:spacing w:after="0" w:line="276" w:lineRule="auto"/>
        <w:ind w:left="-425" w:right="-550"/>
        <w:jc w:val="both"/>
        <w:rPr>
          <w:b/>
          <w:bCs/>
          <w:i/>
          <w:iCs/>
        </w:rPr>
      </w:pPr>
    </w:p>
    <w:p w14:paraId="22C1E0F9" w14:textId="77777777" w:rsidR="001E1C1E" w:rsidRDefault="001E1C1E">
      <w:pPr>
        <w:widowControl w:val="0"/>
        <w:spacing w:after="0" w:line="276" w:lineRule="auto"/>
        <w:ind w:left="-425" w:right="-550"/>
        <w:jc w:val="both"/>
        <w:rPr>
          <w:b/>
          <w:bCs/>
          <w:i/>
          <w:iCs/>
        </w:rPr>
      </w:pPr>
    </w:p>
    <w:p w14:paraId="02E0795E" w14:textId="77777777" w:rsidR="001E1C1E" w:rsidRDefault="001E1C1E">
      <w:pPr>
        <w:widowControl w:val="0"/>
        <w:spacing w:after="0" w:line="276" w:lineRule="auto"/>
        <w:ind w:left="-425" w:right="-550"/>
        <w:jc w:val="both"/>
        <w:rPr>
          <w:b/>
          <w:bCs/>
          <w:i/>
          <w:iCs/>
        </w:rPr>
      </w:pPr>
    </w:p>
    <w:p w14:paraId="789CB481" w14:textId="77777777" w:rsidR="001E1C1E" w:rsidRDefault="001E1C1E">
      <w:pPr>
        <w:widowControl w:val="0"/>
        <w:spacing w:after="0" w:line="276" w:lineRule="auto"/>
        <w:ind w:left="-425" w:right="-550"/>
        <w:jc w:val="both"/>
        <w:rPr>
          <w:b/>
          <w:bCs/>
          <w:i/>
          <w:iCs/>
        </w:rPr>
      </w:pPr>
    </w:p>
    <w:p w14:paraId="2EC5C342" w14:textId="77777777" w:rsidR="001E1C1E" w:rsidRDefault="001E1C1E">
      <w:pPr>
        <w:widowControl w:val="0"/>
        <w:spacing w:after="0" w:line="276" w:lineRule="auto"/>
        <w:ind w:left="-425" w:right="-550"/>
        <w:jc w:val="both"/>
        <w:rPr>
          <w:b/>
          <w:bCs/>
          <w:i/>
          <w:iCs/>
        </w:rPr>
      </w:pPr>
    </w:p>
    <w:p w14:paraId="73E09842" w14:textId="77777777" w:rsidR="001E1C1E" w:rsidRDefault="001E1C1E">
      <w:pPr>
        <w:widowControl w:val="0"/>
        <w:spacing w:after="0" w:line="276" w:lineRule="auto"/>
        <w:ind w:left="-425" w:right="-550"/>
        <w:jc w:val="both"/>
        <w:rPr>
          <w:b/>
          <w:bCs/>
          <w:i/>
          <w:iCs/>
        </w:rPr>
      </w:pPr>
    </w:p>
    <w:p w14:paraId="0A3E21A7" w14:textId="77777777" w:rsidR="001E1C1E" w:rsidRDefault="001E1C1E">
      <w:pPr>
        <w:widowControl w:val="0"/>
        <w:spacing w:after="0" w:line="276" w:lineRule="auto"/>
        <w:ind w:left="-425" w:right="-550"/>
        <w:jc w:val="both"/>
        <w:rPr>
          <w:b/>
          <w:bCs/>
          <w:i/>
          <w:iCs/>
        </w:rPr>
      </w:pPr>
    </w:p>
    <w:p w14:paraId="0C9DB8F2" w14:textId="77777777" w:rsidR="001E1C1E" w:rsidRDefault="001E1C1E">
      <w:pPr>
        <w:widowControl w:val="0"/>
        <w:spacing w:after="0" w:line="276" w:lineRule="auto"/>
        <w:ind w:left="-425" w:right="-550"/>
        <w:jc w:val="both"/>
        <w:rPr>
          <w:b/>
          <w:bCs/>
          <w:i/>
          <w:iCs/>
        </w:rPr>
      </w:pPr>
    </w:p>
    <w:p w14:paraId="19CCD503" w14:textId="77777777" w:rsidR="001E1C1E" w:rsidRDefault="00000000">
      <w:pPr>
        <w:widowControl w:val="0"/>
        <w:spacing w:after="0" w:line="276" w:lineRule="auto"/>
        <w:ind w:left="-425" w:right="-550"/>
        <w:jc w:val="both"/>
        <w:rPr>
          <w:b/>
          <w:bCs/>
          <w:i/>
          <w:iCs/>
        </w:rPr>
      </w:pPr>
      <w:r>
        <w:rPr>
          <w:b/>
          <w:bCs/>
          <w:i/>
          <w:iCs/>
        </w:rPr>
        <w:t>Chart 11: WPS - sector split of cases not upheld and upheld 2025/26</w:t>
      </w:r>
    </w:p>
    <w:p w14:paraId="6214974C" w14:textId="77777777" w:rsidR="001E1C1E" w:rsidRDefault="00000000">
      <w:pPr>
        <w:spacing w:after="0" w:line="276" w:lineRule="auto"/>
        <w:ind w:left="-425" w:right="-550"/>
        <w:jc w:val="both"/>
      </w:pPr>
      <w:r>
        <w:rPr>
          <w:noProof/>
        </w:rPr>
        <w:drawing>
          <wp:anchor distT="114300" distB="114300" distL="114300" distR="114300" simplePos="0" relativeHeight="251666432" behindDoc="0" locked="0" layoutInCell="1" hidden="0" allowOverlap="1" wp14:anchorId="38BD5F04" wp14:editId="53F2DD57">
            <wp:simplePos x="0" y="0"/>
            <wp:positionH relativeFrom="page">
              <wp:posOffset>379200</wp:posOffset>
            </wp:positionH>
            <wp:positionV relativeFrom="page">
              <wp:posOffset>1970926</wp:posOffset>
            </wp:positionV>
            <wp:extent cx="6618500" cy="4307116"/>
            <wp:effectExtent l="0" t="0" r="0" b="0"/>
            <wp:wrapSquare wrapText="bothSides" distT="114300" distB="114300" distL="114300" distR="11430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9"/>
                    <a:srcRect/>
                    <a:stretch>
                      <a:fillRect/>
                    </a:stretch>
                  </pic:blipFill>
                  <pic:spPr>
                    <a:xfrm>
                      <a:off x="0" y="0"/>
                      <a:ext cx="6618500" cy="4307116"/>
                    </a:xfrm>
                    <a:prstGeom prst="rect">
                      <a:avLst/>
                    </a:prstGeom>
                    <a:ln/>
                  </pic:spPr>
                </pic:pic>
              </a:graphicData>
            </a:graphic>
          </wp:anchor>
        </w:drawing>
      </w:r>
    </w:p>
    <w:p w14:paraId="120B642D" w14:textId="77777777" w:rsidR="001E1C1E" w:rsidRDefault="001E1C1E" w:rsidP="00F2211D">
      <w:pPr>
        <w:spacing w:after="0" w:line="276" w:lineRule="auto"/>
        <w:ind w:right="-550"/>
        <w:jc w:val="both"/>
      </w:pPr>
    </w:p>
    <w:p w14:paraId="5A0ED3E9" w14:textId="77777777" w:rsidR="001E1C1E" w:rsidRDefault="001E1C1E">
      <w:pPr>
        <w:spacing w:after="0" w:line="276" w:lineRule="auto"/>
        <w:ind w:left="-425" w:right="-550"/>
        <w:jc w:val="both"/>
      </w:pPr>
    </w:p>
    <w:p w14:paraId="05E46904" w14:textId="6A5F2B54" w:rsidR="001E1C1E" w:rsidRDefault="00000000">
      <w:pPr>
        <w:spacing w:after="0" w:line="276" w:lineRule="auto"/>
        <w:ind w:left="-425" w:right="-550"/>
        <w:jc w:val="both"/>
      </w:pPr>
      <w:r>
        <w:t>The majority of WPS complaints were upheld.  Overall</w:t>
      </w:r>
      <w:r w:rsidR="00F2211D">
        <w:t>,</w:t>
      </w:r>
      <w:r>
        <w:t xml:space="preserve"> 46 out of 78 WPS cases (58.9%) were upheld in 2025/26 similar to 2024/25 where 37 out of 67 WPS cases (55.3%) were upheld.</w:t>
      </w:r>
    </w:p>
    <w:p w14:paraId="269D69FD" w14:textId="77777777" w:rsidR="001E1C1E" w:rsidRDefault="001E1C1E">
      <w:pPr>
        <w:spacing w:after="0" w:line="276" w:lineRule="auto"/>
        <w:ind w:left="-425" w:right="-550"/>
        <w:jc w:val="both"/>
        <w:rPr>
          <w:highlight w:val="yellow"/>
        </w:rPr>
      </w:pPr>
    </w:p>
    <w:p w14:paraId="7FF7D6D6" w14:textId="77777777" w:rsidR="001E1C1E" w:rsidRDefault="00000000">
      <w:pPr>
        <w:spacing w:after="0" w:line="240" w:lineRule="auto"/>
        <w:ind w:left="-425" w:right="-550"/>
        <w:jc w:val="both"/>
        <w:rPr>
          <w:sz w:val="22"/>
          <w:szCs w:val="22"/>
        </w:rPr>
      </w:pPr>
      <w:r>
        <w:t>In the previous year the NHS was the subject of 15 cases, where 11 were upheld. Councils were the subject of 48 cases where 25 were upheld.</w:t>
      </w:r>
    </w:p>
    <w:sectPr w:rsidR="001E1C1E">
      <w:headerReference w:type="default" r:id="rId20"/>
      <w:footerReference w:type="default" r:id="rId21"/>
      <w:headerReference w:type="first" r:id="rId22"/>
      <w:footerReference w:type="first" r:id="rId23"/>
      <w:pgSz w:w="11906" w:h="16838"/>
      <w:pgMar w:top="2267" w:right="1077" w:bottom="1440" w:left="1077" w:header="340" w:footer="40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7CCF5" w14:textId="77777777" w:rsidR="00936909" w:rsidRDefault="00936909">
      <w:pPr>
        <w:spacing w:after="0" w:line="240" w:lineRule="auto"/>
      </w:pPr>
      <w:r>
        <w:separator/>
      </w:r>
    </w:p>
  </w:endnote>
  <w:endnote w:type="continuationSeparator" w:id="0">
    <w:p w14:paraId="630B9967" w14:textId="77777777" w:rsidR="00936909" w:rsidRDefault="009369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font>
  <w:font w:name="Times">
    <w:panose1 w:val="02020603050405020304"/>
    <w:charset w:val="00"/>
    <w:family w:val="roman"/>
    <w:pitch w:val="variable"/>
    <w:sig w:usb0="E0002EFF" w:usb1="C000785B" w:usb2="00000009" w:usb3="00000000" w:csb0="000001FF" w:csb1="00000000"/>
    <w:embedRegular r:id="rId1" w:fontKey="{73C63A90-AAC4-46F2-BFBD-B244E3E1765D}"/>
  </w:font>
  <w:font w:name="Calibri">
    <w:panose1 w:val="020F0502020204030204"/>
    <w:charset w:val="00"/>
    <w:family w:val="swiss"/>
    <w:pitch w:val="variable"/>
    <w:sig w:usb0="E4002EFF" w:usb1="C200247B" w:usb2="00000009" w:usb3="00000000" w:csb0="000001FF" w:csb1="00000000"/>
    <w:embedRegular r:id="rId2" w:fontKey="{BB73B483-FA70-4D95-BCAA-7C0398CEEBD3}"/>
  </w:font>
  <w:font w:name="Cambria">
    <w:panose1 w:val="02040503050406030204"/>
    <w:charset w:val="00"/>
    <w:family w:val="roman"/>
    <w:pitch w:val="variable"/>
    <w:sig w:usb0="E00006FF" w:usb1="420024FF" w:usb2="02000000" w:usb3="00000000" w:csb0="0000019F" w:csb1="00000000"/>
    <w:embedRegular r:id="rId3" w:fontKey="{9DE3E3A3-D340-427A-A33C-6BEF5FBA81C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B6072" w14:textId="77777777" w:rsidR="001E1C1E" w:rsidRDefault="00000000">
    <w:pPr>
      <w:pBdr>
        <w:top w:val="nil"/>
        <w:left w:val="nil"/>
        <w:bottom w:val="nil"/>
        <w:right w:val="nil"/>
        <w:between w:val="nil"/>
      </w:pBdr>
      <w:tabs>
        <w:tab w:val="center" w:pos="4513"/>
        <w:tab w:val="right" w:pos="9026"/>
      </w:tabs>
      <w:spacing w:after="0" w:line="240" w:lineRule="auto"/>
      <w:jc w:val="right"/>
      <w:rPr>
        <w:rFonts w:ascii="Helvetica Neue" w:eastAsia="Helvetica Neue" w:hAnsi="Helvetica Neue" w:cs="Helvetica Neue"/>
        <w:color w:val="000000"/>
      </w:rPr>
    </w:pPr>
    <w:r>
      <w:rPr>
        <w:rFonts w:ascii="Helvetica Neue" w:eastAsia="Helvetica Neue" w:hAnsi="Helvetica Neue" w:cs="Helvetica Neue"/>
        <w:color w:val="000000"/>
      </w:rPr>
      <w:fldChar w:fldCharType="begin"/>
    </w:r>
    <w:r>
      <w:rPr>
        <w:rFonts w:ascii="Helvetica Neue" w:eastAsia="Helvetica Neue" w:hAnsi="Helvetica Neue" w:cs="Helvetica Neue"/>
        <w:color w:val="000000"/>
      </w:rPr>
      <w:instrText>PAGE</w:instrText>
    </w:r>
    <w:r>
      <w:rPr>
        <w:rFonts w:ascii="Helvetica Neue" w:eastAsia="Helvetica Neue" w:hAnsi="Helvetica Neue" w:cs="Helvetica Neue"/>
        <w:color w:val="000000"/>
      </w:rPr>
      <w:fldChar w:fldCharType="separate"/>
    </w:r>
    <w:r w:rsidR="00D57993">
      <w:rPr>
        <w:rFonts w:ascii="Helvetica Neue" w:eastAsia="Helvetica Neue" w:hAnsi="Helvetica Neue" w:cs="Helvetica Neue"/>
        <w:noProof/>
        <w:color w:val="000000"/>
      </w:rPr>
      <w:t>2</w:t>
    </w:r>
    <w:r>
      <w:rPr>
        <w:rFonts w:ascii="Helvetica Neue" w:eastAsia="Helvetica Neue" w:hAnsi="Helvetica Neue" w:cs="Helvetica Neue"/>
        <w:color w:val="000000"/>
      </w:rPr>
      <w:fldChar w:fldCharType="end"/>
    </w:r>
  </w:p>
  <w:p w14:paraId="535FB015" w14:textId="77777777" w:rsidR="001E1C1E" w:rsidRDefault="001E1C1E">
    <w:pPr>
      <w:pBdr>
        <w:top w:val="nil"/>
        <w:left w:val="nil"/>
        <w:bottom w:val="nil"/>
        <w:right w:val="nil"/>
        <w:between w:val="nil"/>
      </w:pBdr>
      <w:tabs>
        <w:tab w:val="center" w:pos="4513"/>
        <w:tab w:val="right" w:pos="9026"/>
      </w:tabs>
      <w:spacing w:after="0" w:line="240" w:lineRule="auto"/>
      <w:jc w:val="cen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FD557" w14:textId="77777777" w:rsidR="001E1C1E" w:rsidRDefault="00000000">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57993">
      <w:rPr>
        <w:noProof/>
        <w:color w:val="000000"/>
      </w:rPr>
      <w:t>1</w:t>
    </w:r>
    <w:r>
      <w:rPr>
        <w:color w:val="000000"/>
      </w:rPr>
      <w:fldChar w:fldCharType="end"/>
    </w:r>
  </w:p>
  <w:p w14:paraId="51C83CBA" w14:textId="77777777" w:rsidR="001E1C1E" w:rsidRDefault="001E1C1E">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07AF7" w14:textId="77777777" w:rsidR="00936909" w:rsidRDefault="00936909">
      <w:pPr>
        <w:spacing w:after="0" w:line="240" w:lineRule="auto"/>
      </w:pPr>
      <w:r>
        <w:separator/>
      </w:r>
    </w:p>
  </w:footnote>
  <w:footnote w:type="continuationSeparator" w:id="0">
    <w:p w14:paraId="6749E4DC" w14:textId="77777777" w:rsidR="00936909" w:rsidRDefault="00936909">
      <w:pPr>
        <w:spacing w:after="0" w:line="240" w:lineRule="auto"/>
      </w:pPr>
      <w:r>
        <w:continuationSeparator/>
      </w:r>
    </w:p>
  </w:footnote>
  <w:footnote w:id="1">
    <w:p w14:paraId="242E65D4" w14:textId="77777777" w:rsidR="001E1C1E" w:rsidRDefault="00000000">
      <w:pPr>
        <w:spacing w:after="0" w:line="240" w:lineRule="auto"/>
        <w:rPr>
          <w:sz w:val="20"/>
          <w:szCs w:val="20"/>
        </w:rPr>
      </w:pPr>
      <w:r>
        <w:rPr>
          <w:vertAlign w:val="superscript"/>
        </w:rPr>
        <w:footnoteRef/>
      </w:r>
      <w:r>
        <w:rPr>
          <w:sz w:val="20"/>
          <w:szCs w:val="20"/>
        </w:rPr>
        <w:t xml:space="preserve"> </w:t>
      </w:r>
      <w:hyperlink r:id="rId1">
        <w:r>
          <w:rPr>
            <w:color w:val="1155CC"/>
            <w:sz w:val="20"/>
            <w:szCs w:val="20"/>
            <w:u w:val="single"/>
          </w:rPr>
          <w:t>http://www.legislation.gov.uk/uksi/2015/102/regulation/113/made</w:t>
        </w:r>
      </w:hyperlink>
      <w:r>
        <w:rPr>
          <w:sz w:val="20"/>
          <w:szCs w:val="20"/>
        </w:rPr>
        <w:t xml:space="preserve"> </w:t>
      </w:r>
    </w:p>
  </w:footnote>
  <w:footnote w:id="2">
    <w:p w14:paraId="23054AB0" w14:textId="77777777" w:rsidR="001E1C1E" w:rsidRDefault="00000000">
      <w:pPr>
        <w:spacing w:after="0" w:line="240" w:lineRule="auto"/>
        <w:rPr>
          <w:sz w:val="20"/>
          <w:szCs w:val="20"/>
        </w:rPr>
      </w:pPr>
      <w:r>
        <w:rPr>
          <w:vertAlign w:val="superscript"/>
        </w:rPr>
        <w:footnoteRef/>
      </w:r>
      <w:r>
        <w:rPr>
          <w:sz w:val="20"/>
          <w:szCs w:val="20"/>
        </w:rPr>
        <w:t xml:space="preserve"> The concerns recorded under ‘Other’ include: 'TUPE’, ‘Tender withdrawn’, ‘Tender process’, ‘Favours incumbent’, ‘Experience’, ‘Clarification’, ‘Advertisement‘, ‘Tender requirement’, ‘Scoring’, ‘Release of commercial in confidence information’, ‘References’, ‘Previous experience’, ’Costing in bids,’ ‘Conflict of Interest’, ‘Competition’  and ‘Administration’.</w:t>
      </w:r>
    </w:p>
  </w:footnote>
  <w:footnote w:id="3">
    <w:p w14:paraId="1D0EFF28" w14:textId="77777777" w:rsidR="001E1C1E" w:rsidRDefault="00000000">
      <w:pPr>
        <w:spacing w:after="0" w:line="240" w:lineRule="auto"/>
        <w:ind w:left="-425" w:right="-550"/>
        <w:jc w:val="both"/>
        <w:rPr>
          <w:sz w:val="18"/>
          <w:szCs w:val="18"/>
        </w:rPr>
      </w:pPr>
      <w:r>
        <w:rPr>
          <w:vertAlign w:val="superscript"/>
        </w:rPr>
        <w:footnoteRef/>
      </w:r>
      <w:hyperlink r:id="rId2">
        <w:r>
          <w:rPr>
            <w:color w:val="1155CC"/>
            <w:sz w:val="18"/>
            <w:szCs w:val="18"/>
            <w:u w:val="single"/>
          </w:rPr>
          <w:t>http://www.legislation.gov.uk/uksi/2015/102/regulation/113/made</w:t>
        </w:r>
      </w:hyperlink>
      <w:r>
        <w:rPr>
          <w:sz w:val="18"/>
          <w:szCs w:val="18"/>
        </w:rPr>
        <w:t xml:space="preserve"> </w:t>
      </w:r>
    </w:p>
  </w:footnote>
  <w:footnote w:id="4">
    <w:p w14:paraId="635F645E" w14:textId="77777777" w:rsidR="001E1C1E" w:rsidRDefault="00000000">
      <w:pPr>
        <w:spacing w:after="0" w:line="240" w:lineRule="auto"/>
        <w:ind w:left="-425" w:right="-550"/>
        <w:jc w:val="both"/>
        <w:rPr>
          <w:sz w:val="18"/>
          <w:szCs w:val="18"/>
        </w:rPr>
      </w:pPr>
      <w:r>
        <w:rPr>
          <w:vertAlign w:val="superscript"/>
        </w:rPr>
        <w:footnoteRef/>
      </w:r>
      <w:hyperlink r:id="rId3">
        <w:r>
          <w:rPr>
            <w:color w:val="1155CC"/>
            <w:sz w:val="18"/>
            <w:szCs w:val="18"/>
            <w:u w:val="single"/>
          </w:rPr>
          <w:t>https://www.gov.uk/government/publications/procurement-policy-note-0220-supplier-relief-due-to-covid-19</w:t>
        </w:r>
      </w:hyperlink>
    </w:p>
  </w:footnote>
  <w:footnote w:id="5">
    <w:p w14:paraId="5D9A44E3" w14:textId="77777777" w:rsidR="001E1C1E" w:rsidRDefault="00000000">
      <w:pPr>
        <w:spacing w:after="0" w:line="240" w:lineRule="auto"/>
        <w:ind w:left="-425"/>
        <w:rPr>
          <w:sz w:val="18"/>
          <w:szCs w:val="18"/>
        </w:rPr>
      </w:pPr>
      <w:r>
        <w:rPr>
          <w:vertAlign w:val="superscript"/>
        </w:rPr>
        <w:footnoteRef/>
      </w:r>
      <w:hyperlink r:id="rId4">
        <w:r>
          <w:rPr>
            <w:color w:val="1155CC"/>
            <w:sz w:val="18"/>
            <w:szCs w:val="18"/>
            <w:u w:val="single"/>
          </w:rPr>
          <w:t>https://www.gov.uk/government/publications/procurement-policy-note-0420-recovery-and-transition-from-covid-19</w:t>
        </w:r>
      </w:hyperlink>
    </w:p>
    <w:p w14:paraId="02519109" w14:textId="77777777" w:rsidR="001E1C1E" w:rsidRDefault="001E1C1E">
      <w:pPr>
        <w:spacing w:after="0" w:line="240" w:lineRule="auto"/>
        <w:rPr>
          <w:sz w:val="18"/>
          <w:szCs w:val="18"/>
        </w:rPr>
      </w:pPr>
    </w:p>
  </w:footnote>
  <w:footnote w:id="6">
    <w:p w14:paraId="0E35AE36" w14:textId="77777777" w:rsidR="001E1C1E" w:rsidRDefault="00000000">
      <w:pPr>
        <w:spacing w:after="0" w:line="240" w:lineRule="auto"/>
        <w:ind w:left="-425"/>
        <w:rPr>
          <w:sz w:val="18"/>
          <w:szCs w:val="18"/>
        </w:rPr>
      </w:pPr>
      <w:r>
        <w:rPr>
          <w:vertAlign w:val="superscript"/>
        </w:rPr>
        <w:footnoteRef/>
      </w:r>
      <w:r>
        <w:rPr>
          <w:sz w:val="18"/>
          <w:szCs w:val="18"/>
        </w:rPr>
        <w:t xml:space="preserve"> </w:t>
      </w:r>
      <w:hyperlink r:id="rId5">
        <w:r>
          <w:rPr>
            <w:color w:val="1155CC"/>
            <w:sz w:val="18"/>
            <w:szCs w:val="18"/>
            <w:u w:val="single"/>
          </w:rPr>
          <w:t>https://www.gov.uk/find-tender</w:t>
        </w:r>
      </w:hyperlink>
    </w:p>
  </w:footnote>
  <w:footnote w:id="7">
    <w:p w14:paraId="3C68F9FA" w14:textId="77777777" w:rsidR="001E1C1E" w:rsidRDefault="00000000">
      <w:pPr>
        <w:spacing w:after="0" w:line="240" w:lineRule="auto"/>
        <w:ind w:left="-425"/>
        <w:rPr>
          <w:sz w:val="20"/>
          <w:szCs w:val="20"/>
        </w:rPr>
      </w:pPr>
      <w:r>
        <w:rPr>
          <w:vertAlign w:val="superscript"/>
        </w:rPr>
        <w:footnoteRef/>
      </w:r>
      <w:r>
        <w:rPr>
          <w:sz w:val="20"/>
          <w:szCs w:val="20"/>
        </w:rPr>
        <w:t xml:space="preserve"> </w:t>
      </w:r>
      <w:hyperlink r:id="rId6">
        <w:r>
          <w:rPr>
            <w:color w:val="1155CC"/>
            <w:sz w:val="18"/>
            <w:szCs w:val="18"/>
            <w:u w:val="single"/>
          </w:rPr>
          <w:t>https://www.gov.uk/contracts-finder</w:t>
        </w:r>
      </w:hyperlink>
    </w:p>
  </w:footnote>
  <w:footnote w:id="8">
    <w:p w14:paraId="224ACAAF" w14:textId="77777777" w:rsidR="001E1C1E" w:rsidRDefault="00000000">
      <w:pPr>
        <w:spacing w:after="0" w:line="240" w:lineRule="auto"/>
        <w:ind w:left="-283" w:hanging="141"/>
        <w:rPr>
          <w:color w:val="1155CC"/>
          <w:sz w:val="18"/>
          <w:szCs w:val="18"/>
          <w:highlight w:val="white"/>
          <w:u w:val="single"/>
        </w:rPr>
      </w:pPr>
      <w:r>
        <w:rPr>
          <w:vertAlign w:val="superscript"/>
        </w:rPr>
        <w:footnoteRef/>
      </w:r>
      <w:r>
        <w:rPr>
          <w:sz w:val="20"/>
          <w:szCs w:val="20"/>
        </w:rPr>
        <w:t xml:space="preserve"> </w:t>
      </w:r>
      <w:hyperlink r:id="rId7">
        <w:r>
          <w:rPr>
            <w:color w:val="1155CC"/>
            <w:sz w:val="18"/>
            <w:szCs w:val="18"/>
            <w:highlight w:val="white"/>
            <w:u w:val="single"/>
          </w:rPr>
          <w:t>https://www.gov.uk/guidance/small-and-medium-business-hub</w:t>
        </w:r>
      </w:hyperlink>
      <w:r>
        <w:rPr>
          <w:color w:val="222222"/>
          <w:sz w:val="18"/>
          <w:szCs w:val="18"/>
          <w:highlight w:val="white"/>
        </w:rPr>
        <w:t xml:space="preserve">   </w:t>
      </w:r>
    </w:p>
  </w:footnote>
  <w:footnote w:id="9">
    <w:p w14:paraId="2A4E4D67" w14:textId="77777777" w:rsidR="001E1C1E" w:rsidRDefault="00000000">
      <w:pPr>
        <w:spacing w:after="0" w:line="240" w:lineRule="auto"/>
        <w:ind w:left="-425"/>
        <w:rPr>
          <w:sz w:val="18"/>
          <w:szCs w:val="18"/>
          <w:highlight w:val="white"/>
        </w:rPr>
      </w:pPr>
      <w:r>
        <w:rPr>
          <w:vertAlign w:val="superscript"/>
        </w:rPr>
        <w:footnoteRef/>
      </w:r>
      <w:r>
        <w:rPr>
          <w:sz w:val="20"/>
          <w:szCs w:val="20"/>
        </w:rPr>
        <w:t xml:space="preserve"> </w:t>
      </w:r>
      <w:r>
        <w:rPr>
          <w:sz w:val="18"/>
          <w:szCs w:val="18"/>
        </w:rPr>
        <w:t xml:space="preserve">Other services exist in: Northern Ireland - CPD Charter: </w:t>
      </w:r>
      <w:hyperlink r:id="rId8">
        <w:r>
          <w:rPr>
            <w:color w:val="1155CC"/>
            <w:sz w:val="18"/>
            <w:szCs w:val="18"/>
            <w:highlight w:val="white"/>
            <w:u w:val="single"/>
          </w:rPr>
          <w:t>https://www.finance-ni.gov.uk/publications/cpd-supplier-charter</w:t>
        </w:r>
      </w:hyperlink>
      <w:r>
        <w:rPr>
          <w:sz w:val="18"/>
          <w:szCs w:val="18"/>
          <w:highlight w:val="white"/>
        </w:rPr>
        <w:t xml:space="preserve"> / Scotland - Single Point of Enquiry: </w:t>
      </w:r>
      <w:hyperlink r:id="rId9">
        <w:r>
          <w:rPr>
            <w:color w:val="1155CC"/>
            <w:sz w:val="18"/>
            <w:szCs w:val="18"/>
            <w:highlight w:val="white"/>
            <w:u w:val="single"/>
          </w:rPr>
          <w:t>http://www.gov.scot/Topics/Government/Procurement/Selling/supplier-enquiries</w:t>
        </w:r>
      </w:hyperlink>
      <w:r>
        <w:rPr>
          <w:sz w:val="18"/>
          <w:szCs w:val="18"/>
          <w:highlight w:val="white"/>
        </w:rPr>
        <w:t xml:space="preserve"> / Wales - Supplier Feedback Service:</w:t>
      </w:r>
      <w:hyperlink r:id="rId10">
        <w:r>
          <w:rPr>
            <w:color w:val="1155CC"/>
            <w:sz w:val="18"/>
            <w:szCs w:val="18"/>
            <w:highlight w:val="white"/>
            <w:u w:val="single"/>
          </w:rPr>
          <w:t>https://gov.wales/topics/improvingservices/bettervfm/supplier-feedback-service/?lang=en</w:t>
        </w:r>
      </w:hyperlink>
    </w:p>
    <w:p w14:paraId="18FC3A3E" w14:textId="77777777" w:rsidR="001E1C1E" w:rsidRDefault="001E1C1E">
      <w:pPr>
        <w:spacing w:after="0" w:line="240" w:lineRule="auto"/>
        <w:jc w:val="right"/>
        <w:rPr>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0B98E" w14:textId="77777777" w:rsidR="001E1C1E" w:rsidRDefault="00000000">
    <w:pPr>
      <w:pBdr>
        <w:top w:val="nil"/>
        <w:left w:val="nil"/>
        <w:bottom w:val="nil"/>
        <w:right w:val="nil"/>
        <w:between w:val="nil"/>
      </w:pBdr>
      <w:tabs>
        <w:tab w:val="center" w:pos="4513"/>
        <w:tab w:val="right" w:pos="9026"/>
      </w:tabs>
      <w:spacing w:after="0" w:line="240" w:lineRule="auto"/>
    </w:pPr>
    <w:r>
      <w:rPr>
        <w:sz w:val="22"/>
        <w:szCs w:val="22"/>
      </w:rPr>
      <w:t xml:space="preserve">   </w:t>
    </w:r>
    <w:r>
      <w:t xml:space="preserve">                   </w:t>
    </w:r>
    <w:r>
      <w:rPr>
        <w:noProof/>
      </w:rPr>
      <w:drawing>
        <wp:anchor distT="0" distB="0" distL="0" distR="0" simplePos="0" relativeHeight="251658240" behindDoc="1" locked="0" layoutInCell="1" hidden="0" allowOverlap="1" wp14:anchorId="52D15CF1" wp14:editId="44E766C3">
          <wp:simplePos x="0" y="0"/>
          <wp:positionH relativeFrom="column">
            <wp:posOffset>1</wp:posOffset>
          </wp:positionH>
          <wp:positionV relativeFrom="paragraph">
            <wp:posOffset>171450</wp:posOffset>
          </wp:positionV>
          <wp:extent cx="1757363" cy="672675"/>
          <wp:effectExtent l="0" t="0" r="0" b="0"/>
          <wp:wrapNone/>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757363" cy="672675"/>
                  </a:xfrm>
                  <a:prstGeom prst="rect">
                    <a:avLst/>
                  </a:prstGeom>
                  <a:ln/>
                </pic:spPr>
              </pic:pic>
            </a:graphicData>
          </a:graphic>
        </wp:anchor>
      </w:drawing>
    </w:r>
  </w:p>
  <w:p w14:paraId="506B468A" w14:textId="77777777" w:rsidR="001E1C1E" w:rsidRDefault="001E1C1E">
    <w:pPr>
      <w:tabs>
        <w:tab w:val="center" w:pos="4513"/>
        <w:tab w:val="right" w:pos="9026"/>
      </w:tabs>
      <w:spacing w:after="0" w:line="240" w:lineRule="auto"/>
      <w:jc w:val="center"/>
    </w:pPr>
  </w:p>
  <w:p w14:paraId="3E7E00B0" w14:textId="77777777" w:rsidR="001E1C1E" w:rsidRDefault="001E1C1E">
    <w:pPr>
      <w:tabs>
        <w:tab w:val="center" w:pos="4513"/>
        <w:tab w:val="right" w:pos="9026"/>
      </w:tabs>
      <w:spacing w:after="0" w:line="240" w:lineRule="auto"/>
      <w:jc w:val="center"/>
    </w:pPr>
  </w:p>
  <w:p w14:paraId="02ED30A4" w14:textId="77777777" w:rsidR="001E1C1E" w:rsidRDefault="001E1C1E">
    <w:pPr>
      <w:tabs>
        <w:tab w:val="center" w:pos="4513"/>
        <w:tab w:val="right" w:pos="9026"/>
      </w:tabs>
      <w:spacing w:after="0" w:line="240" w:lineRule="auto"/>
      <w:jc w:val="center"/>
    </w:pPr>
  </w:p>
  <w:p w14:paraId="606FA8BE" w14:textId="77777777" w:rsidR="001E1C1E" w:rsidRDefault="001E1C1E">
    <w:pPr>
      <w:tabs>
        <w:tab w:val="center" w:pos="4513"/>
        <w:tab w:val="right" w:pos="9026"/>
      </w:tabs>
      <w:spacing w:after="0" w:line="240" w:lineRule="auto"/>
      <w:jc w:val="center"/>
    </w:pPr>
  </w:p>
  <w:p w14:paraId="36A95E76" w14:textId="77777777" w:rsidR="001E1C1E" w:rsidRDefault="001E1C1E">
    <w:pPr>
      <w:tabs>
        <w:tab w:val="center" w:pos="4513"/>
        <w:tab w:val="right" w:pos="9026"/>
      </w:tabs>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43165" w14:textId="77777777" w:rsidR="001E1C1E" w:rsidRDefault="00000000">
    <w:pPr>
      <w:pBdr>
        <w:top w:val="nil"/>
        <w:left w:val="nil"/>
        <w:bottom w:val="nil"/>
        <w:right w:val="nil"/>
        <w:between w:val="nil"/>
      </w:pBdr>
      <w:tabs>
        <w:tab w:val="center" w:pos="4513"/>
        <w:tab w:val="right" w:pos="9026"/>
      </w:tabs>
      <w:spacing w:after="0" w:line="360" w:lineRule="auto"/>
      <w:jc w:val="center"/>
      <w:rPr>
        <w:b/>
        <w:bCs/>
      </w:rPr>
    </w:pPr>
    <w:r>
      <w:rPr>
        <w:b/>
        <w:bCs/>
      </w:rPr>
      <w:t xml:space="preserve">HTML VERSION </w:t>
    </w:r>
  </w:p>
  <w:p w14:paraId="5387BB85" w14:textId="77777777" w:rsidR="001E1C1E" w:rsidRDefault="00000000">
    <w:pPr>
      <w:pBdr>
        <w:top w:val="nil"/>
        <w:left w:val="nil"/>
        <w:bottom w:val="nil"/>
        <w:right w:val="nil"/>
        <w:between w:val="nil"/>
      </w:pBdr>
      <w:tabs>
        <w:tab w:val="center" w:pos="4513"/>
        <w:tab w:val="right" w:pos="9026"/>
      </w:tabs>
      <w:spacing w:after="0" w:line="240" w:lineRule="auto"/>
      <w:jc w:val="center"/>
      <w:rPr>
        <w:color w:val="000000"/>
      </w:rPr>
    </w:pPr>
    <w:r>
      <w:rPr>
        <w:noProof/>
      </w:rPr>
      <w:drawing>
        <wp:anchor distT="0" distB="0" distL="0" distR="0" simplePos="0" relativeHeight="251659264" behindDoc="0" locked="0" layoutInCell="1" hidden="0" allowOverlap="1" wp14:anchorId="7C5E1F2D" wp14:editId="41DF0778">
          <wp:simplePos x="0" y="0"/>
          <wp:positionH relativeFrom="column">
            <wp:posOffset>0</wp:posOffset>
          </wp:positionH>
          <wp:positionV relativeFrom="paragraph">
            <wp:posOffset>0</wp:posOffset>
          </wp:positionV>
          <wp:extent cx="1757363" cy="672675"/>
          <wp:effectExtent l="0" t="0" r="0" b="0"/>
          <wp:wrapNone/>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757363" cy="672675"/>
                  </a:xfrm>
                  <a:prstGeom prst="rect">
                    <a:avLst/>
                  </a:prstGeom>
                  <a:ln/>
                </pic:spPr>
              </pic:pic>
            </a:graphicData>
          </a:graphic>
        </wp:anchor>
      </w:drawing>
    </w:r>
  </w:p>
  <w:p w14:paraId="1931B044" w14:textId="77777777" w:rsidR="001E1C1E" w:rsidRDefault="001E1C1E">
    <w:pPr>
      <w:tabs>
        <w:tab w:val="center" w:pos="4513"/>
        <w:tab w:val="right" w:pos="9026"/>
      </w:tabs>
      <w:spacing w:after="0" w:line="240" w:lineRule="auto"/>
      <w:jc w:val="center"/>
      <w:rPr>
        <w:b/>
        <w:bCs/>
        <w:color w:val="C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109AA"/>
    <w:multiLevelType w:val="multilevel"/>
    <w:tmpl w:val="034A69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B0F3A2B"/>
    <w:multiLevelType w:val="multilevel"/>
    <w:tmpl w:val="A1D4DA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B8B4C83"/>
    <w:multiLevelType w:val="multilevel"/>
    <w:tmpl w:val="0E9E25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F4D07A1"/>
    <w:multiLevelType w:val="multilevel"/>
    <w:tmpl w:val="BD84EF6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4F8C03DC"/>
    <w:multiLevelType w:val="multilevel"/>
    <w:tmpl w:val="981633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D037BDF"/>
    <w:multiLevelType w:val="multilevel"/>
    <w:tmpl w:val="F306DF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63B73F82"/>
    <w:multiLevelType w:val="multilevel"/>
    <w:tmpl w:val="1BA86A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0B94685"/>
    <w:multiLevelType w:val="multilevel"/>
    <w:tmpl w:val="53CE8B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5D825EB"/>
    <w:multiLevelType w:val="multilevel"/>
    <w:tmpl w:val="BCE2CD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63945481">
    <w:abstractNumId w:val="4"/>
  </w:num>
  <w:num w:numId="2" w16cid:durableId="962534931">
    <w:abstractNumId w:val="8"/>
  </w:num>
  <w:num w:numId="3" w16cid:durableId="1539390053">
    <w:abstractNumId w:val="3"/>
  </w:num>
  <w:num w:numId="4" w16cid:durableId="65223758">
    <w:abstractNumId w:val="6"/>
  </w:num>
  <w:num w:numId="5" w16cid:durableId="700519359">
    <w:abstractNumId w:val="2"/>
  </w:num>
  <w:num w:numId="6" w16cid:durableId="174543400">
    <w:abstractNumId w:val="1"/>
  </w:num>
  <w:num w:numId="7" w16cid:durableId="725296699">
    <w:abstractNumId w:val="7"/>
  </w:num>
  <w:num w:numId="8" w16cid:durableId="815143049">
    <w:abstractNumId w:val="0"/>
  </w:num>
  <w:num w:numId="9" w16cid:durableId="19831976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C1E"/>
    <w:rsid w:val="00024001"/>
    <w:rsid w:val="001E1C1E"/>
    <w:rsid w:val="00387F74"/>
    <w:rsid w:val="00936909"/>
    <w:rsid w:val="00BB1FD1"/>
    <w:rsid w:val="00C1677D"/>
    <w:rsid w:val="00D57993"/>
    <w:rsid w:val="00F221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E9132"/>
  <w15:docId w15:val="{9D6DE2AE-045E-4764-B29E-A2447C82D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pBdr>
        <w:bottom w:val="single" w:sz="12" w:space="1" w:color="005ABB"/>
      </w:pBdr>
      <w:spacing w:after="0" w:line="240" w:lineRule="auto"/>
    </w:pPr>
    <w:rPr>
      <w:rFonts w:ascii="Helvetica Neue" w:eastAsia="Helvetica Neue" w:hAnsi="Helvetica Neue" w:cs="Helvetica Neue"/>
      <w:b/>
      <w:bCs/>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gov.uk/guidance/procurement-compliance-oversight" TargetMode="External"/><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gov.uk"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hyperlink" Target="https://www.gov.uk/guidance/prompt-payment-policy" TargetMode="External"/><Relationship Id="rId14" Type="http://schemas.openxmlformats.org/officeDocument/2006/relationships/hyperlink" Target="https://www.gov.uk/guidance/procurementcompliance-oversight" TargetMode="External"/><Relationship Id="rId22"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notes.xml.rels><?xml version="1.0" encoding="UTF-8" standalone="yes"?>
<Relationships xmlns="http://schemas.openxmlformats.org/package/2006/relationships"><Relationship Id="rId8" Type="http://schemas.openxmlformats.org/officeDocument/2006/relationships/hyperlink" Target="https://www.finance-ni.gov.uk/publications/cpd-supplier-charter" TargetMode="External"/><Relationship Id="rId3" Type="http://schemas.openxmlformats.org/officeDocument/2006/relationships/hyperlink" Target="https://www.gov.uk/government/publications/procurement-policy-note-0220-supplier-relief-due-to-covid-19" TargetMode="External"/><Relationship Id="rId7" Type="http://schemas.openxmlformats.org/officeDocument/2006/relationships/hyperlink" Target="https://www.gov.uk/guidance/small-and-medium-business-hub" TargetMode="External"/><Relationship Id="rId2" Type="http://schemas.openxmlformats.org/officeDocument/2006/relationships/hyperlink" Target="http://www.legislation.gov.uk/uksi/2015/102/regulation/113/made" TargetMode="External"/><Relationship Id="rId1" Type="http://schemas.openxmlformats.org/officeDocument/2006/relationships/hyperlink" Target="http://www.legislation.gov.uk/uksi/2015/102/regulation/113/made" TargetMode="External"/><Relationship Id="rId6" Type="http://schemas.openxmlformats.org/officeDocument/2006/relationships/hyperlink" Target="https://www.gov.uk/contracts-finder" TargetMode="External"/><Relationship Id="rId5" Type="http://schemas.openxmlformats.org/officeDocument/2006/relationships/hyperlink" Target="https://www.gov.uk/find-tender" TargetMode="External"/><Relationship Id="rId10" Type="http://schemas.openxmlformats.org/officeDocument/2006/relationships/hyperlink" Target="https://gov.wales/topics/improvingservices/bettervfm/supplier-feedback-service/?lang=en" TargetMode="External"/><Relationship Id="rId4" Type="http://schemas.openxmlformats.org/officeDocument/2006/relationships/hyperlink" Target="https://www.gov.uk/government/publications/procurement-policy-note-0420-recovery-and-transition-from-covid-19" TargetMode="External"/><Relationship Id="rId9" Type="http://schemas.openxmlformats.org/officeDocument/2006/relationships/hyperlink" Target="http://www.gov.scot/Topics/Government/Procurement/Selling/supplier-enquiri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26</Pages>
  <Words>5302</Words>
  <Characters>30222</Characters>
  <Application>Microsoft Office Word</Application>
  <DocSecurity>0</DocSecurity>
  <Lines>251</Lines>
  <Paragraphs>70</Paragraphs>
  <ScaleCrop>false</ScaleCrop>
  <Company/>
  <LinksUpToDate>false</LinksUpToDate>
  <CharactersWithSpaces>35454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Iwan TaylorEvans</cp:lastModifiedBy>
  <cp:revision>9</cp:revision>
  <dcterms:created xsi:type="dcterms:W3CDTF">2026-10-27T12:26:00Z</dcterms:created>
  <dcterms:modified xsi:type="dcterms:W3CDTF">2026-10-27T12:29:00Z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0x010100CB92EEA46F33934A96D04653E9CD3A46</vt:lpwstr>
  </property>
  <property fmtid="{D5CDD505-2E9C-101B-9397-08002B2CF9AE}" pid="3" name="MSIP_Label_c1c05e37-788c-4c59-b50e-5c98323c0a70_Enabled">
    <vt:lpwstr>true</vt:lpwstr>
  </property>
  <property fmtid="{D5CDD505-2E9C-101B-9397-08002B2CF9AE}" pid="4" name="MSIP_Label_c1c05e37-788c-4c59-b50e-5c98323c0a70_SetDate">
    <vt:lpwstr>2020-12-21T10:55:04Z</vt:lpwstr>
  </property>
  <property fmtid="{D5CDD505-2E9C-101B-9397-08002B2CF9AE}" pid="5" name="MSIP_Label_c1c05e37-788c-4c59-b50e-5c98323c0a70_Method">
    <vt:lpwstr>Standard</vt:lpwstr>
  </property>
  <property fmtid="{D5CDD505-2E9C-101B-9397-08002B2CF9AE}" pid="6" name="MSIP_Label_c1c05e37-788c-4c59-b50e-5c98323c0a70_Name">
    <vt:lpwstr>OFFICIAL</vt:lpwstr>
  </property>
  <property fmtid="{D5CDD505-2E9C-101B-9397-08002B2CF9AE}" pid="7" name="MSIP_Label_c1c05e37-788c-4c59-b50e-5c98323c0a70_SiteId">
    <vt:lpwstr>8fa217ec-33aa-46fb-ad96-dfe68006bb86</vt:lpwstr>
  </property>
  <property fmtid="{D5CDD505-2E9C-101B-9397-08002B2CF9AE}" pid="8" name="MSIP_Label_c1c05e37-788c-4c59-b50e-5c98323c0a70_ActionId">
    <vt:lpwstr>0c944e72-7a04-436c-9939-32d21b453c57</vt:lpwstr>
  </property>
  <property fmtid="{D5CDD505-2E9C-101B-9397-08002B2CF9AE}" pid="9" name="MSIP_Label_c1c05e37-788c-4c59-b50e-5c98323c0a70_ContentBits">
    <vt:lpwstr>0</vt:lpwstr>
  </property>
</Properties>
</file>