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01DFA" w14:textId="77777777" w:rsidR="00C86940" w:rsidRDefault="00C86940" w:rsidP="00C86940">
      <w:r>
        <w:rPr>
          <w:noProof/>
        </w:rPr>
        <w:drawing>
          <wp:inline distT="0" distB="0" distL="0" distR="0" wp14:anchorId="047C1FB1" wp14:editId="28D879B5">
            <wp:extent cx="3420110" cy="402590"/>
            <wp:effectExtent l="0" t="0" r="8890" b="0"/>
            <wp:docPr id="21008596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1AD7DD" w14:textId="77777777" w:rsidR="00C86940" w:rsidRDefault="00C86940" w:rsidP="00C86940">
      <w:pPr>
        <w:spacing w:before="60" w:after="60"/>
      </w:pPr>
    </w:p>
    <w:tbl>
      <w:tblPr>
        <w:tblW w:w="9356" w:type="dxa"/>
        <w:tblBorders>
          <w:top w:val="single" w:sz="4" w:space="0" w:color="000000"/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C86940" w:rsidRPr="005A0799" w14:paraId="62184A30" w14:textId="77777777" w:rsidTr="00090D82">
        <w:trPr>
          <w:cantSplit/>
          <w:trHeight w:val="23"/>
        </w:trPr>
        <w:tc>
          <w:tcPr>
            <w:tcW w:w="9356" w:type="dxa"/>
          </w:tcPr>
          <w:p w14:paraId="7DD7FD2B" w14:textId="77777777" w:rsidR="00C86940" w:rsidRPr="00166502" w:rsidRDefault="00C86940" w:rsidP="00090D82">
            <w:pPr>
              <w:spacing w:before="120"/>
              <w:ind w:left="-105" w:right="34"/>
              <w:rPr>
                <w:rFonts w:ascii="Arial" w:hAnsi="Arial" w:cs="Arial"/>
                <w:b/>
                <w:color w:val="000000"/>
                <w:sz w:val="40"/>
                <w:szCs w:val="40"/>
              </w:rPr>
            </w:pPr>
            <w:bookmarkStart w:id="0" w:name="bmkTable00"/>
            <w:bookmarkEnd w:id="0"/>
            <w:r w:rsidRPr="00166502">
              <w:rPr>
                <w:rFonts w:ascii="Arial" w:hAnsi="Arial" w:cs="Arial"/>
                <w:b/>
                <w:color w:val="000000"/>
                <w:sz w:val="40"/>
                <w:szCs w:val="40"/>
              </w:rPr>
              <w:t>Order Decision</w:t>
            </w:r>
          </w:p>
        </w:tc>
      </w:tr>
      <w:tr w:rsidR="00C86940" w:rsidRPr="000C3F13" w14:paraId="6FF969C2" w14:textId="77777777" w:rsidTr="00090D82">
        <w:trPr>
          <w:cantSplit/>
          <w:trHeight w:val="23"/>
        </w:trPr>
        <w:tc>
          <w:tcPr>
            <w:tcW w:w="9356" w:type="dxa"/>
            <w:vAlign w:val="center"/>
          </w:tcPr>
          <w:p w14:paraId="191C5BC6" w14:textId="4F0C9E6D" w:rsidR="00C86940" w:rsidRPr="00166502" w:rsidRDefault="00C86940" w:rsidP="00090D82">
            <w:pPr>
              <w:spacing w:before="60"/>
              <w:ind w:left="-105" w:right="34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Site visit made on</w:t>
            </w:r>
            <w:r w:rsidR="00CE63F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2A515A" w:rsidRPr="002A515A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="00261602" w:rsidRPr="002A515A">
              <w:rPr>
                <w:rFonts w:ascii="Arial" w:hAnsi="Arial" w:cs="Arial"/>
                <w:color w:val="000000"/>
                <w:sz w:val="24"/>
                <w:szCs w:val="24"/>
              </w:rPr>
              <w:t xml:space="preserve"> September 2026</w:t>
            </w:r>
          </w:p>
        </w:tc>
      </w:tr>
      <w:tr w:rsidR="00C86940" w:rsidRPr="00361890" w14:paraId="19B95F50" w14:textId="77777777" w:rsidTr="00090D82">
        <w:trPr>
          <w:cantSplit/>
          <w:trHeight w:val="23"/>
        </w:trPr>
        <w:tc>
          <w:tcPr>
            <w:tcW w:w="9356" w:type="dxa"/>
          </w:tcPr>
          <w:p w14:paraId="4E5B2579" w14:textId="297277ED" w:rsidR="00C86940" w:rsidRPr="00166502" w:rsidRDefault="00C86940" w:rsidP="00090D82">
            <w:pPr>
              <w:spacing w:before="180"/>
              <w:ind w:left="-105" w:right="34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6650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by </w:t>
            </w:r>
            <w:r w:rsidR="009F37C3">
              <w:rPr>
                <w:rFonts w:ascii="Arial" w:hAnsi="Arial" w:cs="Arial"/>
                <w:b/>
                <w:color w:val="000000"/>
                <w:sz w:val="24"/>
                <w:szCs w:val="24"/>
              </w:rPr>
              <w:t>K Taylor BSc (Hons) PGDip MRTPI</w:t>
            </w:r>
          </w:p>
        </w:tc>
      </w:tr>
      <w:tr w:rsidR="00C86940" w:rsidRPr="00361890" w14:paraId="0C6F20BB" w14:textId="77777777" w:rsidTr="00090D82">
        <w:trPr>
          <w:cantSplit/>
          <w:trHeight w:val="23"/>
        </w:trPr>
        <w:tc>
          <w:tcPr>
            <w:tcW w:w="9356" w:type="dxa"/>
          </w:tcPr>
          <w:p w14:paraId="778A370F" w14:textId="77777777" w:rsidR="00C86940" w:rsidRPr="00166502" w:rsidRDefault="00C86940" w:rsidP="00090D82">
            <w:pPr>
              <w:spacing w:before="120"/>
              <w:ind w:left="-105" w:right="34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66502">
              <w:rPr>
                <w:rFonts w:ascii="Arial" w:hAnsi="Arial" w:cs="Arial"/>
                <w:b/>
                <w:color w:val="000000"/>
                <w:sz w:val="18"/>
                <w:szCs w:val="18"/>
              </w:rPr>
              <w:t>An Inspector appointed by the Secretary of State for Environment, Food and Rural Affairs</w:t>
            </w:r>
          </w:p>
        </w:tc>
      </w:tr>
      <w:tr w:rsidR="00C86940" w:rsidRPr="00A101CD" w14:paraId="31E7A6B3" w14:textId="77777777" w:rsidTr="00090D82">
        <w:trPr>
          <w:cantSplit/>
          <w:trHeight w:val="23"/>
        </w:trPr>
        <w:tc>
          <w:tcPr>
            <w:tcW w:w="9356" w:type="dxa"/>
          </w:tcPr>
          <w:p w14:paraId="77BBDC02" w14:textId="77777777" w:rsidR="00C86940" w:rsidRDefault="00C86940" w:rsidP="00090D82">
            <w:pPr>
              <w:spacing w:before="120"/>
              <w:ind w:left="-105" w:right="176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166502">
              <w:rPr>
                <w:rFonts w:ascii="Arial" w:hAnsi="Arial" w:cs="Arial"/>
                <w:b/>
                <w:color w:val="000000"/>
                <w:sz w:val="18"/>
                <w:szCs w:val="18"/>
              </w:rPr>
              <w:t>Decision date: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B33CDF">
              <w:rPr>
                <w:rFonts w:ascii="Arial" w:hAnsi="Arial" w:cs="Arial"/>
                <w:b/>
                <w:color w:val="000000"/>
                <w:sz w:val="18"/>
                <w:szCs w:val="18"/>
              </w:rPr>
              <w:t>29 September 2026</w:t>
            </w:r>
          </w:p>
          <w:p w14:paraId="1E47572A" w14:textId="49AC7E56" w:rsidR="00B33CDF" w:rsidRPr="00B33CDF" w:rsidRDefault="00B33CDF" w:rsidP="00090D82">
            <w:pPr>
              <w:spacing w:before="120"/>
              <w:ind w:left="-105" w:right="176"/>
              <w:rPr>
                <w:rFonts w:ascii="Arial" w:hAnsi="Arial" w:cs="Arial"/>
                <w:b/>
                <w:color w:val="000000"/>
                <w:sz w:val="2"/>
                <w:szCs w:val="2"/>
              </w:rPr>
            </w:pPr>
          </w:p>
        </w:tc>
      </w:tr>
    </w:tbl>
    <w:p w14:paraId="1EF2DC99" w14:textId="77777777" w:rsidR="00C86940" w:rsidRDefault="00C86940" w:rsidP="00C86940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20"/>
      </w:tblGrid>
      <w:tr w:rsidR="00C86940" w14:paraId="00544F5B" w14:textId="77777777" w:rsidTr="00090D82">
        <w:tc>
          <w:tcPr>
            <w:tcW w:w="9520" w:type="dxa"/>
          </w:tcPr>
          <w:p w14:paraId="66059C91" w14:textId="475AD40B" w:rsidR="00C86940" w:rsidRPr="00166502" w:rsidRDefault="00C86940" w:rsidP="00090D82">
            <w:pPr>
              <w:spacing w:after="60"/>
              <w:ind w:left="-105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66502">
              <w:rPr>
                <w:rFonts w:ascii="Arial" w:hAnsi="Arial" w:cs="Arial"/>
                <w:b/>
                <w:color w:val="000000"/>
                <w:sz w:val="24"/>
                <w:szCs w:val="24"/>
              </w:rPr>
              <w:t>Order Ref: ROW/</w:t>
            </w:r>
            <w:r w:rsidR="00261602">
              <w:rPr>
                <w:rFonts w:ascii="Arial" w:hAnsi="Arial" w:cs="Arial"/>
                <w:b/>
                <w:color w:val="000000"/>
                <w:sz w:val="24"/>
                <w:szCs w:val="24"/>
              </w:rPr>
              <w:t>33401</w:t>
            </w:r>
            <w:r w:rsidR="00444753">
              <w:rPr>
                <w:rFonts w:ascii="Arial" w:hAnsi="Arial" w:cs="Arial"/>
                <w:b/>
                <w:color w:val="000000"/>
                <w:sz w:val="24"/>
                <w:szCs w:val="24"/>
              </w:rPr>
              <w:t>09</w:t>
            </w:r>
          </w:p>
        </w:tc>
      </w:tr>
      <w:tr w:rsidR="00C86940" w14:paraId="4C8E8EDE" w14:textId="77777777" w:rsidTr="00090D82">
        <w:tc>
          <w:tcPr>
            <w:tcW w:w="9520" w:type="dxa"/>
          </w:tcPr>
          <w:p w14:paraId="3D750005" w14:textId="0DD83477" w:rsidR="00C86940" w:rsidRPr="00166502" w:rsidRDefault="00C86940" w:rsidP="00C86940">
            <w:pPr>
              <w:pStyle w:val="TBullet"/>
              <w:numPr>
                <w:ilvl w:val="0"/>
                <w:numId w:val="1"/>
              </w:numPr>
              <w:ind w:left="314" w:hanging="284"/>
              <w:rPr>
                <w:rFonts w:ascii="Arial" w:hAnsi="Arial" w:cs="Arial"/>
                <w:sz w:val="22"/>
                <w:szCs w:val="22"/>
              </w:rPr>
            </w:pPr>
            <w:r w:rsidRPr="00166502">
              <w:rPr>
                <w:rFonts w:ascii="Arial" w:hAnsi="Arial" w:cs="Arial"/>
                <w:sz w:val="22"/>
                <w:szCs w:val="22"/>
              </w:rPr>
              <w:t>This Order is made under Section</w:t>
            </w:r>
            <w:r w:rsidR="0092053C">
              <w:rPr>
                <w:rFonts w:ascii="Arial" w:hAnsi="Arial" w:cs="Arial"/>
                <w:sz w:val="22"/>
                <w:szCs w:val="22"/>
              </w:rPr>
              <w:t xml:space="preserve"> 53(2)(b)</w:t>
            </w:r>
            <w:r w:rsidRPr="00166502">
              <w:rPr>
                <w:rFonts w:ascii="Arial" w:hAnsi="Arial" w:cs="Arial"/>
                <w:sz w:val="22"/>
                <w:szCs w:val="22"/>
              </w:rPr>
              <w:t xml:space="preserve"> of the Wildlife and Countryside Act 1981 and is known as </w:t>
            </w:r>
            <w:r w:rsidR="00A22D0F">
              <w:rPr>
                <w:rFonts w:ascii="Arial" w:hAnsi="Arial" w:cs="Arial"/>
                <w:sz w:val="22"/>
                <w:szCs w:val="22"/>
              </w:rPr>
              <w:t xml:space="preserve">the North Northamptonshire Council (Public Footpath UK45 </w:t>
            </w:r>
            <w:r w:rsidR="00104A73">
              <w:rPr>
                <w:rFonts w:ascii="Arial" w:hAnsi="Arial" w:cs="Arial"/>
                <w:sz w:val="22"/>
                <w:szCs w:val="22"/>
              </w:rPr>
              <w:t>–</w:t>
            </w:r>
            <w:r w:rsidR="00A22D0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04A73">
              <w:rPr>
                <w:rFonts w:ascii="Arial" w:hAnsi="Arial" w:cs="Arial"/>
                <w:sz w:val="22"/>
                <w:szCs w:val="22"/>
              </w:rPr>
              <w:t xml:space="preserve">Prospect Avenue to Shirley Road with Spur to </w:t>
            </w:r>
            <w:r w:rsidR="00EC01AA">
              <w:rPr>
                <w:rFonts w:ascii="Arial" w:hAnsi="Arial" w:cs="Arial"/>
                <w:sz w:val="22"/>
                <w:szCs w:val="22"/>
              </w:rPr>
              <w:t>“The Greenway” – In the Town of Rushden) Definitive Map Modification Order 2022</w:t>
            </w:r>
            <w:r w:rsidR="00432A3A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</w:tr>
      <w:tr w:rsidR="00C86940" w14:paraId="202090B2" w14:textId="77777777" w:rsidTr="00090D82">
        <w:tc>
          <w:tcPr>
            <w:tcW w:w="9520" w:type="dxa"/>
          </w:tcPr>
          <w:p w14:paraId="140BB4B7" w14:textId="42175943" w:rsidR="00C86940" w:rsidRPr="00166502" w:rsidRDefault="00C86940" w:rsidP="00C86940">
            <w:pPr>
              <w:pStyle w:val="TBullet"/>
              <w:numPr>
                <w:ilvl w:val="0"/>
                <w:numId w:val="1"/>
              </w:numPr>
              <w:ind w:left="314" w:hanging="284"/>
              <w:rPr>
                <w:rFonts w:ascii="Arial" w:hAnsi="Arial" w:cs="Arial"/>
                <w:sz w:val="22"/>
                <w:szCs w:val="22"/>
              </w:rPr>
            </w:pPr>
            <w:r w:rsidRPr="00166502">
              <w:rPr>
                <w:rFonts w:ascii="Arial" w:hAnsi="Arial" w:cs="Arial"/>
                <w:sz w:val="22"/>
                <w:szCs w:val="22"/>
              </w:rPr>
              <w:t xml:space="preserve">The Order is dated </w:t>
            </w:r>
            <w:r w:rsidR="00432A3A">
              <w:rPr>
                <w:rFonts w:ascii="Arial" w:hAnsi="Arial" w:cs="Arial"/>
                <w:sz w:val="22"/>
                <w:szCs w:val="22"/>
              </w:rPr>
              <w:t>21 July 2022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66502">
              <w:rPr>
                <w:rFonts w:ascii="Arial" w:hAnsi="Arial" w:cs="Arial"/>
                <w:sz w:val="22"/>
                <w:szCs w:val="22"/>
              </w:rPr>
              <w:t xml:space="preserve">and proposes to modify the </w:t>
            </w:r>
            <w:bookmarkStart w:id="1" w:name="_Hlk161063372"/>
            <w:r w:rsidRPr="00166502">
              <w:rPr>
                <w:rFonts w:ascii="Arial" w:hAnsi="Arial" w:cs="Arial"/>
                <w:sz w:val="22"/>
                <w:szCs w:val="22"/>
              </w:rPr>
              <w:t>Definitive Map and Statement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End w:id="1"/>
            <w:r w:rsidRPr="00166502">
              <w:rPr>
                <w:rFonts w:ascii="Arial" w:hAnsi="Arial" w:cs="Arial"/>
                <w:sz w:val="22"/>
                <w:szCs w:val="22"/>
              </w:rPr>
              <w:t>for the area by</w:t>
            </w:r>
            <w:r w:rsidR="007402F9">
              <w:rPr>
                <w:rFonts w:ascii="Arial" w:hAnsi="Arial" w:cs="Arial"/>
                <w:sz w:val="22"/>
                <w:szCs w:val="22"/>
              </w:rPr>
              <w:t xml:space="preserve"> adding a footpath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66502">
              <w:rPr>
                <w:rFonts w:ascii="Arial" w:hAnsi="Arial" w:cs="Arial"/>
                <w:sz w:val="22"/>
                <w:szCs w:val="22"/>
              </w:rPr>
              <w:t>as shown in the Order plan and described in the Order Schedule.</w:t>
            </w:r>
          </w:p>
        </w:tc>
      </w:tr>
      <w:tr w:rsidR="00C86940" w14:paraId="08555AA7" w14:textId="77777777" w:rsidTr="00090D82">
        <w:tc>
          <w:tcPr>
            <w:tcW w:w="9520" w:type="dxa"/>
          </w:tcPr>
          <w:p w14:paraId="1C5BC9B1" w14:textId="43122A05" w:rsidR="00C86940" w:rsidRPr="00166502" w:rsidRDefault="00C86940" w:rsidP="00C86940">
            <w:pPr>
              <w:pStyle w:val="TBullet"/>
              <w:numPr>
                <w:ilvl w:val="0"/>
                <w:numId w:val="1"/>
              </w:numPr>
              <w:ind w:left="314" w:hanging="284"/>
              <w:rPr>
                <w:rFonts w:ascii="Arial" w:hAnsi="Arial" w:cs="Arial"/>
                <w:sz w:val="22"/>
                <w:szCs w:val="22"/>
              </w:rPr>
            </w:pPr>
            <w:r w:rsidRPr="00166502">
              <w:rPr>
                <w:rFonts w:ascii="Arial" w:hAnsi="Arial" w:cs="Arial"/>
                <w:sz w:val="22"/>
                <w:szCs w:val="22"/>
              </w:rPr>
              <w:t>There w</w:t>
            </w:r>
            <w:r>
              <w:rPr>
                <w:rFonts w:ascii="Arial" w:hAnsi="Arial" w:cs="Arial"/>
                <w:sz w:val="22"/>
                <w:szCs w:val="22"/>
              </w:rPr>
              <w:t xml:space="preserve">as </w:t>
            </w:r>
            <w:r w:rsidR="00CB6896"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Pr="00166502">
              <w:rPr>
                <w:rFonts w:ascii="Arial" w:hAnsi="Arial" w:cs="Arial"/>
                <w:sz w:val="22"/>
                <w:szCs w:val="22"/>
              </w:rPr>
              <w:t xml:space="preserve">objection outstanding </w:t>
            </w:r>
            <w:r>
              <w:rPr>
                <w:rFonts w:ascii="Arial" w:hAnsi="Arial" w:cs="Arial"/>
                <w:sz w:val="22"/>
                <w:szCs w:val="22"/>
              </w:rPr>
              <w:t>when</w:t>
            </w:r>
            <w:r w:rsidR="00CB6896">
              <w:rPr>
                <w:rFonts w:ascii="Arial" w:hAnsi="Arial" w:cs="Arial"/>
                <w:sz w:val="22"/>
                <w:szCs w:val="22"/>
              </w:rPr>
              <w:t xml:space="preserve"> North Northamptonshire Council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66502">
              <w:rPr>
                <w:rFonts w:ascii="Arial" w:hAnsi="Arial" w:cs="Arial"/>
                <w:sz w:val="22"/>
                <w:szCs w:val="22"/>
              </w:rPr>
              <w:t>submitted the Order to the Secretary of State for Environment, Food and Rural Affairs for confirmation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86940" w14:paraId="47E6A172" w14:textId="77777777" w:rsidTr="00090D82">
        <w:tc>
          <w:tcPr>
            <w:tcW w:w="9520" w:type="dxa"/>
          </w:tcPr>
          <w:p w14:paraId="4D8379DB" w14:textId="3880784C" w:rsidR="00C86940" w:rsidRPr="00166502" w:rsidRDefault="00C86940" w:rsidP="00090D82">
            <w:pPr>
              <w:spacing w:before="60"/>
              <w:ind w:left="-105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66502">
              <w:rPr>
                <w:rFonts w:ascii="Arial" w:hAnsi="Arial" w:cs="Arial"/>
                <w:b/>
                <w:color w:val="000000"/>
                <w:sz w:val="24"/>
                <w:szCs w:val="24"/>
              </w:rPr>
              <w:t>Summary of Decision:</w:t>
            </w:r>
            <w:r w:rsidRPr="00166502">
              <w:rPr>
                <w:rFonts w:ascii="Arial" w:hAnsi="Arial" w:cs="Arial"/>
                <w:b/>
                <w:sz w:val="24"/>
                <w:szCs w:val="24"/>
              </w:rPr>
              <w:t xml:space="preserve"> The Order is confirmed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C86940" w14:paraId="4047956E" w14:textId="77777777" w:rsidTr="00090D82">
        <w:tc>
          <w:tcPr>
            <w:tcW w:w="9520" w:type="dxa"/>
            <w:tcBorders>
              <w:bottom w:val="single" w:sz="6" w:space="0" w:color="000000"/>
            </w:tcBorders>
          </w:tcPr>
          <w:p w14:paraId="75CC78EA" w14:textId="77777777" w:rsidR="00C86940" w:rsidRPr="009C36BC" w:rsidRDefault="00C86940" w:rsidP="00090D82">
            <w:pPr>
              <w:spacing w:before="60"/>
              <w:rPr>
                <w:b/>
                <w:color w:val="000000"/>
                <w:sz w:val="2"/>
              </w:rPr>
            </w:pPr>
            <w:bookmarkStart w:id="2" w:name="bmkReturn"/>
            <w:bookmarkEnd w:id="2"/>
          </w:p>
        </w:tc>
      </w:tr>
    </w:tbl>
    <w:p w14:paraId="153C7082" w14:textId="77777777" w:rsidR="00C86940" w:rsidRDefault="00C86940" w:rsidP="00C86940">
      <w:pPr>
        <w:pStyle w:val="Heading6blackfont"/>
        <w:rPr>
          <w:rFonts w:ascii="Arial" w:hAnsi="Arial" w:cs="Arial"/>
          <w:sz w:val="24"/>
          <w:szCs w:val="24"/>
        </w:rPr>
      </w:pPr>
      <w:r w:rsidRPr="00166502">
        <w:rPr>
          <w:rFonts w:ascii="Arial" w:hAnsi="Arial" w:cs="Arial"/>
          <w:sz w:val="24"/>
          <w:szCs w:val="24"/>
        </w:rPr>
        <w:t>Preliminary Matters</w:t>
      </w:r>
    </w:p>
    <w:p w14:paraId="4AB4F302" w14:textId="6E3BEA5F" w:rsidR="00C86940" w:rsidRDefault="007543EA" w:rsidP="00C86940">
      <w:pPr>
        <w:pStyle w:val="Style1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have found it convenient to refer to the points of the route </w:t>
      </w:r>
      <w:r w:rsidR="00EF5EC6">
        <w:rPr>
          <w:rFonts w:ascii="Arial" w:hAnsi="Arial" w:cs="Arial"/>
          <w:sz w:val="24"/>
          <w:szCs w:val="24"/>
        </w:rPr>
        <w:t xml:space="preserve">on the Order plan, and a copy of this is attached to the end of this decision for ease of reference. </w:t>
      </w:r>
    </w:p>
    <w:p w14:paraId="7DBA3CD5" w14:textId="51258612" w:rsidR="00155963" w:rsidRDefault="001F2B18" w:rsidP="00C86940">
      <w:pPr>
        <w:pStyle w:val="Style1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Order, as made, included </w:t>
      </w:r>
      <w:r w:rsidR="00A654AF">
        <w:rPr>
          <w:rFonts w:ascii="Arial" w:hAnsi="Arial" w:cs="Arial"/>
          <w:sz w:val="24"/>
          <w:szCs w:val="24"/>
        </w:rPr>
        <w:t>a longer section of footpath between</w:t>
      </w:r>
      <w:r w:rsidR="00610DD2">
        <w:rPr>
          <w:rFonts w:ascii="Arial" w:hAnsi="Arial" w:cs="Arial"/>
          <w:sz w:val="24"/>
          <w:szCs w:val="24"/>
        </w:rPr>
        <w:t xml:space="preserve"> Prospect Avenue (point A</w:t>
      </w:r>
      <w:r w:rsidR="00223F2E">
        <w:rPr>
          <w:rFonts w:ascii="Arial" w:hAnsi="Arial" w:cs="Arial"/>
          <w:sz w:val="24"/>
          <w:szCs w:val="24"/>
        </w:rPr>
        <w:t>)</w:t>
      </w:r>
      <w:r w:rsidR="00610DD2">
        <w:rPr>
          <w:rFonts w:ascii="Arial" w:hAnsi="Arial" w:cs="Arial"/>
          <w:sz w:val="24"/>
          <w:szCs w:val="24"/>
        </w:rPr>
        <w:t xml:space="preserve"> and </w:t>
      </w:r>
      <w:r w:rsidR="00223F2E">
        <w:rPr>
          <w:rFonts w:ascii="Arial" w:hAnsi="Arial" w:cs="Arial"/>
          <w:sz w:val="24"/>
          <w:szCs w:val="24"/>
        </w:rPr>
        <w:t>Shirley Road (point B)</w:t>
      </w:r>
      <w:r w:rsidR="00773AEE">
        <w:rPr>
          <w:rFonts w:ascii="Arial" w:hAnsi="Arial" w:cs="Arial"/>
          <w:sz w:val="24"/>
          <w:szCs w:val="24"/>
        </w:rPr>
        <w:t>,</w:t>
      </w:r>
      <w:r w:rsidR="00223F2E">
        <w:rPr>
          <w:rFonts w:ascii="Arial" w:hAnsi="Arial" w:cs="Arial"/>
          <w:sz w:val="24"/>
          <w:szCs w:val="24"/>
        </w:rPr>
        <w:t xml:space="preserve"> and a shorter spur section </w:t>
      </w:r>
      <w:r w:rsidR="00135B35">
        <w:rPr>
          <w:rFonts w:ascii="Arial" w:hAnsi="Arial" w:cs="Arial"/>
          <w:sz w:val="24"/>
          <w:szCs w:val="24"/>
        </w:rPr>
        <w:t>(</w:t>
      </w:r>
      <w:r w:rsidR="00680C52">
        <w:rPr>
          <w:rFonts w:ascii="Arial" w:hAnsi="Arial" w:cs="Arial"/>
          <w:sz w:val="24"/>
          <w:szCs w:val="24"/>
        </w:rPr>
        <w:t>C</w:t>
      </w:r>
      <w:r w:rsidR="00135B35">
        <w:rPr>
          <w:rFonts w:ascii="Arial" w:hAnsi="Arial" w:cs="Arial"/>
          <w:sz w:val="24"/>
          <w:szCs w:val="24"/>
        </w:rPr>
        <w:t>-</w:t>
      </w:r>
      <w:r w:rsidR="00680C52">
        <w:rPr>
          <w:rFonts w:ascii="Arial" w:hAnsi="Arial" w:cs="Arial"/>
          <w:sz w:val="24"/>
          <w:szCs w:val="24"/>
        </w:rPr>
        <w:t>D</w:t>
      </w:r>
      <w:r w:rsidR="00135B35">
        <w:rPr>
          <w:rFonts w:ascii="Arial" w:hAnsi="Arial" w:cs="Arial"/>
          <w:sz w:val="24"/>
          <w:szCs w:val="24"/>
        </w:rPr>
        <w:t>)</w:t>
      </w:r>
      <w:r w:rsidR="00680C52">
        <w:rPr>
          <w:rFonts w:ascii="Arial" w:hAnsi="Arial" w:cs="Arial"/>
          <w:sz w:val="24"/>
          <w:szCs w:val="24"/>
        </w:rPr>
        <w:t xml:space="preserve">. </w:t>
      </w:r>
      <w:r w:rsidR="005E78D6">
        <w:rPr>
          <w:rFonts w:ascii="Arial" w:hAnsi="Arial" w:cs="Arial"/>
          <w:sz w:val="24"/>
          <w:szCs w:val="24"/>
        </w:rPr>
        <w:t>The part of the Order relating to the longer section (A</w:t>
      </w:r>
      <w:r w:rsidR="001B1C3E">
        <w:rPr>
          <w:rFonts w:ascii="Arial" w:hAnsi="Arial" w:cs="Arial"/>
          <w:sz w:val="24"/>
          <w:szCs w:val="24"/>
        </w:rPr>
        <w:t>-</w:t>
      </w:r>
      <w:r w:rsidR="005E78D6">
        <w:rPr>
          <w:rFonts w:ascii="Arial" w:hAnsi="Arial" w:cs="Arial"/>
          <w:sz w:val="24"/>
          <w:szCs w:val="24"/>
        </w:rPr>
        <w:t xml:space="preserve">B) was confirmed by the </w:t>
      </w:r>
      <w:r w:rsidR="00527ABE">
        <w:rPr>
          <w:rFonts w:ascii="Arial" w:hAnsi="Arial" w:cs="Arial"/>
          <w:sz w:val="24"/>
          <w:szCs w:val="24"/>
        </w:rPr>
        <w:t>Council in August 2023. There remains an outstanding objection relating to the spur</w:t>
      </w:r>
      <w:r w:rsidR="003F3B8F">
        <w:rPr>
          <w:rFonts w:ascii="Arial" w:hAnsi="Arial" w:cs="Arial"/>
          <w:sz w:val="24"/>
          <w:szCs w:val="24"/>
        </w:rPr>
        <w:t>,</w:t>
      </w:r>
      <w:r w:rsidR="00527ABE">
        <w:rPr>
          <w:rFonts w:ascii="Arial" w:hAnsi="Arial" w:cs="Arial"/>
          <w:sz w:val="24"/>
          <w:szCs w:val="24"/>
        </w:rPr>
        <w:t xml:space="preserve"> </w:t>
      </w:r>
      <w:r w:rsidR="009E1C07">
        <w:rPr>
          <w:rFonts w:ascii="Arial" w:hAnsi="Arial" w:cs="Arial"/>
          <w:sz w:val="24"/>
          <w:szCs w:val="24"/>
        </w:rPr>
        <w:t xml:space="preserve">and </w:t>
      </w:r>
      <w:r w:rsidR="003F3B8F">
        <w:rPr>
          <w:rFonts w:ascii="Arial" w:hAnsi="Arial" w:cs="Arial"/>
          <w:sz w:val="24"/>
          <w:szCs w:val="24"/>
        </w:rPr>
        <w:t>therefore</w:t>
      </w:r>
      <w:r w:rsidR="009E1C07">
        <w:rPr>
          <w:rFonts w:ascii="Arial" w:hAnsi="Arial" w:cs="Arial"/>
          <w:sz w:val="24"/>
          <w:szCs w:val="24"/>
        </w:rPr>
        <w:t xml:space="preserve"> this decision relates only to section C</w:t>
      </w:r>
      <w:r w:rsidR="001B1C3E">
        <w:rPr>
          <w:rFonts w:ascii="Arial" w:hAnsi="Arial" w:cs="Arial"/>
          <w:sz w:val="24"/>
          <w:szCs w:val="24"/>
        </w:rPr>
        <w:t>-</w:t>
      </w:r>
      <w:r w:rsidR="009E1C07">
        <w:rPr>
          <w:rFonts w:ascii="Arial" w:hAnsi="Arial" w:cs="Arial"/>
          <w:sz w:val="24"/>
          <w:szCs w:val="24"/>
        </w:rPr>
        <w:t xml:space="preserve">D. </w:t>
      </w:r>
      <w:r w:rsidR="001B1C3E">
        <w:rPr>
          <w:rFonts w:ascii="Arial" w:hAnsi="Arial" w:cs="Arial"/>
          <w:sz w:val="24"/>
          <w:szCs w:val="24"/>
        </w:rPr>
        <w:t>The spur leaves section A-B</w:t>
      </w:r>
      <w:r w:rsidR="001255E7">
        <w:rPr>
          <w:rFonts w:ascii="Arial" w:hAnsi="Arial" w:cs="Arial"/>
          <w:sz w:val="24"/>
          <w:szCs w:val="24"/>
        </w:rPr>
        <w:t xml:space="preserve">, which is now </w:t>
      </w:r>
      <w:r w:rsidR="0077121F">
        <w:rPr>
          <w:rFonts w:ascii="Arial" w:hAnsi="Arial" w:cs="Arial"/>
          <w:sz w:val="24"/>
          <w:szCs w:val="24"/>
        </w:rPr>
        <w:t>recorded</w:t>
      </w:r>
      <w:r w:rsidR="001255E7">
        <w:rPr>
          <w:rFonts w:ascii="Arial" w:hAnsi="Arial" w:cs="Arial"/>
          <w:sz w:val="24"/>
          <w:szCs w:val="24"/>
        </w:rPr>
        <w:t xml:space="preserve"> as a </w:t>
      </w:r>
      <w:r w:rsidR="0077121F">
        <w:rPr>
          <w:rFonts w:ascii="Arial" w:hAnsi="Arial" w:cs="Arial"/>
          <w:sz w:val="24"/>
          <w:szCs w:val="24"/>
        </w:rPr>
        <w:t xml:space="preserve">public </w:t>
      </w:r>
      <w:r w:rsidR="001255E7">
        <w:rPr>
          <w:rFonts w:ascii="Arial" w:hAnsi="Arial" w:cs="Arial"/>
          <w:sz w:val="24"/>
          <w:szCs w:val="24"/>
        </w:rPr>
        <w:t>footpath</w:t>
      </w:r>
      <w:r w:rsidR="0077121F">
        <w:rPr>
          <w:rFonts w:ascii="Arial" w:hAnsi="Arial" w:cs="Arial"/>
          <w:sz w:val="24"/>
          <w:szCs w:val="24"/>
        </w:rPr>
        <w:t xml:space="preserve"> through the confirmed Order</w:t>
      </w:r>
      <w:r w:rsidR="00FF6B4B">
        <w:rPr>
          <w:rFonts w:ascii="Arial" w:hAnsi="Arial" w:cs="Arial"/>
          <w:sz w:val="24"/>
          <w:szCs w:val="24"/>
        </w:rPr>
        <w:t>,</w:t>
      </w:r>
      <w:r w:rsidR="00163B20">
        <w:rPr>
          <w:rFonts w:ascii="Arial" w:hAnsi="Arial" w:cs="Arial"/>
          <w:sz w:val="24"/>
          <w:szCs w:val="24"/>
        </w:rPr>
        <w:t xml:space="preserve"> at point C and joins</w:t>
      </w:r>
      <w:r w:rsidR="00BA2EB2">
        <w:rPr>
          <w:rFonts w:ascii="Arial" w:hAnsi="Arial" w:cs="Arial"/>
          <w:sz w:val="24"/>
          <w:szCs w:val="24"/>
        </w:rPr>
        <w:t xml:space="preserve"> an adopted cycle path, known as “The </w:t>
      </w:r>
      <w:r w:rsidR="00D72A08">
        <w:rPr>
          <w:rFonts w:ascii="Arial" w:hAnsi="Arial" w:cs="Arial"/>
          <w:sz w:val="24"/>
          <w:szCs w:val="24"/>
        </w:rPr>
        <w:t>Greenway”,</w:t>
      </w:r>
      <w:r w:rsidR="00BA2EB2">
        <w:rPr>
          <w:rFonts w:ascii="Arial" w:hAnsi="Arial" w:cs="Arial"/>
          <w:sz w:val="24"/>
          <w:szCs w:val="24"/>
        </w:rPr>
        <w:t xml:space="preserve"> at point D. </w:t>
      </w:r>
    </w:p>
    <w:p w14:paraId="15D71C12" w14:textId="77777777" w:rsidR="00C86940" w:rsidRDefault="00C86940" w:rsidP="00C86940">
      <w:pPr>
        <w:pStyle w:val="Heading6blackfont"/>
        <w:rPr>
          <w:rFonts w:ascii="Arial" w:hAnsi="Arial" w:cs="Arial"/>
          <w:sz w:val="24"/>
          <w:szCs w:val="24"/>
        </w:rPr>
      </w:pPr>
      <w:r w:rsidRPr="00166502">
        <w:rPr>
          <w:rFonts w:ascii="Arial" w:hAnsi="Arial" w:cs="Arial"/>
          <w:sz w:val="24"/>
          <w:szCs w:val="24"/>
        </w:rPr>
        <w:t>The Main Issues</w:t>
      </w:r>
    </w:p>
    <w:p w14:paraId="434E3013" w14:textId="77777777" w:rsidR="00D72A08" w:rsidRPr="00016F76" w:rsidRDefault="00D72A08" w:rsidP="00D72A08">
      <w:pPr>
        <w:pStyle w:val="Style1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16F76">
        <w:rPr>
          <w:rFonts w:ascii="Arial" w:hAnsi="Arial" w:cs="Arial"/>
          <w:sz w:val="24"/>
          <w:szCs w:val="24"/>
        </w:rPr>
        <w:t>The Order has been made having regard to section 53(3)(c)(i) of the Wildlife and Countryside Act 198</w:t>
      </w:r>
      <w:r>
        <w:rPr>
          <w:rFonts w:ascii="Arial" w:hAnsi="Arial" w:cs="Arial"/>
          <w:sz w:val="24"/>
          <w:szCs w:val="24"/>
        </w:rPr>
        <w:t>1</w:t>
      </w:r>
      <w:r w:rsidRPr="00016F76">
        <w:rPr>
          <w:rFonts w:ascii="Arial" w:hAnsi="Arial" w:cs="Arial"/>
          <w:sz w:val="24"/>
          <w:szCs w:val="24"/>
        </w:rPr>
        <w:t>. This requires me to consider if, on the balance of probabilities, the evidence shows that a route not shown on the definitive map and statement subsists.</w:t>
      </w:r>
    </w:p>
    <w:p w14:paraId="29972B0F" w14:textId="47F7E729" w:rsidR="00D72A08" w:rsidRPr="00016F76" w:rsidRDefault="00D72A08" w:rsidP="00D72A08">
      <w:pPr>
        <w:pStyle w:val="Style1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16F76">
        <w:rPr>
          <w:rFonts w:ascii="Arial" w:hAnsi="Arial" w:cs="Arial"/>
          <w:sz w:val="24"/>
          <w:szCs w:val="24"/>
        </w:rPr>
        <w:t>User evidence was submitted in support of the Order which relies on the presumption of dedication arising from tests laid out in section 31 of the Highways Act 1980</w:t>
      </w:r>
      <w:r>
        <w:rPr>
          <w:rFonts w:ascii="Arial" w:hAnsi="Arial" w:cs="Arial"/>
          <w:sz w:val="24"/>
          <w:szCs w:val="24"/>
        </w:rPr>
        <w:t xml:space="preserve">. </w:t>
      </w:r>
      <w:r w:rsidRPr="00016F76">
        <w:rPr>
          <w:rFonts w:ascii="Arial" w:hAnsi="Arial" w:cs="Arial"/>
          <w:sz w:val="24"/>
          <w:szCs w:val="24"/>
        </w:rPr>
        <w:t>This requires me to consider if the public have used the route</w:t>
      </w:r>
      <w:r>
        <w:rPr>
          <w:rFonts w:ascii="Arial" w:hAnsi="Arial" w:cs="Arial"/>
          <w:sz w:val="24"/>
          <w:szCs w:val="24"/>
        </w:rPr>
        <w:t>s</w:t>
      </w:r>
      <w:r w:rsidRPr="00016F76">
        <w:rPr>
          <w:rFonts w:ascii="Arial" w:hAnsi="Arial" w:cs="Arial"/>
          <w:sz w:val="24"/>
          <w:szCs w:val="24"/>
        </w:rPr>
        <w:t xml:space="preserve"> as of right and without interruption, for a period of </w:t>
      </w:r>
      <w:r w:rsidR="004F52FE">
        <w:rPr>
          <w:rFonts w:ascii="Arial" w:hAnsi="Arial" w:cs="Arial"/>
          <w:sz w:val="24"/>
          <w:szCs w:val="24"/>
        </w:rPr>
        <w:t>20</w:t>
      </w:r>
      <w:r w:rsidR="00B63621">
        <w:rPr>
          <w:rFonts w:ascii="Arial" w:hAnsi="Arial" w:cs="Arial"/>
          <w:sz w:val="24"/>
          <w:szCs w:val="24"/>
        </w:rPr>
        <w:t xml:space="preserve"> </w:t>
      </w:r>
      <w:r w:rsidRPr="00016F76">
        <w:rPr>
          <w:rFonts w:ascii="Arial" w:hAnsi="Arial" w:cs="Arial"/>
          <w:sz w:val="24"/>
          <w:szCs w:val="24"/>
        </w:rPr>
        <w:t xml:space="preserve">years immediately prior to its status being brought into question. </w:t>
      </w:r>
    </w:p>
    <w:p w14:paraId="275BB658" w14:textId="24D58D3E" w:rsidR="00D72A08" w:rsidRPr="00F33F7B" w:rsidRDefault="00D72A08" w:rsidP="00D72A08">
      <w:pPr>
        <w:pStyle w:val="Style1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must establish the date when the public’s right to use the Order route was brought into question and then </w:t>
      </w:r>
      <w:r w:rsidRPr="00F33F7B">
        <w:rPr>
          <w:rFonts w:ascii="Arial" w:hAnsi="Arial" w:cs="Arial"/>
          <w:sz w:val="24"/>
          <w:szCs w:val="24"/>
        </w:rPr>
        <w:t xml:space="preserve">I must determine if use by the public occurred for a </w:t>
      </w:r>
      <w:r>
        <w:rPr>
          <w:rFonts w:ascii="Arial" w:hAnsi="Arial" w:cs="Arial"/>
          <w:sz w:val="24"/>
          <w:szCs w:val="24"/>
        </w:rPr>
        <w:t>20</w:t>
      </w:r>
      <w:r w:rsidR="00B63621">
        <w:rPr>
          <w:rFonts w:ascii="Arial" w:hAnsi="Arial" w:cs="Arial"/>
          <w:sz w:val="24"/>
          <w:szCs w:val="24"/>
        </w:rPr>
        <w:t>-</w:t>
      </w:r>
      <w:r w:rsidRPr="00F33F7B">
        <w:rPr>
          <w:rFonts w:ascii="Arial" w:hAnsi="Arial" w:cs="Arial"/>
          <w:sz w:val="24"/>
          <w:szCs w:val="24"/>
        </w:rPr>
        <w:t xml:space="preserve">year period prior to this that is sufficient to raise a presumption of dedication. If this is the case, I must then consider if there is sufficient evidence that there was no intention on the part of the landowner to dedicate a public footpath during this period. </w:t>
      </w:r>
    </w:p>
    <w:p w14:paraId="0EA1A9D1" w14:textId="73016B73" w:rsidR="00155963" w:rsidRPr="00155963" w:rsidRDefault="00155963" w:rsidP="00155963">
      <w:pPr>
        <w:pStyle w:val="Style1"/>
        <w:ind w:left="0" w:firstLine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Reasons</w:t>
      </w:r>
    </w:p>
    <w:p w14:paraId="3AB02A0B" w14:textId="56B95356" w:rsidR="00155963" w:rsidRPr="008B63A1" w:rsidRDefault="008B63A1" w:rsidP="00465FF4">
      <w:pPr>
        <w:pStyle w:val="Style1"/>
        <w:spacing w:before="120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Bringing into Question </w:t>
      </w:r>
    </w:p>
    <w:p w14:paraId="3E5ED4D7" w14:textId="5FF6D386" w:rsidR="00155963" w:rsidRPr="00EE11F3" w:rsidRDefault="009B7EA3" w:rsidP="00465FF4">
      <w:pPr>
        <w:pStyle w:val="Style1"/>
        <w:numPr>
          <w:ilvl w:val="0"/>
          <w:numId w:val="3"/>
        </w:numPr>
        <w:spacing w:before="120"/>
        <w:rPr>
          <w:rFonts w:ascii="Arial" w:hAnsi="Arial" w:cs="Arial"/>
          <w:sz w:val="24"/>
          <w:szCs w:val="24"/>
        </w:rPr>
      </w:pPr>
      <w:r w:rsidRPr="00EE11F3">
        <w:rPr>
          <w:rFonts w:ascii="Arial" w:hAnsi="Arial" w:cs="Arial"/>
          <w:sz w:val="24"/>
          <w:szCs w:val="24"/>
        </w:rPr>
        <w:t>The evidence indicates that the status of the routes was brought into question in</w:t>
      </w:r>
      <w:r w:rsidR="00DA2142" w:rsidRPr="00EE11F3">
        <w:rPr>
          <w:rFonts w:ascii="Arial" w:hAnsi="Arial" w:cs="Arial"/>
          <w:sz w:val="24"/>
          <w:szCs w:val="24"/>
        </w:rPr>
        <w:t xml:space="preserve"> </w:t>
      </w:r>
      <w:r w:rsidR="0066170A">
        <w:rPr>
          <w:rFonts w:ascii="Arial" w:hAnsi="Arial" w:cs="Arial"/>
          <w:sz w:val="24"/>
          <w:szCs w:val="24"/>
        </w:rPr>
        <w:t xml:space="preserve">around July </w:t>
      </w:r>
      <w:r w:rsidR="00DA2142" w:rsidRPr="00EE11F3">
        <w:rPr>
          <w:rFonts w:ascii="Arial" w:hAnsi="Arial" w:cs="Arial"/>
          <w:sz w:val="24"/>
          <w:szCs w:val="24"/>
        </w:rPr>
        <w:t xml:space="preserve">2015 when ‘permissive path’ signs were erected. </w:t>
      </w:r>
      <w:r w:rsidR="00904018" w:rsidRPr="00EE11F3">
        <w:rPr>
          <w:rFonts w:ascii="Arial" w:hAnsi="Arial" w:cs="Arial"/>
          <w:sz w:val="24"/>
          <w:szCs w:val="24"/>
        </w:rPr>
        <w:t xml:space="preserve">There is a single reference from a user suggesting a ‘permissive path’ sign appeared in 2012. However, without any further </w:t>
      </w:r>
      <w:r w:rsidR="00EE11F3" w:rsidRPr="00EE11F3">
        <w:rPr>
          <w:rFonts w:ascii="Arial" w:hAnsi="Arial" w:cs="Arial"/>
          <w:sz w:val="24"/>
          <w:szCs w:val="24"/>
        </w:rPr>
        <w:t>corroboration</w:t>
      </w:r>
      <w:r w:rsidR="00904018" w:rsidRPr="00EE11F3">
        <w:rPr>
          <w:rFonts w:ascii="Arial" w:hAnsi="Arial" w:cs="Arial"/>
          <w:sz w:val="24"/>
          <w:szCs w:val="24"/>
        </w:rPr>
        <w:t xml:space="preserve">, the evidence indicates that the </w:t>
      </w:r>
      <w:r w:rsidR="00FD2036" w:rsidRPr="00EE11F3">
        <w:rPr>
          <w:rFonts w:ascii="Arial" w:hAnsi="Arial" w:cs="Arial"/>
          <w:sz w:val="24"/>
          <w:szCs w:val="24"/>
        </w:rPr>
        <w:t xml:space="preserve">right of way was not brought into question until 2015. As such, </w:t>
      </w:r>
      <w:r w:rsidR="00EE11F3">
        <w:rPr>
          <w:rFonts w:ascii="Arial" w:hAnsi="Arial" w:cs="Arial"/>
          <w:sz w:val="24"/>
          <w:szCs w:val="24"/>
        </w:rPr>
        <w:t>t</w:t>
      </w:r>
      <w:r w:rsidR="00EE11F3" w:rsidRPr="00EE11F3">
        <w:rPr>
          <w:rFonts w:ascii="Arial" w:hAnsi="Arial" w:cs="Arial"/>
          <w:sz w:val="24"/>
          <w:szCs w:val="24"/>
        </w:rPr>
        <w:t xml:space="preserve">he date of challenge can be taken as </w:t>
      </w:r>
      <w:r w:rsidR="007F48A3">
        <w:rPr>
          <w:rFonts w:ascii="Arial" w:hAnsi="Arial" w:cs="Arial"/>
          <w:sz w:val="24"/>
          <w:szCs w:val="24"/>
        </w:rPr>
        <w:t xml:space="preserve">July </w:t>
      </w:r>
      <w:r w:rsidR="00EE11F3" w:rsidRPr="00EE11F3">
        <w:rPr>
          <w:rFonts w:ascii="Arial" w:hAnsi="Arial" w:cs="Arial"/>
          <w:sz w:val="24"/>
          <w:szCs w:val="24"/>
        </w:rPr>
        <w:t xml:space="preserve">2015 and </w:t>
      </w:r>
      <w:r w:rsidR="007F48A3">
        <w:rPr>
          <w:rFonts w:ascii="Arial" w:hAnsi="Arial" w:cs="Arial"/>
          <w:sz w:val="24"/>
          <w:szCs w:val="24"/>
        </w:rPr>
        <w:t>therefore</w:t>
      </w:r>
      <w:r w:rsidR="00EE11F3" w:rsidRPr="00EE11F3">
        <w:rPr>
          <w:rFonts w:ascii="Arial" w:hAnsi="Arial" w:cs="Arial"/>
          <w:sz w:val="24"/>
          <w:szCs w:val="24"/>
        </w:rPr>
        <w:t xml:space="preserve"> the relevant </w:t>
      </w:r>
      <w:r w:rsidR="00BF0311" w:rsidRPr="00EE11F3">
        <w:rPr>
          <w:rFonts w:ascii="Arial" w:hAnsi="Arial" w:cs="Arial"/>
          <w:sz w:val="24"/>
          <w:szCs w:val="24"/>
        </w:rPr>
        <w:t>20-year</w:t>
      </w:r>
      <w:r w:rsidR="00EE11F3" w:rsidRPr="00EE11F3">
        <w:rPr>
          <w:rFonts w:ascii="Arial" w:hAnsi="Arial" w:cs="Arial"/>
          <w:sz w:val="24"/>
          <w:szCs w:val="24"/>
        </w:rPr>
        <w:t xml:space="preserve"> period is </w:t>
      </w:r>
      <w:r w:rsidR="00D16C14">
        <w:rPr>
          <w:rFonts w:ascii="Arial" w:hAnsi="Arial" w:cs="Arial"/>
          <w:sz w:val="24"/>
          <w:szCs w:val="24"/>
        </w:rPr>
        <w:t xml:space="preserve">July </w:t>
      </w:r>
      <w:r w:rsidR="00EE11F3" w:rsidRPr="00EE11F3">
        <w:rPr>
          <w:rFonts w:ascii="Arial" w:hAnsi="Arial" w:cs="Arial"/>
          <w:sz w:val="24"/>
          <w:szCs w:val="24"/>
        </w:rPr>
        <w:t xml:space="preserve">1995 to </w:t>
      </w:r>
      <w:r w:rsidR="00D16C14">
        <w:rPr>
          <w:rFonts w:ascii="Arial" w:hAnsi="Arial" w:cs="Arial"/>
          <w:sz w:val="24"/>
          <w:szCs w:val="24"/>
        </w:rPr>
        <w:t xml:space="preserve">July </w:t>
      </w:r>
      <w:r w:rsidR="00EE11F3" w:rsidRPr="00EE11F3">
        <w:rPr>
          <w:rFonts w:ascii="Arial" w:hAnsi="Arial" w:cs="Arial"/>
          <w:sz w:val="24"/>
          <w:szCs w:val="24"/>
        </w:rPr>
        <w:t xml:space="preserve">2015. </w:t>
      </w:r>
    </w:p>
    <w:p w14:paraId="42A1AE3E" w14:textId="624798AC" w:rsidR="00C43517" w:rsidRPr="00C43517" w:rsidRDefault="00C43517" w:rsidP="00C43517">
      <w:pPr>
        <w:pStyle w:val="Style1"/>
        <w:ind w:left="0" w:firstLine="0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Ana</w:t>
      </w:r>
      <w:r w:rsidR="003B6BEF">
        <w:rPr>
          <w:rFonts w:ascii="Arial" w:hAnsi="Arial" w:cs="Arial"/>
          <w:i/>
          <w:iCs/>
          <w:sz w:val="24"/>
          <w:szCs w:val="24"/>
        </w:rPr>
        <w:t xml:space="preserve">lysis of Use </w:t>
      </w:r>
    </w:p>
    <w:p w14:paraId="6A086C3C" w14:textId="29F58474" w:rsidR="00C43517" w:rsidRPr="00BF0311" w:rsidRDefault="00A175DC" w:rsidP="00C86940">
      <w:pPr>
        <w:pStyle w:val="Style1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F0311">
        <w:rPr>
          <w:rFonts w:ascii="Arial" w:hAnsi="Arial" w:cs="Arial"/>
          <w:sz w:val="24"/>
          <w:szCs w:val="24"/>
        </w:rPr>
        <w:t xml:space="preserve">When the application was made to the Council, </w:t>
      </w:r>
      <w:r w:rsidR="00F96E56" w:rsidRPr="00BF0311">
        <w:rPr>
          <w:rFonts w:ascii="Arial" w:hAnsi="Arial" w:cs="Arial"/>
          <w:sz w:val="24"/>
          <w:szCs w:val="24"/>
        </w:rPr>
        <w:t xml:space="preserve">32 user evidence forms were provided. </w:t>
      </w:r>
      <w:r w:rsidR="003C13AD" w:rsidRPr="00BF0311">
        <w:rPr>
          <w:rFonts w:ascii="Arial" w:hAnsi="Arial" w:cs="Arial"/>
          <w:sz w:val="24"/>
          <w:szCs w:val="24"/>
        </w:rPr>
        <w:t>The Council discounted 10 of these forms for various reasons</w:t>
      </w:r>
      <w:r w:rsidR="00F715A4" w:rsidRPr="00BF0311">
        <w:rPr>
          <w:rFonts w:ascii="Arial" w:hAnsi="Arial" w:cs="Arial"/>
          <w:sz w:val="24"/>
          <w:szCs w:val="24"/>
        </w:rPr>
        <w:t>,</w:t>
      </w:r>
      <w:r w:rsidR="003C13AD" w:rsidRPr="00BF0311">
        <w:rPr>
          <w:rFonts w:ascii="Arial" w:hAnsi="Arial" w:cs="Arial"/>
          <w:sz w:val="24"/>
          <w:szCs w:val="24"/>
        </w:rPr>
        <w:t xml:space="preserve"> </w:t>
      </w:r>
      <w:r w:rsidR="00F715A4" w:rsidRPr="00BF0311">
        <w:rPr>
          <w:rFonts w:ascii="Arial" w:hAnsi="Arial" w:cs="Arial"/>
          <w:sz w:val="24"/>
          <w:szCs w:val="24"/>
        </w:rPr>
        <w:t xml:space="preserve">leaving 22 forms. The earliest </w:t>
      </w:r>
      <w:r w:rsidR="008F3B26">
        <w:rPr>
          <w:rFonts w:ascii="Arial" w:hAnsi="Arial" w:cs="Arial"/>
          <w:sz w:val="24"/>
          <w:szCs w:val="24"/>
        </w:rPr>
        <w:t>reported use</w:t>
      </w:r>
      <w:r w:rsidR="00D318E6" w:rsidRPr="00BF0311">
        <w:rPr>
          <w:rFonts w:ascii="Arial" w:hAnsi="Arial" w:cs="Arial"/>
          <w:sz w:val="24"/>
          <w:szCs w:val="24"/>
        </w:rPr>
        <w:t xml:space="preserve"> of the path </w:t>
      </w:r>
      <w:r w:rsidR="00A967A3">
        <w:rPr>
          <w:rFonts w:ascii="Arial" w:hAnsi="Arial" w:cs="Arial"/>
          <w:sz w:val="24"/>
          <w:szCs w:val="24"/>
        </w:rPr>
        <w:t>dates from</w:t>
      </w:r>
      <w:r w:rsidR="00D318E6" w:rsidRPr="00BF0311">
        <w:rPr>
          <w:rFonts w:ascii="Arial" w:hAnsi="Arial" w:cs="Arial"/>
          <w:sz w:val="24"/>
          <w:szCs w:val="24"/>
        </w:rPr>
        <w:t xml:space="preserve"> 1966</w:t>
      </w:r>
      <w:r w:rsidR="00A967A3">
        <w:rPr>
          <w:rFonts w:ascii="Arial" w:hAnsi="Arial" w:cs="Arial"/>
          <w:sz w:val="24"/>
          <w:szCs w:val="24"/>
        </w:rPr>
        <w:t>,</w:t>
      </w:r>
      <w:r w:rsidR="00AE23AF" w:rsidRPr="00BF0311">
        <w:rPr>
          <w:rFonts w:ascii="Arial" w:hAnsi="Arial" w:cs="Arial"/>
          <w:sz w:val="24"/>
          <w:szCs w:val="24"/>
        </w:rPr>
        <w:t xml:space="preserve"> and 15 </w:t>
      </w:r>
      <w:r w:rsidR="0000361D">
        <w:rPr>
          <w:rFonts w:ascii="Arial" w:hAnsi="Arial" w:cs="Arial"/>
          <w:sz w:val="24"/>
          <w:szCs w:val="24"/>
        </w:rPr>
        <w:t xml:space="preserve">of the </w:t>
      </w:r>
      <w:r w:rsidR="00BF0311" w:rsidRPr="00BF0311">
        <w:rPr>
          <w:rFonts w:ascii="Arial" w:hAnsi="Arial" w:cs="Arial"/>
          <w:sz w:val="24"/>
          <w:szCs w:val="24"/>
        </w:rPr>
        <w:t>witnesses</w:t>
      </w:r>
      <w:r w:rsidR="00AE23AF" w:rsidRPr="00BF0311">
        <w:rPr>
          <w:rFonts w:ascii="Arial" w:hAnsi="Arial" w:cs="Arial"/>
          <w:sz w:val="24"/>
          <w:szCs w:val="24"/>
        </w:rPr>
        <w:t xml:space="preserve"> report use over the entirety of the </w:t>
      </w:r>
      <w:r w:rsidR="002C1F11" w:rsidRPr="00BF0311">
        <w:rPr>
          <w:rFonts w:ascii="Arial" w:hAnsi="Arial" w:cs="Arial"/>
          <w:sz w:val="24"/>
          <w:szCs w:val="24"/>
        </w:rPr>
        <w:t>20-year</w:t>
      </w:r>
      <w:r w:rsidR="00AE23AF" w:rsidRPr="00BF0311">
        <w:rPr>
          <w:rFonts w:ascii="Arial" w:hAnsi="Arial" w:cs="Arial"/>
          <w:sz w:val="24"/>
          <w:szCs w:val="24"/>
        </w:rPr>
        <w:t xml:space="preserve"> period. </w:t>
      </w:r>
      <w:r w:rsidR="006D07E5" w:rsidRPr="00BF0311">
        <w:rPr>
          <w:rFonts w:ascii="Arial" w:hAnsi="Arial" w:cs="Arial"/>
          <w:sz w:val="24"/>
          <w:szCs w:val="24"/>
        </w:rPr>
        <w:t xml:space="preserve">The remainder cover only parts of the </w:t>
      </w:r>
      <w:r w:rsidR="002C1F11" w:rsidRPr="00BF0311">
        <w:rPr>
          <w:rFonts w:ascii="Arial" w:hAnsi="Arial" w:cs="Arial"/>
          <w:sz w:val="24"/>
          <w:szCs w:val="24"/>
        </w:rPr>
        <w:t xml:space="preserve">period; </w:t>
      </w:r>
      <w:r w:rsidR="00290C69" w:rsidRPr="00BF0311">
        <w:rPr>
          <w:rFonts w:ascii="Arial" w:hAnsi="Arial" w:cs="Arial"/>
          <w:sz w:val="24"/>
          <w:szCs w:val="24"/>
        </w:rPr>
        <w:t>however,</w:t>
      </w:r>
      <w:r w:rsidR="002C1F11" w:rsidRPr="00BF0311">
        <w:rPr>
          <w:rFonts w:ascii="Arial" w:hAnsi="Arial" w:cs="Arial"/>
          <w:sz w:val="24"/>
          <w:szCs w:val="24"/>
        </w:rPr>
        <w:t xml:space="preserve"> these include some users covering the early period, others the later period and several users </w:t>
      </w:r>
      <w:r w:rsidR="00E22CA9" w:rsidRPr="00BF0311">
        <w:rPr>
          <w:rFonts w:ascii="Arial" w:hAnsi="Arial" w:cs="Arial"/>
          <w:sz w:val="24"/>
          <w:szCs w:val="24"/>
        </w:rPr>
        <w:t xml:space="preserve">recording a period of use </w:t>
      </w:r>
      <w:r w:rsidR="002C1F11" w:rsidRPr="00BF0311">
        <w:rPr>
          <w:rFonts w:ascii="Arial" w:hAnsi="Arial" w:cs="Arial"/>
          <w:sz w:val="24"/>
          <w:szCs w:val="24"/>
        </w:rPr>
        <w:t xml:space="preserve">only a little short of the full </w:t>
      </w:r>
      <w:r w:rsidR="008366E1" w:rsidRPr="00BF0311">
        <w:rPr>
          <w:rFonts w:ascii="Arial" w:hAnsi="Arial" w:cs="Arial"/>
          <w:sz w:val="24"/>
          <w:szCs w:val="24"/>
        </w:rPr>
        <w:t>20 years</w:t>
      </w:r>
      <w:r w:rsidR="002C1F11" w:rsidRPr="00BF0311">
        <w:rPr>
          <w:rFonts w:ascii="Arial" w:hAnsi="Arial" w:cs="Arial"/>
          <w:sz w:val="24"/>
          <w:szCs w:val="24"/>
        </w:rPr>
        <w:t xml:space="preserve">. </w:t>
      </w:r>
    </w:p>
    <w:p w14:paraId="40EAE4F6" w14:textId="71331D57" w:rsidR="00F27322" w:rsidRDefault="00E340B4" w:rsidP="00C86940">
      <w:pPr>
        <w:pStyle w:val="Style1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A6533B">
        <w:rPr>
          <w:rFonts w:ascii="Arial" w:hAnsi="Arial" w:cs="Arial"/>
          <w:sz w:val="24"/>
          <w:szCs w:val="24"/>
        </w:rPr>
        <w:t>The Greenway only came into use as a cycle</w:t>
      </w:r>
      <w:r w:rsidR="00FC3E3C" w:rsidRPr="00A6533B">
        <w:rPr>
          <w:rFonts w:ascii="Arial" w:hAnsi="Arial" w:cs="Arial"/>
          <w:sz w:val="24"/>
          <w:szCs w:val="24"/>
        </w:rPr>
        <w:t xml:space="preserve"> path in 2010, and </w:t>
      </w:r>
      <w:r w:rsidR="00746BB9">
        <w:rPr>
          <w:rFonts w:ascii="Arial" w:hAnsi="Arial" w:cs="Arial"/>
          <w:sz w:val="24"/>
          <w:szCs w:val="24"/>
        </w:rPr>
        <w:t xml:space="preserve">it has therefore been questioned </w:t>
      </w:r>
      <w:r w:rsidR="00DC0AA8" w:rsidRPr="00A6533B">
        <w:rPr>
          <w:rFonts w:ascii="Arial" w:hAnsi="Arial" w:cs="Arial"/>
          <w:sz w:val="24"/>
          <w:szCs w:val="24"/>
        </w:rPr>
        <w:t xml:space="preserve">what </w:t>
      </w:r>
      <w:r w:rsidR="00890A44">
        <w:rPr>
          <w:rFonts w:ascii="Arial" w:hAnsi="Arial" w:cs="Arial"/>
          <w:sz w:val="24"/>
          <w:szCs w:val="24"/>
        </w:rPr>
        <w:t>users’</w:t>
      </w:r>
      <w:r w:rsidR="001E6C8A" w:rsidRPr="00A6533B">
        <w:rPr>
          <w:rFonts w:ascii="Arial" w:hAnsi="Arial" w:cs="Arial"/>
          <w:sz w:val="24"/>
          <w:szCs w:val="24"/>
        </w:rPr>
        <w:t xml:space="preserve"> </w:t>
      </w:r>
      <w:r w:rsidR="00DC0AA8" w:rsidRPr="00A6533B">
        <w:rPr>
          <w:rFonts w:ascii="Arial" w:hAnsi="Arial" w:cs="Arial"/>
          <w:sz w:val="24"/>
          <w:szCs w:val="24"/>
        </w:rPr>
        <w:t>destinations w</w:t>
      </w:r>
      <w:r w:rsidR="001E6C8A" w:rsidRPr="00A6533B">
        <w:rPr>
          <w:rFonts w:ascii="Arial" w:hAnsi="Arial" w:cs="Arial"/>
          <w:sz w:val="24"/>
          <w:szCs w:val="24"/>
        </w:rPr>
        <w:t xml:space="preserve">ould </w:t>
      </w:r>
      <w:r w:rsidR="007E2533">
        <w:rPr>
          <w:rFonts w:ascii="Arial" w:hAnsi="Arial" w:cs="Arial"/>
          <w:sz w:val="24"/>
          <w:szCs w:val="24"/>
        </w:rPr>
        <w:t xml:space="preserve">have been </w:t>
      </w:r>
      <w:r w:rsidR="001E6C8A" w:rsidRPr="00A6533B">
        <w:rPr>
          <w:rFonts w:ascii="Arial" w:hAnsi="Arial" w:cs="Arial"/>
          <w:sz w:val="24"/>
          <w:szCs w:val="24"/>
        </w:rPr>
        <w:t xml:space="preserve">prior to this. </w:t>
      </w:r>
      <w:r w:rsidR="00E76086" w:rsidRPr="00A6533B">
        <w:rPr>
          <w:rFonts w:ascii="Arial" w:hAnsi="Arial" w:cs="Arial"/>
          <w:sz w:val="24"/>
          <w:szCs w:val="24"/>
        </w:rPr>
        <w:t xml:space="preserve">The user evidence forms indicate that </w:t>
      </w:r>
      <w:r w:rsidR="00BF5324" w:rsidRPr="00A6533B">
        <w:rPr>
          <w:rFonts w:ascii="Arial" w:hAnsi="Arial" w:cs="Arial"/>
          <w:sz w:val="24"/>
          <w:szCs w:val="24"/>
        </w:rPr>
        <w:t xml:space="preserve">destinations included </w:t>
      </w:r>
      <w:r w:rsidR="00195FE5">
        <w:rPr>
          <w:rFonts w:ascii="Arial" w:hAnsi="Arial" w:cs="Arial"/>
          <w:sz w:val="24"/>
          <w:szCs w:val="24"/>
        </w:rPr>
        <w:t xml:space="preserve">Rushden Town Centre, </w:t>
      </w:r>
      <w:proofErr w:type="spellStart"/>
      <w:r w:rsidR="00BF5324" w:rsidRPr="00A6533B">
        <w:rPr>
          <w:rFonts w:ascii="Arial" w:hAnsi="Arial" w:cs="Arial"/>
          <w:sz w:val="24"/>
          <w:szCs w:val="24"/>
        </w:rPr>
        <w:t>Denfield</w:t>
      </w:r>
      <w:proofErr w:type="spellEnd"/>
      <w:r w:rsidR="00BF5324" w:rsidRPr="00A6533B">
        <w:rPr>
          <w:rFonts w:ascii="Arial" w:hAnsi="Arial" w:cs="Arial"/>
          <w:sz w:val="24"/>
          <w:szCs w:val="24"/>
        </w:rPr>
        <w:t xml:space="preserve"> Park Primary School</w:t>
      </w:r>
      <w:r w:rsidR="00BE09E8" w:rsidRPr="00A6533B">
        <w:rPr>
          <w:rFonts w:ascii="Arial" w:hAnsi="Arial" w:cs="Arial"/>
          <w:sz w:val="24"/>
          <w:szCs w:val="24"/>
        </w:rPr>
        <w:t xml:space="preserve">, </w:t>
      </w:r>
      <w:r w:rsidR="00646532">
        <w:rPr>
          <w:rFonts w:ascii="Arial" w:hAnsi="Arial" w:cs="Arial"/>
          <w:sz w:val="24"/>
          <w:szCs w:val="24"/>
        </w:rPr>
        <w:t>The F</w:t>
      </w:r>
      <w:r w:rsidR="00814BD8">
        <w:rPr>
          <w:rFonts w:ascii="Arial" w:hAnsi="Arial" w:cs="Arial"/>
          <w:sz w:val="24"/>
          <w:szCs w:val="24"/>
        </w:rPr>
        <w:t xml:space="preserve">errers School, </w:t>
      </w:r>
      <w:r w:rsidR="00427FBE">
        <w:rPr>
          <w:rFonts w:ascii="Arial" w:hAnsi="Arial" w:cs="Arial"/>
          <w:sz w:val="24"/>
          <w:szCs w:val="24"/>
        </w:rPr>
        <w:t xml:space="preserve">The Rocket Park, </w:t>
      </w:r>
      <w:r w:rsidR="00BE09E8" w:rsidRPr="00A6533B">
        <w:rPr>
          <w:rFonts w:ascii="Arial" w:hAnsi="Arial" w:cs="Arial"/>
          <w:sz w:val="24"/>
          <w:szCs w:val="24"/>
        </w:rPr>
        <w:t xml:space="preserve">Windsor Road and Allen Road. </w:t>
      </w:r>
      <w:r w:rsidR="00470655" w:rsidRPr="00A6533B">
        <w:rPr>
          <w:rFonts w:ascii="Arial" w:hAnsi="Arial" w:cs="Arial"/>
          <w:sz w:val="24"/>
          <w:szCs w:val="24"/>
        </w:rPr>
        <w:t xml:space="preserve">It appears that the former </w:t>
      </w:r>
      <w:r w:rsidR="003870DE" w:rsidRPr="00A6533B">
        <w:rPr>
          <w:rFonts w:ascii="Arial" w:hAnsi="Arial" w:cs="Arial"/>
          <w:sz w:val="24"/>
          <w:szCs w:val="24"/>
        </w:rPr>
        <w:t>track bed</w:t>
      </w:r>
      <w:r w:rsidR="00470655" w:rsidRPr="00A6533B">
        <w:rPr>
          <w:rFonts w:ascii="Arial" w:hAnsi="Arial" w:cs="Arial"/>
          <w:sz w:val="24"/>
          <w:szCs w:val="24"/>
        </w:rPr>
        <w:t xml:space="preserve"> of the disused railway was used as part of onward journeys </w:t>
      </w:r>
      <w:r w:rsidR="003870DE" w:rsidRPr="00A6533B">
        <w:rPr>
          <w:rFonts w:ascii="Arial" w:hAnsi="Arial" w:cs="Arial"/>
          <w:sz w:val="24"/>
          <w:szCs w:val="24"/>
        </w:rPr>
        <w:t>prior to the construction of The Greenway.</w:t>
      </w:r>
      <w:r w:rsidR="00A6533B" w:rsidRPr="00A6533B">
        <w:rPr>
          <w:rFonts w:ascii="Arial" w:hAnsi="Arial" w:cs="Arial"/>
          <w:sz w:val="24"/>
          <w:szCs w:val="24"/>
        </w:rPr>
        <w:t xml:space="preserve"> </w:t>
      </w:r>
      <w:r w:rsidR="003A24C6">
        <w:rPr>
          <w:rFonts w:ascii="Arial" w:hAnsi="Arial" w:cs="Arial"/>
          <w:sz w:val="24"/>
          <w:szCs w:val="24"/>
        </w:rPr>
        <w:t xml:space="preserve">The disused railway also </w:t>
      </w:r>
      <w:r w:rsidR="00A87502">
        <w:rPr>
          <w:rFonts w:ascii="Arial" w:hAnsi="Arial" w:cs="Arial"/>
          <w:sz w:val="24"/>
          <w:szCs w:val="24"/>
        </w:rPr>
        <w:t xml:space="preserve">appears to have been </w:t>
      </w:r>
      <w:r w:rsidR="003A24C6">
        <w:rPr>
          <w:rFonts w:ascii="Arial" w:hAnsi="Arial" w:cs="Arial"/>
          <w:sz w:val="24"/>
          <w:szCs w:val="24"/>
        </w:rPr>
        <w:t>a destination</w:t>
      </w:r>
      <w:r w:rsidR="008C25D3">
        <w:rPr>
          <w:rFonts w:ascii="Arial" w:hAnsi="Arial" w:cs="Arial"/>
          <w:sz w:val="24"/>
          <w:szCs w:val="24"/>
        </w:rPr>
        <w:t>,</w:t>
      </w:r>
      <w:r w:rsidR="003A24C6">
        <w:rPr>
          <w:rFonts w:ascii="Arial" w:hAnsi="Arial" w:cs="Arial"/>
          <w:sz w:val="24"/>
          <w:szCs w:val="24"/>
        </w:rPr>
        <w:t xml:space="preserve"> as dog walking and blackberry picking are cit</w:t>
      </w:r>
      <w:r w:rsidR="00581261">
        <w:rPr>
          <w:rFonts w:ascii="Arial" w:hAnsi="Arial" w:cs="Arial"/>
          <w:sz w:val="24"/>
          <w:szCs w:val="24"/>
        </w:rPr>
        <w:t>ed as uses of the route.</w:t>
      </w:r>
      <w:r w:rsidR="003A24C6">
        <w:rPr>
          <w:rFonts w:ascii="Arial" w:hAnsi="Arial" w:cs="Arial"/>
          <w:sz w:val="24"/>
          <w:szCs w:val="24"/>
        </w:rPr>
        <w:t xml:space="preserve"> </w:t>
      </w:r>
      <w:r w:rsidR="00BE09E8" w:rsidRPr="00A6533B">
        <w:rPr>
          <w:rFonts w:ascii="Arial" w:hAnsi="Arial" w:cs="Arial"/>
          <w:sz w:val="24"/>
          <w:szCs w:val="24"/>
        </w:rPr>
        <w:t>The Greenway as a des</w:t>
      </w:r>
      <w:r w:rsidR="00351B96" w:rsidRPr="00A6533B">
        <w:rPr>
          <w:rFonts w:ascii="Arial" w:hAnsi="Arial" w:cs="Arial"/>
          <w:sz w:val="24"/>
          <w:szCs w:val="24"/>
        </w:rPr>
        <w:t>tination</w:t>
      </w:r>
      <w:r w:rsidR="00BE09E8" w:rsidRPr="00A6533B">
        <w:rPr>
          <w:rFonts w:ascii="Arial" w:hAnsi="Arial" w:cs="Arial"/>
          <w:sz w:val="24"/>
          <w:szCs w:val="24"/>
        </w:rPr>
        <w:t xml:space="preserve"> itself would then be </w:t>
      </w:r>
      <w:r w:rsidR="00351B96" w:rsidRPr="00A6533B">
        <w:rPr>
          <w:rFonts w:ascii="Arial" w:hAnsi="Arial" w:cs="Arial"/>
          <w:sz w:val="24"/>
          <w:szCs w:val="24"/>
        </w:rPr>
        <w:t>plausible</w:t>
      </w:r>
      <w:r w:rsidR="00BE09E8" w:rsidRPr="00A6533B">
        <w:rPr>
          <w:rFonts w:ascii="Arial" w:hAnsi="Arial" w:cs="Arial"/>
          <w:sz w:val="24"/>
          <w:szCs w:val="24"/>
        </w:rPr>
        <w:t xml:space="preserve"> for the later </w:t>
      </w:r>
      <w:r w:rsidR="00351B96" w:rsidRPr="00A6533B">
        <w:rPr>
          <w:rFonts w:ascii="Arial" w:hAnsi="Arial" w:cs="Arial"/>
          <w:sz w:val="24"/>
          <w:szCs w:val="24"/>
        </w:rPr>
        <w:t xml:space="preserve">part of the 20-year period. </w:t>
      </w:r>
      <w:r w:rsidR="00DC0AA8" w:rsidRPr="00A6533B">
        <w:rPr>
          <w:rFonts w:ascii="Arial" w:hAnsi="Arial" w:cs="Arial"/>
          <w:sz w:val="24"/>
          <w:szCs w:val="24"/>
        </w:rPr>
        <w:t xml:space="preserve"> </w:t>
      </w:r>
    </w:p>
    <w:p w14:paraId="016A9A45" w14:textId="241AEEE5" w:rsidR="00622190" w:rsidRDefault="00622190" w:rsidP="00622190">
      <w:pPr>
        <w:pStyle w:val="Style1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relevant user evidence forms provide details of the destinations and reasons for using the Order route</w:t>
      </w:r>
      <w:r w:rsidR="0016718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and all </w:t>
      </w:r>
      <w:r w:rsidR="0016718F">
        <w:rPr>
          <w:rFonts w:ascii="Arial" w:hAnsi="Arial" w:cs="Arial"/>
          <w:sz w:val="24"/>
          <w:szCs w:val="24"/>
        </w:rPr>
        <w:t>include maps showing</w:t>
      </w:r>
      <w:r>
        <w:rPr>
          <w:rFonts w:ascii="Arial" w:hAnsi="Arial" w:cs="Arial"/>
          <w:sz w:val="24"/>
          <w:szCs w:val="24"/>
        </w:rPr>
        <w:t xml:space="preserve"> the spur. These indicate that the witnesses provided accurate information and there is no evidence to undermine these forms. </w:t>
      </w:r>
    </w:p>
    <w:p w14:paraId="12AC02C3" w14:textId="1398FBC6" w:rsidR="00E619BC" w:rsidRDefault="00E619BC" w:rsidP="00C86940">
      <w:pPr>
        <w:pStyle w:val="Style1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spur passes over an embankment, </w:t>
      </w:r>
      <w:r w:rsidR="002105A5">
        <w:rPr>
          <w:rFonts w:ascii="Arial" w:hAnsi="Arial" w:cs="Arial"/>
          <w:sz w:val="24"/>
          <w:szCs w:val="24"/>
        </w:rPr>
        <w:t>although</w:t>
      </w:r>
      <w:r>
        <w:rPr>
          <w:rFonts w:ascii="Arial" w:hAnsi="Arial" w:cs="Arial"/>
          <w:sz w:val="24"/>
          <w:szCs w:val="24"/>
        </w:rPr>
        <w:t xml:space="preserve"> this does include </w:t>
      </w:r>
      <w:r w:rsidR="004445EF">
        <w:rPr>
          <w:rFonts w:ascii="Arial" w:hAnsi="Arial" w:cs="Arial"/>
          <w:sz w:val="24"/>
          <w:szCs w:val="24"/>
        </w:rPr>
        <w:t xml:space="preserve">an incline, there is no evidence that it was </w:t>
      </w:r>
      <w:r w:rsidR="00DE5C42">
        <w:rPr>
          <w:rFonts w:ascii="Arial" w:hAnsi="Arial" w:cs="Arial"/>
          <w:sz w:val="24"/>
          <w:szCs w:val="24"/>
        </w:rPr>
        <w:t xml:space="preserve">sufficiently </w:t>
      </w:r>
      <w:r w:rsidR="004445EF">
        <w:rPr>
          <w:rFonts w:ascii="Arial" w:hAnsi="Arial" w:cs="Arial"/>
          <w:sz w:val="24"/>
          <w:szCs w:val="24"/>
        </w:rPr>
        <w:t xml:space="preserve">steep </w:t>
      </w:r>
      <w:r w:rsidR="00717571">
        <w:rPr>
          <w:rFonts w:ascii="Arial" w:hAnsi="Arial" w:cs="Arial"/>
          <w:sz w:val="24"/>
          <w:szCs w:val="24"/>
        </w:rPr>
        <w:t xml:space="preserve">to </w:t>
      </w:r>
      <w:r w:rsidR="004445EF">
        <w:rPr>
          <w:rFonts w:ascii="Arial" w:hAnsi="Arial" w:cs="Arial"/>
          <w:sz w:val="24"/>
          <w:szCs w:val="24"/>
        </w:rPr>
        <w:t xml:space="preserve">inhibit use. Rather the evidence indicates that </w:t>
      </w:r>
      <w:r w:rsidR="009E5AAA">
        <w:rPr>
          <w:rFonts w:ascii="Arial" w:hAnsi="Arial" w:cs="Arial"/>
          <w:sz w:val="24"/>
          <w:szCs w:val="24"/>
        </w:rPr>
        <w:t xml:space="preserve">a path was used throughout the </w:t>
      </w:r>
      <w:r w:rsidR="00A6533B">
        <w:rPr>
          <w:rFonts w:ascii="Arial" w:hAnsi="Arial" w:cs="Arial"/>
          <w:sz w:val="24"/>
          <w:szCs w:val="24"/>
        </w:rPr>
        <w:t>20-year</w:t>
      </w:r>
      <w:r w:rsidR="009E5AAA">
        <w:rPr>
          <w:rFonts w:ascii="Arial" w:hAnsi="Arial" w:cs="Arial"/>
          <w:sz w:val="24"/>
          <w:szCs w:val="24"/>
        </w:rPr>
        <w:t xml:space="preserve"> period despite the topography. </w:t>
      </w:r>
      <w:r w:rsidR="00A6533B">
        <w:rPr>
          <w:rFonts w:ascii="Arial" w:hAnsi="Arial" w:cs="Arial"/>
          <w:sz w:val="24"/>
          <w:szCs w:val="24"/>
        </w:rPr>
        <w:t xml:space="preserve">There is no </w:t>
      </w:r>
      <w:r w:rsidR="00F45848">
        <w:rPr>
          <w:rFonts w:ascii="Arial" w:hAnsi="Arial" w:cs="Arial"/>
          <w:sz w:val="24"/>
          <w:szCs w:val="24"/>
        </w:rPr>
        <w:t>st</w:t>
      </w:r>
      <w:r w:rsidR="006B09D8">
        <w:rPr>
          <w:rFonts w:ascii="Arial" w:hAnsi="Arial" w:cs="Arial"/>
          <w:sz w:val="24"/>
          <w:szCs w:val="24"/>
        </w:rPr>
        <w:t xml:space="preserve">rong </w:t>
      </w:r>
      <w:r w:rsidR="00A6533B">
        <w:rPr>
          <w:rFonts w:ascii="Arial" w:hAnsi="Arial" w:cs="Arial"/>
          <w:sz w:val="24"/>
          <w:szCs w:val="24"/>
        </w:rPr>
        <w:t xml:space="preserve">evidence to indicate that the use was only seasonal, </w:t>
      </w:r>
      <w:r w:rsidR="00A2223B">
        <w:rPr>
          <w:rFonts w:ascii="Arial" w:hAnsi="Arial" w:cs="Arial"/>
          <w:sz w:val="24"/>
          <w:szCs w:val="24"/>
        </w:rPr>
        <w:t>avoiding</w:t>
      </w:r>
      <w:r w:rsidR="00A6533B">
        <w:rPr>
          <w:rFonts w:ascii="Arial" w:hAnsi="Arial" w:cs="Arial"/>
          <w:sz w:val="24"/>
          <w:szCs w:val="24"/>
        </w:rPr>
        <w:t xml:space="preserve"> winter months. </w:t>
      </w:r>
    </w:p>
    <w:p w14:paraId="5E47BFA7" w14:textId="4316AF97" w:rsidR="005B3DF2" w:rsidRDefault="00A2223B" w:rsidP="00C86940">
      <w:pPr>
        <w:pStyle w:val="Style1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appears that a stipulation of a lease between </w:t>
      </w:r>
      <w:r w:rsidR="0011396D">
        <w:rPr>
          <w:rFonts w:ascii="Arial" w:hAnsi="Arial" w:cs="Arial"/>
          <w:sz w:val="24"/>
          <w:szCs w:val="24"/>
        </w:rPr>
        <w:t xml:space="preserve">East Northamptonshire Council and </w:t>
      </w:r>
      <w:r w:rsidR="0011396D" w:rsidRPr="009227AE">
        <w:rPr>
          <w:rFonts w:ascii="Arial" w:hAnsi="Arial" w:cs="Arial"/>
          <w:sz w:val="24"/>
          <w:szCs w:val="24"/>
        </w:rPr>
        <w:t>Rushden Historical Transport Society (RHTS)</w:t>
      </w:r>
      <w:r w:rsidR="0011396D">
        <w:rPr>
          <w:rFonts w:ascii="Arial" w:hAnsi="Arial" w:cs="Arial"/>
          <w:sz w:val="24"/>
          <w:szCs w:val="24"/>
        </w:rPr>
        <w:t xml:space="preserve"> </w:t>
      </w:r>
      <w:r w:rsidR="00181215">
        <w:rPr>
          <w:rFonts w:ascii="Arial" w:hAnsi="Arial" w:cs="Arial"/>
          <w:sz w:val="24"/>
          <w:szCs w:val="24"/>
        </w:rPr>
        <w:t xml:space="preserve">required the construction and maintenance of a fence between Prospect Avenue and </w:t>
      </w:r>
      <w:r w:rsidR="00423892">
        <w:rPr>
          <w:rFonts w:ascii="Arial" w:hAnsi="Arial" w:cs="Arial"/>
          <w:sz w:val="24"/>
          <w:szCs w:val="24"/>
        </w:rPr>
        <w:t xml:space="preserve">the railway track bed. </w:t>
      </w:r>
      <w:r w:rsidR="00DE73FD">
        <w:rPr>
          <w:rFonts w:ascii="Arial" w:hAnsi="Arial" w:cs="Arial"/>
          <w:sz w:val="24"/>
          <w:szCs w:val="24"/>
        </w:rPr>
        <w:t>This could indicate that</w:t>
      </w:r>
      <w:r w:rsidR="00291EBC">
        <w:rPr>
          <w:rFonts w:ascii="Arial" w:hAnsi="Arial" w:cs="Arial"/>
          <w:sz w:val="24"/>
          <w:szCs w:val="24"/>
        </w:rPr>
        <w:t xml:space="preserve">, at the time, </w:t>
      </w:r>
      <w:r w:rsidR="00DE73FD">
        <w:rPr>
          <w:rFonts w:ascii="Arial" w:hAnsi="Arial" w:cs="Arial"/>
          <w:sz w:val="24"/>
          <w:szCs w:val="24"/>
        </w:rPr>
        <w:t xml:space="preserve">the </w:t>
      </w:r>
      <w:r w:rsidR="005B3DF2">
        <w:rPr>
          <w:rFonts w:ascii="Arial" w:hAnsi="Arial" w:cs="Arial"/>
          <w:sz w:val="24"/>
          <w:szCs w:val="24"/>
        </w:rPr>
        <w:t>Council</w:t>
      </w:r>
      <w:r w:rsidR="00291EBC">
        <w:rPr>
          <w:rFonts w:ascii="Arial" w:hAnsi="Arial" w:cs="Arial"/>
          <w:sz w:val="24"/>
          <w:szCs w:val="24"/>
        </w:rPr>
        <w:t xml:space="preserve"> was unaware of a path. However, t</w:t>
      </w:r>
      <w:r w:rsidR="00423892">
        <w:rPr>
          <w:rFonts w:ascii="Arial" w:hAnsi="Arial" w:cs="Arial"/>
          <w:sz w:val="24"/>
          <w:szCs w:val="24"/>
        </w:rPr>
        <w:t>here is no evidence t</w:t>
      </w:r>
      <w:r w:rsidR="00291EBC">
        <w:rPr>
          <w:rFonts w:ascii="Arial" w:hAnsi="Arial" w:cs="Arial"/>
          <w:sz w:val="24"/>
          <w:szCs w:val="24"/>
        </w:rPr>
        <w:t xml:space="preserve">o indicate that a </w:t>
      </w:r>
      <w:r w:rsidR="00AA4FC9">
        <w:rPr>
          <w:rFonts w:ascii="Arial" w:hAnsi="Arial" w:cs="Arial"/>
          <w:sz w:val="24"/>
          <w:szCs w:val="24"/>
        </w:rPr>
        <w:t xml:space="preserve">fence was </w:t>
      </w:r>
      <w:r w:rsidR="00001EC5">
        <w:rPr>
          <w:rFonts w:ascii="Arial" w:hAnsi="Arial" w:cs="Arial"/>
          <w:sz w:val="24"/>
          <w:szCs w:val="24"/>
        </w:rPr>
        <w:t>erected and</w:t>
      </w:r>
      <w:r w:rsidR="00AA4FC9">
        <w:rPr>
          <w:rFonts w:ascii="Arial" w:hAnsi="Arial" w:cs="Arial"/>
          <w:sz w:val="24"/>
          <w:szCs w:val="24"/>
        </w:rPr>
        <w:t xml:space="preserve"> </w:t>
      </w:r>
      <w:r w:rsidR="006B09D8">
        <w:rPr>
          <w:rFonts w:ascii="Arial" w:hAnsi="Arial" w:cs="Arial"/>
          <w:sz w:val="24"/>
          <w:szCs w:val="24"/>
        </w:rPr>
        <w:t>suita</w:t>
      </w:r>
      <w:r w:rsidR="00001EC5">
        <w:rPr>
          <w:rFonts w:ascii="Arial" w:hAnsi="Arial" w:cs="Arial"/>
          <w:sz w:val="24"/>
          <w:szCs w:val="24"/>
        </w:rPr>
        <w:t>bly</w:t>
      </w:r>
      <w:r w:rsidR="00AA4FC9">
        <w:rPr>
          <w:rFonts w:ascii="Arial" w:hAnsi="Arial" w:cs="Arial"/>
          <w:sz w:val="24"/>
          <w:szCs w:val="24"/>
        </w:rPr>
        <w:t xml:space="preserve"> maintain</w:t>
      </w:r>
      <w:r w:rsidR="006B09D8">
        <w:rPr>
          <w:rFonts w:ascii="Arial" w:hAnsi="Arial" w:cs="Arial"/>
          <w:sz w:val="24"/>
          <w:szCs w:val="24"/>
        </w:rPr>
        <w:t>ed</w:t>
      </w:r>
      <w:r w:rsidR="00AA4FC9">
        <w:rPr>
          <w:rFonts w:ascii="Arial" w:hAnsi="Arial" w:cs="Arial"/>
          <w:sz w:val="24"/>
          <w:szCs w:val="24"/>
        </w:rPr>
        <w:t xml:space="preserve"> to prevent use of the path. This is not strong evidence to indicate that </w:t>
      </w:r>
      <w:r w:rsidR="00A3584A">
        <w:rPr>
          <w:rFonts w:ascii="Arial" w:hAnsi="Arial" w:cs="Arial"/>
          <w:sz w:val="24"/>
          <w:szCs w:val="24"/>
        </w:rPr>
        <w:t>the use, as reported in the user evidence forms, did not take place</w:t>
      </w:r>
      <w:r w:rsidR="005B3DF2">
        <w:rPr>
          <w:rFonts w:ascii="Arial" w:hAnsi="Arial" w:cs="Arial"/>
          <w:sz w:val="24"/>
          <w:szCs w:val="24"/>
        </w:rPr>
        <w:t xml:space="preserve">. </w:t>
      </w:r>
    </w:p>
    <w:p w14:paraId="25F05071" w14:textId="71FF3B9D" w:rsidR="00F27322" w:rsidRPr="003B3AC0" w:rsidRDefault="005B3DF2" w:rsidP="00C86940">
      <w:pPr>
        <w:pStyle w:val="Style1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3B3AC0">
        <w:rPr>
          <w:rFonts w:ascii="Arial" w:hAnsi="Arial" w:cs="Arial"/>
          <w:sz w:val="24"/>
          <w:szCs w:val="24"/>
        </w:rPr>
        <w:t xml:space="preserve">There is some evidence that temporary fencing was erected </w:t>
      </w:r>
      <w:r w:rsidR="003C52D8" w:rsidRPr="003B3AC0">
        <w:rPr>
          <w:rFonts w:ascii="Arial" w:hAnsi="Arial" w:cs="Arial"/>
          <w:sz w:val="24"/>
          <w:szCs w:val="24"/>
        </w:rPr>
        <w:t>between 2010 and 2013 during the extension of the railway line</w:t>
      </w:r>
      <w:r w:rsidR="00F867AD" w:rsidRPr="003B3AC0">
        <w:rPr>
          <w:rFonts w:ascii="Arial" w:hAnsi="Arial" w:cs="Arial"/>
          <w:sz w:val="24"/>
          <w:szCs w:val="24"/>
        </w:rPr>
        <w:t xml:space="preserve">, but this was damaged various times and then not maintained </w:t>
      </w:r>
      <w:r w:rsidR="00255123" w:rsidRPr="003B3AC0">
        <w:rPr>
          <w:rFonts w:ascii="Arial" w:hAnsi="Arial" w:cs="Arial"/>
          <w:sz w:val="24"/>
          <w:szCs w:val="24"/>
        </w:rPr>
        <w:t xml:space="preserve">fully. This could indicate </w:t>
      </w:r>
      <w:r w:rsidR="005263B4">
        <w:rPr>
          <w:rFonts w:ascii="Arial" w:hAnsi="Arial" w:cs="Arial"/>
          <w:sz w:val="24"/>
          <w:szCs w:val="24"/>
        </w:rPr>
        <w:t xml:space="preserve">either </w:t>
      </w:r>
      <w:r w:rsidR="00255123" w:rsidRPr="003B3AC0">
        <w:rPr>
          <w:rFonts w:ascii="Arial" w:hAnsi="Arial" w:cs="Arial"/>
          <w:sz w:val="24"/>
          <w:szCs w:val="24"/>
        </w:rPr>
        <w:t xml:space="preserve">a gap in use </w:t>
      </w:r>
      <w:r w:rsidR="001D041A">
        <w:rPr>
          <w:rFonts w:ascii="Arial" w:hAnsi="Arial" w:cs="Arial"/>
          <w:sz w:val="24"/>
          <w:szCs w:val="24"/>
        </w:rPr>
        <w:t xml:space="preserve">during </w:t>
      </w:r>
      <w:r w:rsidR="00255123" w:rsidRPr="003B3AC0">
        <w:rPr>
          <w:rFonts w:ascii="Arial" w:hAnsi="Arial" w:cs="Arial"/>
          <w:sz w:val="24"/>
          <w:szCs w:val="24"/>
        </w:rPr>
        <w:t xml:space="preserve">the </w:t>
      </w:r>
      <w:r w:rsidR="003B3AC0" w:rsidRPr="003B3AC0">
        <w:rPr>
          <w:rFonts w:ascii="Arial" w:hAnsi="Arial" w:cs="Arial"/>
          <w:sz w:val="24"/>
          <w:szCs w:val="24"/>
        </w:rPr>
        <w:t>relevant</w:t>
      </w:r>
      <w:r w:rsidR="00255123" w:rsidRPr="003B3AC0">
        <w:rPr>
          <w:rFonts w:ascii="Arial" w:hAnsi="Arial" w:cs="Arial"/>
          <w:sz w:val="24"/>
          <w:szCs w:val="24"/>
        </w:rPr>
        <w:t xml:space="preserve"> period or </w:t>
      </w:r>
      <w:r w:rsidR="00536ED5" w:rsidRPr="003B3AC0">
        <w:rPr>
          <w:rFonts w:ascii="Arial" w:hAnsi="Arial" w:cs="Arial"/>
          <w:sz w:val="24"/>
          <w:szCs w:val="24"/>
        </w:rPr>
        <w:t xml:space="preserve">that </w:t>
      </w:r>
      <w:r w:rsidR="001D041A">
        <w:rPr>
          <w:rFonts w:ascii="Arial" w:hAnsi="Arial" w:cs="Arial"/>
          <w:sz w:val="24"/>
          <w:szCs w:val="24"/>
        </w:rPr>
        <w:t>use</w:t>
      </w:r>
      <w:r w:rsidR="00536ED5" w:rsidRPr="003B3AC0">
        <w:rPr>
          <w:rFonts w:ascii="Arial" w:hAnsi="Arial" w:cs="Arial"/>
          <w:sz w:val="24"/>
          <w:szCs w:val="24"/>
        </w:rPr>
        <w:t xml:space="preserve"> was by force. The evidence for the temp</w:t>
      </w:r>
      <w:r w:rsidR="003B3AC0">
        <w:rPr>
          <w:rFonts w:ascii="Arial" w:hAnsi="Arial" w:cs="Arial"/>
          <w:sz w:val="24"/>
          <w:szCs w:val="24"/>
        </w:rPr>
        <w:t xml:space="preserve">orary </w:t>
      </w:r>
      <w:r w:rsidR="00536ED5" w:rsidRPr="003B3AC0">
        <w:rPr>
          <w:rFonts w:ascii="Arial" w:hAnsi="Arial" w:cs="Arial"/>
          <w:sz w:val="24"/>
          <w:szCs w:val="24"/>
        </w:rPr>
        <w:t xml:space="preserve">fencing is </w:t>
      </w:r>
      <w:r w:rsidR="003B3AC0" w:rsidRPr="003B3AC0">
        <w:rPr>
          <w:rFonts w:ascii="Arial" w:hAnsi="Arial" w:cs="Arial"/>
          <w:sz w:val="24"/>
          <w:szCs w:val="24"/>
        </w:rPr>
        <w:lastRenderedPageBreak/>
        <w:t>limited,</w:t>
      </w:r>
      <w:r w:rsidR="00536ED5" w:rsidRPr="003B3AC0">
        <w:rPr>
          <w:rFonts w:ascii="Arial" w:hAnsi="Arial" w:cs="Arial"/>
          <w:sz w:val="24"/>
          <w:szCs w:val="24"/>
        </w:rPr>
        <w:t xml:space="preserve"> and it is not clear </w:t>
      </w:r>
      <w:r w:rsidR="00AA6E91" w:rsidRPr="003B3AC0">
        <w:rPr>
          <w:rFonts w:ascii="Arial" w:hAnsi="Arial" w:cs="Arial"/>
          <w:sz w:val="24"/>
          <w:szCs w:val="24"/>
        </w:rPr>
        <w:t xml:space="preserve">if this prevented use of the spur or that the users </w:t>
      </w:r>
      <w:r w:rsidR="00D10A3F" w:rsidRPr="003B3AC0">
        <w:rPr>
          <w:rFonts w:ascii="Arial" w:hAnsi="Arial" w:cs="Arial"/>
          <w:sz w:val="24"/>
          <w:szCs w:val="24"/>
        </w:rPr>
        <w:t xml:space="preserve">gained access by force. </w:t>
      </w:r>
      <w:r w:rsidR="00167B88">
        <w:rPr>
          <w:rFonts w:ascii="Arial" w:hAnsi="Arial" w:cs="Arial"/>
          <w:sz w:val="24"/>
          <w:szCs w:val="24"/>
        </w:rPr>
        <w:t xml:space="preserve">It is also notable that </w:t>
      </w:r>
      <w:r w:rsidR="0094084F">
        <w:rPr>
          <w:rFonts w:ascii="Arial" w:hAnsi="Arial" w:cs="Arial"/>
          <w:sz w:val="24"/>
          <w:szCs w:val="24"/>
        </w:rPr>
        <w:t xml:space="preserve">any suggestion of interruption of use by this fencing is absent from the user evidence forms indicating it was not </w:t>
      </w:r>
      <w:r w:rsidR="00D67492">
        <w:rPr>
          <w:rFonts w:ascii="Arial" w:hAnsi="Arial" w:cs="Arial"/>
          <w:sz w:val="24"/>
          <w:szCs w:val="24"/>
        </w:rPr>
        <w:t xml:space="preserve">a significant barrier to use. </w:t>
      </w:r>
      <w:r w:rsidR="00D10A3F" w:rsidRPr="003B3AC0">
        <w:rPr>
          <w:rFonts w:ascii="Arial" w:hAnsi="Arial" w:cs="Arial"/>
          <w:sz w:val="24"/>
          <w:szCs w:val="24"/>
        </w:rPr>
        <w:t xml:space="preserve">The evidence is not sufficient to demonstrate a </w:t>
      </w:r>
      <w:r w:rsidR="003B3AC0" w:rsidRPr="003B3AC0">
        <w:rPr>
          <w:rFonts w:ascii="Arial" w:hAnsi="Arial" w:cs="Arial"/>
          <w:sz w:val="24"/>
          <w:szCs w:val="24"/>
        </w:rPr>
        <w:t>sufficient</w:t>
      </w:r>
      <w:r w:rsidR="00D10A3F" w:rsidRPr="003B3AC0">
        <w:rPr>
          <w:rFonts w:ascii="Arial" w:hAnsi="Arial" w:cs="Arial"/>
          <w:sz w:val="24"/>
          <w:szCs w:val="24"/>
        </w:rPr>
        <w:t xml:space="preserve"> gap in use or use by force </w:t>
      </w:r>
      <w:r w:rsidR="003B3AC0" w:rsidRPr="003B3AC0">
        <w:rPr>
          <w:rFonts w:ascii="Arial" w:hAnsi="Arial" w:cs="Arial"/>
          <w:sz w:val="24"/>
          <w:szCs w:val="24"/>
        </w:rPr>
        <w:t xml:space="preserve">to break the 20-year period of use. </w:t>
      </w:r>
    </w:p>
    <w:p w14:paraId="70878F89" w14:textId="09B8BB48" w:rsidR="00155963" w:rsidRPr="003B6BEF" w:rsidRDefault="003B6BEF" w:rsidP="003B6BEF">
      <w:pPr>
        <w:pStyle w:val="Style1"/>
        <w:ind w:left="0" w:firstLine="0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Lack of Intention to Dedicate </w:t>
      </w:r>
    </w:p>
    <w:p w14:paraId="6EF0F15B" w14:textId="1870F1B1" w:rsidR="003B6BEF" w:rsidRPr="00290C69" w:rsidRDefault="00CA2B1E" w:rsidP="00C86940">
      <w:pPr>
        <w:pStyle w:val="Style1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90C69">
        <w:rPr>
          <w:rFonts w:ascii="Arial" w:hAnsi="Arial" w:cs="Arial"/>
          <w:sz w:val="24"/>
          <w:szCs w:val="24"/>
        </w:rPr>
        <w:t xml:space="preserve">Prior to the erection of the </w:t>
      </w:r>
      <w:r w:rsidR="009226F9" w:rsidRPr="00290C69">
        <w:rPr>
          <w:rFonts w:ascii="Arial" w:hAnsi="Arial" w:cs="Arial"/>
          <w:sz w:val="24"/>
          <w:szCs w:val="24"/>
        </w:rPr>
        <w:t xml:space="preserve">‘permissive path’ signs, there </w:t>
      </w:r>
      <w:r w:rsidR="001D041A">
        <w:rPr>
          <w:rFonts w:ascii="Arial" w:hAnsi="Arial" w:cs="Arial"/>
          <w:sz w:val="24"/>
          <w:szCs w:val="24"/>
        </w:rPr>
        <w:t>was</w:t>
      </w:r>
      <w:r w:rsidR="009226F9" w:rsidRPr="00290C69">
        <w:rPr>
          <w:rFonts w:ascii="Arial" w:hAnsi="Arial" w:cs="Arial"/>
          <w:sz w:val="24"/>
          <w:szCs w:val="24"/>
        </w:rPr>
        <w:t xml:space="preserve"> no substantive evidence </w:t>
      </w:r>
      <w:r w:rsidR="00717571">
        <w:rPr>
          <w:rFonts w:ascii="Arial" w:hAnsi="Arial" w:cs="Arial"/>
          <w:sz w:val="24"/>
          <w:szCs w:val="24"/>
        </w:rPr>
        <w:t xml:space="preserve">of </w:t>
      </w:r>
      <w:r w:rsidR="004930F6">
        <w:rPr>
          <w:rFonts w:ascii="Arial" w:hAnsi="Arial" w:cs="Arial"/>
          <w:sz w:val="24"/>
          <w:szCs w:val="24"/>
        </w:rPr>
        <w:t>a l</w:t>
      </w:r>
      <w:r w:rsidR="009226F9" w:rsidRPr="00290C69">
        <w:rPr>
          <w:rFonts w:ascii="Arial" w:hAnsi="Arial" w:cs="Arial"/>
          <w:sz w:val="24"/>
          <w:szCs w:val="24"/>
        </w:rPr>
        <w:t>ack of intention to dedicate the path</w:t>
      </w:r>
      <w:r w:rsidR="00507E9B" w:rsidRPr="00290C69">
        <w:rPr>
          <w:rFonts w:ascii="Arial" w:hAnsi="Arial" w:cs="Arial"/>
          <w:sz w:val="24"/>
          <w:szCs w:val="24"/>
        </w:rPr>
        <w:t xml:space="preserve"> </w:t>
      </w:r>
      <w:r w:rsidR="004930F6">
        <w:rPr>
          <w:rFonts w:ascii="Arial" w:hAnsi="Arial" w:cs="Arial"/>
          <w:sz w:val="24"/>
          <w:szCs w:val="24"/>
        </w:rPr>
        <w:t>during</w:t>
      </w:r>
      <w:r w:rsidR="00507E9B" w:rsidRPr="00290C69">
        <w:rPr>
          <w:rFonts w:ascii="Arial" w:hAnsi="Arial" w:cs="Arial"/>
          <w:sz w:val="24"/>
          <w:szCs w:val="24"/>
        </w:rPr>
        <w:t xml:space="preserve"> the relevant 20-year period</w:t>
      </w:r>
      <w:r w:rsidR="0010532B" w:rsidRPr="00290C69">
        <w:rPr>
          <w:rFonts w:ascii="Arial" w:hAnsi="Arial" w:cs="Arial"/>
          <w:sz w:val="24"/>
          <w:szCs w:val="24"/>
        </w:rPr>
        <w:t xml:space="preserve">. </w:t>
      </w:r>
    </w:p>
    <w:p w14:paraId="1C21FD5C" w14:textId="67FD6056" w:rsidR="003B6BEF" w:rsidRPr="003B6BEF" w:rsidRDefault="003B6BEF" w:rsidP="003B6BEF">
      <w:pPr>
        <w:pStyle w:val="Style1"/>
        <w:ind w:left="0" w:firstLine="0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Conclusions on Section 31</w:t>
      </w:r>
      <w:r w:rsidR="00D32E3F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35EDAFB8" w14:textId="3DC1041D" w:rsidR="003B6BEF" w:rsidRPr="00290C69" w:rsidRDefault="005F5339" w:rsidP="00C86940">
      <w:pPr>
        <w:pStyle w:val="Style1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90C69">
        <w:rPr>
          <w:rFonts w:ascii="Arial" w:hAnsi="Arial" w:cs="Arial"/>
          <w:sz w:val="24"/>
          <w:szCs w:val="24"/>
        </w:rPr>
        <w:t>The route was brought into question in 2015</w:t>
      </w:r>
      <w:r w:rsidR="00D476B8">
        <w:rPr>
          <w:rFonts w:ascii="Arial" w:hAnsi="Arial" w:cs="Arial"/>
          <w:sz w:val="24"/>
          <w:szCs w:val="24"/>
        </w:rPr>
        <w:t>,</w:t>
      </w:r>
      <w:r w:rsidRPr="00290C69">
        <w:rPr>
          <w:rFonts w:ascii="Arial" w:hAnsi="Arial" w:cs="Arial"/>
          <w:sz w:val="24"/>
          <w:szCs w:val="24"/>
        </w:rPr>
        <w:t xml:space="preserve"> with the relevant </w:t>
      </w:r>
      <w:r w:rsidR="00001EC5" w:rsidRPr="00290C69">
        <w:rPr>
          <w:rFonts w:ascii="Arial" w:hAnsi="Arial" w:cs="Arial"/>
          <w:sz w:val="24"/>
          <w:szCs w:val="24"/>
        </w:rPr>
        <w:t>20-year</w:t>
      </w:r>
      <w:r w:rsidRPr="00290C69">
        <w:rPr>
          <w:rFonts w:ascii="Arial" w:hAnsi="Arial" w:cs="Arial"/>
          <w:sz w:val="24"/>
          <w:szCs w:val="24"/>
        </w:rPr>
        <w:t xml:space="preserve"> period being between 1995 to 2015. Taken as a whole, I conclude that there is sufficient evidence of 20 years</w:t>
      </w:r>
      <w:r w:rsidR="00903AAD">
        <w:rPr>
          <w:rFonts w:ascii="Arial" w:hAnsi="Arial" w:cs="Arial"/>
          <w:sz w:val="24"/>
          <w:szCs w:val="24"/>
        </w:rPr>
        <w:t>’</w:t>
      </w:r>
      <w:r w:rsidRPr="00290C69">
        <w:rPr>
          <w:rFonts w:ascii="Arial" w:hAnsi="Arial" w:cs="Arial"/>
          <w:sz w:val="24"/>
          <w:szCs w:val="24"/>
        </w:rPr>
        <w:t xml:space="preserve"> use as of right and without permission, force, secrecy</w:t>
      </w:r>
      <w:r w:rsidR="00903AAD">
        <w:rPr>
          <w:rFonts w:ascii="Arial" w:hAnsi="Arial" w:cs="Arial"/>
          <w:sz w:val="24"/>
          <w:szCs w:val="24"/>
        </w:rPr>
        <w:t>, or</w:t>
      </w:r>
      <w:r w:rsidRPr="00290C69">
        <w:rPr>
          <w:rFonts w:ascii="Arial" w:hAnsi="Arial" w:cs="Arial"/>
          <w:sz w:val="24"/>
          <w:szCs w:val="24"/>
        </w:rPr>
        <w:t xml:space="preserve"> challenge to demonstrate, on the balance of probabilities, presumed dedication and that there is insufficient evidence to show a lack of intention to dedicate. The evidence is sufficient to raise a presumption of dedication of public footpath rights over the Order route</w:t>
      </w:r>
      <w:r w:rsidR="00290C69" w:rsidRPr="00290C69">
        <w:rPr>
          <w:rFonts w:ascii="Arial" w:hAnsi="Arial" w:cs="Arial"/>
          <w:sz w:val="24"/>
          <w:szCs w:val="24"/>
        </w:rPr>
        <w:t xml:space="preserve"> (spur section C-D). </w:t>
      </w:r>
    </w:p>
    <w:p w14:paraId="53695306" w14:textId="34B0FCE0" w:rsidR="00D32E3F" w:rsidRPr="00D32E3F" w:rsidRDefault="00D32E3F" w:rsidP="00D32E3F">
      <w:pPr>
        <w:pStyle w:val="Style1"/>
        <w:ind w:left="0" w:firstLine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Other Matters</w:t>
      </w:r>
    </w:p>
    <w:p w14:paraId="6AADB7F8" w14:textId="7C309F8B" w:rsidR="00D32E3F" w:rsidRDefault="00262851" w:rsidP="00C86940">
      <w:pPr>
        <w:pStyle w:val="Style1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227AE">
        <w:rPr>
          <w:rFonts w:ascii="Arial" w:hAnsi="Arial" w:cs="Arial"/>
          <w:sz w:val="24"/>
          <w:szCs w:val="24"/>
        </w:rPr>
        <w:t>The objector</w:t>
      </w:r>
      <w:r w:rsidR="0011396D">
        <w:rPr>
          <w:rFonts w:ascii="Arial" w:hAnsi="Arial" w:cs="Arial"/>
          <w:sz w:val="24"/>
          <w:szCs w:val="24"/>
        </w:rPr>
        <w:t xml:space="preserve">, </w:t>
      </w:r>
      <w:r w:rsidRPr="009227AE">
        <w:rPr>
          <w:rFonts w:ascii="Arial" w:hAnsi="Arial" w:cs="Arial"/>
          <w:sz w:val="24"/>
          <w:szCs w:val="24"/>
        </w:rPr>
        <w:t>RHTS</w:t>
      </w:r>
      <w:r w:rsidR="0011396D">
        <w:rPr>
          <w:rFonts w:ascii="Arial" w:hAnsi="Arial" w:cs="Arial"/>
          <w:sz w:val="24"/>
          <w:szCs w:val="24"/>
        </w:rPr>
        <w:t>,</w:t>
      </w:r>
      <w:r w:rsidRPr="009227AE">
        <w:rPr>
          <w:rFonts w:ascii="Arial" w:hAnsi="Arial" w:cs="Arial"/>
          <w:sz w:val="24"/>
          <w:szCs w:val="24"/>
        </w:rPr>
        <w:t xml:space="preserve"> </w:t>
      </w:r>
      <w:r w:rsidR="0027363A" w:rsidRPr="009227AE">
        <w:rPr>
          <w:rFonts w:ascii="Arial" w:hAnsi="Arial" w:cs="Arial"/>
          <w:sz w:val="24"/>
          <w:szCs w:val="24"/>
        </w:rPr>
        <w:t xml:space="preserve">indicates </w:t>
      </w:r>
      <w:r w:rsidR="00135B35">
        <w:rPr>
          <w:rFonts w:ascii="Arial" w:hAnsi="Arial" w:cs="Arial"/>
          <w:sz w:val="24"/>
          <w:szCs w:val="24"/>
        </w:rPr>
        <w:t xml:space="preserve">that </w:t>
      </w:r>
      <w:r w:rsidR="0027363A" w:rsidRPr="009227AE">
        <w:rPr>
          <w:rFonts w:ascii="Arial" w:hAnsi="Arial" w:cs="Arial"/>
          <w:sz w:val="24"/>
          <w:szCs w:val="24"/>
        </w:rPr>
        <w:t xml:space="preserve">there are aspirations to extend the </w:t>
      </w:r>
      <w:r w:rsidR="00567D5D" w:rsidRPr="009227AE">
        <w:rPr>
          <w:rFonts w:ascii="Arial" w:hAnsi="Arial" w:cs="Arial"/>
          <w:sz w:val="24"/>
          <w:szCs w:val="24"/>
        </w:rPr>
        <w:t xml:space="preserve">railway track </w:t>
      </w:r>
      <w:r w:rsidR="00305DB8" w:rsidRPr="009227AE">
        <w:rPr>
          <w:rFonts w:ascii="Arial" w:hAnsi="Arial" w:cs="Arial"/>
          <w:sz w:val="24"/>
          <w:szCs w:val="24"/>
        </w:rPr>
        <w:t>northwards, and planning applications for this have been submitted, albeit withdrawn. The implication appears to be that</w:t>
      </w:r>
      <w:r w:rsidR="00903AAD">
        <w:rPr>
          <w:rFonts w:ascii="Arial" w:hAnsi="Arial" w:cs="Arial"/>
          <w:sz w:val="24"/>
          <w:szCs w:val="24"/>
        </w:rPr>
        <w:t>,</w:t>
      </w:r>
      <w:r w:rsidR="00305DB8" w:rsidRPr="009227AE">
        <w:rPr>
          <w:rFonts w:ascii="Arial" w:hAnsi="Arial" w:cs="Arial"/>
          <w:sz w:val="24"/>
          <w:szCs w:val="24"/>
        </w:rPr>
        <w:t xml:space="preserve"> if the Order is confirmed</w:t>
      </w:r>
      <w:r w:rsidR="005E670C" w:rsidRPr="009227AE">
        <w:rPr>
          <w:rFonts w:ascii="Arial" w:hAnsi="Arial" w:cs="Arial"/>
          <w:sz w:val="24"/>
          <w:szCs w:val="24"/>
        </w:rPr>
        <w:t>,</w:t>
      </w:r>
      <w:r w:rsidR="00305DB8" w:rsidRPr="009227AE">
        <w:rPr>
          <w:rFonts w:ascii="Arial" w:hAnsi="Arial" w:cs="Arial"/>
          <w:sz w:val="24"/>
          <w:szCs w:val="24"/>
        </w:rPr>
        <w:t xml:space="preserve"> the path </w:t>
      </w:r>
      <w:r w:rsidR="005E670C" w:rsidRPr="009227AE">
        <w:rPr>
          <w:rFonts w:ascii="Arial" w:hAnsi="Arial" w:cs="Arial"/>
          <w:sz w:val="24"/>
          <w:szCs w:val="24"/>
        </w:rPr>
        <w:t>along</w:t>
      </w:r>
      <w:r w:rsidR="00305DB8" w:rsidRPr="009227AE">
        <w:rPr>
          <w:rFonts w:ascii="Arial" w:hAnsi="Arial" w:cs="Arial"/>
          <w:sz w:val="24"/>
          <w:szCs w:val="24"/>
        </w:rPr>
        <w:t xml:space="preserve"> the </w:t>
      </w:r>
      <w:r w:rsidR="005E670C" w:rsidRPr="009227AE">
        <w:rPr>
          <w:rFonts w:ascii="Arial" w:hAnsi="Arial" w:cs="Arial"/>
          <w:sz w:val="24"/>
          <w:szCs w:val="24"/>
        </w:rPr>
        <w:t>s</w:t>
      </w:r>
      <w:r w:rsidR="00305DB8" w:rsidRPr="009227AE">
        <w:rPr>
          <w:rFonts w:ascii="Arial" w:hAnsi="Arial" w:cs="Arial"/>
          <w:sz w:val="24"/>
          <w:szCs w:val="24"/>
        </w:rPr>
        <w:t xml:space="preserve">pur would </w:t>
      </w:r>
      <w:r w:rsidR="00C07D52" w:rsidRPr="009227AE">
        <w:rPr>
          <w:rFonts w:ascii="Arial" w:hAnsi="Arial" w:cs="Arial"/>
          <w:sz w:val="24"/>
          <w:szCs w:val="24"/>
        </w:rPr>
        <w:t xml:space="preserve">interfere with the continuation of the track. </w:t>
      </w:r>
      <w:r w:rsidR="00093988" w:rsidRPr="009227AE">
        <w:rPr>
          <w:rFonts w:ascii="Arial" w:hAnsi="Arial" w:cs="Arial"/>
          <w:sz w:val="24"/>
          <w:szCs w:val="24"/>
        </w:rPr>
        <w:t xml:space="preserve">RHTS also highlight that an alternative </w:t>
      </w:r>
      <w:r w:rsidR="00647258" w:rsidRPr="009227AE">
        <w:rPr>
          <w:rFonts w:ascii="Arial" w:hAnsi="Arial" w:cs="Arial"/>
          <w:sz w:val="24"/>
          <w:szCs w:val="24"/>
        </w:rPr>
        <w:t xml:space="preserve">footpath is available close by which has an all-weather surface. </w:t>
      </w:r>
      <w:r w:rsidR="00682D04" w:rsidRPr="009227AE">
        <w:rPr>
          <w:rFonts w:ascii="Arial" w:hAnsi="Arial" w:cs="Arial"/>
          <w:sz w:val="24"/>
          <w:szCs w:val="24"/>
        </w:rPr>
        <w:t>When considering</w:t>
      </w:r>
      <w:r w:rsidR="00447899" w:rsidRPr="009227AE">
        <w:rPr>
          <w:rFonts w:ascii="Arial" w:hAnsi="Arial" w:cs="Arial"/>
          <w:sz w:val="24"/>
          <w:szCs w:val="24"/>
        </w:rPr>
        <w:t xml:space="preserve"> </w:t>
      </w:r>
      <w:r w:rsidR="00550DB2" w:rsidRPr="009227AE">
        <w:rPr>
          <w:rFonts w:ascii="Arial" w:hAnsi="Arial" w:cs="Arial"/>
          <w:sz w:val="24"/>
          <w:szCs w:val="24"/>
        </w:rPr>
        <w:t xml:space="preserve">the confirmation of </w:t>
      </w:r>
      <w:r w:rsidR="00447899" w:rsidRPr="009227AE">
        <w:rPr>
          <w:rFonts w:ascii="Arial" w:hAnsi="Arial" w:cs="Arial"/>
          <w:sz w:val="24"/>
          <w:szCs w:val="24"/>
        </w:rPr>
        <w:t xml:space="preserve">an </w:t>
      </w:r>
      <w:r w:rsidR="00550DB2" w:rsidRPr="009227AE">
        <w:rPr>
          <w:rFonts w:ascii="Arial" w:hAnsi="Arial" w:cs="Arial"/>
          <w:sz w:val="24"/>
          <w:szCs w:val="24"/>
        </w:rPr>
        <w:t xml:space="preserve">Order </w:t>
      </w:r>
      <w:r w:rsidR="00447899" w:rsidRPr="009227AE">
        <w:rPr>
          <w:rFonts w:ascii="Arial" w:hAnsi="Arial" w:cs="Arial"/>
          <w:sz w:val="24"/>
          <w:szCs w:val="24"/>
        </w:rPr>
        <w:t>of this nature, the only relevant matter is whether</w:t>
      </w:r>
      <w:r w:rsidR="00B459D8" w:rsidRPr="009227AE">
        <w:rPr>
          <w:rFonts w:ascii="Arial" w:hAnsi="Arial" w:cs="Arial"/>
          <w:sz w:val="24"/>
          <w:szCs w:val="24"/>
        </w:rPr>
        <w:t>, on the balance of probabilities</w:t>
      </w:r>
      <w:r w:rsidR="007116D0">
        <w:rPr>
          <w:rFonts w:ascii="Arial" w:hAnsi="Arial" w:cs="Arial"/>
          <w:sz w:val="24"/>
          <w:szCs w:val="24"/>
        </w:rPr>
        <w:t>,</w:t>
      </w:r>
      <w:r w:rsidR="00B459D8" w:rsidRPr="009227AE">
        <w:rPr>
          <w:rFonts w:ascii="Arial" w:hAnsi="Arial" w:cs="Arial"/>
          <w:sz w:val="24"/>
          <w:szCs w:val="24"/>
        </w:rPr>
        <w:t xml:space="preserve"> a right of way subsists. </w:t>
      </w:r>
      <w:r w:rsidR="009227AE" w:rsidRPr="009227AE">
        <w:rPr>
          <w:rFonts w:ascii="Arial" w:hAnsi="Arial" w:cs="Arial"/>
          <w:sz w:val="24"/>
          <w:szCs w:val="24"/>
        </w:rPr>
        <w:t xml:space="preserve">I am constrained by the legislation which does not allow for matters </w:t>
      </w:r>
      <w:r w:rsidR="00B459D8" w:rsidRPr="009227AE">
        <w:rPr>
          <w:rFonts w:ascii="Arial" w:hAnsi="Arial" w:cs="Arial"/>
          <w:sz w:val="24"/>
          <w:szCs w:val="24"/>
        </w:rPr>
        <w:t xml:space="preserve">related to the </w:t>
      </w:r>
      <w:r w:rsidR="009227AE" w:rsidRPr="009227AE">
        <w:rPr>
          <w:rFonts w:ascii="Arial" w:hAnsi="Arial" w:cs="Arial"/>
          <w:sz w:val="24"/>
          <w:szCs w:val="24"/>
        </w:rPr>
        <w:t>desirability</w:t>
      </w:r>
      <w:r w:rsidR="00B459D8" w:rsidRPr="009227AE">
        <w:rPr>
          <w:rFonts w:ascii="Arial" w:hAnsi="Arial" w:cs="Arial"/>
          <w:sz w:val="24"/>
          <w:szCs w:val="24"/>
        </w:rPr>
        <w:t xml:space="preserve"> of the </w:t>
      </w:r>
      <w:r w:rsidR="006A3F08" w:rsidRPr="009227AE">
        <w:rPr>
          <w:rFonts w:ascii="Arial" w:hAnsi="Arial" w:cs="Arial"/>
          <w:sz w:val="24"/>
          <w:szCs w:val="24"/>
        </w:rPr>
        <w:t>path, any adverse effects</w:t>
      </w:r>
      <w:r w:rsidR="007116D0">
        <w:rPr>
          <w:rFonts w:ascii="Arial" w:hAnsi="Arial" w:cs="Arial"/>
          <w:sz w:val="24"/>
          <w:szCs w:val="24"/>
        </w:rPr>
        <w:t>,</w:t>
      </w:r>
      <w:r w:rsidR="006A3F08" w:rsidRPr="009227AE">
        <w:rPr>
          <w:rFonts w:ascii="Arial" w:hAnsi="Arial" w:cs="Arial"/>
          <w:sz w:val="24"/>
          <w:szCs w:val="24"/>
        </w:rPr>
        <w:t xml:space="preserve"> and the </w:t>
      </w:r>
      <w:r w:rsidR="009227AE" w:rsidRPr="009227AE">
        <w:rPr>
          <w:rFonts w:ascii="Arial" w:hAnsi="Arial" w:cs="Arial"/>
          <w:sz w:val="24"/>
          <w:szCs w:val="24"/>
        </w:rPr>
        <w:t xml:space="preserve">availability </w:t>
      </w:r>
      <w:r w:rsidR="006A3F08" w:rsidRPr="009227AE">
        <w:rPr>
          <w:rFonts w:ascii="Arial" w:hAnsi="Arial" w:cs="Arial"/>
          <w:sz w:val="24"/>
          <w:szCs w:val="24"/>
        </w:rPr>
        <w:t xml:space="preserve">of alternatives </w:t>
      </w:r>
      <w:r w:rsidR="00550DB2" w:rsidRPr="009227AE">
        <w:rPr>
          <w:rFonts w:ascii="Arial" w:hAnsi="Arial" w:cs="Arial"/>
          <w:sz w:val="24"/>
          <w:szCs w:val="24"/>
        </w:rPr>
        <w:t xml:space="preserve">to be taken into account. </w:t>
      </w:r>
    </w:p>
    <w:p w14:paraId="05BB3D90" w14:textId="4AC55F08" w:rsidR="007F4068" w:rsidRPr="009227AE" w:rsidRDefault="007F4068" w:rsidP="00C86940">
      <w:pPr>
        <w:pStyle w:val="Style1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spur (section C-D) does not appear to be shown as a route on any historic document</w:t>
      </w:r>
      <w:r w:rsidR="00F61D1F">
        <w:rPr>
          <w:rFonts w:ascii="Arial" w:hAnsi="Arial" w:cs="Arial"/>
          <w:sz w:val="24"/>
          <w:szCs w:val="24"/>
        </w:rPr>
        <w:t>, including lease documents</w:t>
      </w:r>
      <w:r>
        <w:rPr>
          <w:rFonts w:ascii="Arial" w:hAnsi="Arial" w:cs="Arial"/>
          <w:sz w:val="24"/>
          <w:szCs w:val="24"/>
        </w:rPr>
        <w:t xml:space="preserve">. While routes shown on maps or other documents can </w:t>
      </w:r>
      <w:r w:rsidR="000D5BA4">
        <w:rPr>
          <w:rFonts w:ascii="Arial" w:hAnsi="Arial" w:cs="Arial"/>
          <w:sz w:val="24"/>
          <w:szCs w:val="24"/>
        </w:rPr>
        <w:t xml:space="preserve">form part of the evidence that a route has become dedicated as a highway, it is not necessary and user evidence alone can be sufficient to indicate dedication has taken place. </w:t>
      </w:r>
    </w:p>
    <w:p w14:paraId="06EF9C99" w14:textId="75A26B75" w:rsidR="00D32E3F" w:rsidRPr="00D32E3F" w:rsidRDefault="00D32E3F" w:rsidP="00D32E3F">
      <w:pPr>
        <w:pStyle w:val="Style1"/>
        <w:ind w:left="0" w:firstLine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Conclusion</w:t>
      </w:r>
    </w:p>
    <w:p w14:paraId="5D40C264" w14:textId="77777777" w:rsidR="00E3016B" w:rsidRPr="00016F76" w:rsidRDefault="00E3016B" w:rsidP="00E3016B">
      <w:pPr>
        <w:pStyle w:val="Style1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16F76">
        <w:rPr>
          <w:rFonts w:ascii="Arial" w:hAnsi="Arial" w:cs="Arial"/>
          <w:sz w:val="24"/>
          <w:szCs w:val="24"/>
        </w:rPr>
        <w:t xml:space="preserve">Having regard to the above, and all other matters raised in the </w:t>
      </w:r>
      <w:r>
        <w:rPr>
          <w:rFonts w:ascii="Arial" w:hAnsi="Arial" w:cs="Arial"/>
          <w:sz w:val="24"/>
          <w:szCs w:val="24"/>
        </w:rPr>
        <w:t>w</w:t>
      </w:r>
      <w:r w:rsidRPr="00016F76">
        <w:rPr>
          <w:rFonts w:ascii="Arial" w:hAnsi="Arial" w:cs="Arial"/>
          <w:sz w:val="24"/>
          <w:szCs w:val="24"/>
        </w:rPr>
        <w:t>ritten</w:t>
      </w:r>
      <w:r>
        <w:rPr>
          <w:rFonts w:ascii="Arial" w:hAnsi="Arial" w:cs="Arial"/>
          <w:sz w:val="24"/>
          <w:szCs w:val="24"/>
        </w:rPr>
        <w:t xml:space="preserve"> r</w:t>
      </w:r>
      <w:r w:rsidRPr="00016F76">
        <w:rPr>
          <w:rFonts w:ascii="Arial" w:hAnsi="Arial" w:cs="Arial"/>
          <w:sz w:val="24"/>
          <w:szCs w:val="24"/>
        </w:rPr>
        <w:t xml:space="preserve">epresentations, I conclude that the Order </w:t>
      </w:r>
      <w:r w:rsidRPr="002A515A">
        <w:rPr>
          <w:rFonts w:ascii="Arial" w:hAnsi="Arial" w:cs="Arial"/>
          <w:sz w:val="24"/>
          <w:szCs w:val="24"/>
        </w:rPr>
        <w:t>should</w:t>
      </w:r>
      <w:r w:rsidRPr="00016F76">
        <w:rPr>
          <w:rFonts w:ascii="Arial" w:hAnsi="Arial" w:cs="Arial"/>
          <w:sz w:val="24"/>
          <w:szCs w:val="24"/>
        </w:rPr>
        <w:t xml:space="preserve"> be confirmed. </w:t>
      </w:r>
    </w:p>
    <w:p w14:paraId="67AC3329" w14:textId="77777777" w:rsidR="00C86940" w:rsidRPr="00166502" w:rsidRDefault="00C86940" w:rsidP="00C86940">
      <w:pPr>
        <w:pStyle w:val="Heading6blackfont"/>
        <w:rPr>
          <w:rFonts w:ascii="Arial" w:hAnsi="Arial" w:cs="Arial"/>
          <w:sz w:val="24"/>
          <w:szCs w:val="24"/>
        </w:rPr>
      </w:pPr>
      <w:r w:rsidRPr="00166502">
        <w:rPr>
          <w:rFonts w:ascii="Arial" w:hAnsi="Arial" w:cs="Arial"/>
          <w:sz w:val="24"/>
          <w:szCs w:val="24"/>
        </w:rPr>
        <w:t>Formal Decision</w:t>
      </w:r>
    </w:p>
    <w:p w14:paraId="54338CDA" w14:textId="786BA483" w:rsidR="00C86940" w:rsidRDefault="00C86940" w:rsidP="00C86940">
      <w:pPr>
        <w:pStyle w:val="Style1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166502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166502">
        <w:rPr>
          <w:rFonts w:ascii="Arial" w:hAnsi="Arial" w:cs="Arial"/>
          <w:sz w:val="24"/>
          <w:szCs w:val="24"/>
        </w:rPr>
        <w:t>confirm the Order</w:t>
      </w:r>
      <w:r w:rsidR="00290C69">
        <w:rPr>
          <w:rFonts w:ascii="Arial" w:hAnsi="Arial" w:cs="Arial"/>
          <w:sz w:val="24"/>
          <w:szCs w:val="24"/>
        </w:rPr>
        <w:t>.</w:t>
      </w:r>
    </w:p>
    <w:p w14:paraId="2FCE0FB2" w14:textId="77777777" w:rsidR="00290C69" w:rsidRDefault="00290C69" w:rsidP="00290C69">
      <w:pPr>
        <w:pStyle w:val="Style1"/>
        <w:ind w:firstLine="0"/>
        <w:rPr>
          <w:rFonts w:ascii="Arial" w:hAnsi="Arial" w:cs="Arial"/>
          <w:sz w:val="24"/>
          <w:szCs w:val="24"/>
        </w:rPr>
      </w:pPr>
    </w:p>
    <w:p w14:paraId="58AF6E25" w14:textId="0AE0E5A4" w:rsidR="00C86940" w:rsidRDefault="0056242D" w:rsidP="00C86940">
      <w:pPr>
        <w:pStyle w:val="Style1"/>
        <w:ind w:left="0" w:firstLine="0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 xml:space="preserve">K Taylor </w:t>
      </w:r>
    </w:p>
    <w:p w14:paraId="30BA10E2" w14:textId="1975D630" w:rsidR="00E25DB5" w:rsidRDefault="00C86940" w:rsidP="00465FF4">
      <w:pPr>
        <w:pStyle w:val="Style1"/>
        <w:rPr>
          <w:rFonts w:ascii="Arial" w:hAnsi="Arial" w:cs="Arial"/>
          <w:sz w:val="24"/>
          <w:szCs w:val="24"/>
        </w:rPr>
      </w:pPr>
      <w:r w:rsidRPr="009C36BC">
        <w:rPr>
          <w:rFonts w:ascii="Arial" w:hAnsi="Arial" w:cs="Arial"/>
          <w:sz w:val="24"/>
          <w:szCs w:val="24"/>
        </w:rPr>
        <w:t>INSPECTOR</w:t>
      </w:r>
      <w:r w:rsidR="00E25DB5">
        <w:rPr>
          <w:rFonts w:ascii="Arial" w:hAnsi="Arial" w:cs="Arial"/>
          <w:sz w:val="24"/>
          <w:szCs w:val="24"/>
        </w:rPr>
        <w:br w:type="page"/>
      </w:r>
    </w:p>
    <w:p w14:paraId="5900D102" w14:textId="7FEB3CB2" w:rsidR="000B0FB7" w:rsidRDefault="00EE6AB6" w:rsidP="00EE6AB6">
      <w:pPr>
        <w:jc w:val="center"/>
        <w:rPr>
          <w:b/>
          <w:bCs/>
        </w:rPr>
      </w:pPr>
      <w:r>
        <w:rPr>
          <w:b/>
          <w:bCs/>
        </w:rPr>
        <w:lastRenderedPageBreak/>
        <w:t>Order Plan (not to scale)</w:t>
      </w:r>
    </w:p>
    <w:p w14:paraId="1128A1F9" w14:textId="77777777" w:rsidR="00EE6AB6" w:rsidRDefault="00EE6AB6"/>
    <w:p w14:paraId="7F3DC63E" w14:textId="0411A0FD" w:rsidR="00EE6AB6" w:rsidRPr="00EE6AB6" w:rsidRDefault="008620DD" w:rsidP="008620DD">
      <w:pPr>
        <w:jc w:val="center"/>
      </w:pPr>
      <w:r w:rsidRPr="008620DD">
        <w:rPr>
          <w:noProof/>
        </w:rPr>
        <w:drawing>
          <wp:inline distT="0" distB="0" distL="0" distR="0" wp14:anchorId="3359BD63" wp14:editId="37B70022">
            <wp:extent cx="4219110" cy="6029011"/>
            <wp:effectExtent l="9525" t="0" r="635" b="635"/>
            <wp:docPr id="9366254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62542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30654" cy="604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6AB6" w:rsidRPr="00EE6AB6" w:rsidSect="00C86940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680" w:right="1077" w:bottom="1276" w:left="1525" w:header="624" w:footer="81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35CC1" w14:textId="77777777" w:rsidR="00FC4011" w:rsidRDefault="00FC4011">
      <w:r>
        <w:separator/>
      </w:r>
    </w:p>
  </w:endnote>
  <w:endnote w:type="continuationSeparator" w:id="0">
    <w:p w14:paraId="2C001D8E" w14:textId="77777777" w:rsidR="00FC4011" w:rsidRDefault="00FC4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20E2" w14:textId="77777777" w:rsidR="00C86940" w:rsidRDefault="00C8694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C757DD" w14:textId="77777777" w:rsidR="00C86940" w:rsidRDefault="00C8694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E1C35" w14:textId="77777777" w:rsidR="00C86940" w:rsidRDefault="00C86940">
    <w:pPr>
      <w:pStyle w:val="Noindent"/>
      <w:spacing w:before="120"/>
      <w:jc w:val="center"/>
      <w:rPr>
        <w:rStyle w:val="PageNumber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AE51835" wp14:editId="41DEAEB4">
              <wp:simplePos x="0" y="0"/>
              <wp:positionH relativeFrom="column">
                <wp:posOffset>-2540</wp:posOffset>
              </wp:positionH>
              <wp:positionV relativeFrom="paragraph">
                <wp:posOffset>159385</wp:posOffset>
              </wp:positionV>
              <wp:extent cx="5943600" cy="0"/>
              <wp:effectExtent l="0" t="0" r="0" b="0"/>
              <wp:wrapNone/>
              <wp:docPr id="2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367282C" id="Line 1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12.55pt" to="467.8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"/>
          </w:pict>
        </mc:Fallback>
      </mc:AlternateContent>
    </w:r>
  </w:p>
  <w:p w14:paraId="1D1CEB1B" w14:textId="77777777" w:rsidR="00C86940" w:rsidRPr="00D104B1" w:rsidRDefault="00C86940" w:rsidP="002162DB">
    <w:pPr>
      <w:pStyle w:val="Footer"/>
      <w:ind w:right="-52"/>
      <w:jc w:val="center"/>
      <w:rPr>
        <w:rFonts w:ascii="Arial" w:hAnsi="Arial" w:cs="Arial"/>
        <w:sz w:val="16"/>
        <w:szCs w:val="16"/>
      </w:rPr>
    </w:pPr>
    <w:r w:rsidRPr="00D104B1">
      <w:rPr>
        <w:rStyle w:val="PageNumber"/>
        <w:rFonts w:ascii="Arial" w:hAnsi="Arial" w:cs="Arial"/>
      </w:rPr>
      <w:fldChar w:fldCharType="begin"/>
    </w:r>
    <w:r w:rsidRPr="00D104B1">
      <w:rPr>
        <w:rStyle w:val="PageNumber"/>
        <w:rFonts w:ascii="Arial" w:hAnsi="Arial" w:cs="Arial"/>
      </w:rPr>
      <w:instrText xml:space="preserve"> PAGE </w:instrText>
    </w:r>
    <w:r w:rsidRPr="00D104B1">
      <w:rPr>
        <w:rStyle w:val="PageNumber"/>
        <w:rFonts w:ascii="Arial" w:hAnsi="Arial" w:cs="Arial"/>
      </w:rPr>
      <w:fldChar w:fldCharType="separate"/>
    </w:r>
    <w:r w:rsidRPr="00D104B1">
      <w:rPr>
        <w:rStyle w:val="PageNumber"/>
        <w:rFonts w:ascii="Arial" w:hAnsi="Arial" w:cs="Arial"/>
        <w:noProof/>
      </w:rPr>
      <w:t>2</w:t>
    </w:r>
    <w:r w:rsidRPr="00D104B1">
      <w:rPr>
        <w:rStyle w:val="PageNumber"/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D4AF9" w14:textId="77777777" w:rsidR="00C86940" w:rsidRDefault="00C86940" w:rsidP="009C36BC">
    <w:pPr>
      <w:pStyle w:val="Footer"/>
      <w:pBdr>
        <w:bottom w:val="none" w:sz="0" w:space="0" w:color="000000"/>
      </w:pBdr>
      <w:ind w:right="-52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A1C7264" wp14:editId="705D37C6">
              <wp:simplePos x="0" y="0"/>
              <wp:positionH relativeFrom="column">
                <wp:posOffset>-2540</wp:posOffset>
              </wp:positionH>
              <wp:positionV relativeFrom="paragraph">
                <wp:posOffset>121285</wp:posOffset>
              </wp:positionV>
              <wp:extent cx="5943600" cy="0"/>
              <wp:effectExtent l="0" t="0" r="0" b="0"/>
              <wp:wrapNone/>
              <wp:docPr id="1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2E8D698" id="Line 1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9.55pt" to="467.8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" strokeweight=".5pt"/>
          </w:pict>
        </mc:Fallback>
      </mc:AlternateContent>
    </w:r>
  </w:p>
  <w:p w14:paraId="31B1EE40" w14:textId="77777777" w:rsidR="00C86940" w:rsidRPr="00451EE4" w:rsidRDefault="00C86940">
    <w:pPr>
      <w:pStyle w:val="Footer"/>
      <w:ind w:right="-52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96615" w14:textId="77777777" w:rsidR="00FC4011" w:rsidRDefault="00FC4011">
      <w:r>
        <w:separator/>
      </w:r>
    </w:p>
  </w:footnote>
  <w:footnote w:type="continuationSeparator" w:id="0">
    <w:p w14:paraId="1F3F0383" w14:textId="77777777" w:rsidR="00FC4011" w:rsidRDefault="00FC4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9520"/>
    </w:tblGrid>
    <w:tr w:rsidR="00C86940" w14:paraId="0E1F7A9B" w14:textId="77777777">
      <w:tc>
        <w:tcPr>
          <w:tcW w:w="9520" w:type="dxa"/>
        </w:tcPr>
        <w:p w14:paraId="13C1D545" w14:textId="3F5A86B6" w:rsidR="00C86940" w:rsidRPr="00166502" w:rsidRDefault="00C86940">
          <w:pPr>
            <w:pStyle w:val="Footer"/>
            <w:rPr>
              <w:rFonts w:ascii="Arial" w:hAnsi="Arial" w:cs="Arial"/>
              <w:sz w:val="20"/>
            </w:rPr>
          </w:pPr>
          <w:r w:rsidRPr="00166502">
            <w:rPr>
              <w:rFonts w:ascii="Arial" w:hAnsi="Arial" w:cs="Arial"/>
              <w:sz w:val="20"/>
            </w:rPr>
            <w:t>Order Decision ROW/</w:t>
          </w:r>
          <w:r w:rsidR="00444753">
            <w:rPr>
              <w:rFonts w:ascii="Arial" w:hAnsi="Arial" w:cs="Arial"/>
              <w:sz w:val="20"/>
            </w:rPr>
            <w:t>3340109</w:t>
          </w:r>
        </w:p>
      </w:tc>
    </w:tr>
  </w:tbl>
  <w:p w14:paraId="68AF4B2C" w14:textId="77777777" w:rsidR="00C86940" w:rsidRDefault="00C86940" w:rsidP="00087477">
    <w:pPr>
      <w:pStyle w:val="Footer"/>
      <w:spacing w:after="180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74AE612" wp14:editId="3F692159">
              <wp:simplePos x="0" y="0"/>
              <wp:positionH relativeFrom="column">
                <wp:posOffset>0</wp:posOffset>
              </wp:positionH>
              <wp:positionV relativeFrom="paragraph">
                <wp:posOffset>114300</wp:posOffset>
              </wp:positionV>
              <wp:extent cx="5943600" cy="0"/>
              <wp:effectExtent l="0" t="0" r="0" b="0"/>
              <wp:wrapNone/>
              <wp:docPr id="3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B969A36" id="Line 1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pt" to="46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" strokeweight="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F633" w14:textId="77777777" w:rsidR="00C86940" w:rsidRDefault="00C86940">
    <w:pPr>
      <w:pStyle w:val="Header"/>
      <w:rPr>
        <w:sz w:val="12"/>
      </w:rPr>
    </w:pPr>
    <w:r>
      <w:rPr>
        <w:sz w:val="1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D7A15"/>
    <w:multiLevelType w:val="multilevel"/>
    <w:tmpl w:val="0A7A5384"/>
    <w:styleLink w:val="StylesList"/>
    <w:lvl w:ilvl="0">
      <w:start w:val="1"/>
      <w:numFmt w:val="decimal"/>
      <w:lvlText w:val="%1."/>
      <w:lvlJc w:val="left"/>
      <w:pPr>
        <w:tabs>
          <w:tab w:val="num" w:pos="720"/>
        </w:tabs>
        <w:ind w:left="431" w:hanging="43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1"/>
        </w:tabs>
        <w:ind w:left="1151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2"/>
        </w:tabs>
        <w:ind w:left="1582" w:hanging="1582"/>
      </w:pPr>
      <w:rPr>
        <w:rFonts w:hint="default"/>
      </w:rPr>
    </w:lvl>
  </w:abstractNum>
  <w:abstractNum w:abstractNumId="1" w15:restartNumberingAfterBreak="0">
    <w:nsid w:val="50D07F76"/>
    <w:multiLevelType w:val="hybridMultilevel"/>
    <w:tmpl w:val="499EA82E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" w15:restartNumberingAfterBreak="0">
    <w:nsid w:val="6B27798A"/>
    <w:multiLevelType w:val="singleLevel"/>
    <w:tmpl w:val="542ECF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</w:abstractNum>
  <w:num w:numId="1" w16cid:durableId="1848984386">
    <w:abstractNumId w:val="2"/>
  </w:num>
  <w:num w:numId="2" w16cid:durableId="1149592043">
    <w:abstractNumId w:val="0"/>
  </w:num>
  <w:num w:numId="3" w16cid:durableId="1235430302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431" w:hanging="43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8"/>
          </w:tabs>
          <w:ind w:left="578" w:hanging="578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2"/>
          </w:tabs>
          <w:ind w:left="862" w:hanging="862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9"/>
          </w:tabs>
          <w:ind w:left="1009" w:hanging="1009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1"/>
          </w:tabs>
          <w:ind w:left="1151" w:hanging="1151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8"/>
          </w:tabs>
          <w:ind w:left="1298" w:hanging="1298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2"/>
          </w:tabs>
          <w:ind w:left="1582" w:hanging="1582"/>
        </w:pPr>
        <w:rPr>
          <w:rFonts w:hint="default"/>
        </w:rPr>
      </w:lvl>
    </w:lvlOverride>
  </w:num>
  <w:num w:numId="4" w16cid:durableId="1905722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940"/>
    <w:rsid w:val="00001EC5"/>
    <w:rsid w:val="0000361D"/>
    <w:rsid w:val="00004F39"/>
    <w:rsid w:val="00070C02"/>
    <w:rsid w:val="00093988"/>
    <w:rsid w:val="000A0976"/>
    <w:rsid w:val="000B0FB7"/>
    <w:rsid w:val="000B2169"/>
    <w:rsid w:val="000D5BA4"/>
    <w:rsid w:val="00104A73"/>
    <w:rsid w:val="0010532B"/>
    <w:rsid w:val="0011396D"/>
    <w:rsid w:val="00124E05"/>
    <w:rsid w:val="001255E7"/>
    <w:rsid w:val="00135B35"/>
    <w:rsid w:val="00155963"/>
    <w:rsid w:val="00163B20"/>
    <w:rsid w:val="0016718F"/>
    <w:rsid w:val="00167B88"/>
    <w:rsid w:val="00174E08"/>
    <w:rsid w:val="00181215"/>
    <w:rsid w:val="00185291"/>
    <w:rsid w:val="00190116"/>
    <w:rsid w:val="00195FE5"/>
    <w:rsid w:val="001A2065"/>
    <w:rsid w:val="001B1C3E"/>
    <w:rsid w:val="001D041A"/>
    <w:rsid w:val="001E6C8A"/>
    <w:rsid w:val="001F2B18"/>
    <w:rsid w:val="001F46A1"/>
    <w:rsid w:val="002105A5"/>
    <w:rsid w:val="00223F2E"/>
    <w:rsid w:val="00255123"/>
    <w:rsid w:val="00261602"/>
    <w:rsid w:val="00261C11"/>
    <w:rsid w:val="00262851"/>
    <w:rsid w:val="0027363A"/>
    <w:rsid w:val="002817E7"/>
    <w:rsid w:val="00290C69"/>
    <w:rsid w:val="00291EBC"/>
    <w:rsid w:val="002A515A"/>
    <w:rsid w:val="002B77D7"/>
    <w:rsid w:val="002C1F11"/>
    <w:rsid w:val="002C64FE"/>
    <w:rsid w:val="00305DB8"/>
    <w:rsid w:val="00310BFD"/>
    <w:rsid w:val="00335480"/>
    <w:rsid w:val="00351B96"/>
    <w:rsid w:val="003870DE"/>
    <w:rsid w:val="00394D58"/>
    <w:rsid w:val="003A24C6"/>
    <w:rsid w:val="003B3AC0"/>
    <w:rsid w:val="003B6BEF"/>
    <w:rsid w:val="003C13AD"/>
    <w:rsid w:val="003C52D8"/>
    <w:rsid w:val="003F3B8F"/>
    <w:rsid w:val="00423892"/>
    <w:rsid w:val="00427FBE"/>
    <w:rsid w:val="00432A3A"/>
    <w:rsid w:val="004445EF"/>
    <w:rsid w:val="00444753"/>
    <w:rsid w:val="00447899"/>
    <w:rsid w:val="004602CB"/>
    <w:rsid w:val="00465FF4"/>
    <w:rsid w:val="00470655"/>
    <w:rsid w:val="00485A18"/>
    <w:rsid w:val="004930F6"/>
    <w:rsid w:val="004C3D33"/>
    <w:rsid w:val="004D1D82"/>
    <w:rsid w:val="004D355B"/>
    <w:rsid w:val="004F52FE"/>
    <w:rsid w:val="00507E9B"/>
    <w:rsid w:val="005263B4"/>
    <w:rsid w:val="00527ABE"/>
    <w:rsid w:val="00536ED5"/>
    <w:rsid w:val="00550DB2"/>
    <w:rsid w:val="00557F41"/>
    <w:rsid w:val="0056242D"/>
    <w:rsid w:val="00567D5D"/>
    <w:rsid w:val="00581261"/>
    <w:rsid w:val="005B3DF2"/>
    <w:rsid w:val="005E670C"/>
    <w:rsid w:val="005E78D6"/>
    <w:rsid w:val="005F5339"/>
    <w:rsid w:val="00610DD2"/>
    <w:rsid w:val="00622190"/>
    <w:rsid w:val="00646532"/>
    <w:rsid w:val="00647258"/>
    <w:rsid w:val="0066170A"/>
    <w:rsid w:val="00680C52"/>
    <w:rsid w:val="00682D04"/>
    <w:rsid w:val="00683BD8"/>
    <w:rsid w:val="00683D69"/>
    <w:rsid w:val="006A3F08"/>
    <w:rsid w:val="006B09D8"/>
    <w:rsid w:val="006D07E5"/>
    <w:rsid w:val="00704503"/>
    <w:rsid w:val="007116D0"/>
    <w:rsid w:val="00714A7F"/>
    <w:rsid w:val="00717571"/>
    <w:rsid w:val="007240CB"/>
    <w:rsid w:val="007251CF"/>
    <w:rsid w:val="007402F9"/>
    <w:rsid w:val="00746BB9"/>
    <w:rsid w:val="007543EA"/>
    <w:rsid w:val="0077121F"/>
    <w:rsid w:val="00773AEE"/>
    <w:rsid w:val="007E2533"/>
    <w:rsid w:val="007F4068"/>
    <w:rsid w:val="007F48A3"/>
    <w:rsid w:val="00814BD8"/>
    <w:rsid w:val="008366E1"/>
    <w:rsid w:val="008620DD"/>
    <w:rsid w:val="008739BA"/>
    <w:rsid w:val="00890A44"/>
    <w:rsid w:val="008B21F6"/>
    <w:rsid w:val="008B63A1"/>
    <w:rsid w:val="008B6BF4"/>
    <w:rsid w:val="008C25D3"/>
    <w:rsid w:val="008C6E53"/>
    <w:rsid w:val="008F3B26"/>
    <w:rsid w:val="00900E12"/>
    <w:rsid w:val="00903AAD"/>
    <w:rsid w:val="00904018"/>
    <w:rsid w:val="00905E27"/>
    <w:rsid w:val="0092053C"/>
    <w:rsid w:val="009226F9"/>
    <w:rsid w:val="009227AE"/>
    <w:rsid w:val="0094084F"/>
    <w:rsid w:val="009811FD"/>
    <w:rsid w:val="009B7EA3"/>
    <w:rsid w:val="009E1C07"/>
    <w:rsid w:val="009E5AAA"/>
    <w:rsid w:val="009F37C3"/>
    <w:rsid w:val="00A175DC"/>
    <w:rsid w:val="00A2223B"/>
    <w:rsid w:val="00A22D0F"/>
    <w:rsid w:val="00A255C3"/>
    <w:rsid w:val="00A3584A"/>
    <w:rsid w:val="00A519CC"/>
    <w:rsid w:val="00A6533B"/>
    <w:rsid w:val="00A654AF"/>
    <w:rsid w:val="00A77CE9"/>
    <w:rsid w:val="00A84BCC"/>
    <w:rsid w:val="00A87502"/>
    <w:rsid w:val="00A967A3"/>
    <w:rsid w:val="00AA3DF6"/>
    <w:rsid w:val="00AA4FC9"/>
    <w:rsid w:val="00AA6E91"/>
    <w:rsid w:val="00AE23AF"/>
    <w:rsid w:val="00B25717"/>
    <w:rsid w:val="00B27104"/>
    <w:rsid w:val="00B33CDF"/>
    <w:rsid w:val="00B459D8"/>
    <w:rsid w:val="00B63621"/>
    <w:rsid w:val="00B90E74"/>
    <w:rsid w:val="00BA2EB2"/>
    <w:rsid w:val="00BE09E8"/>
    <w:rsid w:val="00BF0311"/>
    <w:rsid w:val="00BF14B7"/>
    <w:rsid w:val="00BF5324"/>
    <w:rsid w:val="00C07D52"/>
    <w:rsid w:val="00C40975"/>
    <w:rsid w:val="00C43517"/>
    <w:rsid w:val="00C86940"/>
    <w:rsid w:val="00CA2B1E"/>
    <w:rsid w:val="00CB6896"/>
    <w:rsid w:val="00CC1A96"/>
    <w:rsid w:val="00CE63FF"/>
    <w:rsid w:val="00D10A3F"/>
    <w:rsid w:val="00D16C14"/>
    <w:rsid w:val="00D318E6"/>
    <w:rsid w:val="00D32E3F"/>
    <w:rsid w:val="00D476B8"/>
    <w:rsid w:val="00D67492"/>
    <w:rsid w:val="00D72A08"/>
    <w:rsid w:val="00DA2142"/>
    <w:rsid w:val="00DB4C1B"/>
    <w:rsid w:val="00DC0AA8"/>
    <w:rsid w:val="00DE5C42"/>
    <w:rsid w:val="00DE73FD"/>
    <w:rsid w:val="00E21135"/>
    <w:rsid w:val="00E22CA9"/>
    <w:rsid w:val="00E25DB5"/>
    <w:rsid w:val="00E3016B"/>
    <w:rsid w:val="00E340B4"/>
    <w:rsid w:val="00E619BC"/>
    <w:rsid w:val="00E67A6E"/>
    <w:rsid w:val="00E76086"/>
    <w:rsid w:val="00EC01AA"/>
    <w:rsid w:val="00EE11F3"/>
    <w:rsid w:val="00EE6AB6"/>
    <w:rsid w:val="00EF5EC6"/>
    <w:rsid w:val="00F06C7E"/>
    <w:rsid w:val="00F27322"/>
    <w:rsid w:val="00F45848"/>
    <w:rsid w:val="00F47CDA"/>
    <w:rsid w:val="00F61D1F"/>
    <w:rsid w:val="00F715A4"/>
    <w:rsid w:val="00F75738"/>
    <w:rsid w:val="00F76F22"/>
    <w:rsid w:val="00F867AD"/>
    <w:rsid w:val="00F96E56"/>
    <w:rsid w:val="00FA3B28"/>
    <w:rsid w:val="00FC3E3C"/>
    <w:rsid w:val="00FC4011"/>
    <w:rsid w:val="00FC7E0F"/>
    <w:rsid w:val="00FD2036"/>
    <w:rsid w:val="00FF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0B4D"/>
  <w15:chartTrackingRefBased/>
  <w15:docId w15:val="{C4E47275-7E83-4DD3-BB2E-0AE3EE2EA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940"/>
    <w:pPr>
      <w:spacing w:after="0" w:line="240" w:lineRule="auto"/>
    </w:pPr>
    <w:rPr>
      <w:rFonts w:ascii="Verdana" w:eastAsia="Times New Roman" w:hAnsi="Verdana" w:cs="Times New Roman"/>
      <w:kern w:val="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9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C86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C869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C869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C869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9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C869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C869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C869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9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9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9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9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9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9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9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9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9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9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9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9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9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9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9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9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9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9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9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C8694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86940"/>
    <w:rPr>
      <w:rFonts w:ascii="Verdana" w:eastAsia="Times New Roman" w:hAnsi="Verdana" w:cs="Times New Roman"/>
      <w:kern w:val="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rsid w:val="00C86940"/>
    <w:pPr>
      <w:tabs>
        <w:tab w:val="center" w:pos="4153"/>
        <w:tab w:val="right" w:pos="8306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rsid w:val="00C86940"/>
    <w:rPr>
      <w:rFonts w:ascii="Verdana" w:eastAsia="Times New Roman" w:hAnsi="Verdana" w:cs="Times New Roman"/>
      <w:kern w:val="0"/>
      <w:sz w:val="18"/>
      <w:szCs w:val="20"/>
      <w:lang w:eastAsia="en-GB"/>
      <w14:ligatures w14:val="none"/>
    </w:rPr>
  </w:style>
  <w:style w:type="character" w:styleId="PageNumber">
    <w:name w:val="page number"/>
    <w:basedOn w:val="DefaultParagraphFont"/>
    <w:rsid w:val="00C86940"/>
    <w:rPr>
      <w:rFonts w:ascii="Verdana" w:hAnsi="Verdana"/>
      <w:sz w:val="18"/>
    </w:rPr>
  </w:style>
  <w:style w:type="paragraph" w:customStyle="1" w:styleId="Noindent">
    <w:name w:val="No indent"/>
    <w:basedOn w:val="Normal"/>
    <w:rsid w:val="00C86940"/>
    <w:pPr>
      <w:tabs>
        <w:tab w:val="left" w:pos="426"/>
      </w:tabs>
    </w:pPr>
  </w:style>
  <w:style w:type="paragraph" w:customStyle="1" w:styleId="TBullet">
    <w:name w:val="T_Bullet"/>
    <w:basedOn w:val="Normal"/>
    <w:rsid w:val="00C86940"/>
    <w:pPr>
      <w:tabs>
        <w:tab w:val="left" w:pos="851"/>
      </w:tabs>
    </w:pPr>
    <w:rPr>
      <w:color w:val="000000"/>
      <w:sz w:val="20"/>
    </w:rPr>
  </w:style>
  <w:style w:type="paragraph" w:customStyle="1" w:styleId="Style1">
    <w:name w:val="Style1"/>
    <w:basedOn w:val="Heading1"/>
    <w:link w:val="Style1Char"/>
    <w:rsid w:val="00C86940"/>
    <w:pPr>
      <w:keepNext w:val="0"/>
      <w:keepLines w:val="0"/>
      <w:tabs>
        <w:tab w:val="left" w:pos="432"/>
      </w:tabs>
      <w:spacing w:before="180" w:after="0"/>
      <w:ind w:left="431" w:hanging="431"/>
    </w:pPr>
    <w:rPr>
      <w:rFonts w:ascii="Verdana" w:eastAsia="Times New Roman" w:hAnsi="Verdana" w:cs="Times New Roman"/>
      <w:color w:val="000000"/>
      <w:kern w:val="28"/>
      <w:sz w:val="22"/>
      <w:szCs w:val="20"/>
    </w:rPr>
  </w:style>
  <w:style w:type="paragraph" w:customStyle="1" w:styleId="Heading6blackfont">
    <w:name w:val="Heading 6 + black font"/>
    <w:basedOn w:val="Heading6"/>
    <w:next w:val="Style1"/>
    <w:rsid w:val="00C86940"/>
    <w:pPr>
      <w:keepLines w:val="0"/>
      <w:widowControl w:val="0"/>
      <w:spacing w:before="180"/>
    </w:pPr>
    <w:rPr>
      <w:rFonts w:eastAsia="Times New Roman" w:cs="Times New Roman"/>
      <w:b/>
      <w:i w:val="0"/>
      <w:iCs w:val="0"/>
      <w:color w:val="000000"/>
    </w:rPr>
  </w:style>
  <w:style w:type="numbering" w:customStyle="1" w:styleId="StylesList">
    <w:name w:val="StylesList"/>
    <w:uiPriority w:val="99"/>
    <w:rsid w:val="00C86940"/>
    <w:pPr>
      <w:numPr>
        <w:numId w:val="2"/>
      </w:numPr>
    </w:pPr>
  </w:style>
  <w:style w:type="character" w:customStyle="1" w:styleId="Style1Char">
    <w:name w:val="Style1 Char"/>
    <w:basedOn w:val="DefaultParagraphFont"/>
    <w:link w:val="Style1"/>
    <w:locked/>
    <w:rsid w:val="00D72A08"/>
    <w:rPr>
      <w:rFonts w:ascii="Verdana" w:eastAsia="Times New Roman" w:hAnsi="Verdana" w:cs="Times New Roman"/>
      <w:color w:val="000000"/>
      <w:kern w:val="28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54CDEF871A647AC44520C841F1B03" ma:contentTypeVersion="20" ma:contentTypeDescription="Create a new document." ma:contentTypeScope="" ma:versionID="bec75bf8ef12038c7c713e2e9904971c">
  <xsd:schema xmlns:xsd="http://www.w3.org/2001/XMLSchema" xmlns:xs="http://www.w3.org/2001/XMLSchema" xmlns:p="http://schemas.microsoft.com/office/2006/metadata/properties" xmlns:ns2="171a6d4e-846b-4045-8024-24f3590889ec" xmlns:ns3="9a4cad7d-cde0-4c4b-9900-a6ca365b2969" targetNamespace="http://schemas.microsoft.com/office/2006/metadata/properties" ma:root="true" ma:fieldsID="2edc934045839d470ed1aaacd7f7ec40" ns2:_="" ns3:_="">
    <xsd:import namespace="171a6d4e-846b-4045-8024-24f3590889ec"/>
    <xsd:import namespace="9a4cad7d-cde0-4c4b-9900-a6ca365b2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UMBE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1a6d4e-846b-4045-8024-24f359088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f8cfed-64c2-475b-a96a-20ffe17e85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UMBER" ma:index="25" nillable="true" ma:displayName="NUMBER" ma:format="Dropdown" ma:internalName="NUMBER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cad7d-cde0-4c4b-9900-a6ca365b2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80e5bd-9034-4779-a205-51963e987fe9}" ma:internalName="TaxCatchAll" ma:showField="CatchAllData" ma:web="9a4cad7d-cde0-4c4b-9900-a6ca365b2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4cad7d-cde0-4c4b-9900-a6ca365b2969" xsi:nil="true"/>
    <NUMBER xmlns="171a6d4e-846b-4045-8024-24f3590889ec" xsi:nil="true"/>
    <lcf76f155ced4ddcb4097134ff3c332f xmlns="171a6d4e-846b-4045-8024-24f3590889e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2F0C58-734F-4253-959F-F662D6A00AB7}"/>
</file>

<file path=customXml/itemProps2.xml><?xml version="1.0" encoding="utf-8"?>
<ds:datastoreItem xmlns:ds="http://schemas.openxmlformats.org/officeDocument/2006/customXml" ds:itemID="{9C8440D6-049D-4AA4-AB81-4CCF2EB61FFF}"/>
</file>

<file path=customXml/itemProps3.xml><?xml version="1.0" encoding="utf-8"?>
<ds:datastoreItem xmlns:ds="http://schemas.openxmlformats.org/officeDocument/2006/customXml" ds:itemID="{C175E3C5-3F85-4A12-BEF8-7CBE7DA538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1266</Words>
  <Characters>7217</Characters>
  <Application>Microsoft Office Word</Application>
  <DocSecurity>0</DocSecurity>
  <Lines>60</Lines>
  <Paragraphs>16</Paragraphs>
  <ScaleCrop>false</ScaleCrop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Ken</dc:creator>
  <cp:keywords/>
  <dc:description/>
  <cp:lastModifiedBy>Oliver O'Flaherty</cp:lastModifiedBy>
  <cp:revision>50</cp:revision>
  <dcterms:created xsi:type="dcterms:W3CDTF">2026-09-17T15:36:00Z</dcterms:created>
  <dcterms:modified xsi:type="dcterms:W3CDTF">2026-09-29T13:33:00Z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0x0101002AA54CDEF871A647AC44520C841F1B03</vt:lpwstr>
  </property>
  <property fmtid="{D5CDD505-2E9C-101B-9397-08002B2CF9AE}" pid="3" name="MSIP_Label_fd57fe22-af15-49b8-ad15-119785ea7743_Enabled">
    <vt:lpwstr>true</vt:lpwstr>
  </property>
  <property fmtid="{D5CDD505-2E9C-101B-9397-08002B2CF9AE}" pid="4" name="MSIP_Label_fd57fe22-af15-49b8-ad15-119785ea7743_SetDate">
    <vt:lpwstr>2026-10-15T19:30:10Z</vt:lpwstr>
  </property>
  <property fmtid="{D5CDD505-2E9C-101B-9397-08002B2CF9AE}" pid="5" name="MSIP_Label_fd57fe22-af15-49b8-ad15-119785ea7743_Method">
    <vt:lpwstr>Standard</vt:lpwstr>
  </property>
  <property fmtid="{D5CDD505-2E9C-101B-9397-08002B2CF9AE}" pid="6" name="MSIP_Label_fd57fe22-af15-49b8-ad15-119785ea7743_Name">
    <vt:lpwstr>OFFICIAL - SENSITIVE - PINS use only</vt:lpwstr>
  </property>
  <property fmtid="{D5CDD505-2E9C-101B-9397-08002B2CF9AE}" pid="7" name="MSIP_Label_fd57fe22-af15-49b8-ad15-119785ea7743_SiteId">
    <vt:lpwstr>5878df98-6f88-48ab-9322-998ce557088d</vt:lpwstr>
  </property>
  <property fmtid="{D5CDD505-2E9C-101B-9397-08002B2CF9AE}" pid="8" name="MSIP_Label_fd57fe22-af15-49b8-ad15-119785ea7743_ActionId">
    <vt:lpwstr>950c4e90-f82b-41ea-bf52-c91a32e214fb</vt:lpwstr>
  </property>
  <property fmtid="{D5CDD505-2E9C-101B-9397-08002B2CF9AE}" pid="9" name="MSIP_Label_fd57fe22-af15-49b8-ad15-119785ea7743_ContentBits">
    <vt:lpwstr>0</vt:lpwstr>
  </property>
  <property fmtid="{D5CDD505-2E9C-101B-9397-08002B2CF9AE}" pid="10" name="MediaServiceImageTags">
    <vt:lpwstr/>
  </property>
</Properties>
</file>