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36DBD" w14:textId="32373CFC" w:rsidR="009A79A4" w:rsidRDefault="009A79A4" w:rsidP="002955E0">
      <w:pPr>
        <w:pStyle w:val="TableParagraph"/>
      </w:pPr>
      <w:r w:rsidRPr="00F6274F">
        <w:rPr>
          <w:noProof/>
        </w:rPr>
        <w:drawing>
          <wp:inline distT="0" distB="0" distL="0" distR="0" wp14:anchorId="7B176200" wp14:editId="7A1FC501">
            <wp:extent cx="5748020" cy="4324350"/>
            <wp:effectExtent l="0" t="0" r="5080" b="0"/>
            <wp:docPr id="1" name="Picture 2" descr="A close up view of the Environment Agency logo." title="Front 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P_Large_logo_Green.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48020" cy="4324350"/>
                    </a:xfrm>
                    <a:prstGeom prst="rect">
                      <a:avLst/>
                    </a:prstGeom>
                    <a:noFill/>
                    <a:ln w="9525">
                      <a:noFill/>
                      <a:miter lim="800000"/>
                      <a:headEnd/>
                      <a:tailEnd/>
                    </a:ln>
                  </pic:spPr>
                </pic:pic>
              </a:graphicData>
            </a:graphic>
          </wp:inline>
        </w:drawing>
      </w:r>
    </w:p>
    <w:p w14:paraId="157571C0" w14:textId="52ED4BA1" w:rsidR="00026E66" w:rsidRPr="0096209B" w:rsidRDefault="002737EF" w:rsidP="00FF0098">
      <w:pPr>
        <w:tabs>
          <w:tab w:val="left" w:pos="0"/>
        </w:tabs>
        <w:spacing w:after="23" w:line="247" w:lineRule="auto"/>
        <w:ind w:right="43"/>
        <w:rPr>
          <w:color w:val="008631"/>
        </w:rPr>
      </w:pPr>
      <w:r w:rsidRPr="0096209B">
        <w:rPr>
          <w:color w:val="008631"/>
          <w:sz w:val="56"/>
        </w:rPr>
        <w:t>Climate Change Agreements Operations Manual</w:t>
      </w:r>
    </w:p>
    <w:p w14:paraId="644F7301" w14:textId="4289CBCD" w:rsidR="009A79A4" w:rsidRPr="009A79A4" w:rsidRDefault="00137CED" w:rsidP="00FF0098">
      <w:pPr>
        <w:tabs>
          <w:tab w:val="left" w:pos="0"/>
        </w:tabs>
        <w:spacing w:after="11"/>
        <w:ind w:right="182"/>
        <w:rPr>
          <w:sz w:val="28"/>
          <w:szCs w:val="28"/>
        </w:rPr>
      </w:pPr>
      <w:r w:rsidRPr="7FB76D14">
        <w:rPr>
          <w:sz w:val="28"/>
          <w:szCs w:val="28"/>
        </w:rPr>
        <w:t xml:space="preserve">October </w:t>
      </w:r>
      <w:r w:rsidR="009A79A4" w:rsidRPr="7FB76D14">
        <w:rPr>
          <w:sz w:val="28"/>
          <w:szCs w:val="28"/>
        </w:rPr>
        <w:t>202</w:t>
      </w:r>
      <w:r w:rsidR="00AC29A7" w:rsidRPr="7FB76D14">
        <w:rPr>
          <w:sz w:val="28"/>
          <w:szCs w:val="28"/>
        </w:rPr>
        <w:t>6</w:t>
      </w:r>
    </w:p>
    <w:p w14:paraId="04D82491" w14:textId="651083C2" w:rsidR="004B7AA4" w:rsidRPr="00A26401" w:rsidRDefault="002737EF" w:rsidP="00A26401">
      <w:pPr>
        <w:tabs>
          <w:tab w:val="left" w:pos="0"/>
        </w:tabs>
        <w:spacing w:after="11"/>
        <w:ind w:right="182"/>
        <w:rPr>
          <w:sz w:val="28"/>
          <w:szCs w:val="28"/>
        </w:rPr>
        <w:sectPr w:rsidR="004B7AA4" w:rsidRPr="00A26401" w:rsidSect="004B7AA4">
          <w:headerReference w:type="even" r:id="rId12"/>
          <w:footerReference w:type="even" r:id="rId13"/>
          <w:footerReference w:type="default" r:id="rId14"/>
          <w:headerReference w:type="first" r:id="rId15"/>
          <w:pgSz w:w="11899" w:h="16838" w:code="9"/>
          <w:pgMar w:top="2526" w:right="1134" w:bottom="1134" w:left="1134" w:header="340" w:footer="340" w:gutter="0"/>
          <w:cols w:space="708"/>
          <w:titlePg/>
        </w:sectPr>
      </w:pPr>
      <w:r w:rsidRPr="7FB76D14">
        <w:rPr>
          <w:sz w:val="28"/>
          <w:szCs w:val="28"/>
        </w:rPr>
        <w:t xml:space="preserve">LIT </w:t>
      </w:r>
      <w:r w:rsidR="00BD6EAA" w:rsidRPr="7FB76D14">
        <w:rPr>
          <w:sz w:val="28"/>
          <w:szCs w:val="28"/>
        </w:rPr>
        <w:t>7911</w:t>
      </w:r>
    </w:p>
    <w:p w14:paraId="39C20463" w14:textId="1AD1FCB3" w:rsidR="00FF0098" w:rsidRDefault="00FF0098">
      <w:pPr>
        <w:suppressAutoHyphens w:val="0"/>
        <w:spacing w:before="0" w:beforeAutospacing="0" w:after="160" w:afterAutospacing="0" w:line="256" w:lineRule="auto"/>
      </w:pPr>
      <w:r>
        <w:br w:type="page"/>
      </w:r>
    </w:p>
    <w:p w14:paraId="4FBB2991" w14:textId="77777777" w:rsidR="00026E66" w:rsidRDefault="002737EF" w:rsidP="004B7AA4">
      <w:pPr>
        <w:tabs>
          <w:tab w:val="left" w:pos="0"/>
        </w:tabs>
        <w:ind w:right="182"/>
      </w:pPr>
      <w:r>
        <w:lastRenderedPageBreak/>
        <w:t xml:space="preserve">We are the Environment Agency. We protect and improve the environment. </w:t>
      </w:r>
    </w:p>
    <w:p w14:paraId="5A367A1D" w14:textId="77777777" w:rsidR="00026E66" w:rsidRDefault="002737EF" w:rsidP="00FF0098">
      <w:pPr>
        <w:tabs>
          <w:tab w:val="left" w:pos="0"/>
        </w:tabs>
        <w:spacing w:after="0"/>
        <w:ind w:right="182"/>
      </w:pPr>
      <w:r>
        <w:t xml:space="preserve">Acting to reduce the impacts of a changing climate on people and wildlife is at the heart of everything we do. </w:t>
      </w:r>
    </w:p>
    <w:p w14:paraId="76F78D96" w14:textId="77777777" w:rsidR="00026E66" w:rsidRDefault="002737EF" w:rsidP="00FF0098">
      <w:pPr>
        <w:tabs>
          <w:tab w:val="left" w:pos="0"/>
        </w:tabs>
        <w:spacing w:after="0"/>
        <w:ind w:right="-8"/>
      </w:pPr>
      <w:r>
        <w:t xml:space="preserve">We reduce the risks to people, properties and businesses from flooding and coastal erosion. We protect and improve the quality of water, making sure there is enough for people, businesses, agriculture and the environment. Our work helps to ensure people can enjoy the water environment through angling and navigation. </w:t>
      </w:r>
    </w:p>
    <w:p w14:paraId="11FFB8A5" w14:textId="77777777" w:rsidR="00026E66" w:rsidRDefault="002737EF" w:rsidP="00FF0098">
      <w:pPr>
        <w:tabs>
          <w:tab w:val="left" w:pos="0"/>
        </w:tabs>
        <w:spacing w:after="0"/>
        <w:ind w:right="182"/>
      </w:pPr>
      <w:r>
        <w:t xml:space="preserve">We look after land quality, promote sustainable land management and help protect and enhance wildlife habitats. And we work closely with businesses to help them comply with environmental regulations. </w:t>
      </w:r>
    </w:p>
    <w:p w14:paraId="4CDE5F69" w14:textId="28FA59A9" w:rsidR="00FF0098" w:rsidRDefault="002737EF" w:rsidP="00FF0098">
      <w:pPr>
        <w:tabs>
          <w:tab w:val="left" w:pos="0"/>
        </w:tabs>
        <w:spacing w:after="0"/>
        <w:ind w:right="182"/>
      </w:pPr>
      <w:r>
        <w:t>We can’t do this alone. We work with government, local councils, businesses, civil society groups and communities to make our environment a better place for people and wildlife.</w:t>
      </w:r>
    </w:p>
    <w:p w14:paraId="4D7D4649" w14:textId="77777777" w:rsidR="00FF0098" w:rsidRDefault="00FF0098" w:rsidP="00FF0098"/>
    <w:p w14:paraId="59FE3FB3" w14:textId="77777777" w:rsidR="00FF0098" w:rsidRDefault="00FF0098" w:rsidP="00FF0098">
      <w:pPr>
        <w:sectPr w:rsidR="00FF0098" w:rsidSect="004B7AA4">
          <w:type w:val="continuous"/>
          <w:pgSz w:w="11899" w:h="16838" w:code="9"/>
          <w:pgMar w:top="1560" w:right="1134" w:bottom="1134" w:left="1134" w:header="340" w:footer="340" w:gutter="0"/>
          <w:cols w:space="708"/>
          <w:titlePg/>
        </w:sectPr>
      </w:pPr>
    </w:p>
    <w:p w14:paraId="09DEA66C" w14:textId="77777777" w:rsidR="00FF0098" w:rsidRDefault="00FF0098" w:rsidP="00FF0098">
      <w:r w:rsidRPr="008203B7">
        <w:t>Published by:</w:t>
      </w:r>
    </w:p>
    <w:p w14:paraId="3DA34265" w14:textId="77777777" w:rsidR="00FF0098" w:rsidRDefault="00FF0098" w:rsidP="00FF0098">
      <w:r>
        <w:t>Environment Agency</w:t>
      </w:r>
      <w:r>
        <w:br/>
        <w:t>Horizon H</w:t>
      </w:r>
      <w:r w:rsidRPr="00F6274F">
        <w:t>ouse</w:t>
      </w:r>
      <w:r>
        <w:t>, Deanery Road,</w:t>
      </w:r>
      <w:r>
        <w:br/>
        <w:t>Bristol BS1 5AH</w:t>
      </w:r>
    </w:p>
    <w:p w14:paraId="3B36E945" w14:textId="77777777" w:rsidR="00FF0098" w:rsidRDefault="00FF0098" w:rsidP="00FF0098">
      <w:pPr>
        <w:rPr>
          <w:rStyle w:val="Hyperlink"/>
        </w:rPr>
      </w:pPr>
      <w:hyperlink r:id="rId16" w:tooltip="URL for Environment Agency website" w:history="1">
        <w:r w:rsidRPr="00F6274F">
          <w:rPr>
            <w:rStyle w:val="Hyperlink"/>
          </w:rPr>
          <w:t>www.gov.uk/environment-agency</w:t>
        </w:r>
      </w:hyperlink>
    </w:p>
    <w:p w14:paraId="449FC7F8" w14:textId="4D1579F9" w:rsidR="00FF0098" w:rsidRDefault="00FF0098" w:rsidP="00FF0098">
      <w:pPr>
        <w:pStyle w:val="Maintextblack"/>
      </w:pPr>
      <w:r>
        <w:br w:type="column"/>
      </w:r>
      <w:r>
        <w:t xml:space="preserve">© Environment Agency </w:t>
      </w:r>
      <w:r w:rsidR="00B46ABE">
        <w:t xml:space="preserve">2026 </w:t>
      </w:r>
    </w:p>
    <w:p w14:paraId="40C74F02" w14:textId="77777777" w:rsidR="00FF0098" w:rsidRPr="00A1296C" w:rsidRDefault="00FF0098" w:rsidP="00FF0098">
      <w:r w:rsidRPr="008203B7">
        <w:t>All rights reserved. This document may b</w:t>
      </w:r>
      <w:r>
        <w:t>e</w:t>
      </w:r>
      <w:r w:rsidRPr="008203B7">
        <w:t xml:space="preserve"> reproduced with prior </w:t>
      </w:r>
      <w:r>
        <w:t xml:space="preserve">permission of </w:t>
      </w:r>
      <w:r w:rsidRPr="00F6274F">
        <w:t>the Environment Agency.</w:t>
      </w:r>
    </w:p>
    <w:p w14:paraId="392ED85E" w14:textId="77777777" w:rsidR="00FF0098" w:rsidRDefault="00FF0098" w:rsidP="00FF0098">
      <w:r w:rsidRPr="008203B7">
        <w:t>Further copie</w:t>
      </w:r>
      <w:r>
        <w:t xml:space="preserve">s of this report are available </w:t>
      </w:r>
      <w:r w:rsidRPr="008203B7">
        <w:t xml:space="preserve">from our publications catalogue: </w:t>
      </w:r>
      <w:hyperlink r:id="rId17" w:history="1">
        <w:r w:rsidRPr="00570C58">
          <w:rPr>
            <w:rStyle w:val="Hyperlink"/>
          </w:rPr>
          <w:t>www.gov.uk/government/publications</w:t>
        </w:r>
      </w:hyperlink>
      <w:r>
        <w:t xml:space="preserve"> </w:t>
      </w:r>
      <w:r w:rsidRPr="00F6274F">
        <w:t>or our Nat</w:t>
      </w:r>
      <w:r>
        <w:t xml:space="preserve">ional Customer Contact Centre: </w:t>
      </w:r>
      <w:r w:rsidRPr="00F6274F">
        <w:t>03708 506</w:t>
      </w:r>
      <w:r>
        <w:t xml:space="preserve"> </w:t>
      </w:r>
      <w:r w:rsidRPr="00F6274F">
        <w:t>506</w:t>
      </w:r>
    </w:p>
    <w:p w14:paraId="552F636A" w14:textId="77777777" w:rsidR="00FF0098" w:rsidRDefault="00FF0098" w:rsidP="00FF0098">
      <w:pPr>
        <w:sectPr w:rsidR="00FF0098">
          <w:type w:val="continuous"/>
          <w:pgSz w:w="11899" w:h="16838" w:code="9"/>
          <w:pgMar w:top="1134" w:right="1134" w:bottom="1134" w:left="1134" w:header="340" w:footer="340" w:gutter="0"/>
          <w:cols w:num="2" w:space="275"/>
          <w:titlePg/>
        </w:sectPr>
      </w:pPr>
      <w:r w:rsidRPr="008203B7">
        <w:t xml:space="preserve">Email: </w:t>
      </w:r>
      <w:hyperlink r:id="rId18" w:history="1">
        <w:r w:rsidRPr="00F6274F">
          <w:rPr>
            <w:rStyle w:val="Hyperlink"/>
          </w:rPr>
          <w:t>enquiries@environment-agency.gov.uk</w:t>
        </w:r>
      </w:hyperlink>
    </w:p>
    <w:sdt>
      <w:sdtPr>
        <w:rPr>
          <w:rFonts w:ascii="Arial" w:eastAsia="Arial" w:hAnsi="Arial" w:cs="Arial"/>
          <w:b w:val="0"/>
          <w:color w:val="000000"/>
          <w:sz w:val="24"/>
          <w:szCs w:val="22"/>
          <w:lang w:val="en-GB" w:eastAsia="en-GB"/>
        </w:rPr>
        <w:id w:val="-1971589967"/>
        <w:docPartObj>
          <w:docPartGallery w:val="Table of Contents"/>
          <w:docPartUnique/>
        </w:docPartObj>
      </w:sdtPr>
      <w:sdtEndPr>
        <w:rPr>
          <w:noProof/>
          <w:color w:val="000000" w:themeColor="text1"/>
          <w:sz w:val="22"/>
        </w:rPr>
      </w:sdtEndPr>
      <w:sdtContent>
        <w:p w14:paraId="7D757DF5" w14:textId="69F9BDAA" w:rsidR="002737EF" w:rsidRPr="0096209B" w:rsidRDefault="002737EF" w:rsidP="00FC355D">
          <w:pPr>
            <w:pStyle w:val="TOCHeading"/>
            <w:tabs>
              <w:tab w:val="left" w:pos="0"/>
            </w:tabs>
            <w:spacing w:before="0" w:beforeAutospacing="0" w:afterAutospacing="0" w:line="360" w:lineRule="auto"/>
            <w:rPr>
              <w:rFonts w:ascii="Arial" w:hAnsi="Arial" w:cs="Arial"/>
              <w:color w:val="008938"/>
            </w:rPr>
          </w:pPr>
          <w:r w:rsidRPr="0096209B">
            <w:rPr>
              <w:rFonts w:ascii="Arial" w:hAnsi="Arial" w:cs="Arial"/>
              <w:color w:val="008938"/>
            </w:rPr>
            <w:t>Contents</w:t>
          </w:r>
        </w:p>
        <w:p w14:paraId="7019627B" w14:textId="73CCD660" w:rsidR="004B052B" w:rsidRDefault="00B45BB1">
          <w:pPr>
            <w:pStyle w:val="TOC1"/>
            <w:tabs>
              <w:tab w:val="right" w:leader="dot" w:pos="9629"/>
            </w:tabs>
            <w:rPr>
              <w:rFonts w:asciiTheme="minorHAnsi" w:eastAsiaTheme="minorEastAsia" w:hAnsiTheme="minorHAnsi" w:cstheme="minorBidi"/>
              <w:b w:val="0"/>
              <w:noProof/>
              <w:color w:val="auto"/>
              <w:kern w:val="2"/>
              <w:sz w:val="24"/>
              <w:szCs w:val="24"/>
              <w14:ligatures w14:val="standardContextual"/>
            </w:rPr>
          </w:pPr>
          <w:r>
            <w:fldChar w:fldCharType="begin"/>
          </w:r>
          <w:r>
            <w:instrText>TOC \o "1-2" \z \u \h</w:instrText>
          </w:r>
          <w:r>
            <w:fldChar w:fldCharType="separate"/>
          </w:r>
          <w:hyperlink w:anchor="_Toc242885352" w:history="1">
            <w:r w:rsidR="004B052B" w:rsidRPr="00DC1719">
              <w:rPr>
                <w:rStyle w:val="Hyperlink"/>
                <w:noProof/>
              </w:rPr>
              <w:t>1. Introduction</w:t>
            </w:r>
            <w:r w:rsidR="004B052B">
              <w:rPr>
                <w:noProof/>
                <w:webHidden/>
              </w:rPr>
              <w:tab/>
            </w:r>
            <w:r w:rsidR="004B052B">
              <w:rPr>
                <w:noProof/>
                <w:webHidden/>
              </w:rPr>
              <w:fldChar w:fldCharType="begin"/>
            </w:r>
            <w:r w:rsidR="004B052B">
              <w:rPr>
                <w:noProof/>
                <w:webHidden/>
              </w:rPr>
              <w:instrText xml:space="preserve"> PAGEREF _Toc242885352 \h </w:instrText>
            </w:r>
            <w:r w:rsidR="004B052B">
              <w:rPr>
                <w:noProof/>
                <w:webHidden/>
              </w:rPr>
            </w:r>
            <w:r w:rsidR="004B052B">
              <w:rPr>
                <w:noProof/>
                <w:webHidden/>
              </w:rPr>
              <w:fldChar w:fldCharType="separate"/>
            </w:r>
            <w:r w:rsidR="004B052B">
              <w:rPr>
                <w:noProof/>
                <w:webHidden/>
              </w:rPr>
              <w:t>5</w:t>
            </w:r>
            <w:r w:rsidR="004B052B">
              <w:rPr>
                <w:noProof/>
                <w:webHidden/>
              </w:rPr>
              <w:fldChar w:fldCharType="end"/>
            </w:r>
          </w:hyperlink>
        </w:p>
        <w:p w14:paraId="18E40E0F" w14:textId="55220707"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53" w:history="1">
            <w:r w:rsidRPr="00DC1719">
              <w:rPr>
                <w:rStyle w:val="Hyperlink"/>
                <w:noProof/>
              </w:rPr>
              <w:t>1.1. Using the manual</w:t>
            </w:r>
            <w:r>
              <w:rPr>
                <w:noProof/>
                <w:webHidden/>
              </w:rPr>
              <w:tab/>
            </w:r>
            <w:r>
              <w:rPr>
                <w:noProof/>
                <w:webHidden/>
              </w:rPr>
              <w:fldChar w:fldCharType="begin"/>
            </w:r>
            <w:r>
              <w:rPr>
                <w:noProof/>
                <w:webHidden/>
              </w:rPr>
              <w:instrText xml:space="preserve"> PAGEREF _Toc242885353 \h </w:instrText>
            </w:r>
            <w:r>
              <w:rPr>
                <w:noProof/>
                <w:webHidden/>
              </w:rPr>
            </w:r>
            <w:r>
              <w:rPr>
                <w:noProof/>
                <w:webHidden/>
              </w:rPr>
              <w:fldChar w:fldCharType="separate"/>
            </w:r>
            <w:r>
              <w:rPr>
                <w:noProof/>
                <w:webHidden/>
              </w:rPr>
              <w:t>6</w:t>
            </w:r>
            <w:r>
              <w:rPr>
                <w:noProof/>
                <w:webHidden/>
              </w:rPr>
              <w:fldChar w:fldCharType="end"/>
            </w:r>
          </w:hyperlink>
        </w:p>
        <w:p w14:paraId="7FFC1536" w14:textId="314DD5D5" w:rsidR="004B052B" w:rsidRDefault="004B052B">
          <w:pPr>
            <w:pStyle w:val="TOC1"/>
            <w:tabs>
              <w:tab w:val="right" w:leader="dot" w:pos="9629"/>
            </w:tabs>
            <w:rPr>
              <w:rFonts w:asciiTheme="minorHAnsi" w:eastAsiaTheme="minorEastAsia" w:hAnsiTheme="minorHAnsi" w:cstheme="minorBidi"/>
              <w:b w:val="0"/>
              <w:noProof/>
              <w:color w:val="auto"/>
              <w:kern w:val="2"/>
              <w:sz w:val="24"/>
              <w:szCs w:val="24"/>
              <w14:ligatures w14:val="standardContextual"/>
            </w:rPr>
          </w:pPr>
          <w:hyperlink w:anchor="_Toc242885354" w:history="1">
            <w:r w:rsidRPr="00DC1719">
              <w:rPr>
                <w:rStyle w:val="Hyperlink"/>
                <w:noProof/>
              </w:rPr>
              <w:t>2. Getting started – important information for all operators</w:t>
            </w:r>
            <w:r>
              <w:rPr>
                <w:noProof/>
                <w:webHidden/>
              </w:rPr>
              <w:tab/>
            </w:r>
            <w:r>
              <w:rPr>
                <w:noProof/>
                <w:webHidden/>
              </w:rPr>
              <w:fldChar w:fldCharType="begin"/>
            </w:r>
            <w:r>
              <w:rPr>
                <w:noProof/>
                <w:webHidden/>
              </w:rPr>
              <w:instrText xml:space="preserve"> PAGEREF _Toc242885354 \h </w:instrText>
            </w:r>
            <w:r>
              <w:rPr>
                <w:noProof/>
                <w:webHidden/>
              </w:rPr>
            </w:r>
            <w:r>
              <w:rPr>
                <w:noProof/>
                <w:webHidden/>
              </w:rPr>
              <w:fldChar w:fldCharType="separate"/>
            </w:r>
            <w:r>
              <w:rPr>
                <w:noProof/>
                <w:webHidden/>
              </w:rPr>
              <w:t>6</w:t>
            </w:r>
            <w:r>
              <w:rPr>
                <w:noProof/>
                <w:webHidden/>
              </w:rPr>
              <w:fldChar w:fldCharType="end"/>
            </w:r>
          </w:hyperlink>
        </w:p>
        <w:p w14:paraId="04C6A890" w14:textId="352538D7"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55" w:history="1">
            <w:r w:rsidRPr="00DC1719">
              <w:rPr>
                <w:rStyle w:val="Hyperlink"/>
                <w:noProof/>
              </w:rPr>
              <w:t>2.1. Overview of the application process</w:t>
            </w:r>
            <w:r>
              <w:rPr>
                <w:noProof/>
                <w:webHidden/>
              </w:rPr>
              <w:tab/>
            </w:r>
            <w:r>
              <w:rPr>
                <w:noProof/>
                <w:webHidden/>
              </w:rPr>
              <w:fldChar w:fldCharType="begin"/>
            </w:r>
            <w:r>
              <w:rPr>
                <w:noProof/>
                <w:webHidden/>
              </w:rPr>
              <w:instrText xml:space="preserve"> PAGEREF _Toc242885355 \h </w:instrText>
            </w:r>
            <w:r>
              <w:rPr>
                <w:noProof/>
                <w:webHidden/>
              </w:rPr>
            </w:r>
            <w:r>
              <w:rPr>
                <w:noProof/>
                <w:webHidden/>
              </w:rPr>
              <w:fldChar w:fldCharType="separate"/>
            </w:r>
            <w:r>
              <w:rPr>
                <w:noProof/>
                <w:webHidden/>
              </w:rPr>
              <w:t>6</w:t>
            </w:r>
            <w:r>
              <w:rPr>
                <w:noProof/>
                <w:webHidden/>
              </w:rPr>
              <w:fldChar w:fldCharType="end"/>
            </w:r>
          </w:hyperlink>
        </w:p>
        <w:p w14:paraId="543D5E2C" w14:textId="23884A0D"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56" w:history="1">
            <w:r w:rsidRPr="00DC1719">
              <w:rPr>
                <w:rStyle w:val="Hyperlink"/>
                <w:noProof/>
              </w:rPr>
              <w:t>2.2. CCA register (MyCCA)</w:t>
            </w:r>
            <w:r>
              <w:rPr>
                <w:noProof/>
                <w:webHidden/>
              </w:rPr>
              <w:tab/>
            </w:r>
            <w:r>
              <w:rPr>
                <w:noProof/>
                <w:webHidden/>
              </w:rPr>
              <w:fldChar w:fldCharType="begin"/>
            </w:r>
            <w:r>
              <w:rPr>
                <w:noProof/>
                <w:webHidden/>
              </w:rPr>
              <w:instrText xml:space="preserve"> PAGEREF _Toc242885356 \h </w:instrText>
            </w:r>
            <w:r>
              <w:rPr>
                <w:noProof/>
                <w:webHidden/>
              </w:rPr>
            </w:r>
            <w:r>
              <w:rPr>
                <w:noProof/>
                <w:webHidden/>
              </w:rPr>
              <w:fldChar w:fldCharType="separate"/>
            </w:r>
            <w:r>
              <w:rPr>
                <w:noProof/>
                <w:webHidden/>
              </w:rPr>
              <w:t>7</w:t>
            </w:r>
            <w:r>
              <w:rPr>
                <w:noProof/>
                <w:webHidden/>
              </w:rPr>
              <w:fldChar w:fldCharType="end"/>
            </w:r>
          </w:hyperlink>
        </w:p>
        <w:p w14:paraId="5152B139" w14:textId="591042C8"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57" w:history="1">
            <w:r w:rsidRPr="00DC1719">
              <w:rPr>
                <w:rStyle w:val="Hyperlink"/>
                <w:noProof/>
              </w:rPr>
              <w:t>2.3. Key roles</w:t>
            </w:r>
            <w:r>
              <w:rPr>
                <w:noProof/>
                <w:webHidden/>
              </w:rPr>
              <w:tab/>
            </w:r>
            <w:r>
              <w:rPr>
                <w:noProof/>
                <w:webHidden/>
              </w:rPr>
              <w:fldChar w:fldCharType="begin"/>
            </w:r>
            <w:r>
              <w:rPr>
                <w:noProof/>
                <w:webHidden/>
              </w:rPr>
              <w:instrText xml:space="preserve"> PAGEREF _Toc242885357 \h </w:instrText>
            </w:r>
            <w:r>
              <w:rPr>
                <w:noProof/>
                <w:webHidden/>
              </w:rPr>
            </w:r>
            <w:r>
              <w:rPr>
                <w:noProof/>
                <w:webHidden/>
              </w:rPr>
              <w:fldChar w:fldCharType="separate"/>
            </w:r>
            <w:r>
              <w:rPr>
                <w:noProof/>
                <w:webHidden/>
              </w:rPr>
              <w:t>7</w:t>
            </w:r>
            <w:r>
              <w:rPr>
                <w:noProof/>
                <w:webHidden/>
              </w:rPr>
              <w:fldChar w:fldCharType="end"/>
            </w:r>
          </w:hyperlink>
        </w:p>
        <w:p w14:paraId="6C65BF7B" w14:textId="02942796"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58" w:history="1">
            <w:r w:rsidRPr="00DC1719">
              <w:rPr>
                <w:rStyle w:val="Hyperlink"/>
                <w:noProof/>
              </w:rPr>
              <w:t>2.4. Processes and products which are eligible for a Climate Change Agreement</w:t>
            </w:r>
            <w:r>
              <w:rPr>
                <w:noProof/>
                <w:webHidden/>
              </w:rPr>
              <w:tab/>
            </w:r>
            <w:r>
              <w:rPr>
                <w:noProof/>
                <w:webHidden/>
              </w:rPr>
              <w:fldChar w:fldCharType="begin"/>
            </w:r>
            <w:r>
              <w:rPr>
                <w:noProof/>
                <w:webHidden/>
              </w:rPr>
              <w:instrText xml:space="preserve"> PAGEREF _Toc242885358 \h </w:instrText>
            </w:r>
            <w:r>
              <w:rPr>
                <w:noProof/>
                <w:webHidden/>
              </w:rPr>
            </w:r>
            <w:r>
              <w:rPr>
                <w:noProof/>
                <w:webHidden/>
              </w:rPr>
              <w:fldChar w:fldCharType="separate"/>
            </w:r>
            <w:r>
              <w:rPr>
                <w:noProof/>
                <w:webHidden/>
              </w:rPr>
              <w:t>9</w:t>
            </w:r>
            <w:r>
              <w:rPr>
                <w:noProof/>
                <w:webHidden/>
              </w:rPr>
              <w:fldChar w:fldCharType="end"/>
            </w:r>
          </w:hyperlink>
        </w:p>
        <w:p w14:paraId="166FC17B" w14:textId="30C1E863" w:rsidR="004B052B" w:rsidRDefault="004B052B">
          <w:pPr>
            <w:pStyle w:val="TOC1"/>
            <w:tabs>
              <w:tab w:val="right" w:leader="dot" w:pos="9629"/>
            </w:tabs>
            <w:rPr>
              <w:rFonts w:asciiTheme="minorHAnsi" w:eastAsiaTheme="minorEastAsia" w:hAnsiTheme="minorHAnsi" w:cstheme="minorBidi"/>
              <w:b w:val="0"/>
              <w:noProof/>
              <w:color w:val="auto"/>
              <w:kern w:val="2"/>
              <w:sz w:val="24"/>
              <w:szCs w:val="24"/>
              <w14:ligatures w14:val="standardContextual"/>
            </w:rPr>
          </w:pPr>
          <w:hyperlink w:anchor="_Toc242885359" w:history="1">
            <w:r w:rsidRPr="00DC1719">
              <w:rPr>
                <w:rStyle w:val="Hyperlink"/>
                <w:noProof/>
              </w:rPr>
              <w:t>3. Eligible energy in the CCA scheme</w:t>
            </w:r>
            <w:r>
              <w:rPr>
                <w:noProof/>
                <w:webHidden/>
              </w:rPr>
              <w:tab/>
            </w:r>
            <w:r>
              <w:rPr>
                <w:noProof/>
                <w:webHidden/>
              </w:rPr>
              <w:fldChar w:fldCharType="begin"/>
            </w:r>
            <w:r>
              <w:rPr>
                <w:noProof/>
                <w:webHidden/>
              </w:rPr>
              <w:instrText xml:space="preserve"> PAGEREF _Toc242885359 \h </w:instrText>
            </w:r>
            <w:r>
              <w:rPr>
                <w:noProof/>
                <w:webHidden/>
              </w:rPr>
            </w:r>
            <w:r>
              <w:rPr>
                <w:noProof/>
                <w:webHidden/>
              </w:rPr>
              <w:fldChar w:fldCharType="separate"/>
            </w:r>
            <w:r>
              <w:rPr>
                <w:noProof/>
                <w:webHidden/>
              </w:rPr>
              <w:t>11</w:t>
            </w:r>
            <w:r>
              <w:rPr>
                <w:noProof/>
                <w:webHidden/>
              </w:rPr>
              <w:fldChar w:fldCharType="end"/>
            </w:r>
          </w:hyperlink>
        </w:p>
        <w:p w14:paraId="585E3F75" w14:textId="1981669D"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60" w:history="1">
            <w:r w:rsidRPr="00DC1719">
              <w:rPr>
                <w:rStyle w:val="Hyperlink"/>
                <w:noProof/>
              </w:rPr>
              <w:t>3.1. How to account for energy use</w:t>
            </w:r>
            <w:r>
              <w:rPr>
                <w:noProof/>
                <w:webHidden/>
              </w:rPr>
              <w:tab/>
            </w:r>
            <w:r>
              <w:rPr>
                <w:noProof/>
                <w:webHidden/>
              </w:rPr>
              <w:fldChar w:fldCharType="begin"/>
            </w:r>
            <w:r>
              <w:rPr>
                <w:noProof/>
                <w:webHidden/>
              </w:rPr>
              <w:instrText xml:space="preserve"> PAGEREF _Toc242885360 \h </w:instrText>
            </w:r>
            <w:r>
              <w:rPr>
                <w:noProof/>
                <w:webHidden/>
              </w:rPr>
            </w:r>
            <w:r>
              <w:rPr>
                <w:noProof/>
                <w:webHidden/>
              </w:rPr>
              <w:fldChar w:fldCharType="separate"/>
            </w:r>
            <w:r>
              <w:rPr>
                <w:noProof/>
                <w:webHidden/>
              </w:rPr>
              <w:t>11</w:t>
            </w:r>
            <w:r>
              <w:rPr>
                <w:noProof/>
                <w:webHidden/>
              </w:rPr>
              <w:fldChar w:fldCharType="end"/>
            </w:r>
          </w:hyperlink>
        </w:p>
        <w:p w14:paraId="32B5590D" w14:textId="0171E3D4"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61" w:history="1">
            <w:r w:rsidRPr="00DC1719">
              <w:rPr>
                <w:rStyle w:val="Hyperlink"/>
                <w:noProof/>
              </w:rPr>
              <w:t>3.2. What energy can't be counted in CCAs</w:t>
            </w:r>
            <w:r>
              <w:rPr>
                <w:noProof/>
                <w:webHidden/>
              </w:rPr>
              <w:tab/>
            </w:r>
            <w:r>
              <w:rPr>
                <w:noProof/>
                <w:webHidden/>
              </w:rPr>
              <w:fldChar w:fldCharType="begin"/>
            </w:r>
            <w:r>
              <w:rPr>
                <w:noProof/>
                <w:webHidden/>
              </w:rPr>
              <w:instrText xml:space="preserve"> PAGEREF _Toc242885361 \h </w:instrText>
            </w:r>
            <w:r>
              <w:rPr>
                <w:noProof/>
                <w:webHidden/>
              </w:rPr>
            </w:r>
            <w:r>
              <w:rPr>
                <w:noProof/>
                <w:webHidden/>
              </w:rPr>
              <w:fldChar w:fldCharType="separate"/>
            </w:r>
            <w:r>
              <w:rPr>
                <w:noProof/>
                <w:webHidden/>
              </w:rPr>
              <w:t>17</w:t>
            </w:r>
            <w:r>
              <w:rPr>
                <w:noProof/>
                <w:webHidden/>
              </w:rPr>
              <w:fldChar w:fldCharType="end"/>
            </w:r>
          </w:hyperlink>
        </w:p>
        <w:p w14:paraId="722610A0" w14:textId="29E401D2"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62" w:history="1">
            <w:r w:rsidRPr="00DC1719">
              <w:rPr>
                <w:rStyle w:val="Hyperlink"/>
                <w:noProof/>
              </w:rPr>
              <w:t>3.3. Defining and calculating the energy consumption of the eligible facility and target facility on a site</w:t>
            </w:r>
            <w:r>
              <w:rPr>
                <w:noProof/>
                <w:webHidden/>
              </w:rPr>
              <w:tab/>
            </w:r>
            <w:r>
              <w:rPr>
                <w:noProof/>
                <w:webHidden/>
              </w:rPr>
              <w:fldChar w:fldCharType="begin"/>
            </w:r>
            <w:r>
              <w:rPr>
                <w:noProof/>
                <w:webHidden/>
              </w:rPr>
              <w:instrText xml:space="preserve"> PAGEREF _Toc242885362 \h </w:instrText>
            </w:r>
            <w:r>
              <w:rPr>
                <w:noProof/>
                <w:webHidden/>
              </w:rPr>
            </w:r>
            <w:r>
              <w:rPr>
                <w:noProof/>
                <w:webHidden/>
              </w:rPr>
              <w:fldChar w:fldCharType="separate"/>
            </w:r>
            <w:r>
              <w:rPr>
                <w:noProof/>
                <w:webHidden/>
              </w:rPr>
              <w:t>18</w:t>
            </w:r>
            <w:r>
              <w:rPr>
                <w:noProof/>
                <w:webHidden/>
              </w:rPr>
              <w:fldChar w:fldCharType="end"/>
            </w:r>
          </w:hyperlink>
        </w:p>
        <w:p w14:paraId="3958C036" w14:textId="041C8D8E"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63" w:history="1">
            <w:r w:rsidRPr="00DC1719">
              <w:rPr>
                <w:rStyle w:val="Hyperlink"/>
                <w:noProof/>
              </w:rPr>
              <w:t>3.4. How to manage energy recording and reporting when a meter fails</w:t>
            </w:r>
            <w:r>
              <w:rPr>
                <w:noProof/>
                <w:webHidden/>
              </w:rPr>
              <w:tab/>
            </w:r>
            <w:r>
              <w:rPr>
                <w:noProof/>
                <w:webHidden/>
              </w:rPr>
              <w:fldChar w:fldCharType="begin"/>
            </w:r>
            <w:r>
              <w:rPr>
                <w:noProof/>
                <w:webHidden/>
              </w:rPr>
              <w:instrText xml:space="preserve"> PAGEREF _Toc242885363 \h </w:instrText>
            </w:r>
            <w:r>
              <w:rPr>
                <w:noProof/>
                <w:webHidden/>
              </w:rPr>
            </w:r>
            <w:r>
              <w:rPr>
                <w:noProof/>
                <w:webHidden/>
              </w:rPr>
              <w:fldChar w:fldCharType="separate"/>
            </w:r>
            <w:r>
              <w:rPr>
                <w:noProof/>
                <w:webHidden/>
              </w:rPr>
              <w:t>26</w:t>
            </w:r>
            <w:r>
              <w:rPr>
                <w:noProof/>
                <w:webHidden/>
              </w:rPr>
              <w:fldChar w:fldCharType="end"/>
            </w:r>
          </w:hyperlink>
        </w:p>
        <w:p w14:paraId="1CD2BBA6" w14:textId="032FFB5C" w:rsidR="004B052B" w:rsidRDefault="004B052B">
          <w:pPr>
            <w:pStyle w:val="TOC1"/>
            <w:tabs>
              <w:tab w:val="right" w:leader="dot" w:pos="9629"/>
            </w:tabs>
            <w:rPr>
              <w:rFonts w:asciiTheme="minorHAnsi" w:eastAsiaTheme="minorEastAsia" w:hAnsiTheme="minorHAnsi" w:cstheme="minorBidi"/>
              <w:b w:val="0"/>
              <w:noProof/>
              <w:color w:val="auto"/>
              <w:kern w:val="2"/>
              <w:sz w:val="24"/>
              <w:szCs w:val="24"/>
              <w14:ligatures w14:val="standardContextual"/>
            </w:rPr>
          </w:pPr>
          <w:hyperlink w:anchor="_Toc242885364" w:history="1">
            <w:r w:rsidRPr="00DC1719">
              <w:rPr>
                <w:rStyle w:val="Hyperlink"/>
                <w:noProof/>
              </w:rPr>
              <w:t>4. Setting up an agreement</w:t>
            </w:r>
            <w:r>
              <w:rPr>
                <w:noProof/>
                <w:webHidden/>
              </w:rPr>
              <w:tab/>
            </w:r>
            <w:r>
              <w:rPr>
                <w:noProof/>
                <w:webHidden/>
              </w:rPr>
              <w:fldChar w:fldCharType="begin"/>
            </w:r>
            <w:r>
              <w:rPr>
                <w:noProof/>
                <w:webHidden/>
              </w:rPr>
              <w:instrText xml:space="preserve"> PAGEREF _Toc242885364 \h </w:instrText>
            </w:r>
            <w:r>
              <w:rPr>
                <w:noProof/>
                <w:webHidden/>
              </w:rPr>
            </w:r>
            <w:r>
              <w:rPr>
                <w:noProof/>
                <w:webHidden/>
              </w:rPr>
              <w:fldChar w:fldCharType="separate"/>
            </w:r>
            <w:r>
              <w:rPr>
                <w:noProof/>
                <w:webHidden/>
              </w:rPr>
              <w:t>26</w:t>
            </w:r>
            <w:r>
              <w:rPr>
                <w:noProof/>
                <w:webHidden/>
              </w:rPr>
              <w:fldChar w:fldCharType="end"/>
            </w:r>
          </w:hyperlink>
        </w:p>
        <w:p w14:paraId="5B759596" w14:textId="1382101F"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65" w:history="1">
            <w:r w:rsidRPr="00DC1719">
              <w:rPr>
                <w:rStyle w:val="Hyperlink"/>
                <w:noProof/>
              </w:rPr>
              <w:t>4.1. Target and certification periods</w:t>
            </w:r>
            <w:r>
              <w:rPr>
                <w:noProof/>
                <w:webHidden/>
              </w:rPr>
              <w:tab/>
            </w:r>
            <w:r>
              <w:rPr>
                <w:noProof/>
                <w:webHidden/>
              </w:rPr>
              <w:fldChar w:fldCharType="begin"/>
            </w:r>
            <w:r>
              <w:rPr>
                <w:noProof/>
                <w:webHidden/>
              </w:rPr>
              <w:instrText xml:space="preserve"> PAGEREF _Toc242885365 \h </w:instrText>
            </w:r>
            <w:r>
              <w:rPr>
                <w:noProof/>
                <w:webHidden/>
              </w:rPr>
            </w:r>
            <w:r>
              <w:rPr>
                <w:noProof/>
                <w:webHidden/>
              </w:rPr>
              <w:fldChar w:fldCharType="separate"/>
            </w:r>
            <w:r>
              <w:rPr>
                <w:noProof/>
                <w:webHidden/>
              </w:rPr>
              <w:t>26</w:t>
            </w:r>
            <w:r>
              <w:rPr>
                <w:noProof/>
                <w:webHidden/>
              </w:rPr>
              <w:fldChar w:fldCharType="end"/>
            </w:r>
          </w:hyperlink>
        </w:p>
        <w:p w14:paraId="48F883DE" w14:textId="4B43A305"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66" w:history="1">
            <w:r w:rsidRPr="00DC1719">
              <w:rPr>
                <w:rStyle w:val="Hyperlink"/>
                <w:noProof/>
              </w:rPr>
              <w:t>4.2. Sector commitments and facility targets</w:t>
            </w:r>
            <w:r>
              <w:rPr>
                <w:noProof/>
                <w:webHidden/>
              </w:rPr>
              <w:tab/>
            </w:r>
            <w:r>
              <w:rPr>
                <w:noProof/>
                <w:webHidden/>
              </w:rPr>
              <w:fldChar w:fldCharType="begin"/>
            </w:r>
            <w:r>
              <w:rPr>
                <w:noProof/>
                <w:webHidden/>
              </w:rPr>
              <w:instrText xml:space="preserve"> PAGEREF _Toc242885366 \h </w:instrText>
            </w:r>
            <w:r>
              <w:rPr>
                <w:noProof/>
                <w:webHidden/>
              </w:rPr>
            </w:r>
            <w:r>
              <w:rPr>
                <w:noProof/>
                <w:webHidden/>
              </w:rPr>
              <w:fldChar w:fldCharType="separate"/>
            </w:r>
            <w:r>
              <w:rPr>
                <w:noProof/>
                <w:webHidden/>
              </w:rPr>
              <w:t>27</w:t>
            </w:r>
            <w:r>
              <w:rPr>
                <w:noProof/>
                <w:webHidden/>
              </w:rPr>
              <w:fldChar w:fldCharType="end"/>
            </w:r>
          </w:hyperlink>
        </w:p>
        <w:p w14:paraId="00E7B677" w14:textId="19B9FDA2"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67" w:history="1">
            <w:r w:rsidRPr="00DC1719">
              <w:rPr>
                <w:rStyle w:val="Hyperlink"/>
                <w:noProof/>
              </w:rPr>
              <w:t>4.3. Brownfield and greenfield facilities</w:t>
            </w:r>
            <w:r>
              <w:rPr>
                <w:noProof/>
                <w:webHidden/>
              </w:rPr>
              <w:tab/>
            </w:r>
            <w:r>
              <w:rPr>
                <w:noProof/>
                <w:webHidden/>
              </w:rPr>
              <w:fldChar w:fldCharType="begin"/>
            </w:r>
            <w:r>
              <w:rPr>
                <w:noProof/>
                <w:webHidden/>
              </w:rPr>
              <w:instrText xml:space="preserve"> PAGEREF _Toc242885367 \h </w:instrText>
            </w:r>
            <w:r>
              <w:rPr>
                <w:noProof/>
                <w:webHidden/>
              </w:rPr>
            </w:r>
            <w:r>
              <w:rPr>
                <w:noProof/>
                <w:webHidden/>
              </w:rPr>
              <w:fldChar w:fldCharType="separate"/>
            </w:r>
            <w:r>
              <w:rPr>
                <w:noProof/>
                <w:webHidden/>
              </w:rPr>
              <w:t>29</w:t>
            </w:r>
            <w:r>
              <w:rPr>
                <w:noProof/>
                <w:webHidden/>
              </w:rPr>
              <w:fldChar w:fldCharType="end"/>
            </w:r>
          </w:hyperlink>
        </w:p>
        <w:p w14:paraId="544FAC66" w14:textId="3F20A963"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68" w:history="1">
            <w:r w:rsidRPr="00DC1719">
              <w:rPr>
                <w:rStyle w:val="Hyperlink"/>
                <w:noProof/>
              </w:rPr>
              <w:t>4.4. Target setting for new entrants</w:t>
            </w:r>
            <w:r>
              <w:rPr>
                <w:noProof/>
                <w:webHidden/>
              </w:rPr>
              <w:tab/>
            </w:r>
            <w:r>
              <w:rPr>
                <w:noProof/>
                <w:webHidden/>
              </w:rPr>
              <w:fldChar w:fldCharType="begin"/>
            </w:r>
            <w:r>
              <w:rPr>
                <w:noProof/>
                <w:webHidden/>
              </w:rPr>
              <w:instrText xml:space="preserve"> PAGEREF _Toc242885368 \h </w:instrText>
            </w:r>
            <w:r>
              <w:rPr>
                <w:noProof/>
                <w:webHidden/>
              </w:rPr>
            </w:r>
            <w:r>
              <w:rPr>
                <w:noProof/>
                <w:webHidden/>
              </w:rPr>
              <w:fldChar w:fldCharType="separate"/>
            </w:r>
            <w:r>
              <w:rPr>
                <w:noProof/>
                <w:webHidden/>
              </w:rPr>
              <w:t>31</w:t>
            </w:r>
            <w:r>
              <w:rPr>
                <w:noProof/>
                <w:webHidden/>
              </w:rPr>
              <w:fldChar w:fldCharType="end"/>
            </w:r>
          </w:hyperlink>
        </w:p>
        <w:p w14:paraId="0F95B59A" w14:textId="5658A097"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69" w:history="1">
            <w:r w:rsidRPr="00DC1719">
              <w:rPr>
                <w:rStyle w:val="Hyperlink"/>
                <w:noProof/>
              </w:rPr>
              <w:t>4.5. Including or excluding a Facility from an agreement</w:t>
            </w:r>
            <w:r>
              <w:rPr>
                <w:noProof/>
                <w:webHidden/>
              </w:rPr>
              <w:tab/>
            </w:r>
            <w:r>
              <w:rPr>
                <w:noProof/>
                <w:webHidden/>
              </w:rPr>
              <w:fldChar w:fldCharType="begin"/>
            </w:r>
            <w:r>
              <w:rPr>
                <w:noProof/>
                <w:webHidden/>
              </w:rPr>
              <w:instrText xml:space="preserve"> PAGEREF _Toc242885369 \h </w:instrText>
            </w:r>
            <w:r>
              <w:rPr>
                <w:noProof/>
                <w:webHidden/>
              </w:rPr>
            </w:r>
            <w:r>
              <w:rPr>
                <w:noProof/>
                <w:webHidden/>
              </w:rPr>
              <w:fldChar w:fldCharType="separate"/>
            </w:r>
            <w:r>
              <w:rPr>
                <w:noProof/>
                <w:webHidden/>
              </w:rPr>
              <w:t>33</w:t>
            </w:r>
            <w:r>
              <w:rPr>
                <w:noProof/>
                <w:webHidden/>
              </w:rPr>
              <w:fldChar w:fldCharType="end"/>
            </w:r>
          </w:hyperlink>
        </w:p>
        <w:p w14:paraId="7D648D23" w14:textId="576BD2D9" w:rsidR="004B052B" w:rsidRDefault="004B052B">
          <w:pPr>
            <w:pStyle w:val="TOC1"/>
            <w:tabs>
              <w:tab w:val="right" w:leader="dot" w:pos="9629"/>
            </w:tabs>
            <w:rPr>
              <w:rFonts w:asciiTheme="minorHAnsi" w:eastAsiaTheme="minorEastAsia" w:hAnsiTheme="minorHAnsi" w:cstheme="minorBidi"/>
              <w:b w:val="0"/>
              <w:noProof/>
              <w:color w:val="auto"/>
              <w:kern w:val="2"/>
              <w:sz w:val="24"/>
              <w:szCs w:val="24"/>
              <w14:ligatures w14:val="standardContextual"/>
            </w:rPr>
          </w:pPr>
          <w:hyperlink w:anchor="_Toc242885370" w:history="1">
            <w:r w:rsidRPr="00DC1719">
              <w:rPr>
                <w:rStyle w:val="Hyperlink"/>
                <w:noProof/>
              </w:rPr>
              <w:t>5. Annual charges and billing</w:t>
            </w:r>
            <w:r>
              <w:rPr>
                <w:noProof/>
                <w:webHidden/>
              </w:rPr>
              <w:tab/>
            </w:r>
            <w:r>
              <w:rPr>
                <w:noProof/>
                <w:webHidden/>
              </w:rPr>
              <w:fldChar w:fldCharType="begin"/>
            </w:r>
            <w:r>
              <w:rPr>
                <w:noProof/>
                <w:webHidden/>
              </w:rPr>
              <w:instrText xml:space="preserve"> PAGEREF _Toc242885370 \h </w:instrText>
            </w:r>
            <w:r>
              <w:rPr>
                <w:noProof/>
                <w:webHidden/>
              </w:rPr>
            </w:r>
            <w:r>
              <w:rPr>
                <w:noProof/>
                <w:webHidden/>
              </w:rPr>
              <w:fldChar w:fldCharType="separate"/>
            </w:r>
            <w:r>
              <w:rPr>
                <w:noProof/>
                <w:webHidden/>
              </w:rPr>
              <w:t>35</w:t>
            </w:r>
            <w:r>
              <w:rPr>
                <w:noProof/>
                <w:webHidden/>
              </w:rPr>
              <w:fldChar w:fldCharType="end"/>
            </w:r>
          </w:hyperlink>
        </w:p>
        <w:p w14:paraId="158780C3" w14:textId="2521BF4F"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71" w:history="1">
            <w:r w:rsidRPr="00DC1719">
              <w:rPr>
                <w:rStyle w:val="Hyperlink"/>
                <w:noProof/>
              </w:rPr>
              <w:t>5.1. Annual charges for holding a CCA</w:t>
            </w:r>
            <w:r>
              <w:rPr>
                <w:noProof/>
                <w:webHidden/>
              </w:rPr>
              <w:tab/>
            </w:r>
            <w:r>
              <w:rPr>
                <w:noProof/>
                <w:webHidden/>
              </w:rPr>
              <w:fldChar w:fldCharType="begin"/>
            </w:r>
            <w:r>
              <w:rPr>
                <w:noProof/>
                <w:webHidden/>
              </w:rPr>
              <w:instrText xml:space="preserve"> PAGEREF _Toc242885371 \h </w:instrText>
            </w:r>
            <w:r>
              <w:rPr>
                <w:noProof/>
                <w:webHidden/>
              </w:rPr>
            </w:r>
            <w:r>
              <w:rPr>
                <w:noProof/>
                <w:webHidden/>
              </w:rPr>
              <w:fldChar w:fldCharType="separate"/>
            </w:r>
            <w:r>
              <w:rPr>
                <w:noProof/>
                <w:webHidden/>
              </w:rPr>
              <w:t>35</w:t>
            </w:r>
            <w:r>
              <w:rPr>
                <w:noProof/>
                <w:webHidden/>
              </w:rPr>
              <w:fldChar w:fldCharType="end"/>
            </w:r>
          </w:hyperlink>
        </w:p>
        <w:p w14:paraId="0A6374DC" w14:textId="2E067A77"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72" w:history="1">
            <w:r w:rsidRPr="00DC1719">
              <w:rPr>
                <w:rStyle w:val="Hyperlink"/>
                <w:noProof/>
              </w:rPr>
              <w:t>5.2. Collection of charges by sector associations</w:t>
            </w:r>
            <w:r>
              <w:rPr>
                <w:noProof/>
                <w:webHidden/>
              </w:rPr>
              <w:tab/>
            </w:r>
            <w:r>
              <w:rPr>
                <w:noProof/>
                <w:webHidden/>
              </w:rPr>
              <w:fldChar w:fldCharType="begin"/>
            </w:r>
            <w:r>
              <w:rPr>
                <w:noProof/>
                <w:webHidden/>
              </w:rPr>
              <w:instrText xml:space="preserve"> PAGEREF _Toc242885372 \h </w:instrText>
            </w:r>
            <w:r>
              <w:rPr>
                <w:noProof/>
                <w:webHidden/>
              </w:rPr>
            </w:r>
            <w:r>
              <w:rPr>
                <w:noProof/>
                <w:webHidden/>
              </w:rPr>
              <w:fldChar w:fldCharType="separate"/>
            </w:r>
            <w:r>
              <w:rPr>
                <w:noProof/>
                <w:webHidden/>
              </w:rPr>
              <w:t>36</w:t>
            </w:r>
            <w:r>
              <w:rPr>
                <w:noProof/>
                <w:webHidden/>
              </w:rPr>
              <w:fldChar w:fldCharType="end"/>
            </w:r>
          </w:hyperlink>
        </w:p>
        <w:p w14:paraId="2486E25B" w14:textId="7068CE79"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73" w:history="1">
            <w:r w:rsidRPr="00DC1719">
              <w:rPr>
                <w:rStyle w:val="Hyperlink"/>
                <w:noProof/>
              </w:rPr>
              <w:t>5.3. What action will we take if charges are not paid?</w:t>
            </w:r>
            <w:r>
              <w:rPr>
                <w:noProof/>
                <w:webHidden/>
              </w:rPr>
              <w:tab/>
            </w:r>
            <w:r>
              <w:rPr>
                <w:noProof/>
                <w:webHidden/>
              </w:rPr>
              <w:fldChar w:fldCharType="begin"/>
            </w:r>
            <w:r>
              <w:rPr>
                <w:noProof/>
                <w:webHidden/>
              </w:rPr>
              <w:instrText xml:space="preserve"> PAGEREF _Toc242885373 \h </w:instrText>
            </w:r>
            <w:r>
              <w:rPr>
                <w:noProof/>
                <w:webHidden/>
              </w:rPr>
            </w:r>
            <w:r>
              <w:rPr>
                <w:noProof/>
                <w:webHidden/>
              </w:rPr>
              <w:fldChar w:fldCharType="separate"/>
            </w:r>
            <w:r>
              <w:rPr>
                <w:noProof/>
                <w:webHidden/>
              </w:rPr>
              <w:t>37</w:t>
            </w:r>
            <w:r>
              <w:rPr>
                <w:noProof/>
                <w:webHidden/>
              </w:rPr>
              <w:fldChar w:fldCharType="end"/>
            </w:r>
          </w:hyperlink>
        </w:p>
        <w:p w14:paraId="65A68D01" w14:textId="666CAA0E" w:rsidR="004B052B" w:rsidRDefault="004B052B">
          <w:pPr>
            <w:pStyle w:val="TOC1"/>
            <w:tabs>
              <w:tab w:val="right" w:leader="dot" w:pos="9629"/>
            </w:tabs>
            <w:rPr>
              <w:rFonts w:asciiTheme="minorHAnsi" w:eastAsiaTheme="minorEastAsia" w:hAnsiTheme="minorHAnsi" w:cstheme="minorBidi"/>
              <w:b w:val="0"/>
              <w:noProof/>
              <w:color w:val="auto"/>
              <w:kern w:val="2"/>
              <w:sz w:val="24"/>
              <w:szCs w:val="24"/>
              <w14:ligatures w14:val="standardContextual"/>
            </w:rPr>
          </w:pPr>
          <w:hyperlink w:anchor="_Toc242885374" w:history="1">
            <w:r w:rsidRPr="00DC1719">
              <w:rPr>
                <w:rStyle w:val="Hyperlink"/>
                <w:noProof/>
              </w:rPr>
              <w:t>6. Application process</w:t>
            </w:r>
            <w:r>
              <w:rPr>
                <w:noProof/>
                <w:webHidden/>
              </w:rPr>
              <w:tab/>
            </w:r>
            <w:r>
              <w:rPr>
                <w:noProof/>
                <w:webHidden/>
              </w:rPr>
              <w:fldChar w:fldCharType="begin"/>
            </w:r>
            <w:r>
              <w:rPr>
                <w:noProof/>
                <w:webHidden/>
              </w:rPr>
              <w:instrText xml:space="preserve"> PAGEREF _Toc242885374 \h </w:instrText>
            </w:r>
            <w:r>
              <w:rPr>
                <w:noProof/>
                <w:webHidden/>
              </w:rPr>
            </w:r>
            <w:r>
              <w:rPr>
                <w:noProof/>
                <w:webHidden/>
              </w:rPr>
              <w:fldChar w:fldCharType="separate"/>
            </w:r>
            <w:r>
              <w:rPr>
                <w:noProof/>
                <w:webHidden/>
              </w:rPr>
              <w:t>38</w:t>
            </w:r>
            <w:r>
              <w:rPr>
                <w:noProof/>
                <w:webHidden/>
              </w:rPr>
              <w:fldChar w:fldCharType="end"/>
            </w:r>
          </w:hyperlink>
        </w:p>
        <w:p w14:paraId="417C584C" w14:textId="27CCFB2D"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75" w:history="1">
            <w:r w:rsidRPr="00DC1719">
              <w:rPr>
                <w:rStyle w:val="Hyperlink"/>
                <w:noProof/>
              </w:rPr>
              <w:t>6.1. What should operators do next?</w:t>
            </w:r>
            <w:r>
              <w:rPr>
                <w:noProof/>
                <w:webHidden/>
              </w:rPr>
              <w:tab/>
            </w:r>
            <w:r>
              <w:rPr>
                <w:noProof/>
                <w:webHidden/>
              </w:rPr>
              <w:fldChar w:fldCharType="begin"/>
            </w:r>
            <w:r>
              <w:rPr>
                <w:noProof/>
                <w:webHidden/>
              </w:rPr>
              <w:instrText xml:space="preserve"> PAGEREF _Toc242885375 \h </w:instrText>
            </w:r>
            <w:r>
              <w:rPr>
                <w:noProof/>
                <w:webHidden/>
              </w:rPr>
            </w:r>
            <w:r>
              <w:rPr>
                <w:noProof/>
                <w:webHidden/>
              </w:rPr>
              <w:fldChar w:fldCharType="separate"/>
            </w:r>
            <w:r>
              <w:rPr>
                <w:noProof/>
                <w:webHidden/>
              </w:rPr>
              <w:t>38</w:t>
            </w:r>
            <w:r>
              <w:rPr>
                <w:noProof/>
                <w:webHidden/>
              </w:rPr>
              <w:fldChar w:fldCharType="end"/>
            </w:r>
          </w:hyperlink>
        </w:p>
        <w:p w14:paraId="5A543BE4" w14:textId="34024E1C"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76" w:history="1">
            <w:r w:rsidRPr="00DC1719">
              <w:rPr>
                <w:rStyle w:val="Hyperlink"/>
                <w:noProof/>
              </w:rPr>
              <w:t>6.2. Email assent</w:t>
            </w:r>
            <w:r>
              <w:rPr>
                <w:noProof/>
                <w:webHidden/>
              </w:rPr>
              <w:tab/>
            </w:r>
            <w:r>
              <w:rPr>
                <w:noProof/>
                <w:webHidden/>
              </w:rPr>
              <w:fldChar w:fldCharType="begin"/>
            </w:r>
            <w:r>
              <w:rPr>
                <w:noProof/>
                <w:webHidden/>
              </w:rPr>
              <w:instrText xml:space="preserve"> PAGEREF _Toc242885376 \h </w:instrText>
            </w:r>
            <w:r>
              <w:rPr>
                <w:noProof/>
                <w:webHidden/>
              </w:rPr>
            </w:r>
            <w:r>
              <w:rPr>
                <w:noProof/>
                <w:webHidden/>
              </w:rPr>
              <w:fldChar w:fldCharType="separate"/>
            </w:r>
            <w:r>
              <w:rPr>
                <w:noProof/>
                <w:webHidden/>
              </w:rPr>
              <w:t>41</w:t>
            </w:r>
            <w:r>
              <w:rPr>
                <w:noProof/>
                <w:webHidden/>
              </w:rPr>
              <w:fldChar w:fldCharType="end"/>
            </w:r>
          </w:hyperlink>
        </w:p>
        <w:p w14:paraId="6C8A8353" w14:textId="33605F48" w:rsidR="004B052B" w:rsidRDefault="004B052B">
          <w:pPr>
            <w:pStyle w:val="TOC1"/>
            <w:tabs>
              <w:tab w:val="right" w:leader="dot" w:pos="9629"/>
            </w:tabs>
            <w:rPr>
              <w:rFonts w:asciiTheme="minorHAnsi" w:eastAsiaTheme="minorEastAsia" w:hAnsiTheme="minorHAnsi" w:cstheme="minorBidi"/>
              <w:b w:val="0"/>
              <w:noProof/>
              <w:color w:val="auto"/>
              <w:kern w:val="2"/>
              <w:sz w:val="24"/>
              <w:szCs w:val="24"/>
              <w14:ligatures w14:val="standardContextual"/>
            </w:rPr>
          </w:pPr>
          <w:hyperlink w:anchor="_Toc242885377" w:history="1">
            <w:r w:rsidRPr="00DC1719">
              <w:rPr>
                <w:rStyle w:val="Hyperlink"/>
                <w:noProof/>
              </w:rPr>
              <w:t>7. Changing an agreement</w:t>
            </w:r>
            <w:r>
              <w:rPr>
                <w:noProof/>
                <w:webHidden/>
              </w:rPr>
              <w:tab/>
            </w:r>
            <w:r>
              <w:rPr>
                <w:noProof/>
                <w:webHidden/>
              </w:rPr>
              <w:fldChar w:fldCharType="begin"/>
            </w:r>
            <w:r>
              <w:rPr>
                <w:noProof/>
                <w:webHidden/>
              </w:rPr>
              <w:instrText xml:space="preserve"> PAGEREF _Toc242885377 \h </w:instrText>
            </w:r>
            <w:r>
              <w:rPr>
                <w:noProof/>
                <w:webHidden/>
              </w:rPr>
            </w:r>
            <w:r>
              <w:rPr>
                <w:noProof/>
                <w:webHidden/>
              </w:rPr>
              <w:fldChar w:fldCharType="separate"/>
            </w:r>
            <w:r>
              <w:rPr>
                <w:noProof/>
                <w:webHidden/>
              </w:rPr>
              <w:t>42</w:t>
            </w:r>
            <w:r>
              <w:rPr>
                <w:noProof/>
                <w:webHidden/>
              </w:rPr>
              <w:fldChar w:fldCharType="end"/>
            </w:r>
          </w:hyperlink>
        </w:p>
        <w:p w14:paraId="18DCFDC4" w14:textId="4F703CD9"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78" w:history="1">
            <w:r w:rsidRPr="00DC1719">
              <w:rPr>
                <w:rStyle w:val="Hyperlink"/>
                <w:noProof/>
              </w:rPr>
              <w:t>7.1. A new operator takes over an existing facility included in another operator’s agreement</w:t>
            </w:r>
            <w:r>
              <w:rPr>
                <w:noProof/>
                <w:webHidden/>
              </w:rPr>
              <w:tab/>
            </w:r>
            <w:r>
              <w:rPr>
                <w:noProof/>
                <w:webHidden/>
              </w:rPr>
              <w:fldChar w:fldCharType="begin"/>
            </w:r>
            <w:r>
              <w:rPr>
                <w:noProof/>
                <w:webHidden/>
              </w:rPr>
              <w:instrText xml:space="preserve"> PAGEREF _Toc242885378 \h </w:instrText>
            </w:r>
            <w:r>
              <w:rPr>
                <w:noProof/>
                <w:webHidden/>
              </w:rPr>
            </w:r>
            <w:r>
              <w:rPr>
                <w:noProof/>
                <w:webHidden/>
              </w:rPr>
              <w:fldChar w:fldCharType="separate"/>
            </w:r>
            <w:r>
              <w:rPr>
                <w:noProof/>
                <w:webHidden/>
              </w:rPr>
              <w:t>43</w:t>
            </w:r>
            <w:r>
              <w:rPr>
                <w:noProof/>
                <w:webHidden/>
              </w:rPr>
              <w:fldChar w:fldCharType="end"/>
            </w:r>
          </w:hyperlink>
        </w:p>
        <w:p w14:paraId="7100105B" w14:textId="3600DA28"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79" w:history="1">
            <w:r w:rsidRPr="00DC1719">
              <w:rPr>
                <w:rStyle w:val="Hyperlink"/>
                <w:noProof/>
              </w:rPr>
              <w:t>7.2. An operator changes ownership and includes all its facilities within one agreement</w:t>
            </w:r>
            <w:r>
              <w:rPr>
                <w:noProof/>
                <w:webHidden/>
              </w:rPr>
              <w:tab/>
            </w:r>
            <w:r>
              <w:rPr>
                <w:noProof/>
                <w:webHidden/>
              </w:rPr>
              <w:fldChar w:fldCharType="begin"/>
            </w:r>
            <w:r>
              <w:rPr>
                <w:noProof/>
                <w:webHidden/>
              </w:rPr>
              <w:instrText xml:space="preserve"> PAGEREF _Toc242885379 \h </w:instrText>
            </w:r>
            <w:r>
              <w:rPr>
                <w:noProof/>
                <w:webHidden/>
              </w:rPr>
            </w:r>
            <w:r>
              <w:rPr>
                <w:noProof/>
                <w:webHidden/>
              </w:rPr>
              <w:fldChar w:fldCharType="separate"/>
            </w:r>
            <w:r>
              <w:rPr>
                <w:noProof/>
                <w:webHidden/>
              </w:rPr>
              <w:t>44</w:t>
            </w:r>
            <w:r>
              <w:rPr>
                <w:noProof/>
                <w:webHidden/>
              </w:rPr>
              <w:fldChar w:fldCharType="end"/>
            </w:r>
          </w:hyperlink>
        </w:p>
        <w:p w14:paraId="2A807031" w14:textId="6A8F70F5"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80" w:history="1">
            <w:r w:rsidRPr="00DC1719">
              <w:rPr>
                <w:rStyle w:val="Hyperlink"/>
                <w:noProof/>
              </w:rPr>
              <w:t>7.3. The company name of an operator changes</w:t>
            </w:r>
            <w:r>
              <w:rPr>
                <w:noProof/>
                <w:webHidden/>
              </w:rPr>
              <w:tab/>
            </w:r>
            <w:r>
              <w:rPr>
                <w:noProof/>
                <w:webHidden/>
              </w:rPr>
              <w:fldChar w:fldCharType="begin"/>
            </w:r>
            <w:r>
              <w:rPr>
                <w:noProof/>
                <w:webHidden/>
              </w:rPr>
              <w:instrText xml:space="preserve"> PAGEREF _Toc242885380 \h </w:instrText>
            </w:r>
            <w:r>
              <w:rPr>
                <w:noProof/>
                <w:webHidden/>
              </w:rPr>
            </w:r>
            <w:r>
              <w:rPr>
                <w:noProof/>
                <w:webHidden/>
              </w:rPr>
              <w:fldChar w:fldCharType="separate"/>
            </w:r>
            <w:r>
              <w:rPr>
                <w:noProof/>
                <w:webHidden/>
              </w:rPr>
              <w:t>44</w:t>
            </w:r>
            <w:r>
              <w:rPr>
                <w:noProof/>
                <w:webHidden/>
              </w:rPr>
              <w:fldChar w:fldCharType="end"/>
            </w:r>
          </w:hyperlink>
        </w:p>
        <w:p w14:paraId="1C5CC877" w14:textId="7B80C63C"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81" w:history="1">
            <w:r w:rsidRPr="00DC1719">
              <w:rPr>
                <w:rStyle w:val="Hyperlink"/>
                <w:noProof/>
              </w:rPr>
              <w:t>7.4. The address of the responsible person for the agreement changes</w:t>
            </w:r>
            <w:r>
              <w:rPr>
                <w:noProof/>
                <w:webHidden/>
              </w:rPr>
              <w:tab/>
            </w:r>
            <w:r>
              <w:rPr>
                <w:noProof/>
                <w:webHidden/>
              </w:rPr>
              <w:fldChar w:fldCharType="begin"/>
            </w:r>
            <w:r>
              <w:rPr>
                <w:noProof/>
                <w:webHidden/>
              </w:rPr>
              <w:instrText xml:space="preserve"> PAGEREF _Toc242885381 \h </w:instrText>
            </w:r>
            <w:r>
              <w:rPr>
                <w:noProof/>
                <w:webHidden/>
              </w:rPr>
            </w:r>
            <w:r>
              <w:rPr>
                <w:noProof/>
                <w:webHidden/>
              </w:rPr>
              <w:fldChar w:fldCharType="separate"/>
            </w:r>
            <w:r>
              <w:rPr>
                <w:noProof/>
                <w:webHidden/>
              </w:rPr>
              <w:t>45</w:t>
            </w:r>
            <w:r>
              <w:rPr>
                <w:noProof/>
                <w:webHidden/>
              </w:rPr>
              <w:fldChar w:fldCharType="end"/>
            </w:r>
          </w:hyperlink>
        </w:p>
        <w:p w14:paraId="2E834DB4" w14:textId="7B15C196"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82" w:history="1">
            <w:r w:rsidRPr="00DC1719">
              <w:rPr>
                <w:rStyle w:val="Hyperlink"/>
                <w:noProof/>
              </w:rPr>
              <w:t>7.5. Review of the baseline due to structural change, or review of the 70% provision</w:t>
            </w:r>
            <w:r>
              <w:rPr>
                <w:noProof/>
                <w:webHidden/>
              </w:rPr>
              <w:tab/>
            </w:r>
            <w:r>
              <w:rPr>
                <w:noProof/>
                <w:webHidden/>
              </w:rPr>
              <w:fldChar w:fldCharType="begin"/>
            </w:r>
            <w:r>
              <w:rPr>
                <w:noProof/>
                <w:webHidden/>
              </w:rPr>
              <w:instrText xml:space="preserve"> PAGEREF _Toc242885382 \h </w:instrText>
            </w:r>
            <w:r>
              <w:rPr>
                <w:noProof/>
                <w:webHidden/>
              </w:rPr>
            </w:r>
            <w:r>
              <w:rPr>
                <w:noProof/>
                <w:webHidden/>
              </w:rPr>
              <w:fldChar w:fldCharType="separate"/>
            </w:r>
            <w:r>
              <w:rPr>
                <w:noProof/>
                <w:webHidden/>
              </w:rPr>
              <w:t>46</w:t>
            </w:r>
            <w:r>
              <w:rPr>
                <w:noProof/>
                <w:webHidden/>
              </w:rPr>
              <w:fldChar w:fldCharType="end"/>
            </w:r>
          </w:hyperlink>
        </w:p>
        <w:p w14:paraId="7E48CF60" w14:textId="6E22B48C"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83" w:history="1">
            <w:r w:rsidRPr="00DC1719">
              <w:rPr>
                <w:rStyle w:val="Hyperlink"/>
                <w:noProof/>
              </w:rPr>
              <w:t>7.6. Updating the baseline from estimated to actual values</w:t>
            </w:r>
            <w:r>
              <w:rPr>
                <w:noProof/>
                <w:webHidden/>
              </w:rPr>
              <w:tab/>
            </w:r>
            <w:r>
              <w:rPr>
                <w:noProof/>
                <w:webHidden/>
              </w:rPr>
              <w:fldChar w:fldCharType="begin"/>
            </w:r>
            <w:r>
              <w:rPr>
                <w:noProof/>
                <w:webHidden/>
              </w:rPr>
              <w:instrText xml:space="preserve"> PAGEREF _Toc242885383 \h </w:instrText>
            </w:r>
            <w:r>
              <w:rPr>
                <w:noProof/>
                <w:webHidden/>
              </w:rPr>
            </w:r>
            <w:r>
              <w:rPr>
                <w:noProof/>
                <w:webHidden/>
              </w:rPr>
              <w:fldChar w:fldCharType="separate"/>
            </w:r>
            <w:r>
              <w:rPr>
                <w:noProof/>
                <w:webHidden/>
              </w:rPr>
              <w:t>51</w:t>
            </w:r>
            <w:r>
              <w:rPr>
                <w:noProof/>
                <w:webHidden/>
              </w:rPr>
              <w:fldChar w:fldCharType="end"/>
            </w:r>
          </w:hyperlink>
        </w:p>
        <w:p w14:paraId="4A487FAC" w14:textId="65E0D9BA"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84" w:history="1">
            <w:r w:rsidRPr="00DC1719">
              <w:rPr>
                <w:rStyle w:val="Hyperlink"/>
                <w:noProof/>
              </w:rPr>
              <w:t>7.7. Variations for reporting</w:t>
            </w:r>
            <w:r>
              <w:rPr>
                <w:noProof/>
                <w:webHidden/>
              </w:rPr>
              <w:tab/>
            </w:r>
            <w:r>
              <w:rPr>
                <w:noProof/>
                <w:webHidden/>
              </w:rPr>
              <w:fldChar w:fldCharType="begin"/>
            </w:r>
            <w:r>
              <w:rPr>
                <w:noProof/>
                <w:webHidden/>
              </w:rPr>
              <w:instrText xml:space="preserve"> PAGEREF _Toc242885384 \h </w:instrText>
            </w:r>
            <w:r>
              <w:rPr>
                <w:noProof/>
                <w:webHidden/>
              </w:rPr>
            </w:r>
            <w:r>
              <w:rPr>
                <w:noProof/>
                <w:webHidden/>
              </w:rPr>
              <w:fldChar w:fldCharType="separate"/>
            </w:r>
            <w:r>
              <w:rPr>
                <w:noProof/>
                <w:webHidden/>
              </w:rPr>
              <w:t>51</w:t>
            </w:r>
            <w:r>
              <w:rPr>
                <w:noProof/>
                <w:webHidden/>
              </w:rPr>
              <w:fldChar w:fldCharType="end"/>
            </w:r>
          </w:hyperlink>
        </w:p>
        <w:p w14:paraId="5A56D59B" w14:textId="6C8F9C1C"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85" w:history="1">
            <w:r w:rsidRPr="00DC1719">
              <w:rPr>
                <w:rStyle w:val="Hyperlink"/>
                <w:noProof/>
              </w:rPr>
              <w:t>7.8. Other types of variation</w:t>
            </w:r>
            <w:r>
              <w:rPr>
                <w:noProof/>
                <w:webHidden/>
              </w:rPr>
              <w:tab/>
            </w:r>
            <w:r>
              <w:rPr>
                <w:noProof/>
                <w:webHidden/>
              </w:rPr>
              <w:fldChar w:fldCharType="begin"/>
            </w:r>
            <w:r>
              <w:rPr>
                <w:noProof/>
                <w:webHidden/>
              </w:rPr>
              <w:instrText xml:space="preserve"> PAGEREF _Toc242885385 \h </w:instrText>
            </w:r>
            <w:r>
              <w:rPr>
                <w:noProof/>
                <w:webHidden/>
              </w:rPr>
            </w:r>
            <w:r>
              <w:rPr>
                <w:noProof/>
                <w:webHidden/>
              </w:rPr>
              <w:fldChar w:fldCharType="separate"/>
            </w:r>
            <w:r>
              <w:rPr>
                <w:noProof/>
                <w:webHidden/>
              </w:rPr>
              <w:t>52</w:t>
            </w:r>
            <w:r>
              <w:rPr>
                <w:noProof/>
                <w:webHidden/>
              </w:rPr>
              <w:fldChar w:fldCharType="end"/>
            </w:r>
          </w:hyperlink>
        </w:p>
        <w:p w14:paraId="504D7945" w14:textId="24C519D9"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86" w:history="1">
            <w:r w:rsidRPr="00DC1719">
              <w:rPr>
                <w:rStyle w:val="Hyperlink"/>
                <w:noProof/>
              </w:rPr>
              <w:t>7.9. What cannot be changed by a variation</w:t>
            </w:r>
            <w:r>
              <w:rPr>
                <w:noProof/>
                <w:webHidden/>
              </w:rPr>
              <w:tab/>
            </w:r>
            <w:r>
              <w:rPr>
                <w:noProof/>
                <w:webHidden/>
              </w:rPr>
              <w:fldChar w:fldCharType="begin"/>
            </w:r>
            <w:r>
              <w:rPr>
                <w:noProof/>
                <w:webHidden/>
              </w:rPr>
              <w:instrText xml:space="preserve"> PAGEREF _Toc242885386 \h </w:instrText>
            </w:r>
            <w:r>
              <w:rPr>
                <w:noProof/>
                <w:webHidden/>
              </w:rPr>
            </w:r>
            <w:r>
              <w:rPr>
                <w:noProof/>
                <w:webHidden/>
              </w:rPr>
              <w:fldChar w:fldCharType="separate"/>
            </w:r>
            <w:r>
              <w:rPr>
                <w:noProof/>
                <w:webHidden/>
              </w:rPr>
              <w:t>52</w:t>
            </w:r>
            <w:r>
              <w:rPr>
                <w:noProof/>
                <w:webHidden/>
              </w:rPr>
              <w:fldChar w:fldCharType="end"/>
            </w:r>
          </w:hyperlink>
        </w:p>
        <w:p w14:paraId="47321D5D" w14:textId="3D10DE95"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87" w:history="1">
            <w:r w:rsidRPr="00DC1719">
              <w:rPr>
                <w:rStyle w:val="Hyperlink"/>
                <w:noProof/>
              </w:rPr>
              <w:t>7.10. Timescale for notifying us of a change</w:t>
            </w:r>
            <w:r>
              <w:rPr>
                <w:noProof/>
                <w:webHidden/>
              </w:rPr>
              <w:tab/>
            </w:r>
            <w:r>
              <w:rPr>
                <w:noProof/>
                <w:webHidden/>
              </w:rPr>
              <w:fldChar w:fldCharType="begin"/>
            </w:r>
            <w:r>
              <w:rPr>
                <w:noProof/>
                <w:webHidden/>
              </w:rPr>
              <w:instrText xml:space="preserve"> PAGEREF _Toc242885387 \h </w:instrText>
            </w:r>
            <w:r>
              <w:rPr>
                <w:noProof/>
                <w:webHidden/>
              </w:rPr>
            </w:r>
            <w:r>
              <w:rPr>
                <w:noProof/>
                <w:webHidden/>
              </w:rPr>
              <w:fldChar w:fldCharType="separate"/>
            </w:r>
            <w:r>
              <w:rPr>
                <w:noProof/>
                <w:webHidden/>
              </w:rPr>
              <w:t>53</w:t>
            </w:r>
            <w:r>
              <w:rPr>
                <w:noProof/>
                <w:webHidden/>
              </w:rPr>
              <w:fldChar w:fldCharType="end"/>
            </w:r>
          </w:hyperlink>
        </w:p>
        <w:p w14:paraId="689D55B2" w14:textId="3852BCB0" w:rsidR="004B052B" w:rsidRDefault="004B052B">
          <w:pPr>
            <w:pStyle w:val="TOC1"/>
            <w:tabs>
              <w:tab w:val="right" w:leader="dot" w:pos="9629"/>
            </w:tabs>
            <w:rPr>
              <w:rFonts w:asciiTheme="minorHAnsi" w:eastAsiaTheme="minorEastAsia" w:hAnsiTheme="minorHAnsi" w:cstheme="minorBidi"/>
              <w:b w:val="0"/>
              <w:noProof/>
              <w:color w:val="auto"/>
              <w:kern w:val="2"/>
              <w:sz w:val="24"/>
              <w:szCs w:val="24"/>
              <w14:ligatures w14:val="standardContextual"/>
            </w:rPr>
          </w:pPr>
          <w:hyperlink w:anchor="_Toc242885388" w:history="1">
            <w:r w:rsidRPr="00DC1719">
              <w:rPr>
                <w:rStyle w:val="Hyperlink"/>
                <w:noProof/>
              </w:rPr>
              <w:t>8. Application of financial penalties and termination</w:t>
            </w:r>
            <w:r>
              <w:rPr>
                <w:noProof/>
                <w:webHidden/>
              </w:rPr>
              <w:tab/>
            </w:r>
            <w:r>
              <w:rPr>
                <w:noProof/>
                <w:webHidden/>
              </w:rPr>
              <w:fldChar w:fldCharType="begin"/>
            </w:r>
            <w:r>
              <w:rPr>
                <w:noProof/>
                <w:webHidden/>
              </w:rPr>
              <w:instrText xml:space="preserve"> PAGEREF _Toc242885388 \h </w:instrText>
            </w:r>
            <w:r>
              <w:rPr>
                <w:noProof/>
                <w:webHidden/>
              </w:rPr>
            </w:r>
            <w:r>
              <w:rPr>
                <w:noProof/>
                <w:webHidden/>
              </w:rPr>
              <w:fldChar w:fldCharType="separate"/>
            </w:r>
            <w:r>
              <w:rPr>
                <w:noProof/>
                <w:webHidden/>
              </w:rPr>
              <w:t>53</w:t>
            </w:r>
            <w:r>
              <w:rPr>
                <w:noProof/>
                <w:webHidden/>
              </w:rPr>
              <w:fldChar w:fldCharType="end"/>
            </w:r>
          </w:hyperlink>
        </w:p>
        <w:p w14:paraId="76ED707E" w14:textId="5C48D8F9"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89" w:history="1">
            <w:r w:rsidRPr="00DC1719">
              <w:rPr>
                <w:rStyle w:val="Hyperlink"/>
                <w:noProof/>
              </w:rPr>
              <w:t>8.1. CCA penalties</w:t>
            </w:r>
            <w:r>
              <w:rPr>
                <w:noProof/>
                <w:webHidden/>
              </w:rPr>
              <w:tab/>
            </w:r>
            <w:r>
              <w:rPr>
                <w:noProof/>
                <w:webHidden/>
              </w:rPr>
              <w:fldChar w:fldCharType="begin"/>
            </w:r>
            <w:r>
              <w:rPr>
                <w:noProof/>
                <w:webHidden/>
              </w:rPr>
              <w:instrText xml:space="preserve"> PAGEREF _Toc242885389 \h </w:instrText>
            </w:r>
            <w:r>
              <w:rPr>
                <w:noProof/>
                <w:webHidden/>
              </w:rPr>
            </w:r>
            <w:r>
              <w:rPr>
                <w:noProof/>
                <w:webHidden/>
              </w:rPr>
              <w:fldChar w:fldCharType="separate"/>
            </w:r>
            <w:r>
              <w:rPr>
                <w:noProof/>
                <w:webHidden/>
              </w:rPr>
              <w:t>53</w:t>
            </w:r>
            <w:r>
              <w:rPr>
                <w:noProof/>
                <w:webHidden/>
              </w:rPr>
              <w:fldChar w:fldCharType="end"/>
            </w:r>
          </w:hyperlink>
        </w:p>
        <w:p w14:paraId="0E018205" w14:textId="550B9A33"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90" w:history="1">
            <w:r w:rsidRPr="00DC1719">
              <w:rPr>
                <w:rStyle w:val="Hyperlink"/>
                <w:noProof/>
              </w:rPr>
              <w:t>8.2. Issuing penalties</w:t>
            </w:r>
            <w:r>
              <w:rPr>
                <w:noProof/>
                <w:webHidden/>
              </w:rPr>
              <w:tab/>
            </w:r>
            <w:r>
              <w:rPr>
                <w:noProof/>
                <w:webHidden/>
              </w:rPr>
              <w:fldChar w:fldCharType="begin"/>
            </w:r>
            <w:r>
              <w:rPr>
                <w:noProof/>
                <w:webHidden/>
              </w:rPr>
              <w:instrText xml:space="preserve"> PAGEREF _Toc242885390 \h </w:instrText>
            </w:r>
            <w:r>
              <w:rPr>
                <w:noProof/>
                <w:webHidden/>
              </w:rPr>
            </w:r>
            <w:r>
              <w:rPr>
                <w:noProof/>
                <w:webHidden/>
              </w:rPr>
              <w:fldChar w:fldCharType="separate"/>
            </w:r>
            <w:r>
              <w:rPr>
                <w:noProof/>
                <w:webHidden/>
              </w:rPr>
              <w:t>56</w:t>
            </w:r>
            <w:r>
              <w:rPr>
                <w:noProof/>
                <w:webHidden/>
              </w:rPr>
              <w:fldChar w:fldCharType="end"/>
            </w:r>
          </w:hyperlink>
        </w:p>
        <w:p w14:paraId="6AE5B130" w14:textId="3BD1B802"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91" w:history="1">
            <w:r w:rsidRPr="00DC1719">
              <w:rPr>
                <w:rStyle w:val="Hyperlink"/>
                <w:noProof/>
              </w:rPr>
              <w:t>8.3. Termination of agreements</w:t>
            </w:r>
            <w:r>
              <w:rPr>
                <w:noProof/>
                <w:webHidden/>
              </w:rPr>
              <w:tab/>
            </w:r>
            <w:r>
              <w:rPr>
                <w:noProof/>
                <w:webHidden/>
              </w:rPr>
              <w:fldChar w:fldCharType="begin"/>
            </w:r>
            <w:r>
              <w:rPr>
                <w:noProof/>
                <w:webHidden/>
              </w:rPr>
              <w:instrText xml:space="preserve"> PAGEREF _Toc242885391 \h </w:instrText>
            </w:r>
            <w:r>
              <w:rPr>
                <w:noProof/>
                <w:webHidden/>
              </w:rPr>
            </w:r>
            <w:r>
              <w:rPr>
                <w:noProof/>
                <w:webHidden/>
              </w:rPr>
              <w:fldChar w:fldCharType="separate"/>
            </w:r>
            <w:r>
              <w:rPr>
                <w:noProof/>
                <w:webHidden/>
              </w:rPr>
              <w:t>58</w:t>
            </w:r>
            <w:r>
              <w:rPr>
                <w:noProof/>
                <w:webHidden/>
              </w:rPr>
              <w:fldChar w:fldCharType="end"/>
            </w:r>
          </w:hyperlink>
        </w:p>
        <w:p w14:paraId="08CB6132" w14:textId="748AEF50"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92" w:history="1">
            <w:r w:rsidRPr="00DC1719">
              <w:rPr>
                <w:rStyle w:val="Hyperlink"/>
                <w:noProof/>
              </w:rPr>
              <w:t>8.4. Appeals and complaints process</w:t>
            </w:r>
            <w:r>
              <w:rPr>
                <w:noProof/>
                <w:webHidden/>
              </w:rPr>
              <w:tab/>
            </w:r>
            <w:r>
              <w:rPr>
                <w:noProof/>
                <w:webHidden/>
              </w:rPr>
              <w:fldChar w:fldCharType="begin"/>
            </w:r>
            <w:r>
              <w:rPr>
                <w:noProof/>
                <w:webHidden/>
              </w:rPr>
              <w:instrText xml:space="preserve"> PAGEREF _Toc242885392 \h </w:instrText>
            </w:r>
            <w:r>
              <w:rPr>
                <w:noProof/>
                <w:webHidden/>
              </w:rPr>
            </w:r>
            <w:r>
              <w:rPr>
                <w:noProof/>
                <w:webHidden/>
              </w:rPr>
              <w:fldChar w:fldCharType="separate"/>
            </w:r>
            <w:r>
              <w:rPr>
                <w:noProof/>
                <w:webHidden/>
              </w:rPr>
              <w:t>60</w:t>
            </w:r>
            <w:r>
              <w:rPr>
                <w:noProof/>
                <w:webHidden/>
              </w:rPr>
              <w:fldChar w:fldCharType="end"/>
            </w:r>
          </w:hyperlink>
        </w:p>
        <w:p w14:paraId="7D5C7E39" w14:textId="0D920ED5" w:rsidR="004B052B" w:rsidRDefault="004B052B">
          <w:pPr>
            <w:pStyle w:val="TOC1"/>
            <w:tabs>
              <w:tab w:val="right" w:leader="dot" w:pos="9629"/>
            </w:tabs>
            <w:rPr>
              <w:rFonts w:asciiTheme="minorHAnsi" w:eastAsiaTheme="minorEastAsia" w:hAnsiTheme="minorHAnsi" w:cstheme="minorBidi"/>
              <w:b w:val="0"/>
              <w:noProof/>
              <w:color w:val="auto"/>
              <w:kern w:val="2"/>
              <w:sz w:val="24"/>
              <w:szCs w:val="24"/>
              <w14:ligatures w14:val="standardContextual"/>
            </w:rPr>
          </w:pPr>
          <w:hyperlink w:anchor="_Toc242885393" w:history="1">
            <w:r w:rsidRPr="00DC1719">
              <w:rPr>
                <w:rStyle w:val="Hyperlink"/>
                <w:noProof/>
              </w:rPr>
              <w:t>9. Monitoring compliance with the CCA scheme</w:t>
            </w:r>
            <w:r>
              <w:rPr>
                <w:noProof/>
                <w:webHidden/>
              </w:rPr>
              <w:tab/>
            </w:r>
            <w:r>
              <w:rPr>
                <w:noProof/>
                <w:webHidden/>
              </w:rPr>
              <w:fldChar w:fldCharType="begin"/>
            </w:r>
            <w:r>
              <w:rPr>
                <w:noProof/>
                <w:webHidden/>
              </w:rPr>
              <w:instrText xml:space="preserve"> PAGEREF _Toc242885393 \h </w:instrText>
            </w:r>
            <w:r>
              <w:rPr>
                <w:noProof/>
                <w:webHidden/>
              </w:rPr>
            </w:r>
            <w:r>
              <w:rPr>
                <w:noProof/>
                <w:webHidden/>
              </w:rPr>
              <w:fldChar w:fldCharType="separate"/>
            </w:r>
            <w:r>
              <w:rPr>
                <w:noProof/>
                <w:webHidden/>
              </w:rPr>
              <w:t>61</w:t>
            </w:r>
            <w:r>
              <w:rPr>
                <w:noProof/>
                <w:webHidden/>
              </w:rPr>
              <w:fldChar w:fldCharType="end"/>
            </w:r>
          </w:hyperlink>
        </w:p>
        <w:p w14:paraId="60634059" w14:textId="08C89C80"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94" w:history="1">
            <w:r w:rsidRPr="00DC1719">
              <w:rPr>
                <w:rStyle w:val="Hyperlink"/>
                <w:noProof/>
              </w:rPr>
              <w:t>9.1. What is a CCA audit?</w:t>
            </w:r>
            <w:r>
              <w:rPr>
                <w:noProof/>
                <w:webHidden/>
              </w:rPr>
              <w:tab/>
            </w:r>
            <w:r>
              <w:rPr>
                <w:noProof/>
                <w:webHidden/>
              </w:rPr>
              <w:fldChar w:fldCharType="begin"/>
            </w:r>
            <w:r>
              <w:rPr>
                <w:noProof/>
                <w:webHidden/>
              </w:rPr>
              <w:instrText xml:space="preserve"> PAGEREF _Toc242885394 \h </w:instrText>
            </w:r>
            <w:r>
              <w:rPr>
                <w:noProof/>
                <w:webHidden/>
              </w:rPr>
            </w:r>
            <w:r>
              <w:rPr>
                <w:noProof/>
                <w:webHidden/>
              </w:rPr>
              <w:fldChar w:fldCharType="separate"/>
            </w:r>
            <w:r>
              <w:rPr>
                <w:noProof/>
                <w:webHidden/>
              </w:rPr>
              <w:t>61</w:t>
            </w:r>
            <w:r>
              <w:rPr>
                <w:noProof/>
                <w:webHidden/>
              </w:rPr>
              <w:fldChar w:fldCharType="end"/>
            </w:r>
          </w:hyperlink>
        </w:p>
        <w:p w14:paraId="5AA8890C" w14:textId="1645DCB6"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95" w:history="1">
            <w:r w:rsidRPr="00DC1719">
              <w:rPr>
                <w:rStyle w:val="Hyperlink"/>
                <w:noProof/>
              </w:rPr>
              <w:t>9.2. How we select a facility for audit</w:t>
            </w:r>
            <w:r>
              <w:rPr>
                <w:noProof/>
                <w:webHidden/>
              </w:rPr>
              <w:tab/>
            </w:r>
            <w:r>
              <w:rPr>
                <w:noProof/>
                <w:webHidden/>
              </w:rPr>
              <w:fldChar w:fldCharType="begin"/>
            </w:r>
            <w:r>
              <w:rPr>
                <w:noProof/>
                <w:webHidden/>
              </w:rPr>
              <w:instrText xml:space="preserve"> PAGEREF _Toc242885395 \h </w:instrText>
            </w:r>
            <w:r>
              <w:rPr>
                <w:noProof/>
                <w:webHidden/>
              </w:rPr>
            </w:r>
            <w:r>
              <w:rPr>
                <w:noProof/>
                <w:webHidden/>
              </w:rPr>
              <w:fldChar w:fldCharType="separate"/>
            </w:r>
            <w:r>
              <w:rPr>
                <w:noProof/>
                <w:webHidden/>
              </w:rPr>
              <w:t>61</w:t>
            </w:r>
            <w:r>
              <w:rPr>
                <w:noProof/>
                <w:webHidden/>
              </w:rPr>
              <w:fldChar w:fldCharType="end"/>
            </w:r>
          </w:hyperlink>
        </w:p>
        <w:p w14:paraId="0E9E6EB9" w14:textId="1BF8E8FD"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96" w:history="1">
            <w:r w:rsidRPr="00DC1719">
              <w:rPr>
                <w:rStyle w:val="Hyperlink"/>
                <w:noProof/>
              </w:rPr>
              <w:t>9.3. How we carry out audits</w:t>
            </w:r>
            <w:r>
              <w:rPr>
                <w:noProof/>
                <w:webHidden/>
              </w:rPr>
              <w:tab/>
            </w:r>
            <w:r>
              <w:rPr>
                <w:noProof/>
                <w:webHidden/>
              </w:rPr>
              <w:fldChar w:fldCharType="begin"/>
            </w:r>
            <w:r>
              <w:rPr>
                <w:noProof/>
                <w:webHidden/>
              </w:rPr>
              <w:instrText xml:space="preserve"> PAGEREF _Toc242885396 \h </w:instrText>
            </w:r>
            <w:r>
              <w:rPr>
                <w:noProof/>
                <w:webHidden/>
              </w:rPr>
            </w:r>
            <w:r>
              <w:rPr>
                <w:noProof/>
                <w:webHidden/>
              </w:rPr>
              <w:fldChar w:fldCharType="separate"/>
            </w:r>
            <w:r>
              <w:rPr>
                <w:noProof/>
                <w:webHidden/>
              </w:rPr>
              <w:t>62</w:t>
            </w:r>
            <w:r>
              <w:rPr>
                <w:noProof/>
                <w:webHidden/>
              </w:rPr>
              <w:fldChar w:fldCharType="end"/>
            </w:r>
          </w:hyperlink>
        </w:p>
        <w:p w14:paraId="6F0A6F1E" w14:textId="52DEA8FD"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97" w:history="1">
            <w:r w:rsidRPr="00DC1719">
              <w:rPr>
                <w:rStyle w:val="Hyperlink"/>
                <w:noProof/>
              </w:rPr>
              <w:t>9.4. Possible audit outcomes</w:t>
            </w:r>
            <w:r>
              <w:rPr>
                <w:noProof/>
                <w:webHidden/>
              </w:rPr>
              <w:tab/>
            </w:r>
            <w:r>
              <w:rPr>
                <w:noProof/>
                <w:webHidden/>
              </w:rPr>
              <w:fldChar w:fldCharType="begin"/>
            </w:r>
            <w:r>
              <w:rPr>
                <w:noProof/>
                <w:webHidden/>
              </w:rPr>
              <w:instrText xml:space="preserve"> PAGEREF _Toc242885397 \h </w:instrText>
            </w:r>
            <w:r>
              <w:rPr>
                <w:noProof/>
                <w:webHidden/>
              </w:rPr>
            </w:r>
            <w:r>
              <w:rPr>
                <w:noProof/>
                <w:webHidden/>
              </w:rPr>
              <w:fldChar w:fldCharType="separate"/>
            </w:r>
            <w:r>
              <w:rPr>
                <w:noProof/>
                <w:webHidden/>
              </w:rPr>
              <w:t>66</w:t>
            </w:r>
            <w:r>
              <w:rPr>
                <w:noProof/>
                <w:webHidden/>
              </w:rPr>
              <w:fldChar w:fldCharType="end"/>
            </w:r>
          </w:hyperlink>
        </w:p>
        <w:p w14:paraId="7E55CFC6" w14:textId="5057F711"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398" w:history="1">
            <w:r w:rsidRPr="00DC1719">
              <w:rPr>
                <w:rStyle w:val="Hyperlink"/>
                <w:noProof/>
              </w:rPr>
              <w:t>9.5. Eligibility Reviews</w:t>
            </w:r>
            <w:r>
              <w:rPr>
                <w:noProof/>
                <w:webHidden/>
              </w:rPr>
              <w:tab/>
            </w:r>
            <w:r>
              <w:rPr>
                <w:noProof/>
                <w:webHidden/>
              </w:rPr>
              <w:fldChar w:fldCharType="begin"/>
            </w:r>
            <w:r>
              <w:rPr>
                <w:noProof/>
                <w:webHidden/>
              </w:rPr>
              <w:instrText xml:space="preserve"> PAGEREF _Toc242885398 \h </w:instrText>
            </w:r>
            <w:r>
              <w:rPr>
                <w:noProof/>
                <w:webHidden/>
              </w:rPr>
            </w:r>
            <w:r>
              <w:rPr>
                <w:noProof/>
                <w:webHidden/>
              </w:rPr>
              <w:fldChar w:fldCharType="separate"/>
            </w:r>
            <w:r>
              <w:rPr>
                <w:noProof/>
                <w:webHidden/>
              </w:rPr>
              <w:t>67</w:t>
            </w:r>
            <w:r>
              <w:rPr>
                <w:noProof/>
                <w:webHidden/>
              </w:rPr>
              <w:fldChar w:fldCharType="end"/>
            </w:r>
          </w:hyperlink>
        </w:p>
        <w:p w14:paraId="3D10E520" w14:textId="0B3AA557" w:rsidR="004B052B" w:rsidRDefault="004B052B">
          <w:pPr>
            <w:pStyle w:val="TOC1"/>
            <w:tabs>
              <w:tab w:val="right" w:leader="dot" w:pos="9629"/>
            </w:tabs>
            <w:rPr>
              <w:rFonts w:asciiTheme="minorHAnsi" w:eastAsiaTheme="minorEastAsia" w:hAnsiTheme="minorHAnsi" w:cstheme="minorBidi"/>
              <w:b w:val="0"/>
              <w:noProof/>
              <w:color w:val="auto"/>
              <w:kern w:val="2"/>
              <w:sz w:val="24"/>
              <w:szCs w:val="24"/>
              <w14:ligatures w14:val="standardContextual"/>
            </w:rPr>
          </w:pPr>
          <w:hyperlink w:anchor="_Toc242885399" w:history="1">
            <w:r w:rsidRPr="00DC1719">
              <w:rPr>
                <w:rStyle w:val="Hyperlink"/>
                <w:noProof/>
              </w:rPr>
              <w:t>10. Final and Interim Target Period Reporting</w:t>
            </w:r>
            <w:r>
              <w:rPr>
                <w:noProof/>
                <w:webHidden/>
              </w:rPr>
              <w:tab/>
            </w:r>
            <w:r>
              <w:rPr>
                <w:noProof/>
                <w:webHidden/>
              </w:rPr>
              <w:fldChar w:fldCharType="begin"/>
            </w:r>
            <w:r>
              <w:rPr>
                <w:noProof/>
                <w:webHidden/>
              </w:rPr>
              <w:instrText xml:space="preserve"> PAGEREF _Toc242885399 \h </w:instrText>
            </w:r>
            <w:r>
              <w:rPr>
                <w:noProof/>
                <w:webHidden/>
              </w:rPr>
            </w:r>
            <w:r>
              <w:rPr>
                <w:noProof/>
                <w:webHidden/>
              </w:rPr>
              <w:fldChar w:fldCharType="separate"/>
            </w:r>
            <w:r>
              <w:rPr>
                <w:noProof/>
                <w:webHidden/>
              </w:rPr>
              <w:t>69</w:t>
            </w:r>
            <w:r>
              <w:rPr>
                <w:noProof/>
                <w:webHidden/>
              </w:rPr>
              <w:fldChar w:fldCharType="end"/>
            </w:r>
          </w:hyperlink>
        </w:p>
        <w:p w14:paraId="4C32E2C0" w14:textId="7DDB4738"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00" w:history="1">
            <w:r w:rsidRPr="00DC1719">
              <w:rPr>
                <w:rStyle w:val="Hyperlink"/>
                <w:noProof/>
              </w:rPr>
              <w:t>10.1. Introduction</w:t>
            </w:r>
            <w:r>
              <w:rPr>
                <w:noProof/>
                <w:webHidden/>
              </w:rPr>
              <w:tab/>
            </w:r>
            <w:r>
              <w:rPr>
                <w:noProof/>
                <w:webHidden/>
              </w:rPr>
              <w:fldChar w:fldCharType="begin"/>
            </w:r>
            <w:r>
              <w:rPr>
                <w:noProof/>
                <w:webHidden/>
              </w:rPr>
              <w:instrText xml:space="preserve"> PAGEREF _Toc242885400 \h </w:instrText>
            </w:r>
            <w:r>
              <w:rPr>
                <w:noProof/>
                <w:webHidden/>
              </w:rPr>
            </w:r>
            <w:r>
              <w:rPr>
                <w:noProof/>
                <w:webHidden/>
              </w:rPr>
              <w:fldChar w:fldCharType="separate"/>
            </w:r>
            <w:r>
              <w:rPr>
                <w:noProof/>
                <w:webHidden/>
              </w:rPr>
              <w:t>69</w:t>
            </w:r>
            <w:r>
              <w:rPr>
                <w:noProof/>
                <w:webHidden/>
              </w:rPr>
              <w:fldChar w:fldCharType="end"/>
            </w:r>
          </w:hyperlink>
        </w:p>
        <w:p w14:paraId="5731CFB1" w14:textId="4BFBC38A"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01" w:history="1">
            <w:r w:rsidRPr="00DC1719">
              <w:rPr>
                <w:rStyle w:val="Hyperlink"/>
                <w:noProof/>
              </w:rPr>
              <w:t>10.2. What are interim and final target period reports?</w:t>
            </w:r>
            <w:r>
              <w:rPr>
                <w:noProof/>
                <w:webHidden/>
              </w:rPr>
              <w:tab/>
            </w:r>
            <w:r>
              <w:rPr>
                <w:noProof/>
                <w:webHidden/>
              </w:rPr>
              <w:fldChar w:fldCharType="begin"/>
            </w:r>
            <w:r>
              <w:rPr>
                <w:noProof/>
                <w:webHidden/>
              </w:rPr>
              <w:instrText xml:space="preserve"> PAGEREF _Toc242885401 \h </w:instrText>
            </w:r>
            <w:r>
              <w:rPr>
                <w:noProof/>
                <w:webHidden/>
              </w:rPr>
            </w:r>
            <w:r>
              <w:rPr>
                <w:noProof/>
                <w:webHidden/>
              </w:rPr>
              <w:fldChar w:fldCharType="separate"/>
            </w:r>
            <w:r>
              <w:rPr>
                <w:noProof/>
                <w:webHidden/>
              </w:rPr>
              <w:t>70</w:t>
            </w:r>
            <w:r>
              <w:rPr>
                <w:noProof/>
                <w:webHidden/>
              </w:rPr>
              <w:fldChar w:fldCharType="end"/>
            </w:r>
          </w:hyperlink>
        </w:p>
        <w:p w14:paraId="2CF9A161" w14:textId="76E1D30C"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02" w:history="1">
            <w:r w:rsidRPr="00DC1719">
              <w:rPr>
                <w:rStyle w:val="Hyperlink"/>
                <w:noProof/>
              </w:rPr>
              <w:t>10.3. The reporting process</w:t>
            </w:r>
            <w:r>
              <w:rPr>
                <w:noProof/>
                <w:webHidden/>
              </w:rPr>
              <w:tab/>
            </w:r>
            <w:r>
              <w:rPr>
                <w:noProof/>
                <w:webHidden/>
              </w:rPr>
              <w:fldChar w:fldCharType="begin"/>
            </w:r>
            <w:r>
              <w:rPr>
                <w:noProof/>
                <w:webHidden/>
              </w:rPr>
              <w:instrText xml:space="preserve"> PAGEREF _Toc242885402 \h </w:instrText>
            </w:r>
            <w:r>
              <w:rPr>
                <w:noProof/>
                <w:webHidden/>
              </w:rPr>
            </w:r>
            <w:r>
              <w:rPr>
                <w:noProof/>
                <w:webHidden/>
              </w:rPr>
              <w:fldChar w:fldCharType="separate"/>
            </w:r>
            <w:r>
              <w:rPr>
                <w:noProof/>
                <w:webHidden/>
              </w:rPr>
              <w:t>71</w:t>
            </w:r>
            <w:r>
              <w:rPr>
                <w:noProof/>
                <w:webHidden/>
              </w:rPr>
              <w:fldChar w:fldCharType="end"/>
            </w:r>
          </w:hyperlink>
        </w:p>
        <w:p w14:paraId="7FB0C52D" w14:textId="1BE0AF84"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03" w:history="1">
            <w:r w:rsidRPr="00DC1719">
              <w:rPr>
                <w:rStyle w:val="Hyperlink"/>
                <w:noProof/>
              </w:rPr>
              <w:t>10.4. Target adjustments for previous target periods</w:t>
            </w:r>
            <w:r>
              <w:rPr>
                <w:noProof/>
                <w:webHidden/>
              </w:rPr>
              <w:tab/>
            </w:r>
            <w:r>
              <w:rPr>
                <w:noProof/>
                <w:webHidden/>
              </w:rPr>
              <w:fldChar w:fldCharType="begin"/>
            </w:r>
            <w:r>
              <w:rPr>
                <w:noProof/>
                <w:webHidden/>
              </w:rPr>
              <w:instrText xml:space="preserve"> PAGEREF _Toc242885403 \h </w:instrText>
            </w:r>
            <w:r>
              <w:rPr>
                <w:noProof/>
                <w:webHidden/>
              </w:rPr>
            </w:r>
            <w:r>
              <w:rPr>
                <w:noProof/>
                <w:webHidden/>
              </w:rPr>
              <w:fldChar w:fldCharType="separate"/>
            </w:r>
            <w:r>
              <w:rPr>
                <w:noProof/>
                <w:webHidden/>
              </w:rPr>
              <w:t>74</w:t>
            </w:r>
            <w:r>
              <w:rPr>
                <w:noProof/>
                <w:webHidden/>
              </w:rPr>
              <w:fldChar w:fldCharType="end"/>
            </w:r>
          </w:hyperlink>
        </w:p>
        <w:p w14:paraId="3B893F5E" w14:textId="21A25747"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04" w:history="1">
            <w:r w:rsidRPr="00DC1719">
              <w:rPr>
                <w:rStyle w:val="Hyperlink"/>
                <w:noProof/>
              </w:rPr>
              <w:t>10.5. Buy-out, surplus and recertification</w:t>
            </w:r>
            <w:r>
              <w:rPr>
                <w:noProof/>
                <w:webHidden/>
              </w:rPr>
              <w:tab/>
            </w:r>
            <w:r>
              <w:rPr>
                <w:noProof/>
                <w:webHidden/>
              </w:rPr>
              <w:fldChar w:fldCharType="begin"/>
            </w:r>
            <w:r>
              <w:rPr>
                <w:noProof/>
                <w:webHidden/>
              </w:rPr>
              <w:instrText xml:space="preserve"> PAGEREF _Toc242885404 \h </w:instrText>
            </w:r>
            <w:r>
              <w:rPr>
                <w:noProof/>
                <w:webHidden/>
              </w:rPr>
            </w:r>
            <w:r>
              <w:rPr>
                <w:noProof/>
                <w:webHidden/>
              </w:rPr>
              <w:fldChar w:fldCharType="separate"/>
            </w:r>
            <w:r>
              <w:rPr>
                <w:noProof/>
                <w:webHidden/>
              </w:rPr>
              <w:t>77</w:t>
            </w:r>
            <w:r>
              <w:rPr>
                <w:noProof/>
                <w:webHidden/>
              </w:rPr>
              <w:fldChar w:fldCharType="end"/>
            </w:r>
          </w:hyperlink>
        </w:p>
        <w:p w14:paraId="1B50C1E8" w14:textId="15FEE94D"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05" w:history="1">
            <w:r w:rsidRPr="00DC1719">
              <w:rPr>
                <w:rStyle w:val="Hyperlink"/>
                <w:noProof/>
              </w:rPr>
              <w:t>10.6. Calculating the performance of a facility</w:t>
            </w:r>
            <w:r>
              <w:rPr>
                <w:noProof/>
                <w:webHidden/>
              </w:rPr>
              <w:tab/>
            </w:r>
            <w:r>
              <w:rPr>
                <w:noProof/>
                <w:webHidden/>
              </w:rPr>
              <w:fldChar w:fldCharType="begin"/>
            </w:r>
            <w:r>
              <w:rPr>
                <w:noProof/>
                <w:webHidden/>
              </w:rPr>
              <w:instrText xml:space="preserve"> PAGEREF _Toc242885405 \h </w:instrText>
            </w:r>
            <w:r>
              <w:rPr>
                <w:noProof/>
                <w:webHidden/>
              </w:rPr>
            </w:r>
            <w:r>
              <w:rPr>
                <w:noProof/>
                <w:webHidden/>
              </w:rPr>
              <w:fldChar w:fldCharType="separate"/>
            </w:r>
            <w:r>
              <w:rPr>
                <w:noProof/>
                <w:webHidden/>
              </w:rPr>
              <w:t>81</w:t>
            </w:r>
            <w:r>
              <w:rPr>
                <w:noProof/>
                <w:webHidden/>
              </w:rPr>
              <w:fldChar w:fldCharType="end"/>
            </w:r>
          </w:hyperlink>
        </w:p>
        <w:p w14:paraId="042BA313" w14:textId="5AFE9D9E"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06" w:history="1">
            <w:r w:rsidRPr="00DC1719">
              <w:rPr>
                <w:rStyle w:val="Hyperlink"/>
                <w:noProof/>
              </w:rPr>
              <w:t>10.7 How to report</w:t>
            </w:r>
            <w:r>
              <w:rPr>
                <w:noProof/>
                <w:webHidden/>
              </w:rPr>
              <w:tab/>
            </w:r>
            <w:r>
              <w:rPr>
                <w:noProof/>
                <w:webHidden/>
              </w:rPr>
              <w:fldChar w:fldCharType="begin"/>
            </w:r>
            <w:r>
              <w:rPr>
                <w:noProof/>
                <w:webHidden/>
              </w:rPr>
              <w:instrText xml:space="preserve"> PAGEREF _Toc242885406 \h </w:instrText>
            </w:r>
            <w:r>
              <w:rPr>
                <w:noProof/>
                <w:webHidden/>
              </w:rPr>
            </w:r>
            <w:r>
              <w:rPr>
                <w:noProof/>
                <w:webHidden/>
              </w:rPr>
              <w:fldChar w:fldCharType="separate"/>
            </w:r>
            <w:r>
              <w:rPr>
                <w:noProof/>
                <w:webHidden/>
              </w:rPr>
              <w:t>85</w:t>
            </w:r>
            <w:r>
              <w:rPr>
                <w:noProof/>
                <w:webHidden/>
              </w:rPr>
              <w:fldChar w:fldCharType="end"/>
            </w:r>
          </w:hyperlink>
        </w:p>
        <w:p w14:paraId="191BAF73" w14:textId="76FA0EFF"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07" w:history="1">
            <w:r w:rsidRPr="00DC1719">
              <w:rPr>
                <w:rStyle w:val="Hyperlink"/>
                <w:noProof/>
              </w:rPr>
              <w:t>10.8 Treatment of errors</w:t>
            </w:r>
            <w:r>
              <w:rPr>
                <w:noProof/>
                <w:webHidden/>
              </w:rPr>
              <w:tab/>
            </w:r>
            <w:r>
              <w:rPr>
                <w:noProof/>
                <w:webHidden/>
              </w:rPr>
              <w:fldChar w:fldCharType="begin"/>
            </w:r>
            <w:r>
              <w:rPr>
                <w:noProof/>
                <w:webHidden/>
              </w:rPr>
              <w:instrText xml:space="preserve"> PAGEREF _Toc242885407 \h </w:instrText>
            </w:r>
            <w:r>
              <w:rPr>
                <w:noProof/>
                <w:webHidden/>
              </w:rPr>
            </w:r>
            <w:r>
              <w:rPr>
                <w:noProof/>
                <w:webHidden/>
              </w:rPr>
              <w:fldChar w:fldCharType="separate"/>
            </w:r>
            <w:r>
              <w:rPr>
                <w:noProof/>
                <w:webHidden/>
              </w:rPr>
              <w:t>89</w:t>
            </w:r>
            <w:r>
              <w:rPr>
                <w:noProof/>
                <w:webHidden/>
              </w:rPr>
              <w:fldChar w:fldCharType="end"/>
            </w:r>
          </w:hyperlink>
        </w:p>
        <w:p w14:paraId="5626944F" w14:textId="0C464A96" w:rsidR="004B052B" w:rsidRDefault="004B052B">
          <w:pPr>
            <w:pStyle w:val="TOC1"/>
            <w:tabs>
              <w:tab w:val="right" w:leader="dot" w:pos="9629"/>
            </w:tabs>
            <w:rPr>
              <w:rFonts w:asciiTheme="minorHAnsi" w:eastAsiaTheme="minorEastAsia" w:hAnsiTheme="minorHAnsi" w:cstheme="minorBidi"/>
              <w:b w:val="0"/>
              <w:noProof/>
              <w:color w:val="auto"/>
              <w:kern w:val="2"/>
              <w:sz w:val="24"/>
              <w:szCs w:val="24"/>
              <w14:ligatures w14:val="standardContextual"/>
            </w:rPr>
          </w:pPr>
          <w:hyperlink w:anchor="_Toc242885408" w:history="1">
            <w:r w:rsidRPr="00DC1719">
              <w:rPr>
                <w:rStyle w:val="Hyperlink"/>
                <w:noProof/>
              </w:rPr>
              <w:t>11. Performance Reports</w:t>
            </w:r>
            <w:r>
              <w:rPr>
                <w:noProof/>
                <w:webHidden/>
              </w:rPr>
              <w:tab/>
            </w:r>
            <w:r>
              <w:rPr>
                <w:noProof/>
                <w:webHidden/>
              </w:rPr>
              <w:fldChar w:fldCharType="begin"/>
            </w:r>
            <w:r>
              <w:rPr>
                <w:noProof/>
                <w:webHidden/>
              </w:rPr>
              <w:instrText xml:space="preserve"> PAGEREF _Toc242885408 \h </w:instrText>
            </w:r>
            <w:r>
              <w:rPr>
                <w:noProof/>
                <w:webHidden/>
              </w:rPr>
            </w:r>
            <w:r>
              <w:rPr>
                <w:noProof/>
                <w:webHidden/>
              </w:rPr>
              <w:fldChar w:fldCharType="separate"/>
            </w:r>
            <w:r>
              <w:rPr>
                <w:noProof/>
                <w:webHidden/>
              </w:rPr>
              <w:t>91</w:t>
            </w:r>
            <w:r>
              <w:rPr>
                <w:noProof/>
                <w:webHidden/>
              </w:rPr>
              <w:fldChar w:fldCharType="end"/>
            </w:r>
          </w:hyperlink>
        </w:p>
        <w:p w14:paraId="21148A1F" w14:textId="6BA203F9"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09" w:history="1">
            <w:r w:rsidRPr="00DC1719">
              <w:rPr>
                <w:rStyle w:val="Hyperlink"/>
                <w:noProof/>
              </w:rPr>
              <w:t>11.1 Performance Account Template (PAT)</w:t>
            </w:r>
            <w:r>
              <w:rPr>
                <w:noProof/>
                <w:webHidden/>
              </w:rPr>
              <w:tab/>
            </w:r>
            <w:r>
              <w:rPr>
                <w:noProof/>
                <w:webHidden/>
              </w:rPr>
              <w:fldChar w:fldCharType="begin"/>
            </w:r>
            <w:r>
              <w:rPr>
                <w:noProof/>
                <w:webHidden/>
              </w:rPr>
              <w:instrText xml:space="preserve"> PAGEREF _Toc242885409 \h </w:instrText>
            </w:r>
            <w:r>
              <w:rPr>
                <w:noProof/>
                <w:webHidden/>
              </w:rPr>
            </w:r>
            <w:r>
              <w:rPr>
                <w:noProof/>
                <w:webHidden/>
              </w:rPr>
              <w:fldChar w:fldCharType="separate"/>
            </w:r>
            <w:r>
              <w:rPr>
                <w:noProof/>
                <w:webHidden/>
              </w:rPr>
              <w:t>92</w:t>
            </w:r>
            <w:r>
              <w:rPr>
                <w:noProof/>
                <w:webHidden/>
              </w:rPr>
              <w:fldChar w:fldCharType="end"/>
            </w:r>
          </w:hyperlink>
        </w:p>
        <w:p w14:paraId="2C037E8F" w14:textId="4D79AA02"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10" w:history="1">
            <w:r w:rsidRPr="00DC1719">
              <w:rPr>
                <w:rStyle w:val="Hyperlink"/>
                <w:noProof/>
              </w:rPr>
              <w:t>11.2 Confirmation that energy consumed at the target facility is at least 70% of its total energy</w:t>
            </w:r>
            <w:r>
              <w:rPr>
                <w:noProof/>
                <w:webHidden/>
              </w:rPr>
              <w:tab/>
            </w:r>
            <w:r>
              <w:rPr>
                <w:noProof/>
                <w:webHidden/>
              </w:rPr>
              <w:fldChar w:fldCharType="begin"/>
            </w:r>
            <w:r>
              <w:rPr>
                <w:noProof/>
                <w:webHidden/>
              </w:rPr>
              <w:instrText xml:space="preserve"> PAGEREF _Toc242885410 \h </w:instrText>
            </w:r>
            <w:r>
              <w:rPr>
                <w:noProof/>
                <w:webHidden/>
              </w:rPr>
            </w:r>
            <w:r>
              <w:rPr>
                <w:noProof/>
                <w:webHidden/>
              </w:rPr>
              <w:fldChar w:fldCharType="separate"/>
            </w:r>
            <w:r>
              <w:rPr>
                <w:noProof/>
                <w:webHidden/>
              </w:rPr>
              <w:t>93</w:t>
            </w:r>
            <w:r>
              <w:rPr>
                <w:noProof/>
                <w:webHidden/>
              </w:rPr>
              <w:fldChar w:fldCharType="end"/>
            </w:r>
          </w:hyperlink>
        </w:p>
        <w:p w14:paraId="1D1B0FBD" w14:textId="5D990B3D"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11" w:history="1">
            <w:r w:rsidRPr="00DC1719">
              <w:rPr>
                <w:rStyle w:val="Hyperlink"/>
                <w:noProof/>
              </w:rPr>
              <w:t>11.3 UK ETS information for the facility (if applicable)</w:t>
            </w:r>
            <w:r>
              <w:rPr>
                <w:noProof/>
                <w:webHidden/>
              </w:rPr>
              <w:tab/>
            </w:r>
            <w:r>
              <w:rPr>
                <w:noProof/>
                <w:webHidden/>
              </w:rPr>
              <w:fldChar w:fldCharType="begin"/>
            </w:r>
            <w:r>
              <w:rPr>
                <w:noProof/>
                <w:webHidden/>
              </w:rPr>
              <w:instrText xml:space="preserve"> PAGEREF _Toc242885411 \h </w:instrText>
            </w:r>
            <w:r>
              <w:rPr>
                <w:noProof/>
                <w:webHidden/>
              </w:rPr>
            </w:r>
            <w:r>
              <w:rPr>
                <w:noProof/>
                <w:webHidden/>
              </w:rPr>
              <w:fldChar w:fldCharType="separate"/>
            </w:r>
            <w:r>
              <w:rPr>
                <w:noProof/>
                <w:webHidden/>
              </w:rPr>
              <w:t>93</w:t>
            </w:r>
            <w:r>
              <w:rPr>
                <w:noProof/>
                <w:webHidden/>
              </w:rPr>
              <w:fldChar w:fldCharType="end"/>
            </w:r>
          </w:hyperlink>
        </w:p>
        <w:p w14:paraId="32378CB1" w14:textId="65099A8A" w:rsidR="004B052B" w:rsidRDefault="004B052B">
          <w:pPr>
            <w:pStyle w:val="TOC1"/>
            <w:tabs>
              <w:tab w:val="right" w:leader="dot" w:pos="9629"/>
            </w:tabs>
            <w:rPr>
              <w:rFonts w:asciiTheme="minorHAnsi" w:eastAsiaTheme="minorEastAsia" w:hAnsiTheme="minorHAnsi" w:cstheme="minorBidi"/>
              <w:b w:val="0"/>
              <w:noProof/>
              <w:color w:val="auto"/>
              <w:kern w:val="2"/>
              <w:sz w:val="24"/>
              <w:szCs w:val="24"/>
              <w14:ligatures w14:val="standardContextual"/>
            </w:rPr>
          </w:pPr>
          <w:hyperlink w:anchor="_Toc242885412" w:history="1">
            <w:r w:rsidRPr="00DC1719">
              <w:rPr>
                <w:rStyle w:val="Hyperlink"/>
                <w:noProof/>
              </w:rPr>
              <w:t>12. List of abbreviations</w:t>
            </w:r>
            <w:r>
              <w:rPr>
                <w:noProof/>
                <w:webHidden/>
              </w:rPr>
              <w:tab/>
            </w:r>
            <w:r>
              <w:rPr>
                <w:noProof/>
                <w:webHidden/>
              </w:rPr>
              <w:fldChar w:fldCharType="begin"/>
            </w:r>
            <w:r>
              <w:rPr>
                <w:noProof/>
                <w:webHidden/>
              </w:rPr>
              <w:instrText xml:space="preserve"> PAGEREF _Toc242885412 \h </w:instrText>
            </w:r>
            <w:r>
              <w:rPr>
                <w:noProof/>
                <w:webHidden/>
              </w:rPr>
            </w:r>
            <w:r>
              <w:rPr>
                <w:noProof/>
                <w:webHidden/>
              </w:rPr>
              <w:fldChar w:fldCharType="separate"/>
            </w:r>
            <w:r>
              <w:rPr>
                <w:noProof/>
                <w:webHidden/>
              </w:rPr>
              <w:t>94</w:t>
            </w:r>
            <w:r>
              <w:rPr>
                <w:noProof/>
                <w:webHidden/>
              </w:rPr>
              <w:fldChar w:fldCharType="end"/>
            </w:r>
          </w:hyperlink>
        </w:p>
        <w:p w14:paraId="181D43A3" w14:textId="46B67CCE" w:rsidR="004B052B" w:rsidRDefault="004B052B">
          <w:pPr>
            <w:pStyle w:val="TOC1"/>
            <w:tabs>
              <w:tab w:val="right" w:leader="dot" w:pos="9629"/>
            </w:tabs>
            <w:rPr>
              <w:rFonts w:asciiTheme="minorHAnsi" w:eastAsiaTheme="minorEastAsia" w:hAnsiTheme="minorHAnsi" w:cstheme="minorBidi"/>
              <w:b w:val="0"/>
              <w:noProof/>
              <w:color w:val="auto"/>
              <w:kern w:val="2"/>
              <w:sz w:val="24"/>
              <w:szCs w:val="24"/>
              <w14:ligatures w14:val="standardContextual"/>
            </w:rPr>
          </w:pPr>
          <w:hyperlink w:anchor="_Toc242885413" w:history="1">
            <w:r w:rsidRPr="00DC1719">
              <w:rPr>
                <w:rStyle w:val="Hyperlink"/>
                <w:noProof/>
              </w:rPr>
              <w:t>13. Glossary</w:t>
            </w:r>
            <w:r>
              <w:rPr>
                <w:noProof/>
                <w:webHidden/>
              </w:rPr>
              <w:tab/>
            </w:r>
            <w:r>
              <w:rPr>
                <w:noProof/>
                <w:webHidden/>
              </w:rPr>
              <w:fldChar w:fldCharType="begin"/>
            </w:r>
            <w:r>
              <w:rPr>
                <w:noProof/>
                <w:webHidden/>
              </w:rPr>
              <w:instrText xml:space="preserve"> PAGEREF _Toc242885413 \h </w:instrText>
            </w:r>
            <w:r>
              <w:rPr>
                <w:noProof/>
                <w:webHidden/>
              </w:rPr>
            </w:r>
            <w:r>
              <w:rPr>
                <w:noProof/>
                <w:webHidden/>
              </w:rPr>
              <w:fldChar w:fldCharType="separate"/>
            </w:r>
            <w:r>
              <w:rPr>
                <w:noProof/>
                <w:webHidden/>
              </w:rPr>
              <w:t>96</w:t>
            </w:r>
            <w:r>
              <w:rPr>
                <w:noProof/>
                <w:webHidden/>
              </w:rPr>
              <w:fldChar w:fldCharType="end"/>
            </w:r>
          </w:hyperlink>
        </w:p>
        <w:p w14:paraId="35B875D1" w14:textId="378870E9" w:rsidR="004B052B" w:rsidRDefault="004B052B">
          <w:pPr>
            <w:pStyle w:val="TOC1"/>
            <w:tabs>
              <w:tab w:val="right" w:leader="dot" w:pos="9629"/>
            </w:tabs>
            <w:rPr>
              <w:rFonts w:asciiTheme="minorHAnsi" w:eastAsiaTheme="minorEastAsia" w:hAnsiTheme="minorHAnsi" w:cstheme="minorBidi"/>
              <w:b w:val="0"/>
              <w:noProof/>
              <w:color w:val="auto"/>
              <w:kern w:val="2"/>
              <w:sz w:val="24"/>
              <w:szCs w:val="24"/>
              <w14:ligatures w14:val="standardContextual"/>
            </w:rPr>
          </w:pPr>
          <w:hyperlink w:anchor="_Toc242885414" w:history="1">
            <w:r w:rsidRPr="00DC1719">
              <w:rPr>
                <w:rStyle w:val="Hyperlink"/>
                <w:noProof/>
              </w:rPr>
              <w:t>Appendix A: Eligible processes</w:t>
            </w:r>
            <w:r>
              <w:rPr>
                <w:noProof/>
                <w:webHidden/>
              </w:rPr>
              <w:tab/>
            </w:r>
            <w:r>
              <w:rPr>
                <w:noProof/>
                <w:webHidden/>
              </w:rPr>
              <w:fldChar w:fldCharType="begin"/>
            </w:r>
            <w:r>
              <w:rPr>
                <w:noProof/>
                <w:webHidden/>
              </w:rPr>
              <w:instrText xml:space="preserve"> PAGEREF _Toc242885414 \h </w:instrText>
            </w:r>
            <w:r>
              <w:rPr>
                <w:noProof/>
                <w:webHidden/>
              </w:rPr>
            </w:r>
            <w:r>
              <w:rPr>
                <w:noProof/>
                <w:webHidden/>
              </w:rPr>
              <w:fldChar w:fldCharType="separate"/>
            </w:r>
            <w:r>
              <w:rPr>
                <w:noProof/>
                <w:webHidden/>
              </w:rPr>
              <w:t>105</w:t>
            </w:r>
            <w:r>
              <w:rPr>
                <w:noProof/>
                <w:webHidden/>
              </w:rPr>
              <w:fldChar w:fldCharType="end"/>
            </w:r>
          </w:hyperlink>
        </w:p>
        <w:p w14:paraId="008CB636" w14:textId="78B79B53" w:rsidR="004B052B" w:rsidRDefault="004B052B">
          <w:pPr>
            <w:pStyle w:val="TOC1"/>
            <w:tabs>
              <w:tab w:val="right" w:leader="dot" w:pos="9629"/>
            </w:tabs>
            <w:rPr>
              <w:rFonts w:asciiTheme="minorHAnsi" w:eastAsiaTheme="minorEastAsia" w:hAnsiTheme="minorHAnsi" w:cstheme="minorBidi"/>
              <w:b w:val="0"/>
              <w:noProof/>
              <w:color w:val="auto"/>
              <w:kern w:val="2"/>
              <w:sz w:val="24"/>
              <w:szCs w:val="24"/>
              <w14:ligatures w14:val="standardContextual"/>
            </w:rPr>
          </w:pPr>
          <w:hyperlink w:anchor="_Toc242885415" w:history="1">
            <w:r w:rsidRPr="00DC1719">
              <w:rPr>
                <w:rStyle w:val="Hyperlink"/>
                <w:noProof/>
              </w:rPr>
              <w:t>Appendix B: Reporting deadlines for Target Periods 7 to 9</w:t>
            </w:r>
            <w:r>
              <w:rPr>
                <w:noProof/>
                <w:webHidden/>
              </w:rPr>
              <w:tab/>
            </w:r>
            <w:r>
              <w:rPr>
                <w:noProof/>
                <w:webHidden/>
              </w:rPr>
              <w:fldChar w:fldCharType="begin"/>
            </w:r>
            <w:r>
              <w:rPr>
                <w:noProof/>
                <w:webHidden/>
              </w:rPr>
              <w:instrText xml:space="preserve"> PAGEREF _Toc242885415 \h </w:instrText>
            </w:r>
            <w:r>
              <w:rPr>
                <w:noProof/>
                <w:webHidden/>
              </w:rPr>
            </w:r>
            <w:r>
              <w:rPr>
                <w:noProof/>
                <w:webHidden/>
              </w:rPr>
              <w:fldChar w:fldCharType="separate"/>
            </w:r>
            <w:r>
              <w:rPr>
                <w:noProof/>
                <w:webHidden/>
              </w:rPr>
              <w:t>117</w:t>
            </w:r>
            <w:r>
              <w:rPr>
                <w:noProof/>
                <w:webHidden/>
              </w:rPr>
              <w:fldChar w:fldCharType="end"/>
            </w:r>
          </w:hyperlink>
        </w:p>
        <w:p w14:paraId="3136DC95" w14:textId="35BDAA27" w:rsidR="004B052B" w:rsidRDefault="004B052B">
          <w:pPr>
            <w:pStyle w:val="TOC1"/>
            <w:tabs>
              <w:tab w:val="right" w:leader="dot" w:pos="9629"/>
            </w:tabs>
            <w:rPr>
              <w:rFonts w:asciiTheme="minorHAnsi" w:eastAsiaTheme="minorEastAsia" w:hAnsiTheme="minorHAnsi" w:cstheme="minorBidi"/>
              <w:b w:val="0"/>
              <w:noProof/>
              <w:color w:val="auto"/>
              <w:kern w:val="2"/>
              <w:sz w:val="24"/>
              <w:szCs w:val="24"/>
              <w14:ligatures w14:val="standardContextual"/>
            </w:rPr>
          </w:pPr>
          <w:hyperlink w:anchor="_Toc242885416" w:history="1">
            <w:r w:rsidRPr="00DC1719">
              <w:rPr>
                <w:rStyle w:val="Hyperlink"/>
                <w:noProof/>
              </w:rPr>
              <w:t>Appendix C: Summary of changes in the new CCA scheme</w:t>
            </w:r>
            <w:r>
              <w:rPr>
                <w:noProof/>
                <w:webHidden/>
              </w:rPr>
              <w:tab/>
            </w:r>
            <w:r>
              <w:rPr>
                <w:noProof/>
                <w:webHidden/>
              </w:rPr>
              <w:fldChar w:fldCharType="begin"/>
            </w:r>
            <w:r>
              <w:rPr>
                <w:noProof/>
                <w:webHidden/>
              </w:rPr>
              <w:instrText xml:space="preserve"> PAGEREF _Toc242885416 \h </w:instrText>
            </w:r>
            <w:r>
              <w:rPr>
                <w:noProof/>
                <w:webHidden/>
              </w:rPr>
            </w:r>
            <w:r>
              <w:rPr>
                <w:noProof/>
                <w:webHidden/>
              </w:rPr>
              <w:fldChar w:fldCharType="separate"/>
            </w:r>
            <w:r>
              <w:rPr>
                <w:noProof/>
                <w:webHidden/>
              </w:rPr>
              <w:t>117</w:t>
            </w:r>
            <w:r>
              <w:rPr>
                <w:noProof/>
                <w:webHidden/>
              </w:rPr>
              <w:fldChar w:fldCharType="end"/>
            </w:r>
          </w:hyperlink>
        </w:p>
        <w:p w14:paraId="20B904FE" w14:textId="4403F5AB" w:rsidR="004B052B" w:rsidRDefault="004B052B">
          <w:pPr>
            <w:pStyle w:val="TOC1"/>
            <w:tabs>
              <w:tab w:val="right" w:leader="dot" w:pos="9629"/>
            </w:tabs>
            <w:rPr>
              <w:rFonts w:asciiTheme="minorHAnsi" w:eastAsiaTheme="minorEastAsia" w:hAnsiTheme="minorHAnsi" w:cstheme="minorBidi"/>
              <w:b w:val="0"/>
              <w:noProof/>
              <w:color w:val="auto"/>
              <w:kern w:val="2"/>
              <w:sz w:val="24"/>
              <w:szCs w:val="24"/>
              <w14:ligatures w14:val="standardContextual"/>
            </w:rPr>
          </w:pPr>
          <w:hyperlink w:anchor="_Toc242885417" w:history="1">
            <w:r w:rsidRPr="00DC1719">
              <w:rPr>
                <w:rStyle w:val="Hyperlink"/>
                <w:noProof/>
              </w:rPr>
              <w:t>Appendix D: Calculation methods</w:t>
            </w:r>
            <w:r>
              <w:rPr>
                <w:noProof/>
                <w:webHidden/>
              </w:rPr>
              <w:tab/>
            </w:r>
            <w:r>
              <w:rPr>
                <w:noProof/>
                <w:webHidden/>
              </w:rPr>
              <w:fldChar w:fldCharType="begin"/>
            </w:r>
            <w:r>
              <w:rPr>
                <w:noProof/>
                <w:webHidden/>
              </w:rPr>
              <w:instrText xml:space="preserve"> PAGEREF _Toc242885417 \h </w:instrText>
            </w:r>
            <w:r>
              <w:rPr>
                <w:noProof/>
                <w:webHidden/>
              </w:rPr>
            </w:r>
            <w:r>
              <w:rPr>
                <w:noProof/>
                <w:webHidden/>
              </w:rPr>
              <w:fldChar w:fldCharType="separate"/>
            </w:r>
            <w:r>
              <w:rPr>
                <w:noProof/>
                <w:webHidden/>
              </w:rPr>
              <w:t>119</w:t>
            </w:r>
            <w:r>
              <w:rPr>
                <w:noProof/>
                <w:webHidden/>
              </w:rPr>
              <w:fldChar w:fldCharType="end"/>
            </w:r>
          </w:hyperlink>
        </w:p>
        <w:p w14:paraId="7501407A" w14:textId="4C15616D"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18" w:history="1">
            <w:r w:rsidRPr="00DC1719">
              <w:rPr>
                <w:rStyle w:val="Hyperlink"/>
                <w:noProof/>
              </w:rPr>
              <w:t>D.1 Accounting for CHP in the CCA scheme</w:t>
            </w:r>
            <w:r>
              <w:rPr>
                <w:noProof/>
                <w:webHidden/>
              </w:rPr>
              <w:tab/>
            </w:r>
            <w:r>
              <w:rPr>
                <w:noProof/>
                <w:webHidden/>
              </w:rPr>
              <w:fldChar w:fldCharType="begin"/>
            </w:r>
            <w:r>
              <w:rPr>
                <w:noProof/>
                <w:webHidden/>
              </w:rPr>
              <w:instrText xml:space="preserve"> PAGEREF _Toc242885418 \h </w:instrText>
            </w:r>
            <w:r>
              <w:rPr>
                <w:noProof/>
                <w:webHidden/>
              </w:rPr>
            </w:r>
            <w:r>
              <w:rPr>
                <w:noProof/>
                <w:webHidden/>
              </w:rPr>
              <w:fldChar w:fldCharType="separate"/>
            </w:r>
            <w:r>
              <w:rPr>
                <w:noProof/>
                <w:webHidden/>
              </w:rPr>
              <w:t>119</w:t>
            </w:r>
            <w:r>
              <w:rPr>
                <w:noProof/>
                <w:webHidden/>
              </w:rPr>
              <w:fldChar w:fldCharType="end"/>
            </w:r>
          </w:hyperlink>
        </w:p>
        <w:p w14:paraId="4C13735B" w14:textId="2FE0E1CC"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19" w:history="1">
            <w:r w:rsidRPr="00DC1719">
              <w:rPr>
                <w:rStyle w:val="Hyperlink"/>
                <w:noProof/>
              </w:rPr>
              <w:t>D.2 CHP special reporting methodology</w:t>
            </w:r>
            <w:r>
              <w:rPr>
                <w:noProof/>
                <w:webHidden/>
              </w:rPr>
              <w:tab/>
            </w:r>
            <w:r>
              <w:rPr>
                <w:noProof/>
                <w:webHidden/>
              </w:rPr>
              <w:fldChar w:fldCharType="begin"/>
            </w:r>
            <w:r>
              <w:rPr>
                <w:noProof/>
                <w:webHidden/>
              </w:rPr>
              <w:instrText xml:space="preserve"> PAGEREF _Toc242885419 \h </w:instrText>
            </w:r>
            <w:r>
              <w:rPr>
                <w:noProof/>
                <w:webHidden/>
              </w:rPr>
            </w:r>
            <w:r>
              <w:rPr>
                <w:noProof/>
                <w:webHidden/>
              </w:rPr>
              <w:fldChar w:fldCharType="separate"/>
            </w:r>
            <w:r>
              <w:rPr>
                <w:noProof/>
                <w:webHidden/>
              </w:rPr>
              <w:t>129</w:t>
            </w:r>
            <w:r>
              <w:rPr>
                <w:noProof/>
                <w:webHidden/>
              </w:rPr>
              <w:fldChar w:fldCharType="end"/>
            </w:r>
          </w:hyperlink>
        </w:p>
        <w:p w14:paraId="213D4300" w14:textId="680289E5" w:rsidR="004B052B" w:rsidRDefault="004B052B">
          <w:pPr>
            <w:pStyle w:val="TOC1"/>
            <w:tabs>
              <w:tab w:val="right" w:leader="dot" w:pos="9629"/>
            </w:tabs>
            <w:rPr>
              <w:rFonts w:asciiTheme="minorHAnsi" w:eastAsiaTheme="minorEastAsia" w:hAnsiTheme="minorHAnsi" w:cstheme="minorBidi"/>
              <w:b w:val="0"/>
              <w:noProof/>
              <w:color w:val="auto"/>
              <w:kern w:val="2"/>
              <w:sz w:val="24"/>
              <w:szCs w:val="24"/>
              <w14:ligatures w14:val="standardContextual"/>
            </w:rPr>
          </w:pPr>
          <w:hyperlink w:anchor="_Toc242885420" w:history="1">
            <w:r w:rsidRPr="00DC1719">
              <w:rPr>
                <w:rStyle w:val="Hyperlink"/>
                <w:noProof/>
              </w:rPr>
              <w:t>Appendix E: Definition of an installation in the CCA scheme</w:t>
            </w:r>
            <w:r>
              <w:rPr>
                <w:noProof/>
                <w:webHidden/>
              </w:rPr>
              <w:tab/>
            </w:r>
            <w:r>
              <w:rPr>
                <w:noProof/>
                <w:webHidden/>
              </w:rPr>
              <w:fldChar w:fldCharType="begin"/>
            </w:r>
            <w:r>
              <w:rPr>
                <w:noProof/>
                <w:webHidden/>
              </w:rPr>
              <w:instrText xml:space="preserve"> PAGEREF _Toc242885420 \h </w:instrText>
            </w:r>
            <w:r>
              <w:rPr>
                <w:noProof/>
                <w:webHidden/>
              </w:rPr>
            </w:r>
            <w:r>
              <w:rPr>
                <w:noProof/>
                <w:webHidden/>
              </w:rPr>
              <w:fldChar w:fldCharType="separate"/>
            </w:r>
            <w:r>
              <w:rPr>
                <w:noProof/>
                <w:webHidden/>
              </w:rPr>
              <w:t>131</w:t>
            </w:r>
            <w:r>
              <w:rPr>
                <w:noProof/>
                <w:webHidden/>
              </w:rPr>
              <w:fldChar w:fldCharType="end"/>
            </w:r>
          </w:hyperlink>
        </w:p>
        <w:p w14:paraId="464021C7" w14:textId="410D7705"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21" w:history="1">
            <w:r w:rsidRPr="00DC1719">
              <w:rPr>
                <w:rStyle w:val="Hyperlink"/>
                <w:bCs/>
                <w:noProof/>
              </w:rPr>
              <w:t>Limb (i) Stationary Technical Unit (STU)</w:t>
            </w:r>
            <w:r>
              <w:rPr>
                <w:noProof/>
                <w:webHidden/>
              </w:rPr>
              <w:tab/>
            </w:r>
            <w:r>
              <w:rPr>
                <w:noProof/>
                <w:webHidden/>
              </w:rPr>
              <w:fldChar w:fldCharType="begin"/>
            </w:r>
            <w:r>
              <w:rPr>
                <w:noProof/>
                <w:webHidden/>
              </w:rPr>
              <w:instrText xml:space="preserve"> PAGEREF _Toc242885421 \h </w:instrText>
            </w:r>
            <w:r>
              <w:rPr>
                <w:noProof/>
                <w:webHidden/>
              </w:rPr>
            </w:r>
            <w:r>
              <w:rPr>
                <w:noProof/>
                <w:webHidden/>
              </w:rPr>
              <w:fldChar w:fldCharType="separate"/>
            </w:r>
            <w:r>
              <w:rPr>
                <w:noProof/>
                <w:webHidden/>
              </w:rPr>
              <w:t>132</w:t>
            </w:r>
            <w:r>
              <w:rPr>
                <w:noProof/>
                <w:webHidden/>
              </w:rPr>
              <w:fldChar w:fldCharType="end"/>
            </w:r>
          </w:hyperlink>
        </w:p>
        <w:p w14:paraId="255CB3C6" w14:textId="40654C46"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22" w:history="1">
            <w:r w:rsidRPr="00DC1719">
              <w:rPr>
                <w:rStyle w:val="Hyperlink"/>
                <w:bCs/>
                <w:noProof/>
              </w:rPr>
              <w:t>Limb (ii) Directly Associated Activities (DAA)</w:t>
            </w:r>
            <w:r>
              <w:rPr>
                <w:noProof/>
                <w:webHidden/>
              </w:rPr>
              <w:tab/>
            </w:r>
            <w:r>
              <w:rPr>
                <w:noProof/>
                <w:webHidden/>
              </w:rPr>
              <w:fldChar w:fldCharType="begin"/>
            </w:r>
            <w:r>
              <w:rPr>
                <w:noProof/>
                <w:webHidden/>
              </w:rPr>
              <w:instrText xml:space="preserve"> PAGEREF _Toc242885422 \h </w:instrText>
            </w:r>
            <w:r>
              <w:rPr>
                <w:noProof/>
                <w:webHidden/>
              </w:rPr>
            </w:r>
            <w:r>
              <w:rPr>
                <w:noProof/>
                <w:webHidden/>
              </w:rPr>
              <w:fldChar w:fldCharType="separate"/>
            </w:r>
            <w:r>
              <w:rPr>
                <w:noProof/>
                <w:webHidden/>
              </w:rPr>
              <w:t>132</w:t>
            </w:r>
            <w:r>
              <w:rPr>
                <w:noProof/>
                <w:webHidden/>
              </w:rPr>
              <w:fldChar w:fldCharType="end"/>
            </w:r>
          </w:hyperlink>
        </w:p>
        <w:p w14:paraId="70697CA8" w14:textId="75C473E0" w:rsidR="004B052B" w:rsidRDefault="004B052B">
          <w:pPr>
            <w:pStyle w:val="TOC1"/>
            <w:tabs>
              <w:tab w:val="right" w:leader="dot" w:pos="9629"/>
            </w:tabs>
            <w:rPr>
              <w:rFonts w:asciiTheme="minorHAnsi" w:eastAsiaTheme="minorEastAsia" w:hAnsiTheme="minorHAnsi" w:cstheme="minorBidi"/>
              <w:b w:val="0"/>
              <w:noProof/>
              <w:color w:val="auto"/>
              <w:kern w:val="2"/>
              <w:sz w:val="24"/>
              <w:szCs w:val="24"/>
              <w14:ligatures w14:val="standardContextual"/>
            </w:rPr>
          </w:pPr>
          <w:hyperlink w:anchor="_Toc242885423" w:history="1">
            <w:r w:rsidRPr="00DC1719">
              <w:rPr>
                <w:rStyle w:val="Hyperlink"/>
                <w:noProof/>
              </w:rPr>
              <w:t>Appendix F: Estimation techniques for meter failure or fault</w:t>
            </w:r>
            <w:r>
              <w:rPr>
                <w:noProof/>
                <w:webHidden/>
              </w:rPr>
              <w:tab/>
            </w:r>
            <w:r>
              <w:rPr>
                <w:noProof/>
                <w:webHidden/>
              </w:rPr>
              <w:fldChar w:fldCharType="begin"/>
            </w:r>
            <w:r>
              <w:rPr>
                <w:noProof/>
                <w:webHidden/>
              </w:rPr>
              <w:instrText xml:space="preserve"> PAGEREF _Toc242885423 \h </w:instrText>
            </w:r>
            <w:r>
              <w:rPr>
                <w:noProof/>
                <w:webHidden/>
              </w:rPr>
            </w:r>
            <w:r>
              <w:rPr>
                <w:noProof/>
                <w:webHidden/>
              </w:rPr>
              <w:fldChar w:fldCharType="separate"/>
            </w:r>
            <w:r>
              <w:rPr>
                <w:noProof/>
                <w:webHidden/>
              </w:rPr>
              <w:t>134</w:t>
            </w:r>
            <w:r>
              <w:rPr>
                <w:noProof/>
                <w:webHidden/>
              </w:rPr>
              <w:fldChar w:fldCharType="end"/>
            </w:r>
          </w:hyperlink>
        </w:p>
        <w:p w14:paraId="19E02F0C" w14:textId="2E6BDD89"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24" w:history="1">
            <w:r w:rsidRPr="00DC1719">
              <w:rPr>
                <w:rStyle w:val="Hyperlink"/>
                <w:noProof/>
              </w:rPr>
              <w:t>F.1 Introduction</w:t>
            </w:r>
            <w:r>
              <w:rPr>
                <w:noProof/>
                <w:webHidden/>
              </w:rPr>
              <w:tab/>
            </w:r>
            <w:r>
              <w:rPr>
                <w:noProof/>
                <w:webHidden/>
              </w:rPr>
              <w:fldChar w:fldCharType="begin"/>
            </w:r>
            <w:r>
              <w:rPr>
                <w:noProof/>
                <w:webHidden/>
              </w:rPr>
              <w:instrText xml:space="preserve"> PAGEREF _Toc242885424 \h </w:instrText>
            </w:r>
            <w:r>
              <w:rPr>
                <w:noProof/>
                <w:webHidden/>
              </w:rPr>
            </w:r>
            <w:r>
              <w:rPr>
                <w:noProof/>
                <w:webHidden/>
              </w:rPr>
              <w:fldChar w:fldCharType="separate"/>
            </w:r>
            <w:r>
              <w:rPr>
                <w:noProof/>
                <w:webHidden/>
              </w:rPr>
              <w:t>134</w:t>
            </w:r>
            <w:r>
              <w:rPr>
                <w:noProof/>
                <w:webHidden/>
              </w:rPr>
              <w:fldChar w:fldCharType="end"/>
            </w:r>
          </w:hyperlink>
        </w:p>
        <w:p w14:paraId="48799622" w14:textId="6116E4C4"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25" w:history="1">
            <w:r w:rsidRPr="00DC1719">
              <w:rPr>
                <w:rStyle w:val="Hyperlink"/>
                <w:noProof/>
              </w:rPr>
              <w:t>F.2 What are the estimation techniques?</w:t>
            </w:r>
            <w:r>
              <w:rPr>
                <w:noProof/>
                <w:webHidden/>
              </w:rPr>
              <w:tab/>
            </w:r>
            <w:r>
              <w:rPr>
                <w:noProof/>
                <w:webHidden/>
              </w:rPr>
              <w:fldChar w:fldCharType="begin"/>
            </w:r>
            <w:r>
              <w:rPr>
                <w:noProof/>
                <w:webHidden/>
              </w:rPr>
              <w:instrText xml:space="preserve"> PAGEREF _Toc242885425 \h </w:instrText>
            </w:r>
            <w:r>
              <w:rPr>
                <w:noProof/>
                <w:webHidden/>
              </w:rPr>
            </w:r>
            <w:r>
              <w:rPr>
                <w:noProof/>
                <w:webHidden/>
              </w:rPr>
              <w:fldChar w:fldCharType="separate"/>
            </w:r>
            <w:r>
              <w:rPr>
                <w:noProof/>
                <w:webHidden/>
              </w:rPr>
              <w:t>134</w:t>
            </w:r>
            <w:r>
              <w:rPr>
                <w:noProof/>
                <w:webHidden/>
              </w:rPr>
              <w:fldChar w:fldCharType="end"/>
            </w:r>
          </w:hyperlink>
        </w:p>
        <w:p w14:paraId="7B8167B8" w14:textId="7ECB86C3" w:rsidR="004B052B" w:rsidRDefault="004B052B">
          <w:pPr>
            <w:pStyle w:val="TOC1"/>
            <w:tabs>
              <w:tab w:val="right" w:leader="dot" w:pos="9629"/>
            </w:tabs>
            <w:rPr>
              <w:rFonts w:asciiTheme="minorHAnsi" w:eastAsiaTheme="minorEastAsia" w:hAnsiTheme="minorHAnsi" w:cstheme="minorBidi"/>
              <w:b w:val="0"/>
              <w:noProof/>
              <w:color w:val="auto"/>
              <w:kern w:val="2"/>
              <w:sz w:val="24"/>
              <w:szCs w:val="24"/>
              <w14:ligatures w14:val="standardContextual"/>
            </w:rPr>
          </w:pPr>
          <w:hyperlink w:anchor="_Toc242885426" w:history="1">
            <w:r w:rsidRPr="00DC1719">
              <w:rPr>
                <w:rStyle w:val="Hyperlink"/>
                <w:noProof/>
              </w:rPr>
              <w:t>Appendix G: Facility eligibility form (FEF)</w:t>
            </w:r>
            <w:r>
              <w:rPr>
                <w:noProof/>
                <w:webHidden/>
              </w:rPr>
              <w:tab/>
            </w:r>
            <w:r>
              <w:rPr>
                <w:noProof/>
                <w:webHidden/>
              </w:rPr>
              <w:fldChar w:fldCharType="begin"/>
            </w:r>
            <w:r>
              <w:rPr>
                <w:noProof/>
                <w:webHidden/>
              </w:rPr>
              <w:instrText xml:space="preserve"> PAGEREF _Toc242885426 \h </w:instrText>
            </w:r>
            <w:r>
              <w:rPr>
                <w:noProof/>
                <w:webHidden/>
              </w:rPr>
            </w:r>
            <w:r>
              <w:rPr>
                <w:noProof/>
                <w:webHidden/>
              </w:rPr>
              <w:fldChar w:fldCharType="separate"/>
            </w:r>
            <w:r>
              <w:rPr>
                <w:noProof/>
                <w:webHidden/>
              </w:rPr>
              <w:t>140</w:t>
            </w:r>
            <w:r>
              <w:rPr>
                <w:noProof/>
                <w:webHidden/>
              </w:rPr>
              <w:fldChar w:fldCharType="end"/>
            </w:r>
          </w:hyperlink>
        </w:p>
        <w:p w14:paraId="2E750816" w14:textId="08A39697"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27" w:history="1">
            <w:r w:rsidRPr="00DC1719">
              <w:rPr>
                <w:rStyle w:val="Hyperlink"/>
                <w:noProof/>
              </w:rPr>
              <w:t>Section 1 – Operator Details</w:t>
            </w:r>
            <w:r>
              <w:rPr>
                <w:noProof/>
                <w:webHidden/>
              </w:rPr>
              <w:tab/>
            </w:r>
            <w:r>
              <w:rPr>
                <w:noProof/>
                <w:webHidden/>
              </w:rPr>
              <w:fldChar w:fldCharType="begin"/>
            </w:r>
            <w:r>
              <w:rPr>
                <w:noProof/>
                <w:webHidden/>
              </w:rPr>
              <w:instrText xml:space="preserve"> PAGEREF _Toc242885427 \h </w:instrText>
            </w:r>
            <w:r>
              <w:rPr>
                <w:noProof/>
                <w:webHidden/>
              </w:rPr>
            </w:r>
            <w:r>
              <w:rPr>
                <w:noProof/>
                <w:webHidden/>
              </w:rPr>
              <w:fldChar w:fldCharType="separate"/>
            </w:r>
            <w:r>
              <w:rPr>
                <w:noProof/>
                <w:webHidden/>
              </w:rPr>
              <w:t>140</w:t>
            </w:r>
            <w:r>
              <w:rPr>
                <w:noProof/>
                <w:webHidden/>
              </w:rPr>
              <w:fldChar w:fldCharType="end"/>
            </w:r>
          </w:hyperlink>
        </w:p>
        <w:p w14:paraId="5AC412C6" w14:textId="2E0033C4"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28" w:history="1">
            <w:r w:rsidRPr="00DC1719">
              <w:rPr>
                <w:rStyle w:val="Hyperlink"/>
                <w:noProof/>
              </w:rPr>
              <w:t>Section 2 –</w:t>
            </w:r>
            <w:r w:rsidRPr="00DC1719">
              <w:rPr>
                <w:rStyle w:val="Hyperlink"/>
                <w:noProof/>
                <w:spacing w:val="-5"/>
              </w:rPr>
              <w:t xml:space="preserve"> </w:t>
            </w:r>
            <w:r w:rsidRPr="00DC1719">
              <w:rPr>
                <w:rStyle w:val="Hyperlink"/>
                <w:noProof/>
              </w:rPr>
              <w:t>Facility Profile</w:t>
            </w:r>
            <w:r>
              <w:rPr>
                <w:noProof/>
                <w:webHidden/>
              </w:rPr>
              <w:tab/>
            </w:r>
            <w:r>
              <w:rPr>
                <w:noProof/>
                <w:webHidden/>
              </w:rPr>
              <w:fldChar w:fldCharType="begin"/>
            </w:r>
            <w:r>
              <w:rPr>
                <w:noProof/>
                <w:webHidden/>
              </w:rPr>
              <w:instrText xml:space="preserve"> PAGEREF _Toc242885428 \h </w:instrText>
            </w:r>
            <w:r>
              <w:rPr>
                <w:noProof/>
                <w:webHidden/>
              </w:rPr>
            </w:r>
            <w:r>
              <w:rPr>
                <w:noProof/>
                <w:webHidden/>
              </w:rPr>
              <w:fldChar w:fldCharType="separate"/>
            </w:r>
            <w:r>
              <w:rPr>
                <w:noProof/>
                <w:webHidden/>
              </w:rPr>
              <w:t>140</w:t>
            </w:r>
            <w:r>
              <w:rPr>
                <w:noProof/>
                <w:webHidden/>
              </w:rPr>
              <w:fldChar w:fldCharType="end"/>
            </w:r>
          </w:hyperlink>
        </w:p>
        <w:p w14:paraId="2F112D84" w14:textId="0EBE56C4"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29" w:history="1">
            <w:r w:rsidRPr="00DC1719">
              <w:rPr>
                <w:rStyle w:val="Hyperlink"/>
                <w:noProof/>
              </w:rPr>
              <w:t>Section 3 – Information on the extent of the facility</w:t>
            </w:r>
            <w:r>
              <w:rPr>
                <w:noProof/>
                <w:webHidden/>
              </w:rPr>
              <w:tab/>
            </w:r>
            <w:r>
              <w:rPr>
                <w:noProof/>
                <w:webHidden/>
              </w:rPr>
              <w:fldChar w:fldCharType="begin"/>
            </w:r>
            <w:r>
              <w:rPr>
                <w:noProof/>
                <w:webHidden/>
              </w:rPr>
              <w:instrText xml:space="preserve"> PAGEREF _Toc242885429 \h </w:instrText>
            </w:r>
            <w:r>
              <w:rPr>
                <w:noProof/>
                <w:webHidden/>
              </w:rPr>
            </w:r>
            <w:r>
              <w:rPr>
                <w:noProof/>
                <w:webHidden/>
              </w:rPr>
              <w:fldChar w:fldCharType="separate"/>
            </w:r>
            <w:r>
              <w:rPr>
                <w:noProof/>
                <w:webHidden/>
              </w:rPr>
              <w:t>142</w:t>
            </w:r>
            <w:r>
              <w:rPr>
                <w:noProof/>
                <w:webHidden/>
              </w:rPr>
              <w:fldChar w:fldCharType="end"/>
            </w:r>
          </w:hyperlink>
        </w:p>
        <w:p w14:paraId="410BF6E5" w14:textId="7C66C53B"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30" w:history="1">
            <w:r w:rsidRPr="00DC1719">
              <w:rPr>
                <w:rStyle w:val="Hyperlink"/>
                <w:noProof/>
              </w:rPr>
              <w:t>Section 4 – Application of the 70% rule (on basis of most recent 12-month continuous data)</w:t>
            </w:r>
            <w:r>
              <w:rPr>
                <w:noProof/>
                <w:webHidden/>
              </w:rPr>
              <w:tab/>
            </w:r>
            <w:r>
              <w:rPr>
                <w:noProof/>
                <w:webHidden/>
              </w:rPr>
              <w:fldChar w:fldCharType="begin"/>
            </w:r>
            <w:r>
              <w:rPr>
                <w:noProof/>
                <w:webHidden/>
              </w:rPr>
              <w:instrText xml:space="preserve"> PAGEREF _Toc242885430 \h </w:instrText>
            </w:r>
            <w:r>
              <w:rPr>
                <w:noProof/>
                <w:webHidden/>
              </w:rPr>
            </w:r>
            <w:r>
              <w:rPr>
                <w:noProof/>
                <w:webHidden/>
              </w:rPr>
              <w:fldChar w:fldCharType="separate"/>
            </w:r>
            <w:r>
              <w:rPr>
                <w:noProof/>
                <w:webHidden/>
              </w:rPr>
              <w:t>144</w:t>
            </w:r>
            <w:r>
              <w:rPr>
                <w:noProof/>
                <w:webHidden/>
              </w:rPr>
              <w:fldChar w:fldCharType="end"/>
            </w:r>
          </w:hyperlink>
        </w:p>
        <w:p w14:paraId="030B9626" w14:textId="3711A7AF"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31" w:history="1">
            <w:r w:rsidRPr="00DC1719">
              <w:rPr>
                <w:rStyle w:val="Hyperlink"/>
                <w:noProof/>
              </w:rPr>
              <w:t>Section 5 - Eligibility confirmation</w:t>
            </w:r>
            <w:r>
              <w:rPr>
                <w:noProof/>
                <w:webHidden/>
              </w:rPr>
              <w:tab/>
            </w:r>
            <w:r>
              <w:rPr>
                <w:noProof/>
                <w:webHidden/>
              </w:rPr>
              <w:fldChar w:fldCharType="begin"/>
            </w:r>
            <w:r>
              <w:rPr>
                <w:noProof/>
                <w:webHidden/>
              </w:rPr>
              <w:instrText xml:space="preserve"> PAGEREF _Toc242885431 \h </w:instrText>
            </w:r>
            <w:r>
              <w:rPr>
                <w:noProof/>
                <w:webHidden/>
              </w:rPr>
            </w:r>
            <w:r>
              <w:rPr>
                <w:noProof/>
                <w:webHidden/>
              </w:rPr>
              <w:fldChar w:fldCharType="separate"/>
            </w:r>
            <w:r>
              <w:rPr>
                <w:noProof/>
                <w:webHidden/>
              </w:rPr>
              <w:t>145</w:t>
            </w:r>
            <w:r>
              <w:rPr>
                <w:noProof/>
                <w:webHidden/>
              </w:rPr>
              <w:fldChar w:fldCharType="end"/>
            </w:r>
          </w:hyperlink>
        </w:p>
        <w:p w14:paraId="6E8BD2F2" w14:textId="22A3E18E"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32" w:history="1">
            <w:r w:rsidRPr="00DC1719">
              <w:rPr>
                <w:rStyle w:val="Hyperlink"/>
                <w:noProof/>
              </w:rPr>
              <w:t>Section 5 – Submission</w:t>
            </w:r>
            <w:r>
              <w:rPr>
                <w:noProof/>
                <w:webHidden/>
              </w:rPr>
              <w:tab/>
            </w:r>
            <w:r>
              <w:rPr>
                <w:noProof/>
                <w:webHidden/>
              </w:rPr>
              <w:fldChar w:fldCharType="begin"/>
            </w:r>
            <w:r>
              <w:rPr>
                <w:noProof/>
                <w:webHidden/>
              </w:rPr>
              <w:instrText xml:space="preserve"> PAGEREF _Toc242885432 \h </w:instrText>
            </w:r>
            <w:r>
              <w:rPr>
                <w:noProof/>
                <w:webHidden/>
              </w:rPr>
            </w:r>
            <w:r>
              <w:rPr>
                <w:noProof/>
                <w:webHidden/>
              </w:rPr>
              <w:fldChar w:fldCharType="separate"/>
            </w:r>
            <w:r>
              <w:rPr>
                <w:noProof/>
                <w:webHidden/>
              </w:rPr>
              <w:t>145</w:t>
            </w:r>
            <w:r>
              <w:rPr>
                <w:noProof/>
                <w:webHidden/>
              </w:rPr>
              <w:fldChar w:fldCharType="end"/>
            </w:r>
          </w:hyperlink>
        </w:p>
        <w:p w14:paraId="05286F07" w14:textId="1115E81E" w:rsidR="004B052B" w:rsidRDefault="004B052B">
          <w:pPr>
            <w:pStyle w:val="TOC1"/>
            <w:tabs>
              <w:tab w:val="right" w:leader="dot" w:pos="9629"/>
            </w:tabs>
            <w:rPr>
              <w:rFonts w:asciiTheme="minorHAnsi" w:eastAsiaTheme="minorEastAsia" w:hAnsiTheme="minorHAnsi" w:cstheme="minorBidi"/>
              <w:b w:val="0"/>
              <w:noProof/>
              <w:color w:val="auto"/>
              <w:kern w:val="2"/>
              <w:sz w:val="24"/>
              <w:szCs w:val="24"/>
              <w14:ligatures w14:val="standardContextual"/>
            </w:rPr>
          </w:pPr>
          <w:hyperlink w:anchor="_Toc242885433" w:history="1">
            <w:r w:rsidRPr="00DC1719">
              <w:rPr>
                <w:rStyle w:val="Hyperlink"/>
                <w:noProof/>
              </w:rPr>
              <w:t>Appendix H: Workbook tools</w:t>
            </w:r>
            <w:r>
              <w:rPr>
                <w:noProof/>
                <w:webHidden/>
              </w:rPr>
              <w:tab/>
            </w:r>
            <w:r>
              <w:rPr>
                <w:noProof/>
                <w:webHidden/>
              </w:rPr>
              <w:fldChar w:fldCharType="begin"/>
            </w:r>
            <w:r>
              <w:rPr>
                <w:noProof/>
                <w:webHidden/>
              </w:rPr>
              <w:instrText xml:space="preserve"> PAGEREF _Toc242885433 \h </w:instrText>
            </w:r>
            <w:r>
              <w:rPr>
                <w:noProof/>
                <w:webHidden/>
              </w:rPr>
            </w:r>
            <w:r>
              <w:rPr>
                <w:noProof/>
                <w:webHidden/>
              </w:rPr>
              <w:fldChar w:fldCharType="separate"/>
            </w:r>
            <w:r>
              <w:rPr>
                <w:noProof/>
                <w:webHidden/>
              </w:rPr>
              <w:t>147</w:t>
            </w:r>
            <w:r>
              <w:rPr>
                <w:noProof/>
                <w:webHidden/>
              </w:rPr>
              <w:fldChar w:fldCharType="end"/>
            </w:r>
          </w:hyperlink>
        </w:p>
        <w:p w14:paraId="7B381351" w14:textId="2B7B2F79"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34" w:history="1">
            <w:r w:rsidRPr="00DC1719">
              <w:rPr>
                <w:rStyle w:val="Hyperlink"/>
                <w:noProof/>
              </w:rPr>
              <w:t>New entrant and variation target calculators</w:t>
            </w:r>
            <w:r>
              <w:rPr>
                <w:noProof/>
                <w:webHidden/>
              </w:rPr>
              <w:tab/>
            </w:r>
            <w:r>
              <w:rPr>
                <w:noProof/>
                <w:webHidden/>
              </w:rPr>
              <w:fldChar w:fldCharType="begin"/>
            </w:r>
            <w:r>
              <w:rPr>
                <w:noProof/>
                <w:webHidden/>
              </w:rPr>
              <w:instrText xml:space="preserve"> PAGEREF _Toc242885434 \h </w:instrText>
            </w:r>
            <w:r>
              <w:rPr>
                <w:noProof/>
                <w:webHidden/>
              </w:rPr>
            </w:r>
            <w:r>
              <w:rPr>
                <w:noProof/>
                <w:webHidden/>
              </w:rPr>
              <w:fldChar w:fldCharType="separate"/>
            </w:r>
            <w:r>
              <w:rPr>
                <w:noProof/>
                <w:webHidden/>
              </w:rPr>
              <w:t>147</w:t>
            </w:r>
            <w:r>
              <w:rPr>
                <w:noProof/>
                <w:webHidden/>
              </w:rPr>
              <w:fldChar w:fldCharType="end"/>
            </w:r>
          </w:hyperlink>
        </w:p>
        <w:p w14:paraId="3149F7F9" w14:textId="31A7017C" w:rsidR="004B052B" w:rsidRDefault="004B052B">
          <w:pPr>
            <w:pStyle w:val="TOC2"/>
            <w:tabs>
              <w:tab w:val="right" w:leader="dot" w:pos="9629"/>
            </w:tabs>
            <w:rPr>
              <w:rFonts w:asciiTheme="minorHAnsi" w:eastAsiaTheme="minorEastAsia" w:hAnsiTheme="minorHAnsi" w:cstheme="minorBidi"/>
              <w:noProof/>
              <w:color w:val="auto"/>
              <w:kern w:val="2"/>
              <w:sz w:val="24"/>
              <w:szCs w:val="24"/>
              <w14:ligatures w14:val="standardContextual"/>
            </w:rPr>
          </w:pPr>
          <w:hyperlink w:anchor="_Toc242885435" w:history="1">
            <w:r w:rsidRPr="00DC1719">
              <w:rPr>
                <w:rStyle w:val="Hyperlink"/>
                <w:noProof/>
              </w:rPr>
              <w:t>Reporting variation target calculators</w:t>
            </w:r>
            <w:r>
              <w:rPr>
                <w:noProof/>
                <w:webHidden/>
              </w:rPr>
              <w:tab/>
            </w:r>
            <w:r>
              <w:rPr>
                <w:noProof/>
                <w:webHidden/>
              </w:rPr>
              <w:fldChar w:fldCharType="begin"/>
            </w:r>
            <w:r>
              <w:rPr>
                <w:noProof/>
                <w:webHidden/>
              </w:rPr>
              <w:instrText xml:space="preserve"> PAGEREF _Toc242885435 \h </w:instrText>
            </w:r>
            <w:r>
              <w:rPr>
                <w:noProof/>
                <w:webHidden/>
              </w:rPr>
            </w:r>
            <w:r>
              <w:rPr>
                <w:noProof/>
                <w:webHidden/>
              </w:rPr>
              <w:fldChar w:fldCharType="separate"/>
            </w:r>
            <w:r>
              <w:rPr>
                <w:noProof/>
                <w:webHidden/>
              </w:rPr>
              <w:t>148</w:t>
            </w:r>
            <w:r>
              <w:rPr>
                <w:noProof/>
                <w:webHidden/>
              </w:rPr>
              <w:fldChar w:fldCharType="end"/>
            </w:r>
          </w:hyperlink>
        </w:p>
        <w:p w14:paraId="38B09FA9" w14:textId="7DBAD482" w:rsidR="00026E66" w:rsidRPr="00FF0098" w:rsidRDefault="00B45BB1" w:rsidP="00FC355D">
          <w:pPr>
            <w:pStyle w:val="TOC2"/>
            <w:tabs>
              <w:tab w:val="left" w:pos="0"/>
              <w:tab w:val="right" w:leader="dot" w:pos="10372"/>
            </w:tabs>
            <w:spacing w:after="0" w:line="360" w:lineRule="auto"/>
            <w:ind w:left="0"/>
          </w:pPr>
          <w:r>
            <w:rPr>
              <w:b/>
              <w:sz w:val="24"/>
              <w:szCs w:val="24"/>
            </w:rPr>
            <w:fldChar w:fldCharType="end"/>
          </w:r>
        </w:p>
      </w:sdtContent>
    </w:sdt>
    <w:p w14:paraId="7E91BFD8" w14:textId="31FF791A" w:rsidR="00026E66" w:rsidRDefault="002737EF" w:rsidP="00DD721B">
      <w:pPr>
        <w:pStyle w:val="Heading1"/>
      </w:pPr>
      <w:bookmarkStart w:id="0" w:name="_Toc94718625"/>
      <w:bookmarkStart w:id="1" w:name="_Toc94088873"/>
      <w:bookmarkStart w:id="2" w:name="_Toc242885352"/>
      <w:r>
        <w:t>1. Introduction</w:t>
      </w:r>
      <w:bookmarkEnd w:id="0"/>
      <w:bookmarkEnd w:id="1"/>
      <w:bookmarkEnd w:id="2"/>
      <w:r>
        <w:t xml:space="preserve"> </w:t>
      </w:r>
    </w:p>
    <w:p w14:paraId="3879C066" w14:textId="1276AFFB" w:rsidR="00026E66" w:rsidRDefault="002737EF" w:rsidP="00FC355D">
      <w:r>
        <w:t xml:space="preserve">The Climate Change Agreements (CCA) scheme is a voluntary scheme administered by the Environment Agency on behalf of the </w:t>
      </w:r>
      <w:r w:rsidR="00BF7871">
        <w:t xml:space="preserve">UK </w:t>
      </w:r>
      <w:r w:rsidR="00A25934">
        <w:t>government</w:t>
      </w:r>
      <w:r w:rsidR="00984DC5">
        <w:t xml:space="preserve"> </w:t>
      </w:r>
      <w:r>
        <w:t>for the whole of the UK.</w:t>
      </w:r>
      <w:r w:rsidR="00FC355D">
        <w:t xml:space="preserve"> </w:t>
      </w:r>
      <w:r>
        <w:t xml:space="preserve">It enables holders of climate change agreements to claim </w:t>
      </w:r>
      <w:r w:rsidR="00B46E9B">
        <w:t>reduced rates of</w:t>
      </w:r>
      <w:r>
        <w:t xml:space="preserve"> </w:t>
      </w:r>
      <w:hyperlink w:anchor="CCL" w:history="1">
        <w:r w:rsidRPr="00D654CC">
          <w:rPr>
            <w:rStyle w:val="Hyperlink"/>
          </w:rPr>
          <w:t>Climate Change Levy (CCL)</w:t>
        </w:r>
      </w:hyperlink>
      <w:r>
        <w:t xml:space="preserve"> – </w:t>
      </w:r>
      <w:r>
        <w:rPr>
          <w:lang w:val="en"/>
        </w:rPr>
        <w:t xml:space="preserve">a tax on energy </w:t>
      </w:r>
      <w:r w:rsidR="00A25934">
        <w:rPr>
          <w:lang w:val="en"/>
        </w:rPr>
        <w:t>delivered to</w:t>
      </w:r>
      <w:r w:rsidR="00E069B0">
        <w:rPr>
          <w:lang w:val="en"/>
        </w:rPr>
        <w:t xml:space="preserve"> non-domestic</w:t>
      </w:r>
      <w:r w:rsidR="00A25934">
        <w:rPr>
          <w:lang w:val="en"/>
        </w:rPr>
        <w:t xml:space="preserve"> users</w:t>
      </w:r>
      <w:r>
        <w:rPr>
          <w:lang w:val="en"/>
        </w:rPr>
        <w:t xml:space="preserve">. In exchange, participants are required to meet energy efficiency improvement </w:t>
      </w:r>
      <w:r w:rsidR="00E63CD4">
        <w:rPr>
          <w:lang w:val="en"/>
        </w:rPr>
        <w:t xml:space="preserve">or carbon reduction </w:t>
      </w:r>
      <w:r>
        <w:rPr>
          <w:lang w:val="en"/>
        </w:rPr>
        <w:t xml:space="preserve">targets agreed between government and </w:t>
      </w:r>
      <w:hyperlink w:anchor="Sectorassociation" w:history="1">
        <w:r w:rsidRPr="007C15D5">
          <w:rPr>
            <w:rStyle w:val="Hyperlink"/>
            <w:lang w:val="en"/>
          </w:rPr>
          <w:t>sector associations</w:t>
        </w:r>
        <w:r w:rsidRPr="007C15D5">
          <w:rPr>
            <w:rStyle w:val="Hyperlink"/>
          </w:rPr>
          <w:t>.</w:t>
        </w:r>
      </w:hyperlink>
    </w:p>
    <w:p w14:paraId="5C4CD1BC" w14:textId="1732FFBE" w:rsidR="00AC5725" w:rsidRDefault="002737EF" w:rsidP="00FC355D">
      <w:pPr>
        <w:rPr>
          <w:color w:val="auto"/>
        </w:rPr>
      </w:pPr>
      <w:r w:rsidRPr="0DDFC989">
        <w:rPr>
          <w:color w:val="auto"/>
        </w:rPr>
        <w:t xml:space="preserve">The </w:t>
      </w:r>
      <w:r w:rsidR="00B342F8" w:rsidRPr="0DDFC989">
        <w:rPr>
          <w:color w:val="auto"/>
        </w:rPr>
        <w:t>p</w:t>
      </w:r>
      <w:r w:rsidR="004240DB" w:rsidRPr="0DDFC989">
        <w:rPr>
          <w:color w:val="auto"/>
        </w:rPr>
        <w:t xml:space="preserve">revious </w:t>
      </w:r>
      <w:r w:rsidR="00DE755D" w:rsidRPr="0DDFC989">
        <w:rPr>
          <w:color w:val="auto"/>
        </w:rPr>
        <w:t>CCA</w:t>
      </w:r>
      <w:r w:rsidR="004240DB" w:rsidRPr="0DDFC989">
        <w:rPr>
          <w:color w:val="auto"/>
        </w:rPr>
        <w:t xml:space="preserve"> </w:t>
      </w:r>
      <w:r w:rsidRPr="0DDFC989">
        <w:rPr>
          <w:color w:val="auto"/>
        </w:rPr>
        <w:t xml:space="preserve">scheme </w:t>
      </w:r>
      <w:r w:rsidR="00B342F8" w:rsidRPr="0DDFC989">
        <w:rPr>
          <w:color w:val="auto"/>
        </w:rPr>
        <w:t xml:space="preserve">consisted of </w:t>
      </w:r>
      <w:r w:rsidR="00317D6F">
        <w:rPr>
          <w:color w:val="auto"/>
        </w:rPr>
        <w:t>6</w:t>
      </w:r>
      <w:r w:rsidR="00317D6F" w:rsidRPr="0DDFC989">
        <w:rPr>
          <w:color w:val="auto"/>
        </w:rPr>
        <w:t xml:space="preserve"> </w:t>
      </w:r>
      <w:hyperlink w:anchor="Targetperiod" w:history="1">
        <w:r w:rsidR="003F1756" w:rsidRPr="002C7734">
          <w:rPr>
            <w:rStyle w:val="Hyperlink"/>
          </w:rPr>
          <w:t>target periods</w:t>
        </w:r>
      </w:hyperlink>
      <w:r w:rsidR="00E34180" w:rsidRPr="0DDFC989">
        <w:rPr>
          <w:color w:val="auto"/>
        </w:rPr>
        <w:t xml:space="preserve">. The final target period ended </w:t>
      </w:r>
      <w:r w:rsidR="00680F53" w:rsidRPr="0DDFC989">
        <w:rPr>
          <w:color w:val="auto"/>
        </w:rPr>
        <w:t xml:space="preserve">on 31 December 2024, </w:t>
      </w:r>
      <w:r w:rsidR="00276629" w:rsidRPr="0DDFC989">
        <w:rPr>
          <w:color w:val="auto"/>
        </w:rPr>
        <w:t>with</w:t>
      </w:r>
      <w:r w:rsidR="0FBF6227" w:rsidRPr="0DDFC989">
        <w:rPr>
          <w:color w:val="auto"/>
        </w:rPr>
        <w:t xml:space="preserve"> </w:t>
      </w:r>
      <w:r w:rsidR="00276629" w:rsidRPr="0DDFC989">
        <w:rPr>
          <w:color w:val="auto"/>
        </w:rPr>
        <w:t xml:space="preserve">the </w:t>
      </w:r>
      <w:r w:rsidR="00CD768B" w:rsidRPr="0DDFC989">
        <w:rPr>
          <w:color w:val="auto"/>
        </w:rPr>
        <w:t xml:space="preserve">corresponding </w:t>
      </w:r>
      <w:hyperlink w:anchor="Certificationperiod" w:history="1">
        <w:r w:rsidR="0FBF6227" w:rsidRPr="007969BF">
          <w:rPr>
            <w:rStyle w:val="Hyperlink"/>
          </w:rPr>
          <w:t>certification period</w:t>
        </w:r>
      </w:hyperlink>
      <w:r w:rsidR="00276629" w:rsidRPr="0DDFC989">
        <w:rPr>
          <w:color w:val="auto"/>
        </w:rPr>
        <w:t xml:space="preserve"> (Certification Period 7)</w:t>
      </w:r>
      <w:r w:rsidR="0FBF6227" w:rsidRPr="0DDFC989">
        <w:rPr>
          <w:color w:val="auto"/>
        </w:rPr>
        <w:t xml:space="preserve"> ending on </w:t>
      </w:r>
      <w:r w:rsidR="003F1756" w:rsidRPr="0DDFC989">
        <w:rPr>
          <w:color w:val="auto"/>
        </w:rPr>
        <w:t>30 June 2027</w:t>
      </w:r>
      <w:r w:rsidR="00990FB7" w:rsidRPr="0DDFC989">
        <w:rPr>
          <w:color w:val="auto"/>
        </w:rPr>
        <w:t>.</w:t>
      </w:r>
      <w:r w:rsidR="00276629" w:rsidRPr="0DDFC989">
        <w:rPr>
          <w:color w:val="auto"/>
        </w:rPr>
        <w:t xml:space="preserve"> </w:t>
      </w:r>
      <w:r w:rsidR="00E45E42" w:rsidRPr="0DDFC989">
        <w:rPr>
          <w:color w:val="auto"/>
        </w:rPr>
        <w:t xml:space="preserve">Operators </w:t>
      </w:r>
      <w:r w:rsidR="00AC5725" w:rsidRPr="0DDFC989">
        <w:rPr>
          <w:color w:val="auto"/>
        </w:rPr>
        <w:t>can claim the reduced rates of CCL until 30 June 2027</w:t>
      </w:r>
      <w:r w:rsidR="00AC5725">
        <w:rPr>
          <w:color w:val="auto"/>
        </w:rPr>
        <w:t xml:space="preserve"> if they: </w:t>
      </w:r>
    </w:p>
    <w:p w14:paraId="28EFE3F6" w14:textId="5B5FA67D" w:rsidR="00AC5725" w:rsidRDefault="00AC5725" w:rsidP="00AC5725">
      <w:pPr>
        <w:pStyle w:val="ListParagraph"/>
        <w:numPr>
          <w:ilvl w:val="0"/>
          <w:numId w:val="228"/>
        </w:numPr>
      </w:pPr>
      <w:r>
        <w:t>meet</w:t>
      </w:r>
      <w:r w:rsidR="00E45E42" w:rsidRPr="00AC5725">
        <w:t xml:space="preserve"> their improvement target for the final target period</w:t>
      </w:r>
    </w:p>
    <w:p w14:paraId="089C80AF" w14:textId="071F4172" w:rsidR="00AC5725" w:rsidRDefault="00E45E42" w:rsidP="00AC5725">
      <w:pPr>
        <w:pStyle w:val="ListParagraph"/>
        <w:numPr>
          <w:ilvl w:val="0"/>
          <w:numId w:val="228"/>
        </w:numPr>
      </w:pPr>
      <w:r w:rsidRPr="00AC5725">
        <w:t>continue to carry out eligible activities</w:t>
      </w:r>
      <w:r w:rsidR="00D54ECB" w:rsidRPr="00AC5725">
        <w:t xml:space="preserve"> </w:t>
      </w:r>
    </w:p>
    <w:p w14:paraId="2299F683" w14:textId="1991B214" w:rsidR="00AC5725" w:rsidRDefault="00D54ECB" w:rsidP="00AC5725">
      <w:pPr>
        <w:pStyle w:val="ListParagraph"/>
        <w:numPr>
          <w:ilvl w:val="0"/>
          <w:numId w:val="228"/>
        </w:numPr>
      </w:pPr>
      <w:r w:rsidRPr="00AC5725">
        <w:t>have</w:t>
      </w:r>
      <w:r w:rsidR="00112ED7" w:rsidRPr="00AC5725">
        <w:t xml:space="preserve"> met other obligations </w:t>
      </w:r>
      <w:r w:rsidR="00EC11ED" w:rsidRPr="00AC5725">
        <w:t xml:space="preserve">set out in </w:t>
      </w:r>
      <w:r w:rsidR="004428EA" w:rsidRPr="00AC5725">
        <w:t>their underlying</w:t>
      </w:r>
      <w:r w:rsidR="001C5EAA" w:rsidRPr="00AC5725">
        <w:t xml:space="preserve"> agreements</w:t>
      </w:r>
      <w:r w:rsidR="004428EA" w:rsidRPr="00AC5725" w:rsidDel="00AC5725">
        <w:t xml:space="preserve"> </w:t>
      </w:r>
    </w:p>
    <w:p w14:paraId="5AB42B16" w14:textId="65AFC15D" w:rsidR="00B342F8" w:rsidRPr="00AC5725" w:rsidRDefault="00F43CCF" w:rsidP="00AC5725">
      <w:r w:rsidRPr="00AC5725">
        <w:t xml:space="preserve">Unless </w:t>
      </w:r>
      <w:r w:rsidR="00A00392" w:rsidRPr="00AC5725">
        <w:t xml:space="preserve">an </w:t>
      </w:r>
      <w:r w:rsidRPr="00AC5725">
        <w:t xml:space="preserve">operator </w:t>
      </w:r>
      <w:r w:rsidR="00A356A7" w:rsidRPr="00AC5725">
        <w:t>notifies us that they wish to participate in</w:t>
      </w:r>
      <w:r w:rsidRPr="00AC5725">
        <w:t xml:space="preserve"> the new scheme</w:t>
      </w:r>
      <w:r w:rsidR="001D7FC1" w:rsidRPr="00AC5725">
        <w:t>,</w:t>
      </w:r>
      <w:r w:rsidR="00887AF4" w:rsidRPr="00AC5725">
        <w:t xml:space="preserve"> </w:t>
      </w:r>
      <w:r w:rsidRPr="00AC5725">
        <w:t>we will terminate their</w:t>
      </w:r>
      <w:r w:rsidR="6C6E207F" w:rsidRPr="00AC5725">
        <w:t xml:space="preserve"> </w:t>
      </w:r>
      <w:hyperlink w:anchor="Underlyingagreement" w:history="1">
        <w:r w:rsidR="6C6E207F" w:rsidRPr="0017611F">
          <w:rPr>
            <w:rStyle w:val="Hyperlink"/>
          </w:rPr>
          <w:t>underlying</w:t>
        </w:r>
        <w:r w:rsidRPr="0017611F">
          <w:rPr>
            <w:rStyle w:val="Hyperlink"/>
          </w:rPr>
          <w:t xml:space="preserve"> </w:t>
        </w:r>
        <w:r w:rsidR="00887AF4" w:rsidRPr="0017611F">
          <w:rPr>
            <w:rStyle w:val="Hyperlink"/>
          </w:rPr>
          <w:t>agreement</w:t>
        </w:r>
      </w:hyperlink>
      <w:r w:rsidR="00887AF4" w:rsidRPr="00AC5725">
        <w:t xml:space="preserve"> </w:t>
      </w:r>
      <w:r w:rsidR="009D10FD" w:rsidRPr="00AC5725">
        <w:t>immediately after 30 June 2027</w:t>
      </w:r>
      <w:r w:rsidR="00BD0D84" w:rsidRPr="00AC5725">
        <w:t xml:space="preserve">. </w:t>
      </w:r>
    </w:p>
    <w:p w14:paraId="2544367C" w14:textId="01016AFE" w:rsidR="00B342F8" w:rsidRDefault="00B342F8" w:rsidP="00FC355D">
      <w:pPr>
        <w:rPr>
          <w:color w:val="auto"/>
        </w:rPr>
      </w:pPr>
      <w:r w:rsidRPr="367C46E0">
        <w:rPr>
          <w:color w:val="auto"/>
        </w:rPr>
        <w:t xml:space="preserve">The new CCA scheme </w:t>
      </w:r>
      <w:r w:rsidR="00C0573E" w:rsidRPr="367C46E0">
        <w:rPr>
          <w:color w:val="auto"/>
        </w:rPr>
        <w:t xml:space="preserve">has </w:t>
      </w:r>
      <w:r w:rsidR="009E12F0" w:rsidRPr="7BA0B80B">
        <w:rPr>
          <w:color w:val="auto"/>
        </w:rPr>
        <w:t>3</w:t>
      </w:r>
      <w:r w:rsidR="00C0573E" w:rsidRPr="367C46E0">
        <w:rPr>
          <w:color w:val="auto"/>
        </w:rPr>
        <w:t xml:space="preserve"> </w:t>
      </w:r>
      <w:r w:rsidR="001D7FC1">
        <w:rPr>
          <w:color w:val="auto"/>
        </w:rPr>
        <w:t>t</w:t>
      </w:r>
      <w:r w:rsidR="005A661E" w:rsidRPr="367C46E0">
        <w:rPr>
          <w:color w:val="auto"/>
        </w:rPr>
        <w:t xml:space="preserve">arget </w:t>
      </w:r>
      <w:r w:rsidR="001D7FC1">
        <w:rPr>
          <w:color w:val="auto"/>
        </w:rPr>
        <w:t>p</w:t>
      </w:r>
      <w:r w:rsidR="00C0573E" w:rsidRPr="367C46E0">
        <w:rPr>
          <w:color w:val="auto"/>
        </w:rPr>
        <w:t>eriods</w:t>
      </w:r>
      <w:r w:rsidR="009D4827">
        <w:rPr>
          <w:color w:val="auto"/>
        </w:rPr>
        <w:t xml:space="preserve"> beginning</w:t>
      </w:r>
      <w:r w:rsidRPr="367C46E0">
        <w:rPr>
          <w:color w:val="auto"/>
        </w:rPr>
        <w:t xml:space="preserve"> on 1 January 2026</w:t>
      </w:r>
      <w:r w:rsidR="009D4827">
        <w:rPr>
          <w:color w:val="auto"/>
        </w:rPr>
        <w:t xml:space="preserve"> and ending on 31</w:t>
      </w:r>
      <w:r w:rsidR="00E846EA">
        <w:rPr>
          <w:color w:val="auto"/>
        </w:rPr>
        <w:t xml:space="preserve"> December 2030</w:t>
      </w:r>
      <w:r w:rsidR="0082216C">
        <w:rPr>
          <w:color w:val="auto"/>
        </w:rPr>
        <w:t>. The final certification period is scheduled to</w:t>
      </w:r>
      <w:r w:rsidRPr="367C46E0">
        <w:rPr>
          <w:color w:val="auto"/>
        </w:rPr>
        <w:t xml:space="preserve"> end on 31 </w:t>
      </w:r>
      <w:r w:rsidR="00B86348">
        <w:rPr>
          <w:color w:val="auto"/>
        </w:rPr>
        <w:t xml:space="preserve">March </w:t>
      </w:r>
      <w:r w:rsidRPr="367C46E0">
        <w:rPr>
          <w:color w:val="auto"/>
        </w:rPr>
        <w:t>203</w:t>
      </w:r>
      <w:r w:rsidR="00B86348">
        <w:rPr>
          <w:color w:val="auto"/>
        </w:rPr>
        <w:t>3</w:t>
      </w:r>
      <w:r w:rsidRPr="367C46E0">
        <w:rPr>
          <w:color w:val="auto"/>
        </w:rPr>
        <w:t xml:space="preserve">. </w:t>
      </w:r>
      <w:r w:rsidR="00585DBD" w:rsidRPr="367C46E0">
        <w:rPr>
          <w:color w:val="auto"/>
        </w:rPr>
        <w:t xml:space="preserve">Target </w:t>
      </w:r>
      <w:r w:rsidR="001D7FC1">
        <w:rPr>
          <w:color w:val="auto"/>
        </w:rPr>
        <w:t>P</w:t>
      </w:r>
      <w:r w:rsidR="00585DBD" w:rsidRPr="367C46E0">
        <w:rPr>
          <w:color w:val="auto"/>
        </w:rPr>
        <w:t xml:space="preserve">eriod 7 began </w:t>
      </w:r>
      <w:r w:rsidR="000A1DEF" w:rsidRPr="367C46E0">
        <w:rPr>
          <w:color w:val="auto"/>
        </w:rPr>
        <w:t xml:space="preserve">on 1 </w:t>
      </w:r>
      <w:r w:rsidR="00A0048B" w:rsidRPr="367C46E0">
        <w:rPr>
          <w:color w:val="auto"/>
        </w:rPr>
        <w:t>January</w:t>
      </w:r>
      <w:r w:rsidR="000A1DEF" w:rsidRPr="367C46E0">
        <w:rPr>
          <w:color w:val="auto"/>
        </w:rPr>
        <w:t xml:space="preserve"> 2026 and will end on 31 December 2026. </w:t>
      </w:r>
      <w:r w:rsidR="00E31DAC" w:rsidRPr="367C46E0">
        <w:rPr>
          <w:color w:val="auto"/>
        </w:rPr>
        <w:t xml:space="preserve">Target Period </w:t>
      </w:r>
      <w:r w:rsidR="001A2729" w:rsidRPr="367C46E0">
        <w:rPr>
          <w:color w:val="auto"/>
        </w:rPr>
        <w:t>8</w:t>
      </w:r>
      <w:r w:rsidR="00E31DAC" w:rsidRPr="367C46E0">
        <w:rPr>
          <w:color w:val="auto"/>
        </w:rPr>
        <w:t xml:space="preserve"> and Target Period </w:t>
      </w:r>
      <w:r w:rsidR="001A2729" w:rsidRPr="367C46E0">
        <w:rPr>
          <w:color w:val="auto"/>
        </w:rPr>
        <w:t>9</w:t>
      </w:r>
      <w:r w:rsidR="00E31DAC" w:rsidRPr="367C46E0">
        <w:rPr>
          <w:color w:val="auto"/>
        </w:rPr>
        <w:t xml:space="preserve"> </w:t>
      </w:r>
      <w:r w:rsidR="00EA1C6D" w:rsidRPr="367C46E0">
        <w:rPr>
          <w:color w:val="auto"/>
        </w:rPr>
        <w:t>are</w:t>
      </w:r>
      <w:r w:rsidR="006A1091" w:rsidRPr="367C46E0">
        <w:rPr>
          <w:color w:val="auto"/>
        </w:rPr>
        <w:t xml:space="preserve"> both</w:t>
      </w:r>
      <w:r w:rsidR="00EA1C6D" w:rsidRPr="367C46E0">
        <w:rPr>
          <w:color w:val="auto"/>
        </w:rPr>
        <w:t xml:space="preserve"> </w:t>
      </w:r>
      <w:r w:rsidR="009E12F0" w:rsidRPr="7BA0B80B">
        <w:rPr>
          <w:color w:val="auto"/>
        </w:rPr>
        <w:t>2</w:t>
      </w:r>
      <w:r w:rsidR="00643C13" w:rsidRPr="367C46E0">
        <w:rPr>
          <w:color w:val="auto"/>
        </w:rPr>
        <w:t>-year</w:t>
      </w:r>
      <w:r w:rsidR="00EA1C6D" w:rsidRPr="367C46E0">
        <w:rPr>
          <w:color w:val="auto"/>
        </w:rPr>
        <w:t xml:space="preserve"> </w:t>
      </w:r>
      <w:hyperlink w:anchor="Reportingperiod" w:history="1">
        <w:r w:rsidR="00EA1C6D" w:rsidRPr="005E46F7">
          <w:rPr>
            <w:rStyle w:val="Hyperlink"/>
          </w:rPr>
          <w:t>reporting periods</w:t>
        </w:r>
      </w:hyperlink>
      <w:r w:rsidR="00EA1C6D" w:rsidRPr="367C46E0">
        <w:rPr>
          <w:color w:val="auto"/>
        </w:rPr>
        <w:t xml:space="preserve">, </w:t>
      </w:r>
      <w:r w:rsidR="001A2729" w:rsidRPr="367C46E0">
        <w:rPr>
          <w:color w:val="auto"/>
        </w:rPr>
        <w:t xml:space="preserve">with Target Period 9 </w:t>
      </w:r>
      <w:r w:rsidR="00E10AFB" w:rsidRPr="367C46E0">
        <w:rPr>
          <w:color w:val="auto"/>
        </w:rPr>
        <w:t xml:space="preserve">ending on 31 December 2030. The final </w:t>
      </w:r>
      <w:r w:rsidR="00086699">
        <w:rPr>
          <w:color w:val="auto"/>
        </w:rPr>
        <w:t>c</w:t>
      </w:r>
      <w:r w:rsidR="00E10AFB" w:rsidRPr="367C46E0">
        <w:rPr>
          <w:color w:val="auto"/>
        </w:rPr>
        <w:t xml:space="preserve">ertification </w:t>
      </w:r>
      <w:r w:rsidR="00086699">
        <w:rPr>
          <w:color w:val="auto"/>
        </w:rPr>
        <w:t>p</w:t>
      </w:r>
      <w:r w:rsidR="00E10AFB" w:rsidRPr="367C46E0">
        <w:rPr>
          <w:color w:val="auto"/>
        </w:rPr>
        <w:t xml:space="preserve">eriod </w:t>
      </w:r>
      <w:r w:rsidR="00F75733" w:rsidRPr="367C46E0">
        <w:rPr>
          <w:color w:val="auto"/>
        </w:rPr>
        <w:t>(</w:t>
      </w:r>
      <w:r w:rsidR="00643C13" w:rsidRPr="367C46E0">
        <w:rPr>
          <w:color w:val="auto"/>
        </w:rPr>
        <w:t xml:space="preserve">Certification Period 10) </w:t>
      </w:r>
      <w:r w:rsidR="001A350E" w:rsidRPr="367C46E0">
        <w:rPr>
          <w:color w:val="auto"/>
        </w:rPr>
        <w:t xml:space="preserve">will </w:t>
      </w:r>
      <w:r w:rsidR="001A350E" w:rsidRPr="367C46E0">
        <w:rPr>
          <w:color w:val="auto"/>
        </w:rPr>
        <w:lastRenderedPageBreak/>
        <w:t>begin on 1</w:t>
      </w:r>
      <w:r w:rsidR="001A350E" w:rsidRPr="367C46E0">
        <w:rPr>
          <w:color w:val="auto"/>
          <w:vertAlign w:val="superscript"/>
        </w:rPr>
        <w:t xml:space="preserve"> </w:t>
      </w:r>
      <w:r w:rsidR="001A350E" w:rsidRPr="367C46E0">
        <w:rPr>
          <w:color w:val="auto"/>
        </w:rPr>
        <w:t xml:space="preserve">July 2031 and will enable </w:t>
      </w:r>
      <w:r w:rsidR="00DE755D" w:rsidRPr="367C46E0">
        <w:rPr>
          <w:color w:val="auto"/>
        </w:rPr>
        <w:t>eligible operators to claim the reduced rates of</w:t>
      </w:r>
      <w:r w:rsidR="001A350E" w:rsidRPr="367C46E0">
        <w:rPr>
          <w:color w:val="auto"/>
        </w:rPr>
        <w:t xml:space="preserve"> CCL relief until </w:t>
      </w:r>
      <w:r w:rsidR="00DE755D" w:rsidRPr="367C46E0">
        <w:rPr>
          <w:color w:val="auto"/>
        </w:rPr>
        <w:t xml:space="preserve">31 March </w:t>
      </w:r>
      <w:r w:rsidR="001A350E" w:rsidRPr="367C46E0">
        <w:rPr>
          <w:color w:val="auto"/>
        </w:rPr>
        <w:t xml:space="preserve">2033. </w:t>
      </w:r>
    </w:p>
    <w:p w14:paraId="121E2F38" w14:textId="031455D2" w:rsidR="00D94749" w:rsidRPr="00D94749" w:rsidRDefault="00D94749" w:rsidP="00D94749">
      <w:r w:rsidRPr="00D94749">
        <w:t>Th</w:t>
      </w:r>
      <w:r w:rsidR="00AC5725">
        <w:t>is</w:t>
      </w:r>
      <w:r w:rsidRPr="00D94749">
        <w:t xml:space="preserve"> Operations Manual provides guidance on how to apply for and maintain a Climate Change Agreement, including the scheme rules and </w:t>
      </w:r>
      <w:r w:rsidR="00736198">
        <w:t>the Environment Agency’s</w:t>
      </w:r>
      <w:r w:rsidRPr="00D94749">
        <w:t xml:space="preserve"> administration of the scheme.</w:t>
      </w:r>
    </w:p>
    <w:p w14:paraId="15A62308" w14:textId="1F42F5F2" w:rsidR="005A4AE8" w:rsidRDefault="005A4AE8" w:rsidP="00FC355D">
      <w:r w:rsidRPr="005A4AE8">
        <w:t>A</w:t>
      </w:r>
      <w:r w:rsidR="00D54ECB">
        <w:t xml:space="preserve"> new or existing</w:t>
      </w:r>
      <w:r w:rsidRPr="005A4AE8">
        <w:t xml:space="preserve"> operator may take over facilities already included in an agreement.</w:t>
      </w:r>
      <w:r w:rsidR="00FC355D">
        <w:t xml:space="preserve"> </w:t>
      </w:r>
      <w:r w:rsidR="006A1091">
        <w:t>This should be considered</w:t>
      </w:r>
      <w:r w:rsidRPr="005A4AE8">
        <w:t xml:space="preserve"> when reading this manual, especially </w:t>
      </w:r>
      <w:hyperlink w:anchor="_2._Getting_started" w:history="1">
        <w:r w:rsidRPr="0032424B">
          <w:rPr>
            <w:rStyle w:val="Hyperlink"/>
          </w:rPr>
          <w:t>sections 2</w:t>
        </w:r>
      </w:hyperlink>
      <w:r w:rsidRPr="005A4AE8">
        <w:t xml:space="preserve">, </w:t>
      </w:r>
      <w:hyperlink w:anchor="_4._Setting_up" w:history="1">
        <w:r w:rsidRPr="0032424B">
          <w:rPr>
            <w:rStyle w:val="Hyperlink"/>
          </w:rPr>
          <w:t>4</w:t>
        </w:r>
      </w:hyperlink>
      <w:r w:rsidRPr="005A4AE8">
        <w:t xml:space="preserve"> and </w:t>
      </w:r>
      <w:hyperlink w:anchor="_7._Changing_an" w:history="1">
        <w:r w:rsidRPr="0032424B">
          <w:rPr>
            <w:rStyle w:val="Hyperlink"/>
          </w:rPr>
          <w:t>7</w:t>
        </w:r>
      </w:hyperlink>
      <w:r w:rsidRPr="005A4AE8">
        <w:t>.</w:t>
      </w:r>
    </w:p>
    <w:p w14:paraId="7A11F340" w14:textId="77777777" w:rsidR="00026E66" w:rsidRDefault="002737EF" w:rsidP="00FF0098">
      <w:pPr>
        <w:pStyle w:val="Heading2"/>
        <w:tabs>
          <w:tab w:val="left" w:pos="0"/>
        </w:tabs>
      </w:pPr>
      <w:bookmarkStart w:id="3" w:name="_Toc94718626"/>
      <w:bookmarkStart w:id="4" w:name="_Toc94088874"/>
      <w:bookmarkStart w:id="5" w:name="_Toc242885353"/>
      <w:r>
        <w:t>1.1. Using the manual</w:t>
      </w:r>
      <w:bookmarkEnd w:id="3"/>
      <w:bookmarkEnd w:id="4"/>
      <w:bookmarkEnd w:id="5"/>
      <w:r>
        <w:t xml:space="preserve"> </w:t>
      </w:r>
    </w:p>
    <w:p w14:paraId="2FDA754E" w14:textId="14445F47" w:rsidR="00026E66" w:rsidRDefault="002737EF" w:rsidP="00FC355D">
      <w:r>
        <w:t xml:space="preserve">This manual is intended to be read on-screen as it contains hyperlinks to other sections or to external documents and websites. </w:t>
      </w:r>
      <w:r w:rsidR="004A08A8" w:rsidRPr="004A08A8">
        <w:t xml:space="preserve">If you follow an internal link and wish to return to your previous location, you can press ALT </w:t>
      </w:r>
      <w:r w:rsidR="00F87223">
        <w:t>and</w:t>
      </w:r>
      <w:r w:rsidR="004A08A8" w:rsidRPr="004A08A8">
        <w:t xml:space="preserve"> </w:t>
      </w:r>
      <w:r w:rsidR="00BE5C8F">
        <w:t>l</w:t>
      </w:r>
      <w:r w:rsidR="004A08A8" w:rsidRPr="004A08A8">
        <w:t xml:space="preserve">eft </w:t>
      </w:r>
      <w:r w:rsidR="00BE5C8F">
        <w:t>a</w:t>
      </w:r>
      <w:r w:rsidR="004A08A8" w:rsidRPr="004A08A8">
        <w:t>rrow</w:t>
      </w:r>
      <w:r w:rsidR="004A08A8">
        <w:t>.</w:t>
      </w:r>
    </w:p>
    <w:p w14:paraId="6AD30900" w14:textId="2F480094" w:rsidR="00026E66" w:rsidRDefault="002737EF" w:rsidP="00FC355D">
      <w:r>
        <w:t xml:space="preserve">Links to external documents and websites were checked as of </w:t>
      </w:r>
      <w:r w:rsidR="000C2B0C">
        <w:t>May 2026.</w:t>
      </w:r>
      <w:r w:rsidR="002145DF">
        <w:t xml:space="preserve"> </w:t>
      </w:r>
      <w:r w:rsidR="006D1E53">
        <w:t xml:space="preserve">Further workbooks will be published </w:t>
      </w:r>
      <w:r w:rsidR="004F222B">
        <w:t xml:space="preserve">in due course and added to Appendix H. </w:t>
      </w:r>
    </w:p>
    <w:p w14:paraId="438E9E1F" w14:textId="4987F648" w:rsidR="00885CEB" w:rsidRDefault="002737EF" w:rsidP="00892854">
      <w:r>
        <w:t xml:space="preserve">This manual will </w:t>
      </w:r>
      <w:r w:rsidRPr="003B23F0">
        <w:t xml:space="preserve">be updated periodically. Please check </w:t>
      </w:r>
      <w:r w:rsidR="003B23F0">
        <w:t xml:space="preserve">the </w:t>
      </w:r>
      <w:hyperlink r:id="rId19" w:history="1">
        <w:r w:rsidR="003B23F0">
          <w:rPr>
            <w:color w:val="0070C0"/>
            <w:u w:val="single" w:color="0077B9"/>
          </w:rPr>
          <w:t>Climate Change Agreements Operations Manual</w:t>
        </w:r>
      </w:hyperlink>
      <w:r w:rsidR="003B23F0">
        <w:t xml:space="preserve"> webpage</w:t>
      </w:r>
      <w:r w:rsidR="00877849">
        <w:t xml:space="preserve"> </w:t>
      </w:r>
      <w:r w:rsidR="00BE5C8F">
        <w:t xml:space="preserve">on GOV.UK </w:t>
      </w:r>
      <w:r w:rsidR="003B23F0">
        <w:t>t</w:t>
      </w:r>
      <w:r>
        <w:t>o ensure you are using the most recent version.</w:t>
      </w:r>
      <w:r w:rsidR="00B27AE3">
        <w:t xml:space="preserve"> </w:t>
      </w:r>
      <w:r w:rsidR="00885CEB">
        <w:t>An older version of the CCA Operations Manual</w:t>
      </w:r>
      <w:r w:rsidR="008A2E15">
        <w:t xml:space="preserve"> for the previous scheme</w:t>
      </w:r>
      <w:r w:rsidR="00885CEB">
        <w:t xml:space="preserve"> </w:t>
      </w:r>
      <w:r w:rsidR="008A2E15">
        <w:t xml:space="preserve">is available for reference on the same webpage.  </w:t>
      </w:r>
    </w:p>
    <w:p w14:paraId="3F7C6578" w14:textId="77777777" w:rsidR="00026E66" w:rsidRDefault="002737EF" w:rsidP="00FF0098">
      <w:pPr>
        <w:pStyle w:val="Heading1"/>
        <w:tabs>
          <w:tab w:val="left" w:pos="0"/>
        </w:tabs>
      </w:pPr>
      <w:bookmarkStart w:id="6" w:name="_2._Getting_started"/>
      <w:bookmarkStart w:id="7" w:name="_Toc94718627"/>
      <w:bookmarkStart w:id="8" w:name="_Toc94088875"/>
      <w:bookmarkStart w:id="9" w:name="_Toc242885354"/>
      <w:bookmarkEnd w:id="6"/>
      <w:r>
        <w:t>2. Getting started – important information for all operators</w:t>
      </w:r>
      <w:bookmarkEnd w:id="7"/>
      <w:bookmarkEnd w:id="8"/>
      <w:bookmarkEnd w:id="9"/>
      <w:r>
        <w:t xml:space="preserve"> </w:t>
      </w:r>
    </w:p>
    <w:p w14:paraId="224D8DA1" w14:textId="7B6F66CA" w:rsidR="00026E66" w:rsidRDefault="002737EF" w:rsidP="00FF0098">
      <w:pPr>
        <w:tabs>
          <w:tab w:val="left" w:pos="0"/>
        </w:tabs>
      </w:pPr>
      <w:r>
        <w:t>This section outlines the application process for a</w:t>
      </w:r>
      <w:r w:rsidR="4F486308">
        <w:t xml:space="preserve"> Climate Change Agreement</w:t>
      </w:r>
      <w:r>
        <w:t xml:space="preserve"> and </w:t>
      </w:r>
      <w:r w:rsidR="005A7B0C">
        <w:t>the functionality of</w:t>
      </w:r>
      <w:r>
        <w:t xml:space="preserve"> the </w:t>
      </w:r>
      <w:hyperlink w:anchor="CCAregister" w:history="1">
        <w:r w:rsidRPr="00DC553D">
          <w:rPr>
            <w:rStyle w:val="Hyperlink"/>
          </w:rPr>
          <w:t>CCA register</w:t>
        </w:r>
      </w:hyperlink>
      <w:r w:rsidR="00541CAD">
        <w:t>, known to users as</w:t>
      </w:r>
      <w:r w:rsidR="00785E78">
        <w:t xml:space="preserve"> the</w:t>
      </w:r>
      <w:r w:rsidR="00541CAD">
        <w:t xml:space="preserve"> M</w:t>
      </w:r>
      <w:r w:rsidR="40D74EF4">
        <w:t>anag</w:t>
      </w:r>
      <w:r w:rsidR="1FB64081">
        <w:t>e</w:t>
      </w:r>
      <w:r w:rsidR="40D74EF4">
        <w:t xml:space="preserve"> </w:t>
      </w:r>
      <w:r w:rsidR="00541CAD">
        <w:t>y</w:t>
      </w:r>
      <w:r w:rsidR="246F2E95">
        <w:t xml:space="preserve">our </w:t>
      </w:r>
      <w:r w:rsidR="00541CAD">
        <w:t>C</w:t>
      </w:r>
      <w:r w:rsidR="19AE94DA">
        <w:t xml:space="preserve">limate </w:t>
      </w:r>
      <w:r w:rsidR="00541CAD">
        <w:t>C</w:t>
      </w:r>
      <w:r w:rsidR="47E4BE67">
        <w:t xml:space="preserve">hange </w:t>
      </w:r>
      <w:r w:rsidR="00541CAD">
        <w:t>A</w:t>
      </w:r>
      <w:r w:rsidR="1071EAAA">
        <w:t>greement (</w:t>
      </w:r>
      <w:proofErr w:type="spellStart"/>
      <w:r w:rsidR="1071EAAA">
        <w:fldChar w:fldCharType="begin"/>
      </w:r>
      <w:r w:rsidR="1071EAAA">
        <w:instrText>HYPERLINK "https://manage-your-climate-change-agreements.service.gov.uk/landing"</w:instrText>
      </w:r>
      <w:r w:rsidR="1071EAAA">
        <w:fldChar w:fldCharType="separate"/>
      </w:r>
      <w:r w:rsidR="1071EAAA" w:rsidRPr="13AA7D22">
        <w:rPr>
          <w:rStyle w:val="Hyperlink"/>
        </w:rPr>
        <w:t>MyCCA</w:t>
      </w:r>
      <w:proofErr w:type="spellEnd"/>
      <w:r w:rsidR="1071EAAA">
        <w:fldChar w:fldCharType="end"/>
      </w:r>
      <w:r w:rsidR="1071EAAA">
        <w:t>) ser</w:t>
      </w:r>
      <w:r w:rsidR="4658DEF8">
        <w:t>vice</w:t>
      </w:r>
      <w:r>
        <w:t>. It explains the role of the operator within the CCA scheme, including the tasks of key personnel, and which processes and products are eligible for a</w:t>
      </w:r>
      <w:r w:rsidR="00785E78">
        <w:t>n agreement</w:t>
      </w:r>
      <w:r>
        <w:t xml:space="preserve">. </w:t>
      </w:r>
    </w:p>
    <w:p w14:paraId="143F1595" w14:textId="77777777" w:rsidR="00026E66" w:rsidRDefault="002737EF" w:rsidP="00FF0098">
      <w:pPr>
        <w:pStyle w:val="Heading2"/>
        <w:tabs>
          <w:tab w:val="left" w:pos="0"/>
        </w:tabs>
      </w:pPr>
      <w:bookmarkStart w:id="10" w:name="_Toc94718628"/>
      <w:bookmarkStart w:id="11" w:name="_Toc94088876"/>
      <w:bookmarkStart w:id="12" w:name="_Toc242885355"/>
      <w:r>
        <w:t>2.1. Overview of the application process</w:t>
      </w:r>
      <w:bookmarkEnd w:id="10"/>
      <w:bookmarkEnd w:id="11"/>
      <w:bookmarkEnd w:id="12"/>
    </w:p>
    <w:p w14:paraId="50D2A73C" w14:textId="1923B16F" w:rsidR="00026E66" w:rsidRPr="00DD721B" w:rsidRDefault="002737EF" w:rsidP="00FF0098">
      <w:pPr>
        <w:tabs>
          <w:tab w:val="left" w:pos="0"/>
        </w:tabs>
        <w:spacing w:after="0"/>
        <w:ind w:right="182"/>
      </w:pPr>
      <w:r>
        <w:rPr>
          <w:color w:val="auto"/>
        </w:rPr>
        <w:t xml:space="preserve">The process </w:t>
      </w:r>
      <w:r>
        <w:rPr>
          <w:color w:val="auto"/>
          <w:szCs w:val="24"/>
        </w:rPr>
        <w:t xml:space="preserve">to be followed by </w:t>
      </w:r>
      <w:r>
        <w:rPr>
          <w:color w:val="auto"/>
        </w:rPr>
        <w:t xml:space="preserve">a new operator to </w:t>
      </w:r>
      <w:r>
        <w:rPr>
          <w:color w:val="auto"/>
          <w:szCs w:val="24"/>
        </w:rPr>
        <w:t>obtain</w:t>
      </w:r>
      <w:r>
        <w:rPr>
          <w:color w:val="auto"/>
        </w:rPr>
        <w:t xml:space="preserve"> an underlying agreement is </w:t>
      </w:r>
      <w:r>
        <w:rPr>
          <w:color w:val="auto"/>
          <w:szCs w:val="24"/>
        </w:rPr>
        <w:t xml:space="preserve">outlined </w:t>
      </w:r>
      <w:r w:rsidR="00C55389">
        <w:rPr>
          <w:color w:val="auto"/>
          <w:szCs w:val="24"/>
        </w:rPr>
        <w:t>in this section</w:t>
      </w:r>
      <w:r>
        <w:rPr>
          <w:color w:val="auto"/>
          <w:szCs w:val="24"/>
        </w:rPr>
        <w:t xml:space="preserve"> and </w:t>
      </w:r>
      <w:r w:rsidR="00F6680A">
        <w:rPr>
          <w:color w:val="auto"/>
        </w:rPr>
        <w:t>explained</w:t>
      </w:r>
      <w:r w:rsidR="00C55389">
        <w:rPr>
          <w:color w:val="auto"/>
        </w:rPr>
        <w:t xml:space="preserve"> further</w:t>
      </w:r>
      <w:r>
        <w:rPr>
          <w:color w:val="auto"/>
        </w:rPr>
        <w:t xml:space="preserve"> </w:t>
      </w:r>
      <w:r>
        <w:rPr>
          <w:color w:val="auto"/>
          <w:szCs w:val="24"/>
        </w:rPr>
        <w:t xml:space="preserve">in sections </w:t>
      </w:r>
      <w:r w:rsidR="00C55389">
        <w:rPr>
          <w:color w:val="auto"/>
          <w:szCs w:val="24"/>
        </w:rPr>
        <w:t>3</w:t>
      </w:r>
      <w:r>
        <w:rPr>
          <w:color w:val="auto"/>
          <w:szCs w:val="24"/>
        </w:rPr>
        <w:t xml:space="preserve"> to 5</w:t>
      </w:r>
      <w:r>
        <w:rPr>
          <w:color w:val="auto"/>
        </w:rPr>
        <w:t>:</w:t>
      </w:r>
    </w:p>
    <w:p w14:paraId="3C667BBE" w14:textId="6AC74779" w:rsidR="00026E66" w:rsidRDefault="00B27AE3" w:rsidP="0065356B">
      <w:pPr>
        <w:pStyle w:val="ListParagraph"/>
        <w:numPr>
          <w:ilvl w:val="0"/>
          <w:numId w:val="19"/>
        </w:numPr>
        <w:tabs>
          <w:tab w:val="left" w:pos="0"/>
        </w:tabs>
        <w:spacing w:after="483"/>
        <w:ind w:right="491"/>
      </w:pPr>
      <w:hyperlink w:anchor="_2._Getting_started" w:history="1">
        <w:r w:rsidRPr="0D226CA1">
          <w:rPr>
            <w:rStyle w:val="Hyperlink"/>
          </w:rPr>
          <w:t>s</w:t>
        </w:r>
        <w:r w:rsidR="002737EF" w:rsidRPr="0D226CA1">
          <w:rPr>
            <w:rStyle w:val="Hyperlink"/>
          </w:rPr>
          <w:t>ection 2</w:t>
        </w:r>
      </w:hyperlink>
      <w:r w:rsidR="002737EF">
        <w:t xml:space="preserve"> describes the CCA scheme and outline</w:t>
      </w:r>
      <w:r w:rsidR="00D00CF0">
        <w:t>s</w:t>
      </w:r>
      <w:r w:rsidR="002737EF">
        <w:t xml:space="preserve"> requirements on getting started</w:t>
      </w:r>
      <w:r>
        <w:t xml:space="preserve"> – i</w:t>
      </w:r>
      <w:r w:rsidR="002737EF">
        <w:t xml:space="preserve">f your site is </w:t>
      </w:r>
      <w:r w:rsidR="002008A3">
        <w:t>eligible, move</w:t>
      </w:r>
      <w:r w:rsidR="002737EF">
        <w:t xml:space="preserve"> to the next step</w:t>
      </w:r>
    </w:p>
    <w:p w14:paraId="42A604C9" w14:textId="53DD85FC" w:rsidR="00026E66" w:rsidRDefault="00B27AE3" w:rsidP="0065356B">
      <w:pPr>
        <w:pStyle w:val="ListParagraph"/>
        <w:numPr>
          <w:ilvl w:val="0"/>
          <w:numId w:val="19"/>
        </w:numPr>
        <w:tabs>
          <w:tab w:val="left" w:pos="0"/>
        </w:tabs>
        <w:spacing w:after="483"/>
        <w:ind w:right="491"/>
      </w:pPr>
      <w:hyperlink w:anchor="_3._Eligible_energy" w:history="1">
        <w:r w:rsidRPr="0D226CA1">
          <w:rPr>
            <w:rStyle w:val="Hyperlink"/>
          </w:rPr>
          <w:t>s</w:t>
        </w:r>
        <w:r w:rsidR="002737EF" w:rsidRPr="0D226CA1">
          <w:rPr>
            <w:rStyle w:val="Hyperlink"/>
          </w:rPr>
          <w:t>ection 3</w:t>
        </w:r>
      </w:hyperlink>
      <w:r w:rsidR="002737EF">
        <w:t xml:space="preserve"> </w:t>
      </w:r>
      <w:r w:rsidR="00D00CF0">
        <w:t>explains how to</w:t>
      </w:r>
      <w:r w:rsidR="002737EF">
        <w:t xml:space="preserve"> determine eligible energy, how to apportion it and how to calculate your</w:t>
      </w:r>
      <w:r w:rsidR="0085209F">
        <w:t xml:space="preserve"> facility</w:t>
      </w:r>
      <w:r w:rsidR="002737EF">
        <w:t xml:space="preserve"> baseline (that is, your</w:t>
      </w:r>
      <w:r w:rsidR="0085209F">
        <w:t xml:space="preserve"> facility</w:t>
      </w:r>
      <w:r w:rsidR="002737EF">
        <w:t xml:space="preserve"> performance in the </w:t>
      </w:r>
      <w:hyperlink w:anchor="baseyear" w:history="1">
        <w:r w:rsidR="002737EF" w:rsidRPr="0079596B">
          <w:rPr>
            <w:rStyle w:val="Hyperlink"/>
          </w:rPr>
          <w:t>base year</w:t>
        </w:r>
      </w:hyperlink>
      <w:r w:rsidR="002737EF" w:rsidRPr="0D226CA1">
        <w:rPr>
          <w:rFonts w:cs="Arial"/>
        </w:rPr>
        <w:t xml:space="preserve">) </w:t>
      </w:r>
    </w:p>
    <w:p w14:paraId="761267E9" w14:textId="611134B6" w:rsidR="00026E66" w:rsidRDefault="00B27AE3" w:rsidP="0065356B">
      <w:pPr>
        <w:pStyle w:val="ListParagraph"/>
        <w:numPr>
          <w:ilvl w:val="0"/>
          <w:numId w:val="19"/>
        </w:numPr>
        <w:tabs>
          <w:tab w:val="left" w:pos="0"/>
        </w:tabs>
        <w:spacing w:after="483"/>
        <w:ind w:right="491"/>
      </w:pPr>
      <w:hyperlink w:anchor="_4._Setting_up" w:history="1">
        <w:r w:rsidRPr="0D226CA1">
          <w:rPr>
            <w:rStyle w:val="Hyperlink"/>
          </w:rPr>
          <w:t>s</w:t>
        </w:r>
        <w:r w:rsidR="002737EF" w:rsidRPr="0D226CA1">
          <w:rPr>
            <w:rStyle w:val="Hyperlink"/>
          </w:rPr>
          <w:t>ection 4</w:t>
        </w:r>
      </w:hyperlink>
      <w:r w:rsidR="002737EF">
        <w:t xml:space="preserve"> describes how to set up your </w:t>
      </w:r>
      <w:r w:rsidR="007A1194">
        <w:t>agreement</w:t>
      </w:r>
      <w:r w:rsidR="002737EF">
        <w:t xml:space="preserve"> </w:t>
      </w:r>
    </w:p>
    <w:p w14:paraId="3B294E21" w14:textId="0E452E89" w:rsidR="00026E66" w:rsidRDefault="00B27AE3" w:rsidP="0065356B">
      <w:pPr>
        <w:pStyle w:val="ListParagraph"/>
        <w:numPr>
          <w:ilvl w:val="0"/>
          <w:numId w:val="19"/>
        </w:numPr>
        <w:tabs>
          <w:tab w:val="left" w:pos="0"/>
        </w:tabs>
        <w:spacing w:after="483"/>
        <w:ind w:right="491"/>
      </w:pPr>
      <w:hyperlink w:anchor="_5._Annual_charges" w:history="1">
        <w:r w:rsidRPr="4E5522AC">
          <w:rPr>
            <w:rStyle w:val="Hyperlink"/>
          </w:rPr>
          <w:t>s</w:t>
        </w:r>
        <w:r w:rsidR="002737EF" w:rsidRPr="4E5522AC">
          <w:rPr>
            <w:rStyle w:val="Hyperlink"/>
          </w:rPr>
          <w:t>ection 5</w:t>
        </w:r>
      </w:hyperlink>
      <w:r w:rsidR="002737EF">
        <w:t xml:space="preserve"> explains the CCA </w:t>
      </w:r>
      <w:hyperlink w:anchor="Charges" w:history="1">
        <w:r w:rsidR="00736198">
          <w:rPr>
            <w:rStyle w:val="Hyperlink"/>
          </w:rPr>
          <w:t>Charges</w:t>
        </w:r>
      </w:hyperlink>
    </w:p>
    <w:p w14:paraId="3AA724D3" w14:textId="5AC5E408" w:rsidR="00026E66" w:rsidRDefault="002737EF" w:rsidP="00FC355D">
      <w:r>
        <w:t>Once your application is complete</w:t>
      </w:r>
      <w:r w:rsidR="00CC62A9">
        <w:t>,</w:t>
      </w:r>
      <w:r>
        <w:t xml:space="preserve"> your sector association </w:t>
      </w:r>
      <w:r w:rsidR="005040BB">
        <w:t>can</w:t>
      </w:r>
      <w:r>
        <w:t xml:space="preserve"> submit it to t</w:t>
      </w:r>
      <w:r w:rsidR="52CCA18B">
        <w:t xml:space="preserve">he Environment Agency using the </w:t>
      </w:r>
      <w:proofErr w:type="spellStart"/>
      <w:r w:rsidR="52CCA18B">
        <w:t>MyCCA</w:t>
      </w:r>
      <w:proofErr w:type="spellEnd"/>
      <w:r w:rsidR="52CCA18B">
        <w:t xml:space="preserve"> service</w:t>
      </w:r>
      <w:r>
        <w:t xml:space="preserve">. The Environment Agency will review the application. If approved, you will receive an email asking you to sign the underlying agreement. Signing is </w:t>
      </w:r>
      <w:r w:rsidR="001234B2">
        <w:t>completed</w:t>
      </w:r>
      <w:r>
        <w:t xml:space="preserve"> by </w:t>
      </w:r>
      <w:r w:rsidR="00074904">
        <w:t xml:space="preserve">providing </w:t>
      </w:r>
      <w:r w:rsidR="00AE558A">
        <w:t xml:space="preserve">your assent to enter the agreement </w:t>
      </w:r>
      <w:r w:rsidR="000D40E6">
        <w:t xml:space="preserve">by </w:t>
      </w:r>
      <w:r>
        <w:t>email. After we have processed your email assent, we will add your facilities to the reduced rate certificate, and you will be eligible to claim the CCL relief for these facilities</w:t>
      </w:r>
      <w:r w:rsidR="18919FC8">
        <w:t>.</w:t>
      </w:r>
      <w:r>
        <w:t xml:space="preserve"> You will then need to work to meet targets and report </w:t>
      </w:r>
      <w:r w:rsidR="467E8D9C">
        <w:t xml:space="preserve">data </w:t>
      </w:r>
      <w:r w:rsidR="157A8814">
        <w:t>throughout</w:t>
      </w:r>
      <w:r w:rsidR="467E8D9C">
        <w:t xml:space="preserve"> the</w:t>
      </w:r>
      <w:r>
        <w:t xml:space="preserve"> target periods.  </w:t>
      </w:r>
    </w:p>
    <w:p w14:paraId="393C8E84" w14:textId="6C095377" w:rsidR="00026E66" w:rsidRDefault="002737EF" w:rsidP="00FF0098">
      <w:pPr>
        <w:pStyle w:val="Heading2"/>
        <w:tabs>
          <w:tab w:val="left" w:pos="0"/>
        </w:tabs>
      </w:pPr>
      <w:bookmarkStart w:id="13" w:name="_Toc94718629"/>
      <w:bookmarkStart w:id="14" w:name="_Toc94088877"/>
      <w:bookmarkStart w:id="15" w:name="_Toc242885356"/>
      <w:r>
        <w:t>2.2. CCA register</w:t>
      </w:r>
      <w:bookmarkEnd w:id="13"/>
      <w:bookmarkEnd w:id="14"/>
      <w:r>
        <w:t xml:space="preserve"> </w:t>
      </w:r>
      <w:r w:rsidR="67A12383">
        <w:t>(</w:t>
      </w:r>
      <w:proofErr w:type="spellStart"/>
      <w:r w:rsidR="67A12383">
        <w:t>MyCCA</w:t>
      </w:r>
      <w:proofErr w:type="spellEnd"/>
      <w:r w:rsidR="67A12383">
        <w:t>)</w:t>
      </w:r>
      <w:bookmarkEnd w:id="15"/>
    </w:p>
    <w:p w14:paraId="23AF917E" w14:textId="70DA7097" w:rsidR="00434CBC" w:rsidRDefault="002737EF" w:rsidP="00FC355D">
      <w:r>
        <w:t xml:space="preserve">All agreements for the scheme are managed online </w:t>
      </w:r>
      <w:r w:rsidR="00434CBC">
        <w:t>through</w:t>
      </w:r>
      <w:r w:rsidR="00434CBC" w:rsidRPr="00CA7EE5">
        <w:t xml:space="preserve"> </w:t>
      </w:r>
      <w:r w:rsidR="00CA7EE5" w:rsidRPr="00D95934">
        <w:t xml:space="preserve">the </w:t>
      </w:r>
      <w:hyperlink r:id="rId20">
        <w:proofErr w:type="spellStart"/>
        <w:r w:rsidR="2CE0514A" w:rsidRPr="5578D964">
          <w:rPr>
            <w:rStyle w:val="Hyperlink"/>
          </w:rPr>
          <w:t>MyCCA</w:t>
        </w:r>
        <w:proofErr w:type="spellEnd"/>
      </w:hyperlink>
      <w:r w:rsidR="00CA7EE5" w:rsidRPr="00D95934">
        <w:t xml:space="preserve"> service</w:t>
      </w:r>
      <w:r>
        <w:t>. This includes</w:t>
      </w:r>
      <w:r w:rsidR="00434CBC">
        <w:t>:</w:t>
      </w:r>
    </w:p>
    <w:p w14:paraId="2A5BAA0C" w14:textId="6ECE7057" w:rsidR="00434CBC" w:rsidRDefault="002737EF" w:rsidP="00434CBC">
      <w:pPr>
        <w:pStyle w:val="ListParagraph"/>
        <w:numPr>
          <w:ilvl w:val="0"/>
          <w:numId w:val="229"/>
        </w:numPr>
      </w:pPr>
      <w:r>
        <w:t xml:space="preserve">any changes that are needed to the agreement </w:t>
      </w:r>
    </w:p>
    <w:p w14:paraId="635398B3" w14:textId="103B70E6" w:rsidR="00434CBC" w:rsidRDefault="002737EF" w:rsidP="00434CBC">
      <w:pPr>
        <w:pStyle w:val="ListParagraph"/>
        <w:numPr>
          <w:ilvl w:val="0"/>
          <w:numId w:val="229"/>
        </w:numPr>
      </w:pPr>
      <w:r>
        <w:t>reporting</w:t>
      </w:r>
      <w:r w:rsidR="00AD23FC">
        <w:t xml:space="preserve"> information and</w:t>
      </w:r>
      <w:r>
        <w:t xml:space="preserve"> </w:t>
      </w:r>
      <w:r w:rsidR="7D28CC54">
        <w:t>data to meet the requirements of the agreement</w:t>
      </w:r>
      <w:r>
        <w:t xml:space="preserve"> </w:t>
      </w:r>
    </w:p>
    <w:p w14:paraId="1B96B89E" w14:textId="6B226E4D" w:rsidR="00434CBC" w:rsidRDefault="002737EF" w:rsidP="00434CBC">
      <w:pPr>
        <w:pStyle w:val="ListParagraph"/>
        <w:numPr>
          <w:ilvl w:val="0"/>
          <w:numId w:val="229"/>
        </w:numPr>
      </w:pPr>
      <w:r>
        <w:t xml:space="preserve">banking of </w:t>
      </w:r>
      <w:hyperlink w:anchor="Surplus" w:history="1">
        <w:r w:rsidR="00CE64FC">
          <w:rPr>
            <w:rStyle w:val="Hyperlink"/>
          </w:rPr>
          <w:t>surplus</w:t>
        </w:r>
      </w:hyperlink>
      <w:r>
        <w:t xml:space="preserve"> </w:t>
      </w:r>
    </w:p>
    <w:p w14:paraId="63342BF4" w14:textId="7C83749E" w:rsidR="00026E66" w:rsidRDefault="002737EF" w:rsidP="00C91A63">
      <w:pPr>
        <w:pStyle w:val="ListParagraph"/>
        <w:numPr>
          <w:ilvl w:val="0"/>
          <w:numId w:val="229"/>
        </w:numPr>
      </w:pPr>
      <w:r>
        <w:t xml:space="preserve">payment of </w:t>
      </w:r>
      <w:hyperlink w:anchor="Buyout" w:history="1">
        <w:r w:rsidRPr="00FE39EA">
          <w:rPr>
            <w:rStyle w:val="Hyperlink"/>
          </w:rPr>
          <w:t>buy-out</w:t>
        </w:r>
      </w:hyperlink>
      <w:r>
        <w:t xml:space="preserve"> if the target is not achieved </w:t>
      </w:r>
    </w:p>
    <w:p w14:paraId="63870CD9" w14:textId="0B5C536D" w:rsidR="00026E66" w:rsidRDefault="002737EF" w:rsidP="00FC355D">
      <w:r>
        <w:t xml:space="preserve">Your </w:t>
      </w:r>
      <w:hyperlink w:anchor="Sectorassociation" w:history="1">
        <w:r w:rsidRPr="3137990E">
          <w:rPr>
            <w:rStyle w:val="Hyperlink"/>
          </w:rPr>
          <w:t>sector association</w:t>
        </w:r>
      </w:hyperlink>
      <w:r w:rsidRPr="3137990E">
        <w:rPr>
          <w:u w:val="single"/>
        </w:rPr>
        <w:t xml:space="preserve"> </w:t>
      </w:r>
      <w:r>
        <w:t xml:space="preserve">has access to the </w:t>
      </w:r>
      <w:proofErr w:type="spellStart"/>
      <w:r w:rsidR="0AA90047">
        <w:t>MyCCA</w:t>
      </w:r>
      <w:proofErr w:type="spellEnd"/>
      <w:r w:rsidR="0AA90047">
        <w:t xml:space="preserve"> service</w:t>
      </w:r>
      <w:r>
        <w:t xml:space="preserve"> to manage </w:t>
      </w:r>
      <w:r w:rsidR="05AFE972">
        <w:t>the accounts</w:t>
      </w:r>
      <w:r w:rsidR="47C3C0E6">
        <w:t xml:space="preserve"> </w:t>
      </w:r>
      <w:r w:rsidR="3F871007">
        <w:t>of</w:t>
      </w:r>
      <w:r w:rsidR="47C3C0E6">
        <w:t xml:space="preserve"> </w:t>
      </w:r>
      <w:r>
        <w:t>operators</w:t>
      </w:r>
      <w:r w:rsidR="00215765">
        <w:t xml:space="preserve"> who hold an agreement</w:t>
      </w:r>
      <w:r w:rsidR="7193E11F">
        <w:t xml:space="preserve"> in that sector</w:t>
      </w:r>
      <w:r>
        <w:t xml:space="preserve">. Consultants working on behalf of your sector association can also have access to manage information. </w:t>
      </w:r>
    </w:p>
    <w:p w14:paraId="4F04DF89" w14:textId="4349D3FA" w:rsidR="00026E66" w:rsidRDefault="002737EF" w:rsidP="00FC355D">
      <w:r>
        <w:t xml:space="preserve">Operators </w:t>
      </w:r>
      <w:r w:rsidR="001308FE">
        <w:t>can</w:t>
      </w:r>
      <w:r w:rsidR="004A63A0">
        <w:t>not</w:t>
      </w:r>
      <w:r>
        <w:t xml:space="preserve"> edit their information </w:t>
      </w:r>
      <w:r w:rsidR="3B2EEC1B">
        <w:t>directly</w:t>
      </w:r>
      <w:r>
        <w:t xml:space="preserve"> – this is done by the sector association or its nominated consultant. However, operators can request access to view their information. </w:t>
      </w:r>
    </w:p>
    <w:p w14:paraId="09006A88" w14:textId="7FD6885C" w:rsidR="00026E66" w:rsidRDefault="00685B4D" w:rsidP="00FC355D">
      <w:r>
        <w:t xml:space="preserve">Operator user accounts can be </w:t>
      </w:r>
      <w:r w:rsidR="00B30CE5">
        <w:t xml:space="preserve">requested by contacting </w:t>
      </w:r>
      <w:r w:rsidR="00A33761">
        <w:t xml:space="preserve">the </w:t>
      </w:r>
      <w:r w:rsidR="00AE31CC">
        <w:t>Environment Agency</w:t>
      </w:r>
      <w:r w:rsidR="00A33761">
        <w:t xml:space="preserve">. </w:t>
      </w:r>
      <w:r w:rsidR="00CA7A79">
        <w:t>Operator</w:t>
      </w:r>
      <w:r w:rsidR="002737EF">
        <w:t xml:space="preserve"> users can view the following information relating to their </w:t>
      </w:r>
      <w:r w:rsidR="00821498">
        <w:t>agreement</w:t>
      </w:r>
      <w:r w:rsidR="002737EF">
        <w:t xml:space="preserve">: </w:t>
      </w:r>
    </w:p>
    <w:p w14:paraId="394B191C" w14:textId="0D9AB4D5" w:rsidR="007A76CB" w:rsidRDefault="0090589D" w:rsidP="0065356B">
      <w:pPr>
        <w:pStyle w:val="ListParagraph"/>
        <w:numPr>
          <w:ilvl w:val="0"/>
          <w:numId w:val="20"/>
        </w:numPr>
        <w:tabs>
          <w:tab w:val="left" w:pos="0"/>
        </w:tabs>
        <w:spacing w:after="73" w:line="244" w:lineRule="auto"/>
        <w:ind w:right="182"/>
      </w:pPr>
      <w:r>
        <w:t>view other operator users</w:t>
      </w:r>
      <w:r w:rsidR="00821498">
        <w:t xml:space="preserve"> for that agreement</w:t>
      </w:r>
    </w:p>
    <w:p w14:paraId="4D01CF85" w14:textId="3337E650" w:rsidR="005E5168" w:rsidRPr="005E5168" w:rsidRDefault="0090589D" w:rsidP="00FF0098">
      <w:pPr>
        <w:pStyle w:val="ListParagraph"/>
        <w:numPr>
          <w:ilvl w:val="0"/>
          <w:numId w:val="20"/>
        </w:numPr>
        <w:tabs>
          <w:tab w:val="left" w:pos="0"/>
        </w:tabs>
        <w:spacing w:after="78"/>
        <w:ind w:right="182"/>
      </w:pPr>
      <w:r>
        <w:rPr>
          <w:szCs w:val="24"/>
        </w:rPr>
        <w:t xml:space="preserve">view all tasks related to this </w:t>
      </w:r>
      <w:r w:rsidR="00821498">
        <w:rPr>
          <w:szCs w:val="24"/>
        </w:rPr>
        <w:t>agreement</w:t>
      </w:r>
      <w:r>
        <w:rPr>
          <w:szCs w:val="24"/>
        </w:rPr>
        <w:t xml:space="preserve"> and its facilities</w:t>
      </w:r>
    </w:p>
    <w:p w14:paraId="4CCD5218" w14:textId="378336F2" w:rsidR="0036174D" w:rsidRPr="009A0161" w:rsidRDefault="0090589D" w:rsidP="0036174D">
      <w:pPr>
        <w:pStyle w:val="ListParagraph"/>
        <w:numPr>
          <w:ilvl w:val="0"/>
          <w:numId w:val="20"/>
        </w:numPr>
        <w:tabs>
          <w:tab w:val="left" w:pos="0"/>
        </w:tabs>
        <w:spacing w:after="78"/>
        <w:ind w:right="182"/>
      </w:pPr>
      <w:r w:rsidRPr="005E5168">
        <w:rPr>
          <w:szCs w:val="24"/>
        </w:rPr>
        <w:t>view target period reports</w:t>
      </w:r>
    </w:p>
    <w:p w14:paraId="1B1EDB98" w14:textId="77777777" w:rsidR="00026E66" w:rsidRDefault="002737EF" w:rsidP="00FF0098">
      <w:pPr>
        <w:pStyle w:val="Heading2"/>
        <w:tabs>
          <w:tab w:val="left" w:pos="0"/>
        </w:tabs>
      </w:pPr>
      <w:bookmarkStart w:id="16" w:name="_Toc94718630"/>
      <w:bookmarkStart w:id="17" w:name="_Toc94088878"/>
      <w:bookmarkStart w:id="18" w:name="_Toc242885357"/>
      <w:r>
        <w:t>2.3. Key roles</w:t>
      </w:r>
      <w:bookmarkEnd w:id="16"/>
      <w:bookmarkEnd w:id="17"/>
      <w:bookmarkEnd w:id="18"/>
      <w:r>
        <w:t xml:space="preserve"> </w:t>
      </w:r>
    </w:p>
    <w:p w14:paraId="3700B5F2" w14:textId="77777777" w:rsidR="00026E66" w:rsidRDefault="002737EF" w:rsidP="00FF0098">
      <w:pPr>
        <w:pStyle w:val="Heading3"/>
        <w:tabs>
          <w:tab w:val="left" w:pos="0"/>
        </w:tabs>
      </w:pPr>
      <w:bookmarkStart w:id="19" w:name="_2.3.1._The_operator"/>
      <w:bookmarkEnd w:id="19"/>
      <w:r>
        <w:t xml:space="preserve">2.3.1. The operator </w:t>
      </w:r>
    </w:p>
    <w:p w14:paraId="3150C341" w14:textId="4DFA0073" w:rsidR="00026E66" w:rsidRDefault="005429A9" w:rsidP="00FF0098">
      <w:pPr>
        <w:tabs>
          <w:tab w:val="left" w:pos="0"/>
        </w:tabs>
      </w:pPr>
      <w:r>
        <w:t>Paragraph 72</w:t>
      </w:r>
      <w:bookmarkStart w:id="20" w:name="_Hlk93480333"/>
      <w:r>
        <w:t xml:space="preserve"> of t</w:t>
      </w:r>
      <w:r w:rsidR="00A05010">
        <w:t xml:space="preserve">he </w:t>
      </w:r>
      <w:hyperlink r:id="rId21" w:history="1">
        <w:r w:rsidR="002737EF">
          <w:rPr>
            <w:rStyle w:val="Hyperlink"/>
            <w:color w:val="0070C0"/>
          </w:rPr>
          <w:t>Technical Annex</w:t>
        </w:r>
      </w:hyperlink>
      <w:bookmarkEnd w:id="20"/>
      <w:r w:rsidR="002737EF">
        <w:t xml:space="preserve"> defines who can be an operator. </w:t>
      </w:r>
    </w:p>
    <w:p w14:paraId="025F7340" w14:textId="393626DB" w:rsidR="00026E66" w:rsidRDefault="002737EF" w:rsidP="00FF0098">
      <w:pPr>
        <w:tabs>
          <w:tab w:val="left" w:pos="0"/>
        </w:tabs>
      </w:pPr>
      <w:r>
        <w:t>For more information about the definition of an operator, see our</w:t>
      </w:r>
      <w:r w:rsidR="008B3C82">
        <w:t xml:space="preserve"> </w:t>
      </w:r>
      <w:hyperlink r:id="rId22" w:history="1">
        <w:r w:rsidR="008B3C82" w:rsidRPr="008B3C82">
          <w:rPr>
            <w:rStyle w:val="Hyperlink"/>
          </w:rPr>
          <w:t>Legal operator and competence requirements</w:t>
        </w:r>
      </w:hyperlink>
      <w:r w:rsidR="008B3C82">
        <w:t>.</w:t>
      </w:r>
    </w:p>
    <w:p w14:paraId="715908A8" w14:textId="45692EA4" w:rsidR="00311225" w:rsidRDefault="002737EF" w:rsidP="00FC355D">
      <w:r>
        <w:lastRenderedPageBreak/>
        <w:t>The operator must be clearly identified as a legal entity</w:t>
      </w:r>
      <w:r w:rsidR="001D10F3">
        <w:t>, including</w:t>
      </w:r>
      <w:r>
        <w:t xml:space="preserve"> individuals, partnerships and limited companies.</w:t>
      </w:r>
      <w:r w:rsidR="00311225">
        <w:t xml:space="preserve"> </w:t>
      </w:r>
    </w:p>
    <w:p w14:paraId="23C85F71" w14:textId="5C724355" w:rsidR="00311225" w:rsidRDefault="00311225" w:rsidP="00FC355D">
      <w:r>
        <w:t xml:space="preserve">Sole traders and partnerships must provide a written statement to confirm that </w:t>
      </w:r>
      <w:r w:rsidR="006B653B">
        <w:t xml:space="preserve">each person entering the agreement is </w:t>
      </w:r>
      <w:r>
        <w:t>over 18 years old.</w:t>
      </w:r>
      <w:r w:rsidR="002737EF">
        <w:t xml:space="preserve"> </w:t>
      </w:r>
    </w:p>
    <w:p w14:paraId="22D5218A" w14:textId="68C21D06" w:rsidR="00026E66" w:rsidRDefault="002737EF" w:rsidP="00FC355D">
      <w:r>
        <w:t xml:space="preserve">Companies are registered with Companies House and are identified by </w:t>
      </w:r>
      <w:r>
        <w:rPr>
          <w:szCs w:val="24"/>
        </w:rPr>
        <w:t>their registered</w:t>
      </w:r>
      <w:r>
        <w:t xml:space="preserve"> company number. Only the company which satisfies the definition of operator can </w:t>
      </w:r>
      <w:r>
        <w:rPr>
          <w:szCs w:val="24"/>
        </w:rPr>
        <w:t xml:space="preserve">be the operator: a </w:t>
      </w:r>
      <w:r>
        <w:t xml:space="preserve">parent or </w:t>
      </w:r>
      <w:r>
        <w:rPr>
          <w:szCs w:val="24"/>
        </w:rPr>
        <w:t>other group</w:t>
      </w:r>
      <w:r>
        <w:t xml:space="preserve"> company will </w:t>
      </w:r>
      <w:r>
        <w:rPr>
          <w:szCs w:val="24"/>
        </w:rPr>
        <w:t>have a different</w:t>
      </w:r>
      <w:r w:rsidR="004968F7">
        <w:rPr>
          <w:szCs w:val="24"/>
        </w:rPr>
        <w:t xml:space="preserve"> company</w:t>
      </w:r>
      <w:r>
        <w:rPr>
          <w:szCs w:val="24"/>
        </w:rPr>
        <w:t xml:space="preserve"> number, is </w:t>
      </w:r>
      <w:r>
        <w:t>a separate legal entity</w:t>
      </w:r>
      <w:r>
        <w:rPr>
          <w:szCs w:val="24"/>
        </w:rPr>
        <w:t>,</w:t>
      </w:r>
      <w:r>
        <w:t xml:space="preserve"> and cannot be or act on behalf of the operator in relation to the CCA. This is important as it can affect other issues, including the inclusion and exclusion of facilities (</w:t>
      </w:r>
      <w:r w:rsidRPr="005A4AE8">
        <w:rPr>
          <w:u w:color="0077B9"/>
        </w:rPr>
        <w:t xml:space="preserve">see </w:t>
      </w:r>
      <w:hyperlink w:anchor="_4.5.3._Conditions_for" w:history="1">
        <w:r w:rsidRPr="00686BF3">
          <w:rPr>
            <w:rStyle w:val="Hyperlink"/>
          </w:rPr>
          <w:t>section 4.5.3</w:t>
        </w:r>
      </w:hyperlink>
      <w:r>
        <w:t xml:space="preserve">), as well as when ownership of the </w:t>
      </w:r>
      <w:r>
        <w:rPr>
          <w:szCs w:val="24"/>
        </w:rPr>
        <w:t>facility</w:t>
      </w:r>
      <w:r w:rsidR="00311225">
        <w:t xml:space="preserve"> </w:t>
      </w:r>
      <w:r w:rsidR="00311225">
        <w:rPr>
          <w:szCs w:val="24"/>
        </w:rPr>
        <w:t>or facilities</w:t>
      </w:r>
      <w:r>
        <w:t xml:space="preserve"> changes.</w:t>
      </w:r>
      <w:r>
        <w:rPr>
          <w:szCs w:val="24"/>
        </w:rPr>
        <w:t xml:space="preserve"> </w:t>
      </w:r>
    </w:p>
    <w:p w14:paraId="657462F4" w14:textId="31CD9932" w:rsidR="00026E66" w:rsidRDefault="002737EF" w:rsidP="00FF0098">
      <w:pPr>
        <w:tabs>
          <w:tab w:val="left" w:pos="0"/>
        </w:tabs>
      </w:pPr>
      <w:r>
        <w:t xml:space="preserve">The operator should appoint for each </w:t>
      </w:r>
      <w:r w:rsidR="00881981">
        <w:t>agreement</w:t>
      </w:r>
      <w:r>
        <w:t xml:space="preserve">: </w:t>
      </w:r>
    </w:p>
    <w:p w14:paraId="3D0527D9" w14:textId="4927EA9A" w:rsidR="00026E66" w:rsidRDefault="002737EF" w:rsidP="0065356B">
      <w:pPr>
        <w:pStyle w:val="ListParagraph"/>
        <w:numPr>
          <w:ilvl w:val="0"/>
          <w:numId w:val="22"/>
        </w:numPr>
        <w:tabs>
          <w:tab w:val="left" w:pos="0"/>
        </w:tabs>
      </w:pPr>
      <w:r>
        <w:t xml:space="preserve">a </w:t>
      </w:r>
      <w:hyperlink w:anchor="Responsibleperson" w:history="1">
        <w:r>
          <w:rPr>
            <w:rStyle w:val="Hyperlink"/>
          </w:rPr>
          <w:t>responsible person</w:t>
        </w:r>
      </w:hyperlink>
      <w:r>
        <w:t xml:space="preserve"> to act on their behalf </w:t>
      </w:r>
      <w:r w:rsidR="00C42155">
        <w:t>(</w:t>
      </w:r>
      <w:r w:rsidR="006A4495">
        <w:t xml:space="preserve">see </w:t>
      </w:r>
      <w:hyperlink w:anchor="_2.3.2._The_responsible" w:history="1">
        <w:r w:rsidR="006A4495" w:rsidRPr="002F3B4A">
          <w:rPr>
            <w:rStyle w:val="Hyperlink"/>
          </w:rPr>
          <w:t xml:space="preserve">section </w:t>
        </w:r>
        <w:r w:rsidR="006A4495" w:rsidRPr="16FDF78D">
          <w:rPr>
            <w:rStyle w:val="Hyperlink"/>
          </w:rPr>
          <w:t>2.3.2</w:t>
        </w:r>
      </w:hyperlink>
      <w:r w:rsidR="006A4495">
        <w:t>)</w:t>
      </w:r>
    </w:p>
    <w:p w14:paraId="09D67751" w14:textId="679D893F" w:rsidR="00026E66" w:rsidRDefault="002737EF" w:rsidP="0065356B">
      <w:pPr>
        <w:pStyle w:val="ListParagraph"/>
        <w:numPr>
          <w:ilvl w:val="0"/>
          <w:numId w:val="22"/>
        </w:numPr>
        <w:tabs>
          <w:tab w:val="left" w:pos="0"/>
        </w:tabs>
      </w:pPr>
      <w:r>
        <w:t xml:space="preserve">an administrative contact – the day-to-day contact for the </w:t>
      </w:r>
      <w:r w:rsidR="007F3FC7">
        <w:t>agreement</w:t>
      </w:r>
      <w:r>
        <w:t xml:space="preserve"> </w:t>
      </w:r>
      <w:r w:rsidR="006A4495">
        <w:t xml:space="preserve">(see </w:t>
      </w:r>
      <w:hyperlink w:anchor="_2.3.3._The_administrative" w:history="1">
        <w:r w:rsidR="006A4495" w:rsidRPr="008F4C01">
          <w:rPr>
            <w:rStyle w:val="Hyperlink"/>
          </w:rPr>
          <w:t>section 2.3.3)</w:t>
        </w:r>
      </w:hyperlink>
    </w:p>
    <w:p w14:paraId="03AC1CD8" w14:textId="77777777" w:rsidR="00026E66" w:rsidRDefault="002737EF" w:rsidP="00FF0098">
      <w:pPr>
        <w:tabs>
          <w:tab w:val="left" w:pos="0"/>
        </w:tabs>
      </w:pPr>
      <w:r>
        <w:t>The responsible person and administrative contact can be the same person, but this may impact our ability to communicate with you if the sole contact leaves.</w:t>
      </w:r>
    </w:p>
    <w:p w14:paraId="7CDB49B4" w14:textId="77777777" w:rsidR="00026E66" w:rsidRPr="00316F01" w:rsidRDefault="002737EF" w:rsidP="00316F01">
      <w:pPr>
        <w:pStyle w:val="Heading4"/>
      </w:pPr>
      <w:r w:rsidRPr="00316F01">
        <w:t xml:space="preserve">Multi-operator facilities </w:t>
      </w:r>
    </w:p>
    <w:p w14:paraId="03A78A49" w14:textId="7C8747FD" w:rsidR="00026E66" w:rsidRDefault="002737EF" w:rsidP="00FC355D">
      <w:r>
        <w:t xml:space="preserve">A </w:t>
      </w:r>
      <w:hyperlink w:anchor="Multioperatorfacility" w:history="1">
        <w:r w:rsidRPr="00EC16C8">
          <w:rPr>
            <w:rStyle w:val="Hyperlink"/>
          </w:rPr>
          <w:t>multi-operator facility (MOF)</w:t>
        </w:r>
      </w:hyperlink>
      <w:r>
        <w:t xml:space="preserve"> is a facility where different parts of the installation or installations are operated by different legal </w:t>
      </w:r>
      <w:r w:rsidR="002A6082">
        <w:t>entities</w:t>
      </w:r>
      <w:r>
        <w:t xml:space="preserve">. An agreement may cover a MOF site, but only one operator can hold the agreement. The operators in the MOF </w:t>
      </w:r>
      <w:r w:rsidR="00330790">
        <w:t>must</w:t>
      </w:r>
      <w:r>
        <w:t xml:space="preserve"> decide which operator should hold the agreement</w:t>
      </w:r>
      <w:r w:rsidR="00330790">
        <w:t xml:space="preserve"> and that operator is responsible for compliance with the agreement</w:t>
      </w:r>
      <w:r>
        <w:t xml:space="preserve">. The MOF is eligible to be included in a multi-facility </w:t>
      </w:r>
      <w:r w:rsidR="00FE3D0B">
        <w:t>agreement</w:t>
      </w:r>
      <w:r>
        <w:t xml:space="preserve"> if it meets the requirements outlined in </w:t>
      </w:r>
      <w:hyperlink w:anchor="_4.5.3._Conditions_for" w:history="1">
        <w:r w:rsidRPr="002F3B4A">
          <w:rPr>
            <w:rStyle w:val="Hyperlink"/>
          </w:rPr>
          <w:t xml:space="preserve">section </w:t>
        </w:r>
        <w:r>
          <w:rPr>
            <w:rStyle w:val="Hyperlink"/>
          </w:rPr>
          <w:t>4.5</w:t>
        </w:r>
        <w:r w:rsidR="0002487C">
          <w:rPr>
            <w:rStyle w:val="Hyperlink"/>
          </w:rPr>
          <w:t>.3</w:t>
        </w:r>
        <w:r>
          <w:rPr>
            <w:rStyle w:val="Hyperlink"/>
          </w:rPr>
          <w:t>.</w:t>
        </w:r>
      </w:hyperlink>
      <w:r>
        <w:t xml:space="preserve"> </w:t>
      </w:r>
    </w:p>
    <w:p w14:paraId="4D70CACA" w14:textId="77777777" w:rsidR="00026E66" w:rsidRDefault="002737EF" w:rsidP="00FF0098">
      <w:pPr>
        <w:pStyle w:val="Heading3"/>
        <w:tabs>
          <w:tab w:val="left" w:pos="0"/>
        </w:tabs>
      </w:pPr>
      <w:bookmarkStart w:id="21" w:name="_2.3.2._The_responsible"/>
      <w:bookmarkEnd w:id="21"/>
      <w:r>
        <w:t xml:space="preserve">2.3.2. The responsible person </w:t>
      </w:r>
    </w:p>
    <w:p w14:paraId="7B209107" w14:textId="77777777" w:rsidR="00026E66" w:rsidRDefault="002737EF" w:rsidP="00FF0098">
      <w:pPr>
        <w:tabs>
          <w:tab w:val="left" w:pos="0"/>
        </w:tabs>
      </w:pPr>
      <w:r>
        <w:t xml:space="preserve">As specified in the agreement, the responsible person is someone authorised by the operator to: </w:t>
      </w:r>
    </w:p>
    <w:p w14:paraId="2B68BE18" w14:textId="77777777" w:rsidR="00026E66" w:rsidRDefault="002737EF" w:rsidP="0065356B">
      <w:pPr>
        <w:pStyle w:val="ListParagraph"/>
        <w:numPr>
          <w:ilvl w:val="0"/>
          <w:numId w:val="23"/>
        </w:numPr>
        <w:tabs>
          <w:tab w:val="left" w:pos="0"/>
        </w:tabs>
      </w:pPr>
      <w:r>
        <w:t xml:space="preserve">enter into an underlying agreement </w:t>
      </w:r>
    </w:p>
    <w:p w14:paraId="6C515EA1" w14:textId="77777777" w:rsidR="00026E66" w:rsidRDefault="002737EF" w:rsidP="0065356B">
      <w:pPr>
        <w:pStyle w:val="ListParagraph"/>
        <w:numPr>
          <w:ilvl w:val="0"/>
          <w:numId w:val="23"/>
        </w:numPr>
        <w:tabs>
          <w:tab w:val="left" w:pos="0"/>
        </w:tabs>
      </w:pPr>
      <w:r>
        <w:t xml:space="preserve">agree any changes to an agreement </w:t>
      </w:r>
    </w:p>
    <w:p w14:paraId="08A8445F" w14:textId="496A6FD3" w:rsidR="00026E66" w:rsidRDefault="002737EF" w:rsidP="0065356B">
      <w:pPr>
        <w:pStyle w:val="ListParagraph"/>
        <w:numPr>
          <w:ilvl w:val="0"/>
          <w:numId w:val="23"/>
        </w:numPr>
        <w:tabs>
          <w:tab w:val="left" w:pos="0"/>
        </w:tabs>
      </w:pPr>
      <w:r>
        <w:t xml:space="preserve">accept any </w:t>
      </w:r>
      <w:hyperlink w:anchor="Penalty" w:history="1">
        <w:r w:rsidR="002A6082">
          <w:rPr>
            <w:rStyle w:val="Hyperlink"/>
          </w:rPr>
          <w:t>penalty</w:t>
        </w:r>
      </w:hyperlink>
      <w:r>
        <w:t xml:space="preserve"> or other notices we serve on the operator</w:t>
      </w:r>
    </w:p>
    <w:p w14:paraId="3A53A9FB" w14:textId="585E322F" w:rsidR="00026E66" w:rsidRDefault="002737EF" w:rsidP="00FF0098">
      <w:pPr>
        <w:tabs>
          <w:tab w:val="left" w:pos="0"/>
        </w:tabs>
      </w:pPr>
      <w:r>
        <w:t>Although the responsible person</w:t>
      </w:r>
      <w:r w:rsidR="00572206">
        <w:t xml:space="preserve"> for a</w:t>
      </w:r>
      <w:r w:rsidR="007C5670">
        <w:t>n operator</w:t>
      </w:r>
      <w:r>
        <w:t xml:space="preserve"> is the individual on whom we would serve notice, they have no personal liability.</w:t>
      </w:r>
      <w:r w:rsidR="006A4DD4">
        <w:t xml:space="preserve"> </w:t>
      </w:r>
      <w:r>
        <w:t>Compliance with the terms of the underlying agreement remains the responsibility of the operator. Any act or omission by the responsible person will be held to be an act or omission of the operator.</w:t>
      </w:r>
    </w:p>
    <w:p w14:paraId="2335BBA3" w14:textId="45F6B8DD" w:rsidR="007C5670" w:rsidRDefault="007C5670" w:rsidP="00FF0098">
      <w:pPr>
        <w:tabs>
          <w:tab w:val="left" w:pos="0"/>
        </w:tabs>
      </w:pPr>
      <w:r>
        <w:lastRenderedPageBreak/>
        <w:t xml:space="preserve">Different rules may apply in the case of sole traders, partnerships and unlimited companies.  </w:t>
      </w:r>
    </w:p>
    <w:p w14:paraId="36ACE83D" w14:textId="258A9458" w:rsidR="00026E66" w:rsidRDefault="002737EF" w:rsidP="00FF0098">
      <w:pPr>
        <w:tabs>
          <w:tab w:val="left" w:pos="0"/>
        </w:tabs>
      </w:pPr>
      <w:r>
        <w:t xml:space="preserve">We would normally expect the responsible person to be an employee of the operator and to have the necessary authority from the operator to enter and make amendments to the agreement. We would not expect a </w:t>
      </w:r>
      <w:hyperlink w:anchor="Consultant" w:history="1">
        <w:r w:rsidR="00F832C6">
          <w:rPr>
            <w:rStyle w:val="Hyperlink"/>
          </w:rPr>
          <w:t>consultant</w:t>
        </w:r>
      </w:hyperlink>
      <w:r>
        <w:t xml:space="preserve"> to </w:t>
      </w:r>
      <w:r w:rsidR="00C2165B">
        <w:t>have</w:t>
      </w:r>
      <w:r>
        <w:t xml:space="preserve"> sufficient authori</w:t>
      </w:r>
      <w:r w:rsidR="00C2165B">
        <w:t>ty</w:t>
      </w:r>
      <w:r>
        <w:t xml:space="preserve"> to act on behalf of the operator.</w:t>
      </w:r>
      <w:r w:rsidR="00FC355D">
        <w:t xml:space="preserve"> </w:t>
      </w:r>
    </w:p>
    <w:p w14:paraId="22562EC6" w14:textId="0EBAE07B" w:rsidR="00026E66" w:rsidRDefault="005D34B5" w:rsidP="00FF0098">
      <w:pPr>
        <w:tabs>
          <w:tab w:val="left" w:pos="0"/>
        </w:tabs>
      </w:pPr>
      <w:r>
        <w:t xml:space="preserve">The </w:t>
      </w:r>
      <w:r w:rsidR="002737EF">
        <w:t>responsible person must provide us with both a UK postal address and an operational email address that we can use to serve notices on them.</w:t>
      </w:r>
    </w:p>
    <w:p w14:paraId="5F4D27C3" w14:textId="21603DDD" w:rsidR="00026E66" w:rsidRDefault="002737EF" w:rsidP="00FF0098">
      <w:pPr>
        <w:tabs>
          <w:tab w:val="left" w:pos="0"/>
        </w:tabs>
      </w:pPr>
      <w:r>
        <w:t>The operator must notify any change to the contact details for the responsible person within 20 working days.</w:t>
      </w:r>
      <w:r w:rsidR="00FC355D">
        <w:t xml:space="preserve"> </w:t>
      </w:r>
      <w:r>
        <w:t xml:space="preserve">In practice, the operator should notify the sector association, who </w:t>
      </w:r>
      <w:r w:rsidR="002B5C56">
        <w:t>must</w:t>
      </w:r>
      <w:r>
        <w:t xml:space="preserve"> then update </w:t>
      </w:r>
      <w:proofErr w:type="spellStart"/>
      <w:r w:rsidR="00221034">
        <w:t>MyCCA</w:t>
      </w:r>
      <w:proofErr w:type="spellEnd"/>
      <w:r>
        <w:t>.</w:t>
      </w:r>
    </w:p>
    <w:p w14:paraId="6ACDBE01" w14:textId="67D28270" w:rsidR="00026E66" w:rsidRDefault="002737EF" w:rsidP="00316F01">
      <w:pPr>
        <w:pStyle w:val="Heading3"/>
        <w:tabs>
          <w:tab w:val="left" w:pos="0"/>
        </w:tabs>
      </w:pPr>
      <w:bookmarkStart w:id="22" w:name="_2.3.3._The_administrative"/>
      <w:bookmarkEnd w:id="22"/>
      <w:r>
        <w:t xml:space="preserve">2.3.3. The administrative contact </w:t>
      </w:r>
    </w:p>
    <w:p w14:paraId="71FF2E5C" w14:textId="0146D658" w:rsidR="00026E66" w:rsidRDefault="002737EF" w:rsidP="00FF0098">
      <w:pPr>
        <w:tabs>
          <w:tab w:val="left" w:pos="0"/>
        </w:tabs>
        <w:ind w:right="182"/>
      </w:pPr>
      <w:r>
        <w:rPr>
          <w:color w:val="auto"/>
          <w:szCs w:val="24"/>
        </w:rPr>
        <w:t>The administrative contac</w:t>
      </w:r>
      <w:r w:rsidR="002B2D0D">
        <w:rPr>
          <w:color w:val="auto"/>
          <w:szCs w:val="24"/>
        </w:rPr>
        <w:t>t</w:t>
      </w:r>
      <w:r>
        <w:rPr>
          <w:color w:val="auto"/>
          <w:szCs w:val="24"/>
        </w:rPr>
        <w:t xml:space="preserve"> is</w:t>
      </w:r>
      <w:r>
        <w:rPr>
          <w:color w:val="auto"/>
        </w:rPr>
        <w:t xml:space="preserve"> the </w:t>
      </w:r>
      <w:r>
        <w:rPr>
          <w:color w:val="auto"/>
          <w:szCs w:val="24"/>
        </w:rPr>
        <w:t>person who is the day-</w:t>
      </w:r>
      <w:r>
        <w:rPr>
          <w:color w:val="auto"/>
        </w:rPr>
        <w:t>to</w:t>
      </w:r>
      <w:r>
        <w:rPr>
          <w:color w:val="auto"/>
          <w:szCs w:val="24"/>
        </w:rPr>
        <w:t xml:space="preserve">-day contact and who </w:t>
      </w:r>
      <w:r w:rsidR="00200FB3">
        <w:rPr>
          <w:color w:val="auto"/>
          <w:szCs w:val="24"/>
        </w:rPr>
        <w:t>is responsible for</w:t>
      </w:r>
      <w:r>
        <w:rPr>
          <w:color w:val="auto"/>
        </w:rPr>
        <w:t xml:space="preserve"> the day-to-day management of the </w:t>
      </w:r>
      <w:r>
        <w:rPr>
          <w:color w:val="auto"/>
          <w:szCs w:val="24"/>
        </w:rPr>
        <w:t xml:space="preserve">underlying </w:t>
      </w:r>
      <w:r>
        <w:rPr>
          <w:color w:val="auto"/>
        </w:rPr>
        <w:t xml:space="preserve">agreement. </w:t>
      </w:r>
      <w:r>
        <w:rPr>
          <w:color w:val="auto"/>
          <w:szCs w:val="24"/>
        </w:rPr>
        <w:t xml:space="preserve">The administrative contact will often deal with the </w:t>
      </w:r>
      <w:r>
        <w:rPr>
          <w:color w:val="auto"/>
        </w:rPr>
        <w:t xml:space="preserve">sector association </w:t>
      </w:r>
      <w:r>
        <w:rPr>
          <w:color w:val="auto"/>
          <w:szCs w:val="24"/>
        </w:rPr>
        <w:t xml:space="preserve">on behalf of the operator and with the responsible person for general management of the CCA. </w:t>
      </w:r>
    </w:p>
    <w:p w14:paraId="65A28551" w14:textId="78EAF7D0" w:rsidR="00026E66" w:rsidRDefault="002737EF" w:rsidP="00FF0098">
      <w:pPr>
        <w:tabs>
          <w:tab w:val="left" w:pos="0"/>
        </w:tabs>
        <w:spacing w:after="161" w:line="235" w:lineRule="auto"/>
        <w:ind w:right="289"/>
        <w:jc w:val="both"/>
      </w:pPr>
      <w:r>
        <w:rPr>
          <w:color w:val="auto"/>
          <w:szCs w:val="24"/>
        </w:rPr>
        <w:t xml:space="preserve">The </w:t>
      </w:r>
      <w:r>
        <w:rPr>
          <w:color w:val="auto"/>
        </w:rPr>
        <w:t xml:space="preserve">administrative contact </w:t>
      </w:r>
      <w:r>
        <w:rPr>
          <w:color w:val="auto"/>
          <w:szCs w:val="24"/>
        </w:rPr>
        <w:t xml:space="preserve">does not </w:t>
      </w:r>
      <w:r w:rsidR="00D262C6">
        <w:rPr>
          <w:color w:val="auto"/>
          <w:szCs w:val="24"/>
        </w:rPr>
        <w:t xml:space="preserve">have </w:t>
      </w:r>
      <w:r>
        <w:rPr>
          <w:color w:val="auto"/>
          <w:szCs w:val="24"/>
        </w:rPr>
        <w:t xml:space="preserve">authority </w:t>
      </w:r>
      <w:r w:rsidR="008515CC">
        <w:rPr>
          <w:color w:val="auto"/>
          <w:szCs w:val="24"/>
        </w:rPr>
        <w:t>to make change</w:t>
      </w:r>
      <w:r w:rsidR="000466C4">
        <w:rPr>
          <w:color w:val="auto"/>
          <w:szCs w:val="24"/>
        </w:rPr>
        <w:t>s</w:t>
      </w:r>
      <w:r w:rsidR="008B2063">
        <w:rPr>
          <w:color w:val="auto"/>
          <w:szCs w:val="24"/>
        </w:rPr>
        <w:t xml:space="preserve"> to the underlying agreement and</w:t>
      </w:r>
      <w:r w:rsidR="000466C4">
        <w:rPr>
          <w:color w:val="auto"/>
          <w:szCs w:val="24"/>
        </w:rPr>
        <w:t xml:space="preserve"> is</w:t>
      </w:r>
      <w:r w:rsidR="008B2063">
        <w:rPr>
          <w:color w:val="auto"/>
          <w:szCs w:val="24"/>
        </w:rPr>
        <w:t xml:space="preserve"> not</w:t>
      </w:r>
      <w:r w:rsidR="000466C4">
        <w:rPr>
          <w:color w:val="auto"/>
          <w:szCs w:val="24"/>
        </w:rPr>
        <w:t xml:space="preserve"> responsible for</w:t>
      </w:r>
      <w:r>
        <w:rPr>
          <w:color w:val="auto"/>
          <w:szCs w:val="24"/>
        </w:rPr>
        <w:t xml:space="preserve"> complying with the rules o</w:t>
      </w:r>
      <w:r w:rsidR="000466C4">
        <w:rPr>
          <w:color w:val="auto"/>
          <w:szCs w:val="24"/>
        </w:rPr>
        <w:t>f the</w:t>
      </w:r>
      <w:r>
        <w:rPr>
          <w:color w:val="auto"/>
          <w:szCs w:val="24"/>
        </w:rPr>
        <w:t xml:space="preserve"> underlying </w:t>
      </w:r>
      <w:proofErr w:type="gramStart"/>
      <w:r w:rsidR="00CE26F2">
        <w:rPr>
          <w:color w:val="auto"/>
          <w:szCs w:val="24"/>
        </w:rPr>
        <w:t>agreement</w:t>
      </w:r>
      <w:r w:rsidR="00B079AF">
        <w:rPr>
          <w:color w:val="auto"/>
          <w:szCs w:val="24"/>
        </w:rPr>
        <w:t>,</w:t>
      </w:r>
      <w:r w:rsidR="00CE26F2">
        <w:rPr>
          <w:color w:val="auto"/>
          <w:szCs w:val="24"/>
        </w:rPr>
        <w:t xml:space="preserve"> but</w:t>
      </w:r>
      <w:proofErr w:type="gramEnd"/>
      <w:r w:rsidR="008B2063">
        <w:rPr>
          <w:color w:val="auto"/>
          <w:szCs w:val="24"/>
        </w:rPr>
        <w:t xml:space="preserve"> will</w:t>
      </w:r>
      <w:r>
        <w:rPr>
          <w:color w:val="auto"/>
          <w:szCs w:val="24"/>
        </w:rPr>
        <w:t xml:space="preserve"> often support the responsible person</w:t>
      </w:r>
      <w:r w:rsidR="000466C4">
        <w:rPr>
          <w:color w:val="auto"/>
          <w:szCs w:val="24"/>
        </w:rPr>
        <w:t>.</w:t>
      </w:r>
      <w:r>
        <w:rPr>
          <w:color w:val="auto"/>
          <w:szCs w:val="24"/>
        </w:rPr>
        <w:t xml:space="preserve"> </w:t>
      </w:r>
    </w:p>
    <w:p w14:paraId="2FEE3110" w14:textId="74A2CCB2" w:rsidR="00026E66" w:rsidRPr="00316F01" w:rsidRDefault="002737EF" w:rsidP="00316F01">
      <w:pPr>
        <w:tabs>
          <w:tab w:val="left" w:pos="0"/>
        </w:tabs>
        <w:spacing w:after="0"/>
        <w:ind w:right="182"/>
      </w:pPr>
      <w:r w:rsidRPr="421DE009">
        <w:rPr>
          <w:color w:val="auto"/>
        </w:rPr>
        <w:t xml:space="preserve">Details for the administrative contact can be updated </w:t>
      </w:r>
      <w:r>
        <w:rPr>
          <w:color w:val="auto"/>
        </w:rPr>
        <w:t>at any time</w:t>
      </w:r>
      <w:r w:rsidRPr="38A2CB22">
        <w:rPr>
          <w:color w:val="auto"/>
        </w:rPr>
        <w:t>.</w:t>
      </w:r>
      <w:r w:rsidRPr="421DE009">
        <w:rPr>
          <w:color w:val="auto"/>
        </w:rPr>
        <w:t xml:space="preserve"> It is important that these details are kept up to date so please notify your sector association when the contact changes so that they can update the details held on the register. </w:t>
      </w:r>
    </w:p>
    <w:p w14:paraId="5FDCF306" w14:textId="0DBDB739" w:rsidR="00026E66" w:rsidRDefault="002737EF" w:rsidP="00FF0098">
      <w:pPr>
        <w:pStyle w:val="Heading2"/>
        <w:tabs>
          <w:tab w:val="left" w:pos="0"/>
        </w:tabs>
      </w:pPr>
      <w:bookmarkStart w:id="23" w:name="_Toc94718631"/>
      <w:bookmarkStart w:id="24" w:name="_Toc94088879"/>
      <w:bookmarkStart w:id="25" w:name="_Toc242885358"/>
      <w:r>
        <w:t xml:space="preserve">2.4. </w:t>
      </w:r>
      <w:r w:rsidR="51CBFF02">
        <w:t>Processes</w:t>
      </w:r>
      <w:r>
        <w:t xml:space="preserve"> and products </w:t>
      </w:r>
      <w:r w:rsidR="00840301">
        <w:t xml:space="preserve">which </w:t>
      </w:r>
      <w:r>
        <w:t xml:space="preserve">are eligible for a </w:t>
      </w:r>
      <w:r w:rsidR="009803AC">
        <w:t>C</w:t>
      </w:r>
      <w:r>
        <w:t xml:space="preserve">limate </w:t>
      </w:r>
      <w:r w:rsidR="009803AC">
        <w:t>C</w:t>
      </w:r>
      <w:r>
        <w:t xml:space="preserve">hange </w:t>
      </w:r>
      <w:r w:rsidR="009803AC">
        <w:t>A</w:t>
      </w:r>
      <w:r>
        <w:t>greement</w:t>
      </w:r>
      <w:bookmarkEnd w:id="23"/>
      <w:bookmarkEnd w:id="24"/>
      <w:bookmarkEnd w:id="25"/>
      <w:r>
        <w:t xml:space="preserve"> </w:t>
      </w:r>
    </w:p>
    <w:p w14:paraId="3A642092" w14:textId="4D125514" w:rsidR="00026E66" w:rsidRDefault="002737EF" w:rsidP="00FF0098">
      <w:pPr>
        <w:pStyle w:val="Heading3"/>
        <w:tabs>
          <w:tab w:val="left" w:pos="0"/>
        </w:tabs>
      </w:pPr>
      <w:r>
        <w:t xml:space="preserve">2.4.1. What makes a site eligible for a CCA? </w:t>
      </w:r>
    </w:p>
    <w:p w14:paraId="2E425064" w14:textId="4F38D107" w:rsidR="00026E66" w:rsidRDefault="002737EF" w:rsidP="00FF0098">
      <w:pPr>
        <w:tabs>
          <w:tab w:val="left" w:pos="0"/>
        </w:tabs>
      </w:pPr>
      <w:r>
        <w:t>To hold a CCA</w:t>
      </w:r>
      <w:r w:rsidR="00B079AF">
        <w:t>,</w:t>
      </w:r>
      <w:r>
        <w:t xml:space="preserve"> an operator must carry out one or more </w:t>
      </w:r>
      <w:hyperlink w:anchor="Eligibleprocess" w:history="1">
        <w:r w:rsidRPr="00DB1221">
          <w:rPr>
            <w:rStyle w:val="Hyperlink"/>
          </w:rPr>
          <w:t>eligible processes</w:t>
        </w:r>
      </w:hyperlink>
      <w:r>
        <w:t xml:space="preserve">. </w:t>
      </w:r>
      <w:hyperlink w:anchor="_Appendix_A:_Eligible_1" w:history="1">
        <w:r w:rsidRPr="3640ED13">
          <w:rPr>
            <w:rStyle w:val="Hyperlink"/>
          </w:rPr>
          <w:t>Appendix A</w:t>
        </w:r>
      </w:hyperlink>
      <w:r>
        <w:t xml:space="preserve"> summarises the definitions of the eligible processes that are outlined in primary legislation, Schedule 6 to the </w:t>
      </w:r>
      <w:hyperlink w:anchor="FinanceAct2000" w:history="1">
        <w:r w:rsidRPr="005C5122">
          <w:rPr>
            <w:rStyle w:val="Hyperlink"/>
          </w:rPr>
          <w:t>Finance Act 2000</w:t>
        </w:r>
      </w:hyperlink>
      <w:r>
        <w:t xml:space="preserve"> (as amended).</w:t>
      </w:r>
      <w:r w:rsidR="00FC355D">
        <w:t xml:space="preserve"> </w:t>
      </w:r>
      <w:r>
        <w:t xml:space="preserve">This specifies eligibility through </w:t>
      </w:r>
      <w:r w:rsidR="07EB3F75">
        <w:t>3</w:t>
      </w:r>
      <w:r>
        <w:t xml:space="preserve"> pieces of legislation: </w:t>
      </w:r>
    </w:p>
    <w:p w14:paraId="0ED6F3F1" w14:textId="4BFB17A7" w:rsidR="0029263D" w:rsidRDefault="002737EF" w:rsidP="0029263D">
      <w:pPr>
        <w:pStyle w:val="ListParagraph"/>
        <w:numPr>
          <w:ilvl w:val="0"/>
          <w:numId w:val="24"/>
        </w:numPr>
        <w:tabs>
          <w:tab w:val="left" w:pos="0"/>
        </w:tabs>
      </w:pPr>
      <w:r w:rsidRPr="00E955A3">
        <w:rPr>
          <w:b/>
          <w:iCs/>
        </w:rPr>
        <w:t>The Environmental Permitting (England and Wales) Regulations 201</w:t>
      </w:r>
      <w:r w:rsidR="00F3710E">
        <w:rPr>
          <w:b/>
          <w:iCs/>
        </w:rPr>
        <w:t>6</w:t>
      </w:r>
      <w:r w:rsidRPr="00E955A3">
        <w:rPr>
          <w:b/>
          <w:iCs/>
        </w:rPr>
        <w:t xml:space="preserve"> (</w:t>
      </w:r>
      <w:hyperlink w:anchor="EPR" w:history="1">
        <w:r w:rsidRPr="00DB1221">
          <w:rPr>
            <w:rStyle w:val="Hyperlink"/>
            <w:b/>
            <w:iCs/>
          </w:rPr>
          <w:t>EPR</w:t>
        </w:r>
      </w:hyperlink>
      <w:r w:rsidRPr="00E955A3">
        <w:rPr>
          <w:b/>
          <w:iCs/>
        </w:rPr>
        <w:t>) (as amended).</w:t>
      </w:r>
      <w:r w:rsidRPr="00E955A3">
        <w:rPr>
          <w:b/>
        </w:rPr>
        <w:t xml:space="preserve"> </w:t>
      </w:r>
      <w:r>
        <w:t xml:space="preserve">A site will be eligible if it carries out a </w:t>
      </w:r>
      <w:hyperlink w:anchor="PartAactivity" w:history="1">
        <w:r w:rsidRPr="00D033CC">
          <w:rPr>
            <w:rStyle w:val="Hyperlink"/>
          </w:rPr>
          <w:t>Part A</w:t>
        </w:r>
      </w:hyperlink>
      <w:r>
        <w:t xml:space="preserve"> (1) or A (2) activity listed in Part 2 of Schedule 1. (Note that eligibility for facilities in Scotland or Northern Ireland is also determined by reference to the activities listed in the EPR </w:t>
      </w:r>
      <w:r>
        <w:lastRenderedPageBreak/>
        <w:t xml:space="preserve">for England and Wales.) For the purposes of the CCA scheme, </w:t>
      </w:r>
      <w:r w:rsidR="00885CEB">
        <w:t>many</w:t>
      </w:r>
      <w:r w:rsidR="00A059B5">
        <w:t xml:space="preserve"> numeric</w:t>
      </w:r>
      <w:r w:rsidR="00885CEB">
        <w:t xml:space="preserve"> </w:t>
      </w:r>
      <w:r>
        <w:t>thresholds in the EPR Schedule 1 activity descriptions</w:t>
      </w:r>
      <w:r w:rsidR="00A059B5">
        <w:t xml:space="preserve"> </w:t>
      </w:r>
      <w:r w:rsidR="002F0409">
        <w:t>are exempt</w:t>
      </w:r>
      <w:r w:rsidR="0029263D">
        <w:t>.</w:t>
      </w:r>
    </w:p>
    <w:p w14:paraId="09631BD8" w14:textId="4BBE6740" w:rsidR="00026E66" w:rsidRDefault="002737EF" w:rsidP="0065356B">
      <w:pPr>
        <w:pStyle w:val="ListParagraph"/>
        <w:numPr>
          <w:ilvl w:val="0"/>
          <w:numId w:val="24"/>
        </w:numPr>
        <w:tabs>
          <w:tab w:val="left" w:pos="0"/>
        </w:tabs>
      </w:pPr>
      <w:r w:rsidRPr="00E955A3">
        <w:rPr>
          <w:b/>
        </w:rPr>
        <w:t>The Climate Change Agreements (Eligible Facilities) Regulations 2012 (as amended)</w:t>
      </w:r>
      <w:r>
        <w:t xml:space="preserve">. A facility will be eligible if it carries out an energy-intensive process or activity detailed in the Schedule. The </w:t>
      </w:r>
      <w:hyperlink w:anchor="Umbrellaagreement" w:history="1">
        <w:r w:rsidRPr="001C3872">
          <w:rPr>
            <w:rStyle w:val="Hyperlink"/>
          </w:rPr>
          <w:t>umbrella agreement</w:t>
        </w:r>
      </w:hyperlink>
      <w:r>
        <w:t xml:space="preserve"> for each sector lists all the processes and activities carried out within the sector that are eligible for a CCA. You should work with your sector association to determine if you carry out an </w:t>
      </w:r>
      <w:hyperlink w:anchor="Eligibleprocess" w:history="1">
        <w:r>
          <w:rPr>
            <w:rStyle w:val="Hyperlink"/>
          </w:rPr>
          <w:t>eligible process</w:t>
        </w:r>
      </w:hyperlink>
      <w:r>
        <w:t xml:space="preserve">. </w:t>
      </w:r>
    </w:p>
    <w:p w14:paraId="15E07066" w14:textId="51767781" w:rsidR="00DD12A4" w:rsidRDefault="00731F45" w:rsidP="0065356B">
      <w:pPr>
        <w:pStyle w:val="ListParagraph"/>
        <w:numPr>
          <w:ilvl w:val="0"/>
          <w:numId w:val="24"/>
        </w:numPr>
        <w:tabs>
          <w:tab w:val="left" w:pos="0"/>
        </w:tabs>
      </w:pPr>
      <w:r w:rsidRPr="008F63AA">
        <w:rPr>
          <w:b/>
          <w:bCs/>
        </w:rPr>
        <w:t>The Climate Change Agreements (Energy–intensive Installations) Regulations 2006 (as amended)</w:t>
      </w:r>
      <w:r w:rsidR="00A319B1" w:rsidRPr="008F63AA">
        <w:rPr>
          <w:b/>
          <w:bCs/>
        </w:rPr>
        <w:t>.</w:t>
      </w:r>
      <w:r w:rsidR="00A319B1">
        <w:t xml:space="preserve"> A facility will be eligible if it carrie</w:t>
      </w:r>
      <w:r w:rsidR="00223640">
        <w:t>s</w:t>
      </w:r>
      <w:r w:rsidR="00A319B1">
        <w:t xml:space="preserve"> out an energy-intensive process or activity detailed in the </w:t>
      </w:r>
      <w:r w:rsidR="002008A3">
        <w:t>S</w:t>
      </w:r>
      <w:r w:rsidR="00A319B1">
        <w:t xml:space="preserve">chedule. </w:t>
      </w:r>
      <w:r w:rsidR="0082216C">
        <w:t xml:space="preserve">The umbrella agreement for each sector lists all the processes and activities carried out within the sector that are eligible for a CCA. </w:t>
      </w:r>
    </w:p>
    <w:p w14:paraId="3A2FED9C" w14:textId="670D9299" w:rsidR="00026E66" w:rsidRDefault="002737EF" w:rsidP="00FF0098">
      <w:pPr>
        <w:tabs>
          <w:tab w:val="left" w:pos="0"/>
        </w:tabs>
      </w:pPr>
      <w:r>
        <w:t xml:space="preserve">A list of what an operator will need to provide to prove eligibility when entering the scheme is outlined in </w:t>
      </w:r>
      <w:hyperlink w:anchor="_6._Application_process" w:history="1">
        <w:r w:rsidRPr="002F3B4A">
          <w:rPr>
            <w:rStyle w:val="Hyperlink"/>
          </w:rPr>
          <w:t>section 6</w:t>
        </w:r>
      </w:hyperlink>
      <w:r>
        <w:t>.</w:t>
      </w:r>
    </w:p>
    <w:p w14:paraId="5BBB3FBA" w14:textId="12A1862F" w:rsidR="00026E66" w:rsidRDefault="002737EF" w:rsidP="00FF0098">
      <w:pPr>
        <w:pStyle w:val="Heading3"/>
        <w:tabs>
          <w:tab w:val="left" w:pos="0"/>
        </w:tabs>
      </w:pPr>
      <w:r>
        <w:t xml:space="preserve">2.4.2. Changes to eligibility and tax exemptions </w:t>
      </w:r>
    </w:p>
    <w:p w14:paraId="1E96881C" w14:textId="6D2641A1" w:rsidR="005A4AE8" w:rsidRPr="005A4AE8" w:rsidRDefault="005A4AE8" w:rsidP="00FF0098">
      <w:pPr>
        <w:pStyle w:val="Heading4"/>
        <w:tabs>
          <w:tab w:val="left" w:pos="0"/>
        </w:tabs>
      </w:pPr>
      <w:r w:rsidRPr="005A4AE8">
        <w:t xml:space="preserve">2.4.2.1. New sectors </w:t>
      </w:r>
    </w:p>
    <w:p w14:paraId="0C5A7FA2" w14:textId="2AD2ED6B" w:rsidR="00026E66" w:rsidRDefault="002959E8" w:rsidP="00FF0098">
      <w:pPr>
        <w:tabs>
          <w:tab w:val="left" w:pos="0"/>
        </w:tabs>
      </w:pPr>
      <w:r>
        <w:t>Occasionally</w:t>
      </w:r>
      <w:r w:rsidR="00B079AF">
        <w:t>,</w:t>
      </w:r>
      <w:r>
        <w:t xml:space="preserve"> </w:t>
      </w:r>
      <w:r w:rsidR="002737EF">
        <w:t>government may extend eligibility to new sectors</w:t>
      </w:r>
      <w:r w:rsidR="004A2517">
        <w:t>, remove</w:t>
      </w:r>
      <w:r w:rsidR="002737EF">
        <w:t xml:space="preserve"> or amend it for existing sectors. We will update </w:t>
      </w:r>
      <w:hyperlink w:anchor="_Appendix_A:_Eligible_1" w:history="1">
        <w:r w:rsidR="002737EF" w:rsidRPr="559E4794">
          <w:rPr>
            <w:rStyle w:val="Hyperlink"/>
          </w:rPr>
          <w:t>Appendix A</w:t>
        </w:r>
      </w:hyperlink>
      <w:r w:rsidR="002737EF">
        <w:t xml:space="preserve"> as necessary. </w:t>
      </w:r>
      <w:r w:rsidR="00A76065">
        <w:t>This</w:t>
      </w:r>
      <w:r w:rsidR="002737EF">
        <w:t xml:space="preserve"> manual applies equally to new and existing sectors.</w:t>
      </w:r>
    </w:p>
    <w:p w14:paraId="0A6561B3" w14:textId="279646EC" w:rsidR="001F1BC5" w:rsidRDefault="00932F74" w:rsidP="00FF0098">
      <w:pPr>
        <w:tabs>
          <w:tab w:val="left" w:pos="0"/>
        </w:tabs>
      </w:pPr>
      <w:r>
        <w:t>From 1 January 2027</w:t>
      </w:r>
      <w:r w:rsidR="00F3236E">
        <w:t xml:space="preserve">, </w:t>
      </w:r>
      <w:r w:rsidR="008B02D8">
        <w:t xml:space="preserve">new eligible processes have been confirmed </w:t>
      </w:r>
      <w:r w:rsidR="00C84012">
        <w:t xml:space="preserve">for the </w:t>
      </w:r>
      <w:r w:rsidR="00A5495F">
        <w:t>scheme:</w:t>
      </w:r>
    </w:p>
    <w:p w14:paraId="4C2AD569" w14:textId="4024FD4F" w:rsidR="001F1BC5" w:rsidRPr="001F1BC5" w:rsidRDefault="002E00CF" w:rsidP="001F1BC5">
      <w:pPr>
        <w:numPr>
          <w:ilvl w:val="0"/>
          <w:numId w:val="172"/>
        </w:numPr>
        <w:tabs>
          <w:tab w:val="left" w:pos="0"/>
        </w:tabs>
      </w:pPr>
      <w:r>
        <w:t xml:space="preserve">the </w:t>
      </w:r>
      <w:r w:rsidR="001F1BC5">
        <w:t>mechanical recycling of plastic</w:t>
      </w:r>
    </w:p>
    <w:p w14:paraId="45316F86" w14:textId="77777777" w:rsidR="008B02D8" w:rsidRPr="00C84012" w:rsidRDefault="00932F74" w:rsidP="00FF0098">
      <w:pPr>
        <w:numPr>
          <w:ilvl w:val="0"/>
          <w:numId w:val="172"/>
        </w:numPr>
        <w:tabs>
          <w:tab w:val="left" w:pos="0"/>
        </w:tabs>
      </w:pPr>
      <w:r>
        <w:t xml:space="preserve">the </w:t>
      </w:r>
      <w:r w:rsidR="001F1BC5">
        <w:t>packaging of spirits</w:t>
      </w:r>
    </w:p>
    <w:p w14:paraId="68448815" w14:textId="77777777" w:rsidR="008B02D8" w:rsidRPr="00C84012" w:rsidRDefault="008B02D8" w:rsidP="00FF0098">
      <w:pPr>
        <w:numPr>
          <w:ilvl w:val="0"/>
          <w:numId w:val="172"/>
        </w:numPr>
        <w:tabs>
          <w:tab w:val="left" w:pos="0"/>
        </w:tabs>
      </w:pPr>
      <w:r>
        <w:t>the production of automotive grade battery cells</w:t>
      </w:r>
    </w:p>
    <w:p w14:paraId="073932F2" w14:textId="77A93783" w:rsidR="001F1BC5" w:rsidRDefault="00A3508A" w:rsidP="008B02D8">
      <w:pPr>
        <w:tabs>
          <w:tab w:val="left" w:pos="0"/>
        </w:tabs>
      </w:pPr>
      <w:r>
        <w:t xml:space="preserve">Facilities carrying out these newly </w:t>
      </w:r>
      <w:r w:rsidR="00D57AB4">
        <w:t>eligible</w:t>
      </w:r>
      <w:r>
        <w:t xml:space="preserve"> processes have been provided with an extended application period. </w:t>
      </w:r>
      <w:r w:rsidR="00195EC7">
        <w:t>After this, all facilities must apply within the standard application window (1 January to 31 August each year)</w:t>
      </w:r>
      <w:r w:rsidR="001528A8">
        <w:t>.</w:t>
      </w:r>
      <w:r w:rsidR="00644387">
        <w:t xml:space="preserve"> </w:t>
      </w:r>
      <w:r w:rsidR="00D54543">
        <w:t xml:space="preserve">Facilities included in an underlying agreement </w:t>
      </w:r>
      <w:r w:rsidR="00896C9F">
        <w:t>issued</w:t>
      </w:r>
      <w:r w:rsidR="008E1DE9">
        <w:t xml:space="preserve"> before</w:t>
      </w:r>
      <w:r w:rsidR="00896C9F">
        <w:t xml:space="preserve"> </w:t>
      </w:r>
      <w:r w:rsidR="00195EC7">
        <w:t xml:space="preserve">January 2027 </w:t>
      </w:r>
      <w:r w:rsidR="00E6778E">
        <w:t xml:space="preserve">will be </w:t>
      </w:r>
      <w:r w:rsidR="00D57AB4">
        <w:t>eligible for certification</w:t>
      </w:r>
      <w:r w:rsidR="00416C1B">
        <w:t xml:space="preserve"> from</w:t>
      </w:r>
      <w:r w:rsidR="00644387">
        <w:t xml:space="preserve"> 1 January 2027.</w:t>
      </w:r>
      <w:r w:rsidR="00195EC7">
        <w:t xml:space="preserve"> After </w:t>
      </w:r>
      <w:r w:rsidR="00A9326F">
        <w:t xml:space="preserve">1 </w:t>
      </w:r>
      <w:r w:rsidR="00195EC7">
        <w:t>January 2027</w:t>
      </w:r>
      <w:r w:rsidR="00D54543">
        <w:t>,</w:t>
      </w:r>
      <w:r w:rsidR="00195EC7">
        <w:t xml:space="preserve"> any new facilities will be certified from the date of activation of the underlying agreement.</w:t>
      </w:r>
    </w:p>
    <w:p w14:paraId="6D8AC5AF" w14:textId="604D254C" w:rsidR="005A4AE8" w:rsidRPr="005A4AE8" w:rsidRDefault="005A4AE8" w:rsidP="00FF0098">
      <w:pPr>
        <w:pStyle w:val="Heading4"/>
        <w:tabs>
          <w:tab w:val="left" w:pos="0"/>
        </w:tabs>
      </w:pPr>
      <w:r w:rsidRPr="005A4AE8">
        <w:t>2.4.2.</w:t>
      </w:r>
      <w:r w:rsidR="002008A3">
        <w:t>2</w:t>
      </w:r>
      <w:r w:rsidR="00C10F76">
        <w:t>.</w:t>
      </w:r>
      <w:r w:rsidRPr="005A4AE8">
        <w:t xml:space="preserve"> CCL exemption</w:t>
      </w:r>
      <w:r w:rsidR="00B93645">
        <w:t>s</w:t>
      </w:r>
      <w:r w:rsidRPr="005A4AE8">
        <w:t xml:space="preserve"> </w:t>
      </w:r>
    </w:p>
    <w:p w14:paraId="0DF5BD36" w14:textId="63BDF044" w:rsidR="00F0361F" w:rsidRDefault="00A11B6B" w:rsidP="007A7512">
      <w:r>
        <w:t xml:space="preserve">HMRC </w:t>
      </w:r>
      <w:r w:rsidR="00526B91">
        <w:t xml:space="preserve">have published </w:t>
      </w:r>
      <w:hyperlink r:id="rId23" w:history="1">
        <w:r w:rsidR="00526B91" w:rsidRPr="00F0361F">
          <w:rPr>
            <w:rStyle w:val="Hyperlink"/>
          </w:rPr>
          <w:t>guidance</w:t>
        </w:r>
      </w:hyperlink>
      <w:r>
        <w:t xml:space="preserve"> outlining</w:t>
      </w:r>
      <w:r w:rsidR="00526B91">
        <w:t xml:space="preserve"> certain</w:t>
      </w:r>
      <w:r>
        <w:t xml:space="preserve"> exemptions</w:t>
      </w:r>
      <w:r w:rsidR="00836D53">
        <w:t xml:space="preserve"> for the </w:t>
      </w:r>
      <w:hyperlink w:anchor="CCL" w:history="1">
        <w:r w:rsidR="00836D53" w:rsidRPr="00817606">
          <w:rPr>
            <w:rStyle w:val="Hyperlink"/>
          </w:rPr>
          <w:t>Climate Change Levy.</w:t>
        </w:r>
      </w:hyperlink>
      <w:r w:rsidR="00836D53">
        <w:t xml:space="preserve"> </w:t>
      </w:r>
      <w:r w:rsidR="00BE736B">
        <w:t>The metallurgical and mineralogical</w:t>
      </w:r>
      <w:r w:rsidR="00254AFB">
        <w:t xml:space="preserve"> exemptions</w:t>
      </w:r>
      <w:r w:rsidR="00BE736B">
        <w:t xml:space="preserve"> are most relevant </w:t>
      </w:r>
      <w:r w:rsidR="00BE5FBB">
        <w:t xml:space="preserve">for facilities and sectors in the CCA scheme. </w:t>
      </w:r>
    </w:p>
    <w:p w14:paraId="1A921B19" w14:textId="1580EC4B" w:rsidR="00026E66" w:rsidRDefault="002737EF" w:rsidP="007A7512">
      <w:r>
        <w:rPr>
          <w:color w:val="auto"/>
          <w:szCs w:val="24"/>
        </w:rPr>
        <w:lastRenderedPageBreak/>
        <w:t>Operators of a facility covered by a CCA which includes</w:t>
      </w:r>
      <w:r>
        <w:rPr>
          <w:color w:val="auto"/>
        </w:rPr>
        <w:t xml:space="preserve"> exempted metallurgical and mineralogical processes </w:t>
      </w:r>
      <w:r>
        <w:rPr>
          <w:color w:val="auto"/>
          <w:szCs w:val="24"/>
        </w:rPr>
        <w:t>can continue</w:t>
      </w:r>
      <w:r>
        <w:rPr>
          <w:color w:val="auto"/>
        </w:rPr>
        <w:t xml:space="preserve"> to </w:t>
      </w:r>
      <w:r>
        <w:rPr>
          <w:color w:val="auto"/>
          <w:szCs w:val="24"/>
        </w:rPr>
        <w:t>hold</w:t>
      </w:r>
      <w:r>
        <w:rPr>
          <w:color w:val="auto"/>
        </w:rPr>
        <w:t xml:space="preserve"> their CCA</w:t>
      </w:r>
      <w:r>
        <w:rPr>
          <w:color w:val="auto"/>
          <w:szCs w:val="24"/>
        </w:rPr>
        <w:t xml:space="preserve"> where to do so is consistent with scheme rules</w:t>
      </w:r>
      <w:r>
        <w:rPr>
          <w:color w:val="auto"/>
        </w:rPr>
        <w:t xml:space="preserve">. Where an operator chooses to retain their CCA, they can claim 100% relief under the metallurgical and mineralogical exemption and CCA </w:t>
      </w:r>
      <w:r>
        <w:rPr>
          <w:color w:val="auto"/>
          <w:szCs w:val="24"/>
        </w:rPr>
        <w:t>rates</w:t>
      </w:r>
      <w:r>
        <w:rPr>
          <w:color w:val="auto"/>
        </w:rPr>
        <w:t xml:space="preserve"> of relief for other eligible processes. </w:t>
      </w:r>
    </w:p>
    <w:p w14:paraId="76AFC0F1" w14:textId="04BA3634" w:rsidR="00D446AD" w:rsidRDefault="002737EF" w:rsidP="007559D1">
      <w:r>
        <w:t xml:space="preserve">Alternatively, operators have the option to voluntarily terminate (see </w:t>
      </w:r>
      <w:hyperlink w:anchor="_8.3.1._Voluntary_termination" w:history="1">
        <w:r>
          <w:rPr>
            <w:rStyle w:val="Hyperlink"/>
          </w:rPr>
          <w:t>section 8.3.1</w:t>
        </w:r>
      </w:hyperlink>
      <w:r>
        <w:t>) their CCA agreement in line with the scheme rules</w:t>
      </w:r>
      <w:r w:rsidR="002A6DC3">
        <w:t>.</w:t>
      </w:r>
      <w:r w:rsidR="00727E81">
        <w:t xml:space="preserve"> T</w:t>
      </w:r>
      <w:r>
        <w:t xml:space="preserve">ermination of the agreement means all facilities within the </w:t>
      </w:r>
      <w:r w:rsidR="007F3FC7">
        <w:t>agreement</w:t>
      </w:r>
      <w:r>
        <w:t xml:space="preserve"> will no longer be able to claim their CCL discount through the CCA scheme. Operators terminating their agreement for facilities that are regulated under the </w:t>
      </w:r>
      <w:hyperlink w:anchor="EPR" w:history="1">
        <w:r w:rsidRPr="00BD6160">
          <w:rPr>
            <w:rStyle w:val="Hyperlink"/>
          </w:rPr>
          <w:t>EPR</w:t>
        </w:r>
      </w:hyperlink>
      <w:r>
        <w:t xml:space="preserve"> in England and Wales (and the equivalent legislation for the devolved regulators), should refer to the </w:t>
      </w:r>
      <w:r w:rsidR="00575B0E">
        <w:t xml:space="preserve">other guidance documents </w:t>
      </w:r>
      <w:r>
        <w:t>following termination of their CCA</w:t>
      </w:r>
      <w:r w:rsidR="00E73C54">
        <w:t xml:space="preserve">. </w:t>
      </w:r>
      <w:r w:rsidR="2052E0EC">
        <w:t>This is</w:t>
      </w:r>
      <w:r w:rsidR="7BAFEDE9">
        <w:t xml:space="preserve"> to ensure they comply with the </w:t>
      </w:r>
      <w:hyperlink r:id="rId24">
        <w:r w:rsidR="7BAFEDE9" w:rsidRPr="6662D1B4">
          <w:rPr>
            <w:rStyle w:val="Hyperlink"/>
            <w:color w:val="0070C0"/>
          </w:rPr>
          <w:t>energy efficiency</w:t>
        </w:r>
      </w:hyperlink>
      <w:r w:rsidR="7BAFEDE9">
        <w:t xml:space="preserve"> requirements set out in the EPR.</w:t>
      </w:r>
      <w:r w:rsidR="46B8BBCC">
        <w:t xml:space="preserve"> </w:t>
      </w:r>
    </w:p>
    <w:p w14:paraId="432EDFC8" w14:textId="51354BC4" w:rsidR="00026E66" w:rsidRDefault="002737EF" w:rsidP="00FF0098">
      <w:pPr>
        <w:pStyle w:val="Heading1"/>
        <w:tabs>
          <w:tab w:val="left" w:pos="0"/>
        </w:tabs>
      </w:pPr>
      <w:bookmarkStart w:id="26" w:name="_3._Eligible_energy"/>
      <w:bookmarkStart w:id="27" w:name="_Toc94718632"/>
      <w:bookmarkStart w:id="28" w:name="_Toc94088880"/>
      <w:bookmarkStart w:id="29" w:name="_Toc242885359"/>
      <w:bookmarkEnd w:id="26"/>
      <w:r>
        <w:t>3. Eligible energy in the CCA scheme</w:t>
      </w:r>
      <w:bookmarkEnd w:id="27"/>
      <w:bookmarkEnd w:id="28"/>
      <w:bookmarkEnd w:id="29"/>
      <w:r>
        <w:t xml:space="preserve"> </w:t>
      </w:r>
    </w:p>
    <w:p w14:paraId="0657F299" w14:textId="71D6479C" w:rsidR="00EC29B8" w:rsidRDefault="002737EF" w:rsidP="00FC355D">
      <w:r>
        <w:t xml:space="preserve">This section </w:t>
      </w:r>
      <w:r w:rsidR="00795711">
        <w:t>explains how energy is accounted for</w:t>
      </w:r>
      <w:r>
        <w:t xml:space="preserve"> in </w:t>
      </w:r>
      <w:r w:rsidR="009E23D8">
        <w:t>the CCA scheme</w:t>
      </w:r>
      <w:r>
        <w:t xml:space="preserve">. </w:t>
      </w:r>
      <w:r w:rsidR="00EC29B8">
        <w:t xml:space="preserve">It will help you: </w:t>
      </w:r>
    </w:p>
    <w:p w14:paraId="50BBEC59" w14:textId="1644B7A2" w:rsidR="00EC29B8" w:rsidRDefault="00EC29B8" w:rsidP="00EC29B8">
      <w:pPr>
        <w:pStyle w:val="ListParagraph"/>
        <w:numPr>
          <w:ilvl w:val="0"/>
          <w:numId w:val="199"/>
        </w:numPr>
      </w:pPr>
      <w:r>
        <w:t>determine the energy that can be included in an eligible facility</w:t>
      </w:r>
    </w:p>
    <w:p w14:paraId="3805355B" w14:textId="7B31153F" w:rsidR="00EC29B8" w:rsidRDefault="00EC29B8" w:rsidP="00EC29B8">
      <w:pPr>
        <w:pStyle w:val="ListParagraph"/>
        <w:numPr>
          <w:ilvl w:val="0"/>
          <w:numId w:val="199"/>
        </w:numPr>
      </w:pPr>
      <w:r>
        <w:t xml:space="preserve">calculate the energy use in the </w:t>
      </w:r>
      <w:hyperlink w:anchor="Targetfacility" w:history="1">
        <w:r w:rsidRPr="00B52757">
          <w:rPr>
            <w:rStyle w:val="Hyperlink"/>
          </w:rPr>
          <w:t>target facility</w:t>
        </w:r>
      </w:hyperlink>
    </w:p>
    <w:p w14:paraId="5B9BE19D" w14:textId="5BDA0345" w:rsidR="00EC29B8" w:rsidRDefault="00EC29B8" w:rsidP="00EC29B8">
      <w:pPr>
        <w:pStyle w:val="ListParagraph"/>
        <w:numPr>
          <w:ilvl w:val="0"/>
          <w:numId w:val="199"/>
        </w:numPr>
      </w:pPr>
      <w:r>
        <w:t>establish the target facility’s baseline performance</w:t>
      </w:r>
    </w:p>
    <w:p w14:paraId="5A0C5EA8" w14:textId="51BC15E6" w:rsidR="00F60C9B" w:rsidRDefault="007B6AAC" w:rsidP="00F60C9B">
      <w:r>
        <w:t xml:space="preserve">The </w:t>
      </w:r>
      <w:r>
        <w:rPr>
          <w:b/>
          <w:bCs/>
        </w:rPr>
        <w:t xml:space="preserve">eligible facility </w:t>
      </w:r>
      <w:r>
        <w:t xml:space="preserve">is the installation or part of a site which is eligible to be covered by a CCA. </w:t>
      </w:r>
    </w:p>
    <w:p w14:paraId="1D77A84B" w14:textId="748EAE51" w:rsidR="007B6AAC" w:rsidRPr="00FD1FAE" w:rsidRDefault="007B6AAC" w:rsidP="00F60C9B">
      <w:r>
        <w:t xml:space="preserve">The </w:t>
      </w:r>
      <w:r>
        <w:rPr>
          <w:b/>
          <w:bCs/>
        </w:rPr>
        <w:t xml:space="preserve">target facility </w:t>
      </w:r>
      <w:r>
        <w:t>is the eligible facility excluding any energy covered by the UK Emissions Trading Scheme (</w:t>
      </w:r>
      <w:hyperlink w:anchor="UKETS" w:history="1">
        <w:r w:rsidRPr="00030D52">
          <w:rPr>
            <w:rStyle w:val="Hyperlink"/>
          </w:rPr>
          <w:t>UK ETS</w:t>
        </w:r>
      </w:hyperlink>
      <w:r>
        <w:t>)</w:t>
      </w:r>
      <w:r w:rsidR="00233C36">
        <w:t>, if applicable</w:t>
      </w:r>
      <w:r>
        <w:t>.</w:t>
      </w:r>
      <w:r w:rsidR="00FD1FAE">
        <w:t xml:space="preserve"> The </w:t>
      </w:r>
      <w:r w:rsidR="00FD1FAE">
        <w:rPr>
          <w:b/>
          <w:bCs/>
        </w:rPr>
        <w:t xml:space="preserve">target facility </w:t>
      </w:r>
      <w:r w:rsidR="004A7C03">
        <w:t xml:space="preserve">is the part </w:t>
      </w:r>
      <w:r w:rsidR="00CC4ED3">
        <w:t xml:space="preserve">to which CCA targets apply. </w:t>
      </w:r>
    </w:p>
    <w:p w14:paraId="107DF87C" w14:textId="77777777" w:rsidR="00026E66" w:rsidRDefault="002737EF" w:rsidP="00FF0098">
      <w:pPr>
        <w:tabs>
          <w:tab w:val="left" w:pos="0"/>
        </w:tabs>
        <w:ind w:right="182"/>
        <w:rPr>
          <w:color w:val="auto"/>
        </w:rPr>
      </w:pPr>
      <w:r>
        <w:rPr>
          <w:color w:val="auto"/>
        </w:rPr>
        <w:t xml:space="preserve">This section covers: </w:t>
      </w:r>
    </w:p>
    <w:p w14:paraId="4BB2629F" w14:textId="33722439" w:rsidR="00026E66" w:rsidRDefault="002737EF" w:rsidP="0065356B">
      <w:pPr>
        <w:pStyle w:val="ListParagraph"/>
        <w:numPr>
          <w:ilvl w:val="0"/>
          <w:numId w:val="26"/>
        </w:numPr>
        <w:tabs>
          <w:tab w:val="left" w:pos="0"/>
        </w:tabs>
      </w:pPr>
      <w:r>
        <w:t xml:space="preserve">how to account for energy use and calculate </w:t>
      </w:r>
      <w:hyperlink w:anchor="Primaryenergy" w:history="1">
        <w:r w:rsidRPr="00D033CC">
          <w:rPr>
            <w:rStyle w:val="Hyperlink"/>
          </w:rPr>
          <w:t>primary energy</w:t>
        </w:r>
      </w:hyperlink>
      <w:r>
        <w:t xml:space="preserve"> consumption </w:t>
      </w:r>
    </w:p>
    <w:p w14:paraId="157E42BC" w14:textId="77777777" w:rsidR="00026E66" w:rsidRDefault="002737EF" w:rsidP="0065356B">
      <w:pPr>
        <w:pStyle w:val="ListParagraph"/>
        <w:numPr>
          <w:ilvl w:val="0"/>
          <w:numId w:val="26"/>
        </w:numPr>
        <w:tabs>
          <w:tab w:val="left" w:pos="0"/>
        </w:tabs>
      </w:pPr>
      <w:r>
        <w:t xml:space="preserve">how to define the eligible facility and target facility on a site </w:t>
      </w:r>
    </w:p>
    <w:p w14:paraId="5EDC93E5" w14:textId="27C1A6FC" w:rsidR="00026E66" w:rsidRDefault="002737EF" w:rsidP="0065356B">
      <w:pPr>
        <w:pStyle w:val="ListParagraph"/>
        <w:numPr>
          <w:ilvl w:val="0"/>
          <w:numId w:val="26"/>
        </w:numPr>
        <w:tabs>
          <w:tab w:val="left" w:pos="0"/>
        </w:tabs>
      </w:pPr>
      <w:r>
        <w:t xml:space="preserve">how to calculate the performance of the target facility in the </w:t>
      </w:r>
      <w:hyperlink w:anchor="baseyear" w:history="1">
        <w:r w:rsidRPr="00233C36">
          <w:rPr>
            <w:rStyle w:val="Hyperlink"/>
          </w:rPr>
          <w:t>base year</w:t>
        </w:r>
      </w:hyperlink>
      <w:r>
        <w:t xml:space="preserve"> </w:t>
      </w:r>
    </w:p>
    <w:p w14:paraId="4F22946D" w14:textId="60593FB0" w:rsidR="00026E66" w:rsidRDefault="002737EF" w:rsidP="00FC355D">
      <w:r>
        <w:t>Note</w:t>
      </w:r>
      <w:r w:rsidR="00E73C54">
        <w:t xml:space="preserve"> that </w:t>
      </w:r>
      <w:r w:rsidR="2052E0EC">
        <w:t>t</w:t>
      </w:r>
      <w:r w:rsidR="7BAFEDE9">
        <w:t>he</w:t>
      </w:r>
      <w:r>
        <w:t xml:space="preserve"> </w:t>
      </w:r>
      <w:hyperlink w:anchor="FinanceAct2000" w:history="1">
        <w:r w:rsidRPr="005C5122">
          <w:rPr>
            <w:rStyle w:val="Hyperlink"/>
          </w:rPr>
          <w:t>Finance Act 2000</w:t>
        </w:r>
      </w:hyperlink>
      <w:r>
        <w:t xml:space="preserve"> (as amended) defines a 'facility that is eligible' [to hold a CCA]. In this manual, when we use 'eligible facility', we mean a 'facility that is eligible' as outlined in the Finance Act 2000 (as amended). </w:t>
      </w:r>
    </w:p>
    <w:p w14:paraId="7CA50A70" w14:textId="77777777" w:rsidR="00026E66" w:rsidRDefault="002737EF" w:rsidP="00FC355D">
      <w:r>
        <w:t xml:space="preserve">For illustrative purposes, extracts are taken from the </w:t>
      </w:r>
      <w:hyperlink r:id="rId25" w:history="1">
        <w:r>
          <w:rPr>
            <w:rStyle w:val="Hyperlink"/>
            <w:color w:val="0070C0"/>
          </w:rPr>
          <w:t>Technical Annex</w:t>
        </w:r>
      </w:hyperlink>
      <w:r>
        <w:t xml:space="preserve">. These extracts describe energy accounting as it applies to the determination of the target facility. For the avoidance of doubt, the same accounting protocols apply to the determination of the eligible facility. </w:t>
      </w:r>
    </w:p>
    <w:p w14:paraId="628E59A8" w14:textId="77777777" w:rsidR="00026E66" w:rsidRDefault="002737EF" w:rsidP="00FF0098">
      <w:pPr>
        <w:pStyle w:val="Heading2"/>
        <w:tabs>
          <w:tab w:val="left" w:pos="0"/>
        </w:tabs>
      </w:pPr>
      <w:bookmarkStart w:id="30" w:name="_3.1._How_to"/>
      <w:bookmarkStart w:id="31" w:name="_Toc94718633"/>
      <w:bookmarkStart w:id="32" w:name="_Toc94088881"/>
      <w:bookmarkStart w:id="33" w:name="_Toc242885360"/>
      <w:bookmarkEnd w:id="30"/>
      <w:r>
        <w:lastRenderedPageBreak/>
        <w:t>3.1. How to account for energy use</w:t>
      </w:r>
      <w:bookmarkEnd w:id="31"/>
      <w:bookmarkEnd w:id="32"/>
      <w:bookmarkEnd w:id="33"/>
      <w:r>
        <w:t xml:space="preserve"> </w:t>
      </w:r>
    </w:p>
    <w:p w14:paraId="0A125C53" w14:textId="77777777" w:rsidR="00026E66" w:rsidRDefault="002737EF" w:rsidP="00FC355D">
      <w:r>
        <w:t xml:space="preserve">The first stage in setting up a CCA is to understand how much of the energy consumed on a site is eligible to be included in the CCA. To do this, the operator must first understand the types of energy and fuels that are accounted for in the CCA scheme. </w:t>
      </w:r>
    </w:p>
    <w:p w14:paraId="7D6C8AE7" w14:textId="77777777" w:rsidR="00026E66" w:rsidRDefault="002737EF" w:rsidP="00FF0098">
      <w:pPr>
        <w:pStyle w:val="Heading3"/>
        <w:tabs>
          <w:tab w:val="left" w:pos="0"/>
        </w:tabs>
      </w:pPr>
      <w:bookmarkStart w:id="34" w:name="_3.1.1._Fossil_fuels"/>
      <w:bookmarkEnd w:id="34"/>
      <w:r>
        <w:t xml:space="preserve">3.1.1. Fossil fuels </w:t>
      </w:r>
    </w:p>
    <w:p w14:paraId="4819CD4F" w14:textId="544AE0D0" w:rsidR="00026E66" w:rsidRDefault="002737EF" w:rsidP="00FC355D">
      <w:r>
        <w:rPr>
          <w:color w:val="auto"/>
        </w:rPr>
        <w:t xml:space="preserve">The operator should account for the combustion of fossil fuels on a site. Paragraph </w:t>
      </w:r>
      <w:r w:rsidR="00FB41A5">
        <w:rPr>
          <w:color w:val="auto"/>
        </w:rPr>
        <w:t xml:space="preserve">13 </w:t>
      </w:r>
      <w:r>
        <w:rPr>
          <w:color w:val="auto"/>
        </w:rPr>
        <w:t xml:space="preserve">in the </w:t>
      </w:r>
      <w:hyperlink r:id="rId26" w:history="1">
        <w:r>
          <w:rPr>
            <w:rStyle w:val="Hyperlink"/>
            <w:color w:val="0070C0"/>
          </w:rPr>
          <w:t>Technical Annex</w:t>
        </w:r>
      </w:hyperlink>
      <w:r>
        <w:rPr>
          <w:color w:val="auto"/>
        </w:rPr>
        <w:t xml:space="preserve"> states: </w:t>
      </w:r>
    </w:p>
    <w:p w14:paraId="20E62040" w14:textId="77777777" w:rsidR="00026E66" w:rsidRDefault="002737EF" w:rsidP="6662D1B4">
      <w:pPr>
        <w:ind w:left="720"/>
      </w:pPr>
      <w:r w:rsidRPr="6662D1B4">
        <w:rPr>
          <w:color w:val="auto"/>
        </w:rPr>
        <w:t>“</w:t>
      </w:r>
      <w:r>
        <w:rPr>
          <w:color w:val="auto"/>
        </w:rPr>
        <w:t>The units of fossil fuels used must be calculated on a gross calorific value basis. No correction must be applied to account for the energy consumed in the extraction, processing, and supply of the fossil fuels to a target facility</w:t>
      </w:r>
      <w:r w:rsidRPr="6662D1B4">
        <w:rPr>
          <w:color w:val="auto"/>
        </w:rPr>
        <w:t>.”</w:t>
      </w:r>
    </w:p>
    <w:p w14:paraId="6E820571" w14:textId="3245B30D" w:rsidR="00E32B89" w:rsidRPr="00093C38" w:rsidRDefault="00E32B89" w:rsidP="00E32B89">
      <w:pPr>
        <w:rPr>
          <w:color w:val="auto"/>
        </w:rPr>
      </w:pPr>
      <w:r>
        <w:rPr>
          <w:color w:val="auto"/>
        </w:rPr>
        <w:t>If available, operators should use the gross calorific value (GCV) provided by their energy supplier when working out their energy consumption. Where this information is unavailable, operators should use t</w:t>
      </w:r>
      <w:r w:rsidRPr="00093C38">
        <w:rPr>
          <w:color w:val="auto"/>
        </w:rPr>
        <w:t xml:space="preserve">he GCV </w:t>
      </w:r>
      <w:r w:rsidRPr="00D33FE4">
        <w:rPr>
          <w:color w:val="auto"/>
          <w:szCs w:val="24"/>
        </w:rPr>
        <w:t xml:space="preserve">given for the </w:t>
      </w:r>
      <w:proofErr w:type="gramStart"/>
      <w:r w:rsidRPr="00D33FE4">
        <w:rPr>
          <w:color w:val="auto"/>
          <w:szCs w:val="24"/>
        </w:rPr>
        <w:t>particular fossil</w:t>
      </w:r>
      <w:proofErr w:type="gramEnd"/>
      <w:r w:rsidRPr="00D33FE4">
        <w:rPr>
          <w:color w:val="auto"/>
          <w:szCs w:val="24"/>
        </w:rPr>
        <w:t xml:space="preserve"> fuel in</w:t>
      </w:r>
      <w:r w:rsidRPr="00093C38">
        <w:rPr>
          <w:color w:val="auto"/>
        </w:rPr>
        <w:t xml:space="preserve"> the </w:t>
      </w:r>
      <w:hyperlink r:id="rId27" w:tgtFrame="_blank" w:tooltip="https://www.gov.uk/government/publications/greenhouse-gas-reporting-conversion-factors-2022" w:history="1">
        <w:r w:rsidRPr="006E06C1">
          <w:rPr>
            <w:rStyle w:val="Hyperlink"/>
            <w:szCs w:val="24"/>
          </w:rPr>
          <w:t>Greenhouse gas reporting: conversion factors 2022</w:t>
        </w:r>
      </w:hyperlink>
      <w:r w:rsidR="0094787E">
        <w:t xml:space="preserve"> for the new scheme</w:t>
      </w:r>
      <w:r w:rsidRPr="00093C38">
        <w:rPr>
          <w:color w:val="auto"/>
        </w:rPr>
        <w:t xml:space="preserve">. </w:t>
      </w:r>
      <w:r w:rsidRPr="00D33FE4">
        <w:rPr>
          <w:color w:val="auto"/>
          <w:szCs w:val="24"/>
        </w:rPr>
        <w:t>These</w:t>
      </w:r>
      <w:r w:rsidRPr="00093C38">
        <w:rPr>
          <w:color w:val="auto"/>
        </w:rPr>
        <w:t xml:space="preserve"> 2022 GCV conversion factors </w:t>
      </w:r>
      <w:r w:rsidRPr="00D33FE4">
        <w:rPr>
          <w:color w:val="auto"/>
          <w:szCs w:val="24"/>
        </w:rPr>
        <w:t>should</w:t>
      </w:r>
      <w:r w:rsidRPr="00093C38">
        <w:rPr>
          <w:color w:val="auto"/>
        </w:rPr>
        <w:t xml:space="preserve"> be used for all</w:t>
      </w:r>
      <w:r w:rsidRPr="00D33FE4">
        <w:rPr>
          <w:color w:val="auto"/>
          <w:szCs w:val="24"/>
        </w:rPr>
        <w:t xml:space="preserve"> reporting during the new scheme </w:t>
      </w:r>
      <w:r w:rsidRPr="00093C38">
        <w:rPr>
          <w:color w:val="auto"/>
        </w:rPr>
        <w:t xml:space="preserve">target periods. </w:t>
      </w:r>
    </w:p>
    <w:p w14:paraId="5D10C1C8" w14:textId="58CE57D9" w:rsidR="00026E66" w:rsidRDefault="002737EF" w:rsidP="00FC355D">
      <w:pPr>
        <w:rPr>
          <w:color w:val="auto"/>
        </w:rPr>
      </w:pPr>
      <w:r>
        <w:rPr>
          <w:color w:val="auto"/>
        </w:rPr>
        <w:t xml:space="preserve">Where the GCV is not available from the supplier and the fuel being consumed is not listed in the </w:t>
      </w:r>
      <w:r w:rsidR="00A7171B">
        <w:rPr>
          <w:color w:val="auto"/>
        </w:rPr>
        <w:t xml:space="preserve">above guidance, </w:t>
      </w:r>
      <w:r>
        <w:rPr>
          <w:color w:val="auto"/>
        </w:rPr>
        <w:t xml:space="preserve">the operator should email their </w:t>
      </w:r>
      <w:hyperlink w:anchor="Sectorassociation" w:history="1">
        <w:r w:rsidRPr="007C15D5">
          <w:rPr>
            <w:rStyle w:val="Hyperlink"/>
          </w:rPr>
          <w:t>sector association</w:t>
        </w:r>
      </w:hyperlink>
      <w:r>
        <w:rPr>
          <w:color w:val="auto"/>
        </w:rPr>
        <w:t xml:space="preserve"> in the first instance or alternatively </w:t>
      </w:r>
      <w:r>
        <w:rPr>
          <w:color w:val="auto"/>
          <w:szCs w:val="24"/>
        </w:rPr>
        <w:t>the Environment Agency’s</w:t>
      </w:r>
      <w:r>
        <w:rPr>
          <w:color w:val="auto"/>
        </w:rPr>
        <w:t xml:space="preserve"> </w:t>
      </w:r>
      <w:hyperlink r:id="rId28" w:history="1">
        <w:r>
          <w:rPr>
            <w:rStyle w:val="Hyperlink"/>
            <w:color w:val="0070C0"/>
          </w:rPr>
          <w:t>CCA helpdesk</w:t>
        </w:r>
      </w:hyperlink>
      <w:r>
        <w:rPr>
          <w:color w:val="auto"/>
        </w:rPr>
        <w:t>.</w:t>
      </w:r>
      <w:bookmarkStart w:id="35" w:name="_3.1.2._General_electricity"/>
      <w:bookmarkEnd w:id="35"/>
    </w:p>
    <w:p w14:paraId="66E70226" w14:textId="77777777" w:rsidR="00026E66" w:rsidRDefault="002737EF" w:rsidP="00FF0098">
      <w:pPr>
        <w:pStyle w:val="Heading3"/>
        <w:tabs>
          <w:tab w:val="left" w:pos="0"/>
        </w:tabs>
      </w:pPr>
      <w:bookmarkStart w:id="36" w:name="_3.1.2._General_electricity_1"/>
      <w:bookmarkEnd w:id="36"/>
      <w:r>
        <w:t xml:space="preserve">3.1.2. General electricity imports </w:t>
      </w:r>
    </w:p>
    <w:p w14:paraId="474A6C9B" w14:textId="77777777" w:rsidR="00026E66" w:rsidRDefault="002737EF" w:rsidP="00FC355D">
      <w:r>
        <w:t xml:space="preserve">The operator should account for any electricity imported to a site from an external source (third party or a dedicated electricity generator) and consumed on the site. </w:t>
      </w:r>
    </w:p>
    <w:p w14:paraId="42D26048" w14:textId="34096EC1" w:rsidR="005C1CAA" w:rsidRDefault="002737EF" w:rsidP="00FC355D">
      <w:r>
        <w:t xml:space="preserve">If this electricity is imported from a licensed supplier, it is treated as ‘grid electricity’ and the metered consumption is multiplied by </w:t>
      </w:r>
      <w:r w:rsidR="00D34B4F">
        <w:t>2.1</w:t>
      </w:r>
      <w:r>
        <w:t xml:space="preserve"> for accounting and reporting </w:t>
      </w:r>
      <w:r w:rsidR="002B3DF5">
        <w:t>purposes, which</w:t>
      </w:r>
      <w:r w:rsidR="00EB3C03">
        <w:t xml:space="preserve"> reflects the primary energy required to generate </w:t>
      </w:r>
      <w:r w:rsidR="008D1F55">
        <w:t>electricity</w:t>
      </w:r>
      <w:r>
        <w:t xml:space="preserve"> </w:t>
      </w:r>
      <w:r w:rsidR="00FC75A7">
        <w:t>(</w:t>
      </w:r>
      <w:hyperlink r:id="rId29">
        <w:r w:rsidR="7BAFEDE9" w:rsidRPr="6662D1B4">
          <w:rPr>
            <w:rStyle w:val="Hyperlink"/>
            <w:color w:val="0070C0"/>
          </w:rPr>
          <w:t>Technical Annex</w:t>
        </w:r>
      </w:hyperlink>
      <w:r w:rsidR="00FC75A7">
        <w:t xml:space="preserve">, </w:t>
      </w:r>
      <w:r>
        <w:t>paragraph 1</w:t>
      </w:r>
      <w:r w:rsidR="001B5861">
        <w:t>4</w:t>
      </w:r>
      <w:r>
        <w:t xml:space="preserve">). </w:t>
      </w:r>
      <w:r w:rsidR="001B5861">
        <w:t xml:space="preserve"> </w:t>
      </w:r>
    </w:p>
    <w:p w14:paraId="52B22392" w14:textId="08B21B01" w:rsidR="00026E66" w:rsidRDefault="002737EF" w:rsidP="00FC355D">
      <w:r>
        <w:t xml:space="preserve">If the electricity imported to the site is generated by a standalone generator (non-CHP) and supplied to the site </w:t>
      </w:r>
      <w:r w:rsidR="001E42C1">
        <w:t xml:space="preserve">through </w:t>
      </w:r>
      <w:r>
        <w:t xml:space="preserve">a private wire, the total fuel input to the generator and the total electricity output from the generator is used to calculate the efficiency of electricity generation for that generator. The energy recorded by the site is then the metered electricity consumed divided by the efficiency of the generator. This energy would be reported as the </w:t>
      </w:r>
      <w:r w:rsidR="00127503">
        <w:t>fuel input</w:t>
      </w:r>
      <w:r>
        <w:t xml:space="preserve"> to the generator</w:t>
      </w:r>
      <w:r w:rsidR="00F27AC4">
        <w:t>.</w:t>
      </w:r>
      <w:r>
        <w:t xml:space="preserve"> </w:t>
      </w:r>
    </w:p>
    <w:p w14:paraId="170B6944" w14:textId="76E10C44" w:rsidR="00026E66" w:rsidRDefault="002737EF" w:rsidP="00FC355D">
      <w:r>
        <w:t xml:space="preserve">Electricity imported to the site that is generated in a combined heat and power (CHP) plant is accounted for differently (see </w:t>
      </w:r>
      <w:hyperlink w:anchor="_3.1.6._Combined_heat" w:history="1">
        <w:r>
          <w:rPr>
            <w:rStyle w:val="Hyperlink"/>
          </w:rPr>
          <w:t>section 3.1.6</w:t>
        </w:r>
      </w:hyperlink>
      <w:r>
        <w:t xml:space="preserve">). </w:t>
      </w:r>
    </w:p>
    <w:p w14:paraId="2BD20549" w14:textId="0E866293" w:rsidR="00026E66" w:rsidRDefault="002737EF" w:rsidP="00FC355D">
      <w:r>
        <w:lastRenderedPageBreak/>
        <w:t>All electricity consumed in electrolysis processes is included in the scheme (</w:t>
      </w:r>
      <w:hyperlink r:id="rId30" w:history="1">
        <w:r>
          <w:rPr>
            <w:rStyle w:val="Hyperlink"/>
            <w:color w:val="0070C0"/>
          </w:rPr>
          <w:t>Technical Annex</w:t>
        </w:r>
      </w:hyperlink>
      <w:r>
        <w:t xml:space="preserve"> paragraph </w:t>
      </w:r>
      <w:r w:rsidR="00614CBF">
        <w:t>46</w:t>
      </w:r>
      <w:r>
        <w:t>).</w:t>
      </w:r>
      <w:r>
        <w:rPr>
          <w:szCs w:val="24"/>
        </w:rPr>
        <w:t xml:space="preserve"> </w:t>
      </w:r>
    </w:p>
    <w:p w14:paraId="3321821C" w14:textId="77777777" w:rsidR="00026E66" w:rsidRDefault="002737EF" w:rsidP="00FF0098">
      <w:pPr>
        <w:pStyle w:val="Heading3"/>
        <w:tabs>
          <w:tab w:val="left" w:pos="0"/>
        </w:tabs>
      </w:pPr>
      <w:r>
        <w:t>3.1.3. Green electricity tariffs</w:t>
      </w:r>
    </w:p>
    <w:p w14:paraId="278935AE" w14:textId="2B6AD084" w:rsidR="00026E66" w:rsidRDefault="002737EF" w:rsidP="00FF0098">
      <w:pPr>
        <w:tabs>
          <w:tab w:val="left" w:pos="0"/>
        </w:tabs>
      </w:pPr>
      <w:r>
        <w:t xml:space="preserve">Most suppliers now offer </w:t>
      </w:r>
      <w:hyperlink w:anchor="Greenelectricity" w:history="1">
        <w:r w:rsidRPr="00706867">
          <w:rPr>
            <w:rStyle w:val="Hyperlink"/>
          </w:rPr>
          <w:t>'green' electricity tariffs.</w:t>
        </w:r>
      </w:hyperlink>
      <w:r>
        <w:t xml:space="preserve"> These tariffs are not </w:t>
      </w:r>
      <w:hyperlink w:anchor="CCL" w:history="1">
        <w:r w:rsidRPr="004229BC">
          <w:rPr>
            <w:rStyle w:val="Hyperlink"/>
          </w:rPr>
          <w:t>CCL</w:t>
        </w:r>
      </w:hyperlink>
      <w:r>
        <w:t xml:space="preserve"> exempt and are treated in the same way as any other electricity imports as outlined in </w:t>
      </w:r>
      <w:hyperlink w:anchor="_3.1.2._General_electricity_1" w:history="1">
        <w:r>
          <w:rPr>
            <w:rStyle w:val="Hyperlink"/>
          </w:rPr>
          <w:t>section 3.1.2</w:t>
        </w:r>
      </w:hyperlink>
      <w:r w:rsidR="00706867">
        <w:t>.</w:t>
      </w:r>
      <w:r>
        <w:t xml:space="preserve"> </w:t>
      </w:r>
    </w:p>
    <w:p w14:paraId="55DD0EF4" w14:textId="131F75EE" w:rsidR="00026E66" w:rsidRDefault="002737EF" w:rsidP="00FF0098">
      <w:pPr>
        <w:pStyle w:val="Heading3"/>
        <w:tabs>
          <w:tab w:val="left" w:pos="0"/>
        </w:tabs>
      </w:pPr>
      <w:r>
        <w:t xml:space="preserve">3.1.4. </w:t>
      </w:r>
      <w:r w:rsidR="00EE6885">
        <w:t xml:space="preserve">Self-generated </w:t>
      </w:r>
      <w:r>
        <w:t xml:space="preserve">Renewable electricity </w:t>
      </w:r>
      <w:r w:rsidR="00EE6885">
        <w:t>(photovoltaic, wind or hydro)</w:t>
      </w:r>
    </w:p>
    <w:p w14:paraId="7774FE25" w14:textId="3D3DCC4F" w:rsidR="005F32A4" w:rsidRDefault="005F32A4" w:rsidP="00FC355D">
      <w:r>
        <w:t>Self</w:t>
      </w:r>
      <w:r w:rsidR="00E3201D">
        <w:t>-</w:t>
      </w:r>
      <w:r>
        <w:t>generated electricity from an on-site renewable source means electricity which is generated from</w:t>
      </w:r>
      <w:r w:rsidR="00F61946">
        <w:t xml:space="preserve"> one of the following</w:t>
      </w:r>
      <w:r>
        <w:t xml:space="preserve">: </w:t>
      </w:r>
    </w:p>
    <w:p w14:paraId="0E2E8207" w14:textId="3E186D72" w:rsidR="005F32A4" w:rsidRDefault="00ED2F07" w:rsidP="005F32A4">
      <w:pPr>
        <w:pStyle w:val="ListParagraph"/>
        <w:numPr>
          <w:ilvl w:val="0"/>
          <w:numId w:val="163"/>
        </w:numPr>
      </w:pPr>
      <w:r>
        <w:t>direct conversion of sunlight</w:t>
      </w:r>
    </w:p>
    <w:p w14:paraId="044A8974" w14:textId="7EB200F8" w:rsidR="00ED2F07" w:rsidRDefault="00ED2F07" w:rsidP="005F32A4">
      <w:pPr>
        <w:pStyle w:val="ListParagraph"/>
        <w:numPr>
          <w:ilvl w:val="0"/>
          <w:numId w:val="163"/>
        </w:numPr>
      </w:pPr>
      <w:r>
        <w:t>wind</w:t>
      </w:r>
    </w:p>
    <w:p w14:paraId="03F067D8" w14:textId="2ED0C1E5" w:rsidR="00ED2F07" w:rsidRDefault="00ED2F07" w:rsidP="005F32A4">
      <w:pPr>
        <w:pStyle w:val="ListParagraph"/>
        <w:numPr>
          <w:ilvl w:val="0"/>
          <w:numId w:val="163"/>
        </w:numPr>
      </w:pPr>
      <w:r>
        <w:t>water power</w:t>
      </w:r>
    </w:p>
    <w:p w14:paraId="56565691" w14:textId="026A39CD" w:rsidR="00ED2F07" w:rsidRDefault="00B45909" w:rsidP="00ED2F07">
      <w:r>
        <w:t>And is</w:t>
      </w:r>
      <w:r w:rsidR="00B72DBF">
        <w:t xml:space="preserve"> either</w:t>
      </w:r>
      <w:r w:rsidR="00A1084A">
        <w:t>:</w:t>
      </w:r>
      <w:r w:rsidR="00707C5C">
        <w:t xml:space="preserve"> </w:t>
      </w:r>
    </w:p>
    <w:p w14:paraId="592EE64F" w14:textId="645B3255" w:rsidR="00707C5C" w:rsidRDefault="00707C5C" w:rsidP="00707C5C">
      <w:pPr>
        <w:pStyle w:val="ListParagraph"/>
        <w:numPr>
          <w:ilvl w:val="0"/>
          <w:numId w:val="164"/>
        </w:numPr>
      </w:pPr>
      <w:r>
        <w:t>generated in plant</w:t>
      </w:r>
      <w:r w:rsidR="00E74171">
        <w:t>,</w:t>
      </w:r>
      <w:r>
        <w:t xml:space="preserve"> which is in, and is intended for supplying electricity for use by a facility</w:t>
      </w:r>
    </w:p>
    <w:p w14:paraId="68C782FA" w14:textId="27EB414E" w:rsidR="005F32A4" w:rsidRDefault="00707C5C" w:rsidP="006A65BB">
      <w:pPr>
        <w:pStyle w:val="ListParagraph"/>
        <w:numPr>
          <w:ilvl w:val="0"/>
          <w:numId w:val="164"/>
        </w:numPr>
      </w:pPr>
      <w:r>
        <w:t xml:space="preserve">supplied to a facility without passing through a distribution system operated by an electricity utility </w:t>
      </w:r>
    </w:p>
    <w:p w14:paraId="1C939011" w14:textId="71D3633C" w:rsidR="00026E66" w:rsidRDefault="009425EE" w:rsidP="00FC355D">
      <w:r>
        <w:t>E</w:t>
      </w:r>
      <w:r w:rsidR="002737EF">
        <w:t>lectricity from</w:t>
      </w:r>
      <w:r w:rsidR="005A2DE7">
        <w:t xml:space="preserve"> self-generated</w:t>
      </w:r>
      <w:r w:rsidR="002737EF">
        <w:t xml:space="preserve"> renewable energy sources </w:t>
      </w:r>
      <w:r w:rsidR="00707C5C">
        <w:t>that meet</w:t>
      </w:r>
      <w:r w:rsidR="008D1D10">
        <w:t>s</w:t>
      </w:r>
      <w:r w:rsidR="00707C5C">
        <w:t xml:space="preserve"> the above cri</w:t>
      </w:r>
      <w:r>
        <w:t>teri</w:t>
      </w:r>
      <w:r w:rsidR="00502F1D">
        <w:t xml:space="preserve">a </w:t>
      </w:r>
      <w:r w:rsidR="00733E2B">
        <w:t>must</w:t>
      </w:r>
      <w:r w:rsidR="004E6DE8">
        <w:t xml:space="preserve"> be accounted for by</w:t>
      </w:r>
      <w:r w:rsidR="00733E2B">
        <w:t xml:space="preserve"> multiply</w:t>
      </w:r>
      <w:r w:rsidR="004E6DE8">
        <w:t>ing</w:t>
      </w:r>
      <w:r w:rsidR="00733E2B">
        <w:t xml:space="preserve"> the metered units consumed by a factor of 1.0</w:t>
      </w:r>
      <w:r w:rsidR="006A65BB">
        <w:t>. The carbon</w:t>
      </w:r>
      <w:r w:rsidR="00FD1448">
        <w:t xml:space="preserve"> dioxide</w:t>
      </w:r>
      <w:r w:rsidR="006A65BB">
        <w:t xml:space="preserve"> emissions factor </w:t>
      </w:r>
      <w:r w:rsidR="00036CE6">
        <w:t xml:space="preserve">for self-generated renewable energy will be 0. </w:t>
      </w:r>
    </w:p>
    <w:p w14:paraId="78D1002D" w14:textId="7C74CFCF" w:rsidR="00026E66" w:rsidRDefault="002737EF" w:rsidP="00FF0098">
      <w:pPr>
        <w:pStyle w:val="Heading3"/>
        <w:tabs>
          <w:tab w:val="left" w:pos="0"/>
        </w:tabs>
      </w:pPr>
      <w:r>
        <w:t>3.1.5. Renewable</w:t>
      </w:r>
      <w:r w:rsidR="006F14CC">
        <w:t xml:space="preserve"> energy and energy from waste </w:t>
      </w:r>
      <w:r>
        <w:t xml:space="preserve"> </w:t>
      </w:r>
    </w:p>
    <w:p w14:paraId="1EF904BB" w14:textId="60C836F8" w:rsidR="00592594" w:rsidRDefault="002737EF" w:rsidP="00FC355D">
      <w:r>
        <w:t xml:space="preserve">Paragraphs </w:t>
      </w:r>
      <w:r w:rsidR="00BE2727">
        <w:t xml:space="preserve">31 </w:t>
      </w:r>
      <w:r>
        <w:t xml:space="preserve">to </w:t>
      </w:r>
      <w:r w:rsidR="00BE2727">
        <w:t xml:space="preserve">34 </w:t>
      </w:r>
      <w:r>
        <w:t xml:space="preserve">in the </w:t>
      </w:r>
      <w:hyperlink r:id="rId31" w:history="1">
        <w:r>
          <w:rPr>
            <w:rStyle w:val="Hyperlink"/>
            <w:color w:val="0070C0"/>
          </w:rPr>
          <w:t>Technical Annex</w:t>
        </w:r>
      </w:hyperlink>
      <w:r>
        <w:rPr>
          <w:color w:val="0070C0"/>
        </w:rPr>
        <w:t xml:space="preserve"> </w:t>
      </w:r>
      <w:r>
        <w:t xml:space="preserve">describe in which circumstances the energy content of renewable and waste fuels, including </w:t>
      </w:r>
      <w:proofErr w:type="gramStart"/>
      <w:r>
        <w:t>fuel</w:t>
      </w:r>
      <w:proofErr w:type="gramEnd"/>
      <w:r>
        <w:t xml:space="preserve"> which is not 100% renewable, must be determined and reported. </w:t>
      </w:r>
    </w:p>
    <w:p w14:paraId="05F4977F" w14:textId="1C6821F9" w:rsidR="00026E66" w:rsidRDefault="002737EF" w:rsidP="00FC355D">
      <w:r>
        <w:t xml:space="preserve">Renewable heat generation, </w:t>
      </w:r>
      <w:r w:rsidR="00672D1A">
        <w:t>although producing less carbon dioxide emissions</w:t>
      </w:r>
      <w:r>
        <w:t xml:space="preserve">, can be less energy efficient compared to non-renewable fuels. Therefore, operators of </w:t>
      </w:r>
      <w:r w:rsidR="000413E6">
        <w:t xml:space="preserve">facilities </w:t>
      </w:r>
      <w:r>
        <w:t xml:space="preserve">with </w:t>
      </w:r>
      <w:hyperlink w:anchor="Energytarget" w:history="1">
        <w:r w:rsidRPr="00DB1221">
          <w:rPr>
            <w:rStyle w:val="Hyperlink"/>
          </w:rPr>
          <w:t>energy targets</w:t>
        </w:r>
      </w:hyperlink>
      <w:r>
        <w:t xml:space="preserve"> should consider how renewable heat generation will impact on the ability to meet their improvement targets. </w:t>
      </w:r>
    </w:p>
    <w:p w14:paraId="1C50770F" w14:textId="23728695" w:rsidR="00C53890" w:rsidRDefault="00C53890" w:rsidP="00FC355D">
      <w:r>
        <w:t xml:space="preserve">If the heat generating plant is within the target facility and some of the generated heat is exported, </w:t>
      </w:r>
      <w:r w:rsidR="00CC3043">
        <w:t xml:space="preserve">then the energy content of fuel associated with this exported heat is calculated on a pro-rata basis and does not need to be reported. </w:t>
      </w:r>
    </w:p>
    <w:p w14:paraId="1E289F8C" w14:textId="3AAD7494" w:rsidR="000B245F" w:rsidRDefault="002737EF" w:rsidP="00FC355D">
      <w:r>
        <w:t xml:space="preserve">The list of qualifying renewable fuels as set out in </w:t>
      </w:r>
      <w:r w:rsidR="00616462">
        <w:t>Annex A of the</w:t>
      </w:r>
      <w:r>
        <w:t xml:space="preserve"> </w:t>
      </w:r>
      <w:hyperlink r:id="rId32">
        <w:r w:rsidR="7BAFEDE9" w:rsidRPr="6662D1B4">
          <w:rPr>
            <w:rStyle w:val="Hyperlink"/>
            <w:color w:val="0070C0"/>
          </w:rPr>
          <w:t>Technical Annex</w:t>
        </w:r>
      </w:hyperlink>
      <w:r>
        <w:rPr>
          <w:color w:val="0070C0"/>
        </w:rPr>
        <w:t xml:space="preserve"> </w:t>
      </w:r>
      <w:r>
        <w:t xml:space="preserve">is provided below: </w:t>
      </w:r>
    </w:p>
    <w:tbl>
      <w:tblPr>
        <w:tblStyle w:val="TableGrid0"/>
        <w:tblW w:w="9241" w:type="dxa"/>
        <w:tblLook w:val="0020" w:firstRow="1" w:lastRow="0" w:firstColumn="0" w:lastColumn="0" w:noHBand="0" w:noVBand="0"/>
      </w:tblPr>
      <w:tblGrid>
        <w:gridCol w:w="3511"/>
        <w:gridCol w:w="5730"/>
      </w:tblGrid>
      <w:tr w:rsidR="001E10AD" w14:paraId="242D12FE" w14:textId="77777777" w:rsidTr="0017613C">
        <w:trPr>
          <w:trHeight w:val="591"/>
        </w:trPr>
        <w:tc>
          <w:tcPr>
            <w:tcW w:w="3511" w:type="dxa"/>
          </w:tcPr>
          <w:p w14:paraId="12329665" w14:textId="77777777" w:rsidR="00026E66" w:rsidRDefault="002737EF" w:rsidP="00FF0098">
            <w:pPr>
              <w:tabs>
                <w:tab w:val="left" w:pos="0"/>
              </w:tabs>
              <w:spacing w:after="0" w:line="256" w:lineRule="auto"/>
            </w:pPr>
            <w:r>
              <w:rPr>
                <w:b/>
                <w:color w:val="auto"/>
              </w:rPr>
              <w:lastRenderedPageBreak/>
              <w:t>Type</w:t>
            </w:r>
            <w:r>
              <w:rPr>
                <w:color w:val="auto"/>
              </w:rPr>
              <w:t xml:space="preserve"> </w:t>
            </w:r>
          </w:p>
        </w:tc>
        <w:tc>
          <w:tcPr>
            <w:tcW w:w="5730" w:type="dxa"/>
          </w:tcPr>
          <w:p w14:paraId="39C05FEE" w14:textId="77777777" w:rsidR="00026E66" w:rsidRDefault="002737EF" w:rsidP="00FF0098">
            <w:pPr>
              <w:tabs>
                <w:tab w:val="left" w:pos="0"/>
              </w:tabs>
              <w:spacing w:after="0" w:line="256" w:lineRule="auto"/>
            </w:pPr>
            <w:r>
              <w:rPr>
                <w:b/>
                <w:color w:val="auto"/>
              </w:rPr>
              <w:t>Fuels</w:t>
            </w:r>
            <w:r>
              <w:rPr>
                <w:color w:val="auto"/>
              </w:rPr>
              <w:t xml:space="preserve"> </w:t>
            </w:r>
          </w:p>
        </w:tc>
      </w:tr>
      <w:tr w:rsidR="001E10AD" w14:paraId="7C557295" w14:textId="77777777" w:rsidTr="0017613C">
        <w:trPr>
          <w:trHeight w:val="1030"/>
        </w:trPr>
        <w:tc>
          <w:tcPr>
            <w:tcW w:w="3511" w:type="dxa"/>
          </w:tcPr>
          <w:p w14:paraId="703E5278" w14:textId="77777777" w:rsidR="00026E66" w:rsidRDefault="002737EF" w:rsidP="007A7512">
            <w:r>
              <w:t xml:space="preserve">Biomass (plants or parts of plants) </w:t>
            </w:r>
          </w:p>
        </w:tc>
        <w:tc>
          <w:tcPr>
            <w:tcW w:w="5730" w:type="dxa"/>
          </w:tcPr>
          <w:p w14:paraId="21EEA847" w14:textId="77777777" w:rsidR="00026E66" w:rsidRPr="00114E0E" w:rsidRDefault="002737EF" w:rsidP="0065356B">
            <w:pPr>
              <w:pStyle w:val="ListParagraph"/>
              <w:numPr>
                <w:ilvl w:val="0"/>
                <w:numId w:val="129"/>
              </w:numPr>
              <w:tabs>
                <w:tab w:val="left" w:pos="0"/>
              </w:tabs>
              <w:spacing w:after="47" w:line="256" w:lineRule="auto"/>
            </w:pPr>
            <w:r w:rsidRPr="00114E0E">
              <w:t xml:space="preserve">Straw </w:t>
            </w:r>
          </w:p>
          <w:p w14:paraId="5BBA67CF" w14:textId="77777777" w:rsidR="00026E66" w:rsidRPr="00114E0E" w:rsidRDefault="002737EF" w:rsidP="0065356B">
            <w:pPr>
              <w:pStyle w:val="ListParagraph"/>
              <w:numPr>
                <w:ilvl w:val="0"/>
                <w:numId w:val="129"/>
              </w:numPr>
              <w:tabs>
                <w:tab w:val="left" w:pos="0"/>
              </w:tabs>
              <w:spacing w:after="49" w:line="256" w:lineRule="auto"/>
            </w:pPr>
            <w:r w:rsidRPr="00114E0E">
              <w:t xml:space="preserve">Hay and grass </w:t>
            </w:r>
          </w:p>
          <w:p w14:paraId="192D5CFF" w14:textId="77777777" w:rsidR="00026E66" w:rsidRPr="00114E0E" w:rsidRDefault="002737EF" w:rsidP="0065356B">
            <w:pPr>
              <w:pStyle w:val="ListParagraph"/>
              <w:numPr>
                <w:ilvl w:val="0"/>
                <w:numId w:val="129"/>
              </w:numPr>
              <w:tabs>
                <w:tab w:val="left" w:pos="0"/>
              </w:tabs>
              <w:spacing w:after="0" w:line="256" w:lineRule="auto"/>
            </w:pPr>
            <w:r w:rsidRPr="00114E0E">
              <w:t xml:space="preserve">Crops (for example, maize) </w:t>
            </w:r>
          </w:p>
        </w:tc>
      </w:tr>
      <w:tr w:rsidR="001E10AD" w14:paraId="028BFA4C" w14:textId="77777777" w:rsidTr="0017613C">
        <w:trPr>
          <w:trHeight w:val="2273"/>
        </w:trPr>
        <w:tc>
          <w:tcPr>
            <w:tcW w:w="3511" w:type="dxa"/>
          </w:tcPr>
          <w:p w14:paraId="7519B70F" w14:textId="77777777" w:rsidR="00026E66" w:rsidRDefault="002737EF" w:rsidP="007A7512">
            <w:r>
              <w:t xml:space="preserve">Biomass wastes </w:t>
            </w:r>
          </w:p>
        </w:tc>
        <w:tc>
          <w:tcPr>
            <w:tcW w:w="5730" w:type="dxa"/>
          </w:tcPr>
          <w:p w14:paraId="7690C13E" w14:textId="77777777" w:rsidR="00026E66" w:rsidRPr="00114E0E" w:rsidRDefault="002737EF" w:rsidP="0065356B">
            <w:pPr>
              <w:pStyle w:val="ListParagraph"/>
              <w:numPr>
                <w:ilvl w:val="0"/>
                <w:numId w:val="130"/>
              </w:numPr>
              <w:tabs>
                <w:tab w:val="left" w:pos="0"/>
              </w:tabs>
              <w:spacing w:after="45" w:line="256" w:lineRule="auto"/>
            </w:pPr>
            <w:r w:rsidRPr="00114E0E">
              <w:t xml:space="preserve">Waste wood </w:t>
            </w:r>
          </w:p>
          <w:p w14:paraId="2A525F09" w14:textId="77777777" w:rsidR="00026E66" w:rsidRPr="00114E0E" w:rsidRDefault="002737EF" w:rsidP="0065356B">
            <w:pPr>
              <w:pStyle w:val="ListParagraph"/>
              <w:numPr>
                <w:ilvl w:val="0"/>
                <w:numId w:val="130"/>
              </w:numPr>
              <w:tabs>
                <w:tab w:val="left" w:pos="0"/>
              </w:tabs>
              <w:spacing w:after="50" w:line="256" w:lineRule="auto"/>
            </w:pPr>
            <w:r w:rsidRPr="00114E0E">
              <w:t xml:space="preserve">Forestry residues </w:t>
            </w:r>
          </w:p>
          <w:p w14:paraId="3514AB52" w14:textId="77777777" w:rsidR="00026E66" w:rsidRPr="00114E0E" w:rsidRDefault="002737EF" w:rsidP="0065356B">
            <w:pPr>
              <w:pStyle w:val="ListParagraph"/>
              <w:numPr>
                <w:ilvl w:val="0"/>
                <w:numId w:val="130"/>
              </w:numPr>
              <w:tabs>
                <w:tab w:val="left" w:pos="0"/>
              </w:tabs>
              <w:spacing w:after="50" w:line="256" w:lineRule="auto"/>
            </w:pPr>
            <w:r w:rsidRPr="00114E0E">
              <w:t xml:space="preserve">Landfill gas </w:t>
            </w:r>
          </w:p>
          <w:p w14:paraId="74FD3477" w14:textId="77777777" w:rsidR="00026E66" w:rsidRPr="00114E0E" w:rsidRDefault="002737EF" w:rsidP="0065356B">
            <w:pPr>
              <w:pStyle w:val="ListParagraph"/>
              <w:numPr>
                <w:ilvl w:val="0"/>
                <w:numId w:val="130"/>
              </w:numPr>
              <w:tabs>
                <w:tab w:val="left" w:pos="0"/>
              </w:tabs>
              <w:spacing w:after="46" w:line="256" w:lineRule="auto"/>
            </w:pPr>
            <w:r w:rsidRPr="00114E0E">
              <w:t xml:space="preserve">Sewage sludge </w:t>
            </w:r>
          </w:p>
          <w:p w14:paraId="30D2A49B" w14:textId="77777777" w:rsidR="00026E66" w:rsidRPr="00114E0E" w:rsidRDefault="002737EF" w:rsidP="0065356B">
            <w:pPr>
              <w:pStyle w:val="ListParagraph"/>
              <w:numPr>
                <w:ilvl w:val="0"/>
                <w:numId w:val="130"/>
              </w:numPr>
              <w:tabs>
                <w:tab w:val="left" w:pos="0"/>
              </w:tabs>
              <w:spacing w:after="63"/>
            </w:pPr>
            <w:r w:rsidRPr="00114E0E">
              <w:t xml:space="preserve">Biogas produced by digestion, fermentation or gasification of biomass </w:t>
            </w:r>
          </w:p>
          <w:p w14:paraId="1C018D07" w14:textId="77777777" w:rsidR="00026E66" w:rsidRPr="00114E0E" w:rsidRDefault="002737EF" w:rsidP="0065356B">
            <w:pPr>
              <w:pStyle w:val="ListParagraph"/>
              <w:numPr>
                <w:ilvl w:val="0"/>
                <w:numId w:val="130"/>
              </w:numPr>
              <w:tabs>
                <w:tab w:val="left" w:pos="0"/>
              </w:tabs>
              <w:spacing w:after="0" w:line="256" w:lineRule="auto"/>
            </w:pPr>
            <w:r w:rsidRPr="00114E0E">
              <w:t xml:space="preserve">Animal and fish oils, fats and tallow </w:t>
            </w:r>
          </w:p>
        </w:tc>
      </w:tr>
      <w:tr w:rsidR="001E10AD" w14:paraId="1772988E" w14:textId="77777777" w:rsidTr="0017613C">
        <w:trPr>
          <w:trHeight w:val="1044"/>
        </w:trPr>
        <w:tc>
          <w:tcPr>
            <w:tcW w:w="3511" w:type="dxa"/>
          </w:tcPr>
          <w:p w14:paraId="4F0DE44A" w14:textId="77777777" w:rsidR="00026E66" w:rsidRDefault="002737EF" w:rsidP="007A7512">
            <w:r>
              <w:t xml:space="preserve">Biomass fraction of mixed materials </w:t>
            </w:r>
          </w:p>
        </w:tc>
        <w:tc>
          <w:tcPr>
            <w:tcW w:w="5730" w:type="dxa"/>
          </w:tcPr>
          <w:p w14:paraId="62FBCAF1" w14:textId="77777777" w:rsidR="00026E66" w:rsidRPr="00114E0E" w:rsidRDefault="002737EF" w:rsidP="0065356B">
            <w:pPr>
              <w:pStyle w:val="ListParagraph"/>
              <w:numPr>
                <w:ilvl w:val="0"/>
                <w:numId w:val="131"/>
              </w:numPr>
              <w:tabs>
                <w:tab w:val="left" w:pos="0"/>
              </w:tabs>
              <w:spacing w:after="46" w:line="256" w:lineRule="auto"/>
            </w:pPr>
            <w:r w:rsidRPr="00114E0E">
              <w:t xml:space="preserve">Biomass fraction of textile wastes </w:t>
            </w:r>
          </w:p>
          <w:p w14:paraId="70A56B25" w14:textId="77777777" w:rsidR="00026E66" w:rsidRPr="00114E0E" w:rsidRDefault="002737EF" w:rsidP="0065356B">
            <w:pPr>
              <w:pStyle w:val="ListParagraph"/>
              <w:numPr>
                <w:ilvl w:val="0"/>
                <w:numId w:val="131"/>
              </w:numPr>
              <w:tabs>
                <w:tab w:val="left" w:pos="0"/>
              </w:tabs>
              <w:spacing w:after="46" w:line="256" w:lineRule="auto"/>
            </w:pPr>
            <w:r w:rsidRPr="00114E0E">
              <w:t xml:space="preserve">Biomass fraction of composites containing wood </w:t>
            </w:r>
          </w:p>
          <w:p w14:paraId="150C645A" w14:textId="77777777" w:rsidR="00026E66" w:rsidRPr="00114E0E" w:rsidRDefault="002737EF" w:rsidP="0065356B">
            <w:pPr>
              <w:pStyle w:val="ListParagraph"/>
              <w:numPr>
                <w:ilvl w:val="0"/>
                <w:numId w:val="131"/>
              </w:numPr>
              <w:tabs>
                <w:tab w:val="left" w:pos="0"/>
              </w:tabs>
              <w:spacing w:after="0" w:line="256" w:lineRule="auto"/>
            </w:pPr>
            <w:r w:rsidRPr="00114E0E">
              <w:t xml:space="preserve">Biomass fraction of municipal and industrial wastes </w:t>
            </w:r>
          </w:p>
        </w:tc>
      </w:tr>
      <w:tr w:rsidR="001E10AD" w14:paraId="76952D1B" w14:textId="77777777" w:rsidTr="0017613C">
        <w:trPr>
          <w:trHeight w:val="2019"/>
        </w:trPr>
        <w:tc>
          <w:tcPr>
            <w:tcW w:w="3511" w:type="dxa"/>
          </w:tcPr>
          <w:p w14:paraId="22533A7B" w14:textId="77777777" w:rsidR="00026E66" w:rsidRDefault="002737EF" w:rsidP="007A7512">
            <w:r>
              <w:t xml:space="preserve">Fuels whose components and intermediate products have all been produced from biomass </w:t>
            </w:r>
          </w:p>
        </w:tc>
        <w:tc>
          <w:tcPr>
            <w:tcW w:w="5730" w:type="dxa"/>
          </w:tcPr>
          <w:p w14:paraId="6DF751AE" w14:textId="77777777" w:rsidR="00026E66" w:rsidRPr="00114E0E" w:rsidRDefault="002737EF" w:rsidP="0065356B">
            <w:pPr>
              <w:pStyle w:val="ListParagraph"/>
              <w:numPr>
                <w:ilvl w:val="0"/>
                <w:numId w:val="132"/>
              </w:numPr>
              <w:tabs>
                <w:tab w:val="left" w:pos="0"/>
              </w:tabs>
              <w:spacing w:after="51" w:line="256" w:lineRule="auto"/>
            </w:pPr>
            <w:r w:rsidRPr="00114E0E">
              <w:t xml:space="preserve">Bioethanol </w:t>
            </w:r>
          </w:p>
          <w:p w14:paraId="4405679D" w14:textId="77777777" w:rsidR="00026E66" w:rsidRPr="00114E0E" w:rsidRDefault="002737EF" w:rsidP="0065356B">
            <w:pPr>
              <w:pStyle w:val="ListParagraph"/>
              <w:numPr>
                <w:ilvl w:val="0"/>
                <w:numId w:val="132"/>
              </w:numPr>
              <w:tabs>
                <w:tab w:val="left" w:pos="0"/>
              </w:tabs>
              <w:spacing w:after="48" w:line="256" w:lineRule="auto"/>
            </w:pPr>
            <w:r w:rsidRPr="00114E0E">
              <w:t xml:space="preserve">Biodiesel </w:t>
            </w:r>
          </w:p>
          <w:p w14:paraId="1E64BEFD" w14:textId="77777777" w:rsidR="00026E66" w:rsidRPr="00114E0E" w:rsidRDefault="002737EF" w:rsidP="0065356B">
            <w:pPr>
              <w:pStyle w:val="ListParagraph"/>
              <w:numPr>
                <w:ilvl w:val="0"/>
                <w:numId w:val="132"/>
              </w:numPr>
              <w:tabs>
                <w:tab w:val="left" w:pos="0"/>
              </w:tabs>
              <w:spacing w:after="51" w:line="256" w:lineRule="auto"/>
            </w:pPr>
            <w:proofErr w:type="spellStart"/>
            <w:r w:rsidRPr="00114E0E">
              <w:t>Biomethanol</w:t>
            </w:r>
            <w:proofErr w:type="spellEnd"/>
            <w:r w:rsidRPr="00114E0E">
              <w:t xml:space="preserve"> </w:t>
            </w:r>
          </w:p>
          <w:p w14:paraId="19FFB84B" w14:textId="77777777" w:rsidR="00026E66" w:rsidRPr="00114E0E" w:rsidRDefault="002737EF" w:rsidP="0065356B">
            <w:pPr>
              <w:pStyle w:val="ListParagraph"/>
              <w:numPr>
                <w:ilvl w:val="0"/>
                <w:numId w:val="132"/>
              </w:numPr>
              <w:tabs>
                <w:tab w:val="left" w:pos="0"/>
              </w:tabs>
              <w:spacing w:after="49" w:line="256" w:lineRule="auto"/>
            </w:pPr>
            <w:r w:rsidRPr="00114E0E">
              <w:t xml:space="preserve">Biogas </w:t>
            </w:r>
          </w:p>
          <w:p w14:paraId="024DDA8F" w14:textId="77777777" w:rsidR="00026E66" w:rsidRPr="00114E0E" w:rsidRDefault="002737EF" w:rsidP="0065356B">
            <w:pPr>
              <w:pStyle w:val="ListParagraph"/>
              <w:numPr>
                <w:ilvl w:val="0"/>
                <w:numId w:val="132"/>
              </w:numPr>
              <w:tabs>
                <w:tab w:val="left" w:pos="0"/>
              </w:tabs>
              <w:spacing w:after="44" w:line="256" w:lineRule="auto"/>
            </w:pPr>
            <w:r w:rsidRPr="00114E0E">
              <w:t xml:space="preserve">Syngas via gasification or pyrolysis </w:t>
            </w:r>
          </w:p>
          <w:p w14:paraId="7FC65419" w14:textId="77777777" w:rsidR="00026E66" w:rsidRPr="00114E0E" w:rsidRDefault="002737EF" w:rsidP="0065356B">
            <w:pPr>
              <w:pStyle w:val="ListParagraph"/>
              <w:numPr>
                <w:ilvl w:val="0"/>
                <w:numId w:val="132"/>
              </w:numPr>
              <w:tabs>
                <w:tab w:val="left" w:pos="0"/>
              </w:tabs>
              <w:spacing w:after="0" w:line="256" w:lineRule="auto"/>
            </w:pPr>
            <w:r w:rsidRPr="00114E0E">
              <w:t xml:space="preserve">Liquid fuels via pyrolysis </w:t>
            </w:r>
          </w:p>
        </w:tc>
      </w:tr>
    </w:tbl>
    <w:p w14:paraId="1DD53CD0" w14:textId="49EBD39F" w:rsidR="00592594" w:rsidRDefault="00592594" w:rsidP="00FF0098">
      <w:pPr>
        <w:tabs>
          <w:tab w:val="left" w:pos="0"/>
        </w:tabs>
      </w:pPr>
      <w:r>
        <w:t>Where a qualifying renewable fuel is combusted, the heat will be zero rated for carbon</w:t>
      </w:r>
      <w:r w:rsidR="00CA35A5">
        <w:t xml:space="preserve"> dioxide</w:t>
      </w:r>
      <w:r w:rsidR="00616462">
        <w:t xml:space="preserve">. </w:t>
      </w:r>
    </w:p>
    <w:p w14:paraId="1D5A1314" w14:textId="00BEE7A1" w:rsidR="00592594" w:rsidRDefault="00442832" w:rsidP="00FF0098">
      <w:pPr>
        <w:tabs>
          <w:tab w:val="left" w:pos="0"/>
        </w:tabs>
      </w:pPr>
      <w:r>
        <w:t>Where the fuel combusted is not 100% renewable</w:t>
      </w:r>
      <w:r w:rsidR="0033510E">
        <w:t xml:space="preserve"> (</w:t>
      </w:r>
      <w:r w:rsidR="0095018A">
        <w:t>that is,</w:t>
      </w:r>
      <w:r w:rsidR="0033510E">
        <w:t xml:space="preserve"> it is a mixture of renewable fuel</w:t>
      </w:r>
      <w:r w:rsidR="0095018A">
        <w:t xml:space="preserve"> </w:t>
      </w:r>
      <w:r w:rsidR="0033510E">
        <w:t>(</w:t>
      </w:r>
      <w:r w:rsidR="0095018A">
        <w:t>or fuel</w:t>
      </w:r>
      <w:r w:rsidR="0033510E">
        <w:t xml:space="preserve">s) and conventional fossil </w:t>
      </w:r>
      <w:r w:rsidR="000B7FA6">
        <w:t>fuels</w:t>
      </w:r>
      <w:r w:rsidR="0033510E">
        <w:t xml:space="preserve"> and/or non-renewable waste)</w:t>
      </w:r>
      <w:r w:rsidR="00A3712C">
        <w:t>, then combustion of this fuel mix must be reported as mixed fuel combustion. In this situation, the carbon</w:t>
      </w:r>
      <w:r w:rsidR="002955E0">
        <w:t xml:space="preserve"> dioxide</w:t>
      </w:r>
      <w:r w:rsidR="00A3712C">
        <w:t xml:space="preserve"> factor calculated must be based on individual carbon</w:t>
      </w:r>
      <w:r w:rsidR="002955E0">
        <w:t xml:space="preserve"> dioxide</w:t>
      </w:r>
      <w:r w:rsidR="00A3712C">
        <w:t xml:space="preserve"> factors for the </w:t>
      </w:r>
      <w:r w:rsidR="000B7FA6">
        <w:t>constituent</w:t>
      </w:r>
      <w:r w:rsidR="00A3712C">
        <w:t xml:space="preserve"> fuels, weighted by energy content. The propo</w:t>
      </w:r>
      <w:r w:rsidR="000B7FA6">
        <w:t xml:space="preserve">rtion of the mixed fuel that is a qualifying renewable fuel will have a </w:t>
      </w:r>
      <w:r w:rsidR="00795A48">
        <w:t>zero-carbon</w:t>
      </w:r>
      <w:r w:rsidR="000B7FA6">
        <w:t xml:space="preserve"> </w:t>
      </w:r>
      <w:r w:rsidR="002955E0">
        <w:t xml:space="preserve">dioxide </w:t>
      </w:r>
      <w:r w:rsidR="000B7FA6">
        <w:t xml:space="preserve">factor attached to it. </w:t>
      </w:r>
    </w:p>
    <w:p w14:paraId="53F05679" w14:textId="4985F5F5" w:rsidR="00026E66" w:rsidRDefault="002737EF" w:rsidP="00FF0098">
      <w:pPr>
        <w:tabs>
          <w:tab w:val="left" w:pos="0"/>
        </w:tabs>
      </w:pPr>
      <w:hyperlink w:anchor="_D.1_Accounting_for" w:history="1">
        <w:r w:rsidRPr="2E8D8D03">
          <w:rPr>
            <w:rStyle w:val="Hyperlink"/>
          </w:rPr>
          <w:t>Appendix D.1</w:t>
        </w:r>
      </w:hyperlink>
      <w:r>
        <w:t xml:space="preserve"> explains how to account for CHP in the CCA scheme, including scenarios where the fuel input is renewable, non-renewable or a mixture of these. </w:t>
      </w:r>
    </w:p>
    <w:p w14:paraId="32AC1D97" w14:textId="63525E0F" w:rsidR="00B648E7" w:rsidRDefault="32740510" w:rsidP="009B1CA0">
      <w:pPr>
        <w:tabs>
          <w:tab w:val="left" w:pos="0"/>
        </w:tabs>
        <w:spacing w:before="240" w:beforeAutospacing="0" w:after="240" w:afterAutospacing="0"/>
      </w:pPr>
      <w:r w:rsidRPr="2E8D8D03">
        <w:rPr>
          <w:color w:val="000000" w:themeColor="text1"/>
          <w:szCs w:val="24"/>
        </w:rPr>
        <w:t xml:space="preserve">If available, operators should use the GCV provided by their renewable or waste fuel supplier when working out their energy consumption. Where this information is unavailable, operators should use the GCV for 2022 given for the fuel in the </w:t>
      </w:r>
      <w:hyperlink r:id="rId33" w:history="1">
        <w:r w:rsidRPr="6BB34359">
          <w:rPr>
            <w:rStyle w:val="Hyperlink"/>
          </w:rPr>
          <w:t>Greenhouse gas reporting: conversion factors 2022</w:t>
        </w:r>
      </w:hyperlink>
    </w:p>
    <w:p w14:paraId="130AB450" w14:textId="77777777" w:rsidR="00026E66" w:rsidRDefault="002737EF" w:rsidP="00FF0098">
      <w:pPr>
        <w:pStyle w:val="Heading3"/>
        <w:tabs>
          <w:tab w:val="left" w:pos="0"/>
        </w:tabs>
      </w:pPr>
      <w:bookmarkStart w:id="37" w:name="_3.1.6._Combined_heat"/>
      <w:bookmarkEnd w:id="37"/>
      <w:r>
        <w:lastRenderedPageBreak/>
        <w:t xml:space="preserve">3.1.6. Combined heat and power </w:t>
      </w:r>
    </w:p>
    <w:p w14:paraId="604AFE78" w14:textId="341286AD" w:rsidR="00DC180B" w:rsidRDefault="002737EF" w:rsidP="00FF0098">
      <w:pPr>
        <w:tabs>
          <w:tab w:val="left" w:pos="0"/>
        </w:tabs>
      </w:pPr>
      <w:r>
        <w:t xml:space="preserve">Combined heat and power (CHP) </w:t>
      </w:r>
      <w:proofErr w:type="gramStart"/>
      <w:r>
        <w:t>is</w:t>
      </w:r>
      <w:proofErr w:type="gramEnd"/>
      <w:r>
        <w:t xml:space="preserve"> an integrated </w:t>
      </w:r>
      <w:r w:rsidR="00962316">
        <w:t xml:space="preserve">energy generation </w:t>
      </w:r>
      <w:r>
        <w:t>process</w:t>
      </w:r>
      <w:r w:rsidR="00216777">
        <w:t>.</w:t>
      </w:r>
      <w:r w:rsidR="002A2D9F">
        <w:t xml:space="preserve"> </w:t>
      </w:r>
      <w:r w:rsidR="00216777">
        <w:t>P</w:t>
      </w:r>
      <w:r w:rsidR="002A2D9F">
        <w:t>ower (mainly electricity) is produced and the heat that would otherwise be wasted in its generation is recovered and used for a benefici</w:t>
      </w:r>
      <w:r w:rsidR="00957DB8">
        <w:t>al purpose</w:t>
      </w:r>
      <w:r w:rsidR="00DC180B">
        <w:t>. This</w:t>
      </w:r>
      <w:r w:rsidR="00957DB8">
        <w:t xml:space="preserve"> deliver</w:t>
      </w:r>
      <w:r w:rsidR="00DC180B">
        <w:t>s</w:t>
      </w:r>
      <w:r w:rsidR="00957DB8">
        <w:t xml:space="preserve"> a higher overall fuel efficiency than the separate production of heat and power. </w:t>
      </w:r>
    </w:p>
    <w:p w14:paraId="1CB42F37" w14:textId="4CBB55DB" w:rsidR="00026E66" w:rsidRDefault="002737EF" w:rsidP="00FF0098">
      <w:pPr>
        <w:tabs>
          <w:tab w:val="left" w:pos="0"/>
        </w:tabs>
      </w:pPr>
      <w:r>
        <w:t xml:space="preserve">The way in which the consumption of heat and power generated in a CHP plant is accounted for in CCA depends on whether there are renewable fuel inputs to the CHP. There are </w:t>
      </w:r>
      <w:r w:rsidR="009E12F0">
        <w:t>3</w:t>
      </w:r>
      <w:r>
        <w:t xml:space="preserve"> different scenarios that can arise regarding the make-up of the fuel inputs: </w:t>
      </w:r>
    </w:p>
    <w:p w14:paraId="478415C4" w14:textId="77777777" w:rsidR="00026E66" w:rsidRDefault="002737EF" w:rsidP="00D41999">
      <w:pPr>
        <w:pStyle w:val="ListParagraph"/>
        <w:numPr>
          <w:ilvl w:val="0"/>
          <w:numId w:val="230"/>
        </w:numPr>
        <w:tabs>
          <w:tab w:val="left" w:pos="0"/>
        </w:tabs>
      </w:pPr>
      <w:r>
        <w:t xml:space="preserve">all fuel input is non-renewable </w:t>
      </w:r>
    </w:p>
    <w:p w14:paraId="3143D04D" w14:textId="77777777" w:rsidR="00026E66" w:rsidRDefault="002737EF" w:rsidP="00D41999">
      <w:pPr>
        <w:pStyle w:val="ListParagraph"/>
        <w:numPr>
          <w:ilvl w:val="0"/>
          <w:numId w:val="230"/>
        </w:numPr>
        <w:tabs>
          <w:tab w:val="left" w:pos="0"/>
        </w:tabs>
      </w:pPr>
      <w:r>
        <w:t xml:space="preserve">all fuel input is renewable </w:t>
      </w:r>
    </w:p>
    <w:p w14:paraId="119AFA7C" w14:textId="77777777" w:rsidR="00026E66" w:rsidRDefault="002737EF" w:rsidP="00D41999">
      <w:pPr>
        <w:pStyle w:val="ListParagraph"/>
        <w:numPr>
          <w:ilvl w:val="0"/>
          <w:numId w:val="230"/>
        </w:numPr>
        <w:tabs>
          <w:tab w:val="left" w:pos="0"/>
        </w:tabs>
      </w:pPr>
      <w:r>
        <w:t xml:space="preserve">fuel input is a mixture of renewable and non-renewable </w:t>
      </w:r>
    </w:p>
    <w:p w14:paraId="5D295B74" w14:textId="4D1D3A57" w:rsidR="00026E66" w:rsidRDefault="002737EF" w:rsidP="00316F01">
      <w:pPr>
        <w:tabs>
          <w:tab w:val="left" w:pos="0"/>
        </w:tabs>
      </w:pPr>
      <w:r>
        <w:t xml:space="preserve">The procedure for accounting for CHP in the CCA scheme is set out for these </w:t>
      </w:r>
      <w:r w:rsidR="009E12F0">
        <w:t>3</w:t>
      </w:r>
      <w:r>
        <w:t xml:space="preserve"> categories in </w:t>
      </w:r>
      <w:hyperlink w:anchor="_Appendix_D:_Calculation" w:history="1">
        <w:r>
          <w:rPr>
            <w:rStyle w:val="Hyperlink"/>
          </w:rPr>
          <w:t>Appendix D</w:t>
        </w:r>
      </w:hyperlink>
      <w:r>
        <w:t xml:space="preserve">. </w:t>
      </w:r>
      <w:r w:rsidR="002B3570">
        <w:t>For further information please refer to the follow</w:t>
      </w:r>
      <w:r w:rsidR="00C6162C">
        <w:t>ing</w:t>
      </w:r>
      <w:r w:rsidR="002B3570">
        <w:t xml:space="preserve"> paragraphs in the </w:t>
      </w:r>
      <w:hyperlink r:id="rId34">
        <w:r w:rsidR="00C449F6" w:rsidRPr="3E004537">
          <w:rPr>
            <w:rStyle w:val="Hyperlink"/>
            <w:color w:val="0070C0"/>
          </w:rPr>
          <w:t>Technical Annex</w:t>
        </w:r>
      </w:hyperlink>
      <w:r w:rsidR="002B3570">
        <w:t>:</w:t>
      </w:r>
    </w:p>
    <w:p w14:paraId="1CD3FFB7" w14:textId="1230E0C9" w:rsidR="002B3570" w:rsidRDefault="002B3570" w:rsidP="002B3570">
      <w:pPr>
        <w:pStyle w:val="ListParagraph"/>
        <w:numPr>
          <w:ilvl w:val="0"/>
          <w:numId w:val="165"/>
        </w:numPr>
        <w:tabs>
          <w:tab w:val="left" w:pos="0"/>
        </w:tabs>
      </w:pPr>
      <w:r>
        <w:t>all fuel input is non-renewable (</w:t>
      </w:r>
      <w:r w:rsidR="00F41010">
        <w:t>Paragraph 17</w:t>
      </w:r>
      <w:r w:rsidR="00DC180B">
        <w:t xml:space="preserve"> to </w:t>
      </w:r>
      <w:r w:rsidR="00F41010">
        <w:t>28)</w:t>
      </w:r>
    </w:p>
    <w:p w14:paraId="1DF2FD18" w14:textId="486C64FC" w:rsidR="00F41010" w:rsidRDefault="00F41010" w:rsidP="002B3570">
      <w:pPr>
        <w:pStyle w:val="ListParagraph"/>
        <w:numPr>
          <w:ilvl w:val="0"/>
          <w:numId w:val="165"/>
        </w:numPr>
        <w:tabs>
          <w:tab w:val="left" w:pos="0"/>
        </w:tabs>
      </w:pPr>
      <w:r>
        <w:t>all fuel input is renewable (</w:t>
      </w:r>
      <w:r w:rsidR="00CB7D46">
        <w:t>Paragraph 35</w:t>
      </w:r>
      <w:r w:rsidR="00DC180B">
        <w:t xml:space="preserve"> to </w:t>
      </w:r>
      <w:r w:rsidR="00D816CD">
        <w:t>3</w:t>
      </w:r>
      <w:r w:rsidR="00CB7D46">
        <w:t>9)</w:t>
      </w:r>
    </w:p>
    <w:p w14:paraId="6112A95E" w14:textId="6E36E64C" w:rsidR="00CB7D46" w:rsidRPr="00316F01" w:rsidRDefault="00CB7D46" w:rsidP="00C6162C">
      <w:pPr>
        <w:pStyle w:val="ListParagraph"/>
        <w:numPr>
          <w:ilvl w:val="0"/>
          <w:numId w:val="165"/>
        </w:numPr>
        <w:tabs>
          <w:tab w:val="left" w:pos="0"/>
        </w:tabs>
      </w:pPr>
      <w:r>
        <w:t>fuel input is a mixture of renewable and non-renewable (Paragraph 40</w:t>
      </w:r>
      <w:r w:rsidR="00DC180B">
        <w:t xml:space="preserve"> to </w:t>
      </w:r>
      <w:r>
        <w:t>43)</w:t>
      </w:r>
    </w:p>
    <w:p w14:paraId="113C08CE" w14:textId="1A2E865E" w:rsidR="00D73F6D" w:rsidRPr="00D73F6D" w:rsidRDefault="002737EF" w:rsidP="00360652">
      <w:pPr>
        <w:pStyle w:val="Heading4"/>
        <w:tabs>
          <w:tab w:val="left" w:pos="0"/>
        </w:tabs>
      </w:pPr>
      <w:r w:rsidRPr="005A4AE8">
        <w:t>Special reporting methodology</w:t>
      </w:r>
      <w:r w:rsidR="00360652">
        <w:t xml:space="preserve"> (SRM)</w:t>
      </w:r>
      <w:r w:rsidRPr="005A4AE8">
        <w:t xml:space="preserve"> for CHP </w:t>
      </w:r>
    </w:p>
    <w:p w14:paraId="07D8F6D2" w14:textId="0D47F162" w:rsidR="00026E66" w:rsidRDefault="002737EF" w:rsidP="00FF0098">
      <w:pPr>
        <w:tabs>
          <w:tab w:val="left" w:pos="0"/>
        </w:tabs>
        <w:ind w:right="182"/>
      </w:pPr>
      <w:r>
        <w:rPr>
          <w:color w:val="auto"/>
          <w:szCs w:val="24"/>
        </w:rPr>
        <w:t>There is a</w:t>
      </w:r>
      <w:r>
        <w:rPr>
          <w:color w:val="auto"/>
        </w:rPr>
        <w:t xml:space="preserve"> </w:t>
      </w:r>
      <w:hyperlink w:anchor="SRM" w:history="1">
        <w:r w:rsidRPr="00021E17">
          <w:rPr>
            <w:rStyle w:val="Hyperlink"/>
          </w:rPr>
          <w:t>special reporting methodology (SRM)</w:t>
        </w:r>
      </w:hyperlink>
      <w:r>
        <w:rPr>
          <w:color w:val="auto"/>
        </w:rPr>
        <w:t xml:space="preserve"> </w:t>
      </w:r>
      <w:r>
        <w:rPr>
          <w:color w:val="auto"/>
          <w:szCs w:val="24"/>
        </w:rPr>
        <w:t xml:space="preserve">for </w:t>
      </w:r>
      <w:r>
        <w:rPr>
          <w:color w:val="auto"/>
        </w:rPr>
        <w:t>CHP</w:t>
      </w:r>
      <w:r>
        <w:rPr>
          <w:color w:val="auto"/>
          <w:szCs w:val="24"/>
        </w:rPr>
        <w:t xml:space="preserve"> </w:t>
      </w:r>
      <w:r>
        <w:rPr>
          <w:color w:val="auto"/>
        </w:rPr>
        <w:t>where the following criteria are met</w:t>
      </w:r>
      <w:r>
        <w:rPr>
          <w:color w:val="auto"/>
          <w:szCs w:val="24"/>
        </w:rPr>
        <w:t>.</w:t>
      </w:r>
      <w:r>
        <w:rPr>
          <w:color w:val="auto"/>
        </w:rPr>
        <w:t xml:space="preserve"> </w:t>
      </w:r>
    </w:p>
    <w:p w14:paraId="29817B75" w14:textId="2CC8F32C" w:rsidR="00026E66" w:rsidRDefault="002737EF" w:rsidP="0065356B">
      <w:pPr>
        <w:pStyle w:val="ListParagraph"/>
        <w:numPr>
          <w:ilvl w:val="0"/>
          <w:numId w:val="27"/>
        </w:numPr>
        <w:tabs>
          <w:tab w:val="left" w:pos="0"/>
        </w:tabs>
      </w:pPr>
      <w:r>
        <w:t>all the facility’s direct fuel consumption is covered by the UK Emissions Trading Scheme (</w:t>
      </w:r>
      <w:hyperlink w:anchor="UKETS" w:history="1">
        <w:r w:rsidRPr="004A0265">
          <w:rPr>
            <w:rStyle w:val="Hyperlink"/>
          </w:rPr>
          <w:t>UK ETS)</w:t>
        </w:r>
      </w:hyperlink>
      <w:r>
        <w:t xml:space="preserve"> </w:t>
      </w:r>
    </w:p>
    <w:p w14:paraId="6769EE93" w14:textId="77777777" w:rsidR="00026E66" w:rsidRDefault="002737EF" w:rsidP="0065356B">
      <w:pPr>
        <w:pStyle w:val="ListParagraph"/>
        <w:numPr>
          <w:ilvl w:val="0"/>
          <w:numId w:val="27"/>
        </w:numPr>
        <w:tabs>
          <w:tab w:val="left" w:pos="0"/>
        </w:tabs>
      </w:pPr>
      <w:r>
        <w:t>the facility consumes electricity generated in a CHP plant and this CHP plant is covered by UK ETS</w:t>
      </w:r>
    </w:p>
    <w:p w14:paraId="1FF235B4" w14:textId="77F59F76" w:rsidR="00026E66" w:rsidRDefault="002737EF" w:rsidP="0065356B">
      <w:pPr>
        <w:pStyle w:val="ListParagraph"/>
        <w:numPr>
          <w:ilvl w:val="0"/>
          <w:numId w:val="27"/>
        </w:numPr>
        <w:tabs>
          <w:tab w:val="left" w:pos="0"/>
        </w:tabs>
      </w:pPr>
      <w:r>
        <w:t xml:space="preserve">the facility can import electricity from the grid </w:t>
      </w:r>
    </w:p>
    <w:p w14:paraId="2A02F43D" w14:textId="58C7BAD7" w:rsidR="00026E66" w:rsidRDefault="002737EF" w:rsidP="00FC355D">
      <w:r>
        <w:t xml:space="preserve">Where an eligible facility meets all </w:t>
      </w:r>
      <w:r w:rsidR="009E12F0">
        <w:t>3</w:t>
      </w:r>
      <w:r>
        <w:t xml:space="preserve"> criteria, the SRM </w:t>
      </w:r>
      <w:r w:rsidRPr="00360652">
        <w:rPr>
          <w:b/>
          <w:bCs/>
        </w:rPr>
        <w:t>m</w:t>
      </w:r>
      <w:r w:rsidR="00565538" w:rsidRPr="00360652">
        <w:rPr>
          <w:b/>
          <w:bCs/>
        </w:rPr>
        <w:t>ust</w:t>
      </w:r>
      <w:r>
        <w:t xml:space="preserve"> be used to determine the performance of the facility in the </w:t>
      </w:r>
      <w:hyperlink w:anchor="baseyear" w:history="1">
        <w:r w:rsidRPr="004A0265">
          <w:rPr>
            <w:rStyle w:val="Hyperlink"/>
          </w:rPr>
          <w:t>base year</w:t>
        </w:r>
      </w:hyperlink>
      <w:r>
        <w:t xml:space="preserve"> and at subsequent </w:t>
      </w:r>
      <w:hyperlink w:anchor="Targetperiod" w:history="1">
        <w:r w:rsidRPr="00FA65A8">
          <w:rPr>
            <w:rStyle w:val="Hyperlink"/>
          </w:rPr>
          <w:t>target periods</w:t>
        </w:r>
      </w:hyperlink>
      <w:r>
        <w:t xml:space="preserve">. This will ensure that changes in apparent performance at sites meeting the criteria more closely reflect changes in their actual performance. </w:t>
      </w:r>
    </w:p>
    <w:p w14:paraId="67C15EE2" w14:textId="77777777" w:rsidR="00026E66" w:rsidRDefault="002737EF" w:rsidP="00FC355D">
      <w:r>
        <w:t xml:space="preserve">The CHP SRM allows for more predictable performance for the operator and a better alignment of reported performance with efficiency of electricity consumption. </w:t>
      </w:r>
    </w:p>
    <w:p w14:paraId="0061F22D" w14:textId="50ABC873" w:rsidR="00026E66" w:rsidRDefault="002737EF" w:rsidP="00FC355D">
      <w:r>
        <w:t xml:space="preserve">The details and calculations for how to apply the CHP SRM are outlined in </w:t>
      </w:r>
      <w:hyperlink w:anchor="_Appendix_D:_Calculation" w:history="1">
        <w:r w:rsidRPr="00AD5205">
          <w:rPr>
            <w:rStyle w:val="Hyperlink"/>
          </w:rPr>
          <w:t>Appendix D</w:t>
        </w:r>
      </w:hyperlink>
      <w:r>
        <w:t xml:space="preserve">. </w:t>
      </w:r>
    </w:p>
    <w:p w14:paraId="7D996A93" w14:textId="77777777" w:rsidR="00026E66" w:rsidRDefault="002737EF" w:rsidP="00FF0098">
      <w:pPr>
        <w:pStyle w:val="Heading3"/>
        <w:tabs>
          <w:tab w:val="left" w:pos="0"/>
        </w:tabs>
      </w:pPr>
      <w:r>
        <w:lastRenderedPageBreak/>
        <w:t xml:space="preserve">3.1.7. Steam </w:t>
      </w:r>
    </w:p>
    <w:p w14:paraId="019A7E72" w14:textId="3ACC0AB6" w:rsidR="00026E66" w:rsidRDefault="002737EF" w:rsidP="00FC355D">
      <w:r>
        <w:t xml:space="preserve">As energy is accounted for on a </w:t>
      </w:r>
      <w:hyperlink w:anchor="Primaryenergy" w:history="1">
        <w:r w:rsidRPr="00D033CC">
          <w:rPr>
            <w:rStyle w:val="Hyperlink"/>
          </w:rPr>
          <w:t>primary energy</w:t>
        </w:r>
      </w:hyperlink>
      <w:r>
        <w:t xml:space="preserve"> basis in the CCA scheme, it is the fuel used to generate the steam consumed in the eligible facility that is accounted for, rather than the energy content (enthalpy) of the steam itself. </w:t>
      </w:r>
    </w:p>
    <w:p w14:paraId="1EF18467" w14:textId="2CDD6280" w:rsidR="00026E66" w:rsidRDefault="002737EF" w:rsidP="00FC355D">
      <w:r>
        <w:t xml:space="preserve">In the case of steam imports and exports, not originating from CHP, paragraphs </w:t>
      </w:r>
      <w:r w:rsidR="0071713C">
        <w:t xml:space="preserve">29 </w:t>
      </w:r>
      <w:r>
        <w:t xml:space="preserve">to </w:t>
      </w:r>
      <w:r w:rsidR="0071713C">
        <w:t xml:space="preserve">30 </w:t>
      </w:r>
      <w:r>
        <w:t xml:space="preserve">in the </w:t>
      </w:r>
      <w:hyperlink r:id="rId35" w:history="1">
        <w:r>
          <w:rPr>
            <w:rStyle w:val="Hyperlink"/>
            <w:color w:val="0070C0"/>
          </w:rPr>
          <w:t>Technical Annex</w:t>
        </w:r>
      </w:hyperlink>
      <w:r>
        <w:rPr>
          <w:color w:val="0070C0"/>
        </w:rPr>
        <w:t xml:space="preserve"> </w:t>
      </w:r>
      <w:r>
        <w:t xml:space="preserve">state that: </w:t>
      </w:r>
    </w:p>
    <w:p w14:paraId="3271249C" w14:textId="154F0955" w:rsidR="00026E66" w:rsidRDefault="002737EF" w:rsidP="00D41999">
      <w:pPr>
        <w:ind w:left="720"/>
      </w:pPr>
      <w:r>
        <w:t>“Imported or exported steam must be accounted for by taking the enthalpy of the steam and dividing by the efficiency of the system that generates the steam and distributes it to the user's target facility boundary; in order to account for the total primary energy consumed (that is</w:t>
      </w:r>
      <w:r w:rsidR="00A1084A">
        <w:t>,</w:t>
      </w:r>
      <w:r>
        <w:t xml:space="preserve"> fuel combusted) to produce the steam that is consumed. </w:t>
      </w:r>
    </w:p>
    <w:p w14:paraId="399634B3" w14:textId="77777777" w:rsidR="00026E66" w:rsidRDefault="002737EF" w:rsidP="00D41999">
      <w:pPr>
        <w:ind w:left="720"/>
      </w:pPr>
      <w:r>
        <w:t>Account must be taken of steam pressure – for example, where sites import high pressure steam and return it at a lower pressure.”</w:t>
      </w:r>
    </w:p>
    <w:p w14:paraId="527085D0" w14:textId="77777777" w:rsidR="00026E66" w:rsidRDefault="002737EF" w:rsidP="00FF0098">
      <w:pPr>
        <w:pStyle w:val="Heading3"/>
        <w:tabs>
          <w:tab w:val="left" w:pos="0"/>
        </w:tabs>
      </w:pPr>
      <w:r>
        <w:t xml:space="preserve">3.1.8. Accounting for oxygen imports </w:t>
      </w:r>
    </w:p>
    <w:p w14:paraId="41CA695C" w14:textId="4F8B33A3" w:rsidR="00026E66" w:rsidRDefault="002737EF" w:rsidP="00FF0098">
      <w:pPr>
        <w:tabs>
          <w:tab w:val="left" w:pos="0"/>
        </w:tabs>
      </w:pPr>
      <w:r>
        <w:t xml:space="preserve">Where oxygen is imported by a site for consumption in the eligible facility, an energy equivalent will be attached to this oxygen if the eligible facility also contains plant used to generate oxygen. Operators should contact </w:t>
      </w:r>
      <w:r w:rsidR="00D952BC">
        <w:t>the Environment Agency</w:t>
      </w:r>
      <w:r>
        <w:t xml:space="preserve"> </w:t>
      </w:r>
      <w:r w:rsidR="003A3D0C">
        <w:t>through</w:t>
      </w:r>
      <w:r>
        <w:t xml:space="preserve"> the </w:t>
      </w:r>
      <w:hyperlink r:id="rId36">
        <w:r w:rsidR="004874DE" w:rsidRPr="1EBAB73E">
          <w:rPr>
            <w:rStyle w:val="Hyperlink"/>
            <w:color w:val="0070C0"/>
          </w:rPr>
          <w:t>CCA helpdesk</w:t>
        </w:r>
      </w:hyperlink>
      <w:r w:rsidR="004874DE">
        <w:t xml:space="preserve"> </w:t>
      </w:r>
      <w:r>
        <w:t>to agree an appropriate value of this energy equivalent.</w:t>
      </w:r>
    </w:p>
    <w:p w14:paraId="0D38BE60" w14:textId="2708AB86" w:rsidR="00026E66" w:rsidRDefault="002737EF" w:rsidP="00FF0098">
      <w:pPr>
        <w:tabs>
          <w:tab w:val="left" w:pos="0"/>
        </w:tabs>
      </w:pPr>
      <w:r>
        <w:t xml:space="preserve">Oxygen imported by sites for consumption in the eligible facility, where the eligible facility does not include plant </w:t>
      </w:r>
      <w:proofErr w:type="gramStart"/>
      <w:r>
        <w:t>for the production of</w:t>
      </w:r>
      <w:proofErr w:type="gramEnd"/>
      <w:r>
        <w:t xml:space="preserve"> oxygen, will be zero rated for energy.</w:t>
      </w:r>
    </w:p>
    <w:p w14:paraId="54EC1515" w14:textId="77777777" w:rsidR="00026E66" w:rsidRDefault="002737EF" w:rsidP="00FF0098">
      <w:pPr>
        <w:pStyle w:val="Heading3"/>
        <w:tabs>
          <w:tab w:val="left" w:pos="0"/>
        </w:tabs>
      </w:pPr>
      <w:r>
        <w:t xml:space="preserve">3.1.9. Accounting for liquid nitrogen or solid carbon dioxide used for cooling </w:t>
      </w:r>
    </w:p>
    <w:p w14:paraId="0586853C" w14:textId="77777777" w:rsidR="0091274E" w:rsidRDefault="002737EF" w:rsidP="00FF0098">
      <w:pPr>
        <w:tabs>
          <w:tab w:val="left" w:pos="0"/>
        </w:tabs>
      </w:pPr>
      <w:r>
        <w:t>Where liquid nitrogen or solid carbon dioxide (CO</w:t>
      </w:r>
      <w:r>
        <w:rPr>
          <w:vertAlign w:val="subscript"/>
        </w:rPr>
        <w:t>2</w:t>
      </w:r>
      <w:r>
        <w:t xml:space="preserve">) is imported to perform a cooling function in an eligible facility, an energy equivalent will be attached to the imported liquid nitrogen or solid carbon dioxide. </w:t>
      </w:r>
    </w:p>
    <w:p w14:paraId="7E161849" w14:textId="2ADAC004" w:rsidR="0091274E" w:rsidRDefault="0091274E" w:rsidP="00FF0098">
      <w:pPr>
        <w:tabs>
          <w:tab w:val="left" w:pos="0"/>
        </w:tabs>
      </w:pPr>
      <w:r>
        <w:t xml:space="preserve">For </w:t>
      </w:r>
      <w:r w:rsidR="00C96FF7">
        <w:t xml:space="preserve">liquid </w:t>
      </w:r>
      <w:r>
        <w:t>nitrogen cooling</w:t>
      </w:r>
      <w:r w:rsidR="007B21D1">
        <w:t xml:space="preserve">, the energy equivalents are: </w:t>
      </w:r>
    </w:p>
    <w:p w14:paraId="7D52BD07" w14:textId="56D9A036" w:rsidR="007B21D1" w:rsidRDefault="007B21D1" w:rsidP="00B851DF">
      <w:pPr>
        <w:pStyle w:val="ListParagraph"/>
        <w:numPr>
          <w:ilvl w:val="0"/>
          <w:numId w:val="210"/>
        </w:numPr>
        <w:tabs>
          <w:tab w:val="left" w:pos="0"/>
        </w:tabs>
      </w:pPr>
      <w:r>
        <w:t xml:space="preserve">0.55 kWh (delivered units) / </w:t>
      </w:r>
      <w:r w:rsidR="00B851DF" w:rsidRPr="00B851DF">
        <w:t>Sm³</w:t>
      </w:r>
      <w:r w:rsidR="00860831">
        <w:t xml:space="preserve"> gas</w:t>
      </w:r>
    </w:p>
    <w:p w14:paraId="114FE148" w14:textId="0D4E6566" w:rsidR="00860831" w:rsidRDefault="007252BE" w:rsidP="007B21D1">
      <w:pPr>
        <w:pStyle w:val="ListParagraph"/>
        <w:numPr>
          <w:ilvl w:val="0"/>
          <w:numId w:val="210"/>
        </w:numPr>
        <w:tabs>
          <w:tab w:val="left" w:pos="0"/>
        </w:tabs>
      </w:pPr>
      <w:r>
        <w:t>440 kWh (delivered units) / tonne liquid</w:t>
      </w:r>
    </w:p>
    <w:p w14:paraId="273CB27D" w14:textId="2A95F4FB" w:rsidR="00B60084" w:rsidRDefault="00B60084" w:rsidP="00B60084">
      <w:pPr>
        <w:tabs>
          <w:tab w:val="left" w:pos="0"/>
        </w:tabs>
      </w:pPr>
      <w:r>
        <w:t xml:space="preserve">For </w:t>
      </w:r>
      <w:r w:rsidR="00E63A47">
        <w:t xml:space="preserve">solid carbon dioxide </w:t>
      </w:r>
      <w:r w:rsidR="003976C4">
        <w:t xml:space="preserve">(dry ice) cooling, the energy equivalents are: </w:t>
      </w:r>
    </w:p>
    <w:p w14:paraId="763802D8" w14:textId="19E5270F" w:rsidR="003976C4" w:rsidRDefault="00D7290F" w:rsidP="00B851DF">
      <w:pPr>
        <w:pStyle w:val="ListParagraph"/>
        <w:numPr>
          <w:ilvl w:val="0"/>
          <w:numId w:val="211"/>
        </w:numPr>
        <w:tabs>
          <w:tab w:val="left" w:pos="0"/>
        </w:tabs>
      </w:pPr>
      <w:r>
        <w:t>0.375 kWh</w:t>
      </w:r>
      <w:r w:rsidR="005F5388">
        <w:t xml:space="preserve"> (delivered units) / </w:t>
      </w:r>
      <w:r w:rsidR="00B851DF" w:rsidRPr="00B851DF">
        <w:t>Sm³</w:t>
      </w:r>
      <w:r w:rsidR="005F5388">
        <w:t xml:space="preserve"> gas</w:t>
      </w:r>
    </w:p>
    <w:p w14:paraId="40F50CB0" w14:textId="5BA72474" w:rsidR="005F5388" w:rsidRDefault="00983CA9" w:rsidP="003976C4">
      <w:pPr>
        <w:pStyle w:val="ListParagraph"/>
        <w:numPr>
          <w:ilvl w:val="0"/>
          <w:numId w:val="211"/>
        </w:numPr>
        <w:tabs>
          <w:tab w:val="left" w:pos="0"/>
        </w:tabs>
      </w:pPr>
      <w:r>
        <w:t>203 kWh (delivered units) / tonne ice</w:t>
      </w:r>
    </w:p>
    <w:p w14:paraId="7D7047D0" w14:textId="736F8B74" w:rsidR="00520B15" w:rsidRPr="00633371" w:rsidRDefault="00520B15" w:rsidP="00520B15">
      <w:pPr>
        <w:tabs>
          <w:tab w:val="left" w:pos="0"/>
        </w:tabs>
      </w:pPr>
      <w:r>
        <w:lastRenderedPageBreak/>
        <w:t xml:space="preserve">These amounts are in </w:t>
      </w:r>
      <w:r w:rsidRPr="00AA6B54">
        <w:rPr>
          <w:b/>
        </w:rPr>
        <w:t>delivered units</w:t>
      </w:r>
      <w:r>
        <w:rPr>
          <w:b/>
          <w:bCs/>
          <w:i/>
          <w:iCs/>
        </w:rPr>
        <w:t xml:space="preserve"> </w:t>
      </w:r>
      <w:r>
        <w:t>of grid electricity</w:t>
      </w:r>
      <w:r w:rsidR="00633371">
        <w:t xml:space="preserve"> and therefore </w:t>
      </w:r>
      <w:r w:rsidR="00633371">
        <w:rPr>
          <w:b/>
          <w:bCs/>
        </w:rPr>
        <w:t xml:space="preserve">must </w:t>
      </w:r>
      <w:r w:rsidR="00633371">
        <w:t>be multiplied by</w:t>
      </w:r>
      <w:r w:rsidR="00EB5CF8">
        <w:t xml:space="preserve"> the</w:t>
      </w:r>
      <w:r w:rsidR="00633371">
        <w:t xml:space="preserve"> </w:t>
      </w:r>
      <w:r w:rsidR="00323D49">
        <w:t>primary conversion factor</w:t>
      </w:r>
      <w:r w:rsidR="00633371">
        <w:t xml:space="preserve"> to calculate the amount of primary energy for each </w:t>
      </w:r>
      <w:r w:rsidR="008F78C3">
        <w:t>standard cubic metre (</w:t>
      </w:r>
      <w:r w:rsidR="0083664F" w:rsidRPr="0083664F">
        <w:t>Sm³</w:t>
      </w:r>
      <w:r w:rsidR="008F78C3">
        <w:t xml:space="preserve">) or tonne of nitrogen </w:t>
      </w:r>
      <w:r w:rsidR="00734C8D">
        <w:t>or</w:t>
      </w:r>
      <w:r w:rsidR="008F78C3">
        <w:t xml:space="preserve"> solid carbon dioxide used. </w:t>
      </w:r>
    </w:p>
    <w:p w14:paraId="749D2224" w14:textId="2473002B" w:rsidR="00026E66" w:rsidRDefault="002737EF" w:rsidP="00FF0098">
      <w:pPr>
        <w:tabs>
          <w:tab w:val="left" w:pos="0"/>
        </w:tabs>
      </w:pPr>
      <w:r>
        <w:t>Liquid nitrogen or solid carbon dioxide imported to a site which is not used to perform a cooling function will be zero rated for energy.</w:t>
      </w:r>
      <w:r w:rsidR="00FC355D">
        <w:t xml:space="preserve"> </w:t>
      </w:r>
    </w:p>
    <w:p w14:paraId="4B33B5B0" w14:textId="77777777" w:rsidR="00026E66" w:rsidRDefault="002737EF" w:rsidP="00FF0098">
      <w:pPr>
        <w:pStyle w:val="Heading3"/>
        <w:tabs>
          <w:tab w:val="left" w:pos="0"/>
        </w:tabs>
      </w:pPr>
      <w:bookmarkStart w:id="38" w:name="_3.1.10._Accounting_for"/>
      <w:bookmarkEnd w:id="38"/>
      <w:r>
        <w:t xml:space="preserve">3.1.10. Accounting for transport fuel </w:t>
      </w:r>
    </w:p>
    <w:p w14:paraId="19CE0F76" w14:textId="4F3762AA" w:rsidR="00026E66" w:rsidRDefault="002737EF" w:rsidP="00FF0098">
      <w:pPr>
        <w:tabs>
          <w:tab w:val="left" w:pos="0"/>
        </w:tabs>
        <w:ind w:right="182"/>
      </w:pPr>
      <w:r>
        <w:rPr>
          <w:color w:val="auto"/>
          <w:szCs w:val="24"/>
        </w:rPr>
        <w:t>Transport</w:t>
      </w:r>
      <w:r>
        <w:rPr>
          <w:color w:val="auto"/>
        </w:rPr>
        <w:t xml:space="preserve"> fuel </w:t>
      </w:r>
      <w:r>
        <w:rPr>
          <w:color w:val="auto"/>
          <w:szCs w:val="24"/>
        </w:rPr>
        <w:t xml:space="preserve">can be included </w:t>
      </w:r>
      <w:r>
        <w:rPr>
          <w:color w:val="auto"/>
        </w:rPr>
        <w:t>within an eligible facility in the following cases</w:t>
      </w:r>
      <w:r>
        <w:rPr>
          <w:color w:val="auto"/>
          <w:szCs w:val="24"/>
        </w:rPr>
        <w:t xml:space="preserve"> </w:t>
      </w:r>
      <w:r w:rsidR="00E618AB">
        <w:rPr>
          <w:color w:val="auto"/>
          <w:szCs w:val="24"/>
        </w:rPr>
        <w:t>(i</w:t>
      </w:r>
      <w:r>
        <w:rPr>
          <w:color w:val="auto"/>
          <w:szCs w:val="24"/>
        </w:rPr>
        <w:t>n each instance, it is optional to include it</w:t>
      </w:r>
      <w:r w:rsidR="00E618AB">
        <w:rPr>
          <w:color w:val="auto"/>
          <w:szCs w:val="24"/>
        </w:rPr>
        <w:t>):</w:t>
      </w:r>
    </w:p>
    <w:p w14:paraId="1133D246" w14:textId="77777777" w:rsidR="00026E66" w:rsidRDefault="002737EF" w:rsidP="0065356B">
      <w:pPr>
        <w:pStyle w:val="ListParagraph"/>
        <w:numPr>
          <w:ilvl w:val="0"/>
          <w:numId w:val="28"/>
        </w:numPr>
        <w:tabs>
          <w:tab w:val="left" w:pos="0"/>
        </w:tabs>
        <w:spacing w:after="68"/>
        <w:ind w:right="182"/>
      </w:pPr>
      <w:r w:rsidRPr="00E955A3">
        <w:rPr>
          <w:szCs w:val="24"/>
        </w:rPr>
        <w:t>Where</w:t>
      </w:r>
      <w:r>
        <w:t xml:space="preserve"> a vehicle performs an activity that is directly associated with the stationary technical unit, </w:t>
      </w:r>
      <w:r w:rsidRPr="00E955A3">
        <w:rPr>
          <w:szCs w:val="24"/>
        </w:rPr>
        <w:t>the operator may choose to include this fuel in the energy consumption of the installation and, therefore, the eligible facility. An example would be</w:t>
      </w:r>
      <w:r w:rsidRPr="00E955A3">
        <w:t xml:space="preserve"> </w:t>
      </w:r>
      <w:proofErr w:type="gramStart"/>
      <w:r>
        <w:t>forklift</w:t>
      </w:r>
      <w:proofErr w:type="gramEnd"/>
      <w:r>
        <w:t xml:space="preserve"> trucks</w:t>
      </w:r>
      <w:r w:rsidRPr="00E955A3">
        <w:rPr>
          <w:szCs w:val="24"/>
        </w:rPr>
        <w:t xml:space="preserve"> consuming electricity. </w:t>
      </w:r>
    </w:p>
    <w:p w14:paraId="0C1687F2" w14:textId="4B32A073" w:rsidR="00026E66" w:rsidRDefault="002737EF" w:rsidP="0065356B">
      <w:pPr>
        <w:pStyle w:val="ListParagraph"/>
        <w:numPr>
          <w:ilvl w:val="0"/>
          <w:numId w:val="28"/>
        </w:numPr>
        <w:tabs>
          <w:tab w:val="left" w:pos="0"/>
        </w:tabs>
        <w:ind w:right="182"/>
      </w:pPr>
      <w:r w:rsidRPr="00E955A3">
        <w:rPr>
          <w:szCs w:val="24"/>
        </w:rPr>
        <w:t>Fuel</w:t>
      </w:r>
      <w:r>
        <w:t xml:space="preserve"> consumed by vehicles not performing a directly associated activity may be included in the eligible facility’s energy consumption under the 3/7th provision of the </w:t>
      </w:r>
      <w:hyperlink w:anchor="seventypercentrule" w:history="1">
        <w:r>
          <w:rPr>
            <w:rStyle w:val="Hyperlink"/>
          </w:rPr>
          <w:t>70% rule</w:t>
        </w:r>
      </w:hyperlink>
      <w:r w:rsidRPr="00FC355D">
        <w:t xml:space="preserve"> </w:t>
      </w:r>
      <w:proofErr w:type="gramStart"/>
      <w:r w:rsidRPr="00E955A3">
        <w:rPr>
          <w:szCs w:val="24"/>
        </w:rPr>
        <w:t>as long as</w:t>
      </w:r>
      <w:proofErr w:type="gramEnd"/>
      <w:r>
        <w:t xml:space="preserve"> this energy is measured</w:t>
      </w:r>
      <w:r w:rsidRPr="00E955A3">
        <w:rPr>
          <w:szCs w:val="24"/>
        </w:rPr>
        <w:t xml:space="preserve">. </w:t>
      </w:r>
    </w:p>
    <w:p w14:paraId="576A1173" w14:textId="3CCEFB68" w:rsidR="00026E66" w:rsidRDefault="002737EF" w:rsidP="007A7512">
      <w:pPr>
        <w:tabs>
          <w:tab w:val="left" w:pos="0"/>
        </w:tabs>
      </w:pPr>
      <w:r>
        <w:rPr>
          <w:color w:val="auto"/>
        </w:rPr>
        <w:t xml:space="preserve">When </w:t>
      </w:r>
      <w:r w:rsidRPr="1EBAB73E">
        <w:rPr>
          <w:color w:val="auto"/>
        </w:rPr>
        <w:t>choosing</w:t>
      </w:r>
      <w:r>
        <w:rPr>
          <w:color w:val="auto"/>
        </w:rPr>
        <w:t xml:space="preserve"> whether to include fuel used by vehicles in the eligible facility, operators </w:t>
      </w:r>
      <w:r w:rsidRPr="1EBAB73E">
        <w:rPr>
          <w:color w:val="auto"/>
        </w:rPr>
        <w:t>should consider the following</w:t>
      </w:r>
      <w:r w:rsidR="008661C7" w:rsidRPr="1EBAB73E">
        <w:rPr>
          <w:color w:val="auto"/>
        </w:rPr>
        <w:t>:</w:t>
      </w:r>
      <w:r>
        <w:rPr>
          <w:color w:val="auto"/>
        </w:rPr>
        <w:t xml:space="preserve"> </w:t>
      </w:r>
    </w:p>
    <w:p w14:paraId="1B2C4E02" w14:textId="69573EE8" w:rsidR="00026E66" w:rsidRDefault="2F4982BF" w:rsidP="0065356B">
      <w:pPr>
        <w:pStyle w:val="ListParagraph"/>
        <w:numPr>
          <w:ilvl w:val="0"/>
          <w:numId w:val="29"/>
        </w:numPr>
        <w:tabs>
          <w:tab w:val="left" w:pos="0"/>
        </w:tabs>
        <w:spacing w:after="70"/>
        <w:ind w:right="182"/>
      </w:pPr>
      <w:r>
        <w:t>o</w:t>
      </w:r>
      <w:r w:rsidR="695FBD3B">
        <w:t>nce</w:t>
      </w:r>
      <w:r w:rsidR="002737EF">
        <w:t xml:space="preserve"> the choice has been made to include fuel consumed by vehicles in the </w:t>
      </w:r>
      <w:hyperlink w:anchor="baseyear" w:history="1">
        <w:r w:rsidR="002737EF" w:rsidRPr="002D6B64">
          <w:rPr>
            <w:rStyle w:val="Hyperlink"/>
          </w:rPr>
          <w:t>base year</w:t>
        </w:r>
      </w:hyperlink>
      <w:r w:rsidR="002737EF">
        <w:t xml:space="preserve"> data, this fuel must be reported at future target periods, and vice versa </w:t>
      </w:r>
    </w:p>
    <w:p w14:paraId="0DB9656B" w14:textId="75FC7A69" w:rsidR="00026E66" w:rsidRDefault="2F4982BF" w:rsidP="007A7512">
      <w:pPr>
        <w:pStyle w:val="ListParagraph"/>
        <w:numPr>
          <w:ilvl w:val="0"/>
          <w:numId w:val="29"/>
        </w:numPr>
        <w:tabs>
          <w:tab w:val="left" w:pos="0"/>
        </w:tabs>
      </w:pPr>
      <w:r>
        <w:t>o</w:t>
      </w:r>
      <w:r w:rsidR="695FBD3B">
        <w:t>nly</w:t>
      </w:r>
      <w:r w:rsidR="002737EF">
        <w:t xml:space="preserve"> fuel consumed by vehicles operating on site can be included </w:t>
      </w:r>
    </w:p>
    <w:p w14:paraId="1C746050" w14:textId="77777777" w:rsidR="00026E66" w:rsidRDefault="002737EF" w:rsidP="00FF0098">
      <w:pPr>
        <w:tabs>
          <w:tab w:val="left" w:pos="0"/>
        </w:tabs>
        <w:ind w:right="182"/>
        <w:rPr>
          <w:color w:val="auto"/>
          <w:szCs w:val="24"/>
        </w:rPr>
      </w:pPr>
      <w:r>
        <w:rPr>
          <w:color w:val="auto"/>
          <w:szCs w:val="24"/>
        </w:rPr>
        <w:t xml:space="preserve">Operators must therefore be able to distinguish between fuel consumed by vehicles when they operate on site from that consumed if they operate off site. </w:t>
      </w:r>
    </w:p>
    <w:p w14:paraId="008423C8" w14:textId="269D7A0E" w:rsidR="00026E66" w:rsidRDefault="002737EF" w:rsidP="00316F01">
      <w:pPr>
        <w:tabs>
          <w:tab w:val="left" w:pos="0"/>
        </w:tabs>
        <w:spacing w:after="0"/>
        <w:ind w:right="182"/>
        <w:rPr>
          <w:color w:val="auto"/>
        </w:rPr>
      </w:pPr>
      <w:r>
        <w:rPr>
          <w:color w:val="auto"/>
        </w:rPr>
        <w:t xml:space="preserve">If the operator feels unable to meet any of these requirements, fuels consumed by vehicles should be left out of the eligible facility’s energy consumption. </w:t>
      </w:r>
    </w:p>
    <w:p w14:paraId="685D630E" w14:textId="77777777" w:rsidR="00026E66" w:rsidRDefault="002737EF" w:rsidP="00FF0098">
      <w:pPr>
        <w:pStyle w:val="Heading2"/>
        <w:tabs>
          <w:tab w:val="left" w:pos="0"/>
        </w:tabs>
      </w:pPr>
      <w:bookmarkStart w:id="39" w:name="_3.2._What_energy"/>
      <w:bookmarkStart w:id="40" w:name="_Toc94718634"/>
      <w:bookmarkStart w:id="41" w:name="_Toc94088882"/>
      <w:bookmarkStart w:id="42" w:name="_Toc242885361"/>
      <w:bookmarkEnd w:id="39"/>
      <w:r>
        <w:t>3.2. What energy can't be counted in CCAs</w:t>
      </w:r>
      <w:bookmarkEnd w:id="40"/>
      <w:bookmarkEnd w:id="41"/>
      <w:bookmarkEnd w:id="42"/>
      <w:r>
        <w:t xml:space="preserve"> </w:t>
      </w:r>
    </w:p>
    <w:p w14:paraId="61AE0127" w14:textId="77777777" w:rsidR="00026E66" w:rsidRDefault="002737EF" w:rsidP="00FF0098">
      <w:pPr>
        <w:pStyle w:val="Heading3"/>
        <w:tabs>
          <w:tab w:val="left" w:pos="0"/>
        </w:tabs>
      </w:pPr>
      <w:r>
        <w:t xml:space="preserve">3.2.1. Fuel used as a chemical feedstock </w:t>
      </w:r>
    </w:p>
    <w:p w14:paraId="6B6F1E24" w14:textId="77777777" w:rsidR="00026E66" w:rsidRDefault="002737EF" w:rsidP="00FF0098">
      <w:pPr>
        <w:tabs>
          <w:tab w:val="left" w:pos="0"/>
        </w:tabs>
      </w:pPr>
      <w:r>
        <w:t xml:space="preserve">Fuels are sometimes not combusted nor used for their reducing properties but are simply incorporated into an intermediary or final product. In such situations, the fuel is said to be used as a chemical feedstock. </w:t>
      </w:r>
    </w:p>
    <w:p w14:paraId="20E43747" w14:textId="5A95C7A2" w:rsidR="00026E66" w:rsidRDefault="002737EF" w:rsidP="00FF0098">
      <w:pPr>
        <w:tabs>
          <w:tab w:val="left" w:pos="0"/>
        </w:tabs>
      </w:pPr>
      <w:r>
        <w:t xml:space="preserve">Where a fuel is used as a chemical feedstock and becomes part of a chemical product, this fuel must not be counted as part of the energy use of an eligible facility. Where this fuel is used as a reductant (that is, as a reducing agent that chemically reduces other </w:t>
      </w:r>
      <w:r>
        <w:lastRenderedPageBreak/>
        <w:t>substances within a process), it must be counted within the eligible facility’s energy consumption (</w:t>
      </w:r>
      <w:hyperlink r:id="rId37" w:history="1">
        <w:r>
          <w:rPr>
            <w:rStyle w:val="Hyperlink"/>
            <w:color w:val="0070C0"/>
          </w:rPr>
          <w:t>Technical Annex</w:t>
        </w:r>
      </w:hyperlink>
      <w:r w:rsidR="00F67BFB">
        <w:t>,</w:t>
      </w:r>
      <w:r>
        <w:t xml:space="preserve"> paragraph </w:t>
      </w:r>
      <w:r w:rsidR="00DC2543">
        <w:t>45</w:t>
      </w:r>
      <w:r>
        <w:t xml:space="preserve">). </w:t>
      </w:r>
    </w:p>
    <w:p w14:paraId="6E295D5B" w14:textId="77777777" w:rsidR="00026E66" w:rsidRDefault="002737EF" w:rsidP="00FF0098">
      <w:pPr>
        <w:pStyle w:val="Heading3"/>
        <w:tabs>
          <w:tab w:val="left" w:pos="0"/>
        </w:tabs>
      </w:pPr>
      <w:r>
        <w:t xml:space="preserve">3.2.2. Heat recovered from exothermic reactions </w:t>
      </w:r>
    </w:p>
    <w:p w14:paraId="43EF5F99" w14:textId="77777777" w:rsidR="00026E66" w:rsidRDefault="002737EF" w:rsidP="00FF0098">
      <w:pPr>
        <w:tabs>
          <w:tab w:val="left" w:pos="0"/>
        </w:tabs>
      </w:pPr>
      <w:r>
        <w:t xml:space="preserve">An exothermic reaction is a chemical reaction that involves the release of heat. </w:t>
      </w:r>
    </w:p>
    <w:p w14:paraId="51334E04" w14:textId="443A3331" w:rsidR="00026E66" w:rsidRDefault="002737EF" w:rsidP="00FF0098">
      <w:pPr>
        <w:tabs>
          <w:tab w:val="left" w:pos="0"/>
        </w:tabs>
      </w:pPr>
      <w:r>
        <w:t>Where an exothermic reaction involves the combustion of a</w:t>
      </w:r>
      <w:r w:rsidR="005C581B">
        <w:t xml:space="preserve"> fossil</w:t>
      </w:r>
      <w:r>
        <w:t xml:space="preserve"> fuel, that fuel must be counted in the eligible facility's energy consumption. </w:t>
      </w:r>
    </w:p>
    <w:p w14:paraId="3844DCB3" w14:textId="3F186C5E" w:rsidR="00026E66" w:rsidRDefault="002737EF" w:rsidP="00FF0098">
      <w:pPr>
        <w:tabs>
          <w:tab w:val="left" w:pos="0"/>
        </w:tabs>
      </w:pPr>
      <w:r>
        <w:t>Where heat is recovered from exothermic reactions not involving the combustion of</w:t>
      </w:r>
      <w:r w:rsidR="005C581B">
        <w:t xml:space="preserve"> fossil</w:t>
      </w:r>
      <w:r>
        <w:t xml:space="preserve"> fuel, that heat energy is not counted in the eligible facility's energy consumption (</w:t>
      </w:r>
      <w:hyperlink r:id="rId38" w:history="1">
        <w:r>
          <w:rPr>
            <w:rStyle w:val="Hyperlink"/>
            <w:color w:val="0070C0"/>
          </w:rPr>
          <w:t>Technical Annex</w:t>
        </w:r>
      </w:hyperlink>
      <w:r w:rsidR="00F67BFB">
        <w:t>,</w:t>
      </w:r>
      <w:r>
        <w:t xml:space="preserve"> paragraph </w:t>
      </w:r>
      <w:r w:rsidR="00A3316A">
        <w:t>47</w:t>
      </w:r>
      <w:r>
        <w:t xml:space="preserve">). </w:t>
      </w:r>
    </w:p>
    <w:p w14:paraId="44D3926C" w14:textId="77777777" w:rsidR="00026E66" w:rsidRDefault="002737EF" w:rsidP="00FF0098">
      <w:pPr>
        <w:pStyle w:val="Heading3"/>
        <w:tabs>
          <w:tab w:val="left" w:pos="0"/>
        </w:tabs>
      </w:pPr>
      <w:r>
        <w:t xml:space="preserve">3.2.3. Electricity generated from recovered heat </w:t>
      </w:r>
    </w:p>
    <w:p w14:paraId="5E1EE3B3" w14:textId="2194A1C2" w:rsidR="00A10A7D" w:rsidRDefault="002737EF" w:rsidP="00FF0098">
      <w:pPr>
        <w:tabs>
          <w:tab w:val="left" w:pos="0"/>
        </w:tabs>
      </w:pPr>
      <w:r>
        <w:t>Where waste heat is recovered and is used to generate electricity</w:t>
      </w:r>
      <w:r w:rsidR="00074B64">
        <w:t xml:space="preserve"> that is consumed in the </w:t>
      </w:r>
      <w:hyperlink w:anchor="Targetfacility" w:history="1">
        <w:r w:rsidR="00074B64" w:rsidRPr="00B52757">
          <w:rPr>
            <w:rStyle w:val="Hyperlink"/>
          </w:rPr>
          <w:t>target facility</w:t>
        </w:r>
      </w:hyperlink>
      <w:r>
        <w:t>, consumption of that electricity is not counted in the eligible facility's energy consumption (</w:t>
      </w:r>
      <w:hyperlink r:id="rId39" w:history="1">
        <w:r>
          <w:rPr>
            <w:rStyle w:val="Hyperlink"/>
            <w:color w:val="0070C0"/>
          </w:rPr>
          <w:t>Technical Annex</w:t>
        </w:r>
      </w:hyperlink>
      <w:r>
        <w:t xml:space="preserve">, paragraph </w:t>
      </w:r>
      <w:r w:rsidR="00A3316A">
        <w:t>48</w:t>
      </w:r>
      <w:r>
        <w:t>).</w:t>
      </w:r>
    </w:p>
    <w:p w14:paraId="6FCDE694" w14:textId="77777777" w:rsidR="00026E66" w:rsidRDefault="002737EF" w:rsidP="00FF0098">
      <w:pPr>
        <w:pStyle w:val="Heading2"/>
        <w:tabs>
          <w:tab w:val="left" w:pos="0"/>
        </w:tabs>
      </w:pPr>
      <w:bookmarkStart w:id="43" w:name="_3.3._Defining_and"/>
      <w:bookmarkStart w:id="44" w:name="_Toc94718635"/>
      <w:bookmarkStart w:id="45" w:name="_Toc94088883"/>
      <w:bookmarkStart w:id="46" w:name="_Toc242885362"/>
      <w:bookmarkEnd w:id="43"/>
      <w:r>
        <w:t>3.3. Defining and calculating the energy consumption of the eligible facility and target facility on a site</w:t>
      </w:r>
      <w:bookmarkEnd w:id="44"/>
      <w:bookmarkEnd w:id="45"/>
      <w:bookmarkEnd w:id="46"/>
      <w:r>
        <w:t xml:space="preserve"> </w:t>
      </w:r>
    </w:p>
    <w:p w14:paraId="4913B67F" w14:textId="64A7066D" w:rsidR="00026E66" w:rsidRDefault="002737EF" w:rsidP="00FF0098">
      <w:pPr>
        <w:tabs>
          <w:tab w:val="left" w:pos="0"/>
        </w:tabs>
      </w:pPr>
      <w:r>
        <w:t xml:space="preserve">Before working through this section, please make sure you have read and understood </w:t>
      </w:r>
      <w:hyperlink w:anchor="_3.1._How_to" w:history="1">
        <w:r>
          <w:rPr>
            <w:rStyle w:val="Hyperlink"/>
          </w:rPr>
          <w:t>section 3.1</w:t>
        </w:r>
      </w:hyperlink>
      <w:r>
        <w:t xml:space="preserve"> and </w:t>
      </w:r>
      <w:hyperlink w:anchor="_3.2._What_energy" w:history="1">
        <w:r>
          <w:rPr>
            <w:rStyle w:val="Hyperlink"/>
          </w:rPr>
          <w:t>section 3.2</w:t>
        </w:r>
      </w:hyperlink>
      <w:r>
        <w:t>. This is so you can correctly account for a site's energy consumption and thus correctly define and calculate the energy consumption of the eligible facility and the target facility.</w:t>
      </w:r>
    </w:p>
    <w:p w14:paraId="144D145C" w14:textId="43F68C36" w:rsidR="00026E66" w:rsidRDefault="002737EF" w:rsidP="00FF0098">
      <w:pPr>
        <w:tabs>
          <w:tab w:val="left" w:pos="0"/>
        </w:tabs>
      </w:pPr>
      <w:r>
        <w:t xml:space="preserve">Defining and calculating energy for a site's CCA involves </w:t>
      </w:r>
      <w:r w:rsidR="66670303">
        <w:t>5</w:t>
      </w:r>
      <w:r>
        <w:t xml:space="preserve"> steps:</w:t>
      </w:r>
    </w:p>
    <w:p w14:paraId="6C12C850" w14:textId="1C13B092" w:rsidR="00026E66" w:rsidRDefault="002737EF" w:rsidP="0065356B">
      <w:pPr>
        <w:pStyle w:val="ListParagraph"/>
        <w:numPr>
          <w:ilvl w:val="0"/>
          <w:numId w:val="30"/>
        </w:numPr>
        <w:tabs>
          <w:tab w:val="left" w:pos="0"/>
        </w:tabs>
      </w:pPr>
      <w:r>
        <w:t>Define the site boundary (</w:t>
      </w:r>
      <w:hyperlink w:anchor="_3.3.1._Step_1:" w:history="1">
        <w:r>
          <w:rPr>
            <w:rStyle w:val="Hyperlink"/>
          </w:rPr>
          <w:t>3.3.1</w:t>
        </w:r>
      </w:hyperlink>
      <w:r>
        <w:t>)</w:t>
      </w:r>
      <w:r w:rsidR="00E756B7">
        <w:t>.</w:t>
      </w:r>
    </w:p>
    <w:p w14:paraId="279B9C6D" w14:textId="3A698C3C" w:rsidR="00026E66" w:rsidRDefault="002737EF" w:rsidP="0065356B">
      <w:pPr>
        <w:pStyle w:val="ListParagraph"/>
        <w:numPr>
          <w:ilvl w:val="0"/>
          <w:numId w:val="30"/>
        </w:numPr>
        <w:tabs>
          <w:tab w:val="left" w:pos="0"/>
        </w:tabs>
      </w:pPr>
      <w:r>
        <w:t>Calculate energy consumed by different categories of activity (</w:t>
      </w:r>
      <w:hyperlink w:anchor="_3.3.2._Step_2:" w:history="1">
        <w:r>
          <w:rPr>
            <w:rStyle w:val="Hyperlink"/>
          </w:rPr>
          <w:t>3.3.2</w:t>
        </w:r>
      </w:hyperlink>
      <w:r>
        <w:t>)</w:t>
      </w:r>
      <w:r w:rsidR="00E756B7">
        <w:t>.</w:t>
      </w:r>
    </w:p>
    <w:p w14:paraId="17CCC2B7" w14:textId="6A53A740" w:rsidR="00026E66" w:rsidRDefault="002737EF" w:rsidP="0065356B">
      <w:pPr>
        <w:pStyle w:val="ListParagraph"/>
        <w:numPr>
          <w:ilvl w:val="0"/>
          <w:numId w:val="30"/>
        </w:numPr>
        <w:tabs>
          <w:tab w:val="left" w:pos="0"/>
        </w:tabs>
      </w:pPr>
      <w:r>
        <w:t xml:space="preserve">Apply the </w:t>
      </w:r>
      <w:hyperlink w:anchor="seventypercentrule" w:history="1">
        <w:r w:rsidRPr="00357E7B">
          <w:rPr>
            <w:rStyle w:val="Hyperlink"/>
          </w:rPr>
          <w:t>70% rule</w:t>
        </w:r>
      </w:hyperlink>
      <w:r>
        <w:t xml:space="preserve"> (</w:t>
      </w:r>
      <w:hyperlink w:anchor="_3.3.3._Step_3:" w:history="1">
        <w:r>
          <w:rPr>
            <w:rStyle w:val="Hyperlink"/>
          </w:rPr>
          <w:t>3.3.3</w:t>
        </w:r>
      </w:hyperlink>
      <w:r>
        <w:t>)</w:t>
      </w:r>
      <w:r w:rsidR="00E756B7">
        <w:t>.</w:t>
      </w:r>
    </w:p>
    <w:p w14:paraId="2556940A" w14:textId="22014179" w:rsidR="00026E66" w:rsidRDefault="002737EF" w:rsidP="0065356B">
      <w:pPr>
        <w:pStyle w:val="ListParagraph"/>
        <w:numPr>
          <w:ilvl w:val="0"/>
          <w:numId w:val="30"/>
        </w:numPr>
        <w:tabs>
          <w:tab w:val="left" w:pos="0"/>
        </w:tabs>
      </w:pPr>
      <w:r>
        <w:t>Define the target and eligible facility (</w:t>
      </w:r>
      <w:hyperlink w:anchor="_3.3.4._Step_4:" w:history="1">
        <w:r>
          <w:rPr>
            <w:rStyle w:val="Hyperlink"/>
          </w:rPr>
          <w:t>3.3.4</w:t>
        </w:r>
      </w:hyperlink>
      <w:r>
        <w:t xml:space="preserve">) – including crossovers with the </w:t>
      </w:r>
      <w:hyperlink w:anchor="UKETS" w:history="1">
        <w:r w:rsidRPr="00030D52">
          <w:rPr>
            <w:rStyle w:val="Hyperlink"/>
          </w:rPr>
          <w:t>UK ETS</w:t>
        </w:r>
      </w:hyperlink>
      <w:r w:rsidR="00E756B7">
        <w:t>.</w:t>
      </w:r>
    </w:p>
    <w:p w14:paraId="358DA1E0" w14:textId="6774B8A1" w:rsidR="00026E66" w:rsidRDefault="002737EF" w:rsidP="0065356B">
      <w:pPr>
        <w:pStyle w:val="ListParagraph"/>
        <w:numPr>
          <w:ilvl w:val="0"/>
          <w:numId w:val="30"/>
        </w:numPr>
        <w:tabs>
          <w:tab w:val="left" w:pos="0"/>
        </w:tabs>
      </w:pPr>
      <w:r>
        <w:t xml:space="preserve">Calculate </w:t>
      </w:r>
      <w:hyperlink w:anchor="baseyear" w:history="1">
        <w:r w:rsidRPr="002D6B64">
          <w:rPr>
            <w:rStyle w:val="Hyperlink"/>
          </w:rPr>
          <w:t>base year</w:t>
        </w:r>
      </w:hyperlink>
      <w:r>
        <w:t xml:space="preserve"> performance (</w:t>
      </w:r>
      <w:hyperlink w:anchor="_3.3.5_Step_5:" w:history="1">
        <w:r>
          <w:rPr>
            <w:rStyle w:val="Hyperlink"/>
          </w:rPr>
          <w:t>3.3.5</w:t>
        </w:r>
      </w:hyperlink>
      <w:r>
        <w:t>)</w:t>
      </w:r>
      <w:r w:rsidR="00E756B7">
        <w:t>.</w:t>
      </w:r>
    </w:p>
    <w:p w14:paraId="1587E55F" w14:textId="77777777" w:rsidR="00026E66" w:rsidRDefault="002737EF" w:rsidP="00FF0098">
      <w:pPr>
        <w:pStyle w:val="Heading3"/>
        <w:tabs>
          <w:tab w:val="left" w:pos="0"/>
        </w:tabs>
      </w:pPr>
      <w:bookmarkStart w:id="47" w:name="_3.3.1._Step_1:"/>
      <w:bookmarkEnd w:id="47"/>
      <w:r>
        <w:t xml:space="preserve">3.3.1. Step 1: Define the site </w:t>
      </w:r>
    </w:p>
    <w:p w14:paraId="19771C92" w14:textId="77777777" w:rsidR="00026E66" w:rsidRDefault="002737EF" w:rsidP="00FF0098">
      <w:pPr>
        <w:tabs>
          <w:tab w:val="left" w:pos="0"/>
        </w:tabs>
      </w:pPr>
      <w:r>
        <w:t xml:space="preserve">Annex B of the </w:t>
      </w:r>
      <w:hyperlink r:id="rId40" w:history="1">
        <w:r>
          <w:rPr>
            <w:rStyle w:val="Hyperlink"/>
            <w:color w:val="0070C0"/>
          </w:rPr>
          <w:t>Technical Annex</w:t>
        </w:r>
      </w:hyperlink>
      <w:r>
        <w:t xml:space="preserve"> defines a site as:</w:t>
      </w:r>
    </w:p>
    <w:p w14:paraId="098FC337" w14:textId="0E33646A" w:rsidR="00026E66" w:rsidRDefault="002737EF" w:rsidP="00114E0E">
      <w:pPr>
        <w:tabs>
          <w:tab w:val="left" w:pos="0"/>
        </w:tabs>
        <w:ind w:left="720"/>
      </w:pPr>
      <w:r>
        <w:t xml:space="preserve">“A site is an area of land falling within a continuous boundary which encloses the land used in connection with the operation of the installation. For this purpose, however, an area of land can still be regarded as a single site even if it is dissected </w:t>
      </w:r>
      <w:r>
        <w:lastRenderedPageBreak/>
        <w:t>by a road, railway line or river. Other non-contiguous parcels of land would not, however, constitute a single site.”</w:t>
      </w:r>
    </w:p>
    <w:p w14:paraId="6B40D4F8" w14:textId="5043856E" w:rsidR="00026E66" w:rsidRDefault="002737EF" w:rsidP="00FF0098">
      <w:pPr>
        <w:pStyle w:val="Heading3"/>
        <w:tabs>
          <w:tab w:val="left" w:pos="0"/>
        </w:tabs>
      </w:pPr>
      <w:bookmarkStart w:id="48" w:name="_3.3.2._Step_2:"/>
      <w:bookmarkEnd w:id="48"/>
      <w:r>
        <w:t>3.3.2. Step 2: Calculate energy consumed by different categories of activity</w:t>
      </w:r>
      <w:r w:rsidR="00FC355D">
        <w:t xml:space="preserve"> </w:t>
      </w:r>
    </w:p>
    <w:p w14:paraId="31370C94" w14:textId="586830E2" w:rsidR="00026E66" w:rsidRDefault="002737EF" w:rsidP="00FF0098">
      <w:pPr>
        <w:tabs>
          <w:tab w:val="left" w:pos="0"/>
        </w:tabs>
      </w:pPr>
      <w:r>
        <w:t xml:space="preserve">Activities on the site should be divided into </w:t>
      </w:r>
      <w:r w:rsidR="00D75ED2">
        <w:t xml:space="preserve">one of </w:t>
      </w:r>
      <w:r w:rsidR="66670303">
        <w:t>3</w:t>
      </w:r>
      <w:r>
        <w:t xml:space="preserve"> categories in terms of </w:t>
      </w:r>
      <w:r w:rsidR="00D75ED2">
        <w:t xml:space="preserve">the activities consuming </w:t>
      </w:r>
      <w:r>
        <w:t xml:space="preserve">energy. Energy should be calculated and divided based on the site’s </w:t>
      </w:r>
      <w:hyperlink w:anchor="Primaryenergy" w:history="1">
        <w:r w:rsidRPr="002A7013">
          <w:rPr>
            <w:rStyle w:val="Hyperlink"/>
          </w:rPr>
          <w:t>primary energy</w:t>
        </w:r>
      </w:hyperlink>
      <w:r>
        <w:t xml:space="preserve"> consumption (see </w:t>
      </w:r>
      <w:hyperlink w:anchor="_3.1._How_to" w:history="1">
        <w:r>
          <w:rPr>
            <w:rStyle w:val="Hyperlink"/>
          </w:rPr>
          <w:t>section 3.1</w:t>
        </w:r>
      </w:hyperlink>
      <w:r>
        <w:t xml:space="preserve">). The </w:t>
      </w:r>
      <w:r w:rsidR="66670303">
        <w:t>3</w:t>
      </w:r>
      <w:r>
        <w:t xml:space="preserve"> categories are: </w:t>
      </w:r>
    </w:p>
    <w:p w14:paraId="27EA658E" w14:textId="6FDAAC41" w:rsidR="00026E66" w:rsidRDefault="002737EF" w:rsidP="0065356B">
      <w:pPr>
        <w:pStyle w:val="ListParagraph"/>
        <w:numPr>
          <w:ilvl w:val="0"/>
          <w:numId w:val="31"/>
        </w:numPr>
        <w:tabs>
          <w:tab w:val="left" w:pos="0"/>
        </w:tabs>
      </w:pPr>
      <w:r w:rsidRPr="00E955A3">
        <w:rPr>
          <w:b/>
        </w:rPr>
        <w:t>Stationary technical unit (</w:t>
      </w:r>
      <w:hyperlink w:anchor="STU" w:history="1">
        <w:r w:rsidRPr="00E110F4">
          <w:rPr>
            <w:rStyle w:val="Hyperlink"/>
            <w:b/>
          </w:rPr>
          <w:t>STU</w:t>
        </w:r>
      </w:hyperlink>
      <w:r w:rsidRPr="00E955A3">
        <w:rPr>
          <w:b/>
        </w:rPr>
        <w:t xml:space="preserve">) </w:t>
      </w:r>
      <w:r>
        <w:t xml:space="preserve">– the </w:t>
      </w:r>
      <w:r w:rsidR="00EB7D70">
        <w:t xml:space="preserve">part of a site where </w:t>
      </w:r>
      <w:r>
        <w:t xml:space="preserve">eligible </w:t>
      </w:r>
      <w:r w:rsidR="00EB7D70">
        <w:t>activities are carried out</w:t>
      </w:r>
    </w:p>
    <w:p w14:paraId="6646BF9E" w14:textId="005197E3" w:rsidR="00026E66" w:rsidRDefault="002737EF" w:rsidP="0065356B">
      <w:pPr>
        <w:pStyle w:val="ListParagraph"/>
        <w:numPr>
          <w:ilvl w:val="0"/>
          <w:numId w:val="31"/>
        </w:numPr>
        <w:tabs>
          <w:tab w:val="left" w:pos="0"/>
        </w:tabs>
      </w:pPr>
      <w:r w:rsidRPr="00E955A3">
        <w:rPr>
          <w:b/>
        </w:rPr>
        <w:t>Directly associated activities (</w:t>
      </w:r>
      <w:hyperlink w:anchor="DAA" w:history="1">
        <w:r w:rsidRPr="009747BB">
          <w:rPr>
            <w:rStyle w:val="Hyperlink"/>
            <w:b/>
          </w:rPr>
          <w:t>DAAs</w:t>
        </w:r>
      </w:hyperlink>
      <w:r w:rsidRPr="00E955A3">
        <w:rPr>
          <w:b/>
        </w:rPr>
        <w:t xml:space="preserve">) </w:t>
      </w:r>
      <w:r>
        <w:t xml:space="preserve">– </w:t>
      </w:r>
      <w:r w:rsidR="006168D5">
        <w:t xml:space="preserve">the parts of the same </w:t>
      </w:r>
      <w:r>
        <w:t>which ha</w:t>
      </w:r>
      <w:r w:rsidR="006168D5">
        <w:t>ve</w:t>
      </w:r>
      <w:r>
        <w:t xml:space="preserve"> a technical connection with the </w:t>
      </w:r>
      <w:r w:rsidR="006168D5">
        <w:t xml:space="preserve">eligible </w:t>
      </w:r>
      <w:proofErr w:type="gramStart"/>
      <w:r>
        <w:t>activities</w:t>
      </w:r>
      <w:proofErr w:type="gramEnd"/>
      <w:r>
        <w:t xml:space="preserve"> and which could </w:t>
      </w:r>
      <w:proofErr w:type="gramStart"/>
      <w:r>
        <w:t>have an effect on</w:t>
      </w:r>
      <w:proofErr w:type="gramEnd"/>
      <w:r>
        <w:t xml:space="preserve"> emissions</w:t>
      </w:r>
    </w:p>
    <w:p w14:paraId="4331F1BB" w14:textId="4F9FBB49" w:rsidR="00026E66" w:rsidRDefault="0088700C" w:rsidP="0065356B">
      <w:pPr>
        <w:pStyle w:val="ListParagraph"/>
        <w:numPr>
          <w:ilvl w:val="0"/>
          <w:numId w:val="31"/>
        </w:numPr>
        <w:tabs>
          <w:tab w:val="left" w:pos="0"/>
        </w:tabs>
      </w:pPr>
      <w:r>
        <w:rPr>
          <w:b/>
        </w:rPr>
        <w:t xml:space="preserve">Ineligible </w:t>
      </w:r>
      <w:r w:rsidR="002737EF" w:rsidRPr="00E955A3">
        <w:rPr>
          <w:b/>
        </w:rPr>
        <w:t xml:space="preserve">activities </w:t>
      </w:r>
      <w:r w:rsidR="002737EF">
        <w:t>– energy consumed within the site boundary that is not related to either the STU or any DAA</w:t>
      </w:r>
    </w:p>
    <w:p w14:paraId="6E136AE6" w14:textId="7DF5F466" w:rsidR="00026E66" w:rsidRDefault="002737EF" w:rsidP="00FF0098">
      <w:pPr>
        <w:tabs>
          <w:tab w:val="left" w:pos="0"/>
        </w:tabs>
      </w:pPr>
      <w:r>
        <w:t xml:space="preserve">The STU and DAAs combined form the </w:t>
      </w:r>
      <w:hyperlink w:anchor="installation" w:history="1">
        <w:r w:rsidRPr="004C5E68">
          <w:rPr>
            <w:rStyle w:val="Hyperlink"/>
            <w:b/>
            <w:bCs/>
          </w:rPr>
          <w:t>installation</w:t>
        </w:r>
      </w:hyperlink>
      <w:r>
        <w:t>. It must include all eligible stationary plant.</w:t>
      </w:r>
    </w:p>
    <w:p w14:paraId="79F8DCD5" w14:textId="77777777" w:rsidR="00026E66" w:rsidRDefault="002737EF" w:rsidP="00FF0098">
      <w:pPr>
        <w:tabs>
          <w:tab w:val="left" w:pos="0"/>
        </w:tabs>
      </w:pPr>
      <w:r>
        <w:t>Activities that are directly associated with the eligible process (STU), and on the same site as the STU, must be included in the installation and the energy consumed in such plant must, therefore, be reported.</w:t>
      </w:r>
    </w:p>
    <w:p w14:paraId="5B3CCB24" w14:textId="06ACDAA6" w:rsidR="00026E66" w:rsidRDefault="002737EF" w:rsidP="00FF0098">
      <w:pPr>
        <w:tabs>
          <w:tab w:val="left" w:pos="0"/>
        </w:tabs>
      </w:pPr>
      <w:r>
        <w:t>Where the directly associated activity is performed by non-stationary plant, such as on-site fork-lift trucks and other vehicles, the operator may opt to include or exclude it from the installation and, therefore, the eligible facility (</w:t>
      </w:r>
      <w:r w:rsidR="00EF26A2">
        <w:t>s</w:t>
      </w:r>
      <w:r>
        <w:t xml:space="preserve">ee </w:t>
      </w:r>
      <w:hyperlink w:anchor="_3.1.10._Accounting_for" w:history="1">
        <w:r>
          <w:rPr>
            <w:rStyle w:val="Hyperlink"/>
          </w:rPr>
          <w:t>Section 3.1.10</w:t>
        </w:r>
      </w:hyperlink>
      <w:r>
        <w:t xml:space="preserve">). We apply this principle to all new entrants and variations. </w:t>
      </w:r>
    </w:p>
    <w:p w14:paraId="464A1658" w14:textId="4AAFB649" w:rsidR="00026E66" w:rsidRDefault="002737EF" w:rsidP="00FC355D">
      <w:r>
        <w:t xml:space="preserve">A full definition of an installation in the CCA scheme is given in </w:t>
      </w:r>
      <w:hyperlink w:anchor="_Appendix_E:_Definition" w:history="1">
        <w:r w:rsidR="00437D0A" w:rsidRPr="00EE2E4A">
          <w:rPr>
            <w:rStyle w:val="Hyperlink"/>
          </w:rPr>
          <w:t xml:space="preserve">Appendix </w:t>
        </w:r>
        <w:r w:rsidR="00EE2E4A" w:rsidRPr="00EE2E4A">
          <w:rPr>
            <w:rStyle w:val="Hyperlink"/>
          </w:rPr>
          <w:t>E</w:t>
        </w:r>
      </w:hyperlink>
      <w:r>
        <w:t xml:space="preserve">. </w:t>
      </w:r>
    </w:p>
    <w:p w14:paraId="234807E3" w14:textId="5CE6C7E2" w:rsidR="00026E66" w:rsidRDefault="002737EF" w:rsidP="00FC355D">
      <w:r>
        <w:t>An installation's boundary is a continuous line encompassing all STUs and DAAs. This continuous boundary must encompass all physically connected areas of land that are under the same ownership or occupancy (in terms of legal entity) as the area where the eligible process is carried out. Any connected areas must be areas of land separated only by a road, railway line or river (or similar physical feature).</w:t>
      </w:r>
      <w:r w:rsidR="00FC355D">
        <w:t xml:space="preserve"> </w:t>
      </w:r>
      <w:r>
        <w:t>Areas used as domestic dwelling that are separately metered must be excluded from a site boundary.</w:t>
      </w:r>
      <w:r w:rsidR="00FC355D">
        <w:t xml:space="preserve"> </w:t>
      </w:r>
      <w:r>
        <w:t xml:space="preserve">The site boundary cannot be </w:t>
      </w:r>
      <w:r w:rsidR="008C0200">
        <w:t xml:space="preserve">changed </w:t>
      </w:r>
      <w:r>
        <w:t xml:space="preserve">during the agreement to enable </w:t>
      </w:r>
      <w:hyperlink w:anchor="Eligibleprocess" w:history="1">
        <w:r w:rsidRPr="00DB1221">
          <w:rPr>
            <w:rStyle w:val="Hyperlink"/>
          </w:rPr>
          <w:t>eligible processes</w:t>
        </w:r>
      </w:hyperlink>
      <w:r>
        <w:t xml:space="preserve"> or DAAs, which still operate and were originally included in the eligible facility, to be excluded from the eligible facility. </w:t>
      </w:r>
    </w:p>
    <w:p w14:paraId="1D6341BF" w14:textId="3615BDA3" w:rsidR="00026E66" w:rsidRDefault="002737EF" w:rsidP="00FC355D">
      <w:r>
        <w:t>Technically connected DAAs that are not on the same site (</w:t>
      </w:r>
      <w:r w:rsidRPr="005A4AE8">
        <w:rPr>
          <w:u w:color="0077B9"/>
        </w:rPr>
        <w:t xml:space="preserve">as defined in </w:t>
      </w:r>
      <w:hyperlink w:anchor="_3.3.1._Step_1:" w:history="1">
        <w:r>
          <w:rPr>
            <w:rStyle w:val="Hyperlink"/>
          </w:rPr>
          <w:t>section 3.3.1</w:t>
        </w:r>
      </w:hyperlink>
      <w:r>
        <w:t>)</w:t>
      </w:r>
      <w:r w:rsidRPr="005A4AE8">
        <w:rPr>
          <w:u w:color="0077B9"/>
        </w:rPr>
        <w:t xml:space="preserve"> </w:t>
      </w:r>
      <w:r>
        <w:t xml:space="preserve">should be excluded from the installation. </w:t>
      </w:r>
      <w:r w:rsidR="00F63929">
        <w:t>If the facility includes</w:t>
      </w:r>
      <w:r>
        <w:t xml:space="preserve"> offsite DAAs</w:t>
      </w:r>
      <w:r w:rsidR="00F63929">
        <w:t>, the operator</w:t>
      </w:r>
      <w:r w:rsidR="005672F8">
        <w:t xml:space="preserve"> </w:t>
      </w:r>
      <w:r w:rsidR="005672F8">
        <w:lastRenderedPageBreak/>
        <w:t>will need to</w:t>
      </w:r>
      <w:r>
        <w:t xml:space="preserve"> revise their </w:t>
      </w:r>
      <w:hyperlink w:anchor="baseyear" w:history="1">
        <w:r w:rsidRPr="002D6B64">
          <w:rPr>
            <w:rStyle w:val="Hyperlink"/>
          </w:rPr>
          <w:t>base year</w:t>
        </w:r>
      </w:hyperlink>
      <w:r>
        <w:t xml:space="preserve"> data and eligibility </w:t>
      </w:r>
      <w:r w:rsidR="005672F8">
        <w:t>calculations to exclude these activities</w:t>
      </w:r>
      <w:r>
        <w:t>.</w:t>
      </w:r>
      <w:r w:rsidR="00FC355D">
        <w:t xml:space="preserve"> </w:t>
      </w:r>
      <w:r>
        <w:t>DAAs not within the site</w:t>
      </w:r>
      <w:r w:rsidR="00966509">
        <w:t xml:space="preserve"> that </w:t>
      </w:r>
      <w:r>
        <w:t xml:space="preserve">consume primary energy and generate secondary energy (electricity and heat) which is subsequently consumed by energy consuming plant within the site boundary, </w:t>
      </w:r>
      <w:r w:rsidR="001A6FEF">
        <w:t xml:space="preserve">must </w:t>
      </w:r>
      <w:r>
        <w:t xml:space="preserve">be included within the installation boundary. </w:t>
      </w:r>
    </w:p>
    <w:p w14:paraId="03DDEB4C" w14:textId="77777777" w:rsidR="00026E66" w:rsidRDefault="002737EF" w:rsidP="00FC355D">
      <w:r>
        <w:t xml:space="preserve">Where a site includes a building that has multiple floors with different operators, the installation's parts may be physically separated by spaces operated by other operators, while still being on the same site. This means that the facility can be defined in terms of a series of vertically separate, 2-dimensional boundaries which, collectively, encompass all areas that use energy for the eligible process and DAAs. </w:t>
      </w:r>
    </w:p>
    <w:p w14:paraId="73986AD8" w14:textId="1AFDF695" w:rsidR="00026E66" w:rsidRDefault="002737EF" w:rsidP="00FC355D">
      <w:r>
        <w:t xml:space="preserve">See </w:t>
      </w:r>
      <w:hyperlink w:anchor="_3.1._How_to" w:history="1">
        <w:r>
          <w:rPr>
            <w:rStyle w:val="Hyperlink"/>
          </w:rPr>
          <w:t>section 3.1</w:t>
        </w:r>
      </w:hyperlink>
      <w:r>
        <w:t xml:space="preserve"> for what energy can be counted within the CCA scheme and </w:t>
      </w:r>
      <w:hyperlink w:anchor="_3.2._What_energy" w:history="1">
        <w:r>
          <w:rPr>
            <w:rStyle w:val="Hyperlink"/>
          </w:rPr>
          <w:t>section 3.2</w:t>
        </w:r>
      </w:hyperlink>
      <w:r>
        <w:rPr>
          <w:u w:val="single" w:color="0077B9"/>
        </w:rPr>
        <w:t xml:space="preserve"> </w:t>
      </w:r>
      <w:r>
        <w:t xml:space="preserve">for what energy should not be counted within the scheme. All types of energy listed in </w:t>
      </w:r>
      <w:hyperlink w:anchor="_3.1._How_to" w:history="1">
        <w:r w:rsidRPr="005D3C02">
          <w:rPr>
            <w:rStyle w:val="Hyperlink"/>
          </w:rPr>
          <w:t>section 3.1</w:t>
        </w:r>
      </w:hyperlink>
      <w:r>
        <w:t xml:space="preserve"> must be included when determining the energy consumed in each category, including fuel consumed in an </w:t>
      </w:r>
      <w:hyperlink w:anchor="Schedule2" w:history="1">
        <w:r w:rsidR="00317F2C" w:rsidRPr="00A14E66">
          <w:rPr>
            <w:rStyle w:val="Hyperlink"/>
          </w:rPr>
          <w:t>Schedule 2</w:t>
        </w:r>
        <w:r w:rsidRPr="00A14E66">
          <w:rPr>
            <w:rStyle w:val="Hyperlink"/>
          </w:rPr>
          <w:t xml:space="preserve"> activity</w:t>
        </w:r>
      </w:hyperlink>
      <w:r>
        <w:t xml:space="preserve">. </w:t>
      </w:r>
    </w:p>
    <w:p w14:paraId="3947CF10" w14:textId="6D795B12" w:rsidR="00026E66" w:rsidRDefault="002737EF" w:rsidP="00FF0098">
      <w:pPr>
        <w:tabs>
          <w:tab w:val="left" w:pos="0"/>
        </w:tabs>
      </w:pPr>
      <w:r>
        <w:t>The Climate Change Agreements (Eligible Facilities) Regulations 2012 (as amended)</w:t>
      </w:r>
      <w:r w:rsidR="004874DE">
        <w:t xml:space="preserve">, and referred to </w:t>
      </w:r>
      <w:r w:rsidR="002140DB">
        <w:t>going forward</w:t>
      </w:r>
      <w:r w:rsidR="004874DE">
        <w:t xml:space="preserve"> </w:t>
      </w:r>
      <w:r w:rsidR="002140DB">
        <w:t xml:space="preserve">as the Eligible Facilities Regulations, </w:t>
      </w:r>
      <w:r>
        <w:t xml:space="preserve">require that reckonable energy from the following sources consumed in the CCA installation during the previous 12 months must be used to determine the intended supply or use in the following 12-month period: </w:t>
      </w:r>
    </w:p>
    <w:p w14:paraId="12DF768D" w14:textId="77777777" w:rsidR="00026E66" w:rsidRDefault="002737EF" w:rsidP="0065356B">
      <w:pPr>
        <w:pStyle w:val="ListParagraph"/>
        <w:numPr>
          <w:ilvl w:val="0"/>
          <w:numId w:val="32"/>
        </w:numPr>
        <w:tabs>
          <w:tab w:val="left" w:pos="0"/>
        </w:tabs>
      </w:pPr>
      <w:r>
        <w:t xml:space="preserve">energy obtained from the burning or using of relevant commodities in the installation or parts of installations on the site </w:t>
      </w:r>
    </w:p>
    <w:p w14:paraId="21D3BB9E" w14:textId="77777777" w:rsidR="00026E66" w:rsidRDefault="002737EF" w:rsidP="0065356B">
      <w:pPr>
        <w:pStyle w:val="ListParagraph"/>
        <w:numPr>
          <w:ilvl w:val="0"/>
          <w:numId w:val="32"/>
        </w:numPr>
        <w:tabs>
          <w:tab w:val="left" w:pos="0"/>
        </w:tabs>
      </w:pPr>
      <w:r>
        <w:t xml:space="preserve">electrical energy supplied to the installation, installations or parts of the installations on the site </w:t>
      </w:r>
    </w:p>
    <w:p w14:paraId="52D15F4F" w14:textId="77777777" w:rsidR="00026E66" w:rsidRDefault="002737EF" w:rsidP="0065356B">
      <w:pPr>
        <w:pStyle w:val="ListParagraph"/>
        <w:numPr>
          <w:ilvl w:val="0"/>
          <w:numId w:val="32"/>
        </w:numPr>
        <w:tabs>
          <w:tab w:val="left" w:pos="0"/>
        </w:tabs>
      </w:pPr>
      <w:r>
        <w:t xml:space="preserve">energy in cooling supplies </w:t>
      </w:r>
    </w:p>
    <w:p w14:paraId="45423B68" w14:textId="77777777" w:rsidR="00026E66" w:rsidRDefault="002737EF" w:rsidP="0065356B">
      <w:pPr>
        <w:pStyle w:val="ListParagraph"/>
        <w:numPr>
          <w:ilvl w:val="0"/>
          <w:numId w:val="32"/>
        </w:numPr>
        <w:tabs>
          <w:tab w:val="left" w:pos="0"/>
        </w:tabs>
      </w:pPr>
      <w:r>
        <w:t xml:space="preserve">energy in supplies of steam </w:t>
      </w:r>
    </w:p>
    <w:p w14:paraId="18EDD93A" w14:textId="3A0A27C8" w:rsidR="00026E66" w:rsidRDefault="002737EF" w:rsidP="00FF0098">
      <w:pPr>
        <w:tabs>
          <w:tab w:val="left" w:pos="0"/>
        </w:tabs>
      </w:pPr>
      <w:r>
        <w:t xml:space="preserve">Continuous monitoring of data on the amounts of these energy sources is </w:t>
      </w:r>
      <w:r w:rsidR="003B5DC8">
        <w:t xml:space="preserve">needed </w:t>
      </w:r>
      <w:r>
        <w:t>to demonstrate eligibility.</w:t>
      </w:r>
    </w:p>
    <w:p w14:paraId="77B354BE" w14:textId="553AE386" w:rsidR="00026E66" w:rsidRDefault="002737EF" w:rsidP="00FF0098">
      <w:pPr>
        <w:tabs>
          <w:tab w:val="left" w:pos="0"/>
        </w:tabs>
      </w:pPr>
      <w:r>
        <w:t xml:space="preserve">By the end of step 2, the energy consumed on a site should be divided between the STU, DAAs and </w:t>
      </w:r>
      <w:r w:rsidR="003B5DC8">
        <w:t>ineligible</w:t>
      </w:r>
      <w:r>
        <w:t xml:space="preserve"> energy. It is important to document the division as this information will be required as part of the application process</w:t>
      </w:r>
      <w:r w:rsidR="00BF31E2">
        <w:t xml:space="preserve"> and may be assessed during a</w:t>
      </w:r>
      <w:r w:rsidR="003B5DC8">
        <w:t>n</w:t>
      </w:r>
      <w:r w:rsidR="00BF31E2">
        <w:t xml:space="preserve"> audit (see </w:t>
      </w:r>
      <w:hyperlink w:anchor="_9._Monitoring_compliance" w:history="1">
        <w:r w:rsidR="00BF31E2" w:rsidRPr="00BF31E2">
          <w:rPr>
            <w:rStyle w:val="Hyperlink"/>
          </w:rPr>
          <w:t>Section 9</w:t>
        </w:r>
      </w:hyperlink>
      <w:r w:rsidR="00BF31E2">
        <w:t>)</w:t>
      </w:r>
      <w:r w:rsidR="00C9345C">
        <w:t xml:space="preserve">. </w:t>
      </w:r>
    </w:p>
    <w:p w14:paraId="1D23E5F2" w14:textId="488E3A44" w:rsidR="005F5B1D" w:rsidRDefault="002737EF" w:rsidP="00DA3BA3">
      <w:pPr>
        <w:tabs>
          <w:tab w:val="left" w:pos="0"/>
        </w:tabs>
      </w:pPr>
      <w:r>
        <w:t xml:space="preserve">When </w:t>
      </w:r>
      <w:r w:rsidR="00BF31E2">
        <w:t>compiling</w:t>
      </w:r>
      <w:r>
        <w:t xml:space="preserve"> the site energy consumption which may be covered by a CCA, you </w:t>
      </w:r>
      <w:r w:rsidR="00A7017A">
        <w:t xml:space="preserve">must </w:t>
      </w:r>
      <w:r>
        <w:t>include any fuel consumed within plant carrying out a</w:t>
      </w:r>
      <w:r w:rsidR="0079722D">
        <w:t xml:space="preserve"> </w:t>
      </w:r>
      <w:hyperlink w:anchor="Schedule2" w:history="1">
        <w:r w:rsidR="00317F2C" w:rsidRPr="00A14E66">
          <w:rPr>
            <w:rStyle w:val="Hyperlink"/>
          </w:rPr>
          <w:t xml:space="preserve">Schedule 2 </w:t>
        </w:r>
        <w:r w:rsidRPr="00A14E66">
          <w:rPr>
            <w:rStyle w:val="Hyperlink"/>
          </w:rPr>
          <w:t>activity</w:t>
        </w:r>
      </w:hyperlink>
      <w:r w:rsidR="0027594A">
        <w:t xml:space="preserve"> </w:t>
      </w:r>
      <w:r>
        <w:t xml:space="preserve">as defined in the </w:t>
      </w:r>
      <w:hyperlink r:id="rId41" w:history="1">
        <w:r>
          <w:rPr>
            <w:rStyle w:val="Hyperlink"/>
            <w:color w:val="0070C0"/>
          </w:rPr>
          <w:t>Technical Annex</w:t>
        </w:r>
      </w:hyperlink>
      <w:r w:rsidR="00A7017A">
        <w:t>.</w:t>
      </w:r>
      <w:r w:rsidR="00224ABE">
        <w:t xml:space="preserve"> W</w:t>
      </w:r>
      <w:r>
        <w:t xml:space="preserve">e recommend </w:t>
      </w:r>
      <w:r w:rsidR="00224ABE">
        <w:t xml:space="preserve">that </w:t>
      </w:r>
      <w:r>
        <w:t>this energy is identified distinctly to make step 4 easier</w:t>
      </w:r>
      <w:r w:rsidR="006F613E">
        <w:t xml:space="preserve">. </w:t>
      </w:r>
      <w:r w:rsidR="00742AC8">
        <w:t xml:space="preserve">This may also help </w:t>
      </w:r>
      <w:r w:rsidR="004874DE">
        <w:t>to meet the requirement</w:t>
      </w:r>
      <w:r w:rsidR="006F613E">
        <w:t xml:space="preserve"> to supply</w:t>
      </w:r>
      <w:r w:rsidR="00651871">
        <w:t xml:space="preserve"> </w:t>
      </w:r>
      <w:hyperlink w:anchor="UKETS" w:history="1">
        <w:r w:rsidR="00651871" w:rsidRPr="00A931D4">
          <w:rPr>
            <w:rStyle w:val="Hyperlink"/>
          </w:rPr>
          <w:t>UK ETS</w:t>
        </w:r>
      </w:hyperlink>
      <w:r w:rsidR="00651871">
        <w:t xml:space="preserve"> data </w:t>
      </w:r>
      <w:r w:rsidR="00004774">
        <w:t>alongside</w:t>
      </w:r>
      <w:r w:rsidR="00A81B54">
        <w:t xml:space="preserve"> target period reports</w:t>
      </w:r>
      <w:r w:rsidR="00651871">
        <w:t xml:space="preserve"> for facilities in UK ETS</w:t>
      </w:r>
      <w:r w:rsidR="009376F4">
        <w:t xml:space="preserve"> (see </w:t>
      </w:r>
      <w:hyperlink w:anchor="_11.3_UK_ETS" w:history="1">
        <w:r w:rsidR="009376F4" w:rsidRPr="009376F4">
          <w:rPr>
            <w:rStyle w:val="Hyperlink"/>
          </w:rPr>
          <w:t>Section 11.3</w:t>
        </w:r>
      </w:hyperlink>
      <w:r w:rsidR="009376F4">
        <w:t>)</w:t>
      </w:r>
      <w:r>
        <w:t xml:space="preserve">. </w:t>
      </w:r>
    </w:p>
    <w:p w14:paraId="61A56AD4" w14:textId="6578A863" w:rsidR="00026E66" w:rsidRPr="005A4AE8" w:rsidRDefault="00FF0FFA" w:rsidP="00FF0098">
      <w:pPr>
        <w:pStyle w:val="Heading4"/>
        <w:tabs>
          <w:tab w:val="left" w:pos="0"/>
        </w:tabs>
      </w:pPr>
      <w:r>
        <w:lastRenderedPageBreak/>
        <w:t xml:space="preserve">3.3.2.1. </w:t>
      </w:r>
      <w:r w:rsidR="002737EF" w:rsidRPr="005A4AE8">
        <w:t xml:space="preserve">Where a site has more than one eligible process belonging to more than one sector </w:t>
      </w:r>
    </w:p>
    <w:p w14:paraId="22003ADB" w14:textId="00B2B71D" w:rsidR="00026E66" w:rsidRDefault="002737EF" w:rsidP="00FF0098">
      <w:pPr>
        <w:tabs>
          <w:tab w:val="left" w:pos="0"/>
        </w:tabs>
      </w:pPr>
      <w:r>
        <w:t xml:space="preserve">If </w:t>
      </w:r>
      <w:r w:rsidR="004874DE">
        <w:t xml:space="preserve">eligible </w:t>
      </w:r>
      <w:r>
        <w:t xml:space="preserve">activities on a site span more than one sector, the operator should adopt </w:t>
      </w:r>
      <w:r>
        <w:rPr>
          <w:b/>
        </w:rPr>
        <w:t xml:space="preserve">one </w:t>
      </w:r>
      <w:r>
        <w:t>of the following options:</w:t>
      </w:r>
    </w:p>
    <w:p w14:paraId="7DDEB65A" w14:textId="5CFB0C71" w:rsidR="00026E66" w:rsidRDefault="002737EF" w:rsidP="0065356B">
      <w:pPr>
        <w:pStyle w:val="ListParagraph"/>
        <w:numPr>
          <w:ilvl w:val="0"/>
          <w:numId w:val="33"/>
        </w:numPr>
        <w:tabs>
          <w:tab w:val="left" w:pos="0"/>
        </w:tabs>
      </w:pPr>
      <w:r>
        <w:t xml:space="preserve">apportion the site's energy against each process and apply for an agreement to each relevant </w:t>
      </w:r>
      <w:hyperlink w:anchor="Sectorassociation" w:history="1">
        <w:r w:rsidRPr="007C15D5">
          <w:rPr>
            <w:rStyle w:val="Hyperlink"/>
          </w:rPr>
          <w:t>sector association</w:t>
        </w:r>
      </w:hyperlink>
      <w:r w:rsidR="00FF0FFA">
        <w:t xml:space="preserve"> – </w:t>
      </w:r>
      <w:r w:rsidR="4016FF75">
        <w:t>t</w:t>
      </w:r>
      <w:r w:rsidR="234C8FE5">
        <w:t>his</w:t>
      </w:r>
      <w:r>
        <w:t xml:space="preserve"> option requires adequate metering to be in place to ensure no energy is double counted </w:t>
      </w:r>
    </w:p>
    <w:p w14:paraId="64068FE2" w14:textId="5F5337A4" w:rsidR="00026E66" w:rsidRDefault="002737EF" w:rsidP="0065356B">
      <w:pPr>
        <w:pStyle w:val="ListParagraph"/>
        <w:numPr>
          <w:ilvl w:val="0"/>
          <w:numId w:val="33"/>
        </w:numPr>
        <w:tabs>
          <w:tab w:val="left" w:pos="0"/>
        </w:tabs>
      </w:pPr>
      <w:r>
        <w:t xml:space="preserve">hold one agreement for the largest eligible process and treat the other process as 'other' site energy. This will necessitate the installation of sub-metering where appropriate (see </w:t>
      </w:r>
      <w:hyperlink w:anchor="_3.3.3._Step_3:" w:history="1">
        <w:r>
          <w:rPr>
            <w:rStyle w:val="Hyperlink"/>
          </w:rPr>
          <w:t>section 3.3.3</w:t>
        </w:r>
      </w:hyperlink>
      <w:r w:rsidRPr="00E955A3">
        <w:rPr>
          <w:u w:val="single" w:color="0077B9"/>
        </w:rPr>
        <w:t xml:space="preserve"> </w:t>
      </w:r>
      <w:r>
        <w:t>for more about sub-metering requirements)</w:t>
      </w:r>
      <w:r w:rsidR="00D63570">
        <w:t xml:space="preserve"> –</w:t>
      </w:r>
      <w:r w:rsidDel="00FF0FFA">
        <w:t xml:space="preserve"> o</w:t>
      </w:r>
      <w:r>
        <w:t xml:space="preserve">nly the throughput associated with the largest eligible process should be counted </w:t>
      </w:r>
    </w:p>
    <w:p w14:paraId="6ACAAE3C" w14:textId="77777777" w:rsidR="00026E66" w:rsidRDefault="002737EF" w:rsidP="00FF0098">
      <w:pPr>
        <w:pStyle w:val="Heading3"/>
        <w:tabs>
          <w:tab w:val="left" w:pos="0"/>
        </w:tabs>
      </w:pPr>
      <w:bookmarkStart w:id="49" w:name="_3.3.3._Step_3:"/>
      <w:bookmarkEnd w:id="49"/>
      <w:r>
        <w:t xml:space="preserve">3.3.3. Step 3: Apply the 70% rule </w:t>
      </w:r>
    </w:p>
    <w:p w14:paraId="5FB105BF" w14:textId="77777777" w:rsidR="00B5545B" w:rsidRDefault="002737EF" w:rsidP="00FF0098">
      <w:pPr>
        <w:tabs>
          <w:tab w:val="left" w:pos="0"/>
        </w:tabs>
      </w:pPr>
      <w:r>
        <w:t xml:space="preserve">The aim of this step is to </w:t>
      </w:r>
      <w:r w:rsidR="007763CA">
        <w:t>calculate the proportion of a site’s total energy use that is used by</w:t>
      </w:r>
      <w:r w:rsidR="00905237">
        <w:t xml:space="preserve"> the installation (eligible activities and directly associated activities)</w:t>
      </w:r>
      <w:r>
        <w:t xml:space="preserve">. </w:t>
      </w:r>
      <w:r w:rsidR="00B5545B">
        <w:t xml:space="preserve">We refer to this as the eligible facility.  </w:t>
      </w:r>
    </w:p>
    <w:p w14:paraId="7C8B2B87" w14:textId="2B3C529B" w:rsidR="00026E66" w:rsidRDefault="00B5545B" w:rsidP="00FF0098">
      <w:pPr>
        <w:tabs>
          <w:tab w:val="left" w:pos="0"/>
        </w:tabs>
      </w:pPr>
      <w:r>
        <w:t xml:space="preserve">An </w:t>
      </w:r>
      <w:r w:rsidR="00B303BD">
        <w:t xml:space="preserve">operator </w:t>
      </w:r>
      <w:r>
        <w:t xml:space="preserve">can only </w:t>
      </w:r>
      <w:r w:rsidR="00B303BD">
        <w:t xml:space="preserve">claim the reduced rates of </w:t>
      </w:r>
      <w:hyperlink w:anchor="CCL" w:history="1">
        <w:r w:rsidR="00B303BD" w:rsidRPr="004229BC">
          <w:rPr>
            <w:rStyle w:val="Hyperlink"/>
          </w:rPr>
          <w:t>CCL</w:t>
        </w:r>
      </w:hyperlink>
      <w:r w:rsidR="00B303BD">
        <w:t xml:space="preserve"> for </w:t>
      </w:r>
      <w:r w:rsidR="002737EF">
        <w:t xml:space="preserve">energy </w:t>
      </w:r>
      <w:r>
        <w:t xml:space="preserve">sources </w:t>
      </w:r>
      <w:r w:rsidR="002737EF">
        <w:t xml:space="preserve">consumed in the eligible facility. </w:t>
      </w:r>
      <w:r>
        <w:t>S</w:t>
      </w:r>
      <w:r w:rsidR="002737EF">
        <w:t xml:space="preserve">ome fuels consumed on a site </w:t>
      </w:r>
      <w:r w:rsidR="004874DE">
        <w:t>may</w:t>
      </w:r>
      <w:r w:rsidR="002737EF">
        <w:t xml:space="preserve"> not be liable for the CCL or any discount. Operators should check with HMRC if there is any doubt over this. </w:t>
      </w:r>
    </w:p>
    <w:p w14:paraId="0211E471" w14:textId="2A4C0FE3" w:rsidR="00026E66" w:rsidRDefault="00D63570" w:rsidP="00FF0098">
      <w:pPr>
        <w:pStyle w:val="Heading4"/>
        <w:tabs>
          <w:tab w:val="left" w:pos="0"/>
        </w:tabs>
      </w:pPr>
      <w:r>
        <w:t xml:space="preserve">3.3.3.1. </w:t>
      </w:r>
      <w:r w:rsidR="002737EF">
        <w:t xml:space="preserve">What is the 70% rule? </w:t>
      </w:r>
    </w:p>
    <w:p w14:paraId="0375630D" w14:textId="4E9C3458" w:rsidR="00026E66" w:rsidRDefault="002737EF" w:rsidP="00FF0098">
      <w:pPr>
        <w:tabs>
          <w:tab w:val="left" w:pos="0"/>
        </w:tabs>
      </w:pPr>
      <w:r>
        <w:t xml:space="preserve">The </w:t>
      </w:r>
      <w:hyperlink w:anchor="seventypercentrule" w:history="1">
        <w:r w:rsidRPr="005F044C">
          <w:rPr>
            <w:rStyle w:val="Hyperlink"/>
          </w:rPr>
          <w:t>70% rule</w:t>
        </w:r>
      </w:hyperlink>
      <w:r>
        <w:t xml:space="preserve"> is derived from the Eligible Facilities Regulations. The basic principles of the rule are as follows:</w:t>
      </w:r>
    </w:p>
    <w:p w14:paraId="49658C57" w14:textId="16647474" w:rsidR="00026E66" w:rsidRDefault="002737EF" w:rsidP="0065356B">
      <w:pPr>
        <w:pStyle w:val="ListParagraph"/>
        <w:numPr>
          <w:ilvl w:val="0"/>
          <w:numId w:val="34"/>
        </w:numPr>
        <w:tabs>
          <w:tab w:val="left" w:pos="0"/>
        </w:tabs>
      </w:pPr>
      <w:r>
        <w:t>if the</w:t>
      </w:r>
      <w:r w:rsidR="00B5545B">
        <w:t xml:space="preserve"> </w:t>
      </w:r>
      <w:hyperlink w:anchor="installation" w:history="1">
        <w:r>
          <w:rPr>
            <w:rStyle w:val="Hyperlink"/>
          </w:rPr>
          <w:t>installation</w:t>
        </w:r>
      </w:hyperlink>
      <w:r>
        <w:t xml:space="preserve"> consumes 70% or more of the site’s total reckonable energy, an operator can claim that all the site’s energy consumption falls within the eligible facility. This would include </w:t>
      </w:r>
      <w:r w:rsidR="00F82A5D">
        <w:t xml:space="preserve">any </w:t>
      </w:r>
      <w:r>
        <w:t>fuel</w:t>
      </w:r>
      <w:r w:rsidR="00F82A5D">
        <w:t>s</w:t>
      </w:r>
      <w:r>
        <w:t xml:space="preserve"> consumed in plant carrying out </w:t>
      </w:r>
      <w:r w:rsidR="006F271A">
        <w:t>Schedule 2</w:t>
      </w:r>
      <w:r w:rsidR="00004774">
        <w:t xml:space="preserve"> </w:t>
      </w:r>
      <w:r w:rsidR="00F82A5D">
        <w:t xml:space="preserve">(UK ETS) </w:t>
      </w:r>
      <w:r>
        <w:t>on a site</w:t>
      </w:r>
    </w:p>
    <w:p w14:paraId="57C5D34A" w14:textId="2F2E4CDC" w:rsidR="00026E66" w:rsidRDefault="002737EF" w:rsidP="0065356B">
      <w:pPr>
        <w:pStyle w:val="ListParagraph"/>
        <w:numPr>
          <w:ilvl w:val="0"/>
          <w:numId w:val="34"/>
        </w:numPr>
        <w:tabs>
          <w:tab w:val="left" w:pos="0"/>
        </w:tabs>
      </w:pPr>
      <w:r>
        <w:t xml:space="preserve">if the installation consumes less than 70% of the site’s total reckonable energy, an operator can claim the installation’s energy consumption, plus energy consumed by other activities on site up to a value equal to an additional 3/7ths of the installation’s energy consumption, as falling within the eligible facility. </w:t>
      </w:r>
      <w:r w:rsidR="00F82A5D">
        <w:t>The energy consumed by b</w:t>
      </w:r>
      <w:r>
        <w:t xml:space="preserve">oth the installation and any additional </w:t>
      </w:r>
      <w:r w:rsidR="00F82A5D">
        <w:t xml:space="preserve">activities covered by </w:t>
      </w:r>
      <w:r>
        <w:t xml:space="preserve">the 3/7ths provision must be separately sub-metered. The 3/7ths </w:t>
      </w:r>
      <w:r w:rsidR="00F82A5D">
        <w:t xml:space="preserve">provision </w:t>
      </w:r>
      <w:r>
        <w:t xml:space="preserve">can </w:t>
      </w:r>
      <w:r w:rsidR="00F82A5D">
        <w:t xml:space="preserve">be added to </w:t>
      </w:r>
      <w:r w:rsidR="002E0776">
        <w:t xml:space="preserve">a facility’s base year at </w:t>
      </w:r>
      <w:r>
        <w:t xml:space="preserve">any point except for the last </w:t>
      </w:r>
      <w:r w:rsidR="75E6EE17">
        <w:t>2</w:t>
      </w:r>
      <w:r>
        <w:t xml:space="preserve"> months of </w:t>
      </w:r>
      <w:r w:rsidR="002E0776">
        <w:t xml:space="preserve">each </w:t>
      </w:r>
      <w:r>
        <w:t xml:space="preserve">target period </w:t>
      </w:r>
    </w:p>
    <w:p w14:paraId="5B47ABCD" w14:textId="15F0D720" w:rsidR="00026E66" w:rsidRDefault="002737EF" w:rsidP="00FF0098">
      <w:pPr>
        <w:tabs>
          <w:tab w:val="left" w:pos="0"/>
        </w:tabs>
      </w:pPr>
      <w:r>
        <w:t xml:space="preserve">Operators should monitor their facilities to ensure they continue to comply with the </w:t>
      </w:r>
      <w:hyperlink w:anchor="seventypercentrule" w:history="1">
        <w:r w:rsidRPr="005F044C">
          <w:rPr>
            <w:rStyle w:val="Hyperlink"/>
          </w:rPr>
          <w:t>70% rule</w:t>
        </w:r>
      </w:hyperlink>
      <w:r w:rsidR="000E6FE7">
        <w:t>, and will be asked to confirm</w:t>
      </w:r>
      <w:r w:rsidR="00360071">
        <w:t xml:space="preserve"> whether </w:t>
      </w:r>
      <w:r w:rsidR="00474349">
        <w:t xml:space="preserve">their installation consumes 70% or more of the </w:t>
      </w:r>
      <w:r w:rsidR="00474349">
        <w:lastRenderedPageBreak/>
        <w:t>site’s total primary energy</w:t>
      </w:r>
      <w:r w:rsidR="000E6FE7">
        <w:t xml:space="preserve"> as part of </w:t>
      </w:r>
      <w:r w:rsidR="00D27166">
        <w:t>annual reporting requirements</w:t>
      </w:r>
      <w:r w:rsidR="008F63AA">
        <w:t>.</w:t>
      </w:r>
      <w:r>
        <w:t xml:space="preserve"> We </w:t>
      </w:r>
      <w:r w:rsidR="00651871">
        <w:t>will</w:t>
      </w:r>
      <w:r>
        <w:t xml:space="preserve"> check compliance with this rule when we carry out an </w:t>
      </w:r>
      <w:hyperlink w:anchor="Audit" w:history="1">
        <w:r w:rsidR="00677306">
          <w:rPr>
            <w:rStyle w:val="Hyperlink"/>
          </w:rPr>
          <w:t>audit</w:t>
        </w:r>
      </w:hyperlink>
      <w:r>
        <w:t xml:space="preserve"> (</w:t>
      </w:r>
      <w:r w:rsidR="008A07D2">
        <w:t xml:space="preserve">see </w:t>
      </w:r>
      <w:hyperlink w:anchor="_9._Auditing_the" w:history="1">
        <w:r>
          <w:rPr>
            <w:rStyle w:val="Hyperlink"/>
          </w:rPr>
          <w:t>section 9</w:t>
        </w:r>
      </w:hyperlink>
      <w:r>
        <w:t xml:space="preserve">). </w:t>
      </w:r>
    </w:p>
    <w:p w14:paraId="5143675C" w14:textId="3345AE4C" w:rsidR="007763CA" w:rsidRPr="005A4AE8" w:rsidRDefault="00D63570" w:rsidP="007763CA">
      <w:pPr>
        <w:pStyle w:val="Heading4"/>
        <w:tabs>
          <w:tab w:val="left" w:pos="0"/>
        </w:tabs>
      </w:pPr>
      <w:r>
        <w:t xml:space="preserve">3.3.3.2. </w:t>
      </w:r>
      <w:r w:rsidR="007763CA" w:rsidRPr="005A4AE8">
        <w:t xml:space="preserve">Important point when estimating site energy </w:t>
      </w:r>
    </w:p>
    <w:p w14:paraId="21E11C6D" w14:textId="55F8B8E5" w:rsidR="007763CA" w:rsidRDefault="007763CA" w:rsidP="007763CA">
      <w:pPr>
        <w:tabs>
          <w:tab w:val="left" w:pos="0"/>
        </w:tabs>
      </w:pPr>
      <w:r w:rsidRPr="00B2185C">
        <w:t>The</w:t>
      </w:r>
      <w:r>
        <w:rPr>
          <w:b/>
          <w:bCs/>
        </w:rPr>
        <w:t xml:space="preserve"> </w:t>
      </w:r>
      <w:r>
        <w:t>actual energy consumed by the site for reporting purposes must be measured by direct metering. In some circumstances indirect measurements are acceptable.</w:t>
      </w:r>
      <w:r w:rsidDel="00DB6341">
        <w:t xml:space="preserve"> </w:t>
      </w:r>
      <w:r>
        <w:t>Estimates of energy used are not permitted.</w:t>
      </w:r>
    </w:p>
    <w:p w14:paraId="540C3991" w14:textId="77777777" w:rsidR="007763CA" w:rsidRDefault="007763CA" w:rsidP="007763CA">
      <w:pPr>
        <w:tabs>
          <w:tab w:val="left" w:pos="0"/>
        </w:tabs>
      </w:pPr>
      <w:r>
        <w:t xml:space="preserve">When estimating the proportion of a site's total energy consumed within the installation for an application for a CCA, we accept use of an actual floor area when estimating proportions of energy used in eligible and non-eligible areas for equipment such as space heating and air conditioning. This must be clearly set out in the application. </w:t>
      </w:r>
    </w:p>
    <w:p w14:paraId="6796C338" w14:textId="781C9A76" w:rsidR="00026E66" w:rsidRPr="005A4AE8" w:rsidRDefault="00D63570" w:rsidP="00FF0098">
      <w:pPr>
        <w:pStyle w:val="Heading4"/>
        <w:tabs>
          <w:tab w:val="left" w:pos="0"/>
        </w:tabs>
      </w:pPr>
      <w:r>
        <w:t xml:space="preserve">3.3.3.3. </w:t>
      </w:r>
      <w:r w:rsidR="002737EF" w:rsidRPr="005A4AE8">
        <w:t xml:space="preserve">When to use sub-metering </w:t>
      </w:r>
    </w:p>
    <w:p w14:paraId="790586C2" w14:textId="77777777" w:rsidR="002E0776" w:rsidRDefault="002737EF" w:rsidP="00FF0098">
      <w:pPr>
        <w:tabs>
          <w:tab w:val="left" w:pos="0"/>
        </w:tabs>
      </w:pPr>
      <w:r>
        <w:t xml:space="preserve">Before applying to join the CCA scheme, an operator should </w:t>
      </w:r>
      <w:r w:rsidR="008B0305">
        <w:t>determine</w:t>
      </w:r>
      <w:r>
        <w:t xml:space="preserve"> the energy consumed by the installation </w:t>
      </w:r>
      <w:r w:rsidR="002E0776">
        <w:t xml:space="preserve">during </w:t>
      </w:r>
      <w:r>
        <w:t>the previous 12 months using</w:t>
      </w:r>
      <w:r w:rsidR="002E0776">
        <w:t>:</w:t>
      </w:r>
    </w:p>
    <w:p w14:paraId="24BA8CF6" w14:textId="299B4693" w:rsidR="002E0776" w:rsidRDefault="00CA0894" w:rsidP="002E0776">
      <w:pPr>
        <w:pStyle w:val="ListParagraph"/>
        <w:numPr>
          <w:ilvl w:val="0"/>
          <w:numId w:val="34"/>
        </w:numPr>
        <w:tabs>
          <w:tab w:val="left" w:pos="0"/>
        </w:tabs>
      </w:pPr>
      <w:r>
        <w:t xml:space="preserve">any </w:t>
      </w:r>
      <w:r w:rsidR="002737EF">
        <w:t>sub-meters</w:t>
      </w:r>
    </w:p>
    <w:p w14:paraId="74C85E6C" w14:textId="0703EA13" w:rsidR="002E0776" w:rsidRDefault="002737EF" w:rsidP="002E0776">
      <w:pPr>
        <w:pStyle w:val="ListParagraph"/>
        <w:numPr>
          <w:ilvl w:val="0"/>
          <w:numId w:val="34"/>
        </w:numPr>
        <w:tabs>
          <w:tab w:val="left" w:pos="0"/>
        </w:tabs>
      </w:pPr>
      <w:r>
        <w:t>spot metering</w:t>
      </w:r>
    </w:p>
    <w:p w14:paraId="3D89C071" w14:textId="2174B3E3" w:rsidR="002E0776" w:rsidRDefault="009747AE" w:rsidP="002E0776">
      <w:pPr>
        <w:pStyle w:val="ListParagraph"/>
        <w:numPr>
          <w:ilvl w:val="0"/>
          <w:numId w:val="34"/>
        </w:numPr>
        <w:tabs>
          <w:tab w:val="left" w:pos="0"/>
        </w:tabs>
      </w:pPr>
      <w:r>
        <w:t>a</w:t>
      </w:r>
      <w:r w:rsidR="00CA0894">
        <w:t>n</w:t>
      </w:r>
      <w:r>
        <w:t xml:space="preserve"> estimate </w:t>
      </w:r>
      <w:r w:rsidR="00CA0894">
        <w:t xml:space="preserve">calculated from </w:t>
      </w:r>
      <w:r>
        <w:t xml:space="preserve">the power rating of </w:t>
      </w:r>
      <w:r w:rsidR="00CA0894">
        <w:t xml:space="preserve">items of </w:t>
      </w:r>
      <w:r w:rsidR="002737EF">
        <w:t>equipment</w:t>
      </w:r>
      <w:r>
        <w:t xml:space="preserve">, </w:t>
      </w:r>
      <w:r w:rsidR="00CA0894">
        <w:t xml:space="preserve">the </w:t>
      </w:r>
      <w:r>
        <w:t xml:space="preserve">number of items </w:t>
      </w:r>
      <w:proofErr w:type="gramStart"/>
      <w:r w:rsidR="00CA0894">
        <w:t>use</w:t>
      </w:r>
      <w:r w:rsidR="00BE1FFF">
        <w:t>d</w:t>
      </w:r>
      <w:proofErr w:type="gramEnd"/>
      <w:r w:rsidR="00CA0894">
        <w:t xml:space="preserve"> </w:t>
      </w:r>
      <w:r w:rsidR="002737EF">
        <w:t xml:space="preserve">and the </w:t>
      </w:r>
      <w:r w:rsidR="00362483">
        <w:t xml:space="preserve">period </w:t>
      </w:r>
      <w:r w:rsidR="002737EF">
        <w:t>used</w:t>
      </w:r>
      <w:r w:rsidR="00362483">
        <w:t xml:space="preserve"> over the 12 months</w:t>
      </w:r>
    </w:p>
    <w:p w14:paraId="1DCC1CD4" w14:textId="2AEF4619" w:rsidR="00026E66" w:rsidRDefault="002737EF" w:rsidP="002E0776">
      <w:pPr>
        <w:tabs>
          <w:tab w:val="left" w:pos="0"/>
        </w:tabs>
      </w:pPr>
      <w:r>
        <w:t>The methodology for any estimat</w:t>
      </w:r>
      <w:r w:rsidR="008B0305">
        <w:t>ed data</w:t>
      </w:r>
      <w:r>
        <w:t xml:space="preserve"> must be site-specific and </w:t>
      </w:r>
      <w:r w:rsidR="002E0776">
        <w:t xml:space="preserve">clearly </w:t>
      </w:r>
      <w:r>
        <w:t xml:space="preserve">set out </w:t>
      </w:r>
      <w:r w:rsidR="002E0776">
        <w:t xml:space="preserve">as part of the </w:t>
      </w:r>
      <w:r>
        <w:t xml:space="preserve">application. </w:t>
      </w:r>
      <w:r w:rsidR="002E0776">
        <w:t>E</w:t>
      </w:r>
      <w:r>
        <w:t>stimate</w:t>
      </w:r>
      <w:r w:rsidR="002E0776">
        <w:t>s</w:t>
      </w:r>
      <w:r>
        <w:t xml:space="preserve"> should be checked regularly by the operator to ensure that the energy consumed in the installation remains correct.</w:t>
      </w:r>
    </w:p>
    <w:p w14:paraId="3A7AB08E" w14:textId="6EF317B0" w:rsidR="00026E66" w:rsidRDefault="002737EF" w:rsidP="00FF0098">
      <w:pPr>
        <w:tabs>
          <w:tab w:val="left" w:pos="0"/>
        </w:tabs>
      </w:pPr>
      <w:r>
        <w:t xml:space="preserve">If the proportion of energy consumed by the installation over the previous 12-month period was 70% </w:t>
      </w:r>
      <w:r w:rsidR="00362483">
        <w:t xml:space="preserve">or more </w:t>
      </w:r>
      <w:r>
        <w:t xml:space="preserve">of the total energy consumed by the site, the only meters needed are </w:t>
      </w:r>
      <w:r w:rsidR="007838FF">
        <w:t>those measuring the energy supplied to the site</w:t>
      </w:r>
      <w:r>
        <w:t>.</w:t>
      </w:r>
    </w:p>
    <w:p w14:paraId="567EAF1B" w14:textId="143683FF" w:rsidR="00291683" w:rsidRDefault="002737EF" w:rsidP="00FF0098">
      <w:pPr>
        <w:tabs>
          <w:tab w:val="left" w:pos="0"/>
        </w:tabs>
      </w:pPr>
      <w:r>
        <w:t xml:space="preserve">If the installation consumed less than 70% of the total energy consumed by the site, the energy consumed by the installation and any additional </w:t>
      </w:r>
      <w:r w:rsidR="00EA30F6">
        <w:t xml:space="preserve">ineligible energy covered by the </w:t>
      </w:r>
      <w:r>
        <w:t xml:space="preserve">3/7ths </w:t>
      </w:r>
      <w:r w:rsidR="00EA30F6">
        <w:t xml:space="preserve">provision </w:t>
      </w:r>
      <w:r>
        <w:t>must be sub-metered</w:t>
      </w:r>
      <w:r w:rsidR="00291683">
        <w:t xml:space="preserve"> to accurate</w:t>
      </w:r>
      <w:r w:rsidR="00EA30F6">
        <w:t xml:space="preserve">ly quantify the amount of </w:t>
      </w:r>
      <w:r w:rsidR="00291683">
        <w:t>energy used</w:t>
      </w:r>
      <w:r>
        <w:t>.</w:t>
      </w:r>
    </w:p>
    <w:p w14:paraId="0FD412A1" w14:textId="6486C096" w:rsidR="00026E66" w:rsidRDefault="00593BB5" w:rsidP="00FF0098">
      <w:pPr>
        <w:tabs>
          <w:tab w:val="left" w:pos="0"/>
        </w:tabs>
      </w:pPr>
      <w:r>
        <w:t>U</w:t>
      </w:r>
      <w:r w:rsidR="002737EF">
        <w:t xml:space="preserve">nless </w:t>
      </w:r>
      <w:r>
        <w:t xml:space="preserve">the site </w:t>
      </w:r>
      <w:r w:rsidR="002737EF">
        <w:t xml:space="preserve">is a </w:t>
      </w:r>
      <w:hyperlink w:anchor="greenfield" w:history="1">
        <w:r w:rsidR="002737EF" w:rsidRPr="00BA6A51">
          <w:rPr>
            <w:rStyle w:val="Hyperlink"/>
          </w:rPr>
          <w:t>greenfield facility</w:t>
        </w:r>
      </w:hyperlink>
      <w:r w:rsidR="002737EF">
        <w:t xml:space="preserve"> (see </w:t>
      </w:r>
      <w:hyperlink w:anchor="_4.3._Brownfield_and" w:history="1">
        <w:r w:rsidR="002737EF">
          <w:rPr>
            <w:rStyle w:val="Hyperlink"/>
          </w:rPr>
          <w:t>section 4.3</w:t>
        </w:r>
      </w:hyperlink>
      <w:r w:rsidR="002737EF">
        <w:t>)</w:t>
      </w:r>
      <w:r w:rsidR="001F4278">
        <w:t>,</w:t>
      </w:r>
      <w:r w:rsidR="002737EF">
        <w:t xml:space="preserve"> </w:t>
      </w:r>
      <w:r w:rsidR="001F4278">
        <w:t xml:space="preserve">the operator must supply 12 months of sub-metered data </w:t>
      </w:r>
      <w:r w:rsidR="001F4278" w:rsidRPr="001F4278">
        <w:rPr>
          <w:b/>
          <w:bCs/>
        </w:rPr>
        <w:t>before</w:t>
      </w:r>
      <w:r w:rsidR="001F4278">
        <w:t xml:space="preserve"> they apply for a CCA.</w:t>
      </w:r>
    </w:p>
    <w:p w14:paraId="55DB5233" w14:textId="1966F061" w:rsidR="00026E66" w:rsidRDefault="002737EF" w:rsidP="00FF0098">
      <w:pPr>
        <w:tabs>
          <w:tab w:val="left" w:pos="0"/>
        </w:tabs>
      </w:pPr>
      <w:r>
        <w:t xml:space="preserve">If eligibility against the </w:t>
      </w:r>
      <w:hyperlink w:anchor="seventypercentrule" w:history="1">
        <w:r w:rsidRPr="005F044C">
          <w:rPr>
            <w:rStyle w:val="Hyperlink"/>
          </w:rPr>
          <w:t>70% rule</w:t>
        </w:r>
      </w:hyperlink>
      <w:r>
        <w:t xml:space="preserve"> changes during a target period, it will be necessary to amend </w:t>
      </w:r>
      <w:r w:rsidR="002264FC">
        <w:t xml:space="preserve">the </w:t>
      </w:r>
      <w:hyperlink w:anchor="Underlyingagreement" w:history="1">
        <w:r w:rsidR="002264FC" w:rsidRPr="0017611F">
          <w:rPr>
            <w:rStyle w:val="Hyperlink"/>
          </w:rPr>
          <w:t>underlying</w:t>
        </w:r>
        <w:r w:rsidRPr="0017611F">
          <w:rPr>
            <w:rStyle w:val="Hyperlink"/>
          </w:rPr>
          <w:t xml:space="preserve"> agreement</w:t>
        </w:r>
      </w:hyperlink>
      <w:r>
        <w:t xml:space="preserve"> (see </w:t>
      </w:r>
      <w:hyperlink w:anchor="_7.5.1._Structural_change" w:history="1">
        <w:r>
          <w:rPr>
            <w:rStyle w:val="Hyperlink"/>
          </w:rPr>
          <w:t>section 7.5.1</w:t>
        </w:r>
      </w:hyperlink>
      <w:r>
        <w:t xml:space="preserve">). </w:t>
      </w:r>
    </w:p>
    <w:p w14:paraId="008ABDFA" w14:textId="35523F9B" w:rsidR="00026E66" w:rsidRDefault="002737EF" w:rsidP="00073139">
      <w:pPr>
        <w:pStyle w:val="Heading3"/>
        <w:tabs>
          <w:tab w:val="left" w:pos="0"/>
        </w:tabs>
      </w:pPr>
      <w:bookmarkStart w:id="50" w:name="_3.3.4._Step_4:"/>
      <w:bookmarkEnd w:id="50"/>
      <w:r>
        <w:lastRenderedPageBreak/>
        <w:t xml:space="preserve">3.3.4. Step 4: Calculate the energy consumption relevant for CCA target setting and performance reporting (defining the target facility) </w:t>
      </w:r>
    </w:p>
    <w:p w14:paraId="04A00F20" w14:textId="77777777" w:rsidR="00B83BE6" w:rsidRDefault="002737EF" w:rsidP="00FF0098">
      <w:pPr>
        <w:tabs>
          <w:tab w:val="left" w:pos="0"/>
        </w:tabs>
      </w:pPr>
      <w:r w:rsidRPr="00073139">
        <w:rPr>
          <w:bCs/>
        </w:rPr>
        <w:t>This step is only relevant if there is a</w:t>
      </w:r>
      <w:r w:rsidR="00B83BE6">
        <w:rPr>
          <w:bCs/>
        </w:rPr>
        <w:t xml:space="preserve"> UK</w:t>
      </w:r>
      <w:r w:rsidRPr="00073139">
        <w:rPr>
          <w:bCs/>
        </w:rPr>
        <w:t xml:space="preserve"> ETS installation associated with the eligible facility.</w:t>
      </w:r>
      <w:r w:rsidR="00B40F9C" w:rsidRPr="00B40F9C">
        <w:rPr>
          <w:bCs/>
        </w:rPr>
        <w:t xml:space="preserve"> </w:t>
      </w:r>
      <w:r w:rsidR="00B40F9C">
        <w:rPr>
          <w:bCs/>
        </w:rPr>
        <w:t xml:space="preserve">This includes all installations carrying out a </w:t>
      </w:r>
      <w:r w:rsidR="00B40F9C" w:rsidRPr="009E6811">
        <w:t>Schedule 2 activity</w:t>
      </w:r>
      <w:r w:rsidR="00B40F9C">
        <w:t xml:space="preserve"> that</w:t>
      </w:r>
      <w:r w:rsidR="00B40F9C" w:rsidRPr="009E6811">
        <w:t xml:space="preserve"> hold</w:t>
      </w:r>
      <w:r w:rsidR="00B83BE6">
        <w:t>:</w:t>
      </w:r>
    </w:p>
    <w:p w14:paraId="4A5DE703" w14:textId="77777777" w:rsidR="00B83BE6" w:rsidRPr="00B83BE6" w:rsidRDefault="00B40F9C" w:rsidP="00B83BE6">
      <w:pPr>
        <w:pStyle w:val="ListParagraph"/>
        <w:numPr>
          <w:ilvl w:val="0"/>
          <w:numId w:val="34"/>
        </w:numPr>
        <w:tabs>
          <w:tab w:val="left" w:pos="0"/>
        </w:tabs>
        <w:rPr>
          <w:bCs/>
        </w:rPr>
      </w:pPr>
      <w:r w:rsidRPr="009E6811">
        <w:t>a</w:t>
      </w:r>
      <w:r w:rsidRPr="00B83BE6">
        <w:rPr>
          <w:color w:val="0B0C0C"/>
          <w:sz w:val="29"/>
          <w:szCs w:val="29"/>
          <w:shd w:val="clear" w:color="auto" w:fill="FFFFFF"/>
        </w:rPr>
        <w:t xml:space="preserve"> </w:t>
      </w:r>
      <w:r w:rsidRPr="00E70B18">
        <w:t>greenhouse gas emissions</w:t>
      </w:r>
      <w:r>
        <w:t xml:space="preserve"> (GHGE) </w:t>
      </w:r>
      <w:r w:rsidRPr="009E6811">
        <w:t>permit</w:t>
      </w:r>
    </w:p>
    <w:p w14:paraId="7E14A6DB" w14:textId="77777777" w:rsidR="00B83BE6" w:rsidRPr="00B83BE6" w:rsidRDefault="00B40F9C" w:rsidP="00B83BE6">
      <w:pPr>
        <w:pStyle w:val="ListParagraph"/>
        <w:numPr>
          <w:ilvl w:val="0"/>
          <w:numId w:val="34"/>
        </w:numPr>
        <w:tabs>
          <w:tab w:val="left" w:pos="0"/>
        </w:tabs>
        <w:rPr>
          <w:bCs/>
        </w:rPr>
      </w:pPr>
      <w:r w:rsidRPr="009E6811">
        <w:t>a</w:t>
      </w:r>
      <w:r>
        <w:t xml:space="preserve"> </w:t>
      </w:r>
      <w:r w:rsidRPr="00E70B18">
        <w:t>hospital and small emitters</w:t>
      </w:r>
      <w:r>
        <w:t xml:space="preserve"> (</w:t>
      </w:r>
      <w:r w:rsidRPr="009E6811">
        <w:t>HSE</w:t>
      </w:r>
      <w:r>
        <w:t>) permit</w:t>
      </w:r>
    </w:p>
    <w:p w14:paraId="65A6D997" w14:textId="795226F3" w:rsidR="00026E66" w:rsidRPr="00B83BE6" w:rsidRDefault="00B40F9C" w:rsidP="00B83BE6">
      <w:pPr>
        <w:pStyle w:val="ListParagraph"/>
        <w:numPr>
          <w:ilvl w:val="0"/>
          <w:numId w:val="34"/>
        </w:numPr>
        <w:tabs>
          <w:tab w:val="left" w:pos="0"/>
        </w:tabs>
        <w:rPr>
          <w:bCs/>
        </w:rPr>
      </w:pPr>
      <w:r>
        <w:t>i</w:t>
      </w:r>
      <w:r w:rsidRPr="00E70B18">
        <w:t>nstallations with ultra-small emitter (USE) status</w:t>
      </w:r>
    </w:p>
    <w:p w14:paraId="4CF6516B" w14:textId="77777777" w:rsidR="00026E66" w:rsidRDefault="002737EF" w:rsidP="00FF0098">
      <w:pPr>
        <w:tabs>
          <w:tab w:val="left" w:pos="0"/>
        </w:tabs>
      </w:pPr>
      <w:r>
        <w:t>An ETS installation is associated with the eligible facility if one of the following applies:</w:t>
      </w:r>
    </w:p>
    <w:p w14:paraId="209E59D4" w14:textId="2E3DED85" w:rsidR="00026E66" w:rsidRDefault="002737EF" w:rsidP="0065356B">
      <w:pPr>
        <w:pStyle w:val="ListParagraph"/>
        <w:numPr>
          <w:ilvl w:val="0"/>
          <w:numId w:val="35"/>
        </w:numPr>
        <w:tabs>
          <w:tab w:val="left" w:pos="0"/>
        </w:tabs>
      </w:pPr>
      <w:r>
        <w:t xml:space="preserve">the eligible facility includes plant carrying out a </w:t>
      </w:r>
      <w:hyperlink w:anchor="Schedule2" w:history="1">
        <w:r w:rsidR="00BB4482" w:rsidRPr="00A14E66">
          <w:rPr>
            <w:rStyle w:val="Hyperlink"/>
          </w:rPr>
          <w:t>Schedule 2 activity</w:t>
        </w:r>
      </w:hyperlink>
    </w:p>
    <w:p w14:paraId="75E8D954" w14:textId="719547EA" w:rsidR="00026E66" w:rsidRDefault="002737EF" w:rsidP="0065356B">
      <w:pPr>
        <w:pStyle w:val="ListParagraph"/>
        <w:numPr>
          <w:ilvl w:val="0"/>
          <w:numId w:val="35"/>
        </w:numPr>
        <w:tabs>
          <w:tab w:val="left" w:pos="0"/>
        </w:tabs>
      </w:pPr>
      <w:r>
        <w:t>the eligible facility imports and consumes heat or power from a</w:t>
      </w:r>
      <w:r w:rsidR="00BB4482">
        <w:t xml:space="preserve"> </w:t>
      </w:r>
      <w:hyperlink w:anchor="Schedule2" w:history="1">
        <w:r w:rsidR="00BB4482" w:rsidRPr="00A14E66">
          <w:rPr>
            <w:rStyle w:val="Hyperlink"/>
          </w:rPr>
          <w:t>Schedule 2</w:t>
        </w:r>
        <w:r w:rsidRPr="00A14E66">
          <w:rPr>
            <w:rStyle w:val="Hyperlink"/>
          </w:rPr>
          <w:t xml:space="preserve"> activity</w:t>
        </w:r>
      </w:hyperlink>
      <w:r>
        <w:t xml:space="preserve"> </w:t>
      </w:r>
    </w:p>
    <w:p w14:paraId="051BD2EE" w14:textId="77777777" w:rsidR="00B83BE6" w:rsidRDefault="002737EF" w:rsidP="00FF0098">
      <w:pPr>
        <w:tabs>
          <w:tab w:val="left" w:pos="0"/>
        </w:tabs>
      </w:pPr>
      <w:r>
        <w:t>If either applies</w:t>
      </w:r>
      <w:r w:rsidR="00E955EE">
        <w:t>,</w:t>
      </w:r>
      <w:r>
        <w:t xml:space="preserve"> the fuel consumed within the plant carrying out the </w:t>
      </w:r>
      <w:hyperlink w:anchor="Schedule2" w:history="1">
        <w:r w:rsidR="00BB4482" w:rsidRPr="00A14E66">
          <w:rPr>
            <w:rStyle w:val="Hyperlink"/>
          </w:rPr>
          <w:t>Schedule 2</w:t>
        </w:r>
        <w:r w:rsidRPr="00A14E66">
          <w:rPr>
            <w:rStyle w:val="Hyperlink"/>
          </w:rPr>
          <w:t xml:space="preserve"> activity</w:t>
        </w:r>
      </w:hyperlink>
      <w:r>
        <w:t xml:space="preserve"> must be </w:t>
      </w:r>
      <w:r w:rsidR="00B83BE6">
        <w:t>excluded</w:t>
      </w:r>
      <w:r>
        <w:t xml:space="preserve"> from the eligible facility's energy consumption</w:t>
      </w:r>
      <w:r w:rsidR="007A4B8A">
        <w:t xml:space="preserve"> for </w:t>
      </w:r>
      <w:hyperlink w:anchor="Targetfacility" w:history="1">
        <w:r w:rsidR="007A4B8A" w:rsidRPr="005A624F">
          <w:rPr>
            <w:rStyle w:val="Hyperlink"/>
          </w:rPr>
          <w:t>facility target</w:t>
        </w:r>
      </w:hyperlink>
      <w:r w:rsidR="007A4B8A">
        <w:t xml:space="preserve"> setting</w:t>
      </w:r>
      <w:r>
        <w:t xml:space="preserve">. This will give the energy consumed within the target facility. </w:t>
      </w:r>
    </w:p>
    <w:p w14:paraId="00E65804" w14:textId="6A87BC62" w:rsidR="00026E66" w:rsidRDefault="002737EF" w:rsidP="00FF0098">
      <w:pPr>
        <w:tabs>
          <w:tab w:val="left" w:pos="0"/>
        </w:tabs>
      </w:pPr>
      <w:r>
        <w:t xml:space="preserve">Energy consumed within the target facility in the </w:t>
      </w:r>
      <w:hyperlink w:anchor="baseyear" w:history="1">
        <w:r w:rsidRPr="002D6B64">
          <w:rPr>
            <w:rStyle w:val="Hyperlink"/>
          </w:rPr>
          <w:t>base year</w:t>
        </w:r>
      </w:hyperlink>
      <w:r>
        <w:t xml:space="preserve"> will constitute the base year performance against which </w:t>
      </w:r>
      <w:r w:rsidR="002830B2">
        <w:t xml:space="preserve">future improvement </w:t>
      </w:r>
      <w:r>
        <w:t xml:space="preserve">targets will be set. The eligible facility remains the entity whose energy consumption is entitled to receive the CCL discount and will include energy consumed within an ETS installation. </w:t>
      </w:r>
    </w:p>
    <w:p w14:paraId="54372F19" w14:textId="0FC5724F" w:rsidR="00026E66" w:rsidRDefault="002737EF" w:rsidP="00FF0098">
      <w:pPr>
        <w:tabs>
          <w:tab w:val="left" w:pos="0"/>
        </w:tabs>
        <w:spacing w:after="0"/>
        <w:ind w:right="182"/>
        <w:rPr>
          <w:color w:val="auto"/>
        </w:rPr>
      </w:pPr>
      <w:r>
        <w:rPr>
          <w:color w:val="auto"/>
        </w:rPr>
        <w:t xml:space="preserve">This calculation is made easier if the fuel consumption in plant carrying out </w:t>
      </w:r>
      <w:r w:rsidR="00C0400C">
        <w:rPr>
          <w:color w:val="auto"/>
        </w:rPr>
        <w:t>Schedule 2</w:t>
      </w:r>
      <w:r>
        <w:rPr>
          <w:color w:val="auto"/>
        </w:rPr>
        <w:t xml:space="preserve"> activities is identified in </w:t>
      </w:r>
      <w:hyperlink w:anchor="_3.3.1._Step_1:" w:history="1">
        <w:r w:rsidRPr="00C00A0A">
          <w:rPr>
            <w:rStyle w:val="Hyperlink"/>
          </w:rPr>
          <w:t>step 1</w:t>
        </w:r>
      </w:hyperlink>
      <w:r>
        <w:rPr>
          <w:color w:val="auto"/>
        </w:rPr>
        <w:t xml:space="preserve">. </w:t>
      </w:r>
    </w:p>
    <w:p w14:paraId="7A116FF6" w14:textId="77777777" w:rsidR="00026E66" w:rsidRDefault="002737EF" w:rsidP="00FF0098">
      <w:pPr>
        <w:pStyle w:val="Heading3"/>
        <w:tabs>
          <w:tab w:val="left" w:pos="0"/>
        </w:tabs>
      </w:pPr>
      <w:bookmarkStart w:id="51" w:name="_3.3.5_Step_5:"/>
      <w:bookmarkEnd w:id="51"/>
      <w:r>
        <w:t xml:space="preserve">3.3.5 Step 5: Calculate base year performance </w:t>
      </w:r>
    </w:p>
    <w:p w14:paraId="0A013824" w14:textId="737790E2" w:rsidR="00026E66" w:rsidRPr="00073139" w:rsidRDefault="005552DA" w:rsidP="002D2A95">
      <w:pPr>
        <w:pStyle w:val="Heading4"/>
      </w:pPr>
      <w:r>
        <w:t xml:space="preserve">3.3.5.1. </w:t>
      </w:r>
      <w:r w:rsidR="002737EF" w:rsidRPr="00073139">
        <w:t xml:space="preserve">What is the base year? </w:t>
      </w:r>
    </w:p>
    <w:p w14:paraId="6BD375A6" w14:textId="03F48B84" w:rsidR="00026E66" w:rsidRDefault="002737EF" w:rsidP="00FF0098">
      <w:pPr>
        <w:tabs>
          <w:tab w:val="left" w:pos="0"/>
        </w:tabs>
        <w:ind w:right="182"/>
      </w:pPr>
      <w:r>
        <w:t>The base year is a continuous 12-month period where the operator measures its initial performance.</w:t>
      </w:r>
      <w:r w:rsidR="00FC355D">
        <w:t xml:space="preserve"> </w:t>
      </w:r>
      <w:r>
        <w:t>The data collected during the base year establish the baseline.</w:t>
      </w:r>
      <w:r w:rsidR="00FC355D">
        <w:t xml:space="preserve"> </w:t>
      </w:r>
      <w:r>
        <w:t xml:space="preserve">The baseline </w:t>
      </w:r>
      <w:r>
        <w:rPr>
          <w:color w:val="auto"/>
          <w:szCs w:val="24"/>
        </w:rPr>
        <w:t xml:space="preserve">energy consumption for the target facility must not include any fuel consumed in plant carrying out </w:t>
      </w:r>
      <w:hyperlink w:anchor="Annex1activity" w:history="1">
        <w:r w:rsidR="00881112">
          <w:rPr>
            <w:rStyle w:val="Hyperlink"/>
            <w:szCs w:val="24"/>
          </w:rPr>
          <w:t xml:space="preserve">Schedule </w:t>
        </w:r>
        <w:r w:rsidR="00C04105">
          <w:rPr>
            <w:rStyle w:val="Hyperlink"/>
            <w:szCs w:val="24"/>
          </w:rPr>
          <w:t>2 activities</w:t>
        </w:r>
      </w:hyperlink>
      <w:r>
        <w:rPr>
          <w:color w:val="auto"/>
        </w:rPr>
        <w:t>.</w:t>
      </w:r>
    </w:p>
    <w:p w14:paraId="3A1C6557" w14:textId="1C0A1B17" w:rsidR="001137E1" w:rsidRDefault="002A1A84" w:rsidP="000C3F25">
      <w:pPr>
        <w:tabs>
          <w:tab w:val="left" w:pos="0"/>
        </w:tabs>
      </w:pPr>
      <w:r>
        <w:t xml:space="preserve">We would normally expect the base year to be the </w:t>
      </w:r>
      <w:r w:rsidR="00640C65">
        <w:t>12-month</w:t>
      </w:r>
      <w:r>
        <w:t xml:space="preserve"> period </w:t>
      </w:r>
      <w:r w:rsidR="004A339C">
        <w:t xml:space="preserve">in 2022 </w:t>
      </w:r>
      <w:r>
        <w:t xml:space="preserve">for target periods 7 to 9. </w:t>
      </w:r>
    </w:p>
    <w:p w14:paraId="193F9770" w14:textId="08337328" w:rsidR="00350312" w:rsidRDefault="002737EF" w:rsidP="00FF0098">
      <w:pPr>
        <w:tabs>
          <w:tab w:val="left" w:pos="0"/>
        </w:tabs>
      </w:pPr>
      <w:r>
        <w:t xml:space="preserve">If an operator doesn’t have data </w:t>
      </w:r>
      <w:r w:rsidR="002A1A84">
        <w:t>for the</w:t>
      </w:r>
      <w:r>
        <w:t xml:space="preserve"> default base year period, it must use the next available 12-month period closest to the default base year. Operators must explain why they aren’t able to use the default base year period. Changes to energy use and/or products since the base year are not valid reasons for using a later base year.</w:t>
      </w:r>
    </w:p>
    <w:p w14:paraId="70423686" w14:textId="5536B89F" w:rsidR="00071A23" w:rsidRDefault="005552DA" w:rsidP="002D2A95">
      <w:pPr>
        <w:pStyle w:val="Heading4"/>
      </w:pPr>
      <w:r>
        <w:lastRenderedPageBreak/>
        <w:t xml:space="preserve">3.3.5.2. </w:t>
      </w:r>
      <w:r w:rsidR="007302E5">
        <w:t xml:space="preserve">Assigning </w:t>
      </w:r>
      <w:r w:rsidR="00B53815">
        <w:t xml:space="preserve">fixed and variable energy consumption </w:t>
      </w:r>
    </w:p>
    <w:p w14:paraId="17AA9FE2" w14:textId="07C9C06C" w:rsidR="00B53815" w:rsidRDefault="00920BF3" w:rsidP="00FF0098">
      <w:pPr>
        <w:tabs>
          <w:tab w:val="left" w:pos="0"/>
        </w:tabs>
      </w:pPr>
      <w:r>
        <w:t xml:space="preserve">A new requirement for </w:t>
      </w:r>
      <w:r w:rsidR="00887552">
        <w:t xml:space="preserve">facilities in an agreement </w:t>
      </w:r>
      <w:r w:rsidR="004A339C">
        <w:t>for the new scheme</w:t>
      </w:r>
      <w:r w:rsidR="00F94D41">
        <w:t xml:space="preserve"> is to</w:t>
      </w:r>
      <w:r w:rsidR="005A666B">
        <w:t xml:space="preserve"> provide</w:t>
      </w:r>
      <w:r w:rsidR="00C17DDF">
        <w:t xml:space="preserve"> data on</w:t>
      </w:r>
      <w:r w:rsidR="00F94D41">
        <w:t xml:space="preserve"> the proportion of energy at a facility which is</w:t>
      </w:r>
      <w:r w:rsidR="004851BB">
        <w:t xml:space="preserve"> fixed and the proportion of energy that is variable</w:t>
      </w:r>
      <w:r w:rsidR="00AB1C91">
        <w:t xml:space="preserve"> in the base year</w:t>
      </w:r>
      <w:r w:rsidR="005A666B">
        <w:t>. This must be</w:t>
      </w:r>
      <w:r w:rsidR="00943DC8">
        <w:t xml:space="preserve"> included</w:t>
      </w:r>
      <w:r w:rsidR="005A666B">
        <w:t xml:space="preserve"> as part of the base year performance data for any application</w:t>
      </w:r>
      <w:r w:rsidR="294221AF">
        <w:t>.</w:t>
      </w:r>
      <w:r w:rsidR="00DD1421">
        <w:t xml:space="preserve"> </w:t>
      </w:r>
    </w:p>
    <w:p w14:paraId="3579ECF6" w14:textId="3A1C9C7C" w:rsidR="002276DB" w:rsidRPr="00C424FE" w:rsidRDefault="002276DB" w:rsidP="00AA6B54">
      <w:pPr>
        <w:tabs>
          <w:tab w:val="left" w:pos="0"/>
        </w:tabs>
        <w:rPr>
          <w:b/>
          <w:bCs/>
        </w:rPr>
      </w:pPr>
      <w:r w:rsidRPr="00C424FE">
        <w:rPr>
          <w:b/>
          <w:bCs/>
        </w:rPr>
        <w:t xml:space="preserve">Fixed </w:t>
      </w:r>
      <w:r w:rsidR="00BD2A2E" w:rsidRPr="00C424FE">
        <w:rPr>
          <w:b/>
          <w:bCs/>
        </w:rPr>
        <w:t>E</w:t>
      </w:r>
      <w:r w:rsidRPr="00C424FE">
        <w:rPr>
          <w:b/>
          <w:bCs/>
        </w:rPr>
        <w:t>nergy</w:t>
      </w:r>
      <w:r w:rsidR="002618A7" w:rsidRPr="00C424FE">
        <w:rPr>
          <w:b/>
          <w:bCs/>
        </w:rPr>
        <w:t xml:space="preserve"> </w:t>
      </w:r>
      <w:r w:rsidR="00BD2A2E" w:rsidRPr="00C424FE">
        <w:rPr>
          <w:b/>
          <w:bCs/>
        </w:rPr>
        <w:t>C</w:t>
      </w:r>
      <w:r w:rsidR="002618A7" w:rsidRPr="00C424FE">
        <w:rPr>
          <w:b/>
          <w:bCs/>
        </w:rPr>
        <w:t>onsumption (FEC)</w:t>
      </w:r>
      <w:r w:rsidRPr="00C424FE">
        <w:rPr>
          <w:b/>
          <w:bCs/>
        </w:rPr>
        <w:t xml:space="preserve"> </w:t>
      </w:r>
      <w:r w:rsidR="00D723F5">
        <w:t xml:space="preserve">is the proportion of energy consumed </w:t>
      </w:r>
      <w:r w:rsidR="19D06E24">
        <w:t xml:space="preserve">at a facility regardless of activity; any energy usage not linked to </w:t>
      </w:r>
      <w:hyperlink w:anchor="Throughput" w:history="1">
        <w:r w:rsidR="00F3383F">
          <w:rPr>
            <w:rStyle w:val="Hyperlink"/>
          </w:rPr>
          <w:t>throughput</w:t>
        </w:r>
      </w:hyperlink>
      <w:r w:rsidR="19D06E24">
        <w:t>.</w:t>
      </w:r>
    </w:p>
    <w:p w14:paraId="60B516F7" w14:textId="45394211" w:rsidR="00A23AB3" w:rsidRPr="00C424FE" w:rsidRDefault="00A23AB3" w:rsidP="00AA6B54">
      <w:pPr>
        <w:tabs>
          <w:tab w:val="left" w:pos="0"/>
        </w:tabs>
        <w:rPr>
          <w:b/>
          <w:bCs/>
        </w:rPr>
      </w:pPr>
      <w:r w:rsidRPr="00C424FE">
        <w:rPr>
          <w:b/>
          <w:bCs/>
        </w:rPr>
        <w:t xml:space="preserve">Variable </w:t>
      </w:r>
      <w:r w:rsidR="00BD2A2E" w:rsidRPr="00C424FE">
        <w:rPr>
          <w:b/>
          <w:bCs/>
        </w:rPr>
        <w:t>E</w:t>
      </w:r>
      <w:r w:rsidRPr="00C424FE">
        <w:rPr>
          <w:b/>
          <w:bCs/>
        </w:rPr>
        <w:t>nergy</w:t>
      </w:r>
      <w:r w:rsidR="002618A7" w:rsidRPr="00C424FE">
        <w:rPr>
          <w:b/>
          <w:bCs/>
        </w:rPr>
        <w:t xml:space="preserve"> </w:t>
      </w:r>
      <w:r w:rsidR="00BD2A2E" w:rsidRPr="00C424FE">
        <w:rPr>
          <w:b/>
          <w:bCs/>
        </w:rPr>
        <w:t>C</w:t>
      </w:r>
      <w:r w:rsidR="002618A7" w:rsidRPr="00C424FE">
        <w:rPr>
          <w:b/>
          <w:bCs/>
        </w:rPr>
        <w:t>onsumption (VEC)</w:t>
      </w:r>
      <w:r w:rsidRPr="00C424FE">
        <w:rPr>
          <w:b/>
          <w:bCs/>
        </w:rPr>
        <w:t xml:space="preserve"> </w:t>
      </w:r>
      <w:r w:rsidR="009D4649">
        <w:t xml:space="preserve">is the proportion of energy </w:t>
      </w:r>
      <w:r w:rsidR="7BA7594D">
        <w:t xml:space="preserve">consumed at the facility </w:t>
      </w:r>
      <w:r w:rsidR="67772274">
        <w:t xml:space="preserve">per unit of </w:t>
      </w:r>
      <w:r w:rsidR="7BA7594D">
        <w:t xml:space="preserve">activity; </w:t>
      </w:r>
      <w:r w:rsidR="6AFB26AC">
        <w:t xml:space="preserve">any </w:t>
      </w:r>
      <w:r w:rsidR="7BA7594D">
        <w:t xml:space="preserve">energy usage linked to throughput. </w:t>
      </w:r>
      <w:r>
        <w:t xml:space="preserve"> </w:t>
      </w:r>
    </w:p>
    <w:p w14:paraId="60D20F5F" w14:textId="7736A2CE" w:rsidR="005323F3" w:rsidRPr="005323F3" w:rsidRDefault="005323F3" w:rsidP="005323F3">
      <w:pPr>
        <w:tabs>
          <w:tab w:val="left" w:pos="0"/>
        </w:tabs>
      </w:pPr>
      <w:r>
        <w:t xml:space="preserve">This method gives a more accurate view of performance and how </w:t>
      </w:r>
      <w:r w:rsidR="00EB7ECF">
        <w:t xml:space="preserve">energy consumption is linked to production, which allows a better understanding of how a facility is performing in terms of energy or carbon savings. </w:t>
      </w:r>
      <w:r w:rsidR="003B76BA">
        <w:t xml:space="preserve">This method </w:t>
      </w:r>
      <w:r w:rsidR="00357B44">
        <w:t xml:space="preserve">also </w:t>
      </w:r>
      <w:r w:rsidR="00981AEE">
        <w:t xml:space="preserve">seeks to remove a distortion in the calculation of performance if production changed significantly between the base year and target period. </w:t>
      </w:r>
    </w:p>
    <w:p w14:paraId="3C58F3C3" w14:textId="7CDB3A4D" w:rsidR="00B53815" w:rsidRDefault="00C424FE" w:rsidP="002D2A95">
      <w:pPr>
        <w:pStyle w:val="Heading4"/>
      </w:pPr>
      <w:r>
        <w:t xml:space="preserve">3.3.5.3. </w:t>
      </w:r>
      <w:r w:rsidR="00D603A1">
        <w:t>Where more than one product is produced</w:t>
      </w:r>
    </w:p>
    <w:p w14:paraId="1D1E7C5A" w14:textId="2DA03199" w:rsidR="00E0488D" w:rsidRDefault="00E0488D" w:rsidP="00FF0098">
      <w:pPr>
        <w:tabs>
          <w:tab w:val="left" w:pos="0"/>
        </w:tabs>
      </w:pPr>
      <w:r>
        <w:t>The variable energy proportion may be further disaggregated into product groups w</w:t>
      </w:r>
      <w:r w:rsidR="00FD5635">
        <w:t>here</w:t>
      </w:r>
      <w:r>
        <w:t xml:space="preserve"> both</w:t>
      </w:r>
      <w:r w:rsidR="00EC7E59">
        <w:t xml:space="preserve"> of the following apply</w:t>
      </w:r>
      <w:r>
        <w:t>:</w:t>
      </w:r>
    </w:p>
    <w:p w14:paraId="2DD87BD0" w14:textId="7E4DC54D" w:rsidR="00E0488D" w:rsidRDefault="00FD5635" w:rsidP="00E0488D">
      <w:pPr>
        <w:pStyle w:val="ListParagraph"/>
        <w:numPr>
          <w:ilvl w:val="0"/>
          <w:numId w:val="231"/>
        </w:numPr>
        <w:tabs>
          <w:tab w:val="left" w:pos="0"/>
        </w:tabs>
      </w:pPr>
      <w:r>
        <w:t xml:space="preserve">a </w:t>
      </w:r>
      <w:r w:rsidR="00804195">
        <w:t>facilit</w:t>
      </w:r>
      <w:r>
        <w:t>y</w:t>
      </w:r>
      <w:r w:rsidR="00804195">
        <w:t xml:space="preserve"> produc</w:t>
      </w:r>
      <w:r w:rsidR="005002A2">
        <w:t>e</w:t>
      </w:r>
      <w:r>
        <w:t>s</w:t>
      </w:r>
      <w:r w:rsidR="008E3E50">
        <w:t xml:space="preserve"> </w:t>
      </w:r>
      <w:r w:rsidR="00804195">
        <w:t>more than one produ</w:t>
      </w:r>
      <w:r w:rsidR="005002A2">
        <w:t>ct</w:t>
      </w:r>
      <w:r>
        <w:t xml:space="preserve"> </w:t>
      </w:r>
    </w:p>
    <w:p w14:paraId="0524BCB4" w14:textId="20862D95" w:rsidR="00E0488D" w:rsidRDefault="008217F6" w:rsidP="00E0488D">
      <w:pPr>
        <w:pStyle w:val="ListParagraph"/>
        <w:numPr>
          <w:ilvl w:val="0"/>
          <w:numId w:val="231"/>
        </w:numPr>
        <w:tabs>
          <w:tab w:val="left" w:pos="0"/>
        </w:tabs>
      </w:pPr>
      <w:r>
        <w:t xml:space="preserve">submetering is in place for </w:t>
      </w:r>
      <w:r w:rsidR="00FD5635">
        <w:t xml:space="preserve">the </w:t>
      </w:r>
      <w:r>
        <w:t>different production lines</w:t>
      </w:r>
      <w:r w:rsidR="00626E85">
        <w:t xml:space="preserve"> and for products of significantly different energy intensities</w:t>
      </w:r>
      <w:r w:rsidR="00F44CFC">
        <w:t xml:space="preserve"> or throughput units (for example, </w:t>
      </w:r>
      <w:r w:rsidR="000026B7">
        <w:t>kg and litres</w:t>
      </w:r>
      <w:r w:rsidR="00CF0F4E">
        <w:t>)</w:t>
      </w:r>
    </w:p>
    <w:p w14:paraId="0D74B7F4" w14:textId="5618C26A" w:rsidR="002E5F74" w:rsidRDefault="00AA2D97" w:rsidP="00E0488D">
      <w:pPr>
        <w:tabs>
          <w:tab w:val="left" w:pos="0"/>
        </w:tabs>
      </w:pPr>
      <w:r>
        <w:t>Further information can be fou</w:t>
      </w:r>
      <w:r w:rsidR="00033F69">
        <w:t xml:space="preserve">nd in </w:t>
      </w:r>
      <w:hyperlink w:anchor="_10.4.4._Calculation_of" w:history="1">
        <w:r w:rsidR="00033F69" w:rsidRPr="00653DA4">
          <w:rPr>
            <w:rStyle w:val="Hyperlink"/>
          </w:rPr>
          <w:t xml:space="preserve">section </w:t>
        </w:r>
        <w:r w:rsidR="002109D0" w:rsidRPr="00653DA4">
          <w:rPr>
            <w:rStyle w:val="Hyperlink"/>
          </w:rPr>
          <w:t>10</w:t>
        </w:r>
        <w:r w:rsidR="00653DA4" w:rsidRPr="00653DA4">
          <w:rPr>
            <w:rStyle w:val="Hyperlink"/>
          </w:rPr>
          <w:t>.6</w:t>
        </w:r>
      </w:hyperlink>
      <w:r w:rsidR="002109D0">
        <w:t>.</w:t>
      </w:r>
    </w:p>
    <w:p w14:paraId="7E65869C" w14:textId="296F20F5" w:rsidR="00033F69" w:rsidRDefault="00C424FE" w:rsidP="002D2A95">
      <w:pPr>
        <w:pStyle w:val="Heading4"/>
      </w:pPr>
      <w:r>
        <w:t xml:space="preserve">3.3.5.4. </w:t>
      </w:r>
      <w:r w:rsidR="00033F69">
        <w:t>Determining fixed and variable energy consumption</w:t>
      </w:r>
    </w:p>
    <w:p w14:paraId="46B3DC7B" w14:textId="07A220E5" w:rsidR="00105338" w:rsidRDefault="00336942" w:rsidP="00FF0098">
      <w:pPr>
        <w:tabs>
          <w:tab w:val="left" w:pos="0"/>
        </w:tabs>
      </w:pPr>
      <w:r>
        <w:t>The relationship between energy</w:t>
      </w:r>
      <w:r w:rsidR="00203A55">
        <w:t xml:space="preserve"> consumption and </w:t>
      </w:r>
      <w:r w:rsidR="00D02F6C">
        <w:t>throughput</w:t>
      </w:r>
      <w:r w:rsidR="00203A55">
        <w:t xml:space="preserve"> can be complex and difficult to determine. </w:t>
      </w:r>
      <w:r w:rsidR="00D02F6C">
        <w:t>It is important that operators identify the</w:t>
      </w:r>
      <w:r w:rsidR="00D60670">
        <w:t xml:space="preserve"> drivers of energy consumption</w:t>
      </w:r>
      <w:r w:rsidR="00337262">
        <w:t xml:space="preserve"> so that</w:t>
      </w:r>
      <w:r w:rsidR="00004B54">
        <w:t xml:space="preserve"> changes in performance attributable to energy efficiency can be isolated.</w:t>
      </w:r>
      <w:r w:rsidR="00E66BC2">
        <w:t xml:space="preserve"> </w:t>
      </w:r>
      <w:r w:rsidR="00D91E35">
        <w:t>T</w:t>
      </w:r>
      <w:r w:rsidR="00ED4BD0">
        <w:t>he</w:t>
      </w:r>
      <w:r w:rsidR="00D91E35">
        <w:t xml:space="preserve"> </w:t>
      </w:r>
      <w:r w:rsidR="00A32E81">
        <w:t xml:space="preserve">following methods can be used to </w:t>
      </w:r>
      <w:r w:rsidR="00ED4BD0">
        <w:t xml:space="preserve">estimate baseline </w:t>
      </w:r>
      <w:r w:rsidR="00105338">
        <w:t>fixed and variable consumption</w:t>
      </w:r>
      <w:r w:rsidR="00EC7E59">
        <w:t>.</w:t>
      </w:r>
    </w:p>
    <w:p w14:paraId="66E2E581" w14:textId="33EC5584" w:rsidR="00033F69" w:rsidRDefault="00105338" w:rsidP="00FF0098">
      <w:pPr>
        <w:tabs>
          <w:tab w:val="left" w:pos="0"/>
        </w:tabs>
      </w:pPr>
      <w:r>
        <w:t xml:space="preserve">For </w:t>
      </w:r>
      <w:hyperlink w:anchor="FEC" w:history="1">
        <w:r w:rsidRPr="00686246">
          <w:rPr>
            <w:rStyle w:val="Hyperlink"/>
          </w:rPr>
          <w:t xml:space="preserve">Fixed </w:t>
        </w:r>
        <w:r w:rsidR="00BD2A2E" w:rsidRPr="00686246">
          <w:rPr>
            <w:rStyle w:val="Hyperlink"/>
          </w:rPr>
          <w:t>Energy</w:t>
        </w:r>
        <w:r w:rsidRPr="00686246">
          <w:rPr>
            <w:rStyle w:val="Hyperlink"/>
          </w:rPr>
          <w:t xml:space="preserve"> Consumption</w:t>
        </w:r>
        <w:r w:rsidR="00686246" w:rsidRPr="00686246">
          <w:rPr>
            <w:rStyle w:val="Hyperlink"/>
          </w:rPr>
          <w:t xml:space="preserve"> (FEC)</w:t>
        </w:r>
      </w:hyperlink>
      <w:r>
        <w:t>:</w:t>
      </w:r>
      <w:r w:rsidR="00ED4BD0">
        <w:t xml:space="preserve"> </w:t>
      </w:r>
    </w:p>
    <w:p w14:paraId="6C2F4D70" w14:textId="64FD55C9" w:rsidR="00BD2A2E" w:rsidRDefault="00325062" w:rsidP="00BD2A2E">
      <w:pPr>
        <w:pStyle w:val="ListParagraph"/>
        <w:numPr>
          <w:ilvl w:val="0"/>
          <w:numId w:val="167"/>
        </w:numPr>
        <w:tabs>
          <w:tab w:val="left" w:pos="0"/>
        </w:tabs>
      </w:pPr>
      <w:r>
        <w:t>u</w:t>
      </w:r>
      <w:r w:rsidR="00BD2A2E">
        <w:t>sing meter readings taken during periods when the facility is ready to produce but production lines have not started</w:t>
      </w:r>
    </w:p>
    <w:p w14:paraId="0973FE2E" w14:textId="017E4A84" w:rsidR="00BD2A2E" w:rsidRDefault="00325062" w:rsidP="00C72D95">
      <w:pPr>
        <w:pStyle w:val="ListParagraph"/>
        <w:numPr>
          <w:ilvl w:val="0"/>
          <w:numId w:val="167"/>
        </w:numPr>
        <w:tabs>
          <w:tab w:val="left" w:pos="0"/>
        </w:tabs>
      </w:pPr>
      <w:r>
        <w:t>u</w:t>
      </w:r>
      <w:r w:rsidR="00BD2A2E">
        <w:t xml:space="preserve">sing an estimation method in a similar way that ineligible energy is calculated in the </w:t>
      </w:r>
      <w:hyperlink w:anchor="seventypercentrule" w:history="1">
        <w:r w:rsidR="00BD2A2E" w:rsidRPr="005F044C">
          <w:rPr>
            <w:rStyle w:val="Hyperlink"/>
          </w:rPr>
          <w:t>70% rule</w:t>
        </w:r>
      </w:hyperlink>
      <w:r w:rsidR="00BD2A2E">
        <w:t xml:space="preserve"> assessment</w:t>
      </w:r>
    </w:p>
    <w:p w14:paraId="0579A2F4" w14:textId="77777777" w:rsidR="00290AA4" w:rsidRDefault="00290AA4" w:rsidP="00290AA4">
      <w:pPr>
        <w:pStyle w:val="ListParagraph"/>
        <w:numPr>
          <w:ilvl w:val="0"/>
          <w:numId w:val="167"/>
        </w:numPr>
        <w:tabs>
          <w:tab w:val="left" w:pos="0"/>
        </w:tabs>
      </w:pPr>
      <w:r>
        <w:t>linear regression analysis of energy consumption and throughput data</w:t>
      </w:r>
    </w:p>
    <w:p w14:paraId="00B59CA3" w14:textId="035CF6D2" w:rsidR="00BD2A2E" w:rsidRDefault="00BD2A2E" w:rsidP="00FF0098">
      <w:pPr>
        <w:tabs>
          <w:tab w:val="left" w:pos="0"/>
        </w:tabs>
      </w:pPr>
      <w:r>
        <w:lastRenderedPageBreak/>
        <w:t xml:space="preserve">For </w:t>
      </w:r>
      <w:hyperlink w:anchor="VEC" w:history="1">
        <w:r w:rsidRPr="00686246">
          <w:rPr>
            <w:rStyle w:val="Hyperlink"/>
          </w:rPr>
          <w:t>Variable Energy Consumption</w:t>
        </w:r>
        <w:r w:rsidR="00686246" w:rsidRPr="00686246">
          <w:rPr>
            <w:rStyle w:val="Hyperlink"/>
          </w:rPr>
          <w:t xml:space="preserve"> (VEC)</w:t>
        </w:r>
      </w:hyperlink>
      <w:r w:rsidR="1DDB80B8">
        <w:t>:</w:t>
      </w:r>
    </w:p>
    <w:p w14:paraId="00506003" w14:textId="19C0F8DC" w:rsidR="002C3453" w:rsidRDefault="00325062" w:rsidP="002C3453">
      <w:pPr>
        <w:pStyle w:val="ListParagraph"/>
        <w:numPr>
          <w:ilvl w:val="0"/>
          <w:numId w:val="167"/>
        </w:numPr>
        <w:tabs>
          <w:tab w:val="left" w:pos="0"/>
        </w:tabs>
      </w:pPr>
      <w:r>
        <w:t>s</w:t>
      </w:r>
      <w:r w:rsidR="002C3453">
        <w:t>ub-meter and product run data (which may exclude FEC at the facility) to determine the VEC</w:t>
      </w:r>
    </w:p>
    <w:p w14:paraId="22FA3D48" w14:textId="063A4366" w:rsidR="002C3453" w:rsidRDefault="002F1E9C" w:rsidP="00C72D95">
      <w:pPr>
        <w:pStyle w:val="ListParagraph"/>
        <w:numPr>
          <w:ilvl w:val="0"/>
          <w:numId w:val="167"/>
        </w:numPr>
        <w:tabs>
          <w:tab w:val="left" w:pos="0"/>
        </w:tabs>
      </w:pPr>
      <w:r>
        <w:t>linear</w:t>
      </w:r>
      <w:r w:rsidR="00325062">
        <w:t xml:space="preserve"> </w:t>
      </w:r>
      <w:r w:rsidR="002C3453">
        <w:t xml:space="preserve">regression analysis of energy consumption </w:t>
      </w:r>
      <w:r w:rsidR="00290AA4">
        <w:t xml:space="preserve">and throughput </w:t>
      </w:r>
      <w:r w:rsidR="002C3453">
        <w:t>data</w:t>
      </w:r>
    </w:p>
    <w:p w14:paraId="030AC0A7" w14:textId="3EA70BF6" w:rsidR="002C3453" w:rsidRDefault="002C3453" w:rsidP="00FF0098">
      <w:pPr>
        <w:tabs>
          <w:tab w:val="left" w:pos="0"/>
        </w:tabs>
      </w:pPr>
      <w:r>
        <w:t xml:space="preserve">For both Fixed and Variable Energy Consumption: </w:t>
      </w:r>
    </w:p>
    <w:p w14:paraId="3541CC09" w14:textId="6FE038F1" w:rsidR="009C518B" w:rsidRDefault="00290AA4" w:rsidP="00ED4BD0">
      <w:pPr>
        <w:pStyle w:val="ListParagraph"/>
        <w:numPr>
          <w:ilvl w:val="0"/>
          <w:numId w:val="167"/>
        </w:numPr>
        <w:tabs>
          <w:tab w:val="left" w:pos="0"/>
        </w:tabs>
      </w:pPr>
      <w:r>
        <w:t>u</w:t>
      </w:r>
      <w:r w:rsidR="00153C2B">
        <w:t>sing bespoke analysis for more comple</w:t>
      </w:r>
      <w:r w:rsidR="00DC59C2">
        <w:t>x</w:t>
      </w:r>
      <w:r w:rsidR="00153C2B">
        <w:t xml:space="preserve"> facilities that are supported by an energy manage</w:t>
      </w:r>
      <w:r w:rsidR="00402015">
        <w:t>ment system</w:t>
      </w:r>
      <w:r w:rsidR="00153C2B">
        <w:t>, particularly for those complying with ISO 50001, for which a key element is monitoring and measuring energy consumption</w:t>
      </w:r>
      <w:r w:rsidR="00DC59C2">
        <w:t xml:space="preserve"> </w:t>
      </w:r>
    </w:p>
    <w:p w14:paraId="1B59D782" w14:textId="32116B08" w:rsidR="00B25582" w:rsidRDefault="00FC0968" w:rsidP="352D8644">
      <w:pPr>
        <w:tabs>
          <w:tab w:val="left" w:pos="0"/>
        </w:tabs>
      </w:pPr>
      <w:r>
        <w:t xml:space="preserve">For more information on calculating the </w:t>
      </w:r>
      <w:r w:rsidR="00D413C0">
        <w:t>F</w:t>
      </w:r>
      <w:r>
        <w:t xml:space="preserve">ixed and </w:t>
      </w:r>
      <w:r w:rsidR="00D413C0">
        <w:t>V</w:t>
      </w:r>
      <w:r>
        <w:t xml:space="preserve">ariable </w:t>
      </w:r>
      <w:r w:rsidR="00D413C0">
        <w:t>E</w:t>
      </w:r>
      <w:r>
        <w:t xml:space="preserve">nergy </w:t>
      </w:r>
      <w:r w:rsidR="00D413C0">
        <w:t>C</w:t>
      </w:r>
      <w:r>
        <w:t xml:space="preserve">onsumption, </w:t>
      </w:r>
      <w:r w:rsidR="00100236">
        <w:t xml:space="preserve">see Annex A of the </w:t>
      </w:r>
      <w:hyperlink r:id="rId42">
        <w:r w:rsidR="001D2294" w:rsidRPr="352D8644">
          <w:rPr>
            <w:rStyle w:val="Hyperlink"/>
          </w:rPr>
          <w:t xml:space="preserve">DESNZ </w:t>
        </w:r>
        <w:r w:rsidR="001D4FFC" w:rsidRPr="352D8644">
          <w:rPr>
            <w:rStyle w:val="Hyperlink"/>
          </w:rPr>
          <w:t>response to the consultation for a new CCA scheme.</w:t>
        </w:r>
      </w:hyperlink>
      <w:r w:rsidR="001D4FFC">
        <w:t xml:space="preserve"> </w:t>
      </w:r>
      <w:r w:rsidR="32CD9B2A" w:rsidRPr="09F68FE1">
        <w:rPr>
          <w:color w:val="000000" w:themeColor="text1"/>
        </w:rPr>
        <w:t>The 'Target calculator' workbook tool (</w:t>
      </w:r>
      <w:hyperlink w:anchor="_Appendix_H:_Workbook_1" w:history="1">
        <w:r w:rsidR="32CD9B2A" w:rsidRPr="00402015">
          <w:rPr>
            <w:rStyle w:val="Hyperlink"/>
          </w:rPr>
          <w:t>Appendix H</w:t>
        </w:r>
      </w:hyperlink>
      <w:r w:rsidR="32CD9B2A" w:rsidRPr="09F68FE1">
        <w:rPr>
          <w:color w:val="000000" w:themeColor="text1"/>
        </w:rPr>
        <w:t>) contains tabs that can be used to estimate the fixed and variable components by entering the weekly or monthly</w:t>
      </w:r>
      <w:r w:rsidR="32CD9B2A" w:rsidRPr="09F68FE1">
        <w:rPr>
          <w:color w:val="000000" w:themeColor="text1"/>
          <w:szCs w:val="24"/>
        </w:rPr>
        <w:t xml:space="preserve"> data</w:t>
      </w:r>
      <w:r w:rsidR="32CD9B2A" w:rsidRPr="09F68FE1">
        <w:rPr>
          <w:color w:val="000000" w:themeColor="text1"/>
        </w:rPr>
        <w:t>.</w:t>
      </w:r>
    </w:p>
    <w:p w14:paraId="78A3D479" w14:textId="11138D51" w:rsidR="002E5F74" w:rsidRPr="00F44CFC" w:rsidRDefault="00EC7E59" w:rsidP="001F5547">
      <w:pPr>
        <w:pStyle w:val="Heading4"/>
      </w:pPr>
      <w:r>
        <w:t xml:space="preserve">3.3.5.5. </w:t>
      </w:r>
      <w:r w:rsidR="00906B5F">
        <w:t xml:space="preserve">Changes to the facility and </w:t>
      </w:r>
      <w:r w:rsidR="00B25582">
        <w:t>facilities that recently began operating</w:t>
      </w:r>
    </w:p>
    <w:p w14:paraId="02425D81" w14:textId="2849F8E3" w:rsidR="00026E66" w:rsidRDefault="00B25582" w:rsidP="00FF0098">
      <w:pPr>
        <w:tabs>
          <w:tab w:val="left" w:pos="0"/>
        </w:tabs>
      </w:pPr>
      <w:r>
        <w:t>Paragraph</w:t>
      </w:r>
      <w:r w:rsidR="00254423">
        <w:t>s</w:t>
      </w:r>
      <w:r>
        <w:t xml:space="preserve"> 4</w:t>
      </w:r>
      <w:r w:rsidR="00F27AC4">
        <w:t xml:space="preserve"> and</w:t>
      </w:r>
      <w:r w:rsidR="00A47C91">
        <w:t xml:space="preserve"> </w:t>
      </w:r>
      <w:r>
        <w:t>5 of the Te</w:t>
      </w:r>
      <w:r w:rsidR="00F92E96">
        <w:t>chn</w:t>
      </w:r>
      <w:r>
        <w:t>ical Annex set out</w:t>
      </w:r>
      <w:r w:rsidR="005519B2">
        <w:t xml:space="preserve"> the</w:t>
      </w:r>
      <w:r>
        <w:t xml:space="preserve"> criteria </w:t>
      </w:r>
      <w:r w:rsidR="005519B2">
        <w:t>for what c</w:t>
      </w:r>
      <w:r w:rsidR="00991B78">
        <w:t>an be considered a</w:t>
      </w:r>
      <w:r w:rsidR="00F92E96">
        <w:t xml:space="preserve"> </w:t>
      </w:r>
      <w:hyperlink w:anchor="Structuralchange" w:history="1">
        <w:r w:rsidR="002737EF" w:rsidRPr="004C474C">
          <w:rPr>
            <w:rStyle w:val="Hyperlink"/>
          </w:rPr>
          <w:t>structural change</w:t>
        </w:r>
      </w:hyperlink>
      <w:r w:rsidR="002737EF">
        <w:t xml:space="preserve"> </w:t>
      </w:r>
      <w:r w:rsidR="00991B78">
        <w:t xml:space="preserve">of </w:t>
      </w:r>
      <w:r w:rsidR="00F92E96">
        <w:t xml:space="preserve">a facility. In specific scenarios, </w:t>
      </w:r>
      <w:r w:rsidR="002737EF">
        <w:t xml:space="preserve">the base year data should be reconstructed where possible (see </w:t>
      </w:r>
      <w:hyperlink w:anchor="_7.5.1._Structural_change" w:history="1">
        <w:r w:rsidR="002737EF" w:rsidRPr="005D3C02">
          <w:rPr>
            <w:rStyle w:val="Hyperlink"/>
          </w:rPr>
          <w:t>section 7.5.1</w:t>
        </w:r>
      </w:hyperlink>
      <w:r w:rsidR="002737EF">
        <w:t>).</w:t>
      </w:r>
    </w:p>
    <w:p w14:paraId="4709D695" w14:textId="5FD9AE9C" w:rsidR="00026E66" w:rsidRDefault="002737EF" w:rsidP="00FF0098">
      <w:pPr>
        <w:tabs>
          <w:tab w:val="left" w:pos="0"/>
        </w:tabs>
      </w:pPr>
      <w:r>
        <w:t>A</w:t>
      </w:r>
      <w:r w:rsidR="00991B78">
        <w:t xml:space="preserve"> facility that </w:t>
      </w:r>
      <w:r w:rsidR="00EF0881">
        <w:t>began</w:t>
      </w:r>
      <w:r w:rsidR="00991B78">
        <w:t xml:space="preserve"> operating in the 12 months prior to applying for an agreement is considered a</w:t>
      </w:r>
      <w:r>
        <w:t xml:space="preserve"> </w:t>
      </w:r>
      <w:hyperlink w:anchor="greenfield" w:history="1">
        <w:r w:rsidRPr="00BA6A51">
          <w:rPr>
            <w:rStyle w:val="Hyperlink"/>
          </w:rPr>
          <w:t>greenfield facility</w:t>
        </w:r>
      </w:hyperlink>
      <w:r w:rsidR="00C17C78">
        <w:t>.</w:t>
      </w:r>
      <w:r>
        <w:t xml:space="preserve"> The operator of a greenfield facility</w:t>
      </w:r>
      <w:r w:rsidR="004678DF">
        <w:t xml:space="preserve"> that does not yet have 12 months of energy data</w:t>
      </w:r>
      <w:r>
        <w:t xml:space="preserve"> can apply to join the CCA scheme within 12 months of starting to carry out an eligible activity. We will issue an agreement once the operator is able to start collecting the data necessary to establish a representative baseline performance. The operator must</w:t>
      </w:r>
      <w:r w:rsidR="008F0ADD">
        <w:t xml:space="preserve"> then</w:t>
      </w:r>
      <w:r>
        <w:t xml:space="preserve"> ensure the</w:t>
      </w:r>
      <w:r w:rsidR="008F0ADD">
        <w:t xml:space="preserve"> </w:t>
      </w:r>
      <w:r w:rsidR="005773DF">
        <w:t>actual</w:t>
      </w:r>
      <w:r>
        <w:t xml:space="preserve"> baseline data is complete and supply us with this no later than 12 months after the start date of its agreement. More information on how to deal with greenfield facilities is given in </w:t>
      </w:r>
      <w:hyperlink w:anchor="_4.3._Brownfield_and" w:history="1">
        <w:r>
          <w:rPr>
            <w:rStyle w:val="Hyperlink"/>
          </w:rPr>
          <w:t>section 4.3</w:t>
        </w:r>
      </w:hyperlink>
      <w:r>
        <w:t xml:space="preserve">. </w:t>
      </w:r>
    </w:p>
    <w:p w14:paraId="75D010EF" w14:textId="0C2CD078" w:rsidR="0034405B" w:rsidRDefault="002737EF" w:rsidP="00FF0098">
      <w:pPr>
        <w:tabs>
          <w:tab w:val="left" w:pos="0"/>
        </w:tabs>
      </w:pPr>
      <w:r>
        <w:t>The base year cannot be changed after an operator has entered into an agreement, subject to the rules on variations (Rule 1</w:t>
      </w:r>
      <w:r w:rsidR="000E3A2D">
        <w:t>0</w:t>
      </w:r>
      <w:r>
        <w:t>.1</w:t>
      </w:r>
      <w:r w:rsidR="009E1E74">
        <w:t xml:space="preserve"> in the underlying agreement</w:t>
      </w:r>
      <w:r>
        <w:t>).</w:t>
      </w:r>
    </w:p>
    <w:p w14:paraId="66413088" w14:textId="196E5546" w:rsidR="00026E66" w:rsidRPr="00073139" w:rsidRDefault="00EC7E59" w:rsidP="001F5547">
      <w:pPr>
        <w:pStyle w:val="Heading4"/>
      </w:pPr>
      <w:r>
        <w:t xml:space="preserve">3.3.5.6. </w:t>
      </w:r>
      <w:r w:rsidR="002737EF" w:rsidRPr="00073139">
        <w:t xml:space="preserve">How to calculate the target facility performance in the base year </w:t>
      </w:r>
    </w:p>
    <w:p w14:paraId="6DEFB0CA" w14:textId="3A069A8C" w:rsidR="00026E66" w:rsidRDefault="002737EF" w:rsidP="00FF0098">
      <w:pPr>
        <w:tabs>
          <w:tab w:val="left" w:pos="0"/>
        </w:tabs>
      </w:pPr>
      <w:r>
        <w:t>To determine their baseline performance</w:t>
      </w:r>
      <w:r w:rsidR="00114E0E">
        <w:t>,</w:t>
      </w:r>
      <w:r>
        <w:t xml:space="preserve"> operators need to: </w:t>
      </w:r>
    </w:p>
    <w:p w14:paraId="1F5E17FE" w14:textId="570FA573" w:rsidR="00026E66" w:rsidRDefault="002737EF" w:rsidP="0065356B">
      <w:pPr>
        <w:pStyle w:val="ListParagraph"/>
        <w:numPr>
          <w:ilvl w:val="0"/>
          <w:numId w:val="37"/>
        </w:numPr>
        <w:tabs>
          <w:tab w:val="left" w:pos="0"/>
        </w:tabs>
      </w:pPr>
      <w:r>
        <w:t>understand how to account for energy in the CCA scheme (</w:t>
      </w:r>
      <w:hyperlink w:anchor="_3.1._How_to" w:history="1">
        <w:r>
          <w:rPr>
            <w:rStyle w:val="Hyperlink"/>
          </w:rPr>
          <w:t>section 3.1</w:t>
        </w:r>
      </w:hyperlink>
      <w:r>
        <w:t xml:space="preserve">) </w:t>
      </w:r>
    </w:p>
    <w:p w14:paraId="77CB203F" w14:textId="77777777" w:rsidR="00026E66" w:rsidRDefault="002737EF" w:rsidP="0065356B">
      <w:pPr>
        <w:pStyle w:val="ListParagraph"/>
        <w:numPr>
          <w:ilvl w:val="0"/>
          <w:numId w:val="37"/>
        </w:numPr>
        <w:tabs>
          <w:tab w:val="left" w:pos="0"/>
        </w:tabs>
      </w:pPr>
      <w:r>
        <w:t xml:space="preserve">collect all the information on the site's energy consumption </w:t>
      </w:r>
    </w:p>
    <w:p w14:paraId="46A0FAD6" w14:textId="3BC12E70" w:rsidR="00026E66" w:rsidRDefault="002737EF" w:rsidP="0065356B">
      <w:pPr>
        <w:pStyle w:val="ListParagraph"/>
        <w:numPr>
          <w:ilvl w:val="0"/>
          <w:numId w:val="37"/>
        </w:numPr>
        <w:tabs>
          <w:tab w:val="left" w:pos="0"/>
        </w:tabs>
      </w:pPr>
      <w:r>
        <w:t>work out how much of the site’s energy consumption is consumed within the eligible facility (</w:t>
      </w:r>
      <w:hyperlink w:anchor="_3.3._Defining_and" w:history="1">
        <w:r w:rsidRPr="009E1E74">
          <w:rPr>
            <w:rStyle w:val="Hyperlink"/>
          </w:rPr>
          <w:t>section 3.</w:t>
        </w:r>
        <w:r w:rsidR="009E1E74" w:rsidRPr="009E1E74">
          <w:rPr>
            <w:rStyle w:val="Hyperlink"/>
          </w:rPr>
          <w:t>3</w:t>
        </w:r>
      </w:hyperlink>
      <w:r>
        <w:t xml:space="preserve">) </w:t>
      </w:r>
    </w:p>
    <w:p w14:paraId="28C3B797" w14:textId="21D9BF20" w:rsidR="00026E66" w:rsidRDefault="002737EF" w:rsidP="0065356B">
      <w:pPr>
        <w:pStyle w:val="ListParagraph"/>
        <w:numPr>
          <w:ilvl w:val="0"/>
          <w:numId w:val="37"/>
        </w:numPr>
        <w:tabs>
          <w:tab w:val="left" w:pos="0"/>
        </w:tabs>
      </w:pPr>
      <w:r>
        <w:t xml:space="preserve">remove from the eligible facility's energy consumption any fuel consumed within plant carrying out a </w:t>
      </w:r>
      <w:hyperlink w:anchor="Annex1activity" w:history="1">
        <w:r w:rsidR="000E3A2D">
          <w:rPr>
            <w:rStyle w:val="Hyperlink"/>
          </w:rPr>
          <w:t>Schedule 2</w:t>
        </w:r>
        <w:r>
          <w:rPr>
            <w:rStyle w:val="Hyperlink"/>
          </w:rPr>
          <w:t xml:space="preserve"> activity</w:t>
        </w:r>
      </w:hyperlink>
      <w:r>
        <w:t xml:space="preserve"> </w:t>
      </w:r>
    </w:p>
    <w:p w14:paraId="4E3C9D8F" w14:textId="351E5587" w:rsidR="000E3A2D" w:rsidRDefault="000E3A2D" w:rsidP="0065356B">
      <w:pPr>
        <w:pStyle w:val="ListParagraph"/>
        <w:numPr>
          <w:ilvl w:val="0"/>
          <w:numId w:val="37"/>
        </w:numPr>
        <w:tabs>
          <w:tab w:val="left" w:pos="0"/>
        </w:tabs>
        <w:rPr>
          <w:color w:val="000000" w:themeColor="text1"/>
        </w:rPr>
      </w:pPr>
      <w:r>
        <w:lastRenderedPageBreak/>
        <w:t>a</w:t>
      </w:r>
      <w:r w:rsidR="00EF0881">
        <w:t>ssign</w:t>
      </w:r>
      <w:r>
        <w:t xml:space="preserve"> the</w:t>
      </w:r>
      <w:r w:rsidR="00EF0881">
        <w:t xml:space="preserve"> facility’s</w:t>
      </w:r>
      <w:r>
        <w:t xml:space="preserve"> energy</w:t>
      </w:r>
      <w:r w:rsidR="008071AC">
        <w:t xml:space="preserve"> between fixed and variable consumption </w:t>
      </w:r>
    </w:p>
    <w:p w14:paraId="7766D925" w14:textId="11EE4942" w:rsidR="00026E66" w:rsidRPr="00073139" w:rsidRDefault="00EC7E59" w:rsidP="001F5547">
      <w:pPr>
        <w:pStyle w:val="Heading4"/>
      </w:pPr>
      <w:r>
        <w:t xml:space="preserve">3.3.5.7. </w:t>
      </w:r>
      <w:r w:rsidR="002737EF" w:rsidRPr="00073139">
        <w:t xml:space="preserve">Accuracy is essential </w:t>
      </w:r>
    </w:p>
    <w:p w14:paraId="3FA5509C" w14:textId="5EB25C8F" w:rsidR="00026E66" w:rsidRDefault="002737EF" w:rsidP="00FF0098">
      <w:pPr>
        <w:tabs>
          <w:tab w:val="left" w:pos="0"/>
        </w:tabs>
      </w:pPr>
      <w:r>
        <w:t xml:space="preserve">Data from energy supply meters and throughput measurements must be sufficiently accurate to enable the baseline performance to be expressed to at least </w:t>
      </w:r>
      <w:r w:rsidR="66670303">
        <w:t>5</w:t>
      </w:r>
      <w:r>
        <w:t xml:space="preserve"> significant figures. If this is not possible, please contact the </w:t>
      </w:r>
      <w:hyperlink r:id="rId43">
        <w:r w:rsidR="151A872F" w:rsidRPr="136C804C">
          <w:rPr>
            <w:rStyle w:val="Hyperlink"/>
            <w:color w:val="0070C0"/>
          </w:rPr>
          <w:t>CCA helpdesk</w:t>
        </w:r>
      </w:hyperlink>
      <w:r w:rsidR="004874DE">
        <w:t xml:space="preserve"> </w:t>
      </w:r>
      <w:r>
        <w:t>for advice.</w:t>
      </w:r>
    </w:p>
    <w:p w14:paraId="4412475D" w14:textId="78038441" w:rsidR="00026E66" w:rsidRDefault="002737EF" w:rsidP="00FF0098">
      <w:pPr>
        <w:tabs>
          <w:tab w:val="left" w:pos="0"/>
        </w:tabs>
      </w:pPr>
      <w:r>
        <w:t>Where an operator receives bulk deliveries of fuel and direct metering of the fuel used is not available, we may consider alternative methods of calculating energy consumption.</w:t>
      </w:r>
      <w:r w:rsidR="00FC355D">
        <w:t xml:space="preserve"> </w:t>
      </w:r>
      <w:r>
        <w:t xml:space="preserve">For example, it may be possible to use tank level gauge readings, or a combination of a manufacturer’s equipment energy rating and measured run hours. The alternative measures need to provide the accuracy required and must be used consistently. </w:t>
      </w:r>
    </w:p>
    <w:p w14:paraId="58636552" w14:textId="1DED9C21" w:rsidR="00026E66" w:rsidRDefault="002737EF" w:rsidP="009E1E74">
      <w:pPr>
        <w:pStyle w:val="Heading2"/>
      </w:pPr>
      <w:bookmarkStart w:id="52" w:name="_Toc242885363"/>
      <w:r>
        <w:t>3.4. How to manage energy recording and reporting when a meter fails</w:t>
      </w:r>
      <w:bookmarkEnd w:id="52"/>
      <w:r w:rsidR="00FC355D">
        <w:t xml:space="preserve"> </w:t>
      </w:r>
    </w:p>
    <w:p w14:paraId="7832DFA4" w14:textId="7B3B499B" w:rsidR="00026E66" w:rsidRDefault="002737EF" w:rsidP="00FF0098">
      <w:pPr>
        <w:tabs>
          <w:tab w:val="left" w:pos="0"/>
        </w:tabs>
      </w:pPr>
      <w:r>
        <w:t xml:space="preserve">In general, where there are gaps in data due to the failure of a meter, it is acceptable to apply an estimation technique. </w:t>
      </w:r>
      <w:hyperlink w:anchor="_Appendix_F:_Estimation" w:history="1">
        <w:r>
          <w:rPr>
            <w:rStyle w:val="Hyperlink"/>
          </w:rPr>
          <w:t>Appendix F</w:t>
        </w:r>
      </w:hyperlink>
      <w:r>
        <w:t xml:space="preserve"> includes several estimation techniques that an operator could use if a meter fails. These estimation techniques are consistent with the principles used in previous schemes. Note: no uplift is applied to any estimated consumption figures.</w:t>
      </w:r>
    </w:p>
    <w:p w14:paraId="1CC3C257" w14:textId="661CE406" w:rsidR="00073139" w:rsidRDefault="002737EF" w:rsidP="009E1E74">
      <w:pPr>
        <w:tabs>
          <w:tab w:val="left" w:pos="0"/>
        </w:tabs>
      </w:pPr>
      <w:r>
        <w:t>It is not acceptable for an operator to use an estimation technique where an energy supplier fails to provide invoices in time for reporting. It is good energy management practice for operators to take their own meter readings regularly to reduce the reliance on supplier invoices.</w:t>
      </w:r>
    </w:p>
    <w:p w14:paraId="209F329F" w14:textId="3929A54E" w:rsidR="00771B6F" w:rsidRDefault="002737EF" w:rsidP="00FF0098">
      <w:pPr>
        <w:pStyle w:val="Heading1"/>
        <w:tabs>
          <w:tab w:val="left" w:pos="0"/>
        </w:tabs>
      </w:pPr>
      <w:bookmarkStart w:id="53" w:name="_4._Setting_up"/>
      <w:bookmarkStart w:id="54" w:name="_Toc94718636"/>
      <w:bookmarkStart w:id="55" w:name="_Toc94088884"/>
      <w:bookmarkStart w:id="56" w:name="_Toc242885364"/>
      <w:bookmarkEnd w:id="53"/>
      <w:r>
        <w:t>4. Setting up a</w:t>
      </w:r>
      <w:r w:rsidR="000D5545">
        <w:t>n agreement</w:t>
      </w:r>
      <w:bookmarkEnd w:id="54"/>
      <w:bookmarkEnd w:id="55"/>
      <w:bookmarkEnd w:id="56"/>
    </w:p>
    <w:p w14:paraId="5159776A" w14:textId="519BD0D5" w:rsidR="00FB2A81" w:rsidRDefault="004E5CCF" w:rsidP="00FF0098">
      <w:pPr>
        <w:tabs>
          <w:tab w:val="left" w:pos="0"/>
        </w:tabs>
      </w:pPr>
      <w:r>
        <w:t xml:space="preserve">Operators can apply for </w:t>
      </w:r>
      <w:r w:rsidR="00F369F8">
        <w:t>a</w:t>
      </w:r>
      <w:r w:rsidR="008F5B85">
        <w:t>greements for new entrant facilities</w:t>
      </w:r>
      <w:r w:rsidR="00E9502A">
        <w:t>,</w:t>
      </w:r>
      <w:r w:rsidR="00E3348B">
        <w:t xml:space="preserve"> or </w:t>
      </w:r>
      <w:r w:rsidR="00F369F8">
        <w:t>to add a new facility to</w:t>
      </w:r>
      <w:r w:rsidR="00E3348B">
        <w:t xml:space="preserve"> existing agreement</w:t>
      </w:r>
      <w:r w:rsidR="00B956C1">
        <w:t>s</w:t>
      </w:r>
      <w:r w:rsidR="00E9502A">
        <w:t>,</w:t>
      </w:r>
      <w:r w:rsidR="00E3348B">
        <w:t xml:space="preserve"> </w:t>
      </w:r>
      <w:r w:rsidR="00DA4B20">
        <w:t xml:space="preserve">between 1 January and 31 August each year within </w:t>
      </w:r>
      <w:r w:rsidR="00D80753">
        <w:t xml:space="preserve">a </w:t>
      </w:r>
      <w:hyperlink w:anchor="Targetperiod" w:history="1">
        <w:r w:rsidR="00D80753" w:rsidRPr="00FA65A8">
          <w:rPr>
            <w:rStyle w:val="Hyperlink"/>
          </w:rPr>
          <w:t>target period</w:t>
        </w:r>
      </w:hyperlink>
      <w:r w:rsidR="00DE2985">
        <w:t xml:space="preserve"> until 31 August </w:t>
      </w:r>
      <w:r w:rsidR="00125B1D">
        <w:t>20</w:t>
      </w:r>
      <w:r w:rsidR="00353ABE">
        <w:t>29</w:t>
      </w:r>
      <w:r w:rsidR="00FB2A81">
        <w:t>.</w:t>
      </w:r>
      <w:r w:rsidR="00D80753">
        <w:t xml:space="preserve"> </w:t>
      </w:r>
    </w:p>
    <w:p w14:paraId="5F8F3840" w14:textId="171CE08C" w:rsidR="00140D41" w:rsidRDefault="00096295" w:rsidP="00FF0098">
      <w:pPr>
        <w:tabs>
          <w:tab w:val="left" w:pos="0"/>
        </w:tabs>
      </w:pPr>
      <w:r>
        <w:t>A</w:t>
      </w:r>
      <w:r w:rsidR="00194804">
        <w:t xml:space="preserve"> new or existing </w:t>
      </w:r>
      <w:r w:rsidR="00771B6F" w:rsidRPr="00771B6F">
        <w:t>operator may transfer facilities included in an existing agreement following a change of ownership</w:t>
      </w:r>
      <w:r>
        <w:t xml:space="preserve"> at any time</w:t>
      </w:r>
      <w:r w:rsidR="00771B6F" w:rsidRPr="00771B6F">
        <w:t>.</w:t>
      </w:r>
      <w:r w:rsidR="00FC355D">
        <w:t xml:space="preserve"> </w:t>
      </w:r>
      <w:r w:rsidR="00771B6F" w:rsidRPr="00771B6F">
        <w:t xml:space="preserve">Please keep this in mind when reading this section, especially </w:t>
      </w:r>
      <w:r w:rsidR="00FB2A81">
        <w:t>sections</w:t>
      </w:r>
      <w:r w:rsidR="00771B6F" w:rsidRPr="00771B6F">
        <w:t xml:space="preserve"> </w:t>
      </w:r>
      <w:hyperlink w:anchor="_4.3._Brownfield_and" w:history="1">
        <w:r w:rsidR="00771B6F" w:rsidRPr="002542E4">
          <w:rPr>
            <w:rStyle w:val="Hyperlink"/>
          </w:rPr>
          <w:t>4.3</w:t>
        </w:r>
      </w:hyperlink>
      <w:r w:rsidR="00771B6F" w:rsidRPr="00771B6F">
        <w:t xml:space="preserve"> and </w:t>
      </w:r>
      <w:hyperlink w:anchor="_4.5._Including/Excluding_a" w:history="1">
        <w:r w:rsidR="00FB2A81" w:rsidRPr="00FB2A81">
          <w:rPr>
            <w:rStyle w:val="Hyperlink"/>
          </w:rPr>
          <w:t>4.5</w:t>
        </w:r>
      </w:hyperlink>
      <w:r w:rsidR="00771B6F" w:rsidRPr="00771B6F">
        <w:t>.</w:t>
      </w:r>
    </w:p>
    <w:p w14:paraId="6EA2C245" w14:textId="77777777" w:rsidR="00026E66" w:rsidRDefault="002737EF" w:rsidP="00FF0098">
      <w:pPr>
        <w:pStyle w:val="Heading2"/>
        <w:tabs>
          <w:tab w:val="left" w:pos="0"/>
        </w:tabs>
      </w:pPr>
      <w:bookmarkStart w:id="57" w:name="_Toc94718637"/>
      <w:bookmarkStart w:id="58" w:name="_Toc94088885"/>
      <w:bookmarkStart w:id="59" w:name="_Toc242885365"/>
      <w:r>
        <w:t>4.1. Target and certification periods</w:t>
      </w:r>
      <w:bookmarkEnd w:id="57"/>
      <w:bookmarkEnd w:id="58"/>
      <w:bookmarkEnd w:id="59"/>
      <w:r>
        <w:t xml:space="preserve"> </w:t>
      </w:r>
    </w:p>
    <w:p w14:paraId="68653445" w14:textId="6D1A2B8A" w:rsidR="00AB335D" w:rsidRDefault="002737EF" w:rsidP="00FF0098">
      <w:pPr>
        <w:tabs>
          <w:tab w:val="left" w:pos="0"/>
        </w:tabs>
      </w:pPr>
      <w:r>
        <w:t xml:space="preserve">The </w:t>
      </w:r>
      <w:r w:rsidR="0069433B">
        <w:t xml:space="preserve">CCA scheme has </w:t>
      </w:r>
      <w:r w:rsidR="00A33695">
        <w:t>nine</w:t>
      </w:r>
      <w:r w:rsidR="0069433B">
        <w:t xml:space="preserve"> target periods</w:t>
      </w:r>
      <w:r w:rsidR="00FB2A81">
        <w:t xml:space="preserve"> as detailed in the table below: </w:t>
      </w:r>
    </w:p>
    <w:tbl>
      <w:tblPr>
        <w:tblStyle w:val="TableGrid0"/>
        <w:tblW w:w="0" w:type="auto"/>
        <w:tblLook w:val="04A0" w:firstRow="1" w:lastRow="0" w:firstColumn="1" w:lastColumn="0" w:noHBand="0" w:noVBand="1"/>
      </w:tblPr>
      <w:tblGrid>
        <w:gridCol w:w="3209"/>
        <w:gridCol w:w="3209"/>
        <w:gridCol w:w="3209"/>
      </w:tblGrid>
      <w:tr w:rsidR="00AB335D" w14:paraId="172E5869" w14:textId="77777777" w:rsidTr="00AB335D">
        <w:tc>
          <w:tcPr>
            <w:tcW w:w="3209" w:type="dxa"/>
          </w:tcPr>
          <w:p w14:paraId="69BEDF60" w14:textId="19E64AD9" w:rsidR="00AB335D" w:rsidRPr="0007291C" w:rsidRDefault="00AB335D" w:rsidP="00FF0098">
            <w:pPr>
              <w:tabs>
                <w:tab w:val="left" w:pos="0"/>
              </w:tabs>
              <w:rPr>
                <w:b/>
                <w:bCs/>
              </w:rPr>
            </w:pPr>
            <w:r w:rsidRPr="0007291C">
              <w:rPr>
                <w:b/>
                <w:bCs/>
              </w:rPr>
              <w:t>Target Period</w:t>
            </w:r>
          </w:p>
        </w:tc>
        <w:tc>
          <w:tcPr>
            <w:tcW w:w="3210" w:type="dxa"/>
          </w:tcPr>
          <w:p w14:paraId="5A8C4C27" w14:textId="00092A8C" w:rsidR="00AB335D" w:rsidRPr="0007291C" w:rsidRDefault="00051665" w:rsidP="00FF0098">
            <w:pPr>
              <w:tabs>
                <w:tab w:val="left" w:pos="0"/>
              </w:tabs>
              <w:rPr>
                <w:b/>
                <w:bCs/>
              </w:rPr>
            </w:pPr>
            <w:r w:rsidRPr="0007291C">
              <w:rPr>
                <w:b/>
                <w:bCs/>
              </w:rPr>
              <w:t>Target Period starts</w:t>
            </w:r>
          </w:p>
        </w:tc>
        <w:tc>
          <w:tcPr>
            <w:tcW w:w="3210" w:type="dxa"/>
          </w:tcPr>
          <w:p w14:paraId="53524BAF" w14:textId="21882832" w:rsidR="00AB335D" w:rsidRPr="0007291C" w:rsidRDefault="00051665" w:rsidP="00FF0098">
            <w:pPr>
              <w:tabs>
                <w:tab w:val="left" w:pos="0"/>
              </w:tabs>
              <w:rPr>
                <w:b/>
                <w:bCs/>
              </w:rPr>
            </w:pPr>
            <w:r w:rsidRPr="0007291C">
              <w:rPr>
                <w:b/>
                <w:bCs/>
              </w:rPr>
              <w:t>Target Period ends</w:t>
            </w:r>
          </w:p>
        </w:tc>
      </w:tr>
      <w:tr w:rsidR="00051665" w14:paraId="09C56DFC" w14:textId="77777777" w:rsidTr="00AB335D">
        <w:tc>
          <w:tcPr>
            <w:tcW w:w="3209" w:type="dxa"/>
          </w:tcPr>
          <w:p w14:paraId="4E3E2EF3" w14:textId="4AA001A9" w:rsidR="00051665" w:rsidRDefault="00051665" w:rsidP="00FF0098">
            <w:pPr>
              <w:tabs>
                <w:tab w:val="left" w:pos="0"/>
              </w:tabs>
            </w:pPr>
            <w:r>
              <w:lastRenderedPageBreak/>
              <w:t>1</w:t>
            </w:r>
          </w:p>
        </w:tc>
        <w:tc>
          <w:tcPr>
            <w:tcW w:w="3210" w:type="dxa"/>
          </w:tcPr>
          <w:p w14:paraId="429C0821" w14:textId="02420EE9" w:rsidR="00051665" w:rsidRDefault="00051665" w:rsidP="00FF0098">
            <w:pPr>
              <w:tabs>
                <w:tab w:val="left" w:pos="0"/>
              </w:tabs>
            </w:pPr>
            <w:r>
              <w:t>1 January 2013</w:t>
            </w:r>
          </w:p>
        </w:tc>
        <w:tc>
          <w:tcPr>
            <w:tcW w:w="3210" w:type="dxa"/>
          </w:tcPr>
          <w:p w14:paraId="76F0AA62" w14:textId="719AE72C" w:rsidR="00051665" w:rsidRDefault="0034785E" w:rsidP="00FF0098">
            <w:pPr>
              <w:tabs>
                <w:tab w:val="left" w:pos="0"/>
              </w:tabs>
            </w:pPr>
            <w:r>
              <w:t>31 December 2014</w:t>
            </w:r>
          </w:p>
        </w:tc>
      </w:tr>
      <w:tr w:rsidR="00051665" w14:paraId="0496BE7F" w14:textId="77777777" w:rsidTr="00AB335D">
        <w:tc>
          <w:tcPr>
            <w:tcW w:w="3209" w:type="dxa"/>
          </w:tcPr>
          <w:p w14:paraId="712EBC2B" w14:textId="7E525FE9" w:rsidR="00051665" w:rsidRDefault="00051665" w:rsidP="00FF0098">
            <w:pPr>
              <w:tabs>
                <w:tab w:val="left" w:pos="0"/>
              </w:tabs>
            </w:pPr>
            <w:r>
              <w:t>2</w:t>
            </w:r>
          </w:p>
        </w:tc>
        <w:tc>
          <w:tcPr>
            <w:tcW w:w="3210" w:type="dxa"/>
          </w:tcPr>
          <w:p w14:paraId="28F5A519" w14:textId="1E83C7C9" w:rsidR="00051665" w:rsidRDefault="00BD3001" w:rsidP="00FF0098">
            <w:pPr>
              <w:tabs>
                <w:tab w:val="left" w:pos="0"/>
              </w:tabs>
            </w:pPr>
            <w:r>
              <w:t>1 January 2015</w:t>
            </w:r>
          </w:p>
        </w:tc>
        <w:tc>
          <w:tcPr>
            <w:tcW w:w="3210" w:type="dxa"/>
          </w:tcPr>
          <w:p w14:paraId="72CB8413" w14:textId="51C77CF2" w:rsidR="00051665" w:rsidRDefault="0034785E" w:rsidP="00FF0098">
            <w:pPr>
              <w:tabs>
                <w:tab w:val="left" w:pos="0"/>
              </w:tabs>
            </w:pPr>
            <w:r>
              <w:t>31 December 2016</w:t>
            </w:r>
          </w:p>
        </w:tc>
      </w:tr>
      <w:tr w:rsidR="00051665" w14:paraId="22A21D4F" w14:textId="77777777" w:rsidTr="00AB335D">
        <w:tc>
          <w:tcPr>
            <w:tcW w:w="3209" w:type="dxa"/>
          </w:tcPr>
          <w:p w14:paraId="0702F65E" w14:textId="06928B43" w:rsidR="00051665" w:rsidRDefault="00051665" w:rsidP="00FF0098">
            <w:pPr>
              <w:tabs>
                <w:tab w:val="left" w:pos="0"/>
              </w:tabs>
            </w:pPr>
            <w:r>
              <w:t>3</w:t>
            </w:r>
          </w:p>
        </w:tc>
        <w:tc>
          <w:tcPr>
            <w:tcW w:w="3210" w:type="dxa"/>
          </w:tcPr>
          <w:p w14:paraId="17B21F89" w14:textId="0485588C" w:rsidR="00051665" w:rsidRDefault="00BD3001" w:rsidP="00FF0098">
            <w:pPr>
              <w:tabs>
                <w:tab w:val="left" w:pos="0"/>
              </w:tabs>
            </w:pPr>
            <w:r>
              <w:t>1 January 2017</w:t>
            </w:r>
          </w:p>
        </w:tc>
        <w:tc>
          <w:tcPr>
            <w:tcW w:w="3210" w:type="dxa"/>
          </w:tcPr>
          <w:p w14:paraId="277084C4" w14:textId="3CCB98D2" w:rsidR="00051665" w:rsidRDefault="0034785E" w:rsidP="00FF0098">
            <w:pPr>
              <w:tabs>
                <w:tab w:val="left" w:pos="0"/>
              </w:tabs>
            </w:pPr>
            <w:r>
              <w:t>31 December 2018</w:t>
            </w:r>
          </w:p>
        </w:tc>
      </w:tr>
      <w:tr w:rsidR="00051665" w14:paraId="72C86A74" w14:textId="77777777" w:rsidTr="00AB335D">
        <w:tc>
          <w:tcPr>
            <w:tcW w:w="3209" w:type="dxa"/>
          </w:tcPr>
          <w:p w14:paraId="65C9D630" w14:textId="23622835" w:rsidR="00051665" w:rsidRDefault="00051665" w:rsidP="00FF0098">
            <w:pPr>
              <w:tabs>
                <w:tab w:val="left" w:pos="0"/>
              </w:tabs>
            </w:pPr>
            <w:r>
              <w:t>4</w:t>
            </w:r>
          </w:p>
        </w:tc>
        <w:tc>
          <w:tcPr>
            <w:tcW w:w="3210" w:type="dxa"/>
          </w:tcPr>
          <w:p w14:paraId="0B2AD9D7" w14:textId="051B856A" w:rsidR="00051665" w:rsidRDefault="00BD3001" w:rsidP="00FF0098">
            <w:pPr>
              <w:tabs>
                <w:tab w:val="left" w:pos="0"/>
              </w:tabs>
            </w:pPr>
            <w:r>
              <w:t>1 January 2019</w:t>
            </w:r>
          </w:p>
        </w:tc>
        <w:tc>
          <w:tcPr>
            <w:tcW w:w="3210" w:type="dxa"/>
          </w:tcPr>
          <w:p w14:paraId="05F3BDE3" w14:textId="3BE30650" w:rsidR="00051665" w:rsidRDefault="0034785E" w:rsidP="00FF0098">
            <w:pPr>
              <w:tabs>
                <w:tab w:val="left" w:pos="0"/>
              </w:tabs>
            </w:pPr>
            <w:r>
              <w:t>31 December 2020</w:t>
            </w:r>
          </w:p>
        </w:tc>
      </w:tr>
      <w:tr w:rsidR="00051665" w14:paraId="575AB705" w14:textId="77777777" w:rsidTr="00AB335D">
        <w:tc>
          <w:tcPr>
            <w:tcW w:w="3209" w:type="dxa"/>
          </w:tcPr>
          <w:p w14:paraId="2F4C5AA3" w14:textId="34CC288B" w:rsidR="00051665" w:rsidRDefault="00051665" w:rsidP="00FF0098">
            <w:pPr>
              <w:tabs>
                <w:tab w:val="left" w:pos="0"/>
              </w:tabs>
            </w:pPr>
            <w:r>
              <w:t>5</w:t>
            </w:r>
          </w:p>
        </w:tc>
        <w:tc>
          <w:tcPr>
            <w:tcW w:w="3210" w:type="dxa"/>
          </w:tcPr>
          <w:p w14:paraId="1F3DF635" w14:textId="342F33D0" w:rsidR="00051665" w:rsidRDefault="00BD3001" w:rsidP="00FF0098">
            <w:pPr>
              <w:tabs>
                <w:tab w:val="left" w:pos="0"/>
              </w:tabs>
            </w:pPr>
            <w:r>
              <w:t>1 January 2021</w:t>
            </w:r>
          </w:p>
        </w:tc>
        <w:tc>
          <w:tcPr>
            <w:tcW w:w="3210" w:type="dxa"/>
          </w:tcPr>
          <w:p w14:paraId="271B24AD" w14:textId="7074BF4F" w:rsidR="00051665" w:rsidRDefault="0034785E" w:rsidP="00FF0098">
            <w:pPr>
              <w:tabs>
                <w:tab w:val="left" w:pos="0"/>
              </w:tabs>
            </w:pPr>
            <w:r>
              <w:t>31 December 2022</w:t>
            </w:r>
          </w:p>
        </w:tc>
      </w:tr>
      <w:tr w:rsidR="00051665" w14:paraId="47CE6D9D" w14:textId="77777777" w:rsidTr="00AB335D">
        <w:tc>
          <w:tcPr>
            <w:tcW w:w="3209" w:type="dxa"/>
          </w:tcPr>
          <w:p w14:paraId="568F8FB3" w14:textId="173C3943" w:rsidR="00051665" w:rsidRDefault="00051665" w:rsidP="00FF0098">
            <w:pPr>
              <w:tabs>
                <w:tab w:val="left" w:pos="0"/>
              </w:tabs>
            </w:pPr>
            <w:r>
              <w:t>6</w:t>
            </w:r>
          </w:p>
        </w:tc>
        <w:tc>
          <w:tcPr>
            <w:tcW w:w="3210" w:type="dxa"/>
          </w:tcPr>
          <w:p w14:paraId="5C88BBAA" w14:textId="0E2CC1F7" w:rsidR="00051665" w:rsidRDefault="00BD3001" w:rsidP="00FF0098">
            <w:pPr>
              <w:tabs>
                <w:tab w:val="left" w:pos="0"/>
              </w:tabs>
            </w:pPr>
            <w:r>
              <w:t>1 January 2024</w:t>
            </w:r>
          </w:p>
        </w:tc>
        <w:tc>
          <w:tcPr>
            <w:tcW w:w="3210" w:type="dxa"/>
          </w:tcPr>
          <w:p w14:paraId="04944958" w14:textId="3DC7398F" w:rsidR="00051665" w:rsidRDefault="00530241" w:rsidP="00FF0098">
            <w:pPr>
              <w:tabs>
                <w:tab w:val="left" w:pos="0"/>
              </w:tabs>
            </w:pPr>
            <w:r>
              <w:t>31 December 2024</w:t>
            </w:r>
          </w:p>
        </w:tc>
      </w:tr>
      <w:tr w:rsidR="00051665" w14:paraId="299FD8A8" w14:textId="77777777" w:rsidTr="00AB335D">
        <w:tc>
          <w:tcPr>
            <w:tcW w:w="3209" w:type="dxa"/>
          </w:tcPr>
          <w:p w14:paraId="0C777E4F" w14:textId="657D4826" w:rsidR="00051665" w:rsidRDefault="00051665" w:rsidP="00FF0098">
            <w:pPr>
              <w:tabs>
                <w:tab w:val="left" w:pos="0"/>
              </w:tabs>
            </w:pPr>
            <w:r>
              <w:t>7</w:t>
            </w:r>
          </w:p>
        </w:tc>
        <w:tc>
          <w:tcPr>
            <w:tcW w:w="3210" w:type="dxa"/>
          </w:tcPr>
          <w:p w14:paraId="5F3546F5" w14:textId="27E03CE7" w:rsidR="00051665" w:rsidRDefault="00BD3001" w:rsidP="00FF0098">
            <w:pPr>
              <w:tabs>
                <w:tab w:val="left" w:pos="0"/>
              </w:tabs>
            </w:pPr>
            <w:r>
              <w:t>1 January 2026</w:t>
            </w:r>
          </w:p>
        </w:tc>
        <w:tc>
          <w:tcPr>
            <w:tcW w:w="3210" w:type="dxa"/>
          </w:tcPr>
          <w:p w14:paraId="19F00FEE" w14:textId="710A09FB" w:rsidR="00051665" w:rsidRDefault="00530241" w:rsidP="00FF0098">
            <w:pPr>
              <w:tabs>
                <w:tab w:val="left" w:pos="0"/>
              </w:tabs>
            </w:pPr>
            <w:r>
              <w:t>31 December 2026</w:t>
            </w:r>
          </w:p>
        </w:tc>
      </w:tr>
      <w:tr w:rsidR="00051665" w14:paraId="5341FBAF" w14:textId="77777777" w:rsidTr="00AB335D">
        <w:tc>
          <w:tcPr>
            <w:tcW w:w="3209" w:type="dxa"/>
          </w:tcPr>
          <w:p w14:paraId="334D51D4" w14:textId="0D744973" w:rsidR="00051665" w:rsidRDefault="00051665" w:rsidP="00FF0098">
            <w:pPr>
              <w:tabs>
                <w:tab w:val="left" w:pos="0"/>
              </w:tabs>
            </w:pPr>
            <w:r>
              <w:t>8</w:t>
            </w:r>
          </w:p>
        </w:tc>
        <w:tc>
          <w:tcPr>
            <w:tcW w:w="3210" w:type="dxa"/>
          </w:tcPr>
          <w:p w14:paraId="38490F61" w14:textId="3E3E82CC" w:rsidR="00051665" w:rsidRDefault="00BD3001" w:rsidP="00FF0098">
            <w:pPr>
              <w:tabs>
                <w:tab w:val="left" w:pos="0"/>
              </w:tabs>
            </w:pPr>
            <w:r>
              <w:t>1 January 2027</w:t>
            </w:r>
          </w:p>
        </w:tc>
        <w:tc>
          <w:tcPr>
            <w:tcW w:w="3210" w:type="dxa"/>
          </w:tcPr>
          <w:p w14:paraId="65DFBC26" w14:textId="4D07C4CD" w:rsidR="00051665" w:rsidRDefault="00530241" w:rsidP="00FF0098">
            <w:pPr>
              <w:tabs>
                <w:tab w:val="left" w:pos="0"/>
              </w:tabs>
            </w:pPr>
            <w:r>
              <w:t>31 December 2028</w:t>
            </w:r>
          </w:p>
        </w:tc>
      </w:tr>
      <w:tr w:rsidR="00051665" w14:paraId="770BABDC" w14:textId="77777777" w:rsidTr="00AB335D">
        <w:tc>
          <w:tcPr>
            <w:tcW w:w="3209" w:type="dxa"/>
          </w:tcPr>
          <w:p w14:paraId="4D4494B4" w14:textId="45C03832" w:rsidR="00051665" w:rsidRDefault="00051665" w:rsidP="00FF0098">
            <w:pPr>
              <w:tabs>
                <w:tab w:val="left" w:pos="0"/>
              </w:tabs>
            </w:pPr>
            <w:r>
              <w:t>9</w:t>
            </w:r>
          </w:p>
        </w:tc>
        <w:tc>
          <w:tcPr>
            <w:tcW w:w="3210" w:type="dxa"/>
          </w:tcPr>
          <w:p w14:paraId="5B098911" w14:textId="588315A3" w:rsidR="00051665" w:rsidRDefault="00BD3001" w:rsidP="00FF0098">
            <w:pPr>
              <w:tabs>
                <w:tab w:val="left" w:pos="0"/>
              </w:tabs>
            </w:pPr>
            <w:r>
              <w:t>1 January 2029</w:t>
            </w:r>
          </w:p>
        </w:tc>
        <w:tc>
          <w:tcPr>
            <w:tcW w:w="3210" w:type="dxa"/>
          </w:tcPr>
          <w:p w14:paraId="17DC3C8D" w14:textId="01CCF3EF" w:rsidR="00051665" w:rsidRDefault="00530241" w:rsidP="00FF0098">
            <w:pPr>
              <w:tabs>
                <w:tab w:val="left" w:pos="0"/>
              </w:tabs>
            </w:pPr>
            <w:r>
              <w:t>31 December 2030</w:t>
            </w:r>
          </w:p>
        </w:tc>
      </w:tr>
    </w:tbl>
    <w:p w14:paraId="2CBCCA32" w14:textId="68851484" w:rsidR="00026E66" w:rsidRDefault="002737EF" w:rsidP="00FF0098">
      <w:pPr>
        <w:tabs>
          <w:tab w:val="left" w:pos="0"/>
        </w:tabs>
      </w:pPr>
      <w:r>
        <w:t xml:space="preserve">We set targets for each of the target periods using the relevant </w:t>
      </w:r>
      <w:hyperlink w:anchor="baseyear" w:history="1">
        <w:r>
          <w:rPr>
            <w:rStyle w:val="Hyperlink"/>
          </w:rPr>
          <w:t>base year</w:t>
        </w:r>
      </w:hyperlink>
      <w:r>
        <w:t xml:space="preserve"> performance and the </w:t>
      </w:r>
      <w:hyperlink w:anchor="Sectorcommitment" w:history="1">
        <w:r w:rsidRPr="00021E17">
          <w:rPr>
            <w:rStyle w:val="Hyperlink"/>
          </w:rPr>
          <w:t>sector commitments</w:t>
        </w:r>
      </w:hyperlink>
      <w:r>
        <w:t>.</w:t>
      </w:r>
    </w:p>
    <w:p w14:paraId="4D9803C2" w14:textId="5728AD45" w:rsidR="0007291C" w:rsidRDefault="004B2104" w:rsidP="00FF0098">
      <w:pPr>
        <w:tabs>
          <w:tab w:val="left" w:pos="0"/>
        </w:tabs>
      </w:pPr>
      <w:r>
        <w:t xml:space="preserve">The CCA scheme has 10 </w:t>
      </w:r>
      <w:hyperlink w:anchor="Certificationperiod" w:history="1">
        <w:r w:rsidRPr="007969BF">
          <w:rPr>
            <w:rStyle w:val="Hyperlink"/>
          </w:rPr>
          <w:t>certification periods</w:t>
        </w:r>
      </w:hyperlink>
      <w:r w:rsidR="00D34D6C">
        <w:t>. The individual certification periods are defined in the agreement and follow on from each other continuously. The certification periods are provided in the table below</w:t>
      </w:r>
      <w:r w:rsidR="00EC7E59">
        <w:t>.</w:t>
      </w:r>
      <w:r w:rsidR="00D34D6C">
        <w:t xml:space="preserve"> </w:t>
      </w:r>
    </w:p>
    <w:tbl>
      <w:tblPr>
        <w:tblStyle w:val="TableGrid0"/>
        <w:tblW w:w="0" w:type="auto"/>
        <w:tblLook w:val="04A0" w:firstRow="1" w:lastRow="0" w:firstColumn="1" w:lastColumn="0" w:noHBand="0" w:noVBand="1"/>
      </w:tblPr>
      <w:tblGrid>
        <w:gridCol w:w="3209"/>
        <w:gridCol w:w="3209"/>
        <w:gridCol w:w="3209"/>
      </w:tblGrid>
      <w:tr w:rsidR="00D34D6C" w14:paraId="45316977" w14:textId="77777777" w:rsidTr="00D34D6C">
        <w:tc>
          <w:tcPr>
            <w:tcW w:w="3209" w:type="dxa"/>
          </w:tcPr>
          <w:p w14:paraId="7D2E8037" w14:textId="4A93BD7E" w:rsidR="00D34D6C" w:rsidRPr="0007291C" w:rsidRDefault="00D34D6C" w:rsidP="00FF0098">
            <w:pPr>
              <w:tabs>
                <w:tab w:val="left" w:pos="0"/>
              </w:tabs>
              <w:rPr>
                <w:b/>
                <w:bCs/>
              </w:rPr>
            </w:pPr>
            <w:r w:rsidRPr="0007291C">
              <w:rPr>
                <w:b/>
                <w:bCs/>
              </w:rPr>
              <w:t>Certification Period</w:t>
            </w:r>
          </w:p>
        </w:tc>
        <w:tc>
          <w:tcPr>
            <w:tcW w:w="3210" w:type="dxa"/>
          </w:tcPr>
          <w:p w14:paraId="7BF9AE98" w14:textId="6EDD97E5" w:rsidR="00D34D6C" w:rsidRPr="0007291C" w:rsidRDefault="00D34D6C" w:rsidP="00FF0098">
            <w:pPr>
              <w:tabs>
                <w:tab w:val="left" w:pos="0"/>
              </w:tabs>
              <w:rPr>
                <w:b/>
                <w:bCs/>
              </w:rPr>
            </w:pPr>
            <w:r w:rsidRPr="0007291C">
              <w:rPr>
                <w:b/>
                <w:bCs/>
              </w:rPr>
              <w:t>Certification Period starts</w:t>
            </w:r>
          </w:p>
        </w:tc>
        <w:tc>
          <w:tcPr>
            <w:tcW w:w="3210" w:type="dxa"/>
          </w:tcPr>
          <w:p w14:paraId="34ABFDB9" w14:textId="3F50D76E" w:rsidR="00D34D6C" w:rsidRPr="0007291C" w:rsidRDefault="00D34D6C" w:rsidP="00FF0098">
            <w:pPr>
              <w:tabs>
                <w:tab w:val="left" w:pos="0"/>
              </w:tabs>
              <w:rPr>
                <w:b/>
                <w:bCs/>
              </w:rPr>
            </w:pPr>
            <w:r w:rsidRPr="0007291C">
              <w:rPr>
                <w:b/>
                <w:bCs/>
              </w:rPr>
              <w:t>Certification Period ends</w:t>
            </w:r>
          </w:p>
        </w:tc>
      </w:tr>
      <w:tr w:rsidR="00D34D6C" w14:paraId="4252C4FC" w14:textId="77777777" w:rsidTr="00D34D6C">
        <w:tc>
          <w:tcPr>
            <w:tcW w:w="3209" w:type="dxa"/>
          </w:tcPr>
          <w:p w14:paraId="13A7CA1B" w14:textId="2AAE2F65" w:rsidR="00D34D6C" w:rsidRDefault="00D34D6C" w:rsidP="00FF0098">
            <w:pPr>
              <w:tabs>
                <w:tab w:val="left" w:pos="0"/>
              </w:tabs>
            </w:pPr>
            <w:r>
              <w:t>1</w:t>
            </w:r>
          </w:p>
        </w:tc>
        <w:tc>
          <w:tcPr>
            <w:tcW w:w="3210" w:type="dxa"/>
          </w:tcPr>
          <w:p w14:paraId="2701396A" w14:textId="44DDBA1F" w:rsidR="00D34D6C" w:rsidRDefault="009F0FC4" w:rsidP="00FF0098">
            <w:pPr>
              <w:tabs>
                <w:tab w:val="left" w:pos="0"/>
              </w:tabs>
            </w:pPr>
            <w:r>
              <w:t>1 April 2013</w:t>
            </w:r>
          </w:p>
        </w:tc>
        <w:tc>
          <w:tcPr>
            <w:tcW w:w="3210" w:type="dxa"/>
          </w:tcPr>
          <w:p w14:paraId="7504558C" w14:textId="32D52D51" w:rsidR="00D34D6C" w:rsidRDefault="009F0FC4" w:rsidP="00FF0098">
            <w:pPr>
              <w:tabs>
                <w:tab w:val="left" w:pos="0"/>
              </w:tabs>
            </w:pPr>
            <w:r>
              <w:t>30 June 2015</w:t>
            </w:r>
          </w:p>
        </w:tc>
      </w:tr>
      <w:tr w:rsidR="00D34D6C" w14:paraId="30535A0E" w14:textId="77777777" w:rsidTr="00D34D6C">
        <w:tc>
          <w:tcPr>
            <w:tcW w:w="3209" w:type="dxa"/>
          </w:tcPr>
          <w:p w14:paraId="7C5BCB63" w14:textId="3117AC8B" w:rsidR="00D34D6C" w:rsidRDefault="00D34D6C" w:rsidP="00FF0098">
            <w:pPr>
              <w:tabs>
                <w:tab w:val="left" w:pos="0"/>
              </w:tabs>
            </w:pPr>
            <w:r>
              <w:t>2</w:t>
            </w:r>
          </w:p>
        </w:tc>
        <w:tc>
          <w:tcPr>
            <w:tcW w:w="3210" w:type="dxa"/>
          </w:tcPr>
          <w:p w14:paraId="68969EFB" w14:textId="45D2BDFE" w:rsidR="00D34D6C" w:rsidRDefault="009F0FC4" w:rsidP="00FF0098">
            <w:pPr>
              <w:tabs>
                <w:tab w:val="left" w:pos="0"/>
              </w:tabs>
            </w:pPr>
            <w:r>
              <w:t>1 July 2015</w:t>
            </w:r>
          </w:p>
        </w:tc>
        <w:tc>
          <w:tcPr>
            <w:tcW w:w="3210" w:type="dxa"/>
          </w:tcPr>
          <w:p w14:paraId="755DF380" w14:textId="42B63CBA" w:rsidR="00D34D6C" w:rsidRDefault="009F0FC4" w:rsidP="00FF0098">
            <w:pPr>
              <w:tabs>
                <w:tab w:val="left" w:pos="0"/>
              </w:tabs>
            </w:pPr>
            <w:r>
              <w:t>30 June 2017</w:t>
            </w:r>
          </w:p>
        </w:tc>
      </w:tr>
      <w:tr w:rsidR="00D34D6C" w14:paraId="121503E6" w14:textId="77777777" w:rsidTr="00D34D6C">
        <w:tc>
          <w:tcPr>
            <w:tcW w:w="3209" w:type="dxa"/>
          </w:tcPr>
          <w:p w14:paraId="08B29BF0" w14:textId="0F28DFAE" w:rsidR="00D34D6C" w:rsidRDefault="00D34D6C" w:rsidP="00FF0098">
            <w:pPr>
              <w:tabs>
                <w:tab w:val="left" w:pos="0"/>
              </w:tabs>
            </w:pPr>
            <w:r>
              <w:t>3</w:t>
            </w:r>
          </w:p>
        </w:tc>
        <w:tc>
          <w:tcPr>
            <w:tcW w:w="3210" w:type="dxa"/>
          </w:tcPr>
          <w:p w14:paraId="4714F94A" w14:textId="7C95B44D" w:rsidR="00D34D6C" w:rsidRDefault="009F0FC4" w:rsidP="00FF0098">
            <w:pPr>
              <w:tabs>
                <w:tab w:val="left" w:pos="0"/>
              </w:tabs>
            </w:pPr>
            <w:r>
              <w:t>1 July 2017</w:t>
            </w:r>
          </w:p>
        </w:tc>
        <w:tc>
          <w:tcPr>
            <w:tcW w:w="3210" w:type="dxa"/>
          </w:tcPr>
          <w:p w14:paraId="0AAC6114" w14:textId="2A114E4C" w:rsidR="00D34D6C" w:rsidRDefault="00FC47D2" w:rsidP="00FF0098">
            <w:pPr>
              <w:tabs>
                <w:tab w:val="left" w:pos="0"/>
              </w:tabs>
            </w:pPr>
            <w:r>
              <w:t>30 June 2019</w:t>
            </w:r>
          </w:p>
        </w:tc>
      </w:tr>
      <w:tr w:rsidR="00D34D6C" w14:paraId="6DA3C926" w14:textId="77777777" w:rsidTr="00D34D6C">
        <w:tc>
          <w:tcPr>
            <w:tcW w:w="3209" w:type="dxa"/>
          </w:tcPr>
          <w:p w14:paraId="4B435AE8" w14:textId="3C319717" w:rsidR="00D34D6C" w:rsidRDefault="00D34D6C" w:rsidP="00FF0098">
            <w:pPr>
              <w:tabs>
                <w:tab w:val="left" w:pos="0"/>
              </w:tabs>
            </w:pPr>
            <w:r>
              <w:t>4</w:t>
            </w:r>
          </w:p>
        </w:tc>
        <w:tc>
          <w:tcPr>
            <w:tcW w:w="3210" w:type="dxa"/>
          </w:tcPr>
          <w:p w14:paraId="720353A4" w14:textId="776C3551" w:rsidR="00D34D6C" w:rsidRDefault="009F0FC4" w:rsidP="00FF0098">
            <w:pPr>
              <w:tabs>
                <w:tab w:val="left" w:pos="0"/>
              </w:tabs>
            </w:pPr>
            <w:r>
              <w:t>1 July 2019</w:t>
            </w:r>
          </w:p>
        </w:tc>
        <w:tc>
          <w:tcPr>
            <w:tcW w:w="3210" w:type="dxa"/>
          </w:tcPr>
          <w:p w14:paraId="04ACA0DC" w14:textId="10B03CCF" w:rsidR="00D34D6C" w:rsidRDefault="00FC47D2" w:rsidP="00FF0098">
            <w:pPr>
              <w:tabs>
                <w:tab w:val="left" w:pos="0"/>
              </w:tabs>
            </w:pPr>
            <w:r>
              <w:t>30 June 2021</w:t>
            </w:r>
          </w:p>
        </w:tc>
      </w:tr>
      <w:tr w:rsidR="00D34D6C" w14:paraId="72CA29E6" w14:textId="77777777" w:rsidTr="00D34D6C">
        <w:tc>
          <w:tcPr>
            <w:tcW w:w="3209" w:type="dxa"/>
          </w:tcPr>
          <w:p w14:paraId="3F689D9B" w14:textId="40BCEC9E" w:rsidR="00D34D6C" w:rsidRDefault="00D34D6C" w:rsidP="00FF0098">
            <w:pPr>
              <w:tabs>
                <w:tab w:val="left" w:pos="0"/>
              </w:tabs>
            </w:pPr>
            <w:r>
              <w:t>5</w:t>
            </w:r>
          </w:p>
        </w:tc>
        <w:tc>
          <w:tcPr>
            <w:tcW w:w="3210" w:type="dxa"/>
          </w:tcPr>
          <w:p w14:paraId="2B73253E" w14:textId="3C304860" w:rsidR="00D34D6C" w:rsidRDefault="009F0FC4" w:rsidP="00FF0098">
            <w:pPr>
              <w:tabs>
                <w:tab w:val="left" w:pos="0"/>
              </w:tabs>
            </w:pPr>
            <w:r>
              <w:t>1 July 2021</w:t>
            </w:r>
          </w:p>
        </w:tc>
        <w:tc>
          <w:tcPr>
            <w:tcW w:w="3210" w:type="dxa"/>
          </w:tcPr>
          <w:p w14:paraId="7B687E82" w14:textId="0E3C803B" w:rsidR="00D34D6C" w:rsidRDefault="00FC47D2" w:rsidP="00FF0098">
            <w:pPr>
              <w:tabs>
                <w:tab w:val="left" w:pos="0"/>
              </w:tabs>
            </w:pPr>
            <w:r>
              <w:t>30 June 2023</w:t>
            </w:r>
          </w:p>
        </w:tc>
      </w:tr>
      <w:tr w:rsidR="00D34D6C" w14:paraId="3CD18BBB" w14:textId="77777777" w:rsidTr="00D34D6C">
        <w:tc>
          <w:tcPr>
            <w:tcW w:w="3209" w:type="dxa"/>
          </w:tcPr>
          <w:p w14:paraId="50B65351" w14:textId="7DDA664E" w:rsidR="00D34D6C" w:rsidRDefault="00D34D6C" w:rsidP="00FF0098">
            <w:pPr>
              <w:tabs>
                <w:tab w:val="left" w:pos="0"/>
              </w:tabs>
            </w:pPr>
            <w:r>
              <w:t>6</w:t>
            </w:r>
          </w:p>
        </w:tc>
        <w:tc>
          <w:tcPr>
            <w:tcW w:w="3210" w:type="dxa"/>
          </w:tcPr>
          <w:p w14:paraId="7DA72084" w14:textId="3E4354C1" w:rsidR="00D34D6C" w:rsidRDefault="009F0FC4" w:rsidP="00FF0098">
            <w:pPr>
              <w:tabs>
                <w:tab w:val="left" w:pos="0"/>
              </w:tabs>
            </w:pPr>
            <w:r>
              <w:t>1 July 20</w:t>
            </w:r>
            <w:r w:rsidR="00FC47D2">
              <w:t>23</w:t>
            </w:r>
          </w:p>
        </w:tc>
        <w:tc>
          <w:tcPr>
            <w:tcW w:w="3210" w:type="dxa"/>
          </w:tcPr>
          <w:p w14:paraId="0F975CD8" w14:textId="77415305" w:rsidR="00D34D6C" w:rsidRDefault="00FC47D2" w:rsidP="00FF0098">
            <w:pPr>
              <w:tabs>
                <w:tab w:val="left" w:pos="0"/>
              </w:tabs>
            </w:pPr>
            <w:r>
              <w:t>30 June 2025</w:t>
            </w:r>
          </w:p>
        </w:tc>
      </w:tr>
      <w:tr w:rsidR="00D34D6C" w14:paraId="3BE34B2A" w14:textId="77777777" w:rsidTr="00D34D6C">
        <w:tc>
          <w:tcPr>
            <w:tcW w:w="3209" w:type="dxa"/>
          </w:tcPr>
          <w:p w14:paraId="4DEA66CA" w14:textId="409024DF" w:rsidR="00D34D6C" w:rsidRDefault="00D34D6C" w:rsidP="00FF0098">
            <w:pPr>
              <w:tabs>
                <w:tab w:val="left" w:pos="0"/>
              </w:tabs>
            </w:pPr>
            <w:r>
              <w:t>7</w:t>
            </w:r>
          </w:p>
        </w:tc>
        <w:tc>
          <w:tcPr>
            <w:tcW w:w="3210" w:type="dxa"/>
          </w:tcPr>
          <w:p w14:paraId="347635C4" w14:textId="72DCE655" w:rsidR="00D34D6C" w:rsidRDefault="00FC47D2" w:rsidP="00FF0098">
            <w:pPr>
              <w:tabs>
                <w:tab w:val="left" w:pos="0"/>
              </w:tabs>
            </w:pPr>
            <w:r>
              <w:t>1 July 2025</w:t>
            </w:r>
          </w:p>
        </w:tc>
        <w:tc>
          <w:tcPr>
            <w:tcW w:w="3210" w:type="dxa"/>
          </w:tcPr>
          <w:p w14:paraId="35F966A3" w14:textId="79B9059E" w:rsidR="00D34D6C" w:rsidRDefault="004524F8" w:rsidP="00FF0098">
            <w:pPr>
              <w:tabs>
                <w:tab w:val="left" w:pos="0"/>
              </w:tabs>
            </w:pPr>
            <w:r>
              <w:t>30 June 2027</w:t>
            </w:r>
          </w:p>
        </w:tc>
      </w:tr>
      <w:tr w:rsidR="00D34D6C" w14:paraId="09F6546C" w14:textId="77777777" w:rsidTr="00D34D6C">
        <w:tc>
          <w:tcPr>
            <w:tcW w:w="3209" w:type="dxa"/>
          </w:tcPr>
          <w:p w14:paraId="19C75CD5" w14:textId="79E69928" w:rsidR="00D34D6C" w:rsidRDefault="00D34D6C" w:rsidP="00FF0098">
            <w:pPr>
              <w:tabs>
                <w:tab w:val="left" w:pos="0"/>
              </w:tabs>
            </w:pPr>
            <w:r>
              <w:t>8</w:t>
            </w:r>
          </w:p>
        </w:tc>
        <w:tc>
          <w:tcPr>
            <w:tcW w:w="3210" w:type="dxa"/>
          </w:tcPr>
          <w:p w14:paraId="1041114D" w14:textId="2547BB04" w:rsidR="00D34D6C" w:rsidRDefault="00FC47D2" w:rsidP="00FF0098">
            <w:pPr>
              <w:tabs>
                <w:tab w:val="left" w:pos="0"/>
              </w:tabs>
            </w:pPr>
            <w:r>
              <w:t>1 July 2027</w:t>
            </w:r>
          </w:p>
        </w:tc>
        <w:tc>
          <w:tcPr>
            <w:tcW w:w="3210" w:type="dxa"/>
          </w:tcPr>
          <w:p w14:paraId="2B417A1C" w14:textId="7B941B0A" w:rsidR="00D34D6C" w:rsidRDefault="004524F8" w:rsidP="00FF0098">
            <w:pPr>
              <w:tabs>
                <w:tab w:val="left" w:pos="0"/>
              </w:tabs>
            </w:pPr>
            <w:r>
              <w:t>30 June 2029</w:t>
            </w:r>
          </w:p>
        </w:tc>
      </w:tr>
      <w:tr w:rsidR="00D34D6C" w14:paraId="1BBE94EB" w14:textId="77777777" w:rsidTr="00D34D6C">
        <w:tc>
          <w:tcPr>
            <w:tcW w:w="3209" w:type="dxa"/>
          </w:tcPr>
          <w:p w14:paraId="4A117B51" w14:textId="4B8169EB" w:rsidR="00D34D6C" w:rsidRDefault="00D34D6C" w:rsidP="00FF0098">
            <w:pPr>
              <w:tabs>
                <w:tab w:val="left" w:pos="0"/>
              </w:tabs>
            </w:pPr>
            <w:r>
              <w:t>9</w:t>
            </w:r>
          </w:p>
        </w:tc>
        <w:tc>
          <w:tcPr>
            <w:tcW w:w="3210" w:type="dxa"/>
          </w:tcPr>
          <w:p w14:paraId="1BB4A23A" w14:textId="56258C1A" w:rsidR="00D34D6C" w:rsidRDefault="00FC47D2" w:rsidP="00FF0098">
            <w:pPr>
              <w:tabs>
                <w:tab w:val="left" w:pos="0"/>
              </w:tabs>
            </w:pPr>
            <w:r>
              <w:t>1 July 2029</w:t>
            </w:r>
          </w:p>
        </w:tc>
        <w:tc>
          <w:tcPr>
            <w:tcW w:w="3210" w:type="dxa"/>
          </w:tcPr>
          <w:p w14:paraId="7BC04FB4" w14:textId="77036C22" w:rsidR="00D34D6C" w:rsidRDefault="004524F8" w:rsidP="00FF0098">
            <w:pPr>
              <w:tabs>
                <w:tab w:val="left" w:pos="0"/>
              </w:tabs>
            </w:pPr>
            <w:r>
              <w:t>30 June 2031</w:t>
            </w:r>
          </w:p>
        </w:tc>
      </w:tr>
      <w:tr w:rsidR="00D34D6C" w14:paraId="72389622" w14:textId="77777777" w:rsidTr="00D34D6C">
        <w:tc>
          <w:tcPr>
            <w:tcW w:w="3209" w:type="dxa"/>
          </w:tcPr>
          <w:p w14:paraId="7963BDD4" w14:textId="7EC6D12A" w:rsidR="00D34D6C" w:rsidRDefault="00D34D6C" w:rsidP="00FF0098">
            <w:pPr>
              <w:tabs>
                <w:tab w:val="left" w:pos="0"/>
              </w:tabs>
            </w:pPr>
            <w:r>
              <w:t>10</w:t>
            </w:r>
          </w:p>
        </w:tc>
        <w:tc>
          <w:tcPr>
            <w:tcW w:w="3210" w:type="dxa"/>
          </w:tcPr>
          <w:p w14:paraId="027672A5" w14:textId="3FA43A5E" w:rsidR="00D34D6C" w:rsidRDefault="00FC47D2" w:rsidP="00FF0098">
            <w:pPr>
              <w:tabs>
                <w:tab w:val="left" w:pos="0"/>
              </w:tabs>
            </w:pPr>
            <w:r>
              <w:t>1 July 2031</w:t>
            </w:r>
          </w:p>
        </w:tc>
        <w:tc>
          <w:tcPr>
            <w:tcW w:w="3210" w:type="dxa"/>
          </w:tcPr>
          <w:p w14:paraId="1518C48A" w14:textId="5699D874" w:rsidR="00D34D6C" w:rsidRDefault="004524F8" w:rsidP="00FF0098">
            <w:pPr>
              <w:tabs>
                <w:tab w:val="left" w:pos="0"/>
              </w:tabs>
            </w:pPr>
            <w:r>
              <w:t>3</w:t>
            </w:r>
            <w:r w:rsidR="0003748D">
              <w:t>1 March</w:t>
            </w:r>
            <w:r>
              <w:t xml:space="preserve"> 2033</w:t>
            </w:r>
          </w:p>
        </w:tc>
      </w:tr>
    </w:tbl>
    <w:p w14:paraId="295FBDC4" w14:textId="5C587FB2" w:rsidR="00026E66" w:rsidRDefault="002737EF" w:rsidP="00FF0098">
      <w:pPr>
        <w:tabs>
          <w:tab w:val="left" w:pos="0"/>
        </w:tabs>
      </w:pPr>
      <w:r>
        <w:t>After activation of an operator’s agreement, we will add the facilities in that agreement to the reduced rate certificate.</w:t>
      </w:r>
      <w:r w:rsidR="00FC355D">
        <w:t xml:space="preserve"> </w:t>
      </w:r>
      <w:r w:rsidR="00096AB7">
        <w:t>O</w:t>
      </w:r>
      <w:r>
        <w:t>perator</w:t>
      </w:r>
      <w:r w:rsidR="00096AB7">
        <w:t>s</w:t>
      </w:r>
      <w:r>
        <w:t xml:space="preserve"> can claim </w:t>
      </w:r>
      <w:hyperlink w:anchor="CCL" w:history="1">
        <w:r w:rsidRPr="004229BC">
          <w:rPr>
            <w:rStyle w:val="Hyperlink"/>
          </w:rPr>
          <w:t>CCL</w:t>
        </w:r>
      </w:hyperlink>
      <w:r>
        <w:t xml:space="preserve"> discount for energy supplied to facilities whil</w:t>
      </w:r>
      <w:r w:rsidR="00096AB7">
        <w:t>e they</w:t>
      </w:r>
      <w:r>
        <w:t xml:space="preserve"> are included in the reduced rate certificate.</w:t>
      </w:r>
    </w:p>
    <w:p w14:paraId="58FFE064" w14:textId="487A3719" w:rsidR="00026E66" w:rsidRDefault="002737EF" w:rsidP="00FF0098">
      <w:pPr>
        <w:tabs>
          <w:tab w:val="left" w:pos="0"/>
        </w:tabs>
      </w:pPr>
      <w:r>
        <w:t xml:space="preserve">If an operator meets its target at the end of a target period or uses the </w:t>
      </w:r>
      <w:hyperlink w:anchor="Buyout" w:history="1">
        <w:r>
          <w:rPr>
            <w:rStyle w:val="Hyperlink"/>
          </w:rPr>
          <w:t>buy-out</w:t>
        </w:r>
      </w:hyperlink>
      <w:r>
        <w:rPr>
          <w:u w:val="single" w:color="0077B9"/>
        </w:rPr>
        <w:t xml:space="preserve"> </w:t>
      </w:r>
      <w:r>
        <w:t xml:space="preserve">mechanism, we will recertify the facilities for the next certification period. </w:t>
      </w:r>
    </w:p>
    <w:p w14:paraId="0647596F" w14:textId="5BAA3A56" w:rsidR="00026E66" w:rsidRDefault="002737EF" w:rsidP="00FF0098">
      <w:pPr>
        <w:pStyle w:val="Heading2"/>
        <w:tabs>
          <w:tab w:val="left" w:pos="0"/>
        </w:tabs>
      </w:pPr>
      <w:bookmarkStart w:id="60" w:name="_4.2._Sector_commitments"/>
      <w:bookmarkStart w:id="61" w:name="_Toc94718638"/>
      <w:bookmarkStart w:id="62" w:name="_Toc94088886"/>
      <w:bookmarkStart w:id="63" w:name="_Toc242885366"/>
      <w:bookmarkEnd w:id="60"/>
      <w:r>
        <w:t xml:space="preserve">4.2. Sector commitments and </w:t>
      </w:r>
      <w:r w:rsidR="008B37CB">
        <w:t>facility</w:t>
      </w:r>
      <w:r>
        <w:t xml:space="preserve"> targets</w:t>
      </w:r>
      <w:bookmarkEnd w:id="61"/>
      <w:bookmarkEnd w:id="62"/>
      <w:bookmarkEnd w:id="63"/>
      <w:r>
        <w:t xml:space="preserve"> </w:t>
      </w:r>
    </w:p>
    <w:p w14:paraId="7A3EA46E" w14:textId="1E6B9420" w:rsidR="00026E66" w:rsidRDefault="002737EF" w:rsidP="00FF0098">
      <w:pPr>
        <w:tabs>
          <w:tab w:val="left" w:pos="0"/>
        </w:tabs>
      </w:pPr>
      <w:r>
        <w:t xml:space="preserve">There are </w:t>
      </w:r>
      <w:r w:rsidR="009E12F0">
        <w:t>2</w:t>
      </w:r>
      <w:r>
        <w:t xml:space="preserve"> types of </w:t>
      </w:r>
      <w:r w:rsidR="00910292">
        <w:t>targets</w:t>
      </w:r>
      <w:r>
        <w:t xml:space="preserve"> within the CCA scheme:</w:t>
      </w:r>
    </w:p>
    <w:p w14:paraId="5036F723" w14:textId="6202B112" w:rsidR="00026E66" w:rsidRDefault="002737EF" w:rsidP="006925E6">
      <w:pPr>
        <w:pStyle w:val="ListParagraph"/>
        <w:numPr>
          <w:ilvl w:val="0"/>
          <w:numId w:val="247"/>
        </w:numPr>
        <w:tabs>
          <w:tab w:val="left" w:pos="0"/>
        </w:tabs>
      </w:pPr>
      <w:r>
        <w:t xml:space="preserve">a target for the sector, known as the </w:t>
      </w:r>
      <w:hyperlink w:anchor="Sectorcommitment" w:history="1">
        <w:r w:rsidRPr="00910292">
          <w:rPr>
            <w:rStyle w:val="Hyperlink"/>
          </w:rPr>
          <w:t>sector commitment</w:t>
        </w:r>
      </w:hyperlink>
      <w:r>
        <w:t xml:space="preserve"> </w:t>
      </w:r>
    </w:p>
    <w:p w14:paraId="7979F83D" w14:textId="4665DC84" w:rsidR="00026E66" w:rsidRDefault="002737EF" w:rsidP="006925E6">
      <w:pPr>
        <w:pStyle w:val="ListParagraph"/>
        <w:numPr>
          <w:ilvl w:val="0"/>
          <w:numId w:val="247"/>
        </w:numPr>
        <w:tabs>
          <w:tab w:val="left" w:pos="0"/>
        </w:tabs>
      </w:pPr>
      <w:r>
        <w:t xml:space="preserve">a target for </w:t>
      </w:r>
      <w:r w:rsidR="00042C05">
        <w:t>facilities</w:t>
      </w:r>
      <w:r>
        <w:t xml:space="preserve">, known as the </w:t>
      </w:r>
      <w:hyperlink w:anchor="facilitytarget" w:history="1">
        <w:r w:rsidR="00042C05" w:rsidRPr="00E9632F">
          <w:rPr>
            <w:rStyle w:val="Hyperlink"/>
          </w:rPr>
          <w:t>facility</w:t>
        </w:r>
        <w:r w:rsidRPr="00E9632F">
          <w:rPr>
            <w:rStyle w:val="Hyperlink"/>
          </w:rPr>
          <w:t xml:space="preserve"> target</w:t>
        </w:r>
      </w:hyperlink>
      <w:r>
        <w:t xml:space="preserve"> </w:t>
      </w:r>
    </w:p>
    <w:p w14:paraId="57352296" w14:textId="77777777" w:rsidR="00026E66" w:rsidRDefault="002737EF" w:rsidP="00FF0098">
      <w:pPr>
        <w:pStyle w:val="Heading3"/>
        <w:tabs>
          <w:tab w:val="left" w:pos="0"/>
        </w:tabs>
      </w:pPr>
      <w:r>
        <w:lastRenderedPageBreak/>
        <w:t xml:space="preserve">4.2.1. Sector commitment </w:t>
      </w:r>
    </w:p>
    <w:p w14:paraId="2C7CBA06" w14:textId="2A69D2BE" w:rsidR="00026E66" w:rsidRDefault="002737EF" w:rsidP="00FF0098">
      <w:pPr>
        <w:tabs>
          <w:tab w:val="left" w:pos="0"/>
        </w:tabs>
      </w:pPr>
      <w:r>
        <w:t xml:space="preserve">The sector commitments </w:t>
      </w:r>
      <w:r w:rsidR="007579A6">
        <w:t>are agreed between the</w:t>
      </w:r>
      <w:r w:rsidR="00564A8E">
        <w:t xml:space="preserve"> </w:t>
      </w:r>
      <w:hyperlink w:anchor="Sectorassociation" w:history="1">
        <w:r w:rsidR="00564A8E" w:rsidRPr="007C15D5">
          <w:rPr>
            <w:rStyle w:val="Hyperlink"/>
          </w:rPr>
          <w:t>sector associations</w:t>
        </w:r>
      </w:hyperlink>
      <w:r w:rsidR="00564A8E">
        <w:t xml:space="preserve"> and the</w:t>
      </w:r>
      <w:r w:rsidR="007579A6">
        <w:t xml:space="preserve"> Department for Net Zero and Energy Security</w:t>
      </w:r>
      <w:r w:rsidR="00564A8E">
        <w:t>.</w:t>
      </w:r>
      <w:r w:rsidR="007579A6">
        <w:t xml:space="preserve"> </w:t>
      </w:r>
    </w:p>
    <w:p w14:paraId="4B5EEAE4" w14:textId="6EF5A023" w:rsidR="00026E66" w:rsidRPr="00D446AD" w:rsidRDefault="002737EF" w:rsidP="00D446AD">
      <w:pPr>
        <w:tabs>
          <w:tab w:val="left" w:pos="0"/>
        </w:tabs>
      </w:pPr>
      <w:r>
        <w:t>The sector commitments for each</w:t>
      </w:r>
      <w:r w:rsidR="00114054">
        <w:t xml:space="preserve"> future</w:t>
      </w:r>
      <w:r>
        <w:t xml:space="preserve"> target period are included in </w:t>
      </w:r>
      <w:r w:rsidR="00487E4E">
        <w:t>Appendix 4</w:t>
      </w:r>
      <w:r>
        <w:t xml:space="preserve"> of each sector association’s </w:t>
      </w:r>
      <w:hyperlink w:anchor="Umbrellaagreement" w:history="1">
        <w:r w:rsidRPr="00946993">
          <w:rPr>
            <w:rStyle w:val="Hyperlink"/>
          </w:rPr>
          <w:t>umbrella agreement</w:t>
        </w:r>
      </w:hyperlink>
      <w:r>
        <w:t>.</w:t>
      </w:r>
      <w:r w:rsidR="00FC355D">
        <w:t xml:space="preserve"> </w:t>
      </w:r>
      <w:r>
        <w:t>Umbrella agreements for each sector are available to view</w:t>
      </w:r>
      <w:r w:rsidR="006D43B2">
        <w:t xml:space="preserve"> and </w:t>
      </w:r>
      <w:r>
        <w:t xml:space="preserve">download from </w:t>
      </w:r>
      <w:hyperlink r:id="rId44" w:history="1">
        <w:r w:rsidR="008B3C82" w:rsidRPr="00703474">
          <w:rPr>
            <w:rStyle w:val="Hyperlink"/>
          </w:rPr>
          <w:t xml:space="preserve">Climate change </w:t>
        </w:r>
        <w:r w:rsidR="00703474" w:rsidRPr="00703474">
          <w:rPr>
            <w:rStyle w:val="Hyperlink"/>
          </w:rPr>
          <w:t>agreements: umbrella agreements</w:t>
        </w:r>
      </w:hyperlink>
      <w:r w:rsidR="00703474">
        <w:t xml:space="preserve"> </w:t>
      </w:r>
      <w:r w:rsidR="00725771">
        <w:t>on GOV.UK</w:t>
      </w:r>
      <w:r w:rsidR="00703474">
        <w:t>.</w:t>
      </w:r>
      <w:r>
        <w:t xml:space="preserve"> </w:t>
      </w:r>
    </w:p>
    <w:p w14:paraId="136612A9" w14:textId="1A4277E6" w:rsidR="00026E66" w:rsidRDefault="002737EF" w:rsidP="00FF0098">
      <w:pPr>
        <w:pStyle w:val="Heading3"/>
        <w:tabs>
          <w:tab w:val="left" w:pos="0"/>
        </w:tabs>
      </w:pPr>
      <w:bookmarkStart w:id="64" w:name="_4.2.2._Facility_targets"/>
      <w:bookmarkEnd w:id="64"/>
      <w:r>
        <w:t xml:space="preserve">4.2.2. </w:t>
      </w:r>
      <w:r w:rsidR="00544266">
        <w:t>Facility</w:t>
      </w:r>
      <w:r>
        <w:t xml:space="preserve"> targets </w:t>
      </w:r>
    </w:p>
    <w:p w14:paraId="207336A5" w14:textId="3A3AF4BE" w:rsidR="00026E66" w:rsidRDefault="006478E1" w:rsidP="00FF0098">
      <w:pPr>
        <w:tabs>
          <w:tab w:val="left" w:pos="0"/>
        </w:tabs>
      </w:pPr>
      <w:r>
        <w:t>Operators with existing agreements</w:t>
      </w:r>
      <w:r w:rsidR="000D0DE8">
        <w:t xml:space="preserve"> in the previous scheme</w:t>
      </w:r>
      <w:r>
        <w:t xml:space="preserve"> </w:t>
      </w:r>
      <w:r w:rsidR="00FC3F9F">
        <w:t xml:space="preserve">agreed targets for TP7-9 during the 2025 target setting period. </w:t>
      </w:r>
      <w:r w:rsidR="002737EF">
        <w:t xml:space="preserve">We set targets for new entrants using the standard target setting method outlined in </w:t>
      </w:r>
      <w:hyperlink w:anchor="_4.4._Target_setting" w:history="1">
        <w:r w:rsidR="002737EF">
          <w:rPr>
            <w:rStyle w:val="Hyperlink"/>
          </w:rPr>
          <w:t>section 4.4</w:t>
        </w:r>
      </w:hyperlink>
      <w:r w:rsidR="002737EF">
        <w:t>.</w:t>
      </w:r>
      <w:r w:rsidR="00FC355D">
        <w:t xml:space="preserve"> </w:t>
      </w:r>
    </w:p>
    <w:p w14:paraId="7F041561" w14:textId="77777777" w:rsidR="00026E66" w:rsidRPr="00771B6F" w:rsidRDefault="002737EF" w:rsidP="00FF0098">
      <w:pPr>
        <w:pStyle w:val="Heading4"/>
        <w:tabs>
          <w:tab w:val="left" w:pos="0"/>
        </w:tabs>
      </w:pPr>
      <w:r w:rsidRPr="00771B6F">
        <w:t xml:space="preserve">Types of targets </w:t>
      </w:r>
    </w:p>
    <w:p w14:paraId="42052E35" w14:textId="66A8386B" w:rsidR="00B03339" w:rsidRDefault="00B03339" w:rsidP="006568EB">
      <w:pPr>
        <w:tabs>
          <w:tab w:val="left" w:pos="0"/>
        </w:tabs>
        <w:ind w:right="182"/>
        <w:rPr>
          <w:color w:val="auto"/>
          <w:szCs w:val="24"/>
        </w:rPr>
      </w:pPr>
      <w:r>
        <w:rPr>
          <w:color w:val="auto"/>
          <w:szCs w:val="24"/>
        </w:rPr>
        <w:t>Targets can be expressed in terms of energy (</w:t>
      </w:r>
      <w:r w:rsidR="008A1027">
        <w:rPr>
          <w:color w:val="auto"/>
          <w:szCs w:val="24"/>
        </w:rPr>
        <w:t>kWh, MWh or GJ) or carbon</w:t>
      </w:r>
      <w:r w:rsidR="00BF120A">
        <w:rPr>
          <w:color w:val="auto"/>
          <w:szCs w:val="24"/>
        </w:rPr>
        <w:t xml:space="preserve"> dioxide</w:t>
      </w:r>
      <w:r w:rsidR="008A1027">
        <w:rPr>
          <w:color w:val="auto"/>
          <w:szCs w:val="24"/>
        </w:rPr>
        <w:t xml:space="preserve"> (kgC</w:t>
      </w:r>
      <w:r w:rsidR="00BF120A">
        <w:rPr>
          <w:color w:val="auto"/>
          <w:szCs w:val="24"/>
        </w:rPr>
        <w:t>O2, t</w:t>
      </w:r>
      <w:r w:rsidR="008F63AA">
        <w:rPr>
          <w:color w:val="auto"/>
          <w:szCs w:val="24"/>
        </w:rPr>
        <w:t>CO</w:t>
      </w:r>
      <w:r w:rsidR="00BF120A">
        <w:rPr>
          <w:color w:val="auto"/>
          <w:szCs w:val="24"/>
        </w:rPr>
        <w:t>2</w:t>
      </w:r>
      <w:r w:rsidR="008A1027">
        <w:rPr>
          <w:color w:val="auto"/>
          <w:szCs w:val="24"/>
        </w:rPr>
        <w:t xml:space="preserve">). </w:t>
      </w:r>
    </w:p>
    <w:p w14:paraId="7AA9ED90" w14:textId="6C2C3E66" w:rsidR="00026E66" w:rsidRDefault="005A6B8F" w:rsidP="00362D04">
      <w:pPr>
        <w:tabs>
          <w:tab w:val="left" w:pos="0"/>
        </w:tabs>
        <w:ind w:right="182"/>
        <w:rPr>
          <w:color w:val="auto"/>
          <w:szCs w:val="24"/>
          <w:lang w:val="fr-FR"/>
        </w:rPr>
      </w:pPr>
      <w:r>
        <w:rPr>
          <w:color w:val="auto"/>
          <w:szCs w:val="24"/>
        </w:rPr>
        <w:t xml:space="preserve">In </w:t>
      </w:r>
      <w:r w:rsidR="000D0DE8">
        <w:rPr>
          <w:color w:val="auto"/>
          <w:szCs w:val="24"/>
        </w:rPr>
        <w:t>the previous scheme</w:t>
      </w:r>
      <w:r w:rsidR="006568EB">
        <w:rPr>
          <w:color w:val="auto"/>
          <w:szCs w:val="24"/>
        </w:rPr>
        <w:t>, t</w:t>
      </w:r>
      <w:r w:rsidR="002737EF">
        <w:rPr>
          <w:color w:val="auto"/>
          <w:szCs w:val="24"/>
        </w:rPr>
        <w:t xml:space="preserve">argets </w:t>
      </w:r>
      <w:r w:rsidR="007D73DA">
        <w:rPr>
          <w:color w:val="auto"/>
          <w:szCs w:val="24"/>
        </w:rPr>
        <w:t>were either</w:t>
      </w:r>
      <w:r w:rsidR="002737EF">
        <w:rPr>
          <w:color w:val="auto"/>
          <w:szCs w:val="24"/>
        </w:rPr>
        <w:t xml:space="preserve"> </w:t>
      </w:r>
      <w:r w:rsidR="002737EF" w:rsidRPr="000D0DE8">
        <w:rPr>
          <w:szCs w:val="24"/>
        </w:rPr>
        <w:t>absolute</w:t>
      </w:r>
      <w:r w:rsidR="000D0DE8" w:rsidRPr="00970B62">
        <w:rPr>
          <w:color w:val="auto"/>
          <w:szCs w:val="24"/>
          <w:u w:color="0077B9"/>
        </w:rPr>
        <w:t xml:space="preserve"> </w:t>
      </w:r>
      <w:r w:rsidR="00970B62" w:rsidRPr="00970B62">
        <w:rPr>
          <w:color w:val="auto"/>
          <w:szCs w:val="24"/>
          <w:u w:color="0077B9"/>
        </w:rPr>
        <w:t>or</w:t>
      </w:r>
      <w:r w:rsidR="002737EF" w:rsidRPr="000D0DE8">
        <w:rPr>
          <w:szCs w:val="24"/>
        </w:rPr>
        <w:t xml:space="preserve"> relative</w:t>
      </w:r>
      <w:r w:rsidR="00142CD7">
        <w:t>, which included the Novem method</w:t>
      </w:r>
      <w:r w:rsidR="002737EF">
        <w:rPr>
          <w:color w:val="auto"/>
          <w:szCs w:val="24"/>
        </w:rPr>
        <w:t xml:space="preserve">. </w:t>
      </w:r>
    </w:p>
    <w:p w14:paraId="1E6B22DA" w14:textId="0784B834" w:rsidR="004523B2" w:rsidRDefault="00D732B7" w:rsidP="00FF0098">
      <w:pPr>
        <w:tabs>
          <w:tab w:val="left" w:pos="0"/>
        </w:tabs>
        <w:ind w:right="182"/>
        <w:rPr>
          <w:color w:val="auto"/>
        </w:rPr>
      </w:pPr>
      <w:r w:rsidRPr="5735BDC4">
        <w:rPr>
          <w:color w:val="auto"/>
        </w:rPr>
        <w:t>Absolute and relative t</w:t>
      </w:r>
      <w:r w:rsidR="00DD5B2A" w:rsidRPr="5735BDC4">
        <w:rPr>
          <w:color w:val="auto"/>
        </w:rPr>
        <w:t xml:space="preserve">arget types were </w:t>
      </w:r>
      <w:r w:rsidRPr="5735BDC4">
        <w:rPr>
          <w:color w:val="auto"/>
        </w:rPr>
        <w:t>replaced</w:t>
      </w:r>
      <w:r w:rsidR="00DD5B2A" w:rsidRPr="5735BDC4">
        <w:rPr>
          <w:color w:val="auto"/>
        </w:rPr>
        <w:t xml:space="preserve"> for TP7-9 with the introduction of a</w:t>
      </w:r>
      <w:r w:rsidR="08F5F7B4" w:rsidRPr="5735BDC4">
        <w:rPr>
          <w:color w:val="auto"/>
        </w:rPr>
        <w:t>n</w:t>
      </w:r>
      <w:r w:rsidR="00DD5B2A" w:rsidRPr="5735BDC4">
        <w:rPr>
          <w:color w:val="auto"/>
        </w:rPr>
        <w:t xml:space="preserve"> </w:t>
      </w:r>
      <w:r w:rsidR="00CB671D" w:rsidRPr="5735BDC4">
        <w:rPr>
          <w:color w:val="auto"/>
        </w:rPr>
        <w:t xml:space="preserve">adapted Novem </w:t>
      </w:r>
      <w:r w:rsidR="00FD712A" w:rsidRPr="5735BDC4">
        <w:rPr>
          <w:color w:val="auto"/>
        </w:rPr>
        <w:t xml:space="preserve">target type. </w:t>
      </w:r>
      <w:r w:rsidR="00994021" w:rsidRPr="5735BDC4">
        <w:rPr>
          <w:color w:val="auto"/>
        </w:rPr>
        <w:t>Th</w:t>
      </w:r>
      <w:r w:rsidR="00CB671D" w:rsidRPr="5735BDC4">
        <w:rPr>
          <w:color w:val="auto"/>
        </w:rPr>
        <w:t xml:space="preserve">is target </w:t>
      </w:r>
      <w:r w:rsidR="00994021" w:rsidRPr="5735BDC4">
        <w:rPr>
          <w:color w:val="auto"/>
        </w:rPr>
        <w:t xml:space="preserve">type </w:t>
      </w:r>
      <w:r w:rsidR="00B03339" w:rsidRPr="5735BDC4">
        <w:rPr>
          <w:color w:val="auto"/>
        </w:rPr>
        <w:t xml:space="preserve">was adapted from the </w:t>
      </w:r>
      <w:r w:rsidR="00142CD7" w:rsidRPr="5735BDC4">
        <w:rPr>
          <w:color w:val="auto"/>
        </w:rPr>
        <w:t xml:space="preserve">existing Novem methodology </w:t>
      </w:r>
      <w:r w:rsidR="00A773A9" w:rsidRPr="5735BDC4">
        <w:rPr>
          <w:color w:val="auto"/>
        </w:rPr>
        <w:t>and considers the proportion of energy which is fixed and energy which is variable</w:t>
      </w:r>
      <w:r w:rsidR="00CB671D" w:rsidRPr="5735BDC4">
        <w:rPr>
          <w:color w:val="auto"/>
        </w:rPr>
        <w:t>.</w:t>
      </w:r>
    </w:p>
    <w:p w14:paraId="39D330A9" w14:textId="78DF2440" w:rsidR="006568EB" w:rsidRDefault="005A23DA" w:rsidP="00FF0098">
      <w:pPr>
        <w:tabs>
          <w:tab w:val="left" w:pos="0"/>
        </w:tabs>
        <w:ind w:right="182"/>
        <w:rPr>
          <w:color w:val="auto"/>
          <w:szCs w:val="24"/>
        </w:rPr>
      </w:pPr>
      <w:r>
        <w:rPr>
          <w:color w:val="auto"/>
          <w:szCs w:val="24"/>
        </w:rPr>
        <w:t>Th</w:t>
      </w:r>
      <w:r w:rsidR="00881834">
        <w:rPr>
          <w:color w:val="auto"/>
          <w:szCs w:val="24"/>
        </w:rPr>
        <w:t xml:space="preserve">e </w:t>
      </w:r>
      <w:r w:rsidR="00CB671D">
        <w:rPr>
          <w:color w:val="auto"/>
          <w:szCs w:val="24"/>
        </w:rPr>
        <w:t xml:space="preserve">adapted </w:t>
      </w:r>
      <w:r w:rsidR="00970B62">
        <w:rPr>
          <w:color w:val="auto"/>
          <w:szCs w:val="24"/>
        </w:rPr>
        <w:t>N</w:t>
      </w:r>
      <w:r w:rsidR="00CB671D">
        <w:rPr>
          <w:color w:val="auto"/>
          <w:szCs w:val="24"/>
        </w:rPr>
        <w:t xml:space="preserve">ovem </w:t>
      </w:r>
      <w:r w:rsidR="00881834">
        <w:rPr>
          <w:color w:val="auto"/>
          <w:szCs w:val="24"/>
        </w:rPr>
        <w:t>target type is</w:t>
      </w:r>
      <w:r w:rsidR="004523B2">
        <w:rPr>
          <w:color w:val="auto"/>
          <w:szCs w:val="24"/>
        </w:rPr>
        <w:t xml:space="preserve"> a target</w:t>
      </w:r>
      <w:r w:rsidR="00881834">
        <w:rPr>
          <w:color w:val="auto"/>
          <w:szCs w:val="24"/>
        </w:rPr>
        <w:t xml:space="preserve"> to reduce the energy used to produce each unit of </w:t>
      </w:r>
      <w:hyperlink w:anchor="Throughput" w:history="1">
        <w:r w:rsidR="008E7B69">
          <w:rPr>
            <w:rStyle w:val="Hyperlink"/>
            <w:szCs w:val="24"/>
          </w:rPr>
          <w:t>throughput</w:t>
        </w:r>
      </w:hyperlink>
      <w:r w:rsidR="00881834">
        <w:rPr>
          <w:color w:val="auto"/>
          <w:szCs w:val="24"/>
        </w:rPr>
        <w:t xml:space="preserve"> i</w:t>
      </w:r>
      <w:r w:rsidR="004523B2">
        <w:rPr>
          <w:color w:val="auto"/>
          <w:szCs w:val="24"/>
        </w:rPr>
        <w:t xml:space="preserve">n a target facility and provides a more accurate view of performance and how this links to production. </w:t>
      </w:r>
    </w:p>
    <w:p w14:paraId="31FC4B9E" w14:textId="77777777" w:rsidR="00026E66" w:rsidRPr="00771B6F" w:rsidRDefault="002737EF" w:rsidP="00FF0098">
      <w:pPr>
        <w:pStyle w:val="Heading4"/>
        <w:tabs>
          <w:tab w:val="left" w:pos="0"/>
        </w:tabs>
      </w:pPr>
      <w:r w:rsidRPr="00771B6F">
        <w:t xml:space="preserve">Expressing the target </w:t>
      </w:r>
    </w:p>
    <w:p w14:paraId="599EB20E" w14:textId="65E8461D" w:rsidR="00026E66" w:rsidRDefault="002737EF" w:rsidP="00FF0098">
      <w:pPr>
        <w:tabs>
          <w:tab w:val="left" w:pos="0"/>
        </w:tabs>
        <w:ind w:right="182"/>
      </w:pPr>
      <w:r>
        <w:rPr>
          <w:color w:val="auto"/>
          <w:szCs w:val="24"/>
        </w:rPr>
        <w:t xml:space="preserve">For </w:t>
      </w:r>
      <w:hyperlink w:anchor="Energytarget" w:history="1">
        <w:r w:rsidRPr="00DB1221">
          <w:rPr>
            <w:rStyle w:val="Hyperlink"/>
            <w:szCs w:val="24"/>
          </w:rPr>
          <w:t>energy targets</w:t>
        </w:r>
      </w:hyperlink>
      <w:r>
        <w:rPr>
          <w:color w:val="auto"/>
          <w:szCs w:val="24"/>
        </w:rPr>
        <w:t xml:space="preserve">, kWh is the </w:t>
      </w:r>
      <w:proofErr w:type="gramStart"/>
      <w:r>
        <w:rPr>
          <w:color w:val="auto"/>
          <w:szCs w:val="24"/>
        </w:rPr>
        <w:t>most commonly used</w:t>
      </w:r>
      <w:proofErr w:type="gramEnd"/>
      <w:r>
        <w:rPr>
          <w:color w:val="auto"/>
          <w:szCs w:val="24"/>
        </w:rPr>
        <w:t xml:space="preserve"> unit because it is the unit most frequently used </w:t>
      </w:r>
      <w:r>
        <w:rPr>
          <w:color w:val="auto"/>
        </w:rPr>
        <w:t xml:space="preserve">in </w:t>
      </w:r>
      <w:r>
        <w:rPr>
          <w:color w:val="auto"/>
          <w:szCs w:val="24"/>
        </w:rPr>
        <w:t xml:space="preserve">metering (electricity). </w:t>
      </w:r>
    </w:p>
    <w:p w14:paraId="3821BBCC" w14:textId="393196E7" w:rsidR="00026E66" w:rsidRDefault="004523B2" w:rsidP="00FF0098">
      <w:pPr>
        <w:tabs>
          <w:tab w:val="left" w:pos="0"/>
        </w:tabs>
        <w:ind w:right="182"/>
      </w:pPr>
      <w:hyperlink w:anchor="facilitytarget" w:history="1">
        <w:r w:rsidRPr="002068FA">
          <w:rPr>
            <w:rStyle w:val="Hyperlink"/>
          </w:rPr>
          <w:t>Facility</w:t>
        </w:r>
        <w:r w:rsidR="002737EF" w:rsidRPr="002068FA">
          <w:rPr>
            <w:rStyle w:val="Hyperlink"/>
          </w:rPr>
          <w:t xml:space="preserve"> targets</w:t>
        </w:r>
      </w:hyperlink>
      <w:r w:rsidR="002737EF">
        <w:rPr>
          <w:color w:val="auto"/>
        </w:rPr>
        <w:t xml:space="preserve"> must </w:t>
      </w:r>
      <w:r w:rsidR="002737EF" w:rsidRPr="7AFAE3E2">
        <w:rPr>
          <w:color w:val="auto"/>
        </w:rPr>
        <w:t>be</w:t>
      </w:r>
      <w:r w:rsidR="002737EF">
        <w:rPr>
          <w:color w:val="auto"/>
        </w:rPr>
        <w:t xml:space="preserve"> the same </w:t>
      </w:r>
      <w:r w:rsidR="002737EF" w:rsidRPr="7AFAE3E2">
        <w:rPr>
          <w:color w:val="auto"/>
        </w:rPr>
        <w:t>type (carbon or energy)</w:t>
      </w:r>
      <w:r w:rsidR="002737EF">
        <w:rPr>
          <w:color w:val="auto"/>
        </w:rPr>
        <w:t xml:space="preserve"> as the sector commitment (or </w:t>
      </w:r>
      <w:r w:rsidR="002737EF" w:rsidRPr="7AFAE3E2">
        <w:rPr>
          <w:color w:val="auto"/>
        </w:rPr>
        <w:t>sub-sector</w:t>
      </w:r>
      <w:r w:rsidR="002737EF">
        <w:rPr>
          <w:color w:val="auto"/>
        </w:rPr>
        <w:t xml:space="preserve"> commitment where a sector has </w:t>
      </w:r>
      <w:hyperlink w:anchor="Subsector" w:history="1">
        <w:r w:rsidR="002737EF" w:rsidRPr="7AFAE3E2">
          <w:rPr>
            <w:rStyle w:val="Hyperlink"/>
          </w:rPr>
          <w:t>sub-sectors</w:t>
        </w:r>
      </w:hyperlink>
      <w:r w:rsidR="002737EF" w:rsidRPr="7AFAE3E2">
        <w:rPr>
          <w:color w:val="auto"/>
        </w:rPr>
        <w:t xml:space="preserve">). </w:t>
      </w:r>
    </w:p>
    <w:p w14:paraId="683926E8" w14:textId="7B3DB4E1" w:rsidR="00026E66" w:rsidRPr="00D446AD" w:rsidRDefault="002737EF" w:rsidP="00D446AD">
      <w:pPr>
        <w:tabs>
          <w:tab w:val="left" w:pos="0"/>
        </w:tabs>
        <w:spacing w:after="0"/>
        <w:ind w:right="182"/>
      </w:pPr>
      <w:r>
        <w:rPr>
          <w:color w:val="auto"/>
          <w:szCs w:val="24"/>
        </w:rPr>
        <w:t>Targets are</w:t>
      </w:r>
      <w:r>
        <w:rPr>
          <w:color w:val="auto"/>
        </w:rPr>
        <w:t xml:space="preserve"> expressed as</w:t>
      </w:r>
      <w:r w:rsidR="006D7D94">
        <w:rPr>
          <w:color w:val="auto"/>
        </w:rPr>
        <w:t xml:space="preserve"> a</w:t>
      </w:r>
      <w:r>
        <w:rPr>
          <w:color w:val="auto"/>
        </w:rPr>
        <w:t xml:space="preserve"> percentage improvement. A percentage improvement target for a target period is the improvement in performance for that target period relative to performance in the </w:t>
      </w:r>
      <w:hyperlink w:anchor="baseyear" w:history="1">
        <w:r w:rsidRPr="002D6B64">
          <w:rPr>
            <w:rStyle w:val="Hyperlink"/>
          </w:rPr>
          <w:t>base year</w:t>
        </w:r>
      </w:hyperlink>
      <w:r>
        <w:rPr>
          <w:color w:val="auto"/>
        </w:rPr>
        <w:t xml:space="preserve">. Applying the percentage improvement target </w:t>
      </w:r>
      <w:r>
        <w:rPr>
          <w:color w:val="auto"/>
          <w:szCs w:val="24"/>
        </w:rPr>
        <w:t xml:space="preserve">for a target period </w:t>
      </w:r>
      <w:r>
        <w:rPr>
          <w:color w:val="auto"/>
        </w:rPr>
        <w:t xml:space="preserve">to the base year performance will derive </w:t>
      </w:r>
      <w:r w:rsidR="00CB117E">
        <w:rPr>
          <w:color w:val="auto"/>
        </w:rPr>
        <w:t>a</w:t>
      </w:r>
      <w:r>
        <w:rPr>
          <w:color w:val="auto"/>
        </w:rPr>
        <w:t xml:space="preserve"> numerical target</w:t>
      </w:r>
      <w:r>
        <w:rPr>
          <w:color w:val="auto"/>
          <w:szCs w:val="24"/>
        </w:rPr>
        <w:t xml:space="preserve"> for that target period. </w:t>
      </w:r>
      <w:r>
        <w:rPr>
          <w:color w:val="auto"/>
          <w:szCs w:val="24"/>
        </w:rPr>
        <w:lastRenderedPageBreak/>
        <w:t xml:space="preserve">The base year performance is required for all </w:t>
      </w:r>
      <w:r w:rsidR="00D90203">
        <w:rPr>
          <w:color w:val="auto"/>
          <w:szCs w:val="24"/>
        </w:rPr>
        <w:t>facilities</w:t>
      </w:r>
      <w:r>
        <w:rPr>
          <w:color w:val="auto"/>
          <w:szCs w:val="24"/>
        </w:rPr>
        <w:t xml:space="preserve"> to enable a numerical target to be calculated</w:t>
      </w:r>
      <w:r>
        <w:rPr>
          <w:color w:val="auto"/>
        </w:rPr>
        <w:t xml:space="preserve">. </w:t>
      </w:r>
    </w:p>
    <w:p w14:paraId="1FA54E5F" w14:textId="095ADA23" w:rsidR="00771B6F" w:rsidRPr="00D446AD" w:rsidRDefault="002737EF" w:rsidP="00FF0098">
      <w:pPr>
        <w:tabs>
          <w:tab w:val="left" w:pos="0"/>
        </w:tabs>
        <w:spacing w:after="0"/>
        <w:ind w:right="182"/>
        <w:rPr>
          <w:color w:val="auto"/>
        </w:rPr>
      </w:pPr>
      <w:r>
        <w:rPr>
          <w:color w:val="auto"/>
        </w:rPr>
        <w:t xml:space="preserve">When meter readings for energy and throughput provide an accuracy of at least </w:t>
      </w:r>
      <w:r w:rsidR="66670303" w:rsidRPr="67BC2F01">
        <w:rPr>
          <w:color w:val="auto"/>
        </w:rPr>
        <w:t>5</w:t>
      </w:r>
      <w:r>
        <w:rPr>
          <w:color w:val="auto"/>
        </w:rPr>
        <w:t xml:space="preserve"> significant figures, </w:t>
      </w:r>
      <w:r w:rsidRPr="67BC2F01">
        <w:rPr>
          <w:color w:val="auto"/>
        </w:rPr>
        <w:t>a</w:t>
      </w:r>
      <w:r>
        <w:rPr>
          <w:color w:val="auto"/>
        </w:rPr>
        <w:t xml:space="preserve"> percentage target will be accurate to </w:t>
      </w:r>
      <w:r w:rsidR="009E12F0" w:rsidRPr="67BC2F01">
        <w:rPr>
          <w:color w:val="auto"/>
        </w:rPr>
        <w:t>3</w:t>
      </w:r>
      <w:r>
        <w:rPr>
          <w:color w:val="auto"/>
        </w:rPr>
        <w:t xml:space="preserve"> decimal places. </w:t>
      </w:r>
    </w:p>
    <w:p w14:paraId="484D60A3" w14:textId="77777777" w:rsidR="00026E66" w:rsidRPr="00771B6F" w:rsidRDefault="002737EF" w:rsidP="00FF0098">
      <w:pPr>
        <w:pStyle w:val="Heading4"/>
        <w:tabs>
          <w:tab w:val="left" w:pos="0"/>
        </w:tabs>
      </w:pPr>
      <w:r w:rsidRPr="00771B6F">
        <w:t xml:space="preserve">Choosing a throughput measure </w:t>
      </w:r>
    </w:p>
    <w:p w14:paraId="5B81301E" w14:textId="36DB6E80" w:rsidR="00026E66" w:rsidRDefault="002737EF" w:rsidP="00FF0098">
      <w:pPr>
        <w:tabs>
          <w:tab w:val="left" w:pos="0"/>
        </w:tabs>
        <w:spacing w:after="11"/>
        <w:ind w:right="182"/>
      </w:pPr>
      <w:r>
        <w:rPr>
          <w:color w:val="auto"/>
        </w:rPr>
        <w:t xml:space="preserve">The </w:t>
      </w:r>
      <w:r>
        <w:rPr>
          <w:color w:val="auto"/>
          <w:szCs w:val="24"/>
        </w:rPr>
        <w:t xml:space="preserve">appropriate </w:t>
      </w:r>
      <w:r>
        <w:rPr>
          <w:color w:val="auto"/>
        </w:rPr>
        <w:t xml:space="preserve">choice of </w:t>
      </w:r>
      <w:r>
        <w:rPr>
          <w:color w:val="auto"/>
          <w:szCs w:val="24"/>
        </w:rPr>
        <w:t xml:space="preserve">a </w:t>
      </w:r>
      <w:r>
        <w:rPr>
          <w:color w:val="auto"/>
        </w:rPr>
        <w:t>through</w:t>
      </w:r>
      <w:r w:rsidR="00453A15">
        <w:rPr>
          <w:color w:val="auto"/>
        </w:rPr>
        <w:t>p</w:t>
      </w:r>
      <w:r>
        <w:rPr>
          <w:color w:val="auto"/>
        </w:rPr>
        <w:t xml:space="preserve">ut measure is </w:t>
      </w:r>
      <w:r>
        <w:rPr>
          <w:color w:val="auto"/>
          <w:szCs w:val="24"/>
        </w:rPr>
        <w:t>key</w:t>
      </w:r>
      <w:r>
        <w:rPr>
          <w:color w:val="auto"/>
        </w:rPr>
        <w:t xml:space="preserve"> to </w:t>
      </w:r>
      <w:r>
        <w:rPr>
          <w:color w:val="auto"/>
          <w:szCs w:val="24"/>
        </w:rPr>
        <w:t xml:space="preserve">tracking </w:t>
      </w:r>
      <w:r>
        <w:rPr>
          <w:color w:val="auto"/>
        </w:rPr>
        <w:t>changes in energy efficiency</w:t>
      </w:r>
      <w:r>
        <w:rPr>
          <w:color w:val="auto"/>
          <w:szCs w:val="24"/>
        </w:rPr>
        <w:t xml:space="preserve">. </w:t>
      </w:r>
    </w:p>
    <w:p w14:paraId="061FE61D" w14:textId="1DD4D8CE" w:rsidR="00026E66" w:rsidRDefault="002737EF" w:rsidP="00E955A3">
      <w:r>
        <w:t>The choice of throughput is important as it features in the performance metric (such as kWh/kg) and is relied upon to determine whether the levels of activity at a facility have changed</w:t>
      </w:r>
      <w:r w:rsidR="00E13F3C">
        <w:t>.</w:t>
      </w:r>
      <w:r>
        <w:t xml:space="preserve"> </w:t>
      </w:r>
    </w:p>
    <w:p w14:paraId="10CB99A4" w14:textId="77777777" w:rsidR="00026E66" w:rsidRDefault="002737EF" w:rsidP="00E955A3">
      <w:r>
        <w:t>The best throughput measure for a site is usually a physical output measure, such as mass (kg or tonnes) or volume (litres or m</w:t>
      </w:r>
      <w:r>
        <w:rPr>
          <w:vertAlign w:val="superscript"/>
        </w:rPr>
        <w:t>3</w:t>
      </w:r>
      <w:r>
        <w:t xml:space="preserve">) of product. Other measures of activity that operators can demonstrate drive energy consumption may also be considered. </w:t>
      </w:r>
    </w:p>
    <w:p w14:paraId="6DD1D768" w14:textId="1CD75D94" w:rsidR="00026E66" w:rsidRDefault="002737EF" w:rsidP="00FF0098">
      <w:pPr>
        <w:tabs>
          <w:tab w:val="left" w:pos="0"/>
        </w:tabs>
        <w:ind w:right="182"/>
      </w:pPr>
      <w:r>
        <w:rPr>
          <w:color w:val="auto"/>
        </w:rPr>
        <w:t>We discourage capacity as a throughput measure</w:t>
      </w:r>
      <w:r>
        <w:rPr>
          <w:color w:val="auto"/>
          <w:szCs w:val="24"/>
        </w:rPr>
        <w:t xml:space="preserve"> (for example</w:t>
      </w:r>
      <w:r>
        <w:rPr>
          <w:color w:val="auto"/>
        </w:rPr>
        <w:t xml:space="preserve"> building volume, building area</w:t>
      </w:r>
      <w:r>
        <w:rPr>
          <w:color w:val="auto"/>
          <w:szCs w:val="24"/>
        </w:rPr>
        <w:t xml:space="preserve"> or</w:t>
      </w:r>
      <w:r>
        <w:rPr>
          <w:color w:val="auto"/>
        </w:rPr>
        <w:t xml:space="preserve"> machine capacity</w:t>
      </w:r>
      <w:r>
        <w:rPr>
          <w:color w:val="auto"/>
          <w:szCs w:val="24"/>
        </w:rPr>
        <w:t>).</w:t>
      </w:r>
      <w:r>
        <w:rPr>
          <w:color w:val="auto"/>
        </w:rPr>
        <w:t xml:space="preserve"> While capacity may be in some way associated with energy consumption, it rarely drives it</w:t>
      </w:r>
      <w:r>
        <w:rPr>
          <w:color w:val="auto"/>
          <w:szCs w:val="24"/>
        </w:rPr>
        <w:t>, as</w:t>
      </w:r>
      <w:r>
        <w:rPr>
          <w:color w:val="auto"/>
        </w:rPr>
        <w:t xml:space="preserve"> energy consumption </w:t>
      </w:r>
      <w:r>
        <w:rPr>
          <w:color w:val="auto"/>
          <w:szCs w:val="24"/>
        </w:rPr>
        <w:t>may</w:t>
      </w:r>
      <w:r>
        <w:rPr>
          <w:color w:val="auto"/>
        </w:rPr>
        <w:t xml:space="preserve"> increase or decrease </w:t>
      </w:r>
      <w:proofErr w:type="gramStart"/>
      <w:r>
        <w:rPr>
          <w:color w:val="auto"/>
          <w:szCs w:val="24"/>
        </w:rPr>
        <w:t>as a result</w:t>
      </w:r>
      <w:r>
        <w:rPr>
          <w:color w:val="auto"/>
        </w:rPr>
        <w:t xml:space="preserve"> of</w:t>
      </w:r>
      <w:proofErr w:type="gramEnd"/>
      <w:r>
        <w:rPr>
          <w:color w:val="auto"/>
        </w:rPr>
        <w:t xml:space="preserve"> the utilisation of the capacity</w:t>
      </w:r>
      <w:r>
        <w:rPr>
          <w:color w:val="auto"/>
          <w:szCs w:val="24"/>
        </w:rPr>
        <w:t xml:space="preserve">, rather than </w:t>
      </w:r>
      <w:proofErr w:type="gramStart"/>
      <w:r>
        <w:rPr>
          <w:color w:val="auto"/>
          <w:szCs w:val="24"/>
        </w:rPr>
        <w:t>as a result</w:t>
      </w:r>
      <w:r>
        <w:rPr>
          <w:color w:val="auto"/>
        </w:rPr>
        <w:t xml:space="preserve"> of</w:t>
      </w:r>
      <w:proofErr w:type="gramEnd"/>
      <w:r>
        <w:rPr>
          <w:color w:val="auto"/>
        </w:rPr>
        <w:t xml:space="preserve"> the presence of capacity on a site. In the absence of a physical output measure that can be shown to drive energy consumption, robust measures of capacity utilisation may be considered</w:t>
      </w:r>
      <w:r w:rsidR="001F4516">
        <w:rPr>
          <w:color w:val="auto"/>
          <w:szCs w:val="24"/>
        </w:rPr>
        <w:t>.</w:t>
      </w:r>
    </w:p>
    <w:p w14:paraId="26419EC7" w14:textId="4D4C6962" w:rsidR="00026E66" w:rsidRDefault="002737EF" w:rsidP="00FF0098">
      <w:pPr>
        <w:tabs>
          <w:tab w:val="left" w:pos="0"/>
        </w:tabs>
        <w:ind w:right="182"/>
      </w:pPr>
      <w:r>
        <w:rPr>
          <w:color w:val="auto"/>
        </w:rPr>
        <w:t xml:space="preserve">The throughput measure chosen should be descriptive enough </w:t>
      </w:r>
      <w:r w:rsidR="00310FE8">
        <w:rPr>
          <w:color w:val="auto"/>
          <w:szCs w:val="24"/>
        </w:rPr>
        <w:t>to</w:t>
      </w:r>
      <w:r>
        <w:rPr>
          <w:color w:val="auto"/>
        </w:rPr>
        <w:t xml:space="preserve"> avoid doubt about what it </w:t>
      </w:r>
      <w:r w:rsidR="00310FE8">
        <w:rPr>
          <w:color w:val="auto"/>
          <w:szCs w:val="24"/>
        </w:rPr>
        <w:t>is</w:t>
      </w:r>
      <w:r>
        <w:rPr>
          <w:color w:val="auto"/>
        </w:rPr>
        <w:t xml:space="preserve">. For example, where product </w:t>
      </w:r>
      <w:r>
        <w:rPr>
          <w:color w:val="auto"/>
          <w:szCs w:val="24"/>
        </w:rPr>
        <w:t>mass is</w:t>
      </w:r>
      <w:r>
        <w:rPr>
          <w:color w:val="auto"/>
        </w:rPr>
        <w:t xml:space="preserve"> measured at various places in a production </w:t>
      </w:r>
      <w:r>
        <w:rPr>
          <w:color w:val="auto"/>
          <w:szCs w:val="24"/>
        </w:rPr>
        <w:t>sequence</w:t>
      </w:r>
      <w:r>
        <w:rPr>
          <w:color w:val="auto"/>
        </w:rPr>
        <w:t xml:space="preserve">, it must be clear </w:t>
      </w:r>
      <w:r>
        <w:rPr>
          <w:color w:val="auto"/>
          <w:szCs w:val="24"/>
        </w:rPr>
        <w:t>in</w:t>
      </w:r>
      <w:r>
        <w:rPr>
          <w:color w:val="auto"/>
        </w:rPr>
        <w:t xml:space="preserve"> the throughput measure description where this measure is </w:t>
      </w:r>
      <w:r w:rsidR="00310FE8">
        <w:rPr>
          <w:color w:val="auto"/>
          <w:szCs w:val="24"/>
        </w:rPr>
        <w:t>made</w:t>
      </w:r>
      <w:r>
        <w:rPr>
          <w:color w:val="auto"/>
        </w:rPr>
        <w:t xml:space="preserve"> (</w:t>
      </w:r>
      <w:r w:rsidR="007A7512">
        <w:rPr>
          <w:color w:val="auto"/>
        </w:rPr>
        <w:t>for example</w:t>
      </w:r>
      <w:r>
        <w:rPr>
          <w:color w:val="auto"/>
        </w:rPr>
        <w:t xml:space="preserve">, 'tonnes packed' rather than just 'tonnes'). </w:t>
      </w:r>
    </w:p>
    <w:p w14:paraId="7B5AF554" w14:textId="2A831B93" w:rsidR="00101B9E" w:rsidRPr="002C55E1" w:rsidRDefault="00BE7D8B" w:rsidP="00D446AD">
      <w:pPr>
        <w:tabs>
          <w:tab w:val="left" w:pos="0"/>
        </w:tabs>
        <w:spacing w:after="0"/>
        <w:ind w:right="182"/>
        <w:rPr>
          <w:color w:val="auto"/>
        </w:rPr>
      </w:pPr>
      <w:r>
        <w:rPr>
          <w:color w:val="auto"/>
        </w:rPr>
        <w:t>W</w:t>
      </w:r>
      <w:r w:rsidR="002737EF">
        <w:rPr>
          <w:color w:val="auto"/>
        </w:rPr>
        <w:t>e</w:t>
      </w:r>
      <w:r w:rsidR="002737EF">
        <w:rPr>
          <w:color w:val="auto"/>
          <w:szCs w:val="24"/>
        </w:rPr>
        <w:t xml:space="preserve"> will</w:t>
      </w:r>
      <w:r w:rsidR="002737EF">
        <w:rPr>
          <w:color w:val="auto"/>
        </w:rPr>
        <w:t xml:space="preserve"> expect the point at which the activity is measured to encompass the greatest possible proportion of the site's energy consumption</w:t>
      </w:r>
      <w:r>
        <w:rPr>
          <w:color w:val="auto"/>
        </w:rPr>
        <w:t xml:space="preserve">, unless </w:t>
      </w:r>
      <w:r>
        <w:rPr>
          <w:color w:val="auto"/>
          <w:szCs w:val="24"/>
        </w:rPr>
        <w:t>there are</w:t>
      </w:r>
      <w:r>
        <w:rPr>
          <w:color w:val="auto"/>
        </w:rPr>
        <w:t xml:space="preserve"> compelling physical or operational reasons </w:t>
      </w:r>
      <w:r w:rsidR="002C55E1">
        <w:rPr>
          <w:color w:val="auto"/>
        </w:rPr>
        <w:t>that prevent this</w:t>
      </w:r>
      <w:r w:rsidR="002737EF">
        <w:rPr>
          <w:color w:val="auto"/>
        </w:rPr>
        <w:t xml:space="preserve">. This means measuring physical production at the point closest to leaving the site, and </w:t>
      </w:r>
      <w:r w:rsidR="002737EF">
        <w:rPr>
          <w:color w:val="auto"/>
          <w:szCs w:val="24"/>
        </w:rPr>
        <w:t>a favouring of</w:t>
      </w:r>
      <w:r w:rsidR="002737EF">
        <w:rPr>
          <w:color w:val="auto"/>
        </w:rPr>
        <w:t xml:space="preserve"> process outputs over process inputs</w:t>
      </w:r>
      <w:r w:rsidR="002737EF">
        <w:rPr>
          <w:color w:val="auto"/>
          <w:szCs w:val="24"/>
        </w:rPr>
        <w:t xml:space="preserve"> as the throughput measure.</w:t>
      </w:r>
      <w:r w:rsidR="002737EF">
        <w:rPr>
          <w:color w:val="auto"/>
        </w:rPr>
        <w:t xml:space="preserve"> Such an approach encourages and rewards sites for improving process yield, which </w:t>
      </w:r>
      <w:r w:rsidR="002C55E1">
        <w:rPr>
          <w:color w:val="auto"/>
        </w:rPr>
        <w:t>itself is</w:t>
      </w:r>
      <w:r w:rsidR="002737EF">
        <w:rPr>
          <w:color w:val="auto"/>
        </w:rPr>
        <w:t xml:space="preserve"> an energy efficiency measure. </w:t>
      </w:r>
    </w:p>
    <w:p w14:paraId="75FE6F3F" w14:textId="77777777" w:rsidR="00026E66" w:rsidRDefault="002737EF" w:rsidP="00FF0098">
      <w:pPr>
        <w:pStyle w:val="Heading2"/>
        <w:tabs>
          <w:tab w:val="left" w:pos="0"/>
        </w:tabs>
      </w:pPr>
      <w:bookmarkStart w:id="65" w:name="_4.3._Brownfield_and"/>
      <w:bookmarkStart w:id="66" w:name="_Toc94718639"/>
      <w:bookmarkStart w:id="67" w:name="_Toc94088887"/>
      <w:bookmarkStart w:id="68" w:name="_Toc242885367"/>
      <w:bookmarkEnd w:id="65"/>
      <w:r>
        <w:t>4.3. Brownfield and greenfield facilities</w:t>
      </w:r>
      <w:bookmarkEnd w:id="66"/>
      <w:bookmarkEnd w:id="67"/>
      <w:bookmarkEnd w:id="68"/>
      <w:r>
        <w:t xml:space="preserve"> </w:t>
      </w:r>
    </w:p>
    <w:p w14:paraId="3CFEC1C4" w14:textId="2C9D3F0A" w:rsidR="00026E66" w:rsidRDefault="002737EF" w:rsidP="00FF0098">
      <w:pPr>
        <w:tabs>
          <w:tab w:val="left" w:pos="0"/>
        </w:tabs>
        <w:ind w:right="182"/>
      </w:pPr>
      <w:r>
        <w:rPr>
          <w:color w:val="auto"/>
        </w:rPr>
        <w:t xml:space="preserve">A </w:t>
      </w:r>
      <w:hyperlink w:anchor="Brownfield" w:history="1">
        <w:r w:rsidRPr="0010331E">
          <w:rPr>
            <w:rStyle w:val="Hyperlink"/>
          </w:rPr>
          <w:t>brownfield facility</w:t>
        </w:r>
      </w:hyperlink>
      <w:r>
        <w:rPr>
          <w:color w:val="auto"/>
        </w:rPr>
        <w:t xml:space="preserve"> is an existing facility </w:t>
      </w:r>
      <w:r>
        <w:rPr>
          <w:color w:val="auto"/>
          <w:szCs w:val="24"/>
        </w:rPr>
        <w:t>that already carries</w:t>
      </w:r>
      <w:r>
        <w:rPr>
          <w:color w:val="auto"/>
        </w:rPr>
        <w:t xml:space="preserve"> out </w:t>
      </w:r>
      <w:r>
        <w:rPr>
          <w:color w:val="auto"/>
          <w:szCs w:val="24"/>
        </w:rPr>
        <w:t>the</w:t>
      </w:r>
      <w:r>
        <w:rPr>
          <w:color w:val="auto"/>
        </w:rPr>
        <w:t xml:space="preserve"> eligible process</w:t>
      </w:r>
      <w:r>
        <w:rPr>
          <w:color w:val="auto"/>
          <w:szCs w:val="24"/>
        </w:rPr>
        <w:t xml:space="preserve">. </w:t>
      </w:r>
    </w:p>
    <w:p w14:paraId="145C5C0A" w14:textId="4783A167" w:rsidR="00026E66" w:rsidRDefault="002737EF" w:rsidP="00FF0098">
      <w:pPr>
        <w:tabs>
          <w:tab w:val="left" w:pos="0"/>
        </w:tabs>
        <w:ind w:right="182"/>
      </w:pPr>
      <w:r>
        <w:rPr>
          <w:color w:val="auto"/>
          <w:szCs w:val="24"/>
        </w:rPr>
        <w:t xml:space="preserve">A </w:t>
      </w:r>
      <w:hyperlink w:anchor="greenfield" w:history="1">
        <w:r w:rsidRPr="00BA6A51">
          <w:rPr>
            <w:rStyle w:val="Hyperlink"/>
            <w:szCs w:val="24"/>
          </w:rPr>
          <w:t>greenfield facility</w:t>
        </w:r>
      </w:hyperlink>
      <w:r>
        <w:rPr>
          <w:color w:val="auto"/>
          <w:szCs w:val="24"/>
        </w:rPr>
        <w:t xml:space="preserve"> is a site that began operating in the </w:t>
      </w:r>
      <w:r>
        <w:rPr>
          <w:color w:val="auto"/>
        </w:rPr>
        <w:t xml:space="preserve">12 months before </w:t>
      </w:r>
      <w:r>
        <w:rPr>
          <w:color w:val="auto"/>
          <w:szCs w:val="24"/>
        </w:rPr>
        <w:t>it applied</w:t>
      </w:r>
      <w:r>
        <w:rPr>
          <w:color w:val="auto"/>
        </w:rPr>
        <w:t xml:space="preserve"> to join the </w:t>
      </w:r>
      <w:r>
        <w:rPr>
          <w:color w:val="auto"/>
          <w:szCs w:val="24"/>
        </w:rPr>
        <w:t xml:space="preserve">CCA </w:t>
      </w:r>
      <w:r>
        <w:rPr>
          <w:color w:val="auto"/>
        </w:rPr>
        <w:t xml:space="preserve">scheme. </w:t>
      </w:r>
      <w:r>
        <w:rPr>
          <w:color w:val="auto"/>
          <w:szCs w:val="24"/>
        </w:rPr>
        <w:t xml:space="preserve">It may be </w:t>
      </w:r>
      <w:r>
        <w:t xml:space="preserve">a brand-new facility with new equipment carrying out activities and processes that </w:t>
      </w:r>
      <w:r>
        <w:rPr>
          <w:szCs w:val="24"/>
        </w:rPr>
        <w:t>hadn't</w:t>
      </w:r>
      <w:r>
        <w:t xml:space="preserve"> been carried out there previously</w:t>
      </w:r>
      <w:r>
        <w:rPr>
          <w:szCs w:val="24"/>
        </w:rPr>
        <w:t xml:space="preserve">. Or it may be </w:t>
      </w:r>
      <w:r>
        <w:t xml:space="preserve">a </w:t>
      </w:r>
      <w:r>
        <w:lastRenderedPageBreak/>
        <w:t xml:space="preserve">facility that </w:t>
      </w:r>
      <w:r>
        <w:rPr>
          <w:szCs w:val="24"/>
        </w:rPr>
        <w:t>had</w:t>
      </w:r>
      <w:r>
        <w:t xml:space="preserve"> </w:t>
      </w:r>
      <w:r w:rsidR="004712A8">
        <w:t>closed</w:t>
      </w:r>
      <w:r>
        <w:t>, had all its plant replaced and been recommissioned</w:t>
      </w:r>
      <w:r>
        <w:rPr>
          <w:szCs w:val="24"/>
        </w:rPr>
        <w:t xml:space="preserve">. </w:t>
      </w:r>
      <w:r>
        <w:rPr>
          <w:color w:val="auto"/>
        </w:rPr>
        <w:t xml:space="preserve">In both cases, 12 months of </w:t>
      </w:r>
      <w:hyperlink w:anchor="baseyear" w:history="1">
        <w:r w:rsidRPr="002D6B64">
          <w:rPr>
            <w:rStyle w:val="Hyperlink"/>
          </w:rPr>
          <w:t>base year</w:t>
        </w:r>
      </w:hyperlink>
      <w:r>
        <w:rPr>
          <w:color w:val="auto"/>
        </w:rPr>
        <w:t xml:space="preserve"> performance data, representative of the newly commissioned </w:t>
      </w:r>
      <w:r>
        <w:rPr>
          <w:color w:val="auto"/>
          <w:szCs w:val="24"/>
        </w:rPr>
        <w:t>site, cannot be provided</w:t>
      </w:r>
      <w:r>
        <w:rPr>
          <w:color w:val="auto"/>
        </w:rPr>
        <w:t xml:space="preserve">. </w:t>
      </w:r>
    </w:p>
    <w:p w14:paraId="561D9209" w14:textId="71D14E57" w:rsidR="00026E66" w:rsidRDefault="002737EF" w:rsidP="00D446AD">
      <w:pPr>
        <w:tabs>
          <w:tab w:val="left" w:pos="0"/>
        </w:tabs>
        <w:spacing w:after="0"/>
        <w:ind w:right="182"/>
        <w:rPr>
          <w:color w:val="auto"/>
          <w:szCs w:val="24"/>
        </w:rPr>
      </w:pPr>
      <w:r>
        <w:rPr>
          <w:color w:val="auto"/>
          <w:szCs w:val="24"/>
        </w:rPr>
        <w:t xml:space="preserve">By their very nature, brownfield and greenfield facilities differ in terms of the availability of base year data prior to entering a CCA. This affects target setting for new entrants to the CCA scheme. </w:t>
      </w:r>
    </w:p>
    <w:p w14:paraId="6C7699B3" w14:textId="62E6E7C8" w:rsidR="00026E66" w:rsidRDefault="002737EF" w:rsidP="00D446AD">
      <w:pPr>
        <w:pStyle w:val="Heading3"/>
        <w:tabs>
          <w:tab w:val="left" w:pos="0"/>
        </w:tabs>
      </w:pPr>
      <w:r>
        <w:t xml:space="preserve">4.3.1. Brownfield facilities </w:t>
      </w:r>
    </w:p>
    <w:p w14:paraId="1CF36BAE" w14:textId="019D3EDC" w:rsidR="00026E66" w:rsidRDefault="002737EF" w:rsidP="00FF0098">
      <w:pPr>
        <w:tabs>
          <w:tab w:val="left" w:pos="0"/>
        </w:tabs>
        <w:ind w:right="182"/>
      </w:pPr>
      <w:r>
        <w:rPr>
          <w:color w:val="auto"/>
        </w:rPr>
        <w:t xml:space="preserve">To </w:t>
      </w:r>
      <w:r w:rsidR="004712A8">
        <w:rPr>
          <w:color w:val="auto"/>
        </w:rPr>
        <w:t>obtain a</w:t>
      </w:r>
      <w:r>
        <w:rPr>
          <w:color w:val="auto"/>
        </w:rPr>
        <w:t xml:space="preserve"> CCA, the existing operator must have been running the site without any </w:t>
      </w:r>
      <w:hyperlink w:anchor="Structuralchange" w:history="1">
        <w:r w:rsidRPr="004C474C">
          <w:rPr>
            <w:rStyle w:val="Hyperlink"/>
          </w:rPr>
          <w:t>structural changes</w:t>
        </w:r>
      </w:hyperlink>
      <w:r>
        <w:rPr>
          <w:color w:val="auto"/>
        </w:rPr>
        <w:t xml:space="preserve"> and collecting the required data continuously for at least 12 months. Representative base year data should therefore be available, and the operator will be expected to </w:t>
      </w:r>
      <w:r>
        <w:rPr>
          <w:color w:val="auto"/>
          <w:szCs w:val="24"/>
        </w:rPr>
        <w:t>produce</w:t>
      </w:r>
      <w:r>
        <w:rPr>
          <w:color w:val="auto"/>
        </w:rPr>
        <w:t xml:space="preserve"> data </w:t>
      </w:r>
      <w:r>
        <w:rPr>
          <w:color w:val="auto"/>
          <w:szCs w:val="24"/>
        </w:rPr>
        <w:t xml:space="preserve">against which future </w:t>
      </w:r>
      <w:r>
        <w:rPr>
          <w:color w:val="auto"/>
        </w:rPr>
        <w:t>targets</w:t>
      </w:r>
      <w:r>
        <w:rPr>
          <w:color w:val="auto"/>
          <w:szCs w:val="24"/>
        </w:rPr>
        <w:t xml:space="preserve"> can be set</w:t>
      </w:r>
      <w:r>
        <w:rPr>
          <w:color w:val="auto"/>
        </w:rPr>
        <w:t xml:space="preserve">. </w:t>
      </w:r>
    </w:p>
    <w:p w14:paraId="4176AB3B" w14:textId="77777777" w:rsidR="00026E66" w:rsidRDefault="002737EF" w:rsidP="00FF0098">
      <w:pPr>
        <w:tabs>
          <w:tab w:val="left" w:pos="0"/>
        </w:tabs>
        <w:ind w:right="182"/>
      </w:pPr>
      <w:r>
        <w:rPr>
          <w:color w:val="auto"/>
        </w:rPr>
        <w:t xml:space="preserve">There </w:t>
      </w:r>
      <w:r>
        <w:rPr>
          <w:color w:val="auto"/>
          <w:szCs w:val="24"/>
        </w:rPr>
        <w:t>are</w:t>
      </w:r>
      <w:r>
        <w:rPr>
          <w:color w:val="auto"/>
        </w:rPr>
        <w:t xml:space="preserve"> situations where a brownfield facility may not have the required data for the previous 12-month period and will need to collect these data before it can </w:t>
      </w:r>
      <w:proofErr w:type="gramStart"/>
      <w:r>
        <w:rPr>
          <w:color w:val="auto"/>
          <w:szCs w:val="24"/>
        </w:rPr>
        <w:t>enter into</w:t>
      </w:r>
      <w:proofErr w:type="gramEnd"/>
      <w:r>
        <w:rPr>
          <w:color w:val="auto"/>
          <w:szCs w:val="24"/>
        </w:rPr>
        <w:t xml:space="preserve"> a CCA. Examples of this are as follows.</w:t>
      </w:r>
      <w:r>
        <w:rPr>
          <w:color w:val="auto"/>
        </w:rPr>
        <w:t xml:space="preserve"> </w:t>
      </w:r>
    </w:p>
    <w:p w14:paraId="0093D90B" w14:textId="0732C297" w:rsidR="00026E66" w:rsidRDefault="002737EF" w:rsidP="0065356B">
      <w:pPr>
        <w:pStyle w:val="ListParagraph"/>
        <w:numPr>
          <w:ilvl w:val="0"/>
          <w:numId w:val="39"/>
        </w:numPr>
        <w:tabs>
          <w:tab w:val="left" w:pos="0"/>
        </w:tabs>
        <w:spacing w:after="68"/>
        <w:ind w:right="182"/>
      </w:pPr>
      <w:r w:rsidRPr="00E955A3">
        <w:rPr>
          <w:szCs w:val="24"/>
        </w:rPr>
        <w:t>An</w:t>
      </w:r>
      <w:r>
        <w:t xml:space="preserve"> existing facility with an agreement </w:t>
      </w:r>
      <w:r w:rsidR="00773D22">
        <w:t>closed</w:t>
      </w:r>
      <w:r w:rsidRPr="00E955A3">
        <w:rPr>
          <w:szCs w:val="24"/>
        </w:rPr>
        <w:t xml:space="preserve"> </w:t>
      </w:r>
      <w:r>
        <w:t xml:space="preserve">for </w:t>
      </w:r>
      <w:proofErr w:type="gramStart"/>
      <w:r>
        <w:t xml:space="preserve">a period </w:t>
      </w:r>
      <w:r w:rsidRPr="00E955A3">
        <w:rPr>
          <w:szCs w:val="24"/>
        </w:rPr>
        <w:t>of time</w:t>
      </w:r>
      <w:proofErr w:type="gramEnd"/>
      <w:r w:rsidRPr="00E955A3">
        <w:rPr>
          <w:szCs w:val="24"/>
        </w:rPr>
        <w:t xml:space="preserve"> </w:t>
      </w:r>
      <w:r>
        <w:t xml:space="preserve">and restarted production </w:t>
      </w:r>
      <w:r w:rsidRPr="00E955A3">
        <w:rPr>
          <w:szCs w:val="24"/>
        </w:rPr>
        <w:t xml:space="preserve">(whether with or without a new owner) </w:t>
      </w:r>
      <w:r>
        <w:t xml:space="preserve">without any structural changes to the facility </w:t>
      </w:r>
      <w:r w:rsidRPr="00E955A3">
        <w:rPr>
          <w:szCs w:val="24"/>
        </w:rPr>
        <w:t>so</w:t>
      </w:r>
      <w:r>
        <w:t xml:space="preserve"> that</w:t>
      </w:r>
      <w:r w:rsidRPr="00E955A3">
        <w:rPr>
          <w:szCs w:val="24"/>
        </w:rPr>
        <w:t>, since it closed,</w:t>
      </w:r>
      <w:r>
        <w:t xml:space="preserve"> the configuration of the site had remained the same</w:t>
      </w:r>
      <w:r w:rsidRPr="00E955A3">
        <w:rPr>
          <w:szCs w:val="24"/>
        </w:rPr>
        <w:t xml:space="preserve">. </w:t>
      </w:r>
    </w:p>
    <w:p w14:paraId="42FA2FF8" w14:textId="77777777" w:rsidR="00026E66" w:rsidRDefault="002737EF" w:rsidP="0065356B">
      <w:pPr>
        <w:pStyle w:val="ListParagraph"/>
        <w:numPr>
          <w:ilvl w:val="0"/>
          <w:numId w:val="39"/>
        </w:numPr>
        <w:tabs>
          <w:tab w:val="left" w:pos="0"/>
        </w:tabs>
        <w:ind w:right="182"/>
      </w:pPr>
      <w:r w:rsidRPr="00E955A3">
        <w:rPr>
          <w:szCs w:val="24"/>
        </w:rPr>
        <w:t>Previous</w:t>
      </w:r>
      <w:r>
        <w:t xml:space="preserve"> data are not available</w:t>
      </w:r>
      <w:r w:rsidRPr="00E955A3">
        <w:rPr>
          <w:szCs w:val="24"/>
        </w:rPr>
        <w:t>, for example,</w:t>
      </w:r>
      <w:r>
        <w:t xml:space="preserve"> because the new operator did not undertake due diligence </w:t>
      </w:r>
      <w:r w:rsidRPr="00E955A3">
        <w:rPr>
          <w:szCs w:val="24"/>
        </w:rPr>
        <w:t>to</w:t>
      </w:r>
      <w:r>
        <w:t xml:space="preserve"> obtain data from </w:t>
      </w:r>
      <w:r w:rsidRPr="00E955A3">
        <w:rPr>
          <w:szCs w:val="24"/>
        </w:rPr>
        <w:t>the</w:t>
      </w:r>
      <w:r>
        <w:t xml:space="preserve"> previous </w:t>
      </w:r>
      <w:r w:rsidRPr="00E955A3">
        <w:rPr>
          <w:szCs w:val="24"/>
        </w:rPr>
        <w:t>owner, or</w:t>
      </w:r>
      <w:r>
        <w:t xml:space="preserve"> because the </w:t>
      </w:r>
      <w:r w:rsidRPr="00E955A3">
        <w:rPr>
          <w:szCs w:val="24"/>
        </w:rPr>
        <w:t>site</w:t>
      </w:r>
      <w:r>
        <w:t xml:space="preserve"> went into administration and the administrator refused </w:t>
      </w:r>
      <w:r w:rsidRPr="00E955A3">
        <w:rPr>
          <w:szCs w:val="24"/>
        </w:rPr>
        <w:t xml:space="preserve">the new owner </w:t>
      </w:r>
      <w:r>
        <w:t xml:space="preserve">access to </w:t>
      </w:r>
      <w:r w:rsidRPr="00E955A3">
        <w:rPr>
          <w:szCs w:val="24"/>
        </w:rPr>
        <w:t>previous</w:t>
      </w:r>
      <w:r>
        <w:t xml:space="preserve"> records</w:t>
      </w:r>
      <w:r w:rsidRPr="00E955A3">
        <w:rPr>
          <w:szCs w:val="24"/>
        </w:rPr>
        <w:t xml:space="preserve">. </w:t>
      </w:r>
    </w:p>
    <w:p w14:paraId="4759B028" w14:textId="648B12D5" w:rsidR="00026E66" w:rsidRPr="00D446AD" w:rsidRDefault="002737EF" w:rsidP="00D446AD">
      <w:pPr>
        <w:tabs>
          <w:tab w:val="left" w:pos="0"/>
        </w:tabs>
        <w:spacing w:after="56"/>
        <w:ind w:right="182"/>
      </w:pPr>
      <w:r>
        <w:rPr>
          <w:color w:val="auto"/>
        </w:rPr>
        <w:t xml:space="preserve">A brownfield facility that re-enters the </w:t>
      </w:r>
      <w:r>
        <w:rPr>
          <w:color w:val="auto"/>
          <w:szCs w:val="24"/>
        </w:rPr>
        <w:t xml:space="preserve">CCA </w:t>
      </w:r>
      <w:r>
        <w:rPr>
          <w:color w:val="auto"/>
        </w:rPr>
        <w:t xml:space="preserve">scheme must use its existing base year. Where the data are not available or it is not possible to reconstruct them, the next available 12-month period for which there are complete data should be selected. Lack of data due to poor record-keeping is not </w:t>
      </w:r>
      <w:r>
        <w:rPr>
          <w:color w:val="auto"/>
          <w:szCs w:val="24"/>
        </w:rPr>
        <w:t xml:space="preserve">acceptable as </w:t>
      </w:r>
      <w:r>
        <w:rPr>
          <w:color w:val="auto"/>
        </w:rPr>
        <w:t xml:space="preserve">a reason </w:t>
      </w:r>
      <w:r>
        <w:rPr>
          <w:color w:val="auto"/>
          <w:szCs w:val="24"/>
        </w:rPr>
        <w:t>to use</w:t>
      </w:r>
      <w:r>
        <w:rPr>
          <w:color w:val="auto"/>
        </w:rPr>
        <w:t xml:space="preserve"> a more recent base year. Any brownfield facility that does adopt a new base year should apply the target setting methodology outlined in </w:t>
      </w:r>
      <w:hyperlink w:anchor="_4.4._Target_setting" w:history="1">
        <w:r>
          <w:rPr>
            <w:rStyle w:val="Hyperlink"/>
          </w:rPr>
          <w:t>section 4.4</w:t>
        </w:r>
      </w:hyperlink>
      <w:r>
        <w:rPr>
          <w:color w:val="auto"/>
        </w:rPr>
        <w:t xml:space="preserve">. </w:t>
      </w:r>
    </w:p>
    <w:p w14:paraId="478D0B22" w14:textId="1A5EE3DC" w:rsidR="00026E66" w:rsidRDefault="002737EF" w:rsidP="00D446AD">
      <w:pPr>
        <w:pStyle w:val="Heading3"/>
        <w:tabs>
          <w:tab w:val="left" w:pos="0"/>
        </w:tabs>
      </w:pPr>
      <w:r>
        <w:t xml:space="preserve">4.3.2. Greenfield facilities </w:t>
      </w:r>
    </w:p>
    <w:p w14:paraId="08F1002E" w14:textId="67DEBAE8" w:rsidR="00026E66" w:rsidRDefault="002737EF" w:rsidP="00FF0098">
      <w:pPr>
        <w:tabs>
          <w:tab w:val="left" w:pos="0"/>
        </w:tabs>
        <w:ind w:right="182"/>
      </w:pPr>
      <w:r>
        <w:rPr>
          <w:color w:val="auto"/>
          <w:szCs w:val="24"/>
        </w:rPr>
        <w:t xml:space="preserve">A </w:t>
      </w:r>
      <w:hyperlink w:anchor="greenfield" w:history="1">
        <w:r w:rsidRPr="00BA6A51">
          <w:rPr>
            <w:rStyle w:val="Hyperlink"/>
          </w:rPr>
          <w:t>greenfield facility</w:t>
        </w:r>
      </w:hyperlink>
      <w:r>
        <w:rPr>
          <w:color w:val="auto"/>
        </w:rPr>
        <w:t xml:space="preserve"> can have an agreement </w:t>
      </w:r>
      <w:r>
        <w:rPr>
          <w:color w:val="auto"/>
          <w:szCs w:val="24"/>
        </w:rPr>
        <w:t xml:space="preserve">from the outset. The </w:t>
      </w:r>
      <w:r w:rsidR="002C492B">
        <w:rPr>
          <w:color w:val="auto"/>
          <w:szCs w:val="24"/>
        </w:rPr>
        <w:t>facility</w:t>
      </w:r>
      <w:r>
        <w:rPr>
          <w:color w:val="auto"/>
          <w:szCs w:val="24"/>
        </w:rPr>
        <w:t xml:space="preserve"> will be given a percentage target in line with its sector commitment. An</w:t>
      </w:r>
      <w:r>
        <w:rPr>
          <w:color w:val="auto"/>
        </w:rPr>
        <w:t xml:space="preserve"> estimated interim </w:t>
      </w:r>
      <w:hyperlink w:anchor="baseyear" w:history="1">
        <w:r w:rsidRPr="002D6B64">
          <w:rPr>
            <w:rStyle w:val="Hyperlink"/>
            <w:szCs w:val="24"/>
          </w:rPr>
          <w:t>base year</w:t>
        </w:r>
      </w:hyperlink>
      <w:r>
        <w:rPr>
          <w:color w:val="auto"/>
        </w:rPr>
        <w:t xml:space="preserve"> performance for the year the facility began operation </w:t>
      </w:r>
      <w:r>
        <w:rPr>
          <w:color w:val="auto"/>
          <w:szCs w:val="24"/>
        </w:rPr>
        <w:t xml:space="preserve">will need to be agreed </w:t>
      </w:r>
      <w:r>
        <w:rPr>
          <w:color w:val="auto"/>
        </w:rPr>
        <w:t>with us</w:t>
      </w:r>
      <w:r>
        <w:rPr>
          <w:color w:val="auto"/>
          <w:szCs w:val="24"/>
        </w:rPr>
        <w:t>.</w:t>
      </w:r>
      <w:r>
        <w:rPr>
          <w:color w:val="auto"/>
        </w:rPr>
        <w:t xml:space="preserve"> Where </w:t>
      </w:r>
      <w:r>
        <w:rPr>
          <w:color w:val="auto"/>
          <w:szCs w:val="24"/>
        </w:rPr>
        <w:t>appropriate</w:t>
      </w:r>
      <w:r>
        <w:rPr>
          <w:color w:val="auto"/>
        </w:rPr>
        <w:t xml:space="preserve">, this can also include the optional additional 3/7ths provision. The base year for the greenfield </w:t>
      </w:r>
      <w:r>
        <w:rPr>
          <w:color w:val="auto"/>
          <w:szCs w:val="24"/>
        </w:rPr>
        <w:t>new entrant</w:t>
      </w:r>
      <w:r>
        <w:rPr>
          <w:color w:val="auto"/>
        </w:rPr>
        <w:t xml:space="preserve"> will be the first year that the </w:t>
      </w:r>
      <w:hyperlink w:anchor="Underlyingagreement" w:history="1">
        <w:r w:rsidRPr="0017611F">
          <w:rPr>
            <w:rStyle w:val="Hyperlink"/>
          </w:rPr>
          <w:t>underlying agreement</w:t>
        </w:r>
      </w:hyperlink>
      <w:r>
        <w:rPr>
          <w:color w:val="auto"/>
        </w:rPr>
        <w:t xml:space="preserve"> is held.</w:t>
      </w:r>
      <w:r>
        <w:rPr>
          <w:color w:val="auto"/>
          <w:szCs w:val="24"/>
        </w:rPr>
        <w:t xml:space="preserve"> </w:t>
      </w:r>
    </w:p>
    <w:p w14:paraId="20A09C9C" w14:textId="0CBE6E6F" w:rsidR="00026E66" w:rsidRDefault="002737EF" w:rsidP="00FF0098">
      <w:pPr>
        <w:tabs>
          <w:tab w:val="left" w:pos="0"/>
        </w:tabs>
        <w:ind w:right="182"/>
      </w:pPr>
      <w:r w:rsidRPr="5E2D0210">
        <w:rPr>
          <w:color w:val="auto"/>
        </w:rPr>
        <w:lastRenderedPageBreak/>
        <w:t>The</w:t>
      </w:r>
      <w:r>
        <w:rPr>
          <w:color w:val="auto"/>
        </w:rPr>
        <w:t xml:space="preserve"> facility is required to agree with us a date by which it will have 12 months of continuous data available from which a target will be calculated. </w:t>
      </w:r>
      <w:r w:rsidRPr="5E2D0210">
        <w:rPr>
          <w:color w:val="auto"/>
        </w:rPr>
        <w:t>Installation of</w:t>
      </w:r>
      <w:r>
        <w:rPr>
          <w:color w:val="auto"/>
        </w:rPr>
        <w:t xml:space="preserve"> sub-metering </w:t>
      </w:r>
      <w:r w:rsidRPr="5E2D0210">
        <w:rPr>
          <w:color w:val="auto"/>
        </w:rPr>
        <w:t>is expected to occur</w:t>
      </w:r>
      <w:r>
        <w:rPr>
          <w:color w:val="auto"/>
        </w:rPr>
        <w:t xml:space="preserve"> within </w:t>
      </w:r>
      <w:r w:rsidR="009E12F0" w:rsidRPr="5E2D0210">
        <w:rPr>
          <w:color w:val="auto"/>
        </w:rPr>
        <w:t>6</w:t>
      </w:r>
      <w:r>
        <w:rPr>
          <w:color w:val="auto"/>
        </w:rPr>
        <w:t xml:space="preserve"> months of the date </w:t>
      </w:r>
      <w:r w:rsidRPr="5E2D0210">
        <w:rPr>
          <w:color w:val="auto"/>
        </w:rPr>
        <w:t>when</w:t>
      </w:r>
      <w:r>
        <w:rPr>
          <w:color w:val="auto"/>
        </w:rPr>
        <w:t xml:space="preserve"> the need for sub-metering is identified. This also applies to any sub-metering required for the optional 3/7ths provision.</w:t>
      </w:r>
      <w:r w:rsidRPr="5E2D0210">
        <w:rPr>
          <w:color w:val="auto"/>
        </w:rPr>
        <w:t xml:space="preserve"> </w:t>
      </w:r>
    </w:p>
    <w:p w14:paraId="6A51E21C" w14:textId="50BD2090" w:rsidR="00026E66" w:rsidRPr="00D446AD" w:rsidRDefault="002737EF" w:rsidP="00D446AD">
      <w:pPr>
        <w:tabs>
          <w:tab w:val="left" w:pos="0"/>
        </w:tabs>
        <w:spacing w:after="0"/>
        <w:ind w:right="182"/>
      </w:pPr>
      <w:r>
        <w:rPr>
          <w:color w:val="auto"/>
        </w:rPr>
        <w:t>If a greenfield facility joins the CCA scheme in the final 12 months of a target period, it should report against the target calculated using the agreed estimated interim base year performance. A revised target will be calculated for future target periods once data for the full 12 months for the actual base year are available.</w:t>
      </w:r>
      <w:r>
        <w:rPr>
          <w:color w:val="auto"/>
          <w:szCs w:val="24"/>
        </w:rPr>
        <w:t xml:space="preserve"> </w:t>
      </w:r>
    </w:p>
    <w:p w14:paraId="05BD80A9" w14:textId="2FE377FB" w:rsidR="00026E66" w:rsidRPr="00D446AD" w:rsidRDefault="002737EF" w:rsidP="00D446AD">
      <w:pPr>
        <w:pStyle w:val="Heading2"/>
        <w:tabs>
          <w:tab w:val="left" w:pos="0"/>
        </w:tabs>
      </w:pPr>
      <w:bookmarkStart w:id="69" w:name="_4.4._Target_setting"/>
      <w:bookmarkStart w:id="70" w:name="_Toc94718640"/>
      <w:bookmarkStart w:id="71" w:name="_Toc94088888"/>
      <w:bookmarkStart w:id="72" w:name="_Toc242885368"/>
      <w:bookmarkEnd w:id="69"/>
      <w:r>
        <w:t>4.4. Target setting for new entrants</w:t>
      </w:r>
      <w:bookmarkEnd w:id="70"/>
      <w:bookmarkEnd w:id="71"/>
      <w:bookmarkEnd w:id="72"/>
      <w:r>
        <w:t xml:space="preserve"> </w:t>
      </w:r>
    </w:p>
    <w:p w14:paraId="17FB5A71" w14:textId="7A35D34E" w:rsidR="00C82BFF" w:rsidRDefault="00C82BFF" w:rsidP="00FF0098">
      <w:pPr>
        <w:tabs>
          <w:tab w:val="left" w:pos="0"/>
        </w:tabs>
        <w:spacing w:after="3" w:line="235" w:lineRule="auto"/>
        <w:ind w:right="451"/>
        <w:jc w:val="both"/>
        <w:rPr>
          <w:color w:val="auto"/>
        </w:rPr>
      </w:pPr>
      <w:r>
        <w:rPr>
          <w:color w:val="auto"/>
        </w:rPr>
        <w:t xml:space="preserve">This section sets out a standard method to be followed by any new entrant entering the scheme. The method also applies to brownfield facilities that have re-entered the scheme with a more recent </w:t>
      </w:r>
      <w:hyperlink w:anchor="baseyear" w:history="1">
        <w:r w:rsidRPr="00A153DC">
          <w:rPr>
            <w:rStyle w:val="Hyperlink"/>
          </w:rPr>
          <w:t>base year</w:t>
        </w:r>
      </w:hyperlink>
      <w:r>
        <w:rPr>
          <w:color w:val="auto"/>
        </w:rPr>
        <w:t xml:space="preserve">. </w:t>
      </w:r>
    </w:p>
    <w:p w14:paraId="51FD84EC" w14:textId="178C992A" w:rsidR="00026E66" w:rsidDel="0046405B" w:rsidRDefault="002674C0" w:rsidP="00FF0098">
      <w:pPr>
        <w:tabs>
          <w:tab w:val="left" w:pos="0"/>
        </w:tabs>
        <w:spacing w:after="3" w:line="235" w:lineRule="auto"/>
        <w:ind w:right="451"/>
        <w:jc w:val="both"/>
      </w:pPr>
      <w:r>
        <w:rPr>
          <w:color w:val="auto"/>
        </w:rPr>
        <w:t>Operators can</w:t>
      </w:r>
      <w:r w:rsidR="002071AF">
        <w:rPr>
          <w:color w:val="auto"/>
        </w:rPr>
        <w:t xml:space="preserve"> apply</w:t>
      </w:r>
      <w:r>
        <w:rPr>
          <w:color w:val="auto"/>
        </w:rPr>
        <w:t xml:space="preserve"> for eligible facilities</w:t>
      </w:r>
      <w:r w:rsidR="002071AF">
        <w:rPr>
          <w:color w:val="auto"/>
        </w:rPr>
        <w:t xml:space="preserve"> to join the scheme</w:t>
      </w:r>
      <w:r>
        <w:rPr>
          <w:color w:val="auto"/>
        </w:rPr>
        <w:t xml:space="preserve"> between 1 January and </w:t>
      </w:r>
      <w:r w:rsidR="00C82BFF">
        <w:rPr>
          <w:color w:val="auto"/>
        </w:rPr>
        <w:t>31 August</w:t>
      </w:r>
      <w:r w:rsidR="00276C9F">
        <w:rPr>
          <w:color w:val="auto"/>
        </w:rPr>
        <w:t xml:space="preserve"> in every year </w:t>
      </w:r>
      <w:r w:rsidR="00D47987">
        <w:rPr>
          <w:color w:val="auto"/>
        </w:rPr>
        <w:t>throughout the scheme.</w:t>
      </w:r>
    </w:p>
    <w:p w14:paraId="57437EB2" w14:textId="2F217851" w:rsidR="00026E66" w:rsidRDefault="002737EF" w:rsidP="00D446AD">
      <w:pPr>
        <w:pStyle w:val="Heading3"/>
        <w:tabs>
          <w:tab w:val="left" w:pos="0"/>
        </w:tabs>
      </w:pPr>
      <w:bookmarkStart w:id="73" w:name="_4.4.1._Calculating_a"/>
      <w:bookmarkEnd w:id="73"/>
      <w:r>
        <w:t xml:space="preserve">4.4.1. Calculating a target for a new scheme entrant </w:t>
      </w:r>
    </w:p>
    <w:p w14:paraId="53606813" w14:textId="2FA559C3" w:rsidR="00026E66" w:rsidRDefault="002737EF" w:rsidP="00FF0098">
      <w:pPr>
        <w:tabs>
          <w:tab w:val="left" w:pos="0"/>
        </w:tabs>
        <w:ind w:right="182"/>
      </w:pPr>
      <w:r>
        <w:rPr>
          <w:color w:val="auto"/>
        </w:rPr>
        <w:t xml:space="preserve">The sector commitment (or </w:t>
      </w:r>
      <w:hyperlink w:anchor="Subsector" w:history="1">
        <w:r w:rsidRPr="00DD02AC">
          <w:rPr>
            <w:rStyle w:val="Hyperlink"/>
          </w:rPr>
          <w:t>sub-sector</w:t>
        </w:r>
      </w:hyperlink>
      <w:r>
        <w:rPr>
          <w:color w:val="auto"/>
        </w:rPr>
        <w:t xml:space="preserve"> commitment if applicable) is used to set the percentage improvement target of a </w:t>
      </w:r>
      <w:r w:rsidR="004A743A">
        <w:rPr>
          <w:color w:val="auto"/>
        </w:rPr>
        <w:t xml:space="preserve">facility </w:t>
      </w:r>
      <w:r>
        <w:rPr>
          <w:color w:val="auto"/>
        </w:rPr>
        <w:t>when either of the following applies</w:t>
      </w:r>
      <w:r>
        <w:rPr>
          <w:color w:val="auto"/>
          <w:szCs w:val="24"/>
        </w:rPr>
        <w:t>.</w:t>
      </w:r>
      <w:r>
        <w:rPr>
          <w:color w:val="auto"/>
        </w:rPr>
        <w:t xml:space="preserve"> </w:t>
      </w:r>
    </w:p>
    <w:p w14:paraId="348592F2" w14:textId="1FF88356" w:rsidR="00026E66" w:rsidRDefault="002737EF" w:rsidP="0065356B">
      <w:pPr>
        <w:pStyle w:val="ListParagraph"/>
        <w:numPr>
          <w:ilvl w:val="0"/>
          <w:numId w:val="40"/>
        </w:numPr>
        <w:tabs>
          <w:tab w:val="left" w:pos="0"/>
        </w:tabs>
        <w:spacing w:after="76"/>
        <w:ind w:right="182"/>
      </w:pPr>
      <w:r w:rsidRPr="00E955A3">
        <w:rPr>
          <w:szCs w:val="24"/>
        </w:rPr>
        <w:t>A</w:t>
      </w:r>
      <w:r>
        <w:t xml:space="preserve"> facility or group of facilities is entirely new to the scheme</w:t>
      </w:r>
      <w:r w:rsidR="004A743A">
        <w:t>. Each facility will be given</w:t>
      </w:r>
      <w:r w:rsidR="00A75C12">
        <w:t xml:space="preserve"> a tar</w:t>
      </w:r>
      <w:r w:rsidR="00157F00">
        <w:t>get that matches</w:t>
      </w:r>
      <w:r w:rsidR="005738F3">
        <w:t xml:space="preserve"> the </w:t>
      </w:r>
      <w:r w:rsidR="0089280C">
        <w:t xml:space="preserve">relevant sector or sub-sector commitment. </w:t>
      </w:r>
    </w:p>
    <w:p w14:paraId="0AD9CCBE" w14:textId="207AF3E5" w:rsidR="00026E66" w:rsidRDefault="002737EF" w:rsidP="0065356B">
      <w:pPr>
        <w:pStyle w:val="ListParagraph"/>
        <w:numPr>
          <w:ilvl w:val="0"/>
          <w:numId w:val="40"/>
        </w:numPr>
        <w:tabs>
          <w:tab w:val="left" w:pos="0"/>
        </w:tabs>
        <w:spacing w:after="152" w:line="244" w:lineRule="auto"/>
        <w:ind w:right="182"/>
      </w:pPr>
      <w:r w:rsidRPr="00E955A3">
        <w:rPr>
          <w:szCs w:val="24"/>
        </w:rPr>
        <w:t>A</w:t>
      </w:r>
      <w:r w:rsidRPr="00E955A3">
        <w:t xml:space="preserve"> facility formerly covered by the </w:t>
      </w:r>
      <w:hyperlink w:anchor="Umbrellaagreement" w:history="1">
        <w:r w:rsidRPr="00946993">
          <w:rPr>
            <w:rStyle w:val="Hyperlink"/>
          </w:rPr>
          <w:t>umbrella agreement</w:t>
        </w:r>
      </w:hyperlink>
      <w:r w:rsidRPr="00E955A3">
        <w:t xml:space="preserve"> of a different sector is moved into a new sector and becomes </w:t>
      </w:r>
      <w:r w:rsidR="00474BDA" w:rsidRPr="00E955A3">
        <w:t xml:space="preserve">a </w:t>
      </w:r>
      <w:r w:rsidR="00474BDA">
        <w:t>facility</w:t>
      </w:r>
      <w:r w:rsidRPr="00E955A3">
        <w:t xml:space="preserve"> in that new sector. However, the </w:t>
      </w:r>
      <w:r w:rsidR="008A02C3">
        <w:t>facility</w:t>
      </w:r>
      <w:r w:rsidRPr="00E955A3">
        <w:t xml:space="preserve"> will retain the original performance improvement target if, when the percentage sector commitment is applied </w:t>
      </w:r>
      <w:r>
        <w:t xml:space="preserve">to the </w:t>
      </w:r>
      <w:r w:rsidR="00474BDA">
        <w:t>facility’s</w:t>
      </w:r>
      <w:r>
        <w:t xml:space="preserve"> base year performance, the target calculated for the next target period gives a target performance that was already achieved in the previous target period</w:t>
      </w:r>
      <w:r w:rsidRPr="00E955A3">
        <w:rPr>
          <w:szCs w:val="24"/>
        </w:rPr>
        <w:t xml:space="preserve">. </w:t>
      </w:r>
    </w:p>
    <w:p w14:paraId="609042CE" w14:textId="5E2767AE" w:rsidR="00026E66" w:rsidRDefault="002737EF" w:rsidP="00FF0098">
      <w:pPr>
        <w:tabs>
          <w:tab w:val="left" w:pos="0"/>
        </w:tabs>
        <w:ind w:right="182"/>
      </w:pPr>
      <w:r>
        <w:rPr>
          <w:color w:val="auto"/>
        </w:rPr>
        <w:t xml:space="preserve">If the base year of </w:t>
      </w:r>
      <w:r>
        <w:rPr>
          <w:color w:val="auto"/>
          <w:szCs w:val="24"/>
        </w:rPr>
        <w:t>the</w:t>
      </w:r>
      <w:r>
        <w:rPr>
          <w:color w:val="auto"/>
        </w:rPr>
        <w:t xml:space="preserve"> new </w:t>
      </w:r>
      <w:r>
        <w:rPr>
          <w:color w:val="auto"/>
          <w:szCs w:val="24"/>
        </w:rPr>
        <w:t>entrant</w:t>
      </w:r>
      <w:r>
        <w:rPr>
          <w:color w:val="auto"/>
        </w:rPr>
        <w:t xml:space="preserve"> is more recent than </w:t>
      </w:r>
      <w:r>
        <w:rPr>
          <w:color w:val="auto"/>
          <w:szCs w:val="24"/>
        </w:rPr>
        <w:t xml:space="preserve">that for </w:t>
      </w:r>
      <w:r>
        <w:rPr>
          <w:color w:val="auto"/>
        </w:rPr>
        <w:t xml:space="preserve">the sector </w:t>
      </w:r>
      <w:r>
        <w:rPr>
          <w:color w:val="auto"/>
          <w:szCs w:val="24"/>
        </w:rPr>
        <w:t>or sub-sector</w:t>
      </w:r>
      <w:r>
        <w:rPr>
          <w:color w:val="auto"/>
        </w:rPr>
        <w:t xml:space="preserve">, the target will be adjusted in line with </w:t>
      </w:r>
      <w:hyperlink w:anchor="_4.4.2._Setting_a" w:history="1">
        <w:r w:rsidRPr="002542E4">
          <w:rPr>
            <w:rStyle w:val="Hyperlink"/>
          </w:rPr>
          <w:t>section 4.4.2</w:t>
        </w:r>
      </w:hyperlink>
      <w:r>
        <w:rPr>
          <w:color w:val="auto"/>
        </w:rPr>
        <w:t>.</w:t>
      </w:r>
      <w:r>
        <w:rPr>
          <w:color w:val="auto"/>
          <w:szCs w:val="24"/>
        </w:rPr>
        <w:t xml:space="preserve"> </w:t>
      </w:r>
    </w:p>
    <w:p w14:paraId="05F735E7" w14:textId="08AEB079" w:rsidR="00DD7F8F" w:rsidRPr="00466E58" w:rsidRDefault="002737EF" w:rsidP="00FF0098">
      <w:pPr>
        <w:tabs>
          <w:tab w:val="left" w:pos="0"/>
        </w:tabs>
        <w:spacing w:after="0"/>
        <w:ind w:right="182"/>
        <w:rPr>
          <w:color w:val="auto"/>
          <w:szCs w:val="24"/>
        </w:rPr>
      </w:pPr>
      <w:r>
        <w:rPr>
          <w:color w:val="auto"/>
        </w:rPr>
        <w:t>If a facility re-</w:t>
      </w:r>
      <w:r>
        <w:rPr>
          <w:color w:val="auto"/>
          <w:szCs w:val="24"/>
        </w:rPr>
        <w:t>joins</w:t>
      </w:r>
      <w:r>
        <w:rPr>
          <w:color w:val="auto"/>
        </w:rPr>
        <w:t xml:space="preserve"> the scheme having previously left voluntarily</w:t>
      </w:r>
      <w:r w:rsidR="00183E72">
        <w:rPr>
          <w:color w:val="auto"/>
        </w:rPr>
        <w:t>,</w:t>
      </w:r>
      <w:r>
        <w:rPr>
          <w:color w:val="auto"/>
        </w:rPr>
        <w:t xml:space="preserve"> or following our termination of its underlying agreement</w:t>
      </w:r>
      <w:r>
        <w:rPr>
          <w:color w:val="auto"/>
          <w:szCs w:val="24"/>
        </w:rPr>
        <w:t>,</w:t>
      </w:r>
      <w:r w:rsidR="00466E58">
        <w:rPr>
          <w:color w:val="auto"/>
          <w:szCs w:val="24"/>
        </w:rPr>
        <w:t xml:space="preserve"> </w:t>
      </w:r>
      <w:r w:rsidR="00466E58">
        <w:rPr>
          <w:color w:val="auto"/>
        </w:rPr>
        <w:t>t</w:t>
      </w:r>
      <w:r>
        <w:rPr>
          <w:color w:val="auto"/>
        </w:rPr>
        <w:t>he percentage improvement target will be whichever is the more demanding</w:t>
      </w:r>
      <w:r w:rsidR="00DD7F8F">
        <w:rPr>
          <w:color w:val="auto"/>
        </w:rPr>
        <w:t>:</w:t>
      </w:r>
    </w:p>
    <w:p w14:paraId="302D1B57" w14:textId="4D6568EA" w:rsidR="00DD7F8F" w:rsidRPr="00DD7F8F" w:rsidRDefault="00DD7F8F" w:rsidP="00DD7F8F">
      <w:pPr>
        <w:pStyle w:val="ListParagraph"/>
        <w:numPr>
          <w:ilvl w:val="0"/>
          <w:numId w:val="200"/>
        </w:numPr>
        <w:tabs>
          <w:tab w:val="left" w:pos="0"/>
        </w:tabs>
        <w:spacing w:after="0"/>
        <w:ind w:right="182"/>
        <w:rPr>
          <w:szCs w:val="24"/>
        </w:rPr>
      </w:pPr>
      <w:r>
        <w:t>the facility’s</w:t>
      </w:r>
      <w:r w:rsidR="002737EF">
        <w:t xml:space="preserve"> original percentage improvement target</w:t>
      </w:r>
      <w:r>
        <w:t>,</w:t>
      </w:r>
      <w:r w:rsidR="002737EF">
        <w:t xml:space="preserve"> </w:t>
      </w:r>
      <w:r w:rsidR="002737EF" w:rsidRPr="00DD7F8F">
        <w:rPr>
          <w:szCs w:val="24"/>
        </w:rPr>
        <w:t xml:space="preserve">or </w:t>
      </w:r>
    </w:p>
    <w:p w14:paraId="13911D4C" w14:textId="5BFDC971" w:rsidR="00DD7F8F" w:rsidRDefault="002737EF" w:rsidP="00DD7F8F">
      <w:pPr>
        <w:pStyle w:val="ListParagraph"/>
        <w:numPr>
          <w:ilvl w:val="0"/>
          <w:numId w:val="200"/>
        </w:numPr>
        <w:tabs>
          <w:tab w:val="left" w:pos="0"/>
        </w:tabs>
        <w:spacing w:after="0"/>
        <w:ind w:right="182"/>
      </w:pPr>
      <w:r>
        <w:t xml:space="preserve">the </w:t>
      </w:r>
      <w:r w:rsidR="00DD7F8F">
        <w:t>relevant</w:t>
      </w:r>
      <w:r>
        <w:t xml:space="preserve"> sector (or sub-sector) commitment. </w:t>
      </w:r>
    </w:p>
    <w:p w14:paraId="073C89B0" w14:textId="3D19D570" w:rsidR="00026E66" w:rsidRPr="00C64C14" w:rsidRDefault="002737EF" w:rsidP="00FF0098">
      <w:pPr>
        <w:tabs>
          <w:tab w:val="left" w:pos="0"/>
        </w:tabs>
        <w:spacing w:after="0"/>
        <w:ind w:right="182"/>
        <w:rPr>
          <w:color w:val="auto"/>
          <w:szCs w:val="24"/>
        </w:rPr>
      </w:pPr>
      <w:r>
        <w:rPr>
          <w:color w:val="auto"/>
        </w:rPr>
        <w:t xml:space="preserve">This does not apply to cases where the agreement is voluntarily terminated because the site has closed for a major refurbishment. In such cases, </w:t>
      </w:r>
      <w:r w:rsidR="000D6EE7">
        <w:rPr>
          <w:color w:val="auto"/>
        </w:rPr>
        <w:t xml:space="preserve">the </w:t>
      </w:r>
      <w:r>
        <w:rPr>
          <w:color w:val="auto"/>
        </w:rPr>
        <w:t xml:space="preserve">original percentage target </w:t>
      </w:r>
      <w:r>
        <w:rPr>
          <w:color w:val="auto"/>
        </w:rPr>
        <w:lastRenderedPageBreak/>
        <w:t>will be applied</w:t>
      </w:r>
      <w:r w:rsidR="000D6EE7">
        <w:rPr>
          <w:color w:val="auto"/>
        </w:rPr>
        <w:t xml:space="preserve"> to the facility</w:t>
      </w:r>
      <w:r>
        <w:rPr>
          <w:color w:val="auto"/>
        </w:rPr>
        <w:t xml:space="preserve"> after the agreement is reactivated. However, there could be circumstances where there has been a voluntary termination to accommodate the replacement of plant and re-</w:t>
      </w:r>
      <w:r w:rsidR="00466E58">
        <w:rPr>
          <w:color w:val="auto"/>
        </w:rPr>
        <w:t>commissioning,</w:t>
      </w:r>
      <w:r>
        <w:rPr>
          <w:color w:val="auto"/>
        </w:rPr>
        <w:t xml:space="preserve"> and the existing baseline is demonstrably unrepresentative of the new plant. In such cases the site may be regarded as a </w:t>
      </w:r>
      <w:r w:rsidR="00C64C14">
        <w:rPr>
          <w:color w:val="auto"/>
        </w:rPr>
        <w:t>g</w:t>
      </w:r>
      <w:r>
        <w:rPr>
          <w:color w:val="auto"/>
        </w:rPr>
        <w:t xml:space="preserve">reenfield site. </w:t>
      </w:r>
    </w:p>
    <w:p w14:paraId="00D1369F" w14:textId="77777777" w:rsidR="00026E66" w:rsidRDefault="002737EF" w:rsidP="00FF0098">
      <w:pPr>
        <w:pStyle w:val="Heading3"/>
        <w:tabs>
          <w:tab w:val="left" w:pos="0"/>
        </w:tabs>
      </w:pPr>
      <w:bookmarkStart w:id="74" w:name="_4.4.2._Setting_a"/>
      <w:bookmarkEnd w:id="74"/>
      <w:r>
        <w:t xml:space="preserve">4.4.2. Setting a target profile for new entrants </w:t>
      </w:r>
    </w:p>
    <w:p w14:paraId="04F11D8D" w14:textId="498828BD" w:rsidR="00610993" w:rsidRDefault="00157F00" w:rsidP="00FF0098">
      <w:pPr>
        <w:tabs>
          <w:tab w:val="left" w:pos="0"/>
        </w:tabs>
        <w:spacing w:after="0"/>
        <w:ind w:right="182"/>
      </w:pPr>
      <w:r>
        <w:t xml:space="preserve">Where new entrants have 2022 as a </w:t>
      </w:r>
      <w:hyperlink w:anchor="baseyear" w:history="1">
        <w:r w:rsidRPr="00A153DC">
          <w:rPr>
            <w:rStyle w:val="Hyperlink"/>
          </w:rPr>
          <w:t>base year</w:t>
        </w:r>
      </w:hyperlink>
      <w:r>
        <w:t xml:space="preserve">, the </w:t>
      </w:r>
      <w:r w:rsidR="001A0873">
        <w:t xml:space="preserve">target for the facility will be set in accordance with the sector or sub-sector commitment in relation to each target period, regardless of when the application is made. </w:t>
      </w:r>
    </w:p>
    <w:p w14:paraId="1AC5471B" w14:textId="07829E0A" w:rsidR="00C51BA5" w:rsidRDefault="00546CE2" w:rsidP="00FF0098">
      <w:pPr>
        <w:tabs>
          <w:tab w:val="left" w:pos="0"/>
        </w:tabs>
        <w:spacing w:after="0"/>
        <w:ind w:right="182"/>
      </w:pPr>
      <w:r>
        <w:t xml:space="preserve">For example, if a </w:t>
      </w:r>
      <w:hyperlink w:anchor="Sectorassociation" w:history="1">
        <w:r w:rsidRPr="007C15D5">
          <w:rPr>
            <w:rStyle w:val="Hyperlink"/>
          </w:rPr>
          <w:t>sector association</w:t>
        </w:r>
      </w:hyperlink>
      <w:r>
        <w:t xml:space="preserve"> has a sector commitment of 4% by 202</w:t>
      </w:r>
      <w:r w:rsidR="008243EB">
        <w:t>6</w:t>
      </w:r>
      <w:r>
        <w:t>, 6% by 202</w:t>
      </w:r>
      <w:r w:rsidR="008243EB">
        <w:t>8</w:t>
      </w:r>
      <w:r>
        <w:t xml:space="preserve"> and 8% by 203</w:t>
      </w:r>
      <w:r w:rsidR="008243EB">
        <w:t>0</w:t>
      </w:r>
      <w:r w:rsidR="00C51BA5">
        <w:t xml:space="preserve">, and a </w:t>
      </w:r>
      <w:r w:rsidR="00F55BEB">
        <w:t>facility</w:t>
      </w:r>
      <w:r w:rsidR="00C51BA5">
        <w:t xml:space="preserve"> joins in 202</w:t>
      </w:r>
      <w:r w:rsidR="009F49C5">
        <w:t>7</w:t>
      </w:r>
      <w:r w:rsidR="00C51BA5">
        <w:t xml:space="preserve"> with a 2022 baseline, the facility would still be required to achieve the target of 6% by 202</w:t>
      </w:r>
      <w:r w:rsidR="009F49C5">
        <w:t>8</w:t>
      </w:r>
      <w:r w:rsidR="00C51BA5">
        <w:t xml:space="preserve"> and 8% by 203</w:t>
      </w:r>
      <w:r w:rsidR="009F49C5">
        <w:t>0</w:t>
      </w:r>
      <w:r w:rsidR="00C51BA5">
        <w:t xml:space="preserve">. </w:t>
      </w:r>
    </w:p>
    <w:p w14:paraId="3E952B4F" w14:textId="77777777" w:rsidR="00FB71A3" w:rsidRPr="00FB71A3" w:rsidRDefault="00FB71A3" w:rsidP="00FB71A3">
      <w:r w:rsidRPr="00FB71A3">
        <w:t xml:space="preserve">For new entrants that do </w:t>
      </w:r>
      <w:r w:rsidRPr="00FB71A3">
        <w:rPr>
          <w:b/>
          <w:bCs/>
        </w:rPr>
        <w:t>not</w:t>
      </w:r>
      <w:r w:rsidRPr="00FB71A3">
        <w:t xml:space="preserve"> have 2022 as a base year, the reduced time between the later base year and each future target period must be considered.</w:t>
      </w:r>
    </w:p>
    <w:p w14:paraId="7BAB5036" w14:textId="77777777" w:rsidR="00FB71A3" w:rsidRPr="00FB71A3" w:rsidRDefault="00FB71A3" w:rsidP="00FB71A3">
      <w:r w:rsidRPr="00FB71A3">
        <w:t xml:space="preserve">For example, if the new entrant’s baseline is </w:t>
      </w:r>
      <w:r w:rsidRPr="00FB71A3">
        <w:rPr>
          <w:b/>
          <w:bCs/>
        </w:rPr>
        <w:t>2027</w:t>
      </w:r>
      <w:r w:rsidRPr="00FB71A3">
        <w:t>, the Administrator should assume that the improvements required from 2022 up to 2027 have already been achieved.</w:t>
      </w:r>
    </w:p>
    <w:p w14:paraId="763111A3" w14:textId="77777777" w:rsidR="00FB71A3" w:rsidRPr="00FB71A3" w:rsidRDefault="00FB71A3" w:rsidP="00FB71A3">
      <w:r w:rsidRPr="00FB71A3">
        <w:t xml:space="preserve">Using the example sector target profile above, and since </w:t>
      </w:r>
      <w:r w:rsidRPr="00F9353B">
        <w:t>2027 falls halfway between 2026 (4%) and 2028 (6%)</w:t>
      </w:r>
      <w:r w:rsidRPr="00267073">
        <w:t>,</w:t>
      </w:r>
      <w:r w:rsidRPr="00FB71A3">
        <w:t xml:space="preserve"> this corresponds to </w:t>
      </w:r>
      <w:r w:rsidRPr="00F9353B">
        <w:t>5% savings from 2022</w:t>
      </w:r>
      <w:r w:rsidRPr="00267073">
        <w:t xml:space="preserve">, or </w:t>
      </w:r>
      <w:r w:rsidRPr="00F9353B">
        <w:t>95% of 2022 energy consumption</w:t>
      </w:r>
      <w:r w:rsidRPr="00267073">
        <w:t>.</w:t>
      </w:r>
    </w:p>
    <w:p w14:paraId="537E9B51" w14:textId="50CE568F" w:rsidR="00FB71A3" w:rsidRPr="00FB71A3" w:rsidRDefault="00FB71A3" w:rsidP="00FB71A3">
      <w:r w:rsidRPr="00FB71A3">
        <w:t xml:space="preserve">The remaining targets are then calculated by </w:t>
      </w:r>
      <w:r w:rsidRPr="00F9353B">
        <w:t>linear interpolation from this starting position</w:t>
      </w:r>
      <w:r w:rsidRPr="00FB71A3">
        <w:t xml:space="preserve">. The resulting targets, rounded to </w:t>
      </w:r>
      <w:r w:rsidR="009E12F0">
        <w:t>2</w:t>
      </w:r>
      <w:r w:rsidRPr="00FB71A3">
        <w:t xml:space="preserve"> decimal places, are:</w:t>
      </w:r>
    </w:p>
    <w:p w14:paraId="0ABD55EC" w14:textId="47DCE286" w:rsidR="008B04C1" w:rsidRPr="00267073" w:rsidRDefault="00FB71A3" w:rsidP="008B04C1">
      <w:pPr>
        <w:numPr>
          <w:ilvl w:val="0"/>
          <w:numId w:val="197"/>
        </w:numPr>
      </w:pPr>
      <w:r w:rsidRPr="00374AF8">
        <w:rPr>
          <w:b/>
          <w:bCs/>
        </w:rPr>
        <w:t>2028 target:</w:t>
      </w:r>
      <w:r w:rsidR="00BD74B1">
        <w:t xml:space="preserve"> </w:t>
      </w:r>
      <w:r w:rsidRPr="00267073">
        <w:t xml:space="preserve">(0.95 – 0.94) / 0.95 = </w:t>
      </w:r>
      <w:r w:rsidRPr="00F9353B">
        <w:t>1.05%</w:t>
      </w:r>
    </w:p>
    <w:p w14:paraId="5461A071" w14:textId="794AAA1C" w:rsidR="00FB71A3" w:rsidRPr="00267073" w:rsidRDefault="00FB71A3" w:rsidP="00FB71A3">
      <w:pPr>
        <w:numPr>
          <w:ilvl w:val="0"/>
          <w:numId w:val="197"/>
        </w:numPr>
      </w:pPr>
      <w:r w:rsidRPr="00374AF8">
        <w:rPr>
          <w:b/>
          <w:bCs/>
        </w:rPr>
        <w:t>2030 target:</w:t>
      </w:r>
      <w:r w:rsidR="00BD74B1">
        <w:t xml:space="preserve"> </w:t>
      </w:r>
      <w:r w:rsidRPr="00267073">
        <w:t xml:space="preserve">(0.95 – 0.92) / 0.95 = </w:t>
      </w:r>
      <w:r w:rsidRPr="00F9353B">
        <w:t>3.16%</w:t>
      </w:r>
    </w:p>
    <w:p w14:paraId="79826C74" w14:textId="77777777" w:rsidR="00FE1C06" w:rsidRPr="00FE1C06" w:rsidRDefault="00FE1C06" w:rsidP="00FE1C06">
      <w:pPr>
        <w:tabs>
          <w:tab w:val="left" w:pos="0"/>
        </w:tabs>
        <w:spacing w:after="173"/>
        <w:ind w:right="182"/>
        <w:rPr>
          <w:color w:val="auto"/>
          <w:szCs w:val="24"/>
        </w:rPr>
      </w:pPr>
      <w:r w:rsidRPr="00FE1C06">
        <w:rPr>
          <w:color w:val="auto"/>
          <w:szCs w:val="24"/>
        </w:rPr>
        <w:t xml:space="preserve">This approach is followed unless the calculated target for the next period would represent a </w:t>
      </w:r>
      <w:r w:rsidRPr="00F9353B">
        <w:rPr>
          <w:color w:val="auto"/>
          <w:szCs w:val="24"/>
        </w:rPr>
        <w:t>lower level of improvement</w:t>
      </w:r>
      <w:r w:rsidRPr="00FE1C06">
        <w:rPr>
          <w:color w:val="auto"/>
          <w:szCs w:val="24"/>
        </w:rPr>
        <w:t xml:space="preserve"> than the most recent performance achieved by the new entrant.</w:t>
      </w:r>
    </w:p>
    <w:p w14:paraId="1B87A34A" w14:textId="77777777" w:rsidR="00FE1C06" w:rsidRPr="00FE1C06" w:rsidRDefault="00FE1C06" w:rsidP="00FE1C06">
      <w:pPr>
        <w:tabs>
          <w:tab w:val="left" w:pos="0"/>
        </w:tabs>
        <w:spacing w:after="173"/>
        <w:ind w:right="182"/>
        <w:rPr>
          <w:color w:val="auto"/>
          <w:szCs w:val="24"/>
        </w:rPr>
      </w:pPr>
      <w:r w:rsidRPr="00FE1C06">
        <w:rPr>
          <w:color w:val="auto"/>
          <w:szCs w:val="24"/>
        </w:rPr>
        <w:t xml:space="preserve">For example, if a new entrant with a 2022 base year joins in 2027 having already achieved </w:t>
      </w:r>
      <w:r w:rsidRPr="00267073">
        <w:rPr>
          <w:color w:val="auto"/>
          <w:szCs w:val="24"/>
        </w:rPr>
        <w:t xml:space="preserve">a </w:t>
      </w:r>
      <w:r w:rsidRPr="00F9353B">
        <w:rPr>
          <w:color w:val="auto"/>
          <w:szCs w:val="24"/>
        </w:rPr>
        <w:t>6% improvement</w:t>
      </w:r>
      <w:r w:rsidRPr="00FE1C06">
        <w:rPr>
          <w:color w:val="auto"/>
          <w:szCs w:val="24"/>
        </w:rPr>
        <w:t xml:space="preserve"> between 2022 and 2027, the 2028 target cannot remain at 6%, as this level of performance has already been met.</w:t>
      </w:r>
    </w:p>
    <w:p w14:paraId="3D901F2E" w14:textId="778C1E7D" w:rsidR="00FE1C06" w:rsidRPr="00FE1C06" w:rsidRDefault="00FE1C06" w:rsidP="00FE1C06">
      <w:pPr>
        <w:tabs>
          <w:tab w:val="left" w:pos="0"/>
        </w:tabs>
        <w:spacing w:after="173"/>
        <w:ind w:right="182"/>
        <w:rPr>
          <w:color w:val="auto"/>
        </w:rPr>
      </w:pPr>
      <w:r w:rsidRPr="67BC2F01">
        <w:rPr>
          <w:color w:val="auto"/>
        </w:rPr>
        <w:t xml:space="preserve">In this case, the percentage improvement target (rounded to </w:t>
      </w:r>
      <w:r w:rsidR="009E12F0" w:rsidRPr="67BC2F01">
        <w:rPr>
          <w:color w:val="auto"/>
        </w:rPr>
        <w:t>2</w:t>
      </w:r>
      <w:r w:rsidRPr="67BC2F01">
        <w:rPr>
          <w:color w:val="auto"/>
        </w:rPr>
        <w:t xml:space="preserve"> decimal places) for 2028 is:</w:t>
      </w:r>
    </w:p>
    <w:p w14:paraId="6F49ECD6" w14:textId="2967FDDE" w:rsidR="00026E66" w:rsidRDefault="002737EF" w:rsidP="00FF0098">
      <w:pPr>
        <w:tabs>
          <w:tab w:val="left" w:pos="0"/>
        </w:tabs>
        <w:spacing w:after="173"/>
        <w:ind w:right="182"/>
      </w:pPr>
      <m:oMathPara>
        <m:oMath>
          <m:r>
            <w:rPr>
              <w:rFonts w:ascii="Cambria Math" w:hAnsi="Cambria Math"/>
            </w:rPr>
            <m:t>1-</m:t>
          </m:r>
          <m:d>
            <m:dPr>
              <m:ctrlPr>
                <w:rPr>
                  <w:rFonts w:ascii="Cambria Math" w:hAnsi="Cambria Math"/>
                </w:rPr>
              </m:ctrlPr>
            </m:dPr>
            <m:e>
              <m:r>
                <w:rPr>
                  <w:rFonts w:ascii="Cambria Math" w:hAnsi="Cambria Math"/>
                </w:rPr>
                <m:t>0.94×</m:t>
              </m:r>
              <m:f>
                <m:fPr>
                  <m:ctrlPr>
                    <w:rPr>
                      <w:rFonts w:ascii="Cambria Math" w:hAnsi="Cambria Math"/>
                    </w:rPr>
                  </m:ctrlPr>
                </m:fPr>
                <m:num>
                  <m:r>
                    <w:rPr>
                      <w:rFonts w:ascii="Cambria Math" w:hAnsi="Cambria Math"/>
                    </w:rPr>
                    <m:t>0.94</m:t>
                  </m:r>
                </m:num>
                <m:den>
                  <m:r>
                    <w:rPr>
                      <w:rFonts w:ascii="Cambria Math" w:hAnsi="Cambria Math"/>
                    </w:rPr>
                    <m:t>0.95</m:t>
                  </m:r>
                </m:den>
              </m:f>
            </m:e>
          </m:d>
          <m:r>
            <w:rPr>
              <w:rFonts w:ascii="Cambria Math" w:hAnsi="Cambria Math"/>
            </w:rPr>
            <m:t>=7.00%</m:t>
          </m:r>
        </m:oMath>
      </m:oMathPara>
    </w:p>
    <w:p w14:paraId="6C3B49D6" w14:textId="77777777" w:rsidR="00267073" w:rsidRPr="00267073" w:rsidRDefault="00267073" w:rsidP="00267073">
      <w:pPr>
        <w:tabs>
          <w:tab w:val="left" w:pos="0"/>
        </w:tabs>
        <w:ind w:right="182"/>
        <w:rPr>
          <w:color w:val="auto"/>
        </w:rPr>
      </w:pPr>
      <w:r w:rsidRPr="00267073">
        <w:rPr>
          <w:color w:val="auto"/>
        </w:rPr>
        <w:lastRenderedPageBreak/>
        <w:t>where:</w:t>
      </w:r>
    </w:p>
    <w:p w14:paraId="398C85A3" w14:textId="77777777" w:rsidR="00267073" w:rsidRPr="00267073" w:rsidRDefault="00267073" w:rsidP="00267073">
      <w:pPr>
        <w:numPr>
          <w:ilvl w:val="0"/>
          <w:numId w:val="198"/>
        </w:numPr>
        <w:tabs>
          <w:tab w:val="left" w:pos="0"/>
        </w:tabs>
        <w:ind w:right="182"/>
        <w:rPr>
          <w:color w:val="auto"/>
        </w:rPr>
      </w:pPr>
      <w:r w:rsidRPr="00267073">
        <w:rPr>
          <w:color w:val="auto"/>
        </w:rPr>
        <w:t>0.94 is the actual performance in 2027 relative to the 2022 base year, and</w:t>
      </w:r>
    </w:p>
    <w:p w14:paraId="5EEF9175" w14:textId="77777777" w:rsidR="00267073" w:rsidRPr="00267073" w:rsidRDefault="00267073" w:rsidP="00267073">
      <w:pPr>
        <w:numPr>
          <w:ilvl w:val="0"/>
          <w:numId w:val="198"/>
        </w:numPr>
        <w:tabs>
          <w:tab w:val="left" w:pos="0"/>
        </w:tabs>
        <w:ind w:right="182"/>
        <w:rPr>
          <w:color w:val="auto"/>
        </w:rPr>
      </w:pPr>
      <w:r w:rsidRPr="00267073">
        <w:rPr>
          <w:color w:val="auto"/>
        </w:rPr>
        <w:t>(0.94 / 0.95) represents the ratio of performance implied by the sector commitment between 2027 and 2028</w:t>
      </w:r>
    </w:p>
    <w:p w14:paraId="031B2546" w14:textId="793BD11A" w:rsidR="00026E66" w:rsidRDefault="002737EF" w:rsidP="6B6322F6">
      <w:pPr>
        <w:tabs>
          <w:tab w:val="left" w:pos="0"/>
        </w:tabs>
        <w:ind w:right="182"/>
        <w:rPr>
          <w:color w:val="auto"/>
        </w:rPr>
      </w:pPr>
      <w:bookmarkStart w:id="75" w:name="_4.4.3._How_to"/>
      <w:bookmarkEnd w:id="75"/>
      <w:r w:rsidRPr="6B6322F6">
        <w:rPr>
          <w:color w:val="auto"/>
        </w:rPr>
        <w:t xml:space="preserve">Selecting the correct year in the Target </w:t>
      </w:r>
      <w:r w:rsidR="00395AC9">
        <w:rPr>
          <w:color w:val="auto"/>
        </w:rPr>
        <w:t>C</w:t>
      </w:r>
      <w:r w:rsidRPr="6B6322F6">
        <w:rPr>
          <w:color w:val="auto"/>
        </w:rPr>
        <w:t>alculator workbook tool (</w:t>
      </w:r>
      <w:hyperlink w:anchor="_Appendix_H:_Workbook" w:history="1">
        <w:r w:rsidRPr="6B6322F6">
          <w:rPr>
            <w:rStyle w:val="Hyperlink"/>
          </w:rPr>
          <w:t xml:space="preserve">Appendix </w:t>
        </w:r>
        <w:r w:rsidR="4B345842" w:rsidRPr="228980FC">
          <w:rPr>
            <w:rStyle w:val="Hyperlink"/>
          </w:rPr>
          <w:t>H</w:t>
        </w:r>
      </w:hyperlink>
      <w:r w:rsidRPr="6B6322F6">
        <w:rPr>
          <w:color w:val="auto"/>
        </w:rPr>
        <w:t xml:space="preserve">) will complete the calculation. </w:t>
      </w:r>
    </w:p>
    <w:p w14:paraId="1DD2C613" w14:textId="45A64F29" w:rsidR="00AB1DC4" w:rsidRDefault="00AB1DC4" w:rsidP="00FF0098">
      <w:pPr>
        <w:pStyle w:val="Heading3"/>
        <w:tabs>
          <w:tab w:val="left" w:pos="0"/>
        </w:tabs>
      </w:pPr>
      <w:r w:rsidRPr="002A007C">
        <w:t xml:space="preserve">4.4.3. </w:t>
      </w:r>
      <w:r w:rsidR="006806DE">
        <w:t xml:space="preserve">Adapted Novem </w:t>
      </w:r>
      <w:r w:rsidR="000A0AE3">
        <w:t>Target Calculation</w:t>
      </w:r>
      <w:r w:rsidR="009A4436">
        <w:t xml:space="preserve"> </w:t>
      </w:r>
    </w:p>
    <w:p w14:paraId="31DC6220" w14:textId="770CBCA6" w:rsidR="009A4436" w:rsidRDefault="009D67B2" w:rsidP="00B0021F">
      <w:r>
        <w:t xml:space="preserve">In </w:t>
      </w:r>
      <w:r w:rsidR="00395AC9">
        <w:t>the new scheme</w:t>
      </w:r>
      <w:r>
        <w:t xml:space="preserve">, </w:t>
      </w:r>
      <w:r w:rsidR="00B0021F">
        <w:t xml:space="preserve">all facilities are required to use a </w:t>
      </w:r>
      <w:r w:rsidR="006806DE">
        <w:t xml:space="preserve">single </w:t>
      </w:r>
      <w:r w:rsidR="00B0021F">
        <w:t>target type</w:t>
      </w:r>
      <w:r w:rsidR="00F51FF3">
        <w:t xml:space="preserve">, which is an adaptation of the previous Novem calculation method. </w:t>
      </w:r>
    </w:p>
    <w:p w14:paraId="79EE1029" w14:textId="27E8F171" w:rsidR="00B0021F" w:rsidRDefault="009A4436" w:rsidP="00B0021F">
      <w:r>
        <w:t xml:space="preserve">The </w:t>
      </w:r>
      <w:r w:rsidR="00470B5F">
        <w:t>Adapted Novem</w:t>
      </w:r>
      <w:r w:rsidR="006806DE">
        <w:t xml:space="preserve"> target type</w:t>
      </w:r>
      <w:r w:rsidR="00470B5F">
        <w:t xml:space="preserve"> is the method in which</w:t>
      </w:r>
      <w:r w:rsidR="001737D5">
        <w:t xml:space="preserve"> </w:t>
      </w:r>
      <w:r w:rsidR="00B0021F" w:rsidRPr="00DF3439">
        <w:t xml:space="preserve">a facility must determine, for its </w:t>
      </w:r>
      <w:hyperlink w:anchor="baseyear" w:history="1">
        <w:r w:rsidR="00B0021F" w:rsidRPr="00A153DC">
          <w:rPr>
            <w:rStyle w:val="Hyperlink"/>
          </w:rPr>
          <w:t>base year</w:t>
        </w:r>
      </w:hyperlink>
      <w:r w:rsidR="00B0021F" w:rsidRPr="00DF3439">
        <w:t xml:space="preserve"> energy consumption, the </w:t>
      </w:r>
      <w:hyperlink w:anchor="FEC" w:history="1">
        <w:r w:rsidR="00B0021F" w:rsidRPr="00395AC9">
          <w:rPr>
            <w:rStyle w:val="Hyperlink"/>
          </w:rPr>
          <w:t>Fixed Energy Consumption (FEC)</w:t>
        </w:r>
      </w:hyperlink>
      <w:r w:rsidR="00470B5F">
        <w:t xml:space="preserve"> and </w:t>
      </w:r>
      <w:r w:rsidR="00B0763C">
        <w:t>the</w:t>
      </w:r>
      <w:r w:rsidR="00B0763C" w:rsidRPr="00DF3439">
        <w:t xml:space="preserve"> </w:t>
      </w:r>
      <w:hyperlink w:anchor="VEC" w:history="1">
        <w:r w:rsidR="00B0763C" w:rsidRPr="00395AC9">
          <w:rPr>
            <w:rStyle w:val="Hyperlink"/>
          </w:rPr>
          <w:t>Variable</w:t>
        </w:r>
        <w:r w:rsidR="00B0021F" w:rsidRPr="00395AC9">
          <w:rPr>
            <w:rStyle w:val="Hyperlink"/>
          </w:rPr>
          <w:t xml:space="preserve"> Energy Consumption (VEC)</w:t>
        </w:r>
      </w:hyperlink>
      <w:r w:rsidR="00B0021F" w:rsidRPr="00DF3439">
        <w:t xml:space="preserve"> for each individually observed product and the level of production of each individually observed product.</w:t>
      </w:r>
      <w:r w:rsidR="009867C0">
        <w:t xml:space="preserve"> The sum of both the FE</w:t>
      </w:r>
      <w:r w:rsidR="00DC7F04">
        <w:t xml:space="preserve">C and the VECs for each product is the </w:t>
      </w:r>
      <w:hyperlink w:anchor="TEC" w:history="1">
        <w:r w:rsidR="00DC7F04" w:rsidRPr="001549E9">
          <w:rPr>
            <w:rStyle w:val="Hyperlink"/>
          </w:rPr>
          <w:t>Total Energy Consumption (TEC)</w:t>
        </w:r>
      </w:hyperlink>
      <w:r w:rsidR="00DC7F04">
        <w:t xml:space="preserve"> </w:t>
      </w:r>
      <w:r w:rsidR="00983899">
        <w:t xml:space="preserve">for the facility. </w:t>
      </w:r>
    </w:p>
    <w:p w14:paraId="3CEEEA28" w14:textId="076508DE" w:rsidR="00B0021F" w:rsidRDefault="00B0021F" w:rsidP="00B0021F">
      <w:r>
        <w:t xml:space="preserve">Fixed </w:t>
      </w:r>
      <w:r w:rsidR="00347C1A">
        <w:t>e</w:t>
      </w:r>
      <w:r>
        <w:t>nergy (FEC) and variable energy (VEC) can be accounted for in the Target Calculator</w:t>
      </w:r>
      <w:r w:rsidR="00985663">
        <w:t xml:space="preserve"> (</w:t>
      </w:r>
      <w:hyperlink w:anchor="_Appendix_H:_Workbook_1" w:history="1">
        <w:r w:rsidR="00985663" w:rsidRPr="00985663">
          <w:rPr>
            <w:rStyle w:val="Hyperlink"/>
          </w:rPr>
          <w:t>Appendix H</w:t>
        </w:r>
      </w:hyperlink>
      <w:r w:rsidR="00985663">
        <w:t>),</w:t>
      </w:r>
      <w:r>
        <w:t xml:space="preserve"> Base Year Data Split </w:t>
      </w:r>
      <w:r w:rsidR="00985663">
        <w:t>worksheet</w:t>
      </w:r>
      <w:r w:rsidR="00227542">
        <w:t xml:space="preserve"> to</w:t>
      </w:r>
      <w:r>
        <w:t xml:space="preserve"> separate energy that is associated with production and energy that is constant and not associated with the variables of production.</w:t>
      </w:r>
      <w:r w:rsidR="00347C1A">
        <w:t xml:space="preserve"> </w:t>
      </w:r>
    </w:p>
    <w:p w14:paraId="637D10E2" w14:textId="62A9A210" w:rsidR="00FB2703" w:rsidRPr="007254FB" w:rsidRDefault="00B0021F" w:rsidP="0092240B">
      <w:r>
        <w:t xml:space="preserve">The Target Calculator can also be used to separate energy by product type, to identify energy use by product and to establish energy intensity by product. If </w:t>
      </w:r>
      <w:r w:rsidR="00FC7D9C">
        <w:t>more products need to be added</w:t>
      </w:r>
      <w:r w:rsidR="00563F9A">
        <w:t xml:space="preserve">, </w:t>
      </w:r>
      <w:r w:rsidR="002D12D6">
        <w:t xml:space="preserve">this can be added to </w:t>
      </w:r>
      <w:r>
        <w:t xml:space="preserve">the Target Calculator </w:t>
      </w:r>
      <w:r w:rsidR="0049794D">
        <w:t xml:space="preserve">using the </w:t>
      </w:r>
      <w:r>
        <w:t xml:space="preserve">Base Year </w:t>
      </w:r>
      <w:r w:rsidR="0049794D">
        <w:t>D</w:t>
      </w:r>
      <w:r>
        <w:t xml:space="preserve">ata </w:t>
      </w:r>
      <w:r w:rsidR="0049794D">
        <w:t>S</w:t>
      </w:r>
      <w:r>
        <w:t xml:space="preserve">plit </w:t>
      </w:r>
      <w:r w:rsidR="0049794D">
        <w:t>worksheet</w:t>
      </w:r>
      <w:r w:rsidR="001F15DF">
        <w:t xml:space="preserve">. </w:t>
      </w:r>
    </w:p>
    <w:p w14:paraId="087D1312" w14:textId="0096B66F" w:rsidR="00026E66" w:rsidRDefault="002737EF" w:rsidP="00FF0098">
      <w:pPr>
        <w:pStyle w:val="Heading2"/>
        <w:tabs>
          <w:tab w:val="left" w:pos="0"/>
        </w:tabs>
      </w:pPr>
      <w:bookmarkStart w:id="76" w:name="_4.5._Including/Excluding_a"/>
      <w:bookmarkStart w:id="77" w:name="_Toc94718641"/>
      <w:bookmarkStart w:id="78" w:name="_Toc94088889"/>
      <w:bookmarkStart w:id="79" w:name="_Toc242885369"/>
      <w:bookmarkEnd w:id="76"/>
      <w:r>
        <w:t xml:space="preserve">4.5. </w:t>
      </w:r>
      <w:r w:rsidR="00EF1941">
        <w:t>Including</w:t>
      </w:r>
      <w:r w:rsidR="00BD74B1">
        <w:t xml:space="preserve"> or e</w:t>
      </w:r>
      <w:r w:rsidR="00EF1941">
        <w:t>xcluding a Facility</w:t>
      </w:r>
      <w:r w:rsidR="00C866BD">
        <w:t xml:space="preserve"> from an agreement</w:t>
      </w:r>
      <w:bookmarkEnd w:id="79"/>
      <w:r w:rsidR="00C866BD">
        <w:t xml:space="preserve"> </w:t>
      </w:r>
      <w:bookmarkEnd w:id="77"/>
      <w:bookmarkEnd w:id="78"/>
    </w:p>
    <w:p w14:paraId="7007A836" w14:textId="1C08852C" w:rsidR="0079028B" w:rsidRDefault="002737EF" w:rsidP="00243EF8">
      <w:pPr>
        <w:rPr>
          <w:color w:val="auto"/>
        </w:rPr>
      </w:pPr>
      <w:r>
        <w:rPr>
          <w:color w:val="auto"/>
        </w:rPr>
        <w:t>This section deals with the inclusion and exclusion of a facility as part of a</w:t>
      </w:r>
      <w:r w:rsidR="008714FD">
        <w:rPr>
          <w:color w:val="auto"/>
        </w:rPr>
        <w:t>n</w:t>
      </w:r>
      <w:r w:rsidR="00F12E1E">
        <w:rPr>
          <w:color w:val="auto"/>
        </w:rPr>
        <w:t xml:space="preserve"> underlying</w:t>
      </w:r>
      <w:r w:rsidR="008714FD">
        <w:rPr>
          <w:color w:val="auto"/>
        </w:rPr>
        <w:t xml:space="preserve"> agreement</w:t>
      </w:r>
      <w:r w:rsidR="0079028B">
        <w:rPr>
          <w:color w:val="auto"/>
        </w:rPr>
        <w:t xml:space="preserve">. </w:t>
      </w:r>
    </w:p>
    <w:p w14:paraId="5440B7B5" w14:textId="7F749EA1" w:rsidR="00FD3855" w:rsidRDefault="003834DD" w:rsidP="00243EF8">
      <w:pPr>
        <w:rPr>
          <w:color w:val="auto"/>
        </w:rPr>
      </w:pPr>
      <w:r>
        <w:rPr>
          <w:color w:val="auto"/>
        </w:rPr>
        <w:t xml:space="preserve">The previous CCA scheme allowed several facilities to be included in one agreement and share a target across all the facilities in the agreement. </w:t>
      </w:r>
      <w:r w:rsidR="00BB73B5">
        <w:rPr>
          <w:color w:val="auto"/>
        </w:rPr>
        <w:t xml:space="preserve">This meant that all facilities included within an agreement were considered as one for the purposes of reporting, </w:t>
      </w:r>
      <w:hyperlink w:anchor="Buyout" w:history="1">
        <w:r w:rsidR="00BB73B5" w:rsidRPr="00FE39EA">
          <w:rPr>
            <w:rStyle w:val="Hyperlink"/>
          </w:rPr>
          <w:t>buy-out</w:t>
        </w:r>
      </w:hyperlink>
      <w:r w:rsidR="00BB73B5">
        <w:rPr>
          <w:color w:val="auto"/>
        </w:rPr>
        <w:t xml:space="preserve"> and </w:t>
      </w:r>
      <w:hyperlink w:anchor="Surplus" w:history="1">
        <w:r w:rsidR="00663131">
          <w:rPr>
            <w:rStyle w:val="Hyperlink"/>
          </w:rPr>
          <w:t>surplus</w:t>
        </w:r>
      </w:hyperlink>
      <w:r w:rsidR="00FD3855">
        <w:rPr>
          <w:color w:val="auto"/>
        </w:rPr>
        <w:t xml:space="preserve">. </w:t>
      </w:r>
    </w:p>
    <w:p w14:paraId="6399CBCA" w14:textId="2637E19B" w:rsidR="00A1658A" w:rsidRDefault="00FD3855" w:rsidP="00243EF8">
      <w:r>
        <w:rPr>
          <w:color w:val="auto"/>
        </w:rPr>
        <w:t xml:space="preserve">In the new scheme, while an agreement can include </w:t>
      </w:r>
      <w:r w:rsidR="00663131">
        <w:rPr>
          <w:color w:val="auto"/>
        </w:rPr>
        <w:t>multiple</w:t>
      </w:r>
      <w:r>
        <w:rPr>
          <w:color w:val="auto"/>
        </w:rPr>
        <w:t xml:space="preserve"> facilities, each facility has </w:t>
      </w:r>
      <w:r w:rsidR="00590C21">
        <w:rPr>
          <w:color w:val="auto"/>
        </w:rPr>
        <w:t xml:space="preserve">a separate target, reporting requirements and </w:t>
      </w:r>
      <w:r w:rsidR="00590C21" w:rsidRPr="00026642">
        <w:rPr>
          <w:color w:val="auto"/>
        </w:rPr>
        <w:t>buy</w:t>
      </w:r>
      <w:r w:rsidR="00D61FC2" w:rsidRPr="00026642">
        <w:rPr>
          <w:color w:val="auto"/>
        </w:rPr>
        <w:t>-</w:t>
      </w:r>
      <w:r w:rsidR="00590C21" w:rsidRPr="00026642">
        <w:rPr>
          <w:color w:val="auto"/>
        </w:rPr>
        <w:t>out</w:t>
      </w:r>
      <w:r w:rsidR="007C5816" w:rsidRPr="00026642">
        <w:rPr>
          <w:color w:val="auto"/>
        </w:rPr>
        <w:t>s</w:t>
      </w:r>
      <w:r w:rsidR="007C5816">
        <w:rPr>
          <w:color w:val="auto"/>
        </w:rPr>
        <w:t xml:space="preserve"> and surplus. </w:t>
      </w:r>
      <w:r w:rsidR="00A1658A">
        <w:t xml:space="preserve">A facility wishing to enter the scheme </w:t>
      </w:r>
      <w:r w:rsidR="001F6EDC">
        <w:t>can still be included within an existing agreement</w:t>
      </w:r>
      <w:r w:rsidR="00A44EAB">
        <w:t xml:space="preserve">, provided it meets the criteria </w:t>
      </w:r>
      <w:r w:rsidR="00F32D80">
        <w:t xml:space="preserve">as set out in </w:t>
      </w:r>
      <w:hyperlink w:anchor="_4.5.3._Conditions_for" w:history="1">
        <w:r w:rsidR="00F32D80" w:rsidRPr="002542E4">
          <w:rPr>
            <w:rStyle w:val="Hyperlink"/>
          </w:rPr>
          <w:t>section 4.5.3</w:t>
        </w:r>
      </w:hyperlink>
      <w:r w:rsidR="00663131">
        <w:t>.</w:t>
      </w:r>
    </w:p>
    <w:p w14:paraId="189E15B0" w14:textId="700AB41A" w:rsidR="002B4042" w:rsidRPr="00EF72C1" w:rsidRDefault="002B4042" w:rsidP="00EF72C1">
      <w:pPr>
        <w:pStyle w:val="Heading3"/>
        <w:tabs>
          <w:tab w:val="left" w:pos="0"/>
        </w:tabs>
      </w:pPr>
      <w:r w:rsidRPr="00EF72C1">
        <w:lastRenderedPageBreak/>
        <w:t>4</w:t>
      </w:r>
      <w:r w:rsidR="00EF72C1" w:rsidRPr="00EF72C1">
        <w:t>.5.1 Including a facility in an agreement</w:t>
      </w:r>
    </w:p>
    <w:p w14:paraId="028F4F9B" w14:textId="77777777" w:rsidR="00D634E5" w:rsidRDefault="00BE748E" w:rsidP="00E079D5">
      <w:r>
        <w:t>When a facility was added to an agreement i</w:t>
      </w:r>
      <w:r w:rsidR="0008533E">
        <w:t xml:space="preserve">n the previous scheme, </w:t>
      </w:r>
      <w:r>
        <w:t xml:space="preserve">the shared target for the </w:t>
      </w:r>
      <w:r w:rsidR="002608F5">
        <w:t>facilities in that agreement</w:t>
      </w:r>
      <w:r>
        <w:t xml:space="preserve"> would need to vary</w:t>
      </w:r>
      <w:r w:rsidR="009078A8">
        <w:t xml:space="preserve"> through a calculation.</w:t>
      </w:r>
    </w:p>
    <w:p w14:paraId="41515C4D" w14:textId="69138AB5" w:rsidR="00026E66" w:rsidRDefault="00D634E5" w:rsidP="00E079D5">
      <w:r>
        <w:t>In the new scheme, this calculation no longer needs to take place as ea</w:t>
      </w:r>
      <w:r w:rsidR="00B44264">
        <w:t>ch facility in an agreement</w:t>
      </w:r>
      <w:r w:rsidR="00DD4228">
        <w:t xml:space="preserve"> </w:t>
      </w:r>
      <w:r w:rsidR="00B44264">
        <w:t>has a separate target</w:t>
      </w:r>
      <w:r>
        <w:t>. A</w:t>
      </w:r>
      <w:r w:rsidR="005A30A4">
        <w:t>n operator can add facilities to the same agreement</w:t>
      </w:r>
      <w:r w:rsidR="00BC2F3F">
        <w:t xml:space="preserve">, including </w:t>
      </w:r>
      <w:r w:rsidR="005A30A4">
        <w:t>where the ba</w:t>
      </w:r>
      <w:r w:rsidR="005B39C0">
        <w:t>se year varies.</w:t>
      </w:r>
      <w:r w:rsidR="00E26141">
        <w:t xml:space="preserve"> For example, t</w:t>
      </w:r>
      <w:r w:rsidR="005B39C0">
        <w:t xml:space="preserve">his </w:t>
      </w:r>
      <w:r w:rsidR="00AE225B">
        <w:t xml:space="preserve">situation might arise when an operator adds a </w:t>
      </w:r>
      <w:hyperlink w:anchor="greenfield" w:history="1">
        <w:r w:rsidR="00AE225B" w:rsidRPr="0075725F">
          <w:rPr>
            <w:rStyle w:val="Hyperlink"/>
          </w:rPr>
          <w:t>greenfield facility</w:t>
        </w:r>
      </w:hyperlink>
      <w:r w:rsidR="00AE225B">
        <w:t xml:space="preserve"> to an existing agreement. </w:t>
      </w:r>
      <w:r w:rsidR="005B39C0">
        <w:t xml:space="preserve"> </w:t>
      </w:r>
      <w:r w:rsidR="00243EF8">
        <w:t xml:space="preserve"> </w:t>
      </w:r>
    </w:p>
    <w:p w14:paraId="186482B3" w14:textId="37592AF8" w:rsidR="00026E66" w:rsidRDefault="002737EF" w:rsidP="00FF0098">
      <w:pPr>
        <w:pStyle w:val="Heading3"/>
        <w:tabs>
          <w:tab w:val="left" w:pos="0"/>
        </w:tabs>
      </w:pPr>
      <w:r>
        <w:t>4.5.2. Excluding a facility from a</w:t>
      </w:r>
      <w:r w:rsidR="00E63BCE">
        <w:t>n agreement</w:t>
      </w:r>
    </w:p>
    <w:p w14:paraId="3F43AC7B" w14:textId="270486B9" w:rsidR="00335B90" w:rsidRDefault="002A7EE0" w:rsidP="00FF0098">
      <w:pPr>
        <w:tabs>
          <w:tab w:val="left" w:pos="0"/>
        </w:tabs>
      </w:pPr>
      <w:r>
        <w:t>In the previous scheme, when a facility left an agreement</w:t>
      </w:r>
      <w:r w:rsidR="00AA0F1F">
        <w:t xml:space="preserve"> </w:t>
      </w:r>
      <w:r w:rsidR="00905394">
        <w:t xml:space="preserve">following the </w:t>
      </w:r>
      <w:r w:rsidR="00AA0F1F">
        <w:t>closure</w:t>
      </w:r>
      <w:r w:rsidR="00905394">
        <w:t xml:space="preserve"> of the facility</w:t>
      </w:r>
      <w:r>
        <w:t>,</w:t>
      </w:r>
      <w:r w:rsidR="00AA0F1F">
        <w:t xml:space="preserve"> </w:t>
      </w:r>
      <w:r w:rsidR="00110A77">
        <w:t xml:space="preserve">the </w:t>
      </w:r>
      <w:r w:rsidR="00023B14">
        <w:t>shared target and baseline data</w:t>
      </w:r>
      <w:r w:rsidR="00814BD0">
        <w:t xml:space="preserve"> for the remaining facilities in the agreement</w:t>
      </w:r>
      <w:r w:rsidR="00023B14">
        <w:t xml:space="preserve"> was not altered. </w:t>
      </w:r>
      <w:r w:rsidR="00905394">
        <w:t xml:space="preserve">This was called a rationalisation. </w:t>
      </w:r>
    </w:p>
    <w:p w14:paraId="7CBD6AE0" w14:textId="09B9FDA1" w:rsidR="00335B90" w:rsidRDefault="00A0709D" w:rsidP="00FF0098">
      <w:pPr>
        <w:tabs>
          <w:tab w:val="left" w:pos="0"/>
        </w:tabs>
      </w:pPr>
      <w:r>
        <w:t>Whe</w:t>
      </w:r>
      <w:r w:rsidR="00B85C37">
        <w:t>n</w:t>
      </w:r>
      <w:r>
        <w:t xml:space="preserve"> a </w:t>
      </w:r>
      <w:r w:rsidR="00B85C37">
        <w:t>facility</w:t>
      </w:r>
      <w:r>
        <w:t xml:space="preserve"> voluntarily left the </w:t>
      </w:r>
      <w:r w:rsidR="00B85C37">
        <w:t xml:space="preserve">previous </w:t>
      </w:r>
      <w:r>
        <w:t>scheme, but continued to operate,</w:t>
      </w:r>
      <w:r w:rsidR="00B85C37">
        <w:t xml:space="preserve"> the baseline performance of the existing facilities in the agreement was </w:t>
      </w:r>
      <w:r w:rsidR="00335B90">
        <w:t xml:space="preserve">altered. </w:t>
      </w:r>
    </w:p>
    <w:p w14:paraId="62F6CD17" w14:textId="5EFCF912" w:rsidR="00026E66" w:rsidRDefault="00A62D87" w:rsidP="00FF0098">
      <w:pPr>
        <w:tabs>
          <w:tab w:val="left" w:pos="0"/>
        </w:tabs>
      </w:pPr>
      <w:r>
        <w:t xml:space="preserve">In the new scheme, as each facility in an agreement has its own baseline and target, these </w:t>
      </w:r>
      <w:r w:rsidR="002A0F61">
        <w:t>calculations no longer need to take place.</w:t>
      </w:r>
      <w:r w:rsidR="00FF7AE1">
        <w:t xml:space="preserve"> </w:t>
      </w:r>
      <w:r w:rsidR="002737EF">
        <w:t>It's</w:t>
      </w:r>
      <w:r w:rsidR="00FF7AE1">
        <w:t xml:space="preserve"> </w:t>
      </w:r>
      <w:r w:rsidR="002737EF">
        <w:t xml:space="preserve">possible to exclude a facility from a multi-facility </w:t>
      </w:r>
      <w:r w:rsidR="00EF72C1">
        <w:t>agreement</w:t>
      </w:r>
      <w:r w:rsidR="002737EF">
        <w:t xml:space="preserve"> for example, if a facility is sold or the operator no longer wishes to retain the facility in the scheme.</w:t>
      </w:r>
      <w:r w:rsidR="00FC355D">
        <w:t xml:space="preserve"> </w:t>
      </w:r>
    </w:p>
    <w:p w14:paraId="3126D0CF" w14:textId="77777777" w:rsidR="00026E66" w:rsidRDefault="002737EF" w:rsidP="00FF0098">
      <w:pPr>
        <w:pStyle w:val="Heading3"/>
        <w:tabs>
          <w:tab w:val="left" w:pos="0"/>
        </w:tabs>
      </w:pPr>
      <w:bookmarkStart w:id="80" w:name="_4.5.3._Conditions_for"/>
      <w:bookmarkEnd w:id="80"/>
      <w:r>
        <w:t xml:space="preserve">4.5.3. Conditions for including and excluding facilities </w:t>
      </w:r>
    </w:p>
    <w:p w14:paraId="39256CCB" w14:textId="718D277E" w:rsidR="00026E66" w:rsidRDefault="002737EF" w:rsidP="00FF0098">
      <w:pPr>
        <w:tabs>
          <w:tab w:val="left" w:pos="0"/>
        </w:tabs>
      </w:pPr>
      <w:r>
        <w:t xml:space="preserve">The following conditions apply. </w:t>
      </w:r>
    </w:p>
    <w:p w14:paraId="6BCB682F" w14:textId="6A92FF59" w:rsidR="00026E66" w:rsidRDefault="002737EF" w:rsidP="0065356B">
      <w:pPr>
        <w:pStyle w:val="ListParagraph"/>
        <w:numPr>
          <w:ilvl w:val="0"/>
          <w:numId w:val="42"/>
        </w:numPr>
        <w:tabs>
          <w:tab w:val="left" w:pos="0"/>
        </w:tabs>
        <w:spacing w:after="120" w:afterAutospacing="0"/>
      </w:pPr>
      <w:r>
        <w:t>We can only add a facility</w:t>
      </w:r>
      <w:r w:rsidR="002A617A">
        <w:t xml:space="preserve"> that is in an existing underlying agreement</w:t>
      </w:r>
      <w:r>
        <w:t xml:space="preserve"> to an</w:t>
      </w:r>
      <w:r w:rsidR="002A617A">
        <w:t>other</w:t>
      </w:r>
      <w:r>
        <w:t xml:space="preserve"> existing underlying agreement </w:t>
      </w:r>
      <w:r w:rsidR="005B5A8C">
        <w:t>if</w:t>
      </w:r>
      <w:r w:rsidR="00DB14F4">
        <w:t xml:space="preserve"> the facility</w:t>
      </w:r>
      <w:r>
        <w:t xml:space="preserve"> has the same operator as the operator of the underlying agreement under which it will be included.</w:t>
      </w:r>
      <w:r w:rsidR="00FC355D">
        <w:t xml:space="preserve"> </w:t>
      </w:r>
      <w:r>
        <w:t xml:space="preserve">The definition of an operator is given in </w:t>
      </w:r>
      <w:hyperlink w:anchor="_2.3.1._The_operator" w:history="1">
        <w:r>
          <w:rPr>
            <w:rStyle w:val="Hyperlink"/>
          </w:rPr>
          <w:t>section 2.3.1</w:t>
        </w:r>
      </w:hyperlink>
      <w:r>
        <w:t>.</w:t>
      </w:r>
      <w:r w:rsidR="00A035F4">
        <w:t xml:space="preserve"> This could </w:t>
      </w:r>
      <w:r w:rsidR="00EA50A9">
        <w:t xml:space="preserve">occur if an operator wishes to </w:t>
      </w:r>
      <w:r w:rsidR="007D183B">
        <w:t xml:space="preserve">bring </w:t>
      </w:r>
      <w:proofErr w:type="gramStart"/>
      <w:r w:rsidR="007D183B">
        <w:t>all of</w:t>
      </w:r>
      <w:proofErr w:type="gramEnd"/>
      <w:r w:rsidR="007D183B">
        <w:t xml:space="preserve"> their f</w:t>
      </w:r>
      <w:r w:rsidR="001416FB">
        <w:t>acilities in separate underlying agreement</w:t>
      </w:r>
      <w:r w:rsidR="00CE0A49">
        <w:t>s</w:t>
      </w:r>
      <w:r w:rsidR="001416FB">
        <w:t xml:space="preserve"> into one for administrative </w:t>
      </w:r>
      <w:r w:rsidR="00CE0A49">
        <w:t>purposes or</w:t>
      </w:r>
      <w:r w:rsidR="001416FB">
        <w:t xml:space="preserve"> following a change of ownership. </w:t>
      </w:r>
    </w:p>
    <w:p w14:paraId="745D431A" w14:textId="3E2DBB2E" w:rsidR="00026E66" w:rsidRDefault="002737EF" w:rsidP="00C04001">
      <w:pPr>
        <w:pStyle w:val="ListParagraph"/>
        <w:numPr>
          <w:ilvl w:val="0"/>
          <w:numId w:val="42"/>
        </w:numPr>
        <w:tabs>
          <w:tab w:val="left" w:pos="0"/>
        </w:tabs>
        <w:spacing w:after="120" w:afterAutospacing="0"/>
      </w:pPr>
      <w:r>
        <w:t xml:space="preserve">All the facilities </w:t>
      </w:r>
      <w:r w:rsidR="006F6B6E">
        <w:t xml:space="preserve">being added to an existing underlying agreement </w:t>
      </w:r>
      <w:r>
        <w:t>must belong to the same umbrella agreement</w:t>
      </w:r>
      <w:r w:rsidR="00436CE6">
        <w:t>.</w:t>
      </w:r>
    </w:p>
    <w:p w14:paraId="2EE98984" w14:textId="2E2C23AE" w:rsidR="00487456" w:rsidRDefault="002737EF" w:rsidP="00FF0098">
      <w:pPr>
        <w:pStyle w:val="ListParagraph"/>
        <w:numPr>
          <w:ilvl w:val="0"/>
          <w:numId w:val="42"/>
        </w:numPr>
        <w:tabs>
          <w:tab w:val="left" w:pos="0"/>
        </w:tabs>
        <w:spacing w:after="120" w:afterAutospacing="0"/>
      </w:pPr>
      <w:r>
        <w:t>We cannot add a facility to a</w:t>
      </w:r>
      <w:r w:rsidR="00E96E51">
        <w:t>n agreement</w:t>
      </w:r>
      <w:r>
        <w:t xml:space="preserve"> during the last </w:t>
      </w:r>
      <w:r w:rsidR="009E12F0">
        <w:t>2</w:t>
      </w:r>
      <w:r>
        <w:t xml:space="preserve"> months of each target period. This is to allow </w:t>
      </w:r>
      <w:r w:rsidR="00E96E51">
        <w:t>agreement holders</w:t>
      </w:r>
      <w:r>
        <w:t xml:space="preserve"> enough time to prepare their records for reporting. </w:t>
      </w:r>
    </w:p>
    <w:p w14:paraId="25FA896F" w14:textId="4D396BCE" w:rsidR="00026E66" w:rsidRPr="00771B6F" w:rsidRDefault="002737EF" w:rsidP="00C13656">
      <w:pPr>
        <w:pStyle w:val="Heading4"/>
        <w:tabs>
          <w:tab w:val="left" w:pos="0"/>
        </w:tabs>
      </w:pPr>
      <w:r w:rsidRPr="00771B6F">
        <w:t xml:space="preserve">Important points to note </w:t>
      </w:r>
    </w:p>
    <w:p w14:paraId="177732B4" w14:textId="540436C4" w:rsidR="00026E66" w:rsidRDefault="002737EF" w:rsidP="00C13656">
      <w:pPr>
        <w:tabs>
          <w:tab w:val="left" w:pos="0"/>
        </w:tabs>
      </w:pPr>
      <w:r>
        <w:t xml:space="preserve">We will review all requests to amend the facilities within an underlying agreement against the conditions outlined above. When we approve a request, we will issue a revised agreement </w:t>
      </w:r>
      <w:r w:rsidR="00D17F1B">
        <w:t xml:space="preserve">to include or exclude the facilities. </w:t>
      </w:r>
      <w:r>
        <w:t xml:space="preserve"> </w:t>
      </w:r>
    </w:p>
    <w:p w14:paraId="1AD2E3F4" w14:textId="4695FABE" w:rsidR="00026E66" w:rsidRDefault="002737EF" w:rsidP="00C13656">
      <w:pPr>
        <w:tabs>
          <w:tab w:val="left" w:pos="0"/>
        </w:tabs>
      </w:pPr>
      <w:r>
        <w:lastRenderedPageBreak/>
        <w:t xml:space="preserve">If the conditions detailed at the start of this section are met, there are no restrictions on </w:t>
      </w:r>
      <w:r w:rsidR="00D17F1B">
        <w:t>how many facilities can be included in an agreement</w:t>
      </w:r>
      <w:r>
        <w:t xml:space="preserve">. The </w:t>
      </w:r>
      <w:hyperlink w:anchor="Responsibleperson" w:history="1">
        <w:r w:rsidRPr="005E46F7">
          <w:rPr>
            <w:rStyle w:val="Hyperlink"/>
          </w:rPr>
          <w:t>responsible person</w:t>
        </w:r>
      </w:hyperlink>
      <w:r>
        <w:t xml:space="preserve"> who signs the underlying agreement does so on behalf of all the facilities in the </w:t>
      </w:r>
      <w:r w:rsidR="00D17F1B">
        <w:t xml:space="preserve">agreement. </w:t>
      </w:r>
      <w:r>
        <w:t xml:space="preserve"> </w:t>
      </w:r>
    </w:p>
    <w:p w14:paraId="1CDD5AC0" w14:textId="77777777" w:rsidR="00026E66" w:rsidRPr="00BD74B1" w:rsidRDefault="002737EF" w:rsidP="00BD74B1">
      <w:pPr>
        <w:pStyle w:val="Heading1"/>
        <w:rPr>
          <w:color w:val="auto"/>
          <w:szCs w:val="24"/>
        </w:rPr>
      </w:pPr>
      <w:bookmarkStart w:id="81" w:name="_5._Annual_charges"/>
      <w:bookmarkStart w:id="82" w:name="_Toc94718642"/>
      <w:bookmarkStart w:id="83" w:name="_Toc94088890"/>
      <w:bookmarkStart w:id="84" w:name="_Toc242885370"/>
      <w:bookmarkEnd w:id="81"/>
      <w:r>
        <w:t>5. Annual charges and billing</w:t>
      </w:r>
      <w:bookmarkEnd w:id="82"/>
      <w:bookmarkEnd w:id="83"/>
      <w:bookmarkEnd w:id="84"/>
      <w:r>
        <w:t xml:space="preserve"> </w:t>
      </w:r>
    </w:p>
    <w:p w14:paraId="5F42A03F" w14:textId="3691924D" w:rsidR="00026E66" w:rsidRPr="00581CC8" w:rsidRDefault="002737EF" w:rsidP="00FF0098">
      <w:pPr>
        <w:tabs>
          <w:tab w:val="left" w:pos="0"/>
        </w:tabs>
        <w:spacing w:after="0"/>
        <w:ind w:right="182"/>
        <w:rPr>
          <w:color w:val="auto"/>
        </w:rPr>
      </w:pPr>
      <w:r>
        <w:rPr>
          <w:color w:val="auto"/>
        </w:rPr>
        <w:t xml:space="preserve">Under Schedule 6 to the </w:t>
      </w:r>
      <w:hyperlink w:anchor="FinanceAct2000" w:history="1">
        <w:r w:rsidRPr="005C5122">
          <w:rPr>
            <w:rStyle w:val="Hyperlink"/>
          </w:rPr>
          <w:t>Finance Act 2000</w:t>
        </w:r>
      </w:hyperlink>
      <w:r>
        <w:rPr>
          <w:color w:val="auto"/>
        </w:rPr>
        <w:t xml:space="preserve"> (as amended), the Environment Agency </w:t>
      </w:r>
      <w:r w:rsidR="00EB4093">
        <w:rPr>
          <w:color w:val="auto"/>
        </w:rPr>
        <w:t>may</w:t>
      </w:r>
      <w:r>
        <w:rPr>
          <w:color w:val="auto"/>
        </w:rPr>
        <w:t xml:space="preserve"> recover </w:t>
      </w:r>
      <w:r w:rsidR="00B77BBD">
        <w:rPr>
          <w:color w:val="auto"/>
        </w:rPr>
        <w:t>the costs of administering the scheme</w:t>
      </w:r>
      <w:r>
        <w:rPr>
          <w:color w:val="auto"/>
        </w:rPr>
        <w:t xml:space="preserve"> through a charging scheme. This section explains the </w:t>
      </w:r>
      <w:hyperlink w:anchor="Charges" w:history="1">
        <w:r w:rsidR="000C7358">
          <w:rPr>
            <w:rStyle w:val="Hyperlink"/>
          </w:rPr>
          <w:t>charges</w:t>
        </w:r>
      </w:hyperlink>
      <w:r>
        <w:rPr>
          <w:color w:val="auto"/>
        </w:rPr>
        <w:t xml:space="preserve"> </w:t>
      </w:r>
      <w:r w:rsidR="00F76A0E">
        <w:rPr>
          <w:color w:val="auto"/>
        </w:rPr>
        <w:t>that apply</w:t>
      </w:r>
      <w:r>
        <w:rPr>
          <w:color w:val="auto"/>
        </w:rPr>
        <w:t xml:space="preserve"> to </w:t>
      </w:r>
      <w:hyperlink w:anchor="Sectorassociation" w:history="1">
        <w:r w:rsidRPr="007C15D5">
          <w:rPr>
            <w:rStyle w:val="Hyperlink"/>
          </w:rPr>
          <w:t>sector associations</w:t>
        </w:r>
      </w:hyperlink>
      <w:r>
        <w:rPr>
          <w:color w:val="auto"/>
        </w:rPr>
        <w:t xml:space="preserve"> and </w:t>
      </w:r>
      <w:r w:rsidR="00487456">
        <w:rPr>
          <w:color w:val="auto"/>
        </w:rPr>
        <w:t>agreement holders</w:t>
      </w:r>
      <w:r>
        <w:rPr>
          <w:color w:val="auto"/>
        </w:rPr>
        <w:t xml:space="preserve">. </w:t>
      </w:r>
    </w:p>
    <w:p w14:paraId="1DA4681F" w14:textId="2AFDA767" w:rsidR="00026E66" w:rsidRPr="00581CC8" w:rsidRDefault="002737EF" w:rsidP="00581CC8">
      <w:pPr>
        <w:pStyle w:val="Heading2"/>
        <w:tabs>
          <w:tab w:val="left" w:pos="0"/>
        </w:tabs>
      </w:pPr>
      <w:bookmarkStart w:id="85" w:name="_Toc94718643"/>
      <w:bookmarkStart w:id="86" w:name="_Toc94088891"/>
      <w:bookmarkStart w:id="87" w:name="_Toc242885371"/>
      <w:r>
        <w:t>5.1. Annual charges for holding a CCA</w:t>
      </w:r>
      <w:bookmarkEnd w:id="85"/>
      <w:bookmarkEnd w:id="86"/>
      <w:bookmarkEnd w:id="87"/>
      <w:r>
        <w:t xml:space="preserve"> </w:t>
      </w:r>
    </w:p>
    <w:p w14:paraId="473B3D83" w14:textId="0FA97321" w:rsidR="00026E66" w:rsidRDefault="002737EF" w:rsidP="00FF0098">
      <w:pPr>
        <w:pStyle w:val="Heading3"/>
        <w:tabs>
          <w:tab w:val="left" w:pos="0"/>
        </w:tabs>
      </w:pPr>
      <w:r>
        <w:t xml:space="preserve">5.1.1. How have charges been </w:t>
      </w:r>
      <w:r w:rsidR="00F76A0E">
        <w:t>calculated</w:t>
      </w:r>
      <w:r>
        <w:t>?</w:t>
      </w:r>
      <w:r w:rsidR="00FC355D">
        <w:t xml:space="preserve"> </w:t>
      </w:r>
    </w:p>
    <w:p w14:paraId="46B392AC" w14:textId="7F03C907" w:rsidR="00026E66" w:rsidRDefault="002737EF" w:rsidP="00FF0098">
      <w:pPr>
        <w:tabs>
          <w:tab w:val="left" w:pos="0"/>
        </w:tabs>
        <w:spacing w:after="59"/>
        <w:ind w:right="182"/>
      </w:pPr>
      <w:r>
        <w:rPr>
          <w:color w:val="auto"/>
          <w:szCs w:val="24"/>
        </w:rPr>
        <w:t>The charges</w:t>
      </w:r>
      <w:r>
        <w:rPr>
          <w:color w:val="auto"/>
        </w:rPr>
        <w:t xml:space="preserve"> for the CCA scheme </w:t>
      </w:r>
      <w:r>
        <w:rPr>
          <w:color w:val="auto"/>
          <w:szCs w:val="24"/>
        </w:rPr>
        <w:t>have been</w:t>
      </w:r>
      <w:r>
        <w:rPr>
          <w:color w:val="auto"/>
        </w:rPr>
        <w:t xml:space="preserve"> calculated based on </w:t>
      </w:r>
      <w:r>
        <w:rPr>
          <w:color w:val="auto"/>
          <w:szCs w:val="24"/>
        </w:rPr>
        <w:t>the amounts</w:t>
      </w:r>
      <w:r>
        <w:rPr>
          <w:color w:val="auto"/>
        </w:rPr>
        <w:t xml:space="preserve"> we expect it to cost us to administer the scheme. These charges are set out in full in a separate document and are summarised below. The charging document and its associated guidance are available on the </w:t>
      </w:r>
      <w:r w:rsidR="006B5468">
        <w:rPr>
          <w:color w:val="auto"/>
        </w:rPr>
        <w:t>gov.uk webpage</w:t>
      </w:r>
      <w:r>
        <w:t xml:space="preserve">: </w:t>
      </w:r>
      <w:hyperlink r:id="rId45" w:history="1">
        <w:r>
          <w:rPr>
            <w:rStyle w:val="Hyperlink"/>
          </w:rPr>
          <w:t>Climate change agreements (CCA</w:t>
        </w:r>
        <w:bookmarkStart w:id="88" w:name="_Hlt94876210"/>
        <w:bookmarkStart w:id="89" w:name="_Hlt94876211"/>
        <w:r>
          <w:rPr>
            <w:rStyle w:val="Hyperlink"/>
          </w:rPr>
          <w:t>)</w:t>
        </w:r>
        <w:bookmarkEnd w:id="88"/>
        <w:bookmarkEnd w:id="89"/>
        <w:r>
          <w:rPr>
            <w:rStyle w:val="Hyperlink"/>
          </w:rPr>
          <w:t xml:space="preserve"> charging scheme</w:t>
        </w:r>
      </w:hyperlink>
      <w:hyperlink r:id="rId46" w:history="1">
        <w:r>
          <w:t>.</w:t>
        </w:r>
      </w:hyperlink>
      <w:r>
        <w:t xml:space="preserve"> </w:t>
      </w:r>
    </w:p>
    <w:p w14:paraId="5B5DB491" w14:textId="77777777" w:rsidR="00771B6F" w:rsidRDefault="002737EF" w:rsidP="00FF0098">
      <w:pPr>
        <w:pStyle w:val="Heading3"/>
        <w:tabs>
          <w:tab w:val="left" w:pos="0"/>
        </w:tabs>
      </w:pPr>
      <w:r>
        <w:t xml:space="preserve">5.1.2. What are the charges? </w:t>
      </w:r>
    </w:p>
    <w:p w14:paraId="720EA048" w14:textId="78CB0616" w:rsidR="00026E66" w:rsidRDefault="002737EF" w:rsidP="00FF0098">
      <w:pPr>
        <w:tabs>
          <w:tab w:val="left" w:pos="0"/>
        </w:tabs>
        <w:ind w:right="182"/>
      </w:pPr>
      <w:r>
        <w:rPr>
          <w:color w:val="auto"/>
        </w:rPr>
        <w:t xml:space="preserve">There are </w:t>
      </w:r>
      <w:r w:rsidR="009E12F0" w:rsidRPr="75B6F885">
        <w:rPr>
          <w:color w:val="auto"/>
        </w:rPr>
        <w:t>2</w:t>
      </w:r>
      <w:r>
        <w:rPr>
          <w:color w:val="auto"/>
        </w:rPr>
        <w:t xml:space="preserve"> types of annual charge – one levied on the sector association and one on the </w:t>
      </w:r>
      <w:r w:rsidR="00CD761E">
        <w:rPr>
          <w:color w:val="auto"/>
        </w:rPr>
        <w:t>agreement holder</w:t>
      </w:r>
      <w:r>
        <w:rPr>
          <w:color w:val="auto"/>
        </w:rPr>
        <w:t>.</w:t>
      </w:r>
      <w:r w:rsidRPr="75B6F885">
        <w:rPr>
          <w:color w:val="auto"/>
        </w:rPr>
        <w:t xml:space="preserve"> </w:t>
      </w:r>
    </w:p>
    <w:p w14:paraId="312921B2" w14:textId="6944E03D" w:rsidR="00026E66" w:rsidRPr="00581CC8" w:rsidRDefault="002737EF" w:rsidP="00581CC8">
      <w:pPr>
        <w:tabs>
          <w:tab w:val="left" w:pos="0"/>
        </w:tabs>
        <w:spacing w:after="11"/>
        <w:ind w:right="182"/>
      </w:pPr>
      <w:r>
        <w:rPr>
          <w:color w:val="auto"/>
          <w:szCs w:val="24"/>
        </w:rPr>
        <w:t xml:space="preserve">There is no </w:t>
      </w:r>
      <w:r>
        <w:rPr>
          <w:color w:val="auto"/>
        </w:rPr>
        <w:t xml:space="preserve">VAT </w:t>
      </w:r>
      <w:r>
        <w:rPr>
          <w:color w:val="auto"/>
          <w:szCs w:val="24"/>
        </w:rPr>
        <w:t>added</w:t>
      </w:r>
      <w:r>
        <w:rPr>
          <w:color w:val="auto"/>
        </w:rPr>
        <w:t xml:space="preserve"> to </w:t>
      </w:r>
      <w:r>
        <w:rPr>
          <w:color w:val="auto"/>
          <w:szCs w:val="24"/>
        </w:rPr>
        <w:t xml:space="preserve">charges. </w:t>
      </w:r>
    </w:p>
    <w:p w14:paraId="11FE6C0E" w14:textId="77777777" w:rsidR="00026E66" w:rsidRDefault="002737EF" w:rsidP="00FF0098">
      <w:pPr>
        <w:pStyle w:val="Heading3"/>
        <w:tabs>
          <w:tab w:val="left" w:pos="0"/>
        </w:tabs>
      </w:pPr>
      <w:r>
        <w:t xml:space="preserve">5.1.3. Paying the charges </w:t>
      </w:r>
    </w:p>
    <w:p w14:paraId="68840603" w14:textId="122E24D1" w:rsidR="00026E66" w:rsidRDefault="00237DDC" w:rsidP="00FF0098">
      <w:pPr>
        <w:tabs>
          <w:tab w:val="left" w:pos="0"/>
        </w:tabs>
        <w:ind w:right="182"/>
      </w:pPr>
      <w:r>
        <w:rPr>
          <w:color w:val="auto"/>
        </w:rPr>
        <w:t>F</w:t>
      </w:r>
      <w:r w:rsidR="00EC5BC7">
        <w:rPr>
          <w:color w:val="auto"/>
        </w:rPr>
        <w:t>acility</w:t>
      </w:r>
      <w:r w:rsidR="002737EF">
        <w:rPr>
          <w:color w:val="auto"/>
          <w:szCs w:val="24"/>
        </w:rPr>
        <w:t xml:space="preserve"> and sector association</w:t>
      </w:r>
      <w:r w:rsidR="002737EF">
        <w:rPr>
          <w:color w:val="auto"/>
        </w:rPr>
        <w:t xml:space="preserve"> annual charges </w:t>
      </w:r>
      <w:r>
        <w:rPr>
          <w:color w:val="auto"/>
        </w:rPr>
        <w:t>apply to</w:t>
      </w:r>
      <w:r w:rsidR="002737EF">
        <w:rPr>
          <w:color w:val="auto"/>
        </w:rPr>
        <w:t xml:space="preserve"> any full or part calendar year during which an agreement is in force. We will send out requests for payment </w:t>
      </w:r>
      <w:r w:rsidR="002737EF">
        <w:rPr>
          <w:color w:val="auto"/>
          <w:szCs w:val="24"/>
        </w:rPr>
        <w:t>in</w:t>
      </w:r>
      <w:r w:rsidR="002737EF">
        <w:rPr>
          <w:color w:val="auto"/>
        </w:rPr>
        <w:t xml:space="preserve"> April each year</w:t>
      </w:r>
      <w:r w:rsidR="002737EF">
        <w:rPr>
          <w:color w:val="auto"/>
          <w:szCs w:val="24"/>
        </w:rPr>
        <w:t>. Payment options will include direct debit, BACS and CHAPS</w:t>
      </w:r>
      <w:r w:rsidR="002737EF">
        <w:rPr>
          <w:color w:val="auto"/>
        </w:rPr>
        <w:t xml:space="preserve">. </w:t>
      </w:r>
    </w:p>
    <w:p w14:paraId="6DE785A7" w14:textId="130E2DAA" w:rsidR="00026E66" w:rsidRPr="00581CC8" w:rsidRDefault="002737EF" w:rsidP="00FF0098">
      <w:pPr>
        <w:tabs>
          <w:tab w:val="left" w:pos="0"/>
        </w:tabs>
        <w:spacing w:after="0"/>
        <w:ind w:right="182"/>
      </w:pPr>
      <w:r>
        <w:t>New</w:t>
      </w:r>
      <w:r>
        <w:rPr>
          <w:color w:val="auto"/>
        </w:rPr>
        <w:t xml:space="preserve"> entrants </w:t>
      </w:r>
      <w:r w:rsidRPr="30BC82EB">
        <w:rPr>
          <w:color w:val="auto"/>
        </w:rPr>
        <w:t xml:space="preserve">who sign an agreement </w:t>
      </w:r>
      <w:r>
        <w:rPr>
          <w:color w:val="auto"/>
        </w:rPr>
        <w:t xml:space="preserve">after </w:t>
      </w:r>
      <w:r w:rsidRPr="30BC82EB">
        <w:rPr>
          <w:color w:val="auto"/>
        </w:rPr>
        <w:t>April in any calendar year will be</w:t>
      </w:r>
      <w:r>
        <w:rPr>
          <w:color w:val="auto"/>
        </w:rPr>
        <w:t xml:space="preserve"> sent </w:t>
      </w:r>
      <w:r w:rsidRPr="30BC82EB">
        <w:rPr>
          <w:color w:val="auto"/>
        </w:rPr>
        <w:t xml:space="preserve">a </w:t>
      </w:r>
      <w:hyperlink w:anchor="MOA" w:history="1">
        <w:r w:rsidRPr="30BC82EB">
          <w:rPr>
            <w:rStyle w:val="Hyperlink"/>
          </w:rPr>
          <w:t>M</w:t>
        </w:r>
        <w:r w:rsidR="00EC5BC7" w:rsidRPr="30BC82EB">
          <w:rPr>
            <w:rStyle w:val="Hyperlink"/>
          </w:rPr>
          <w:t xml:space="preserve">emorandum </w:t>
        </w:r>
        <w:r w:rsidRPr="30BC82EB">
          <w:rPr>
            <w:rStyle w:val="Hyperlink"/>
          </w:rPr>
          <w:t>o</w:t>
        </w:r>
        <w:r w:rsidR="00EC5BC7" w:rsidRPr="30BC82EB">
          <w:rPr>
            <w:rStyle w:val="Hyperlink"/>
          </w:rPr>
          <w:t xml:space="preserve">f </w:t>
        </w:r>
        <w:r w:rsidRPr="30BC82EB">
          <w:rPr>
            <w:rStyle w:val="Hyperlink"/>
          </w:rPr>
          <w:t>A</w:t>
        </w:r>
        <w:r w:rsidR="00EC5BC7" w:rsidRPr="30BC82EB">
          <w:rPr>
            <w:rStyle w:val="Hyperlink"/>
          </w:rPr>
          <w:t>ccount (</w:t>
        </w:r>
        <w:proofErr w:type="spellStart"/>
        <w:r w:rsidR="00FD31FA" w:rsidRPr="30BC82EB">
          <w:rPr>
            <w:rStyle w:val="Hyperlink"/>
          </w:rPr>
          <w:t>MoA</w:t>
        </w:r>
        <w:proofErr w:type="spellEnd"/>
        <w:r w:rsidR="00FD31FA" w:rsidRPr="30BC82EB">
          <w:rPr>
            <w:rStyle w:val="Hyperlink"/>
          </w:rPr>
          <w:t>)</w:t>
        </w:r>
      </w:hyperlink>
      <w:r w:rsidR="00FD31FA" w:rsidRPr="30BC82EB">
        <w:rPr>
          <w:color w:val="auto"/>
        </w:rPr>
        <w:t xml:space="preserve"> for</w:t>
      </w:r>
      <w:r w:rsidRPr="30BC82EB">
        <w:rPr>
          <w:color w:val="auto"/>
        </w:rPr>
        <w:t xml:space="preserve"> the annual charge on entering the scheme.</w:t>
      </w:r>
      <w:r>
        <w:rPr>
          <w:color w:val="auto"/>
        </w:rPr>
        <w:t xml:space="preserve"> This must be paid i</w:t>
      </w:r>
      <w:r w:rsidR="00490C5B">
        <w:rPr>
          <w:color w:val="auto"/>
        </w:rPr>
        <w:t xml:space="preserve">n accordance with the payment instructions provided in the </w:t>
      </w:r>
      <w:proofErr w:type="spellStart"/>
      <w:r w:rsidR="00490C5B">
        <w:rPr>
          <w:color w:val="auto"/>
        </w:rPr>
        <w:t>MoA</w:t>
      </w:r>
      <w:proofErr w:type="spellEnd"/>
      <w:r>
        <w:rPr>
          <w:color w:val="auto"/>
        </w:rPr>
        <w:t xml:space="preserve"> </w:t>
      </w:r>
      <w:r w:rsidR="001B753C">
        <w:rPr>
          <w:color w:val="auto"/>
        </w:rPr>
        <w:t xml:space="preserve">using one of the payment </w:t>
      </w:r>
      <w:r w:rsidR="000B23EA">
        <w:rPr>
          <w:color w:val="auto"/>
        </w:rPr>
        <w:t xml:space="preserve">methods listed </w:t>
      </w:r>
      <w:r w:rsidR="00D96CFD" w:rsidRPr="30BC82EB">
        <w:rPr>
          <w:color w:val="auto"/>
        </w:rPr>
        <w:t>(</w:t>
      </w:r>
      <w:r w:rsidR="000B23EA" w:rsidRPr="30BC82EB">
        <w:rPr>
          <w:color w:val="auto"/>
        </w:rPr>
        <w:t xml:space="preserve">excluding </w:t>
      </w:r>
      <w:r w:rsidRPr="30BC82EB">
        <w:rPr>
          <w:color w:val="auto"/>
        </w:rPr>
        <w:t>direct debit</w:t>
      </w:r>
      <w:r w:rsidR="000B23EA" w:rsidRPr="30BC82EB">
        <w:rPr>
          <w:color w:val="auto"/>
        </w:rPr>
        <w:t>)</w:t>
      </w:r>
      <w:r w:rsidR="00490C5B">
        <w:rPr>
          <w:color w:val="auto"/>
        </w:rPr>
        <w:t>.</w:t>
      </w:r>
      <w:r w:rsidRPr="30BC82EB">
        <w:rPr>
          <w:color w:val="auto"/>
        </w:rPr>
        <w:t xml:space="preserve"> </w:t>
      </w:r>
    </w:p>
    <w:p w14:paraId="65FF3F84" w14:textId="77777777" w:rsidR="00026E66" w:rsidRPr="00771B6F" w:rsidRDefault="002737EF" w:rsidP="00FF0098">
      <w:pPr>
        <w:pStyle w:val="Heading4"/>
        <w:tabs>
          <w:tab w:val="left" w:pos="0"/>
        </w:tabs>
      </w:pPr>
      <w:r w:rsidRPr="00771B6F">
        <w:t xml:space="preserve">Sector associations </w:t>
      </w:r>
    </w:p>
    <w:p w14:paraId="0C34A1DE" w14:textId="7B71D7D6" w:rsidR="00026E66" w:rsidRDefault="002737EF" w:rsidP="00FF0098">
      <w:pPr>
        <w:tabs>
          <w:tab w:val="left" w:pos="0"/>
        </w:tabs>
        <w:ind w:right="182"/>
      </w:pPr>
      <w:r w:rsidRPr="75B6F885">
        <w:rPr>
          <w:color w:val="auto"/>
        </w:rPr>
        <w:t xml:space="preserve">Sector associations that collect charges from over 50% of their </w:t>
      </w:r>
      <w:r w:rsidR="00B96324" w:rsidRPr="75B6F885">
        <w:rPr>
          <w:color w:val="auto"/>
        </w:rPr>
        <w:t>agreement holders</w:t>
      </w:r>
      <w:r w:rsidRPr="75B6F885">
        <w:rPr>
          <w:color w:val="auto"/>
        </w:rPr>
        <w:t xml:space="preserve"> on our behalf</w:t>
      </w:r>
      <w:r>
        <w:rPr>
          <w:color w:val="auto"/>
        </w:rPr>
        <w:t xml:space="preserve"> won’t </w:t>
      </w:r>
      <w:r w:rsidRPr="75B6F885">
        <w:rPr>
          <w:color w:val="auto"/>
        </w:rPr>
        <w:t>receive an invoice from us for</w:t>
      </w:r>
      <w:r>
        <w:rPr>
          <w:color w:val="auto"/>
        </w:rPr>
        <w:t xml:space="preserve"> the sector </w:t>
      </w:r>
      <w:r w:rsidRPr="75B6F885">
        <w:rPr>
          <w:color w:val="auto"/>
        </w:rPr>
        <w:t xml:space="preserve">association </w:t>
      </w:r>
      <w:r>
        <w:rPr>
          <w:color w:val="auto"/>
        </w:rPr>
        <w:t>annual charge</w:t>
      </w:r>
      <w:r w:rsidRPr="75B6F885">
        <w:rPr>
          <w:color w:val="auto"/>
        </w:rPr>
        <w:t xml:space="preserve">. Instead, they will receive </w:t>
      </w:r>
      <w:r>
        <w:rPr>
          <w:color w:val="auto"/>
        </w:rPr>
        <w:t xml:space="preserve">a </w:t>
      </w:r>
      <w:proofErr w:type="spellStart"/>
      <w:r>
        <w:rPr>
          <w:color w:val="auto"/>
        </w:rPr>
        <w:t>MoA</w:t>
      </w:r>
      <w:proofErr w:type="spellEnd"/>
      <w:r>
        <w:rPr>
          <w:color w:val="auto"/>
        </w:rPr>
        <w:t xml:space="preserve"> </w:t>
      </w:r>
      <w:r w:rsidRPr="75B6F885">
        <w:rPr>
          <w:color w:val="auto"/>
        </w:rPr>
        <w:t>for</w:t>
      </w:r>
      <w:r>
        <w:rPr>
          <w:color w:val="auto"/>
        </w:rPr>
        <w:t xml:space="preserve"> the total amount </w:t>
      </w:r>
      <w:r w:rsidRPr="75B6F885">
        <w:rPr>
          <w:color w:val="auto"/>
        </w:rPr>
        <w:t>payable by their operators</w:t>
      </w:r>
      <w:r>
        <w:rPr>
          <w:color w:val="auto"/>
        </w:rPr>
        <w:t xml:space="preserve">, together with a breakdown of the individual </w:t>
      </w:r>
      <w:r w:rsidRPr="75B6F885">
        <w:rPr>
          <w:color w:val="auto"/>
        </w:rPr>
        <w:t xml:space="preserve">facility charges. </w:t>
      </w:r>
      <w:r>
        <w:rPr>
          <w:color w:val="auto"/>
        </w:rPr>
        <w:t xml:space="preserve">The </w:t>
      </w:r>
      <w:proofErr w:type="spellStart"/>
      <w:r>
        <w:rPr>
          <w:color w:val="auto"/>
        </w:rPr>
        <w:t>MoA</w:t>
      </w:r>
      <w:proofErr w:type="spellEnd"/>
      <w:r>
        <w:rPr>
          <w:color w:val="auto"/>
        </w:rPr>
        <w:t xml:space="preserve"> </w:t>
      </w:r>
      <w:r w:rsidRPr="75B6F885">
        <w:rPr>
          <w:color w:val="auto"/>
        </w:rPr>
        <w:t>will be based on the</w:t>
      </w:r>
      <w:r>
        <w:rPr>
          <w:color w:val="auto"/>
        </w:rPr>
        <w:t xml:space="preserve"> </w:t>
      </w:r>
      <w:r>
        <w:rPr>
          <w:color w:val="auto"/>
        </w:rPr>
        <w:lastRenderedPageBreak/>
        <w:t xml:space="preserve">information held on the </w:t>
      </w:r>
      <w:r w:rsidR="000C7358">
        <w:rPr>
          <w:color w:val="auto"/>
        </w:rPr>
        <w:t xml:space="preserve">CCA </w:t>
      </w:r>
      <w:r>
        <w:rPr>
          <w:color w:val="auto"/>
        </w:rPr>
        <w:t>register</w:t>
      </w:r>
      <w:r w:rsidR="000A4245">
        <w:rPr>
          <w:color w:val="auto"/>
        </w:rPr>
        <w:t>. This will indicate whether the operator is financially managed by its sector association.</w:t>
      </w:r>
      <w:r w:rsidRPr="75B6F885">
        <w:rPr>
          <w:color w:val="auto"/>
        </w:rPr>
        <w:t xml:space="preserve"> The </w:t>
      </w:r>
      <w:proofErr w:type="spellStart"/>
      <w:r w:rsidRPr="75B6F885">
        <w:rPr>
          <w:color w:val="auto"/>
        </w:rPr>
        <w:t>MoA</w:t>
      </w:r>
      <w:proofErr w:type="spellEnd"/>
      <w:r w:rsidRPr="75B6F885">
        <w:rPr>
          <w:color w:val="auto"/>
        </w:rPr>
        <w:t xml:space="preserve"> can be paid in one instalment or by direct debit spread over </w:t>
      </w:r>
      <w:r w:rsidR="009E12F0" w:rsidRPr="75B6F885">
        <w:rPr>
          <w:color w:val="auto"/>
        </w:rPr>
        <w:t>3</w:t>
      </w:r>
      <w:r w:rsidRPr="75B6F885">
        <w:rPr>
          <w:color w:val="auto"/>
        </w:rPr>
        <w:t xml:space="preserve"> instalments. </w:t>
      </w:r>
    </w:p>
    <w:p w14:paraId="5A327F3D" w14:textId="25D4868B" w:rsidR="00026E66" w:rsidRDefault="002737EF" w:rsidP="00FF0098">
      <w:pPr>
        <w:tabs>
          <w:tab w:val="left" w:pos="0"/>
        </w:tabs>
        <w:ind w:right="182"/>
      </w:pPr>
      <w:r>
        <w:rPr>
          <w:color w:val="auto"/>
        </w:rPr>
        <w:t xml:space="preserve">If </w:t>
      </w:r>
      <w:r w:rsidR="00236B56">
        <w:rPr>
          <w:color w:val="auto"/>
        </w:rPr>
        <w:t>a</w:t>
      </w:r>
      <w:r>
        <w:rPr>
          <w:color w:val="auto"/>
        </w:rPr>
        <w:t xml:space="preserve"> sector association does</w:t>
      </w:r>
      <w:r w:rsidR="00236B56">
        <w:rPr>
          <w:color w:val="auto"/>
        </w:rPr>
        <w:t xml:space="preserve"> not</w:t>
      </w:r>
      <w:r>
        <w:rPr>
          <w:color w:val="auto"/>
        </w:rPr>
        <w:t xml:space="preserve"> want to be </w:t>
      </w:r>
      <w:r>
        <w:rPr>
          <w:color w:val="auto"/>
          <w:szCs w:val="24"/>
        </w:rPr>
        <w:t xml:space="preserve">charged </w:t>
      </w:r>
      <w:r>
        <w:rPr>
          <w:color w:val="auto"/>
        </w:rPr>
        <w:t xml:space="preserve">for </w:t>
      </w:r>
      <w:r>
        <w:rPr>
          <w:color w:val="auto"/>
          <w:szCs w:val="24"/>
        </w:rPr>
        <w:t>an operator where payment can't be recovered</w:t>
      </w:r>
      <w:r>
        <w:rPr>
          <w:color w:val="auto"/>
        </w:rPr>
        <w:t xml:space="preserve">, it must notify </w:t>
      </w:r>
      <w:r w:rsidR="00645BF2">
        <w:rPr>
          <w:color w:val="auto"/>
        </w:rPr>
        <w:t>us</w:t>
      </w:r>
      <w:r w:rsidR="004874DE">
        <w:t xml:space="preserve"> </w:t>
      </w:r>
      <w:r>
        <w:rPr>
          <w:color w:val="auto"/>
        </w:rPr>
        <w:t>by 27 March in each calendar year</w:t>
      </w:r>
      <w:r>
        <w:rPr>
          <w:color w:val="auto"/>
          <w:szCs w:val="24"/>
        </w:rPr>
        <w:t>, giving</w:t>
      </w:r>
      <w:r>
        <w:rPr>
          <w:color w:val="auto"/>
        </w:rPr>
        <w:t xml:space="preserve"> the </w:t>
      </w:r>
      <w:r>
        <w:rPr>
          <w:color w:val="auto"/>
          <w:szCs w:val="24"/>
        </w:rPr>
        <w:t>operator's details and</w:t>
      </w:r>
      <w:r>
        <w:rPr>
          <w:color w:val="auto"/>
        </w:rPr>
        <w:t xml:space="preserve"> </w:t>
      </w:r>
      <w:r w:rsidR="009025CB">
        <w:rPr>
          <w:color w:val="auto"/>
        </w:rPr>
        <w:t>agreement</w:t>
      </w:r>
      <w:r>
        <w:rPr>
          <w:color w:val="auto"/>
        </w:rPr>
        <w:t xml:space="preserve"> identification number</w:t>
      </w:r>
      <w:r>
        <w:rPr>
          <w:color w:val="auto"/>
          <w:szCs w:val="24"/>
        </w:rPr>
        <w:t>.</w:t>
      </w:r>
      <w:r>
        <w:rPr>
          <w:color w:val="auto"/>
        </w:rPr>
        <w:t xml:space="preserve"> We will </w:t>
      </w:r>
      <w:r>
        <w:rPr>
          <w:color w:val="auto"/>
          <w:szCs w:val="24"/>
        </w:rPr>
        <w:t xml:space="preserve">then </w:t>
      </w:r>
      <w:r w:rsidR="00F800D7">
        <w:rPr>
          <w:color w:val="auto"/>
          <w:szCs w:val="24"/>
        </w:rPr>
        <w:t>update</w:t>
      </w:r>
      <w:r>
        <w:rPr>
          <w:color w:val="auto"/>
        </w:rPr>
        <w:t xml:space="preserve"> the </w:t>
      </w:r>
      <w:r w:rsidR="00F800D7">
        <w:rPr>
          <w:color w:val="auto"/>
        </w:rPr>
        <w:t xml:space="preserve">CCA </w:t>
      </w:r>
      <w:r>
        <w:rPr>
          <w:color w:val="auto"/>
        </w:rPr>
        <w:t xml:space="preserve">register to show the </w:t>
      </w:r>
      <w:r>
        <w:rPr>
          <w:color w:val="auto"/>
          <w:szCs w:val="24"/>
        </w:rPr>
        <w:t>operator</w:t>
      </w:r>
      <w:r>
        <w:rPr>
          <w:color w:val="auto"/>
        </w:rPr>
        <w:t xml:space="preserve"> is </w:t>
      </w:r>
      <w:r>
        <w:rPr>
          <w:color w:val="auto"/>
          <w:szCs w:val="24"/>
        </w:rPr>
        <w:t xml:space="preserve">not </w:t>
      </w:r>
      <w:r>
        <w:rPr>
          <w:color w:val="auto"/>
        </w:rPr>
        <w:t xml:space="preserve">financially </w:t>
      </w:r>
      <w:r>
        <w:rPr>
          <w:color w:val="auto"/>
          <w:szCs w:val="24"/>
        </w:rPr>
        <w:t>managed by</w:t>
      </w:r>
      <w:r>
        <w:rPr>
          <w:color w:val="auto"/>
        </w:rPr>
        <w:t xml:space="preserve"> the sector association.</w:t>
      </w:r>
      <w:r>
        <w:rPr>
          <w:color w:val="auto"/>
          <w:szCs w:val="24"/>
        </w:rPr>
        <w:t xml:space="preserve"> We will send a </w:t>
      </w:r>
      <w:proofErr w:type="spellStart"/>
      <w:r>
        <w:rPr>
          <w:color w:val="auto"/>
          <w:szCs w:val="24"/>
        </w:rPr>
        <w:t>MoA</w:t>
      </w:r>
      <w:proofErr w:type="spellEnd"/>
      <w:r>
        <w:rPr>
          <w:color w:val="auto"/>
          <w:szCs w:val="24"/>
        </w:rPr>
        <w:t xml:space="preserve"> direct to the operator concerned after 1 April and the sector association won't be charged for them. </w:t>
      </w:r>
    </w:p>
    <w:p w14:paraId="5E482CD6" w14:textId="77777777" w:rsidR="00026E66" w:rsidRDefault="002737EF" w:rsidP="00FF0098">
      <w:pPr>
        <w:tabs>
          <w:tab w:val="left" w:pos="0"/>
        </w:tabs>
        <w:ind w:right="182"/>
      </w:pPr>
      <w:r>
        <w:rPr>
          <w:color w:val="auto"/>
          <w:szCs w:val="24"/>
        </w:rPr>
        <w:t>The</w:t>
      </w:r>
      <w:r>
        <w:rPr>
          <w:color w:val="auto"/>
        </w:rPr>
        <w:t xml:space="preserve"> sector </w:t>
      </w:r>
      <w:r>
        <w:rPr>
          <w:color w:val="auto"/>
          <w:szCs w:val="24"/>
        </w:rPr>
        <w:t xml:space="preserve">association will still be charged in its </w:t>
      </w:r>
      <w:proofErr w:type="spellStart"/>
      <w:r>
        <w:rPr>
          <w:color w:val="auto"/>
          <w:szCs w:val="24"/>
        </w:rPr>
        <w:t>MoA</w:t>
      </w:r>
      <w:proofErr w:type="spellEnd"/>
      <w:r>
        <w:rPr>
          <w:color w:val="auto"/>
          <w:szCs w:val="24"/>
        </w:rPr>
        <w:t xml:space="preserve"> if it financially manages an operator</w:t>
      </w:r>
      <w:r>
        <w:rPr>
          <w:color w:val="auto"/>
        </w:rPr>
        <w:t xml:space="preserve"> that </w:t>
      </w:r>
      <w:r>
        <w:rPr>
          <w:color w:val="auto"/>
          <w:szCs w:val="24"/>
        </w:rPr>
        <w:t>was</w:t>
      </w:r>
      <w:r>
        <w:rPr>
          <w:color w:val="auto"/>
        </w:rPr>
        <w:t xml:space="preserve"> in </w:t>
      </w:r>
      <w:r>
        <w:rPr>
          <w:color w:val="auto"/>
          <w:szCs w:val="24"/>
        </w:rPr>
        <w:t>the scheme</w:t>
      </w:r>
      <w:r>
        <w:rPr>
          <w:color w:val="auto"/>
        </w:rPr>
        <w:t xml:space="preserve"> on 1 January</w:t>
      </w:r>
      <w:r>
        <w:rPr>
          <w:color w:val="auto"/>
          <w:szCs w:val="24"/>
        </w:rPr>
        <w:t xml:space="preserve"> of a calendar </w:t>
      </w:r>
      <w:proofErr w:type="gramStart"/>
      <w:r>
        <w:rPr>
          <w:color w:val="auto"/>
          <w:szCs w:val="24"/>
        </w:rPr>
        <w:t>year</w:t>
      </w:r>
      <w:proofErr w:type="gramEnd"/>
      <w:r>
        <w:rPr>
          <w:color w:val="auto"/>
          <w:szCs w:val="24"/>
        </w:rPr>
        <w:t xml:space="preserve"> but whose CCA was terminated</w:t>
      </w:r>
      <w:r>
        <w:rPr>
          <w:color w:val="auto"/>
        </w:rPr>
        <w:t xml:space="preserve"> before </w:t>
      </w:r>
      <w:r>
        <w:rPr>
          <w:color w:val="auto"/>
          <w:szCs w:val="24"/>
        </w:rPr>
        <w:t>1 April in</w:t>
      </w:r>
      <w:r>
        <w:rPr>
          <w:color w:val="auto"/>
        </w:rPr>
        <w:t xml:space="preserve"> the </w:t>
      </w:r>
      <w:r>
        <w:rPr>
          <w:color w:val="auto"/>
          <w:szCs w:val="24"/>
        </w:rPr>
        <w:t>year</w:t>
      </w:r>
      <w:r>
        <w:rPr>
          <w:color w:val="auto"/>
        </w:rPr>
        <w:t xml:space="preserve">. </w:t>
      </w:r>
    </w:p>
    <w:p w14:paraId="4B48D099" w14:textId="5BDD965C" w:rsidR="00026E66" w:rsidRPr="00581CC8" w:rsidRDefault="002737EF" w:rsidP="00FF0098">
      <w:pPr>
        <w:tabs>
          <w:tab w:val="left" w:pos="0"/>
        </w:tabs>
        <w:spacing w:after="0"/>
        <w:ind w:right="182"/>
      </w:pPr>
      <w:r>
        <w:rPr>
          <w:color w:val="auto"/>
          <w:szCs w:val="24"/>
        </w:rPr>
        <w:t>Sector</w:t>
      </w:r>
      <w:r>
        <w:rPr>
          <w:color w:val="auto"/>
        </w:rPr>
        <w:t xml:space="preserve"> associations that decide not to collect charges on our behalf and opt to incur the annual charge </w:t>
      </w:r>
      <w:r>
        <w:rPr>
          <w:color w:val="auto"/>
          <w:szCs w:val="24"/>
        </w:rPr>
        <w:t>will be sent an invoice</w:t>
      </w:r>
      <w:r>
        <w:rPr>
          <w:color w:val="auto"/>
        </w:rPr>
        <w:t xml:space="preserve"> in April. This will ask for immediate payment</w:t>
      </w:r>
      <w:r>
        <w:rPr>
          <w:color w:val="auto"/>
          <w:szCs w:val="24"/>
        </w:rPr>
        <w:t xml:space="preserve">. </w:t>
      </w:r>
    </w:p>
    <w:p w14:paraId="55C32C00" w14:textId="3BE54733" w:rsidR="00026E66" w:rsidRDefault="002737EF" w:rsidP="00FF0098">
      <w:pPr>
        <w:tabs>
          <w:tab w:val="left" w:pos="0"/>
        </w:tabs>
        <w:ind w:right="182"/>
        <w:rPr>
          <w:color w:val="auto"/>
          <w:szCs w:val="24"/>
        </w:rPr>
      </w:pPr>
      <w:r>
        <w:rPr>
          <w:color w:val="auto"/>
          <w:szCs w:val="24"/>
        </w:rPr>
        <w:t xml:space="preserve">We </w:t>
      </w:r>
      <w:r w:rsidR="00320AF1">
        <w:rPr>
          <w:color w:val="auto"/>
          <w:szCs w:val="24"/>
        </w:rPr>
        <w:t>will not</w:t>
      </w:r>
      <w:r>
        <w:rPr>
          <w:color w:val="auto"/>
          <w:szCs w:val="24"/>
        </w:rPr>
        <w:t xml:space="preserve"> contact </w:t>
      </w:r>
      <w:r w:rsidR="00966A00">
        <w:rPr>
          <w:color w:val="auto"/>
          <w:szCs w:val="24"/>
        </w:rPr>
        <w:t>agreement holders</w:t>
      </w:r>
      <w:r w:rsidR="003367F2">
        <w:rPr>
          <w:color w:val="auto"/>
          <w:szCs w:val="24"/>
        </w:rPr>
        <w:t xml:space="preserve"> that pay</w:t>
      </w:r>
      <w:r>
        <w:rPr>
          <w:color w:val="auto"/>
          <w:szCs w:val="24"/>
        </w:rPr>
        <w:t xml:space="preserve"> their annual charge via their sector association. </w:t>
      </w:r>
    </w:p>
    <w:p w14:paraId="177CD9A7" w14:textId="4C5F2BE2" w:rsidR="00026E66" w:rsidRPr="00581CC8" w:rsidRDefault="00966A00" w:rsidP="00FF0098">
      <w:pPr>
        <w:tabs>
          <w:tab w:val="left" w:pos="0"/>
        </w:tabs>
        <w:spacing w:after="61"/>
        <w:ind w:right="182"/>
      </w:pPr>
      <w:r>
        <w:rPr>
          <w:color w:val="auto"/>
          <w:szCs w:val="24"/>
        </w:rPr>
        <w:t>Agreement holders</w:t>
      </w:r>
      <w:r w:rsidR="002737EF">
        <w:rPr>
          <w:color w:val="auto"/>
          <w:szCs w:val="24"/>
        </w:rPr>
        <w:t xml:space="preserve"> that opt to pay for their CCA directly to us will be sent a </w:t>
      </w:r>
      <w:proofErr w:type="spellStart"/>
      <w:r w:rsidR="002737EF">
        <w:rPr>
          <w:color w:val="auto"/>
          <w:szCs w:val="24"/>
        </w:rPr>
        <w:t>MoA</w:t>
      </w:r>
      <w:proofErr w:type="spellEnd"/>
      <w:r w:rsidR="002737EF">
        <w:rPr>
          <w:color w:val="auto"/>
          <w:szCs w:val="24"/>
        </w:rPr>
        <w:t xml:space="preserve"> in April.</w:t>
      </w:r>
      <w:r w:rsidR="002737EF">
        <w:rPr>
          <w:color w:val="auto"/>
        </w:rPr>
        <w:t xml:space="preserve"> This will ask for immediate payment. Where a</w:t>
      </w:r>
      <w:r w:rsidR="00526AA5">
        <w:rPr>
          <w:color w:val="auto"/>
        </w:rPr>
        <w:t>n agreement holder</w:t>
      </w:r>
      <w:r w:rsidR="002737EF">
        <w:rPr>
          <w:color w:val="auto"/>
        </w:rPr>
        <w:t xml:space="preserve"> fails to pay us and we are unable to resolve </w:t>
      </w:r>
      <w:r w:rsidR="002737EF">
        <w:rPr>
          <w:color w:val="auto"/>
          <w:szCs w:val="24"/>
        </w:rPr>
        <w:t>the lack of payment</w:t>
      </w:r>
      <w:r w:rsidR="002737EF">
        <w:rPr>
          <w:color w:val="auto"/>
        </w:rPr>
        <w:t xml:space="preserve"> through communication, we may </w:t>
      </w:r>
      <w:r w:rsidR="002737EF">
        <w:rPr>
          <w:color w:val="auto"/>
          <w:szCs w:val="24"/>
        </w:rPr>
        <w:t xml:space="preserve">issue a </w:t>
      </w:r>
      <w:hyperlink w:anchor="Penalty" w:history="1">
        <w:r w:rsidR="008A4943">
          <w:rPr>
            <w:rStyle w:val="Hyperlink"/>
            <w:szCs w:val="24"/>
          </w:rPr>
          <w:t>penalty</w:t>
        </w:r>
      </w:hyperlink>
      <w:r w:rsidR="002737EF">
        <w:rPr>
          <w:color w:val="auto"/>
          <w:szCs w:val="24"/>
          <w:u w:val="single" w:color="0077B9"/>
        </w:rPr>
        <w:t xml:space="preserve"> </w:t>
      </w:r>
      <w:r w:rsidR="002737EF">
        <w:rPr>
          <w:color w:val="auto"/>
          <w:szCs w:val="24"/>
        </w:rPr>
        <w:t xml:space="preserve">or </w:t>
      </w:r>
      <w:hyperlink w:anchor="Termination" w:history="1">
        <w:r w:rsidR="002737EF">
          <w:rPr>
            <w:rStyle w:val="Hyperlink"/>
            <w:szCs w:val="24"/>
          </w:rPr>
          <w:t>terminate</w:t>
        </w:r>
      </w:hyperlink>
      <w:r w:rsidR="002737EF">
        <w:rPr>
          <w:color w:val="auto"/>
          <w:szCs w:val="24"/>
          <w:u w:val="single" w:color="0077B9"/>
        </w:rPr>
        <w:t xml:space="preserve"> </w:t>
      </w:r>
      <w:r w:rsidR="002737EF">
        <w:rPr>
          <w:color w:val="auto"/>
          <w:szCs w:val="24"/>
        </w:rPr>
        <w:t xml:space="preserve">the </w:t>
      </w:r>
      <w:r w:rsidR="002737EF">
        <w:rPr>
          <w:color w:val="auto"/>
        </w:rPr>
        <w:t>agreement</w:t>
      </w:r>
      <w:r w:rsidR="002737EF">
        <w:rPr>
          <w:color w:val="auto"/>
          <w:szCs w:val="24"/>
        </w:rPr>
        <w:t xml:space="preserve">. </w:t>
      </w:r>
    </w:p>
    <w:p w14:paraId="2BB69C42" w14:textId="77777777" w:rsidR="00026E66" w:rsidRDefault="002737EF" w:rsidP="00FF0098">
      <w:pPr>
        <w:pStyle w:val="Heading2"/>
        <w:tabs>
          <w:tab w:val="left" w:pos="0"/>
        </w:tabs>
      </w:pPr>
      <w:bookmarkStart w:id="90" w:name="_5.2._Collection_of"/>
      <w:bookmarkStart w:id="91" w:name="_Toc94718644"/>
      <w:bookmarkStart w:id="92" w:name="_Toc94088892"/>
      <w:bookmarkStart w:id="93" w:name="_Toc242885372"/>
      <w:bookmarkEnd w:id="90"/>
      <w:r>
        <w:t>5.2. Collection of charges by sector associations</w:t>
      </w:r>
      <w:bookmarkEnd w:id="91"/>
      <w:bookmarkEnd w:id="92"/>
      <w:bookmarkEnd w:id="93"/>
      <w:r>
        <w:t xml:space="preserve"> </w:t>
      </w:r>
    </w:p>
    <w:p w14:paraId="1795597C" w14:textId="702563EC" w:rsidR="00026E66" w:rsidRDefault="002737EF" w:rsidP="00FF0098">
      <w:pPr>
        <w:tabs>
          <w:tab w:val="left" w:pos="0"/>
        </w:tabs>
      </w:pPr>
      <w:r>
        <w:t xml:space="preserve">A sector association wishing to collect charges from </w:t>
      </w:r>
      <w:r w:rsidR="00797F9C">
        <w:t>agreement holders</w:t>
      </w:r>
      <w:r>
        <w:t xml:space="preserve"> on our behalf needs to: </w:t>
      </w:r>
    </w:p>
    <w:p w14:paraId="5796A4CA" w14:textId="77777777" w:rsidR="00026E66" w:rsidRDefault="002737EF" w:rsidP="0065356B">
      <w:pPr>
        <w:pStyle w:val="ListParagraph"/>
        <w:numPr>
          <w:ilvl w:val="0"/>
          <w:numId w:val="43"/>
        </w:numPr>
        <w:tabs>
          <w:tab w:val="left" w:pos="0"/>
        </w:tabs>
      </w:pPr>
      <w:r>
        <w:t xml:space="preserve">agree this arrangement with us </w:t>
      </w:r>
    </w:p>
    <w:p w14:paraId="493CC2CF" w14:textId="38AF6094" w:rsidR="00026E66" w:rsidRDefault="002737EF" w:rsidP="0065356B">
      <w:pPr>
        <w:pStyle w:val="ListParagraph"/>
        <w:numPr>
          <w:ilvl w:val="0"/>
          <w:numId w:val="43"/>
        </w:numPr>
        <w:tabs>
          <w:tab w:val="left" w:pos="0"/>
        </w:tabs>
      </w:pPr>
      <w:r>
        <w:t>adhere to the conditions detailed in Rule 1</w:t>
      </w:r>
      <w:r w:rsidR="00FE0B4C">
        <w:t>5</w:t>
      </w:r>
      <w:r>
        <w:t xml:space="preserve"> of the umbrella agreement </w:t>
      </w:r>
    </w:p>
    <w:p w14:paraId="3B0A487B" w14:textId="7F98B0D2" w:rsidR="00026E66" w:rsidRDefault="002737EF">
      <w:pPr>
        <w:pStyle w:val="ListParagraph"/>
        <w:numPr>
          <w:ilvl w:val="0"/>
          <w:numId w:val="43"/>
        </w:numPr>
        <w:tabs>
          <w:tab w:val="left" w:pos="0"/>
        </w:tabs>
      </w:pPr>
      <w:r>
        <w:t xml:space="preserve">agree to collect charges from </w:t>
      </w:r>
      <w:r w:rsidR="00797F9C">
        <w:t>agreem</w:t>
      </w:r>
      <w:r w:rsidR="006E3AF9">
        <w:t>e</w:t>
      </w:r>
      <w:r w:rsidR="00797F9C">
        <w:t>nt holders</w:t>
      </w:r>
      <w:r>
        <w:t xml:space="preserve"> that, taken together, represent at least 50% of the </w:t>
      </w:r>
      <w:r w:rsidR="62941F91">
        <w:t>underlying a</w:t>
      </w:r>
      <w:r w:rsidR="68453BA9">
        <w:t xml:space="preserve">greements </w:t>
      </w:r>
      <w:r>
        <w:t xml:space="preserve">under its </w:t>
      </w:r>
      <w:r w:rsidR="230512C6">
        <w:t xml:space="preserve">umbrella </w:t>
      </w:r>
      <w:r>
        <w:t xml:space="preserve">agreement </w:t>
      </w:r>
    </w:p>
    <w:p w14:paraId="148B62E3" w14:textId="273F241C" w:rsidR="00026E66" w:rsidRDefault="002737EF" w:rsidP="0065356B">
      <w:pPr>
        <w:pStyle w:val="ListParagraph"/>
        <w:numPr>
          <w:ilvl w:val="0"/>
          <w:numId w:val="43"/>
        </w:numPr>
        <w:tabs>
          <w:tab w:val="left" w:pos="0"/>
        </w:tabs>
      </w:pPr>
      <w:r>
        <w:t xml:space="preserve">send us a written request to do this – to be received by the last working day </w:t>
      </w:r>
      <w:r w:rsidR="000065F3">
        <w:t>of</w:t>
      </w:r>
      <w:r>
        <w:t xml:space="preserve"> February of each year (we will remind sectors by email of this each year in January) </w:t>
      </w:r>
    </w:p>
    <w:p w14:paraId="425D6DE4" w14:textId="7BC32924" w:rsidR="00026E66" w:rsidRDefault="002737EF" w:rsidP="00FF0098">
      <w:pPr>
        <w:tabs>
          <w:tab w:val="left" w:pos="0"/>
        </w:tabs>
      </w:pPr>
      <w:r>
        <w:t xml:space="preserve">The request from the sector association should list all the facilities (by the </w:t>
      </w:r>
      <w:r w:rsidR="00797F9C">
        <w:t>agreement</w:t>
      </w:r>
      <w:r>
        <w:t xml:space="preserve"> they fall into) from which it intends to collect charges. </w:t>
      </w:r>
    </w:p>
    <w:p w14:paraId="154D8BFD" w14:textId="11F32A3F" w:rsidR="00026E66" w:rsidRDefault="002737EF" w:rsidP="00FF0098">
      <w:pPr>
        <w:tabs>
          <w:tab w:val="left" w:pos="0"/>
        </w:tabs>
        <w:ind w:right="182"/>
      </w:pPr>
      <w:r w:rsidRPr="64C766F0">
        <w:rPr>
          <w:color w:val="auto"/>
        </w:rPr>
        <w:t>Request</w:t>
      </w:r>
      <w:r w:rsidR="00055998" w:rsidRPr="64C766F0">
        <w:rPr>
          <w:color w:val="auto"/>
        </w:rPr>
        <w:t>s</w:t>
      </w:r>
      <w:r w:rsidRPr="64C766F0">
        <w:rPr>
          <w:color w:val="auto"/>
        </w:rPr>
        <w:t xml:space="preserve"> to collect the </w:t>
      </w:r>
      <w:r w:rsidR="00055998" w:rsidRPr="64C766F0">
        <w:rPr>
          <w:color w:val="auto"/>
        </w:rPr>
        <w:t>facility</w:t>
      </w:r>
      <w:r w:rsidRPr="64C766F0">
        <w:rPr>
          <w:color w:val="auto"/>
        </w:rPr>
        <w:t xml:space="preserve"> charges can be emailed</w:t>
      </w:r>
      <w:r>
        <w:t xml:space="preserve"> to </w:t>
      </w:r>
      <w:hyperlink r:id="rId47" w:history="1">
        <w:r w:rsidR="002441FE" w:rsidRPr="002441FE">
          <w:rPr>
            <w:rStyle w:val="Hyperlink"/>
          </w:rPr>
          <w:t>ccapayments@environment-agency.gov.uk</w:t>
        </w:r>
      </w:hyperlink>
      <w:r>
        <w:t xml:space="preserve"> </w:t>
      </w:r>
    </w:p>
    <w:p w14:paraId="5B001950" w14:textId="77777777" w:rsidR="00026E66" w:rsidRDefault="002737EF" w:rsidP="00FF0098">
      <w:pPr>
        <w:tabs>
          <w:tab w:val="left" w:pos="0"/>
        </w:tabs>
        <w:ind w:right="182"/>
      </w:pPr>
      <w:r>
        <w:rPr>
          <w:color w:val="auto"/>
        </w:rPr>
        <w:lastRenderedPageBreak/>
        <w:t xml:space="preserve">Once received, we will approve or reject the request and inform the sector association, explaining </w:t>
      </w:r>
      <w:r>
        <w:rPr>
          <w:color w:val="auto"/>
          <w:szCs w:val="24"/>
        </w:rPr>
        <w:t>the</w:t>
      </w:r>
      <w:r>
        <w:rPr>
          <w:color w:val="auto"/>
        </w:rPr>
        <w:t xml:space="preserve"> decision</w:t>
      </w:r>
      <w:r>
        <w:rPr>
          <w:color w:val="auto"/>
          <w:szCs w:val="24"/>
        </w:rPr>
        <w:t xml:space="preserve"> made</w:t>
      </w:r>
      <w:r>
        <w:rPr>
          <w:color w:val="auto"/>
        </w:rPr>
        <w:t xml:space="preserve">. </w:t>
      </w:r>
    </w:p>
    <w:p w14:paraId="2DD7F8F1" w14:textId="77777777" w:rsidR="00026E66" w:rsidRDefault="002737EF" w:rsidP="00FF0098">
      <w:pPr>
        <w:tabs>
          <w:tab w:val="left" w:pos="0"/>
        </w:tabs>
        <w:ind w:right="182"/>
        <w:rPr>
          <w:color w:val="auto"/>
          <w:szCs w:val="24"/>
        </w:rPr>
      </w:pPr>
      <w:r>
        <w:rPr>
          <w:color w:val="auto"/>
          <w:szCs w:val="24"/>
        </w:rPr>
        <w:t xml:space="preserve">If we allow the sector association to collect the charges, they will need to comply with the following rules. </w:t>
      </w:r>
    </w:p>
    <w:p w14:paraId="5175F816" w14:textId="77777777" w:rsidR="00026E66" w:rsidRDefault="002737EF" w:rsidP="0065356B">
      <w:pPr>
        <w:pStyle w:val="ListParagraph"/>
        <w:numPr>
          <w:ilvl w:val="0"/>
          <w:numId w:val="44"/>
        </w:numPr>
        <w:tabs>
          <w:tab w:val="left" w:pos="0"/>
        </w:tabs>
        <w:spacing w:after="76" w:line="244" w:lineRule="auto"/>
        <w:ind w:right="182"/>
      </w:pPr>
      <w:r w:rsidRPr="00E955A3">
        <w:rPr>
          <w:szCs w:val="24"/>
        </w:rPr>
        <w:t xml:space="preserve">Itemise the CCA </w:t>
      </w:r>
      <w:r w:rsidRPr="00E955A3">
        <w:t xml:space="preserve">charges separately in </w:t>
      </w:r>
      <w:r w:rsidRPr="00E955A3">
        <w:rPr>
          <w:szCs w:val="24"/>
        </w:rPr>
        <w:t>the</w:t>
      </w:r>
      <w:r w:rsidRPr="00E955A3">
        <w:t xml:space="preserve"> invoices </w:t>
      </w:r>
      <w:r w:rsidRPr="00E955A3">
        <w:rPr>
          <w:szCs w:val="24"/>
        </w:rPr>
        <w:t>issued</w:t>
      </w:r>
      <w:r w:rsidRPr="00E955A3">
        <w:t xml:space="preserve"> to </w:t>
      </w:r>
      <w:r w:rsidRPr="00E955A3">
        <w:rPr>
          <w:szCs w:val="24"/>
        </w:rPr>
        <w:t xml:space="preserve">its operators. </w:t>
      </w:r>
    </w:p>
    <w:p w14:paraId="35BB4939" w14:textId="77777777" w:rsidR="00026E66" w:rsidRDefault="002737EF" w:rsidP="0065356B">
      <w:pPr>
        <w:pStyle w:val="ListParagraph"/>
        <w:numPr>
          <w:ilvl w:val="0"/>
          <w:numId w:val="44"/>
        </w:numPr>
        <w:tabs>
          <w:tab w:val="left" w:pos="0"/>
        </w:tabs>
        <w:ind w:right="182"/>
      </w:pPr>
      <w:r w:rsidRPr="00E955A3">
        <w:rPr>
          <w:szCs w:val="24"/>
        </w:rPr>
        <w:t xml:space="preserve">Chase any payments owing from its </w:t>
      </w:r>
      <w:r>
        <w:t xml:space="preserve">operators </w:t>
      </w:r>
      <w:r w:rsidRPr="00E955A3">
        <w:rPr>
          <w:szCs w:val="24"/>
        </w:rPr>
        <w:t xml:space="preserve">up until the end of September. </w:t>
      </w:r>
    </w:p>
    <w:p w14:paraId="6CF4D264" w14:textId="4905929F" w:rsidR="00026E66" w:rsidRDefault="002737EF" w:rsidP="0065356B">
      <w:pPr>
        <w:pStyle w:val="ListParagraph"/>
        <w:numPr>
          <w:ilvl w:val="0"/>
          <w:numId w:val="44"/>
        </w:numPr>
        <w:tabs>
          <w:tab w:val="left" w:pos="0"/>
        </w:tabs>
        <w:spacing w:after="71"/>
        <w:ind w:right="182"/>
      </w:pPr>
      <w:r w:rsidRPr="00E955A3">
        <w:rPr>
          <w:szCs w:val="24"/>
        </w:rPr>
        <w:t>Collect</w:t>
      </w:r>
      <w:r>
        <w:t xml:space="preserve"> the charges </w:t>
      </w:r>
      <w:r w:rsidRPr="00E955A3">
        <w:rPr>
          <w:szCs w:val="24"/>
        </w:rPr>
        <w:t xml:space="preserve">in full and send us the </w:t>
      </w:r>
      <w:r>
        <w:t xml:space="preserve">collected </w:t>
      </w:r>
      <w:r w:rsidRPr="00E955A3">
        <w:rPr>
          <w:szCs w:val="24"/>
        </w:rPr>
        <w:t>money by direct debit</w:t>
      </w:r>
      <w:r w:rsidR="00C42218">
        <w:rPr>
          <w:szCs w:val="24"/>
        </w:rPr>
        <w:t>, CHAPS</w:t>
      </w:r>
      <w:r w:rsidRPr="00E955A3">
        <w:rPr>
          <w:szCs w:val="24"/>
        </w:rPr>
        <w:t xml:space="preserve"> or BACS</w:t>
      </w:r>
      <w:r>
        <w:t xml:space="preserve"> by the last working day </w:t>
      </w:r>
      <w:r w:rsidRPr="00E955A3">
        <w:rPr>
          <w:szCs w:val="24"/>
        </w:rPr>
        <w:t>of</w:t>
      </w:r>
      <w:r>
        <w:t xml:space="preserve"> September</w:t>
      </w:r>
      <w:r w:rsidRPr="00E955A3">
        <w:rPr>
          <w:szCs w:val="24"/>
        </w:rPr>
        <w:t xml:space="preserve"> in each year, quoting the payment reference number on the payment advice note. This number will be listed at the top of the </w:t>
      </w:r>
      <w:proofErr w:type="spellStart"/>
      <w:r w:rsidRPr="00E955A3">
        <w:rPr>
          <w:szCs w:val="24"/>
        </w:rPr>
        <w:t>MoA</w:t>
      </w:r>
      <w:proofErr w:type="spellEnd"/>
      <w:r w:rsidRPr="00E955A3">
        <w:rPr>
          <w:szCs w:val="24"/>
        </w:rPr>
        <w:t xml:space="preserve"> received by the sector association each April. Any debt collecting activity must cease at this point. </w:t>
      </w:r>
    </w:p>
    <w:p w14:paraId="0738397F" w14:textId="77777777" w:rsidR="00026E66" w:rsidRDefault="002737EF" w:rsidP="0065356B">
      <w:pPr>
        <w:pStyle w:val="ListParagraph"/>
        <w:numPr>
          <w:ilvl w:val="0"/>
          <w:numId w:val="44"/>
        </w:numPr>
        <w:tabs>
          <w:tab w:val="left" w:pos="0"/>
        </w:tabs>
        <w:spacing w:after="71"/>
        <w:ind w:right="182"/>
      </w:pPr>
      <w:r w:rsidRPr="00E955A3">
        <w:rPr>
          <w:szCs w:val="24"/>
        </w:rPr>
        <w:t xml:space="preserve">Three proportional direct debit instalments will be taken in each calendar year on 15 May (20% of total due), </w:t>
      </w:r>
      <w:r w:rsidRPr="00E955A3">
        <w:t xml:space="preserve">15 July (40% of total due) </w:t>
      </w:r>
      <w:r w:rsidRPr="00E955A3">
        <w:rPr>
          <w:szCs w:val="24"/>
        </w:rPr>
        <w:t>and 15 September (40% of total due).</w:t>
      </w:r>
      <w:r w:rsidRPr="00E955A3">
        <w:t xml:space="preserve"> Payments other than by direct debit become due in full in April in each calendar year following the issue of the </w:t>
      </w:r>
      <w:proofErr w:type="spellStart"/>
      <w:r w:rsidRPr="00E955A3">
        <w:t>MoA</w:t>
      </w:r>
      <w:proofErr w:type="spellEnd"/>
      <w:r w:rsidRPr="00E955A3">
        <w:t xml:space="preserve">. </w:t>
      </w:r>
    </w:p>
    <w:p w14:paraId="130277A9" w14:textId="77777777" w:rsidR="00026E66" w:rsidRPr="00E955A3" w:rsidRDefault="002737EF" w:rsidP="0065356B">
      <w:pPr>
        <w:pStyle w:val="ListParagraph"/>
        <w:numPr>
          <w:ilvl w:val="0"/>
          <w:numId w:val="44"/>
        </w:numPr>
        <w:tabs>
          <w:tab w:val="left" w:pos="0"/>
        </w:tabs>
        <w:spacing w:after="71" w:line="244" w:lineRule="auto"/>
        <w:ind w:right="182"/>
        <w:rPr>
          <w:szCs w:val="24"/>
        </w:rPr>
      </w:pPr>
      <w:r w:rsidRPr="00E955A3">
        <w:rPr>
          <w:szCs w:val="24"/>
        </w:rPr>
        <w:t xml:space="preserve">The final direct debit payment value due on 15 September may be altered by the sector association if it is unable to recover the full costs for its sector. You must notify us by the last working day in August if you wish to alter the direct debit payment value. </w:t>
      </w:r>
    </w:p>
    <w:p w14:paraId="60B53C8C" w14:textId="6F8615D0" w:rsidR="00026E66" w:rsidRDefault="002737EF" w:rsidP="0065356B">
      <w:pPr>
        <w:pStyle w:val="ListParagraph"/>
        <w:numPr>
          <w:ilvl w:val="0"/>
          <w:numId w:val="44"/>
        </w:numPr>
        <w:tabs>
          <w:tab w:val="left" w:pos="0"/>
        </w:tabs>
        <w:ind w:right="182"/>
      </w:pPr>
      <w:r w:rsidRPr="00E955A3">
        <w:rPr>
          <w:szCs w:val="24"/>
        </w:rPr>
        <w:t>Send us</w:t>
      </w:r>
      <w:r>
        <w:t xml:space="preserve"> an annual report by the last working day in October in the same year</w:t>
      </w:r>
      <w:r w:rsidRPr="00E955A3">
        <w:rPr>
          <w:szCs w:val="24"/>
        </w:rPr>
        <w:t>. This report should state</w:t>
      </w:r>
      <w:r>
        <w:t xml:space="preserve"> which operators have paid or not paid</w:t>
      </w:r>
      <w:r w:rsidRPr="00E955A3">
        <w:rPr>
          <w:szCs w:val="24"/>
        </w:rPr>
        <w:t xml:space="preserve">. </w:t>
      </w:r>
    </w:p>
    <w:p w14:paraId="23E0C2DE" w14:textId="053A4A5F" w:rsidR="00026E66" w:rsidRDefault="002737EF" w:rsidP="00FF0098">
      <w:pPr>
        <w:tabs>
          <w:tab w:val="left" w:pos="0"/>
        </w:tabs>
        <w:ind w:right="182"/>
      </w:pPr>
      <w:r>
        <w:rPr>
          <w:color w:val="auto"/>
        </w:rPr>
        <w:t xml:space="preserve">If </w:t>
      </w:r>
      <w:r>
        <w:rPr>
          <w:color w:val="auto"/>
          <w:szCs w:val="24"/>
        </w:rPr>
        <w:t>any payments are received by the</w:t>
      </w:r>
      <w:r>
        <w:rPr>
          <w:color w:val="auto"/>
        </w:rPr>
        <w:t xml:space="preserve"> sector association from operators after the last working day in September, these should be sent to us quoting the </w:t>
      </w:r>
      <w:r w:rsidR="00055998">
        <w:rPr>
          <w:color w:val="auto"/>
        </w:rPr>
        <w:t>agreement</w:t>
      </w:r>
      <w:r>
        <w:rPr>
          <w:color w:val="auto"/>
        </w:rPr>
        <w:t xml:space="preserve"> </w:t>
      </w:r>
      <w:r>
        <w:rPr>
          <w:color w:val="auto"/>
          <w:szCs w:val="24"/>
        </w:rPr>
        <w:t xml:space="preserve">identification number quoted on the sector association's original </w:t>
      </w:r>
      <w:proofErr w:type="spellStart"/>
      <w:r>
        <w:rPr>
          <w:color w:val="auto"/>
          <w:szCs w:val="24"/>
        </w:rPr>
        <w:t>MoA</w:t>
      </w:r>
      <w:proofErr w:type="spellEnd"/>
      <w:r>
        <w:rPr>
          <w:color w:val="auto"/>
          <w:szCs w:val="24"/>
        </w:rPr>
        <w:t xml:space="preserve">. This information will </w:t>
      </w:r>
      <w:r>
        <w:rPr>
          <w:color w:val="auto"/>
        </w:rPr>
        <w:t xml:space="preserve">allow us to </w:t>
      </w:r>
      <w:r>
        <w:rPr>
          <w:color w:val="auto"/>
          <w:szCs w:val="24"/>
        </w:rPr>
        <w:t>identify the operator making</w:t>
      </w:r>
      <w:r>
        <w:rPr>
          <w:color w:val="auto"/>
        </w:rPr>
        <w:t xml:space="preserve"> the payment.</w:t>
      </w:r>
      <w:r>
        <w:rPr>
          <w:color w:val="auto"/>
          <w:szCs w:val="24"/>
        </w:rPr>
        <w:t xml:space="preserve"> </w:t>
      </w:r>
    </w:p>
    <w:p w14:paraId="29D07E90" w14:textId="3306E60B" w:rsidR="00026E66" w:rsidRPr="00581CC8" w:rsidRDefault="002737EF" w:rsidP="00581CC8">
      <w:pPr>
        <w:tabs>
          <w:tab w:val="left" w:pos="0"/>
        </w:tabs>
        <w:spacing w:after="0"/>
        <w:ind w:right="182"/>
      </w:pPr>
      <w:r>
        <w:rPr>
          <w:color w:val="auto"/>
        </w:rPr>
        <w:t xml:space="preserve">If a sector association fails to comply with these rules, we may withdraw our consent for it to </w:t>
      </w:r>
      <w:r>
        <w:rPr>
          <w:color w:val="auto"/>
          <w:szCs w:val="24"/>
        </w:rPr>
        <w:t xml:space="preserve">continue to </w:t>
      </w:r>
      <w:r>
        <w:rPr>
          <w:color w:val="auto"/>
        </w:rPr>
        <w:t xml:space="preserve">collect charges on our behalf. We will give 20 working days' notice of this. </w:t>
      </w:r>
    </w:p>
    <w:p w14:paraId="51BF3199" w14:textId="550E443F" w:rsidR="00026E66" w:rsidRPr="00581CC8" w:rsidRDefault="002737EF" w:rsidP="00581CC8">
      <w:pPr>
        <w:pStyle w:val="Heading2"/>
        <w:tabs>
          <w:tab w:val="left" w:pos="0"/>
        </w:tabs>
      </w:pPr>
      <w:bookmarkStart w:id="94" w:name="_Toc94718645"/>
      <w:bookmarkStart w:id="95" w:name="_Toc94088893"/>
      <w:bookmarkStart w:id="96" w:name="_Toc242885373"/>
      <w:r>
        <w:t>5.3. What action will we take if charges are not paid?</w:t>
      </w:r>
      <w:bookmarkEnd w:id="94"/>
      <w:bookmarkEnd w:id="95"/>
      <w:bookmarkEnd w:id="96"/>
      <w:r>
        <w:t xml:space="preserve"> </w:t>
      </w:r>
    </w:p>
    <w:p w14:paraId="2EDE983E" w14:textId="6DDA06D2" w:rsidR="00581CC8" w:rsidRDefault="002737EF" w:rsidP="00FF0098">
      <w:pPr>
        <w:tabs>
          <w:tab w:val="left" w:pos="0"/>
        </w:tabs>
        <w:ind w:right="182"/>
        <w:rPr>
          <w:color w:val="auto"/>
          <w:szCs w:val="24"/>
        </w:rPr>
      </w:pPr>
      <w:r>
        <w:rPr>
          <w:color w:val="auto"/>
        </w:rPr>
        <w:t xml:space="preserve">If we haven't received payment of the charges from the sector association or operator by the due date, we will contact the sector association or operator to find out why. </w:t>
      </w:r>
      <w:r>
        <w:rPr>
          <w:color w:val="auto"/>
          <w:szCs w:val="24"/>
        </w:rPr>
        <w:t xml:space="preserve">If we're unable to resolve the problem, the outstanding amount may be treated as a civil </w:t>
      </w:r>
      <w:proofErr w:type="gramStart"/>
      <w:r>
        <w:rPr>
          <w:color w:val="auto"/>
          <w:szCs w:val="24"/>
        </w:rPr>
        <w:t>debt</w:t>
      </w:r>
      <w:proofErr w:type="gramEnd"/>
      <w:r>
        <w:rPr>
          <w:color w:val="auto"/>
          <w:szCs w:val="24"/>
        </w:rPr>
        <w:t xml:space="preserve"> and we may commence debt recovery. If we </w:t>
      </w:r>
      <w:r w:rsidR="007A34BE">
        <w:rPr>
          <w:color w:val="auto"/>
          <w:szCs w:val="24"/>
        </w:rPr>
        <w:t>can’t</w:t>
      </w:r>
      <w:r>
        <w:rPr>
          <w:color w:val="auto"/>
          <w:szCs w:val="24"/>
        </w:rPr>
        <w:t xml:space="preserve"> recover the charges by the end of the calendar year, we will consider terminating the agreement as well as continuing to recover the debt. </w:t>
      </w:r>
    </w:p>
    <w:p w14:paraId="42A16CF0" w14:textId="77777777" w:rsidR="00581CC8" w:rsidRDefault="00581CC8">
      <w:pPr>
        <w:suppressAutoHyphens w:val="0"/>
        <w:spacing w:before="0" w:beforeAutospacing="0" w:after="160" w:afterAutospacing="0" w:line="256" w:lineRule="auto"/>
        <w:rPr>
          <w:color w:val="auto"/>
          <w:szCs w:val="24"/>
        </w:rPr>
      </w:pPr>
      <w:r>
        <w:rPr>
          <w:color w:val="auto"/>
          <w:szCs w:val="24"/>
        </w:rPr>
        <w:br w:type="page"/>
      </w:r>
    </w:p>
    <w:p w14:paraId="2C835E50" w14:textId="77777777" w:rsidR="00026E66" w:rsidRDefault="002737EF" w:rsidP="00FF0098">
      <w:pPr>
        <w:pStyle w:val="Heading1"/>
        <w:tabs>
          <w:tab w:val="left" w:pos="0"/>
        </w:tabs>
      </w:pPr>
      <w:bookmarkStart w:id="97" w:name="_6._Application_process"/>
      <w:bookmarkStart w:id="98" w:name="_Toc94718646"/>
      <w:bookmarkStart w:id="99" w:name="_Toc94088894"/>
      <w:bookmarkStart w:id="100" w:name="_Toc242885374"/>
      <w:bookmarkEnd w:id="97"/>
      <w:r>
        <w:lastRenderedPageBreak/>
        <w:t>6. Application process</w:t>
      </w:r>
      <w:bookmarkEnd w:id="98"/>
      <w:bookmarkEnd w:id="99"/>
      <w:bookmarkEnd w:id="100"/>
      <w:r>
        <w:t xml:space="preserve"> </w:t>
      </w:r>
    </w:p>
    <w:p w14:paraId="46C5EA18" w14:textId="4F9DA251" w:rsidR="00026E66" w:rsidRDefault="002737EF" w:rsidP="00FF0098">
      <w:pPr>
        <w:tabs>
          <w:tab w:val="left" w:pos="0"/>
        </w:tabs>
      </w:pPr>
      <w:hyperlink w:anchor="_2._Getting_started" w:history="1">
        <w:r w:rsidRPr="004821A6">
          <w:rPr>
            <w:rStyle w:val="Hyperlink"/>
          </w:rPr>
          <w:t>Sections 2</w:t>
        </w:r>
      </w:hyperlink>
      <w:r>
        <w:t xml:space="preserve"> to </w:t>
      </w:r>
      <w:hyperlink w:anchor="_5._Annual_charges" w:history="1">
        <w:r w:rsidRPr="004821A6">
          <w:rPr>
            <w:rStyle w:val="Hyperlink"/>
          </w:rPr>
          <w:t>5</w:t>
        </w:r>
      </w:hyperlink>
      <w:r>
        <w:t xml:space="preserve"> explain </w:t>
      </w:r>
      <w:r w:rsidR="00B00C6B">
        <w:t>the requirements for</w:t>
      </w:r>
      <w:r>
        <w:t xml:space="preserve"> apply</w:t>
      </w:r>
      <w:r w:rsidR="00B00C6B">
        <w:t>ing</w:t>
      </w:r>
      <w:r>
        <w:t xml:space="preserve"> for a CCA. This section outlines the procedure</w:t>
      </w:r>
      <w:r w:rsidR="00511CF8">
        <w:t xml:space="preserve"> that</w:t>
      </w:r>
      <w:r>
        <w:t xml:space="preserve"> operators and their sector association need to follow when applying for a </w:t>
      </w:r>
      <w:r w:rsidR="00511CF8">
        <w:t>C</w:t>
      </w:r>
      <w:r>
        <w:t xml:space="preserve">limate </w:t>
      </w:r>
      <w:r w:rsidR="00511CF8">
        <w:t>C</w:t>
      </w:r>
      <w:r>
        <w:t xml:space="preserve">hange </w:t>
      </w:r>
      <w:r w:rsidR="00511CF8">
        <w:t>A</w:t>
      </w:r>
      <w:r>
        <w:t xml:space="preserve">greement and </w:t>
      </w:r>
      <w:r w:rsidR="00481896">
        <w:t>providing assent</w:t>
      </w:r>
      <w:r w:rsidR="009422D5">
        <w:t xml:space="preserve"> to</w:t>
      </w:r>
      <w:r>
        <w:t xml:space="preserve"> the agreement. </w:t>
      </w:r>
    </w:p>
    <w:p w14:paraId="31B27C0D" w14:textId="77777777" w:rsidR="00026E66" w:rsidRDefault="002737EF" w:rsidP="00FF0098">
      <w:pPr>
        <w:pStyle w:val="Heading2"/>
        <w:tabs>
          <w:tab w:val="left" w:pos="0"/>
        </w:tabs>
      </w:pPr>
      <w:bookmarkStart w:id="101" w:name="_Toc94718647"/>
      <w:bookmarkStart w:id="102" w:name="_Toc94088895"/>
      <w:bookmarkStart w:id="103" w:name="_Toc242885375"/>
      <w:r>
        <w:t>6.1. What should operators do next?</w:t>
      </w:r>
      <w:bookmarkEnd w:id="101"/>
      <w:bookmarkEnd w:id="102"/>
      <w:bookmarkEnd w:id="103"/>
      <w:r>
        <w:t xml:space="preserve"> </w:t>
      </w:r>
    </w:p>
    <w:p w14:paraId="274DD6B1" w14:textId="1A4C2E05" w:rsidR="00026E66" w:rsidRDefault="002737EF" w:rsidP="00FF0098">
      <w:pPr>
        <w:tabs>
          <w:tab w:val="left" w:pos="0"/>
        </w:tabs>
      </w:pPr>
      <w:r>
        <w:t>After reviewing sections 2 to 5 and collating the necessary evidence to support a new application, the next step is for the operator to provide their sector association with the necessary information so the application can be submitted on their behalf.</w:t>
      </w:r>
      <w:r w:rsidR="007B1C27">
        <w:t xml:space="preserve"> </w:t>
      </w:r>
      <w:r w:rsidR="00511CF8">
        <w:t>Operators</w:t>
      </w:r>
      <w:r w:rsidR="007B1C27">
        <w:t xml:space="preserve"> </w:t>
      </w:r>
      <w:r w:rsidR="00511CF8">
        <w:t>cannot apply</w:t>
      </w:r>
      <w:r w:rsidR="00D522E1">
        <w:t xml:space="preserve"> </w:t>
      </w:r>
      <w:r>
        <w:t xml:space="preserve">directly for an </w:t>
      </w:r>
      <w:hyperlink w:anchor="Underlyingagreement" w:history="1">
        <w:r w:rsidRPr="0017611F">
          <w:rPr>
            <w:rStyle w:val="Hyperlink"/>
          </w:rPr>
          <w:t>underlying agreement</w:t>
        </w:r>
      </w:hyperlink>
      <w:r>
        <w:t xml:space="preserve"> through </w:t>
      </w:r>
      <w:proofErr w:type="spellStart"/>
      <w:r w:rsidR="008C2957">
        <w:t>MyCCA</w:t>
      </w:r>
      <w:proofErr w:type="spellEnd"/>
      <w:r>
        <w:t>.</w:t>
      </w:r>
    </w:p>
    <w:p w14:paraId="70320137" w14:textId="151AD84B" w:rsidR="00026E66" w:rsidRDefault="002737EF" w:rsidP="00FF0098">
      <w:pPr>
        <w:tabs>
          <w:tab w:val="left" w:pos="0"/>
        </w:tabs>
      </w:pPr>
      <w:r>
        <w:t xml:space="preserve">The sector association will check the operator’s information and undertake the initial eligibility checks before entering the application </w:t>
      </w:r>
      <w:r w:rsidR="00682BF5">
        <w:t xml:space="preserve">on </w:t>
      </w:r>
      <w:proofErr w:type="spellStart"/>
      <w:r w:rsidR="00682BF5">
        <w:t>MyCCA</w:t>
      </w:r>
      <w:proofErr w:type="spellEnd"/>
      <w:r>
        <w:t>.</w:t>
      </w:r>
    </w:p>
    <w:p w14:paraId="49658EAB" w14:textId="77777777" w:rsidR="00026E66" w:rsidRDefault="002737EF" w:rsidP="00FF0098">
      <w:pPr>
        <w:tabs>
          <w:tab w:val="left" w:pos="0"/>
        </w:tabs>
      </w:pPr>
      <w:r>
        <w:t xml:space="preserve">We will assess the evidence submitted to determine whether a facility is eligible to be included in an agreement. Following our determination, we will send the operator an email providing a proposed copy of their agreement and ask them to provide their assent. This assent will legally bind them to the agreement. </w:t>
      </w:r>
    </w:p>
    <w:p w14:paraId="3D4F0409" w14:textId="52DCAB92" w:rsidR="00026E66" w:rsidRPr="00827932" w:rsidRDefault="002737EF" w:rsidP="00827932">
      <w:pPr>
        <w:tabs>
          <w:tab w:val="left" w:pos="0"/>
        </w:tabs>
      </w:pPr>
      <w:r>
        <w:t xml:space="preserve">Once we have received the operator’s assent, we will issue the approved agreement to the operator and add the facilities included in the </w:t>
      </w:r>
      <w:r w:rsidR="00D03B24">
        <w:t>agreement</w:t>
      </w:r>
      <w:r>
        <w:t xml:space="preserve"> to the reduced rate certificate.</w:t>
      </w:r>
      <w:r w:rsidR="00FC355D">
        <w:t xml:space="preserve"> </w:t>
      </w:r>
      <w:r>
        <w:t>At this point</w:t>
      </w:r>
      <w:r w:rsidR="00481896">
        <w:t>,</w:t>
      </w:r>
      <w:r>
        <w:t xml:space="preserve"> the operator will be able to receive the </w:t>
      </w:r>
      <w:hyperlink w:anchor="CCL" w:history="1">
        <w:r w:rsidRPr="004229BC">
          <w:rPr>
            <w:rStyle w:val="Hyperlink"/>
          </w:rPr>
          <w:t>CCL</w:t>
        </w:r>
      </w:hyperlink>
      <w:r>
        <w:t xml:space="preserve"> discount from their energy suppliers. </w:t>
      </w:r>
    </w:p>
    <w:p w14:paraId="2C2D6ED8" w14:textId="2163753E" w:rsidR="00771B6F" w:rsidRDefault="002737EF" w:rsidP="00827932">
      <w:pPr>
        <w:pStyle w:val="Heading3"/>
        <w:tabs>
          <w:tab w:val="left" w:pos="0"/>
        </w:tabs>
      </w:pPr>
      <w:r>
        <w:t xml:space="preserve">6.1.1. Evidence required for submission to the register during application </w:t>
      </w:r>
    </w:p>
    <w:p w14:paraId="79F8AE52" w14:textId="79E7AF82" w:rsidR="00577C7A" w:rsidRDefault="00577C7A" w:rsidP="00D842AF">
      <w:r>
        <w:t xml:space="preserve">This section outlines the information that is required </w:t>
      </w:r>
      <w:r w:rsidR="00E032A3">
        <w:t xml:space="preserve">to be provided to us as part of an application for an agreement. Delays in providing any of the information, or if any information is </w:t>
      </w:r>
      <w:r w:rsidR="00334D43">
        <w:t xml:space="preserve">unclear or requires further investigation could lead to delays in </w:t>
      </w:r>
      <w:r w:rsidR="00D842AF">
        <w:t>agreements being issued.</w:t>
      </w:r>
    </w:p>
    <w:p w14:paraId="0F7D0A83" w14:textId="607EC281" w:rsidR="005C6590" w:rsidRPr="00827932" w:rsidRDefault="005C6590" w:rsidP="005C6590">
      <w:pPr>
        <w:pStyle w:val="Heading4"/>
      </w:pPr>
      <w:r>
        <w:t xml:space="preserve">Operator Details </w:t>
      </w:r>
    </w:p>
    <w:p w14:paraId="51DC43F3" w14:textId="19B49D58" w:rsidR="00B9713F" w:rsidRPr="00C455A9" w:rsidRDefault="00260837" w:rsidP="00B9713F">
      <w:r w:rsidRPr="00C455A9">
        <w:t xml:space="preserve">The following information must be provided </w:t>
      </w:r>
      <w:r w:rsidR="008678E0" w:rsidRPr="00C455A9">
        <w:t xml:space="preserve">to set up an agreement on the register: </w:t>
      </w:r>
    </w:p>
    <w:p w14:paraId="1848735B" w14:textId="41FA0862" w:rsidR="008678E0" w:rsidRPr="005C6590" w:rsidRDefault="00C819A8" w:rsidP="1BC69299">
      <w:pPr>
        <w:pStyle w:val="ListParagraph"/>
        <w:numPr>
          <w:ilvl w:val="0"/>
          <w:numId w:val="184"/>
        </w:numPr>
        <w:rPr>
          <w:rFonts w:eastAsia="Arial" w:cs="Arial"/>
          <w:szCs w:val="24"/>
        </w:rPr>
      </w:pPr>
      <w:r w:rsidRPr="1BC69299">
        <w:rPr>
          <w:rFonts w:eastAsia="Arial" w:cs="Arial"/>
          <w:szCs w:val="24"/>
        </w:rPr>
        <w:t>Operator Name</w:t>
      </w:r>
    </w:p>
    <w:p w14:paraId="452A6531" w14:textId="36FFCF2C" w:rsidR="008678E0" w:rsidRPr="005C6590" w:rsidRDefault="008678E0" w:rsidP="00C455A9">
      <w:pPr>
        <w:pStyle w:val="ListParagraph"/>
        <w:numPr>
          <w:ilvl w:val="0"/>
          <w:numId w:val="184"/>
        </w:numPr>
      </w:pPr>
      <w:r w:rsidRPr="005C6590">
        <w:t xml:space="preserve">Companies House number for the </w:t>
      </w:r>
      <w:r w:rsidR="00236772" w:rsidRPr="005C6590">
        <w:t>operator of the facility</w:t>
      </w:r>
    </w:p>
    <w:p w14:paraId="60E95C4F" w14:textId="5D42CAF0" w:rsidR="1952A4C8" w:rsidRDefault="1952A4C8" w:rsidP="6CE684B9">
      <w:pPr>
        <w:pStyle w:val="ListParagraph"/>
        <w:numPr>
          <w:ilvl w:val="0"/>
          <w:numId w:val="184"/>
        </w:numPr>
        <w:rPr>
          <w:rFonts w:eastAsia="Arial" w:cs="Arial"/>
          <w:szCs w:val="24"/>
        </w:rPr>
      </w:pPr>
      <w:r w:rsidRPr="6CE684B9">
        <w:rPr>
          <w:rFonts w:eastAsia="Arial" w:cs="Arial"/>
          <w:szCs w:val="24"/>
        </w:rPr>
        <w:t>Operator Address</w:t>
      </w:r>
    </w:p>
    <w:p w14:paraId="1BC20948" w14:textId="255857BA" w:rsidR="1952A4C8" w:rsidRDefault="1952A4C8" w:rsidP="00976D51">
      <w:pPr>
        <w:pStyle w:val="ListParagraph"/>
        <w:numPr>
          <w:ilvl w:val="0"/>
          <w:numId w:val="184"/>
        </w:numPr>
        <w:spacing w:before="0" w:beforeAutospacing="0" w:after="0" w:afterAutospacing="0"/>
        <w:rPr>
          <w:szCs w:val="24"/>
        </w:rPr>
      </w:pPr>
      <w:r w:rsidRPr="6CE684B9">
        <w:rPr>
          <w:rFonts w:eastAsia="Arial" w:cs="Arial"/>
          <w:szCs w:val="24"/>
        </w:rPr>
        <w:t xml:space="preserve">Standard </w:t>
      </w:r>
      <w:r w:rsidR="00201B31">
        <w:rPr>
          <w:rFonts w:eastAsia="Arial" w:cs="Arial"/>
          <w:szCs w:val="24"/>
        </w:rPr>
        <w:t>I</w:t>
      </w:r>
      <w:r w:rsidRPr="6CE684B9">
        <w:rPr>
          <w:rFonts w:eastAsia="Arial" w:cs="Arial"/>
          <w:szCs w:val="24"/>
        </w:rPr>
        <w:t xml:space="preserve">ndustrial </w:t>
      </w:r>
      <w:r w:rsidR="00201B31">
        <w:rPr>
          <w:rFonts w:eastAsia="Arial" w:cs="Arial"/>
          <w:szCs w:val="24"/>
        </w:rPr>
        <w:t>C</w:t>
      </w:r>
      <w:r w:rsidRPr="6CE684B9">
        <w:rPr>
          <w:rFonts w:eastAsia="Arial" w:cs="Arial"/>
          <w:szCs w:val="24"/>
        </w:rPr>
        <w:t>lassification (SIC) codes</w:t>
      </w:r>
    </w:p>
    <w:p w14:paraId="6B6D9246" w14:textId="43895A64" w:rsidR="4F5FFCBC" w:rsidRDefault="1952A4C8" w:rsidP="4F5FFCBC">
      <w:pPr>
        <w:pStyle w:val="ListParagraph"/>
        <w:numPr>
          <w:ilvl w:val="0"/>
          <w:numId w:val="184"/>
        </w:numPr>
        <w:rPr>
          <w:rFonts w:eastAsia="Arial" w:cs="Arial"/>
          <w:color w:val="000000" w:themeColor="text1"/>
        </w:rPr>
      </w:pPr>
      <w:r w:rsidRPr="4F5FFCBC">
        <w:rPr>
          <w:rFonts w:eastAsia="Arial" w:cs="Arial"/>
          <w:color w:val="000000" w:themeColor="text1"/>
        </w:rPr>
        <w:t>Responsible person and administrative contact details</w:t>
      </w:r>
    </w:p>
    <w:p w14:paraId="4961E224" w14:textId="1226C906" w:rsidR="1655CF48" w:rsidRDefault="1655CF48" w:rsidP="00976D51">
      <w:pPr>
        <w:pStyle w:val="Heading4"/>
        <w:rPr>
          <w:bCs/>
          <w:color w:val="000000" w:themeColor="text1"/>
          <w:szCs w:val="26"/>
        </w:rPr>
      </w:pPr>
      <w:r w:rsidRPr="3A2E8875">
        <w:rPr>
          <w:bCs/>
          <w:color w:val="000000" w:themeColor="text1"/>
          <w:szCs w:val="26"/>
        </w:rPr>
        <w:lastRenderedPageBreak/>
        <w:t>Facility details</w:t>
      </w:r>
    </w:p>
    <w:p w14:paraId="22FD0760" w14:textId="3A432568" w:rsidR="1655CF48" w:rsidRDefault="1655CF48" w:rsidP="00976D51">
      <w:pPr>
        <w:pStyle w:val="ListParagraph"/>
        <w:numPr>
          <w:ilvl w:val="0"/>
          <w:numId w:val="208"/>
        </w:numPr>
        <w:spacing w:before="0" w:beforeAutospacing="0" w:after="0" w:afterAutospacing="0"/>
        <w:rPr>
          <w:szCs w:val="24"/>
        </w:rPr>
      </w:pPr>
      <w:r w:rsidRPr="3A2E8875">
        <w:rPr>
          <w:rFonts w:eastAsia="Arial" w:cs="Arial"/>
          <w:szCs w:val="24"/>
        </w:rPr>
        <w:t>Site name</w:t>
      </w:r>
    </w:p>
    <w:p w14:paraId="59E7C5AD" w14:textId="4730AEFF" w:rsidR="1655CF48" w:rsidRDefault="1655CF48" w:rsidP="00976D51">
      <w:pPr>
        <w:pStyle w:val="ListParagraph"/>
        <w:numPr>
          <w:ilvl w:val="0"/>
          <w:numId w:val="208"/>
        </w:numPr>
        <w:spacing w:before="0" w:beforeAutospacing="0" w:after="0" w:afterAutospacing="0"/>
        <w:rPr>
          <w:szCs w:val="24"/>
        </w:rPr>
      </w:pPr>
      <w:r w:rsidRPr="3A2E8875">
        <w:rPr>
          <w:rFonts w:eastAsia="Arial" w:cs="Arial"/>
          <w:szCs w:val="24"/>
        </w:rPr>
        <w:t>Facility address</w:t>
      </w:r>
    </w:p>
    <w:p w14:paraId="0F5BE3B7" w14:textId="606DBFB2" w:rsidR="1655CF48" w:rsidRDefault="1655CF48" w:rsidP="00976D51">
      <w:pPr>
        <w:pStyle w:val="ListParagraph"/>
        <w:numPr>
          <w:ilvl w:val="0"/>
          <w:numId w:val="208"/>
        </w:numPr>
        <w:spacing w:before="0" w:beforeAutospacing="0" w:after="0" w:afterAutospacing="0"/>
      </w:pPr>
      <w:r w:rsidRPr="605A0D1B">
        <w:rPr>
          <w:rFonts w:eastAsia="Arial" w:cs="Arial"/>
        </w:rPr>
        <w:t xml:space="preserve">UK ETS </w:t>
      </w:r>
      <w:r w:rsidR="5C6D0FB2" w:rsidRPr="3D7B308E">
        <w:rPr>
          <w:rFonts w:eastAsia="Arial" w:cs="Arial"/>
        </w:rPr>
        <w:t>i</w:t>
      </w:r>
      <w:r w:rsidRPr="3D7B308E">
        <w:rPr>
          <w:rFonts w:eastAsia="Arial" w:cs="Arial"/>
        </w:rPr>
        <w:t xml:space="preserve">nstallation </w:t>
      </w:r>
      <w:r w:rsidR="4A96971F" w:rsidRPr="3D7B308E">
        <w:rPr>
          <w:rFonts w:eastAsia="Arial" w:cs="Arial"/>
        </w:rPr>
        <w:t>i</w:t>
      </w:r>
      <w:r w:rsidRPr="3D7B308E">
        <w:rPr>
          <w:rFonts w:eastAsia="Arial" w:cs="Arial"/>
        </w:rPr>
        <w:t>dentifier</w:t>
      </w:r>
      <w:r w:rsidRPr="605A0D1B">
        <w:rPr>
          <w:rFonts w:eastAsia="Arial" w:cs="Arial"/>
        </w:rPr>
        <w:t xml:space="preserve"> (if applicable)</w:t>
      </w:r>
    </w:p>
    <w:p w14:paraId="3EEA544E" w14:textId="2D3CD4F2" w:rsidR="6900AE55" w:rsidRDefault="1655CF48" w:rsidP="00976D51">
      <w:pPr>
        <w:pStyle w:val="ListParagraph"/>
        <w:numPr>
          <w:ilvl w:val="0"/>
          <w:numId w:val="208"/>
        </w:numPr>
        <w:spacing w:before="0" w:beforeAutospacing="0" w:after="0" w:afterAutospacing="0"/>
      </w:pPr>
      <w:r w:rsidRPr="605A0D1B">
        <w:rPr>
          <w:rFonts w:eastAsia="Arial" w:cs="Arial"/>
        </w:rPr>
        <w:t xml:space="preserve">Facility </w:t>
      </w:r>
      <w:proofErr w:type="gramStart"/>
      <w:r w:rsidRPr="605A0D1B">
        <w:rPr>
          <w:rFonts w:eastAsia="Arial" w:cs="Arial"/>
        </w:rPr>
        <w:t>contact</w:t>
      </w:r>
      <w:proofErr w:type="gramEnd"/>
      <w:r w:rsidRPr="605A0D1B">
        <w:rPr>
          <w:rFonts w:eastAsia="Arial" w:cs="Arial"/>
        </w:rPr>
        <w:t xml:space="preserve"> details</w:t>
      </w:r>
    </w:p>
    <w:p w14:paraId="362C07D6" w14:textId="20BF176F" w:rsidR="605A0D1B" w:rsidRDefault="605A0D1B" w:rsidP="00C60391">
      <w:pPr>
        <w:pStyle w:val="ListParagraph"/>
        <w:spacing w:before="0" w:beforeAutospacing="0" w:after="0" w:afterAutospacing="0"/>
        <w:ind w:left="720"/>
        <w:rPr>
          <w:color w:val="000000" w:themeColor="text1"/>
        </w:rPr>
      </w:pPr>
    </w:p>
    <w:p w14:paraId="1C9F7E25" w14:textId="37755AE9" w:rsidR="00026E66" w:rsidRPr="00827932" w:rsidRDefault="002737EF" w:rsidP="00827932">
      <w:pPr>
        <w:pStyle w:val="Heading4"/>
      </w:pPr>
      <w:r w:rsidRPr="00827932">
        <w:t xml:space="preserve">Facility eligibility information </w:t>
      </w:r>
    </w:p>
    <w:p w14:paraId="79571B09" w14:textId="138C544E" w:rsidR="00026E66" w:rsidRDefault="21124423" w:rsidP="00D2184A">
      <w:pPr>
        <w:tabs>
          <w:tab w:val="left" w:pos="0"/>
        </w:tabs>
        <w:spacing w:before="240" w:beforeAutospacing="0" w:after="240" w:afterAutospacing="0" w:line="233" w:lineRule="auto"/>
        <w:ind w:right="132"/>
        <w:jc w:val="both"/>
        <w:rPr>
          <w:color w:val="000000" w:themeColor="text1"/>
          <w:szCs w:val="24"/>
        </w:rPr>
      </w:pPr>
      <w:r w:rsidRPr="41BA225A">
        <w:rPr>
          <w:color w:val="000000" w:themeColor="text1"/>
          <w:szCs w:val="24"/>
        </w:rPr>
        <w:t xml:space="preserve">A detailed description of the process from start to finish must be provided. This must identify the </w:t>
      </w:r>
      <w:hyperlink w:anchor="Eligibleprocess" w:history="1">
        <w:r w:rsidRPr="00BA678A">
          <w:rPr>
            <w:rStyle w:val="Hyperlink"/>
            <w:szCs w:val="24"/>
          </w:rPr>
          <w:t>eligible activities</w:t>
        </w:r>
      </w:hyperlink>
      <w:r w:rsidR="00D2184A">
        <w:rPr>
          <w:color w:val="000000" w:themeColor="text1"/>
          <w:szCs w:val="24"/>
        </w:rPr>
        <w:t xml:space="preserve"> at the facility</w:t>
      </w:r>
      <w:r w:rsidRPr="41BA225A">
        <w:rPr>
          <w:color w:val="000000" w:themeColor="text1"/>
          <w:szCs w:val="24"/>
        </w:rPr>
        <w:t xml:space="preserve"> and explain which activity makes them eligible under the sector’s CCA eligibility criteria (see </w:t>
      </w:r>
      <w:hyperlink w:anchor="_Appendix_A:_Eligible_1" w:history="1">
        <w:r w:rsidRPr="00BA678A">
          <w:rPr>
            <w:rStyle w:val="Hyperlink"/>
            <w:szCs w:val="24"/>
          </w:rPr>
          <w:t>Appendix A</w:t>
        </w:r>
      </w:hyperlink>
      <w:r w:rsidRPr="41BA225A">
        <w:rPr>
          <w:color w:val="000000" w:themeColor="text1"/>
          <w:szCs w:val="24"/>
        </w:rPr>
        <w:t>).</w:t>
      </w:r>
    </w:p>
    <w:p w14:paraId="3ADD1A8D" w14:textId="79F6D830" w:rsidR="00026E66" w:rsidRDefault="003360F9" w:rsidP="00D2184A">
      <w:pPr>
        <w:tabs>
          <w:tab w:val="left" w:pos="0"/>
        </w:tabs>
        <w:spacing w:before="240" w:beforeAutospacing="0" w:after="240" w:afterAutospacing="0" w:line="233" w:lineRule="auto"/>
        <w:ind w:right="132"/>
        <w:jc w:val="both"/>
        <w:rPr>
          <w:color w:val="000000" w:themeColor="text1"/>
          <w:szCs w:val="24"/>
        </w:rPr>
      </w:pPr>
      <w:r>
        <w:rPr>
          <w:color w:val="000000" w:themeColor="text1"/>
          <w:szCs w:val="24"/>
        </w:rPr>
        <w:t>A</w:t>
      </w:r>
      <w:r w:rsidRPr="48CD8F25">
        <w:rPr>
          <w:color w:val="000000" w:themeColor="text1"/>
          <w:szCs w:val="24"/>
        </w:rPr>
        <w:t xml:space="preserve">ny </w:t>
      </w:r>
      <w:hyperlink w:anchor="DAA" w:history="1">
        <w:r w:rsidRPr="00BA678A">
          <w:rPr>
            <w:rStyle w:val="Hyperlink"/>
            <w:szCs w:val="24"/>
          </w:rPr>
          <w:t>directly associated activities (DAA)</w:t>
        </w:r>
      </w:hyperlink>
      <w:r w:rsidR="006129F7">
        <w:rPr>
          <w:color w:val="000000" w:themeColor="text1"/>
          <w:szCs w:val="24"/>
        </w:rPr>
        <w:t xml:space="preserve"> must be included. Directly associated activities are</w:t>
      </w:r>
      <w:r w:rsidR="7D0C647F" w:rsidRPr="48CD8F25">
        <w:rPr>
          <w:color w:val="000000" w:themeColor="text1"/>
          <w:szCs w:val="24"/>
        </w:rPr>
        <w:t xml:space="preserve"> activities on the same site with a technical connection to th</w:t>
      </w:r>
      <w:r>
        <w:rPr>
          <w:color w:val="000000" w:themeColor="text1"/>
          <w:szCs w:val="24"/>
        </w:rPr>
        <w:t>e eligible activities</w:t>
      </w:r>
      <w:r w:rsidR="7D0C647F" w:rsidRPr="48CD8F25">
        <w:rPr>
          <w:color w:val="000000" w:themeColor="text1"/>
          <w:szCs w:val="24"/>
        </w:rPr>
        <w:t xml:space="preserve"> listed in </w:t>
      </w:r>
      <w:hyperlink w:anchor="_Appendix_A:_Eligible_1" w:history="1">
        <w:r w:rsidR="7D0C647F" w:rsidRPr="00A974DD">
          <w:rPr>
            <w:rStyle w:val="Hyperlink"/>
            <w:szCs w:val="24"/>
          </w:rPr>
          <w:t>Appendix A</w:t>
        </w:r>
      </w:hyperlink>
      <w:r w:rsidR="7D0C647F" w:rsidRPr="48CD8F25">
        <w:rPr>
          <w:color w:val="000000" w:themeColor="text1"/>
          <w:szCs w:val="24"/>
        </w:rPr>
        <w:t xml:space="preserve"> and which could </w:t>
      </w:r>
      <w:proofErr w:type="gramStart"/>
      <w:r w:rsidR="7D0C647F" w:rsidRPr="48CD8F25">
        <w:rPr>
          <w:color w:val="000000" w:themeColor="text1"/>
          <w:szCs w:val="24"/>
        </w:rPr>
        <w:t>have an effect on</w:t>
      </w:r>
      <w:proofErr w:type="gramEnd"/>
      <w:r w:rsidR="7D0C647F" w:rsidRPr="48CD8F25">
        <w:rPr>
          <w:color w:val="000000" w:themeColor="text1"/>
          <w:szCs w:val="24"/>
        </w:rPr>
        <w:t xml:space="preserve"> emissions</w:t>
      </w:r>
      <w:r>
        <w:rPr>
          <w:color w:val="000000" w:themeColor="text1"/>
          <w:szCs w:val="24"/>
        </w:rPr>
        <w:t>.</w:t>
      </w:r>
    </w:p>
    <w:p w14:paraId="296B27E2" w14:textId="1A9AC8BD" w:rsidR="00026E66" w:rsidRDefault="7D0C647F" w:rsidP="00D2184A">
      <w:pPr>
        <w:tabs>
          <w:tab w:val="left" w:pos="0"/>
        </w:tabs>
        <w:spacing w:before="240" w:beforeAutospacing="0" w:after="240" w:afterAutospacing="0" w:line="233" w:lineRule="auto"/>
        <w:ind w:right="132"/>
        <w:jc w:val="both"/>
        <w:rPr>
          <w:color w:val="000000" w:themeColor="text1"/>
          <w:szCs w:val="24"/>
        </w:rPr>
      </w:pPr>
      <w:r w:rsidRPr="48CD8F25">
        <w:rPr>
          <w:color w:val="000000" w:themeColor="text1"/>
          <w:szCs w:val="24"/>
        </w:rPr>
        <w:t>Where activities are neither eligible nor directly associated with eligible activities, they will be considered ineligible.</w:t>
      </w:r>
    </w:p>
    <w:p w14:paraId="0D26CB5C" w14:textId="1A8CF324" w:rsidR="00026E66" w:rsidRDefault="7D0C647F" w:rsidP="00A974DD">
      <w:pPr>
        <w:tabs>
          <w:tab w:val="left" w:pos="0"/>
        </w:tabs>
        <w:spacing w:before="240" w:beforeAutospacing="0" w:after="240" w:afterAutospacing="0" w:line="233" w:lineRule="auto"/>
        <w:ind w:right="132"/>
        <w:rPr>
          <w:color w:val="000000" w:themeColor="text1"/>
          <w:szCs w:val="24"/>
        </w:rPr>
      </w:pPr>
      <w:r w:rsidRPr="48CD8F25">
        <w:rPr>
          <w:color w:val="000000" w:themeColor="text1"/>
          <w:szCs w:val="24"/>
        </w:rPr>
        <w:t>All additional information necessary to identify what is being produced</w:t>
      </w:r>
      <w:r w:rsidR="001D3D0D">
        <w:rPr>
          <w:color w:val="000000" w:themeColor="text1"/>
          <w:szCs w:val="24"/>
        </w:rPr>
        <w:t xml:space="preserve"> at the facility</w:t>
      </w:r>
      <w:r w:rsidRPr="48CD8F25">
        <w:rPr>
          <w:color w:val="000000" w:themeColor="text1"/>
          <w:szCs w:val="24"/>
        </w:rPr>
        <w:t xml:space="preserve"> and how</w:t>
      </w:r>
      <w:r w:rsidR="00A974DD">
        <w:rPr>
          <w:color w:val="000000" w:themeColor="text1"/>
          <w:szCs w:val="24"/>
        </w:rPr>
        <w:t xml:space="preserve"> it is produced</w:t>
      </w:r>
      <w:r w:rsidRPr="48CD8F25">
        <w:rPr>
          <w:color w:val="000000" w:themeColor="text1"/>
          <w:szCs w:val="24"/>
        </w:rPr>
        <w:t xml:space="preserve"> must be provided. A process flow map and site plan must be included, with annotations clearly identifying eligible, directly associated, ineligible, and 70% areas. Colour coding should be used as follows: green for eligible activities, amber for DAA, and red for ineligible activities.</w:t>
      </w:r>
      <w:r w:rsidR="00E7237F">
        <w:rPr>
          <w:color w:val="000000" w:themeColor="text1"/>
          <w:szCs w:val="24"/>
        </w:rPr>
        <w:t xml:space="preserve"> </w:t>
      </w:r>
      <w:r w:rsidR="0033585C">
        <w:rPr>
          <w:color w:val="000000" w:themeColor="text1"/>
          <w:szCs w:val="24"/>
        </w:rPr>
        <w:t xml:space="preserve">Additional labels should be used where possible to ensure accessibility. </w:t>
      </w:r>
    </w:p>
    <w:p w14:paraId="6662DBD4" w14:textId="18C3FEB7" w:rsidR="00026E66" w:rsidRDefault="21124423" w:rsidP="00A974DD">
      <w:pPr>
        <w:tabs>
          <w:tab w:val="left" w:pos="0"/>
        </w:tabs>
        <w:spacing w:before="240" w:beforeAutospacing="0" w:after="240" w:afterAutospacing="0" w:line="233" w:lineRule="auto"/>
        <w:ind w:right="132"/>
        <w:rPr>
          <w:color w:val="000000" w:themeColor="text1"/>
          <w:szCs w:val="24"/>
        </w:rPr>
      </w:pPr>
      <w:r w:rsidRPr="41BA225A">
        <w:rPr>
          <w:color w:val="000000" w:themeColor="text1"/>
          <w:szCs w:val="24"/>
        </w:rPr>
        <w:t>The site plan should clearly show the boundary of the facility marked in red. Ideally, it should be based on a satellite or aerial image but must show the extent of the facility in relation to fixed infrastructure or features outside the facility boundary, such as roads, buildings, or other landmarks, to geographically contextualise the location.</w:t>
      </w:r>
    </w:p>
    <w:p w14:paraId="2DB7060B" w14:textId="671B7C13" w:rsidR="00026E66" w:rsidRDefault="002737EF" w:rsidP="00A974DD">
      <w:pPr>
        <w:spacing w:before="0" w:beforeAutospacing="0" w:after="0" w:afterAutospacing="0" w:line="235" w:lineRule="auto"/>
      </w:pPr>
      <w:r>
        <w:rPr>
          <w:color w:val="auto"/>
        </w:rPr>
        <w:t>The following list of documents</w:t>
      </w:r>
      <w:r w:rsidR="00D03B24">
        <w:rPr>
          <w:color w:val="auto"/>
        </w:rPr>
        <w:t xml:space="preserve"> </w:t>
      </w:r>
      <w:r w:rsidR="00E7237F">
        <w:rPr>
          <w:color w:val="auto"/>
        </w:rPr>
        <w:t>must</w:t>
      </w:r>
      <w:r>
        <w:rPr>
          <w:color w:val="auto"/>
        </w:rPr>
        <w:t xml:space="preserve"> be </w:t>
      </w:r>
      <w:r w:rsidR="00D03B24">
        <w:rPr>
          <w:color w:val="auto"/>
        </w:rPr>
        <w:t>supplied to form</w:t>
      </w:r>
      <w:r>
        <w:rPr>
          <w:color w:val="auto"/>
        </w:rPr>
        <w:t xml:space="preserve"> the minimum evidence to </w:t>
      </w:r>
      <w:r w:rsidRPr="48CD8F25">
        <w:rPr>
          <w:color w:val="auto"/>
        </w:rPr>
        <w:t>demonstrate</w:t>
      </w:r>
      <w:r>
        <w:rPr>
          <w:color w:val="auto"/>
        </w:rPr>
        <w:t xml:space="preserve"> eligibility: </w:t>
      </w:r>
    </w:p>
    <w:p w14:paraId="13C603EB" w14:textId="57F059E8" w:rsidR="00026E66" w:rsidRPr="00E955A3" w:rsidRDefault="002737EF" w:rsidP="007A7512">
      <w:pPr>
        <w:pStyle w:val="ListParagraph"/>
        <w:numPr>
          <w:ilvl w:val="0"/>
          <w:numId w:val="138"/>
        </w:numPr>
      </w:pPr>
      <w:r w:rsidRPr="00E955A3">
        <w:t>Manufacturing process description – this is an overview of the manufacturing process carried out. It should cover all elements of the process from receipt of raw materials to dispatch of final product</w:t>
      </w:r>
      <w:r w:rsidR="3914D3D0">
        <w:t>.</w:t>
      </w:r>
      <w:r w:rsidRPr="00E955A3">
        <w:t xml:space="preserve"> </w:t>
      </w:r>
    </w:p>
    <w:p w14:paraId="2E910A3D" w14:textId="2B8DF055" w:rsidR="00026E66" w:rsidRPr="00E955A3" w:rsidRDefault="002737EF" w:rsidP="007A7512">
      <w:pPr>
        <w:pStyle w:val="ListParagraph"/>
        <w:numPr>
          <w:ilvl w:val="0"/>
          <w:numId w:val="138"/>
        </w:numPr>
      </w:pPr>
      <w:r w:rsidRPr="00E955A3">
        <w:t xml:space="preserve">Description of </w:t>
      </w:r>
      <w:hyperlink w:anchor="Eligibleprocess" w:history="1">
        <w:r w:rsidRPr="00DB1221">
          <w:rPr>
            <w:rStyle w:val="Hyperlink"/>
          </w:rPr>
          <w:t>eligible processes</w:t>
        </w:r>
      </w:hyperlink>
      <w:r w:rsidRPr="00E955A3">
        <w:t xml:space="preserve"> - this is a description of the elements of the process that are eligible for the CCA. It should clearly state how these elements meet the sector eligibility criteria</w:t>
      </w:r>
      <w:r w:rsidR="0B826F0E">
        <w:t xml:space="preserve">, see </w:t>
      </w:r>
      <w:hyperlink w:anchor="_Appendix_A:_Eligible_1" w:history="1">
        <w:r w:rsidR="0B826F0E" w:rsidRPr="001EF62E">
          <w:rPr>
            <w:rStyle w:val="Hyperlink"/>
          </w:rPr>
          <w:t>Appendix</w:t>
        </w:r>
        <w:r w:rsidRPr="001EF62E">
          <w:rPr>
            <w:rStyle w:val="Hyperlink"/>
          </w:rPr>
          <w:t xml:space="preserve"> </w:t>
        </w:r>
        <w:r w:rsidR="196A062E" w:rsidRPr="001EF62E">
          <w:rPr>
            <w:rStyle w:val="Hyperlink"/>
          </w:rPr>
          <w:t>A</w:t>
        </w:r>
      </w:hyperlink>
      <w:r w:rsidR="196A062E">
        <w:t>.</w:t>
      </w:r>
    </w:p>
    <w:p w14:paraId="0D42A506" w14:textId="1BF14C0A" w:rsidR="00026E66" w:rsidRPr="00E955A3" w:rsidRDefault="36DF3A3C" w:rsidP="007A7512">
      <w:pPr>
        <w:pStyle w:val="ListParagraph"/>
        <w:numPr>
          <w:ilvl w:val="0"/>
          <w:numId w:val="138"/>
        </w:numPr>
      </w:pPr>
      <w:hyperlink w:anchor="DAA" w:history="1">
        <w:r w:rsidRPr="007B0B49">
          <w:rPr>
            <w:rStyle w:val="Hyperlink"/>
          </w:rPr>
          <w:t>Directly associated activities (</w:t>
        </w:r>
        <w:r w:rsidR="002737EF" w:rsidRPr="007B0B49">
          <w:rPr>
            <w:rStyle w:val="Hyperlink"/>
          </w:rPr>
          <w:t>DAA</w:t>
        </w:r>
        <w:r w:rsidR="4E856ABD" w:rsidRPr="007B0B49">
          <w:rPr>
            <w:rStyle w:val="Hyperlink"/>
          </w:rPr>
          <w:t>)</w:t>
        </w:r>
      </w:hyperlink>
      <w:r w:rsidR="002737EF" w:rsidRPr="00E955A3">
        <w:t xml:space="preserve"> including: </w:t>
      </w:r>
    </w:p>
    <w:p w14:paraId="50C18902" w14:textId="77777777" w:rsidR="00026E66" w:rsidRPr="00E955A3" w:rsidRDefault="002737EF" w:rsidP="00C455A9">
      <w:pPr>
        <w:pStyle w:val="ListParagraph"/>
        <w:numPr>
          <w:ilvl w:val="1"/>
          <w:numId w:val="138"/>
        </w:numPr>
      </w:pPr>
      <w:r w:rsidRPr="00E955A3">
        <w:t xml:space="preserve">evidence supporting direct association </w:t>
      </w:r>
    </w:p>
    <w:p w14:paraId="2BB1E38D" w14:textId="77777777" w:rsidR="00026E66" w:rsidRPr="00E955A3" w:rsidRDefault="002737EF" w:rsidP="00C455A9">
      <w:pPr>
        <w:pStyle w:val="ListParagraph"/>
        <w:numPr>
          <w:ilvl w:val="1"/>
          <w:numId w:val="138"/>
        </w:numPr>
      </w:pPr>
      <w:r w:rsidRPr="00E955A3">
        <w:t>evidence supporting technical connection</w:t>
      </w:r>
    </w:p>
    <w:p w14:paraId="388BD617" w14:textId="2D54D83B" w:rsidR="00026E66" w:rsidRPr="00E955A3" w:rsidRDefault="002737EF" w:rsidP="00C455A9">
      <w:pPr>
        <w:pStyle w:val="ListParagraph"/>
        <w:numPr>
          <w:ilvl w:val="1"/>
          <w:numId w:val="138"/>
        </w:numPr>
      </w:pPr>
      <w:r w:rsidRPr="00E955A3">
        <w:t xml:space="preserve">evidence supporting effect on emissions </w:t>
      </w:r>
    </w:p>
    <w:p w14:paraId="7E314C6B" w14:textId="451F170C" w:rsidR="00026E66" w:rsidRDefault="002737EF" w:rsidP="007A7512">
      <w:pPr>
        <w:pStyle w:val="ListParagraph"/>
        <w:numPr>
          <w:ilvl w:val="0"/>
          <w:numId w:val="138"/>
        </w:numPr>
        <w:rPr>
          <w:lang w:val="en-US"/>
        </w:rPr>
      </w:pPr>
      <w:r w:rsidRPr="1A3FD53E">
        <w:rPr>
          <w:lang w:val="en-US"/>
        </w:rPr>
        <w:t>Process flow maps - these should illustrate the flow of activities around the site. The eligible processes and DAA should be clearly marked.</w:t>
      </w:r>
    </w:p>
    <w:p w14:paraId="444D97BC" w14:textId="77777777" w:rsidR="00026E66" w:rsidRDefault="002737EF" w:rsidP="007A7512">
      <w:pPr>
        <w:pStyle w:val="ListParagraph"/>
        <w:numPr>
          <w:ilvl w:val="0"/>
          <w:numId w:val="138"/>
        </w:numPr>
      </w:pPr>
      <w:r w:rsidRPr="007A7512">
        <w:rPr>
          <w:szCs w:val="24"/>
        </w:rPr>
        <w:lastRenderedPageBreak/>
        <w:t>Annotated</w:t>
      </w:r>
      <w:r>
        <w:t xml:space="preserve"> site </w:t>
      </w:r>
      <w:r w:rsidRPr="007A7512">
        <w:rPr>
          <w:szCs w:val="24"/>
        </w:rPr>
        <w:t>plans</w:t>
      </w:r>
      <w:r>
        <w:t xml:space="preserve"> showing the extent of the eligible facility </w:t>
      </w:r>
      <w:r w:rsidRPr="007A7512">
        <w:rPr>
          <w:szCs w:val="24"/>
        </w:rPr>
        <w:t>- these</w:t>
      </w:r>
      <w:r>
        <w:t xml:space="preserve"> should cover the whole site, with the site boundary, areas containing eligible processes, DAAs and ineligible processes clearly marked</w:t>
      </w:r>
    </w:p>
    <w:p w14:paraId="6FC2F2AB" w14:textId="4776B6A1" w:rsidR="00026E66" w:rsidRPr="007C52B7" w:rsidRDefault="002737EF" w:rsidP="007A7512">
      <w:pPr>
        <w:pStyle w:val="ListParagraph"/>
        <w:numPr>
          <w:ilvl w:val="0"/>
          <w:numId w:val="138"/>
        </w:numPr>
      </w:pPr>
      <w:r w:rsidRPr="007A7512">
        <w:rPr>
          <w:szCs w:val="24"/>
        </w:rPr>
        <w:t xml:space="preserve">Any permits </w:t>
      </w:r>
      <w:r>
        <w:t xml:space="preserve">currently held for the site under </w:t>
      </w:r>
      <w:hyperlink w:anchor="EPR" w:history="1">
        <w:r w:rsidRPr="00BD6160">
          <w:rPr>
            <w:rStyle w:val="Hyperlink"/>
          </w:rPr>
          <w:t>EPR</w:t>
        </w:r>
      </w:hyperlink>
      <w:r w:rsidRPr="007A7512">
        <w:rPr>
          <w:szCs w:val="24"/>
        </w:rPr>
        <w:t xml:space="preserve">. The permit number and a copy of the permit </w:t>
      </w:r>
      <w:r w:rsidR="007B0B49">
        <w:rPr>
          <w:szCs w:val="24"/>
        </w:rPr>
        <w:t>must be provided.</w:t>
      </w:r>
    </w:p>
    <w:p w14:paraId="24E46F20" w14:textId="77777777" w:rsidR="00026E66" w:rsidRDefault="002737EF" w:rsidP="007A7512">
      <w:pPr>
        <w:pStyle w:val="ListParagraph"/>
        <w:numPr>
          <w:ilvl w:val="0"/>
          <w:numId w:val="138"/>
        </w:numPr>
      </w:pPr>
      <w:r w:rsidRPr="007A7512">
        <w:rPr>
          <w:szCs w:val="24"/>
        </w:rPr>
        <w:t>Calculations</w:t>
      </w:r>
      <w:r>
        <w:t xml:space="preserve"> relating to the energy consumed within the installation and other site energy if eligible (indicating any assumptions made). These can also be used to form the baseline.</w:t>
      </w:r>
    </w:p>
    <w:p w14:paraId="7C7948BA" w14:textId="7EE7DA5B" w:rsidR="00026E66" w:rsidRDefault="002737EF" w:rsidP="007A7512">
      <w:pPr>
        <w:pStyle w:val="ListParagraph"/>
        <w:numPr>
          <w:ilvl w:val="0"/>
          <w:numId w:val="138"/>
        </w:numPr>
      </w:pPr>
      <w:hyperlink w:anchor="seventypercentrule" w:history="1">
        <w:r w:rsidRPr="2948356B">
          <w:rPr>
            <w:rStyle w:val="Hyperlink"/>
          </w:rPr>
          <w:t>70% rule</w:t>
        </w:r>
      </w:hyperlink>
      <w:r>
        <w:t xml:space="preserve"> calculations (indicating any assumptions made) - these calculations ideally should be provided in a spreadsheet format for ease of interpretation </w:t>
      </w:r>
    </w:p>
    <w:p w14:paraId="626446B1" w14:textId="38AF8671" w:rsidR="2BE6A467" w:rsidRDefault="314F3670" w:rsidP="2948356B">
      <w:pPr>
        <w:tabs>
          <w:tab w:val="left" w:pos="0"/>
        </w:tabs>
        <w:rPr>
          <w:color w:val="000000" w:themeColor="text1"/>
        </w:rPr>
      </w:pPr>
      <w:r w:rsidRPr="6E49C6A6">
        <w:rPr>
          <w:color w:val="000000" w:themeColor="text1"/>
        </w:rPr>
        <w:t xml:space="preserve">The facility eligibility information needed for a new application can be collated using the Facility eligibility form in </w:t>
      </w:r>
      <w:hyperlink w:anchor="_Appendix_G:_Facility" w:history="1">
        <w:r w:rsidRPr="6E49C6A6">
          <w:rPr>
            <w:rStyle w:val="Hyperlink"/>
          </w:rPr>
          <w:t>Appendix G</w:t>
        </w:r>
      </w:hyperlink>
      <w:r w:rsidRPr="6E49C6A6">
        <w:rPr>
          <w:color w:val="000000" w:themeColor="text1"/>
        </w:rPr>
        <w:t>.</w:t>
      </w:r>
    </w:p>
    <w:p w14:paraId="53E80D9E" w14:textId="77777777" w:rsidR="00026E66" w:rsidRDefault="002737EF" w:rsidP="00FF0098">
      <w:pPr>
        <w:pStyle w:val="Heading4"/>
        <w:tabs>
          <w:tab w:val="left" w:pos="0"/>
        </w:tabs>
      </w:pPr>
      <w:r>
        <w:t xml:space="preserve">Energy information </w:t>
      </w:r>
    </w:p>
    <w:p w14:paraId="085F3E98" w14:textId="57311D8F" w:rsidR="00026E66" w:rsidRDefault="007B0B49" w:rsidP="00FF0098">
      <w:pPr>
        <w:tabs>
          <w:tab w:val="left" w:pos="0"/>
        </w:tabs>
        <w:ind w:right="182"/>
      </w:pPr>
      <w:r>
        <w:rPr>
          <w:color w:val="auto"/>
          <w:szCs w:val="24"/>
        </w:rPr>
        <w:t>You must provide information on</w:t>
      </w:r>
      <w:r w:rsidR="002737EF">
        <w:rPr>
          <w:color w:val="auto"/>
        </w:rPr>
        <w:t>:</w:t>
      </w:r>
      <w:r w:rsidR="002737EF">
        <w:rPr>
          <w:color w:val="auto"/>
          <w:szCs w:val="24"/>
        </w:rPr>
        <w:t xml:space="preserve"> </w:t>
      </w:r>
    </w:p>
    <w:p w14:paraId="48F0F8AD" w14:textId="25251316" w:rsidR="00026E66" w:rsidRDefault="002737EF" w:rsidP="008B43FD">
      <w:pPr>
        <w:pStyle w:val="ListParagraph"/>
        <w:numPr>
          <w:ilvl w:val="0"/>
          <w:numId w:val="133"/>
        </w:numPr>
      </w:pPr>
      <w:r>
        <w:t xml:space="preserve">the </w:t>
      </w:r>
      <w:r w:rsidR="00AB0A96">
        <w:t>facilit</w:t>
      </w:r>
      <w:r w:rsidR="00BB4673">
        <w:t>y’s</w:t>
      </w:r>
      <w:r>
        <w:t xml:space="preserve"> baseline performance</w:t>
      </w:r>
      <w:r w:rsidR="008B43FD">
        <w:t>, which include</w:t>
      </w:r>
      <w:r w:rsidR="007C1536">
        <w:t>s</w:t>
      </w:r>
      <w:r w:rsidR="008B43FD">
        <w:t>:</w:t>
      </w:r>
    </w:p>
    <w:p w14:paraId="16688F92" w14:textId="19C8C5F2" w:rsidR="004F4016" w:rsidRDefault="004F4016" w:rsidP="008B43FD">
      <w:pPr>
        <w:pStyle w:val="ListParagraph"/>
        <w:numPr>
          <w:ilvl w:val="1"/>
          <w:numId w:val="133"/>
        </w:numPr>
      </w:pPr>
      <w:r>
        <w:t>the proportion of energy at the facility</w:t>
      </w:r>
      <w:r w:rsidR="006466FE">
        <w:t xml:space="preserve"> which is fixed (energy that must be consumed before any of the activity constituting </w:t>
      </w:r>
      <w:r w:rsidR="003F3E19">
        <w:t xml:space="preserve">the facility’s selected </w:t>
      </w:r>
      <w:hyperlink w:anchor="Throughput" w:history="1">
        <w:r w:rsidR="003F3E19" w:rsidRPr="00B27616">
          <w:rPr>
            <w:rStyle w:val="Hyperlink"/>
          </w:rPr>
          <w:t>through</w:t>
        </w:r>
        <w:r w:rsidR="00481896" w:rsidRPr="00B27616">
          <w:rPr>
            <w:rStyle w:val="Hyperlink"/>
          </w:rPr>
          <w:t>p</w:t>
        </w:r>
        <w:r w:rsidR="003F3E19" w:rsidRPr="00B27616">
          <w:rPr>
            <w:rStyle w:val="Hyperlink"/>
          </w:rPr>
          <w:t>ut</w:t>
        </w:r>
      </w:hyperlink>
      <w:r w:rsidR="003F3E19">
        <w:t xml:space="preserve"> is incurred) and energy which is variable (directly linked to production)</w:t>
      </w:r>
    </w:p>
    <w:p w14:paraId="5115760C" w14:textId="60E178B2" w:rsidR="008B43FD" w:rsidRDefault="00142F21" w:rsidP="008B43FD">
      <w:pPr>
        <w:pStyle w:val="ListParagraph"/>
        <w:numPr>
          <w:ilvl w:val="1"/>
          <w:numId w:val="133"/>
        </w:numPr>
      </w:pPr>
      <w:r>
        <w:t>total energy consumption by fuel type</w:t>
      </w:r>
    </w:p>
    <w:p w14:paraId="2D2915B3" w14:textId="3BF295D0" w:rsidR="00142F21" w:rsidRDefault="004E2B24" w:rsidP="00CD1B2C">
      <w:pPr>
        <w:pStyle w:val="ListParagraph"/>
        <w:numPr>
          <w:ilvl w:val="1"/>
          <w:numId w:val="133"/>
        </w:numPr>
      </w:pPr>
      <w:r>
        <w:t>the total amount of production</w:t>
      </w:r>
      <w:r w:rsidR="00D71A1D">
        <w:t xml:space="preserve"> </w:t>
      </w:r>
      <w:r w:rsidR="007875B3">
        <w:t>to</w:t>
      </w:r>
      <w:r w:rsidR="00D71A1D">
        <w:t xml:space="preserve"> calculate </w:t>
      </w:r>
      <w:r w:rsidR="00A9086D">
        <w:t xml:space="preserve">the variable energy consumption for one unit of production. </w:t>
      </w:r>
    </w:p>
    <w:p w14:paraId="5F80EC2C" w14:textId="368987F9" w:rsidR="00026E66" w:rsidRDefault="002737EF" w:rsidP="0065356B">
      <w:pPr>
        <w:pStyle w:val="ListParagraph"/>
        <w:numPr>
          <w:ilvl w:val="0"/>
          <w:numId w:val="133"/>
        </w:numPr>
      </w:pPr>
      <w:r>
        <w:t>the target for the new</w:t>
      </w:r>
      <w:r w:rsidR="00AB0A96">
        <w:t xml:space="preserve"> facility</w:t>
      </w:r>
      <w:r w:rsidR="00CD1B2C">
        <w:t xml:space="preserve"> – for new entrants this will be the same as the </w:t>
      </w:r>
      <w:hyperlink w:anchor="Sectorcommitment" w:history="1">
        <w:r w:rsidR="00CD1B2C" w:rsidRPr="00021E17">
          <w:rPr>
            <w:rStyle w:val="Hyperlink"/>
          </w:rPr>
          <w:t>sector commitment</w:t>
        </w:r>
      </w:hyperlink>
      <w:r w:rsidR="00CD1B2C">
        <w:t xml:space="preserve"> target</w:t>
      </w:r>
    </w:p>
    <w:p w14:paraId="7E63799B" w14:textId="77777777" w:rsidR="00026E66" w:rsidRDefault="002737EF" w:rsidP="00FF0098">
      <w:pPr>
        <w:pStyle w:val="Heading3"/>
        <w:tabs>
          <w:tab w:val="left" w:pos="0"/>
        </w:tabs>
      </w:pPr>
      <w:r>
        <w:t xml:space="preserve">6.1.2. Application process </w:t>
      </w:r>
    </w:p>
    <w:p w14:paraId="493D3AAD" w14:textId="77777777" w:rsidR="00026E66" w:rsidRDefault="002737EF" w:rsidP="00FF0098">
      <w:pPr>
        <w:tabs>
          <w:tab w:val="left" w:pos="0"/>
        </w:tabs>
      </w:pPr>
      <w:r>
        <w:rPr>
          <w:color w:val="auto"/>
        </w:rPr>
        <w:t>The steps below outline the application process for a new underlying agreement</w:t>
      </w:r>
      <w:r>
        <w:rPr>
          <w:bCs/>
          <w:color w:val="auto"/>
          <w:szCs w:val="24"/>
        </w:rPr>
        <w:t>:</w:t>
      </w:r>
    </w:p>
    <w:p w14:paraId="4D00D2FE" w14:textId="14CE953B" w:rsidR="00026E66" w:rsidRDefault="002737EF" w:rsidP="00FF0098">
      <w:pPr>
        <w:tabs>
          <w:tab w:val="left" w:pos="0"/>
        </w:tabs>
      </w:pPr>
      <w:r w:rsidRPr="007875B3">
        <w:rPr>
          <w:b/>
          <w:szCs w:val="24"/>
        </w:rPr>
        <w:t>Step 1</w:t>
      </w:r>
      <w:r w:rsidR="00827932" w:rsidRPr="007875B3">
        <w:rPr>
          <w:b/>
          <w:szCs w:val="24"/>
        </w:rPr>
        <w:t>:</w:t>
      </w:r>
      <w:r w:rsidR="00827932">
        <w:rPr>
          <w:bCs/>
          <w:szCs w:val="24"/>
        </w:rPr>
        <w:t xml:space="preserve"> </w:t>
      </w:r>
      <w:r>
        <w:rPr>
          <w:bCs/>
          <w:szCs w:val="24"/>
        </w:rPr>
        <w:t>The</w:t>
      </w:r>
      <w:r>
        <w:t xml:space="preserve"> sector association applies </w:t>
      </w:r>
      <w:r>
        <w:rPr>
          <w:bCs/>
          <w:szCs w:val="24"/>
        </w:rPr>
        <w:t xml:space="preserve">through </w:t>
      </w:r>
      <w:proofErr w:type="spellStart"/>
      <w:r w:rsidR="00BB4673">
        <w:rPr>
          <w:bCs/>
          <w:szCs w:val="24"/>
        </w:rPr>
        <w:t>MyCCA</w:t>
      </w:r>
      <w:proofErr w:type="spellEnd"/>
      <w:r w:rsidR="00BB4673">
        <w:rPr>
          <w:bCs/>
          <w:szCs w:val="24"/>
        </w:rPr>
        <w:t xml:space="preserve"> </w:t>
      </w:r>
      <w:r>
        <w:t xml:space="preserve">for an underlying agreement </w:t>
      </w:r>
      <w:r>
        <w:rPr>
          <w:bCs/>
          <w:szCs w:val="24"/>
        </w:rPr>
        <w:t>for</w:t>
      </w:r>
      <w:r>
        <w:t xml:space="preserve"> the </w:t>
      </w:r>
      <w:r>
        <w:rPr>
          <w:bCs/>
          <w:szCs w:val="24"/>
        </w:rPr>
        <w:t>operator</w:t>
      </w:r>
    </w:p>
    <w:p w14:paraId="33AB3370" w14:textId="0C431EF9" w:rsidR="00026E66" w:rsidRDefault="002737EF" w:rsidP="00FF0098">
      <w:pPr>
        <w:tabs>
          <w:tab w:val="left" w:pos="0"/>
        </w:tabs>
      </w:pPr>
      <w:r w:rsidRPr="007875B3">
        <w:rPr>
          <w:b/>
          <w:szCs w:val="24"/>
        </w:rPr>
        <w:t>Step 2</w:t>
      </w:r>
      <w:r w:rsidR="00827932" w:rsidRPr="007875B3">
        <w:rPr>
          <w:b/>
          <w:szCs w:val="24"/>
        </w:rPr>
        <w:t>:</w:t>
      </w:r>
      <w:r w:rsidR="00827932">
        <w:rPr>
          <w:bCs/>
          <w:szCs w:val="24"/>
        </w:rPr>
        <w:t xml:space="preserve"> </w:t>
      </w:r>
      <w:r w:rsidR="005C2D65">
        <w:rPr>
          <w:bCs/>
          <w:szCs w:val="24"/>
        </w:rPr>
        <w:t>We assess the</w:t>
      </w:r>
      <w:r>
        <w:rPr>
          <w:bCs/>
          <w:szCs w:val="24"/>
        </w:rPr>
        <w:t xml:space="preserve"> </w:t>
      </w:r>
      <w:r>
        <w:t xml:space="preserve">application and facility eligibility information and </w:t>
      </w:r>
      <w:r w:rsidR="005C2D65">
        <w:rPr>
          <w:bCs/>
          <w:szCs w:val="24"/>
        </w:rPr>
        <w:t>either approve or reject the application</w:t>
      </w:r>
      <w:r w:rsidR="00EA7990">
        <w:rPr>
          <w:bCs/>
          <w:szCs w:val="24"/>
        </w:rPr>
        <w:t>.</w:t>
      </w:r>
    </w:p>
    <w:p w14:paraId="5EE327A0" w14:textId="35A7A8CA" w:rsidR="00026E66" w:rsidRDefault="002737EF" w:rsidP="00FF0098">
      <w:pPr>
        <w:tabs>
          <w:tab w:val="left" w:pos="0"/>
        </w:tabs>
      </w:pPr>
      <w:r w:rsidRPr="007875B3">
        <w:rPr>
          <w:b/>
          <w:szCs w:val="24"/>
        </w:rPr>
        <w:t xml:space="preserve">Step </w:t>
      </w:r>
      <w:r w:rsidR="001F70B0" w:rsidRPr="007875B3">
        <w:rPr>
          <w:b/>
          <w:szCs w:val="24"/>
        </w:rPr>
        <w:t>3</w:t>
      </w:r>
      <w:r w:rsidR="00827932">
        <w:rPr>
          <w:bCs/>
          <w:szCs w:val="24"/>
        </w:rPr>
        <w:t xml:space="preserve">: </w:t>
      </w:r>
      <w:r w:rsidR="00D522E1">
        <w:rPr>
          <w:bCs/>
          <w:szCs w:val="24"/>
        </w:rPr>
        <w:t xml:space="preserve">If accepted, </w:t>
      </w:r>
      <w:r>
        <w:rPr>
          <w:bCs/>
          <w:szCs w:val="24"/>
        </w:rPr>
        <w:t xml:space="preserve">the operator will receive an email with </w:t>
      </w:r>
      <w:r>
        <w:t xml:space="preserve">their proposed </w:t>
      </w:r>
      <w:r>
        <w:rPr>
          <w:bCs/>
          <w:szCs w:val="24"/>
        </w:rPr>
        <w:t xml:space="preserve">underlying </w:t>
      </w:r>
      <w:r>
        <w:t>agreement</w:t>
      </w:r>
      <w:r w:rsidR="00D522E1">
        <w:t xml:space="preserve">. If rejected, the operator will receive an email explaining why the application has been rejected. </w:t>
      </w:r>
    </w:p>
    <w:p w14:paraId="3F89F30E" w14:textId="1AA13D3F" w:rsidR="00026E66" w:rsidRDefault="002737EF" w:rsidP="00FF0098">
      <w:pPr>
        <w:tabs>
          <w:tab w:val="left" w:pos="0"/>
        </w:tabs>
        <w:rPr>
          <w:bCs/>
          <w:color w:val="auto"/>
          <w:szCs w:val="24"/>
        </w:rPr>
      </w:pPr>
      <w:r w:rsidRPr="007875B3">
        <w:rPr>
          <w:b/>
          <w:color w:val="auto"/>
          <w:szCs w:val="24"/>
        </w:rPr>
        <w:lastRenderedPageBreak/>
        <w:t xml:space="preserve">Step </w:t>
      </w:r>
      <w:r w:rsidR="001F70B0" w:rsidRPr="007875B3">
        <w:rPr>
          <w:b/>
          <w:color w:val="auto"/>
          <w:szCs w:val="24"/>
        </w:rPr>
        <w:t>4</w:t>
      </w:r>
      <w:r w:rsidR="00827932" w:rsidRPr="007875B3">
        <w:rPr>
          <w:b/>
          <w:color w:val="auto"/>
          <w:szCs w:val="24"/>
        </w:rPr>
        <w:t>:</w:t>
      </w:r>
      <w:r w:rsidR="00827932">
        <w:rPr>
          <w:bCs/>
          <w:color w:val="auto"/>
          <w:szCs w:val="24"/>
        </w:rPr>
        <w:t xml:space="preserve"> </w:t>
      </w:r>
      <w:r>
        <w:rPr>
          <w:bCs/>
          <w:color w:val="auto"/>
          <w:szCs w:val="24"/>
        </w:rPr>
        <w:t xml:space="preserve">The email will be copied to the sector association and/or sector </w:t>
      </w:r>
      <w:hyperlink w:anchor="Consultant" w:history="1">
        <w:r w:rsidR="007875B3">
          <w:rPr>
            <w:rStyle w:val="Hyperlink"/>
            <w:bCs/>
            <w:szCs w:val="24"/>
          </w:rPr>
          <w:t>consultant</w:t>
        </w:r>
      </w:hyperlink>
      <w:r>
        <w:rPr>
          <w:bCs/>
          <w:color w:val="auto"/>
          <w:szCs w:val="24"/>
        </w:rPr>
        <w:t xml:space="preserve"> to update it on the application’s status</w:t>
      </w:r>
    </w:p>
    <w:p w14:paraId="2D38EDB0" w14:textId="374344FE" w:rsidR="00026E66" w:rsidRDefault="002737EF" w:rsidP="00827932">
      <w:pPr>
        <w:tabs>
          <w:tab w:val="left" w:pos="0"/>
        </w:tabs>
        <w:rPr>
          <w:szCs w:val="24"/>
        </w:rPr>
      </w:pPr>
      <w:r w:rsidRPr="007875B3">
        <w:rPr>
          <w:b/>
          <w:szCs w:val="24"/>
        </w:rPr>
        <w:t xml:space="preserve">Step </w:t>
      </w:r>
      <w:r w:rsidR="001F70B0" w:rsidRPr="007875B3">
        <w:rPr>
          <w:b/>
          <w:szCs w:val="24"/>
        </w:rPr>
        <w:t>5</w:t>
      </w:r>
      <w:r w:rsidR="00827932" w:rsidRPr="007875B3">
        <w:rPr>
          <w:b/>
          <w:szCs w:val="24"/>
        </w:rPr>
        <w:t>:</w:t>
      </w:r>
      <w:r w:rsidR="00827932">
        <w:rPr>
          <w:bCs/>
          <w:szCs w:val="24"/>
        </w:rPr>
        <w:t xml:space="preserve"> </w:t>
      </w:r>
      <w:r>
        <w:rPr>
          <w:bCs/>
          <w:szCs w:val="24"/>
        </w:rPr>
        <w:t>The</w:t>
      </w:r>
      <w:r w:rsidR="001F70B0">
        <w:rPr>
          <w:bCs/>
          <w:szCs w:val="24"/>
        </w:rPr>
        <w:t xml:space="preserve"> </w:t>
      </w:r>
      <w:r>
        <w:rPr>
          <w:bCs/>
          <w:szCs w:val="24"/>
        </w:rPr>
        <w:t>operator</w:t>
      </w:r>
      <w:r w:rsidR="001F70B0">
        <w:rPr>
          <w:bCs/>
          <w:szCs w:val="24"/>
        </w:rPr>
        <w:t xml:space="preserve"> </w:t>
      </w:r>
      <w:r>
        <w:rPr>
          <w:bCs/>
          <w:szCs w:val="24"/>
        </w:rPr>
        <w:t>needs to give</w:t>
      </w:r>
      <w:r>
        <w:t xml:space="preserve"> assent </w:t>
      </w:r>
      <w:r>
        <w:rPr>
          <w:bCs/>
          <w:szCs w:val="24"/>
        </w:rPr>
        <w:t xml:space="preserve">(email acceptance) to the underlying agreement </w:t>
      </w:r>
      <w:r>
        <w:t>within 20 working days</w:t>
      </w:r>
      <w:r>
        <w:rPr>
          <w:bCs/>
          <w:szCs w:val="24"/>
        </w:rPr>
        <w:t>.</w:t>
      </w:r>
      <w:r w:rsidR="00FC355D">
        <w:rPr>
          <w:bCs/>
          <w:szCs w:val="24"/>
        </w:rPr>
        <w:t xml:space="preserve"> </w:t>
      </w:r>
      <w:r>
        <w:rPr>
          <w:bCs/>
          <w:szCs w:val="24"/>
        </w:rPr>
        <w:t xml:space="preserve">When </w:t>
      </w:r>
      <w:r>
        <w:t xml:space="preserve">we upload </w:t>
      </w:r>
      <w:r>
        <w:rPr>
          <w:bCs/>
          <w:szCs w:val="24"/>
        </w:rPr>
        <w:t xml:space="preserve">this to </w:t>
      </w:r>
      <w:proofErr w:type="spellStart"/>
      <w:r w:rsidR="0037022B">
        <w:rPr>
          <w:bCs/>
          <w:szCs w:val="24"/>
        </w:rPr>
        <w:t>MyCCA</w:t>
      </w:r>
      <w:proofErr w:type="spellEnd"/>
      <w:r>
        <w:t xml:space="preserve"> the </w:t>
      </w:r>
      <w:r>
        <w:rPr>
          <w:bCs/>
          <w:szCs w:val="24"/>
        </w:rPr>
        <w:t>operator will receive the final underlying agreement.</w:t>
      </w:r>
      <w:r w:rsidR="00FC355D">
        <w:rPr>
          <w:bCs/>
          <w:szCs w:val="24"/>
        </w:rPr>
        <w:t xml:space="preserve"> </w:t>
      </w:r>
      <w:r>
        <w:rPr>
          <w:bCs/>
          <w:szCs w:val="24"/>
        </w:rPr>
        <w:t xml:space="preserve">They can claim the </w:t>
      </w:r>
      <w:hyperlink w:anchor="CCL" w:history="1">
        <w:r w:rsidRPr="002B56E7">
          <w:rPr>
            <w:rStyle w:val="Hyperlink"/>
            <w:bCs/>
            <w:szCs w:val="24"/>
          </w:rPr>
          <w:t>CCL</w:t>
        </w:r>
      </w:hyperlink>
      <w:r>
        <w:rPr>
          <w:bCs/>
          <w:szCs w:val="24"/>
        </w:rPr>
        <w:t xml:space="preserve"> discount from this point. </w:t>
      </w:r>
    </w:p>
    <w:p w14:paraId="267FEE7C" w14:textId="64AE6A28" w:rsidR="00026E66" w:rsidRPr="00827932" w:rsidRDefault="002737EF" w:rsidP="00827932">
      <w:pPr>
        <w:pStyle w:val="Heading2"/>
        <w:tabs>
          <w:tab w:val="left" w:pos="0"/>
        </w:tabs>
      </w:pPr>
      <w:bookmarkStart w:id="104" w:name="_6.2._Email_assent"/>
      <w:bookmarkStart w:id="105" w:name="_Toc94718648"/>
      <w:bookmarkStart w:id="106" w:name="_Toc94088896"/>
      <w:bookmarkStart w:id="107" w:name="_Toc242885376"/>
      <w:bookmarkEnd w:id="104"/>
      <w:r>
        <w:t>6.2. Email assent</w:t>
      </w:r>
      <w:bookmarkEnd w:id="105"/>
      <w:bookmarkEnd w:id="106"/>
      <w:bookmarkEnd w:id="107"/>
      <w:r>
        <w:t xml:space="preserve"> </w:t>
      </w:r>
    </w:p>
    <w:p w14:paraId="69E78660" w14:textId="6CA0E5EF" w:rsidR="009A6C9A" w:rsidRDefault="002737EF" w:rsidP="007A7512">
      <w:r>
        <w:t xml:space="preserve">The final step is for the operator to give email assent to the underlying agreement. We will email the proposed underlying agreement to the </w:t>
      </w:r>
      <w:r w:rsidRPr="007875B3">
        <w:t>responsible person</w:t>
      </w:r>
      <w:r w:rsidRPr="002542F2">
        <w:t xml:space="preserve"> </w:t>
      </w:r>
      <w:r>
        <w:t xml:space="preserve">named on the CCA application. The responsible person should email the operator's assent to us within 20 working days confirming receipt of the underlying agreement and the operator's acceptance to the terms of that agreement. The assent also </w:t>
      </w:r>
      <w:r w:rsidR="00286302">
        <w:t>confirms acceptance of</w:t>
      </w:r>
      <w:r>
        <w:t xml:space="preserve"> the </w:t>
      </w:r>
      <w:r w:rsidR="0037022B">
        <w:t xml:space="preserve">facility </w:t>
      </w:r>
      <w:r>
        <w:t>target</w:t>
      </w:r>
      <w:r w:rsidR="00FD6594">
        <w:t xml:space="preserve">s </w:t>
      </w:r>
      <w:r>
        <w:t>stated in the underlying agreement. Email assent replaces the need to physically sign the agreement and is legally binding.</w:t>
      </w:r>
    </w:p>
    <w:p w14:paraId="5BC2D06A" w14:textId="31A3E33E" w:rsidR="00026E66" w:rsidRDefault="002737EF" w:rsidP="007A7512">
      <w:r>
        <w:rPr>
          <w:szCs w:val="24"/>
        </w:rPr>
        <w:t>When</w:t>
      </w:r>
      <w:r>
        <w:t xml:space="preserve"> we have </w:t>
      </w:r>
      <w:r>
        <w:rPr>
          <w:szCs w:val="24"/>
        </w:rPr>
        <w:t>processed</w:t>
      </w:r>
      <w:r>
        <w:t xml:space="preserve"> the </w:t>
      </w:r>
      <w:r w:rsidR="00114E0E">
        <w:t>assent,</w:t>
      </w:r>
      <w:r>
        <w:t xml:space="preserve"> </w:t>
      </w:r>
      <w:r>
        <w:rPr>
          <w:szCs w:val="24"/>
        </w:rPr>
        <w:t>the operator</w:t>
      </w:r>
      <w:r>
        <w:t xml:space="preserve"> will </w:t>
      </w:r>
      <w:r>
        <w:rPr>
          <w:szCs w:val="24"/>
        </w:rPr>
        <w:t>receive</w:t>
      </w:r>
      <w:r>
        <w:t xml:space="preserve"> an email confirming </w:t>
      </w:r>
      <w:r>
        <w:rPr>
          <w:szCs w:val="24"/>
        </w:rPr>
        <w:t xml:space="preserve">the agreement's </w:t>
      </w:r>
      <w:r>
        <w:t xml:space="preserve">activation. From that date, the facilities covered by the agreement will appear on the </w:t>
      </w:r>
      <w:hyperlink w:anchor="RRC" w:history="1">
        <w:r w:rsidRPr="00C236AB">
          <w:rPr>
            <w:rStyle w:val="Hyperlink"/>
          </w:rPr>
          <w:t xml:space="preserve">reduced rate certificate </w:t>
        </w:r>
        <w:r w:rsidRPr="00C236AB">
          <w:rPr>
            <w:rStyle w:val="Hyperlink"/>
            <w:szCs w:val="24"/>
          </w:rPr>
          <w:t>(RRC)</w:t>
        </w:r>
      </w:hyperlink>
      <w:r w:rsidRPr="00771B6F">
        <w:rPr>
          <w:szCs w:val="24"/>
        </w:rPr>
        <w:t xml:space="preserve"> </w:t>
      </w:r>
      <w:r w:rsidRPr="00771B6F">
        <w:t xml:space="preserve">and the operator can start claiming the </w:t>
      </w:r>
      <w:r w:rsidRPr="00771B6F">
        <w:rPr>
          <w:u w:color="0077B9"/>
        </w:rPr>
        <w:t xml:space="preserve">CCL </w:t>
      </w:r>
      <w:r w:rsidRPr="00771B6F">
        <w:t xml:space="preserve">discount. </w:t>
      </w:r>
      <w:r w:rsidRPr="00771B6F">
        <w:rPr>
          <w:szCs w:val="24"/>
        </w:rPr>
        <w:t>We do</w:t>
      </w:r>
      <w:r w:rsidR="00D522E1">
        <w:rPr>
          <w:szCs w:val="24"/>
        </w:rPr>
        <w:t xml:space="preserve"> not</w:t>
      </w:r>
      <w:r w:rsidRPr="00771B6F">
        <w:rPr>
          <w:szCs w:val="24"/>
        </w:rPr>
        <w:t xml:space="preserve"> guarantee that we will process the assent on the day it is returned to us and therefore we recommend the</w:t>
      </w:r>
      <w:r w:rsidRPr="00771B6F">
        <w:t xml:space="preserve"> operator </w:t>
      </w:r>
      <w:r w:rsidRPr="00771B6F">
        <w:rPr>
          <w:szCs w:val="24"/>
        </w:rPr>
        <w:t>waits</w:t>
      </w:r>
      <w:r>
        <w:t xml:space="preserve"> for the activation email from us before notifying their energy </w:t>
      </w:r>
      <w:r>
        <w:rPr>
          <w:szCs w:val="24"/>
        </w:rPr>
        <w:t>company</w:t>
      </w:r>
      <w:r>
        <w:t xml:space="preserve"> of </w:t>
      </w:r>
      <w:r>
        <w:rPr>
          <w:szCs w:val="24"/>
        </w:rPr>
        <w:t>the</w:t>
      </w:r>
      <w:r w:rsidR="00286302">
        <w:rPr>
          <w:szCs w:val="24"/>
        </w:rPr>
        <w:t>ir</w:t>
      </w:r>
      <w:r>
        <w:t xml:space="preserve"> new </w:t>
      </w:r>
      <w:r w:rsidR="00286302">
        <w:t>agreement</w:t>
      </w:r>
      <w:r>
        <w:t>.</w:t>
      </w:r>
      <w:r>
        <w:rPr>
          <w:szCs w:val="24"/>
        </w:rPr>
        <w:t xml:space="preserve"> </w:t>
      </w:r>
    </w:p>
    <w:p w14:paraId="5BC26A77" w14:textId="77777777" w:rsidR="00026E66" w:rsidRDefault="002737EF" w:rsidP="007A7512">
      <w:r>
        <w:rPr>
          <w:szCs w:val="24"/>
        </w:rPr>
        <w:t xml:space="preserve">If </w:t>
      </w:r>
      <w:r>
        <w:t xml:space="preserve">we do not receive </w:t>
      </w:r>
      <w:r>
        <w:rPr>
          <w:szCs w:val="24"/>
        </w:rPr>
        <w:t>the</w:t>
      </w:r>
      <w:r>
        <w:t xml:space="preserve"> assent within 20 working days</w:t>
      </w:r>
      <w:r>
        <w:rPr>
          <w:szCs w:val="24"/>
        </w:rPr>
        <w:t xml:space="preserve"> from when we emailed the proposed underlying agreement to the responsible person named on the application, we may withdraw the agreement offer.</w:t>
      </w:r>
      <w:r>
        <w:t xml:space="preserve"> </w:t>
      </w:r>
    </w:p>
    <w:p w14:paraId="4C7B5004" w14:textId="53864BCD" w:rsidR="00026E66" w:rsidRDefault="00F11582" w:rsidP="007A7512">
      <w:r>
        <w:t>A</w:t>
      </w:r>
      <w:r w:rsidR="002737EF">
        <w:t xml:space="preserve"> facility</w:t>
      </w:r>
      <w:r>
        <w:t xml:space="preserve"> may</w:t>
      </w:r>
      <w:r w:rsidR="002737EF">
        <w:t xml:space="preserve"> </w:t>
      </w:r>
      <w:r w:rsidR="002737EF">
        <w:rPr>
          <w:szCs w:val="24"/>
        </w:rPr>
        <w:t xml:space="preserve">move </w:t>
      </w:r>
      <w:r w:rsidR="002737EF">
        <w:t xml:space="preserve">between </w:t>
      </w:r>
      <w:r w:rsidR="003A3D0B">
        <w:t>agreements (</w:t>
      </w:r>
      <w:r w:rsidR="002737EF">
        <w:rPr>
          <w:szCs w:val="24"/>
        </w:rPr>
        <w:t xml:space="preserve">that is, it is excluded from one </w:t>
      </w:r>
      <w:r w:rsidR="003A3D0B">
        <w:rPr>
          <w:szCs w:val="24"/>
        </w:rPr>
        <w:t>agreement and</w:t>
      </w:r>
      <w:r w:rsidR="002737EF">
        <w:rPr>
          <w:szCs w:val="24"/>
        </w:rPr>
        <w:t xml:space="preserve"> included in another </w:t>
      </w:r>
      <w:r w:rsidR="001B2479">
        <w:rPr>
          <w:szCs w:val="24"/>
        </w:rPr>
        <w:t>agreement</w:t>
      </w:r>
      <w:r w:rsidR="002737EF">
        <w:rPr>
          <w:szCs w:val="24"/>
        </w:rPr>
        <w:t>), for example, during</w:t>
      </w:r>
      <w:r w:rsidR="002737EF">
        <w:t xml:space="preserve"> a change of ownership</w:t>
      </w:r>
      <w:r>
        <w:t>. In these cases,</w:t>
      </w:r>
      <w:r w:rsidR="002737EF">
        <w:t xml:space="preserve"> we will process the assent for the new </w:t>
      </w:r>
      <w:r w:rsidR="001B2479">
        <w:t>agreement</w:t>
      </w:r>
      <w:r w:rsidR="002737EF">
        <w:t xml:space="preserve"> before </w:t>
      </w:r>
      <w:r w:rsidR="002737EF">
        <w:rPr>
          <w:szCs w:val="24"/>
        </w:rPr>
        <w:t xml:space="preserve">either </w:t>
      </w:r>
      <w:r w:rsidR="002737EF">
        <w:t>terminating the old agreement</w:t>
      </w:r>
      <w:r w:rsidR="002737EF">
        <w:rPr>
          <w:szCs w:val="24"/>
        </w:rPr>
        <w:t xml:space="preserve"> or processing </w:t>
      </w:r>
      <w:r w:rsidR="00F074AE">
        <w:rPr>
          <w:szCs w:val="24"/>
        </w:rPr>
        <w:t xml:space="preserve">any outstanding assent for that agreement where a new agreement has been proposed. </w:t>
      </w:r>
      <w:r w:rsidR="009800A3">
        <w:rPr>
          <w:szCs w:val="24"/>
        </w:rPr>
        <w:t xml:space="preserve">This </w:t>
      </w:r>
      <w:r w:rsidR="009800A3">
        <w:t>ensures</w:t>
      </w:r>
      <w:r w:rsidR="002737EF">
        <w:t xml:space="preserve"> continuity of the CCL discount. </w:t>
      </w:r>
    </w:p>
    <w:p w14:paraId="5CA78B07" w14:textId="77777777" w:rsidR="00026E66" w:rsidRDefault="002737EF" w:rsidP="00FF0098">
      <w:pPr>
        <w:pStyle w:val="Heading3"/>
        <w:tabs>
          <w:tab w:val="left" w:pos="0"/>
        </w:tabs>
      </w:pPr>
      <w:r>
        <w:t xml:space="preserve">6.2.1. Can anyone else give the email assent? </w:t>
      </w:r>
    </w:p>
    <w:p w14:paraId="228D72CC" w14:textId="77777777" w:rsidR="00026E66" w:rsidRDefault="002737EF" w:rsidP="007A7512">
      <w:r>
        <w:t xml:space="preserve">The email assent must be given by the responsible person named on the underlying agreement. Therefore, we expect the assent to be sent from their email account and the one to which we have sent the underlying agreement. We will not accept assent from any other person, including someone claiming to act with the responsible person’s authority. </w:t>
      </w:r>
    </w:p>
    <w:p w14:paraId="2779BB20" w14:textId="77777777" w:rsidR="00026E66" w:rsidRDefault="002737EF" w:rsidP="007A7512">
      <w:r>
        <w:t xml:space="preserve">The underlying agreement is a legal document that binds the operator into its agreement. It is therefore vital that the responsible person is aware of their responsibilities and the consequences to the operator when giving their assent. </w:t>
      </w:r>
    </w:p>
    <w:p w14:paraId="040C8B40" w14:textId="77777777" w:rsidR="00026E66" w:rsidRDefault="002737EF" w:rsidP="007A7512">
      <w:r>
        <w:lastRenderedPageBreak/>
        <w:t xml:space="preserve">If the responsible person leaves the organisation or changes for whatever reason during the time between the application being submitted and email assent being required, the sector association should update the details of the new responsible person as soon as possible. We will ensure the underlying agreement is sent to the new responsible person to give their assent. </w:t>
      </w:r>
    </w:p>
    <w:p w14:paraId="7046DACF" w14:textId="77777777" w:rsidR="00026E66" w:rsidRDefault="002737EF" w:rsidP="007A7512">
      <w:r>
        <w:t xml:space="preserve">If the responsible person has changed and we have issued a proposed underlying agreement, the sector association should update the responsible person on the register as soon as possible and the new responsible person must provide their assent to the new agreement. If the new responsible person wishes the underlying agreement to show their details, they must provide their assent to the current agreement and ask us to issue a new agreement to which they must also provide their assent. </w:t>
      </w:r>
    </w:p>
    <w:p w14:paraId="1AD39123" w14:textId="4EE4FDCB" w:rsidR="00827932" w:rsidRDefault="002737EF" w:rsidP="007A7512">
      <w:r>
        <w:t>A change in the responsible person after the agreement has been assented doesn't require a new agreement. However, the register must be kept up to date as it is a requirement in the rules (</w:t>
      </w:r>
      <w:r w:rsidR="00700DDF">
        <w:t>Rule</w:t>
      </w:r>
      <w:r>
        <w:t xml:space="preserve"> 1 </w:t>
      </w:r>
      <w:r w:rsidR="00700DDF">
        <w:t>of</w:t>
      </w:r>
      <w:r>
        <w:t xml:space="preserve"> the underlying agreement) that the responsible person's details are maintained in the register. </w:t>
      </w:r>
    </w:p>
    <w:p w14:paraId="3ED217A6" w14:textId="6FE3A4A9" w:rsidR="00AB1DC4" w:rsidRPr="00BD74B1" w:rsidRDefault="00E955A3" w:rsidP="00BD74B1">
      <w:pPr>
        <w:pStyle w:val="Heading1"/>
        <w:rPr>
          <w:color w:val="auto"/>
        </w:rPr>
      </w:pPr>
      <w:bookmarkStart w:id="108" w:name="_7._Changing_an"/>
      <w:bookmarkStart w:id="109" w:name="_Toc94718649"/>
      <w:bookmarkStart w:id="110" w:name="_Toc94088897"/>
      <w:bookmarkStart w:id="111" w:name="_Toc242885377"/>
      <w:bookmarkEnd w:id="108"/>
      <w:r>
        <w:t xml:space="preserve">7. </w:t>
      </w:r>
      <w:r w:rsidR="002737EF">
        <w:t>Changing an agreement</w:t>
      </w:r>
      <w:bookmarkEnd w:id="109"/>
      <w:bookmarkEnd w:id="110"/>
      <w:bookmarkEnd w:id="111"/>
    </w:p>
    <w:p w14:paraId="4173AA35" w14:textId="41AE1484" w:rsidR="00026E66" w:rsidRDefault="003C3609" w:rsidP="00451DC3">
      <w:pPr>
        <w:tabs>
          <w:tab w:val="left" w:pos="0"/>
        </w:tabs>
        <w:spacing w:after="161" w:line="235" w:lineRule="auto"/>
        <w:ind w:right="289"/>
      </w:pPr>
      <w:r>
        <w:rPr>
          <w:szCs w:val="24"/>
        </w:rPr>
        <w:t xml:space="preserve">During </w:t>
      </w:r>
      <w:r w:rsidR="00FC69CB">
        <w:rPr>
          <w:szCs w:val="24"/>
        </w:rPr>
        <w:t xml:space="preserve">their </w:t>
      </w:r>
      <w:r>
        <w:rPr>
          <w:szCs w:val="24"/>
        </w:rPr>
        <w:t xml:space="preserve">participation in the scheme, </w:t>
      </w:r>
      <w:r w:rsidR="00451DC3">
        <w:rPr>
          <w:szCs w:val="24"/>
        </w:rPr>
        <w:t xml:space="preserve">operators may experience changes that affect </w:t>
      </w:r>
      <w:r w:rsidR="002737EF" w:rsidRPr="00AB1DC4">
        <w:rPr>
          <w:szCs w:val="24"/>
        </w:rPr>
        <w:t xml:space="preserve">their agreement. </w:t>
      </w:r>
      <w:r w:rsidR="00E214E9">
        <w:rPr>
          <w:szCs w:val="24"/>
        </w:rPr>
        <w:t xml:space="preserve">Some </w:t>
      </w:r>
      <w:r w:rsidR="002737EF" w:rsidRPr="00AB1DC4">
        <w:rPr>
          <w:szCs w:val="24"/>
        </w:rPr>
        <w:t xml:space="preserve">of these changes will require a variation to the </w:t>
      </w:r>
      <w:r w:rsidR="00E214E9">
        <w:rPr>
          <w:szCs w:val="24"/>
        </w:rPr>
        <w:t xml:space="preserve">existing </w:t>
      </w:r>
      <w:r w:rsidR="002737EF" w:rsidRPr="00AB1DC4">
        <w:rPr>
          <w:szCs w:val="24"/>
        </w:rPr>
        <w:t>agreement or a</w:t>
      </w:r>
      <w:r w:rsidR="00E214E9">
        <w:rPr>
          <w:szCs w:val="24"/>
        </w:rPr>
        <w:t xml:space="preserve">n application for a </w:t>
      </w:r>
      <w:r w:rsidR="002737EF" w:rsidRPr="00AB1DC4">
        <w:rPr>
          <w:szCs w:val="24"/>
        </w:rPr>
        <w:t>new agreement.</w:t>
      </w:r>
      <w:r w:rsidR="002737EF" w:rsidRPr="00AB1DC4">
        <w:t xml:space="preserve"> </w:t>
      </w:r>
    </w:p>
    <w:p w14:paraId="23218547" w14:textId="520F7AE4" w:rsidR="00026E66" w:rsidRDefault="002737EF" w:rsidP="00FF0098">
      <w:pPr>
        <w:tabs>
          <w:tab w:val="left" w:pos="0"/>
        </w:tabs>
        <w:ind w:right="182"/>
      </w:pPr>
      <w:r>
        <w:rPr>
          <w:color w:val="auto"/>
        </w:rPr>
        <w:t xml:space="preserve">A variation is </w:t>
      </w:r>
      <w:r w:rsidR="00197D14">
        <w:rPr>
          <w:color w:val="auto"/>
        </w:rPr>
        <w:t>a change</w:t>
      </w:r>
      <w:r>
        <w:rPr>
          <w:color w:val="auto"/>
        </w:rPr>
        <w:t xml:space="preserve"> at a facility that requires an amendment to the agreement</w:t>
      </w:r>
      <w:r w:rsidR="505CF0BA" w:rsidRPr="7E0499D2">
        <w:rPr>
          <w:color w:val="auto"/>
        </w:rPr>
        <w:t xml:space="preserve"> or the information held on </w:t>
      </w:r>
      <w:proofErr w:type="spellStart"/>
      <w:r w:rsidR="505CF0BA" w:rsidRPr="7E0499D2">
        <w:rPr>
          <w:color w:val="auto"/>
        </w:rPr>
        <w:t>MyCCA</w:t>
      </w:r>
      <w:proofErr w:type="spellEnd"/>
      <w:r w:rsidR="676F7975" w:rsidRPr="7E0499D2">
        <w:rPr>
          <w:color w:val="auto"/>
        </w:rPr>
        <w:t>.</w:t>
      </w:r>
      <w:r>
        <w:rPr>
          <w:color w:val="auto"/>
        </w:rPr>
        <w:t xml:space="preserve"> Whe</w:t>
      </w:r>
      <w:r w:rsidR="00410D2D">
        <w:rPr>
          <w:color w:val="auto"/>
        </w:rPr>
        <w:t>re</w:t>
      </w:r>
      <w:r>
        <w:rPr>
          <w:color w:val="auto"/>
        </w:rPr>
        <w:t xml:space="preserve"> a variation is processed</w:t>
      </w:r>
      <w:r w:rsidR="008E112E">
        <w:rPr>
          <w:color w:val="auto"/>
        </w:rPr>
        <w:t xml:space="preserve"> </w:t>
      </w:r>
      <w:r w:rsidR="00AE0160">
        <w:rPr>
          <w:color w:val="auto"/>
        </w:rPr>
        <w:t>that</w:t>
      </w:r>
      <w:r w:rsidR="00123816">
        <w:rPr>
          <w:color w:val="auto"/>
        </w:rPr>
        <w:t xml:space="preserve"> changes the text of the underlying agreement</w:t>
      </w:r>
      <w:r w:rsidR="0016645B">
        <w:rPr>
          <w:color w:val="auto"/>
        </w:rPr>
        <w:t>,</w:t>
      </w:r>
      <w:r w:rsidR="008E112E">
        <w:rPr>
          <w:color w:val="auto"/>
        </w:rPr>
        <w:t xml:space="preserve"> </w:t>
      </w:r>
      <w:r>
        <w:rPr>
          <w:color w:val="auto"/>
        </w:rPr>
        <w:t>we will issue a new version of the agreement</w:t>
      </w:r>
      <w:r w:rsidR="00123816">
        <w:rPr>
          <w:color w:val="auto"/>
        </w:rPr>
        <w:t>.</w:t>
      </w:r>
      <w:r>
        <w:rPr>
          <w:color w:val="auto"/>
        </w:rPr>
        <w:t xml:space="preserve"> </w:t>
      </w:r>
      <w:r w:rsidR="00913284">
        <w:rPr>
          <w:color w:val="auto"/>
        </w:rPr>
        <w:t>T</w:t>
      </w:r>
      <w:r>
        <w:rPr>
          <w:color w:val="auto"/>
        </w:rPr>
        <w:t xml:space="preserve">he operator </w:t>
      </w:r>
      <w:r w:rsidR="00913284">
        <w:rPr>
          <w:color w:val="auto"/>
        </w:rPr>
        <w:t>must provide their</w:t>
      </w:r>
      <w:r>
        <w:rPr>
          <w:color w:val="auto"/>
        </w:rPr>
        <w:t xml:space="preserve"> assent to</w:t>
      </w:r>
      <w:r w:rsidR="00913284">
        <w:rPr>
          <w:color w:val="auto"/>
        </w:rPr>
        <w:t xml:space="preserve"> the new version of the agreement</w:t>
      </w:r>
      <w:r>
        <w:rPr>
          <w:color w:val="auto"/>
        </w:rPr>
        <w:t>. In some instances, a variation that alters the baseline performance may trigger an amendment to the target.</w:t>
      </w:r>
    </w:p>
    <w:p w14:paraId="03C5215E" w14:textId="30CF11E1" w:rsidR="00B62A50" w:rsidRDefault="00847073" w:rsidP="00FF0098">
      <w:pPr>
        <w:tabs>
          <w:tab w:val="left" w:pos="0"/>
        </w:tabs>
        <w:ind w:right="182"/>
        <w:rPr>
          <w:color w:val="auto"/>
          <w:szCs w:val="24"/>
        </w:rPr>
      </w:pPr>
      <w:r>
        <w:rPr>
          <w:color w:val="auto"/>
          <w:szCs w:val="24"/>
        </w:rPr>
        <w:t>For v</w:t>
      </w:r>
      <w:r w:rsidR="001018AE">
        <w:rPr>
          <w:color w:val="auto"/>
          <w:szCs w:val="24"/>
        </w:rPr>
        <w:t xml:space="preserve">ariations which do not change the text of the </w:t>
      </w:r>
      <w:r w:rsidR="00B078CD">
        <w:rPr>
          <w:color w:val="auto"/>
          <w:szCs w:val="24"/>
        </w:rPr>
        <w:t>u</w:t>
      </w:r>
      <w:r w:rsidR="001018AE">
        <w:rPr>
          <w:color w:val="auto"/>
          <w:szCs w:val="24"/>
        </w:rPr>
        <w:t xml:space="preserve">nderlying </w:t>
      </w:r>
      <w:r w:rsidR="00B078CD">
        <w:rPr>
          <w:color w:val="auto"/>
          <w:szCs w:val="24"/>
        </w:rPr>
        <w:t>a</w:t>
      </w:r>
      <w:r w:rsidR="001018AE">
        <w:rPr>
          <w:color w:val="auto"/>
          <w:szCs w:val="24"/>
        </w:rPr>
        <w:t>greement</w:t>
      </w:r>
      <w:r w:rsidR="00222A5D">
        <w:rPr>
          <w:color w:val="auto"/>
          <w:szCs w:val="24"/>
        </w:rPr>
        <w:t xml:space="preserve"> a</w:t>
      </w:r>
      <w:r w:rsidR="00D21E0A">
        <w:rPr>
          <w:color w:val="auto"/>
          <w:szCs w:val="24"/>
        </w:rPr>
        <w:t xml:space="preserve"> notification letter will instead be issued to the operator</w:t>
      </w:r>
      <w:r w:rsidR="00A723F8">
        <w:rPr>
          <w:color w:val="auto"/>
          <w:szCs w:val="24"/>
        </w:rPr>
        <w:t>. The notification letter will</w:t>
      </w:r>
      <w:r w:rsidR="00D44C45">
        <w:rPr>
          <w:color w:val="auto"/>
          <w:szCs w:val="24"/>
        </w:rPr>
        <w:t xml:space="preserve"> detail the changes that have be</w:t>
      </w:r>
      <w:r w:rsidR="00A76849">
        <w:rPr>
          <w:color w:val="auto"/>
          <w:szCs w:val="24"/>
        </w:rPr>
        <w:t>en</w:t>
      </w:r>
      <w:r w:rsidR="00D44C45">
        <w:rPr>
          <w:color w:val="auto"/>
          <w:szCs w:val="24"/>
        </w:rPr>
        <w:t xml:space="preserve"> made to the agreement</w:t>
      </w:r>
      <w:r w:rsidR="00A723F8">
        <w:rPr>
          <w:color w:val="auto"/>
          <w:szCs w:val="24"/>
        </w:rPr>
        <w:t>. These changes</w:t>
      </w:r>
      <w:r w:rsidR="00D44C45">
        <w:rPr>
          <w:color w:val="auto"/>
          <w:szCs w:val="24"/>
        </w:rPr>
        <w:t xml:space="preserve"> </w:t>
      </w:r>
      <w:r w:rsidR="000C6E5F">
        <w:rPr>
          <w:color w:val="auto"/>
          <w:szCs w:val="24"/>
        </w:rPr>
        <w:t>include</w:t>
      </w:r>
      <w:r w:rsidR="00076438">
        <w:rPr>
          <w:color w:val="auto"/>
          <w:szCs w:val="24"/>
        </w:rPr>
        <w:t>:</w:t>
      </w:r>
    </w:p>
    <w:p w14:paraId="76757201" w14:textId="64F13AA5" w:rsidR="00076438" w:rsidRPr="00076438" w:rsidRDefault="00076438" w:rsidP="00076438">
      <w:pPr>
        <w:numPr>
          <w:ilvl w:val="0"/>
          <w:numId w:val="182"/>
        </w:numPr>
        <w:tabs>
          <w:tab w:val="left" w:pos="0"/>
        </w:tabs>
        <w:ind w:right="182"/>
        <w:rPr>
          <w:color w:val="auto"/>
          <w:szCs w:val="24"/>
        </w:rPr>
      </w:pPr>
      <w:r w:rsidRPr="00076438">
        <w:rPr>
          <w:color w:val="auto"/>
          <w:szCs w:val="24"/>
        </w:rPr>
        <w:t xml:space="preserve">changes to the </w:t>
      </w:r>
      <w:r w:rsidR="00BD332B">
        <w:rPr>
          <w:color w:val="auto"/>
          <w:szCs w:val="24"/>
        </w:rPr>
        <w:t>r</w:t>
      </w:r>
      <w:r w:rsidRPr="00076438">
        <w:rPr>
          <w:color w:val="auto"/>
          <w:szCs w:val="24"/>
        </w:rPr>
        <w:t xml:space="preserve">esponsible </w:t>
      </w:r>
      <w:r w:rsidR="00BD332B">
        <w:rPr>
          <w:color w:val="auto"/>
          <w:szCs w:val="24"/>
        </w:rPr>
        <w:t>p</w:t>
      </w:r>
      <w:r w:rsidRPr="00076438">
        <w:rPr>
          <w:color w:val="auto"/>
          <w:szCs w:val="24"/>
        </w:rPr>
        <w:t>erson’s personal information (name, address, email address)</w:t>
      </w:r>
    </w:p>
    <w:p w14:paraId="12A37512" w14:textId="5B5B1D0B" w:rsidR="00076438" w:rsidRPr="00076438" w:rsidRDefault="00076438" w:rsidP="00076438">
      <w:pPr>
        <w:numPr>
          <w:ilvl w:val="0"/>
          <w:numId w:val="182"/>
        </w:numPr>
        <w:tabs>
          <w:tab w:val="left" w:pos="0"/>
        </w:tabs>
        <w:ind w:right="182"/>
        <w:rPr>
          <w:color w:val="auto"/>
          <w:szCs w:val="24"/>
        </w:rPr>
      </w:pPr>
      <w:r w:rsidRPr="00076438">
        <w:rPr>
          <w:color w:val="auto"/>
          <w:szCs w:val="24"/>
        </w:rPr>
        <w:t xml:space="preserve">changes to the results of the </w:t>
      </w:r>
      <w:hyperlink w:anchor="seventypercentrule" w:history="1">
        <w:r w:rsidRPr="005F044C">
          <w:rPr>
            <w:rStyle w:val="Hyperlink"/>
            <w:szCs w:val="24"/>
          </w:rPr>
          <w:t>70% rule</w:t>
        </w:r>
      </w:hyperlink>
      <w:r w:rsidRPr="00076438">
        <w:rPr>
          <w:color w:val="auto"/>
          <w:szCs w:val="24"/>
        </w:rPr>
        <w:t xml:space="preserve"> evaluation</w:t>
      </w:r>
    </w:p>
    <w:p w14:paraId="23CEEBD0" w14:textId="7AE49704" w:rsidR="00076438" w:rsidRPr="00076438" w:rsidRDefault="00076438" w:rsidP="00076438">
      <w:pPr>
        <w:numPr>
          <w:ilvl w:val="0"/>
          <w:numId w:val="182"/>
        </w:numPr>
        <w:tabs>
          <w:tab w:val="left" w:pos="0"/>
        </w:tabs>
        <w:ind w:right="182"/>
        <w:rPr>
          <w:color w:val="auto"/>
          <w:szCs w:val="24"/>
        </w:rPr>
      </w:pPr>
      <w:r w:rsidRPr="00076438">
        <w:rPr>
          <w:color w:val="auto"/>
          <w:szCs w:val="24"/>
        </w:rPr>
        <w:t xml:space="preserve">corrections to </w:t>
      </w:r>
      <w:hyperlink w:anchor="baseyear" w:history="1">
        <w:r w:rsidRPr="00A153DC">
          <w:rPr>
            <w:rStyle w:val="Hyperlink"/>
            <w:szCs w:val="24"/>
          </w:rPr>
          <w:t>base year</w:t>
        </w:r>
      </w:hyperlink>
      <w:r w:rsidRPr="00076438">
        <w:rPr>
          <w:color w:val="auto"/>
          <w:szCs w:val="24"/>
        </w:rPr>
        <w:t xml:space="preserve"> energy or carbon information </w:t>
      </w:r>
    </w:p>
    <w:p w14:paraId="54394DD9" w14:textId="77777777" w:rsidR="00076438" w:rsidRPr="00076438" w:rsidRDefault="00076438" w:rsidP="00076438">
      <w:pPr>
        <w:numPr>
          <w:ilvl w:val="0"/>
          <w:numId w:val="182"/>
        </w:numPr>
        <w:tabs>
          <w:tab w:val="left" w:pos="0"/>
        </w:tabs>
        <w:ind w:right="182"/>
        <w:rPr>
          <w:color w:val="auto"/>
          <w:szCs w:val="24"/>
        </w:rPr>
      </w:pPr>
      <w:r w:rsidRPr="00076438">
        <w:rPr>
          <w:color w:val="auto"/>
          <w:szCs w:val="24"/>
        </w:rPr>
        <w:t>addition of product level base year information</w:t>
      </w:r>
    </w:p>
    <w:p w14:paraId="356C5C05" w14:textId="77777777" w:rsidR="00DF0FC7" w:rsidRDefault="00076438">
      <w:pPr>
        <w:numPr>
          <w:ilvl w:val="0"/>
          <w:numId w:val="182"/>
        </w:numPr>
        <w:tabs>
          <w:tab w:val="left" w:pos="0"/>
        </w:tabs>
        <w:ind w:right="182"/>
        <w:rPr>
          <w:color w:val="auto"/>
          <w:szCs w:val="24"/>
        </w:rPr>
      </w:pPr>
      <w:r w:rsidRPr="00DF0FC7">
        <w:rPr>
          <w:color w:val="auto"/>
          <w:szCs w:val="24"/>
        </w:rPr>
        <w:t xml:space="preserve">changes to the documents supporting a facility’s </w:t>
      </w:r>
      <w:r w:rsidR="00DF0FC7">
        <w:rPr>
          <w:color w:val="auto"/>
          <w:szCs w:val="24"/>
        </w:rPr>
        <w:t>eligibility</w:t>
      </w:r>
    </w:p>
    <w:p w14:paraId="529F9FE6" w14:textId="4D6C34BE" w:rsidR="00B62A50" w:rsidRDefault="00984F30" w:rsidP="00FF0098">
      <w:pPr>
        <w:tabs>
          <w:tab w:val="left" w:pos="0"/>
        </w:tabs>
        <w:ind w:right="182"/>
        <w:rPr>
          <w:color w:val="auto"/>
          <w:szCs w:val="24"/>
        </w:rPr>
      </w:pPr>
      <w:r>
        <w:rPr>
          <w:color w:val="auto"/>
          <w:szCs w:val="24"/>
        </w:rPr>
        <w:t>Operators are not required to provide assent to notification letters.</w:t>
      </w:r>
    </w:p>
    <w:p w14:paraId="58BA9869" w14:textId="5C75C0B4" w:rsidR="00026E66" w:rsidRDefault="002737EF" w:rsidP="00FF0098">
      <w:pPr>
        <w:tabs>
          <w:tab w:val="left" w:pos="0"/>
        </w:tabs>
        <w:ind w:right="182"/>
        <w:rPr>
          <w:color w:val="auto"/>
          <w:szCs w:val="24"/>
        </w:rPr>
      </w:pPr>
      <w:r>
        <w:rPr>
          <w:color w:val="auto"/>
          <w:szCs w:val="24"/>
        </w:rPr>
        <w:t xml:space="preserve">The sector association can </w:t>
      </w:r>
      <w:r w:rsidR="00A57A06">
        <w:rPr>
          <w:color w:val="auto"/>
          <w:szCs w:val="24"/>
        </w:rPr>
        <w:t xml:space="preserve">initiate </w:t>
      </w:r>
      <w:r>
        <w:rPr>
          <w:color w:val="auto"/>
          <w:szCs w:val="24"/>
        </w:rPr>
        <w:t>a variation</w:t>
      </w:r>
      <w:r w:rsidR="00860280">
        <w:rPr>
          <w:color w:val="auto"/>
          <w:szCs w:val="24"/>
        </w:rPr>
        <w:t xml:space="preserve"> to an agreement</w:t>
      </w:r>
      <w:r>
        <w:rPr>
          <w:color w:val="auto"/>
          <w:szCs w:val="24"/>
        </w:rPr>
        <w:t xml:space="preserve"> and, if </w:t>
      </w:r>
      <w:r w:rsidR="00FB3D5D">
        <w:rPr>
          <w:color w:val="auto"/>
          <w:szCs w:val="24"/>
        </w:rPr>
        <w:t>appro</w:t>
      </w:r>
      <w:r w:rsidR="00672714">
        <w:rPr>
          <w:color w:val="auto"/>
          <w:szCs w:val="24"/>
        </w:rPr>
        <w:t>ved</w:t>
      </w:r>
      <w:r w:rsidR="00FB3D5D">
        <w:rPr>
          <w:color w:val="auto"/>
          <w:szCs w:val="24"/>
        </w:rPr>
        <w:t>, amend</w:t>
      </w:r>
      <w:r>
        <w:rPr>
          <w:color w:val="auto"/>
          <w:szCs w:val="24"/>
        </w:rPr>
        <w:t xml:space="preserve"> a </w:t>
      </w:r>
      <w:hyperlink w:anchor="facilitytarget" w:history="1">
        <w:r w:rsidR="00860280" w:rsidRPr="00B27616">
          <w:rPr>
            <w:rStyle w:val="Hyperlink"/>
            <w:szCs w:val="24"/>
          </w:rPr>
          <w:t xml:space="preserve">facility </w:t>
        </w:r>
        <w:r w:rsidRPr="00B27616">
          <w:rPr>
            <w:rStyle w:val="Hyperlink"/>
            <w:szCs w:val="24"/>
          </w:rPr>
          <w:t>target</w:t>
        </w:r>
      </w:hyperlink>
      <w:r w:rsidR="00224681">
        <w:rPr>
          <w:color w:val="auto"/>
          <w:szCs w:val="24"/>
        </w:rPr>
        <w:t xml:space="preserve"> (</w:t>
      </w:r>
      <w:hyperlink w:anchor="_7.5._Review_of" w:history="1">
        <w:r w:rsidR="00224681" w:rsidRPr="00310B7C">
          <w:rPr>
            <w:rStyle w:val="Hyperlink"/>
            <w:szCs w:val="24"/>
          </w:rPr>
          <w:t>section 7.5</w:t>
        </w:r>
      </w:hyperlink>
      <w:r w:rsidR="00224681">
        <w:rPr>
          <w:color w:val="auto"/>
          <w:szCs w:val="24"/>
        </w:rPr>
        <w:t>).</w:t>
      </w:r>
    </w:p>
    <w:p w14:paraId="40BEF1C3" w14:textId="71F7076A" w:rsidR="00FA75A7" w:rsidRDefault="00EC4B19" w:rsidP="00FF0098">
      <w:pPr>
        <w:tabs>
          <w:tab w:val="left" w:pos="0"/>
        </w:tabs>
        <w:ind w:right="182"/>
        <w:rPr>
          <w:color w:val="auto"/>
          <w:szCs w:val="24"/>
        </w:rPr>
      </w:pPr>
      <w:r>
        <w:rPr>
          <w:color w:val="auto"/>
          <w:szCs w:val="24"/>
        </w:rPr>
        <w:lastRenderedPageBreak/>
        <w:t>Some variations may be initiated</w:t>
      </w:r>
      <w:r w:rsidR="00654A97">
        <w:rPr>
          <w:color w:val="auto"/>
          <w:szCs w:val="24"/>
        </w:rPr>
        <w:t xml:space="preserve"> and completed</w:t>
      </w:r>
      <w:r>
        <w:rPr>
          <w:color w:val="auto"/>
          <w:szCs w:val="24"/>
        </w:rPr>
        <w:t xml:space="preserve"> by the administrator t</w:t>
      </w:r>
      <w:r w:rsidR="00BA431C">
        <w:rPr>
          <w:color w:val="auto"/>
          <w:szCs w:val="24"/>
        </w:rPr>
        <w:t>o maintain or update agreements</w:t>
      </w:r>
      <w:r w:rsidR="00654A97">
        <w:rPr>
          <w:color w:val="auto"/>
          <w:szCs w:val="24"/>
        </w:rPr>
        <w:t xml:space="preserve"> or data on the </w:t>
      </w:r>
      <w:proofErr w:type="spellStart"/>
      <w:r w:rsidR="00654A97">
        <w:rPr>
          <w:color w:val="auto"/>
          <w:szCs w:val="24"/>
        </w:rPr>
        <w:t>MyCCA</w:t>
      </w:r>
      <w:proofErr w:type="spellEnd"/>
      <w:r w:rsidR="00654A97">
        <w:rPr>
          <w:color w:val="auto"/>
          <w:szCs w:val="24"/>
        </w:rPr>
        <w:t xml:space="preserve"> service.</w:t>
      </w:r>
    </w:p>
    <w:p w14:paraId="0975E1C5" w14:textId="00015022" w:rsidR="00026E66" w:rsidRDefault="002737EF" w:rsidP="00FF0098">
      <w:pPr>
        <w:tabs>
          <w:tab w:val="left" w:pos="0"/>
        </w:tabs>
        <w:ind w:right="182"/>
      </w:pPr>
      <w:r>
        <w:rPr>
          <w:color w:val="auto"/>
        </w:rPr>
        <w:t xml:space="preserve">The different types of variations are outlined </w:t>
      </w:r>
      <w:r>
        <w:rPr>
          <w:color w:val="auto"/>
          <w:szCs w:val="24"/>
        </w:rPr>
        <w:t xml:space="preserve">below, together with links to </w:t>
      </w:r>
      <w:hyperlink w:anchor="_7.1._An_operator" w:history="1">
        <w:r w:rsidRPr="00310B7C">
          <w:rPr>
            <w:rStyle w:val="Hyperlink"/>
          </w:rPr>
          <w:t>sections</w:t>
        </w:r>
        <w:r w:rsidR="005417D6" w:rsidRPr="00310B7C">
          <w:rPr>
            <w:rStyle w:val="Hyperlink"/>
          </w:rPr>
          <w:t xml:space="preserve"> </w:t>
        </w:r>
        <w:r w:rsidR="00197D14" w:rsidRPr="00310B7C">
          <w:rPr>
            <w:rStyle w:val="Hyperlink"/>
          </w:rPr>
          <w:t>7.1</w:t>
        </w:r>
      </w:hyperlink>
      <w:r w:rsidR="00197D14">
        <w:rPr>
          <w:color w:val="auto"/>
        </w:rPr>
        <w:t xml:space="preserve"> to</w:t>
      </w:r>
      <w:r>
        <w:rPr>
          <w:color w:val="auto"/>
        </w:rPr>
        <w:t xml:space="preserve"> </w:t>
      </w:r>
      <w:hyperlink w:anchor="_7.8._Other_types" w:history="1">
        <w:r w:rsidR="005417D6" w:rsidRPr="00310B7C">
          <w:rPr>
            <w:rStyle w:val="Hyperlink"/>
          </w:rPr>
          <w:t>7.</w:t>
        </w:r>
        <w:r w:rsidR="00440BCB" w:rsidRPr="00310B7C">
          <w:rPr>
            <w:rStyle w:val="Hyperlink"/>
          </w:rPr>
          <w:t>8</w:t>
        </w:r>
      </w:hyperlink>
      <w:r>
        <w:rPr>
          <w:color w:val="auto"/>
        </w:rPr>
        <w:t xml:space="preserve"> </w:t>
      </w:r>
      <w:r>
        <w:rPr>
          <w:color w:val="auto"/>
          <w:szCs w:val="24"/>
        </w:rPr>
        <w:t>which provide further detail.</w:t>
      </w:r>
      <w:r>
        <w:rPr>
          <w:color w:val="auto"/>
        </w:rPr>
        <w:t xml:space="preserve"> </w:t>
      </w:r>
      <w:hyperlink w:anchor="_7.9._What_cannot" w:history="1">
        <w:r>
          <w:rPr>
            <w:rStyle w:val="Hyperlink"/>
          </w:rPr>
          <w:t>Section 7.</w:t>
        </w:r>
        <w:r w:rsidR="00440BCB">
          <w:rPr>
            <w:rStyle w:val="Hyperlink"/>
          </w:rPr>
          <w:t>9</w:t>
        </w:r>
      </w:hyperlink>
      <w:r>
        <w:rPr>
          <w:color w:val="auto"/>
        </w:rPr>
        <w:t xml:space="preserve"> </w:t>
      </w:r>
      <w:r>
        <w:rPr>
          <w:color w:val="auto"/>
          <w:szCs w:val="24"/>
        </w:rPr>
        <w:t>gives</w:t>
      </w:r>
      <w:r>
        <w:rPr>
          <w:color w:val="auto"/>
        </w:rPr>
        <w:t xml:space="preserve"> details of what can't be changed by a variation</w:t>
      </w:r>
      <w:r>
        <w:rPr>
          <w:color w:val="auto"/>
          <w:szCs w:val="24"/>
        </w:rPr>
        <w:t xml:space="preserve"> and</w:t>
      </w:r>
      <w:r>
        <w:rPr>
          <w:color w:val="auto"/>
        </w:rPr>
        <w:t xml:space="preserve"> </w:t>
      </w:r>
      <w:hyperlink w:anchor="_7.10._Timescale_for" w:history="1">
        <w:r>
          <w:rPr>
            <w:rStyle w:val="Hyperlink"/>
            <w:szCs w:val="24"/>
          </w:rPr>
          <w:t>section</w:t>
        </w:r>
        <w:r>
          <w:rPr>
            <w:rStyle w:val="Hyperlink"/>
          </w:rPr>
          <w:t xml:space="preserve"> 7.1</w:t>
        </w:r>
        <w:r w:rsidR="00440BCB">
          <w:rPr>
            <w:rStyle w:val="Hyperlink"/>
          </w:rPr>
          <w:t>0</w:t>
        </w:r>
      </w:hyperlink>
      <w:r>
        <w:rPr>
          <w:color w:val="auto"/>
        </w:rPr>
        <w:t xml:space="preserve"> covers the timescale for notifying us of change. In some instances, more than one </w:t>
      </w:r>
      <w:r>
        <w:rPr>
          <w:color w:val="auto"/>
          <w:szCs w:val="24"/>
        </w:rPr>
        <w:t xml:space="preserve">of a possible range of variations may be necessary depending on the type of change the operator has gone through. </w:t>
      </w:r>
    </w:p>
    <w:p w14:paraId="7A9C4643" w14:textId="51C49E16" w:rsidR="00304423" w:rsidRPr="00BD74B1" w:rsidRDefault="002737EF" w:rsidP="00FF0098">
      <w:pPr>
        <w:tabs>
          <w:tab w:val="left" w:pos="0"/>
        </w:tabs>
        <w:spacing w:after="16"/>
        <w:ind w:right="182"/>
        <w:rPr>
          <w:color w:val="auto"/>
        </w:rPr>
      </w:pPr>
      <w:r>
        <w:rPr>
          <w:color w:val="auto"/>
        </w:rPr>
        <w:t xml:space="preserve">If you're not sure about whether a variation is needed following a change of some kind, please contact the </w:t>
      </w:r>
      <w:hyperlink r:id="rId48" w:history="1">
        <w:r w:rsidR="004874DE">
          <w:rPr>
            <w:rStyle w:val="Hyperlink"/>
            <w:color w:val="0070C0"/>
          </w:rPr>
          <w:t>CCA helpdesk</w:t>
        </w:r>
      </w:hyperlink>
      <w:r w:rsidR="004874DE">
        <w:t xml:space="preserve"> </w:t>
      </w:r>
      <w:r>
        <w:rPr>
          <w:color w:val="auto"/>
        </w:rPr>
        <w:t>for advice</w:t>
      </w:r>
      <w:r w:rsidR="004874DE">
        <w:rPr>
          <w:color w:val="auto"/>
        </w:rPr>
        <w:t>.</w:t>
      </w:r>
      <w:r>
        <w:rPr>
          <w:color w:val="auto"/>
        </w:rPr>
        <w:t xml:space="preserve"> </w:t>
      </w:r>
    </w:p>
    <w:p w14:paraId="72BFF6D8" w14:textId="0D4304B9" w:rsidR="00026E66" w:rsidRDefault="002737EF" w:rsidP="00FF0098">
      <w:pPr>
        <w:tabs>
          <w:tab w:val="left" w:pos="0"/>
        </w:tabs>
        <w:spacing w:after="31" w:line="256" w:lineRule="auto"/>
        <w:rPr>
          <w:color w:val="auto"/>
          <w:szCs w:val="24"/>
        </w:rPr>
      </w:pPr>
      <w:r w:rsidRPr="00E72993">
        <w:rPr>
          <w:b/>
          <w:bCs/>
          <w:color w:val="auto"/>
          <w:szCs w:val="24"/>
        </w:rPr>
        <w:t>Different types of variation</w:t>
      </w:r>
      <w:r>
        <w:rPr>
          <w:color w:val="auto"/>
          <w:szCs w:val="24"/>
        </w:rPr>
        <w:t>:</w:t>
      </w:r>
    </w:p>
    <w:p w14:paraId="496DB69A" w14:textId="61EEDD90" w:rsidR="00026E66" w:rsidRDefault="002737EF" w:rsidP="0065356B">
      <w:pPr>
        <w:pStyle w:val="ListParagraph"/>
        <w:numPr>
          <w:ilvl w:val="0"/>
          <w:numId w:val="18"/>
        </w:numPr>
        <w:tabs>
          <w:tab w:val="left" w:pos="0"/>
        </w:tabs>
        <w:spacing w:after="35"/>
        <w:ind w:right="182"/>
      </w:pPr>
      <w:r w:rsidRPr="00E72993">
        <w:rPr>
          <w:szCs w:val="24"/>
        </w:rPr>
        <w:t>When an operator takes over a facility from another operator</w:t>
      </w:r>
      <w:r>
        <w:t xml:space="preserve"> </w:t>
      </w:r>
    </w:p>
    <w:p w14:paraId="330906A3" w14:textId="57E87CE1" w:rsidR="00026E66" w:rsidRDefault="002737EF" w:rsidP="0065356B">
      <w:pPr>
        <w:pStyle w:val="ListParagraph"/>
        <w:numPr>
          <w:ilvl w:val="0"/>
          <w:numId w:val="18"/>
        </w:numPr>
        <w:tabs>
          <w:tab w:val="left" w:pos="0"/>
        </w:tabs>
        <w:spacing w:after="37"/>
        <w:ind w:right="182"/>
      </w:pPr>
      <w:r w:rsidRPr="00E72993">
        <w:rPr>
          <w:szCs w:val="24"/>
        </w:rPr>
        <w:t xml:space="preserve">When an operator changes ownership and includes </w:t>
      </w:r>
      <w:r>
        <w:t xml:space="preserve">all facilities </w:t>
      </w:r>
      <w:r w:rsidRPr="00E72993">
        <w:rPr>
          <w:szCs w:val="24"/>
        </w:rPr>
        <w:t>within one</w:t>
      </w:r>
      <w:r>
        <w:t xml:space="preserve"> agreement (</w:t>
      </w:r>
      <w:hyperlink w:anchor="_7.1.2._Amending_the" w:history="1">
        <w:r>
          <w:rPr>
            <w:rStyle w:val="Hyperlink"/>
          </w:rPr>
          <w:t>section 7.2</w:t>
        </w:r>
      </w:hyperlink>
      <w:r>
        <w:t>)</w:t>
      </w:r>
      <w:r w:rsidRPr="00E72993">
        <w:rPr>
          <w:szCs w:val="24"/>
        </w:rPr>
        <w:t xml:space="preserve"> </w:t>
      </w:r>
    </w:p>
    <w:p w14:paraId="7C50738D" w14:textId="60876E3C" w:rsidR="00026E66" w:rsidRDefault="002737EF" w:rsidP="0065356B">
      <w:pPr>
        <w:pStyle w:val="ListParagraph"/>
        <w:numPr>
          <w:ilvl w:val="0"/>
          <w:numId w:val="18"/>
        </w:numPr>
        <w:tabs>
          <w:tab w:val="left" w:pos="0"/>
        </w:tabs>
        <w:spacing w:after="33"/>
        <w:ind w:right="182"/>
      </w:pPr>
      <w:r w:rsidRPr="00E72993">
        <w:rPr>
          <w:szCs w:val="24"/>
        </w:rPr>
        <w:t>When</w:t>
      </w:r>
      <w:r>
        <w:t xml:space="preserve"> the company name of an operator </w:t>
      </w:r>
      <w:r w:rsidRPr="00E72993">
        <w:rPr>
          <w:szCs w:val="24"/>
        </w:rPr>
        <w:t xml:space="preserve">changes </w:t>
      </w:r>
      <w:r>
        <w:t>(</w:t>
      </w:r>
      <w:hyperlink w:anchor="_7.3._The_company" w:history="1">
        <w:r>
          <w:rPr>
            <w:rStyle w:val="Hyperlink"/>
          </w:rPr>
          <w:t>section 7.3</w:t>
        </w:r>
      </w:hyperlink>
      <w:r>
        <w:t>)</w:t>
      </w:r>
      <w:r w:rsidRPr="00E72993">
        <w:rPr>
          <w:szCs w:val="24"/>
        </w:rPr>
        <w:t xml:space="preserve"> </w:t>
      </w:r>
    </w:p>
    <w:p w14:paraId="356DEE58" w14:textId="6D5B9B5F" w:rsidR="00026E66" w:rsidRDefault="002737EF" w:rsidP="0065356B">
      <w:pPr>
        <w:pStyle w:val="ListParagraph"/>
        <w:numPr>
          <w:ilvl w:val="1"/>
          <w:numId w:val="18"/>
        </w:numPr>
        <w:tabs>
          <w:tab w:val="left" w:pos="0"/>
        </w:tabs>
        <w:spacing w:after="36"/>
        <w:ind w:right="182"/>
      </w:pPr>
      <w:r>
        <w:t>when the legal entity has changed for the operator (</w:t>
      </w:r>
      <w:hyperlink w:anchor="_7.3.1._When_the_1" w:history="1">
        <w:r>
          <w:rPr>
            <w:rStyle w:val="Hyperlink"/>
          </w:rPr>
          <w:t>section 7.3.1</w:t>
        </w:r>
      </w:hyperlink>
      <w:r>
        <w:t>)</w:t>
      </w:r>
      <w:r w:rsidRPr="00E72993">
        <w:rPr>
          <w:szCs w:val="24"/>
        </w:rPr>
        <w:t xml:space="preserve"> </w:t>
      </w:r>
    </w:p>
    <w:p w14:paraId="555D8534" w14:textId="49DC43D7" w:rsidR="00026E66" w:rsidRDefault="002737EF" w:rsidP="0065356B">
      <w:pPr>
        <w:pStyle w:val="ListParagraph"/>
        <w:numPr>
          <w:ilvl w:val="1"/>
          <w:numId w:val="18"/>
        </w:numPr>
        <w:tabs>
          <w:tab w:val="left" w:pos="0"/>
        </w:tabs>
        <w:spacing w:after="33"/>
        <w:ind w:right="182"/>
      </w:pPr>
      <w:r>
        <w:t xml:space="preserve">when the </w:t>
      </w:r>
      <w:proofErr w:type="gramStart"/>
      <w:r>
        <w:t>operator</w:t>
      </w:r>
      <w:proofErr w:type="gramEnd"/>
      <w:r>
        <w:t xml:space="preserve"> name has changed (</w:t>
      </w:r>
      <w:hyperlink w:anchor="_7.3.2._When_you" w:history="1">
        <w:r>
          <w:rPr>
            <w:rStyle w:val="Hyperlink"/>
          </w:rPr>
          <w:t>section 7.3.2</w:t>
        </w:r>
      </w:hyperlink>
      <w:r>
        <w:t>)</w:t>
      </w:r>
      <w:r w:rsidRPr="00E72993">
        <w:rPr>
          <w:szCs w:val="24"/>
        </w:rPr>
        <w:t xml:space="preserve"> </w:t>
      </w:r>
    </w:p>
    <w:p w14:paraId="7FCBF08E" w14:textId="7B8C75FB" w:rsidR="00026E66" w:rsidRDefault="002737EF" w:rsidP="0065356B">
      <w:pPr>
        <w:pStyle w:val="ListParagraph"/>
        <w:numPr>
          <w:ilvl w:val="0"/>
          <w:numId w:val="18"/>
        </w:numPr>
        <w:tabs>
          <w:tab w:val="left" w:pos="0"/>
        </w:tabs>
        <w:spacing w:after="35"/>
        <w:ind w:right="182"/>
      </w:pPr>
      <w:r w:rsidRPr="00E72993">
        <w:rPr>
          <w:szCs w:val="24"/>
        </w:rPr>
        <w:t>When</w:t>
      </w:r>
      <w:r>
        <w:t xml:space="preserve"> the address </w:t>
      </w:r>
      <w:r w:rsidRPr="00E72993">
        <w:rPr>
          <w:szCs w:val="24"/>
        </w:rPr>
        <w:t xml:space="preserve">of the responsible person </w:t>
      </w:r>
      <w:r>
        <w:t xml:space="preserve">for </w:t>
      </w:r>
      <w:r w:rsidRPr="00E72993">
        <w:rPr>
          <w:szCs w:val="24"/>
        </w:rPr>
        <w:t xml:space="preserve">the </w:t>
      </w:r>
      <w:r w:rsidR="0014255C">
        <w:rPr>
          <w:szCs w:val="24"/>
        </w:rPr>
        <w:t xml:space="preserve">agreement </w:t>
      </w:r>
      <w:r w:rsidRPr="00E72993">
        <w:rPr>
          <w:szCs w:val="24"/>
        </w:rPr>
        <w:t>changes</w:t>
      </w:r>
      <w:r>
        <w:t xml:space="preserve"> (</w:t>
      </w:r>
      <w:hyperlink w:anchor="_7.4._The_address" w:history="1">
        <w:r w:rsidRPr="00672714">
          <w:rPr>
            <w:rStyle w:val="Hyperlink"/>
          </w:rPr>
          <w:t>section 7.4)</w:t>
        </w:r>
      </w:hyperlink>
      <w:r w:rsidRPr="00E72993">
        <w:rPr>
          <w:szCs w:val="24"/>
        </w:rPr>
        <w:t xml:space="preserve"> </w:t>
      </w:r>
    </w:p>
    <w:p w14:paraId="4DD88187" w14:textId="1A49996E" w:rsidR="00026E66" w:rsidRDefault="002737EF" w:rsidP="0065356B">
      <w:pPr>
        <w:pStyle w:val="ListParagraph"/>
        <w:numPr>
          <w:ilvl w:val="0"/>
          <w:numId w:val="18"/>
        </w:numPr>
        <w:tabs>
          <w:tab w:val="left" w:pos="0"/>
        </w:tabs>
        <w:spacing w:after="36"/>
        <w:ind w:right="182"/>
      </w:pPr>
      <w:r w:rsidRPr="00E72993">
        <w:rPr>
          <w:szCs w:val="24"/>
        </w:rPr>
        <w:t xml:space="preserve">Review of the </w:t>
      </w:r>
      <w:r>
        <w:t xml:space="preserve">baseline due to </w:t>
      </w:r>
      <w:hyperlink w:anchor="Structuralchange" w:history="1">
        <w:r w:rsidRPr="004C474C">
          <w:rPr>
            <w:rStyle w:val="Hyperlink"/>
          </w:rPr>
          <w:t>structural change</w:t>
        </w:r>
      </w:hyperlink>
      <w:r>
        <w:t xml:space="preserve"> or </w:t>
      </w:r>
      <w:r w:rsidRPr="00E72993">
        <w:rPr>
          <w:szCs w:val="24"/>
        </w:rPr>
        <w:t xml:space="preserve">review of </w:t>
      </w:r>
      <w:hyperlink w:anchor="seventypercentrule" w:history="1">
        <w:r w:rsidRPr="00672714">
          <w:rPr>
            <w:rStyle w:val="Hyperlink"/>
            <w:szCs w:val="24"/>
          </w:rPr>
          <w:t>70%</w:t>
        </w:r>
      </w:hyperlink>
      <w:r w:rsidRPr="00E72993">
        <w:rPr>
          <w:szCs w:val="24"/>
        </w:rPr>
        <w:t xml:space="preserve"> provision</w:t>
      </w:r>
      <w:r>
        <w:t xml:space="preserve"> (</w:t>
      </w:r>
      <w:hyperlink w:anchor="_7.5._Review_of" w:history="1">
        <w:r>
          <w:rPr>
            <w:rStyle w:val="Hyperlink"/>
          </w:rPr>
          <w:t>section 7.5</w:t>
        </w:r>
      </w:hyperlink>
      <w:r>
        <w:t xml:space="preserve">) </w:t>
      </w:r>
    </w:p>
    <w:p w14:paraId="05EE0152" w14:textId="5F17C3B5" w:rsidR="00026E66" w:rsidRDefault="002737EF" w:rsidP="0065356B">
      <w:pPr>
        <w:pStyle w:val="ListParagraph"/>
        <w:numPr>
          <w:ilvl w:val="1"/>
          <w:numId w:val="18"/>
        </w:numPr>
        <w:tabs>
          <w:tab w:val="left" w:pos="0"/>
        </w:tabs>
        <w:spacing w:after="33"/>
        <w:ind w:right="182"/>
      </w:pPr>
      <w:r>
        <w:t>structural change (</w:t>
      </w:r>
      <w:hyperlink w:anchor="_7.5.1._Structural_change" w:history="1">
        <w:r>
          <w:rPr>
            <w:rStyle w:val="Hyperlink"/>
          </w:rPr>
          <w:t>section 7.5.1</w:t>
        </w:r>
      </w:hyperlink>
      <w:r>
        <w:t xml:space="preserve">) </w:t>
      </w:r>
    </w:p>
    <w:p w14:paraId="16B56223" w14:textId="78F97265" w:rsidR="00026E66" w:rsidRDefault="002737EF" w:rsidP="0065356B">
      <w:pPr>
        <w:pStyle w:val="ListParagraph"/>
        <w:numPr>
          <w:ilvl w:val="1"/>
          <w:numId w:val="18"/>
        </w:numPr>
        <w:tabs>
          <w:tab w:val="left" w:pos="0"/>
        </w:tabs>
        <w:spacing w:after="33"/>
        <w:ind w:right="182"/>
      </w:pPr>
      <w:r>
        <w:t>data errors in baseline discovered (</w:t>
      </w:r>
      <w:hyperlink w:anchor="_7.5.2._Review_of" w:history="1">
        <w:r>
          <w:rPr>
            <w:rStyle w:val="Hyperlink"/>
          </w:rPr>
          <w:t>section 7.5.2</w:t>
        </w:r>
      </w:hyperlink>
      <w:r>
        <w:t xml:space="preserve">) </w:t>
      </w:r>
    </w:p>
    <w:p w14:paraId="478286CC" w14:textId="117B3C4E" w:rsidR="00026E66" w:rsidRDefault="002737EF" w:rsidP="0065356B">
      <w:pPr>
        <w:pStyle w:val="ListParagraph"/>
        <w:numPr>
          <w:ilvl w:val="0"/>
          <w:numId w:val="18"/>
        </w:numPr>
        <w:tabs>
          <w:tab w:val="left" w:pos="0"/>
        </w:tabs>
        <w:spacing w:after="35"/>
        <w:ind w:right="182"/>
      </w:pPr>
      <w:r w:rsidRPr="00E72993">
        <w:rPr>
          <w:szCs w:val="24"/>
        </w:rPr>
        <w:t>Updating</w:t>
      </w:r>
      <w:r>
        <w:t xml:space="preserve"> the </w:t>
      </w:r>
      <w:r w:rsidRPr="00E72993">
        <w:rPr>
          <w:szCs w:val="24"/>
        </w:rPr>
        <w:t xml:space="preserve">baseline from </w:t>
      </w:r>
      <w:r>
        <w:t>estimated to actual values (</w:t>
      </w:r>
      <w:hyperlink w:anchor="_7.6._Updating_the" w:history="1">
        <w:r>
          <w:rPr>
            <w:rStyle w:val="Hyperlink"/>
          </w:rPr>
          <w:t>section 7.6</w:t>
        </w:r>
      </w:hyperlink>
      <w:r>
        <w:t xml:space="preserve">) </w:t>
      </w:r>
    </w:p>
    <w:p w14:paraId="66960437" w14:textId="094208B6" w:rsidR="00026E66" w:rsidRDefault="002737EF" w:rsidP="0065356B">
      <w:pPr>
        <w:pStyle w:val="ListParagraph"/>
        <w:numPr>
          <w:ilvl w:val="0"/>
          <w:numId w:val="18"/>
        </w:numPr>
        <w:tabs>
          <w:tab w:val="left" w:pos="0"/>
        </w:tabs>
        <w:spacing w:after="33"/>
        <w:ind w:right="182"/>
      </w:pPr>
      <w:r w:rsidRPr="00E72993">
        <w:rPr>
          <w:szCs w:val="24"/>
        </w:rPr>
        <w:t>Variations</w:t>
      </w:r>
      <w:r>
        <w:t xml:space="preserve"> for reporting (</w:t>
      </w:r>
      <w:hyperlink w:anchor="_7.7._Variations_for" w:history="1">
        <w:r w:rsidR="004374F6" w:rsidRPr="004374F6">
          <w:rPr>
            <w:rStyle w:val="Hyperlink"/>
          </w:rPr>
          <w:t>section 7.7</w:t>
        </w:r>
      </w:hyperlink>
      <w:r>
        <w:t xml:space="preserve">) </w:t>
      </w:r>
    </w:p>
    <w:p w14:paraId="61B6C701" w14:textId="75647BAD" w:rsidR="00026E66" w:rsidRPr="00E72993" w:rsidRDefault="002737EF" w:rsidP="0065356B">
      <w:pPr>
        <w:pStyle w:val="ListParagraph"/>
        <w:numPr>
          <w:ilvl w:val="0"/>
          <w:numId w:val="18"/>
        </w:numPr>
        <w:tabs>
          <w:tab w:val="left" w:pos="0"/>
        </w:tabs>
        <w:spacing w:after="11"/>
        <w:ind w:right="182"/>
      </w:pPr>
      <w:r w:rsidRPr="00E72993">
        <w:rPr>
          <w:szCs w:val="24"/>
        </w:rPr>
        <w:t xml:space="preserve">Any </w:t>
      </w:r>
      <w:r>
        <w:t xml:space="preserve">other </w:t>
      </w:r>
      <w:r w:rsidRPr="00E72993">
        <w:rPr>
          <w:szCs w:val="24"/>
        </w:rPr>
        <w:t>type</w:t>
      </w:r>
      <w:r>
        <w:t xml:space="preserve"> of </w:t>
      </w:r>
      <w:r w:rsidRPr="00E72993">
        <w:rPr>
          <w:szCs w:val="24"/>
        </w:rPr>
        <w:t>variation</w:t>
      </w:r>
      <w:r>
        <w:t xml:space="preserve"> (</w:t>
      </w:r>
      <w:hyperlink w:anchor="_7.9._Other_types" w:history="1">
        <w:r w:rsidR="004374F6" w:rsidRPr="004374F6">
          <w:rPr>
            <w:rStyle w:val="Hyperlink"/>
          </w:rPr>
          <w:t>section 7.8</w:t>
        </w:r>
      </w:hyperlink>
      <w:r>
        <w:t xml:space="preserve">) </w:t>
      </w:r>
    </w:p>
    <w:p w14:paraId="27BCE8B5" w14:textId="7CAFE229" w:rsidR="00026E66" w:rsidRPr="00E72993" w:rsidRDefault="002737EF" w:rsidP="00E72993">
      <w:pPr>
        <w:pStyle w:val="Heading2"/>
        <w:tabs>
          <w:tab w:val="left" w:pos="0"/>
        </w:tabs>
      </w:pPr>
      <w:bookmarkStart w:id="112" w:name="_7.1._An_operator"/>
      <w:bookmarkStart w:id="113" w:name="_Toc94088898"/>
      <w:bookmarkStart w:id="114" w:name="_Toc242885378"/>
      <w:bookmarkEnd w:id="112"/>
      <w:r>
        <w:t>7.1. A</w:t>
      </w:r>
      <w:r w:rsidR="00E278ED">
        <w:t xml:space="preserve"> </w:t>
      </w:r>
      <w:r>
        <w:t>n</w:t>
      </w:r>
      <w:r w:rsidR="00E278ED">
        <w:t>ew</w:t>
      </w:r>
      <w:r>
        <w:t xml:space="preserve"> operator takes over a</w:t>
      </w:r>
      <w:r w:rsidR="00FF7154">
        <w:t>n existing</w:t>
      </w:r>
      <w:r>
        <w:t xml:space="preserve"> facility </w:t>
      </w:r>
      <w:r w:rsidR="007A5D69">
        <w:t xml:space="preserve">included in another </w:t>
      </w:r>
      <w:r>
        <w:t>operator</w:t>
      </w:r>
      <w:bookmarkEnd w:id="113"/>
      <w:r w:rsidR="007A5D69">
        <w:t>’s agreement</w:t>
      </w:r>
      <w:bookmarkEnd w:id="114"/>
    </w:p>
    <w:p w14:paraId="15382CEA" w14:textId="522E7CB8" w:rsidR="00026E66" w:rsidRDefault="002737EF" w:rsidP="00FF0098">
      <w:pPr>
        <w:tabs>
          <w:tab w:val="left" w:pos="0"/>
        </w:tabs>
        <w:ind w:right="182"/>
      </w:pPr>
      <w:r>
        <w:rPr>
          <w:color w:val="auto"/>
          <w:szCs w:val="24"/>
        </w:rPr>
        <w:t xml:space="preserve">One of the most frequent changes is when </w:t>
      </w:r>
      <w:r w:rsidR="00DC5FB9">
        <w:rPr>
          <w:color w:val="auto"/>
          <w:szCs w:val="24"/>
        </w:rPr>
        <w:t>the ownership of a</w:t>
      </w:r>
      <w:r>
        <w:rPr>
          <w:color w:val="auto"/>
          <w:szCs w:val="24"/>
        </w:rPr>
        <w:t xml:space="preserve"> </w:t>
      </w:r>
      <w:r>
        <w:rPr>
          <w:color w:val="auto"/>
        </w:rPr>
        <w:t xml:space="preserve">facility </w:t>
      </w:r>
      <w:r w:rsidR="00DC5FB9">
        <w:rPr>
          <w:color w:val="auto"/>
        </w:rPr>
        <w:t xml:space="preserve">included in an existing agreement </w:t>
      </w:r>
      <w:r w:rsidR="00726795">
        <w:rPr>
          <w:color w:val="auto"/>
          <w:szCs w:val="24"/>
        </w:rPr>
        <w:t xml:space="preserve">held by an </w:t>
      </w:r>
      <w:proofErr w:type="gramStart"/>
      <w:r w:rsidR="00726795">
        <w:rPr>
          <w:color w:val="auto"/>
          <w:szCs w:val="24"/>
        </w:rPr>
        <w:t xml:space="preserve">operator </w:t>
      </w:r>
      <w:r w:rsidR="00DC5FB9">
        <w:rPr>
          <w:color w:val="auto"/>
        </w:rPr>
        <w:t>transfer</w:t>
      </w:r>
      <w:r w:rsidR="00726795">
        <w:rPr>
          <w:color w:val="auto"/>
        </w:rPr>
        <w:t>s</w:t>
      </w:r>
      <w:proofErr w:type="gramEnd"/>
      <w:r w:rsidR="00DC5FB9">
        <w:rPr>
          <w:color w:val="auto"/>
        </w:rPr>
        <w:t xml:space="preserve"> to a </w:t>
      </w:r>
      <w:r w:rsidR="00726795">
        <w:rPr>
          <w:color w:val="auto"/>
        </w:rPr>
        <w:t xml:space="preserve">different </w:t>
      </w:r>
      <w:r w:rsidR="00DC5FB9">
        <w:rPr>
          <w:color w:val="auto"/>
          <w:szCs w:val="24"/>
        </w:rPr>
        <w:t>operator</w:t>
      </w:r>
      <w:r>
        <w:rPr>
          <w:color w:val="auto"/>
          <w:szCs w:val="24"/>
        </w:rPr>
        <w:t xml:space="preserve">. This type of variation applies: </w:t>
      </w:r>
    </w:p>
    <w:p w14:paraId="271FD996" w14:textId="19BADF52" w:rsidR="00026E66" w:rsidRPr="00E955A3" w:rsidRDefault="002737EF" w:rsidP="0065356B">
      <w:pPr>
        <w:pStyle w:val="ListParagraph"/>
        <w:numPr>
          <w:ilvl w:val="0"/>
          <w:numId w:val="46"/>
        </w:numPr>
        <w:tabs>
          <w:tab w:val="left" w:pos="0"/>
        </w:tabs>
        <w:spacing w:after="76" w:line="244" w:lineRule="auto"/>
        <w:ind w:right="182"/>
        <w:rPr>
          <w:szCs w:val="24"/>
        </w:rPr>
      </w:pPr>
      <w:r w:rsidRPr="00E955A3">
        <w:rPr>
          <w:szCs w:val="24"/>
        </w:rPr>
        <w:t xml:space="preserve">where </w:t>
      </w:r>
      <w:r w:rsidR="00675524">
        <w:rPr>
          <w:szCs w:val="24"/>
        </w:rPr>
        <w:t xml:space="preserve">agreements </w:t>
      </w:r>
      <w:r w:rsidRPr="00E955A3">
        <w:rPr>
          <w:szCs w:val="24"/>
        </w:rPr>
        <w:t xml:space="preserve">(with multiple facilities) exist under different operators in the same sector </w:t>
      </w:r>
    </w:p>
    <w:p w14:paraId="0BEB1B66" w14:textId="77777777" w:rsidR="00026E66" w:rsidRPr="00E955A3" w:rsidRDefault="002737EF" w:rsidP="0065356B">
      <w:pPr>
        <w:pStyle w:val="ListParagraph"/>
        <w:numPr>
          <w:ilvl w:val="0"/>
          <w:numId w:val="46"/>
        </w:numPr>
        <w:tabs>
          <w:tab w:val="left" w:pos="0"/>
        </w:tabs>
        <w:spacing w:after="152" w:line="244" w:lineRule="auto"/>
        <w:ind w:right="182"/>
        <w:rPr>
          <w:szCs w:val="24"/>
        </w:rPr>
      </w:pPr>
      <w:r w:rsidRPr="00E955A3">
        <w:rPr>
          <w:szCs w:val="24"/>
        </w:rPr>
        <w:t xml:space="preserve">where one facility is sold to a different operator </w:t>
      </w:r>
    </w:p>
    <w:p w14:paraId="71AC2C8B" w14:textId="4B54F4E1" w:rsidR="00026E66" w:rsidRDefault="00B20510" w:rsidP="00E955A3">
      <w:pPr>
        <w:tabs>
          <w:tab w:val="left" w:pos="0"/>
        </w:tabs>
        <w:spacing w:after="0"/>
        <w:ind w:right="182"/>
        <w:rPr>
          <w:szCs w:val="24"/>
        </w:rPr>
      </w:pPr>
      <w:r>
        <w:rPr>
          <w:szCs w:val="24"/>
        </w:rPr>
        <w:t xml:space="preserve">Where a </w:t>
      </w:r>
      <w:r w:rsidR="002737EF">
        <w:rPr>
          <w:szCs w:val="24"/>
        </w:rPr>
        <w:t>facility</w:t>
      </w:r>
      <w:r w:rsidR="002737EF">
        <w:t xml:space="preserve"> </w:t>
      </w:r>
      <w:r>
        <w:t xml:space="preserve">covered by an existing agreement </w:t>
      </w:r>
      <w:r w:rsidR="002737EF">
        <w:t>transfer</w:t>
      </w:r>
      <w:r>
        <w:t>s</w:t>
      </w:r>
      <w:r w:rsidR="002737EF">
        <w:t xml:space="preserve"> to </w:t>
      </w:r>
      <w:r w:rsidR="002737EF">
        <w:rPr>
          <w:szCs w:val="24"/>
        </w:rPr>
        <w:t>a</w:t>
      </w:r>
      <w:r w:rsidR="002737EF">
        <w:t xml:space="preserve"> </w:t>
      </w:r>
      <w:r>
        <w:t xml:space="preserve">different </w:t>
      </w:r>
      <w:r w:rsidR="002737EF">
        <w:rPr>
          <w:szCs w:val="24"/>
        </w:rPr>
        <w:t>operator</w:t>
      </w:r>
      <w:r>
        <w:rPr>
          <w:szCs w:val="24"/>
        </w:rPr>
        <w:t xml:space="preserve">, </w:t>
      </w:r>
      <w:r w:rsidR="002737EF">
        <w:rPr>
          <w:szCs w:val="24"/>
        </w:rPr>
        <w:t xml:space="preserve">the sector association will need to submit complete facility </w:t>
      </w:r>
      <w:r w:rsidR="00954066">
        <w:rPr>
          <w:szCs w:val="24"/>
        </w:rPr>
        <w:t>eligibility</w:t>
      </w:r>
      <w:r w:rsidR="002737EF">
        <w:rPr>
          <w:szCs w:val="24"/>
        </w:rPr>
        <w:t xml:space="preserve"> information</w:t>
      </w:r>
      <w:r w:rsidR="00ED31B4">
        <w:rPr>
          <w:szCs w:val="24"/>
        </w:rPr>
        <w:t xml:space="preserve"> (</w:t>
      </w:r>
      <w:hyperlink w:anchor="_6._Application_process" w:history="1">
        <w:r w:rsidR="00ED31B4" w:rsidRPr="00ED31B4">
          <w:rPr>
            <w:rStyle w:val="Hyperlink"/>
            <w:szCs w:val="24"/>
          </w:rPr>
          <w:t>section 6</w:t>
        </w:r>
      </w:hyperlink>
      <w:r w:rsidR="00ED31B4">
        <w:rPr>
          <w:szCs w:val="24"/>
        </w:rPr>
        <w:t>)</w:t>
      </w:r>
      <w:r w:rsidR="00395AD0">
        <w:rPr>
          <w:szCs w:val="24"/>
        </w:rPr>
        <w:t xml:space="preserve"> for that facility</w:t>
      </w:r>
      <w:r w:rsidR="002737EF">
        <w:rPr>
          <w:szCs w:val="24"/>
        </w:rPr>
        <w:t xml:space="preserve">. </w:t>
      </w:r>
    </w:p>
    <w:p w14:paraId="38BA1C12" w14:textId="4D48E6EE" w:rsidR="00C515CF" w:rsidRPr="00E955A3" w:rsidRDefault="00F15ABD" w:rsidP="00E955A3">
      <w:pPr>
        <w:tabs>
          <w:tab w:val="left" w:pos="0"/>
        </w:tabs>
        <w:spacing w:after="0"/>
        <w:ind w:right="182"/>
      </w:pPr>
      <w:r>
        <w:rPr>
          <w:szCs w:val="24"/>
        </w:rPr>
        <w:lastRenderedPageBreak/>
        <w:t xml:space="preserve">We cannot transfer a </w:t>
      </w:r>
      <w:proofErr w:type="gramStart"/>
      <w:r>
        <w:rPr>
          <w:szCs w:val="24"/>
        </w:rPr>
        <w:t>f</w:t>
      </w:r>
      <w:r w:rsidR="00AA5A2B">
        <w:rPr>
          <w:szCs w:val="24"/>
        </w:rPr>
        <w:t>acilities</w:t>
      </w:r>
      <w:proofErr w:type="gramEnd"/>
      <w:r w:rsidR="00AA5A2B">
        <w:rPr>
          <w:szCs w:val="24"/>
        </w:rPr>
        <w:t xml:space="preserve"> </w:t>
      </w:r>
      <w:r>
        <w:rPr>
          <w:szCs w:val="24"/>
        </w:rPr>
        <w:t xml:space="preserve">from an existing agreement to a new underlying agreement </w:t>
      </w:r>
      <w:r w:rsidR="00195EED">
        <w:rPr>
          <w:szCs w:val="24"/>
        </w:rPr>
        <w:t>un</w:t>
      </w:r>
      <w:r w:rsidR="00AA5A2B">
        <w:rPr>
          <w:szCs w:val="24"/>
        </w:rPr>
        <w:t xml:space="preserve">til we are </w:t>
      </w:r>
      <w:r w:rsidR="00FA3E47">
        <w:rPr>
          <w:szCs w:val="24"/>
        </w:rPr>
        <w:t>satisfied that</w:t>
      </w:r>
      <w:r w:rsidR="00195EED">
        <w:rPr>
          <w:szCs w:val="24"/>
        </w:rPr>
        <w:t xml:space="preserve"> subsistence fees </w:t>
      </w:r>
      <w:r>
        <w:rPr>
          <w:szCs w:val="24"/>
        </w:rPr>
        <w:t>have been paid</w:t>
      </w:r>
      <w:r w:rsidR="00195EED">
        <w:rPr>
          <w:szCs w:val="24"/>
        </w:rPr>
        <w:t>, there are no outstanding financial penalties as a result of enforcement action, and there are no outstanding buy-out fees for the immediately preceding certification period.</w:t>
      </w:r>
    </w:p>
    <w:p w14:paraId="7535C575" w14:textId="77777777" w:rsidR="00026E66" w:rsidRPr="00E931A9" w:rsidRDefault="002737EF" w:rsidP="00FF0098">
      <w:pPr>
        <w:tabs>
          <w:tab w:val="left" w:pos="0"/>
        </w:tabs>
        <w:rPr>
          <w:b/>
          <w:bCs/>
        </w:rPr>
      </w:pPr>
      <w:r w:rsidRPr="00E931A9">
        <w:rPr>
          <w:b/>
          <w:bCs/>
        </w:rPr>
        <w:t xml:space="preserve">Important information to note </w:t>
      </w:r>
    </w:p>
    <w:p w14:paraId="2AE5082D" w14:textId="1CC3A777" w:rsidR="00026E66" w:rsidRDefault="00ED2EE5" w:rsidP="00FF0098">
      <w:pPr>
        <w:tabs>
          <w:tab w:val="left" w:pos="0"/>
        </w:tabs>
        <w:ind w:right="182"/>
      </w:pPr>
      <w:r>
        <w:rPr>
          <w:color w:val="auto"/>
          <w:szCs w:val="24"/>
        </w:rPr>
        <w:t xml:space="preserve">Where a facility </w:t>
      </w:r>
      <w:r w:rsidR="002C0189">
        <w:rPr>
          <w:color w:val="auto"/>
          <w:szCs w:val="24"/>
        </w:rPr>
        <w:t xml:space="preserve">moves </w:t>
      </w:r>
      <w:r>
        <w:rPr>
          <w:color w:val="auto"/>
          <w:szCs w:val="24"/>
        </w:rPr>
        <w:t xml:space="preserve">to a </w:t>
      </w:r>
      <w:r w:rsidR="00FD5DC4">
        <w:rPr>
          <w:color w:val="auto"/>
          <w:szCs w:val="24"/>
        </w:rPr>
        <w:t xml:space="preserve">different </w:t>
      </w:r>
      <w:r>
        <w:rPr>
          <w:color w:val="auto"/>
          <w:szCs w:val="24"/>
        </w:rPr>
        <w:t>agreement,</w:t>
      </w:r>
      <w:r w:rsidR="00E9666D">
        <w:rPr>
          <w:color w:val="auto"/>
          <w:szCs w:val="24"/>
        </w:rPr>
        <w:t xml:space="preserve"> and both agreements contain existing facilities, b</w:t>
      </w:r>
      <w:r w:rsidR="002737EF">
        <w:rPr>
          <w:color w:val="auto"/>
          <w:szCs w:val="24"/>
        </w:rPr>
        <w:t>oth operators</w:t>
      </w:r>
      <w:r w:rsidR="002737EF">
        <w:rPr>
          <w:color w:val="auto"/>
        </w:rPr>
        <w:t xml:space="preserve"> will </w:t>
      </w:r>
      <w:r w:rsidR="002737EF">
        <w:rPr>
          <w:color w:val="auto"/>
          <w:szCs w:val="24"/>
        </w:rPr>
        <w:t>receive new</w:t>
      </w:r>
      <w:r w:rsidR="002737EF">
        <w:rPr>
          <w:color w:val="auto"/>
        </w:rPr>
        <w:t xml:space="preserve"> agreements</w:t>
      </w:r>
      <w:r w:rsidR="002737EF">
        <w:rPr>
          <w:color w:val="auto"/>
          <w:szCs w:val="24"/>
        </w:rPr>
        <w:t xml:space="preserve">. They </w:t>
      </w:r>
      <w:r w:rsidR="002737EF">
        <w:rPr>
          <w:color w:val="auto"/>
        </w:rPr>
        <w:t xml:space="preserve">will need to provide their email </w:t>
      </w:r>
      <w:r w:rsidR="002737EF">
        <w:rPr>
          <w:color w:val="auto"/>
          <w:szCs w:val="24"/>
        </w:rPr>
        <w:t>assent to these for them to become active.</w:t>
      </w:r>
    </w:p>
    <w:p w14:paraId="12617272" w14:textId="2F92092C" w:rsidR="00026E66" w:rsidRPr="00E955A3" w:rsidRDefault="002737EF" w:rsidP="00E955A3">
      <w:pPr>
        <w:tabs>
          <w:tab w:val="left" w:pos="0"/>
        </w:tabs>
        <w:spacing w:after="0"/>
        <w:ind w:right="182"/>
      </w:pPr>
      <w:r>
        <w:rPr>
          <w:color w:val="auto"/>
          <w:szCs w:val="24"/>
        </w:rPr>
        <w:t>As part of</w:t>
      </w:r>
      <w:r>
        <w:rPr>
          <w:color w:val="auto"/>
        </w:rPr>
        <w:t xml:space="preserve"> the </w:t>
      </w:r>
      <w:r>
        <w:rPr>
          <w:color w:val="auto"/>
          <w:szCs w:val="24"/>
        </w:rPr>
        <w:t xml:space="preserve">process of including a facility in an </w:t>
      </w:r>
      <w:r w:rsidR="008F1B16">
        <w:rPr>
          <w:color w:val="auto"/>
          <w:szCs w:val="24"/>
        </w:rPr>
        <w:t>agreement</w:t>
      </w:r>
      <w:r>
        <w:rPr>
          <w:color w:val="auto"/>
          <w:szCs w:val="24"/>
        </w:rPr>
        <w:t xml:space="preserve"> or excluding a facility from an existing </w:t>
      </w:r>
      <w:r w:rsidR="008F1B16">
        <w:rPr>
          <w:color w:val="auto"/>
          <w:szCs w:val="24"/>
        </w:rPr>
        <w:t>agreement</w:t>
      </w:r>
      <w:r>
        <w:rPr>
          <w:color w:val="auto"/>
          <w:szCs w:val="24"/>
        </w:rPr>
        <w:t xml:space="preserve">, </w:t>
      </w:r>
      <w:r>
        <w:rPr>
          <w:color w:val="auto"/>
        </w:rPr>
        <w:t xml:space="preserve">we will upload the assent for the </w:t>
      </w:r>
      <w:r w:rsidR="00915EC6">
        <w:rPr>
          <w:color w:val="auto"/>
        </w:rPr>
        <w:t>agreement</w:t>
      </w:r>
      <w:r>
        <w:rPr>
          <w:color w:val="auto"/>
        </w:rPr>
        <w:t xml:space="preserve"> </w:t>
      </w:r>
      <w:r w:rsidR="00915EC6">
        <w:rPr>
          <w:color w:val="auto"/>
        </w:rPr>
        <w:t xml:space="preserve">that the facility is </w:t>
      </w:r>
      <w:r w:rsidR="00DD7658">
        <w:rPr>
          <w:color w:val="auto"/>
        </w:rPr>
        <w:t xml:space="preserve">joining </w:t>
      </w:r>
      <w:r>
        <w:rPr>
          <w:color w:val="auto"/>
        </w:rPr>
        <w:t xml:space="preserve">before uploading the assent for the </w:t>
      </w:r>
      <w:r>
        <w:rPr>
          <w:color w:val="auto"/>
          <w:szCs w:val="24"/>
        </w:rPr>
        <w:t>agreement</w:t>
      </w:r>
      <w:r w:rsidR="004A2375">
        <w:rPr>
          <w:color w:val="auto"/>
          <w:szCs w:val="24"/>
        </w:rPr>
        <w:t xml:space="preserve"> that the facility is leaving</w:t>
      </w:r>
      <w:r>
        <w:rPr>
          <w:color w:val="auto"/>
          <w:szCs w:val="24"/>
        </w:rPr>
        <w:t>. This will ensure continuity of the CCL discount.</w:t>
      </w:r>
    </w:p>
    <w:p w14:paraId="283A589C" w14:textId="71EBBC18" w:rsidR="00026E66" w:rsidRPr="00304423" w:rsidRDefault="002737EF" w:rsidP="00B621A9">
      <w:pPr>
        <w:tabs>
          <w:tab w:val="left" w:pos="0"/>
        </w:tabs>
        <w:spacing w:after="161" w:line="235" w:lineRule="auto"/>
        <w:ind w:right="289"/>
        <w:rPr>
          <w:color w:val="auto"/>
          <w:szCs w:val="24"/>
        </w:rPr>
      </w:pPr>
      <w:bookmarkStart w:id="115" w:name="_7.1.1._Revising_the"/>
      <w:bookmarkEnd w:id="115"/>
      <w:r w:rsidRPr="00304423">
        <w:rPr>
          <w:color w:val="auto"/>
          <w:szCs w:val="24"/>
        </w:rPr>
        <w:t>Where a facility leaves a</w:t>
      </w:r>
      <w:r w:rsidR="00FD422C" w:rsidRPr="00304423">
        <w:rPr>
          <w:color w:val="auto"/>
          <w:szCs w:val="24"/>
        </w:rPr>
        <w:t xml:space="preserve">n </w:t>
      </w:r>
      <w:r w:rsidR="00114085">
        <w:rPr>
          <w:color w:val="auto"/>
          <w:szCs w:val="24"/>
        </w:rPr>
        <w:t xml:space="preserve">existing </w:t>
      </w:r>
      <w:r w:rsidR="00FD422C" w:rsidRPr="00304423">
        <w:rPr>
          <w:color w:val="auto"/>
          <w:szCs w:val="24"/>
        </w:rPr>
        <w:t>agreement</w:t>
      </w:r>
      <w:r w:rsidRPr="00304423">
        <w:rPr>
          <w:color w:val="auto"/>
          <w:szCs w:val="24"/>
        </w:rPr>
        <w:t xml:space="preserve"> </w:t>
      </w:r>
      <w:r w:rsidR="00114085">
        <w:rPr>
          <w:color w:val="auto"/>
          <w:szCs w:val="24"/>
        </w:rPr>
        <w:t>following a transfer of ownership</w:t>
      </w:r>
      <w:r w:rsidRPr="00304423">
        <w:rPr>
          <w:color w:val="auto"/>
          <w:szCs w:val="24"/>
        </w:rPr>
        <w:t xml:space="preserve">, the facility will take with it the original improvement </w:t>
      </w:r>
      <w:r w:rsidR="003B552C">
        <w:rPr>
          <w:color w:val="auto"/>
          <w:szCs w:val="24"/>
        </w:rPr>
        <w:t xml:space="preserve">target </w:t>
      </w:r>
      <w:r w:rsidRPr="00304423">
        <w:rPr>
          <w:color w:val="auto"/>
          <w:szCs w:val="24"/>
        </w:rPr>
        <w:t xml:space="preserve">given to the </w:t>
      </w:r>
      <w:r w:rsidR="000139B1" w:rsidRPr="00304423">
        <w:rPr>
          <w:color w:val="auto"/>
          <w:szCs w:val="24"/>
        </w:rPr>
        <w:t xml:space="preserve">facility.  </w:t>
      </w:r>
    </w:p>
    <w:p w14:paraId="04B60890" w14:textId="77777777" w:rsidR="00026E66" w:rsidRDefault="002737EF" w:rsidP="00FF0098">
      <w:pPr>
        <w:pStyle w:val="Heading2"/>
        <w:tabs>
          <w:tab w:val="left" w:pos="0"/>
        </w:tabs>
      </w:pPr>
      <w:bookmarkStart w:id="116" w:name="_7.1.2._Amending_the"/>
      <w:bookmarkStart w:id="117" w:name="_7.2._An_operator"/>
      <w:bookmarkStart w:id="118" w:name="_Toc94718651"/>
      <w:bookmarkStart w:id="119" w:name="_Toc94088899"/>
      <w:bookmarkStart w:id="120" w:name="_Toc242885379"/>
      <w:bookmarkEnd w:id="116"/>
      <w:bookmarkEnd w:id="117"/>
      <w:r>
        <w:t>7.2. An operator changes ownership and includes all its facilities within one agreement</w:t>
      </w:r>
      <w:bookmarkEnd w:id="118"/>
      <w:bookmarkEnd w:id="119"/>
      <w:bookmarkEnd w:id="120"/>
      <w:r>
        <w:t xml:space="preserve"> </w:t>
      </w:r>
    </w:p>
    <w:p w14:paraId="567332A2" w14:textId="477EF9D1" w:rsidR="00026E66" w:rsidRDefault="002737EF" w:rsidP="00FF0098">
      <w:pPr>
        <w:tabs>
          <w:tab w:val="left" w:pos="0"/>
        </w:tabs>
        <w:ind w:right="182"/>
      </w:pPr>
      <w:r>
        <w:rPr>
          <w:color w:val="auto"/>
        </w:rPr>
        <w:t xml:space="preserve">In this </w:t>
      </w:r>
      <w:r>
        <w:rPr>
          <w:color w:val="auto"/>
          <w:szCs w:val="24"/>
        </w:rPr>
        <w:t xml:space="preserve">type of variation, </w:t>
      </w:r>
      <w:r>
        <w:rPr>
          <w:color w:val="auto"/>
        </w:rPr>
        <w:t>all the facilities</w:t>
      </w:r>
      <w:r w:rsidR="00A0298D">
        <w:rPr>
          <w:color w:val="auto"/>
        </w:rPr>
        <w:t xml:space="preserve"> in the agreement</w:t>
      </w:r>
      <w:r>
        <w:rPr>
          <w:color w:val="auto"/>
        </w:rPr>
        <w:t xml:space="preserve"> are transferred to a different operator</w:t>
      </w:r>
      <w:r>
        <w:rPr>
          <w:color w:val="auto"/>
          <w:szCs w:val="24"/>
        </w:rPr>
        <w:t xml:space="preserve"> who already has a CCA</w:t>
      </w:r>
      <w:r w:rsidR="0034388A">
        <w:rPr>
          <w:color w:val="auto"/>
          <w:szCs w:val="24"/>
        </w:rPr>
        <w:t xml:space="preserve"> </w:t>
      </w:r>
      <w:r w:rsidR="00B72BF7">
        <w:rPr>
          <w:color w:val="auto"/>
          <w:szCs w:val="24"/>
        </w:rPr>
        <w:t>a</w:t>
      </w:r>
      <w:r w:rsidR="0034388A">
        <w:rPr>
          <w:color w:val="auto"/>
          <w:szCs w:val="24"/>
        </w:rPr>
        <w:t>greement</w:t>
      </w:r>
      <w:r>
        <w:rPr>
          <w:color w:val="auto"/>
          <w:szCs w:val="24"/>
        </w:rPr>
        <w:t xml:space="preserve">. </w:t>
      </w:r>
    </w:p>
    <w:p w14:paraId="1C6A6525" w14:textId="2C547B10" w:rsidR="00026E66" w:rsidRDefault="00B72BF7" w:rsidP="004B103D">
      <w:pPr>
        <w:tabs>
          <w:tab w:val="left" w:pos="0"/>
        </w:tabs>
        <w:spacing w:after="0"/>
        <w:ind w:right="182"/>
        <w:rPr>
          <w:szCs w:val="24"/>
        </w:rPr>
      </w:pPr>
      <w:r w:rsidRPr="619F992C">
        <w:rPr>
          <w:color w:val="auto"/>
        </w:rPr>
        <w:t>The</w:t>
      </w:r>
      <w:r w:rsidR="002737EF" w:rsidRPr="619F992C">
        <w:rPr>
          <w:color w:val="auto"/>
        </w:rPr>
        <w:t xml:space="preserve"> sector association should notify us of the change in the operator of the purchased </w:t>
      </w:r>
      <w:r w:rsidR="008B4B98" w:rsidRPr="619F992C">
        <w:rPr>
          <w:color w:val="auto"/>
        </w:rPr>
        <w:t xml:space="preserve">facility or facilities. </w:t>
      </w:r>
      <w:r w:rsidR="004B103D">
        <w:rPr>
          <w:color w:val="auto"/>
        </w:rPr>
        <w:t>Change of ownership variations cannot be completed unless subsistence fees are up to date</w:t>
      </w:r>
      <w:r w:rsidR="0D14F24D" w:rsidRPr="619F992C">
        <w:rPr>
          <w:color w:val="auto"/>
        </w:rPr>
        <w:t>, there are no outstanding</w:t>
      </w:r>
      <w:r w:rsidR="00044B07">
        <w:rPr>
          <w:color w:val="auto"/>
        </w:rPr>
        <w:t xml:space="preserve"> financial</w:t>
      </w:r>
      <w:r w:rsidR="0D14F24D" w:rsidRPr="619F992C">
        <w:rPr>
          <w:color w:val="auto"/>
        </w:rPr>
        <w:t xml:space="preserve"> penalties</w:t>
      </w:r>
      <w:r w:rsidR="00044B07">
        <w:rPr>
          <w:color w:val="auto"/>
        </w:rPr>
        <w:t xml:space="preserve"> </w:t>
      </w:r>
      <w:proofErr w:type="gramStart"/>
      <w:r w:rsidR="00044B07">
        <w:rPr>
          <w:color w:val="auto"/>
        </w:rPr>
        <w:t>as a result of</w:t>
      </w:r>
      <w:proofErr w:type="gramEnd"/>
      <w:r w:rsidR="00044B07">
        <w:rPr>
          <w:color w:val="auto"/>
        </w:rPr>
        <w:t xml:space="preserve"> enforcement action</w:t>
      </w:r>
      <w:r w:rsidR="065A0D32" w:rsidRPr="619F992C">
        <w:rPr>
          <w:szCs w:val="24"/>
        </w:rPr>
        <w:t xml:space="preserve"> and there are no outstanding buy-out fees for the immediately preceding certification period</w:t>
      </w:r>
      <w:r w:rsidR="00400839">
        <w:rPr>
          <w:szCs w:val="24"/>
        </w:rPr>
        <w:t>.</w:t>
      </w:r>
    </w:p>
    <w:p w14:paraId="5C94E240" w14:textId="66D36801" w:rsidR="00026E66" w:rsidRDefault="005A6E6F" w:rsidP="00E955A3">
      <w:pPr>
        <w:tabs>
          <w:tab w:val="left" w:pos="0"/>
        </w:tabs>
        <w:spacing w:after="0"/>
        <w:ind w:right="182"/>
        <w:rPr>
          <w:color w:val="auto"/>
        </w:rPr>
      </w:pPr>
      <w:r>
        <w:rPr>
          <w:color w:val="auto"/>
          <w:szCs w:val="24"/>
        </w:rPr>
        <w:t xml:space="preserve">The sector association </w:t>
      </w:r>
      <w:r w:rsidR="005040BB">
        <w:rPr>
          <w:color w:val="auto"/>
          <w:szCs w:val="24"/>
        </w:rPr>
        <w:t>can</w:t>
      </w:r>
      <w:r>
        <w:rPr>
          <w:color w:val="auto"/>
          <w:szCs w:val="24"/>
        </w:rPr>
        <w:t xml:space="preserve"> submit</w:t>
      </w:r>
      <w:r w:rsidR="002737EF">
        <w:rPr>
          <w:color w:val="auto"/>
        </w:rPr>
        <w:t xml:space="preserve"> a variation to include all the</w:t>
      </w:r>
      <w:r w:rsidR="00796A23">
        <w:rPr>
          <w:color w:val="auto"/>
        </w:rPr>
        <w:t xml:space="preserve"> purchased</w:t>
      </w:r>
      <w:r w:rsidR="002737EF">
        <w:rPr>
          <w:color w:val="auto"/>
        </w:rPr>
        <w:t xml:space="preserve"> facilities </w:t>
      </w:r>
      <w:r w:rsidR="002737EF">
        <w:rPr>
          <w:color w:val="auto"/>
          <w:szCs w:val="24"/>
        </w:rPr>
        <w:t xml:space="preserve">in </w:t>
      </w:r>
      <w:r w:rsidR="00974F4A">
        <w:rPr>
          <w:color w:val="auto"/>
          <w:szCs w:val="24"/>
        </w:rPr>
        <w:t>an</w:t>
      </w:r>
      <w:r w:rsidR="00807DE1">
        <w:rPr>
          <w:color w:val="auto"/>
          <w:szCs w:val="24"/>
        </w:rPr>
        <w:t xml:space="preserve"> </w:t>
      </w:r>
      <w:r w:rsidR="002737EF">
        <w:rPr>
          <w:color w:val="auto"/>
          <w:szCs w:val="24"/>
        </w:rPr>
        <w:t xml:space="preserve">existing </w:t>
      </w:r>
      <w:r w:rsidR="00796A23">
        <w:rPr>
          <w:color w:val="auto"/>
          <w:szCs w:val="24"/>
        </w:rPr>
        <w:t>agreement</w:t>
      </w:r>
      <w:r w:rsidR="002737EF">
        <w:rPr>
          <w:color w:val="auto"/>
          <w:szCs w:val="24"/>
        </w:rPr>
        <w:t>.</w:t>
      </w:r>
      <w:r w:rsidR="002737EF">
        <w:rPr>
          <w:color w:val="auto"/>
        </w:rPr>
        <w:t xml:space="preserve"> This will involve entering facility eligibility for all new facilities which are being included into an existing agreement. Once we have </w:t>
      </w:r>
      <w:r w:rsidR="002737EF">
        <w:rPr>
          <w:color w:val="auto"/>
          <w:szCs w:val="24"/>
        </w:rPr>
        <w:t>processed</w:t>
      </w:r>
      <w:r w:rsidR="002737EF">
        <w:rPr>
          <w:color w:val="auto"/>
        </w:rPr>
        <w:t xml:space="preserve"> the variation</w:t>
      </w:r>
      <w:r w:rsidR="002737EF">
        <w:rPr>
          <w:color w:val="auto"/>
          <w:szCs w:val="24"/>
        </w:rPr>
        <w:t>, we will send</w:t>
      </w:r>
      <w:r w:rsidR="002737EF">
        <w:rPr>
          <w:color w:val="auto"/>
        </w:rPr>
        <w:t xml:space="preserve"> the </w:t>
      </w:r>
      <w:r w:rsidR="002737EF">
        <w:rPr>
          <w:color w:val="auto"/>
          <w:szCs w:val="24"/>
        </w:rPr>
        <w:t>proposed new agreement to</w:t>
      </w:r>
      <w:r w:rsidR="002737EF">
        <w:rPr>
          <w:color w:val="auto"/>
        </w:rPr>
        <w:t xml:space="preserve"> the responsible person for the new </w:t>
      </w:r>
      <w:r w:rsidR="00BA1DBC">
        <w:rPr>
          <w:color w:val="auto"/>
          <w:szCs w:val="24"/>
        </w:rPr>
        <w:t xml:space="preserve">facilities joining the </w:t>
      </w:r>
      <w:r w:rsidR="00D12AA8">
        <w:rPr>
          <w:color w:val="auto"/>
          <w:szCs w:val="24"/>
        </w:rPr>
        <w:t>agreement to</w:t>
      </w:r>
      <w:r w:rsidR="002737EF">
        <w:rPr>
          <w:color w:val="auto"/>
          <w:szCs w:val="24"/>
        </w:rPr>
        <w:t xml:space="preserve"> give their email assent. When we receive the email assent</w:t>
      </w:r>
      <w:r w:rsidR="002737EF">
        <w:rPr>
          <w:color w:val="auto"/>
        </w:rPr>
        <w:t xml:space="preserve">, we will activate the new agreement and terminate the </w:t>
      </w:r>
      <w:r w:rsidR="002737EF">
        <w:rPr>
          <w:color w:val="auto"/>
          <w:szCs w:val="24"/>
        </w:rPr>
        <w:t>old</w:t>
      </w:r>
      <w:r w:rsidR="002737EF">
        <w:rPr>
          <w:color w:val="auto"/>
        </w:rPr>
        <w:t xml:space="preserve"> agreement</w:t>
      </w:r>
      <w:r w:rsidR="002737EF">
        <w:rPr>
          <w:color w:val="auto"/>
          <w:szCs w:val="24"/>
        </w:rPr>
        <w:t xml:space="preserve"> for the facilities that ha</w:t>
      </w:r>
      <w:r w:rsidR="00BA1DBC">
        <w:rPr>
          <w:color w:val="auto"/>
          <w:szCs w:val="24"/>
        </w:rPr>
        <w:t>ve</w:t>
      </w:r>
      <w:r w:rsidR="002737EF">
        <w:rPr>
          <w:color w:val="auto"/>
          <w:szCs w:val="24"/>
        </w:rPr>
        <w:t xml:space="preserve"> been transferred</w:t>
      </w:r>
      <w:r w:rsidR="002737EF">
        <w:rPr>
          <w:color w:val="auto"/>
        </w:rPr>
        <w:t xml:space="preserve">. </w:t>
      </w:r>
    </w:p>
    <w:p w14:paraId="56B890A2" w14:textId="77777777" w:rsidR="00026E66" w:rsidRDefault="002737EF" w:rsidP="00FF0098">
      <w:pPr>
        <w:pStyle w:val="Heading2"/>
        <w:tabs>
          <w:tab w:val="left" w:pos="0"/>
        </w:tabs>
      </w:pPr>
      <w:bookmarkStart w:id="121" w:name="_7.3._The_company"/>
      <w:bookmarkStart w:id="122" w:name="_Toc94718652"/>
      <w:bookmarkStart w:id="123" w:name="_Toc94088900"/>
      <w:bookmarkStart w:id="124" w:name="_Toc242885380"/>
      <w:bookmarkEnd w:id="121"/>
      <w:r>
        <w:t xml:space="preserve">7.3. The company name of an operator </w:t>
      </w:r>
      <w:proofErr w:type="gramStart"/>
      <w:r>
        <w:t>changes</w:t>
      </w:r>
      <w:bookmarkEnd w:id="122"/>
      <w:bookmarkEnd w:id="123"/>
      <w:bookmarkEnd w:id="124"/>
      <w:proofErr w:type="gramEnd"/>
      <w:r>
        <w:t xml:space="preserve"> </w:t>
      </w:r>
    </w:p>
    <w:p w14:paraId="01917976" w14:textId="15EEBCD9" w:rsidR="00026E66" w:rsidRDefault="002F1F5A" w:rsidP="00FF0098">
      <w:pPr>
        <w:tabs>
          <w:tab w:val="left" w:pos="0"/>
        </w:tabs>
        <w:ind w:right="182"/>
      </w:pPr>
      <w:r>
        <w:rPr>
          <w:color w:val="auto"/>
          <w:szCs w:val="24"/>
        </w:rPr>
        <w:t xml:space="preserve">This </w:t>
      </w:r>
      <w:r w:rsidR="002737EF">
        <w:rPr>
          <w:color w:val="auto"/>
        </w:rPr>
        <w:t>section outlines what changes</w:t>
      </w:r>
      <w:r w:rsidR="00784A39">
        <w:rPr>
          <w:color w:val="auto"/>
        </w:rPr>
        <w:t xml:space="preserve"> to the agreement are required</w:t>
      </w:r>
      <w:r w:rsidR="002737EF">
        <w:rPr>
          <w:color w:val="auto"/>
        </w:rPr>
        <w:t xml:space="preserve"> depending on the type of change </w:t>
      </w:r>
      <w:r>
        <w:rPr>
          <w:color w:val="auto"/>
          <w:szCs w:val="24"/>
        </w:rPr>
        <w:t>that</w:t>
      </w:r>
      <w:r w:rsidR="002737EF">
        <w:rPr>
          <w:color w:val="auto"/>
        </w:rPr>
        <w:t xml:space="preserve"> has occurred</w:t>
      </w:r>
      <w:r>
        <w:rPr>
          <w:color w:val="auto"/>
          <w:szCs w:val="24"/>
        </w:rPr>
        <w:t>:</w:t>
      </w:r>
    </w:p>
    <w:p w14:paraId="44ED58D7" w14:textId="77777777" w:rsidR="00026E66" w:rsidRDefault="002737EF" w:rsidP="0065356B">
      <w:pPr>
        <w:pStyle w:val="ListParagraph"/>
        <w:numPr>
          <w:ilvl w:val="0"/>
          <w:numId w:val="47"/>
        </w:numPr>
        <w:tabs>
          <w:tab w:val="left" w:pos="0"/>
        </w:tabs>
        <w:spacing w:after="78"/>
        <w:ind w:right="182"/>
      </w:pPr>
      <w:r>
        <w:lastRenderedPageBreak/>
        <w:t xml:space="preserve">the operator </w:t>
      </w:r>
      <w:r w:rsidRPr="00E955A3">
        <w:rPr>
          <w:szCs w:val="24"/>
        </w:rPr>
        <w:t>becomes</w:t>
      </w:r>
      <w:r>
        <w:t xml:space="preserve"> a different legal entity</w:t>
      </w:r>
      <w:r w:rsidRPr="00E955A3">
        <w:rPr>
          <w:szCs w:val="24"/>
        </w:rPr>
        <w:t xml:space="preserve"> </w:t>
      </w:r>
    </w:p>
    <w:p w14:paraId="60761A0E" w14:textId="0463B829" w:rsidR="00026E66" w:rsidRDefault="002737EF" w:rsidP="00BB770A">
      <w:pPr>
        <w:pStyle w:val="ListParagraph"/>
        <w:numPr>
          <w:ilvl w:val="0"/>
          <w:numId w:val="47"/>
        </w:numPr>
        <w:tabs>
          <w:tab w:val="left" w:pos="0"/>
        </w:tabs>
        <w:spacing w:after="78"/>
        <w:ind w:right="182"/>
      </w:pPr>
      <w:r>
        <w:t>the name of the operator</w:t>
      </w:r>
      <w:r w:rsidR="009D557D">
        <w:t xml:space="preserve"> </w:t>
      </w:r>
      <w:r>
        <w:t xml:space="preserve">changes but </w:t>
      </w:r>
      <w:r w:rsidRPr="00E955A3">
        <w:rPr>
          <w:szCs w:val="24"/>
        </w:rPr>
        <w:t>not its</w:t>
      </w:r>
      <w:r>
        <w:t xml:space="preserve"> legal entity</w:t>
      </w:r>
    </w:p>
    <w:p w14:paraId="4FA39AA0" w14:textId="1CB03C15" w:rsidR="00026E66" w:rsidRDefault="002737EF" w:rsidP="00E955A3">
      <w:pPr>
        <w:pStyle w:val="Heading3"/>
        <w:tabs>
          <w:tab w:val="left" w:pos="0"/>
        </w:tabs>
      </w:pPr>
      <w:bookmarkStart w:id="125" w:name="_7.3.1._When_the_1"/>
      <w:bookmarkEnd w:id="125"/>
      <w:r>
        <w:t xml:space="preserve">7.3.1. When the legal entity has changed for the operator </w:t>
      </w:r>
    </w:p>
    <w:p w14:paraId="526FCA62" w14:textId="4C1E51B5" w:rsidR="00026E66" w:rsidRDefault="0070291C" w:rsidP="002F1F5A">
      <w:pPr>
        <w:tabs>
          <w:tab w:val="left" w:pos="0"/>
        </w:tabs>
        <w:spacing w:after="161" w:line="235" w:lineRule="auto"/>
        <w:ind w:right="153"/>
      </w:pPr>
      <w:r>
        <w:rPr>
          <w:color w:val="auto"/>
        </w:rPr>
        <w:t xml:space="preserve">If the legal entity </w:t>
      </w:r>
      <w:r w:rsidR="000803EB">
        <w:rPr>
          <w:color w:val="auto"/>
        </w:rPr>
        <w:t xml:space="preserve">operating a facility included in an </w:t>
      </w:r>
      <w:proofErr w:type="gramStart"/>
      <w:r w:rsidR="0069348E">
        <w:rPr>
          <w:color w:val="auto"/>
        </w:rPr>
        <w:t>existing agreement changes</w:t>
      </w:r>
      <w:proofErr w:type="gramEnd"/>
      <w:r w:rsidR="0069348E">
        <w:rPr>
          <w:color w:val="auto"/>
        </w:rPr>
        <w:t xml:space="preserve">, </w:t>
      </w:r>
      <w:r w:rsidR="002737EF">
        <w:rPr>
          <w:color w:val="auto"/>
        </w:rPr>
        <w:t xml:space="preserve">the existing agreement no longer </w:t>
      </w:r>
      <w:r w:rsidR="002737EF">
        <w:rPr>
          <w:color w:val="auto"/>
          <w:szCs w:val="24"/>
        </w:rPr>
        <w:t>applies</w:t>
      </w:r>
      <w:r w:rsidR="002737EF">
        <w:rPr>
          <w:color w:val="auto"/>
        </w:rPr>
        <w:t xml:space="preserve">, and a new agreement is required. See </w:t>
      </w:r>
      <w:hyperlink w:anchor="_2.3.1._The_operator" w:history="1">
        <w:r w:rsidR="002737EF">
          <w:rPr>
            <w:rStyle w:val="Hyperlink"/>
          </w:rPr>
          <w:t>section 2.3.1</w:t>
        </w:r>
      </w:hyperlink>
      <w:r w:rsidR="002737EF">
        <w:rPr>
          <w:color w:val="auto"/>
          <w:u w:val="single" w:color="0077B9"/>
        </w:rPr>
        <w:t xml:space="preserve"> </w:t>
      </w:r>
      <w:r w:rsidR="002737EF">
        <w:rPr>
          <w:color w:val="auto"/>
        </w:rPr>
        <w:t xml:space="preserve">for the definition of an operator and </w:t>
      </w:r>
      <w:r w:rsidR="002737EF">
        <w:rPr>
          <w:color w:val="auto"/>
          <w:szCs w:val="24"/>
        </w:rPr>
        <w:t xml:space="preserve">therefore </w:t>
      </w:r>
      <w:r w:rsidR="002737EF">
        <w:rPr>
          <w:color w:val="auto"/>
        </w:rPr>
        <w:t>what would constitute a change in operator.</w:t>
      </w:r>
      <w:r w:rsidR="002737EF">
        <w:rPr>
          <w:color w:val="auto"/>
          <w:szCs w:val="24"/>
        </w:rPr>
        <w:t xml:space="preserve"> </w:t>
      </w:r>
    </w:p>
    <w:p w14:paraId="0541BE5C" w14:textId="24E1F481" w:rsidR="00026E66" w:rsidRDefault="002737EF" w:rsidP="00FF0098">
      <w:pPr>
        <w:tabs>
          <w:tab w:val="left" w:pos="0"/>
        </w:tabs>
        <w:ind w:right="182"/>
        <w:rPr>
          <w:szCs w:val="24"/>
        </w:rPr>
      </w:pPr>
      <w:r>
        <w:rPr>
          <w:color w:val="auto"/>
          <w:szCs w:val="24"/>
        </w:rPr>
        <w:t>On the register, your</w:t>
      </w:r>
      <w:r>
        <w:rPr>
          <w:color w:val="auto"/>
        </w:rPr>
        <w:t xml:space="preserve"> sector association should </w:t>
      </w:r>
      <w:r>
        <w:rPr>
          <w:color w:val="auto"/>
          <w:szCs w:val="24"/>
        </w:rPr>
        <w:t>apply for</w:t>
      </w:r>
      <w:r>
        <w:t xml:space="preserve"> </w:t>
      </w:r>
      <w:r w:rsidR="00DA4C78">
        <w:t xml:space="preserve">a new agreement </w:t>
      </w:r>
      <w:r>
        <w:rPr>
          <w:szCs w:val="24"/>
        </w:rPr>
        <w:t>and</w:t>
      </w:r>
      <w:r w:rsidR="00005567">
        <w:rPr>
          <w:szCs w:val="24"/>
        </w:rPr>
        <w:t xml:space="preserve"> add</w:t>
      </w:r>
      <w:r>
        <w:rPr>
          <w:szCs w:val="24"/>
        </w:rPr>
        <w:t xml:space="preserve"> all</w:t>
      </w:r>
      <w:r>
        <w:t xml:space="preserve"> the facilities </w:t>
      </w:r>
      <w:r w:rsidR="00DA4C78">
        <w:rPr>
          <w:szCs w:val="24"/>
        </w:rPr>
        <w:t>included in that agreement</w:t>
      </w:r>
      <w:r>
        <w:rPr>
          <w:szCs w:val="24"/>
        </w:rPr>
        <w:t>. If the</w:t>
      </w:r>
      <w:r>
        <w:t xml:space="preserve"> facilities are </w:t>
      </w:r>
      <w:r>
        <w:rPr>
          <w:szCs w:val="24"/>
        </w:rPr>
        <w:t xml:space="preserve">to be </w:t>
      </w:r>
      <w:r w:rsidR="0078252F">
        <w:rPr>
          <w:szCs w:val="24"/>
        </w:rPr>
        <w:t xml:space="preserve">added to an existing </w:t>
      </w:r>
      <w:r w:rsidR="0013146B">
        <w:rPr>
          <w:szCs w:val="24"/>
        </w:rPr>
        <w:t>agreement, the</w:t>
      </w:r>
      <w:r>
        <w:rPr>
          <w:szCs w:val="24"/>
        </w:rPr>
        <w:t xml:space="preserve"> application for the additional facilities</w:t>
      </w:r>
      <w:r>
        <w:t xml:space="preserve"> to </w:t>
      </w:r>
      <w:r>
        <w:rPr>
          <w:szCs w:val="24"/>
        </w:rPr>
        <w:t xml:space="preserve">be included within that agreement should be </w:t>
      </w:r>
      <w:r w:rsidR="0015671D">
        <w:rPr>
          <w:szCs w:val="24"/>
        </w:rPr>
        <w:t>initiated</w:t>
      </w:r>
      <w:r w:rsidR="00D51D85">
        <w:rPr>
          <w:szCs w:val="24"/>
        </w:rPr>
        <w:t xml:space="preserve"> from the existing agreement’s </w:t>
      </w:r>
      <w:hyperlink w:anchor="Account" w:history="1">
        <w:r w:rsidR="002F1F5A">
          <w:rPr>
            <w:rStyle w:val="Hyperlink"/>
            <w:szCs w:val="24"/>
          </w:rPr>
          <w:t>account</w:t>
        </w:r>
      </w:hyperlink>
      <w:r w:rsidR="007453C4">
        <w:t xml:space="preserve"> first</w:t>
      </w:r>
      <w:r>
        <w:rPr>
          <w:szCs w:val="24"/>
        </w:rPr>
        <w:t>. It</w:t>
      </w:r>
      <w:r>
        <w:t xml:space="preserve"> is </w:t>
      </w:r>
      <w:r>
        <w:rPr>
          <w:szCs w:val="24"/>
        </w:rPr>
        <w:t>important to make clear that the application to replace an existing agreement is due to</w:t>
      </w:r>
      <w:r w:rsidR="001E6661">
        <w:rPr>
          <w:szCs w:val="24"/>
        </w:rPr>
        <w:t xml:space="preserve"> a</w:t>
      </w:r>
      <w:r>
        <w:rPr>
          <w:szCs w:val="24"/>
        </w:rPr>
        <w:t xml:space="preserve"> change in ownership. </w:t>
      </w:r>
    </w:p>
    <w:p w14:paraId="2DE510AF" w14:textId="45A0EC7B" w:rsidR="00AA5A2B" w:rsidRDefault="00FA3E47" w:rsidP="00F743EA">
      <w:pPr>
        <w:tabs>
          <w:tab w:val="left" w:pos="0"/>
        </w:tabs>
        <w:spacing w:after="0"/>
        <w:ind w:right="182"/>
      </w:pPr>
      <w:r>
        <w:rPr>
          <w:szCs w:val="24"/>
        </w:rPr>
        <w:t>New agreements</w:t>
      </w:r>
      <w:r w:rsidR="00466A0F">
        <w:rPr>
          <w:szCs w:val="24"/>
        </w:rPr>
        <w:t xml:space="preserve"> cannot be </w:t>
      </w:r>
      <w:r w:rsidR="006437A8">
        <w:rPr>
          <w:szCs w:val="24"/>
        </w:rPr>
        <w:t>issued until we are satisfied that</w:t>
      </w:r>
      <w:r w:rsidR="00AA5A2B">
        <w:rPr>
          <w:szCs w:val="24"/>
        </w:rPr>
        <w:t xml:space="preserve"> subsistence fees are up to date, there are no outstanding financial penalties </w:t>
      </w:r>
      <w:proofErr w:type="gramStart"/>
      <w:r w:rsidR="00AA5A2B">
        <w:rPr>
          <w:szCs w:val="24"/>
        </w:rPr>
        <w:t>as a result of</w:t>
      </w:r>
      <w:proofErr w:type="gramEnd"/>
      <w:r w:rsidR="00AA5A2B">
        <w:rPr>
          <w:szCs w:val="24"/>
        </w:rPr>
        <w:t xml:space="preserve"> enforcement action, and there are not outstanding buy-out fees for the immediately preceding certification period.  </w:t>
      </w:r>
    </w:p>
    <w:p w14:paraId="46308D63" w14:textId="52E472B6" w:rsidR="00026E66" w:rsidRDefault="002737EF" w:rsidP="00FF0098">
      <w:pPr>
        <w:tabs>
          <w:tab w:val="left" w:pos="0"/>
        </w:tabs>
        <w:ind w:right="182"/>
      </w:pPr>
      <w:r>
        <w:rPr>
          <w:color w:val="auto"/>
          <w:szCs w:val="24"/>
        </w:rPr>
        <w:t>If the application is accepted,</w:t>
      </w:r>
      <w:r>
        <w:rPr>
          <w:color w:val="auto"/>
        </w:rPr>
        <w:t xml:space="preserve"> we will issue a proposed agreement </w:t>
      </w:r>
      <w:r w:rsidR="003938A5">
        <w:rPr>
          <w:color w:val="auto"/>
        </w:rPr>
        <w:t>to replace the existing agreement</w:t>
      </w:r>
      <w:r>
        <w:rPr>
          <w:color w:val="auto"/>
        </w:rPr>
        <w:t xml:space="preserve">. </w:t>
      </w:r>
    </w:p>
    <w:p w14:paraId="38AB0A27" w14:textId="52BC3E67" w:rsidR="00026E66" w:rsidRPr="00E955A3" w:rsidRDefault="002737EF" w:rsidP="008B1476">
      <w:pPr>
        <w:tabs>
          <w:tab w:val="left" w:pos="0"/>
        </w:tabs>
        <w:spacing w:after="3" w:line="235" w:lineRule="auto"/>
        <w:ind w:right="289"/>
      </w:pPr>
      <w:r>
        <w:rPr>
          <w:color w:val="auto"/>
        </w:rPr>
        <w:t xml:space="preserve">The new </w:t>
      </w:r>
      <w:r>
        <w:rPr>
          <w:color w:val="auto"/>
          <w:szCs w:val="24"/>
        </w:rPr>
        <w:t>operator</w:t>
      </w:r>
      <w:r>
        <w:rPr>
          <w:color w:val="auto"/>
        </w:rPr>
        <w:t xml:space="preserve"> must provide email assent to the new agreement. </w:t>
      </w:r>
      <w:r>
        <w:rPr>
          <w:color w:val="auto"/>
          <w:szCs w:val="24"/>
        </w:rPr>
        <w:t xml:space="preserve">On receiving and processing the assent, we </w:t>
      </w:r>
      <w:r>
        <w:rPr>
          <w:color w:val="auto"/>
        </w:rPr>
        <w:t xml:space="preserve">will terminate the </w:t>
      </w:r>
      <w:r>
        <w:rPr>
          <w:color w:val="auto"/>
          <w:szCs w:val="24"/>
        </w:rPr>
        <w:t>old</w:t>
      </w:r>
      <w:r>
        <w:rPr>
          <w:color w:val="auto"/>
        </w:rPr>
        <w:t xml:space="preserve"> agreement. This </w:t>
      </w:r>
      <w:r>
        <w:rPr>
          <w:color w:val="auto"/>
          <w:szCs w:val="24"/>
        </w:rPr>
        <w:t>will ensure there is no loss of certification to the scheme</w:t>
      </w:r>
      <w:r w:rsidR="007E49CD">
        <w:rPr>
          <w:color w:val="auto"/>
          <w:szCs w:val="24"/>
        </w:rPr>
        <w:t>.</w:t>
      </w:r>
    </w:p>
    <w:p w14:paraId="14B1567C" w14:textId="77777777" w:rsidR="00026E66" w:rsidRDefault="002737EF" w:rsidP="00FF0098">
      <w:pPr>
        <w:pStyle w:val="Heading3"/>
        <w:tabs>
          <w:tab w:val="left" w:pos="0"/>
        </w:tabs>
      </w:pPr>
      <w:bookmarkStart w:id="126" w:name="_7.3.2._When_you"/>
      <w:bookmarkEnd w:id="126"/>
      <w:r>
        <w:t xml:space="preserve">7.3.2. When you need to change the operator/facility name </w:t>
      </w:r>
    </w:p>
    <w:p w14:paraId="724F7E21" w14:textId="11C0B0AF" w:rsidR="00026E66" w:rsidRDefault="002737EF" w:rsidP="00FF0098">
      <w:pPr>
        <w:tabs>
          <w:tab w:val="left" w:pos="0"/>
        </w:tabs>
      </w:pPr>
      <w:r>
        <w:t xml:space="preserve">When the legal entity holding the current agreement has changed its name, but its </w:t>
      </w:r>
      <w:r w:rsidR="00E854C1">
        <w:t xml:space="preserve">company </w:t>
      </w:r>
      <w:r>
        <w:t>registration number remains the same and/or the operator wants to update the name of an existing facility, we can update the existing agreement to reflect the name change(s).</w:t>
      </w:r>
    </w:p>
    <w:p w14:paraId="6EA6A2D5" w14:textId="45383EE5" w:rsidR="00026E66" w:rsidRDefault="002737EF" w:rsidP="00FF0098">
      <w:pPr>
        <w:tabs>
          <w:tab w:val="left" w:pos="0"/>
        </w:tabs>
      </w:pPr>
      <w:r>
        <w:t xml:space="preserve">The sector association should provide sufficient evidence for the name change with their variation, </w:t>
      </w:r>
      <w:r w:rsidR="007A7512">
        <w:t>for example</w:t>
      </w:r>
      <w:r>
        <w:t xml:space="preserve"> information from Companies House (or similar) showing the name change and that the registration number is unchanged.</w:t>
      </w:r>
    </w:p>
    <w:p w14:paraId="69E83552" w14:textId="0960CB0D" w:rsidR="00026E66" w:rsidRPr="00E955A3" w:rsidRDefault="002737EF" w:rsidP="00E955A3">
      <w:pPr>
        <w:pStyle w:val="Heading2"/>
        <w:tabs>
          <w:tab w:val="left" w:pos="0"/>
        </w:tabs>
      </w:pPr>
      <w:bookmarkStart w:id="127" w:name="_7.4._The_address"/>
      <w:bookmarkStart w:id="128" w:name="_Toc94718653"/>
      <w:bookmarkStart w:id="129" w:name="_Toc94088901"/>
      <w:bookmarkStart w:id="130" w:name="_Toc242885381"/>
      <w:bookmarkEnd w:id="127"/>
      <w:r>
        <w:t xml:space="preserve">7.4. The address of the responsible person for the </w:t>
      </w:r>
      <w:r w:rsidR="00875EC4">
        <w:t>agreement</w:t>
      </w:r>
      <w:r>
        <w:t xml:space="preserve"> changes</w:t>
      </w:r>
      <w:bookmarkEnd w:id="128"/>
      <w:bookmarkEnd w:id="129"/>
      <w:bookmarkEnd w:id="130"/>
      <w:r>
        <w:t xml:space="preserve"> </w:t>
      </w:r>
    </w:p>
    <w:p w14:paraId="0C52866D" w14:textId="01753B9F" w:rsidR="00026E66" w:rsidRDefault="002737EF" w:rsidP="00FF0098">
      <w:pPr>
        <w:tabs>
          <w:tab w:val="left" w:pos="0"/>
        </w:tabs>
      </w:pPr>
      <w:r>
        <w:t xml:space="preserve">The sector association </w:t>
      </w:r>
      <w:r w:rsidR="005040BB">
        <w:t>can</w:t>
      </w:r>
      <w:r>
        <w:t xml:space="preserve"> submit this variation type if the address for service of notices changes.</w:t>
      </w:r>
      <w:r w:rsidR="00FC355D">
        <w:t xml:space="preserve"> </w:t>
      </w:r>
      <w:r>
        <w:t xml:space="preserve">For a company, we normally expect this to be the same as the registered office </w:t>
      </w:r>
      <w:r>
        <w:lastRenderedPageBreak/>
        <w:t xml:space="preserve">address, but </w:t>
      </w:r>
      <w:r w:rsidR="00652CD5">
        <w:t>the Responsible Person</w:t>
      </w:r>
      <w:r>
        <w:t xml:space="preserve"> can specify an alternative address for service of notices.</w:t>
      </w:r>
      <w:r w:rsidR="00FC355D">
        <w:t xml:space="preserve"> </w:t>
      </w:r>
      <w:r>
        <w:t>The new address must be a UK postal address.</w:t>
      </w:r>
    </w:p>
    <w:p w14:paraId="54FBABD5" w14:textId="3C4DB5D2" w:rsidR="00026E66" w:rsidRDefault="002737EF" w:rsidP="00FF0098">
      <w:pPr>
        <w:tabs>
          <w:tab w:val="left" w:pos="0"/>
        </w:tabs>
      </w:pPr>
      <w:r>
        <w:t xml:space="preserve">This variation requires the following information and evidence to be </w:t>
      </w:r>
      <w:r w:rsidR="00846C63">
        <w:t xml:space="preserve">submitted: </w:t>
      </w:r>
    </w:p>
    <w:p w14:paraId="55FBF8F9" w14:textId="77777777" w:rsidR="00026E66" w:rsidRDefault="002737EF" w:rsidP="007A7512">
      <w:pPr>
        <w:pStyle w:val="ListParagraph"/>
        <w:numPr>
          <w:ilvl w:val="0"/>
          <w:numId w:val="139"/>
        </w:numPr>
        <w:tabs>
          <w:tab w:val="left" w:pos="0"/>
        </w:tabs>
      </w:pPr>
      <w:r w:rsidRPr="007A7512">
        <w:rPr>
          <w:color w:val="000000"/>
        </w:rPr>
        <w:t xml:space="preserve">new address </w:t>
      </w:r>
      <w:r>
        <w:t>for service of notices</w:t>
      </w:r>
    </w:p>
    <w:p w14:paraId="3E8B4631" w14:textId="0D2233AD" w:rsidR="00026E66" w:rsidRDefault="002737EF" w:rsidP="007A7512">
      <w:pPr>
        <w:pStyle w:val="ListParagraph"/>
        <w:numPr>
          <w:ilvl w:val="0"/>
          <w:numId w:val="139"/>
        </w:numPr>
        <w:tabs>
          <w:tab w:val="left" w:pos="0"/>
        </w:tabs>
      </w:pPr>
      <w:r>
        <w:t xml:space="preserve">any relevant information supporting the address change, </w:t>
      </w:r>
      <w:r w:rsidR="007A7512">
        <w:t>for example</w:t>
      </w:r>
      <w:r>
        <w:t xml:space="preserve"> </w:t>
      </w:r>
      <w:r w:rsidR="007A7512">
        <w:t>C</w:t>
      </w:r>
      <w:r>
        <w:t xml:space="preserve">ompanies </w:t>
      </w:r>
      <w:r w:rsidR="007A7512">
        <w:t>H</w:t>
      </w:r>
      <w:r>
        <w:t>ouse notification of registered office address</w:t>
      </w:r>
    </w:p>
    <w:p w14:paraId="0010A88F" w14:textId="5D11BE6B" w:rsidR="00026E66" w:rsidRDefault="002737EF" w:rsidP="00FF0098">
      <w:pPr>
        <w:tabs>
          <w:tab w:val="left" w:pos="0"/>
        </w:tabs>
      </w:pPr>
      <w:r>
        <w:rPr>
          <w:color w:val="auto"/>
        </w:rPr>
        <w:t xml:space="preserve">This variation </w:t>
      </w:r>
      <w:r>
        <w:rPr>
          <w:color w:val="auto"/>
          <w:szCs w:val="24"/>
        </w:rPr>
        <w:t>should not</w:t>
      </w:r>
      <w:r>
        <w:rPr>
          <w:color w:val="auto"/>
        </w:rPr>
        <w:t xml:space="preserve"> be used to change a facility address</w:t>
      </w:r>
      <w:r w:rsidR="00E91451">
        <w:rPr>
          <w:color w:val="auto"/>
        </w:rPr>
        <w:t xml:space="preserve">. </w:t>
      </w:r>
      <w:r>
        <w:rPr>
          <w:color w:val="auto"/>
        </w:rPr>
        <w:t xml:space="preserve"> </w:t>
      </w:r>
    </w:p>
    <w:p w14:paraId="1A1F38DD" w14:textId="77777777" w:rsidR="00026E66" w:rsidRDefault="002737EF" w:rsidP="00FF0098">
      <w:pPr>
        <w:pStyle w:val="Heading2"/>
        <w:tabs>
          <w:tab w:val="left" w:pos="0"/>
        </w:tabs>
      </w:pPr>
      <w:bookmarkStart w:id="131" w:name="_7.5._Review_of"/>
      <w:bookmarkStart w:id="132" w:name="_Toc94718654"/>
      <w:bookmarkStart w:id="133" w:name="_Toc94088902"/>
      <w:bookmarkStart w:id="134" w:name="_Toc242885382"/>
      <w:bookmarkEnd w:id="131"/>
      <w:r>
        <w:t>7.5. Review of the baseline due to structural change, or review of the 70% provision</w:t>
      </w:r>
      <w:bookmarkEnd w:id="132"/>
      <w:bookmarkEnd w:id="133"/>
      <w:bookmarkEnd w:id="134"/>
      <w:r>
        <w:t xml:space="preserve"> </w:t>
      </w:r>
    </w:p>
    <w:p w14:paraId="3AD531A1" w14:textId="37A89D67" w:rsidR="00026E66" w:rsidRDefault="002737EF" w:rsidP="00FF0098">
      <w:pPr>
        <w:tabs>
          <w:tab w:val="left" w:pos="0"/>
        </w:tabs>
      </w:pPr>
      <w:r>
        <w:t>This section covers</w:t>
      </w:r>
      <w:r w:rsidR="00451C71">
        <w:t xml:space="preserve"> a</w:t>
      </w:r>
      <w:r>
        <w:t xml:space="preserve"> </w:t>
      </w:r>
      <w:hyperlink w:anchor="Structuralchange" w:history="1">
        <w:r w:rsidRPr="004C474C">
          <w:rPr>
            <w:rStyle w:val="Hyperlink"/>
          </w:rPr>
          <w:t>structural change</w:t>
        </w:r>
      </w:hyperlink>
      <w:r>
        <w:t xml:space="preserve"> which could change the amount of energy consumed in the eligible facility with respect to the total site energy </w:t>
      </w:r>
      <w:r w:rsidR="00C16ABF">
        <w:t>consumption</w:t>
      </w:r>
      <w:r>
        <w:t>.</w:t>
      </w:r>
      <w:r w:rsidR="00FC355D">
        <w:t xml:space="preserve"> </w:t>
      </w:r>
      <w:r>
        <w:t xml:space="preserve">This may result in the requirement to change the baseline and targets under certain circumstances. </w:t>
      </w:r>
    </w:p>
    <w:p w14:paraId="1B719CEA" w14:textId="77777777" w:rsidR="00026E66" w:rsidRDefault="002737EF" w:rsidP="00FF0098">
      <w:pPr>
        <w:pStyle w:val="Heading3"/>
        <w:tabs>
          <w:tab w:val="left" w:pos="0"/>
        </w:tabs>
      </w:pPr>
      <w:bookmarkStart w:id="135" w:name="_7.5.1._Structural_change"/>
      <w:bookmarkEnd w:id="135"/>
      <w:r>
        <w:t xml:space="preserve">7.5.1. Structural change </w:t>
      </w:r>
    </w:p>
    <w:p w14:paraId="686F156F" w14:textId="30573D24" w:rsidR="00EA3748" w:rsidRDefault="002737EF" w:rsidP="00EA3748">
      <w:pPr>
        <w:tabs>
          <w:tab w:val="left" w:pos="0"/>
        </w:tabs>
      </w:pPr>
      <w:r>
        <w:t xml:space="preserve">Paragraph </w:t>
      </w:r>
      <w:r w:rsidR="003C02B2">
        <w:t>4</w:t>
      </w:r>
      <w:r>
        <w:t xml:space="preserve"> of the </w:t>
      </w:r>
      <w:hyperlink r:id="rId49" w:history="1">
        <w:r>
          <w:rPr>
            <w:rStyle w:val="Hyperlink"/>
            <w:color w:val="0070C0"/>
          </w:rPr>
          <w:t>Technical Annex</w:t>
        </w:r>
      </w:hyperlink>
      <w:r>
        <w:t xml:space="preserve"> defines a structural change as one of the following: </w:t>
      </w:r>
    </w:p>
    <w:p w14:paraId="2D0D6588" w14:textId="24359DD6" w:rsidR="007A09E1" w:rsidRDefault="00EA3748" w:rsidP="00FA6A59">
      <w:pPr>
        <w:pStyle w:val="ListParagraph"/>
        <w:numPr>
          <w:ilvl w:val="0"/>
          <w:numId w:val="161"/>
        </w:numPr>
        <w:tabs>
          <w:tab w:val="left" w:pos="0"/>
        </w:tabs>
      </w:pPr>
      <w:r w:rsidRPr="00EA3748">
        <w:t xml:space="preserve">Changes to the processes carried out at a site, which mean that a process would no longer be an eligible process. Such changes may affect the </w:t>
      </w:r>
      <w:hyperlink w:anchor="Primaryactivity" w:history="1">
        <w:r w:rsidRPr="00D033CC">
          <w:rPr>
            <w:rStyle w:val="Hyperlink"/>
          </w:rPr>
          <w:t>primary activity</w:t>
        </w:r>
      </w:hyperlink>
      <w:r w:rsidRPr="00EA3748">
        <w:t xml:space="preserve"> carried out in the stationary technical unit such that the change means that a process can no longer be considered an eligible process, or they may affect the relationship between the primary activity and other activities originally determined to be </w:t>
      </w:r>
      <w:hyperlink w:anchor="Ancilliary" w:history="1">
        <w:r w:rsidRPr="000B4876">
          <w:rPr>
            <w:rStyle w:val="Hyperlink"/>
          </w:rPr>
          <w:t>ancillary activities</w:t>
        </w:r>
      </w:hyperlink>
      <w:r w:rsidRPr="00EA3748">
        <w:t xml:space="preserve">, such that these other activities can no longer be considered </w:t>
      </w:r>
      <w:r w:rsidRPr="00D77723">
        <w:t>ancillary activities</w:t>
      </w:r>
      <w:r w:rsidRPr="00EA3748">
        <w:t xml:space="preserve">. </w:t>
      </w:r>
    </w:p>
    <w:p w14:paraId="17FDCF24" w14:textId="77777777" w:rsidR="007A09E1" w:rsidRDefault="00EA3748" w:rsidP="00FA6A59">
      <w:pPr>
        <w:pStyle w:val="ListParagraph"/>
        <w:numPr>
          <w:ilvl w:val="0"/>
          <w:numId w:val="161"/>
        </w:numPr>
        <w:tabs>
          <w:tab w:val="left" w:pos="0"/>
        </w:tabs>
      </w:pPr>
      <w:r w:rsidRPr="00EA3748">
        <w:t xml:space="preserve">Changes to a facility </w:t>
      </w:r>
      <w:proofErr w:type="gramStart"/>
      <w:r w:rsidRPr="00EA3748">
        <w:t>as a result of</w:t>
      </w:r>
      <w:proofErr w:type="gramEnd"/>
      <w:r w:rsidRPr="00EA3748">
        <w:t xml:space="preserve"> an eligible process which used to take place inside the site boundary taking place outside of the site boundary instead. </w:t>
      </w:r>
    </w:p>
    <w:p w14:paraId="1DD4A7B1" w14:textId="2660F992" w:rsidR="007A09E1" w:rsidRDefault="00EA3748" w:rsidP="00FA6A59">
      <w:pPr>
        <w:pStyle w:val="ListParagraph"/>
        <w:numPr>
          <w:ilvl w:val="0"/>
          <w:numId w:val="161"/>
        </w:numPr>
        <w:tabs>
          <w:tab w:val="left" w:pos="0"/>
        </w:tabs>
      </w:pPr>
      <w:r w:rsidRPr="00EA3748">
        <w:t xml:space="preserve">Changes impacting the </w:t>
      </w:r>
      <w:hyperlink w:anchor="seventypercentrule" w:history="1">
        <w:r w:rsidRPr="005F044C">
          <w:rPr>
            <w:rStyle w:val="Hyperlink"/>
          </w:rPr>
          <w:t>70% Rule</w:t>
        </w:r>
      </w:hyperlink>
      <w:r w:rsidRPr="00EA3748">
        <w:t xml:space="preserve">: Changes to the proportion of energy which is used in an installation comprising part of a site which would affect the extent of the facility which is eligible to be covered by an agreement as a result of the application of Regulation 3(1) of the Climate Change Agreements (Eligible Facilities) Regulations 2012, as amended from time to time. </w:t>
      </w:r>
    </w:p>
    <w:p w14:paraId="2FDE8F68" w14:textId="44EE3C83" w:rsidR="00EA3748" w:rsidRDefault="00EA3748" w:rsidP="00FD062B">
      <w:pPr>
        <w:pStyle w:val="ListParagraph"/>
        <w:numPr>
          <w:ilvl w:val="0"/>
          <w:numId w:val="161"/>
        </w:numPr>
        <w:tabs>
          <w:tab w:val="left" w:pos="0"/>
        </w:tabs>
      </w:pPr>
      <w:r w:rsidRPr="00EA3748">
        <w:t xml:space="preserve">A change in the extent of the </w:t>
      </w:r>
      <w:hyperlink w:anchor="Targetfacility" w:history="1">
        <w:r w:rsidRPr="00B52757">
          <w:rPr>
            <w:rStyle w:val="Hyperlink"/>
          </w:rPr>
          <w:t>target facility</w:t>
        </w:r>
      </w:hyperlink>
      <w:r w:rsidRPr="00EA3748">
        <w:t xml:space="preserve"> </w:t>
      </w:r>
      <w:proofErr w:type="gramStart"/>
      <w:r w:rsidRPr="00EA3748">
        <w:t>as a result of</w:t>
      </w:r>
      <w:proofErr w:type="gramEnd"/>
      <w:r w:rsidRPr="00EA3748">
        <w:t xml:space="preserve"> parts of the facility ceasing to carry out or starting to carry out </w:t>
      </w:r>
      <w:r w:rsidR="2152DF11">
        <w:t xml:space="preserve">ETS </w:t>
      </w:r>
      <w:hyperlink w:anchor="Schedule2" w:history="1">
        <w:r w:rsidRPr="00DF4795">
          <w:rPr>
            <w:rStyle w:val="Hyperlink"/>
          </w:rPr>
          <w:t>Schedule 2</w:t>
        </w:r>
      </w:hyperlink>
      <w:r w:rsidRPr="00EA3748">
        <w:t xml:space="preserve"> activities.</w:t>
      </w:r>
    </w:p>
    <w:p w14:paraId="1DABCC3C" w14:textId="23F69ADA" w:rsidR="00026E66" w:rsidRDefault="002737EF" w:rsidP="00FF0098">
      <w:pPr>
        <w:tabs>
          <w:tab w:val="left" w:pos="0"/>
        </w:tabs>
      </w:pPr>
      <w:r>
        <w:t xml:space="preserve">Replacement or replication of plant to increase capacity of the same or similar products is not a structural change unless it entails one of the changes listed in paragraph </w:t>
      </w:r>
      <w:r w:rsidR="002D4CBC">
        <w:t>4</w:t>
      </w:r>
      <w:r>
        <w:t xml:space="preserve"> above.</w:t>
      </w:r>
    </w:p>
    <w:p w14:paraId="62C6E399" w14:textId="77777777" w:rsidR="00026E66" w:rsidRPr="00E931A9" w:rsidRDefault="002737EF" w:rsidP="00FF0098">
      <w:pPr>
        <w:pStyle w:val="Heading4"/>
        <w:tabs>
          <w:tab w:val="left" w:pos="0"/>
        </w:tabs>
      </w:pPr>
      <w:r w:rsidRPr="00E931A9">
        <w:lastRenderedPageBreak/>
        <w:t xml:space="preserve">Change to processes </w:t>
      </w:r>
    </w:p>
    <w:p w14:paraId="03166191" w14:textId="066307B0" w:rsidR="00026E66" w:rsidRDefault="002737EF" w:rsidP="00FF0098">
      <w:pPr>
        <w:tabs>
          <w:tab w:val="left" w:pos="0"/>
        </w:tabs>
        <w:ind w:right="182"/>
        <w:rPr>
          <w:color w:val="auto"/>
          <w:szCs w:val="24"/>
        </w:rPr>
      </w:pPr>
      <w:r>
        <w:rPr>
          <w:color w:val="auto"/>
          <w:szCs w:val="24"/>
        </w:rPr>
        <w:t xml:space="preserve">If there is a change to the processes carried out at the </w:t>
      </w:r>
      <w:hyperlink w:anchor="STU" w:history="1">
        <w:r w:rsidRPr="00E110F4">
          <w:rPr>
            <w:rStyle w:val="Hyperlink"/>
            <w:szCs w:val="24"/>
          </w:rPr>
          <w:t>STU</w:t>
        </w:r>
      </w:hyperlink>
      <w:r>
        <w:rPr>
          <w:color w:val="auto"/>
          <w:szCs w:val="24"/>
        </w:rPr>
        <w:t xml:space="preserve">(s), the STU may no longer meet the definition of eligibility in the </w:t>
      </w:r>
      <w:hyperlink w:anchor="Umbrellaagreement" w:history="1">
        <w:r w:rsidRPr="001B35CB">
          <w:rPr>
            <w:rStyle w:val="Hyperlink"/>
            <w:szCs w:val="24"/>
          </w:rPr>
          <w:t>umbrella agreement</w:t>
        </w:r>
      </w:hyperlink>
      <w:r>
        <w:rPr>
          <w:color w:val="auto"/>
          <w:szCs w:val="24"/>
        </w:rPr>
        <w:t xml:space="preserve"> for the sector. If this happens, a previously eligible STU will cease to be eligible and the whole basis for CCA eligibility at the site may be lost. It may be partially lost if, </w:t>
      </w:r>
      <w:proofErr w:type="gramStart"/>
      <w:r>
        <w:rPr>
          <w:color w:val="auto"/>
          <w:szCs w:val="24"/>
        </w:rPr>
        <w:t>as a result of</w:t>
      </w:r>
      <w:proofErr w:type="gramEnd"/>
      <w:r>
        <w:rPr>
          <w:color w:val="auto"/>
          <w:szCs w:val="24"/>
        </w:rPr>
        <w:t xml:space="preserve"> the change, some but not all STUs lose their eligibility. In this second case, the proportion of the site's energy use covered by the eligible installation will be less than before and the proportion of the site's energy use entitled to be included in the eligible facility may also be less. </w:t>
      </w:r>
    </w:p>
    <w:p w14:paraId="0CA9AA41" w14:textId="5FDBB8D3" w:rsidR="00026E66" w:rsidRDefault="002737EF" w:rsidP="00FF0098">
      <w:pPr>
        <w:tabs>
          <w:tab w:val="left" w:pos="0"/>
        </w:tabs>
        <w:ind w:right="182"/>
        <w:rPr>
          <w:color w:val="auto"/>
          <w:szCs w:val="24"/>
        </w:rPr>
      </w:pPr>
      <w:r>
        <w:rPr>
          <w:color w:val="auto"/>
          <w:szCs w:val="24"/>
        </w:rPr>
        <w:t xml:space="preserve">If the site no longer qualifies for a CCA, </w:t>
      </w:r>
      <w:r w:rsidR="00D436D6">
        <w:rPr>
          <w:color w:val="auto"/>
          <w:szCs w:val="24"/>
        </w:rPr>
        <w:t xml:space="preserve">that facility will be removed from the agreement. </w:t>
      </w:r>
      <w:r w:rsidR="007F5CAF">
        <w:rPr>
          <w:color w:val="auto"/>
          <w:szCs w:val="24"/>
        </w:rPr>
        <w:t xml:space="preserve">If the agreement contains only one facility, that agreement will be terminated. </w:t>
      </w:r>
    </w:p>
    <w:p w14:paraId="5433D9CD" w14:textId="745E3DB7" w:rsidR="00026E66" w:rsidRDefault="002737EF" w:rsidP="00E955A3">
      <w:pPr>
        <w:tabs>
          <w:tab w:val="left" w:pos="0"/>
        </w:tabs>
        <w:spacing w:after="0"/>
        <w:ind w:right="182"/>
        <w:rPr>
          <w:color w:val="auto"/>
          <w:szCs w:val="24"/>
        </w:rPr>
      </w:pPr>
      <w:r>
        <w:rPr>
          <w:color w:val="auto"/>
          <w:szCs w:val="24"/>
        </w:rPr>
        <w:t>If the site continues to qualify for a CCA, the extent</w:t>
      </w:r>
      <w:r w:rsidR="006625AB">
        <w:rPr>
          <w:color w:val="auto"/>
          <w:szCs w:val="24"/>
        </w:rPr>
        <w:t xml:space="preserve"> of the processes on site</w:t>
      </w:r>
      <w:r>
        <w:rPr>
          <w:color w:val="auto"/>
          <w:szCs w:val="24"/>
        </w:rPr>
        <w:t xml:space="preserve"> that can be included in the eligible facility may have changed. The extent may also change if the operator changes the way the site operates such that one or more </w:t>
      </w:r>
      <w:hyperlink w:anchor="Ancilliary" w:history="1">
        <w:r w:rsidRPr="000B4876">
          <w:rPr>
            <w:rStyle w:val="Hyperlink"/>
            <w:szCs w:val="24"/>
          </w:rPr>
          <w:t>ancillary activities</w:t>
        </w:r>
      </w:hyperlink>
      <w:r>
        <w:rPr>
          <w:color w:val="auto"/>
          <w:szCs w:val="24"/>
        </w:rPr>
        <w:t xml:space="preserve"> can no longer be considered </w:t>
      </w:r>
      <w:hyperlink w:anchor="DAA" w:history="1">
        <w:r w:rsidRPr="009747BB">
          <w:rPr>
            <w:rStyle w:val="Hyperlink"/>
            <w:szCs w:val="24"/>
          </w:rPr>
          <w:t>DAAs</w:t>
        </w:r>
      </w:hyperlink>
      <w:r>
        <w:rPr>
          <w:color w:val="auto"/>
          <w:szCs w:val="24"/>
        </w:rPr>
        <w:t xml:space="preserve"> of the STU. </w:t>
      </w:r>
    </w:p>
    <w:p w14:paraId="64376536" w14:textId="77777777" w:rsidR="00026E66" w:rsidRDefault="002737EF" w:rsidP="00FF0098">
      <w:pPr>
        <w:pStyle w:val="Heading4"/>
        <w:tabs>
          <w:tab w:val="left" w:pos="0"/>
        </w:tabs>
      </w:pPr>
      <w:r>
        <w:t xml:space="preserve">Eligible process moves outside site boundary </w:t>
      </w:r>
    </w:p>
    <w:p w14:paraId="019725C0" w14:textId="421BC357" w:rsidR="00026E66" w:rsidRPr="00E955A3" w:rsidRDefault="002737EF" w:rsidP="00E955A3">
      <w:pPr>
        <w:tabs>
          <w:tab w:val="left" w:pos="0"/>
        </w:tabs>
        <w:spacing w:after="11"/>
        <w:ind w:right="182"/>
      </w:pPr>
      <w:r>
        <w:rPr>
          <w:color w:val="auto"/>
        </w:rPr>
        <w:t>This change occurs if any of the components making up the installation at the site (</w:t>
      </w:r>
      <w:r>
        <w:rPr>
          <w:color w:val="auto"/>
          <w:szCs w:val="24"/>
        </w:rPr>
        <w:t>an</w:t>
      </w:r>
      <w:r>
        <w:rPr>
          <w:color w:val="auto"/>
        </w:rPr>
        <w:t xml:space="preserve"> </w:t>
      </w:r>
      <w:hyperlink w:anchor="STU" w:history="1">
        <w:r w:rsidRPr="00A16A21">
          <w:rPr>
            <w:rStyle w:val="Hyperlink"/>
          </w:rPr>
          <w:t>STU</w:t>
        </w:r>
      </w:hyperlink>
      <w:r>
        <w:rPr>
          <w:color w:val="auto"/>
        </w:rPr>
        <w:t xml:space="preserve"> or a </w:t>
      </w:r>
      <w:hyperlink w:anchor="DAA" w:history="1">
        <w:r w:rsidRPr="00A16A21">
          <w:rPr>
            <w:rStyle w:val="Hyperlink"/>
          </w:rPr>
          <w:t>DAA</w:t>
        </w:r>
      </w:hyperlink>
      <w:r>
        <w:rPr>
          <w:color w:val="auto"/>
        </w:rPr>
        <w:t>) are no longer carried out on the site</w:t>
      </w:r>
      <w:r>
        <w:rPr>
          <w:color w:val="auto"/>
          <w:szCs w:val="24"/>
        </w:rPr>
        <w:t xml:space="preserve"> but somewhere else, for example, due to outsourcing.</w:t>
      </w:r>
      <w:r>
        <w:rPr>
          <w:color w:val="auto"/>
        </w:rPr>
        <w:t xml:space="preserve"> This means that the extent of the installation may have changed and the proportion of the site's energy use that can be included in the eligible facility may have also changed.</w:t>
      </w:r>
      <w:r>
        <w:rPr>
          <w:color w:val="auto"/>
          <w:szCs w:val="24"/>
        </w:rPr>
        <w:t xml:space="preserve"> </w:t>
      </w:r>
    </w:p>
    <w:p w14:paraId="1E8FFA7D" w14:textId="7E41DCC5" w:rsidR="00026E66" w:rsidRDefault="002737EF" w:rsidP="00FF0098">
      <w:pPr>
        <w:pStyle w:val="Heading4"/>
        <w:tabs>
          <w:tab w:val="left" w:pos="0"/>
        </w:tabs>
      </w:pPr>
      <w:r>
        <w:t xml:space="preserve">Change to proportion of energy used in the installation </w:t>
      </w:r>
      <w:r w:rsidR="00074BD0">
        <w:t>impacting the 70% rule</w:t>
      </w:r>
    </w:p>
    <w:p w14:paraId="61B485AE" w14:textId="3A759159" w:rsidR="00901549" w:rsidRPr="00901549" w:rsidRDefault="00901549" w:rsidP="00901549">
      <w:pPr>
        <w:tabs>
          <w:tab w:val="left" w:pos="0"/>
        </w:tabs>
        <w:ind w:right="182"/>
        <w:rPr>
          <w:color w:val="auto"/>
        </w:rPr>
      </w:pPr>
      <w:r w:rsidRPr="00901549">
        <w:rPr>
          <w:color w:val="auto"/>
        </w:rPr>
        <w:t xml:space="preserve">The proportion of a site's total energy consumption that is used within the installation may change over time. This may affect whether the installation meets the </w:t>
      </w:r>
      <w:hyperlink w:anchor="seventypercentrule" w:history="1">
        <w:r w:rsidRPr="005F044C">
          <w:rPr>
            <w:rStyle w:val="Hyperlink"/>
          </w:rPr>
          <w:t>70% rule</w:t>
        </w:r>
      </w:hyperlink>
      <w:r w:rsidRPr="00901549">
        <w:rPr>
          <w:color w:val="auto"/>
        </w:rPr>
        <w:t>.</w:t>
      </w:r>
    </w:p>
    <w:p w14:paraId="65794252" w14:textId="499D963D" w:rsidR="00901549" w:rsidRPr="00901549" w:rsidRDefault="00901549" w:rsidP="00901549">
      <w:pPr>
        <w:numPr>
          <w:ilvl w:val="0"/>
          <w:numId w:val="201"/>
        </w:numPr>
        <w:tabs>
          <w:tab w:val="left" w:pos="0"/>
        </w:tabs>
        <w:ind w:right="182"/>
        <w:rPr>
          <w:color w:val="auto"/>
        </w:rPr>
      </w:pPr>
      <w:r w:rsidRPr="00901549">
        <w:rPr>
          <w:color w:val="auto"/>
        </w:rPr>
        <w:t>If the installation consumes</w:t>
      </w:r>
      <w:r w:rsidRPr="00CA7688">
        <w:rPr>
          <w:color w:val="auto"/>
        </w:rPr>
        <w:t xml:space="preserve"> 70% or more of the site's total energy, the eligible facility is the whole </w:t>
      </w:r>
      <w:proofErr w:type="gramStart"/>
      <w:r w:rsidRPr="00CA7688">
        <w:rPr>
          <w:color w:val="auto"/>
        </w:rPr>
        <w:t>site</w:t>
      </w:r>
      <w:proofErr w:type="gramEnd"/>
      <w:r w:rsidR="006F3916">
        <w:rPr>
          <w:b/>
          <w:bCs/>
          <w:color w:val="auto"/>
        </w:rPr>
        <w:t xml:space="preserve"> </w:t>
      </w:r>
      <w:r w:rsidR="006F3916">
        <w:rPr>
          <w:color w:val="auto"/>
        </w:rPr>
        <w:t>and energy consumption can be measured using the site’s main meters</w:t>
      </w:r>
      <w:r w:rsidRPr="00901549">
        <w:rPr>
          <w:color w:val="auto"/>
        </w:rPr>
        <w:t>.</w:t>
      </w:r>
    </w:p>
    <w:p w14:paraId="77F22305" w14:textId="77777777" w:rsidR="00901549" w:rsidRPr="00901549" w:rsidRDefault="00901549" w:rsidP="00901549">
      <w:pPr>
        <w:numPr>
          <w:ilvl w:val="0"/>
          <w:numId w:val="201"/>
        </w:numPr>
        <w:tabs>
          <w:tab w:val="left" w:pos="0"/>
        </w:tabs>
        <w:ind w:right="182"/>
        <w:rPr>
          <w:color w:val="auto"/>
        </w:rPr>
      </w:pPr>
      <w:r w:rsidRPr="00901549">
        <w:rPr>
          <w:color w:val="auto"/>
        </w:rPr>
        <w:t xml:space="preserve">If the installation consumes </w:t>
      </w:r>
      <w:r w:rsidRPr="00CA7688">
        <w:rPr>
          <w:color w:val="auto"/>
        </w:rPr>
        <w:t>less than 70%,</w:t>
      </w:r>
      <w:r w:rsidRPr="00901549">
        <w:rPr>
          <w:color w:val="auto"/>
        </w:rPr>
        <w:t xml:space="preserve"> the eligible facility is limited to: </w:t>
      </w:r>
    </w:p>
    <w:p w14:paraId="1F3671DA" w14:textId="77777777" w:rsidR="00901549" w:rsidRPr="00901549" w:rsidRDefault="00901549" w:rsidP="00901549">
      <w:pPr>
        <w:numPr>
          <w:ilvl w:val="1"/>
          <w:numId w:val="201"/>
        </w:numPr>
        <w:tabs>
          <w:tab w:val="left" w:pos="0"/>
        </w:tabs>
        <w:ind w:right="182"/>
        <w:rPr>
          <w:color w:val="auto"/>
        </w:rPr>
      </w:pPr>
      <w:r w:rsidRPr="00901549">
        <w:rPr>
          <w:color w:val="auto"/>
        </w:rPr>
        <w:t>the installation, plus</w:t>
      </w:r>
    </w:p>
    <w:p w14:paraId="06BA7591" w14:textId="77777777" w:rsidR="00901549" w:rsidRPr="00901549" w:rsidRDefault="00901549" w:rsidP="00901549">
      <w:pPr>
        <w:numPr>
          <w:ilvl w:val="1"/>
          <w:numId w:val="201"/>
        </w:numPr>
        <w:tabs>
          <w:tab w:val="left" w:pos="0"/>
        </w:tabs>
        <w:ind w:right="182"/>
        <w:rPr>
          <w:color w:val="auto"/>
        </w:rPr>
      </w:pPr>
      <w:r w:rsidRPr="00901549">
        <w:rPr>
          <w:color w:val="auto"/>
        </w:rPr>
        <w:t xml:space="preserve">(optionally) up to </w:t>
      </w:r>
      <w:r w:rsidRPr="00CA7688">
        <w:rPr>
          <w:color w:val="auto"/>
        </w:rPr>
        <w:t xml:space="preserve">3/7ths </w:t>
      </w:r>
      <w:r w:rsidRPr="00901549">
        <w:rPr>
          <w:color w:val="auto"/>
        </w:rPr>
        <w:t>of the installation’s energy from other site activities</w:t>
      </w:r>
    </w:p>
    <w:p w14:paraId="3A3CE616" w14:textId="150FB9BC" w:rsidR="00901549" w:rsidRPr="00901549" w:rsidRDefault="00901549" w:rsidP="00901549">
      <w:pPr>
        <w:tabs>
          <w:tab w:val="left" w:pos="0"/>
        </w:tabs>
        <w:ind w:right="182"/>
        <w:rPr>
          <w:color w:val="auto"/>
        </w:rPr>
      </w:pPr>
      <w:r w:rsidRPr="00901549">
        <w:rPr>
          <w:color w:val="auto"/>
        </w:rPr>
        <w:t>A significant change in this proportion may require the eligible facility baseline and target to be updated.</w:t>
      </w:r>
    </w:p>
    <w:p w14:paraId="0CDEEB74" w14:textId="77777777" w:rsidR="00026E66" w:rsidRDefault="002737EF" w:rsidP="00FF0098">
      <w:pPr>
        <w:pStyle w:val="Heading4"/>
        <w:tabs>
          <w:tab w:val="left" w:pos="0"/>
        </w:tabs>
      </w:pPr>
      <w:r>
        <w:lastRenderedPageBreak/>
        <w:t xml:space="preserve">Change in ETS status </w:t>
      </w:r>
    </w:p>
    <w:p w14:paraId="5EFB8267" w14:textId="6331D986" w:rsidR="00026E66" w:rsidRDefault="002737EF" w:rsidP="00FF0098">
      <w:pPr>
        <w:tabs>
          <w:tab w:val="left" w:pos="0"/>
        </w:tabs>
        <w:ind w:right="182"/>
      </w:pPr>
      <w:r>
        <w:rPr>
          <w:color w:val="auto"/>
          <w:szCs w:val="24"/>
        </w:rPr>
        <w:t xml:space="preserve">The </w:t>
      </w:r>
      <w:hyperlink w:anchor="UKETS" w:history="1">
        <w:r w:rsidRPr="00712FEA">
          <w:rPr>
            <w:rStyle w:val="Hyperlink"/>
            <w:szCs w:val="24"/>
          </w:rPr>
          <w:t>ETS</w:t>
        </w:r>
      </w:hyperlink>
      <w:r>
        <w:rPr>
          <w:color w:val="auto"/>
          <w:szCs w:val="24"/>
        </w:rPr>
        <w:t xml:space="preserve"> status of any fuel consumed within the eligible facility might change in the future, that is, the consumption moves from being in scope of the ETS to out of scope, and vice versa. This may be due to changes in the ETS policy or changes on site, such as a change in the capacity of combustion plant on the site included in the eligible facility. Since the energy consumed within the target facility is the energy consumed within the eligible facility less any of this energy covered by ETS, changes in the ETS status of the eligible facility's energy use will change the extent of the </w:t>
      </w:r>
      <w:hyperlink w:anchor="Targetfacility" w:history="1">
        <w:r w:rsidRPr="00DD1349">
          <w:rPr>
            <w:rStyle w:val="Hyperlink"/>
            <w:szCs w:val="24"/>
          </w:rPr>
          <w:t>target facility</w:t>
        </w:r>
      </w:hyperlink>
      <w:r>
        <w:rPr>
          <w:color w:val="auto"/>
          <w:szCs w:val="24"/>
        </w:rPr>
        <w:t xml:space="preserve">. Please refer to </w:t>
      </w:r>
      <w:hyperlink w:anchor="_3.3.4._Step_4:" w:history="1">
        <w:r>
          <w:rPr>
            <w:rStyle w:val="Hyperlink"/>
            <w:szCs w:val="24"/>
          </w:rPr>
          <w:t>section 3.3.4</w:t>
        </w:r>
      </w:hyperlink>
      <w:r>
        <w:rPr>
          <w:color w:val="auto"/>
          <w:szCs w:val="24"/>
          <w:u w:val="single" w:color="0077B9"/>
        </w:rPr>
        <w:t xml:space="preserve"> </w:t>
      </w:r>
      <w:r>
        <w:rPr>
          <w:color w:val="auto"/>
          <w:szCs w:val="24"/>
        </w:rPr>
        <w:t xml:space="preserve">for additional information. </w:t>
      </w:r>
    </w:p>
    <w:p w14:paraId="1517AFD6" w14:textId="3E5F8263" w:rsidR="004A7D0A" w:rsidRPr="00BD74B1" w:rsidRDefault="002737EF" w:rsidP="00FF0098">
      <w:pPr>
        <w:tabs>
          <w:tab w:val="left" w:pos="0"/>
        </w:tabs>
        <w:spacing w:after="36"/>
        <w:ind w:right="576"/>
        <w:rPr>
          <w:color w:val="auto"/>
        </w:rPr>
      </w:pPr>
      <w:r>
        <w:rPr>
          <w:color w:val="auto"/>
          <w:szCs w:val="24"/>
        </w:rPr>
        <w:t xml:space="preserve">The target facility's baseline will need to be revised to reflect this. </w:t>
      </w:r>
      <w:r>
        <w:rPr>
          <w:color w:val="auto"/>
        </w:rPr>
        <w:t xml:space="preserve">New targets will be calculated for the target facility by applying the original percentage improvement targets to this revised baseline. The new targets can be recalculated using the 'Target calculator' workbook tool provided in </w:t>
      </w:r>
      <w:hyperlink w:anchor="_Appendix_H:_Workbook_1" w:history="1">
        <w:r>
          <w:rPr>
            <w:rStyle w:val="Hyperlink"/>
          </w:rPr>
          <w:t>Appendix H</w:t>
        </w:r>
      </w:hyperlink>
      <w:r>
        <w:rPr>
          <w:color w:val="auto"/>
        </w:rPr>
        <w:t>.</w:t>
      </w:r>
      <w:r w:rsidR="00FC355D">
        <w:rPr>
          <w:color w:val="auto"/>
        </w:rPr>
        <w:t xml:space="preserve"> </w:t>
      </w:r>
    </w:p>
    <w:p w14:paraId="68D9DECF" w14:textId="77777777" w:rsidR="00026E66" w:rsidRDefault="002737EF" w:rsidP="00FF0098">
      <w:pPr>
        <w:pStyle w:val="Heading4"/>
        <w:tabs>
          <w:tab w:val="left" w:pos="0"/>
        </w:tabs>
      </w:pPr>
      <w:r>
        <w:t xml:space="preserve">What happens if there is a structural change? </w:t>
      </w:r>
    </w:p>
    <w:p w14:paraId="712CCB8B" w14:textId="154F8AB3" w:rsidR="00DD3E90" w:rsidRDefault="001B0967" w:rsidP="00262EE6">
      <w:pPr>
        <w:tabs>
          <w:tab w:val="left" w:pos="0"/>
        </w:tabs>
        <w:ind w:right="182"/>
        <w:rPr>
          <w:color w:val="auto"/>
          <w:szCs w:val="24"/>
        </w:rPr>
      </w:pPr>
      <w:r>
        <w:rPr>
          <w:color w:val="auto"/>
        </w:rPr>
        <w:t>You must</w:t>
      </w:r>
      <w:r w:rsidR="0086611A">
        <w:rPr>
          <w:color w:val="auto"/>
        </w:rPr>
        <w:t xml:space="preserve"> </w:t>
      </w:r>
      <w:r w:rsidR="002737EF">
        <w:rPr>
          <w:color w:val="auto"/>
          <w:szCs w:val="24"/>
        </w:rPr>
        <w:t>notif</w:t>
      </w:r>
      <w:r>
        <w:rPr>
          <w:color w:val="auto"/>
          <w:szCs w:val="24"/>
        </w:rPr>
        <w:t>y us</w:t>
      </w:r>
      <w:r w:rsidR="002737EF">
        <w:rPr>
          <w:color w:val="auto"/>
          <w:szCs w:val="24"/>
        </w:rPr>
        <w:t xml:space="preserve"> via </w:t>
      </w:r>
      <w:proofErr w:type="spellStart"/>
      <w:r w:rsidR="003915A8">
        <w:rPr>
          <w:color w:val="auto"/>
          <w:szCs w:val="24"/>
        </w:rPr>
        <w:t>MyCCA</w:t>
      </w:r>
      <w:proofErr w:type="spellEnd"/>
      <w:r w:rsidR="002737EF">
        <w:rPr>
          <w:color w:val="auto"/>
        </w:rPr>
        <w:t xml:space="preserve"> within 20 working days of </w:t>
      </w:r>
      <w:r>
        <w:rPr>
          <w:color w:val="auto"/>
        </w:rPr>
        <w:t>any structural</w:t>
      </w:r>
      <w:r w:rsidR="002737EF">
        <w:rPr>
          <w:color w:val="auto"/>
        </w:rPr>
        <w:t xml:space="preserve"> change. </w:t>
      </w:r>
      <w:r w:rsidR="002737EF">
        <w:rPr>
          <w:color w:val="auto"/>
          <w:szCs w:val="24"/>
        </w:rPr>
        <w:t>Notification is through the</w:t>
      </w:r>
      <w:r w:rsidR="002737EF">
        <w:rPr>
          <w:color w:val="auto"/>
        </w:rPr>
        <w:t xml:space="preserve"> sector </w:t>
      </w:r>
      <w:r w:rsidR="002737EF">
        <w:rPr>
          <w:color w:val="auto"/>
          <w:szCs w:val="24"/>
        </w:rPr>
        <w:t>association</w:t>
      </w:r>
      <w:r w:rsidR="002737EF">
        <w:rPr>
          <w:color w:val="auto"/>
        </w:rPr>
        <w:t xml:space="preserve"> </w:t>
      </w:r>
      <w:r w:rsidR="00C7350D">
        <w:rPr>
          <w:color w:val="auto"/>
        </w:rPr>
        <w:t>submitting a</w:t>
      </w:r>
      <w:r w:rsidR="002737EF">
        <w:rPr>
          <w:color w:val="auto"/>
        </w:rPr>
        <w:t xml:space="preserve"> variation </w:t>
      </w:r>
      <w:r w:rsidR="002737EF">
        <w:rPr>
          <w:color w:val="auto"/>
          <w:szCs w:val="24"/>
        </w:rPr>
        <w:t xml:space="preserve">to the agreement. We will </w:t>
      </w:r>
      <w:r w:rsidR="00262EE6">
        <w:rPr>
          <w:color w:val="auto"/>
          <w:szCs w:val="24"/>
        </w:rPr>
        <w:t xml:space="preserve">assess: </w:t>
      </w:r>
    </w:p>
    <w:p w14:paraId="75C6DEFA" w14:textId="0071F8E5" w:rsidR="00DD3E90" w:rsidRDefault="0086611A" w:rsidP="00DD3E90">
      <w:pPr>
        <w:pStyle w:val="ListParagraph"/>
        <w:numPr>
          <w:ilvl w:val="0"/>
          <w:numId w:val="202"/>
        </w:numPr>
        <w:tabs>
          <w:tab w:val="left" w:pos="0"/>
        </w:tabs>
        <w:ind w:right="182"/>
        <w:rPr>
          <w:szCs w:val="24"/>
        </w:rPr>
      </w:pPr>
      <w:r>
        <w:rPr>
          <w:szCs w:val="24"/>
        </w:rPr>
        <w:t>whether</w:t>
      </w:r>
      <w:r w:rsidR="00DD3E90">
        <w:rPr>
          <w:szCs w:val="24"/>
        </w:rPr>
        <w:t xml:space="preserve"> the change meets the definition of a structural change as set out in the </w:t>
      </w:r>
      <w:hyperlink r:id="rId50" w:history="1">
        <w:r w:rsidRPr="00E955A3">
          <w:rPr>
            <w:rStyle w:val="Hyperlink"/>
            <w:color w:val="0070C0"/>
          </w:rPr>
          <w:t>Technical Annex</w:t>
        </w:r>
      </w:hyperlink>
      <w:r>
        <w:rPr>
          <w:szCs w:val="24"/>
        </w:rPr>
        <w:t>, and</w:t>
      </w:r>
    </w:p>
    <w:p w14:paraId="651E6C81" w14:textId="30EB16B0" w:rsidR="0086611A" w:rsidRPr="00DD3E90" w:rsidRDefault="0086611A" w:rsidP="0086611A">
      <w:pPr>
        <w:pStyle w:val="ListParagraph"/>
        <w:numPr>
          <w:ilvl w:val="0"/>
          <w:numId w:val="202"/>
        </w:numPr>
        <w:tabs>
          <w:tab w:val="left" w:pos="0"/>
        </w:tabs>
        <w:ind w:right="182"/>
        <w:rPr>
          <w:szCs w:val="24"/>
        </w:rPr>
      </w:pPr>
      <w:r>
        <w:rPr>
          <w:szCs w:val="24"/>
        </w:rPr>
        <w:t xml:space="preserve">whether it causes the installation to cross the 70% threshold (see </w:t>
      </w:r>
      <w:hyperlink w:anchor="_3.3.3._Step_3:" w:history="1">
        <w:r w:rsidRPr="00E96338">
          <w:rPr>
            <w:rStyle w:val="Hyperlink"/>
            <w:szCs w:val="24"/>
          </w:rPr>
          <w:t>section 3.3.3</w:t>
        </w:r>
      </w:hyperlink>
      <w:r>
        <w:rPr>
          <w:szCs w:val="24"/>
        </w:rPr>
        <w:t>)</w:t>
      </w:r>
    </w:p>
    <w:p w14:paraId="5472A196" w14:textId="66D99B3D" w:rsidR="00026E66" w:rsidRDefault="002737EF" w:rsidP="007A7512">
      <w:r>
        <w:t>If the proportion of the site's energy use that can be included in the installation has changed to an extent that the 70% threshold has been crossed,</w:t>
      </w:r>
      <w:r w:rsidR="00BD69D9">
        <w:t xml:space="preserve"> the baseline must be adjusted. </w:t>
      </w:r>
      <w:r>
        <w:t xml:space="preserve">The original percentage target improvement will </w:t>
      </w:r>
      <w:r w:rsidR="00FF556A">
        <w:t>remain unchanged and will be applied to</w:t>
      </w:r>
      <w:r w:rsidR="002A04A9">
        <w:t xml:space="preserve"> the revised baseline, resulting in a new numerical target for the facility. </w:t>
      </w:r>
    </w:p>
    <w:p w14:paraId="4CADD97F" w14:textId="69301D45" w:rsidR="00026E66" w:rsidRDefault="002737EF" w:rsidP="007A7512">
      <w:r>
        <w:rPr>
          <w:szCs w:val="24"/>
        </w:rPr>
        <w:t>If after</w:t>
      </w:r>
      <w:r>
        <w:t xml:space="preserve"> the </w:t>
      </w:r>
      <w:r>
        <w:rPr>
          <w:szCs w:val="24"/>
        </w:rPr>
        <w:t>change, the</w:t>
      </w:r>
      <w:r>
        <w:t xml:space="preserve"> installation consumes just over 70% of the site's energy use</w:t>
      </w:r>
      <w:r>
        <w:rPr>
          <w:szCs w:val="24"/>
        </w:rPr>
        <w:t xml:space="preserve">, </w:t>
      </w:r>
      <w:r>
        <w:t xml:space="preserve">we may select the site for </w:t>
      </w:r>
      <w:hyperlink w:anchor="Audit" w:history="1">
        <w:r w:rsidR="006B59DE">
          <w:rPr>
            <w:rStyle w:val="Hyperlink"/>
          </w:rPr>
          <w:t>audit</w:t>
        </w:r>
      </w:hyperlink>
      <w:r>
        <w:t xml:space="preserve"> so that any assumptions underpinning the </w:t>
      </w:r>
      <w:r>
        <w:rPr>
          <w:szCs w:val="24"/>
        </w:rPr>
        <w:t>extent of the installation with respect to the site can be tested</w:t>
      </w:r>
      <w:r>
        <w:t xml:space="preserve">. </w:t>
      </w:r>
    </w:p>
    <w:p w14:paraId="447DCD74" w14:textId="77777777" w:rsidR="00026E66" w:rsidRDefault="002737EF" w:rsidP="00FF0098">
      <w:pPr>
        <w:tabs>
          <w:tab w:val="left" w:pos="0"/>
        </w:tabs>
        <w:ind w:right="182"/>
        <w:rPr>
          <w:color w:val="auto"/>
        </w:rPr>
      </w:pPr>
      <w:r>
        <w:rPr>
          <w:color w:val="auto"/>
        </w:rPr>
        <w:t xml:space="preserve">If a change to the baseline or a target is required following a structural change variation, the sector association will need, on the operator's behalf, to supply via the register the following information for the facility that has experienced structural change: </w:t>
      </w:r>
    </w:p>
    <w:p w14:paraId="293FBFB2" w14:textId="77777777" w:rsidR="00026E66" w:rsidRDefault="002737EF" w:rsidP="0065356B">
      <w:pPr>
        <w:pStyle w:val="ListParagraph"/>
        <w:numPr>
          <w:ilvl w:val="0"/>
          <w:numId w:val="50"/>
        </w:numPr>
        <w:tabs>
          <w:tab w:val="left" w:pos="0"/>
        </w:tabs>
      </w:pPr>
      <w:r>
        <w:t xml:space="preserve">description of the change at the facility </w:t>
      </w:r>
    </w:p>
    <w:p w14:paraId="0DA9E05D" w14:textId="77777777" w:rsidR="00026E66" w:rsidRDefault="002737EF" w:rsidP="0065356B">
      <w:pPr>
        <w:pStyle w:val="ListParagraph"/>
        <w:numPr>
          <w:ilvl w:val="0"/>
          <w:numId w:val="50"/>
        </w:numPr>
        <w:tabs>
          <w:tab w:val="left" w:pos="0"/>
        </w:tabs>
      </w:pPr>
      <w:r>
        <w:t xml:space="preserve">70% calculator workbook </w:t>
      </w:r>
    </w:p>
    <w:p w14:paraId="49111B50" w14:textId="77777777" w:rsidR="00026E66" w:rsidRDefault="002737EF" w:rsidP="0065356B">
      <w:pPr>
        <w:pStyle w:val="ListParagraph"/>
        <w:numPr>
          <w:ilvl w:val="0"/>
          <w:numId w:val="50"/>
        </w:numPr>
        <w:tabs>
          <w:tab w:val="left" w:pos="0"/>
        </w:tabs>
      </w:pPr>
      <w:r>
        <w:t xml:space="preserve">revised 70% data </w:t>
      </w:r>
    </w:p>
    <w:p w14:paraId="3051A980" w14:textId="77777777" w:rsidR="00026E66" w:rsidRDefault="002737EF" w:rsidP="0065356B">
      <w:pPr>
        <w:pStyle w:val="ListParagraph"/>
        <w:numPr>
          <w:ilvl w:val="0"/>
          <w:numId w:val="50"/>
        </w:numPr>
        <w:tabs>
          <w:tab w:val="left" w:pos="0"/>
        </w:tabs>
      </w:pPr>
      <w:r>
        <w:t xml:space="preserve">revised manufacturing process description </w:t>
      </w:r>
    </w:p>
    <w:p w14:paraId="47E05A62" w14:textId="77777777" w:rsidR="00026E66" w:rsidRDefault="002737EF" w:rsidP="0065356B">
      <w:pPr>
        <w:pStyle w:val="ListParagraph"/>
        <w:numPr>
          <w:ilvl w:val="0"/>
          <w:numId w:val="50"/>
        </w:numPr>
        <w:tabs>
          <w:tab w:val="left" w:pos="0"/>
        </w:tabs>
      </w:pPr>
      <w:r>
        <w:t xml:space="preserve">revised process flow map marking the STU, DAA and ineligible activities </w:t>
      </w:r>
    </w:p>
    <w:p w14:paraId="04F83500" w14:textId="22BD2343" w:rsidR="00026E66" w:rsidRDefault="002737EF" w:rsidP="0065356B">
      <w:pPr>
        <w:pStyle w:val="ListParagraph"/>
        <w:numPr>
          <w:ilvl w:val="0"/>
          <w:numId w:val="50"/>
        </w:numPr>
        <w:tabs>
          <w:tab w:val="left" w:pos="0"/>
        </w:tabs>
      </w:pPr>
      <w:r>
        <w:lastRenderedPageBreak/>
        <w:t>re-baseline workbook used to calculate</w:t>
      </w:r>
      <w:r w:rsidR="003921EA">
        <w:t xml:space="preserve"> a</w:t>
      </w:r>
      <w:r>
        <w:t xml:space="preserve"> revised target</w:t>
      </w:r>
    </w:p>
    <w:p w14:paraId="4115FAD8" w14:textId="77777777" w:rsidR="00026E66" w:rsidRDefault="002737EF" w:rsidP="00FF0098">
      <w:pPr>
        <w:pStyle w:val="Heading4"/>
        <w:tabs>
          <w:tab w:val="left" w:pos="0"/>
        </w:tabs>
      </w:pPr>
      <w:r>
        <w:t xml:space="preserve">Baseline reconstruction and sub-metering </w:t>
      </w:r>
    </w:p>
    <w:p w14:paraId="03451301" w14:textId="4FE5BDCA" w:rsidR="00026E66" w:rsidRDefault="002737EF" w:rsidP="00FF0098">
      <w:pPr>
        <w:tabs>
          <w:tab w:val="left" w:pos="0"/>
        </w:tabs>
        <w:ind w:right="182"/>
      </w:pPr>
      <w:r>
        <w:t xml:space="preserve">If any changes to the baseline are required, the operator should reconstruct the original </w:t>
      </w:r>
      <w:hyperlink w:anchor="baseyear" w:history="1">
        <w:r w:rsidRPr="00A153DC">
          <w:rPr>
            <w:rStyle w:val="Hyperlink"/>
          </w:rPr>
          <w:t>base year</w:t>
        </w:r>
      </w:hyperlink>
      <w:r>
        <w:t xml:space="preserve"> data where possible, as described below. </w:t>
      </w:r>
      <w:r>
        <w:rPr>
          <w:color w:val="auto"/>
          <w:szCs w:val="24"/>
        </w:rPr>
        <w:t xml:space="preserve">Speak to us about reconstructing the baseline. </w:t>
      </w:r>
      <w:r>
        <w:t xml:space="preserve">A baseline reconstruction workbook tool is available in </w:t>
      </w:r>
      <w:hyperlink w:anchor="_Appendix_H:_Workbook_1" w:history="1">
        <w:r>
          <w:rPr>
            <w:rStyle w:val="Hyperlink"/>
          </w:rPr>
          <w:t>Appendix H</w:t>
        </w:r>
      </w:hyperlink>
      <w:r>
        <w:rPr>
          <w:u w:val="single" w:color="0077B9"/>
        </w:rPr>
        <w:t>.</w:t>
      </w:r>
    </w:p>
    <w:p w14:paraId="0BF6BB5F" w14:textId="63327134" w:rsidR="00026E66" w:rsidRDefault="002737EF" w:rsidP="00FF0098">
      <w:pPr>
        <w:tabs>
          <w:tab w:val="left" w:pos="0"/>
        </w:tabs>
      </w:pPr>
      <w:r>
        <w:t xml:space="preserve">Following a change that generates a need to amend the baseline data, the configuration of the facility will need to be amended to reflect the change in eligibility. The numerical target may also need to be adjusted. It can be recalculated using the 'Target calculator' workbook tool provided in </w:t>
      </w:r>
      <w:hyperlink w:anchor="_Appendix_H:_Workbook_1" w:history="1">
        <w:r w:rsidRPr="006B59DE">
          <w:rPr>
            <w:rStyle w:val="Hyperlink"/>
          </w:rPr>
          <w:t>Appendix H</w:t>
        </w:r>
      </w:hyperlink>
      <w:r>
        <w:t xml:space="preserve">. </w:t>
      </w:r>
    </w:p>
    <w:p w14:paraId="0E547533" w14:textId="77777777" w:rsidR="008657FB" w:rsidRPr="008657FB" w:rsidRDefault="008657FB" w:rsidP="008657FB">
      <w:pPr>
        <w:pStyle w:val="Heading4"/>
        <w:tabs>
          <w:tab w:val="left" w:pos="0"/>
        </w:tabs>
      </w:pPr>
      <w:r w:rsidRPr="008657FB">
        <w:t>Installation increases to ≥70% of site energy</w:t>
      </w:r>
    </w:p>
    <w:p w14:paraId="390C3DC9" w14:textId="097CEE39" w:rsidR="006F4550" w:rsidRPr="006F4550" w:rsidRDefault="006F4550" w:rsidP="006F4550">
      <w:pPr>
        <w:tabs>
          <w:tab w:val="left" w:pos="0"/>
        </w:tabs>
      </w:pPr>
      <w:r w:rsidRPr="006F4550">
        <w:t xml:space="preserve">If the installation’s energy consumption increases to </w:t>
      </w:r>
      <w:r w:rsidRPr="006F4550">
        <w:rPr>
          <w:b/>
          <w:bCs/>
        </w:rPr>
        <w:t>70% or more</w:t>
      </w:r>
      <w:r w:rsidRPr="006F4550">
        <w:t xml:space="preserve"> of total site energy:</w:t>
      </w:r>
    </w:p>
    <w:p w14:paraId="25AB1A71" w14:textId="77777777" w:rsidR="006F4550" w:rsidRPr="006F4550" w:rsidRDefault="006F4550" w:rsidP="006F4550">
      <w:pPr>
        <w:numPr>
          <w:ilvl w:val="0"/>
          <w:numId w:val="203"/>
        </w:numPr>
        <w:tabs>
          <w:tab w:val="left" w:pos="0"/>
        </w:tabs>
      </w:pPr>
      <w:r w:rsidRPr="006F4550">
        <w:t xml:space="preserve">The eligible facility may be redefined as the </w:t>
      </w:r>
      <w:r w:rsidRPr="00277AE8">
        <w:t>whole site</w:t>
      </w:r>
    </w:p>
    <w:p w14:paraId="30223366" w14:textId="06D9AF31" w:rsidR="006F4550" w:rsidRPr="006F4550" w:rsidRDefault="006F4550" w:rsidP="006F4550">
      <w:pPr>
        <w:numPr>
          <w:ilvl w:val="0"/>
          <w:numId w:val="203"/>
        </w:numPr>
        <w:tabs>
          <w:tab w:val="left" w:pos="0"/>
        </w:tabs>
      </w:pPr>
      <w:r w:rsidRPr="006F4550">
        <w:t>The baseline m</w:t>
      </w:r>
      <w:r w:rsidR="00BF6F50">
        <w:t>ust</w:t>
      </w:r>
      <w:r w:rsidRPr="006F4550">
        <w:t xml:space="preserve"> be recalculated using </w:t>
      </w:r>
      <w:r w:rsidRPr="00277AE8">
        <w:t>total site energy consumption in the base year</w:t>
      </w:r>
    </w:p>
    <w:p w14:paraId="2B1A9B6F" w14:textId="77777777" w:rsidR="006F4550" w:rsidRPr="006F4550" w:rsidRDefault="006F4550" w:rsidP="006F4550">
      <w:pPr>
        <w:numPr>
          <w:ilvl w:val="0"/>
          <w:numId w:val="203"/>
        </w:numPr>
        <w:tabs>
          <w:tab w:val="left" w:pos="0"/>
        </w:tabs>
      </w:pPr>
      <w:r w:rsidRPr="006F4550">
        <w:t xml:space="preserve">The fuel mix for the base year will reflect the </w:t>
      </w:r>
      <w:r w:rsidRPr="00277AE8">
        <w:t>entire site’s fuel use</w:t>
      </w:r>
    </w:p>
    <w:p w14:paraId="36C9C0D3" w14:textId="7C77FC6A" w:rsidR="006F4550" w:rsidRPr="006F4550" w:rsidRDefault="006F4550" w:rsidP="006F4550">
      <w:pPr>
        <w:tabs>
          <w:tab w:val="left" w:pos="0"/>
        </w:tabs>
      </w:pPr>
      <w:r w:rsidRPr="006F4550">
        <w:t xml:space="preserve">If the operator chooses </w:t>
      </w:r>
      <w:r w:rsidR="00C16ABF">
        <w:t>to redefine the eligible facility in this way</w:t>
      </w:r>
      <w:r w:rsidRPr="006F4550">
        <w:t>, a variation must be submitted and approved.</w:t>
      </w:r>
    </w:p>
    <w:p w14:paraId="084595A9" w14:textId="20C8D5F8" w:rsidR="00026E66" w:rsidRDefault="002737EF" w:rsidP="00FF0098">
      <w:pPr>
        <w:tabs>
          <w:tab w:val="left" w:pos="0"/>
        </w:tabs>
      </w:pPr>
      <w:r>
        <w:t xml:space="preserve">See </w:t>
      </w:r>
      <w:hyperlink w:anchor="_10.3._The_reporting" w:history="1">
        <w:r>
          <w:rPr>
            <w:rStyle w:val="Hyperlink"/>
          </w:rPr>
          <w:t>section 10.3</w:t>
        </w:r>
      </w:hyperlink>
      <w:r>
        <w:rPr>
          <w:u w:val="single" w:color="0077B9"/>
        </w:rPr>
        <w:t xml:space="preserve"> </w:t>
      </w:r>
      <w:r>
        <w:t>to see how this change will be reported</w:t>
      </w:r>
      <w:r w:rsidR="00AB7513">
        <w:t>.</w:t>
      </w:r>
      <w:r>
        <w:t xml:space="preserve"> </w:t>
      </w:r>
    </w:p>
    <w:p w14:paraId="31633F8D" w14:textId="2F113587" w:rsidR="00AB7513" w:rsidRPr="00AB7513" w:rsidRDefault="00AB7513" w:rsidP="00AB7513">
      <w:pPr>
        <w:pStyle w:val="Heading4"/>
        <w:tabs>
          <w:tab w:val="left" w:pos="0"/>
        </w:tabs>
      </w:pPr>
      <w:r w:rsidRPr="00AB7513">
        <w:t xml:space="preserve">Installation decreases to </w:t>
      </w:r>
      <w:r w:rsidR="00652CD5">
        <w:t xml:space="preserve">less than </w:t>
      </w:r>
      <w:r w:rsidRPr="00AB7513">
        <w:t>70% of site energy</w:t>
      </w:r>
    </w:p>
    <w:p w14:paraId="7D0C7B52" w14:textId="4A225EC9" w:rsidR="004F6D13" w:rsidRPr="004F6D13" w:rsidRDefault="004F6D13" w:rsidP="00652CD5">
      <w:pPr>
        <w:tabs>
          <w:tab w:val="left" w:pos="0"/>
        </w:tabs>
      </w:pPr>
      <w:r w:rsidRPr="004F6D13">
        <w:t xml:space="preserve">If the installation’s energy consumption falls </w:t>
      </w:r>
      <w:r w:rsidRPr="004F6D13">
        <w:rPr>
          <w:b/>
          <w:bCs/>
        </w:rPr>
        <w:t>below 70%</w:t>
      </w:r>
      <w:r w:rsidR="00652CD5">
        <w:t xml:space="preserve"> t</w:t>
      </w:r>
      <w:r w:rsidRPr="004F6D13">
        <w:t>he eligible facility will no longer be the whole site</w:t>
      </w:r>
      <w:r w:rsidR="00652CD5">
        <w:t>. I</w:t>
      </w:r>
      <w:r w:rsidRPr="004F6D13">
        <w:t xml:space="preserve">t will instead </w:t>
      </w:r>
      <w:r w:rsidR="00E2713A">
        <w:t>consist of</w:t>
      </w:r>
      <w:r w:rsidRPr="004F6D13">
        <w:t xml:space="preserve">: </w:t>
      </w:r>
    </w:p>
    <w:p w14:paraId="62E3FEAF" w14:textId="77777777" w:rsidR="004F6D13" w:rsidRPr="004F6D13" w:rsidRDefault="004F6D13" w:rsidP="00652CD5">
      <w:pPr>
        <w:numPr>
          <w:ilvl w:val="0"/>
          <w:numId w:val="204"/>
        </w:numPr>
        <w:tabs>
          <w:tab w:val="left" w:pos="0"/>
        </w:tabs>
      </w:pPr>
      <w:r w:rsidRPr="004F6D13">
        <w:t>the installation, plus</w:t>
      </w:r>
    </w:p>
    <w:p w14:paraId="006084F5" w14:textId="069FB219" w:rsidR="00887FC2" w:rsidRDefault="004F6D13" w:rsidP="00652CD5">
      <w:pPr>
        <w:numPr>
          <w:ilvl w:val="0"/>
          <w:numId w:val="204"/>
        </w:numPr>
        <w:tabs>
          <w:tab w:val="left" w:pos="0"/>
        </w:tabs>
      </w:pPr>
      <w:r w:rsidRPr="004F6D13">
        <w:t>(optionally) up to 3/7ths of energy from other activities</w:t>
      </w:r>
    </w:p>
    <w:p w14:paraId="27896079" w14:textId="4ED93ADE" w:rsidR="00026E66" w:rsidRDefault="00887FC2" w:rsidP="00FF0098">
      <w:pPr>
        <w:tabs>
          <w:tab w:val="left" w:pos="0"/>
        </w:tabs>
      </w:pPr>
      <w:r>
        <w:t xml:space="preserve">The installation </w:t>
      </w:r>
      <w:r w:rsidR="00D81502">
        <w:t xml:space="preserve">(plus any optional energy up to 3/7ths of energy consumption by </w:t>
      </w:r>
      <w:r w:rsidR="00816EAC">
        <w:t xml:space="preserve">the installation) </w:t>
      </w:r>
      <w:r w:rsidR="002737EF">
        <w:t>must be separately sub-metered to allow the gathering of 12 months of actual consumption data</w:t>
      </w:r>
      <w:r w:rsidR="00816EAC">
        <w:t xml:space="preserve">. </w:t>
      </w:r>
      <w:r w:rsidR="002737EF">
        <w:t xml:space="preserve">We expect the sub-metering to be installed within </w:t>
      </w:r>
      <w:r w:rsidR="009E12F0">
        <w:t>6</w:t>
      </w:r>
      <w:r w:rsidR="002737EF">
        <w:t xml:space="preserve"> months of our acceptance of the variation. </w:t>
      </w:r>
    </w:p>
    <w:p w14:paraId="5C46BD60" w14:textId="4B5BF55A" w:rsidR="00026E66" w:rsidRDefault="002737EF" w:rsidP="00FF0098">
      <w:pPr>
        <w:tabs>
          <w:tab w:val="left" w:pos="0"/>
        </w:tabs>
      </w:pPr>
      <w:r>
        <w:t xml:space="preserve">At the end of the </w:t>
      </w:r>
      <w:hyperlink w:anchor="Targetperiod" w:history="1">
        <w:r w:rsidRPr="00937D88">
          <w:rPr>
            <w:rStyle w:val="Hyperlink"/>
          </w:rPr>
          <w:t>target period</w:t>
        </w:r>
      </w:hyperlink>
      <w:r>
        <w:t xml:space="preserve"> during which the change occurred, if sub-metering was not in place to allow the energy consumption of the new eligible facility to be reported on metered values for the entire target period, then the target facility will report based on its original extent of eligibility for the entire target period. </w:t>
      </w:r>
    </w:p>
    <w:p w14:paraId="20DBE74A" w14:textId="77777777" w:rsidR="00026E66" w:rsidRDefault="002737EF" w:rsidP="00FF0098">
      <w:pPr>
        <w:tabs>
          <w:tab w:val="left" w:pos="0"/>
        </w:tabs>
      </w:pPr>
      <w:r>
        <w:lastRenderedPageBreak/>
        <w:t xml:space="preserve">Once 12 months' actual consumption data have been gathered (including the optional 3/7ths where required), the baseline will be reconstructed, and revised numerical targets calculated. However, as stated above, this will only be done for target periods following the target period during which the change occurred if there was insufficient sub-metering in place to allow the new eligible facility to report on metered values for the target period during which the change occurred. </w:t>
      </w:r>
    </w:p>
    <w:p w14:paraId="537BF504" w14:textId="75E2F148" w:rsidR="00DC7CD0" w:rsidRDefault="00440BCB" w:rsidP="00FF0098">
      <w:pPr>
        <w:tabs>
          <w:tab w:val="left" w:pos="0"/>
        </w:tabs>
      </w:pPr>
      <w:r w:rsidRPr="61D207D1">
        <w:rPr>
          <w:b/>
          <w:sz w:val="26"/>
          <w:szCs w:val="26"/>
        </w:rPr>
        <w:t>Baseline reconstruction following a 70% change</w:t>
      </w:r>
    </w:p>
    <w:p w14:paraId="2F44CC70" w14:textId="00861432" w:rsidR="00026E66" w:rsidRDefault="002737EF" w:rsidP="00FF0098">
      <w:pPr>
        <w:tabs>
          <w:tab w:val="left" w:pos="0"/>
        </w:tabs>
      </w:pPr>
      <w:r>
        <w:t>This baseline reconstruction process will use the newly collected 12 months of sub-metered data as follows:</w:t>
      </w:r>
      <w:r w:rsidR="00FC355D">
        <w:t xml:space="preserve"> </w:t>
      </w:r>
    </w:p>
    <w:p w14:paraId="7D63B442" w14:textId="77777777" w:rsidR="00026E66" w:rsidRDefault="002737EF" w:rsidP="0065356B">
      <w:pPr>
        <w:pStyle w:val="ListParagraph"/>
        <w:numPr>
          <w:ilvl w:val="0"/>
          <w:numId w:val="51"/>
        </w:numPr>
        <w:tabs>
          <w:tab w:val="left" w:pos="0"/>
        </w:tabs>
      </w:pPr>
      <w:r w:rsidRPr="00E955A3">
        <w:rPr>
          <w:szCs w:val="24"/>
        </w:rPr>
        <w:t>the</w:t>
      </w:r>
      <w:r>
        <w:t xml:space="preserve"> proportion of energy consumed at the site that is consumed in the installation (plus any additional energy consumed by other activities up to 3/7ths of the installation, if applicable) is calculated. </w:t>
      </w:r>
    </w:p>
    <w:p w14:paraId="7507446E" w14:textId="522E40AC" w:rsidR="00026E66" w:rsidRDefault="002737EF" w:rsidP="0065356B">
      <w:pPr>
        <w:pStyle w:val="ListParagraph"/>
        <w:numPr>
          <w:ilvl w:val="0"/>
          <w:numId w:val="51"/>
        </w:numPr>
        <w:tabs>
          <w:tab w:val="left" w:pos="0"/>
        </w:tabs>
      </w:pPr>
      <w:r w:rsidRPr="00E955A3">
        <w:rPr>
          <w:szCs w:val="24"/>
        </w:rPr>
        <w:t>this</w:t>
      </w:r>
      <w:r>
        <w:t xml:space="preserve"> proportion is applied to the energy consumed at the site in the </w:t>
      </w:r>
      <w:hyperlink w:anchor="baseyear" w:history="1">
        <w:r w:rsidRPr="00E96470">
          <w:rPr>
            <w:rStyle w:val="Hyperlink"/>
          </w:rPr>
          <w:t>base year</w:t>
        </w:r>
      </w:hyperlink>
      <w:r>
        <w:t xml:space="preserve">. This will give a new quantity of energy in the base year for the new eligible facility. A </w:t>
      </w:r>
      <w:r w:rsidR="004E4717">
        <w:t xml:space="preserve">new </w:t>
      </w:r>
      <w:r>
        <w:t xml:space="preserve">baseline reconstruction workbook tool </w:t>
      </w:r>
      <w:r w:rsidR="004E4717">
        <w:t>will be publishe</w:t>
      </w:r>
      <w:r w:rsidR="00D660FE">
        <w:t xml:space="preserve">d and added to </w:t>
      </w:r>
      <w:hyperlink w:anchor="_Appendix_H:_Workbook_1" w:history="1">
        <w:r w:rsidR="00D660FE" w:rsidRPr="005D3801">
          <w:rPr>
            <w:rStyle w:val="Hyperlink"/>
          </w:rPr>
          <w:t>Appendix H</w:t>
        </w:r>
      </w:hyperlink>
      <w:r w:rsidR="00D660FE">
        <w:t xml:space="preserve">. </w:t>
      </w:r>
    </w:p>
    <w:p w14:paraId="32D924ED" w14:textId="77777777" w:rsidR="00026E66" w:rsidRDefault="002737EF" w:rsidP="00FF0098">
      <w:pPr>
        <w:tabs>
          <w:tab w:val="left" w:pos="0"/>
        </w:tabs>
      </w:pPr>
      <w:r>
        <w:t xml:space="preserve">To determine the fuel split (the mixture of fuel used) of the new quantity of baseline energy, the percentage fuel split for the installation (plus the additional 3/7ths, if applicable) from the 12 months of data is applied. </w:t>
      </w:r>
    </w:p>
    <w:p w14:paraId="4F6A6067" w14:textId="77777777" w:rsidR="00026E66" w:rsidRDefault="002737EF" w:rsidP="00FF0098">
      <w:pPr>
        <w:tabs>
          <w:tab w:val="left" w:pos="0"/>
        </w:tabs>
      </w:pPr>
      <w:r>
        <w:t xml:space="preserve">If this process gives a value for the consumption of a particular fuel type greater than that consumed at the site in the base year, the consumption of that fuel type will be limited to the actual </w:t>
      </w:r>
      <w:proofErr w:type="gramStart"/>
      <w:r>
        <w:t>consumption</w:t>
      </w:r>
      <w:proofErr w:type="gramEnd"/>
      <w:r>
        <w:t xml:space="preserve"> and the difference will be redistributed across the other fuel types. </w:t>
      </w:r>
    </w:p>
    <w:p w14:paraId="3F01341F" w14:textId="77777777" w:rsidR="00026E66" w:rsidRDefault="002737EF" w:rsidP="00FF0098">
      <w:pPr>
        <w:tabs>
          <w:tab w:val="left" w:pos="0"/>
        </w:tabs>
      </w:pPr>
      <w:r>
        <w:t xml:space="preserve">The redistribution will be carried out to preserve the actual percentage fuel split in the installation (plus the additional 3/7ths, if applicable) from the 12 months of data. </w:t>
      </w:r>
    </w:p>
    <w:p w14:paraId="2C3967E6" w14:textId="77777777" w:rsidR="00026E66" w:rsidRDefault="002737EF" w:rsidP="00FF0098">
      <w:pPr>
        <w:tabs>
          <w:tab w:val="left" w:pos="0"/>
        </w:tabs>
      </w:pPr>
      <w:r>
        <w:t xml:space="preserve">Due to putting in place sub-metering beyond that covering the installation, the eligible facility can now be regarded as the installation plus energy consumption by other activities up to 3/7ths of the installation. If the operator wishes to redefine the eligible facility as the installation plus other energy consumption up to 3/7ths of the installation, the eligible facility will be re-baselined once 12 months of sub-metered data for the additional 3/7ths have been collected. This process can be described as follows. </w:t>
      </w:r>
    </w:p>
    <w:p w14:paraId="3153A5D7" w14:textId="77777777" w:rsidR="00026E66" w:rsidRDefault="002737EF" w:rsidP="0065356B">
      <w:pPr>
        <w:pStyle w:val="ListParagraph"/>
        <w:numPr>
          <w:ilvl w:val="0"/>
          <w:numId w:val="52"/>
        </w:numPr>
        <w:tabs>
          <w:tab w:val="left" w:pos="0"/>
        </w:tabs>
      </w:pPr>
      <w:r>
        <w:t xml:space="preserve">The ratio of energy consumed in the installation plus the 3/7ths to the energy consumed in the installation is calculated. This calculation will use energy consumption data for the installation from the same 12 months period as that collected for the first time for the 3/7ths. </w:t>
      </w:r>
    </w:p>
    <w:p w14:paraId="710E074A" w14:textId="77777777" w:rsidR="00026E66" w:rsidRDefault="002737EF" w:rsidP="0065356B">
      <w:pPr>
        <w:pStyle w:val="ListParagraph"/>
        <w:numPr>
          <w:ilvl w:val="0"/>
          <w:numId w:val="52"/>
        </w:numPr>
        <w:tabs>
          <w:tab w:val="left" w:pos="0"/>
        </w:tabs>
      </w:pPr>
      <w:r>
        <w:t xml:space="preserve">This ratio will be applied to the installation's energy consumption in the base year. This will calculate a new quantity of energy in the base year for the new eligible facility. </w:t>
      </w:r>
    </w:p>
    <w:p w14:paraId="423A8816" w14:textId="77777777" w:rsidR="00026E66" w:rsidRDefault="002737EF" w:rsidP="00FF0098">
      <w:pPr>
        <w:tabs>
          <w:tab w:val="left" w:pos="0"/>
        </w:tabs>
      </w:pPr>
      <w:r>
        <w:lastRenderedPageBreak/>
        <w:t>In determining the fuel split of the new quantity of energy in the base year, the percentage fuel split for the installation plus 3/7ths from the 12 months of data will be applied as described above.</w:t>
      </w:r>
    </w:p>
    <w:p w14:paraId="5A83848A" w14:textId="77777777" w:rsidR="00026E66" w:rsidRDefault="002737EF" w:rsidP="00FF0098">
      <w:pPr>
        <w:pStyle w:val="Heading3"/>
        <w:tabs>
          <w:tab w:val="left" w:pos="0"/>
        </w:tabs>
      </w:pPr>
      <w:bookmarkStart w:id="136" w:name="_7.5.2._Review_of"/>
      <w:bookmarkEnd w:id="136"/>
      <w:r>
        <w:t xml:space="preserve">7.5.2. Review of the baseline following the discovery of an error </w:t>
      </w:r>
    </w:p>
    <w:p w14:paraId="02808617" w14:textId="77777777" w:rsidR="00026E66" w:rsidRDefault="002737EF" w:rsidP="00FF0098">
      <w:pPr>
        <w:tabs>
          <w:tab w:val="left" w:pos="0"/>
        </w:tabs>
        <w:ind w:right="182"/>
      </w:pPr>
      <w:r>
        <w:t xml:space="preserve">This section covers corrections for error(s) discovered in baseline data. </w:t>
      </w:r>
    </w:p>
    <w:p w14:paraId="17A4DFAC" w14:textId="4F5D8075" w:rsidR="00026E66" w:rsidRDefault="002737EF" w:rsidP="00FF0098">
      <w:pPr>
        <w:tabs>
          <w:tab w:val="left" w:pos="0"/>
        </w:tabs>
        <w:ind w:right="182"/>
      </w:pPr>
      <w:r>
        <w:t>In line with Rule 6.3</w:t>
      </w:r>
      <w:r>
        <w:rPr>
          <w:color w:val="auto"/>
          <w:szCs w:val="24"/>
        </w:rPr>
        <w:t xml:space="preserve"> </w:t>
      </w:r>
      <w:r w:rsidR="00E15AAE">
        <w:rPr>
          <w:color w:val="auto"/>
          <w:szCs w:val="24"/>
        </w:rPr>
        <w:t xml:space="preserve">of the </w:t>
      </w:r>
      <w:hyperlink w:anchor="Underlyingagreement" w:history="1">
        <w:r w:rsidRPr="0017611F">
          <w:rPr>
            <w:rStyle w:val="Hyperlink"/>
            <w:szCs w:val="24"/>
          </w:rPr>
          <w:t>underlying agreement</w:t>
        </w:r>
      </w:hyperlink>
      <w:r>
        <w:rPr>
          <w:color w:val="auto"/>
          <w:szCs w:val="24"/>
        </w:rPr>
        <w:t>,</w:t>
      </w:r>
      <w:r>
        <w:rPr>
          <w:color w:val="auto"/>
        </w:rPr>
        <w:t xml:space="preserve"> targets </w:t>
      </w:r>
      <w:r>
        <w:rPr>
          <w:color w:val="auto"/>
          <w:szCs w:val="24"/>
        </w:rPr>
        <w:t xml:space="preserve">will be adjusted </w:t>
      </w:r>
      <w:r>
        <w:rPr>
          <w:color w:val="auto"/>
        </w:rPr>
        <w:t xml:space="preserve">to reflect errors in the baseline (for example, those discovered during an </w:t>
      </w:r>
      <w:hyperlink w:anchor="Audit" w:history="1">
        <w:r w:rsidRPr="002474F7">
          <w:rPr>
            <w:rStyle w:val="Hyperlink"/>
          </w:rPr>
          <w:t>audit</w:t>
        </w:r>
      </w:hyperlink>
      <w:r>
        <w:rPr>
          <w:color w:val="auto"/>
          <w:szCs w:val="24"/>
        </w:rPr>
        <w:t>). This is done</w:t>
      </w:r>
      <w:r>
        <w:rPr>
          <w:color w:val="auto"/>
        </w:rPr>
        <w:t xml:space="preserve"> by </w:t>
      </w:r>
      <w:r>
        <w:rPr>
          <w:color w:val="auto"/>
          <w:szCs w:val="24"/>
        </w:rPr>
        <w:t xml:space="preserve">amending the baseline to </w:t>
      </w:r>
      <w:r>
        <w:rPr>
          <w:color w:val="auto"/>
        </w:rPr>
        <w:t xml:space="preserve">correct the </w:t>
      </w:r>
      <w:r>
        <w:rPr>
          <w:color w:val="auto"/>
          <w:szCs w:val="24"/>
        </w:rPr>
        <w:t xml:space="preserve">error. The </w:t>
      </w:r>
      <w:r>
        <w:rPr>
          <w:color w:val="auto"/>
        </w:rPr>
        <w:t xml:space="preserve">original percentage improvement target </w:t>
      </w:r>
      <w:r>
        <w:rPr>
          <w:color w:val="auto"/>
          <w:szCs w:val="24"/>
        </w:rPr>
        <w:t>is then applied against this revised baseline</w:t>
      </w:r>
      <w:r>
        <w:rPr>
          <w:color w:val="auto"/>
        </w:rPr>
        <w:t xml:space="preserve">. </w:t>
      </w:r>
    </w:p>
    <w:p w14:paraId="2B258F9F" w14:textId="76129CAA" w:rsidR="00026E66" w:rsidRDefault="002737EF" w:rsidP="00FF0098">
      <w:pPr>
        <w:tabs>
          <w:tab w:val="left" w:pos="0"/>
        </w:tabs>
        <w:ind w:right="182"/>
      </w:pPr>
      <w:r>
        <w:t xml:space="preserve">The 'Target calculator' workbook tool provided in </w:t>
      </w:r>
      <w:hyperlink w:anchor="_Appendix_H:_Workbook" w:history="1">
        <w:r w:rsidRPr="007A7512">
          <w:rPr>
            <w:rStyle w:val="Hyperlink"/>
          </w:rPr>
          <w:t>Appendix H</w:t>
        </w:r>
      </w:hyperlink>
      <w:r>
        <w:t xml:space="preserve"> can be used to recalculate the numerical target. </w:t>
      </w:r>
    </w:p>
    <w:p w14:paraId="5B0391D7" w14:textId="37F6407B" w:rsidR="00026E66" w:rsidRDefault="002737EF" w:rsidP="00FF0098">
      <w:pPr>
        <w:tabs>
          <w:tab w:val="left" w:pos="0"/>
        </w:tabs>
      </w:pPr>
      <w:r>
        <w:t xml:space="preserve">If an error in the baseline is discovered, you must notify us within 20 working days of discovering the error. The notification should include an explanation of the cause of the error, how it came to be identified, and how it has been or will be resolved. </w:t>
      </w:r>
      <w:r w:rsidR="000477BA">
        <w:t>Where errors in the baseline</w:t>
      </w:r>
      <w:r w:rsidR="004F6F0C">
        <w:t xml:space="preserve"> data</w:t>
      </w:r>
      <w:r w:rsidR="000477BA">
        <w:t xml:space="preserve"> are notified to us </w:t>
      </w:r>
      <w:r w:rsidR="006B20F2">
        <w:t xml:space="preserve">after 20 working days, </w:t>
      </w:r>
      <w:r w:rsidR="006752AC">
        <w:t>we will consider enforcement action in line with our Enforcement and Sanctions policy (</w:t>
      </w:r>
      <w:hyperlink w:anchor="_8._Application_of" w:history="1">
        <w:r w:rsidR="006752AC" w:rsidRPr="007942D8">
          <w:rPr>
            <w:rStyle w:val="Hyperlink"/>
          </w:rPr>
          <w:t>section 8</w:t>
        </w:r>
      </w:hyperlink>
      <w:r w:rsidR="006752AC">
        <w:t>)</w:t>
      </w:r>
      <w:r w:rsidR="004F6F0C">
        <w:t xml:space="preserve">. </w:t>
      </w:r>
    </w:p>
    <w:p w14:paraId="694915A2" w14:textId="3BE3C4C8" w:rsidR="00391D5A" w:rsidRDefault="005D5C2E" w:rsidP="00FF0098">
      <w:pPr>
        <w:tabs>
          <w:tab w:val="left" w:pos="0"/>
        </w:tabs>
      </w:pPr>
      <w:r>
        <w:t xml:space="preserve">Where baselines are amended following discovery of an error, </w:t>
      </w:r>
      <w:r w:rsidR="00F920D9">
        <w:t xml:space="preserve">the proportion of </w:t>
      </w:r>
      <w:r w:rsidR="00E44A68">
        <w:t xml:space="preserve">energy assigned to fixed and variable consumption </w:t>
      </w:r>
      <w:r w:rsidR="000A36D6">
        <w:t xml:space="preserve">may change. We will review this as part of the </w:t>
      </w:r>
      <w:r w:rsidR="003925B8">
        <w:t xml:space="preserve">variation to ensure that the </w:t>
      </w:r>
      <w:r w:rsidR="00625FDE">
        <w:t xml:space="preserve">proportion of energy that has changed between fixed and variable </w:t>
      </w:r>
      <w:r w:rsidR="000E7CFE">
        <w:t xml:space="preserve">reflects the </w:t>
      </w:r>
      <w:r w:rsidR="00BE169E">
        <w:t xml:space="preserve">correction that is being made. </w:t>
      </w:r>
    </w:p>
    <w:p w14:paraId="6CEF978E" w14:textId="2DAF84E5" w:rsidR="00C973AD" w:rsidRPr="0092321E" w:rsidRDefault="00EE204B" w:rsidP="00FF0098">
      <w:pPr>
        <w:tabs>
          <w:tab w:val="left" w:pos="0"/>
        </w:tabs>
      </w:pPr>
      <w:r>
        <w:t>Requests to c</w:t>
      </w:r>
      <w:r w:rsidR="00ED1608">
        <w:t>hange</w:t>
      </w:r>
      <w:r w:rsidR="00843E55">
        <w:t xml:space="preserve"> </w:t>
      </w:r>
      <w:r w:rsidR="00841C87">
        <w:t xml:space="preserve">how fixed and variable energy has been assigned for the facility in the baseline </w:t>
      </w:r>
      <w:r w:rsidR="00ED1608">
        <w:t xml:space="preserve">are </w:t>
      </w:r>
      <w:r w:rsidR="00ED1608">
        <w:rPr>
          <w:b/>
          <w:bCs/>
          <w:i/>
          <w:iCs/>
        </w:rPr>
        <w:t xml:space="preserve">not </w:t>
      </w:r>
      <w:r w:rsidR="0092321E">
        <w:t xml:space="preserve">considered </w:t>
      </w:r>
      <w:r>
        <w:t>to be an error</w:t>
      </w:r>
      <w:r w:rsidR="00AD001A">
        <w:t xml:space="preserve"> and</w:t>
      </w:r>
      <w:r w:rsidR="007C6D84">
        <w:t xml:space="preserve"> variations to make this change</w:t>
      </w:r>
      <w:r w:rsidR="00AD001A">
        <w:t xml:space="preserve"> will not be accepted. Operators and sectors were </w:t>
      </w:r>
      <w:r w:rsidR="007C6D84">
        <w:t>provided the opportunity</w:t>
      </w:r>
      <w:r w:rsidR="00AD001A">
        <w:t xml:space="preserve"> to change these figures</w:t>
      </w:r>
      <w:r w:rsidR="00DA75B9">
        <w:t xml:space="preserve"> </w:t>
      </w:r>
      <w:r w:rsidR="00A84F27">
        <w:t xml:space="preserve">before </w:t>
      </w:r>
      <w:r w:rsidR="00DA75B9">
        <w:t>1 May 2026</w:t>
      </w:r>
      <w:r w:rsidR="00A9338B">
        <w:t xml:space="preserve">. </w:t>
      </w:r>
    </w:p>
    <w:p w14:paraId="32FEBF18" w14:textId="44352CF4" w:rsidR="00026E66" w:rsidRDefault="002737EF" w:rsidP="00FF0098">
      <w:pPr>
        <w:pStyle w:val="Heading2"/>
        <w:tabs>
          <w:tab w:val="left" w:pos="0"/>
        </w:tabs>
      </w:pPr>
      <w:bookmarkStart w:id="137" w:name="_7.6._Updating_the"/>
      <w:bookmarkStart w:id="138" w:name="_Toc94718655"/>
      <w:bookmarkStart w:id="139" w:name="_Toc94088903"/>
      <w:bookmarkStart w:id="140" w:name="_Toc242885383"/>
      <w:bookmarkEnd w:id="137"/>
      <w:r>
        <w:t>7.6. Updating the baseline from estimated to actual values</w:t>
      </w:r>
      <w:bookmarkEnd w:id="138"/>
      <w:bookmarkEnd w:id="139"/>
      <w:bookmarkEnd w:id="140"/>
      <w:r w:rsidR="00FC355D">
        <w:t xml:space="preserve"> </w:t>
      </w:r>
    </w:p>
    <w:p w14:paraId="7FEBF6A9" w14:textId="79B1CB01" w:rsidR="00026E66" w:rsidRPr="00E955A3" w:rsidRDefault="002737EF" w:rsidP="00E955A3">
      <w:pPr>
        <w:tabs>
          <w:tab w:val="left" w:pos="0"/>
        </w:tabs>
        <w:spacing w:after="0"/>
        <w:ind w:right="182"/>
      </w:pPr>
      <w:r>
        <w:rPr>
          <w:color w:val="auto"/>
          <w:szCs w:val="24"/>
        </w:rPr>
        <w:t>A</w:t>
      </w:r>
      <w:r>
        <w:rPr>
          <w:color w:val="auto"/>
        </w:rPr>
        <w:t xml:space="preserve"> </w:t>
      </w:r>
      <w:hyperlink w:anchor="greenfield" w:history="1">
        <w:r w:rsidRPr="0075725F">
          <w:rPr>
            <w:rStyle w:val="Hyperlink"/>
          </w:rPr>
          <w:t>greenfield facility</w:t>
        </w:r>
      </w:hyperlink>
      <w:r>
        <w:rPr>
          <w:color w:val="auto"/>
        </w:rPr>
        <w:t xml:space="preserve"> </w:t>
      </w:r>
      <w:r>
        <w:rPr>
          <w:color w:val="auto"/>
          <w:szCs w:val="24"/>
        </w:rPr>
        <w:t>will have an</w:t>
      </w:r>
      <w:r>
        <w:rPr>
          <w:color w:val="auto"/>
        </w:rPr>
        <w:t xml:space="preserve"> estimated </w:t>
      </w:r>
      <w:r>
        <w:rPr>
          <w:color w:val="auto"/>
          <w:szCs w:val="24"/>
        </w:rPr>
        <w:t xml:space="preserve">interim </w:t>
      </w:r>
      <w:hyperlink w:anchor="baseyear" w:history="1">
        <w:r w:rsidRPr="00E96470">
          <w:rPr>
            <w:rStyle w:val="Hyperlink"/>
            <w:szCs w:val="24"/>
          </w:rPr>
          <w:t>base year</w:t>
        </w:r>
      </w:hyperlink>
      <w:r>
        <w:rPr>
          <w:color w:val="auto"/>
          <w:szCs w:val="24"/>
        </w:rPr>
        <w:t xml:space="preserve"> performance. Once available, </w:t>
      </w:r>
      <w:r>
        <w:rPr>
          <w:color w:val="auto"/>
        </w:rPr>
        <w:t xml:space="preserve">12 </w:t>
      </w:r>
      <w:r>
        <w:rPr>
          <w:color w:val="auto"/>
          <w:szCs w:val="24"/>
        </w:rPr>
        <w:t xml:space="preserve">months of </w:t>
      </w:r>
      <w:r>
        <w:rPr>
          <w:color w:val="auto"/>
        </w:rPr>
        <w:t xml:space="preserve">continuous </w:t>
      </w:r>
      <w:r>
        <w:rPr>
          <w:color w:val="auto"/>
          <w:szCs w:val="24"/>
        </w:rPr>
        <w:t xml:space="preserve">data must be submitted to calculate a </w:t>
      </w:r>
      <w:r>
        <w:rPr>
          <w:color w:val="auto"/>
        </w:rPr>
        <w:t xml:space="preserve">numerical </w:t>
      </w:r>
      <w:r>
        <w:rPr>
          <w:color w:val="auto"/>
          <w:szCs w:val="24"/>
        </w:rPr>
        <w:t xml:space="preserve">target. </w:t>
      </w:r>
    </w:p>
    <w:p w14:paraId="60FE429E" w14:textId="0A3EE045" w:rsidR="00026E66" w:rsidRDefault="002737EF" w:rsidP="00FF0098">
      <w:pPr>
        <w:pStyle w:val="Heading2"/>
        <w:tabs>
          <w:tab w:val="left" w:pos="0"/>
        </w:tabs>
      </w:pPr>
      <w:bookmarkStart w:id="141" w:name="_7.7._Changing_the"/>
      <w:bookmarkStart w:id="142" w:name="_7.8._Variations_for"/>
      <w:bookmarkStart w:id="143" w:name="_7.7._Variations_for"/>
      <w:bookmarkStart w:id="144" w:name="_Toc94718657"/>
      <w:bookmarkStart w:id="145" w:name="_Toc94088905"/>
      <w:bookmarkStart w:id="146" w:name="_Toc242885384"/>
      <w:bookmarkEnd w:id="141"/>
      <w:bookmarkEnd w:id="142"/>
      <w:bookmarkEnd w:id="143"/>
      <w:r>
        <w:t>7.</w:t>
      </w:r>
      <w:r w:rsidR="00E77827">
        <w:t>7</w:t>
      </w:r>
      <w:r>
        <w:t>. Variations for reporting</w:t>
      </w:r>
      <w:bookmarkEnd w:id="144"/>
      <w:bookmarkEnd w:id="145"/>
      <w:bookmarkEnd w:id="146"/>
      <w:r>
        <w:t xml:space="preserve"> </w:t>
      </w:r>
    </w:p>
    <w:p w14:paraId="154E8849" w14:textId="7EBA0527" w:rsidR="00026E66" w:rsidRDefault="002737EF" w:rsidP="00FF0098">
      <w:pPr>
        <w:tabs>
          <w:tab w:val="left" w:pos="0"/>
        </w:tabs>
      </w:pPr>
      <w:r>
        <w:t xml:space="preserve">There are </w:t>
      </w:r>
      <w:r w:rsidR="009E12F0">
        <w:t>2</w:t>
      </w:r>
      <w:r>
        <w:t xml:space="preserve"> circumstances in which variations must be submitted in the month after the end of a target period, to reflect changes which may impact on a </w:t>
      </w:r>
      <w:r w:rsidR="00E77827">
        <w:t>facility’s</w:t>
      </w:r>
      <w:r>
        <w:t xml:space="preserve"> target. These are described in further detail in </w:t>
      </w:r>
      <w:hyperlink w:anchor="_10.4._Target_adjustments" w:history="1">
        <w:r>
          <w:rPr>
            <w:rStyle w:val="Hyperlink"/>
          </w:rPr>
          <w:t>Section 10.4</w:t>
        </w:r>
      </w:hyperlink>
      <w:r>
        <w:t>.</w:t>
      </w:r>
      <w:r w:rsidR="00FC355D">
        <w:t xml:space="preserve"> </w:t>
      </w:r>
    </w:p>
    <w:p w14:paraId="213FF07E" w14:textId="6078851E" w:rsidR="00026E66" w:rsidRDefault="002737EF" w:rsidP="00E955A3">
      <w:pPr>
        <w:pStyle w:val="Heading2"/>
        <w:tabs>
          <w:tab w:val="left" w:pos="0"/>
        </w:tabs>
      </w:pPr>
      <w:bookmarkStart w:id="147" w:name="_7.9._Other_types"/>
      <w:bookmarkStart w:id="148" w:name="_7.8._Other_types"/>
      <w:bookmarkStart w:id="149" w:name="_Toc94718658"/>
      <w:bookmarkStart w:id="150" w:name="_Toc94088906"/>
      <w:bookmarkStart w:id="151" w:name="_Toc242885385"/>
      <w:bookmarkEnd w:id="147"/>
      <w:bookmarkEnd w:id="148"/>
      <w:r>
        <w:lastRenderedPageBreak/>
        <w:t>7.</w:t>
      </w:r>
      <w:r w:rsidR="008A02DD">
        <w:t>8</w:t>
      </w:r>
      <w:r>
        <w:t>. Other types of variation</w:t>
      </w:r>
      <w:bookmarkEnd w:id="149"/>
      <w:bookmarkEnd w:id="150"/>
      <w:bookmarkEnd w:id="151"/>
      <w:r>
        <w:t xml:space="preserve"> </w:t>
      </w:r>
    </w:p>
    <w:p w14:paraId="2CF9DCDB" w14:textId="065D1F89" w:rsidR="00026E66" w:rsidRDefault="002737EF" w:rsidP="00FF0098">
      <w:pPr>
        <w:tabs>
          <w:tab w:val="left" w:pos="0"/>
        </w:tabs>
      </w:pPr>
      <w:r>
        <w:t xml:space="preserve">Any other type of variation an operator may wish to make that is not listed above can be submitted to the register. It should include a detailed description of the variation and be supported by evidence. Examples include: </w:t>
      </w:r>
    </w:p>
    <w:p w14:paraId="089A7CB0" w14:textId="77777777" w:rsidR="00026E66" w:rsidRDefault="002737EF" w:rsidP="0065356B">
      <w:pPr>
        <w:pStyle w:val="ListParagraph"/>
        <w:numPr>
          <w:ilvl w:val="0"/>
          <w:numId w:val="53"/>
        </w:numPr>
        <w:tabs>
          <w:tab w:val="left" w:pos="0"/>
        </w:tabs>
      </w:pPr>
      <w:r>
        <w:t xml:space="preserve">changing the address of an individual facility due to an error with the original facility address or postal system – but if the facility is </w:t>
      </w:r>
      <w:proofErr w:type="gramStart"/>
      <w:r>
        <w:t>actually moving</w:t>
      </w:r>
      <w:proofErr w:type="gramEnd"/>
      <w:r>
        <w:t xml:space="preserve"> site, a new facility eligibility application is required </w:t>
      </w:r>
    </w:p>
    <w:p w14:paraId="29AE33D5" w14:textId="77777777" w:rsidR="00026E66" w:rsidRDefault="002737EF" w:rsidP="0065356B">
      <w:pPr>
        <w:pStyle w:val="ListParagraph"/>
        <w:numPr>
          <w:ilvl w:val="0"/>
          <w:numId w:val="53"/>
        </w:numPr>
        <w:tabs>
          <w:tab w:val="left" w:pos="0"/>
        </w:tabs>
      </w:pPr>
      <w:r>
        <w:t xml:space="preserve">changing an ETS permit number </w:t>
      </w:r>
    </w:p>
    <w:p w14:paraId="70A211E3" w14:textId="098DD7E5" w:rsidR="00173A89" w:rsidRDefault="00173A89" w:rsidP="0065356B">
      <w:pPr>
        <w:pStyle w:val="ListParagraph"/>
        <w:numPr>
          <w:ilvl w:val="0"/>
          <w:numId w:val="53"/>
        </w:numPr>
        <w:tabs>
          <w:tab w:val="left" w:pos="0"/>
        </w:tabs>
      </w:pPr>
      <w:r>
        <w:t>providing a Companies House number</w:t>
      </w:r>
    </w:p>
    <w:p w14:paraId="7990756C" w14:textId="223DDF61" w:rsidR="00173A89" w:rsidRDefault="001974C7" w:rsidP="0065356B">
      <w:pPr>
        <w:pStyle w:val="ListParagraph"/>
        <w:numPr>
          <w:ilvl w:val="0"/>
          <w:numId w:val="53"/>
        </w:numPr>
        <w:tabs>
          <w:tab w:val="left" w:pos="0"/>
        </w:tabs>
      </w:pPr>
      <w:r>
        <w:t>providing a SIC code for the operator</w:t>
      </w:r>
    </w:p>
    <w:p w14:paraId="1B0743F1" w14:textId="73A8966D" w:rsidR="00026E66" w:rsidRDefault="002737EF" w:rsidP="00FF0098">
      <w:pPr>
        <w:pStyle w:val="Heading2"/>
        <w:tabs>
          <w:tab w:val="left" w:pos="0"/>
        </w:tabs>
      </w:pPr>
      <w:bookmarkStart w:id="152" w:name="_7.10._What_cannot"/>
      <w:bookmarkStart w:id="153" w:name="_7.9._What_cannot"/>
      <w:bookmarkStart w:id="154" w:name="_Toc94718659"/>
      <w:bookmarkStart w:id="155" w:name="_Toc94088907"/>
      <w:bookmarkStart w:id="156" w:name="_Toc242885386"/>
      <w:bookmarkEnd w:id="152"/>
      <w:bookmarkEnd w:id="153"/>
      <w:r>
        <w:t>7.</w:t>
      </w:r>
      <w:r w:rsidR="008A02DD">
        <w:t>9</w:t>
      </w:r>
      <w:r>
        <w:t>. What cannot be changed by a variation</w:t>
      </w:r>
      <w:bookmarkEnd w:id="154"/>
      <w:bookmarkEnd w:id="155"/>
      <w:bookmarkEnd w:id="156"/>
      <w:r>
        <w:t xml:space="preserve"> </w:t>
      </w:r>
    </w:p>
    <w:p w14:paraId="00C6304F" w14:textId="72E82940" w:rsidR="00026E66" w:rsidRDefault="002737EF" w:rsidP="00FF0098">
      <w:pPr>
        <w:tabs>
          <w:tab w:val="left" w:pos="0"/>
        </w:tabs>
        <w:ind w:right="182"/>
      </w:pPr>
      <w:r>
        <w:t>To maintain stability within the scheme</w:t>
      </w:r>
      <w:r>
        <w:rPr>
          <w:color w:val="auto"/>
          <w:szCs w:val="24"/>
        </w:rPr>
        <w:t xml:space="preserve">, </w:t>
      </w:r>
      <w:proofErr w:type="gramStart"/>
      <w:r>
        <w:rPr>
          <w:color w:val="auto"/>
          <w:szCs w:val="24"/>
        </w:rPr>
        <w:t>a number of</w:t>
      </w:r>
      <w:proofErr w:type="gramEnd"/>
      <w:r>
        <w:rPr>
          <w:color w:val="auto"/>
          <w:szCs w:val="24"/>
        </w:rPr>
        <w:t xml:space="preserve"> areas of an agreement cannot be changed. </w:t>
      </w:r>
    </w:p>
    <w:p w14:paraId="4E3807EC" w14:textId="77777777" w:rsidR="00026E66" w:rsidRDefault="002737EF" w:rsidP="00FF0098">
      <w:pPr>
        <w:tabs>
          <w:tab w:val="left" w:pos="0"/>
        </w:tabs>
        <w:ind w:right="182"/>
      </w:pPr>
      <w:r>
        <w:rPr>
          <w:color w:val="auto"/>
          <w:szCs w:val="24"/>
        </w:rPr>
        <w:t xml:space="preserve">An operator isn't allowed to amend </w:t>
      </w:r>
      <w:r>
        <w:rPr>
          <w:color w:val="auto"/>
        </w:rPr>
        <w:t xml:space="preserve">the percentage </w:t>
      </w:r>
      <w:r>
        <w:rPr>
          <w:color w:val="auto"/>
          <w:szCs w:val="24"/>
        </w:rPr>
        <w:t>target. However, the numerical value of the target may change if the baseline is amended following a variation.</w:t>
      </w:r>
      <w:r>
        <w:rPr>
          <w:color w:val="auto"/>
        </w:rPr>
        <w:t xml:space="preserve"> </w:t>
      </w:r>
    </w:p>
    <w:p w14:paraId="4D4C0792" w14:textId="70D74480" w:rsidR="00026E66" w:rsidRDefault="002737EF" w:rsidP="00FF0098">
      <w:pPr>
        <w:pStyle w:val="Heading3"/>
        <w:tabs>
          <w:tab w:val="left" w:pos="0"/>
        </w:tabs>
      </w:pPr>
      <w:r>
        <w:t>7.</w:t>
      </w:r>
      <w:r w:rsidR="008A02DD">
        <w:t>9</w:t>
      </w:r>
      <w:r>
        <w:t>.</w:t>
      </w:r>
      <w:r w:rsidR="00507C8B">
        <w:t>1</w:t>
      </w:r>
      <w:r>
        <w:t xml:space="preserve">. Throughput </w:t>
      </w:r>
      <w:r w:rsidR="006F0A5B">
        <w:t>units</w:t>
      </w:r>
      <w:r>
        <w:t xml:space="preserve"> </w:t>
      </w:r>
    </w:p>
    <w:p w14:paraId="2A332FAE" w14:textId="78722A44" w:rsidR="00026E66" w:rsidRDefault="002737EF" w:rsidP="00840B51">
      <w:pPr>
        <w:tabs>
          <w:tab w:val="left" w:pos="0"/>
        </w:tabs>
        <w:spacing w:after="0"/>
        <w:ind w:right="182"/>
      </w:pPr>
      <w:r>
        <w:rPr>
          <w:color w:val="auto"/>
        </w:rPr>
        <w:t xml:space="preserve">An operator can only amend the </w:t>
      </w:r>
      <w:hyperlink w:anchor="Throughput" w:history="1">
        <w:r w:rsidR="00383A47">
          <w:rPr>
            <w:rStyle w:val="Hyperlink"/>
          </w:rPr>
          <w:t>throughput</w:t>
        </w:r>
      </w:hyperlink>
      <w:r>
        <w:rPr>
          <w:color w:val="auto"/>
        </w:rPr>
        <w:t xml:space="preserve"> </w:t>
      </w:r>
      <w:r w:rsidR="006F0A5B">
        <w:rPr>
          <w:color w:val="auto"/>
        </w:rPr>
        <w:t>units</w:t>
      </w:r>
      <w:r>
        <w:rPr>
          <w:color w:val="auto"/>
        </w:rPr>
        <w:t xml:space="preserve"> of their </w:t>
      </w:r>
      <w:hyperlink w:anchor="facilitytarget" w:history="1">
        <w:r w:rsidR="008A02DD" w:rsidRPr="00B27616">
          <w:rPr>
            <w:rStyle w:val="Hyperlink"/>
          </w:rPr>
          <w:t>facility</w:t>
        </w:r>
        <w:r w:rsidRPr="00B27616">
          <w:rPr>
            <w:rStyle w:val="Hyperlink"/>
          </w:rPr>
          <w:t xml:space="preserve"> target</w:t>
        </w:r>
      </w:hyperlink>
      <w:r>
        <w:rPr>
          <w:color w:val="auto"/>
        </w:rPr>
        <w:t xml:space="preserve"> following a structural change where a completely different product is being made at a site. This amendment can be made at any time except for the final </w:t>
      </w:r>
      <w:r w:rsidR="009E12F0" w:rsidRPr="1874FB38">
        <w:rPr>
          <w:color w:val="auto"/>
        </w:rPr>
        <w:t>2</w:t>
      </w:r>
      <w:r>
        <w:rPr>
          <w:color w:val="auto"/>
        </w:rPr>
        <w:t xml:space="preserve"> months of a target period. In the instance of a structural change, the sector association </w:t>
      </w:r>
      <w:r w:rsidR="00A12F72">
        <w:rPr>
          <w:color w:val="auto"/>
        </w:rPr>
        <w:t>can</w:t>
      </w:r>
      <w:r>
        <w:rPr>
          <w:color w:val="auto"/>
        </w:rPr>
        <w:t xml:space="preserve"> submit a baseline amendment variation via the register</w:t>
      </w:r>
      <w:r>
        <w:rPr>
          <w:i/>
          <w:color w:val="auto"/>
        </w:rPr>
        <w:t>.</w:t>
      </w:r>
      <w:r>
        <w:rPr>
          <w:color w:val="auto"/>
        </w:rPr>
        <w:t xml:space="preserve"> </w:t>
      </w:r>
    </w:p>
    <w:p w14:paraId="08B8DC8A" w14:textId="578A4D85" w:rsidR="00026E66" w:rsidRDefault="002737EF" w:rsidP="00840B51">
      <w:pPr>
        <w:pStyle w:val="Heading3"/>
        <w:tabs>
          <w:tab w:val="left" w:pos="0"/>
        </w:tabs>
      </w:pPr>
      <w:r>
        <w:t>7.</w:t>
      </w:r>
      <w:r w:rsidR="008A02DD">
        <w:t>9</w:t>
      </w:r>
      <w:r>
        <w:t>.</w:t>
      </w:r>
      <w:r w:rsidR="009B556C">
        <w:t>2</w:t>
      </w:r>
      <w:r>
        <w:t xml:space="preserve">. The 12-month base year period </w:t>
      </w:r>
    </w:p>
    <w:p w14:paraId="36F141B2" w14:textId="4ACF2688" w:rsidR="00026E66" w:rsidRDefault="00DF0819" w:rsidP="00840B51">
      <w:pPr>
        <w:tabs>
          <w:tab w:val="left" w:pos="0"/>
        </w:tabs>
        <w:spacing w:after="161" w:line="235" w:lineRule="auto"/>
        <w:ind w:right="468"/>
        <w:rPr>
          <w:color w:val="auto"/>
        </w:rPr>
      </w:pPr>
      <w:r>
        <w:rPr>
          <w:color w:val="auto"/>
        </w:rPr>
        <w:t>T</w:t>
      </w:r>
      <w:r w:rsidR="002737EF">
        <w:rPr>
          <w:color w:val="auto"/>
        </w:rPr>
        <w:t>he base year period</w:t>
      </w:r>
      <w:r>
        <w:rPr>
          <w:color w:val="auto"/>
        </w:rPr>
        <w:t xml:space="preserve"> cannot be changed</w:t>
      </w:r>
      <w:r w:rsidR="002737EF">
        <w:rPr>
          <w:color w:val="auto"/>
        </w:rPr>
        <w:t xml:space="preserve"> unless this is in response to a structural change where the original base year is no longer relevant, and the baseline can't be reconstructed using the existing data. </w:t>
      </w:r>
    </w:p>
    <w:p w14:paraId="60721FE8" w14:textId="175BE1B5" w:rsidR="00026E66" w:rsidRDefault="00C27115" w:rsidP="00FF0098">
      <w:pPr>
        <w:tabs>
          <w:tab w:val="left" w:pos="0"/>
        </w:tabs>
        <w:ind w:right="182"/>
      </w:pPr>
      <w:r>
        <w:rPr>
          <w:color w:val="auto"/>
        </w:rPr>
        <w:t>T</w:t>
      </w:r>
      <w:r w:rsidR="002737EF">
        <w:rPr>
          <w:color w:val="auto"/>
        </w:rPr>
        <w:t>he baseline</w:t>
      </w:r>
      <w:r>
        <w:rPr>
          <w:color w:val="auto"/>
        </w:rPr>
        <w:t xml:space="preserve"> can be amended</w:t>
      </w:r>
      <w:r w:rsidR="002737EF">
        <w:rPr>
          <w:color w:val="auto"/>
        </w:rPr>
        <w:t xml:space="preserve"> if there's an error in the data. If an error is discovered, it should be reported to us within 20 working days by raising a variation in the register. Any errors in data discovered by </w:t>
      </w:r>
      <w:hyperlink w:anchor="Audit" w:history="1">
        <w:r w:rsidR="009D6E00">
          <w:rPr>
            <w:rStyle w:val="Hyperlink"/>
          </w:rPr>
          <w:t>audit</w:t>
        </w:r>
      </w:hyperlink>
      <w:r w:rsidR="002737EF">
        <w:rPr>
          <w:color w:val="auto"/>
        </w:rPr>
        <w:t xml:space="preserve"> (see </w:t>
      </w:r>
      <w:hyperlink w:anchor="_9._Auditing_the" w:history="1">
        <w:r w:rsidR="002737EF">
          <w:rPr>
            <w:rStyle w:val="Hyperlink"/>
          </w:rPr>
          <w:t>section 9</w:t>
        </w:r>
      </w:hyperlink>
      <w:r w:rsidR="002737EF">
        <w:rPr>
          <w:color w:val="auto"/>
        </w:rPr>
        <w:t>) may r</w:t>
      </w:r>
      <w:r w:rsidR="005E0EB7">
        <w:rPr>
          <w:color w:val="auto"/>
        </w:rPr>
        <w:t>esult in</w:t>
      </w:r>
      <w:r w:rsidR="002737EF">
        <w:rPr>
          <w:color w:val="auto"/>
        </w:rPr>
        <w:t xml:space="preserve"> a financial </w:t>
      </w:r>
      <w:hyperlink w:anchor="Penalty" w:history="1">
        <w:r w:rsidR="009D6E00">
          <w:rPr>
            <w:rStyle w:val="Hyperlink"/>
          </w:rPr>
          <w:t>penalty</w:t>
        </w:r>
      </w:hyperlink>
      <w:r w:rsidR="002737EF">
        <w:rPr>
          <w:color w:val="auto"/>
        </w:rPr>
        <w:t xml:space="preserve"> (see </w:t>
      </w:r>
      <w:hyperlink w:anchor="_8._Application_of" w:history="1">
        <w:r w:rsidR="002737EF">
          <w:rPr>
            <w:rStyle w:val="Hyperlink"/>
          </w:rPr>
          <w:t>section 8</w:t>
        </w:r>
      </w:hyperlink>
      <w:r w:rsidR="002737EF">
        <w:rPr>
          <w:color w:val="auto"/>
        </w:rPr>
        <w:t xml:space="preserve">). </w:t>
      </w:r>
    </w:p>
    <w:p w14:paraId="28B3CF69" w14:textId="64773386" w:rsidR="00026E66" w:rsidRPr="00E955A3" w:rsidRDefault="002737EF" w:rsidP="00E955A3">
      <w:pPr>
        <w:tabs>
          <w:tab w:val="left" w:pos="0"/>
        </w:tabs>
        <w:spacing w:after="0"/>
        <w:ind w:right="182"/>
      </w:pPr>
      <w:r>
        <w:rPr>
          <w:color w:val="auto"/>
        </w:rPr>
        <w:t xml:space="preserve">We may consider a change in the base year for a </w:t>
      </w:r>
      <w:hyperlink w:anchor="Brownfield" w:history="1">
        <w:r w:rsidRPr="0010331E">
          <w:rPr>
            <w:rStyle w:val="Hyperlink"/>
          </w:rPr>
          <w:t>brownfield facility</w:t>
        </w:r>
      </w:hyperlink>
      <w:r>
        <w:rPr>
          <w:color w:val="auto"/>
        </w:rPr>
        <w:t xml:space="preserve"> that has re-entered the scheme following a period of being in administration if the data for the original base year are no longer available.</w:t>
      </w:r>
      <w:r>
        <w:rPr>
          <w:color w:val="auto"/>
          <w:szCs w:val="24"/>
        </w:rPr>
        <w:t xml:space="preserve"> </w:t>
      </w:r>
    </w:p>
    <w:p w14:paraId="1528AB64" w14:textId="357245BF" w:rsidR="00026E66" w:rsidRDefault="002737EF" w:rsidP="00FF0098">
      <w:pPr>
        <w:pStyle w:val="Heading3"/>
        <w:tabs>
          <w:tab w:val="left" w:pos="0"/>
        </w:tabs>
      </w:pPr>
      <w:bookmarkStart w:id="157" w:name="_7.9.3._Changing_sector"/>
      <w:bookmarkEnd w:id="157"/>
      <w:r>
        <w:lastRenderedPageBreak/>
        <w:t>7.</w:t>
      </w:r>
      <w:r w:rsidR="00FD2FE5">
        <w:t>9</w:t>
      </w:r>
      <w:r>
        <w:t>.</w:t>
      </w:r>
      <w:r w:rsidR="009B556C">
        <w:t>3</w:t>
      </w:r>
      <w:r>
        <w:t xml:space="preserve">. Changing sector </w:t>
      </w:r>
    </w:p>
    <w:p w14:paraId="5443D04D" w14:textId="77777777" w:rsidR="00026E66" w:rsidRDefault="002737EF" w:rsidP="00FF0098">
      <w:pPr>
        <w:tabs>
          <w:tab w:val="left" w:pos="0"/>
        </w:tabs>
        <w:ind w:right="182"/>
      </w:pPr>
      <w:r>
        <w:rPr>
          <w:color w:val="auto"/>
        </w:rPr>
        <w:t xml:space="preserve">Once a facility </w:t>
      </w:r>
      <w:r>
        <w:rPr>
          <w:color w:val="auto"/>
          <w:szCs w:val="24"/>
        </w:rPr>
        <w:t>is deemed</w:t>
      </w:r>
      <w:r>
        <w:rPr>
          <w:color w:val="auto"/>
        </w:rPr>
        <w:t xml:space="preserve"> eligible </w:t>
      </w:r>
      <w:r>
        <w:rPr>
          <w:color w:val="auto"/>
          <w:szCs w:val="24"/>
        </w:rPr>
        <w:t>to belong to</w:t>
      </w:r>
      <w:r>
        <w:rPr>
          <w:color w:val="auto"/>
        </w:rPr>
        <w:t xml:space="preserve"> a particular sector</w:t>
      </w:r>
      <w:r>
        <w:rPr>
          <w:color w:val="auto"/>
          <w:szCs w:val="24"/>
        </w:rPr>
        <w:t xml:space="preserve"> and joins that sector</w:t>
      </w:r>
      <w:r>
        <w:rPr>
          <w:color w:val="auto"/>
        </w:rPr>
        <w:t xml:space="preserve">, it won't be </w:t>
      </w:r>
      <w:r>
        <w:rPr>
          <w:color w:val="auto"/>
          <w:szCs w:val="24"/>
        </w:rPr>
        <w:t>allowed</w:t>
      </w:r>
      <w:r>
        <w:rPr>
          <w:color w:val="auto"/>
        </w:rPr>
        <w:t xml:space="preserve"> to move to </w:t>
      </w:r>
      <w:r>
        <w:rPr>
          <w:color w:val="auto"/>
          <w:szCs w:val="24"/>
        </w:rPr>
        <w:t>another</w:t>
      </w:r>
      <w:r>
        <w:rPr>
          <w:color w:val="auto"/>
        </w:rPr>
        <w:t xml:space="preserve"> sector</w:t>
      </w:r>
      <w:r>
        <w:rPr>
          <w:color w:val="auto"/>
          <w:szCs w:val="24"/>
        </w:rPr>
        <w:t xml:space="preserve"> unless it becomes ineligible in the original sector. </w:t>
      </w:r>
    </w:p>
    <w:p w14:paraId="489B03EC" w14:textId="5B8E1572" w:rsidR="00026E66" w:rsidRDefault="002737EF" w:rsidP="00FF0098">
      <w:pPr>
        <w:tabs>
          <w:tab w:val="left" w:pos="0"/>
        </w:tabs>
        <w:ind w:right="182"/>
      </w:pPr>
      <w:r w:rsidRPr="1874FB38">
        <w:rPr>
          <w:color w:val="auto"/>
        </w:rPr>
        <w:t xml:space="preserve">There are </w:t>
      </w:r>
      <w:r w:rsidR="009E12F0" w:rsidRPr="1874FB38">
        <w:rPr>
          <w:color w:val="auto"/>
        </w:rPr>
        <w:t>2</w:t>
      </w:r>
      <w:r w:rsidRPr="1874FB38">
        <w:rPr>
          <w:color w:val="auto"/>
        </w:rPr>
        <w:t xml:space="preserve"> options if the</w:t>
      </w:r>
      <w:r>
        <w:rPr>
          <w:color w:val="auto"/>
        </w:rPr>
        <w:t xml:space="preserve"> facility</w:t>
      </w:r>
      <w:r w:rsidRPr="1874FB38">
        <w:rPr>
          <w:color w:val="auto"/>
        </w:rPr>
        <w:t xml:space="preserve"> </w:t>
      </w:r>
      <w:r w:rsidR="00865539">
        <w:rPr>
          <w:color w:val="auto"/>
        </w:rPr>
        <w:t>is not eligibl</w:t>
      </w:r>
      <w:r w:rsidR="009B556C">
        <w:rPr>
          <w:color w:val="auto"/>
        </w:rPr>
        <w:t xml:space="preserve">e </w:t>
      </w:r>
      <w:r w:rsidRPr="1874FB38">
        <w:rPr>
          <w:color w:val="auto"/>
        </w:rPr>
        <w:t xml:space="preserve">in the present sector. </w:t>
      </w:r>
    </w:p>
    <w:p w14:paraId="7DF2486D" w14:textId="50D5A89B" w:rsidR="00026E66" w:rsidRPr="00E955A3" w:rsidRDefault="002737EF" w:rsidP="0065356B">
      <w:pPr>
        <w:pStyle w:val="ListParagraph"/>
        <w:numPr>
          <w:ilvl w:val="0"/>
          <w:numId w:val="54"/>
        </w:numPr>
        <w:tabs>
          <w:tab w:val="left" w:pos="0"/>
        </w:tabs>
        <w:spacing w:after="71" w:line="244" w:lineRule="auto"/>
        <w:ind w:right="182"/>
        <w:rPr>
          <w:szCs w:val="24"/>
        </w:rPr>
      </w:pPr>
      <w:r w:rsidRPr="00E955A3">
        <w:rPr>
          <w:szCs w:val="24"/>
        </w:rPr>
        <w:t xml:space="preserve">If the facility is eligible in another sector, </w:t>
      </w:r>
      <w:r w:rsidR="007E0223">
        <w:rPr>
          <w:szCs w:val="24"/>
        </w:rPr>
        <w:t xml:space="preserve">the facility </w:t>
      </w:r>
      <w:r w:rsidR="001E24F6">
        <w:rPr>
          <w:szCs w:val="24"/>
        </w:rPr>
        <w:t>will be removed</w:t>
      </w:r>
      <w:r w:rsidR="00CD63C8">
        <w:rPr>
          <w:szCs w:val="24"/>
        </w:rPr>
        <w:t xml:space="preserve"> from the </w:t>
      </w:r>
      <w:proofErr w:type="gramStart"/>
      <w:r w:rsidR="00CD63C8">
        <w:rPr>
          <w:szCs w:val="24"/>
        </w:rPr>
        <w:t>agreement</w:t>
      </w:r>
      <w:proofErr w:type="gramEnd"/>
      <w:r w:rsidR="001E24F6">
        <w:rPr>
          <w:szCs w:val="24"/>
        </w:rPr>
        <w:t xml:space="preserve"> or the underlying agreement will be terminated where the agreement contains only one facility</w:t>
      </w:r>
      <w:r w:rsidRPr="00E955A3">
        <w:rPr>
          <w:szCs w:val="24"/>
        </w:rPr>
        <w:t xml:space="preserve"> and a new entrant application started. </w:t>
      </w:r>
    </w:p>
    <w:p w14:paraId="52D179AE" w14:textId="3480E760" w:rsidR="00026E66" w:rsidRDefault="002737EF" w:rsidP="0065356B">
      <w:pPr>
        <w:pStyle w:val="ListParagraph"/>
        <w:numPr>
          <w:ilvl w:val="0"/>
          <w:numId w:val="54"/>
        </w:numPr>
        <w:tabs>
          <w:tab w:val="left" w:pos="0"/>
        </w:tabs>
        <w:spacing w:after="152" w:line="244" w:lineRule="auto"/>
        <w:ind w:right="182"/>
      </w:pPr>
      <w:r w:rsidRPr="00E955A3">
        <w:rPr>
          <w:szCs w:val="24"/>
        </w:rPr>
        <w:t xml:space="preserve">If the facility is not eligible in any sector (as listed in </w:t>
      </w:r>
      <w:hyperlink w:anchor="_Appendix_A:_Eligible" w:history="1">
        <w:r w:rsidRPr="00E955A3">
          <w:rPr>
            <w:rStyle w:val="Hyperlink"/>
            <w:szCs w:val="24"/>
          </w:rPr>
          <w:t>Appendix A</w:t>
        </w:r>
      </w:hyperlink>
      <w:r w:rsidRPr="00E955A3">
        <w:rPr>
          <w:szCs w:val="24"/>
        </w:rPr>
        <w:t xml:space="preserve">), the </w:t>
      </w:r>
      <w:r w:rsidR="001E24F6">
        <w:rPr>
          <w:szCs w:val="24"/>
        </w:rPr>
        <w:t xml:space="preserve">facility </w:t>
      </w:r>
      <w:r w:rsidR="00CD63C8">
        <w:rPr>
          <w:szCs w:val="24"/>
        </w:rPr>
        <w:t xml:space="preserve">will be removed from the </w:t>
      </w:r>
      <w:proofErr w:type="gramStart"/>
      <w:r w:rsidR="00CD63C8">
        <w:rPr>
          <w:szCs w:val="24"/>
        </w:rPr>
        <w:t>agreement</w:t>
      </w:r>
      <w:proofErr w:type="gramEnd"/>
      <w:r w:rsidR="00CD63C8">
        <w:rPr>
          <w:szCs w:val="24"/>
        </w:rPr>
        <w:t xml:space="preserve"> or the underlying agreement will be terminated where the agreement contains only one facility </w:t>
      </w:r>
    </w:p>
    <w:p w14:paraId="3202EBD8" w14:textId="3EA90916" w:rsidR="00026E66" w:rsidRPr="00E955A3" w:rsidRDefault="002737EF" w:rsidP="00E955A3">
      <w:pPr>
        <w:tabs>
          <w:tab w:val="left" w:pos="0"/>
        </w:tabs>
        <w:spacing w:after="0"/>
        <w:ind w:right="182"/>
      </w:pPr>
      <w:r>
        <w:rPr>
          <w:color w:val="auto"/>
          <w:szCs w:val="24"/>
        </w:rPr>
        <w:t xml:space="preserve">If the facility is </w:t>
      </w:r>
      <w:r>
        <w:rPr>
          <w:color w:val="auto"/>
        </w:rPr>
        <w:t xml:space="preserve">partially eligible in the </w:t>
      </w:r>
      <w:r>
        <w:rPr>
          <w:color w:val="auto"/>
          <w:szCs w:val="24"/>
        </w:rPr>
        <w:t>present</w:t>
      </w:r>
      <w:r>
        <w:rPr>
          <w:color w:val="auto"/>
        </w:rPr>
        <w:t xml:space="preserve"> sector, the facility will remain in the original </w:t>
      </w:r>
      <w:proofErr w:type="gramStart"/>
      <w:r>
        <w:rPr>
          <w:color w:val="auto"/>
        </w:rPr>
        <w:t>sector</w:t>
      </w:r>
      <w:proofErr w:type="gramEnd"/>
      <w:r>
        <w:rPr>
          <w:color w:val="auto"/>
          <w:szCs w:val="24"/>
        </w:rPr>
        <w:t xml:space="preserve"> and the underlying agreement will be varied accordingly. </w:t>
      </w:r>
    </w:p>
    <w:p w14:paraId="351E9D74" w14:textId="71477A6A" w:rsidR="00026E66" w:rsidRDefault="002737EF" w:rsidP="00FF0098">
      <w:pPr>
        <w:pStyle w:val="Heading2"/>
        <w:tabs>
          <w:tab w:val="left" w:pos="0"/>
        </w:tabs>
      </w:pPr>
      <w:bookmarkStart w:id="158" w:name="_7.11._Timescale_for"/>
      <w:bookmarkStart w:id="159" w:name="_7.10._Timescale_for"/>
      <w:bookmarkStart w:id="160" w:name="_Toc94718660"/>
      <w:bookmarkStart w:id="161" w:name="_Toc94088908"/>
      <w:bookmarkStart w:id="162" w:name="_Toc242885387"/>
      <w:bookmarkEnd w:id="158"/>
      <w:bookmarkEnd w:id="159"/>
      <w:r>
        <w:t>7.1</w:t>
      </w:r>
      <w:r w:rsidR="00101704">
        <w:t>0</w:t>
      </w:r>
      <w:r>
        <w:t>. Timescale for notifying us of a change</w:t>
      </w:r>
      <w:bookmarkEnd w:id="160"/>
      <w:bookmarkEnd w:id="161"/>
      <w:bookmarkEnd w:id="162"/>
      <w:r>
        <w:t xml:space="preserve"> </w:t>
      </w:r>
    </w:p>
    <w:p w14:paraId="728B38C3" w14:textId="3EAC806B" w:rsidR="00026E66" w:rsidRDefault="00D33193" w:rsidP="00FF0098">
      <w:pPr>
        <w:tabs>
          <w:tab w:val="left" w:pos="0"/>
        </w:tabs>
        <w:ind w:right="182"/>
      </w:pPr>
      <w:r>
        <w:rPr>
          <w:color w:val="auto"/>
        </w:rPr>
        <w:t>If a change occurs at a facility that may require a variation</w:t>
      </w:r>
      <w:r w:rsidR="002737EF">
        <w:rPr>
          <w:color w:val="auto"/>
        </w:rPr>
        <w:t xml:space="preserve">, </w:t>
      </w:r>
      <w:r w:rsidR="002737EF">
        <w:rPr>
          <w:color w:val="auto"/>
          <w:szCs w:val="24"/>
        </w:rPr>
        <w:t xml:space="preserve">this should be notified to us via </w:t>
      </w:r>
      <w:proofErr w:type="spellStart"/>
      <w:r>
        <w:rPr>
          <w:color w:val="auto"/>
          <w:szCs w:val="24"/>
        </w:rPr>
        <w:t>MyCCA</w:t>
      </w:r>
      <w:proofErr w:type="spellEnd"/>
      <w:r w:rsidR="002737EF">
        <w:rPr>
          <w:color w:val="auto"/>
          <w:szCs w:val="24"/>
        </w:rPr>
        <w:t xml:space="preserve"> </w:t>
      </w:r>
      <w:r w:rsidR="002737EF">
        <w:rPr>
          <w:color w:val="auto"/>
        </w:rPr>
        <w:t xml:space="preserve">within 20 working days. </w:t>
      </w:r>
      <w:r w:rsidR="002737EF">
        <w:rPr>
          <w:color w:val="auto"/>
          <w:szCs w:val="24"/>
        </w:rPr>
        <w:t>Within this period the</w:t>
      </w:r>
      <w:r w:rsidR="002737EF">
        <w:rPr>
          <w:color w:val="auto"/>
        </w:rPr>
        <w:t xml:space="preserve"> operator </w:t>
      </w:r>
      <w:r w:rsidR="002737EF">
        <w:rPr>
          <w:color w:val="auto"/>
          <w:szCs w:val="24"/>
        </w:rPr>
        <w:t>needs to</w:t>
      </w:r>
      <w:r w:rsidR="002737EF">
        <w:rPr>
          <w:color w:val="auto"/>
        </w:rPr>
        <w:t xml:space="preserve"> send details of the change to its sector association and the sector association should </w:t>
      </w:r>
      <w:r w:rsidR="002737EF">
        <w:rPr>
          <w:color w:val="auto"/>
          <w:szCs w:val="24"/>
        </w:rPr>
        <w:t>enter</w:t>
      </w:r>
      <w:r w:rsidR="002737EF">
        <w:rPr>
          <w:color w:val="auto"/>
        </w:rPr>
        <w:t xml:space="preserve"> details of the </w:t>
      </w:r>
      <w:r w:rsidR="002737EF">
        <w:rPr>
          <w:color w:val="auto"/>
          <w:szCs w:val="24"/>
        </w:rPr>
        <w:t xml:space="preserve">proposed </w:t>
      </w:r>
      <w:r w:rsidR="002737EF">
        <w:rPr>
          <w:color w:val="auto"/>
        </w:rPr>
        <w:t xml:space="preserve">variation </w:t>
      </w:r>
      <w:r w:rsidR="002737EF">
        <w:rPr>
          <w:color w:val="auto"/>
          <w:szCs w:val="24"/>
        </w:rPr>
        <w:t>for consideration</w:t>
      </w:r>
      <w:r w:rsidR="002737EF">
        <w:rPr>
          <w:color w:val="auto"/>
        </w:rPr>
        <w:t xml:space="preserve">. </w:t>
      </w:r>
    </w:p>
    <w:p w14:paraId="4C87006B" w14:textId="7DAB20C6" w:rsidR="00704351" w:rsidRDefault="002737EF" w:rsidP="005B0BFA">
      <w:pPr>
        <w:tabs>
          <w:tab w:val="left" w:pos="0"/>
        </w:tabs>
        <w:ind w:right="182"/>
        <w:rPr>
          <w:color w:val="auto"/>
        </w:rPr>
      </w:pPr>
      <w:r>
        <w:rPr>
          <w:color w:val="auto"/>
        </w:rPr>
        <w:t>Notification within 20 working days does not mean that the change will be processed by us in the register within this time. We will work with the operator and the sector association to accept or reject the request as quickly as practicable.</w:t>
      </w:r>
    </w:p>
    <w:p w14:paraId="66167B52" w14:textId="77777777" w:rsidR="00026E66" w:rsidRDefault="002737EF" w:rsidP="00FF0098">
      <w:pPr>
        <w:pStyle w:val="Heading1"/>
        <w:tabs>
          <w:tab w:val="left" w:pos="0"/>
        </w:tabs>
      </w:pPr>
      <w:bookmarkStart w:id="163" w:name="_8._Application_of"/>
      <w:bookmarkStart w:id="164" w:name="_Toc94718661"/>
      <w:bookmarkStart w:id="165" w:name="_Toc94088909"/>
      <w:bookmarkStart w:id="166" w:name="_Toc242885388"/>
      <w:bookmarkEnd w:id="163"/>
      <w:r>
        <w:t>8. Application of financial penalties and termination</w:t>
      </w:r>
      <w:bookmarkEnd w:id="164"/>
      <w:bookmarkEnd w:id="165"/>
      <w:bookmarkEnd w:id="166"/>
      <w:r>
        <w:t xml:space="preserve"> </w:t>
      </w:r>
    </w:p>
    <w:p w14:paraId="0785E55D" w14:textId="77777777" w:rsidR="00026E66" w:rsidRDefault="002737EF" w:rsidP="00FF0098">
      <w:pPr>
        <w:pStyle w:val="Heading2"/>
        <w:tabs>
          <w:tab w:val="left" w:pos="0"/>
        </w:tabs>
      </w:pPr>
      <w:bookmarkStart w:id="167" w:name="_Toc94718662"/>
      <w:bookmarkStart w:id="168" w:name="_Toc94088910"/>
      <w:bookmarkStart w:id="169" w:name="_Toc242885389"/>
      <w:r>
        <w:t>8.1. CCA penalties</w:t>
      </w:r>
      <w:bookmarkEnd w:id="167"/>
      <w:bookmarkEnd w:id="168"/>
      <w:bookmarkEnd w:id="169"/>
      <w:r>
        <w:t xml:space="preserve"> </w:t>
      </w:r>
    </w:p>
    <w:p w14:paraId="36BCDBD4" w14:textId="7A13A9DA" w:rsidR="00026E66" w:rsidRDefault="002737EF" w:rsidP="00FF0098">
      <w:pPr>
        <w:tabs>
          <w:tab w:val="left" w:pos="0"/>
        </w:tabs>
      </w:pPr>
      <w:r>
        <w:t xml:space="preserve">This section explains the financial penalties and termination provisions related to the CCA scheme. Further information can be found in the </w:t>
      </w:r>
      <w:hyperlink r:id="rId51" w:history="1">
        <w:r>
          <w:rPr>
            <w:rStyle w:val="Hyperlink"/>
          </w:rPr>
          <w:t>Environment Agency enforcement and sanctions policy</w:t>
        </w:r>
      </w:hyperlink>
      <w:r w:rsidR="00E931A9">
        <w:t>.</w:t>
      </w:r>
    </w:p>
    <w:p w14:paraId="064A32F4" w14:textId="79BCA68D" w:rsidR="00026E66" w:rsidRDefault="002737EF" w:rsidP="00FF0098">
      <w:pPr>
        <w:pStyle w:val="Heading3"/>
        <w:tabs>
          <w:tab w:val="left" w:pos="0"/>
        </w:tabs>
      </w:pPr>
      <w:r>
        <w:t>8.1.1. What are the penalties in the CCA scheme?</w:t>
      </w:r>
      <w:r w:rsidR="00FC355D">
        <w:t xml:space="preserve"> </w:t>
      </w:r>
    </w:p>
    <w:p w14:paraId="6791736F" w14:textId="21686A8D" w:rsidR="00026E66" w:rsidRDefault="002737EF" w:rsidP="00FF0098">
      <w:pPr>
        <w:tabs>
          <w:tab w:val="left" w:pos="0"/>
        </w:tabs>
      </w:pPr>
      <w:r>
        <w:t xml:space="preserve">The system of financial penalties set out in regulation 15 of the Climate Change Agreements (Administration) Regulations 2012 (as amended) is intended to provide a proportionate and flexible regime. The </w:t>
      </w:r>
      <w:hyperlink w:anchor="Penalty" w:history="1">
        <w:r w:rsidR="00746AB4">
          <w:rPr>
            <w:rStyle w:val="Hyperlink"/>
          </w:rPr>
          <w:t>penalty</w:t>
        </w:r>
      </w:hyperlink>
      <w:r>
        <w:t xml:space="preserve"> system aims to promote compliance</w:t>
      </w:r>
      <w:r w:rsidR="00952D31">
        <w:t xml:space="preserve"> and ensure the effective operation of the scheme</w:t>
      </w:r>
      <w:r>
        <w:t xml:space="preserve">. </w:t>
      </w:r>
    </w:p>
    <w:p w14:paraId="542D27FE" w14:textId="1E264054" w:rsidR="00002A93" w:rsidRPr="00E62A5B" w:rsidRDefault="00344581" w:rsidP="00FF0098">
      <w:pPr>
        <w:tabs>
          <w:tab w:val="left" w:pos="0"/>
        </w:tabs>
      </w:pPr>
      <w:r w:rsidRPr="00E62A5B">
        <w:lastRenderedPageBreak/>
        <w:t xml:space="preserve">The </w:t>
      </w:r>
      <w:r w:rsidR="009E6334" w:rsidRPr="00E62A5B">
        <w:t>amended regulations</w:t>
      </w:r>
      <w:r w:rsidR="003F2D34" w:rsidRPr="00E62A5B">
        <w:t xml:space="preserve"> laid</w:t>
      </w:r>
      <w:r w:rsidR="009E6334" w:rsidRPr="00E62A5B">
        <w:t xml:space="preserve"> in 2025 (The Climate Change Agreements (Administration and Eligible Facilities) (Amendment) Regulations 2025</w:t>
      </w:r>
      <w:r w:rsidR="00BC4FC1" w:rsidRPr="00E62A5B">
        <w:t xml:space="preserve">) introduced new mandatory reporting requirements for facilities in the CCA scheme. </w:t>
      </w:r>
      <w:r w:rsidR="00B652A7" w:rsidRPr="00E62A5B">
        <w:t>Failing to comply with these new mandatory reporting requirements</w:t>
      </w:r>
      <w:r w:rsidR="00FD4AA6" w:rsidRPr="00E62A5B">
        <w:t xml:space="preserve"> could lead to penalties being applied</w:t>
      </w:r>
      <w:r w:rsidR="00557084" w:rsidRPr="00E62A5B">
        <w:t>. These mandatory reporting requirements are outlined in</w:t>
      </w:r>
      <w:r w:rsidR="00E62A5B" w:rsidRPr="00E62A5B">
        <w:t xml:space="preserve"> </w:t>
      </w:r>
      <w:hyperlink w:anchor="_10._Final_and" w:history="1">
        <w:r w:rsidR="00E62A5B" w:rsidRPr="009E5209">
          <w:rPr>
            <w:rStyle w:val="Hyperlink"/>
          </w:rPr>
          <w:t>Section 10</w:t>
        </w:r>
      </w:hyperlink>
      <w:r w:rsidR="00E62A5B" w:rsidRPr="00E62A5B">
        <w:t xml:space="preserve"> and </w:t>
      </w:r>
      <w:hyperlink w:anchor="_11._Performance_Reports" w:history="1">
        <w:r w:rsidR="00E62A5B" w:rsidRPr="009E5209">
          <w:rPr>
            <w:rStyle w:val="Hyperlink"/>
          </w:rPr>
          <w:t>11</w:t>
        </w:r>
      </w:hyperlink>
      <w:r w:rsidR="00E62A5B" w:rsidRPr="00E62A5B">
        <w:t xml:space="preserve">. </w:t>
      </w:r>
      <w:r w:rsidRPr="00E62A5B">
        <w:t xml:space="preserve"> </w:t>
      </w:r>
    </w:p>
    <w:p w14:paraId="09BDFA7C" w14:textId="208221E7" w:rsidR="00D64296" w:rsidRDefault="002737EF" w:rsidP="00FF0098">
      <w:pPr>
        <w:tabs>
          <w:tab w:val="left" w:pos="0"/>
        </w:tabs>
      </w:pPr>
      <w:r>
        <w:t xml:space="preserve">There are </w:t>
      </w:r>
      <w:r w:rsidR="009E12F0">
        <w:t>2</w:t>
      </w:r>
      <w:r>
        <w:t xml:space="preserve"> methods for calculating the penalty in regulation 15, applicable to specific infringements. </w:t>
      </w:r>
    </w:p>
    <w:p w14:paraId="593986AA" w14:textId="77777777" w:rsidR="00026E66" w:rsidRDefault="002737EF" w:rsidP="00FF0098">
      <w:pPr>
        <w:pStyle w:val="Heading3"/>
        <w:tabs>
          <w:tab w:val="left" w:pos="0"/>
        </w:tabs>
      </w:pPr>
      <w:bookmarkStart w:id="170" w:name="_8.1.2._Method_1"/>
      <w:bookmarkEnd w:id="170"/>
      <w:r>
        <w:t xml:space="preserve">8.1.2. Method 1 – specific to regulation 15(1)(a), (c) and (d) </w:t>
      </w:r>
    </w:p>
    <w:p w14:paraId="0EF01096" w14:textId="77777777" w:rsidR="00026E66" w:rsidRDefault="002737EF" w:rsidP="00FF0098">
      <w:pPr>
        <w:tabs>
          <w:tab w:val="left" w:pos="0"/>
        </w:tabs>
      </w:pPr>
      <w:r>
        <w:t xml:space="preserve">Method 1 covers the following types of infringement: </w:t>
      </w:r>
    </w:p>
    <w:p w14:paraId="2AB90264" w14:textId="7B7CE128" w:rsidR="00026E66" w:rsidRDefault="002737EF" w:rsidP="0065356B">
      <w:pPr>
        <w:pStyle w:val="ListParagraph"/>
        <w:numPr>
          <w:ilvl w:val="0"/>
          <w:numId w:val="55"/>
        </w:numPr>
        <w:tabs>
          <w:tab w:val="left" w:pos="0"/>
        </w:tabs>
      </w:pPr>
      <w:r>
        <w:t>failing to provide us on or before 1 May following the end of the target period with the information we need to determine whether a</w:t>
      </w:r>
      <w:r w:rsidR="00FF46B8">
        <w:t xml:space="preserve"> </w:t>
      </w:r>
      <w:r w:rsidR="00965E4D">
        <w:t>facility</w:t>
      </w:r>
      <w:r>
        <w:t xml:space="preserve">’s progress towards meeting </w:t>
      </w:r>
      <w:r w:rsidR="00D367BD">
        <w:t>its</w:t>
      </w:r>
      <w:r>
        <w:t xml:space="preserve"> target is satisfactory (regulation 15(1)(a)) </w:t>
      </w:r>
    </w:p>
    <w:p w14:paraId="32E13231" w14:textId="38ED7773" w:rsidR="00C34625" w:rsidRDefault="000C0A52" w:rsidP="003F54BD">
      <w:pPr>
        <w:pStyle w:val="ListParagraph"/>
        <w:numPr>
          <w:ilvl w:val="0"/>
          <w:numId w:val="55"/>
        </w:numPr>
        <w:tabs>
          <w:tab w:val="left" w:pos="0"/>
        </w:tabs>
      </w:pPr>
      <w:r>
        <w:t xml:space="preserve">failing to provide us on or before 1 May 2027 and </w:t>
      </w:r>
      <w:r w:rsidR="00B12410">
        <w:t xml:space="preserve">on or before 1 May in each subsequent year </w:t>
      </w:r>
      <w:r w:rsidR="00A02F87">
        <w:t>with</w:t>
      </w:r>
      <w:r w:rsidR="003F54BD">
        <w:t xml:space="preserve"> </w:t>
      </w:r>
      <w:r w:rsidR="003860D1">
        <w:t xml:space="preserve">information about the actions taken in relation to energy efficiency improvements or emissions reductions </w:t>
      </w:r>
      <w:proofErr w:type="gramStart"/>
      <w:r w:rsidR="003860D1">
        <w:t>in order to</w:t>
      </w:r>
      <w:proofErr w:type="gramEnd"/>
      <w:r w:rsidR="003860D1">
        <w:t xml:space="preserve"> meet the facility’s target</w:t>
      </w:r>
      <w:r w:rsidR="001A745F">
        <w:t xml:space="preserve"> (regulation 15(1)(a))</w:t>
      </w:r>
      <w:r w:rsidR="00281A06">
        <w:t xml:space="preserve"> </w:t>
      </w:r>
    </w:p>
    <w:p w14:paraId="265272AF" w14:textId="47950F37" w:rsidR="00FA503B" w:rsidRDefault="003F54BD" w:rsidP="0065356B">
      <w:pPr>
        <w:pStyle w:val="ListParagraph"/>
        <w:numPr>
          <w:ilvl w:val="0"/>
          <w:numId w:val="55"/>
        </w:numPr>
        <w:tabs>
          <w:tab w:val="left" w:pos="0"/>
        </w:tabs>
      </w:pPr>
      <w:r>
        <w:t xml:space="preserve">failing to provide us on or before 1 May 2027 and on or before 1 May in each subsequent year with </w:t>
      </w:r>
      <w:r w:rsidR="002A6E89">
        <w:t xml:space="preserve">confirmation that </w:t>
      </w:r>
      <w:r w:rsidR="00122347">
        <w:t>at least 70% of reckonable energy supplied</w:t>
      </w:r>
      <w:r w:rsidR="00053374">
        <w:t xml:space="preserve"> to the site</w:t>
      </w:r>
      <w:r w:rsidR="00122347">
        <w:t xml:space="preserve"> </w:t>
      </w:r>
      <w:r w:rsidR="0066563C">
        <w:t>is to be used in the installation, installations or parts of installation</w:t>
      </w:r>
      <w:r w:rsidR="001A745F">
        <w:t xml:space="preserve"> (regulation 15(1)(a))</w:t>
      </w:r>
      <w:r w:rsidR="00281A06" w:rsidRPr="00281A06">
        <w:t xml:space="preserve"> </w:t>
      </w:r>
    </w:p>
    <w:p w14:paraId="2692AA3F" w14:textId="4EEE48F7" w:rsidR="005A1196" w:rsidRDefault="003F54BD" w:rsidP="0065356B">
      <w:pPr>
        <w:pStyle w:val="ListParagraph"/>
        <w:numPr>
          <w:ilvl w:val="0"/>
          <w:numId w:val="55"/>
        </w:numPr>
        <w:tabs>
          <w:tab w:val="left" w:pos="0"/>
        </w:tabs>
      </w:pPr>
      <w:r>
        <w:t xml:space="preserve">failing to provide us on or before 1 May 2027 and on or before 1 May in each subsequent year with </w:t>
      </w:r>
      <w:r w:rsidR="0054205D">
        <w:t xml:space="preserve">information relating to the application of the </w:t>
      </w:r>
      <w:hyperlink w:anchor="UKETS" w:history="1">
        <w:r w:rsidR="0054205D" w:rsidRPr="00AE5839">
          <w:rPr>
            <w:rStyle w:val="Hyperlink"/>
          </w:rPr>
          <w:t>UK ETS</w:t>
        </w:r>
      </w:hyperlink>
      <w:r w:rsidR="0054205D">
        <w:t xml:space="preserve"> to the facility</w:t>
      </w:r>
      <w:r w:rsidR="001A745F">
        <w:t xml:space="preserve"> (regulation 15(1)(a))</w:t>
      </w:r>
      <w:r w:rsidR="00281A06" w:rsidRPr="00281A06">
        <w:t xml:space="preserve"> </w:t>
      </w:r>
    </w:p>
    <w:p w14:paraId="45E68FCB" w14:textId="7CEB8DCA" w:rsidR="00965E4D" w:rsidRDefault="00965E4D" w:rsidP="0065356B">
      <w:pPr>
        <w:pStyle w:val="ListParagraph"/>
        <w:numPr>
          <w:ilvl w:val="0"/>
          <w:numId w:val="55"/>
        </w:numPr>
        <w:tabs>
          <w:tab w:val="left" w:pos="0"/>
        </w:tabs>
      </w:pPr>
      <w:r>
        <w:t xml:space="preserve">failing to provide us </w:t>
      </w:r>
      <w:r w:rsidRPr="00720C31">
        <w:t xml:space="preserve">on or before 1 May 2028, and on or before 1 May 2030, such information as has been requested by the administrator </w:t>
      </w:r>
      <w:proofErr w:type="gramStart"/>
      <w:r w:rsidRPr="00720C31">
        <w:t>in order to</w:t>
      </w:r>
      <w:proofErr w:type="gramEnd"/>
      <w:r w:rsidRPr="00720C31">
        <w:t xml:space="preserve"> determine whether progress towards meeting the facility’s target is</w:t>
      </w:r>
      <w:r>
        <w:t xml:space="preserve"> </w:t>
      </w:r>
      <w:r w:rsidRPr="00720C31">
        <w:t>satisfactory</w:t>
      </w:r>
      <w:r>
        <w:t xml:space="preserve"> (regulation 15(1)(a)</w:t>
      </w:r>
      <w:r w:rsidR="00D5026C">
        <w:t>)</w:t>
      </w:r>
    </w:p>
    <w:p w14:paraId="3D80CB13" w14:textId="5454E742" w:rsidR="00D02540" w:rsidRDefault="00D02540" w:rsidP="00FA503B">
      <w:pPr>
        <w:pStyle w:val="ListParagraph"/>
        <w:numPr>
          <w:ilvl w:val="0"/>
          <w:numId w:val="55"/>
        </w:numPr>
        <w:tabs>
          <w:tab w:val="left" w:pos="0"/>
        </w:tabs>
      </w:pPr>
      <w:r>
        <w:t xml:space="preserve">failing to provide information by the date we specify, when we ask for any other information to determine whether the </w:t>
      </w:r>
      <w:r w:rsidR="00965E4D">
        <w:t xml:space="preserve">facility </w:t>
      </w:r>
      <w:r>
        <w:t xml:space="preserve">has met its target or </w:t>
      </w:r>
      <w:r w:rsidR="00965E4D">
        <w:t xml:space="preserve">the operator </w:t>
      </w:r>
      <w:r>
        <w:t>is complying with its underlying agreement (regulation 15(1</w:t>
      </w:r>
      <w:r w:rsidR="00E36E35">
        <w:t>)</w:t>
      </w:r>
      <w:r>
        <w:t>(a))</w:t>
      </w:r>
    </w:p>
    <w:p w14:paraId="32D67425" w14:textId="17EE411C" w:rsidR="00026E66" w:rsidRDefault="002737EF" w:rsidP="0065356B">
      <w:pPr>
        <w:pStyle w:val="ListParagraph"/>
        <w:numPr>
          <w:ilvl w:val="0"/>
          <w:numId w:val="55"/>
        </w:numPr>
        <w:tabs>
          <w:tab w:val="left" w:pos="0"/>
        </w:tabs>
      </w:pPr>
      <w:r>
        <w:t xml:space="preserve">providing inaccurate information in response to our request for information to determine whether the </w:t>
      </w:r>
      <w:r w:rsidR="005B0BFA">
        <w:t>facility</w:t>
      </w:r>
      <w:r>
        <w:t xml:space="preserve"> has met its target or </w:t>
      </w:r>
      <w:r w:rsidR="00965E4D">
        <w:t xml:space="preserve">the operator </w:t>
      </w:r>
      <w:r>
        <w:t xml:space="preserve">is complying with its underlying agreement (regulation 15(1)(c)) </w:t>
      </w:r>
    </w:p>
    <w:p w14:paraId="4D1C9343" w14:textId="7D673104" w:rsidR="008665A5" w:rsidRDefault="008665A5" w:rsidP="0065356B">
      <w:pPr>
        <w:pStyle w:val="ListParagraph"/>
        <w:numPr>
          <w:ilvl w:val="0"/>
          <w:numId w:val="55"/>
        </w:numPr>
        <w:tabs>
          <w:tab w:val="left" w:pos="0"/>
        </w:tabs>
      </w:pPr>
      <w:r>
        <w:t xml:space="preserve">providing inaccurate information </w:t>
      </w:r>
      <w:r w:rsidR="00E36E35">
        <w:t>relating to the application of the UK ETS to the facility (regulation 15(1)</w:t>
      </w:r>
      <w:r w:rsidR="007961BD">
        <w:t>(c))</w:t>
      </w:r>
    </w:p>
    <w:p w14:paraId="68326D68" w14:textId="77777777" w:rsidR="00026E66" w:rsidRDefault="002737EF" w:rsidP="0065356B">
      <w:pPr>
        <w:pStyle w:val="ListParagraph"/>
        <w:numPr>
          <w:ilvl w:val="0"/>
          <w:numId w:val="55"/>
        </w:numPr>
        <w:tabs>
          <w:tab w:val="left" w:pos="0"/>
        </w:tabs>
      </w:pPr>
      <w:r>
        <w:t xml:space="preserve">failing to tell us of any changes required by the underlying agreement (regulation 15(1)(d)) </w:t>
      </w:r>
    </w:p>
    <w:p w14:paraId="719C10EF" w14:textId="4DDCE6A9" w:rsidR="00026E66" w:rsidRPr="00E955A3" w:rsidRDefault="002737EF" w:rsidP="00E955A3">
      <w:pPr>
        <w:pStyle w:val="Heading4"/>
      </w:pPr>
      <w:r w:rsidRPr="00E955A3">
        <w:lastRenderedPageBreak/>
        <w:t xml:space="preserve">Amount of penalty </w:t>
      </w:r>
      <w:r w:rsidR="004F1C97">
        <w:t>– specific to regulation 15(1)(a), (c) and (d)</w:t>
      </w:r>
    </w:p>
    <w:p w14:paraId="14BF9439" w14:textId="711A9046" w:rsidR="001462F3" w:rsidRDefault="001462F3" w:rsidP="001462F3">
      <w:pPr>
        <w:tabs>
          <w:tab w:val="left" w:pos="0"/>
        </w:tabs>
      </w:pPr>
      <w:r>
        <w:t xml:space="preserve">The </w:t>
      </w:r>
      <w:r w:rsidR="00A86780">
        <w:t xml:space="preserve">statutory maximum </w:t>
      </w:r>
      <w:hyperlink w:anchor="Penalty" w:history="1">
        <w:r w:rsidR="00B169AF">
          <w:rPr>
            <w:rStyle w:val="Hyperlink"/>
          </w:rPr>
          <w:t>penalty</w:t>
        </w:r>
      </w:hyperlink>
      <w:r w:rsidR="00A86780">
        <w:t xml:space="preserve"> </w:t>
      </w:r>
      <w:r>
        <w:t>amount is the greater of:</w:t>
      </w:r>
    </w:p>
    <w:p w14:paraId="14A5FED0" w14:textId="42FF547F" w:rsidR="001462F3" w:rsidRDefault="001462F3" w:rsidP="001462F3">
      <w:pPr>
        <w:pStyle w:val="ListParagraph"/>
        <w:numPr>
          <w:ilvl w:val="0"/>
          <w:numId w:val="56"/>
        </w:numPr>
        <w:tabs>
          <w:tab w:val="left" w:pos="0"/>
        </w:tabs>
      </w:pPr>
      <w:r>
        <w:t>£500</w:t>
      </w:r>
      <w:r w:rsidR="00B169AF">
        <w:t xml:space="preserve"> or</w:t>
      </w:r>
    </w:p>
    <w:p w14:paraId="3F2D3C91" w14:textId="5931FAC4" w:rsidR="001462F3" w:rsidRDefault="001462F3" w:rsidP="001462F3">
      <w:pPr>
        <w:pStyle w:val="ListParagraph"/>
        <w:numPr>
          <w:ilvl w:val="0"/>
          <w:numId w:val="56"/>
        </w:numPr>
        <w:tabs>
          <w:tab w:val="left" w:pos="0"/>
        </w:tabs>
      </w:pPr>
      <w:r>
        <w:t>0.1 x (X-Y)</w:t>
      </w:r>
    </w:p>
    <w:p w14:paraId="164388AC" w14:textId="0A1D0515" w:rsidR="0092119D" w:rsidRDefault="001462F3" w:rsidP="00B169AF">
      <w:pPr>
        <w:tabs>
          <w:tab w:val="left" w:pos="0"/>
        </w:tabs>
      </w:pPr>
      <w:r>
        <w:t xml:space="preserve">Where X represents the amount of levy that would have been paid by the facility during the </w:t>
      </w:r>
      <w:hyperlink w:anchor="baseyear" w:history="1">
        <w:r w:rsidRPr="0010331E">
          <w:rPr>
            <w:rStyle w:val="Hyperlink"/>
          </w:rPr>
          <w:t>base year</w:t>
        </w:r>
      </w:hyperlink>
      <w:r>
        <w:t xml:space="preserve"> for the relevant target period if the</w:t>
      </w:r>
      <w:r w:rsidR="009F047D">
        <w:t xml:space="preserve"> facility did</w:t>
      </w:r>
      <w:r w:rsidR="00451840">
        <w:t xml:space="preserve"> not have a </w:t>
      </w:r>
      <w:r>
        <w:t xml:space="preserve">Climate Change Agreement and Y represents the amount of levy that would have been paid by the facility during the base year for the relevant target period if they </w:t>
      </w:r>
      <w:r w:rsidR="00FC1899">
        <w:t>did have a</w:t>
      </w:r>
      <w:r w:rsidR="000644E5">
        <w:t xml:space="preserve"> </w:t>
      </w:r>
      <w:r>
        <w:t xml:space="preserve">Climate Change Agreement. </w:t>
      </w:r>
    </w:p>
    <w:p w14:paraId="474D47E7" w14:textId="34CC7BC6" w:rsidR="0092119D" w:rsidRDefault="00550F9E" w:rsidP="00FF0098">
      <w:pPr>
        <w:tabs>
          <w:tab w:val="left" w:pos="0"/>
        </w:tabs>
      </w:pPr>
      <w:r>
        <w:t xml:space="preserve">Where a facility is a </w:t>
      </w:r>
      <w:hyperlink w:anchor="greenfield" w:history="1">
        <w:r w:rsidRPr="0075725F">
          <w:rPr>
            <w:rStyle w:val="Hyperlink"/>
          </w:rPr>
          <w:t>greenfield facility</w:t>
        </w:r>
      </w:hyperlink>
      <w:r>
        <w:t xml:space="preserve">, the statutory maximum </w:t>
      </w:r>
      <w:r w:rsidR="00BB15BA">
        <w:t xml:space="preserve">penalty amount is the greater of: </w:t>
      </w:r>
    </w:p>
    <w:p w14:paraId="7C1F4142" w14:textId="00C9E7E6" w:rsidR="00BB15BA" w:rsidRDefault="00BB15BA" w:rsidP="00BB15BA">
      <w:pPr>
        <w:pStyle w:val="ListParagraph"/>
        <w:numPr>
          <w:ilvl w:val="0"/>
          <w:numId w:val="205"/>
        </w:numPr>
        <w:tabs>
          <w:tab w:val="left" w:pos="0"/>
        </w:tabs>
      </w:pPr>
      <w:r>
        <w:t>£500</w:t>
      </w:r>
    </w:p>
    <w:p w14:paraId="5AE24B0C" w14:textId="70032E37" w:rsidR="00BB15BA" w:rsidRDefault="00BB15BA" w:rsidP="00BB15BA">
      <w:pPr>
        <w:pStyle w:val="ListParagraph"/>
        <w:numPr>
          <w:ilvl w:val="0"/>
          <w:numId w:val="205"/>
        </w:numPr>
        <w:tabs>
          <w:tab w:val="left" w:pos="0"/>
        </w:tabs>
      </w:pPr>
      <w:r>
        <w:t>0.1 x (</w:t>
      </w:r>
      <w:r w:rsidR="004E444A">
        <w:t>A-B)</w:t>
      </w:r>
    </w:p>
    <w:p w14:paraId="711ADCA8" w14:textId="7865EA5E" w:rsidR="004E444A" w:rsidRDefault="004E444A" w:rsidP="004E444A">
      <w:pPr>
        <w:pStyle w:val="legclearfix"/>
        <w:numPr>
          <w:ilvl w:val="0"/>
          <w:numId w:val="205"/>
        </w:numPr>
        <w:shd w:val="clear" w:color="auto" w:fill="FFFFFF"/>
        <w:spacing w:before="0" w:beforeAutospacing="0" w:after="120" w:afterAutospacing="0" w:line="360" w:lineRule="atLeast"/>
        <w:rPr>
          <w:rStyle w:val="legamendingtext"/>
          <w:rFonts w:ascii="Arial" w:hAnsi="Arial" w:cs="Arial"/>
          <w:color w:val="1E1E1E"/>
        </w:rPr>
      </w:pPr>
      <w:r>
        <w:rPr>
          <w:rStyle w:val="legamendingtext"/>
          <w:rFonts w:ascii="Arial" w:hAnsi="Arial" w:cs="Arial"/>
          <w:color w:val="1E1E1E"/>
        </w:rPr>
        <w:t xml:space="preserve">Where A represents </w:t>
      </w:r>
      <w:r w:rsidR="00234E18">
        <w:rPr>
          <w:rStyle w:val="legamendingtext"/>
          <w:rFonts w:ascii="Arial" w:hAnsi="Arial" w:cs="Arial"/>
          <w:color w:val="1E1E1E"/>
        </w:rPr>
        <w:t xml:space="preserve">a </w:t>
      </w:r>
      <w:r>
        <w:rPr>
          <w:rStyle w:val="legamendingtext"/>
          <w:rFonts w:ascii="Arial" w:hAnsi="Arial" w:cs="Arial"/>
          <w:color w:val="1E1E1E"/>
        </w:rPr>
        <w:t xml:space="preserve">reasonable estimation of the amount of levy that would be payable on supplies of taxable commodities to the facility during a </w:t>
      </w:r>
      <w:r w:rsidR="00B169AF">
        <w:rPr>
          <w:rStyle w:val="legamendingtext"/>
          <w:rFonts w:ascii="Arial" w:hAnsi="Arial" w:cs="Arial"/>
          <w:color w:val="1E1E1E"/>
        </w:rPr>
        <w:t>12-month</w:t>
      </w:r>
      <w:r>
        <w:rPr>
          <w:rStyle w:val="legamendingtext"/>
          <w:rFonts w:ascii="Arial" w:hAnsi="Arial" w:cs="Arial"/>
          <w:color w:val="1E1E1E"/>
        </w:rPr>
        <w:t xml:space="preserve"> period starting on the date of the underlying agreement if the supplies were not reduced rate supplies and;</w:t>
      </w:r>
    </w:p>
    <w:p w14:paraId="6F4D5BC5" w14:textId="62C48061" w:rsidR="004E444A" w:rsidRPr="00BD74B1" w:rsidRDefault="004E444A" w:rsidP="00BD74B1">
      <w:pPr>
        <w:pStyle w:val="legclearfix"/>
        <w:numPr>
          <w:ilvl w:val="0"/>
          <w:numId w:val="205"/>
        </w:numPr>
        <w:shd w:val="clear" w:color="auto" w:fill="FFFFFF"/>
        <w:spacing w:before="0" w:beforeAutospacing="0" w:after="120" w:afterAutospacing="0" w:line="360" w:lineRule="atLeast"/>
        <w:rPr>
          <w:rFonts w:ascii="Arial" w:hAnsi="Arial" w:cs="Arial"/>
          <w:color w:val="1E1E1E"/>
        </w:rPr>
      </w:pPr>
      <w:r w:rsidRPr="004E444A">
        <w:rPr>
          <w:rStyle w:val="legamendingtext"/>
          <w:rFonts w:ascii="Arial" w:hAnsi="Arial" w:cs="Arial"/>
          <w:color w:val="1E1E1E"/>
        </w:rPr>
        <w:t xml:space="preserve">B represents </w:t>
      </w:r>
      <w:r w:rsidR="00234E18">
        <w:rPr>
          <w:rStyle w:val="legamendingtext"/>
          <w:rFonts w:ascii="Arial" w:hAnsi="Arial" w:cs="Arial"/>
          <w:color w:val="1E1E1E"/>
        </w:rPr>
        <w:t>a</w:t>
      </w:r>
      <w:r w:rsidRPr="004E444A">
        <w:rPr>
          <w:rStyle w:val="legamendingtext"/>
          <w:rFonts w:ascii="Arial" w:hAnsi="Arial" w:cs="Arial"/>
          <w:color w:val="1E1E1E"/>
        </w:rPr>
        <w:t xml:space="preserve"> reasonable estimation of the amount of levy that would be payable on supplies of taxable commodities to the </w:t>
      </w:r>
      <w:r>
        <w:rPr>
          <w:rStyle w:val="legamendingtext"/>
          <w:rFonts w:ascii="Arial" w:hAnsi="Arial" w:cs="Arial"/>
          <w:color w:val="1E1E1E"/>
        </w:rPr>
        <w:t>facility</w:t>
      </w:r>
      <w:r w:rsidRPr="004E444A">
        <w:rPr>
          <w:rStyle w:val="legamendingtext"/>
          <w:rFonts w:ascii="Arial" w:hAnsi="Arial" w:cs="Arial"/>
          <w:color w:val="1E1E1E"/>
        </w:rPr>
        <w:t xml:space="preserve"> during a </w:t>
      </w:r>
      <w:r w:rsidR="00B169AF" w:rsidRPr="004E444A">
        <w:rPr>
          <w:rStyle w:val="legamendingtext"/>
          <w:rFonts w:ascii="Arial" w:hAnsi="Arial" w:cs="Arial"/>
          <w:color w:val="1E1E1E"/>
        </w:rPr>
        <w:t>12-month</w:t>
      </w:r>
      <w:r w:rsidRPr="004E444A">
        <w:rPr>
          <w:rStyle w:val="legamendingtext"/>
          <w:rFonts w:ascii="Arial" w:hAnsi="Arial" w:cs="Arial"/>
          <w:color w:val="1E1E1E"/>
        </w:rPr>
        <w:t xml:space="preserve"> period starting on the date of the underlying agreement if the supplies were reduced rate supplies</w:t>
      </w:r>
      <w:r w:rsidR="00952095">
        <w:rPr>
          <w:rStyle w:val="legamendingtext"/>
          <w:rFonts w:ascii="Arial" w:hAnsi="Arial" w:cs="Arial"/>
          <w:color w:val="1E1E1E"/>
        </w:rPr>
        <w:t>.</w:t>
      </w:r>
    </w:p>
    <w:p w14:paraId="41931D5B" w14:textId="6B8E5C5E" w:rsidR="00026E66" w:rsidRDefault="002737EF" w:rsidP="00FF0098">
      <w:pPr>
        <w:tabs>
          <w:tab w:val="left" w:pos="0"/>
        </w:tabs>
      </w:pPr>
      <w:r>
        <w:t xml:space="preserve">As we don’t have access to data on the exact amount of </w:t>
      </w:r>
      <w:hyperlink w:anchor="CCL" w:history="1">
        <w:r w:rsidRPr="002B56E7">
          <w:rPr>
            <w:rStyle w:val="Hyperlink"/>
          </w:rPr>
          <w:t>CCL</w:t>
        </w:r>
      </w:hyperlink>
      <w:r>
        <w:t xml:space="preserve"> discount received by an operator, we will estimate the penalty value using the </w:t>
      </w:r>
      <w:r w:rsidR="000644E5">
        <w:t>facility</w:t>
      </w:r>
      <w:r>
        <w:t xml:space="preserve"> </w:t>
      </w:r>
      <w:hyperlink w:anchor="baseyear" w:history="1">
        <w:r>
          <w:rPr>
            <w:rStyle w:val="Hyperlink"/>
            <w:szCs w:val="24"/>
          </w:rPr>
          <w:t>base year</w:t>
        </w:r>
      </w:hyperlink>
      <w:r>
        <w:rPr>
          <w:rStyle w:val="Hyperlink"/>
          <w:szCs w:val="24"/>
          <w:u w:val="none"/>
        </w:rPr>
        <w:t xml:space="preserve"> </w:t>
      </w:r>
      <w:r>
        <w:rPr>
          <w:rStyle w:val="Hyperlink"/>
          <w:color w:val="auto"/>
          <w:szCs w:val="24"/>
          <w:u w:val="none"/>
        </w:rPr>
        <w:t xml:space="preserve">data </w:t>
      </w:r>
      <w:r>
        <w:t xml:space="preserve">and the relevant CCL rates and discount values for each fuel type. (We will include any fuels consumed in </w:t>
      </w:r>
      <w:hyperlink w:anchor="Schedule2" w:history="1">
        <w:r w:rsidR="000644E5" w:rsidRPr="00B169AF">
          <w:rPr>
            <w:rStyle w:val="Hyperlink"/>
          </w:rPr>
          <w:t>Schedule 2</w:t>
        </w:r>
        <w:r w:rsidRPr="00B169AF">
          <w:rPr>
            <w:rStyle w:val="Hyperlink"/>
          </w:rPr>
          <w:t xml:space="preserve"> activities</w:t>
        </w:r>
      </w:hyperlink>
      <w:r>
        <w:t>.) CCL rates are available on the</w:t>
      </w:r>
      <w:r w:rsidR="00FF7E86">
        <w:t xml:space="preserve"> gov.uk webpage</w:t>
      </w:r>
      <w:r>
        <w:t>:</w:t>
      </w:r>
      <w:hyperlink r:id="rId52" w:history="1">
        <w:r>
          <w:t xml:space="preserve"> </w:t>
        </w:r>
      </w:hyperlink>
      <w:hyperlink r:id="rId53" w:history="1">
        <w:r>
          <w:rPr>
            <w:rStyle w:val="Hyperlink"/>
          </w:rPr>
          <w:t>Climate Change Levy rates</w:t>
        </w:r>
      </w:hyperlink>
      <w:hyperlink r:id="rId54" w:history="1">
        <w:r>
          <w:t>.</w:t>
        </w:r>
      </w:hyperlink>
    </w:p>
    <w:p w14:paraId="1BD1C4CA" w14:textId="7200D0AB" w:rsidR="007B64F4" w:rsidRDefault="00977033" w:rsidP="00FF0098">
      <w:pPr>
        <w:tabs>
          <w:tab w:val="left" w:pos="0"/>
        </w:tabs>
      </w:pPr>
      <w:r>
        <w:t xml:space="preserve">We may apply our discretion to all CCA penalties as outlined in Section F of </w:t>
      </w:r>
      <w:hyperlink r:id="rId55">
        <w:r w:rsidRPr="1874FB38">
          <w:rPr>
            <w:rStyle w:val="Hyperlink"/>
          </w:rPr>
          <w:t>Annex 2: Climate change schemes – the Environment Agency's approach to applying civil penalties</w:t>
        </w:r>
      </w:hyperlink>
      <w:r>
        <w:t>.</w:t>
      </w:r>
    </w:p>
    <w:p w14:paraId="1E4F1829" w14:textId="4A3DEA17" w:rsidR="00026E66" w:rsidRDefault="002737EF" w:rsidP="00E955A3">
      <w:pPr>
        <w:pStyle w:val="Heading3"/>
        <w:tabs>
          <w:tab w:val="left" w:pos="0"/>
        </w:tabs>
      </w:pPr>
      <w:r>
        <w:t xml:space="preserve">8.1.3. Method 2 – specific to regulation 15(1)(b) </w:t>
      </w:r>
    </w:p>
    <w:p w14:paraId="51DD3125" w14:textId="20335B90" w:rsidR="00A520E3" w:rsidRDefault="002737EF" w:rsidP="00E955A3">
      <w:pPr>
        <w:tabs>
          <w:tab w:val="left" w:pos="0"/>
        </w:tabs>
        <w:spacing w:after="0"/>
        <w:ind w:right="182"/>
        <w:rPr>
          <w:color w:val="auto"/>
        </w:rPr>
      </w:pPr>
      <w:r>
        <w:rPr>
          <w:color w:val="auto"/>
        </w:rPr>
        <w:t>This method applies to</w:t>
      </w:r>
      <w:r w:rsidR="00E50549">
        <w:rPr>
          <w:color w:val="auto"/>
        </w:rPr>
        <w:t xml:space="preserve"> operators of</w:t>
      </w:r>
      <w:r>
        <w:rPr>
          <w:color w:val="auto"/>
        </w:rPr>
        <w:t xml:space="preserve"> </w:t>
      </w:r>
      <w:r w:rsidR="00E50549">
        <w:rPr>
          <w:color w:val="auto"/>
        </w:rPr>
        <w:t>facilities that</w:t>
      </w:r>
      <w:r>
        <w:rPr>
          <w:color w:val="auto"/>
        </w:rPr>
        <w:t xml:space="preserve"> provide inaccurate</w:t>
      </w:r>
      <w:r w:rsidR="00A520E3">
        <w:rPr>
          <w:color w:val="auto"/>
        </w:rPr>
        <w:t>:</w:t>
      </w:r>
    </w:p>
    <w:p w14:paraId="57620C56" w14:textId="7EE59DAB" w:rsidR="00026E66" w:rsidRPr="00A520E3" w:rsidRDefault="002737EF" w:rsidP="00E86A98">
      <w:pPr>
        <w:pStyle w:val="ListParagraph"/>
        <w:numPr>
          <w:ilvl w:val="0"/>
          <w:numId w:val="157"/>
        </w:numPr>
        <w:tabs>
          <w:tab w:val="left" w:pos="0"/>
        </w:tabs>
        <w:spacing w:after="0"/>
        <w:ind w:right="182"/>
      </w:pPr>
      <w:r w:rsidRPr="00A520E3">
        <w:t>baseline data or target period data</w:t>
      </w:r>
      <w:r w:rsidRPr="00A520E3">
        <w:rPr>
          <w:szCs w:val="24"/>
        </w:rPr>
        <w:t xml:space="preserve"> (that is, the information we require on or before 1 May </w:t>
      </w:r>
      <w:r w:rsidR="001A3ADE">
        <w:rPr>
          <w:szCs w:val="24"/>
        </w:rPr>
        <w:t>that is submitted in final or interim target period reports</w:t>
      </w:r>
      <w:r w:rsidRPr="00A520E3">
        <w:rPr>
          <w:szCs w:val="24"/>
        </w:rPr>
        <w:t xml:space="preserve">). </w:t>
      </w:r>
    </w:p>
    <w:p w14:paraId="574B5886" w14:textId="02055821" w:rsidR="00A520E3" w:rsidRPr="00177915" w:rsidRDefault="00177915" w:rsidP="00E86A98">
      <w:pPr>
        <w:pStyle w:val="ListParagraph"/>
        <w:numPr>
          <w:ilvl w:val="0"/>
          <w:numId w:val="157"/>
        </w:numPr>
        <w:tabs>
          <w:tab w:val="left" w:pos="0"/>
        </w:tabs>
        <w:spacing w:after="0"/>
        <w:ind w:right="182"/>
      </w:pPr>
      <w:r>
        <w:rPr>
          <w:szCs w:val="24"/>
        </w:rPr>
        <w:t xml:space="preserve">Information about the actions taken in relation to energy efficiency improvements or emissions reductions </w:t>
      </w:r>
      <w:proofErr w:type="gramStart"/>
      <w:r>
        <w:rPr>
          <w:szCs w:val="24"/>
        </w:rPr>
        <w:t>in order to</w:t>
      </w:r>
      <w:proofErr w:type="gramEnd"/>
      <w:r>
        <w:rPr>
          <w:szCs w:val="24"/>
        </w:rPr>
        <w:t xml:space="preserve"> meet the facility’s target</w:t>
      </w:r>
    </w:p>
    <w:p w14:paraId="67801F60" w14:textId="52FA94D6" w:rsidR="00026E66" w:rsidRPr="00E931A9" w:rsidRDefault="002737EF" w:rsidP="00FF0098">
      <w:pPr>
        <w:pStyle w:val="Heading4"/>
        <w:tabs>
          <w:tab w:val="left" w:pos="0"/>
        </w:tabs>
      </w:pPr>
      <w:r w:rsidRPr="00E931A9">
        <w:lastRenderedPageBreak/>
        <w:t xml:space="preserve">Amount of penalty </w:t>
      </w:r>
      <w:r w:rsidR="004F1C97" w:rsidRPr="004F1C97">
        <w:t>– specific to regulation 15(1)(b)</w:t>
      </w:r>
    </w:p>
    <w:p w14:paraId="0A685732" w14:textId="5748B0B0" w:rsidR="002D5AAF" w:rsidRDefault="002737EF" w:rsidP="00FF0098">
      <w:pPr>
        <w:tabs>
          <w:tab w:val="left" w:pos="0"/>
        </w:tabs>
        <w:ind w:right="182"/>
        <w:rPr>
          <w:color w:val="auto"/>
          <w:szCs w:val="24"/>
        </w:rPr>
      </w:pPr>
      <w:r>
        <w:rPr>
          <w:color w:val="auto"/>
        </w:rPr>
        <w:t xml:space="preserve">The </w:t>
      </w:r>
      <w:r w:rsidR="00977033">
        <w:rPr>
          <w:color w:val="auto"/>
        </w:rPr>
        <w:t>statutory maximum</w:t>
      </w:r>
      <w:r>
        <w:rPr>
          <w:color w:val="auto"/>
        </w:rPr>
        <w:t xml:space="preserve"> penalty is </w:t>
      </w:r>
      <w:r>
        <w:rPr>
          <w:color w:val="auto"/>
          <w:szCs w:val="24"/>
        </w:rPr>
        <w:t>based on</w:t>
      </w:r>
      <w:r>
        <w:rPr>
          <w:color w:val="auto"/>
        </w:rPr>
        <w:t xml:space="preserve"> the </w:t>
      </w:r>
      <w:r>
        <w:rPr>
          <w:color w:val="auto"/>
          <w:szCs w:val="24"/>
        </w:rPr>
        <w:t xml:space="preserve">extent of </w:t>
      </w:r>
      <w:r>
        <w:rPr>
          <w:color w:val="auto"/>
        </w:rPr>
        <w:t xml:space="preserve">inaccuracy in the data provided </w:t>
      </w:r>
      <w:r>
        <w:rPr>
          <w:color w:val="auto"/>
          <w:szCs w:val="24"/>
        </w:rPr>
        <w:t xml:space="preserve">by </w:t>
      </w:r>
      <w:r w:rsidR="00E50549">
        <w:rPr>
          <w:color w:val="auto"/>
          <w:szCs w:val="24"/>
        </w:rPr>
        <w:t>an operator of a facility</w:t>
      </w:r>
      <w:r w:rsidR="00362F59">
        <w:rPr>
          <w:color w:val="auto"/>
          <w:szCs w:val="24"/>
        </w:rPr>
        <w:t>.</w:t>
      </w:r>
      <w:r>
        <w:rPr>
          <w:color w:val="auto"/>
          <w:szCs w:val="24"/>
        </w:rPr>
        <w:t xml:space="preserve"> In other words, it will be applied to </w:t>
      </w:r>
      <w:r w:rsidR="00E00E43">
        <w:rPr>
          <w:color w:val="auto"/>
          <w:szCs w:val="24"/>
        </w:rPr>
        <w:t>facilities</w:t>
      </w:r>
      <w:r>
        <w:rPr>
          <w:color w:val="auto"/>
          <w:szCs w:val="24"/>
        </w:rPr>
        <w:t xml:space="preserve"> that have misreported data. </w:t>
      </w:r>
    </w:p>
    <w:p w14:paraId="3CA07F1F" w14:textId="54E99701" w:rsidR="007D6707" w:rsidRDefault="007D6707" w:rsidP="007D6707">
      <w:pPr>
        <w:tabs>
          <w:tab w:val="left" w:pos="0"/>
        </w:tabs>
        <w:ind w:right="182"/>
        <w:rPr>
          <w:color w:val="auto"/>
        </w:rPr>
      </w:pPr>
      <w:r>
        <w:rPr>
          <w:color w:val="auto"/>
          <w:szCs w:val="24"/>
        </w:rPr>
        <w:t xml:space="preserve">The </w:t>
      </w:r>
      <w:r w:rsidR="00A86780">
        <w:rPr>
          <w:color w:val="auto"/>
          <w:szCs w:val="24"/>
        </w:rPr>
        <w:t>statutory maximum</w:t>
      </w:r>
      <w:r>
        <w:rPr>
          <w:color w:val="auto"/>
          <w:szCs w:val="24"/>
        </w:rPr>
        <w:t xml:space="preserve"> amount of the penalty will be </w:t>
      </w:r>
      <w:r>
        <w:rPr>
          <w:color w:val="auto"/>
        </w:rPr>
        <w:t>the greater of:</w:t>
      </w:r>
    </w:p>
    <w:p w14:paraId="7439907D" w14:textId="604C09A9" w:rsidR="007D6707" w:rsidRPr="006E0EE5" w:rsidRDefault="007D6707" w:rsidP="007D6707">
      <w:pPr>
        <w:pStyle w:val="ListParagraph"/>
        <w:numPr>
          <w:ilvl w:val="0"/>
          <w:numId w:val="142"/>
        </w:numPr>
        <w:tabs>
          <w:tab w:val="left" w:pos="0"/>
        </w:tabs>
        <w:ind w:right="182"/>
      </w:pPr>
      <w:r>
        <w:t>£500</w:t>
      </w:r>
    </w:p>
    <w:p w14:paraId="5F690F82" w14:textId="2290B1E2" w:rsidR="007D6707" w:rsidRPr="00760534" w:rsidRDefault="007D6707" w:rsidP="007D6707">
      <w:pPr>
        <w:pStyle w:val="ListParagraph"/>
        <w:numPr>
          <w:ilvl w:val="0"/>
          <w:numId w:val="142"/>
        </w:numPr>
        <w:tabs>
          <w:tab w:val="left" w:pos="0"/>
        </w:tabs>
        <w:ind w:right="182"/>
      </w:pPr>
      <w:r>
        <w:t xml:space="preserve">£12 per tonne of </w:t>
      </w:r>
      <w:r w:rsidRPr="006E0EE5">
        <w:rPr>
          <w:szCs w:val="24"/>
        </w:rPr>
        <w:t>carbon dioxide equivalent</w:t>
      </w:r>
      <w:r>
        <w:t xml:space="preserve"> of the difference between the actual emissions </w:t>
      </w:r>
      <w:r w:rsidRPr="006E0EE5">
        <w:rPr>
          <w:szCs w:val="24"/>
        </w:rPr>
        <w:t xml:space="preserve">and </w:t>
      </w:r>
      <w:r>
        <w:t>the reported emissions for target period</w:t>
      </w:r>
      <w:r>
        <w:rPr>
          <w:szCs w:val="24"/>
        </w:rPr>
        <w:t xml:space="preserve"> 1, 2, 3 or 4</w:t>
      </w:r>
      <w:r w:rsidRPr="006E0EE5">
        <w:rPr>
          <w:szCs w:val="24"/>
        </w:rPr>
        <w:t xml:space="preserve">. </w:t>
      </w:r>
    </w:p>
    <w:p w14:paraId="5C84D10E" w14:textId="77777777" w:rsidR="007D6707" w:rsidRPr="00D84EAE" w:rsidRDefault="007D6707" w:rsidP="007D6707">
      <w:pPr>
        <w:pStyle w:val="ListParagraph"/>
        <w:numPr>
          <w:ilvl w:val="0"/>
          <w:numId w:val="142"/>
        </w:numPr>
        <w:tabs>
          <w:tab w:val="left" w:pos="0"/>
        </w:tabs>
        <w:ind w:right="182"/>
      </w:pPr>
      <w:r>
        <w:rPr>
          <w:szCs w:val="24"/>
        </w:rPr>
        <w:t>£18 per tonne of carbon dioxide equivalent of the difference between the actual emissions and the reported emissions for target period 5.</w:t>
      </w:r>
    </w:p>
    <w:p w14:paraId="6E54F653" w14:textId="77777777" w:rsidR="007D6707" w:rsidRPr="00F70DEB" w:rsidRDefault="007D6707" w:rsidP="007D6707">
      <w:pPr>
        <w:pStyle w:val="ListParagraph"/>
        <w:numPr>
          <w:ilvl w:val="0"/>
          <w:numId w:val="142"/>
        </w:numPr>
        <w:tabs>
          <w:tab w:val="left" w:pos="0"/>
        </w:tabs>
        <w:ind w:right="182"/>
      </w:pPr>
      <w:r>
        <w:rPr>
          <w:szCs w:val="24"/>
        </w:rPr>
        <w:t>£25 per tonne of carbon dioxide equivalent between the actual emissions and the reported emissions for target period 6.</w:t>
      </w:r>
    </w:p>
    <w:p w14:paraId="4675FD7B" w14:textId="59E1DE26" w:rsidR="00F70DEB" w:rsidRPr="00E800F4" w:rsidRDefault="00F70DEB" w:rsidP="007D6707">
      <w:pPr>
        <w:pStyle w:val="ListParagraph"/>
        <w:numPr>
          <w:ilvl w:val="0"/>
          <w:numId w:val="142"/>
        </w:numPr>
        <w:tabs>
          <w:tab w:val="left" w:pos="0"/>
        </w:tabs>
        <w:ind w:right="182"/>
      </w:pPr>
      <w:r>
        <w:rPr>
          <w:szCs w:val="24"/>
        </w:rPr>
        <w:t>£37 per tonne of carbon dioxide equivalent between the actual emissions and the reported emissions for target period 7</w:t>
      </w:r>
    </w:p>
    <w:p w14:paraId="71D44378" w14:textId="77777777" w:rsidR="00547197" w:rsidRPr="00547197" w:rsidRDefault="00E800F4" w:rsidP="007D6707">
      <w:pPr>
        <w:pStyle w:val="ListParagraph"/>
        <w:numPr>
          <w:ilvl w:val="0"/>
          <w:numId w:val="142"/>
        </w:numPr>
        <w:tabs>
          <w:tab w:val="left" w:pos="0"/>
        </w:tabs>
        <w:ind w:right="182"/>
      </w:pPr>
      <w:r>
        <w:rPr>
          <w:szCs w:val="24"/>
        </w:rPr>
        <w:t>£38 per tonne of carbon dioxide equivalent between the actual emissions and the reported emissions for target period 8</w:t>
      </w:r>
    </w:p>
    <w:p w14:paraId="303E78AE" w14:textId="537646C7" w:rsidR="007D6707" w:rsidRDefault="007D6707" w:rsidP="00547197">
      <w:pPr>
        <w:pStyle w:val="ListParagraph"/>
        <w:numPr>
          <w:ilvl w:val="0"/>
          <w:numId w:val="142"/>
        </w:numPr>
        <w:tabs>
          <w:tab w:val="left" w:pos="0"/>
        </w:tabs>
        <w:ind w:right="182"/>
      </w:pPr>
      <w:r w:rsidRPr="00547197">
        <w:rPr>
          <w:szCs w:val="24"/>
        </w:rPr>
        <w:t>An amount in £ per tonne</w:t>
      </w:r>
      <w:r w:rsidR="00547197">
        <w:rPr>
          <w:szCs w:val="24"/>
        </w:rPr>
        <w:t xml:space="preserve"> (as </w:t>
      </w:r>
      <w:r w:rsidR="000E590D">
        <w:rPr>
          <w:szCs w:val="24"/>
        </w:rPr>
        <w:t>calculated by</w:t>
      </w:r>
      <w:r w:rsidR="00547197">
        <w:rPr>
          <w:szCs w:val="24"/>
        </w:rPr>
        <w:t xml:space="preserve"> in the formula</w:t>
      </w:r>
      <w:r w:rsidR="000E590D">
        <w:rPr>
          <w:szCs w:val="24"/>
        </w:rPr>
        <w:t xml:space="preserve"> referenced</w:t>
      </w:r>
      <w:r w:rsidR="00547197">
        <w:rPr>
          <w:szCs w:val="24"/>
        </w:rPr>
        <w:t xml:space="preserve"> in </w:t>
      </w:r>
      <w:hyperlink w:anchor="_10.5.2._Buy-out" w:history="1">
        <w:r w:rsidR="00573CB7" w:rsidRPr="000E590D">
          <w:rPr>
            <w:rStyle w:val="Hyperlink"/>
            <w:szCs w:val="24"/>
          </w:rPr>
          <w:t>section 10</w:t>
        </w:r>
        <w:r w:rsidR="000E590D" w:rsidRPr="000E590D">
          <w:rPr>
            <w:rStyle w:val="Hyperlink"/>
          </w:rPr>
          <w:t>.5.2</w:t>
        </w:r>
      </w:hyperlink>
      <w:r w:rsidR="00573CB7">
        <w:rPr>
          <w:szCs w:val="24"/>
        </w:rPr>
        <w:t>)</w:t>
      </w:r>
      <w:r w:rsidRPr="00547197">
        <w:rPr>
          <w:szCs w:val="24"/>
        </w:rPr>
        <w:t xml:space="preserve"> of carbon dioxide equivalent of the difference between the actual emissions and the reported emissions for target period 9 </w:t>
      </w:r>
    </w:p>
    <w:p w14:paraId="2C0962D5" w14:textId="1D99C53C" w:rsidR="00977033" w:rsidRDefault="00977033" w:rsidP="00FF0098">
      <w:pPr>
        <w:tabs>
          <w:tab w:val="left" w:pos="0"/>
        </w:tabs>
        <w:spacing w:after="0"/>
        <w:ind w:right="182"/>
        <w:rPr>
          <w:color w:val="auto"/>
          <w:szCs w:val="24"/>
        </w:rPr>
      </w:pPr>
      <w:r w:rsidRPr="00977033">
        <w:rPr>
          <w:color w:val="auto"/>
          <w:szCs w:val="24"/>
        </w:rPr>
        <w:t xml:space="preserve">We may apply our discretion to all CCA penalties as outlined in Section F of </w:t>
      </w:r>
      <w:hyperlink r:id="rId56" w:history="1">
        <w:r w:rsidR="000E590D">
          <w:rPr>
            <w:rStyle w:val="Hyperlink"/>
          </w:rPr>
          <w:t>Annex 2: Climate change schemes – the Environment Agency's approach to applying civil penalties</w:t>
        </w:r>
      </w:hyperlink>
    </w:p>
    <w:p w14:paraId="0C3E30A1" w14:textId="249BD782" w:rsidR="00567F5D" w:rsidRDefault="002737EF" w:rsidP="00FF0098">
      <w:pPr>
        <w:tabs>
          <w:tab w:val="left" w:pos="0"/>
        </w:tabs>
        <w:spacing w:after="0"/>
        <w:ind w:right="182"/>
        <w:rPr>
          <w:color w:val="auto"/>
          <w:szCs w:val="24"/>
        </w:rPr>
      </w:pPr>
      <w:r>
        <w:rPr>
          <w:color w:val="auto"/>
          <w:szCs w:val="24"/>
        </w:rPr>
        <w:t>Payment of this</w:t>
      </w:r>
      <w:r>
        <w:rPr>
          <w:color w:val="auto"/>
        </w:rPr>
        <w:t xml:space="preserve"> penalty </w:t>
      </w:r>
      <w:r>
        <w:rPr>
          <w:color w:val="auto"/>
          <w:szCs w:val="24"/>
        </w:rPr>
        <w:t xml:space="preserve">will be </w:t>
      </w:r>
      <w:r>
        <w:rPr>
          <w:color w:val="auto"/>
        </w:rPr>
        <w:t xml:space="preserve">in addition to any </w:t>
      </w:r>
      <w:r>
        <w:rPr>
          <w:color w:val="auto"/>
          <w:szCs w:val="24"/>
        </w:rPr>
        <w:t xml:space="preserve">need to use the </w:t>
      </w:r>
      <w:hyperlink w:anchor="Buyout" w:history="1">
        <w:r w:rsidRPr="00FE39EA">
          <w:rPr>
            <w:rStyle w:val="Hyperlink"/>
          </w:rPr>
          <w:t>buy-out</w:t>
        </w:r>
      </w:hyperlink>
      <w:r>
        <w:rPr>
          <w:color w:val="auto"/>
        </w:rPr>
        <w:t xml:space="preserve"> </w:t>
      </w:r>
      <w:r>
        <w:rPr>
          <w:color w:val="auto"/>
          <w:szCs w:val="24"/>
        </w:rPr>
        <w:t>mechanism</w:t>
      </w:r>
      <w:r>
        <w:rPr>
          <w:color w:val="auto"/>
        </w:rPr>
        <w:t xml:space="preserve"> to meet </w:t>
      </w:r>
      <w:r>
        <w:rPr>
          <w:color w:val="auto"/>
          <w:szCs w:val="24"/>
        </w:rPr>
        <w:t>a</w:t>
      </w:r>
      <w:r>
        <w:rPr>
          <w:color w:val="auto"/>
        </w:rPr>
        <w:t xml:space="preserve"> target </w:t>
      </w:r>
      <w:r>
        <w:rPr>
          <w:color w:val="auto"/>
          <w:szCs w:val="24"/>
        </w:rPr>
        <w:t xml:space="preserve">if, </w:t>
      </w:r>
      <w:proofErr w:type="gramStart"/>
      <w:r>
        <w:rPr>
          <w:color w:val="auto"/>
          <w:szCs w:val="24"/>
        </w:rPr>
        <w:t>as a result</w:t>
      </w:r>
      <w:r>
        <w:rPr>
          <w:color w:val="auto"/>
        </w:rPr>
        <w:t xml:space="preserve"> of</w:t>
      </w:r>
      <w:proofErr w:type="gramEnd"/>
      <w:r>
        <w:rPr>
          <w:color w:val="auto"/>
        </w:rPr>
        <w:t xml:space="preserve"> </w:t>
      </w:r>
      <w:r>
        <w:rPr>
          <w:color w:val="auto"/>
          <w:szCs w:val="24"/>
        </w:rPr>
        <w:t xml:space="preserve">correcting the error, the </w:t>
      </w:r>
      <w:r w:rsidR="003B4473">
        <w:rPr>
          <w:color w:val="auto"/>
          <w:szCs w:val="24"/>
        </w:rPr>
        <w:t>facility</w:t>
      </w:r>
      <w:r>
        <w:rPr>
          <w:color w:val="auto"/>
          <w:szCs w:val="24"/>
        </w:rPr>
        <w:t xml:space="preserve"> is found not to have met its target for the previous target period. This is needed to maintain an incentive to </w:t>
      </w:r>
      <w:r>
        <w:rPr>
          <w:color w:val="auto"/>
        </w:rPr>
        <w:t xml:space="preserve">report </w:t>
      </w:r>
      <w:r>
        <w:rPr>
          <w:color w:val="auto"/>
          <w:szCs w:val="24"/>
        </w:rPr>
        <w:t>correctly at reconciliation.</w:t>
      </w:r>
    </w:p>
    <w:p w14:paraId="2C9F720B" w14:textId="03B8E43D" w:rsidR="00026E66" w:rsidRDefault="0038788E" w:rsidP="00FF0098">
      <w:pPr>
        <w:tabs>
          <w:tab w:val="left" w:pos="0"/>
        </w:tabs>
        <w:spacing w:after="0"/>
        <w:ind w:right="182"/>
        <w:rPr>
          <w:color w:val="auto"/>
          <w:szCs w:val="24"/>
        </w:rPr>
      </w:pPr>
      <w:r>
        <w:rPr>
          <w:color w:val="auto"/>
          <w:szCs w:val="24"/>
        </w:rPr>
        <w:t>Where a correction o</w:t>
      </w:r>
      <w:r w:rsidR="00CC45A6">
        <w:rPr>
          <w:color w:val="auto"/>
          <w:szCs w:val="24"/>
        </w:rPr>
        <w:t xml:space="preserve">f the inaccurate data still results in an under-performance, any </w:t>
      </w:r>
      <w:hyperlink w:anchor="Surplus" w:history="1">
        <w:r w:rsidR="000E590D">
          <w:rPr>
            <w:rStyle w:val="Hyperlink"/>
            <w:szCs w:val="24"/>
          </w:rPr>
          <w:t>surplus</w:t>
        </w:r>
      </w:hyperlink>
      <w:r w:rsidR="00B73D8E">
        <w:rPr>
          <w:color w:val="auto"/>
          <w:szCs w:val="24"/>
        </w:rPr>
        <w:t xml:space="preserve"> accumulated from previous target periods</w:t>
      </w:r>
      <w:r w:rsidR="00CC45A6">
        <w:rPr>
          <w:color w:val="auto"/>
          <w:szCs w:val="24"/>
        </w:rPr>
        <w:t xml:space="preserve"> that </w:t>
      </w:r>
      <w:r w:rsidR="00B73D8E">
        <w:rPr>
          <w:color w:val="auto"/>
          <w:szCs w:val="24"/>
        </w:rPr>
        <w:t>was originally used to offset</w:t>
      </w:r>
      <w:r w:rsidR="00567F5D">
        <w:rPr>
          <w:color w:val="auto"/>
          <w:szCs w:val="24"/>
        </w:rPr>
        <w:t xml:space="preserve"> the underperformance </w:t>
      </w:r>
      <w:r w:rsidR="001C6525">
        <w:rPr>
          <w:color w:val="auto"/>
          <w:szCs w:val="24"/>
        </w:rPr>
        <w:t>cannot be used</w:t>
      </w:r>
      <w:r w:rsidR="006A3595">
        <w:rPr>
          <w:color w:val="auto"/>
          <w:szCs w:val="24"/>
        </w:rPr>
        <w:t>. I</w:t>
      </w:r>
      <w:r w:rsidR="001C6525">
        <w:rPr>
          <w:color w:val="auto"/>
          <w:szCs w:val="24"/>
        </w:rPr>
        <w:t xml:space="preserve">f </w:t>
      </w:r>
      <w:r w:rsidR="00567F5D">
        <w:rPr>
          <w:color w:val="auto"/>
          <w:szCs w:val="24"/>
        </w:rPr>
        <w:t xml:space="preserve">a </w:t>
      </w:r>
      <w:r w:rsidR="001C6525">
        <w:rPr>
          <w:color w:val="auto"/>
          <w:szCs w:val="24"/>
        </w:rPr>
        <w:t xml:space="preserve">buy-out fee is due </w:t>
      </w:r>
      <w:r w:rsidR="00567F5D">
        <w:rPr>
          <w:color w:val="auto"/>
          <w:szCs w:val="24"/>
        </w:rPr>
        <w:t xml:space="preserve">a </w:t>
      </w:r>
      <w:hyperlink w:anchor="Secondarybuyout" w:history="1">
        <w:r w:rsidR="001C6525" w:rsidRPr="005E46F7">
          <w:rPr>
            <w:rStyle w:val="Hyperlink"/>
            <w:szCs w:val="24"/>
          </w:rPr>
          <w:t>secondary</w:t>
        </w:r>
        <w:r w:rsidR="00567F5D" w:rsidRPr="005E46F7">
          <w:rPr>
            <w:rStyle w:val="Hyperlink"/>
            <w:szCs w:val="24"/>
          </w:rPr>
          <w:t xml:space="preserve"> buy-out</w:t>
        </w:r>
      </w:hyperlink>
      <w:r w:rsidR="00567F5D">
        <w:rPr>
          <w:color w:val="auto"/>
          <w:szCs w:val="24"/>
        </w:rPr>
        <w:t xml:space="preserve"> fee notice for the full amount of under-performance will be issued. Further information can be found in </w:t>
      </w:r>
      <w:hyperlink w:anchor="_10.8.3._Re-assessing_performance" w:history="1">
        <w:r w:rsidR="00567F5D" w:rsidRPr="008553C5">
          <w:rPr>
            <w:rStyle w:val="Hyperlink"/>
            <w:szCs w:val="24"/>
          </w:rPr>
          <w:t>section 10</w:t>
        </w:r>
        <w:r w:rsidR="008553C5" w:rsidRPr="008553C5">
          <w:rPr>
            <w:rStyle w:val="Hyperlink"/>
          </w:rPr>
          <w:t>.</w:t>
        </w:r>
        <w:r w:rsidR="008553C5">
          <w:rPr>
            <w:rStyle w:val="Hyperlink"/>
          </w:rPr>
          <w:t>8.3</w:t>
        </w:r>
      </w:hyperlink>
      <w:r w:rsidR="00567F5D">
        <w:rPr>
          <w:color w:val="auto"/>
          <w:szCs w:val="24"/>
        </w:rPr>
        <w:t>.</w:t>
      </w:r>
    </w:p>
    <w:p w14:paraId="64328D96" w14:textId="27E0EBC3" w:rsidR="00026E66" w:rsidRPr="00E955A3" w:rsidRDefault="002737EF" w:rsidP="00E955A3">
      <w:pPr>
        <w:pStyle w:val="Heading2"/>
        <w:tabs>
          <w:tab w:val="left" w:pos="0"/>
        </w:tabs>
      </w:pPr>
      <w:bookmarkStart w:id="171" w:name="_Toc94718663"/>
      <w:bookmarkStart w:id="172" w:name="_Toc94088911"/>
      <w:bookmarkStart w:id="173" w:name="_Toc242885390"/>
      <w:r>
        <w:t>8.2. Issuing penalties</w:t>
      </w:r>
      <w:bookmarkEnd w:id="171"/>
      <w:bookmarkEnd w:id="172"/>
      <w:bookmarkEnd w:id="173"/>
      <w:r>
        <w:t xml:space="preserve"> </w:t>
      </w:r>
    </w:p>
    <w:p w14:paraId="67DA3469" w14:textId="1F35AD3F" w:rsidR="00026E66" w:rsidRDefault="002737EF" w:rsidP="00A25DF5">
      <w:pPr>
        <w:pStyle w:val="Heading3"/>
        <w:tabs>
          <w:tab w:val="left" w:pos="0"/>
        </w:tabs>
      </w:pPr>
      <w:r>
        <w:t xml:space="preserve">8.2.1. Notice of a financial penalty </w:t>
      </w:r>
    </w:p>
    <w:p w14:paraId="39197D6F" w14:textId="3846452F" w:rsidR="00026E66" w:rsidRDefault="002737EF" w:rsidP="00FF0098">
      <w:pPr>
        <w:tabs>
          <w:tab w:val="left" w:pos="0"/>
        </w:tabs>
        <w:ind w:right="182"/>
      </w:pPr>
      <w:r>
        <w:rPr>
          <w:color w:val="auto"/>
          <w:szCs w:val="24"/>
        </w:rPr>
        <w:t>Where we are considering the imposition of</w:t>
      </w:r>
      <w:r>
        <w:rPr>
          <w:color w:val="auto"/>
        </w:rPr>
        <w:t xml:space="preserve"> a penalty, we will first serve a notice of intent </w:t>
      </w:r>
      <w:r>
        <w:rPr>
          <w:color w:val="auto"/>
          <w:szCs w:val="24"/>
        </w:rPr>
        <w:t>and</w:t>
      </w:r>
      <w:r>
        <w:rPr>
          <w:color w:val="auto"/>
        </w:rPr>
        <w:t xml:space="preserve"> will take account of any representations </w:t>
      </w:r>
      <w:r>
        <w:rPr>
          <w:color w:val="auto"/>
          <w:szCs w:val="24"/>
        </w:rPr>
        <w:t xml:space="preserve">received in response before we make our </w:t>
      </w:r>
      <w:r>
        <w:rPr>
          <w:color w:val="auto"/>
          <w:szCs w:val="24"/>
        </w:rPr>
        <w:lastRenderedPageBreak/>
        <w:t>final decision.</w:t>
      </w:r>
      <w:r w:rsidR="00FC355D">
        <w:rPr>
          <w:color w:val="auto"/>
          <w:szCs w:val="24"/>
        </w:rPr>
        <w:t xml:space="preserve"> </w:t>
      </w:r>
      <w:r>
        <w:rPr>
          <w:color w:val="auto"/>
        </w:rPr>
        <w:t>If we decide to impose a financial penalty</w:t>
      </w:r>
      <w:r>
        <w:rPr>
          <w:color w:val="auto"/>
          <w:szCs w:val="24"/>
        </w:rPr>
        <w:t xml:space="preserve"> on a</w:t>
      </w:r>
      <w:r w:rsidR="00F706FB">
        <w:rPr>
          <w:color w:val="auto"/>
          <w:szCs w:val="24"/>
        </w:rPr>
        <w:t>n</w:t>
      </w:r>
      <w:r>
        <w:rPr>
          <w:color w:val="auto"/>
          <w:szCs w:val="24"/>
        </w:rPr>
        <w:t xml:space="preserve"> </w:t>
      </w:r>
      <w:r w:rsidR="00F706FB">
        <w:rPr>
          <w:color w:val="auto"/>
          <w:szCs w:val="24"/>
        </w:rPr>
        <w:t>operator</w:t>
      </w:r>
      <w:r>
        <w:rPr>
          <w:color w:val="auto"/>
        </w:rPr>
        <w:t xml:space="preserve">, we will issue a notice setting out: </w:t>
      </w:r>
    </w:p>
    <w:p w14:paraId="21EDDB46" w14:textId="77777777" w:rsidR="00026E66" w:rsidRDefault="002737EF" w:rsidP="0065356B">
      <w:pPr>
        <w:pStyle w:val="ListParagraph"/>
        <w:numPr>
          <w:ilvl w:val="0"/>
          <w:numId w:val="57"/>
        </w:numPr>
        <w:tabs>
          <w:tab w:val="left" w:pos="0"/>
        </w:tabs>
        <w:spacing w:after="74"/>
        <w:ind w:right="182"/>
      </w:pPr>
      <w:r>
        <w:t xml:space="preserve">the amount of penalty </w:t>
      </w:r>
    </w:p>
    <w:p w14:paraId="69FDE4F0" w14:textId="5EDDE3BF" w:rsidR="001664D7" w:rsidRDefault="001664D7" w:rsidP="0065356B">
      <w:pPr>
        <w:pStyle w:val="ListParagraph"/>
        <w:numPr>
          <w:ilvl w:val="0"/>
          <w:numId w:val="57"/>
        </w:numPr>
        <w:tabs>
          <w:tab w:val="left" w:pos="0"/>
        </w:tabs>
        <w:spacing w:after="74"/>
        <w:ind w:right="182"/>
      </w:pPr>
      <w:r>
        <w:t>how the penalty was calculated</w:t>
      </w:r>
    </w:p>
    <w:p w14:paraId="3D01DF00" w14:textId="77777777" w:rsidR="00026E66" w:rsidRDefault="002737EF" w:rsidP="0065356B">
      <w:pPr>
        <w:pStyle w:val="ListParagraph"/>
        <w:numPr>
          <w:ilvl w:val="0"/>
          <w:numId w:val="57"/>
        </w:numPr>
        <w:tabs>
          <w:tab w:val="left" w:pos="0"/>
        </w:tabs>
        <w:spacing w:after="79"/>
        <w:ind w:right="182"/>
      </w:pPr>
      <w:r>
        <w:t xml:space="preserve">the reason for the penalty </w:t>
      </w:r>
    </w:p>
    <w:p w14:paraId="0BD4E349" w14:textId="77777777" w:rsidR="00026E66" w:rsidRDefault="002737EF" w:rsidP="0065356B">
      <w:pPr>
        <w:pStyle w:val="ListParagraph"/>
        <w:numPr>
          <w:ilvl w:val="0"/>
          <w:numId w:val="57"/>
        </w:numPr>
        <w:tabs>
          <w:tab w:val="left" w:pos="0"/>
        </w:tabs>
        <w:spacing w:after="78"/>
        <w:ind w:right="182"/>
      </w:pPr>
      <w:r>
        <w:t xml:space="preserve">if appropriate, what steps need to be taken to remedy the matter and the deadline for doing this </w:t>
      </w:r>
    </w:p>
    <w:p w14:paraId="01202AA9" w14:textId="77777777" w:rsidR="00026E66" w:rsidRPr="00A25DF5" w:rsidRDefault="002737EF" w:rsidP="0065356B">
      <w:pPr>
        <w:pStyle w:val="ListParagraph"/>
        <w:numPr>
          <w:ilvl w:val="0"/>
          <w:numId w:val="57"/>
        </w:numPr>
        <w:tabs>
          <w:tab w:val="left" w:pos="0"/>
        </w:tabs>
        <w:spacing w:after="79"/>
        <w:ind w:right="182"/>
      </w:pPr>
      <w:r w:rsidRPr="00A25DF5">
        <w:t xml:space="preserve">the deadline for paying the penalty </w:t>
      </w:r>
    </w:p>
    <w:p w14:paraId="4A113F47" w14:textId="77777777" w:rsidR="00026E66" w:rsidRPr="00A25DF5" w:rsidRDefault="002737EF" w:rsidP="0065356B">
      <w:pPr>
        <w:pStyle w:val="ListParagraph"/>
        <w:numPr>
          <w:ilvl w:val="0"/>
          <w:numId w:val="57"/>
        </w:numPr>
        <w:tabs>
          <w:tab w:val="left" w:pos="0"/>
        </w:tabs>
        <w:ind w:right="182"/>
      </w:pPr>
      <w:r w:rsidRPr="00A25DF5">
        <w:t xml:space="preserve">how to pay the penalty </w:t>
      </w:r>
    </w:p>
    <w:p w14:paraId="12B5753E" w14:textId="183F8801" w:rsidR="00026E66" w:rsidRDefault="002737EF" w:rsidP="00FF0098">
      <w:pPr>
        <w:tabs>
          <w:tab w:val="left" w:pos="0"/>
        </w:tabs>
        <w:ind w:right="182"/>
      </w:pPr>
      <w:r>
        <w:rPr>
          <w:color w:val="auto"/>
          <w:szCs w:val="24"/>
        </w:rPr>
        <w:t>Any penalt</w:t>
      </w:r>
      <w:r w:rsidR="00D5026C">
        <w:rPr>
          <w:color w:val="auto"/>
          <w:szCs w:val="24"/>
        </w:rPr>
        <w:t>ies</w:t>
      </w:r>
      <w:r>
        <w:rPr>
          <w:color w:val="auto"/>
          <w:szCs w:val="24"/>
        </w:rPr>
        <w:t xml:space="preserve"> will be paid</w:t>
      </w:r>
      <w:r>
        <w:rPr>
          <w:color w:val="auto"/>
        </w:rPr>
        <w:t xml:space="preserve"> into the government consolidated fund administered by H</w:t>
      </w:r>
      <w:r w:rsidR="001664D7">
        <w:rPr>
          <w:color w:val="auto"/>
        </w:rPr>
        <w:t>is</w:t>
      </w:r>
      <w:r>
        <w:rPr>
          <w:color w:val="auto"/>
        </w:rPr>
        <w:t xml:space="preserve"> Majesty's Treasury (HMT). </w:t>
      </w:r>
    </w:p>
    <w:p w14:paraId="28CE9237" w14:textId="3D473BDB" w:rsidR="00026E66" w:rsidRDefault="002737EF" w:rsidP="007A7512">
      <w:pPr>
        <w:tabs>
          <w:tab w:val="left" w:pos="0"/>
        </w:tabs>
        <w:ind w:right="182"/>
        <w:rPr>
          <w:color w:val="auto"/>
        </w:rPr>
      </w:pPr>
      <w:r>
        <w:rPr>
          <w:color w:val="auto"/>
        </w:rPr>
        <w:t xml:space="preserve">We may </w:t>
      </w:r>
      <w:hyperlink w:anchor="Termination" w:history="1">
        <w:r>
          <w:rPr>
            <w:rStyle w:val="Hyperlink"/>
          </w:rPr>
          <w:t>terminate</w:t>
        </w:r>
      </w:hyperlink>
      <w:r w:rsidR="00E931A9">
        <w:rPr>
          <w:color w:val="auto"/>
          <w:szCs w:val="24"/>
        </w:rPr>
        <w:t xml:space="preserve"> t</w:t>
      </w:r>
      <w:r>
        <w:rPr>
          <w:color w:val="auto"/>
          <w:szCs w:val="24"/>
        </w:rPr>
        <w:t>he</w:t>
      </w:r>
      <w:r>
        <w:rPr>
          <w:color w:val="auto"/>
        </w:rPr>
        <w:t xml:space="preserve"> underlying agreement </w:t>
      </w:r>
      <w:r w:rsidR="00FF2528">
        <w:rPr>
          <w:color w:val="auto"/>
        </w:rPr>
        <w:t>of the facility</w:t>
      </w:r>
      <w:r w:rsidR="000E0E08">
        <w:rPr>
          <w:color w:val="auto"/>
        </w:rPr>
        <w:t xml:space="preserve"> or remove the facility from an agreement containing multiple facilities</w:t>
      </w:r>
      <w:r>
        <w:rPr>
          <w:color w:val="auto"/>
        </w:rPr>
        <w:t xml:space="preserve"> if the penalty is not paid by the deadline stated in the notice</w:t>
      </w:r>
      <w:r w:rsidR="00865FE8">
        <w:rPr>
          <w:color w:val="auto"/>
        </w:rPr>
        <w:t xml:space="preserve">. We may also terminate </w:t>
      </w:r>
      <w:r>
        <w:rPr>
          <w:color w:val="auto"/>
          <w:szCs w:val="24"/>
        </w:rPr>
        <w:t xml:space="preserve">if </w:t>
      </w:r>
      <w:r>
        <w:rPr>
          <w:color w:val="auto"/>
        </w:rPr>
        <w:t xml:space="preserve">we're not satisfied that </w:t>
      </w:r>
      <w:r>
        <w:rPr>
          <w:color w:val="auto"/>
          <w:szCs w:val="24"/>
        </w:rPr>
        <w:t xml:space="preserve">sufficient progress </w:t>
      </w:r>
      <w:r>
        <w:rPr>
          <w:color w:val="auto"/>
        </w:rPr>
        <w:t xml:space="preserve">has </w:t>
      </w:r>
      <w:r>
        <w:rPr>
          <w:color w:val="auto"/>
          <w:szCs w:val="24"/>
        </w:rPr>
        <w:t>been made to remedy</w:t>
      </w:r>
      <w:r>
        <w:rPr>
          <w:color w:val="auto"/>
        </w:rPr>
        <w:t xml:space="preserve"> the </w:t>
      </w:r>
      <w:r w:rsidR="00865FE8">
        <w:rPr>
          <w:color w:val="auto"/>
          <w:szCs w:val="24"/>
        </w:rPr>
        <w:t>breach for which the penalty was issued</w:t>
      </w:r>
      <w:r>
        <w:rPr>
          <w:color w:val="auto"/>
          <w:szCs w:val="24"/>
        </w:rPr>
        <w:t>. Failure to comply with the terms of the underlying agreement could also lead to termination</w:t>
      </w:r>
      <w:r>
        <w:rPr>
          <w:color w:val="auto"/>
        </w:rPr>
        <w:t>.</w:t>
      </w:r>
    </w:p>
    <w:p w14:paraId="3ADF1198" w14:textId="310C3EA6" w:rsidR="0046082D" w:rsidRDefault="0046082D" w:rsidP="007A7512">
      <w:pPr>
        <w:tabs>
          <w:tab w:val="left" w:pos="0"/>
        </w:tabs>
        <w:ind w:right="182"/>
        <w:rPr>
          <w:color w:val="auto"/>
        </w:rPr>
      </w:pPr>
      <w:r>
        <w:rPr>
          <w:color w:val="auto"/>
        </w:rPr>
        <w:t>In addition to the financial penalty, Regulation 16</w:t>
      </w:r>
      <w:r w:rsidR="005E431A">
        <w:rPr>
          <w:color w:val="auto"/>
        </w:rPr>
        <w:t>A</w:t>
      </w:r>
      <w:r>
        <w:rPr>
          <w:color w:val="auto"/>
        </w:rPr>
        <w:t xml:space="preserve"> of </w:t>
      </w:r>
      <w:r w:rsidR="00B0570E">
        <w:rPr>
          <w:color w:val="auto"/>
        </w:rPr>
        <w:t>The Climate Change Agreements (Administration) Regulations 2012 (as amended), require us to publish the following information in relation to the financial penalty that has been imposed</w:t>
      </w:r>
      <w:r w:rsidR="00DA6406">
        <w:rPr>
          <w:color w:val="auto"/>
        </w:rPr>
        <w:t xml:space="preserve">: </w:t>
      </w:r>
    </w:p>
    <w:p w14:paraId="21D76D1C" w14:textId="0ECA1CB4" w:rsidR="00DA6406" w:rsidRDefault="00DA6406" w:rsidP="00DA6406">
      <w:pPr>
        <w:pStyle w:val="ListParagraph"/>
        <w:numPr>
          <w:ilvl w:val="0"/>
          <w:numId w:val="170"/>
        </w:numPr>
        <w:tabs>
          <w:tab w:val="left" w:pos="0"/>
        </w:tabs>
        <w:ind w:right="182"/>
      </w:pPr>
      <w:r>
        <w:t>the name of the operator</w:t>
      </w:r>
    </w:p>
    <w:p w14:paraId="58090733" w14:textId="06858B70" w:rsidR="00DA6406" w:rsidRDefault="00DA6406" w:rsidP="00DA6406">
      <w:pPr>
        <w:pStyle w:val="ListParagraph"/>
        <w:numPr>
          <w:ilvl w:val="0"/>
          <w:numId w:val="170"/>
        </w:numPr>
        <w:tabs>
          <w:tab w:val="left" w:pos="0"/>
        </w:tabs>
        <w:ind w:right="182"/>
      </w:pPr>
      <w:r>
        <w:t>the amount of the penalty imposed</w:t>
      </w:r>
    </w:p>
    <w:p w14:paraId="4498BD2D" w14:textId="6FEBD466" w:rsidR="00DA6406" w:rsidRDefault="00DA6406" w:rsidP="00DA6406">
      <w:pPr>
        <w:pStyle w:val="ListParagraph"/>
        <w:numPr>
          <w:ilvl w:val="0"/>
          <w:numId w:val="170"/>
        </w:numPr>
        <w:tabs>
          <w:tab w:val="left" w:pos="0"/>
        </w:tabs>
        <w:ind w:right="182"/>
      </w:pPr>
      <w:r>
        <w:t>a description of the contravention that led to the imposition of the penalty</w:t>
      </w:r>
    </w:p>
    <w:p w14:paraId="0AA30FFD" w14:textId="1F879EF3" w:rsidR="007F0D17" w:rsidRDefault="005371D8" w:rsidP="00DA6406">
      <w:pPr>
        <w:tabs>
          <w:tab w:val="left" w:pos="0"/>
        </w:tabs>
        <w:ind w:right="182"/>
      </w:pPr>
      <w:r>
        <w:t xml:space="preserve">This information will be published for a period of at least one year. The publication details of any penalties issued will not take effect until </w:t>
      </w:r>
      <w:r w:rsidR="009611B9">
        <w:t xml:space="preserve">after any appeal period against the financial penalty has expired (see </w:t>
      </w:r>
      <w:hyperlink w:anchor="_8.4._Appeals_and" w:history="1">
        <w:r w:rsidR="009611B9" w:rsidRPr="005F1D15">
          <w:rPr>
            <w:rStyle w:val="Hyperlink"/>
          </w:rPr>
          <w:t>section 8.4</w:t>
        </w:r>
      </w:hyperlink>
      <w:r w:rsidR="009611B9">
        <w:t>)</w:t>
      </w:r>
      <w:r w:rsidR="00E302F4">
        <w:t xml:space="preserve">. </w:t>
      </w:r>
    </w:p>
    <w:p w14:paraId="2030D4CF" w14:textId="2547277F" w:rsidR="007F0D17" w:rsidRPr="00DA6406" w:rsidRDefault="007F0D17" w:rsidP="002960C3">
      <w:pPr>
        <w:pStyle w:val="Heading3"/>
        <w:tabs>
          <w:tab w:val="left" w:pos="0"/>
        </w:tabs>
      </w:pPr>
      <w:r>
        <w:t>8.2.2 Withdrawal, reduction or extension of time for payment of a penalty</w:t>
      </w:r>
    </w:p>
    <w:p w14:paraId="4D745A08" w14:textId="57D6067B" w:rsidR="008D7ED5" w:rsidRDefault="008D7ED5" w:rsidP="007A7512">
      <w:pPr>
        <w:tabs>
          <w:tab w:val="left" w:pos="0"/>
        </w:tabs>
        <w:ind w:right="182"/>
        <w:rPr>
          <w:color w:val="auto"/>
        </w:rPr>
      </w:pPr>
      <w:r>
        <w:rPr>
          <w:color w:val="auto"/>
        </w:rPr>
        <w:t xml:space="preserve">Before the </w:t>
      </w:r>
      <w:r w:rsidR="00CF364F">
        <w:rPr>
          <w:color w:val="auto"/>
        </w:rPr>
        <w:t>date by which a penalty must be paid as specified in the penalty notice,</w:t>
      </w:r>
      <w:r w:rsidR="001B5D00">
        <w:rPr>
          <w:color w:val="auto"/>
        </w:rPr>
        <w:t xml:space="preserve"> and if considered appropriate,</w:t>
      </w:r>
      <w:r w:rsidR="00CF364F">
        <w:rPr>
          <w:color w:val="auto"/>
        </w:rPr>
        <w:t xml:space="preserve"> we may </w:t>
      </w:r>
      <w:r w:rsidR="001B5D00">
        <w:rPr>
          <w:color w:val="auto"/>
        </w:rPr>
        <w:t xml:space="preserve">decide to: </w:t>
      </w:r>
    </w:p>
    <w:p w14:paraId="36C2DDC8" w14:textId="5FC579B4" w:rsidR="001B5D00" w:rsidRDefault="001B5D00" w:rsidP="001B5D00">
      <w:pPr>
        <w:pStyle w:val="ListParagraph"/>
        <w:numPr>
          <w:ilvl w:val="0"/>
          <w:numId w:val="169"/>
        </w:numPr>
        <w:tabs>
          <w:tab w:val="left" w:pos="0"/>
        </w:tabs>
        <w:ind w:right="182"/>
      </w:pPr>
      <w:r>
        <w:t>withdraw the penalty</w:t>
      </w:r>
    </w:p>
    <w:p w14:paraId="1568405F" w14:textId="450175F8" w:rsidR="001B5D00" w:rsidRDefault="001B5D00" w:rsidP="001B5D00">
      <w:pPr>
        <w:pStyle w:val="ListParagraph"/>
        <w:numPr>
          <w:ilvl w:val="0"/>
          <w:numId w:val="169"/>
        </w:numPr>
        <w:tabs>
          <w:tab w:val="left" w:pos="0"/>
        </w:tabs>
        <w:ind w:right="182"/>
      </w:pPr>
      <w:r>
        <w:t>reduce the penalty</w:t>
      </w:r>
    </w:p>
    <w:p w14:paraId="2DB19FD1" w14:textId="6F119622" w:rsidR="001B5D00" w:rsidRDefault="001B5D00" w:rsidP="001B5D00">
      <w:pPr>
        <w:pStyle w:val="ListParagraph"/>
        <w:numPr>
          <w:ilvl w:val="0"/>
          <w:numId w:val="169"/>
        </w:numPr>
        <w:tabs>
          <w:tab w:val="left" w:pos="0"/>
        </w:tabs>
        <w:ind w:right="182"/>
      </w:pPr>
      <w:r>
        <w:t xml:space="preserve">allow an extension of time for payment of the penalty </w:t>
      </w:r>
    </w:p>
    <w:p w14:paraId="4CA1E6EE" w14:textId="0C474F69" w:rsidR="001B5D00" w:rsidRDefault="00BC37C4" w:rsidP="00BC37C4">
      <w:pPr>
        <w:tabs>
          <w:tab w:val="left" w:pos="0"/>
        </w:tabs>
        <w:ind w:right="182"/>
      </w:pPr>
      <w:r>
        <w:t>Where a penalty is withdrawn, we will issue a</w:t>
      </w:r>
      <w:r w:rsidR="00207799">
        <w:t xml:space="preserve"> new</w:t>
      </w:r>
      <w:r>
        <w:t xml:space="preserve"> notice stating that the penalty is withdrawn, </w:t>
      </w:r>
      <w:r w:rsidR="00472A8E">
        <w:t xml:space="preserve">and the information </w:t>
      </w:r>
      <w:r w:rsidR="007F0D17">
        <w:t xml:space="preserve">relating to the penalty will not be published. </w:t>
      </w:r>
    </w:p>
    <w:p w14:paraId="5140599B" w14:textId="5DF326A6" w:rsidR="007F0D17" w:rsidRDefault="007F0D17" w:rsidP="00BC37C4">
      <w:pPr>
        <w:tabs>
          <w:tab w:val="left" w:pos="0"/>
        </w:tabs>
        <w:ind w:right="182"/>
      </w:pPr>
      <w:r>
        <w:lastRenderedPageBreak/>
        <w:t>Where a penalty amount is reduced, we will issue a notice to modify the</w:t>
      </w:r>
      <w:r w:rsidR="00207799">
        <w:t xml:space="preserve"> initial</w:t>
      </w:r>
      <w:r>
        <w:t xml:space="preserve"> penalty </w:t>
      </w:r>
      <w:r w:rsidR="00207799">
        <w:t>amount</w:t>
      </w:r>
      <w:r>
        <w:t xml:space="preserve"> </w:t>
      </w:r>
      <w:r w:rsidR="007270B1">
        <w:t xml:space="preserve">to the new penalty amount. The </w:t>
      </w:r>
      <w:r w:rsidR="00543C79">
        <w:t xml:space="preserve">published penalty data will reflect the reduced penalty amount. </w:t>
      </w:r>
    </w:p>
    <w:p w14:paraId="492AFEEB" w14:textId="04665405" w:rsidR="00543C79" w:rsidRPr="007A7512" w:rsidRDefault="00543C79" w:rsidP="00BC37C4">
      <w:pPr>
        <w:tabs>
          <w:tab w:val="left" w:pos="0"/>
        </w:tabs>
        <w:ind w:right="182"/>
      </w:pPr>
      <w:r>
        <w:t xml:space="preserve">Where </w:t>
      </w:r>
      <w:r w:rsidR="00180540">
        <w:t xml:space="preserve">we decide to allow additional time for payment of the financial penalty, we will serve a notice to modify the </w:t>
      </w:r>
      <w:r w:rsidR="00207799">
        <w:t xml:space="preserve">original payment date stated in the initial penalty notice. </w:t>
      </w:r>
    </w:p>
    <w:p w14:paraId="17CC1FCD" w14:textId="192DDA2E" w:rsidR="00026E66" w:rsidRDefault="002737EF" w:rsidP="00FF0098">
      <w:pPr>
        <w:pStyle w:val="Heading2"/>
        <w:tabs>
          <w:tab w:val="left" w:pos="0"/>
        </w:tabs>
      </w:pPr>
      <w:bookmarkStart w:id="174" w:name="_Toc94718664"/>
      <w:bookmarkStart w:id="175" w:name="_Toc94088912"/>
      <w:bookmarkStart w:id="176" w:name="_Toc242885391"/>
      <w:r>
        <w:t>8.3. Termination of agreements</w:t>
      </w:r>
      <w:bookmarkEnd w:id="174"/>
      <w:bookmarkEnd w:id="175"/>
      <w:bookmarkEnd w:id="176"/>
      <w:r w:rsidR="00FC355D">
        <w:t xml:space="preserve"> </w:t>
      </w:r>
    </w:p>
    <w:p w14:paraId="0CECAA75" w14:textId="46AD6F7B" w:rsidR="00026E66" w:rsidRDefault="002737EF" w:rsidP="00FF0098">
      <w:pPr>
        <w:tabs>
          <w:tab w:val="left" w:pos="0"/>
        </w:tabs>
        <w:ind w:right="182"/>
        <w:rPr>
          <w:color w:val="auto"/>
        </w:rPr>
      </w:pPr>
      <w:r>
        <w:rPr>
          <w:color w:val="auto"/>
        </w:rPr>
        <w:t xml:space="preserve">There are </w:t>
      </w:r>
      <w:r w:rsidR="009E12F0" w:rsidRPr="1874FB38">
        <w:rPr>
          <w:color w:val="auto"/>
        </w:rPr>
        <w:t>2</w:t>
      </w:r>
      <w:r>
        <w:rPr>
          <w:color w:val="auto"/>
        </w:rPr>
        <w:t xml:space="preserve"> types of termination in the CCA scheme: </w:t>
      </w:r>
    </w:p>
    <w:p w14:paraId="6E53F9B5" w14:textId="77777777" w:rsidR="00026E66" w:rsidRDefault="002737EF" w:rsidP="0065356B">
      <w:pPr>
        <w:pStyle w:val="ListParagraph"/>
        <w:numPr>
          <w:ilvl w:val="0"/>
          <w:numId w:val="58"/>
        </w:numPr>
        <w:tabs>
          <w:tab w:val="left" w:pos="0"/>
        </w:tabs>
        <w:spacing w:after="75" w:line="247" w:lineRule="auto"/>
      </w:pPr>
      <w:r>
        <w:t xml:space="preserve">voluntary termination </w:t>
      </w:r>
    </w:p>
    <w:p w14:paraId="4FE0B241" w14:textId="717AF1A0" w:rsidR="00026E66" w:rsidRPr="00A25DF5" w:rsidRDefault="002737EF" w:rsidP="0065356B">
      <w:pPr>
        <w:pStyle w:val="ListParagraph"/>
        <w:numPr>
          <w:ilvl w:val="0"/>
          <w:numId w:val="58"/>
        </w:numPr>
        <w:tabs>
          <w:tab w:val="left" w:pos="0"/>
        </w:tabs>
        <w:spacing w:after="62" w:line="247" w:lineRule="auto"/>
      </w:pPr>
      <w:r>
        <w:t>termination</w:t>
      </w:r>
      <w:r w:rsidRPr="00A25DF5">
        <w:rPr>
          <w:szCs w:val="24"/>
        </w:rPr>
        <w:t xml:space="preserve"> by the Environment Agency </w:t>
      </w:r>
      <w:bookmarkStart w:id="177" w:name="_8.3.1._Voluntary_termination"/>
      <w:bookmarkEnd w:id="177"/>
    </w:p>
    <w:p w14:paraId="7A234DD0" w14:textId="77777777" w:rsidR="00026E66" w:rsidRDefault="002737EF" w:rsidP="00FF0098">
      <w:pPr>
        <w:pStyle w:val="Heading3"/>
        <w:tabs>
          <w:tab w:val="left" w:pos="0"/>
        </w:tabs>
      </w:pPr>
      <w:r>
        <w:t xml:space="preserve">8.3.1. Voluntary termination – when a facility leaves the scheme or closes </w:t>
      </w:r>
    </w:p>
    <w:p w14:paraId="376D1B79" w14:textId="65675A61" w:rsidR="00026E66" w:rsidRDefault="002737EF" w:rsidP="00FF0098">
      <w:pPr>
        <w:tabs>
          <w:tab w:val="left" w:pos="0"/>
        </w:tabs>
        <w:ind w:right="182"/>
      </w:pPr>
      <w:r>
        <w:rPr>
          <w:color w:val="auto"/>
          <w:szCs w:val="24"/>
        </w:rPr>
        <w:t>An</w:t>
      </w:r>
      <w:r>
        <w:rPr>
          <w:color w:val="auto"/>
        </w:rPr>
        <w:t xml:space="preserve"> operator </w:t>
      </w:r>
      <w:r>
        <w:rPr>
          <w:color w:val="auto"/>
          <w:szCs w:val="24"/>
        </w:rPr>
        <w:t>may</w:t>
      </w:r>
      <w:r>
        <w:rPr>
          <w:color w:val="auto"/>
        </w:rPr>
        <w:t xml:space="preserve"> voluntarily terminate their agreement</w:t>
      </w:r>
      <w:r>
        <w:rPr>
          <w:color w:val="auto"/>
          <w:szCs w:val="24"/>
        </w:rPr>
        <w:t>. Terminating an</w:t>
      </w:r>
      <w:r>
        <w:rPr>
          <w:color w:val="auto"/>
        </w:rPr>
        <w:t xml:space="preserve"> agreement</w:t>
      </w:r>
      <w:r>
        <w:rPr>
          <w:color w:val="auto"/>
          <w:szCs w:val="24"/>
        </w:rPr>
        <w:t xml:space="preserve"> will terminate </w:t>
      </w:r>
      <w:r>
        <w:rPr>
          <w:color w:val="auto"/>
        </w:rPr>
        <w:t>all</w:t>
      </w:r>
      <w:r>
        <w:rPr>
          <w:b/>
          <w:color w:val="auto"/>
        </w:rPr>
        <w:t xml:space="preserve"> </w:t>
      </w:r>
      <w:r>
        <w:rPr>
          <w:color w:val="auto"/>
        </w:rPr>
        <w:t xml:space="preserve">the facilities </w:t>
      </w:r>
      <w:r>
        <w:rPr>
          <w:color w:val="auto"/>
          <w:szCs w:val="24"/>
        </w:rPr>
        <w:t>covered by that agreement. Facilities can be removed individually</w:t>
      </w:r>
      <w:r w:rsidR="003B3D98">
        <w:rPr>
          <w:color w:val="auto"/>
          <w:szCs w:val="24"/>
        </w:rPr>
        <w:t xml:space="preserve"> from an agreement</w:t>
      </w:r>
      <w:r>
        <w:rPr>
          <w:color w:val="auto"/>
          <w:szCs w:val="24"/>
        </w:rPr>
        <w:t xml:space="preserve"> through a variation</w:t>
      </w:r>
      <w:r w:rsidR="003B3D98">
        <w:rPr>
          <w:color w:val="auto"/>
          <w:szCs w:val="24"/>
        </w:rPr>
        <w:t xml:space="preserve">. </w:t>
      </w:r>
    </w:p>
    <w:p w14:paraId="46CEB431" w14:textId="268E76E2" w:rsidR="00026E66" w:rsidRDefault="002737EF" w:rsidP="00FF0098">
      <w:pPr>
        <w:tabs>
          <w:tab w:val="left" w:pos="0"/>
        </w:tabs>
        <w:ind w:right="182"/>
        <w:rPr>
          <w:color w:val="auto"/>
          <w:szCs w:val="24"/>
        </w:rPr>
      </w:pPr>
      <w:r>
        <w:rPr>
          <w:color w:val="auto"/>
          <w:szCs w:val="24"/>
        </w:rPr>
        <w:t>Depending on the scenario, the following action should be taken</w:t>
      </w:r>
      <w:r w:rsidR="002463D3">
        <w:rPr>
          <w:color w:val="auto"/>
          <w:szCs w:val="24"/>
        </w:rPr>
        <w:t>:</w:t>
      </w:r>
      <w:r>
        <w:rPr>
          <w:color w:val="auto"/>
          <w:szCs w:val="24"/>
        </w:rPr>
        <w:t xml:space="preserve"> </w:t>
      </w:r>
    </w:p>
    <w:p w14:paraId="02E3A454" w14:textId="7F7E382B" w:rsidR="00026E66" w:rsidRDefault="002737EF" w:rsidP="007A7512">
      <w:pPr>
        <w:pStyle w:val="ListParagraph"/>
        <w:numPr>
          <w:ilvl w:val="0"/>
          <w:numId w:val="140"/>
        </w:numPr>
      </w:pPr>
      <w:r w:rsidRPr="007A7512">
        <w:rPr>
          <w:bCs/>
          <w:szCs w:val="24"/>
        </w:rPr>
        <w:t xml:space="preserve">All the facilities </w:t>
      </w:r>
      <w:r w:rsidRPr="00A25DF5">
        <w:t>within</w:t>
      </w:r>
      <w:r w:rsidR="00B81272">
        <w:t xml:space="preserve"> an agreement</w:t>
      </w:r>
      <w:r w:rsidRPr="00A25DF5">
        <w:t xml:space="preserve"> leave the scheme or close</w:t>
      </w:r>
      <w:r w:rsidRPr="007A7512">
        <w:rPr>
          <w:bCs/>
          <w:szCs w:val="24"/>
        </w:rPr>
        <w:t xml:space="preserve"> –</w:t>
      </w:r>
      <w:r w:rsidRPr="00A25DF5">
        <w:t xml:space="preserve"> the sector association </w:t>
      </w:r>
      <w:r w:rsidRPr="007A7512">
        <w:rPr>
          <w:bCs/>
          <w:szCs w:val="24"/>
        </w:rPr>
        <w:t xml:space="preserve">carries out </w:t>
      </w:r>
      <w:r w:rsidRPr="00A25DF5">
        <w:t xml:space="preserve">a voluntary termination of the </w:t>
      </w:r>
      <w:r w:rsidRPr="007A7512">
        <w:rPr>
          <w:bCs/>
          <w:szCs w:val="24"/>
        </w:rPr>
        <w:t xml:space="preserve">agreement on the register. </w:t>
      </w:r>
    </w:p>
    <w:p w14:paraId="7223ECE6" w14:textId="6188FE8C" w:rsidR="00026E66" w:rsidRDefault="002737EF" w:rsidP="007A7512">
      <w:pPr>
        <w:pStyle w:val="ListParagraph"/>
        <w:numPr>
          <w:ilvl w:val="0"/>
          <w:numId w:val="140"/>
        </w:numPr>
      </w:pPr>
      <w:r w:rsidRPr="007A7512">
        <w:rPr>
          <w:bCs/>
          <w:szCs w:val="24"/>
        </w:rPr>
        <w:t>A</w:t>
      </w:r>
      <w:r w:rsidR="00B81272">
        <w:rPr>
          <w:bCs/>
          <w:szCs w:val="24"/>
        </w:rPr>
        <w:t xml:space="preserve">n agreement containing multiple </w:t>
      </w:r>
      <w:r w:rsidR="00B03038">
        <w:rPr>
          <w:bCs/>
          <w:szCs w:val="24"/>
        </w:rPr>
        <w:t>facilities</w:t>
      </w:r>
      <w:r w:rsidR="00F962C6">
        <w:t xml:space="preserve"> </w:t>
      </w:r>
      <w:r w:rsidRPr="007A7512">
        <w:rPr>
          <w:bCs/>
          <w:szCs w:val="24"/>
        </w:rPr>
        <w:t>where one or more facilities leave the scheme voluntarily, leaving one or more facilities in the agreement in the scheme –</w:t>
      </w:r>
      <w:r w:rsidRPr="00A25DF5">
        <w:t xml:space="preserve"> the sector association </w:t>
      </w:r>
      <w:r w:rsidRPr="007A7512">
        <w:rPr>
          <w:bCs/>
          <w:szCs w:val="24"/>
        </w:rPr>
        <w:t xml:space="preserve">carries out </w:t>
      </w:r>
      <w:r w:rsidRPr="00A25DF5">
        <w:t xml:space="preserve">a variation to exclude the </w:t>
      </w:r>
      <w:r w:rsidRPr="007A7512">
        <w:rPr>
          <w:bCs/>
          <w:szCs w:val="24"/>
        </w:rPr>
        <w:t>facility</w:t>
      </w:r>
      <w:r w:rsidRPr="00A25DF5">
        <w:t xml:space="preserve"> (see</w:t>
      </w:r>
      <w:r w:rsidR="005326A9">
        <w:t xml:space="preserve"> </w:t>
      </w:r>
      <w:hyperlink w:anchor="_4.5._Including/Excluding_a" w:history="1">
        <w:r w:rsidR="005326A9" w:rsidRPr="005326A9">
          <w:rPr>
            <w:rStyle w:val="Hyperlink"/>
          </w:rPr>
          <w:t>section 4.5</w:t>
        </w:r>
      </w:hyperlink>
      <w:r w:rsidRPr="007A7512">
        <w:rPr>
          <w:bCs/>
          <w:szCs w:val="24"/>
        </w:rPr>
        <w:t>)</w:t>
      </w:r>
      <w:r w:rsidR="00B03038">
        <w:rPr>
          <w:bCs/>
          <w:szCs w:val="24"/>
        </w:rPr>
        <w:t>.</w:t>
      </w:r>
      <w:r w:rsidRPr="007A7512">
        <w:rPr>
          <w:bCs/>
          <w:szCs w:val="24"/>
        </w:rPr>
        <w:t xml:space="preserve"> We will remove those facilities</w:t>
      </w:r>
      <w:r w:rsidR="00B03038">
        <w:rPr>
          <w:bCs/>
          <w:szCs w:val="24"/>
        </w:rPr>
        <w:t xml:space="preserve"> that are leaving the scheme from the agreement</w:t>
      </w:r>
      <w:r w:rsidR="00F706FB">
        <w:rPr>
          <w:bCs/>
          <w:szCs w:val="24"/>
        </w:rPr>
        <w:t>.</w:t>
      </w:r>
    </w:p>
    <w:p w14:paraId="322623EE" w14:textId="77777777" w:rsidR="00026E66" w:rsidRPr="00E931A9" w:rsidRDefault="002737EF" w:rsidP="00FF0098">
      <w:pPr>
        <w:pStyle w:val="Heading4"/>
        <w:tabs>
          <w:tab w:val="left" w:pos="0"/>
        </w:tabs>
      </w:pPr>
      <w:r w:rsidRPr="00E931A9">
        <w:t xml:space="preserve">Firms in difficulty </w:t>
      </w:r>
    </w:p>
    <w:p w14:paraId="7C3D31C8" w14:textId="5A9774BC" w:rsidR="00026E66" w:rsidRDefault="002737EF" w:rsidP="00FF0098">
      <w:pPr>
        <w:tabs>
          <w:tab w:val="left" w:pos="0"/>
        </w:tabs>
        <w:ind w:right="182"/>
      </w:pPr>
      <w:r>
        <w:rPr>
          <w:color w:val="auto"/>
          <w:szCs w:val="24"/>
        </w:rPr>
        <w:t xml:space="preserve">The sector association, on behalf of the operator, should process a voluntary termination on the register under the following instance as outlined in paragraph </w:t>
      </w:r>
      <w:r w:rsidR="00C3181F">
        <w:rPr>
          <w:color w:val="auto"/>
          <w:szCs w:val="24"/>
        </w:rPr>
        <w:t>6</w:t>
      </w:r>
      <w:r>
        <w:rPr>
          <w:color w:val="auto"/>
          <w:szCs w:val="24"/>
        </w:rPr>
        <w:t xml:space="preserve"> of the </w:t>
      </w:r>
      <w:hyperlink r:id="rId57" w:history="1">
        <w:r>
          <w:rPr>
            <w:rStyle w:val="Hyperlink"/>
            <w:color w:val="0070C0"/>
          </w:rPr>
          <w:t>Technical Annex</w:t>
        </w:r>
      </w:hyperlink>
      <w:r>
        <w:rPr>
          <w:color w:val="0070C0"/>
          <w:szCs w:val="24"/>
        </w:rPr>
        <w:t xml:space="preserve">: </w:t>
      </w:r>
    </w:p>
    <w:p w14:paraId="1F71B680" w14:textId="59A863EA" w:rsidR="00C10F44" w:rsidRDefault="00A766D2" w:rsidP="00FF0098">
      <w:pPr>
        <w:tabs>
          <w:tab w:val="left" w:pos="0"/>
        </w:tabs>
        <w:spacing w:after="151" w:line="247" w:lineRule="auto"/>
        <w:ind w:right="160"/>
      </w:pPr>
      <w:r w:rsidRPr="00ED329A">
        <w:t xml:space="preserve">An Operator must notify the </w:t>
      </w:r>
      <w:hyperlink w:anchor="Administrator" w:history="1">
        <w:r w:rsidRPr="00260C86">
          <w:rPr>
            <w:rStyle w:val="Hyperlink"/>
          </w:rPr>
          <w:t>Administrator</w:t>
        </w:r>
      </w:hyperlink>
      <w:r w:rsidRPr="00ED329A">
        <w:t xml:space="preserve"> within 20 working days of the operator or the facility becoming an ailing or insolvent entity, as described in the ‘</w:t>
      </w:r>
      <w:hyperlink r:id="rId58" w:history="1">
        <w:r w:rsidRPr="00533937">
          <w:rPr>
            <w:rStyle w:val="Hyperlink"/>
          </w:rPr>
          <w:t>UK Subsidy Control statutory guidance’</w:t>
        </w:r>
      </w:hyperlink>
      <w:r>
        <w:t xml:space="preserve">. </w:t>
      </w:r>
    </w:p>
    <w:p w14:paraId="21346D4B" w14:textId="77777777" w:rsidR="00026E66" w:rsidRDefault="002737EF" w:rsidP="00FF0098">
      <w:pPr>
        <w:pStyle w:val="Heading3"/>
        <w:tabs>
          <w:tab w:val="left" w:pos="0"/>
        </w:tabs>
      </w:pPr>
      <w:r>
        <w:t xml:space="preserve">8.3.2. Termination by the Environment Agency </w:t>
      </w:r>
    </w:p>
    <w:p w14:paraId="7351A238" w14:textId="77777777" w:rsidR="00026E66" w:rsidRDefault="002737EF" w:rsidP="00FF0098">
      <w:pPr>
        <w:tabs>
          <w:tab w:val="left" w:pos="0"/>
        </w:tabs>
        <w:ind w:right="182"/>
      </w:pPr>
      <w:r>
        <w:rPr>
          <w:color w:val="auto"/>
          <w:szCs w:val="24"/>
        </w:rPr>
        <w:t xml:space="preserve">We may </w:t>
      </w:r>
      <w:r>
        <w:rPr>
          <w:color w:val="auto"/>
        </w:rPr>
        <w:t>terminate an agreement if</w:t>
      </w:r>
      <w:r>
        <w:rPr>
          <w:color w:val="auto"/>
          <w:szCs w:val="24"/>
        </w:rPr>
        <w:t xml:space="preserve">: </w:t>
      </w:r>
    </w:p>
    <w:p w14:paraId="1DC94597" w14:textId="77777777" w:rsidR="00026E66" w:rsidRDefault="002737EF" w:rsidP="0065356B">
      <w:pPr>
        <w:pStyle w:val="ListParagraph"/>
        <w:numPr>
          <w:ilvl w:val="0"/>
          <w:numId w:val="60"/>
        </w:numPr>
        <w:tabs>
          <w:tab w:val="left" w:pos="0"/>
        </w:tabs>
        <w:spacing w:after="76"/>
        <w:ind w:right="182"/>
      </w:pPr>
      <w:r w:rsidRPr="00A25DF5">
        <w:rPr>
          <w:szCs w:val="24"/>
        </w:rPr>
        <w:t>the sector association contravenes</w:t>
      </w:r>
      <w:r>
        <w:t xml:space="preserve"> the agreement </w:t>
      </w:r>
    </w:p>
    <w:p w14:paraId="4D7F8673" w14:textId="6493026D" w:rsidR="00026E66" w:rsidRPr="00A25DF5" w:rsidRDefault="002737EF" w:rsidP="0065356B">
      <w:pPr>
        <w:pStyle w:val="ListParagraph"/>
        <w:numPr>
          <w:ilvl w:val="0"/>
          <w:numId w:val="60"/>
        </w:numPr>
        <w:tabs>
          <w:tab w:val="left" w:pos="0"/>
        </w:tabs>
        <w:spacing w:after="73" w:line="244" w:lineRule="auto"/>
        <w:ind w:right="182"/>
        <w:rPr>
          <w:szCs w:val="24"/>
        </w:rPr>
      </w:pPr>
      <w:r w:rsidRPr="00A25DF5">
        <w:rPr>
          <w:szCs w:val="24"/>
        </w:rPr>
        <w:lastRenderedPageBreak/>
        <w:t xml:space="preserve">the sector association fails to agree a variation in a </w:t>
      </w:r>
      <w:hyperlink w:anchor="Sectorcommitment" w:history="1">
        <w:r w:rsidRPr="00021E17">
          <w:rPr>
            <w:rStyle w:val="Hyperlink"/>
            <w:szCs w:val="24"/>
          </w:rPr>
          <w:t>sector commitment</w:t>
        </w:r>
      </w:hyperlink>
      <w:r w:rsidRPr="00A25DF5">
        <w:rPr>
          <w:szCs w:val="24"/>
        </w:rPr>
        <w:t xml:space="preserve"> proposed under the terms of the agreement </w:t>
      </w:r>
    </w:p>
    <w:p w14:paraId="3055C664" w14:textId="77777777" w:rsidR="00026E66" w:rsidRDefault="002737EF" w:rsidP="0065356B">
      <w:pPr>
        <w:pStyle w:val="ListParagraph"/>
        <w:numPr>
          <w:ilvl w:val="0"/>
          <w:numId w:val="60"/>
        </w:numPr>
        <w:tabs>
          <w:tab w:val="left" w:pos="0"/>
        </w:tabs>
        <w:spacing w:after="71"/>
        <w:ind w:right="182"/>
      </w:pPr>
      <w:r w:rsidRPr="00A25DF5">
        <w:rPr>
          <w:szCs w:val="24"/>
        </w:rPr>
        <w:t>the</w:t>
      </w:r>
      <w:r>
        <w:t xml:space="preserve"> operator contravenes the agreement unless the contravention has given rise to a financial penalty</w:t>
      </w:r>
      <w:r w:rsidRPr="00A25DF5">
        <w:rPr>
          <w:szCs w:val="24"/>
        </w:rPr>
        <w:t xml:space="preserve"> </w:t>
      </w:r>
    </w:p>
    <w:p w14:paraId="65A8B149" w14:textId="77777777" w:rsidR="00026E66" w:rsidRDefault="002737EF" w:rsidP="0065356B">
      <w:pPr>
        <w:pStyle w:val="ListParagraph"/>
        <w:numPr>
          <w:ilvl w:val="0"/>
          <w:numId w:val="60"/>
        </w:numPr>
        <w:tabs>
          <w:tab w:val="left" w:pos="0"/>
        </w:tabs>
        <w:spacing w:after="78"/>
        <w:ind w:right="182"/>
      </w:pPr>
      <w:r w:rsidRPr="00A25DF5">
        <w:rPr>
          <w:szCs w:val="24"/>
        </w:rPr>
        <w:t>the</w:t>
      </w:r>
      <w:r>
        <w:t xml:space="preserve"> operator fails to pay a financial penalty or fails to take steps to remedy the contravention</w:t>
      </w:r>
      <w:r w:rsidRPr="00A25DF5">
        <w:rPr>
          <w:szCs w:val="24"/>
        </w:rPr>
        <w:t xml:space="preserve"> </w:t>
      </w:r>
    </w:p>
    <w:p w14:paraId="4F4E5EB6" w14:textId="2B2BDC07" w:rsidR="00DC2870" w:rsidRPr="0036121E" w:rsidRDefault="002737EF" w:rsidP="0036121E">
      <w:pPr>
        <w:pStyle w:val="ListParagraph"/>
        <w:numPr>
          <w:ilvl w:val="0"/>
          <w:numId w:val="60"/>
        </w:numPr>
        <w:tabs>
          <w:tab w:val="left" w:pos="0"/>
        </w:tabs>
        <w:spacing w:after="0" w:line="244" w:lineRule="auto"/>
        <w:ind w:right="182"/>
      </w:pPr>
      <w:r w:rsidRPr="00A25DF5">
        <w:rPr>
          <w:szCs w:val="24"/>
        </w:rPr>
        <w:t>the</w:t>
      </w:r>
      <w:r w:rsidRPr="00A25DF5">
        <w:t xml:space="preserve"> operator fails to agree a variation </w:t>
      </w:r>
      <w:r w:rsidR="000F0BCE">
        <w:t>to their</w:t>
      </w:r>
      <w:r w:rsidRPr="00A25DF5">
        <w:t xml:space="preserve"> </w:t>
      </w:r>
      <w:r w:rsidRPr="00A25DF5">
        <w:rPr>
          <w:szCs w:val="24"/>
        </w:rPr>
        <w:t xml:space="preserve">target proposed under the terms of the underlying agreement. </w:t>
      </w:r>
    </w:p>
    <w:p w14:paraId="2AE4C952" w14:textId="68812CFC" w:rsidR="0036121E" w:rsidRPr="00A25DF5" w:rsidRDefault="000F0BCE" w:rsidP="0043592A">
      <w:pPr>
        <w:tabs>
          <w:tab w:val="left" w:pos="0"/>
        </w:tabs>
        <w:spacing w:after="0" w:line="244" w:lineRule="auto"/>
        <w:ind w:right="182"/>
      </w:pPr>
      <w:r>
        <w:t>If</w:t>
      </w:r>
      <w:r w:rsidR="0036121E">
        <w:t xml:space="preserve"> an </w:t>
      </w:r>
      <w:hyperlink w:anchor="Umbrellaagreement" w:history="1">
        <w:r w:rsidR="0036121E" w:rsidRPr="001B35CB">
          <w:rPr>
            <w:rStyle w:val="Hyperlink"/>
          </w:rPr>
          <w:t>umbrella agreement</w:t>
        </w:r>
      </w:hyperlink>
      <w:r w:rsidR="0036121E">
        <w:t xml:space="preserve"> for the sector association was terminated, all underlying agreements related to that umbrella agreement w</w:t>
      </w:r>
      <w:r w:rsidR="00CE4798">
        <w:t>ould</w:t>
      </w:r>
      <w:r w:rsidR="0036121E">
        <w:t xml:space="preserve"> also be terminated. </w:t>
      </w:r>
    </w:p>
    <w:p w14:paraId="66394863" w14:textId="77777777" w:rsidR="00026E66" w:rsidRDefault="002737EF" w:rsidP="00FF0098">
      <w:pPr>
        <w:tabs>
          <w:tab w:val="left" w:pos="0"/>
        </w:tabs>
        <w:spacing w:after="11"/>
        <w:ind w:right="182"/>
        <w:rPr>
          <w:bCs/>
          <w:color w:val="auto"/>
          <w:szCs w:val="24"/>
        </w:rPr>
      </w:pPr>
      <w:r>
        <w:rPr>
          <w:bCs/>
          <w:color w:val="auto"/>
          <w:szCs w:val="24"/>
        </w:rPr>
        <w:t>Examples where the operator contravenes their agreement:</w:t>
      </w:r>
    </w:p>
    <w:p w14:paraId="3E9AF986" w14:textId="14DCD855" w:rsidR="00026E66" w:rsidRPr="00A25DF5" w:rsidRDefault="002737EF" w:rsidP="0065356B">
      <w:pPr>
        <w:pStyle w:val="ListParagraph"/>
        <w:numPr>
          <w:ilvl w:val="0"/>
          <w:numId w:val="62"/>
        </w:numPr>
        <w:tabs>
          <w:tab w:val="left" w:pos="0"/>
        </w:tabs>
        <w:spacing w:after="11"/>
        <w:ind w:right="182"/>
        <w:rPr>
          <w:bCs/>
          <w:szCs w:val="24"/>
        </w:rPr>
      </w:pPr>
      <w:r w:rsidRPr="00A25DF5">
        <w:rPr>
          <w:bCs/>
          <w:szCs w:val="24"/>
        </w:rPr>
        <w:t xml:space="preserve">Failure to comply with the </w:t>
      </w:r>
      <w:hyperlink w:anchor="Chargingscheme" w:history="1">
        <w:r w:rsidRPr="00D654CC">
          <w:rPr>
            <w:rStyle w:val="Hyperlink"/>
            <w:bCs/>
            <w:szCs w:val="24"/>
          </w:rPr>
          <w:t>charging scheme</w:t>
        </w:r>
      </w:hyperlink>
      <w:r w:rsidRPr="00A25DF5">
        <w:rPr>
          <w:bCs/>
          <w:szCs w:val="24"/>
        </w:rPr>
        <w:t xml:space="preserve"> (that includes non-payment of annual facility subsistence </w:t>
      </w:r>
      <w:hyperlink w:anchor="Charges" w:history="1">
        <w:r w:rsidR="000F0BCE">
          <w:rPr>
            <w:rStyle w:val="Hyperlink"/>
            <w:bCs/>
            <w:szCs w:val="24"/>
          </w:rPr>
          <w:t>charges</w:t>
        </w:r>
      </w:hyperlink>
      <w:r w:rsidRPr="00A25DF5">
        <w:rPr>
          <w:bCs/>
          <w:szCs w:val="24"/>
        </w:rPr>
        <w:t>)</w:t>
      </w:r>
    </w:p>
    <w:p w14:paraId="5A63514F" w14:textId="77777777" w:rsidR="00026E66" w:rsidRPr="00A25DF5" w:rsidRDefault="002737EF" w:rsidP="0065356B">
      <w:pPr>
        <w:pStyle w:val="ListParagraph"/>
        <w:numPr>
          <w:ilvl w:val="0"/>
          <w:numId w:val="62"/>
        </w:numPr>
        <w:tabs>
          <w:tab w:val="left" w:pos="0"/>
        </w:tabs>
        <w:spacing w:after="11"/>
        <w:ind w:right="182"/>
        <w:rPr>
          <w:bCs/>
          <w:szCs w:val="24"/>
        </w:rPr>
      </w:pPr>
      <w:r w:rsidRPr="00A25DF5">
        <w:rPr>
          <w:bCs/>
          <w:szCs w:val="24"/>
        </w:rPr>
        <w:t>Failure to inform us of a site closure or withdrawal from the scheme</w:t>
      </w:r>
    </w:p>
    <w:p w14:paraId="5ABB5DDE" w14:textId="7F0D631F" w:rsidR="00026E66" w:rsidRPr="00A25DF5" w:rsidRDefault="002737EF" w:rsidP="00FE1B7E">
      <w:pPr>
        <w:pStyle w:val="ListParagraph"/>
        <w:numPr>
          <w:ilvl w:val="0"/>
          <w:numId w:val="62"/>
        </w:numPr>
        <w:tabs>
          <w:tab w:val="left" w:pos="0"/>
        </w:tabs>
        <w:ind w:right="182"/>
        <w:rPr>
          <w:bCs/>
          <w:szCs w:val="24"/>
        </w:rPr>
      </w:pPr>
      <w:r w:rsidRPr="00A25DF5">
        <w:rPr>
          <w:bCs/>
          <w:szCs w:val="24"/>
        </w:rPr>
        <w:t>Failure to pay a financial penalty</w:t>
      </w:r>
    </w:p>
    <w:p w14:paraId="610CF3ED" w14:textId="77777777" w:rsidR="00026E66" w:rsidRDefault="002737EF" w:rsidP="00FF0098">
      <w:pPr>
        <w:tabs>
          <w:tab w:val="left" w:pos="0"/>
        </w:tabs>
        <w:spacing w:after="11"/>
        <w:ind w:right="182"/>
        <w:rPr>
          <w:bCs/>
          <w:color w:val="auto"/>
          <w:szCs w:val="24"/>
        </w:rPr>
      </w:pPr>
      <w:r>
        <w:rPr>
          <w:bCs/>
          <w:color w:val="auto"/>
          <w:szCs w:val="24"/>
        </w:rPr>
        <w:t>Examples where the operator fails to agree a variation in a target proposed under the terms of the underlying agreement:</w:t>
      </w:r>
    </w:p>
    <w:p w14:paraId="48F6A29D" w14:textId="25ED6F65" w:rsidR="00026E66" w:rsidRDefault="002737EF" w:rsidP="0065356B">
      <w:pPr>
        <w:pStyle w:val="ListParagraph"/>
        <w:numPr>
          <w:ilvl w:val="0"/>
          <w:numId w:val="61"/>
        </w:numPr>
        <w:tabs>
          <w:tab w:val="left" w:pos="0"/>
        </w:tabs>
        <w:spacing w:after="11"/>
        <w:ind w:right="182"/>
      </w:pPr>
      <w:r w:rsidRPr="00A25DF5">
        <w:rPr>
          <w:bCs/>
          <w:szCs w:val="24"/>
        </w:rPr>
        <w:t>Failure to agree to a new</w:t>
      </w:r>
      <w:r>
        <w:t xml:space="preserve"> target following a structural </w:t>
      </w:r>
      <w:r w:rsidRPr="00A25DF5">
        <w:rPr>
          <w:rFonts w:cs="Arial"/>
          <w:szCs w:val="24"/>
        </w:rPr>
        <w:t xml:space="preserve">or other </w:t>
      </w:r>
      <w:r>
        <w:t>change</w:t>
      </w:r>
      <w:r w:rsidRPr="00A25DF5">
        <w:rPr>
          <w:rFonts w:cs="Arial"/>
          <w:szCs w:val="24"/>
        </w:rPr>
        <w:t xml:space="preserve"> </w:t>
      </w:r>
    </w:p>
    <w:p w14:paraId="38C940DF" w14:textId="43272AC0" w:rsidR="00026E66" w:rsidRDefault="002737EF" w:rsidP="0065356B">
      <w:pPr>
        <w:pStyle w:val="ListParagraph"/>
        <w:numPr>
          <w:ilvl w:val="0"/>
          <w:numId w:val="61"/>
        </w:numPr>
        <w:tabs>
          <w:tab w:val="left" w:pos="0"/>
        </w:tabs>
        <w:spacing w:after="11"/>
        <w:ind w:right="182"/>
      </w:pPr>
      <w:r w:rsidRPr="00A25DF5">
        <w:rPr>
          <w:rFonts w:cs="Arial"/>
          <w:szCs w:val="24"/>
        </w:rPr>
        <w:t xml:space="preserve">Failure to agree to a new target </w:t>
      </w:r>
      <w:r>
        <w:t xml:space="preserve">following corrections of errors in the </w:t>
      </w:r>
      <w:hyperlink w:anchor="baseyear" w:history="1">
        <w:r w:rsidRPr="00842B45">
          <w:rPr>
            <w:rStyle w:val="Hyperlink"/>
          </w:rPr>
          <w:t>base year</w:t>
        </w:r>
      </w:hyperlink>
      <w:r>
        <w:t xml:space="preserve"> data</w:t>
      </w:r>
    </w:p>
    <w:p w14:paraId="36937233" w14:textId="6820CAF2" w:rsidR="00026E66" w:rsidRDefault="002737EF" w:rsidP="00FF0098">
      <w:pPr>
        <w:tabs>
          <w:tab w:val="left" w:pos="0"/>
        </w:tabs>
        <w:ind w:right="182"/>
        <w:rPr>
          <w:color w:val="auto"/>
          <w:szCs w:val="24"/>
        </w:rPr>
      </w:pPr>
      <w:r>
        <w:rPr>
          <w:color w:val="auto"/>
          <w:szCs w:val="24"/>
        </w:rPr>
        <w:t xml:space="preserve">We must terminate an agreement if </w:t>
      </w:r>
      <w:r w:rsidR="00FE1B7E">
        <w:rPr>
          <w:color w:val="auto"/>
          <w:szCs w:val="24"/>
        </w:rPr>
        <w:t xml:space="preserve">a </w:t>
      </w:r>
      <w:r>
        <w:rPr>
          <w:color w:val="auto"/>
          <w:szCs w:val="24"/>
        </w:rPr>
        <w:t xml:space="preserve">facility ceases to be eligible for inclusion in an agreement (Regulation 17(4)). </w:t>
      </w:r>
    </w:p>
    <w:p w14:paraId="3B18DEE5" w14:textId="6FFC79B9" w:rsidR="00026E66" w:rsidRPr="00A25DF5" w:rsidRDefault="6A5F87CF" w:rsidP="00A25DF5">
      <w:pPr>
        <w:tabs>
          <w:tab w:val="left" w:pos="0"/>
        </w:tabs>
        <w:spacing w:after="0"/>
        <w:ind w:right="182"/>
      </w:pPr>
      <w:r w:rsidRPr="44CBE92E">
        <w:rPr>
          <w:color w:val="auto"/>
        </w:rPr>
        <w:t>The sector association or operator has the right to appeal against a decision to terminate an agreement at a First</w:t>
      </w:r>
      <w:r w:rsidR="4A12663D" w:rsidRPr="44CBE92E">
        <w:rPr>
          <w:color w:val="auto"/>
        </w:rPr>
        <w:t>-</w:t>
      </w:r>
      <w:r w:rsidR="00542AF7">
        <w:rPr>
          <w:color w:val="auto"/>
        </w:rPr>
        <w:t>t</w:t>
      </w:r>
      <w:r w:rsidRPr="44CBE92E">
        <w:rPr>
          <w:color w:val="auto"/>
        </w:rPr>
        <w:t>ier Tribunal as described in Regulation 20(2). Further information on the appeal process can be found at:</w:t>
      </w:r>
      <w:hyperlink r:id="rId59">
        <w:r w:rsidRPr="44CBE92E">
          <w:rPr>
            <w:color w:val="auto"/>
          </w:rPr>
          <w:t xml:space="preserve"> </w:t>
        </w:r>
      </w:hyperlink>
      <w:hyperlink r:id="rId60">
        <w:r w:rsidRPr="44CBE92E">
          <w:rPr>
            <w:color w:val="0070C0"/>
            <w:u w:val="single"/>
          </w:rPr>
          <w:t xml:space="preserve">About </w:t>
        </w:r>
      </w:hyperlink>
      <w:hyperlink r:id="rId61">
        <w:r w:rsidRPr="44CBE92E">
          <w:rPr>
            <w:color w:val="0070C0"/>
            <w:u w:val="single"/>
          </w:rPr>
          <w:t xml:space="preserve">- </w:t>
        </w:r>
      </w:hyperlink>
      <w:hyperlink r:id="rId62">
        <w:r w:rsidRPr="44CBE92E">
          <w:rPr>
            <w:color w:val="0070C0"/>
            <w:u w:val="single"/>
          </w:rPr>
          <w:t>HM</w:t>
        </w:r>
      </w:hyperlink>
      <w:hyperlink r:id="rId63">
        <w:r w:rsidRPr="44CBE92E">
          <w:rPr>
            <w:color w:val="0070C0"/>
            <w:u w:val="single"/>
          </w:rPr>
          <w:t xml:space="preserve"> </w:t>
        </w:r>
      </w:hyperlink>
      <w:hyperlink r:id="rId64">
        <w:r w:rsidRPr="44CBE92E">
          <w:rPr>
            <w:color w:val="0070C0"/>
            <w:u w:val="single"/>
          </w:rPr>
          <w:t>Courts</w:t>
        </w:r>
      </w:hyperlink>
      <w:hyperlink r:id="rId65">
        <w:r w:rsidRPr="44CBE92E">
          <w:rPr>
            <w:color w:val="0070C0"/>
            <w:u w:val="single"/>
          </w:rPr>
          <w:t xml:space="preserve"> </w:t>
        </w:r>
        <w:r w:rsidR="00D8535E" w:rsidRPr="44CBE92E">
          <w:rPr>
            <w:color w:val="0070C0"/>
            <w:u w:val="single"/>
          </w:rPr>
          <w:t>and</w:t>
        </w:r>
        <w:r w:rsidRPr="44CBE92E">
          <w:rPr>
            <w:color w:val="0070C0"/>
            <w:u w:val="single"/>
          </w:rPr>
          <w:t xml:space="preserve"> </w:t>
        </w:r>
      </w:hyperlink>
      <w:hyperlink r:id="rId66">
        <w:r w:rsidRPr="44CBE92E">
          <w:rPr>
            <w:color w:val="0070C0"/>
            <w:u w:val="single"/>
          </w:rPr>
          <w:t>Tribunals</w:t>
        </w:r>
      </w:hyperlink>
      <w:hyperlink r:id="rId67">
        <w:r w:rsidRPr="44CBE92E">
          <w:rPr>
            <w:color w:val="0070C0"/>
            <w:u w:val="single"/>
          </w:rPr>
          <w:t xml:space="preserve"> </w:t>
        </w:r>
      </w:hyperlink>
      <w:hyperlink r:id="rId68">
        <w:r w:rsidRPr="44CBE92E">
          <w:rPr>
            <w:color w:val="0070C0"/>
            <w:u w:val="single"/>
          </w:rPr>
          <w:t>Service</w:t>
        </w:r>
      </w:hyperlink>
      <w:hyperlink r:id="rId69">
        <w:r w:rsidRPr="44CBE92E">
          <w:rPr>
            <w:color w:val="0070C0"/>
          </w:rPr>
          <w:t>.</w:t>
        </w:r>
      </w:hyperlink>
      <w:r w:rsidRPr="44CBE92E">
        <w:rPr>
          <w:color w:val="0070C0"/>
        </w:rPr>
        <w:t xml:space="preserve"> </w:t>
      </w:r>
    </w:p>
    <w:p w14:paraId="60832BA1" w14:textId="7D79538C" w:rsidR="00026E66" w:rsidRPr="00A25DF5" w:rsidRDefault="002737EF" w:rsidP="00FF0098">
      <w:pPr>
        <w:tabs>
          <w:tab w:val="left" w:pos="0"/>
        </w:tabs>
        <w:spacing w:after="0"/>
        <w:ind w:right="182"/>
      </w:pPr>
      <w:r>
        <w:rPr>
          <w:color w:val="auto"/>
        </w:rPr>
        <w:t xml:space="preserve">We also carry out administrative </w:t>
      </w:r>
      <w:r>
        <w:rPr>
          <w:color w:val="auto"/>
          <w:szCs w:val="24"/>
        </w:rPr>
        <w:t>terminations</w:t>
      </w:r>
      <w:r w:rsidR="002578E6">
        <w:rPr>
          <w:color w:val="auto"/>
          <w:szCs w:val="24"/>
        </w:rPr>
        <w:t>,</w:t>
      </w:r>
      <w:r>
        <w:rPr>
          <w:color w:val="auto"/>
          <w:szCs w:val="24"/>
        </w:rPr>
        <w:t xml:space="preserve"> for example</w:t>
      </w:r>
      <w:r>
        <w:rPr>
          <w:color w:val="auto"/>
        </w:rPr>
        <w:t xml:space="preserve"> to remove </w:t>
      </w:r>
      <w:r>
        <w:rPr>
          <w:color w:val="auto"/>
          <w:szCs w:val="24"/>
        </w:rPr>
        <w:t xml:space="preserve">old </w:t>
      </w:r>
      <w:r>
        <w:rPr>
          <w:color w:val="auto"/>
        </w:rPr>
        <w:t xml:space="preserve">facilities from </w:t>
      </w:r>
      <w:r w:rsidR="008C3836">
        <w:rPr>
          <w:color w:val="auto"/>
        </w:rPr>
        <w:t>agreements</w:t>
      </w:r>
      <w:r>
        <w:rPr>
          <w:color w:val="auto"/>
        </w:rPr>
        <w:t xml:space="preserve"> after </w:t>
      </w:r>
      <w:r>
        <w:rPr>
          <w:color w:val="auto"/>
          <w:szCs w:val="24"/>
        </w:rPr>
        <w:t>they</w:t>
      </w:r>
      <w:r>
        <w:rPr>
          <w:color w:val="auto"/>
        </w:rPr>
        <w:t xml:space="preserve"> have </w:t>
      </w:r>
      <w:r>
        <w:rPr>
          <w:color w:val="auto"/>
          <w:szCs w:val="24"/>
        </w:rPr>
        <w:t xml:space="preserve">successfully </w:t>
      </w:r>
      <w:r>
        <w:rPr>
          <w:color w:val="auto"/>
        </w:rPr>
        <w:t xml:space="preserve">transferred to a new </w:t>
      </w:r>
      <w:r>
        <w:rPr>
          <w:color w:val="auto"/>
          <w:szCs w:val="24"/>
        </w:rPr>
        <w:t>operator</w:t>
      </w:r>
      <w:r>
        <w:rPr>
          <w:color w:val="auto"/>
        </w:rPr>
        <w:t xml:space="preserve"> following a change of ownership.</w:t>
      </w:r>
      <w:r>
        <w:rPr>
          <w:color w:val="auto"/>
          <w:szCs w:val="24"/>
        </w:rPr>
        <w:t xml:space="preserve"> </w:t>
      </w:r>
    </w:p>
    <w:p w14:paraId="7F1AE133" w14:textId="4A8AA0CE" w:rsidR="00026E66" w:rsidRDefault="002737EF" w:rsidP="00FF0098">
      <w:pPr>
        <w:pStyle w:val="Heading3"/>
        <w:tabs>
          <w:tab w:val="left" w:pos="0"/>
        </w:tabs>
      </w:pPr>
      <w:r>
        <w:t>8.3.3. Re-entry following termination</w:t>
      </w:r>
      <w:r w:rsidR="00FC355D">
        <w:t xml:space="preserve"> </w:t>
      </w:r>
    </w:p>
    <w:p w14:paraId="453E5F1B" w14:textId="6A7131E8" w:rsidR="00026E66" w:rsidRDefault="002737EF" w:rsidP="00FF0098">
      <w:pPr>
        <w:tabs>
          <w:tab w:val="left" w:pos="0"/>
        </w:tabs>
        <w:ind w:right="182"/>
      </w:pPr>
      <w:r>
        <w:rPr>
          <w:color w:val="auto"/>
          <w:szCs w:val="24"/>
        </w:rPr>
        <w:t>A</w:t>
      </w:r>
      <w:r>
        <w:rPr>
          <w:color w:val="auto"/>
        </w:rPr>
        <w:t xml:space="preserve"> facility that has been terminated </w:t>
      </w:r>
      <w:r>
        <w:rPr>
          <w:color w:val="auto"/>
          <w:szCs w:val="24"/>
        </w:rPr>
        <w:t xml:space="preserve">from the scheme </w:t>
      </w:r>
      <w:r>
        <w:rPr>
          <w:color w:val="auto"/>
        </w:rPr>
        <w:t>can apply to re-</w:t>
      </w:r>
      <w:r>
        <w:rPr>
          <w:color w:val="auto"/>
          <w:szCs w:val="24"/>
        </w:rPr>
        <w:t>join</w:t>
      </w:r>
      <w:r w:rsidR="00C5321C">
        <w:rPr>
          <w:color w:val="auto"/>
          <w:szCs w:val="24"/>
        </w:rPr>
        <w:t xml:space="preserve"> between 1 January and 31 August</w:t>
      </w:r>
      <w:r w:rsidR="00315726">
        <w:rPr>
          <w:color w:val="auto"/>
        </w:rPr>
        <w:t xml:space="preserve"> </w:t>
      </w:r>
      <w:r w:rsidR="00315726">
        <w:rPr>
          <w:color w:val="auto"/>
          <w:szCs w:val="24"/>
        </w:rPr>
        <w:t>each year</w:t>
      </w:r>
      <w:r w:rsidR="00EA1FEC">
        <w:rPr>
          <w:color w:val="auto"/>
          <w:szCs w:val="24"/>
        </w:rPr>
        <w:t xml:space="preserve"> throughout the scheme</w:t>
      </w:r>
      <w:r w:rsidR="00802A43">
        <w:rPr>
          <w:color w:val="auto"/>
          <w:szCs w:val="24"/>
        </w:rPr>
        <w:t xml:space="preserve"> until 31 August 2029</w:t>
      </w:r>
      <w:r w:rsidR="00315726">
        <w:rPr>
          <w:color w:val="auto"/>
          <w:szCs w:val="24"/>
        </w:rPr>
        <w:t>.</w:t>
      </w:r>
      <w:r>
        <w:rPr>
          <w:color w:val="auto"/>
        </w:rPr>
        <w:t xml:space="preserve"> </w:t>
      </w:r>
      <w:r>
        <w:rPr>
          <w:color w:val="auto"/>
          <w:szCs w:val="24"/>
        </w:rPr>
        <w:t xml:space="preserve">This applies to facilities that were terminated voluntarily or were terminated by </w:t>
      </w:r>
      <w:r>
        <w:rPr>
          <w:color w:val="auto"/>
        </w:rPr>
        <w:t xml:space="preserve">the </w:t>
      </w:r>
      <w:r>
        <w:rPr>
          <w:color w:val="auto"/>
          <w:szCs w:val="24"/>
        </w:rPr>
        <w:t xml:space="preserve">Environment Agency. </w:t>
      </w:r>
    </w:p>
    <w:p w14:paraId="04D37923" w14:textId="571A2FA8" w:rsidR="00026E66" w:rsidRDefault="002737EF" w:rsidP="00FF0098">
      <w:pPr>
        <w:tabs>
          <w:tab w:val="left" w:pos="0"/>
        </w:tabs>
        <w:ind w:right="182"/>
      </w:pPr>
      <w:r>
        <w:rPr>
          <w:color w:val="auto"/>
          <w:szCs w:val="24"/>
        </w:rPr>
        <w:lastRenderedPageBreak/>
        <w:t>Any facility seeking to</w:t>
      </w:r>
      <w:r>
        <w:rPr>
          <w:color w:val="auto"/>
        </w:rPr>
        <w:t xml:space="preserve"> re-enter </w:t>
      </w:r>
      <w:r>
        <w:rPr>
          <w:color w:val="auto"/>
          <w:szCs w:val="24"/>
        </w:rPr>
        <w:t>should demonstrate that:</w:t>
      </w:r>
      <w:r>
        <w:rPr>
          <w:color w:val="auto"/>
        </w:rPr>
        <w:t xml:space="preserve"> </w:t>
      </w:r>
    </w:p>
    <w:p w14:paraId="3FDADD86" w14:textId="77777777" w:rsidR="00026E66" w:rsidRDefault="002737EF" w:rsidP="0065356B">
      <w:pPr>
        <w:pStyle w:val="ListParagraph"/>
        <w:numPr>
          <w:ilvl w:val="0"/>
          <w:numId w:val="63"/>
        </w:numPr>
        <w:tabs>
          <w:tab w:val="left" w:pos="0"/>
        </w:tabs>
        <w:spacing w:after="75"/>
        <w:ind w:right="182"/>
      </w:pPr>
      <w:r>
        <w:t xml:space="preserve">it </w:t>
      </w:r>
      <w:r w:rsidRPr="00A25DF5">
        <w:rPr>
          <w:szCs w:val="24"/>
        </w:rPr>
        <w:t xml:space="preserve">is </w:t>
      </w:r>
      <w:r>
        <w:t xml:space="preserve">eligible </w:t>
      </w:r>
      <w:r w:rsidRPr="00A25DF5">
        <w:rPr>
          <w:szCs w:val="24"/>
        </w:rPr>
        <w:t>to re-join</w:t>
      </w:r>
      <w:r>
        <w:t xml:space="preserve"> the </w:t>
      </w:r>
      <w:r w:rsidRPr="00A25DF5">
        <w:rPr>
          <w:szCs w:val="24"/>
        </w:rPr>
        <w:t xml:space="preserve">scheme </w:t>
      </w:r>
    </w:p>
    <w:p w14:paraId="4A714528" w14:textId="2D186DE0" w:rsidR="00026E66" w:rsidRDefault="002737EF" w:rsidP="0065356B">
      <w:pPr>
        <w:pStyle w:val="ListParagraph"/>
        <w:numPr>
          <w:ilvl w:val="0"/>
          <w:numId w:val="63"/>
        </w:numPr>
        <w:tabs>
          <w:tab w:val="left" w:pos="0"/>
        </w:tabs>
        <w:ind w:right="182"/>
      </w:pPr>
      <w:r>
        <w:t xml:space="preserve">it met its target </w:t>
      </w:r>
      <w:r w:rsidR="080184EF">
        <w:t>from</w:t>
      </w:r>
      <w:r>
        <w:t xml:space="preserve"> the previous target period, or, if not, the operator has paid the </w:t>
      </w:r>
      <w:hyperlink w:anchor="Buyout" w:history="1">
        <w:r w:rsidRPr="00FE39EA">
          <w:rPr>
            <w:rStyle w:val="Hyperlink"/>
          </w:rPr>
          <w:t>buy-out</w:t>
        </w:r>
      </w:hyperlink>
      <w:r>
        <w:t xml:space="preserve"> </w:t>
      </w:r>
      <w:r w:rsidR="00D60A8E">
        <w:t xml:space="preserve">from the immediately preceding </w:t>
      </w:r>
      <w:hyperlink w:anchor="Certificationperiod" w:history="1">
        <w:r w:rsidR="00D60A8E" w:rsidRPr="1DF3D877">
          <w:rPr>
            <w:rStyle w:val="Hyperlink"/>
          </w:rPr>
          <w:t>certification period</w:t>
        </w:r>
      </w:hyperlink>
      <w:r w:rsidR="00D60A8E">
        <w:t>.</w:t>
      </w:r>
    </w:p>
    <w:p w14:paraId="7676E373" w14:textId="0524A84D" w:rsidR="00026E66" w:rsidRDefault="002737EF" w:rsidP="0065356B">
      <w:pPr>
        <w:pStyle w:val="ListParagraph"/>
        <w:numPr>
          <w:ilvl w:val="0"/>
          <w:numId w:val="63"/>
        </w:numPr>
        <w:tabs>
          <w:tab w:val="left" w:pos="0"/>
        </w:tabs>
        <w:spacing w:after="152" w:line="244" w:lineRule="auto"/>
        <w:ind w:right="182"/>
      </w:pPr>
      <w:r>
        <w:t xml:space="preserve">it has paid any </w:t>
      </w:r>
      <w:r w:rsidRPr="00A25DF5">
        <w:rPr>
          <w:szCs w:val="24"/>
        </w:rPr>
        <w:t xml:space="preserve">missed administration </w:t>
      </w:r>
      <w:r>
        <w:t xml:space="preserve">charges or </w:t>
      </w:r>
      <w:r w:rsidRPr="00A25DF5">
        <w:rPr>
          <w:szCs w:val="24"/>
        </w:rPr>
        <w:t xml:space="preserve">unpaid </w:t>
      </w:r>
      <w:r>
        <w:t>penalties</w:t>
      </w:r>
      <w:r w:rsidR="00012A46">
        <w:t xml:space="preserve"> for the facility</w:t>
      </w:r>
      <w:r>
        <w:t xml:space="preserve"> </w:t>
      </w:r>
      <w:r w:rsidRPr="00A25DF5">
        <w:rPr>
          <w:szCs w:val="24"/>
        </w:rPr>
        <w:t>at the time</w:t>
      </w:r>
      <w:r w:rsidRPr="00A25DF5">
        <w:t xml:space="preserve"> it was terminated</w:t>
      </w:r>
      <w:r w:rsidRPr="00A25DF5">
        <w:rPr>
          <w:szCs w:val="24"/>
        </w:rPr>
        <w:t xml:space="preserve"> </w:t>
      </w:r>
    </w:p>
    <w:p w14:paraId="10DEA323" w14:textId="5DF31C2D" w:rsidR="00731AC5" w:rsidRDefault="003C234F" w:rsidP="00FF0098">
      <w:pPr>
        <w:tabs>
          <w:tab w:val="left" w:pos="0"/>
        </w:tabs>
        <w:ind w:right="182"/>
        <w:rPr>
          <w:color w:val="auto"/>
          <w:szCs w:val="24"/>
        </w:rPr>
      </w:pPr>
      <w:r>
        <w:rPr>
          <w:color w:val="auto"/>
          <w:szCs w:val="24"/>
        </w:rPr>
        <w:t>Re-</w:t>
      </w:r>
      <w:r w:rsidRPr="003C234F">
        <w:rPr>
          <w:color w:val="auto"/>
          <w:szCs w:val="24"/>
        </w:rPr>
        <w:t>entrant facilities can apply for an agreement or to be included in an existing agreement</w:t>
      </w:r>
      <w:r>
        <w:rPr>
          <w:color w:val="auto"/>
          <w:szCs w:val="24"/>
        </w:rPr>
        <w:t xml:space="preserve"> as explained in </w:t>
      </w:r>
      <w:hyperlink w:anchor="_4._Setting_up" w:history="1">
        <w:r w:rsidRPr="003C234F">
          <w:rPr>
            <w:rStyle w:val="Hyperlink"/>
            <w:szCs w:val="24"/>
          </w:rPr>
          <w:t>section 4</w:t>
        </w:r>
      </w:hyperlink>
      <w:r>
        <w:rPr>
          <w:color w:val="auto"/>
          <w:szCs w:val="24"/>
        </w:rPr>
        <w:t>.</w:t>
      </w:r>
      <w:r w:rsidR="008A68FC">
        <w:rPr>
          <w:color w:val="auto"/>
          <w:szCs w:val="24"/>
        </w:rPr>
        <w:t xml:space="preserve"> </w:t>
      </w:r>
    </w:p>
    <w:p w14:paraId="14A33E2E" w14:textId="499646CA" w:rsidR="00026E66" w:rsidRDefault="002737EF" w:rsidP="00FF0098">
      <w:pPr>
        <w:tabs>
          <w:tab w:val="left" w:pos="0"/>
        </w:tabs>
        <w:ind w:right="182"/>
      </w:pPr>
      <w:r>
        <w:rPr>
          <w:color w:val="auto"/>
        </w:rPr>
        <w:t xml:space="preserve">The operator of </w:t>
      </w:r>
      <w:r>
        <w:rPr>
          <w:color w:val="auto"/>
          <w:szCs w:val="24"/>
        </w:rPr>
        <w:t>the terminated</w:t>
      </w:r>
      <w:r>
        <w:rPr>
          <w:color w:val="auto"/>
        </w:rPr>
        <w:t xml:space="preserve"> facility should </w:t>
      </w:r>
      <w:r>
        <w:rPr>
          <w:color w:val="auto"/>
          <w:szCs w:val="24"/>
        </w:rPr>
        <w:t xml:space="preserve">apply to the scheme as a new entrant and </w:t>
      </w:r>
      <w:r>
        <w:rPr>
          <w:color w:val="auto"/>
        </w:rPr>
        <w:t xml:space="preserve">follow the </w:t>
      </w:r>
      <w:r>
        <w:rPr>
          <w:color w:val="auto"/>
          <w:szCs w:val="24"/>
        </w:rPr>
        <w:t xml:space="preserve">full </w:t>
      </w:r>
      <w:r>
        <w:rPr>
          <w:color w:val="auto"/>
        </w:rPr>
        <w:t xml:space="preserve">process outlined in </w:t>
      </w:r>
      <w:hyperlink w:anchor="_6._Application_process" w:history="1">
        <w:r>
          <w:rPr>
            <w:rStyle w:val="Hyperlink"/>
          </w:rPr>
          <w:t>section 6</w:t>
        </w:r>
      </w:hyperlink>
      <w:r>
        <w:rPr>
          <w:color w:val="auto"/>
          <w:u w:val="single" w:color="0077B9"/>
        </w:rPr>
        <w:t xml:space="preserve"> </w:t>
      </w:r>
      <w:r>
        <w:rPr>
          <w:color w:val="auto"/>
          <w:szCs w:val="24"/>
        </w:rPr>
        <w:t>providing the necessary evidence and eligibility information. The previous</w:t>
      </w:r>
      <w:r w:rsidR="002F2918">
        <w:rPr>
          <w:color w:val="auto"/>
          <w:szCs w:val="24"/>
        </w:rPr>
        <w:t xml:space="preserve"> agreement</w:t>
      </w:r>
      <w:r w:rsidR="00EB66FD">
        <w:rPr>
          <w:color w:val="auto"/>
          <w:szCs w:val="24"/>
        </w:rPr>
        <w:t xml:space="preserve"> or facility</w:t>
      </w:r>
      <w:r>
        <w:rPr>
          <w:color w:val="auto"/>
          <w:szCs w:val="24"/>
        </w:rPr>
        <w:t xml:space="preserve"> ID number must be given in the application to show the facility has previously been part of the scheme. Failure</w:t>
      </w:r>
      <w:r>
        <w:t xml:space="preserve"> to provide this </w:t>
      </w:r>
      <w:r>
        <w:rPr>
          <w:szCs w:val="24"/>
        </w:rPr>
        <w:t xml:space="preserve">information </w:t>
      </w:r>
      <w:r>
        <w:t xml:space="preserve">may lead to penalty </w:t>
      </w:r>
      <w:r>
        <w:rPr>
          <w:szCs w:val="24"/>
        </w:rPr>
        <w:t xml:space="preserve">or termination later </w:t>
      </w:r>
      <w:r>
        <w:t>if we discover this information was knowingly withheld</w:t>
      </w:r>
      <w:r>
        <w:rPr>
          <w:szCs w:val="24"/>
        </w:rPr>
        <w:t xml:space="preserve"> in</w:t>
      </w:r>
      <w:r>
        <w:t xml:space="preserve"> the </w:t>
      </w:r>
      <w:r>
        <w:rPr>
          <w:szCs w:val="24"/>
        </w:rPr>
        <w:t>application. We expect</w:t>
      </w:r>
      <w:r>
        <w:t xml:space="preserve"> the original </w:t>
      </w:r>
      <w:hyperlink w:anchor="baseyear" w:history="1">
        <w:r w:rsidRPr="0010331E">
          <w:rPr>
            <w:rStyle w:val="Hyperlink"/>
            <w:szCs w:val="24"/>
          </w:rPr>
          <w:t>base year</w:t>
        </w:r>
      </w:hyperlink>
      <w:r>
        <w:rPr>
          <w:color w:val="auto"/>
          <w:szCs w:val="24"/>
        </w:rPr>
        <w:t xml:space="preserve"> </w:t>
      </w:r>
      <w:r>
        <w:rPr>
          <w:color w:val="auto"/>
        </w:rPr>
        <w:t xml:space="preserve">to apply </w:t>
      </w:r>
      <w:r>
        <w:rPr>
          <w:color w:val="auto"/>
          <w:szCs w:val="24"/>
        </w:rPr>
        <w:t>to a facility re-entering the scheme</w:t>
      </w:r>
      <w:r w:rsidR="008C7556">
        <w:rPr>
          <w:color w:val="auto"/>
          <w:szCs w:val="24"/>
        </w:rPr>
        <w:t xml:space="preserve"> or if the base year</w:t>
      </w:r>
      <w:r w:rsidR="00EB5F66">
        <w:rPr>
          <w:color w:val="auto"/>
          <w:szCs w:val="24"/>
        </w:rPr>
        <w:t xml:space="preserve"> that is used to set targets</w:t>
      </w:r>
      <w:r w:rsidR="008C7556">
        <w:rPr>
          <w:color w:val="auto"/>
          <w:szCs w:val="24"/>
        </w:rPr>
        <w:t xml:space="preserve"> has changed since the facility left the scheme, the relevant</w:t>
      </w:r>
      <w:r w:rsidR="00EB5F66">
        <w:rPr>
          <w:color w:val="auto"/>
          <w:szCs w:val="24"/>
        </w:rPr>
        <w:t xml:space="preserve"> base year</w:t>
      </w:r>
      <w:r w:rsidR="006C3FF0">
        <w:rPr>
          <w:color w:val="auto"/>
          <w:szCs w:val="24"/>
        </w:rPr>
        <w:t xml:space="preserve"> for the current target period</w:t>
      </w:r>
      <w:r w:rsidR="00F10041">
        <w:rPr>
          <w:color w:val="auto"/>
          <w:szCs w:val="24"/>
        </w:rPr>
        <w:t>s</w:t>
      </w:r>
      <w:r w:rsidR="00EB5F66">
        <w:rPr>
          <w:color w:val="auto"/>
          <w:szCs w:val="24"/>
        </w:rPr>
        <w:t>.</w:t>
      </w:r>
    </w:p>
    <w:p w14:paraId="6EEFEB43" w14:textId="0A40F87F" w:rsidR="00D375E9" w:rsidRPr="00D375E9" w:rsidRDefault="00D375E9" w:rsidP="00D375E9">
      <w:pPr>
        <w:tabs>
          <w:tab w:val="left" w:pos="0"/>
        </w:tabs>
        <w:ind w:right="182"/>
        <w:rPr>
          <w:color w:val="auto"/>
          <w:szCs w:val="24"/>
        </w:rPr>
      </w:pPr>
      <w:r>
        <w:rPr>
          <w:color w:val="auto"/>
          <w:szCs w:val="24"/>
        </w:rPr>
        <w:t>The method for t</w:t>
      </w:r>
      <w:r w:rsidRPr="00D375E9">
        <w:rPr>
          <w:color w:val="auto"/>
          <w:szCs w:val="24"/>
        </w:rPr>
        <w:t>arget</w:t>
      </w:r>
      <w:r>
        <w:rPr>
          <w:color w:val="auto"/>
          <w:szCs w:val="24"/>
        </w:rPr>
        <w:t xml:space="preserve"> setting</w:t>
      </w:r>
      <w:r w:rsidRPr="00D375E9">
        <w:rPr>
          <w:color w:val="auto"/>
          <w:szCs w:val="24"/>
        </w:rPr>
        <w:t xml:space="preserve"> </w:t>
      </w:r>
      <w:r>
        <w:rPr>
          <w:color w:val="auto"/>
          <w:szCs w:val="24"/>
        </w:rPr>
        <w:t xml:space="preserve">for re-entrants is </w:t>
      </w:r>
      <w:r w:rsidRPr="00D375E9">
        <w:rPr>
          <w:color w:val="auto"/>
          <w:szCs w:val="24"/>
        </w:rPr>
        <w:t xml:space="preserve">as explained in </w:t>
      </w:r>
      <w:hyperlink w:anchor="_4.4._Target_setting" w:history="1">
        <w:r w:rsidRPr="00D375E9">
          <w:rPr>
            <w:rStyle w:val="Hyperlink"/>
            <w:szCs w:val="24"/>
          </w:rPr>
          <w:t>section 4.4</w:t>
        </w:r>
      </w:hyperlink>
      <w:r>
        <w:rPr>
          <w:color w:val="auto"/>
          <w:szCs w:val="24"/>
        </w:rPr>
        <w:t>.</w:t>
      </w:r>
      <w:r w:rsidRPr="00D375E9">
        <w:rPr>
          <w:color w:val="auto"/>
          <w:szCs w:val="24"/>
        </w:rPr>
        <w:t xml:space="preserve"> </w:t>
      </w:r>
    </w:p>
    <w:p w14:paraId="5D2C874B" w14:textId="36FF8EA2" w:rsidR="00026E66" w:rsidRDefault="002737EF" w:rsidP="00FF0098">
      <w:pPr>
        <w:pStyle w:val="Heading3"/>
        <w:tabs>
          <w:tab w:val="left" w:pos="0"/>
        </w:tabs>
      </w:pPr>
      <w:r>
        <w:t>8.3.4. New operator for a previously terminated facility</w:t>
      </w:r>
      <w:r w:rsidR="00FC355D">
        <w:t xml:space="preserve"> </w:t>
      </w:r>
    </w:p>
    <w:p w14:paraId="1700983D" w14:textId="1B647ECE" w:rsidR="00B41235" w:rsidRPr="00B41235" w:rsidRDefault="002737EF" w:rsidP="00B41235">
      <w:pPr>
        <w:tabs>
          <w:tab w:val="left" w:pos="0"/>
        </w:tabs>
        <w:ind w:right="182"/>
        <w:rPr>
          <w:color w:val="auto"/>
          <w:szCs w:val="24"/>
        </w:rPr>
      </w:pPr>
      <w:r>
        <w:rPr>
          <w:color w:val="auto"/>
          <w:szCs w:val="24"/>
        </w:rPr>
        <w:t>If the operator of a facility that was part of a previously terminated agreement changes, the new operator can apply for that facility to be included within an underlying agreement.</w:t>
      </w:r>
      <w:r w:rsidR="00FC355D">
        <w:rPr>
          <w:color w:val="auto"/>
          <w:szCs w:val="24"/>
        </w:rPr>
        <w:t xml:space="preserve"> </w:t>
      </w:r>
      <w:r>
        <w:rPr>
          <w:color w:val="auto"/>
          <w:szCs w:val="24"/>
        </w:rPr>
        <w:t>Although the new operator is not liable for any outstanding CCA penalties, buy-out or charges</w:t>
      </w:r>
      <w:r w:rsidR="004B02F1">
        <w:rPr>
          <w:color w:val="auto"/>
          <w:szCs w:val="24"/>
        </w:rPr>
        <w:t>,</w:t>
      </w:r>
      <w:r>
        <w:rPr>
          <w:color w:val="auto"/>
          <w:szCs w:val="24"/>
        </w:rPr>
        <w:t xml:space="preserve"> we cannot include the facility in an agreement until outstanding penalties and charges are paid and any buy-out from the immediately preceding certification period is also paid. </w:t>
      </w:r>
    </w:p>
    <w:p w14:paraId="1CF09F7F" w14:textId="16D78BD6" w:rsidR="00026E66" w:rsidRDefault="002737EF" w:rsidP="00FF0098">
      <w:pPr>
        <w:pStyle w:val="Heading2"/>
        <w:tabs>
          <w:tab w:val="left" w:pos="0"/>
        </w:tabs>
      </w:pPr>
      <w:bookmarkStart w:id="178" w:name="_8.4._Appeals_and"/>
      <w:bookmarkStart w:id="179" w:name="_Toc94718665"/>
      <w:bookmarkStart w:id="180" w:name="_Toc94088913"/>
      <w:bookmarkStart w:id="181" w:name="_Toc242885392"/>
      <w:bookmarkEnd w:id="178"/>
      <w:r>
        <w:t xml:space="preserve">8.4. Appeals </w:t>
      </w:r>
      <w:r w:rsidR="00C215D2">
        <w:t>and complaints</w:t>
      </w:r>
      <w:r>
        <w:t xml:space="preserve"> </w:t>
      </w:r>
      <w:r w:rsidR="00A25DF5">
        <w:t>p</w:t>
      </w:r>
      <w:r>
        <w:t>rocess</w:t>
      </w:r>
      <w:bookmarkEnd w:id="179"/>
      <w:bookmarkEnd w:id="180"/>
      <w:bookmarkEnd w:id="181"/>
      <w:r>
        <w:t xml:space="preserve"> </w:t>
      </w:r>
    </w:p>
    <w:p w14:paraId="619FBE38" w14:textId="1C21BA9B" w:rsidR="00996305" w:rsidRPr="00996305" w:rsidRDefault="00996305" w:rsidP="00996305">
      <w:pPr>
        <w:pStyle w:val="Heading3"/>
        <w:tabs>
          <w:tab w:val="left" w:pos="0"/>
        </w:tabs>
      </w:pPr>
      <w:bookmarkStart w:id="182" w:name="_8.4.1._Appeal_to"/>
      <w:bookmarkEnd w:id="182"/>
      <w:r w:rsidRPr="00996305">
        <w:t>8.4.1. Appeal to the First-tier Tribunal</w:t>
      </w:r>
    </w:p>
    <w:p w14:paraId="56238043" w14:textId="0D42C908" w:rsidR="00026E66" w:rsidRDefault="002737EF" w:rsidP="004B4264">
      <w:pPr>
        <w:tabs>
          <w:tab w:val="left" w:pos="0"/>
        </w:tabs>
      </w:pPr>
      <w:r>
        <w:rPr>
          <w:color w:val="auto"/>
          <w:szCs w:val="24"/>
        </w:rPr>
        <w:t xml:space="preserve">If </w:t>
      </w:r>
      <w:r>
        <w:rPr>
          <w:color w:val="auto"/>
        </w:rPr>
        <w:t xml:space="preserve">an </w:t>
      </w:r>
      <w:r>
        <w:rPr>
          <w:color w:val="auto"/>
          <w:szCs w:val="24"/>
        </w:rPr>
        <w:t xml:space="preserve">operator wishes to challenge </w:t>
      </w:r>
      <w:r>
        <w:t xml:space="preserve">a </w:t>
      </w:r>
      <w:r>
        <w:rPr>
          <w:szCs w:val="24"/>
        </w:rPr>
        <w:t xml:space="preserve">decision taken by the Environment Agency such as to terminate </w:t>
      </w:r>
      <w:r>
        <w:t>an agreement, not certify a facility</w:t>
      </w:r>
      <w:r>
        <w:rPr>
          <w:szCs w:val="24"/>
        </w:rPr>
        <w:t xml:space="preserve"> (for example</w:t>
      </w:r>
      <w:r w:rsidR="005E431A">
        <w:rPr>
          <w:szCs w:val="24"/>
        </w:rPr>
        <w:t>,</w:t>
      </w:r>
      <w:r>
        <w:rPr>
          <w:szCs w:val="24"/>
        </w:rPr>
        <w:t xml:space="preserve"> following reporting), to levy </w:t>
      </w:r>
      <w:r>
        <w:t>buy-out</w:t>
      </w:r>
      <w:r>
        <w:rPr>
          <w:szCs w:val="24"/>
        </w:rPr>
        <w:t>,</w:t>
      </w:r>
      <w:r>
        <w:t xml:space="preserve"> or </w:t>
      </w:r>
      <w:r>
        <w:rPr>
          <w:szCs w:val="24"/>
        </w:rPr>
        <w:t>for the imposition of a penalty it has</w:t>
      </w:r>
      <w:r>
        <w:t xml:space="preserve"> the </w:t>
      </w:r>
      <w:r w:rsidR="008853B5">
        <w:t>statutory</w:t>
      </w:r>
      <w:r>
        <w:t xml:space="preserve"> </w:t>
      </w:r>
      <w:r w:rsidRPr="00E517B9">
        <w:rPr>
          <w:szCs w:val="24"/>
        </w:rPr>
        <w:t>right to</w:t>
      </w:r>
      <w:r>
        <w:t xml:space="preserve"> appeal to the </w:t>
      </w:r>
      <w:r w:rsidRPr="00E517B9">
        <w:rPr>
          <w:szCs w:val="24"/>
        </w:rPr>
        <w:t>First-tier Tribunal. After receiving the relevant notice, the operator has</w:t>
      </w:r>
      <w:r>
        <w:t xml:space="preserve"> 28 days </w:t>
      </w:r>
      <w:r w:rsidRPr="00E517B9">
        <w:rPr>
          <w:szCs w:val="24"/>
        </w:rPr>
        <w:t>from</w:t>
      </w:r>
      <w:r>
        <w:t xml:space="preserve"> the date </w:t>
      </w:r>
      <w:r w:rsidRPr="00E517B9">
        <w:rPr>
          <w:szCs w:val="24"/>
        </w:rPr>
        <w:t>that</w:t>
      </w:r>
      <w:r>
        <w:t xml:space="preserve"> the notice</w:t>
      </w:r>
      <w:r w:rsidRPr="00E517B9">
        <w:rPr>
          <w:szCs w:val="24"/>
        </w:rPr>
        <w:t xml:space="preserve"> was sent to lodge a notice of appeal</w:t>
      </w:r>
      <w:r w:rsidR="00B321C1">
        <w:rPr>
          <w:szCs w:val="24"/>
        </w:rPr>
        <w:t>.</w:t>
      </w:r>
      <w:r w:rsidRPr="00E517B9">
        <w:rPr>
          <w:szCs w:val="24"/>
        </w:rPr>
        <w:t xml:space="preserve"> </w:t>
      </w:r>
    </w:p>
    <w:p w14:paraId="2AFC5BDD" w14:textId="5DD7CBD0" w:rsidR="00026E66" w:rsidRDefault="002737EF" w:rsidP="00FF0098">
      <w:pPr>
        <w:tabs>
          <w:tab w:val="left" w:pos="0"/>
        </w:tabs>
      </w:pPr>
      <w:r w:rsidRPr="1874FB38">
        <w:rPr>
          <w:color w:val="auto"/>
        </w:rPr>
        <w:t xml:space="preserve">The appeal process is set out in </w:t>
      </w:r>
      <w:r w:rsidR="009E12F0" w:rsidRPr="1874FB38">
        <w:rPr>
          <w:color w:val="auto"/>
        </w:rPr>
        <w:t>4</w:t>
      </w:r>
      <w:r w:rsidRPr="1874FB38">
        <w:rPr>
          <w:color w:val="auto"/>
        </w:rPr>
        <w:t xml:space="preserve"> stages.</w:t>
      </w:r>
      <w:r w:rsidR="00FC355D" w:rsidRPr="1874FB38">
        <w:rPr>
          <w:color w:val="auto"/>
        </w:rPr>
        <w:t xml:space="preserve"> </w:t>
      </w:r>
      <w:r w:rsidRPr="1874FB38">
        <w:rPr>
          <w:color w:val="auto"/>
        </w:rPr>
        <w:t>The details of this and the appeal form can be found at the Tribunals website at</w:t>
      </w:r>
      <w:hyperlink r:id="rId70">
        <w:r w:rsidRPr="1874FB38">
          <w:rPr>
            <w:color w:val="auto"/>
          </w:rPr>
          <w:t xml:space="preserve"> </w:t>
        </w:r>
      </w:hyperlink>
      <w:hyperlink r:id="rId71">
        <w:r w:rsidRPr="1874FB38">
          <w:rPr>
            <w:color w:val="0070C0"/>
            <w:u w:val="single"/>
          </w:rPr>
          <w:t>Ministry</w:t>
        </w:r>
      </w:hyperlink>
      <w:hyperlink r:id="rId72">
        <w:r w:rsidRPr="1874FB38">
          <w:rPr>
            <w:color w:val="0070C0"/>
            <w:u w:val="single"/>
          </w:rPr>
          <w:t xml:space="preserve"> </w:t>
        </w:r>
      </w:hyperlink>
      <w:hyperlink r:id="rId73">
        <w:r w:rsidRPr="1874FB38">
          <w:rPr>
            <w:color w:val="0070C0"/>
            <w:u w:val="single"/>
          </w:rPr>
          <w:t>of</w:t>
        </w:r>
      </w:hyperlink>
      <w:hyperlink r:id="rId74">
        <w:r w:rsidRPr="1874FB38">
          <w:rPr>
            <w:color w:val="0070C0"/>
            <w:u w:val="single"/>
          </w:rPr>
          <w:t xml:space="preserve"> </w:t>
        </w:r>
      </w:hyperlink>
      <w:hyperlink r:id="rId75">
        <w:r w:rsidRPr="1874FB38">
          <w:rPr>
            <w:color w:val="0070C0"/>
            <w:u w:val="single"/>
          </w:rPr>
          <w:t>Justice</w:t>
        </w:r>
      </w:hyperlink>
      <w:hyperlink r:id="rId76">
        <w:r w:rsidRPr="1874FB38">
          <w:rPr>
            <w:color w:val="auto"/>
            <w:u w:val="single"/>
          </w:rPr>
          <w:t xml:space="preserve"> </w:t>
        </w:r>
      </w:hyperlink>
    </w:p>
    <w:p w14:paraId="2E5CF8BD" w14:textId="77777777" w:rsidR="00026E66" w:rsidRDefault="002737EF" w:rsidP="00FF0098">
      <w:pPr>
        <w:tabs>
          <w:tab w:val="left" w:pos="0"/>
        </w:tabs>
      </w:pPr>
      <w:r>
        <w:t>Alternatively, you can contact the First-tier Tribunal (General Regulatory Chamber):</w:t>
      </w:r>
    </w:p>
    <w:p w14:paraId="3FBF4121" w14:textId="77777777" w:rsidR="00026E66" w:rsidRDefault="002737EF" w:rsidP="0065356B">
      <w:pPr>
        <w:pStyle w:val="ListParagraph"/>
        <w:numPr>
          <w:ilvl w:val="0"/>
          <w:numId w:val="65"/>
        </w:numPr>
        <w:tabs>
          <w:tab w:val="left" w:pos="0"/>
        </w:tabs>
      </w:pPr>
      <w:r>
        <w:lastRenderedPageBreak/>
        <w:t>by telephone: 0300 123 4504</w:t>
      </w:r>
    </w:p>
    <w:p w14:paraId="51B3384B" w14:textId="4F783E53" w:rsidR="00A25DF5" w:rsidRDefault="002737EF" w:rsidP="0065356B">
      <w:pPr>
        <w:pStyle w:val="ListParagraph"/>
        <w:numPr>
          <w:ilvl w:val="0"/>
          <w:numId w:val="65"/>
        </w:numPr>
        <w:tabs>
          <w:tab w:val="left" w:pos="0"/>
        </w:tabs>
      </w:pPr>
      <w:r>
        <w:t xml:space="preserve">by email: </w:t>
      </w:r>
      <w:hyperlink r:id="rId77" w:history="1">
        <w:r>
          <w:rPr>
            <w:rStyle w:val="Hyperlink"/>
          </w:rPr>
          <w:t>grc@justice.gov.uk</w:t>
        </w:r>
      </w:hyperlink>
    </w:p>
    <w:p w14:paraId="460FDA75" w14:textId="77777777" w:rsidR="00996305" w:rsidRDefault="00996305" w:rsidP="00996305">
      <w:pPr>
        <w:pStyle w:val="Heading3"/>
        <w:tabs>
          <w:tab w:val="left" w:pos="0"/>
        </w:tabs>
      </w:pPr>
      <w:r>
        <w:t>8.4.2. Regulatory appeals</w:t>
      </w:r>
    </w:p>
    <w:p w14:paraId="1FC82CB9" w14:textId="55736101" w:rsidR="00E517B9" w:rsidRDefault="005A6A7B" w:rsidP="008853B5">
      <w:pPr>
        <w:rPr>
          <w:szCs w:val="24"/>
        </w:rPr>
      </w:pPr>
      <w:r>
        <w:rPr>
          <w:szCs w:val="24"/>
        </w:rPr>
        <w:t xml:space="preserve">The Regulatory Appeal process can be used </w:t>
      </w:r>
      <w:r w:rsidR="00B91CA5" w:rsidRPr="00E43EF5">
        <w:rPr>
          <w:szCs w:val="24"/>
        </w:rPr>
        <w:t xml:space="preserve">when </w:t>
      </w:r>
      <w:r w:rsidR="00AF55E8">
        <w:rPr>
          <w:szCs w:val="24"/>
        </w:rPr>
        <w:t>an operator disagrees</w:t>
      </w:r>
      <w:r w:rsidR="00B91CA5">
        <w:rPr>
          <w:szCs w:val="24"/>
        </w:rPr>
        <w:t xml:space="preserve"> with</w:t>
      </w:r>
      <w:r w:rsidRPr="00E517B9">
        <w:rPr>
          <w:szCs w:val="24"/>
        </w:rPr>
        <w:t xml:space="preserve"> a regulatory decision made</w:t>
      </w:r>
      <w:r>
        <w:rPr>
          <w:szCs w:val="24"/>
        </w:rPr>
        <w:t xml:space="preserve"> </w:t>
      </w:r>
      <w:r w:rsidR="004B4264">
        <w:rPr>
          <w:szCs w:val="24"/>
        </w:rPr>
        <w:t xml:space="preserve">(such as a decision to reject an application for an agreement) </w:t>
      </w:r>
      <w:r w:rsidRPr="00E43EF5">
        <w:rPr>
          <w:szCs w:val="24"/>
        </w:rPr>
        <w:t>or a failure to act in accordance with the Regulators' Code</w:t>
      </w:r>
      <w:r>
        <w:rPr>
          <w:szCs w:val="24"/>
        </w:rPr>
        <w:t>. D</w:t>
      </w:r>
      <w:r w:rsidR="008853B5" w:rsidRPr="008853B5">
        <w:rPr>
          <w:szCs w:val="24"/>
        </w:rPr>
        <w:t>o not follow this process if you have a statutory right of appeal for a regulatory decision. Instead,</w:t>
      </w:r>
      <w:r w:rsidR="008853B5">
        <w:rPr>
          <w:szCs w:val="24"/>
        </w:rPr>
        <w:t xml:space="preserve"> follow the appeal process</w:t>
      </w:r>
      <w:r w:rsidR="004B4264">
        <w:rPr>
          <w:szCs w:val="24"/>
        </w:rPr>
        <w:t xml:space="preserve"> as described under </w:t>
      </w:r>
      <w:hyperlink w:anchor="_8.4.1._Appeal_to" w:history="1">
        <w:r w:rsidR="004B4264" w:rsidRPr="005F1D15">
          <w:rPr>
            <w:rStyle w:val="Hyperlink"/>
            <w:szCs w:val="24"/>
          </w:rPr>
          <w:t>section 8.4.1</w:t>
        </w:r>
      </w:hyperlink>
      <w:r w:rsidR="004B4264">
        <w:rPr>
          <w:szCs w:val="24"/>
        </w:rPr>
        <w:t xml:space="preserve"> or </w:t>
      </w:r>
      <w:r w:rsidR="004B4264" w:rsidRPr="004B4264">
        <w:rPr>
          <w:szCs w:val="24"/>
        </w:rPr>
        <w:t>in the documents you received</w:t>
      </w:r>
      <w:r w:rsidR="004B4264">
        <w:rPr>
          <w:szCs w:val="24"/>
        </w:rPr>
        <w:t xml:space="preserve">. </w:t>
      </w:r>
    </w:p>
    <w:p w14:paraId="0D08D079" w14:textId="69B1F370" w:rsidR="005A6A7B" w:rsidRDefault="005A6A7B" w:rsidP="00E517B9">
      <w:r w:rsidRPr="1874FB38">
        <w:rPr>
          <w:color w:val="auto"/>
        </w:rPr>
        <w:t xml:space="preserve">The appeal process is set out in </w:t>
      </w:r>
      <w:r w:rsidR="009E12F0" w:rsidRPr="1874FB38">
        <w:rPr>
          <w:color w:val="auto"/>
        </w:rPr>
        <w:t>2</w:t>
      </w:r>
      <w:r w:rsidRPr="1874FB38">
        <w:rPr>
          <w:color w:val="auto"/>
        </w:rPr>
        <w:t xml:space="preserve"> </w:t>
      </w:r>
      <w:proofErr w:type="spellStart"/>
      <w:r w:rsidRPr="1874FB38">
        <w:rPr>
          <w:color w:val="auto"/>
        </w:rPr>
        <w:t>stages</w:t>
      </w:r>
      <w:proofErr w:type="spellEnd"/>
      <w:r w:rsidRPr="1874FB38">
        <w:rPr>
          <w:color w:val="auto"/>
        </w:rPr>
        <w:t xml:space="preserve"> that need to be followed. The details of this process can be found on the gov.uk webpage: </w:t>
      </w:r>
      <w:hyperlink r:id="rId78">
        <w:r w:rsidRPr="1874FB38">
          <w:rPr>
            <w:rStyle w:val="Hyperlink"/>
          </w:rPr>
          <w:t>Appeal a regulatory decision from the Environment Agency - GOV.UK</w:t>
        </w:r>
      </w:hyperlink>
    </w:p>
    <w:p w14:paraId="13DDFBC4" w14:textId="3E6D2853" w:rsidR="00817449" w:rsidRDefault="00817449" w:rsidP="00817449">
      <w:pPr>
        <w:pStyle w:val="Heading3"/>
        <w:tabs>
          <w:tab w:val="left" w:pos="0"/>
        </w:tabs>
      </w:pPr>
      <w:r>
        <w:t>8.4.3. Complaints</w:t>
      </w:r>
    </w:p>
    <w:p w14:paraId="601B0184" w14:textId="5FB7450D" w:rsidR="00874924" w:rsidRPr="002E52EB" w:rsidRDefault="00FF3EC1">
      <w:pPr>
        <w:suppressAutoHyphens w:val="0"/>
        <w:spacing w:before="0" w:beforeAutospacing="0" w:after="160" w:afterAutospacing="0" w:line="256" w:lineRule="auto"/>
      </w:pPr>
      <w:r>
        <w:t>The Complaints procedure can be used</w:t>
      </w:r>
      <w:r w:rsidRPr="00FF3EC1">
        <w:t> </w:t>
      </w:r>
      <w:r>
        <w:t>to complain about</w:t>
      </w:r>
      <w:r w:rsidRPr="002E52EB">
        <w:t xml:space="preserve"> the standard of service</w:t>
      </w:r>
      <w:r w:rsidRPr="00FF3EC1">
        <w:t> you receive from the Environment Agency.</w:t>
      </w:r>
      <w:r>
        <w:t xml:space="preserve"> The details of the process can be found </w:t>
      </w:r>
      <w:r>
        <w:rPr>
          <w:color w:val="auto"/>
          <w:szCs w:val="24"/>
        </w:rPr>
        <w:t xml:space="preserve">on: </w:t>
      </w:r>
      <w:hyperlink r:id="rId79" w:history="1">
        <w:r w:rsidRPr="00FF3EC1">
          <w:rPr>
            <w:rStyle w:val="Hyperlink"/>
          </w:rPr>
          <w:t>Complaints procedure - Environment Agency - GOV.UK</w:t>
        </w:r>
      </w:hyperlink>
    </w:p>
    <w:p w14:paraId="169D1ACB" w14:textId="2DCDF4FD" w:rsidR="00E931A9" w:rsidRPr="00E931A9" w:rsidRDefault="002737EF" w:rsidP="00FF0098">
      <w:pPr>
        <w:pStyle w:val="Heading1"/>
        <w:tabs>
          <w:tab w:val="left" w:pos="0"/>
        </w:tabs>
      </w:pPr>
      <w:bookmarkStart w:id="183" w:name="_9._Auditing_the"/>
      <w:bookmarkStart w:id="184" w:name="_9._Monitoring_compliance"/>
      <w:bookmarkStart w:id="185" w:name="_Toc94718666"/>
      <w:bookmarkStart w:id="186" w:name="_Toc94088914"/>
      <w:bookmarkStart w:id="187" w:name="_Toc242885393"/>
      <w:bookmarkEnd w:id="183"/>
      <w:bookmarkEnd w:id="184"/>
      <w:r>
        <w:t>9.</w:t>
      </w:r>
      <w:r w:rsidR="00036088">
        <w:t xml:space="preserve"> Monitoring compliance with the CCA scheme</w:t>
      </w:r>
      <w:bookmarkEnd w:id="187"/>
      <w:r w:rsidR="003502C0">
        <w:t xml:space="preserve"> </w:t>
      </w:r>
      <w:bookmarkStart w:id="188" w:name="_Toc94718667"/>
      <w:bookmarkStart w:id="189" w:name="_Toc94088915"/>
      <w:bookmarkEnd w:id="185"/>
      <w:bookmarkEnd w:id="186"/>
    </w:p>
    <w:p w14:paraId="638378F9" w14:textId="69279C48" w:rsidR="00026E66" w:rsidRDefault="002737EF" w:rsidP="00FF0098">
      <w:pPr>
        <w:pStyle w:val="Heading2"/>
        <w:tabs>
          <w:tab w:val="left" w:pos="0"/>
        </w:tabs>
      </w:pPr>
      <w:bookmarkStart w:id="190" w:name="_Toc242885394"/>
      <w:r>
        <w:t xml:space="preserve">9.1. </w:t>
      </w:r>
      <w:r w:rsidR="003400B4">
        <w:t>What is a CCA audit?</w:t>
      </w:r>
      <w:bookmarkEnd w:id="190"/>
      <w:r w:rsidR="003400B4">
        <w:t xml:space="preserve"> </w:t>
      </w:r>
      <w:bookmarkEnd w:id="188"/>
      <w:bookmarkEnd w:id="189"/>
    </w:p>
    <w:p w14:paraId="77535E46" w14:textId="0A4ECF65" w:rsidR="006C3F49" w:rsidRDefault="006C3F49" w:rsidP="006C3F49">
      <w:pPr>
        <w:tabs>
          <w:tab w:val="left" w:pos="0"/>
        </w:tabs>
      </w:pPr>
      <w:r>
        <w:t xml:space="preserve">We carry out </w:t>
      </w:r>
      <w:hyperlink w:anchor="Audit" w:history="1">
        <w:r w:rsidRPr="002474F7">
          <w:rPr>
            <w:rStyle w:val="Hyperlink"/>
          </w:rPr>
          <w:t>audits</w:t>
        </w:r>
      </w:hyperlink>
      <w:r>
        <w:t xml:space="preserve"> o</w:t>
      </w:r>
      <w:r w:rsidR="00D86738">
        <w:t>f</w:t>
      </w:r>
      <w:r>
        <w:t xml:space="preserve"> selected facilities and </w:t>
      </w:r>
      <w:hyperlink w:anchor="Sectorassociation" w:history="1">
        <w:r w:rsidRPr="003C0E96">
          <w:rPr>
            <w:rStyle w:val="Hyperlink"/>
          </w:rPr>
          <w:t>sector associations</w:t>
        </w:r>
      </w:hyperlink>
      <w:r>
        <w:t xml:space="preserve"> to verify eligibility</w:t>
      </w:r>
      <w:r w:rsidR="00D86738">
        <w:t xml:space="preserve">, </w:t>
      </w:r>
      <w:r>
        <w:t>performance</w:t>
      </w:r>
      <w:r w:rsidR="00D86738">
        <w:t xml:space="preserve"> and compliance</w:t>
      </w:r>
      <w:r>
        <w:t xml:space="preserve">. </w:t>
      </w:r>
      <w:r w:rsidR="004D7903">
        <w:t>Full c</w:t>
      </w:r>
      <w:r w:rsidR="00681F56">
        <w:t xml:space="preserve">ompliance audits are </w:t>
      </w:r>
      <w:r w:rsidR="00EA2C11">
        <w:t>carried out to assess</w:t>
      </w:r>
      <w:r w:rsidR="0095103D">
        <w:t xml:space="preserve"> compliance with all aspects of an </w:t>
      </w:r>
      <w:r w:rsidR="003A67A1">
        <w:t>agreement</w:t>
      </w:r>
      <w:r w:rsidR="0095103D">
        <w:t>. We also carry out other</w:t>
      </w:r>
      <w:r w:rsidR="00330261">
        <w:t xml:space="preserve"> compliance activities that are specific in nature to </w:t>
      </w:r>
      <w:r w:rsidR="00E37696">
        <w:t xml:space="preserve">ensure compliance with key aspects of </w:t>
      </w:r>
      <w:r w:rsidR="003A67A1">
        <w:t>an</w:t>
      </w:r>
      <w:r w:rsidR="00E37696">
        <w:t xml:space="preserve"> underlying agreement, such as </w:t>
      </w:r>
      <w:r w:rsidR="004D7903">
        <w:t xml:space="preserve">reviewing whether a facility is </w:t>
      </w:r>
      <w:r w:rsidR="00BB17E1">
        <w:t xml:space="preserve">continuing to carry out an eligible activity. </w:t>
      </w:r>
    </w:p>
    <w:p w14:paraId="2CC29CB7" w14:textId="77777777" w:rsidR="00026E66" w:rsidRDefault="002737EF" w:rsidP="00FF0098">
      <w:pPr>
        <w:pStyle w:val="Heading2"/>
        <w:tabs>
          <w:tab w:val="left" w:pos="0"/>
        </w:tabs>
      </w:pPr>
      <w:bookmarkStart w:id="191" w:name="_Toc94718668"/>
      <w:bookmarkStart w:id="192" w:name="_Toc94088916"/>
      <w:bookmarkStart w:id="193" w:name="_Toc242885395"/>
      <w:r>
        <w:t>9.2. How we select a facility for audit</w:t>
      </w:r>
      <w:bookmarkEnd w:id="191"/>
      <w:bookmarkEnd w:id="192"/>
      <w:bookmarkEnd w:id="193"/>
      <w:r>
        <w:t xml:space="preserve"> </w:t>
      </w:r>
    </w:p>
    <w:p w14:paraId="45313F6A" w14:textId="77777777" w:rsidR="00DB4481" w:rsidRPr="00162FB1" w:rsidRDefault="00DB4481" w:rsidP="00002885">
      <w:r w:rsidRPr="00162FB1">
        <w:t>We select facilities for audit either by using a risk-based approach or by random selection.</w:t>
      </w:r>
    </w:p>
    <w:p w14:paraId="2902E65E" w14:textId="77777777" w:rsidR="00026E66" w:rsidRDefault="002737EF" w:rsidP="00FF0098">
      <w:pPr>
        <w:pStyle w:val="Heading3"/>
        <w:tabs>
          <w:tab w:val="left" w:pos="0"/>
        </w:tabs>
      </w:pPr>
      <w:r>
        <w:t xml:space="preserve">9.2.1. Risk-based selection </w:t>
      </w:r>
    </w:p>
    <w:p w14:paraId="6F4C7405" w14:textId="687FFD0C" w:rsidR="00026E66" w:rsidRDefault="002737EF" w:rsidP="00FF0098">
      <w:pPr>
        <w:tabs>
          <w:tab w:val="left" w:pos="0"/>
        </w:tabs>
      </w:pPr>
      <w:r>
        <w:t xml:space="preserve">We select facilities for audit primarily by using a risk-based approach, ensuring where possible that they are spread across a range of sectors. Facilities are selected where one or more factors </w:t>
      </w:r>
      <w:r w:rsidR="004C7FE6">
        <w:t>apply,</w:t>
      </w:r>
      <w:r>
        <w:t xml:space="preserve"> for example: </w:t>
      </w:r>
    </w:p>
    <w:p w14:paraId="630BD5C8" w14:textId="77777777" w:rsidR="00026E66" w:rsidRDefault="002737EF" w:rsidP="0065356B">
      <w:pPr>
        <w:pStyle w:val="ListParagraph"/>
        <w:numPr>
          <w:ilvl w:val="0"/>
          <w:numId w:val="66"/>
        </w:numPr>
        <w:tabs>
          <w:tab w:val="left" w:pos="0"/>
        </w:tabs>
      </w:pPr>
      <w:r>
        <w:lastRenderedPageBreak/>
        <w:t xml:space="preserve">facilities that are new entrants or whose agreement was varied between the old and the current schemes and thus may have an increased risk of errors </w:t>
      </w:r>
    </w:p>
    <w:p w14:paraId="41FD8E72" w14:textId="15AE66FC" w:rsidR="00026E66" w:rsidRDefault="002737EF" w:rsidP="0065356B">
      <w:pPr>
        <w:pStyle w:val="ListParagraph"/>
        <w:numPr>
          <w:ilvl w:val="0"/>
          <w:numId w:val="66"/>
        </w:numPr>
        <w:tabs>
          <w:tab w:val="left" w:pos="0"/>
        </w:tabs>
      </w:pPr>
      <w:r>
        <w:t xml:space="preserve">where a facility's compliance against the </w:t>
      </w:r>
      <w:hyperlink w:anchor="seventypercentrule" w:history="1">
        <w:r w:rsidRPr="005F044C">
          <w:rPr>
            <w:rStyle w:val="Hyperlink"/>
          </w:rPr>
          <w:t>70% rule</w:t>
        </w:r>
      </w:hyperlink>
      <w:r>
        <w:t xml:space="preserve"> has changed </w:t>
      </w:r>
    </w:p>
    <w:p w14:paraId="374E7B10" w14:textId="77777777" w:rsidR="00026E66" w:rsidRDefault="002737EF" w:rsidP="0065356B">
      <w:pPr>
        <w:pStyle w:val="ListParagraph"/>
        <w:numPr>
          <w:ilvl w:val="0"/>
          <w:numId w:val="66"/>
        </w:numPr>
        <w:tabs>
          <w:tab w:val="left" w:pos="0"/>
        </w:tabs>
      </w:pPr>
      <w:r>
        <w:t xml:space="preserve">where the eligible process is more complex </w:t>
      </w:r>
    </w:p>
    <w:p w14:paraId="60048324" w14:textId="6AB93B01" w:rsidR="00871B00" w:rsidRDefault="00871B00" w:rsidP="0065356B">
      <w:pPr>
        <w:pStyle w:val="ListParagraph"/>
        <w:numPr>
          <w:ilvl w:val="0"/>
          <w:numId w:val="66"/>
        </w:numPr>
        <w:tabs>
          <w:tab w:val="left" w:pos="0"/>
        </w:tabs>
      </w:pPr>
      <w:r>
        <w:t>where we receive intelligence that suggest</w:t>
      </w:r>
      <w:r w:rsidR="00B265D2">
        <w:t>s a facility may not be complying with the terms of their underlying agreement</w:t>
      </w:r>
    </w:p>
    <w:p w14:paraId="27347B3C" w14:textId="0646A3DE" w:rsidR="00B265D2" w:rsidRDefault="00763F1F" w:rsidP="0065356B">
      <w:pPr>
        <w:pStyle w:val="ListParagraph"/>
        <w:numPr>
          <w:ilvl w:val="0"/>
          <w:numId w:val="66"/>
        </w:numPr>
        <w:tabs>
          <w:tab w:val="left" w:pos="0"/>
        </w:tabs>
      </w:pPr>
      <w:r>
        <w:t>where a decision made regarding a</w:t>
      </w:r>
      <w:r w:rsidR="00E91BCE">
        <w:t>nother facility could have consequences for a facility carrying out similar activities</w:t>
      </w:r>
    </w:p>
    <w:p w14:paraId="58D3F1DF" w14:textId="77777777" w:rsidR="00026E66" w:rsidRDefault="002737EF" w:rsidP="00FF0098">
      <w:pPr>
        <w:pStyle w:val="Heading3"/>
        <w:tabs>
          <w:tab w:val="left" w:pos="0"/>
        </w:tabs>
      </w:pPr>
      <w:r>
        <w:t xml:space="preserve">9.2.2. Random selection </w:t>
      </w:r>
    </w:p>
    <w:p w14:paraId="3CC28918" w14:textId="4E471D12" w:rsidR="009B5A36" w:rsidRDefault="002737EF" w:rsidP="00FF0098">
      <w:pPr>
        <w:tabs>
          <w:tab w:val="left" w:pos="0"/>
        </w:tabs>
      </w:pPr>
      <w:r>
        <w:t>For sectors where no risk-based audits are identified, we may select facilities at random to provide a representative sample each year.</w:t>
      </w:r>
      <w:r w:rsidR="00FC355D">
        <w:t xml:space="preserve"> </w:t>
      </w:r>
      <w:r w:rsidR="004C7FE6">
        <w:t xml:space="preserve"> </w:t>
      </w:r>
    </w:p>
    <w:p w14:paraId="59C1DD61" w14:textId="33A2DECF" w:rsidR="00026E66" w:rsidRDefault="002737EF" w:rsidP="00FF0098">
      <w:pPr>
        <w:pStyle w:val="Heading2"/>
        <w:tabs>
          <w:tab w:val="left" w:pos="0"/>
        </w:tabs>
      </w:pPr>
      <w:bookmarkStart w:id="194" w:name="_Toc94718669"/>
      <w:bookmarkStart w:id="195" w:name="_Toc94088917"/>
      <w:bookmarkStart w:id="196" w:name="_Toc242885396"/>
      <w:r>
        <w:t xml:space="preserve">9.3. How we carry out </w:t>
      </w:r>
      <w:bookmarkEnd w:id="194"/>
      <w:bookmarkEnd w:id="195"/>
      <w:r w:rsidR="00EB5EFD">
        <w:t>audits</w:t>
      </w:r>
      <w:bookmarkEnd w:id="196"/>
    </w:p>
    <w:p w14:paraId="47888837" w14:textId="25453D4A" w:rsidR="00D82DE3" w:rsidRPr="00D82DE3" w:rsidRDefault="00753094" w:rsidP="0023258B">
      <w:r w:rsidRPr="00753094">
        <w:t xml:space="preserve">We will inform the operator of a facility selected for audit via an emailed letter to the </w:t>
      </w:r>
      <w:r w:rsidR="00AB4247">
        <w:t xml:space="preserve">named </w:t>
      </w:r>
      <w:r w:rsidRPr="00753094">
        <w:t>contact</w:t>
      </w:r>
      <w:r w:rsidR="007C5119">
        <w:t>(</w:t>
      </w:r>
      <w:r w:rsidR="00CB367A">
        <w:t>s</w:t>
      </w:r>
      <w:r w:rsidR="007C5119">
        <w:t>)</w:t>
      </w:r>
      <w:r w:rsidRPr="00753094">
        <w:t xml:space="preserve"> for the </w:t>
      </w:r>
      <w:r w:rsidR="00CB367A">
        <w:t>agreement</w:t>
      </w:r>
      <w:r w:rsidRPr="00753094">
        <w:t xml:space="preserve">. The auditor will contact </w:t>
      </w:r>
      <w:r w:rsidR="00B773E2">
        <w:t xml:space="preserve">the </w:t>
      </w:r>
      <w:hyperlink w:anchor="Responsibleperson" w:history="1">
        <w:r w:rsidR="004A251E" w:rsidRPr="005E46F7">
          <w:rPr>
            <w:rStyle w:val="Hyperlink"/>
          </w:rPr>
          <w:t>responsible person</w:t>
        </w:r>
      </w:hyperlink>
      <w:r w:rsidR="004A251E">
        <w:t xml:space="preserve"> and administrative contact</w:t>
      </w:r>
      <w:r w:rsidR="00B773E2">
        <w:t xml:space="preserve"> on the agreement </w:t>
      </w:r>
      <w:r w:rsidRPr="00753094">
        <w:t xml:space="preserve">to discuss and agree a date for the audit. We will also copy sector associations, or their consultants, into the e-mail. There are </w:t>
      </w:r>
      <w:r w:rsidR="009E12F0">
        <w:t>2</w:t>
      </w:r>
      <w:r w:rsidRPr="00753094">
        <w:t xml:space="preserve"> types of </w:t>
      </w:r>
      <w:r w:rsidR="00E75CE9" w:rsidRPr="00753094">
        <w:t>audits</w:t>
      </w:r>
      <w:r w:rsidRPr="00753094">
        <w:t xml:space="preserve">: a desktop audit or a full site audit. A desktop audit is intended to be less extensive than a full site audit and is normally used for lower risk or random audits. We </w:t>
      </w:r>
      <w:r w:rsidR="00875085">
        <w:t>may</w:t>
      </w:r>
      <w:r w:rsidRPr="00753094">
        <w:t xml:space="preserve"> appoint consultants </w:t>
      </w:r>
      <w:r w:rsidR="00875085">
        <w:t>to</w:t>
      </w:r>
      <w:r w:rsidRPr="00753094">
        <w:t xml:space="preserve"> carry out audits on our behalf.</w:t>
      </w:r>
    </w:p>
    <w:p w14:paraId="77802A7E" w14:textId="77777777" w:rsidR="00E75CE9" w:rsidRDefault="00E75CE9" w:rsidP="00E75CE9">
      <w:pPr>
        <w:tabs>
          <w:tab w:val="left" w:pos="0"/>
        </w:tabs>
      </w:pPr>
      <w:r>
        <w:t xml:space="preserve">The facility audit process as seen by the operator is set out below: </w:t>
      </w:r>
    </w:p>
    <w:p w14:paraId="0AEB0F00" w14:textId="77777777" w:rsidR="00E75CE9" w:rsidRDefault="00E75CE9" w:rsidP="00E75CE9">
      <w:pPr>
        <w:pStyle w:val="ListParagraph"/>
        <w:numPr>
          <w:ilvl w:val="0"/>
          <w:numId w:val="190"/>
        </w:numPr>
        <w:tabs>
          <w:tab w:val="left" w:pos="0"/>
        </w:tabs>
      </w:pPr>
      <w:r>
        <w:t>Notification of selection for audit by email to the contact for the underlying agreement. This will contain confirmation of whether the audit will be desk or site based.</w:t>
      </w:r>
    </w:p>
    <w:p w14:paraId="76AB23C6" w14:textId="77777777" w:rsidR="00E75CE9" w:rsidRDefault="00E75CE9" w:rsidP="00E75CE9">
      <w:pPr>
        <w:pStyle w:val="ListParagraph"/>
        <w:numPr>
          <w:ilvl w:val="0"/>
          <w:numId w:val="190"/>
        </w:numPr>
        <w:tabs>
          <w:tab w:val="left" w:pos="0"/>
        </w:tabs>
      </w:pPr>
      <w:r>
        <w:t>The auditor will get in touch with the operator to agree the date the audit will take place.</w:t>
      </w:r>
    </w:p>
    <w:p w14:paraId="1E886CA6" w14:textId="77777777" w:rsidR="00E75CE9" w:rsidRDefault="00E75CE9" w:rsidP="00E75CE9">
      <w:pPr>
        <w:pStyle w:val="ListParagraph"/>
        <w:numPr>
          <w:ilvl w:val="0"/>
          <w:numId w:val="190"/>
        </w:numPr>
        <w:tabs>
          <w:tab w:val="left" w:pos="0"/>
        </w:tabs>
      </w:pPr>
      <w:r>
        <w:t>The auditor may request documentation from the operator to be provided to them prior to the audit.</w:t>
      </w:r>
    </w:p>
    <w:p w14:paraId="72BCF0BF" w14:textId="77777777" w:rsidR="00E75CE9" w:rsidRDefault="00E75CE9" w:rsidP="00E75CE9">
      <w:pPr>
        <w:pStyle w:val="ListParagraph"/>
        <w:numPr>
          <w:ilvl w:val="0"/>
          <w:numId w:val="190"/>
        </w:numPr>
        <w:tabs>
          <w:tab w:val="left" w:pos="0"/>
        </w:tabs>
      </w:pPr>
      <w:r>
        <w:t>The audit takes place at the agreed time and date either by arranged online audit call for desktop audit or by visit to the facility for a site-based audit.</w:t>
      </w:r>
    </w:p>
    <w:p w14:paraId="1AEC17DC" w14:textId="77777777" w:rsidR="002C2EEB" w:rsidRDefault="00E75CE9" w:rsidP="00E75CE9">
      <w:pPr>
        <w:pStyle w:val="ListParagraph"/>
        <w:numPr>
          <w:ilvl w:val="0"/>
          <w:numId w:val="190"/>
        </w:numPr>
        <w:tabs>
          <w:tab w:val="left" w:pos="0"/>
        </w:tabs>
      </w:pPr>
      <w:r>
        <w:t>The operator will receive a copy of the initial audit report by email.</w:t>
      </w:r>
      <w:r w:rsidR="001A6585">
        <w:t xml:space="preserve"> This </w:t>
      </w:r>
      <w:r w:rsidR="002C2EEB">
        <w:t xml:space="preserve">may include actions to be completed by the operator, deadlines for completion and recommendations on best practice. </w:t>
      </w:r>
      <w:r>
        <w:t xml:space="preserve"> </w:t>
      </w:r>
    </w:p>
    <w:p w14:paraId="556CC46C" w14:textId="134EA588" w:rsidR="00E75CE9" w:rsidRDefault="002C2EEB" w:rsidP="00E75CE9">
      <w:pPr>
        <w:pStyle w:val="ListParagraph"/>
        <w:numPr>
          <w:ilvl w:val="0"/>
          <w:numId w:val="190"/>
        </w:numPr>
        <w:tabs>
          <w:tab w:val="left" w:pos="0"/>
        </w:tabs>
      </w:pPr>
      <w:r>
        <w:t xml:space="preserve">The </w:t>
      </w:r>
      <w:r w:rsidR="006D42EF">
        <w:t xml:space="preserve">operator can review the report and provide feedback before the final report is issued. </w:t>
      </w:r>
    </w:p>
    <w:p w14:paraId="48B858F2" w14:textId="0C73B1E9" w:rsidR="00E75CE9" w:rsidRDefault="00E75CE9" w:rsidP="00E75CE9">
      <w:pPr>
        <w:pStyle w:val="ListParagraph"/>
        <w:numPr>
          <w:ilvl w:val="0"/>
          <w:numId w:val="190"/>
        </w:numPr>
        <w:tabs>
          <w:tab w:val="left" w:pos="0"/>
        </w:tabs>
      </w:pPr>
      <w:r>
        <w:t xml:space="preserve">The operator is required to complete the stated actions from the initial report </w:t>
      </w:r>
      <w:r w:rsidR="00FB7429">
        <w:t>by</w:t>
      </w:r>
      <w:r>
        <w:t xml:space="preserve"> the communicated deadline date.</w:t>
      </w:r>
    </w:p>
    <w:p w14:paraId="63392377" w14:textId="43CC3F51" w:rsidR="00E75CE9" w:rsidRDefault="00E75CE9" w:rsidP="00E75CE9">
      <w:pPr>
        <w:pStyle w:val="ListParagraph"/>
        <w:numPr>
          <w:ilvl w:val="0"/>
          <w:numId w:val="190"/>
        </w:numPr>
        <w:tabs>
          <w:tab w:val="left" w:pos="0"/>
        </w:tabs>
      </w:pPr>
      <w:r>
        <w:t xml:space="preserve">The final audit report will be issued by email. This will reflect any action taken in relation to the initial audit report. </w:t>
      </w:r>
    </w:p>
    <w:p w14:paraId="2212671F" w14:textId="77777777" w:rsidR="00E75CE9" w:rsidRDefault="00E75CE9" w:rsidP="00E75CE9">
      <w:pPr>
        <w:pStyle w:val="ListParagraph"/>
        <w:numPr>
          <w:ilvl w:val="0"/>
          <w:numId w:val="190"/>
        </w:numPr>
        <w:tabs>
          <w:tab w:val="left" w:pos="0"/>
        </w:tabs>
      </w:pPr>
      <w:r>
        <w:lastRenderedPageBreak/>
        <w:t>The auditor will track any outstanding actions and request confirmation of any completed actions.</w:t>
      </w:r>
    </w:p>
    <w:p w14:paraId="370AD067" w14:textId="2F35C28B" w:rsidR="00E75CE9" w:rsidRDefault="00E75CE9" w:rsidP="00E75CE9">
      <w:pPr>
        <w:pStyle w:val="ListParagraph"/>
        <w:numPr>
          <w:ilvl w:val="0"/>
          <w:numId w:val="190"/>
        </w:numPr>
        <w:tabs>
          <w:tab w:val="left" w:pos="0"/>
        </w:tabs>
      </w:pPr>
      <w:r>
        <w:t>If any outstanding actions are not completed by the agreed deadline</w:t>
      </w:r>
      <w:r w:rsidR="00FB7429">
        <w:t>s</w:t>
      </w:r>
      <w:r>
        <w:t xml:space="preserve"> operators may be subject to a </w:t>
      </w:r>
      <w:hyperlink w:anchor="Penalty" w:history="1">
        <w:r w:rsidR="00AD2429">
          <w:rPr>
            <w:rStyle w:val="Hyperlink"/>
          </w:rPr>
          <w:t>penalty</w:t>
        </w:r>
      </w:hyperlink>
      <w:r>
        <w:t xml:space="preserve"> due to non-compliance.</w:t>
      </w:r>
    </w:p>
    <w:p w14:paraId="1A65CBFD" w14:textId="77777777" w:rsidR="00026E66" w:rsidRDefault="002737EF" w:rsidP="00FF0098">
      <w:pPr>
        <w:pStyle w:val="Heading3"/>
        <w:tabs>
          <w:tab w:val="left" w:pos="0"/>
        </w:tabs>
      </w:pPr>
      <w:r>
        <w:t xml:space="preserve">9.3.1. Desktop audits </w:t>
      </w:r>
    </w:p>
    <w:p w14:paraId="49C740B3" w14:textId="5244E4D6" w:rsidR="00FD1B93" w:rsidRDefault="00DD4C05" w:rsidP="00DD4C05">
      <w:pPr>
        <w:tabs>
          <w:tab w:val="left" w:pos="0"/>
        </w:tabs>
      </w:pPr>
      <w:r>
        <w:t xml:space="preserve">We will ask the operator to provide us with data for the facility by </w:t>
      </w:r>
      <w:r w:rsidR="00681633">
        <w:t>an</w:t>
      </w:r>
      <w:r>
        <w:t xml:space="preserve"> agreed date </w:t>
      </w:r>
      <w:r w:rsidR="00681633">
        <w:t>before</w:t>
      </w:r>
      <w:r>
        <w:t xml:space="preserve"> the audit. </w:t>
      </w:r>
      <w:r w:rsidR="00F51938">
        <w:t xml:space="preserve">The </w:t>
      </w:r>
      <w:r w:rsidR="0023258B">
        <w:t>auditor will</w:t>
      </w:r>
      <w:r>
        <w:t xml:space="preserve"> review th</w:t>
      </w:r>
      <w:r w:rsidR="00F51938">
        <w:t>e</w:t>
      </w:r>
      <w:r>
        <w:t xml:space="preserve"> data</w:t>
      </w:r>
      <w:r w:rsidR="00F73FC4">
        <w:t xml:space="preserve"> and </w:t>
      </w:r>
      <w:r w:rsidR="0023258B">
        <w:t>arrange a call</w:t>
      </w:r>
      <w:r w:rsidR="00F73FC4">
        <w:t xml:space="preserve"> on the agreed audit date </w:t>
      </w:r>
      <w:r w:rsidR="00155AF9">
        <w:t xml:space="preserve">with the operator’s representatives. </w:t>
      </w:r>
      <w:r w:rsidR="003E62AF">
        <w:t>The</w:t>
      </w:r>
      <w:r w:rsidR="00FD1B93">
        <w:t xml:space="preserve"> audit </w:t>
      </w:r>
      <w:r w:rsidR="003E62AF">
        <w:t xml:space="preserve">call </w:t>
      </w:r>
      <w:r w:rsidR="00FD1B93">
        <w:t xml:space="preserve">typically takes a few hours of the operator’s time. </w:t>
      </w:r>
    </w:p>
    <w:p w14:paraId="7C1F8AD6" w14:textId="77777777" w:rsidR="00026E66" w:rsidRDefault="002737EF" w:rsidP="00FF0098">
      <w:pPr>
        <w:pStyle w:val="Heading3"/>
        <w:tabs>
          <w:tab w:val="left" w:pos="0"/>
        </w:tabs>
      </w:pPr>
      <w:r>
        <w:t xml:space="preserve">9.3.2. Full site audits </w:t>
      </w:r>
    </w:p>
    <w:p w14:paraId="0FDB52CB" w14:textId="56CD2B51" w:rsidR="00C75824" w:rsidRDefault="00C75824" w:rsidP="002F1979">
      <w:pPr>
        <w:tabs>
          <w:tab w:val="left" w:pos="0"/>
        </w:tabs>
      </w:pPr>
      <w:r>
        <w:t xml:space="preserve">When the auditor arranges the audit date, they will ask the operator to provide the data for the facility. The operator should provide this information an agreed date in advance of the site audit. </w:t>
      </w:r>
      <w:r w:rsidR="00CE0BA6">
        <w:t xml:space="preserve">The auditor will then visit the site to examine the data and facility eligibility in greater detail. </w:t>
      </w:r>
    </w:p>
    <w:p w14:paraId="2955810C" w14:textId="7B7EB29D" w:rsidR="00A00911" w:rsidRDefault="00CE0BA6" w:rsidP="002F1979">
      <w:pPr>
        <w:tabs>
          <w:tab w:val="left" w:pos="0"/>
        </w:tabs>
      </w:pPr>
      <w:r>
        <w:t xml:space="preserve">The auditor will ask to </w:t>
      </w:r>
      <w:r w:rsidR="00DD3012">
        <w:t>see key parts of the facility,</w:t>
      </w:r>
      <w:r w:rsidR="00AB4D47">
        <w:t xml:space="preserve"> which could include</w:t>
      </w:r>
      <w:r w:rsidR="00DD3012">
        <w:t xml:space="preserve"> the </w:t>
      </w:r>
      <w:hyperlink w:anchor="STU" w:history="1">
        <w:r w:rsidR="00DD3012" w:rsidRPr="00E110F4">
          <w:rPr>
            <w:rStyle w:val="Hyperlink"/>
          </w:rPr>
          <w:t>STU</w:t>
        </w:r>
      </w:hyperlink>
      <w:r w:rsidR="00AB4D47">
        <w:t xml:space="preserve"> where the eligible activity is taking place</w:t>
      </w:r>
      <w:r w:rsidR="00DD3012">
        <w:t xml:space="preserve"> and any</w:t>
      </w:r>
      <w:hyperlink w:anchor="DAA" w:history="1">
        <w:r w:rsidR="00DD3012" w:rsidRPr="00470D50">
          <w:rPr>
            <w:rStyle w:val="Hyperlink"/>
          </w:rPr>
          <w:t xml:space="preserve"> DAAs</w:t>
        </w:r>
      </w:hyperlink>
      <w:r w:rsidR="0058331F">
        <w:t xml:space="preserve">, information </w:t>
      </w:r>
      <w:r w:rsidR="00496916">
        <w:t>on</w:t>
      </w:r>
      <w:r w:rsidR="00433AAA">
        <w:t xml:space="preserve"> </w:t>
      </w:r>
      <w:r w:rsidR="0058331F">
        <w:t xml:space="preserve">any sub-metering at the site, </w:t>
      </w:r>
      <w:r w:rsidR="008A597A">
        <w:t xml:space="preserve">and any other areas that have been highlighted </w:t>
      </w:r>
      <w:r w:rsidR="00A00911">
        <w:t xml:space="preserve">during the review of the data. It is important that any auditor on site is provided with </w:t>
      </w:r>
      <w:r w:rsidR="0060080D">
        <w:t xml:space="preserve">the relevant personal protective equipment for the facility. </w:t>
      </w:r>
    </w:p>
    <w:p w14:paraId="137BD4FD" w14:textId="2EE75E53" w:rsidR="00C75824" w:rsidRDefault="00CF1B10" w:rsidP="002F1979">
      <w:pPr>
        <w:tabs>
          <w:tab w:val="left" w:pos="0"/>
        </w:tabs>
      </w:pPr>
      <w:r>
        <w:t xml:space="preserve">Following the visit to key areas of the site, the auditor will </w:t>
      </w:r>
      <w:r w:rsidR="0058424C">
        <w:t xml:space="preserve">then discuss the data provided in further detail with the </w:t>
      </w:r>
      <w:r w:rsidR="00927494">
        <w:t xml:space="preserve">facility’s contacts. A suitable office or quiet area </w:t>
      </w:r>
      <w:r w:rsidR="00EF7B47">
        <w:t xml:space="preserve">is preferred </w:t>
      </w:r>
      <w:r w:rsidR="00470D50">
        <w:t>to</w:t>
      </w:r>
      <w:r w:rsidR="00EF7B47">
        <w:t xml:space="preserve"> carry out this discussion. </w:t>
      </w:r>
    </w:p>
    <w:p w14:paraId="538A888D" w14:textId="26E8F8D1" w:rsidR="00026E66" w:rsidRDefault="002737EF" w:rsidP="00FF0098">
      <w:pPr>
        <w:pStyle w:val="Heading3"/>
        <w:tabs>
          <w:tab w:val="left" w:pos="0"/>
        </w:tabs>
      </w:pPr>
      <w:r>
        <w:t xml:space="preserve">9.3.3. </w:t>
      </w:r>
      <w:r w:rsidR="002717CB">
        <w:t xml:space="preserve">Questions we will ask in a CCA facility audit </w:t>
      </w:r>
    </w:p>
    <w:p w14:paraId="55866A15" w14:textId="6AD790E3" w:rsidR="00AB4D47" w:rsidRPr="00AB4D47" w:rsidRDefault="00CB0CA0" w:rsidP="001117E2">
      <w:r>
        <w:t xml:space="preserve">During both types of </w:t>
      </w:r>
      <w:proofErr w:type="gramStart"/>
      <w:r>
        <w:t>audit</w:t>
      </w:r>
      <w:proofErr w:type="gramEnd"/>
      <w:r>
        <w:t xml:space="preserve">, the auditor will ask questions around the topics outlined in more detail below. Operators must provide evidence on request to answer the auditor’s questions. </w:t>
      </w:r>
      <w:r w:rsidR="008A0698">
        <w:t xml:space="preserve">It is a requirement of the underlying agreement that operators must keep records throughout the duration of the agreement and for a period of </w:t>
      </w:r>
      <w:r w:rsidR="009E12F0">
        <w:t>4</w:t>
      </w:r>
      <w:r w:rsidR="008A0698">
        <w:t xml:space="preserve"> years following the termination of the agreement. </w:t>
      </w:r>
    </w:p>
    <w:p w14:paraId="5BB8C1BC" w14:textId="77777777" w:rsidR="00026E66" w:rsidRPr="00E931A9" w:rsidRDefault="002737EF" w:rsidP="00FF0098">
      <w:pPr>
        <w:pStyle w:val="Heading4"/>
        <w:tabs>
          <w:tab w:val="left" w:pos="0"/>
        </w:tabs>
      </w:pPr>
      <w:r w:rsidRPr="00E931A9">
        <w:t xml:space="preserve">Eligibility </w:t>
      </w:r>
    </w:p>
    <w:p w14:paraId="6E72A102" w14:textId="26064115" w:rsidR="00D54842" w:rsidRDefault="00D54842" w:rsidP="00D54842">
      <w:pPr>
        <w:tabs>
          <w:tab w:val="left" w:pos="0"/>
        </w:tabs>
      </w:pPr>
      <w:r>
        <w:t>The auditor</w:t>
      </w:r>
      <w:r w:rsidR="00117BE1">
        <w:t xml:space="preserve"> </w:t>
      </w:r>
      <w:r>
        <w:t xml:space="preserve">will assess the facility eligibility </w:t>
      </w:r>
      <w:r w:rsidR="006A01BB">
        <w:t>information.</w:t>
      </w:r>
      <w:r>
        <w:t xml:space="preserve"> They will also examine supporting information including: </w:t>
      </w:r>
    </w:p>
    <w:p w14:paraId="3E97C3C9" w14:textId="586EF1CB" w:rsidR="00D54842" w:rsidRDefault="00D54842" w:rsidP="00D54842">
      <w:pPr>
        <w:pStyle w:val="ListParagraph"/>
        <w:numPr>
          <w:ilvl w:val="0"/>
          <w:numId w:val="68"/>
        </w:numPr>
        <w:tabs>
          <w:tab w:val="left" w:pos="0"/>
        </w:tabs>
      </w:pPr>
      <w:r>
        <w:t xml:space="preserve">the regulation under which the facility is eligible to hold an agreement. </w:t>
      </w:r>
    </w:p>
    <w:p w14:paraId="5F3ECBD0" w14:textId="3C7C70C5" w:rsidR="00D54842" w:rsidRDefault="00D54842" w:rsidP="00D54842">
      <w:pPr>
        <w:pStyle w:val="ListParagraph"/>
        <w:numPr>
          <w:ilvl w:val="0"/>
          <w:numId w:val="68"/>
        </w:numPr>
        <w:tabs>
          <w:tab w:val="left" w:pos="0"/>
        </w:tabs>
      </w:pPr>
      <w:r>
        <w:t xml:space="preserve">what areas of the process meet the eligibility criteria for the sector. </w:t>
      </w:r>
    </w:p>
    <w:p w14:paraId="071DC395" w14:textId="688AD8C4" w:rsidR="00D54842" w:rsidRDefault="00D54842" w:rsidP="00D54842">
      <w:pPr>
        <w:pStyle w:val="ListParagraph"/>
        <w:numPr>
          <w:ilvl w:val="0"/>
          <w:numId w:val="68"/>
        </w:numPr>
        <w:tabs>
          <w:tab w:val="left" w:pos="0"/>
        </w:tabs>
      </w:pPr>
      <w:r>
        <w:t xml:space="preserve">evidence that the site boundary is correctly defined in the eligibility calculations. </w:t>
      </w:r>
    </w:p>
    <w:p w14:paraId="1BE4D684" w14:textId="78F7ED9C" w:rsidR="00D54842" w:rsidRDefault="00D54842" w:rsidP="00D54842">
      <w:pPr>
        <w:pStyle w:val="ListParagraph"/>
        <w:numPr>
          <w:ilvl w:val="0"/>
          <w:numId w:val="68"/>
        </w:numPr>
        <w:tabs>
          <w:tab w:val="left" w:pos="0"/>
        </w:tabs>
      </w:pPr>
      <w:r>
        <w:lastRenderedPageBreak/>
        <w:t xml:space="preserve">how much of the site is eligible to claim the </w:t>
      </w:r>
      <w:hyperlink w:anchor="CCL" w:history="1">
        <w:r w:rsidRPr="002B56E7">
          <w:rPr>
            <w:rStyle w:val="Hyperlink"/>
          </w:rPr>
          <w:t>CCL</w:t>
        </w:r>
      </w:hyperlink>
      <w:r>
        <w:t xml:space="preserve"> discount, including an assessment of the 70% and any additional 3/7ths of energy associated with the eligible facility. </w:t>
      </w:r>
    </w:p>
    <w:p w14:paraId="35063FF3" w14:textId="47F51CA4" w:rsidR="00D54842" w:rsidRDefault="00D54842" w:rsidP="00D54842">
      <w:pPr>
        <w:pStyle w:val="ListParagraph"/>
        <w:numPr>
          <w:ilvl w:val="0"/>
          <w:numId w:val="68"/>
        </w:numPr>
        <w:tabs>
          <w:tab w:val="left" w:pos="0"/>
        </w:tabs>
      </w:pPr>
      <w:r>
        <w:t>evidence of the stationary technical unit</w:t>
      </w:r>
      <w:r w:rsidR="008B707B">
        <w:t xml:space="preserve"> </w:t>
      </w:r>
      <w:r w:rsidR="00573F2F">
        <w:t xml:space="preserve">(STU) </w:t>
      </w:r>
      <w:r>
        <w:t xml:space="preserve">and directly associated activities </w:t>
      </w:r>
      <w:r w:rsidR="00573F2F">
        <w:t>(DAAs)</w:t>
      </w:r>
      <w:r>
        <w:t xml:space="preserve"> for the facility and where these take place within the site boundary. </w:t>
      </w:r>
    </w:p>
    <w:p w14:paraId="4BD01762" w14:textId="1DD8970C" w:rsidR="00D54842" w:rsidRDefault="00D54842" w:rsidP="00D54842">
      <w:pPr>
        <w:pStyle w:val="ListParagraph"/>
        <w:numPr>
          <w:ilvl w:val="0"/>
          <w:numId w:val="68"/>
        </w:numPr>
        <w:tabs>
          <w:tab w:val="left" w:pos="0"/>
        </w:tabs>
      </w:pPr>
      <w:r>
        <w:t xml:space="preserve">a clear site plan to highlight the location of the STUs, DAAs and any non-eligible areas on the site. If applicable under the </w:t>
      </w:r>
      <w:hyperlink w:anchor="seventypercentrule" w:history="1">
        <w:r w:rsidRPr="005F044C">
          <w:rPr>
            <w:rStyle w:val="Hyperlink"/>
          </w:rPr>
          <w:t>70% rule</w:t>
        </w:r>
      </w:hyperlink>
      <w:r>
        <w:t xml:space="preserve">, evidence that sub-metering has been installed in the appropriate locations. </w:t>
      </w:r>
    </w:p>
    <w:p w14:paraId="370E77BD" w14:textId="3B5C7567" w:rsidR="00026E66" w:rsidRPr="00A25DF5" w:rsidRDefault="00D86738" w:rsidP="00A25DF5">
      <w:pPr>
        <w:pStyle w:val="Heading4"/>
      </w:pPr>
      <w:r>
        <w:t>Assessment of t</w:t>
      </w:r>
      <w:r w:rsidR="002737EF" w:rsidRPr="00A25DF5">
        <w:t xml:space="preserve">he 70% </w:t>
      </w:r>
      <w:r w:rsidR="00A25DF5">
        <w:t>r</w:t>
      </w:r>
      <w:r w:rsidR="002737EF" w:rsidRPr="00A25DF5">
        <w:t xml:space="preserve">ule </w:t>
      </w:r>
    </w:p>
    <w:p w14:paraId="41146759" w14:textId="304B69BD" w:rsidR="00026E66" w:rsidRDefault="000B7AF7" w:rsidP="00FF0098">
      <w:pPr>
        <w:tabs>
          <w:tab w:val="left" w:pos="0"/>
        </w:tabs>
      </w:pPr>
      <w:r>
        <w:t>The auditor</w:t>
      </w:r>
      <w:r w:rsidDel="000B7AF7">
        <w:t xml:space="preserve"> </w:t>
      </w:r>
      <w:r w:rsidR="002737EF">
        <w:t xml:space="preserve">will check the eligible and non-eligible energy use on the site to demonstrate whether the site meets the </w:t>
      </w:r>
      <w:hyperlink w:anchor="seventypercentrule" w:history="1">
        <w:r w:rsidR="002737EF" w:rsidRPr="005F044C">
          <w:rPr>
            <w:rStyle w:val="Hyperlink"/>
          </w:rPr>
          <w:t>70% rule</w:t>
        </w:r>
      </w:hyperlink>
      <w:r w:rsidR="002737EF">
        <w:t xml:space="preserve">. They will look for appropriate evidence of how this was determined and how this is kept up to date throughout the agreement, for example the recommendation to review the PP10/11 forms each year. </w:t>
      </w:r>
    </w:p>
    <w:p w14:paraId="46CDAB6E" w14:textId="2EFCE5B9" w:rsidR="00026E66" w:rsidRDefault="002737EF" w:rsidP="00FF0098">
      <w:pPr>
        <w:tabs>
          <w:tab w:val="left" w:pos="0"/>
        </w:tabs>
      </w:pPr>
      <w:r>
        <w:t xml:space="preserve">Where the eligible energy use is significantly over 70% the operator may demonstrate this by a calculation, preferably in a spreadsheet, showing a list of the </w:t>
      </w:r>
      <w:r w:rsidR="00435EF2">
        <w:t>in</w:t>
      </w:r>
      <w:r>
        <w:t>eligible equipment, the energy ratings (for example in kW), the relevant hours of operation and the level of utilisation (that is, how long each item of equipment is used during the hours of operation). All of this can be reasonably estimated.</w:t>
      </w:r>
    </w:p>
    <w:p w14:paraId="5B367C97" w14:textId="7E1308D8" w:rsidR="00026E66" w:rsidRDefault="002737EF" w:rsidP="00FF0098">
      <w:pPr>
        <w:tabs>
          <w:tab w:val="left" w:pos="0"/>
        </w:tabs>
      </w:pPr>
      <w:r>
        <w:t>Where the eligible energy use is close to the 70% threshold the operator may demonstrate this using temporary meters to check actual eligible or non-eligible energy for a period.</w:t>
      </w:r>
    </w:p>
    <w:p w14:paraId="5456A0B2" w14:textId="77777777" w:rsidR="00026E66" w:rsidRDefault="002737EF" w:rsidP="00FF0098">
      <w:pPr>
        <w:tabs>
          <w:tab w:val="left" w:pos="0"/>
        </w:tabs>
      </w:pPr>
      <w:r>
        <w:t xml:space="preserve">Where the eligible use is less than 70% it must be sub-metered on a continuous basis and recorded. </w:t>
      </w:r>
    </w:p>
    <w:p w14:paraId="1A5F9F76" w14:textId="77777777" w:rsidR="00026E66" w:rsidRPr="00E931A9" w:rsidRDefault="002737EF" w:rsidP="00FF0098">
      <w:pPr>
        <w:pStyle w:val="Heading4"/>
        <w:tabs>
          <w:tab w:val="left" w:pos="0"/>
        </w:tabs>
      </w:pPr>
      <w:r w:rsidRPr="00E931A9">
        <w:t xml:space="preserve">Data Management and retention </w:t>
      </w:r>
    </w:p>
    <w:p w14:paraId="617540B1" w14:textId="11212516" w:rsidR="00026E66" w:rsidRDefault="002737EF" w:rsidP="00FF0098">
      <w:pPr>
        <w:tabs>
          <w:tab w:val="left" w:pos="0"/>
        </w:tabs>
      </w:pPr>
      <w:r>
        <w:t xml:space="preserve">The auditor will assess the baseline and target </w:t>
      </w:r>
      <w:hyperlink w:anchor="Reportingperiod" w:history="1">
        <w:r w:rsidRPr="005E46F7">
          <w:rPr>
            <w:rStyle w:val="Hyperlink"/>
          </w:rPr>
          <w:t>reporting period</w:t>
        </w:r>
      </w:hyperlink>
      <w:r>
        <w:t xml:space="preserve"> data submitted by the operator to demonstrate </w:t>
      </w:r>
      <w:r w:rsidR="00100E8D">
        <w:t xml:space="preserve">the </w:t>
      </w:r>
      <w:r w:rsidR="00727761">
        <w:t>facility’s performance</w:t>
      </w:r>
      <w:r>
        <w:t xml:space="preserve">. This will include both the </w:t>
      </w:r>
      <w:hyperlink w:anchor="Throughput" w:history="1">
        <w:r w:rsidR="00F34A23">
          <w:rPr>
            <w:rStyle w:val="Hyperlink"/>
          </w:rPr>
          <w:t>throughput</w:t>
        </w:r>
      </w:hyperlink>
      <w:r>
        <w:t xml:space="preserve"> (production) and the energy data. If the operator has a certified energy management system or a similar standard, the scope of which covers energy data, then it will be used as the starting point of the audit to recognise this good practice and check it is being used effectively. The review of the data will include an examination of: </w:t>
      </w:r>
    </w:p>
    <w:p w14:paraId="6A3FA36F" w14:textId="77777777" w:rsidR="00026E66" w:rsidRDefault="002737EF" w:rsidP="0065356B">
      <w:pPr>
        <w:pStyle w:val="ListParagraph"/>
        <w:numPr>
          <w:ilvl w:val="0"/>
          <w:numId w:val="69"/>
        </w:numPr>
        <w:tabs>
          <w:tab w:val="left" w:pos="0"/>
        </w:tabs>
      </w:pPr>
      <w:r>
        <w:t xml:space="preserve">the energy units, gross calorific values and any conversion factors used for each fuel or energy source </w:t>
      </w:r>
    </w:p>
    <w:p w14:paraId="266DD110" w14:textId="77777777" w:rsidR="00026E66" w:rsidRDefault="002737EF" w:rsidP="0065356B">
      <w:pPr>
        <w:pStyle w:val="ListParagraph"/>
        <w:numPr>
          <w:ilvl w:val="0"/>
          <w:numId w:val="69"/>
        </w:numPr>
        <w:tabs>
          <w:tab w:val="left" w:pos="0"/>
        </w:tabs>
      </w:pPr>
      <w:r>
        <w:t xml:space="preserve">meter information or records for each fuel or energy source </w:t>
      </w:r>
    </w:p>
    <w:p w14:paraId="5DFA1054" w14:textId="77777777" w:rsidR="00026E66" w:rsidRDefault="002737EF" w:rsidP="0065356B">
      <w:pPr>
        <w:pStyle w:val="ListParagraph"/>
        <w:numPr>
          <w:ilvl w:val="0"/>
          <w:numId w:val="69"/>
        </w:numPr>
        <w:tabs>
          <w:tab w:val="left" w:pos="0"/>
        </w:tabs>
      </w:pPr>
      <w:r>
        <w:t xml:space="preserve">a clear audit trail from the primary records to the data in the register </w:t>
      </w:r>
    </w:p>
    <w:p w14:paraId="5D514539" w14:textId="77777777" w:rsidR="00026E66" w:rsidRDefault="002737EF" w:rsidP="0065356B">
      <w:pPr>
        <w:pStyle w:val="ListParagraph"/>
        <w:numPr>
          <w:ilvl w:val="0"/>
          <w:numId w:val="69"/>
        </w:numPr>
        <w:tabs>
          <w:tab w:val="left" w:pos="0"/>
        </w:tabs>
      </w:pPr>
      <w:r>
        <w:t xml:space="preserve">evidence of standards of accuracy </w:t>
      </w:r>
    </w:p>
    <w:p w14:paraId="147B1F67" w14:textId="77777777" w:rsidR="00816F75" w:rsidRDefault="002737EF" w:rsidP="00727761">
      <w:pPr>
        <w:pStyle w:val="ListParagraph"/>
        <w:numPr>
          <w:ilvl w:val="0"/>
          <w:numId w:val="69"/>
        </w:numPr>
        <w:tabs>
          <w:tab w:val="left" w:pos="0"/>
        </w:tabs>
      </w:pPr>
      <w:r>
        <w:t xml:space="preserve">evidence of the calibration of meters (where applicable) and other methods of recording data. </w:t>
      </w:r>
    </w:p>
    <w:p w14:paraId="27A85A2C" w14:textId="19C1C583" w:rsidR="00026E66" w:rsidRDefault="002737EF" w:rsidP="00816F75">
      <w:pPr>
        <w:tabs>
          <w:tab w:val="left" w:pos="0"/>
        </w:tabs>
      </w:pPr>
      <w:r>
        <w:lastRenderedPageBreak/>
        <w:t>Where applicable, the auditor will ask for evidence of energy consumed by plant carrying out a</w:t>
      </w:r>
      <w:r w:rsidR="00816F75">
        <w:t xml:space="preserve"> </w:t>
      </w:r>
      <w:hyperlink w:anchor="Schedule2" w:history="1">
        <w:r w:rsidR="00727761" w:rsidRPr="00A14E66">
          <w:rPr>
            <w:rStyle w:val="Hyperlink"/>
          </w:rPr>
          <w:t xml:space="preserve">Schedule </w:t>
        </w:r>
        <w:r w:rsidR="00816F75" w:rsidRPr="00A14E66">
          <w:rPr>
            <w:rStyle w:val="Hyperlink"/>
          </w:rPr>
          <w:t>2 activity</w:t>
        </w:r>
      </w:hyperlink>
      <w:r>
        <w:t xml:space="preserve"> within an ETS installation on the site</w:t>
      </w:r>
      <w:r w:rsidR="00F96EEE">
        <w:t xml:space="preserve"> and check this against submitted ETS data.</w:t>
      </w:r>
    </w:p>
    <w:p w14:paraId="63F451BE" w14:textId="77777777" w:rsidR="00026E66" w:rsidRPr="00E931A9" w:rsidRDefault="002737EF" w:rsidP="00FF0098">
      <w:pPr>
        <w:pStyle w:val="Heading4"/>
        <w:tabs>
          <w:tab w:val="left" w:pos="0"/>
        </w:tabs>
      </w:pPr>
      <w:r w:rsidRPr="00E931A9">
        <w:t xml:space="preserve">Throughput data </w:t>
      </w:r>
    </w:p>
    <w:p w14:paraId="2EF0C868" w14:textId="1BFA97A1" w:rsidR="00026E66" w:rsidRDefault="002737EF" w:rsidP="00FF0098">
      <w:pPr>
        <w:tabs>
          <w:tab w:val="left" w:pos="0"/>
        </w:tabs>
      </w:pPr>
      <w:r>
        <w:t xml:space="preserve">The auditor will examine how throughput data is collected, recorded and reported and examine the processes in place to ensure it is checked as part of the operator’s quality assurance. </w:t>
      </w:r>
    </w:p>
    <w:p w14:paraId="66450FAD" w14:textId="424B914A" w:rsidR="00026E66" w:rsidRDefault="002737EF" w:rsidP="00FF0098">
      <w:pPr>
        <w:tabs>
          <w:tab w:val="left" w:pos="0"/>
        </w:tabs>
      </w:pPr>
      <w:r>
        <w:t>The degree of detail required for throughput data will depend on the type of facility and its complexity. The auditor w</w:t>
      </w:r>
      <w:r w:rsidR="00A32FB9">
        <w:t>ill</w:t>
      </w:r>
      <w:r>
        <w:t xml:space="preserve"> expect to see the process and associated records for the baseline year and any relevant target periods. </w:t>
      </w:r>
    </w:p>
    <w:p w14:paraId="02774E25" w14:textId="77777777" w:rsidR="00026E66" w:rsidRPr="00E931A9" w:rsidRDefault="002737EF" w:rsidP="00FF0098">
      <w:pPr>
        <w:pStyle w:val="Heading4"/>
        <w:tabs>
          <w:tab w:val="left" w:pos="0"/>
        </w:tabs>
      </w:pPr>
      <w:r w:rsidRPr="00E931A9">
        <w:t xml:space="preserve">Energy data </w:t>
      </w:r>
    </w:p>
    <w:p w14:paraId="35FDA34E" w14:textId="358192B1" w:rsidR="00026E66" w:rsidRDefault="00392912" w:rsidP="00FF0098">
      <w:pPr>
        <w:tabs>
          <w:tab w:val="left" w:pos="0"/>
        </w:tabs>
      </w:pPr>
      <w:r>
        <w:t xml:space="preserve">The </w:t>
      </w:r>
      <w:r w:rsidR="00A42353">
        <w:t>auditor will</w:t>
      </w:r>
      <w:r w:rsidR="002737EF">
        <w:t xml:space="preserve"> expect to see primary evidence of energy use, such as supplier invoices, the operator's own electronic meter readings or manual records. Where the data is in an electronic data management system, the auditor will check that i</w:t>
      </w:r>
      <w:r w:rsidR="000202F4">
        <w:t>t</w:t>
      </w:r>
      <w:r w:rsidR="002737EF">
        <w:t xml:space="preserve"> has been revi</w:t>
      </w:r>
      <w:r w:rsidR="0044515C">
        <w:t>ewed</w:t>
      </w:r>
      <w:r w:rsidR="002737EF">
        <w:t xml:space="preserve"> for accuracy and</w:t>
      </w:r>
      <w:r w:rsidR="0044515C">
        <w:t xml:space="preserve"> appropriate</w:t>
      </w:r>
      <w:r w:rsidR="002737EF">
        <w:t xml:space="preserve"> backups. Where more than one fuel source is used a representative sample will be taken. </w:t>
      </w:r>
    </w:p>
    <w:p w14:paraId="5E6EB437" w14:textId="77777777" w:rsidR="00026E66" w:rsidRPr="00E931A9" w:rsidRDefault="002737EF" w:rsidP="00FF0098">
      <w:pPr>
        <w:pStyle w:val="Heading4"/>
        <w:tabs>
          <w:tab w:val="left" w:pos="0"/>
        </w:tabs>
      </w:pPr>
      <w:r w:rsidRPr="00E931A9">
        <w:t xml:space="preserve">Errors </w:t>
      </w:r>
    </w:p>
    <w:p w14:paraId="58047A65" w14:textId="4B7D5452" w:rsidR="00026E66" w:rsidRDefault="002737EF" w:rsidP="00FF0098">
      <w:pPr>
        <w:tabs>
          <w:tab w:val="left" w:pos="0"/>
        </w:tabs>
      </w:pPr>
      <w:r>
        <w:t xml:space="preserve">If the auditor discovers a significant error in either the throughput or energy data, they may raise an action for the operator to correct this through a variation. </w:t>
      </w:r>
    </w:p>
    <w:p w14:paraId="3ED85B6B" w14:textId="77777777" w:rsidR="00026E66" w:rsidRPr="00E931A9" w:rsidRDefault="002737EF" w:rsidP="00FF0098">
      <w:pPr>
        <w:pStyle w:val="Heading4"/>
        <w:tabs>
          <w:tab w:val="left" w:pos="0"/>
        </w:tabs>
      </w:pPr>
      <w:r w:rsidRPr="00E931A9">
        <w:t xml:space="preserve">Performance reporting </w:t>
      </w:r>
    </w:p>
    <w:p w14:paraId="5C16626C" w14:textId="77777777" w:rsidR="00714ACB" w:rsidRDefault="002737EF" w:rsidP="00FF0098">
      <w:pPr>
        <w:tabs>
          <w:tab w:val="left" w:pos="0"/>
        </w:tabs>
      </w:pPr>
      <w:r>
        <w:t xml:space="preserve">Where relevant, the auditor will check the reported performance data and the supporting evidence of the </w:t>
      </w:r>
      <w:r w:rsidR="00AB7EEA">
        <w:t>facility’s</w:t>
      </w:r>
      <w:r>
        <w:t xml:space="preserve"> performance against its target. </w:t>
      </w:r>
    </w:p>
    <w:p w14:paraId="0D37F2D6" w14:textId="1EF90854" w:rsidR="00026E66" w:rsidRDefault="002737EF" w:rsidP="00FF0098">
      <w:pPr>
        <w:tabs>
          <w:tab w:val="left" w:pos="0"/>
        </w:tabs>
      </w:pPr>
      <w:r>
        <w:t xml:space="preserve">The auditor will </w:t>
      </w:r>
      <w:r w:rsidR="006A01BB">
        <w:t>check</w:t>
      </w:r>
      <w:r w:rsidR="00BD6CB8">
        <w:t xml:space="preserve"> implemented</w:t>
      </w:r>
      <w:r w:rsidR="006A01BB">
        <w:t xml:space="preserve"> energy</w:t>
      </w:r>
      <w:r>
        <w:t xml:space="preserve"> saving actions and measures </w:t>
      </w:r>
      <w:r w:rsidR="00013720">
        <w:t>that have been reported</w:t>
      </w:r>
      <w:r>
        <w:t xml:space="preserve">, </w:t>
      </w:r>
      <w:r w:rsidR="00013720">
        <w:t>and check</w:t>
      </w:r>
      <w:r w:rsidR="00A02CF9">
        <w:t xml:space="preserve"> the</w:t>
      </w:r>
      <w:r w:rsidR="00013720">
        <w:t xml:space="preserve"> </w:t>
      </w:r>
      <w:r w:rsidR="00DD6706">
        <w:t>estimations made of the potential energy savings those measures</w:t>
      </w:r>
      <w:r w:rsidR="00A02CF9">
        <w:t xml:space="preserve"> would attain. </w:t>
      </w:r>
      <w:r w:rsidR="00DD6706">
        <w:t xml:space="preserve"> </w:t>
      </w:r>
    </w:p>
    <w:p w14:paraId="366BC2DA" w14:textId="77777777" w:rsidR="00026E66" w:rsidRDefault="002737EF" w:rsidP="00FF0098">
      <w:pPr>
        <w:tabs>
          <w:tab w:val="left" w:pos="0"/>
        </w:tabs>
      </w:pPr>
      <w:r>
        <w:t xml:space="preserve">The operator should be able to describe their performance during the target period to explain the reasons underlying that performance, including any step changes at key points in time, for example new technology installation dates. </w:t>
      </w:r>
    </w:p>
    <w:p w14:paraId="5F1EE721" w14:textId="77777777" w:rsidR="00026E66" w:rsidRPr="00E931A9" w:rsidRDefault="002737EF" w:rsidP="00FF0098">
      <w:pPr>
        <w:pStyle w:val="Heading4"/>
        <w:tabs>
          <w:tab w:val="left" w:pos="0"/>
        </w:tabs>
      </w:pPr>
      <w:r w:rsidRPr="00E931A9">
        <w:t xml:space="preserve">CCA governance </w:t>
      </w:r>
    </w:p>
    <w:p w14:paraId="3F95D732" w14:textId="5F0FA1E9" w:rsidR="00026E66" w:rsidRDefault="002737EF" w:rsidP="00FF0098">
      <w:pPr>
        <w:tabs>
          <w:tab w:val="left" w:pos="0"/>
        </w:tabs>
      </w:pPr>
      <w:r>
        <w:t xml:space="preserve">The auditor will check the processes for managing CCA data collection and reporting. Operators are required by their underlying agreements to keep accurate records and make them available for inspection on request. </w:t>
      </w:r>
    </w:p>
    <w:p w14:paraId="726D7CD1" w14:textId="77777777" w:rsidR="00026E66" w:rsidRDefault="002737EF" w:rsidP="00FF0098">
      <w:pPr>
        <w:pStyle w:val="Heading3"/>
        <w:tabs>
          <w:tab w:val="left" w:pos="0"/>
        </w:tabs>
      </w:pPr>
      <w:r>
        <w:lastRenderedPageBreak/>
        <w:t xml:space="preserve">9.3.4. What we look for in a CCA Sector Audit </w:t>
      </w:r>
    </w:p>
    <w:p w14:paraId="6D5A4E17" w14:textId="77777777" w:rsidR="00026E66" w:rsidRDefault="002737EF" w:rsidP="00FF0098">
      <w:pPr>
        <w:tabs>
          <w:tab w:val="left" w:pos="0"/>
        </w:tabs>
      </w:pPr>
      <w:r>
        <w:t xml:space="preserve">We may audit target period performance data for a sector. This will cover both the handling and processing of operator data by a sector association and include an examination of a representative sample of facility data. </w:t>
      </w:r>
    </w:p>
    <w:p w14:paraId="3C72C569" w14:textId="77777777" w:rsidR="00026E66" w:rsidRDefault="002737EF" w:rsidP="00FF0098">
      <w:pPr>
        <w:pStyle w:val="Heading4"/>
        <w:tabs>
          <w:tab w:val="left" w:pos="0"/>
        </w:tabs>
      </w:pPr>
      <w:r>
        <w:t xml:space="preserve">Data handling and processing </w:t>
      </w:r>
    </w:p>
    <w:p w14:paraId="1A0C2D21" w14:textId="3533F2AF" w:rsidR="00026E66" w:rsidRDefault="002737EF" w:rsidP="00FF0098">
      <w:pPr>
        <w:tabs>
          <w:tab w:val="left" w:pos="0"/>
        </w:tabs>
      </w:pPr>
      <w:r>
        <w:t xml:space="preserve">The auditor will review the sector association's procedures for </w:t>
      </w:r>
      <w:proofErr w:type="gramStart"/>
      <w:r>
        <w:t>collecting,</w:t>
      </w:r>
      <w:proofErr w:type="gramEnd"/>
      <w:r>
        <w:t xml:space="preserve"> processing and reporting data from operators. The auditor will expect to see evidence that the sector has a robust management system which sets out the responsibilities for data management, quality checks and management reviews in place to ensure accuracy. </w:t>
      </w:r>
    </w:p>
    <w:p w14:paraId="602C189D" w14:textId="692353CF" w:rsidR="00026E66" w:rsidRDefault="002737EF" w:rsidP="00FF0098">
      <w:pPr>
        <w:tabs>
          <w:tab w:val="left" w:pos="0"/>
        </w:tabs>
      </w:pPr>
      <w:r>
        <w:t xml:space="preserve">The auditor will assess the data reported for a representative sample of </w:t>
      </w:r>
      <w:r w:rsidR="00E45E59">
        <w:t>facilities</w:t>
      </w:r>
      <w:r w:rsidR="00821169">
        <w:t xml:space="preserve"> </w:t>
      </w:r>
      <w:r>
        <w:t xml:space="preserve">in the sector. The selection </w:t>
      </w:r>
      <w:r w:rsidR="00E45E59">
        <w:t>could</w:t>
      </w:r>
      <w:r>
        <w:t xml:space="preserve"> include specific </w:t>
      </w:r>
      <w:r w:rsidR="00E45E59">
        <w:t>facilities</w:t>
      </w:r>
      <w:r>
        <w:t xml:space="preserve"> where we have </w:t>
      </w:r>
      <w:r w:rsidR="00ED11A4">
        <w:t>concerns</w:t>
      </w:r>
      <w:r>
        <w:t xml:space="preserve"> about the data that has been reported. </w:t>
      </w:r>
    </w:p>
    <w:p w14:paraId="16B91FC5" w14:textId="362632BD" w:rsidR="00026E66" w:rsidRDefault="002737EF" w:rsidP="00FF0098">
      <w:pPr>
        <w:pStyle w:val="Heading4"/>
        <w:tabs>
          <w:tab w:val="left" w:pos="0"/>
        </w:tabs>
      </w:pPr>
      <w:r>
        <w:t xml:space="preserve">Audit of facility data </w:t>
      </w:r>
    </w:p>
    <w:p w14:paraId="57048F26" w14:textId="732EB842" w:rsidR="00026E66" w:rsidRDefault="002737EF" w:rsidP="00FF0098">
      <w:pPr>
        <w:tabs>
          <w:tab w:val="left" w:pos="0"/>
        </w:tabs>
      </w:pPr>
      <w:r>
        <w:t>The auditor will expect to see copies of primary evidence provided to the sector association</w:t>
      </w:r>
      <w:r w:rsidR="00ED11A4">
        <w:t xml:space="preserve"> </w:t>
      </w:r>
      <w:r>
        <w:t xml:space="preserve">and will check that the data held </w:t>
      </w:r>
      <w:r w:rsidR="00C82D0D">
        <w:t xml:space="preserve">in </w:t>
      </w:r>
      <w:proofErr w:type="spellStart"/>
      <w:r w:rsidR="00C82D0D">
        <w:t>MyCCA</w:t>
      </w:r>
      <w:proofErr w:type="spellEnd"/>
      <w:r>
        <w:t xml:space="preserve"> agrees with that provided by operators or has been corrected and agreed with the operator prior to submission. </w:t>
      </w:r>
    </w:p>
    <w:p w14:paraId="64F482B0" w14:textId="00EE0242" w:rsidR="00026E66" w:rsidRDefault="002737EF" w:rsidP="00FF0098">
      <w:pPr>
        <w:tabs>
          <w:tab w:val="left" w:pos="0"/>
        </w:tabs>
      </w:pPr>
      <w:r>
        <w:t>Auditors will check data</w:t>
      </w:r>
      <w:r w:rsidR="00821169">
        <w:t xml:space="preserve"> for how baseline data has been structure</w:t>
      </w:r>
      <w:r w:rsidR="00D263AA">
        <w:t>d</w:t>
      </w:r>
      <w:r w:rsidR="00821169">
        <w:t>, how energy has been assigned between fixed and variable consumption and</w:t>
      </w:r>
      <w:r>
        <w:t xml:space="preserve"> that any </w:t>
      </w:r>
      <w:hyperlink w:anchor="Buyout" w:history="1">
        <w:r w:rsidRPr="00FE39EA">
          <w:rPr>
            <w:rStyle w:val="Hyperlink"/>
          </w:rPr>
          <w:t>buy-out</w:t>
        </w:r>
      </w:hyperlink>
      <w:r>
        <w:t xml:space="preserve"> fees have been paid. </w:t>
      </w:r>
    </w:p>
    <w:p w14:paraId="4F53E052" w14:textId="0E01A4B3" w:rsidR="00C7464C" w:rsidRDefault="00C7464C" w:rsidP="00FF0098">
      <w:pPr>
        <w:tabs>
          <w:tab w:val="left" w:pos="0"/>
        </w:tabs>
      </w:pPr>
      <w:r>
        <w:t xml:space="preserve">Where the </w:t>
      </w:r>
      <w:hyperlink w:anchor="SRM" w:history="1">
        <w:r w:rsidRPr="0086469F">
          <w:rPr>
            <w:rStyle w:val="Hyperlink"/>
          </w:rPr>
          <w:t>SRM</w:t>
        </w:r>
      </w:hyperlink>
      <w:r>
        <w:t xml:space="preserve"> </w:t>
      </w:r>
      <w:r w:rsidR="00743FF5">
        <w:t xml:space="preserve">applies, the auditor will check any calculations to ensure they have been carried out correctly. </w:t>
      </w:r>
    </w:p>
    <w:p w14:paraId="5EED4725" w14:textId="495F0E15" w:rsidR="00ED11A4" w:rsidRDefault="00ED11A4" w:rsidP="00FF0098">
      <w:pPr>
        <w:tabs>
          <w:tab w:val="left" w:pos="0"/>
        </w:tabs>
      </w:pPr>
      <w:r>
        <w:t xml:space="preserve">Where a facility is in </w:t>
      </w:r>
      <w:hyperlink w:anchor="UKETS" w:history="1">
        <w:r w:rsidRPr="00AE5839">
          <w:rPr>
            <w:rStyle w:val="Hyperlink"/>
          </w:rPr>
          <w:t>UK ETS</w:t>
        </w:r>
      </w:hyperlink>
      <w:r>
        <w:t xml:space="preserve">, the auditor will review the information submitted </w:t>
      </w:r>
      <w:r w:rsidR="00EE734E">
        <w:t xml:space="preserve">and ensure that permit numbers are correct. </w:t>
      </w:r>
    </w:p>
    <w:p w14:paraId="29E1F5CA" w14:textId="6ACBADBC" w:rsidR="00026E66" w:rsidRDefault="002737EF" w:rsidP="00FF0098">
      <w:pPr>
        <w:pStyle w:val="Heading2"/>
        <w:tabs>
          <w:tab w:val="left" w:pos="0"/>
        </w:tabs>
      </w:pPr>
      <w:bookmarkStart w:id="197" w:name="_Toc94718670"/>
      <w:bookmarkStart w:id="198" w:name="_Toc94088918"/>
      <w:bookmarkStart w:id="199" w:name="_Toc242885397"/>
      <w:r>
        <w:t xml:space="preserve">9.4. </w:t>
      </w:r>
      <w:r w:rsidR="00840D24">
        <w:t>Possible audit outcomes</w:t>
      </w:r>
      <w:bookmarkEnd w:id="199"/>
      <w:r w:rsidR="00840D24">
        <w:t xml:space="preserve"> </w:t>
      </w:r>
      <w:bookmarkEnd w:id="197"/>
      <w:bookmarkEnd w:id="198"/>
    </w:p>
    <w:p w14:paraId="73EA5A8C" w14:textId="1981DA63" w:rsidR="005D7CD7" w:rsidRDefault="00F01D3D" w:rsidP="005D7CD7">
      <w:pPr>
        <w:tabs>
          <w:tab w:val="left" w:pos="0"/>
        </w:tabs>
      </w:pPr>
      <w:r>
        <w:t xml:space="preserve">Once the final audit report has been sent and the audit has been completed there are </w:t>
      </w:r>
      <w:r w:rsidR="009E12F0">
        <w:t>2</w:t>
      </w:r>
      <w:r w:rsidR="005D7CD7">
        <w:t xml:space="preserve"> possible outcomes: </w:t>
      </w:r>
    </w:p>
    <w:p w14:paraId="5EEC04A7" w14:textId="31AA9B05" w:rsidR="00026E66" w:rsidRDefault="00F01D3D" w:rsidP="0065356B">
      <w:pPr>
        <w:pStyle w:val="ListParagraph"/>
        <w:numPr>
          <w:ilvl w:val="0"/>
          <w:numId w:val="71"/>
        </w:numPr>
        <w:tabs>
          <w:tab w:val="left" w:pos="0"/>
        </w:tabs>
      </w:pPr>
      <w:r>
        <w:t>N</w:t>
      </w:r>
      <w:r w:rsidR="002737EF">
        <w:t xml:space="preserve">o further action required </w:t>
      </w:r>
    </w:p>
    <w:p w14:paraId="31AA9666" w14:textId="29FF4DC3" w:rsidR="002D0500" w:rsidRDefault="00F01D3D" w:rsidP="002D0500">
      <w:pPr>
        <w:pStyle w:val="ListParagraph"/>
        <w:numPr>
          <w:ilvl w:val="0"/>
          <w:numId w:val="71"/>
        </w:numPr>
        <w:tabs>
          <w:tab w:val="left" w:pos="0"/>
        </w:tabs>
      </w:pPr>
      <w:r>
        <w:t>F</w:t>
      </w:r>
      <w:r w:rsidR="002D0500">
        <w:t xml:space="preserve">urther action required – </w:t>
      </w:r>
      <w:r w:rsidR="00D263AA">
        <w:t xml:space="preserve">the report will contain </w:t>
      </w:r>
      <w:r>
        <w:t>actions to be completed by the operator and a date for these to be completed by. T</w:t>
      </w:r>
      <w:r w:rsidR="00D263AA">
        <w:t xml:space="preserve">he report </w:t>
      </w:r>
      <w:r>
        <w:t xml:space="preserve">may also </w:t>
      </w:r>
      <w:r w:rsidR="00D263AA">
        <w:t>contain recommendations to address current issues and to reduce future risks of non-compliance (for example, the need for one or more variations to the agreement)</w:t>
      </w:r>
    </w:p>
    <w:p w14:paraId="5E5C57BC" w14:textId="07095664" w:rsidR="00026E66" w:rsidRDefault="002737EF" w:rsidP="00FF0098">
      <w:pPr>
        <w:tabs>
          <w:tab w:val="left" w:pos="0"/>
        </w:tabs>
      </w:pPr>
      <w:r>
        <w:lastRenderedPageBreak/>
        <w:t xml:space="preserve">The audit report will be sent to the operator. The </w:t>
      </w:r>
      <w:hyperlink w:anchor="Sectorassociation" w:history="1">
        <w:r w:rsidRPr="00021E17">
          <w:rPr>
            <w:rStyle w:val="Hyperlink"/>
          </w:rPr>
          <w:t>sector association</w:t>
        </w:r>
      </w:hyperlink>
      <w:r>
        <w:t xml:space="preserve"> will be informed of the audit outcome.</w:t>
      </w:r>
    </w:p>
    <w:p w14:paraId="179EB49F" w14:textId="72D6D127" w:rsidR="00026E66" w:rsidRDefault="002737EF" w:rsidP="00FF0098">
      <w:pPr>
        <w:pStyle w:val="Heading3"/>
        <w:tabs>
          <w:tab w:val="left" w:pos="0"/>
        </w:tabs>
      </w:pPr>
      <w:r>
        <w:t xml:space="preserve">9.4.1. What happens next </w:t>
      </w:r>
    </w:p>
    <w:p w14:paraId="3E83EBC3" w14:textId="6087CB7A" w:rsidR="00026E66" w:rsidRDefault="002737EF" w:rsidP="00FF0098">
      <w:pPr>
        <w:tabs>
          <w:tab w:val="left" w:pos="0"/>
        </w:tabs>
      </w:pPr>
      <w:r>
        <w:t xml:space="preserve">If no further action is required by the operator </w:t>
      </w:r>
      <w:r w:rsidR="006E4399">
        <w:t xml:space="preserve">the audit process is closed. </w:t>
      </w:r>
    </w:p>
    <w:p w14:paraId="65F873ED" w14:textId="360771EB" w:rsidR="00026E66" w:rsidRDefault="002737EF" w:rsidP="00FF0098">
      <w:pPr>
        <w:tabs>
          <w:tab w:val="left" w:pos="0"/>
        </w:tabs>
      </w:pPr>
      <w:r>
        <w:t>If follow-up actions are re</w:t>
      </w:r>
      <w:r w:rsidR="006E4399">
        <w:t>quired</w:t>
      </w:r>
      <w:r>
        <w:t xml:space="preserve">, we will work with the operator to agree a timescale for those actions. We may suggest a follow-up meeting and possibly carry out a further audit depending on the severity of the issues requiring attention. </w:t>
      </w:r>
    </w:p>
    <w:p w14:paraId="07842E02" w14:textId="503C61E1" w:rsidR="00026E66" w:rsidRDefault="002737EF" w:rsidP="00FF0098">
      <w:pPr>
        <w:tabs>
          <w:tab w:val="left" w:pos="0"/>
        </w:tabs>
      </w:pPr>
      <w:r>
        <w:t xml:space="preserve">If the operator does not </w:t>
      </w:r>
      <w:r w:rsidR="006E4399">
        <w:t>complete the actions</w:t>
      </w:r>
      <w:r>
        <w:t xml:space="preserve"> within the agreed timescale, we may take enforcement action, which could include serving a civil </w:t>
      </w:r>
      <w:hyperlink w:anchor="Penalty" w:history="1">
        <w:r w:rsidR="006F05FB">
          <w:rPr>
            <w:rStyle w:val="Hyperlink"/>
          </w:rPr>
          <w:t>penalty</w:t>
        </w:r>
      </w:hyperlink>
      <w:r>
        <w:t xml:space="preserve"> on the operator or, in the worst case, terminate the agreement due to non-compliance. </w:t>
      </w:r>
    </w:p>
    <w:p w14:paraId="2A32CA15" w14:textId="1212586D" w:rsidR="00A25DF5" w:rsidRDefault="002737EF" w:rsidP="00A25DF5">
      <w:pPr>
        <w:tabs>
          <w:tab w:val="left" w:pos="0"/>
        </w:tabs>
      </w:pPr>
      <w:r>
        <w:t xml:space="preserve">If </w:t>
      </w:r>
      <w:r w:rsidR="006E4399">
        <w:t>during</w:t>
      </w:r>
      <w:r>
        <w:t xml:space="preserve"> audit </w:t>
      </w:r>
      <w:r w:rsidR="006E4399">
        <w:t xml:space="preserve">it is discovered </w:t>
      </w:r>
      <w:r w:rsidR="004C4340">
        <w:t>that an</w:t>
      </w:r>
      <w:r>
        <w:t xml:space="preserve"> operator is in the wrong sector, they will have to change sectors. For how to do this see </w:t>
      </w:r>
      <w:hyperlink w:anchor="_7.9.3._Changing_sector" w:history="1">
        <w:r w:rsidRPr="00D73F0B">
          <w:rPr>
            <w:rStyle w:val="Hyperlink"/>
          </w:rPr>
          <w:t xml:space="preserve">section </w:t>
        </w:r>
        <w:r w:rsidR="00D73F0B" w:rsidRPr="00D73F0B">
          <w:rPr>
            <w:rStyle w:val="Hyperlink"/>
          </w:rPr>
          <w:t>7.9.3</w:t>
        </w:r>
      </w:hyperlink>
      <w:r>
        <w:t xml:space="preserve"> </w:t>
      </w:r>
    </w:p>
    <w:p w14:paraId="2A800E56" w14:textId="75E72853" w:rsidR="00A02497" w:rsidRDefault="00A02497" w:rsidP="00A02497">
      <w:pPr>
        <w:pStyle w:val="Heading2"/>
        <w:tabs>
          <w:tab w:val="left" w:pos="0"/>
        </w:tabs>
      </w:pPr>
      <w:bookmarkStart w:id="200" w:name="_Toc242885398"/>
      <w:r>
        <w:t>9.5. Eligibility Reviews</w:t>
      </w:r>
      <w:bookmarkEnd w:id="200"/>
      <w:r>
        <w:t xml:space="preserve">  </w:t>
      </w:r>
    </w:p>
    <w:p w14:paraId="3DFB38E1" w14:textId="706E9CE3" w:rsidR="00A02497" w:rsidRDefault="00A02497" w:rsidP="00A25DF5">
      <w:pPr>
        <w:tabs>
          <w:tab w:val="left" w:pos="0"/>
        </w:tabs>
      </w:pPr>
      <w:r>
        <w:t xml:space="preserve">Eligibility Reviews are compliance checks to ensure that a facility continues to be eligible for an agreement. </w:t>
      </w:r>
      <w:r w:rsidR="00D03AAD">
        <w:t xml:space="preserve">The reviews are </w:t>
      </w:r>
      <w:proofErr w:type="gramStart"/>
      <w:r w:rsidR="00D03AAD">
        <w:t>similar to</w:t>
      </w:r>
      <w:proofErr w:type="gramEnd"/>
      <w:r w:rsidR="00D03AAD">
        <w:t xml:space="preserve"> compliance </w:t>
      </w:r>
      <w:hyperlink w:anchor="Audit" w:history="1">
        <w:r w:rsidR="00D03AAD" w:rsidRPr="0079596B">
          <w:rPr>
            <w:rStyle w:val="Hyperlink"/>
          </w:rPr>
          <w:t>audits</w:t>
        </w:r>
      </w:hyperlink>
      <w:r w:rsidR="00D03AAD">
        <w:t xml:space="preserve"> but </w:t>
      </w:r>
      <w:r w:rsidR="00C8778A">
        <w:t>focus primarily on</w:t>
      </w:r>
      <w:r w:rsidR="00D03AAD">
        <w:t xml:space="preserve"> assessing </w:t>
      </w:r>
      <w:r w:rsidR="00362840" w:rsidRPr="00362840">
        <w:t>whether the processes carried out at the facility meet the eligibility criteria for the sector</w:t>
      </w:r>
      <w:r w:rsidR="0021201D">
        <w:t xml:space="preserve">. </w:t>
      </w:r>
    </w:p>
    <w:p w14:paraId="69D8886F" w14:textId="650D6AA4" w:rsidR="00A226C6" w:rsidRDefault="00974CA3" w:rsidP="00A25DF5">
      <w:pPr>
        <w:tabs>
          <w:tab w:val="left" w:pos="0"/>
        </w:tabs>
      </w:pPr>
      <w:r>
        <w:t xml:space="preserve">It is important that operators can demonstrate </w:t>
      </w:r>
      <w:r w:rsidR="002A0C6F">
        <w:t>that a facility continues to be eligible for an agreement</w:t>
      </w:r>
      <w:r w:rsidR="00AB02C7">
        <w:t>.</w:t>
      </w:r>
      <w:r w:rsidR="009D72AF">
        <w:t xml:space="preserve"> At the start of </w:t>
      </w:r>
      <w:r w:rsidR="00D73F0B">
        <w:t>the new scheme</w:t>
      </w:r>
      <w:r w:rsidR="009D72AF">
        <w:t>, operators were asked to confirm</w:t>
      </w:r>
      <w:r w:rsidR="00A82DA1">
        <w:t xml:space="preserve"> </w:t>
      </w:r>
      <w:r w:rsidR="0003156B">
        <w:t>as part of</w:t>
      </w:r>
      <w:r w:rsidR="00A82DA1">
        <w:t xml:space="preserve"> assenting to their agreement that the facility was still </w:t>
      </w:r>
      <w:r w:rsidR="00E40555">
        <w:t>carrying out an eligible process</w:t>
      </w:r>
      <w:r w:rsidR="00A82DA1">
        <w:t xml:space="preserve">. </w:t>
      </w:r>
      <w:r w:rsidR="00AB02C7">
        <w:t>If a facility is determined to be ineligible</w:t>
      </w:r>
      <w:r w:rsidR="006B1EC6">
        <w:t xml:space="preserve"> following an eligibility review</w:t>
      </w:r>
      <w:r w:rsidR="00C8778A">
        <w:t xml:space="preserve"> and is not eligible </w:t>
      </w:r>
      <w:r w:rsidR="002C03DA">
        <w:t xml:space="preserve">to be included in another sector’s </w:t>
      </w:r>
      <w:hyperlink w:anchor="Umbrellaagreement" w:history="1">
        <w:r w:rsidR="002C03DA" w:rsidRPr="001B35CB">
          <w:rPr>
            <w:rStyle w:val="Hyperlink"/>
          </w:rPr>
          <w:t>umbrella agreement</w:t>
        </w:r>
      </w:hyperlink>
      <w:r w:rsidR="002C03DA">
        <w:t>,</w:t>
      </w:r>
      <w:r w:rsidR="00AB02C7">
        <w:t xml:space="preserve"> the facility will be terminated from the agreement, and </w:t>
      </w:r>
      <w:r w:rsidR="00AD4182">
        <w:t>relevant information</w:t>
      </w:r>
      <w:r w:rsidR="00AB02C7">
        <w:t xml:space="preserve"> passed on to HMRC in order to investigate </w:t>
      </w:r>
      <w:r w:rsidR="006B1EC6">
        <w:t xml:space="preserve">whether </w:t>
      </w:r>
      <w:hyperlink w:anchor="CCL" w:history="1">
        <w:r w:rsidR="006B1EC6" w:rsidRPr="002B56E7">
          <w:rPr>
            <w:rStyle w:val="Hyperlink"/>
          </w:rPr>
          <w:t>CCL</w:t>
        </w:r>
      </w:hyperlink>
      <w:r w:rsidR="006B1EC6">
        <w:t xml:space="preserve"> relief has been claimed </w:t>
      </w:r>
      <w:r w:rsidR="0056244E">
        <w:t xml:space="preserve">for an ineligible facility. </w:t>
      </w:r>
    </w:p>
    <w:p w14:paraId="061EB6A8" w14:textId="1B239ED6" w:rsidR="009D72AF" w:rsidRDefault="00A6724B" w:rsidP="00A25DF5">
      <w:pPr>
        <w:tabs>
          <w:tab w:val="left" w:pos="0"/>
        </w:tabs>
      </w:pPr>
      <w:r>
        <w:t>Facilities will be selected for an eligibility review where</w:t>
      </w:r>
      <w:r w:rsidR="00B6670C">
        <w:t xml:space="preserve"> existing information regarding the facility’s eligibility is incomplete or limited, where </w:t>
      </w:r>
      <w:r w:rsidR="002C130F">
        <w:t xml:space="preserve">other facilities carrying out similar processes have been determined to be ineligible, or where </w:t>
      </w:r>
      <w:r w:rsidR="009D72AF">
        <w:t>other intelligence suggest</w:t>
      </w:r>
      <w:r w:rsidR="000202F4">
        <w:t>s that</w:t>
      </w:r>
      <w:r w:rsidR="009D72AF">
        <w:t xml:space="preserve"> a review should be carried out. </w:t>
      </w:r>
    </w:p>
    <w:p w14:paraId="3702EB1B" w14:textId="32C70480" w:rsidR="006B1EC6" w:rsidRDefault="006B1EC6" w:rsidP="00216F8B">
      <w:pPr>
        <w:pStyle w:val="Heading3"/>
        <w:tabs>
          <w:tab w:val="left" w:pos="0"/>
        </w:tabs>
      </w:pPr>
      <w:r>
        <w:t xml:space="preserve">9.5.1 </w:t>
      </w:r>
      <w:r w:rsidR="00A6724B">
        <w:t>Eligibility Review process</w:t>
      </w:r>
    </w:p>
    <w:p w14:paraId="317E43CB" w14:textId="58EF4D7D" w:rsidR="008B0931" w:rsidRDefault="008B0931" w:rsidP="008B0931">
      <w:pPr>
        <w:tabs>
          <w:tab w:val="left" w:pos="0"/>
        </w:tabs>
      </w:pPr>
      <w:r>
        <w:t xml:space="preserve">The facility eligibility </w:t>
      </w:r>
      <w:r w:rsidR="00C4644A">
        <w:t>review</w:t>
      </w:r>
      <w:r>
        <w:t xml:space="preserve"> process as seen by the operator is set out below:</w:t>
      </w:r>
    </w:p>
    <w:p w14:paraId="53FB8834" w14:textId="4F5F92A6" w:rsidR="008B0931" w:rsidRDefault="008B0931" w:rsidP="008B0931">
      <w:pPr>
        <w:pStyle w:val="ListParagraph"/>
        <w:numPr>
          <w:ilvl w:val="0"/>
          <w:numId w:val="193"/>
        </w:numPr>
        <w:tabs>
          <w:tab w:val="left" w:pos="0"/>
        </w:tabs>
      </w:pPr>
      <w:r>
        <w:t xml:space="preserve">Notification of selection for facility eligibility </w:t>
      </w:r>
      <w:r w:rsidR="00C4644A">
        <w:t>review</w:t>
      </w:r>
      <w:r>
        <w:t xml:space="preserve"> by email to the contact persons for the agreement. </w:t>
      </w:r>
    </w:p>
    <w:p w14:paraId="73A51B56" w14:textId="150DA7C8" w:rsidR="008B0931" w:rsidRDefault="008B0931" w:rsidP="003737B7">
      <w:pPr>
        <w:pStyle w:val="ListParagraph"/>
        <w:numPr>
          <w:ilvl w:val="0"/>
          <w:numId w:val="193"/>
        </w:numPr>
        <w:tabs>
          <w:tab w:val="left" w:pos="0"/>
        </w:tabs>
      </w:pPr>
      <w:r>
        <w:lastRenderedPageBreak/>
        <w:t>We will review the provided facility eligibility information</w:t>
      </w:r>
      <w:r w:rsidR="00C4644A">
        <w:t xml:space="preserve"> and</w:t>
      </w:r>
      <w:r>
        <w:t xml:space="preserve"> may request further information from the operator.</w:t>
      </w:r>
    </w:p>
    <w:p w14:paraId="2016BA64" w14:textId="6D745DFC" w:rsidR="008B0931" w:rsidRDefault="008B0931" w:rsidP="008B0931">
      <w:pPr>
        <w:pStyle w:val="ListParagraph"/>
        <w:numPr>
          <w:ilvl w:val="0"/>
          <w:numId w:val="193"/>
        </w:numPr>
        <w:tabs>
          <w:tab w:val="left" w:pos="0"/>
        </w:tabs>
      </w:pPr>
      <w:r>
        <w:t xml:space="preserve">The operator will be informed of the outcome of the </w:t>
      </w:r>
      <w:r w:rsidR="00C4644A">
        <w:t>review</w:t>
      </w:r>
      <w:r>
        <w:t xml:space="preserve">, and the </w:t>
      </w:r>
      <w:r w:rsidR="00C4644A">
        <w:t>review</w:t>
      </w:r>
      <w:r>
        <w:t xml:space="preserve"> will be closed.</w:t>
      </w:r>
    </w:p>
    <w:p w14:paraId="22F94374" w14:textId="2C5ED530" w:rsidR="008B0931" w:rsidRDefault="008B0931" w:rsidP="008B0931">
      <w:pPr>
        <w:pStyle w:val="ListParagraph"/>
        <w:numPr>
          <w:ilvl w:val="0"/>
          <w:numId w:val="193"/>
        </w:numPr>
        <w:tabs>
          <w:tab w:val="left" w:pos="0"/>
        </w:tabs>
      </w:pPr>
      <w:r>
        <w:t xml:space="preserve">If any further actions are required following closure of the </w:t>
      </w:r>
      <w:r w:rsidR="00C4644A">
        <w:t>review</w:t>
      </w:r>
      <w:r>
        <w:t xml:space="preserve"> the operator is required to complete these by the communicated deadline date. We will track any outstanding actions and request confirmation of any completed actions.</w:t>
      </w:r>
      <w:r w:rsidR="00994BD0">
        <w:t xml:space="preserve"> This may require a variation to the agreement. </w:t>
      </w:r>
    </w:p>
    <w:p w14:paraId="4F9D8AA9" w14:textId="77777777" w:rsidR="008B0931" w:rsidRDefault="008B0931" w:rsidP="008B0931">
      <w:pPr>
        <w:pStyle w:val="ListParagraph"/>
        <w:numPr>
          <w:ilvl w:val="0"/>
          <w:numId w:val="193"/>
        </w:numPr>
        <w:tabs>
          <w:tab w:val="left" w:pos="0"/>
        </w:tabs>
      </w:pPr>
      <w:r>
        <w:t>If any outstanding actions are not completed by the agreed deadline operators may be subject to a penalty due to non-compliance.</w:t>
      </w:r>
    </w:p>
    <w:p w14:paraId="1A7C4E18" w14:textId="30CEC96C" w:rsidR="00E64C4E" w:rsidRDefault="00D463C4" w:rsidP="00A25DF5">
      <w:pPr>
        <w:tabs>
          <w:tab w:val="left" w:pos="0"/>
        </w:tabs>
      </w:pPr>
      <w:r>
        <w:t>Eligibility reviews will</w:t>
      </w:r>
      <w:r w:rsidR="00683A7B">
        <w:t xml:space="preserve"> not require a phone call or site visit</w:t>
      </w:r>
      <w:r w:rsidR="00A6724B">
        <w:t xml:space="preserve"> to the </w:t>
      </w:r>
      <w:r w:rsidR="0056244E">
        <w:t>facility but</w:t>
      </w:r>
      <w:r w:rsidR="00683A7B">
        <w:t xml:space="preserve"> will be carried out as part of a desktop </w:t>
      </w:r>
      <w:hyperlink w:anchor="Audit" w:history="1">
        <w:r w:rsidR="00D73F0B">
          <w:rPr>
            <w:rStyle w:val="Hyperlink"/>
          </w:rPr>
          <w:t>audit</w:t>
        </w:r>
      </w:hyperlink>
      <w:r w:rsidR="00683A7B">
        <w:t>. An</w:t>
      </w:r>
      <w:r w:rsidR="00727149">
        <w:t xml:space="preserve"> auditor</w:t>
      </w:r>
      <w:r w:rsidR="00A6724B">
        <w:t xml:space="preserve"> will inform an operator</w:t>
      </w:r>
      <w:r w:rsidR="00E64C4E">
        <w:t xml:space="preserve"> that a facility has been selected for an eligibility review </w:t>
      </w:r>
      <w:r w:rsidR="004D3B8F">
        <w:t>via email to the contacts listed for the agreement</w:t>
      </w:r>
      <w:r w:rsidR="00E64C4E">
        <w:t xml:space="preserve">. </w:t>
      </w:r>
      <w:r w:rsidR="000A74AA">
        <w:t>Operators will be expected to provide the requested information by th</w:t>
      </w:r>
      <w:r w:rsidR="007C5119">
        <w:t>e agreed</w:t>
      </w:r>
      <w:r w:rsidR="000A74AA">
        <w:t xml:space="preserve"> deadline</w:t>
      </w:r>
      <w:r w:rsidR="007C5119">
        <w:t xml:space="preserve"> date</w:t>
      </w:r>
      <w:r w:rsidR="000A74AA">
        <w:t xml:space="preserve">, as maintaining evidence of the facility’s eligibility is </w:t>
      </w:r>
      <w:r w:rsidR="004D3B8F">
        <w:t xml:space="preserve">a key responsibility of maintaining an agreement, as outlined in the </w:t>
      </w:r>
      <w:hyperlink w:anchor="Underlyingagreement" w:history="1">
        <w:r w:rsidR="004D3B8F" w:rsidRPr="0017611F">
          <w:rPr>
            <w:rStyle w:val="Hyperlink"/>
          </w:rPr>
          <w:t>underlying agreement</w:t>
        </w:r>
      </w:hyperlink>
      <w:r w:rsidR="004D3B8F">
        <w:t xml:space="preserve">. </w:t>
      </w:r>
    </w:p>
    <w:p w14:paraId="3720E2D8" w14:textId="0BECF10B" w:rsidR="008B0931" w:rsidRDefault="008936AB" w:rsidP="008B0931">
      <w:pPr>
        <w:tabs>
          <w:tab w:val="left" w:pos="0"/>
        </w:tabs>
      </w:pPr>
      <w:r>
        <w:t xml:space="preserve">We will also </w:t>
      </w:r>
      <w:r w:rsidR="004732BC">
        <w:t xml:space="preserve">inform the relevant sector association that the facility has been selected for </w:t>
      </w:r>
      <w:r w:rsidR="0046727F">
        <w:t>review</w:t>
      </w:r>
      <w:r w:rsidR="004732BC">
        <w:t xml:space="preserve">. </w:t>
      </w:r>
      <w:r w:rsidR="008B0931">
        <w:t>It is important that you reply to our request for information as soon as possible. Failing to provide us with an update to our request or provide the information requested could lead to enforcement action (</w:t>
      </w:r>
      <w:hyperlink w:anchor="_8.1.2._Method_1" w:history="1">
        <w:r w:rsidR="008B0931" w:rsidRPr="00622689">
          <w:rPr>
            <w:rStyle w:val="Hyperlink"/>
          </w:rPr>
          <w:t>section 8.1.2</w:t>
        </w:r>
      </w:hyperlink>
      <w:r w:rsidR="008B0931">
        <w:t>) and the facility being removed from an agreement or terminati</w:t>
      </w:r>
      <w:r w:rsidR="00D73F0B">
        <w:t>on of</w:t>
      </w:r>
      <w:r w:rsidR="008B0931">
        <w:t xml:space="preserve"> the whole agreement. </w:t>
      </w:r>
    </w:p>
    <w:p w14:paraId="2F2A4728" w14:textId="1BE7E8DF" w:rsidR="0055331F" w:rsidRDefault="003B2520" w:rsidP="00A25DF5">
      <w:pPr>
        <w:tabs>
          <w:tab w:val="left" w:pos="0"/>
        </w:tabs>
      </w:pPr>
      <w:r>
        <w:t>T</w:t>
      </w:r>
      <w:r w:rsidR="008A2DDC">
        <w:t xml:space="preserve">he information requested as part of the </w:t>
      </w:r>
      <w:r>
        <w:t xml:space="preserve">eligibility review will include the following: </w:t>
      </w:r>
    </w:p>
    <w:p w14:paraId="687DB3A5" w14:textId="2F8E095F" w:rsidR="00A7025C" w:rsidRPr="00E955A3" w:rsidRDefault="00A7025C" w:rsidP="00A7025C">
      <w:pPr>
        <w:pStyle w:val="ListParagraph"/>
        <w:numPr>
          <w:ilvl w:val="0"/>
          <w:numId w:val="168"/>
        </w:numPr>
      </w:pPr>
      <w:r w:rsidRPr="00E955A3">
        <w:t xml:space="preserve">Manufacturing process description – this is an overview of the manufacturing process carried out. It should cover all elements of the process from receipt of raw materials to dispatch of final product </w:t>
      </w:r>
    </w:p>
    <w:p w14:paraId="3961B72E" w14:textId="54C2E438" w:rsidR="00A7025C" w:rsidRPr="00E955A3" w:rsidRDefault="00A7025C" w:rsidP="00A7025C">
      <w:pPr>
        <w:pStyle w:val="ListParagraph"/>
        <w:numPr>
          <w:ilvl w:val="0"/>
          <w:numId w:val="168"/>
        </w:numPr>
      </w:pPr>
      <w:r w:rsidRPr="00E955A3">
        <w:t xml:space="preserve">Description of </w:t>
      </w:r>
      <w:hyperlink w:anchor="Eligibleprocess" w:history="1">
        <w:r w:rsidRPr="00DB1221">
          <w:rPr>
            <w:rStyle w:val="Hyperlink"/>
          </w:rPr>
          <w:t>eligible processes</w:t>
        </w:r>
      </w:hyperlink>
      <w:r w:rsidRPr="00E955A3">
        <w:t xml:space="preserve"> - this is a description of the elements of the process that are eligible for the CCA. It should clearly state how these elements meet the sector eligibility criteria </w:t>
      </w:r>
    </w:p>
    <w:p w14:paraId="74BD2B50" w14:textId="2CA6E777" w:rsidR="00A7025C" w:rsidRPr="00E955A3" w:rsidRDefault="00D400F8" w:rsidP="00A7025C">
      <w:pPr>
        <w:pStyle w:val="ListParagraph"/>
        <w:numPr>
          <w:ilvl w:val="0"/>
          <w:numId w:val="168"/>
        </w:numPr>
      </w:pPr>
      <w:hyperlink w:anchor="DAA" w:history="1">
        <w:r w:rsidRPr="00527963">
          <w:rPr>
            <w:rStyle w:val="Hyperlink"/>
          </w:rPr>
          <w:t>Directly Associated activities (DAAs)</w:t>
        </w:r>
      </w:hyperlink>
      <w:r>
        <w:t xml:space="preserve"> – this is a list</w:t>
      </w:r>
      <w:r w:rsidR="001C2E74">
        <w:t xml:space="preserve"> and description</w:t>
      </w:r>
      <w:r>
        <w:t xml:space="preserve"> of </w:t>
      </w:r>
      <w:r w:rsidRPr="00D400F8">
        <w:t>activit</w:t>
      </w:r>
      <w:r>
        <w:t>ies</w:t>
      </w:r>
      <w:r w:rsidRPr="00D400F8">
        <w:t xml:space="preserve"> on the same site</w:t>
      </w:r>
      <w:r>
        <w:t xml:space="preserve"> </w:t>
      </w:r>
      <w:r w:rsidRPr="00D400F8">
        <w:t>which ha</w:t>
      </w:r>
      <w:r w:rsidR="001C2E74">
        <w:t>ve</w:t>
      </w:r>
      <w:r w:rsidRPr="00D400F8">
        <w:t xml:space="preserve"> a technical connection with the activities listed in </w:t>
      </w:r>
      <w:hyperlink w:anchor="_Appendix_A:_Eligible_1" w:history="1">
        <w:r w:rsidRPr="00527963">
          <w:rPr>
            <w:rStyle w:val="Hyperlink"/>
          </w:rPr>
          <w:t>Appendix A</w:t>
        </w:r>
      </w:hyperlink>
      <w:r w:rsidRPr="00D400F8">
        <w:t xml:space="preserve"> and which could </w:t>
      </w:r>
      <w:proofErr w:type="gramStart"/>
      <w:r w:rsidRPr="00D400F8">
        <w:t>have an effect on</w:t>
      </w:r>
      <w:proofErr w:type="gramEnd"/>
      <w:r w:rsidRPr="00D400F8">
        <w:t xml:space="preserve"> emissions and pollution</w:t>
      </w:r>
      <w:r>
        <w:t xml:space="preserve">. </w:t>
      </w:r>
      <w:r w:rsidR="001C2E74">
        <w:t xml:space="preserve">Evidence for </w:t>
      </w:r>
      <w:r w:rsidR="00A7025C" w:rsidRPr="00E955A3">
        <w:t>DAAs includ</w:t>
      </w:r>
      <w:r w:rsidR="001C2E74">
        <w:t>es</w:t>
      </w:r>
      <w:r w:rsidR="00A7025C" w:rsidRPr="00E955A3">
        <w:t xml:space="preserve">: </w:t>
      </w:r>
    </w:p>
    <w:p w14:paraId="18338078" w14:textId="77777777" w:rsidR="00A7025C" w:rsidRPr="00E955A3" w:rsidRDefault="00A7025C" w:rsidP="00994BD0">
      <w:pPr>
        <w:pStyle w:val="ListParagraph"/>
        <w:numPr>
          <w:ilvl w:val="1"/>
          <w:numId w:val="168"/>
        </w:numPr>
      </w:pPr>
      <w:r w:rsidRPr="00E955A3">
        <w:t xml:space="preserve">evidence supporting direct association </w:t>
      </w:r>
    </w:p>
    <w:p w14:paraId="0AD43E5C" w14:textId="77777777" w:rsidR="00A7025C" w:rsidRPr="00E955A3" w:rsidRDefault="00A7025C" w:rsidP="00994BD0">
      <w:pPr>
        <w:pStyle w:val="ListParagraph"/>
        <w:numPr>
          <w:ilvl w:val="1"/>
          <w:numId w:val="168"/>
        </w:numPr>
      </w:pPr>
      <w:r w:rsidRPr="00E955A3">
        <w:t>evidence supporting technical connection</w:t>
      </w:r>
    </w:p>
    <w:p w14:paraId="0B68FCD5" w14:textId="77777777" w:rsidR="00A7025C" w:rsidRPr="00E955A3" w:rsidRDefault="00A7025C" w:rsidP="00994BD0">
      <w:pPr>
        <w:pStyle w:val="ListParagraph"/>
        <w:numPr>
          <w:ilvl w:val="1"/>
          <w:numId w:val="168"/>
        </w:numPr>
      </w:pPr>
      <w:r w:rsidRPr="00E955A3">
        <w:t xml:space="preserve">evidence supporting effect on emissions </w:t>
      </w:r>
    </w:p>
    <w:p w14:paraId="55B82DB3" w14:textId="5EF3563D" w:rsidR="00A7025C" w:rsidRDefault="00A7025C" w:rsidP="00A7025C">
      <w:pPr>
        <w:pStyle w:val="ListParagraph"/>
        <w:numPr>
          <w:ilvl w:val="0"/>
          <w:numId w:val="168"/>
        </w:numPr>
      </w:pPr>
      <w:r w:rsidRPr="007A7512">
        <w:rPr>
          <w:szCs w:val="24"/>
        </w:rPr>
        <w:t>Process</w:t>
      </w:r>
      <w:r>
        <w:t xml:space="preserve"> flow </w:t>
      </w:r>
      <w:r w:rsidRPr="007A7512">
        <w:rPr>
          <w:szCs w:val="24"/>
        </w:rPr>
        <w:t>maps - these</w:t>
      </w:r>
      <w:r>
        <w:t xml:space="preserve"> should illustrate the flow of activities around the site. The eligible processes and DAA</w:t>
      </w:r>
      <w:r w:rsidR="008B0931">
        <w:t>s</w:t>
      </w:r>
      <w:r>
        <w:t xml:space="preserve"> should be clearly marked.</w:t>
      </w:r>
    </w:p>
    <w:p w14:paraId="15BE2052" w14:textId="77777777" w:rsidR="00A7025C" w:rsidRDefault="00A7025C" w:rsidP="00A7025C">
      <w:pPr>
        <w:pStyle w:val="ListParagraph"/>
        <w:numPr>
          <w:ilvl w:val="0"/>
          <w:numId w:val="168"/>
        </w:numPr>
      </w:pPr>
      <w:r w:rsidRPr="007A7512">
        <w:rPr>
          <w:szCs w:val="24"/>
        </w:rPr>
        <w:t>Annotated</w:t>
      </w:r>
      <w:r>
        <w:t xml:space="preserve"> site </w:t>
      </w:r>
      <w:r w:rsidRPr="007A7512">
        <w:rPr>
          <w:szCs w:val="24"/>
        </w:rPr>
        <w:t>plans</w:t>
      </w:r>
      <w:r>
        <w:t xml:space="preserve"> showing the extent of the eligible facility </w:t>
      </w:r>
      <w:r w:rsidRPr="007A7512">
        <w:rPr>
          <w:szCs w:val="24"/>
        </w:rPr>
        <w:t>- these</w:t>
      </w:r>
      <w:r>
        <w:t xml:space="preserve"> should cover the whole site, with the site boundary, areas containing eligible processes, DAAs and ineligible processes clearly marked</w:t>
      </w:r>
    </w:p>
    <w:p w14:paraId="39EA99AB" w14:textId="16FD97DE" w:rsidR="00A7025C" w:rsidRDefault="00A7025C" w:rsidP="00A7025C">
      <w:pPr>
        <w:pStyle w:val="ListParagraph"/>
        <w:numPr>
          <w:ilvl w:val="0"/>
          <w:numId w:val="168"/>
        </w:numPr>
      </w:pPr>
      <w:r w:rsidRPr="007A7512">
        <w:rPr>
          <w:szCs w:val="24"/>
        </w:rPr>
        <w:lastRenderedPageBreak/>
        <w:t xml:space="preserve">Any permits </w:t>
      </w:r>
      <w:r>
        <w:t xml:space="preserve">currently held for the site under </w:t>
      </w:r>
      <w:hyperlink w:anchor="EPR" w:history="1">
        <w:r w:rsidRPr="00BD6160">
          <w:rPr>
            <w:rStyle w:val="Hyperlink"/>
          </w:rPr>
          <w:t>EPR</w:t>
        </w:r>
      </w:hyperlink>
      <w:r w:rsidRPr="007A7512">
        <w:rPr>
          <w:szCs w:val="24"/>
        </w:rPr>
        <w:t>. The permit number and a copy of the permit will have to be provided.</w:t>
      </w:r>
    </w:p>
    <w:p w14:paraId="78161194" w14:textId="77777777" w:rsidR="00A7025C" w:rsidRDefault="00A7025C" w:rsidP="00A7025C">
      <w:pPr>
        <w:pStyle w:val="ListParagraph"/>
        <w:numPr>
          <w:ilvl w:val="0"/>
          <w:numId w:val="168"/>
        </w:numPr>
      </w:pPr>
      <w:r w:rsidRPr="007A7512">
        <w:rPr>
          <w:szCs w:val="24"/>
        </w:rPr>
        <w:t>Calculations</w:t>
      </w:r>
      <w:r>
        <w:t xml:space="preserve"> relating to the energy consumed within the installation and other site energy if eligible (indicating any assumptions made). These can also be used to form the baseline.</w:t>
      </w:r>
    </w:p>
    <w:p w14:paraId="01AD6084" w14:textId="3E31E041" w:rsidR="00A7025C" w:rsidRDefault="00A7025C" w:rsidP="00A7025C">
      <w:pPr>
        <w:pStyle w:val="ListParagraph"/>
        <w:numPr>
          <w:ilvl w:val="0"/>
          <w:numId w:val="168"/>
        </w:numPr>
      </w:pPr>
      <w:hyperlink w:anchor="seventypercentrule" w:history="1">
        <w:r w:rsidRPr="00527963">
          <w:rPr>
            <w:rStyle w:val="Hyperlink"/>
          </w:rPr>
          <w:t>70% rule</w:t>
        </w:r>
      </w:hyperlink>
      <w:r>
        <w:t xml:space="preserve"> </w:t>
      </w:r>
      <w:r w:rsidRPr="007A7512">
        <w:rPr>
          <w:szCs w:val="24"/>
        </w:rPr>
        <w:t>calculations</w:t>
      </w:r>
      <w:r>
        <w:t xml:space="preserve"> (indicating any assumptions made) </w:t>
      </w:r>
      <w:r w:rsidRPr="007A7512">
        <w:rPr>
          <w:szCs w:val="24"/>
        </w:rPr>
        <w:t>- these calculations ideally</w:t>
      </w:r>
      <w:r>
        <w:t xml:space="preserve"> should be provided in a spreadsheet </w:t>
      </w:r>
      <w:r w:rsidRPr="007A7512">
        <w:rPr>
          <w:szCs w:val="24"/>
        </w:rPr>
        <w:t xml:space="preserve">format for ease of interpretation </w:t>
      </w:r>
    </w:p>
    <w:p w14:paraId="524AFEAE" w14:textId="434C9BA8" w:rsidR="003B2520" w:rsidRDefault="003B2520" w:rsidP="003B2520">
      <w:pPr>
        <w:pStyle w:val="Heading3"/>
        <w:tabs>
          <w:tab w:val="left" w:pos="0"/>
        </w:tabs>
      </w:pPr>
      <w:r>
        <w:t>9.5.2 What happens next</w:t>
      </w:r>
    </w:p>
    <w:p w14:paraId="58FAD074" w14:textId="528D5217" w:rsidR="00A226C6" w:rsidRDefault="00171CA8" w:rsidP="00A226C6">
      <w:pPr>
        <w:tabs>
          <w:tab w:val="left" w:pos="0"/>
        </w:tabs>
      </w:pPr>
      <w:r>
        <w:t xml:space="preserve">The auditor will review the information provided </w:t>
      </w:r>
      <w:r w:rsidR="00954DA8">
        <w:t xml:space="preserve">to determine whether the facility continues to be eligible for an agreement and may request further information if required. Your sector association or </w:t>
      </w:r>
      <w:hyperlink w:anchor="Consultant" w:history="1">
        <w:r w:rsidR="00527963">
          <w:rPr>
            <w:rStyle w:val="Hyperlink"/>
          </w:rPr>
          <w:t>consultant</w:t>
        </w:r>
      </w:hyperlink>
      <w:r w:rsidR="00954DA8">
        <w:t xml:space="preserve"> may be able to provide further guidance. </w:t>
      </w:r>
    </w:p>
    <w:p w14:paraId="7BDF982B" w14:textId="2502A00A" w:rsidR="00954DA8" w:rsidRDefault="004D3BE9" w:rsidP="00A226C6">
      <w:pPr>
        <w:tabs>
          <w:tab w:val="left" w:pos="0"/>
        </w:tabs>
      </w:pPr>
      <w:r>
        <w:t xml:space="preserve">If the review is completed and it is determined that your facility continues to be eligible for an agreement, we will notify you and close the review. The outcome of the review may </w:t>
      </w:r>
      <w:r w:rsidR="00990F29">
        <w:t xml:space="preserve">require a variation to be submitted by your sector association to add information to the </w:t>
      </w:r>
      <w:proofErr w:type="spellStart"/>
      <w:r w:rsidR="00990F29">
        <w:t>MyCCA</w:t>
      </w:r>
      <w:proofErr w:type="spellEnd"/>
      <w:r w:rsidR="00990F29">
        <w:t xml:space="preserve"> system or to make corrections </w:t>
      </w:r>
      <w:r w:rsidR="001F66FE">
        <w:t>to any existing information. These variations should be notified</w:t>
      </w:r>
      <w:r w:rsidR="007918E4">
        <w:t xml:space="preserve"> to your sector association</w:t>
      </w:r>
      <w:r w:rsidR="001F66FE">
        <w:t xml:space="preserve"> and submitted within the timescales outlined in your underlying agreement. </w:t>
      </w:r>
    </w:p>
    <w:p w14:paraId="4A07972D" w14:textId="00B20F4F" w:rsidR="00F43A20" w:rsidRDefault="00F35462" w:rsidP="00A226C6">
      <w:pPr>
        <w:tabs>
          <w:tab w:val="left" w:pos="0"/>
        </w:tabs>
      </w:pPr>
      <w:r>
        <w:t xml:space="preserve">If we determine that a facility is no longer eligible, we will notify you of our </w:t>
      </w:r>
      <w:r w:rsidR="004E762F">
        <w:t>intention</w:t>
      </w:r>
      <w:r w:rsidR="00FF4437">
        <w:t xml:space="preserve"> to remove that facility from an agreement, or to terminate the agreement </w:t>
      </w:r>
      <w:r w:rsidR="00220B21">
        <w:t xml:space="preserve">if that agreement would no longer contain any eligible facilities. </w:t>
      </w:r>
      <w:r w:rsidR="00F43A20">
        <w:t xml:space="preserve">In our notification, we will </w:t>
      </w:r>
      <w:r w:rsidR="001F3428">
        <w:t>include the dat</w:t>
      </w:r>
      <w:r w:rsidR="001D5658">
        <w:t>e</w:t>
      </w:r>
      <w:r w:rsidR="00755F1D">
        <w:t xml:space="preserve"> on</w:t>
      </w:r>
      <w:r w:rsidR="001F3428">
        <w:t xml:space="preserve"> which the facility ceased to be eligible. This information will be notified to HMRC for further investigation and possible recovery of any relief claimed for an ineligible facility. </w:t>
      </w:r>
    </w:p>
    <w:p w14:paraId="454F6D21" w14:textId="3B6542CB" w:rsidR="001F66FE" w:rsidRDefault="001E4A9A" w:rsidP="00A226C6">
      <w:pPr>
        <w:tabs>
          <w:tab w:val="left" w:pos="0"/>
        </w:tabs>
      </w:pPr>
      <w:r>
        <w:t xml:space="preserve">Our notification will </w:t>
      </w:r>
      <w:r w:rsidR="004E762F">
        <w:t>detail</w:t>
      </w:r>
      <w:r>
        <w:t xml:space="preserve"> the </w:t>
      </w:r>
      <w:r w:rsidR="008656D7">
        <w:t xml:space="preserve">route to appeal our decision as outlined in </w:t>
      </w:r>
      <w:hyperlink w:anchor="_8.4._Appeals_and" w:history="1">
        <w:r w:rsidR="008656D7" w:rsidRPr="00622689">
          <w:rPr>
            <w:rStyle w:val="Hyperlink"/>
          </w:rPr>
          <w:t>section 8.4</w:t>
        </w:r>
      </w:hyperlink>
      <w:r w:rsidR="008656D7">
        <w:t xml:space="preserve">. </w:t>
      </w:r>
      <w:r w:rsidR="00F0677E">
        <w:t xml:space="preserve">While an appeal process is underway, we will pause the termination process until the appeal outcome has been decided. </w:t>
      </w:r>
      <w:r w:rsidR="00E44BCC">
        <w:t>If</w:t>
      </w:r>
      <w:r w:rsidR="00F0677E">
        <w:t xml:space="preserve"> your appeal against our decision </w:t>
      </w:r>
      <w:r w:rsidR="00405C41">
        <w:t>is</w:t>
      </w:r>
      <w:r w:rsidR="00F0677E">
        <w:t xml:space="preserve"> dismissed, we will </w:t>
      </w:r>
      <w:r w:rsidR="00F43A20">
        <w:t xml:space="preserve">remove that facility from the agreement or terminate the agreement. </w:t>
      </w:r>
    </w:p>
    <w:p w14:paraId="797F5CF8" w14:textId="4B2DC76A" w:rsidR="00026E66" w:rsidRDefault="002737EF" w:rsidP="00BD74B1">
      <w:pPr>
        <w:pStyle w:val="Heading1"/>
      </w:pPr>
      <w:bookmarkStart w:id="201" w:name="_10._Final_and"/>
      <w:bookmarkStart w:id="202" w:name="_Toc94718671"/>
      <w:bookmarkStart w:id="203" w:name="_Toc94088919"/>
      <w:bookmarkStart w:id="204" w:name="_Toc242885399"/>
      <w:bookmarkEnd w:id="201"/>
      <w:r>
        <w:t xml:space="preserve">10. </w:t>
      </w:r>
      <w:r w:rsidR="00C136D9">
        <w:t xml:space="preserve">Final </w:t>
      </w:r>
      <w:r w:rsidR="00B473CA">
        <w:t xml:space="preserve">and </w:t>
      </w:r>
      <w:r w:rsidR="00C136D9">
        <w:t xml:space="preserve">Interim </w:t>
      </w:r>
      <w:r w:rsidR="00495AA0">
        <w:t>T</w:t>
      </w:r>
      <w:r w:rsidR="00B473CA">
        <w:t xml:space="preserve">arget </w:t>
      </w:r>
      <w:r w:rsidR="00495AA0">
        <w:t>P</w:t>
      </w:r>
      <w:r w:rsidR="00B473CA">
        <w:t xml:space="preserve">eriod </w:t>
      </w:r>
      <w:r w:rsidR="00495AA0">
        <w:t>R</w:t>
      </w:r>
      <w:r w:rsidR="00B473CA">
        <w:t>eporting</w:t>
      </w:r>
      <w:bookmarkEnd w:id="202"/>
      <w:bookmarkEnd w:id="203"/>
      <w:bookmarkEnd w:id="204"/>
    </w:p>
    <w:p w14:paraId="7DD4DACD" w14:textId="77777777" w:rsidR="00026E66" w:rsidRDefault="002737EF" w:rsidP="00FF0098">
      <w:pPr>
        <w:pStyle w:val="Heading2"/>
        <w:tabs>
          <w:tab w:val="left" w:pos="0"/>
        </w:tabs>
      </w:pPr>
      <w:bookmarkStart w:id="205" w:name="_Toc94718672"/>
      <w:bookmarkStart w:id="206" w:name="_Toc94088920"/>
      <w:bookmarkStart w:id="207" w:name="_Toc242885400"/>
      <w:r>
        <w:t>10.1. Introduction</w:t>
      </w:r>
      <w:bookmarkEnd w:id="205"/>
      <w:bookmarkEnd w:id="206"/>
      <w:bookmarkEnd w:id="207"/>
      <w:r>
        <w:t xml:space="preserve"> </w:t>
      </w:r>
    </w:p>
    <w:p w14:paraId="6F2700C9" w14:textId="3DB0AD37" w:rsidR="0023563B" w:rsidRDefault="00A92945" w:rsidP="0023563B">
      <w:pPr>
        <w:tabs>
          <w:tab w:val="left" w:pos="0"/>
        </w:tabs>
        <w:spacing w:after="0"/>
        <w:ind w:right="182"/>
        <w:rPr>
          <w:color w:val="auto"/>
          <w:szCs w:val="24"/>
        </w:rPr>
      </w:pPr>
      <w:r>
        <w:rPr>
          <w:color w:val="auto"/>
          <w:szCs w:val="24"/>
        </w:rPr>
        <w:t xml:space="preserve">The underlying agreement requires operators to provide us with data on </w:t>
      </w:r>
      <w:r w:rsidR="0023563B">
        <w:rPr>
          <w:color w:val="auto"/>
          <w:szCs w:val="24"/>
        </w:rPr>
        <w:t xml:space="preserve">energy consumption and </w:t>
      </w:r>
      <w:hyperlink w:anchor="Throughput" w:history="1">
        <w:r w:rsidR="00A67449">
          <w:rPr>
            <w:rStyle w:val="Hyperlink"/>
            <w:szCs w:val="24"/>
          </w:rPr>
          <w:t>throughput</w:t>
        </w:r>
      </w:hyperlink>
      <w:r w:rsidR="0023563B">
        <w:rPr>
          <w:color w:val="auto"/>
          <w:szCs w:val="24"/>
        </w:rPr>
        <w:t xml:space="preserve"> data for </w:t>
      </w:r>
      <w:r>
        <w:rPr>
          <w:color w:val="auto"/>
          <w:szCs w:val="24"/>
        </w:rPr>
        <w:t xml:space="preserve">each </w:t>
      </w:r>
      <w:r w:rsidR="0023563B">
        <w:rPr>
          <w:color w:val="auto"/>
          <w:szCs w:val="24"/>
        </w:rPr>
        <w:t xml:space="preserve">facility </w:t>
      </w:r>
      <w:r>
        <w:rPr>
          <w:color w:val="auto"/>
          <w:szCs w:val="24"/>
        </w:rPr>
        <w:t xml:space="preserve">in their agreement. </w:t>
      </w:r>
      <w:r w:rsidR="005760AB">
        <w:rPr>
          <w:color w:val="auto"/>
          <w:szCs w:val="24"/>
        </w:rPr>
        <w:t xml:space="preserve">This data </w:t>
      </w:r>
      <w:r w:rsidR="0023563B">
        <w:rPr>
          <w:color w:val="auto"/>
          <w:szCs w:val="24"/>
        </w:rPr>
        <w:t xml:space="preserve">must be </w:t>
      </w:r>
      <w:r w:rsidR="005760AB">
        <w:rPr>
          <w:color w:val="auto"/>
          <w:szCs w:val="24"/>
        </w:rPr>
        <w:t xml:space="preserve">submitted </w:t>
      </w:r>
      <w:r w:rsidR="0023563B">
        <w:rPr>
          <w:color w:val="auto"/>
          <w:szCs w:val="24"/>
        </w:rPr>
        <w:t xml:space="preserve">via </w:t>
      </w:r>
      <w:proofErr w:type="spellStart"/>
      <w:r w:rsidR="0023563B">
        <w:rPr>
          <w:color w:val="auto"/>
          <w:szCs w:val="24"/>
        </w:rPr>
        <w:t>MyCCA</w:t>
      </w:r>
      <w:proofErr w:type="spellEnd"/>
      <w:r w:rsidR="005760AB">
        <w:rPr>
          <w:color w:val="auto"/>
          <w:szCs w:val="24"/>
        </w:rPr>
        <w:t xml:space="preserve"> by the sector association</w:t>
      </w:r>
      <w:r w:rsidR="0023563B">
        <w:rPr>
          <w:color w:val="auto"/>
          <w:szCs w:val="24"/>
        </w:rPr>
        <w:t xml:space="preserve">. In the case of final target period reports, comparison of these data against the facility’s </w:t>
      </w:r>
      <w:r w:rsidR="00626CFE">
        <w:rPr>
          <w:color w:val="auto"/>
          <w:szCs w:val="24"/>
        </w:rPr>
        <w:t xml:space="preserve">base year data </w:t>
      </w:r>
      <w:r w:rsidR="0023563B">
        <w:rPr>
          <w:color w:val="auto"/>
          <w:szCs w:val="24"/>
        </w:rPr>
        <w:t xml:space="preserve">allows us to assess whether the </w:t>
      </w:r>
      <w:r>
        <w:rPr>
          <w:color w:val="auto"/>
          <w:szCs w:val="24"/>
        </w:rPr>
        <w:t xml:space="preserve">operator met the target </w:t>
      </w:r>
      <w:r w:rsidR="0023563B">
        <w:rPr>
          <w:color w:val="auto"/>
          <w:szCs w:val="24"/>
        </w:rPr>
        <w:t xml:space="preserve">set </w:t>
      </w:r>
      <w:r w:rsidR="00693C93">
        <w:rPr>
          <w:color w:val="auto"/>
          <w:szCs w:val="24"/>
        </w:rPr>
        <w:t xml:space="preserve">for each facility </w:t>
      </w:r>
      <w:r w:rsidR="0023563B">
        <w:rPr>
          <w:color w:val="auto"/>
          <w:szCs w:val="24"/>
        </w:rPr>
        <w:t>in the underlying agreement (Rule 6).</w:t>
      </w:r>
    </w:p>
    <w:p w14:paraId="4656158E" w14:textId="071D3358" w:rsidR="0023563B" w:rsidRPr="00A25DF5" w:rsidRDefault="00693C93" w:rsidP="0023563B">
      <w:pPr>
        <w:tabs>
          <w:tab w:val="left" w:pos="0"/>
        </w:tabs>
        <w:spacing w:after="0"/>
        <w:ind w:right="182"/>
      </w:pPr>
      <w:r>
        <w:rPr>
          <w:color w:val="auto"/>
          <w:szCs w:val="24"/>
        </w:rPr>
        <w:lastRenderedPageBreak/>
        <w:t xml:space="preserve">We will automatically recertify </w:t>
      </w:r>
      <w:r w:rsidR="004A30EC">
        <w:rPr>
          <w:color w:val="auto"/>
          <w:szCs w:val="24"/>
        </w:rPr>
        <w:t xml:space="preserve">each </w:t>
      </w:r>
      <w:r>
        <w:rPr>
          <w:color w:val="auto"/>
          <w:szCs w:val="24"/>
        </w:rPr>
        <w:t>f</w:t>
      </w:r>
      <w:r w:rsidR="0023563B">
        <w:rPr>
          <w:color w:val="auto"/>
          <w:szCs w:val="24"/>
        </w:rPr>
        <w:t>acilit</w:t>
      </w:r>
      <w:r w:rsidR="004A30EC">
        <w:rPr>
          <w:color w:val="auto"/>
          <w:szCs w:val="24"/>
        </w:rPr>
        <w:t>y</w:t>
      </w:r>
      <w:r w:rsidR="0023563B">
        <w:rPr>
          <w:color w:val="auto"/>
          <w:szCs w:val="24"/>
        </w:rPr>
        <w:t xml:space="preserve"> </w:t>
      </w:r>
      <w:r w:rsidR="004A30EC">
        <w:rPr>
          <w:color w:val="auto"/>
          <w:szCs w:val="24"/>
        </w:rPr>
        <w:t xml:space="preserve">covered by an agreement </w:t>
      </w:r>
      <w:r w:rsidR="002B0FC4">
        <w:t xml:space="preserve">for the next </w:t>
      </w:r>
      <w:hyperlink w:anchor="Certificationperiod" w:history="1">
        <w:r w:rsidR="002B0FC4" w:rsidRPr="007969BF">
          <w:rPr>
            <w:rStyle w:val="Hyperlink"/>
          </w:rPr>
          <w:t>certification period</w:t>
        </w:r>
      </w:hyperlink>
      <w:r w:rsidR="002B0FC4">
        <w:t xml:space="preserve"> </w:t>
      </w:r>
      <w:r w:rsidR="004A30EC">
        <w:rPr>
          <w:color w:val="auto"/>
          <w:szCs w:val="24"/>
        </w:rPr>
        <w:t xml:space="preserve">where the </w:t>
      </w:r>
      <w:r w:rsidR="002B0FC4">
        <w:rPr>
          <w:color w:val="auto"/>
          <w:szCs w:val="24"/>
        </w:rPr>
        <w:t xml:space="preserve">data in the </w:t>
      </w:r>
      <w:r w:rsidR="004A30EC">
        <w:rPr>
          <w:color w:val="auto"/>
          <w:szCs w:val="24"/>
        </w:rPr>
        <w:t>final target period report show</w:t>
      </w:r>
      <w:r w:rsidR="002B0FC4">
        <w:rPr>
          <w:color w:val="auto"/>
          <w:szCs w:val="24"/>
        </w:rPr>
        <w:t>s</w:t>
      </w:r>
      <w:r w:rsidR="004A30EC">
        <w:rPr>
          <w:color w:val="auto"/>
          <w:szCs w:val="24"/>
        </w:rPr>
        <w:t xml:space="preserve"> that the operator </w:t>
      </w:r>
      <w:r w:rsidR="0023563B">
        <w:rPr>
          <w:color w:val="auto"/>
          <w:szCs w:val="24"/>
        </w:rPr>
        <w:t>met their target</w:t>
      </w:r>
      <w:r w:rsidR="0023563B">
        <w:rPr>
          <w:szCs w:val="24"/>
        </w:rPr>
        <w:t>.</w:t>
      </w:r>
    </w:p>
    <w:p w14:paraId="6F85D036" w14:textId="128C8E83" w:rsidR="0023563B" w:rsidRPr="00A25DF5" w:rsidRDefault="002B0FC4" w:rsidP="0023563B">
      <w:pPr>
        <w:tabs>
          <w:tab w:val="left" w:pos="0"/>
        </w:tabs>
        <w:spacing w:after="0"/>
        <w:ind w:right="182"/>
      </w:pPr>
      <w:r>
        <w:rPr>
          <w:color w:val="auto"/>
          <w:szCs w:val="24"/>
        </w:rPr>
        <w:t>We convert any o</w:t>
      </w:r>
      <w:r w:rsidR="0023563B">
        <w:rPr>
          <w:color w:val="auto"/>
          <w:szCs w:val="24"/>
        </w:rPr>
        <w:t xml:space="preserve">verachievement </w:t>
      </w:r>
      <w:r w:rsidR="00A811CE">
        <w:rPr>
          <w:color w:val="auto"/>
          <w:szCs w:val="24"/>
        </w:rPr>
        <w:t xml:space="preserve">against </w:t>
      </w:r>
      <w:r w:rsidR="0023563B">
        <w:rPr>
          <w:color w:val="auto"/>
          <w:szCs w:val="24"/>
        </w:rPr>
        <w:t xml:space="preserve">the target </w:t>
      </w:r>
      <w:r w:rsidR="00A811CE">
        <w:rPr>
          <w:color w:val="auto"/>
          <w:szCs w:val="24"/>
        </w:rPr>
        <w:t xml:space="preserve">in each target period </w:t>
      </w:r>
      <w:r w:rsidR="0023563B">
        <w:rPr>
          <w:color w:val="auto"/>
          <w:szCs w:val="24"/>
        </w:rPr>
        <w:t>into a</w:t>
      </w:r>
      <w:r w:rsidR="00A811CE">
        <w:rPr>
          <w:color w:val="auto"/>
          <w:szCs w:val="24"/>
        </w:rPr>
        <w:t>n amount of</w:t>
      </w:r>
      <w:r w:rsidR="0023563B">
        <w:rPr>
          <w:color w:val="auto"/>
          <w:szCs w:val="24"/>
        </w:rPr>
        <w:t xml:space="preserve"> carbon dioxide equivalent (</w:t>
      </w:r>
      <w:r w:rsidR="0023563B" w:rsidRPr="002B0FC4">
        <w:rPr>
          <w:color w:val="auto"/>
          <w:szCs w:val="24"/>
        </w:rPr>
        <w:t>CO</w:t>
      </w:r>
      <w:r w:rsidRPr="002B0FC4">
        <w:rPr>
          <w:color w:val="auto"/>
          <w:szCs w:val="24"/>
        </w:rPr>
        <w:t>2</w:t>
      </w:r>
      <w:r w:rsidR="0023563B" w:rsidRPr="002B0FC4">
        <w:rPr>
          <w:color w:val="auto"/>
          <w:szCs w:val="24"/>
        </w:rPr>
        <w:t>e</w:t>
      </w:r>
      <w:r w:rsidR="0023563B">
        <w:rPr>
          <w:color w:val="auto"/>
          <w:szCs w:val="24"/>
        </w:rPr>
        <w:t xml:space="preserve">) which is banked and </w:t>
      </w:r>
      <w:r w:rsidR="00E82FEE">
        <w:rPr>
          <w:color w:val="auto"/>
          <w:szCs w:val="24"/>
        </w:rPr>
        <w:t xml:space="preserve">can </w:t>
      </w:r>
      <w:r w:rsidR="00A811CE">
        <w:rPr>
          <w:color w:val="auto"/>
          <w:szCs w:val="24"/>
        </w:rPr>
        <w:t xml:space="preserve">be </w:t>
      </w:r>
      <w:r w:rsidR="0023563B">
        <w:rPr>
          <w:color w:val="auto"/>
        </w:rPr>
        <w:t xml:space="preserve">used </w:t>
      </w:r>
      <w:r w:rsidR="00E82FEE">
        <w:rPr>
          <w:color w:val="auto"/>
        </w:rPr>
        <w:t xml:space="preserve">to offset any </w:t>
      </w:r>
      <w:r w:rsidR="00E82FEE">
        <w:rPr>
          <w:color w:val="auto"/>
          <w:szCs w:val="24"/>
        </w:rPr>
        <w:t xml:space="preserve">underperformance for the same </w:t>
      </w:r>
      <w:r w:rsidR="0023563B">
        <w:rPr>
          <w:color w:val="auto"/>
          <w:szCs w:val="24"/>
        </w:rPr>
        <w:t xml:space="preserve">facility in </w:t>
      </w:r>
      <w:r w:rsidR="00E82FEE">
        <w:rPr>
          <w:color w:val="auto"/>
          <w:szCs w:val="24"/>
        </w:rPr>
        <w:t xml:space="preserve">one or more future </w:t>
      </w:r>
      <w:r w:rsidR="0023563B">
        <w:rPr>
          <w:color w:val="auto"/>
        </w:rPr>
        <w:t xml:space="preserve">target periods </w:t>
      </w:r>
      <w:r w:rsidR="0023563B">
        <w:rPr>
          <w:color w:val="auto"/>
          <w:szCs w:val="24"/>
        </w:rPr>
        <w:t>via</w:t>
      </w:r>
      <w:r w:rsidR="0023563B">
        <w:rPr>
          <w:color w:val="auto"/>
        </w:rPr>
        <w:t xml:space="preserve"> the </w:t>
      </w:r>
      <w:hyperlink w:anchor="Surplus" w:history="1">
        <w:r w:rsidR="00A67449">
          <w:rPr>
            <w:rStyle w:val="Hyperlink"/>
          </w:rPr>
          <w:t>surplus</w:t>
        </w:r>
      </w:hyperlink>
      <w:r w:rsidR="0023563B">
        <w:rPr>
          <w:color w:val="auto"/>
        </w:rPr>
        <w:t xml:space="preserve"> mechanism. The equation for calculating the </w:t>
      </w:r>
      <w:r w:rsidR="00D37AB0">
        <w:rPr>
          <w:color w:val="auto"/>
        </w:rPr>
        <w:t xml:space="preserve">amount of </w:t>
      </w:r>
      <w:r w:rsidR="0023563B">
        <w:rPr>
          <w:color w:val="auto"/>
        </w:rPr>
        <w:t xml:space="preserve">carbon dioxide equivalent </w:t>
      </w:r>
      <w:r w:rsidR="0023563B">
        <w:rPr>
          <w:color w:val="auto"/>
          <w:szCs w:val="24"/>
        </w:rPr>
        <w:t>(CO</w:t>
      </w:r>
      <w:r w:rsidR="0023563B" w:rsidRPr="00E82FEE">
        <w:rPr>
          <w:color w:val="auto"/>
          <w:szCs w:val="24"/>
        </w:rPr>
        <w:t>2</w:t>
      </w:r>
      <w:r w:rsidR="0023563B">
        <w:rPr>
          <w:color w:val="auto"/>
          <w:szCs w:val="24"/>
        </w:rPr>
        <w:t xml:space="preserve">e) </w:t>
      </w:r>
      <w:r w:rsidR="00D37AB0">
        <w:rPr>
          <w:color w:val="auto"/>
          <w:szCs w:val="24"/>
        </w:rPr>
        <w:t xml:space="preserve">is described </w:t>
      </w:r>
      <w:r w:rsidR="0023563B">
        <w:rPr>
          <w:color w:val="auto"/>
          <w:szCs w:val="24"/>
        </w:rPr>
        <w:t xml:space="preserve">in paragraphs 57-70 of the Technical Annex. </w:t>
      </w:r>
    </w:p>
    <w:p w14:paraId="120D3B9E" w14:textId="5A7AA7DF" w:rsidR="0023563B" w:rsidRDefault="006618F0" w:rsidP="0023563B">
      <w:pPr>
        <w:tabs>
          <w:tab w:val="left" w:pos="0"/>
        </w:tabs>
        <w:spacing w:after="0"/>
        <w:ind w:right="182"/>
        <w:rPr>
          <w:color w:val="auto"/>
        </w:rPr>
      </w:pPr>
      <w:r w:rsidRPr="1874FB38">
        <w:rPr>
          <w:color w:val="auto"/>
        </w:rPr>
        <w:t>O</w:t>
      </w:r>
      <w:r w:rsidR="0023563B" w:rsidRPr="1874FB38">
        <w:rPr>
          <w:color w:val="auto"/>
        </w:rPr>
        <w:t xml:space="preserve">perators must </w:t>
      </w:r>
      <w:r w:rsidRPr="1874FB38">
        <w:rPr>
          <w:color w:val="auto"/>
        </w:rPr>
        <w:t xml:space="preserve">provide data on </w:t>
      </w:r>
      <w:r w:rsidR="0023563B" w:rsidRPr="1874FB38">
        <w:rPr>
          <w:color w:val="auto"/>
        </w:rPr>
        <w:t>their energy consumption and throughput</w:t>
      </w:r>
      <w:r w:rsidRPr="1874FB38">
        <w:rPr>
          <w:color w:val="auto"/>
        </w:rPr>
        <w:t xml:space="preserve"> for each facility in an active underlying agreement </w:t>
      </w:r>
      <w:r w:rsidR="005154AF" w:rsidRPr="1874FB38">
        <w:rPr>
          <w:color w:val="auto"/>
        </w:rPr>
        <w:t>to their sector association, so they can submit this to us b</w:t>
      </w:r>
      <w:r w:rsidRPr="1874FB38">
        <w:rPr>
          <w:color w:val="auto"/>
        </w:rPr>
        <w:t xml:space="preserve">y </w:t>
      </w:r>
      <w:r w:rsidR="00241202" w:rsidRPr="1874FB38">
        <w:rPr>
          <w:color w:val="auto"/>
        </w:rPr>
        <w:t xml:space="preserve">the reporting deadline. </w:t>
      </w:r>
      <w:r w:rsidR="0023563B" w:rsidRPr="1874FB38">
        <w:rPr>
          <w:color w:val="auto"/>
        </w:rPr>
        <w:t>The timeline and process for doing this are described in the following sections</w:t>
      </w:r>
      <w:r w:rsidR="007F774D" w:rsidRPr="1874FB38">
        <w:rPr>
          <w:color w:val="auto"/>
        </w:rPr>
        <w:t>:</w:t>
      </w:r>
    </w:p>
    <w:p w14:paraId="0C95EF9B" w14:textId="77777777" w:rsidR="00ED0C45" w:rsidRDefault="00ED0C45" w:rsidP="00ED0C45">
      <w:pPr>
        <w:pStyle w:val="ListParagraph"/>
        <w:numPr>
          <w:ilvl w:val="0"/>
          <w:numId w:val="72"/>
        </w:numPr>
        <w:tabs>
          <w:tab w:val="left" w:pos="0"/>
        </w:tabs>
        <w:spacing w:after="75"/>
        <w:ind w:right="182"/>
      </w:pPr>
      <w:r>
        <w:t xml:space="preserve">what data needs to be reported and when </w:t>
      </w:r>
    </w:p>
    <w:p w14:paraId="6F15BB03" w14:textId="77777777" w:rsidR="00ED0C45" w:rsidRDefault="00ED0C45" w:rsidP="00ED0C45">
      <w:pPr>
        <w:pStyle w:val="ListParagraph"/>
        <w:numPr>
          <w:ilvl w:val="0"/>
          <w:numId w:val="72"/>
        </w:numPr>
        <w:tabs>
          <w:tab w:val="left" w:pos="0"/>
        </w:tabs>
        <w:spacing w:after="78"/>
        <w:ind w:right="182"/>
      </w:pPr>
      <w:r>
        <w:t xml:space="preserve">how to report </w:t>
      </w:r>
    </w:p>
    <w:p w14:paraId="2FB45AA7" w14:textId="77777777" w:rsidR="00ED0C45" w:rsidRDefault="00ED0C45" w:rsidP="00ED0C45">
      <w:pPr>
        <w:pStyle w:val="ListParagraph"/>
        <w:numPr>
          <w:ilvl w:val="0"/>
          <w:numId w:val="72"/>
        </w:numPr>
        <w:tabs>
          <w:tab w:val="left" w:pos="0"/>
        </w:tabs>
        <w:spacing w:after="79"/>
        <w:ind w:right="182"/>
      </w:pPr>
      <w:r>
        <w:t xml:space="preserve">reporting requirements for non-standard circumstances </w:t>
      </w:r>
    </w:p>
    <w:p w14:paraId="3506762F" w14:textId="77777777" w:rsidR="00ED0C45" w:rsidRDefault="00ED0C45" w:rsidP="00ED0C45">
      <w:pPr>
        <w:pStyle w:val="ListParagraph"/>
        <w:numPr>
          <w:ilvl w:val="0"/>
          <w:numId w:val="72"/>
        </w:numPr>
        <w:tabs>
          <w:tab w:val="left" w:pos="0"/>
        </w:tabs>
        <w:spacing w:after="76"/>
        <w:ind w:right="182"/>
      </w:pPr>
      <w:r w:rsidRPr="00091B34">
        <w:t>reporting variations</w:t>
      </w:r>
      <w:r>
        <w:t xml:space="preserve"> </w:t>
      </w:r>
    </w:p>
    <w:p w14:paraId="53F0C7C8" w14:textId="77777777" w:rsidR="00ED0C45" w:rsidRDefault="00ED0C45" w:rsidP="00ED0C45">
      <w:pPr>
        <w:pStyle w:val="ListParagraph"/>
        <w:numPr>
          <w:ilvl w:val="0"/>
          <w:numId w:val="72"/>
        </w:numPr>
        <w:tabs>
          <w:tab w:val="left" w:pos="0"/>
        </w:tabs>
        <w:spacing w:after="76"/>
        <w:ind w:right="182"/>
      </w:pPr>
      <w:r w:rsidRPr="00A25DF5">
        <w:t xml:space="preserve">the buy-out and surplus mechanisms </w:t>
      </w:r>
    </w:p>
    <w:p w14:paraId="572D3446" w14:textId="77777777" w:rsidR="00ED0C45" w:rsidRPr="00A25DF5" w:rsidRDefault="00ED0C45" w:rsidP="00ED0C45">
      <w:pPr>
        <w:pStyle w:val="ListParagraph"/>
        <w:numPr>
          <w:ilvl w:val="0"/>
          <w:numId w:val="72"/>
        </w:numPr>
        <w:tabs>
          <w:tab w:val="left" w:pos="0"/>
        </w:tabs>
        <w:spacing w:after="76"/>
        <w:ind w:right="182"/>
      </w:pPr>
      <w:r>
        <w:t>how performance is calculated</w:t>
      </w:r>
    </w:p>
    <w:p w14:paraId="7C81C29F" w14:textId="0E7BBA41" w:rsidR="00ED0C45" w:rsidRPr="00ED0C45" w:rsidRDefault="00ED0C45" w:rsidP="00ED0C45">
      <w:pPr>
        <w:pStyle w:val="ListParagraph"/>
        <w:numPr>
          <w:ilvl w:val="0"/>
          <w:numId w:val="72"/>
        </w:numPr>
        <w:tabs>
          <w:tab w:val="left" w:pos="0"/>
        </w:tabs>
        <w:spacing w:after="11"/>
        <w:ind w:right="182"/>
      </w:pPr>
      <w:r w:rsidRPr="00A25DF5">
        <w:t>what to do if you discover an error in your reporting</w:t>
      </w:r>
    </w:p>
    <w:p w14:paraId="30BDC52C" w14:textId="007017B7" w:rsidR="00026E66" w:rsidRPr="00A25DF5" w:rsidRDefault="002737EF" w:rsidP="00A25DF5">
      <w:pPr>
        <w:pStyle w:val="Heading2"/>
        <w:tabs>
          <w:tab w:val="left" w:pos="0"/>
        </w:tabs>
      </w:pPr>
      <w:bookmarkStart w:id="208" w:name="_Toc94718673"/>
      <w:bookmarkStart w:id="209" w:name="_Toc94088921"/>
      <w:bookmarkStart w:id="210" w:name="_Toc242885401"/>
      <w:r>
        <w:t xml:space="preserve">10.2. What </w:t>
      </w:r>
      <w:r w:rsidR="009761D9">
        <w:t xml:space="preserve">are interim and final </w:t>
      </w:r>
      <w:r>
        <w:t>target period report</w:t>
      </w:r>
      <w:r w:rsidR="009761D9">
        <w:t>s</w:t>
      </w:r>
      <w:r>
        <w:t>?</w:t>
      </w:r>
      <w:bookmarkEnd w:id="208"/>
      <w:bookmarkEnd w:id="209"/>
      <w:bookmarkEnd w:id="210"/>
      <w:r>
        <w:t xml:space="preserve"> </w:t>
      </w:r>
    </w:p>
    <w:p w14:paraId="5450B00D" w14:textId="77777777" w:rsidR="0023563B" w:rsidRDefault="0023563B" w:rsidP="0023563B">
      <w:pPr>
        <w:pStyle w:val="Heading3"/>
      </w:pPr>
      <w:bookmarkStart w:id="211" w:name="_10.3._The_reporting"/>
      <w:bookmarkStart w:id="212" w:name="_Toc94718674"/>
      <w:bookmarkStart w:id="213" w:name="_Toc94088922"/>
      <w:bookmarkEnd w:id="211"/>
      <w:r>
        <w:t>Final reports</w:t>
      </w:r>
    </w:p>
    <w:p w14:paraId="367EC4F5" w14:textId="77777777" w:rsidR="0023563B" w:rsidRDefault="0023563B" w:rsidP="0023563B">
      <w:pPr>
        <w:tabs>
          <w:tab w:val="left" w:pos="0"/>
        </w:tabs>
        <w:spacing w:after="56"/>
        <w:ind w:right="182"/>
        <w:rPr>
          <w:color w:val="auto"/>
        </w:rPr>
      </w:pPr>
      <w:r>
        <w:rPr>
          <w:color w:val="auto"/>
        </w:rPr>
        <w:t xml:space="preserve">Rule </w:t>
      </w:r>
      <w:r w:rsidRPr="00B4776A">
        <w:rPr>
          <w:color w:val="auto"/>
        </w:rPr>
        <w:t xml:space="preserve">3.1.4 </w:t>
      </w:r>
      <w:r>
        <w:rPr>
          <w:color w:val="auto"/>
        </w:rPr>
        <w:t xml:space="preserve">of the </w:t>
      </w:r>
      <w:hyperlink w:anchor="Underlyingagreement" w:history="1">
        <w:r w:rsidRPr="0017611F">
          <w:rPr>
            <w:rStyle w:val="Hyperlink"/>
          </w:rPr>
          <w:t>underlying agreement</w:t>
        </w:r>
      </w:hyperlink>
      <w:r>
        <w:rPr>
          <w:color w:val="auto"/>
        </w:rPr>
        <w:t xml:space="preserve"> requires the operator to </w:t>
      </w:r>
      <w:r w:rsidRPr="00B4776A">
        <w:rPr>
          <w:color w:val="auto"/>
        </w:rPr>
        <w:t xml:space="preserve">provide </w:t>
      </w:r>
      <w:r>
        <w:rPr>
          <w:color w:val="auto"/>
        </w:rPr>
        <w:t xml:space="preserve">us with the </w:t>
      </w:r>
      <w:hyperlink w:anchor="Targetperiod" w:history="1">
        <w:r>
          <w:rPr>
            <w:rStyle w:val="Hyperlink"/>
          </w:rPr>
          <w:t>t</w:t>
        </w:r>
        <w:r w:rsidRPr="00C2753D">
          <w:rPr>
            <w:rStyle w:val="Hyperlink"/>
          </w:rPr>
          <w:t xml:space="preserve">arget </w:t>
        </w:r>
        <w:r>
          <w:rPr>
            <w:rStyle w:val="Hyperlink"/>
          </w:rPr>
          <w:t>p</w:t>
        </w:r>
        <w:r w:rsidRPr="00C2753D">
          <w:rPr>
            <w:rStyle w:val="Hyperlink"/>
          </w:rPr>
          <w:t>eriod</w:t>
        </w:r>
      </w:hyperlink>
      <w:r>
        <w:rPr>
          <w:color w:val="auto"/>
        </w:rPr>
        <w:t xml:space="preserve"> report </w:t>
      </w:r>
      <w:r w:rsidRPr="00B4776A">
        <w:rPr>
          <w:color w:val="auto"/>
        </w:rPr>
        <w:t xml:space="preserve">on or before 1 May following the end of a </w:t>
      </w:r>
      <w:r>
        <w:rPr>
          <w:color w:val="auto"/>
        </w:rPr>
        <w:t>t</w:t>
      </w:r>
      <w:r w:rsidRPr="00B4776A">
        <w:rPr>
          <w:color w:val="auto"/>
        </w:rPr>
        <w:t xml:space="preserve">arget </w:t>
      </w:r>
      <w:r>
        <w:rPr>
          <w:color w:val="auto"/>
        </w:rPr>
        <w:t>p</w:t>
      </w:r>
      <w:r w:rsidRPr="00B4776A">
        <w:rPr>
          <w:color w:val="auto"/>
        </w:rPr>
        <w:t>eriod</w:t>
      </w:r>
      <w:r>
        <w:rPr>
          <w:color w:val="auto"/>
        </w:rPr>
        <w:t>.</w:t>
      </w:r>
      <w:r w:rsidRPr="00B4776A">
        <w:rPr>
          <w:color w:val="auto"/>
        </w:rPr>
        <w:t xml:space="preserve"> </w:t>
      </w:r>
      <w:r>
        <w:rPr>
          <w:color w:val="auto"/>
        </w:rPr>
        <w:t>We refer to this as the final report in the register and this manual.</w:t>
      </w:r>
    </w:p>
    <w:p w14:paraId="3856AEF7" w14:textId="77777777" w:rsidR="0023563B" w:rsidRDefault="0023563B" w:rsidP="0023563B">
      <w:r>
        <w:t>We expect an operator holding an agreement to provide us with their</w:t>
      </w:r>
      <w:r w:rsidRPr="00C136D9">
        <w:t xml:space="preserve"> </w:t>
      </w:r>
      <w:r>
        <w:t>final target period report for:</w:t>
      </w:r>
    </w:p>
    <w:p w14:paraId="708309E7" w14:textId="77777777" w:rsidR="0023563B" w:rsidRDefault="0023563B" w:rsidP="0023563B">
      <w:pPr>
        <w:pStyle w:val="ListParagraph"/>
        <w:numPr>
          <w:ilvl w:val="0"/>
          <w:numId w:val="168"/>
        </w:numPr>
        <w:tabs>
          <w:tab w:val="left" w:pos="0"/>
        </w:tabs>
        <w:spacing w:after="56"/>
        <w:ind w:right="182"/>
      </w:pPr>
      <w:r>
        <w:t>TP7 (1 January 2026 to 31 December 2026)</w:t>
      </w:r>
      <w:r w:rsidRPr="009D5992">
        <w:t xml:space="preserve"> </w:t>
      </w:r>
      <w:r>
        <w:t>by 1 May 2027</w:t>
      </w:r>
    </w:p>
    <w:p w14:paraId="6E1FCA64" w14:textId="77777777" w:rsidR="0023563B" w:rsidRDefault="0023563B" w:rsidP="0023563B">
      <w:pPr>
        <w:pStyle w:val="ListParagraph"/>
        <w:numPr>
          <w:ilvl w:val="0"/>
          <w:numId w:val="168"/>
        </w:numPr>
        <w:tabs>
          <w:tab w:val="left" w:pos="0"/>
        </w:tabs>
        <w:spacing w:after="56"/>
        <w:ind w:right="182"/>
      </w:pPr>
      <w:r>
        <w:t>TP8 (1 January 2027 to 31 December 2028)</w:t>
      </w:r>
      <w:r w:rsidRPr="009D5992">
        <w:t xml:space="preserve"> </w:t>
      </w:r>
      <w:r>
        <w:t>by 1 May 2029</w:t>
      </w:r>
    </w:p>
    <w:p w14:paraId="54A458AF" w14:textId="77777777" w:rsidR="0023563B" w:rsidRPr="00A900E5" w:rsidRDefault="0023563B" w:rsidP="0023563B">
      <w:pPr>
        <w:pStyle w:val="ListParagraph"/>
        <w:numPr>
          <w:ilvl w:val="0"/>
          <w:numId w:val="168"/>
        </w:numPr>
        <w:tabs>
          <w:tab w:val="left" w:pos="0"/>
        </w:tabs>
        <w:spacing w:after="56"/>
        <w:ind w:right="182"/>
      </w:pPr>
      <w:r>
        <w:t>TP9 (1 January 2029 to 31 December 2030)</w:t>
      </w:r>
      <w:r w:rsidRPr="009D5992">
        <w:t xml:space="preserve"> </w:t>
      </w:r>
      <w:r>
        <w:t>by 1 May 2031</w:t>
      </w:r>
    </w:p>
    <w:p w14:paraId="3FEB233E" w14:textId="00F7AD8D" w:rsidR="0023563B" w:rsidRDefault="0023563B" w:rsidP="0023563B">
      <w:pPr>
        <w:tabs>
          <w:tab w:val="left" w:pos="0"/>
        </w:tabs>
        <w:spacing w:after="56"/>
        <w:ind w:right="182"/>
      </w:pPr>
      <w:r>
        <w:t xml:space="preserve">We use the data submitted in each of the final reports to determine the </w:t>
      </w:r>
      <w:r w:rsidR="00251C9C">
        <w:t xml:space="preserve">operator’s progress towards meeting the improvement targets for each </w:t>
      </w:r>
      <w:r>
        <w:t xml:space="preserve">facility. This determines whether </w:t>
      </w:r>
      <w:r w:rsidR="00251C9C">
        <w:t xml:space="preserve">we can recertify the </w:t>
      </w:r>
      <w:r>
        <w:t>facilit</w:t>
      </w:r>
      <w:r w:rsidR="005546DA">
        <w:t xml:space="preserve">ies covered by that agreement </w:t>
      </w:r>
      <w:r>
        <w:t xml:space="preserve">for the next </w:t>
      </w:r>
      <w:hyperlink w:anchor="Certificationperiod" w:history="1">
        <w:r w:rsidRPr="007969BF">
          <w:rPr>
            <w:rStyle w:val="Hyperlink"/>
          </w:rPr>
          <w:t>certification period</w:t>
        </w:r>
      </w:hyperlink>
      <w:r>
        <w:t>.</w:t>
      </w:r>
    </w:p>
    <w:p w14:paraId="3AB3CA0E" w14:textId="330DF0BA" w:rsidR="0023563B" w:rsidRDefault="0023563B" w:rsidP="0023563B">
      <w:pPr>
        <w:tabs>
          <w:tab w:val="left" w:pos="0"/>
        </w:tabs>
        <w:spacing w:after="56"/>
        <w:ind w:right="182"/>
      </w:pPr>
      <w:r>
        <w:lastRenderedPageBreak/>
        <w:t xml:space="preserve">We must serve a </w:t>
      </w:r>
      <w:hyperlink w:anchor="Buyout" w:history="1">
        <w:r w:rsidRPr="00FE39EA">
          <w:rPr>
            <w:rStyle w:val="Hyperlink"/>
          </w:rPr>
          <w:t>buy-out</w:t>
        </w:r>
      </w:hyperlink>
      <w:r>
        <w:t xml:space="preserve"> fee notice on an operator where they under-perform against their required improvement.</w:t>
      </w:r>
      <w:r w:rsidDel="00725771">
        <w:t xml:space="preserve"> </w:t>
      </w:r>
      <w:r>
        <w:t>We can only recertify a facility where the operator has paid the buy-out fee for that facility.</w:t>
      </w:r>
    </w:p>
    <w:p w14:paraId="1E5B4E55" w14:textId="77777777" w:rsidR="0023563B" w:rsidRDefault="0023563B" w:rsidP="0023563B">
      <w:pPr>
        <w:pStyle w:val="Heading3"/>
      </w:pPr>
      <w:r>
        <w:t>Interim reports</w:t>
      </w:r>
    </w:p>
    <w:p w14:paraId="2FD8E527" w14:textId="77777777" w:rsidR="0023563B" w:rsidRDefault="0023563B" w:rsidP="0023563B">
      <w:pPr>
        <w:tabs>
          <w:tab w:val="left" w:pos="0"/>
        </w:tabs>
        <w:spacing w:after="56"/>
        <w:ind w:right="182"/>
        <w:rPr>
          <w:color w:val="auto"/>
        </w:rPr>
      </w:pPr>
      <w:r>
        <w:rPr>
          <w:color w:val="auto"/>
        </w:rPr>
        <w:t>Rule 3.1.6 requires the operator to provide us with the interim target period report on or before 1 May 2028, and on or before 1 May 2030.</w:t>
      </w:r>
      <w:r w:rsidRPr="00B4776A">
        <w:rPr>
          <w:color w:val="auto"/>
        </w:rPr>
        <w:t xml:space="preserve"> </w:t>
      </w:r>
      <w:r>
        <w:rPr>
          <w:color w:val="auto"/>
        </w:rPr>
        <w:t>We refer to this as the interim report in the register</w:t>
      </w:r>
      <w:r w:rsidRPr="00D055E0">
        <w:rPr>
          <w:color w:val="auto"/>
        </w:rPr>
        <w:t xml:space="preserve"> </w:t>
      </w:r>
      <w:r>
        <w:rPr>
          <w:color w:val="auto"/>
        </w:rPr>
        <w:t>and this manual.</w:t>
      </w:r>
    </w:p>
    <w:p w14:paraId="2EDBCD94" w14:textId="77777777" w:rsidR="0023563B" w:rsidRDefault="0023563B" w:rsidP="0023563B">
      <w:pPr>
        <w:tabs>
          <w:tab w:val="left" w:pos="0"/>
        </w:tabs>
        <w:spacing w:after="56"/>
        <w:ind w:right="182"/>
        <w:rPr>
          <w:color w:val="auto"/>
        </w:rPr>
      </w:pPr>
      <w:r>
        <w:rPr>
          <w:color w:val="auto"/>
        </w:rPr>
        <w:t>We expect an operator holding an agreement to provide us with their</w:t>
      </w:r>
      <w:r w:rsidRPr="00201606">
        <w:t xml:space="preserve"> </w:t>
      </w:r>
      <w:r>
        <w:t>interim report for</w:t>
      </w:r>
      <w:r>
        <w:rPr>
          <w:color w:val="auto"/>
        </w:rPr>
        <w:t>:</w:t>
      </w:r>
    </w:p>
    <w:p w14:paraId="416A7A63" w14:textId="77777777" w:rsidR="0023563B" w:rsidRDefault="0023563B" w:rsidP="0023563B">
      <w:pPr>
        <w:pStyle w:val="ListParagraph"/>
        <w:numPr>
          <w:ilvl w:val="0"/>
          <w:numId w:val="168"/>
        </w:numPr>
        <w:tabs>
          <w:tab w:val="left" w:pos="0"/>
        </w:tabs>
        <w:spacing w:after="56"/>
        <w:ind w:right="182"/>
      </w:pPr>
      <w:r>
        <w:t>TP8 (1 January 2027 to 31 December 2027)</w:t>
      </w:r>
      <w:r w:rsidRPr="009D5992">
        <w:t xml:space="preserve"> </w:t>
      </w:r>
      <w:r>
        <w:t>by 1 May 2028</w:t>
      </w:r>
    </w:p>
    <w:p w14:paraId="2CE5F6B7" w14:textId="77777777" w:rsidR="0023563B" w:rsidRDefault="0023563B" w:rsidP="0023563B">
      <w:pPr>
        <w:pStyle w:val="ListParagraph"/>
        <w:numPr>
          <w:ilvl w:val="0"/>
          <w:numId w:val="168"/>
        </w:numPr>
        <w:tabs>
          <w:tab w:val="left" w:pos="0"/>
        </w:tabs>
        <w:spacing w:after="56"/>
        <w:ind w:right="182"/>
      </w:pPr>
      <w:r>
        <w:t>TP9 (1 January 2029 to 31 December 2029)</w:t>
      </w:r>
      <w:r w:rsidRPr="009D5992">
        <w:t xml:space="preserve"> </w:t>
      </w:r>
      <w:r>
        <w:t>by 1 May 2030</w:t>
      </w:r>
    </w:p>
    <w:p w14:paraId="0D36A0A7" w14:textId="64652778" w:rsidR="0023563B" w:rsidRDefault="0023563B" w:rsidP="0023563B">
      <w:r>
        <w:t xml:space="preserve">The data submitted in the interim reports indicates how an operator is progressing towards the expected improvement target. We will </w:t>
      </w:r>
      <w:r w:rsidRPr="00861126">
        <w:rPr>
          <w:b/>
        </w:rPr>
        <w:t>not</w:t>
      </w:r>
      <w:r>
        <w:t xml:space="preserve"> use th</w:t>
      </w:r>
      <w:r w:rsidR="00800E64">
        <w:t>e</w:t>
      </w:r>
      <w:r>
        <w:t xml:space="preserve"> data </w:t>
      </w:r>
      <w:r w:rsidR="00800E64">
        <w:t xml:space="preserve">from interim reports </w:t>
      </w:r>
      <w:r>
        <w:t xml:space="preserve">to add or remove facilities from the </w:t>
      </w:r>
      <w:hyperlink w:anchor="RRC" w:history="1">
        <w:r w:rsidRPr="009F5A1D">
          <w:rPr>
            <w:rStyle w:val="Hyperlink"/>
          </w:rPr>
          <w:t>Reduced Rate Certificate</w:t>
        </w:r>
      </w:hyperlink>
      <w:r>
        <w:t>.</w:t>
      </w:r>
    </w:p>
    <w:p w14:paraId="6AC1B633" w14:textId="4AD238D6" w:rsidR="00026E66" w:rsidRPr="00A25DF5" w:rsidRDefault="002737EF" w:rsidP="00A25DF5">
      <w:pPr>
        <w:pStyle w:val="Heading2"/>
        <w:tabs>
          <w:tab w:val="left" w:pos="0"/>
        </w:tabs>
      </w:pPr>
      <w:bookmarkStart w:id="214" w:name="_Toc242885402"/>
      <w:r>
        <w:t>10.3. The reporting process</w:t>
      </w:r>
      <w:bookmarkEnd w:id="212"/>
      <w:bookmarkEnd w:id="213"/>
      <w:bookmarkEnd w:id="214"/>
      <w:r>
        <w:t xml:space="preserve"> </w:t>
      </w:r>
    </w:p>
    <w:p w14:paraId="7CD2A1B2" w14:textId="58FD33A6" w:rsidR="006E28F7" w:rsidRDefault="000628A8" w:rsidP="00FF0098">
      <w:pPr>
        <w:tabs>
          <w:tab w:val="left" w:pos="0"/>
        </w:tabs>
        <w:spacing w:after="81" w:line="235" w:lineRule="auto"/>
        <w:ind w:right="289"/>
        <w:jc w:val="both"/>
        <w:rPr>
          <w:color w:val="auto"/>
          <w:szCs w:val="24"/>
        </w:rPr>
      </w:pPr>
      <w:r>
        <w:rPr>
          <w:color w:val="auto"/>
          <w:szCs w:val="24"/>
        </w:rPr>
        <w:t>T</w:t>
      </w:r>
      <w:r w:rsidR="00055AE2">
        <w:rPr>
          <w:color w:val="auto"/>
          <w:szCs w:val="24"/>
        </w:rPr>
        <w:t xml:space="preserve">he operator must </w:t>
      </w:r>
      <w:r w:rsidR="007F774D">
        <w:rPr>
          <w:color w:val="auto"/>
          <w:szCs w:val="24"/>
        </w:rPr>
        <w:t>provide us wit</w:t>
      </w:r>
      <w:r w:rsidR="006C285D">
        <w:rPr>
          <w:color w:val="auto"/>
          <w:szCs w:val="24"/>
        </w:rPr>
        <w:t>h</w:t>
      </w:r>
      <w:r w:rsidRPr="000628A8">
        <w:rPr>
          <w:szCs w:val="24"/>
        </w:rPr>
        <w:t xml:space="preserve"> </w:t>
      </w:r>
      <w:r>
        <w:rPr>
          <w:szCs w:val="24"/>
        </w:rPr>
        <w:t>the</w:t>
      </w:r>
      <w:r w:rsidR="00477742">
        <w:rPr>
          <w:szCs w:val="24"/>
        </w:rPr>
        <w:t xml:space="preserve"> amount</w:t>
      </w:r>
      <w:r w:rsidR="00C24885">
        <w:rPr>
          <w:szCs w:val="24"/>
        </w:rPr>
        <w:t>s</w:t>
      </w:r>
      <w:r w:rsidR="00477742" w:rsidRPr="00477742">
        <w:rPr>
          <w:szCs w:val="24"/>
        </w:rPr>
        <w:t xml:space="preserve"> </w:t>
      </w:r>
      <w:r w:rsidR="00477742">
        <w:rPr>
          <w:szCs w:val="24"/>
        </w:rPr>
        <w:t>of</w:t>
      </w:r>
      <w:r w:rsidR="006E28F7">
        <w:rPr>
          <w:color w:val="auto"/>
          <w:szCs w:val="24"/>
        </w:rPr>
        <w:t>:</w:t>
      </w:r>
    </w:p>
    <w:p w14:paraId="3022ED1A" w14:textId="56F5001A" w:rsidR="00055AE2" w:rsidRDefault="007A672D" w:rsidP="00961635">
      <w:pPr>
        <w:pStyle w:val="ListParagraph"/>
        <w:numPr>
          <w:ilvl w:val="0"/>
          <w:numId w:val="72"/>
        </w:numPr>
        <w:tabs>
          <w:tab w:val="left" w:pos="0"/>
        </w:tabs>
        <w:spacing w:after="81" w:line="235" w:lineRule="auto"/>
        <w:ind w:right="289"/>
        <w:jc w:val="both"/>
        <w:rPr>
          <w:szCs w:val="24"/>
        </w:rPr>
      </w:pPr>
      <w:r>
        <w:rPr>
          <w:szCs w:val="24"/>
        </w:rPr>
        <w:t xml:space="preserve">each fuel or </w:t>
      </w:r>
      <w:r w:rsidR="00055AE2" w:rsidRPr="006E28F7">
        <w:rPr>
          <w:szCs w:val="24"/>
        </w:rPr>
        <w:t xml:space="preserve">energy </w:t>
      </w:r>
      <w:r>
        <w:rPr>
          <w:szCs w:val="24"/>
        </w:rPr>
        <w:t xml:space="preserve">source </w:t>
      </w:r>
      <w:r w:rsidR="004F2FA1">
        <w:rPr>
          <w:szCs w:val="24"/>
        </w:rPr>
        <w:t xml:space="preserve">consumed </w:t>
      </w:r>
      <w:r>
        <w:rPr>
          <w:szCs w:val="24"/>
        </w:rPr>
        <w:t>during the reporting period</w:t>
      </w:r>
    </w:p>
    <w:p w14:paraId="0A8EC9FD" w14:textId="7511F2FF" w:rsidR="006C285D" w:rsidRPr="006C285D" w:rsidRDefault="00C5068F" w:rsidP="006C285D">
      <w:pPr>
        <w:pStyle w:val="ListParagraph"/>
        <w:numPr>
          <w:ilvl w:val="0"/>
          <w:numId w:val="72"/>
        </w:numPr>
        <w:tabs>
          <w:tab w:val="left" w:pos="0"/>
        </w:tabs>
        <w:spacing w:after="81" w:line="235" w:lineRule="auto"/>
        <w:ind w:right="289"/>
        <w:jc w:val="both"/>
        <w:rPr>
          <w:szCs w:val="24"/>
        </w:rPr>
      </w:pPr>
      <w:r>
        <w:rPr>
          <w:szCs w:val="24"/>
        </w:rPr>
        <w:t xml:space="preserve">throughput </w:t>
      </w:r>
      <w:r w:rsidR="005A1BEB">
        <w:rPr>
          <w:szCs w:val="24"/>
        </w:rPr>
        <w:t>(</w:t>
      </w:r>
      <w:r w:rsidR="00477742">
        <w:rPr>
          <w:szCs w:val="24"/>
        </w:rPr>
        <w:t xml:space="preserve">using </w:t>
      </w:r>
      <w:r w:rsidR="0050395F">
        <w:rPr>
          <w:szCs w:val="24"/>
        </w:rPr>
        <w:t xml:space="preserve">a measure </w:t>
      </w:r>
      <w:r w:rsidR="00477742">
        <w:rPr>
          <w:szCs w:val="24"/>
        </w:rPr>
        <w:t xml:space="preserve">agreed </w:t>
      </w:r>
      <w:r w:rsidR="0050395F">
        <w:rPr>
          <w:szCs w:val="24"/>
        </w:rPr>
        <w:t>as part of their application or variation</w:t>
      </w:r>
      <w:r w:rsidR="005A1BEB">
        <w:rPr>
          <w:szCs w:val="24"/>
        </w:rPr>
        <w:t>)</w:t>
      </w:r>
    </w:p>
    <w:p w14:paraId="5ECDBBBF" w14:textId="77777777" w:rsidR="00C24885" w:rsidRDefault="005A1BEB" w:rsidP="00177758">
      <w:pPr>
        <w:tabs>
          <w:tab w:val="left" w:pos="0"/>
        </w:tabs>
        <w:spacing w:after="81" w:line="235" w:lineRule="auto"/>
        <w:ind w:right="289"/>
        <w:jc w:val="both"/>
        <w:rPr>
          <w:color w:val="auto"/>
          <w:szCs w:val="24"/>
        </w:rPr>
      </w:pPr>
      <w:r>
        <w:rPr>
          <w:color w:val="auto"/>
          <w:szCs w:val="24"/>
        </w:rPr>
        <w:t xml:space="preserve">They must provide this data </w:t>
      </w:r>
      <w:r w:rsidR="00075119">
        <w:rPr>
          <w:color w:val="auto"/>
          <w:szCs w:val="24"/>
        </w:rPr>
        <w:t>for each facility in their underlying agreement</w:t>
      </w:r>
      <w:r w:rsidR="00C24885">
        <w:rPr>
          <w:color w:val="auto"/>
          <w:szCs w:val="24"/>
        </w:rPr>
        <w:t xml:space="preserve"> immediately after the </w:t>
      </w:r>
      <w:r w:rsidR="00075119">
        <w:rPr>
          <w:color w:val="auto"/>
          <w:szCs w:val="24"/>
        </w:rPr>
        <w:t>end of</w:t>
      </w:r>
      <w:r w:rsidR="00C24885">
        <w:rPr>
          <w:color w:val="auto"/>
          <w:szCs w:val="24"/>
        </w:rPr>
        <w:t>:</w:t>
      </w:r>
    </w:p>
    <w:p w14:paraId="37C8ACE9" w14:textId="77777777" w:rsidR="00C24885" w:rsidRPr="00C24885" w:rsidRDefault="00075119" w:rsidP="00C24885">
      <w:pPr>
        <w:pStyle w:val="ListParagraph"/>
        <w:numPr>
          <w:ilvl w:val="0"/>
          <w:numId w:val="72"/>
        </w:numPr>
        <w:tabs>
          <w:tab w:val="left" w:pos="0"/>
        </w:tabs>
        <w:spacing w:after="81" w:line="235" w:lineRule="auto"/>
        <w:ind w:right="289"/>
        <w:jc w:val="both"/>
        <w:rPr>
          <w:b/>
          <w:bCs/>
          <w:szCs w:val="24"/>
        </w:rPr>
      </w:pPr>
      <w:r w:rsidRPr="00C24885">
        <w:rPr>
          <w:szCs w:val="24"/>
        </w:rPr>
        <w:t xml:space="preserve">each target period </w:t>
      </w:r>
      <w:r w:rsidR="00C24885" w:rsidRPr="00C24885">
        <w:rPr>
          <w:szCs w:val="24"/>
        </w:rPr>
        <w:t xml:space="preserve">(final reports) </w:t>
      </w:r>
    </w:p>
    <w:p w14:paraId="79E02319" w14:textId="289E38FE" w:rsidR="006C285D" w:rsidRPr="00C24885" w:rsidRDefault="00075119" w:rsidP="00C24885">
      <w:pPr>
        <w:pStyle w:val="ListParagraph"/>
        <w:numPr>
          <w:ilvl w:val="0"/>
          <w:numId w:val="72"/>
        </w:numPr>
        <w:tabs>
          <w:tab w:val="left" w:pos="0"/>
        </w:tabs>
        <w:spacing w:after="81" w:line="235" w:lineRule="auto"/>
        <w:ind w:right="289"/>
        <w:jc w:val="both"/>
        <w:rPr>
          <w:b/>
          <w:bCs/>
          <w:szCs w:val="24"/>
        </w:rPr>
      </w:pPr>
      <w:r w:rsidRPr="00C24885">
        <w:rPr>
          <w:szCs w:val="24"/>
        </w:rPr>
        <w:t>2027 and 2029 (interim reports)</w:t>
      </w:r>
    </w:p>
    <w:p w14:paraId="70A2B5AF" w14:textId="0F17A553" w:rsidR="00177758" w:rsidRDefault="00177758" w:rsidP="00177758">
      <w:pPr>
        <w:tabs>
          <w:tab w:val="left" w:pos="0"/>
        </w:tabs>
        <w:spacing w:after="81" w:line="235" w:lineRule="auto"/>
        <w:ind w:right="289"/>
        <w:jc w:val="both"/>
        <w:rPr>
          <w:color w:val="auto"/>
          <w:szCs w:val="24"/>
        </w:rPr>
      </w:pPr>
      <w:r>
        <w:rPr>
          <w:color w:val="auto"/>
          <w:szCs w:val="24"/>
        </w:rPr>
        <w:t xml:space="preserve">The operator must exclude </w:t>
      </w:r>
      <w:r w:rsidR="00CA028D">
        <w:rPr>
          <w:color w:val="auto"/>
          <w:szCs w:val="24"/>
        </w:rPr>
        <w:t xml:space="preserve">from their </w:t>
      </w:r>
      <w:r>
        <w:rPr>
          <w:color w:val="auto"/>
          <w:szCs w:val="24"/>
        </w:rPr>
        <w:t>data any energy they used at a facility</w:t>
      </w:r>
      <w:r w:rsidR="00CA028D">
        <w:rPr>
          <w:color w:val="auto"/>
          <w:szCs w:val="24"/>
        </w:rPr>
        <w:t xml:space="preserve"> whose carbon dioxide </w:t>
      </w:r>
      <w:r w:rsidR="004E5139">
        <w:rPr>
          <w:color w:val="auto"/>
          <w:szCs w:val="24"/>
        </w:rPr>
        <w:t xml:space="preserve">emissions </w:t>
      </w:r>
      <w:r w:rsidR="00CA028D">
        <w:rPr>
          <w:color w:val="auto"/>
          <w:szCs w:val="24"/>
        </w:rPr>
        <w:t xml:space="preserve">they are required to </w:t>
      </w:r>
      <w:r>
        <w:rPr>
          <w:color w:val="auto"/>
          <w:szCs w:val="24"/>
        </w:rPr>
        <w:t xml:space="preserve">report separately under </w:t>
      </w:r>
      <w:hyperlink w:anchor="UKETS" w:history="1">
        <w:r w:rsidR="00DD180B" w:rsidRPr="00AE5839">
          <w:rPr>
            <w:rStyle w:val="Hyperlink"/>
            <w:szCs w:val="24"/>
          </w:rPr>
          <w:t>UK ETS</w:t>
        </w:r>
      </w:hyperlink>
      <w:r>
        <w:rPr>
          <w:color w:val="auto"/>
          <w:szCs w:val="24"/>
        </w:rPr>
        <w:t>.</w:t>
      </w:r>
    </w:p>
    <w:p w14:paraId="5C9924DE" w14:textId="78343AC0" w:rsidR="001C297F" w:rsidRDefault="001C297F" w:rsidP="00FF0098">
      <w:pPr>
        <w:tabs>
          <w:tab w:val="left" w:pos="0"/>
        </w:tabs>
        <w:spacing w:after="81" w:line="235" w:lineRule="auto"/>
        <w:ind w:right="289"/>
        <w:jc w:val="both"/>
        <w:rPr>
          <w:color w:val="auto"/>
          <w:szCs w:val="24"/>
        </w:rPr>
      </w:pPr>
      <w:r>
        <w:rPr>
          <w:color w:val="auto"/>
          <w:szCs w:val="24"/>
        </w:rPr>
        <w:t xml:space="preserve">Where </w:t>
      </w:r>
      <w:r w:rsidR="00F24FF8">
        <w:rPr>
          <w:color w:val="auto"/>
          <w:szCs w:val="24"/>
        </w:rPr>
        <w:t>we add</w:t>
      </w:r>
      <w:r w:rsidR="0002390D">
        <w:rPr>
          <w:color w:val="auto"/>
          <w:szCs w:val="24"/>
        </w:rPr>
        <w:t>ed</w:t>
      </w:r>
      <w:r w:rsidR="00F24FF8">
        <w:rPr>
          <w:color w:val="auto"/>
          <w:szCs w:val="24"/>
        </w:rPr>
        <w:t xml:space="preserve"> </w:t>
      </w:r>
      <w:r w:rsidR="00053F59">
        <w:rPr>
          <w:color w:val="auto"/>
          <w:szCs w:val="24"/>
        </w:rPr>
        <w:t>a facility</w:t>
      </w:r>
      <w:r w:rsidR="00091B34">
        <w:rPr>
          <w:color w:val="auto"/>
          <w:szCs w:val="24"/>
        </w:rPr>
        <w:t xml:space="preserve"> </w:t>
      </w:r>
      <w:r w:rsidR="00B33C2F">
        <w:rPr>
          <w:color w:val="auto"/>
          <w:szCs w:val="24"/>
        </w:rPr>
        <w:t xml:space="preserve">to an agreement </w:t>
      </w:r>
      <w:r w:rsidR="00053F59">
        <w:rPr>
          <w:color w:val="auto"/>
          <w:szCs w:val="24"/>
        </w:rPr>
        <w:t xml:space="preserve">part way through a reporting period, </w:t>
      </w:r>
      <w:r w:rsidR="00543FD6">
        <w:rPr>
          <w:color w:val="auto"/>
          <w:szCs w:val="24"/>
        </w:rPr>
        <w:t>the operator</w:t>
      </w:r>
      <w:r w:rsidR="00091B34">
        <w:rPr>
          <w:color w:val="auto"/>
          <w:szCs w:val="24"/>
        </w:rPr>
        <w:t xml:space="preserve"> must</w:t>
      </w:r>
      <w:r w:rsidR="00053F59">
        <w:rPr>
          <w:color w:val="auto"/>
          <w:szCs w:val="24"/>
        </w:rPr>
        <w:t xml:space="preserve"> provide </w:t>
      </w:r>
      <w:r w:rsidR="00B33C2F">
        <w:rPr>
          <w:color w:val="auto"/>
          <w:szCs w:val="24"/>
        </w:rPr>
        <w:t xml:space="preserve">us with </w:t>
      </w:r>
      <w:r w:rsidR="00053F59">
        <w:rPr>
          <w:color w:val="auto"/>
          <w:szCs w:val="24"/>
        </w:rPr>
        <w:t xml:space="preserve">data from the </w:t>
      </w:r>
      <w:r w:rsidR="00DA2500">
        <w:rPr>
          <w:color w:val="auto"/>
          <w:szCs w:val="24"/>
        </w:rPr>
        <w:t xml:space="preserve">date </w:t>
      </w:r>
      <w:r w:rsidR="00B777D9">
        <w:rPr>
          <w:color w:val="auto"/>
          <w:szCs w:val="24"/>
        </w:rPr>
        <w:t>the</w:t>
      </w:r>
      <w:r w:rsidR="00543FD6">
        <w:rPr>
          <w:color w:val="auto"/>
          <w:szCs w:val="24"/>
        </w:rPr>
        <w:t xml:space="preserve"> </w:t>
      </w:r>
      <w:r w:rsidR="00A20852">
        <w:rPr>
          <w:color w:val="auto"/>
          <w:szCs w:val="24"/>
        </w:rPr>
        <w:t xml:space="preserve">agreement containing that </w:t>
      </w:r>
      <w:r w:rsidR="00543FD6">
        <w:rPr>
          <w:color w:val="auto"/>
          <w:szCs w:val="24"/>
        </w:rPr>
        <w:t>facility</w:t>
      </w:r>
      <w:r w:rsidR="00B777D9">
        <w:rPr>
          <w:color w:val="auto"/>
          <w:szCs w:val="24"/>
        </w:rPr>
        <w:t xml:space="preserve"> w</w:t>
      </w:r>
      <w:r w:rsidR="00543FD6">
        <w:rPr>
          <w:color w:val="auto"/>
          <w:szCs w:val="24"/>
        </w:rPr>
        <w:t>as</w:t>
      </w:r>
      <w:r w:rsidR="00B777D9">
        <w:rPr>
          <w:color w:val="auto"/>
          <w:szCs w:val="24"/>
        </w:rPr>
        <w:t xml:space="preserve"> </w:t>
      </w:r>
      <w:r w:rsidR="00A20852">
        <w:rPr>
          <w:color w:val="auto"/>
          <w:szCs w:val="24"/>
        </w:rPr>
        <w:t xml:space="preserve">activated </w:t>
      </w:r>
      <w:r w:rsidR="00543FD6">
        <w:rPr>
          <w:color w:val="auto"/>
          <w:szCs w:val="24"/>
        </w:rPr>
        <w:t>through</w:t>
      </w:r>
      <w:r w:rsidR="00053F59">
        <w:rPr>
          <w:color w:val="auto"/>
          <w:szCs w:val="24"/>
        </w:rPr>
        <w:t xml:space="preserve"> </w:t>
      </w:r>
      <w:r w:rsidR="003D03D2">
        <w:rPr>
          <w:color w:val="auto"/>
          <w:szCs w:val="24"/>
        </w:rPr>
        <w:t>to the end of the reporting period.</w:t>
      </w:r>
    </w:p>
    <w:p w14:paraId="5BF341DB" w14:textId="139DE3EA" w:rsidR="004826D6" w:rsidRDefault="004F2FA1" w:rsidP="00FF0098">
      <w:pPr>
        <w:tabs>
          <w:tab w:val="left" w:pos="0"/>
        </w:tabs>
        <w:spacing w:after="81" w:line="235" w:lineRule="auto"/>
        <w:ind w:right="289"/>
        <w:jc w:val="both"/>
        <w:rPr>
          <w:color w:val="auto"/>
          <w:szCs w:val="24"/>
        </w:rPr>
      </w:pPr>
      <w:r>
        <w:rPr>
          <w:color w:val="auto"/>
          <w:szCs w:val="24"/>
        </w:rPr>
        <w:t>A</w:t>
      </w:r>
      <w:r w:rsidR="004826D6">
        <w:rPr>
          <w:color w:val="auto"/>
          <w:szCs w:val="24"/>
        </w:rPr>
        <w:t>n operator</w:t>
      </w:r>
      <w:r>
        <w:rPr>
          <w:color w:val="auto"/>
          <w:szCs w:val="24"/>
        </w:rPr>
        <w:t xml:space="preserve"> does not need</w:t>
      </w:r>
      <w:r w:rsidR="004826D6">
        <w:rPr>
          <w:color w:val="auto"/>
          <w:szCs w:val="24"/>
        </w:rPr>
        <w:t xml:space="preserve"> to provide us with data for a facility </w:t>
      </w:r>
      <w:r w:rsidR="006F7E01">
        <w:rPr>
          <w:color w:val="auto"/>
          <w:szCs w:val="24"/>
        </w:rPr>
        <w:t>when</w:t>
      </w:r>
      <w:r w:rsidR="004826D6">
        <w:rPr>
          <w:color w:val="auto"/>
          <w:szCs w:val="24"/>
        </w:rPr>
        <w:t>:</w:t>
      </w:r>
    </w:p>
    <w:p w14:paraId="42B55624" w14:textId="4AEE02E7" w:rsidR="004826D6" w:rsidRPr="00C90E90" w:rsidRDefault="005D073B" w:rsidP="004826D6">
      <w:pPr>
        <w:pStyle w:val="ListParagraph"/>
        <w:numPr>
          <w:ilvl w:val="0"/>
          <w:numId w:val="72"/>
        </w:numPr>
        <w:tabs>
          <w:tab w:val="left" w:pos="0"/>
        </w:tabs>
        <w:spacing w:after="81" w:line="235" w:lineRule="auto"/>
        <w:ind w:right="289"/>
        <w:jc w:val="both"/>
        <w:rPr>
          <w:szCs w:val="24"/>
        </w:rPr>
      </w:pPr>
      <w:r>
        <w:rPr>
          <w:szCs w:val="24"/>
        </w:rPr>
        <w:t xml:space="preserve">we removed </w:t>
      </w:r>
      <w:r w:rsidR="0004068C">
        <w:rPr>
          <w:szCs w:val="24"/>
        </w:rPr>
        <w:t xml:space="preserve">a </w:t>
      </w:r>
      <w:r w:rsidR="00686130" w:rsidRPr="004826D6">
        <w:rPr>
          <w:szCs w:val="24"/>
        </w:rPr>
        <w:t>facility</w:t>
      </w:r>
      <w:r w:rsidR="006F7E01">
        <w:rPr>
          <w:szCs w:val="24"/>
        </w:rPr>
        <w:t xml:space="preserve"> </w:t>
      </w:r>
      <w:r w:rsidR="00686130" w:rsidRPr="004826D6">
        <w:rPr>
          <w:szCs w:val="24"/>
        </w:rPr>
        <w:t xml:space="preserve">from </w:t>
      </w:r>
      <w:r>
        <w:rPr>
          <w:szCs w:val="24"/>
        </w:rPr>
        <w:t xml:space="preserve">their </w:t>
      </w:r>
      <w:r w:rsidR="0004068C">
        <w:rPr>
          <w:szCs w:val="24"/>
        </w:rPr>
        <w:t xml:space="preserve">active </w:t>
      </w:r>
      <w:r w:rsidR="00686130" w:rsidRPr="004826D6">
        <w:rPr>
          <w:szCs w:val="24"/>
        </w:rPr>
        <w:t xml:space="preserve">agreement </w:t>
      </w:r>
      <w:r w:rsidR="0004068C">
        <w:rPr>
          <w:szCs w:val="24"/>
        </w:rPr>
        <w:t>by</w:t>
      </w:r>
      <w:r w:rsidR="00686130" w:rsidRPr="00C90E90">
        <w:rPr>
          <w:szCs w:val="24"/>
        </w:rPr>
        <w:t xml:space="preserve"> the end of </w:t>
      </w:r>
      <w:r w:rsidR="00887D69">
        <w:rPr>
          <w:szCs w:val="24"/>
        </w:rPr>
        <w:t xml:space="preserve">a </w:t>
      </w:r>
      <w:r w:rsidR="00686130" w:rsidRPr="00C90E90">
        <w:rPr>
          <w:szCs w:val="24"/>
        </w:rPr>
        <w:t>reporting period</w:t>
      </w:r>
    </w:p>
    <w:p w14:paraId="5860D71B" w14:textId="0BACA614" w:rsidR="00DE2859" w:rsidRPr="0019427C" w:rsidRDefault="00D55EA3" w:rsidP="00FF0098">
      <w:pPr>
        <w:pStyle w:val="ListParagraph"/>
        <w:numPr>
          <w:ilvl w:val="0"/>
          <w:numId w:val="72"/>
        </w:numPr>
        <w:tabs>
          <w:tab w:val="left" w:pos="0"/>
        </w:tabs>
        <w:spacing w:after="81" w:line="235" w:lineRule="auto"/>
        <w:ind w:right="289"/>
        <w:jc w:val="both"/>
        <w:rPr>
          <w:szCs w:val="24"/>
        </w:rPr>
      </w:pPr>
      <w:r>
        <w:rPr>
          <w:szCs w:val="24"/>
        </w:rPr>
        <w:t xml:space="preserve">we activated </w:t>
      </w:r>
      <w:r w:rsidR="00887D69">
        <w:rPr>
          <w:szCs w:val="24"/>
        </w:rPr>
        <w:t xml:space="preserve">an agreement </w:t>
      </w:r>
      <w:r w:rsidR="00E67B2B">
        <w:rPr>
          <w:szCs w:val="24"/>
        </w:rPr>
        <w:t xml:space="preserve">to </w:t>
      </w:r>
      <w:r>
        <w:rPr>
          <w:szCs w:val="24"/>
        </w:rPr>
        <w:t xml:space="preserve">add </w:t>
      </w:r>
      <w:r w:rsidR="006F7E01">
        <w:rPr>
          <w:szCs w:val="24"/>
        </w:rPr>
        <w:t xml:space="preserve">a facility </w:t>
      </w:r>
      <w:r w:rsidR="004826D6" w:rsidRPr="00C90E90">
        <w:rPr>
          <w:szCs w:val="24"/>
        </w:rPr>
        <w:t>after</w:t>
      </w:r>
      <w:r w:rsidR="004826D6">
        <w:rPr>
          <w:szCs w:val="24"/>
        </w:rPr>
        <w:t xml:space="preserve"> the end of the reporting period</w:t>
      </w:r>
    </w:p>
    <w:p w14:paraId="01EB1687" w14:textId="1C1C8113" w:rsidR="00CC4AC4" w:rsidRPr="00C90E90" w:rsidRDefault="006F7E01" w:rsidP="00CC4AC4">
      <w:pPr>
        <w:rPr>
          <w:bCs/>
        </w:rPr>
      </w:pPr>
      <w:r>
        <w:t>T</w:t>
      </w:r>
      <w:r w:rsidR="00CC4AC4">
        <w:t xml:space="preserve">he operator </w:t>
      </w:r>
      <w:r>
        <w:t>must</w:t>
      </w:r>
      <w:r w:rsidR="00CC4AC4">
        <w:t xml:space="preserve"> provide us with data for a facility</w:t>
      </w:r>
      <w:r w:rsidR="00B45EFD">
        <w:t xml:space="preserve"> </w:t>
      </w:r>
      <w:r w:rsidR="00D55EA3">
        <w:t xml:space="preserve">where </w:t>
      </w:r>
      <w:r w:rsidR="00497433">
        <w:t xml:space="preserve">we removed that facility </w:t>
      </w:r>
      <w:r w:rsidR="00245416">
        <w:t xml:space="preserve">from </w:t>
      </w:r>
      <w:r w:rsidR="00497433">
        <w:t xml:space="preserve">their active </w:t>
      </w:r>
      <w:r w:rsidR="00245416">
        <w:t>agreement</w:t>
      </w:r>
      <w:r w:rsidR="00B45EFD">
        <w:t xml:space="preserve"> </w:t>
      </w:r>
      <w:r w:rsidR="00B45EFD" w:rsidRPr="00C90E90">
        <w:rPr>
          <w:bCs/>
        </w:rPr>
        <w:t>after the end of a reporting period</w:t>
      </w:r>
      <w:r w:rsidR="00245416" w:rsidRPr="00C90E90">
        <w:rPr>
          <w:bCs/>
        </w:rPr>
        <w:t>.</w:t>
      </w:r>
    </w:p>
    <w:p w14:paraId="5792F3CB" w14:textId="2FA55444" w:rsidR="009A3926" w:rsidRDefault="00245416" w:rsidP="00CC4AC4">
      <w:r w:rsidRPr="00C90E90">
        <w:rPr>
          <w:bCs/>
        </w:rPr>
        <w:lastRenderedPageBreak/>
        <w:t xml:space="preserve">Where a facility </w:t>
      </w:r>
      <w:r w:rsidR="00AA6FA0">
        <w:rPr>
          <w:bCs/>
        </w:rPr>
        <w:t xml:space="preserve">previously covered by an underlying agreement </w:t>
      </w:r>
      <w:r w:rsidR="006F2EBB" w:rsidRPr="00C90E90">
        <w:rPr>
          <w:bCs/>
        </w:rPr>
        <w:t xml:space="preserve">has </w:t>
      </w:r>
      <w:r w:rsidR="00AA6FA0">
        <w:rPr>
          <w:bCs/>
        </w:rPr>
        <w:t xml:space="preserve">been added to an </w:t>
      </w:r>
      <w:r w:rsidR="00AC2DD3">
        <w:rPr>
          <w:bCs/>
        </w:rPr>
        <w:t xml:space="preserve">active </w:t>
      </w:r>
      <w:r w:rsidR="00E539A6">
        <w:rPr>
          <w:bCs/>
        </w:rPr>
        <w:t xml:space="preserve">underlying </w:t>
      </w:r>
      <w:r w:rsidR="00AA6FA0">
        <w:rPr>
          <w:bCs/>
        </w:rPr>
        <w:t xml:space="preserve">agreement held by a different </w:t>
      </w:r>
      <w:r w:rsidR="00AB22B2">
        <w:rPr>
          <w:bCs/>
        </w:rPr>
        <w:t>operator</w:t>
      </w:r>
      <w:r w:rsidR="00504327" w:rsidRPr="00C90E90">
        <w:rPr>
          <w:bCs/>
        </w:rPr>
        <w:t xml:space="preserve"> </w:t>
      </w:r>
      <w:r w:rsidR="00AA6FA0">
        <w:rPr>
          <w:bCs/>
        </w:rPr>
        <w:t>(</w:t>
      </w:r>
      <w:r w:rsidR="00E539A6">
        <w:rPr>
          <w:bCs/>
        </w:rPr>
        <w:t xml:space="preserve">a </w:t>
      </w:r>
      <w:r w:rsidR="00AA6FA0">
        <w:rPr>
          <w:bCs/>
        </w:rPr>
        <w:t xml:space="preserve">change of ownership) </w:t>
      </w:r>
      <w:r w:rsidR="00C84A8B" w:rsidRPr="00C90E90">
        <w:rPr>
          <w:bCs/>
        </w:rPr>
        <w:t>b</w:t>
      </w:r>
      <w:r w:rsidR="00E539A6">
        <w:rPr>
          <w:bCs/>
        </w:rPr>
        <w:t>y</w:t>
      </w:r>
      <w:r w:rsidR="00C84A8B">
        <w:t xml:space="preserve"> the end of </w:t>
      </w:r>
      <w:r w:rsidR="00504327">
        <w:t>a reporting period</w:t>
      </w:r>
      <w:r w:rsidR="00A53585">
        <w:t xml:space="preserve"> (</w:t>
      </w:r>
      <w:r w:rsidR="00AC2DD3">
        <w:t xml:space="preserve">by </w:t>
      </w:r>
      <w:r w:rsidR="00A53585">
        <w:t xml:space="preserve">31 December), the new operator is </w:t>
      </w:r>
      <w:r w:rsidR="009A3926">
        <w:t>responsible for:</w:t>
      </w:r>
    </w:p>
    <w:p w14:paraId="1C5FB108" w14:textId="2CC3ECB0" w:rsidR="009A3926" w:rsidRDefault="008733C4" w:rsidP="009A3926">
      <w:pPr>
        <w:pStyle w:val="ListParagraph"/>
        <w:numPr>
          <w:ilvl w:val="0"/>
          <w:numId w:val="72"/>
        </w:numPr>
      </w:pPr>
      <w:r>
        <w:t xml:space="preserve">providing </w:t>
      </w:r>
      <w:r w:rsidR="00DF130A">
        <w:t>the</w:t>
      </w:r>
      <w:r w:rsidR="009A3926">
        <w:t xml:space="preserve"> data</w:t>
      </w:r>
      <w:r w:rsidR="00DF130A">
        <w:t xml:space="preserve"> </w:t>
      </w:r>
      <w:r>
        <w:t xml:space="preserve">we need to assess the </w:t>
      </w:r>
      <w:r w:rsidR="00997DE3">
        <w:t xml:space="preserve">progress towards meeting the improvement target </w:t>
      </w:r>
      <w:r w:rsidR="000344CD">
        <w:t xml:space="preserve">for the </w:t>
      </w:r>
      <w:r w:rsidR="00C84A8B">
        <w:t>facility</w:t>
      </w:r>
      <w:r w:rsidR="000344CD">
        <w:t xml:space="preserve"> </w:t>
      </w:r>
      <w:r w:rsidR="00D826F4">
        <w:t>for the whole of the reporting period</w:t>
      </w:r>
    </w:p>
    <w:p w14:paraId="5F4021DE" w14:textId="30AD02D7" w:rsidR="00245416" w:rsidRPr="00CC4AC4" w:rsidRDefault="00AE2466" w:rsidP="00016EDE">
      <w:pPr>
        <w:pStyle w:val="ListParagraph"/>
        <w:numPr>
          <w:ilvl w:val="0"/>
          <w:numId w:val="72"/>
        </w:numPr>
      </w:pPr>
      <w:r>
        <w:t xml:space="preserve">paying any </w:t>
      </w:r>
      <w:hyperlink w:anchor="Buyout" w:history="1">
        <w:r w:rsidRPr="00FE39EA">
          <w:rPr>
            <w:rStyle w:val="Hyperlink"/>
          </w:rPr>
          <w:t>buy-out</w:t>
        </w:r>
      </w:hyperlink>
      <w:r>
        <w:t xml:space="preserve"> fee for </w:t>
      </w:r>
      <w:r w:rsidR="00E27533">
        <w:t>the</w:t>
      </w:r>
      <w:r>
        <w:t xml:space="preserve"> facility </w:t>
      </w:r>
      <w:r w:rsidR="00E27533">
        <w:t>(if required)</w:t>
      </w:r>
    </w:p>
    <w:p w14:paraId="344BACCA" w14:textId="0ED2D765" w:rsidR="00026E66" w:rsidRDefault="002737EF" w:rsidP="00A25DF5">
      <w:pPr>
        <w:tabs>
          <w:tab w:val="left" w:pos="0"/>
        </w:tabs>
        <w:spacing w:after="0"/>
        <w:ind w:right="182"/>
        <w:rPr>
          <w:color w:val="auto"/>
          <w:szCs w:val="24"/>
        </w:rPr>
      </w:pPr>
      <w:r>
        <w:rPr>
          <w:color w:val="auto"/>
          <w:szCs w:val="24"/>
        </w:rPr>
        <w:t xml:space="preserve">Where </w:t>
      </w:r>
      <w:r w:rsidR="00D4716C">
        <w:rPr>
          <w:color w:val="auto"/>
          <w:szCs w:val="24"/>
        </w:rPr>
        <w:t xml:space="preserve">the proportion of eligible energy has </w:t>
      </w:r>
      <w:r w:rsidR="00C23564">
        <w:rPr>
          <w:color w:val="auto"/>
          <w:szCs w:val="24"/>
        </w:rPr>
        <w:t>increase</w:t>
      </w:r>
      <w:r w:rsidR="00565612">
        <w:rPr>
          <w:color w:val="auto"/>
          <w:szCs w:val="24"/>
        </w:rPr>
        <w:t>d</w:t>
      </w:r>
      <w:r w:rsidR="00E27533">
        <w:rPr>
          <w:color w:val="auto"/>
          <w:szCs w:val="24"/>
        </w:rPr>
        <w:t xml:space="preserve"> </w:t>
      </w:r>
      <w:r w:rsidR="00C23564">
        <w:rPr>
          <w:color w:val="auto"/>
          <w:szCs w:val="24"/>
        </w:rPr>
        <w:t xml:space="preserve">to </w:t>
      </w:r>
      <w:r>
        <w:rPr>
          <w:color w:val="auto"/>
          <w:szCs w:val="24"/>
        </w:rPr>
        <w:t xml:space="preserve">70% or </w:t>
      </w:r>
      <w:r w:rsidR="00277B11">
        <w:rPr>
          <w:color w:val="auto"/>
          <w:szCs w:val="24"/>
        </w:rPr>
        <w:t xml:space="preserve">more </w:t>
      </w:r>
      <w:r w:rsidR="005C7314">
        <w:rPr>
          <w:color w:val="auto"/>
          <w:szCs w:val="24"/>
        </w:rPr>
        <w:t xml:space="preserve">of the </w:t>
      </w:r>
      <w:r w:rsidR="006C08F9">
        <w:rPr>
          <w:color w:val="auto"/>
          <w:szCs w:val="24"/>
        </w:rPr>
        <w:t>site</w:t>
      </w:r>
      <w:r w:rsidR="003A020C">
        <w:rPr>
          <w:color w:val="auto"/>
          <w:szCs w:val="24"/>
        </w:rPr>
        <w:t>’s</w:t>
      </w:r>
      <w:r w:rsidR="0036163C">
        <w:rPr>
          <w:color w:val="auto"/>
          <w:szCs w:val="24"/>
        </w:rPr>
        <w:t xml:space="preserve"> </w:t>
      </w:r>
      <w:r w:rsidR="00E41031">
        <w:rPr>
          <w:color w:val="auto"/>
          <w:szCs w:val="24"/>
        </w:rPr>
        <w:t xml:space="preserve">total energy </w:t>
      </w:r>
      <w:r w:rsidR="003A020C">
        <w:rPr>
          <w:color w:val="auto"/>
          <w:szCs w:val="24"/>
        </w:rPr>
        <w:t xml:space="preserve">consumption </w:t>
      </w:r>
      <w:r w:rsidR="00C23564">
        <w:rPr>
          <w:color w:val="auto"/>
          <w:szCs w:val="24"/>
        </w:rPr>
        <w:t xml:space="preserve">during </w:t>
      </w:r>
      <w:r>
        <w:rPr>
          <w:color w:val="auto"/>
          <w:szCs w:val="24"/>
        </w:rPr>
        <w:t xml:space="preserve">a </w:t>
      </w:r>
      <w:r w:rsidR="005C7314">
        <w:rPr>
          <w:color w:val="auto"/>
          <w:szCs w:val="24"/>
        </w:rPr>
        <w:t xml:space="preserve">reporting </w:t>
      </w:r>
      <w:r>
        <w:rPr>
          <w:color w:val="auto"/>
          <w:szCs w:val="24"/>
        </w:rPr>
        <w:t xml:space="preserve">period, </w:t>
      </w:r>
      <w:r w:rsidR="005C7314">
        <w:rPr>
          <w:color w:val="auto"/>
          <w:szCs w:val="24"/>
        </w:rPr>
        <w:t xml:space="preserve">we expect </w:t>
      </w:r>
      <w:r>
        <w:rPr>
          <w:color w:val="auto"/>
          <w:szCs w:val="24"/>
        </w:rPr>
        <w:t xml:space="preserve">the operator </w:t>
      </w:r>
      <w:r w:rsidR="005C7314">
        <w:rPr>
          <w:color w:val="auto"/>
          <w:szCs w:val="24"/>
        </w:rPr>
        <w:t>to</w:t>
      </w:r>
      <w:r>
        <w:rPr>
          <w:color w:val="auto"/>
          <w:szCs w:val="24"/>
        </w:rPr>
        <w:t xml:space="preserve"> </w:t>
      </w:r>
      <w:r w:rsidR="006178D5">
        <w:rPr>
          <w:color w:val="auto"/>
          <w:szCs w:val="24"/>
        </w:rPr>
        <w:t xml:space="preserve">provide us with data </w:t>
      </w:r>
      <w:r>
        <w:rPr>
          <w:color w:val="auto"/>
          <w:szCs w:val="24"/>
        </w:rPr>
        <w:t xml:space="preserve">as if </w:t>
      </w:r>
      <w:r w:rsidR="00CB6724">
        <w:rPr>
          <w:color w:val="auto"/>
          <w:szCs w:val="24"/>
        </w:rPr>
        <w:t xml:space="preserve">all </w:t>
      </w:r>
      <w:r>
        <w:rPr>
          <w:color w:val="auto"/>
          <w:szCs w:val="24"/>
        </w:rPr>
        <w:t>the site</w:t>
      </w:r>
      <w:r w:rsidR="00CB6724">
        <w:rPr>
          <w:color w:val="auto"/>
          <w:szCs w:val="24"/>
        </w:rPr>
        <w:t>’s</w:t>
      </w:r>
      <w:r>
        <w:rPr>
          <w:color w:val="auto"/>
          <w:szCs w:val="24"/>
        </w:rPr>
        <w:t xml:space="preserve"> </w:t>
      </w:r>
      <w:r w:rsidR="00CB6724">
        <w:rPr>
          <w:color w:val="auto"/>
          <w:szCs w:val="24"/>
        </w:rPr>
        <w:t>energy use</w:t>
      </w:r>
      <w:r>
        <w:rPr>
          <w:color w:val="auto"/>
          <w:szCs w:val="24"/>
        </w:rPr>
        <w:t xml:space="preserve"> was eligible </w:t>
      </w:r>
      <w:r w:rsidR="00B45B6E">
        <w:rPr>
          <w:color w:val="auto"/>
          <w:szCs w:val="24"/>
        </w:rPr>
        <w:t xml:space="preserve">for </w:t>
      </w:r>
      <w:r>
        <w:rPr>
          <w:color w:val="auto"/>
          <w:szCs w:val="24"/>
        </w:rPr>
        <w:t xml:space="preserve">the </w:t>
      </w:r>
      <w:r w:rsidR="00B45B6E">
        <w:rPr>
          <w:color w:val="auto"/>
          <w:szCs w:val="24"/>
        </w:rPr>
        <w:t xml:space="preserve">whole reporting </w:t>
      </w:r>
      <w:r>
        <w:rPr>
          <w:color w:val="auto"/>
          <w:szCs w:val="24"/>
        </w:rPr>
        <w:t>period.</w:t>
      </w:r>
    </w:p>
    <w:p w14:paraId="089559BD" w14:textId="3D285B46" w:rsidR="00026E66" w:rsidRDefault="002737EF" w:rsidP="00A25DF5">
      <w:pPr>
        <w:pStyle w:val="Heading3"/>
        <w:tabs>
          <w:tab w:val="left" w:pos="0"/>
        </w:tabs>
      </w:pPr>
      <w:r>
        <w:t xml:space="preserve">10.3.1. What to report </w:t>
      </w:r>
    </w:p>
    <w:p w14:paraId="78872BDB" w14:textId="246C4781" w:rsidR="00026E66" w:rsidRDefault="002737EF" w:rsidP="00A25DF5">
      <w:pPr>
        <w:tabs>
          <w:tab w:val="left" w:pos="0"/>
        </w:tabs>
        <w:spacing w:after="0"/>
        <w:ind w:right="182"/>
        <w:rPr>
          <w:color w:val="auto"/>
          <w:szCs w:val="24"/>
        </w:rPr>
      </w:pPr>
      <w:r>
        <w:rPr>
          <w:color w:val="auto"/>
          <w:szCs w:val="24"/>
        </w:rPr>
        <w:t xml:space="preserve">The operator of each </w:t>
      </w:r>
      <w:r w:rsidR="007D28E2">
        <w:rPr>
          <w:color w:val="auto"/>
          <w:szCs w:val="24"/>
        </w:rPr>
        <w:t>facility</w:t>
      </w:r>
      <w:r>
        <w:rPr>
          <w:color w:val="auto"/>
          <w:szCs w:val="24"/>
        </w:rPr>
        <w:t xml:space="preserve"> </w:t>
      </w:r>
      <w:r w:rsidR="00A04155">
        <w:rPr>
          <w:color w:val="auto"/>
          <w:szCs w:val="24"/>
        </w:rPr>
        <w:t xml:space="preserve">covered by an underlying agreement must </w:t>
      </w:r>
      <w:r w:rsidR="00252911">
        <w:rPr>
          <w:color w:val="auto"/>
          <w:szCs w:val="24"/>
        </w:rPr>
        <w:t>provide</w:t>
      </w:r>
      <w:r>
        <w:rPr>
          <w:color w:val="auto"/>
          <w:szCs w:val="24"/>
        </w:rPr>
        <w:t xml:space="preserve"> </w:t>
      </w:r>
      <w:r w:rsidR="00252911">
        <w:rPr>
          <w:color w:val="auto"/>
          <w:szCs w:val="24"/>
        </w:rPr>
        <w:t xml:space="preserve">us with </w:t>
      </w:r>
      <w:r>
        <w:rPr>
          <w:color w:val="auto"/>
          <w:szCs w:val="24"/>
        </w:rPr>
        <w:t>data</w:t>
      </w:r>
      <w:r w:rsidR="00D81FA9">
        <w:rPr>
          <w:color w:val="auto"/>
          <w:szCs w:val="24"/>
        </w:rPr>
        <w:t xml:space="preserve"> demonstrat</w:t>
      </w:r>
      <w:r w:rsidR="00A04155">
        <w:rPr>
          <w:color w:val="auto"/>
          <w:szCs w:val="24"/>
        </w:rPr>
        <w:t>ing</w:t>
      </w:r>
      <w:r w:rsidR="00D81FA9">
        <w:rPr>
          <w:color w:val="auto"/>
          <w:szCs w:val="24"/>
        </w:rPr>
        <w:t xml:space="preserve"> </w:t>
      </w:r>
      <w:r w:rsidR="00252911">
        <w:rPr>
          <w:color w:val="auto"/>
          <w:szCs w:val="24"/>
        </w:rPr>
        <w:t xml:space="preserve">their </w:t>
      </w:r>
      <w:r w:rsidR="00D81FA9">
        <w:rPr>
          <w:color w:val="auto"/>
          <w:szCs w:val="24"/>
        </w:rPr>
        <w:t xml:space="preserve">progress </w:t>
      </w:r>
      <w:r w:rsidR="00252911">
        <w:rPr>
          <w:color w:val="auto"/>
          <w:szCs w:val="24"/>
        </w:rPr>
        <w:t>towards meeting targets</w:t>
      </w:r>
      <w:r>
        <w:rPr>
          <w:color w:val="auto"/>
          <w:szCs w:val="24"/>
        </w:rPr>
        <w:t xml:space="preserve">. For example, for </w:t>
      </w:r>
      <w:r w:rsidR="008E5ED0">
        <w:rPr>
          <w:color w:val="auto"/>
          <w:szCs w:val="24"/>
        </w:rPr>
        <w:t>the seventh target period</w:t>
      </w:r>
      <w:r>
        <w:rPr>
          <w:color w:val="auto"/>
          <w:szCs w:val="24"/>
        </w:rPr>
        <w:t xml:space="preserve">, </w:t>
      </w:r>
      <w:r w:rsidR="00F14C5C">
        <w:rPr>
          <w:color w:val="auto"/>
          <w:szCs w:val="24"/>
        </w:rPr>
        <w:t xml:space="preserve">the operator on 31 December </w:t>
      </w:r>
      <w:r w:rsidR="008A375E">
        <w:rPr>
          <w:color w:val="auto"/>
          <w:szCs w:val="24"/>
        </w:rPr>
        <w:t xml:space="preserve">2026 </w:t>
      </w:r>
      <w:r w:rsidR="00F14C5C">
        <w:rPr>
          <w:color w:val="auto"/>
          <w:szCs w:val="24"/>
        </w:rPr>
        <w:t xml:space="preserve">must </w:t>
      </w:r>
      <w:r w:rsidR="00DB01F6">
        <w:rPr>
          <w:color w:val="auto"/>
          <w:szCs w:val="24"/>
        </w:rPr>
        <w:t xml:space="preserve">submit a final target period </w:t>
      </w:r>
      <w:r w:rsidR="00F14C5C">
        <w:rPr>
          <w:color w:val="auto"/>
          <w:szCs w:val="24"/>
        </w:rPr>
        <w:t xml:space="preserve">report on or before 1 May </w:t>
      </w:r>
      <w:r w:rsidR="008A375E">
        <w:rPr>
          <w:color w:val="auto"/>
          <w:szCs w:val="24"/>
        </w:rPr>
        <w:t>202</w:t>
      </w:r>
      <w:r w:rsidR="00FF4B3D">
        <w:rPr>
          <w:color w:val="auto"/>
          <w:szCs w:val="24"/>
        </w:rPr>
        <w:t>7</w:t>
      </w:r>
      <w:r w:rsidR="008A375E">
        <w:rPr>
          <w:color w:val="auto"/>
          <w:szCs w:val="24"/>
        </w:rPr>
        <w:t>.</w:t>
      </w:r>
      <w:r w:rsidR="00C1737B">
        <w:rPr>
          <w:color w:val="auto"/>
          <w:szCs w:val="24"/>
        </w:rPr>
        <w:t xml:space="preserve"> </w:t>
      </w:r>
      <w:r>
        <w:rPr>
          <w:color w:val="auto"/>
          <w:szCs w:val="24"/>
        </w:rPr>
        <w:t>This includes the energy consumed in the</w:t>
      </w:r>
      <w:r w:rsidR="00154626">
        <w:rPr>
          <w:color w:val="auto"/>
          <w:szCs w:val="24"/>
        </w:rPr>
        <w:t xml:space="preserve"> </w:t>
      </w:r>
      <w:hyperlink w:anchor="Targetfacility" w:history="1">
        <w:r w:rsidR="00154626" w:rsidRPr="00B52757">
          <w:rPr>
            <w:rStyle w:val="Hyperlink"/>
            <w:szCs w:val="24"/>
          </w:rPr>
          <w:t>target</w:t>
        </w:r>
        <w:r w:rsidRPr="00B52757">
          <w:rPr>
            <w:rStyle w:val="Hyperlink"/>
            <w:szCs w:val="24"/>
          </w:rPr>
          <w:t xml:space="preserve"> </w:t>
        </w:r>
        <w:r w:rsidR="007D28E2" w:rsidRPr="00B52757">
          <w:rPr>
            <w:rStyle w:val="Hyperlink"/>
            <w:szCs w:val="24"/>
          </w:rPr>
          <w:t>facility</w:t>
        </w:r>
      </w:hyperlink>
      <w:r>
        <w:rPr>
          <w:color w:val="auto"/>
          <w:szCs w:val="24"/>
        </w:rPr>
        <w:t xml:space="preserve"> and the throughput. </w:t>
      </w:r>
    </w:p>
    <w:p w14:paraId="74AA67D7" w14:textId="5862FCAE" w:rsidR="00026E66" w:rsidRDefault="002737EF" w:rsidP="00FF0098">
      <w:pPr>
        <w:tabs>
          <w:tab w:val="left" w:pos="0"/>
        </w:tabs>
        <w:spacing w:after="0"/>
        <w:ind w:right="182"/>
      </w:pPr>
      <w:r>
        <w:rPr>
          <w:color w:val="auto"/>
          <w:szCs w:val="24"/>
        </w:rPr>
        <w:t xml:space="preserve">The operator of the </w:t>
      </w:r>
      <w:r w:rsidR="007D28E2">
        <w:rPr>
          <w:color w:val="auto"/>
          <w:szCs w:val="24"/>
        </w:rPr>
        <w:t>facility</w:t>
      </w:r>
      <w:r>
        <w:rPr>
          <w:color w:val="auto"/>
          <w:szCs w:val="24"/>
        </w:rPr>
        <w:t xml:space="preserve"> must collect the facility energy consumption (as detailed in </w:t>
      </w:r>
      <w:hyperlink w:anchor="_3._Eligible_energy" w:history="1">
        <w:r w:rsidRPr="00E931A9">
          <w:rPr>
            <w:rStyle w:val="Hyperlink"/>
            <w:szCs w:val="24"/>
          </w:rPr>
          <w:t>section 3</w:t>
        </w:r>
      </w:hyperlink>
      <w:r>
        <w:rPr>
          <w:color w:val="auto"/>
          <w:szCs w:val="24"/>
        </w:rPr>
        <w:t>)</w:t>
      </w:r>
      <w:r w:rsidR="00C7324A">
        <w:rPr>
          <w:color w:val="auto"/>
          <w:szCs w:val="24"/>
        </w:rPr>
        <w:t xml:space="preserve"> and throughput data</w:t>
      </w:r>
      <w:r w:rsidRPr="00E931A9">
        <w:rPr>
          <w:color w:val="auto"/>
          <w:szCs w:val="24"/>
          <w:u w:color="0077B9"/>
        </w:rPr>
        <w:t xml:space="preserve"> </w:t>
      </w:r>
      <w:r>
        <w:rPr>
          <w:color w:val="auto"/>
          <w:szCs w:val="24"/>
        </w:rPr>
        <w:t xml:space="preserve">and report against </w:t>
      </w:r>
      <w:r w:rsidR="00C7324A">
        <w:rPr>
          <w:color w:val="auto"/>
          <w:szCs w:val="24"/>
        </w:rPr>
        <w:t>the facility’s</w:t>
      </w:r>
      <w:r>
        <w:rPr>
          <w:color w:val="auto"/>
          <w:szCs w:val="24"/>
        </w:rPr>
        <w:t xml:space="preserve"> target</w:t>
      </w:r>
      <w:r w:rsidR="009E65C6">
        <w:rPr>
          <w:color w:val="auto"/>
          <w:szCs w:val="24"/>
        </w:rPr>
        <w:t>.</w:t>
      </w:r>
      <w:r>
        <w:rPr>
          <w:color w:val="auto"/>
          <w:szCs w:val="24"/>
        </w:rPr>
        <w:t xml:space="preserve"> </w:t>
      </w:r>
      <w:r w:rsidR="00C7324A">
        <w:rPr>
          <w:color w:val="auto"/>
          <w:szCs w:val="24"/>
        </w:rPr>
        <w:t>D</w:t>
      </w:r>
      <w:r>
        <w:rPr>
          <w:color w:val="auto"/>
          <w:szCs w:val="24"/>
        </w:rPr>
        <w:t xml:space="preserve">ata </w:t>
      </w:r>
      <w:r w:rsidR="007D28E2">
        <w:rPr>
          <w:color w:val="auto"/>
          <w:szCs w:val="24"/>
        </w:rPr>
        <w:t>must be reported</w:t>
      </w:r>
      <w:r w:rsidR="009E65C6">
        <w:rPr>
          <w:color w:val="auto"/>
          <w:szCs w:val="24"/>
        </w:rPr>
        <w:t xml:space="preserve"> </w:t>
      </w:r>
      <w:r>
        <w:rPr>
          <w:color w:val="auto"/>
          <w:szCs w:val="24"/>
        </w:rPr>
        <w:t>individually for each facility</w:t>
      </w:r>
      <w:r w:rsidR="007D28E2">
        <w:rPr>
          <w:color w:val="auto"/>
          <w:szCs w:val="24"/>
        </w:rPr>
        <w:t xml:space="preserve"> in the agreement</w:t>
      </w:r>
      <w:r>
        <w:rPr>
          <w:color w:val="auto"/>
          <w:szCs w:val="24"/>
        </w:rPr>
        <w:t xml:space="preserve">. </w:t>
      </w:r>
    </w:p>
    <w:p w14:paraId="51DC5F26" w14:textId="047325B9" w:rsidR="00026E66" w:rsidRDefault="002737EF" w:rsidP="00A25DF5">
      <w:pPr>
        <w:tabs>
          <w:tab w:val="left" w:pos="0"/>
        </w:tabs>
        <w:spacing w:after="0"/>
        <w:ind w:right="182"/>
        <w:rPr>
          <w:color w:val="auto"/>
          <w:szCs w:val="24"/>
        </w:rPr>
      </w:pPr>
      <w:r>
        <w:rPr>
          <w:color w:val="auto"/>
          <w:szCs w:val="24"/>
        </w:rPr>
        <w:t xml:space="preserve">The </w:t>
      </w:r>
      <w:r w:rsidR="00234413">
        <w:rPr>
          <w:color w:val="auto"/>
          <w:szCs w:val="24"/>
        </w:rPr>
        <w:t xml:space="preserve">operator must use the same </w:t>
      </w:r>
      <w:r w:rsidR="0055563B">
        <w:rPr>
          <w:color w:val="auto"/>
          <w:szCs w:val="24"/>
        </w:rPr>
        <w:t xml:space="preserve">methodology </w:t>
      </w:r>
      <w:r w:rsidR="003D5DAB">
        <w:rPr>
          <w:color w:val="auto"/>
          <w:szCs w:val="24"/>
        </w:rPr>
        <w:t xml:space="preserve">for determining the amount of throughput during </w:t>
      </w:r>
      <w:r w:rsidR="00603A3B">
        <w:rPr>
          <w:color w:val="auto"/>
          <w:szCs w:val="24"/>
        </w:rPr>
        <w:t xml:space="preserve">each </w:t>
      </w:r>
      <w:r w:rsidR="003D5DAB">
        <w:rPr>
          <w:color w:val="auto"/>
          <w:szCs w:val="24"/>
        </w:rPr>
        <w:t xml:space="preserve">reporting period that we </w:t>
      </w:r>
      <w:r w:rsidR="007E261B">
        <w:rPr>
          <w:color w:val="auto"/>
          <w:szCs w:val="24"/>
        </w:rPr>
        <w:t xml:space="preserve">agreed </w:t>
      </w:r>
      <w:r w:rsidR="00603A3B">
        <w:rPr>
          <w:color w:val="auto"/>
          <w:szCs w:val="24"/>
        </w:rPr>
        <w:t xml:space="preserve">to as part of their application or a subsequent variation </w:t>
      </w:r>
      <w:r w:rsidR="003D5DAB">
        <w:rPr>
          <w:color w:val="auto"/>
          <w:szCs w:val="24"/>
        </w:rPr>
        <w:t>for their baseline data.</w:t>
      </w:r>
    </w:p>
    <w:p w14:paraId="0D48839D" w14:textId="4447DFB7" w:rsidR="00026E66" w:rsidRPr="00A25DF5" w:rsidRDefault="00603A3B" w:rsidP="00A25DF5">
      <w:pPr>
        <w:tabs>
          <w:tab w:val="left" w:pos="0"/>
        </w:tabs>
        <w:spacing w:after="0"/>
        <w:ind w:right="182"/>
      </w:pPr>
      <w:r>
        <w:rPr>
          <w:color w:val="auto"/>
          <w:szCs w:val="24"/>
        </w:rPr>
        <w:t>We compare t</w:t>
      </w:r>
      <w:r w:rsidR="00077D33">
        <w:rPr>
          <w:color w:val="auto"/>
          <w:szCs w:val="24"/>
        </w:rPr>
        <w:t>he</w:t>
      </w:r>
      <w:r w:rsidR="002737EF">
        <w:rPr>
          <w:color w:val="auto"/>
          <w:szCs w:val="24"/>
        </w:rPr>
        <w:t xml:space="preserve"> </w:t>
      </w:r>
      <w:r w:rsidR="0015075C">
        <w:rPr>
          <w:color w:val="auto"/>
          <w:szCs w:val="24"/>
        </w:rPr>
        <w:t xml:space="preserve">energy consumed at </w:t>
      </w:r>
      <w:r w:rsidR="0040622E">
        <w:rPr>
          <w:color w:val="auto"/>
          <w:szCs w:val="24"/>
        </w:rPr>
        <w:t xml:space="preserve">each </w:t>
      </w:r>
      <w:r w:rsidR="00321801">
        <w:rPr>
          <w:color w:val="auto"/>
          <w:szCs w:val="24"/>
        </w:rPr>
        <w:t>facility</w:t>
      </w:r>
      <w:r w:rsidR="002737EF">
        <w:rPr>
          <w:color w:val="auto"/>
          <w:szCs w:val="24"/>
        </w:rPr>
        <w:t>,</w:t>
      </w:r>
      <w:r w:rsidR="00C3405B">
        <w:rPr>
          <w:color w:val="auto"/>
          <w:szCs w:val="24"/>
        </w:rPr>
        <w:t xml:space="preserve"> expressed in </w:t>
      </w:r>
      <w:r>
        <w:rPr>
          <w:color w:val="auto"/>
          <w:szCs w:val="24"/>
        </w:rPr>
        <w:t xml:space="preserve">the relevant </w:t>
      </w:r>
      <w:r w:rsidR="00C3405B">
        <w:rPr>
          <w:color w:val="auto"/>
          <w:szCs w:val="24"/>
        </w:rPr>
        <w:t>target currency (</w:t>
      </w:r>
      <w:r w:rsidR="0040622E">
        <w:rPr>
          <w:color w:val="auto"/>
          <w:szCs w:val="24"/>
        </w:rPr>
        <w:t xml:space="preserve">energy or </w:t>
      </w:r>
      <w:r w:rsidR="00C3405B">
        <w:rPr>
          <w:color w:val="auto"/>
          <w:szCs w:val="24"/>
        </w:rPr>
        <w:t xml:space="preserve">carbon </w:t>
      </w:r>
      <w:r>
        <w:rPr>
          <w:color w:val="auto"/>
          <w:szCs w:val="24"/>
        </w:rPr>
        <w:t>dioxide</w:t>
      </w:r>
      <w:r w:rsidR="00C3405B">
        <w:rPr>
          <w:color w:val="auto"/>
          <w:szCs w:val="24"/>
        </w:rPr>
        <w:t>)</w:t>
      </w:r>
      <w:r>
        <w:rPr>
          <w:color w:val="auto"/>
          <w:szCs w:val="24"/>
        </w:rPr>
        <w:t xml:space="preserve">, </w:t>
      </w:r>
      <w:r w:rsidR="002737EF">
        <w:rPr>
          <w:color w:val="auto"/>
          <w:szCs w:val="24"/>
        </w:rPr>
        <w:t xml:space="preserve">against </w:t>
      </w:r>
      <w:r w:rsidR="0015075C">
        <w:rPr>
          <w:color w:val="auto"/>
          <w:szCs w:val="24"/>
        </w:rPr>
        <w:t>the facility’s</w:t>
      </w:r>
      <w:r w:rsidR="002737EF">
        <w:rPr>
          <w:color w:val="auto"/>
          <w:szCs w:val="24"/>
        </w:rPr>
        <w:t xml:space="preserve"> target. </w:t>
      </w:r>
      <w:r w:rsidR="005856FE">
        <w:rPr>
          <w:color w:val="auto"/>
          <w:szCs w:val="24"/>
        </w:rPr>
        <w:t>We calculate t</w:t>
      </w:r>
      <w:r w:rsidR="002737EF">
        <w:rPr>
          <w:color w:val="auto"/>
          <w:szCs w:val="24"/>
        </w:rPr>
        <w:t xml:space="preserve">he difference between </w:t>
      </w:r>
      <w:r w:rsidR="005856FE">
        <w:rPr>
          <w:color w:val="auto"/>
          <w:szCs w:val="24"/>
        </w:rPr>
        <w:t xml:space="preserve">the actual amount of energy consumed </w:t>
      </w:r>
      <w:r w:rsidR="0015075C">
        <w:rPr>
          <w:color w:val="auto"/>
          <w:szCs w:val="24"/>
        </w:rPr>
        <w:t>(</w:t>
      </w:r>
      <w:r w:rsidR="005856FE">
        <w:rPr>
          <w:color w:val="auto"/>
          <w:szCs w:val="24"/>
        </w:rPr>
        <w:t>or carbon dioxide emitted</w:t>
      </w:r>
      <w:r w:rsidR="0015075C">
        <w:rPr>
          <w:color w:val="auto"/>
          <w:szCs w:val="24"/>
        </w:rPr>
        <w:t>)</w:t>
      </w:r>
      <w:r w:rsidR="005856FE">
        <w:rPr>
          <w:color w:val="auto"/>
          <w:szCs w:val="24"/>
        </w:rPr>
        <w:t xml:space="preserve"> against the </w:t>
      </w:r>
      <w:r w:rsidR="002737EF">
        <w:rPr>
          <w:color w:val="auto"/>
          <w:szCs w:val="24"/>
        </w:rPr>
        <w:t xml:space="preserve">target </w:t>
      </w:r>
      <w:r w:rsidR="005856FE">
        <w:rPr>
          <w:color w:val="auto"/>
          <w:szCs w:val="24"/>
        </w:rPr>
        <w:t xml:space="preserve">amount </w:t>
      </w:r>
      <w:r w:rsidR="00FB59FC">
        <w:rPr>
          <w:color w:val="auto"/>
          <w:szCs w:val="24"/>
        </w:rPr>
        <w:t>and</w:t>
      </w:r>
      <w:r w:rsidR="005856FE">
        <w:rPr>
          <w:color w:val="auto"/>
          <w:szCs w:val="24"/>
        </w:rPr>
        <w:t xml:space="preserve">, where necessary, </w:t>
      </w:r>
      <w:r w:rsidR="002737EF">
        <w:rPr>
          <w:color w:val="auto"/>
          <w:szCs w:val="24"/>
        </w:rPr>
        <w:t>convert</w:t>
      </w:r>
      <w:r w:rsidR="005856FE">
        <w:rPr>
          <w:color w:val="auto"/>
          <w:szCs w:val="24"/>
        </w:rPr>
        <w:t xml:space="preserve"> this</w:t>
      </w:r>
      <w:r w:rsidR="002737EF">
        <w:rPr>
          <w:color w:val="auto"/>
          <w:szCs w:val="24"/>
        </w:rPr>
        <w:t xml:space="preserve"> to an equivalent quantity of CO</w:t>
      </w:r>
      <w:r w:rsidR="002737EF" w:rsidRPr="005856FE">
        <w:rPr>
          <w:color w:val="auto"/>
          <w:szCs w:val="24"/>
        </w:rPr>
        <w:t>2</w:t>
      </w:r>
      <w:r w:rsidR="002737EF">
        <w:rPr>
          <w:color w:val="auto"/>
          <w:szCs w:val="24"/>
        </w:rPr>
        <w:t>e. Th</w:t>
      </w:r>
      <w:r w:rsidR="006F4220">
        <w:rPr>
          <w:color w:val="auto"/>
          <w:szCs w:val="24"/>
        </w:rPr>
        <w:t>is calculation</w:t>
      </w:r>
      <w:r w:rsidR="002737EF">
        <w:rPr>
          <w:color w:val="auto"/>
          <w:szCs w:val="24"/>
        </w:rPr>
        <w:t xml:space="preserve"> is set out in </w:t>
      </w:r>
      <w:hyperlink w:anchor="_10.5_Buy-out,_surplus" w:history="1">
        <w:r w:rsidR="00425264" w:rsidRPr="00622689">
          <w:rPr>
            <w:rStyle w:val="Hyperlink"/>
            <w:szCs w:val="24"/>
          </w:rPr>
          <w:t>Section 10.5</w:t>
        </w:r>
      </w:hyperlink>
      <w:r w:rsidR="00425264">
        <w:rPr>
          <w:color w:val="auto"/>
          <w:szCs w:val="24"/>
        </w:rPr>
        <w:t>.</w:t>
      </w:r>
    </w:p>
    <w:p w14:paraId="2379FCDB" w14:textId="56C46804" w:rsidR="0B5FE11D" w:rsidRDefault="551E0270" w:rsidP="007A5A20">
      <w:pPr>
        <w:tabs>
          <w:tab w:val="left" w:pos="0"/>
        </w:tabs>
        <w:spacing w:before="240" w:beforeAutospacing="0" w:after="240" w:afterAutospacing="0"/>
        <w:ind w:right="182"/>
        <w:rPr>
          <w:color w:val="000000" w:themeColor="text1"/>
          <w:szCs w:val="24"/>
        </w:rPr>
      </w:pPr>
      <w:r w:rsidRPr="0BC1BF44">
        <w:rPr>
          <w:color w:val="000000" w:themeColor="text1"/>
          <w:szCs w:val="24"/>
        </w:rPr>
        <w:t>As part of the interim and final target period reports the</w:t>
      </w:r>
      <w:r w:rsidR="00287F01">
        <w:rPr>
          <w:color w:val="000000" w:themeColor="text1"/>
          <w:szCs w:val="24"/>
        </w:rPr>
        <w:t xml:space="preserve"> operator must also confirm whether the proportion of eligible energy they consumed at each </w:t>
      </w:r>
      <w:r w:rsidRPr="0BC1BF44">
        <w:rPr>
          <w:color w:val="000000" w:themeColor="text1"/>
          <w:szCs w:val="24"/>
        </w:rPr>
        <w:t xml:space="preserve">facility </w:t>
      </w:r>
      <w:r w:rsidR="00287F01">
        <w:rPr>
          <w:color w:val="000000" w:themeColor="text1"/>
          <w:szCs w:val="24"/>
        </w:rPr>
        <w:t xml:space="preserve">during the reporting period is at least </w:t>
      </w:r>
      <w:r w:rsidRPr="0BC1BF44">
        <w:rPr>
          <w:color w:val="000000" w:themeColor="text1"/>
          <w:szCs w:val="24"/>
        </w:rPr>
        <w:t xml:space="preserve">70% </w:t>
      </w:r>
      <w:r w:rsidR="00287F01">
        <w:rPr>
          <w:color w:val="000000" w:themeColor="text1"/>
          <w:szCs w:val="24"/>
        </w:rPr>
        <w:t xml:space="preserve">of the total energy consumed at the site </w:t>
      </w:r>
      <w:r w:rsidR="008D64D4">
        <w:rPr>
          <w:color w:val="000000" w:themeColor="text1"/>
          <w:szCs w:val="24"/>
        </w:rPr>
        <w:t xml:space="preserve">(see </w:t>
      </w:r>
      <w:hyperlink w:anchor="_11.2_Confirmation_if" w:history="1">
        <w:r w:rsidR="008D64D4" w:rsidRPr="008D64D4">
          <w:rPr>
            <w:rStyle w:val="Hyperlink"/>
            <w:szCs w:val="24"/>
          </w:rPr>
          <w:t>section 11.2</w:t>
        </w:r>
      </w:hyperlink>
      <w:r w:rsidR="008D64D4">
        <w:rPr>
          <w:color w:val="000000" w:themeColor="text1"/>
          <w:szCs w:val="24"/>
        </w:rPr>
        <w:t>)</w:t>
      </w:r>
      <w:r w:rsidRPr="0BC1BF44">
        <w:rPr>
          <w:color w:val="000000" w:themeColor="text1"/>
          <w:szCs w:val="24"/>
        </w:rPr>
        <w:t xml:space="preserve">.  </w:t>
      </w:r>
    </w:p>
    <w:p w14:paraId="5E9C520D" w14:textId="0B64BECF" w:rsidR="00026E66" w:rsidRDefault="002737EF" w:rsidP="00A25DF5">
      <w:pPr>
        <w:pStyle w:val="Heading3"/>
        <w:tabs>
          <w:tab w:val="left" w:pos="0"/>
        </w:tabs>
      </w:pPr>
      <w:r>
        <w:t xml:space="preserve">10.3.2. What not to report </w:t>
      </w:r>
    </w:p>
    <w:p w14:paraId="0402021B" w14:textId="79E910F9" w:rsidR="00026E66" w:rsidRPr="00A25DF5" w:rsidRDefault="002737EF" w:rsidP="00A25DF5">
      <w:pPr>
        <w:tabs>
          <w:tab w:val="left" w:pos="0"/>
        </w:tabs>
        <w:spacing w:after="56"/>
        <w:ind w:right="182"/>
        <w:rPr>
          <w:color w:val="auto"/>
        </w:rPr>
      </w:pPr>
      <w:r>
        <w:rPr>
          <w:color w:val="auto"/>
        </w:rPr>
        <w:t xml:space="preserve">The </w:t>
      </w:r>
      <w:r w:rsidR="005F48D5">
        <w:rPr>
          <w:color w:val="auto"/>
        </w:rPr>
        <w:t xml:space="preserve">operator should not </w:t>
      </w:r>
      <w:r w:rsidR="004B5878">
        <w:rPr>
          <w:color w:val="auto"/>
        </w:rPr>
        <w:t xml:space="preserve">include </w:t>
      </w:r>
      <w:r w:rsidR="005F48D5">
        <w:rPr>
          <w:color w:val="auto"/>
        </w:rPr>
        <w:t>data about</w:t>
      </w:r>
      <w:r>
        <w:rPr>
          <w:color w:val="auto"/>
        </w:rPr>
        <w:t xml:space="preserve">: </w:t>
      </w:r>
    </w:p>
    <w:p w14:paraId="5C17734A" w14:textId="3B026C39" w:rsidR="00026E66" w:rsidRDefault="00287F01" w:rsidP="0065356B">
      <w:pPr>
        <w:pStyle w:val="ListParagraph"/>
        <w:numPr>
          <w:ilvl w:val="0"/>
          <w:numId w:val="75"/>
        </w:numPr>
        <w:tabs>
          <w:tab w:val="left" w:pos="0"/>
        </w:tabs>
        <w:spacing w:after="73"/>
        <w:ind w:right="2976"/>
      </w:pPr>
      <w:r>
        <w:rPr>
          <w:szCs w:val="24"/>
        </w:rPr>
        <w:t>f</w:t>
      </w:r>
      <w:r w:rsidR="002737EF" w:rsidRPr="00A25DF5">
        <w:rPr>
          <w:szCs w:val="24"/>
        </w:rPr>
        <w:t>uel</w:t>
      </w:r>
      <w:r w:rsidR="005F48D5">
        <w:rPr>
          <w:szCs w:val="24"/>
        </w:rPr>
        <w:t>s</w:t>
      </w:r>
      <w:r w:rsidR="002737EF">
        <w:t xml:space="preserve"> used as a chemical feedstock</w:t>
      </w:r>
    </w:p>
    <w:p w14:paraId="0AAEC18B" w14:textId="5D9B2D7C" w:rsidR="00026E66" w:rsidRDefault="00287F01" w:rsidP="0065356B">
      <w:pPr>
        <w:pStyle w:val="ListParagraph"/>
        <w:numPr>
          <w:ilvl w:val="0"/>
          <w:numId w:val="75"/>
        </w:numPr>
        <w:tabs>
          <w:tab w:val="left" w:pos="0"/>
        </w:tabs>
        <w:spacing w:after="50"/>
        <w:ind w:right="2976"/>
      </w:pPr>
      <w:r>
        <w:rPr>
          <w:szCs w:val="24"/>
        </w:rPr>
        <w:t>h</w:t>
      </w:r>
      <w:r w:rsidR="002737EF" w:rsidRPr="00A25DF5">
        <w:rPr>
          <w:szCs w:val="24"/>
        </w:rPr>
        <w:t>eat</w:t>
      </w:r>
      <w:r w:rsidR="002737EF">
        <w:t xml:space="preserve"> recovered from exothermic reactions</w:t>
      </w:r>
    </w:p>
    <w:p w14:paraId="54B591CE" w14:textId="5FD1EA05" w:rsidR="00026E66" w:rsidRPr="00A25DF5" w:rsidRDefault="00287F01" w:rsidP="0065356B">
      <w:pPr>
        <w:pStyle w:val="ListParagraph"/>
        <w:numPr>
          <w:ilvl w:val="0"/>
          <w:numId w:val="75"/>
        </w:numPr>
        <w:tabs>
          <w:tab w:val="left" w:pos="0"/>
        </w:tabs>
        <w:spacing w:after="50"/>
        <w:ind w:right="2976"/>
        <w:rPr>
          <w:color w:val="000000"/>
        </w:rPr>
      </w:pPr>
      <w:r>
        <w:rPr>
          <w:szCs w:val="24"/>
        </w:rPr>
        <w:lastRenderedPageBreak/>
        <w:t>e</w:t>
      </w:r>
      <w:r w:rsidR="002737EF" w:rsidRPr="00A25DF5">
        <w:rPr>
          <w:szCs w:val="24"/>
        </w:rPr>
        <w:t>lectricity</w:t>
      </w:r>
      <w:r w:rsidR="002737EF">
        <w:t xml:space="preserve"> generated from recovered heat</w:t>
      </w:r>
    </w:p>
    <w:p w14:paraId="34D1F113" w14:textId="2D66D35F" w:rsidR="00026E66" w:rsidRPr="00A25DF5" w:rsidRDefault="008D64D4" w:rsidP="00A25DF5">
      <w:r>
        <w:t xml:space="preserve">Further detail is </w:t>
      </w:r>
      <w:r w:rsidR="002737EF">
        <w:t>provided in</w:t>
      </w:r>
      <w:r w:rsidR="00A25DF5">
        <w:t xml:space="preserve"> </w:t>
      </w:r>
      <w:hyperlink w:anchor="_3.2._What_energy" w:history="1">
        <w:r w:rsidR="002737EF">
          <w:rPr>
            <w:rStyle w:val="Hyperlink"/>
          </w:rPr>
          <w:t>section 3.2</w:t>
        </w:r>
      </w:hyperlink>
      <w:r w:rsidR="002737EF">
        <w:t>.</w:t>
      </w:r>
    </w:p>
    <w:p w14:paraId="751A2404" w14:textId="69DFB65B" w:rsidR="00026E66" w:rsidRDefault="002737EF" w:rsidP="00FF0098">
      <w:pPr>
        <w:pStyle w:val="Heading3"/>
        <w:tabs>
          <w:tab w:val="left" w:pos="0"/>
        </w:tabs>
      </w:pPr>
      <w:r>
        <w:t>10.3.3. Format for reporting</w:t>
      </w:r>
      <w:r w:rsidR="00FC355D">
        <w:t xml:space="preserve"> </w:t>
      </w:r>
    </w:p>
    <w:p w14:paraId="1AFB6F3F" w14:textId="18AF2F86" w:rsidR="00C73D51" w:rsidRDefault="00A3212B" w:rsidP="008C0E5F">
      <w:r>
        <w:t xml:space="preserve">Sector associations must submit the </w:t>
      </w:r>
      <w:r w:rsidR="00C73D51">
        <w:t>i</w:t>
      </w:r>
      <w:r w:rsidR="000E65A9">
        <w:t>nterim and final target period report</w:t>
      </w:r>
      <w:r>
        <w:t xml:space="preserve"> data </w:t>
      </w:r>
      <w:r w:rsidR="00C73D51">
        <w:t xml:space="preserve">for each facility </w:t>
      </w:r>
      <w:r w:rsidR="00123C44">
        <w:t xml:space="preserve">on </w:t>
      </w:r>
      <w:proofErr w:type="spellStart"/>
      <w:r w:rsidR="00123C44">
        <w:t>MyCCA</w:t>
      </w:r>
      <w:proofErr w:type="spellEnd"/>
      <w:r w:rsidR="00123C44">
        <w:t xml:space="preserve"> </w:t>
      </w:r>
      <w:r w:rsidR="00634643">
        <w:t>through</w:t>
      </w:r>
      <w:r w:rsidR="007A1137">
        <w:t xml:space="preserve"> either</w:t>
      </w:r>
      <w:r w:rsidR="00C73D51">
        <w:t>:</w:t>
      </w:r>
    </w:p>
    <w:p w14:paraId="76110D08" w14:textId="77777777" w:rsidR="00C73D51" w:rsidRDefault="00C73D51" w:rsidP="00C73D51">
      <w:pPr>
        <w:pStyle w:val="ListParagraph"/>
        <w:numPr>
          <w:ilvl w:val="0"/>
          <w:numId w:val="224"/>
        </w:numPr>
      </w:pPr>
      <w:r>
        <w:t xml:space="preserve">completing </w:t>
      </w:r>
      <w:r w:rsidR="00634643">
        <w:t>a digital form</w:t>
      </w:r>
    </w:p>
    <w:p w14:paraId="41F473B4" w14:textId="18E79F1D" w:rsidR="0044481F" w:rsidRDefault="00C73D51" w:rsidP="0044481F">
      <w:pPr>
        <w:pStyle w:val="ListParagraph"/>
        <w:numPr>
          <w:ilvl w:val="0"/>
          <w:numId w:val="224"/>
        </w:numPr>
      </w:pPr>
      <w:r>
        <w:t>upload</w:t>
      </w:r>
      <w:r w:rsidR="007A1137">
        <w:t>ing</w:t>
      </w:r>
      <w:r>
        <w:t xml:space="preserve"> data in a Comma Separate Values (CSV) file</w:t>
      </w:r>
    </w:p>
    <w:p w14:paraId="27C895B1" w14:textId="7CF3908A" w:rsidR="009B2F52" w:rsidRPr="009B2F52" w:rsidRDefault="00DD43B7" w:rsidP="0044481F">
      <w:r>
        <w:t xml:space="preserve">The </w:t>
      </w:r>
      <w:r w:rsidR="00B600CB">
        <w:t xml:space="preserve">option to upload data in a </w:t>
      </w:r>
      <w:r>
        <w:t xml:space="preserve">CSV </w:t>
      </w:r>
      <w:r w:rsidR="00B600CB">
        <w:t xml:space="preserve">file </w:t>
      </w:r>
      <w:r w:rsidR="00183779">
        <w:t>allows</w:t>
      </w:r>
      <w:r w:rsidR="008C0E5F">
        <w:t xml:space="preserve"> </w:t>
      </w:r>
      <w:r w:rsidR="0044481F">
        <w:t xml:space="preserve">a </w:t>
      </w:r>
      <w:r w:rsidR="008C0E5F">
        <w:t>sector</w:t>
      </w:r>
      <w:r w:rsidR="0044481F">
        <w:t xml:space="preserve"> association</w:t>
      </w:r>
      <w:r w:rsidR="008C0E5F">
        <w:t xml:space="preserve"> t</w:t>
      </w:r>
      <w:r w:rsidR="00DB0A69">
        <w:t xml:space="preserve">o </w:t>
      </w:r>
      <w:r w:rsidR="00B600CB">
        <w:t xml:space="preserve">provide </w:t>
      </w:r>
      <w:r w:rsidR="0044481F">
        <w:t xml:space="preserve">data </w:t>
      </w:r>
      <w:r w:rsidR="00183779">
        <w:t xml:space="preserve">for </w:t>
      </w:r>
      <w:r w:rsidR="0044481F">
        <w:t xml:space="preserve">one or more </w:t>
      </w:r>
      <w:r w:rsidR="00183779">
        <w:t>facilities</w:t>
      </w:r>
      <w:r w:rsidR="00154626">
        <w:t xml:space="preserve"> in the same sector</w:t>
      </w:r>
      <w:r w:rsidR="00183779">
        <w:t xml:space="preserve"> in </w:t>
      </w:r>
      <w:r w:rsidR="00B600CB">
        <w:t xml:space="preserve">a single </w:t>
      </w:r>
      <w:r w:rsidR="00183779">
        <w:t>transaction</w:t>
      </w:r>
      <w:r w:rsidR="00B600CB">
        <w:t xml:space="preserve">, which may be </w:t>
      </w:r>
      <w:proofErr w:type="gramStart"/>
      <w:r w:rsidR="00B600CB">
        <w:t>more easier</w:t>
      </w:r>
      <w:proofErr w:type="gramEnd"/>
      <w:r w:rsidR="00B600CB">
        <w:t xml:space="preserve"> for sectors containing large numbers of facilities</w:t>
      </w:r>
      <w:r w:rsidR="00183779">
        <w:t>.</w:t>
      </w:r>
    </w:p>
    <w:p w14:paraId="4ECAFF49" w14:textId="77777777" w:rsidR="00026E66" w:rsidRDefault="002737EF" w:rsidP="00FF0098">
      <w:pPr>
        <w:pStyle w:val="Heading3"/>
        <w:tabs>
          <w:tab w:val="left" w:pos="0"/>
        </w:tabs>
      </w:pPr>
      <w:r>
        <w:t xml:space="preserve">10.3.4. Who is responsible for reporting? </w:t>
      </w:r>
    </w:p>
    <w:p w14:paraId="7ACFCC84" w14:textId="1B301192" w:rsidR="00026E66" w:rsidRPr="00A25DF5" w:rsidRDefault="002737EF" w:rsidP="00A25DF5">
      <w:pPr>
        <w:tabs>
          <w:tab w:val="left" w:pos="0"/>
        </w:tabs>
        <w:spacing w:after="0"/>
        <w:ind w:right="182"/>
      </w:pPr>
      <w:r>
        <w:rPr>
          <w:color w:val="auto"/>
        </w:rPr>
        <w:t xml:space="preserve">The operator </w:t>
      </w:r>
      <w:r>
        <w:rPr>
          <w:color w:val="auto"/>
          <w:szCs w:val="24"/>
        </w:rPr>
        <w:t>is responsible for providing all</w:t>
      </w:r>
      <w:r>
        <w:rPr>
          <w:color w:val="auto"/>
        </w:rPr>
        <w:t xml:space="preserve"> the </w:t>
      </w:r>
      <w:r>
        <w:rPr>
          <w:color w:val="auto"/>
          <w:szCs w:val="24"/>
        </w:rPr>
        <w:t xml:space="preserve">data </w:t>
      </w:r>
      <w:r w:rsidR="00300383">
        <w:rPr>
          <w:color w:val="auto"/>
          <w:szCs w:val="24"/>
        </w:rPr>
        <w:t xml:space="preserve">we need to assess the </w:t>
      </w:r>
      <w:r>
        <w:rPr>
          <w:color w:val="auto"/>
        </w:rPr>
        <w:t xml:space="preserve">performance </w:t>
      </w:r>
      <w:r w:rsidR="00C15F0A">
        <w:rPr>
          <w:color w:val="auto"/>
          <w:szCs w:val="24"/>
        </w:rPr>
        <w:t xml:space="preserve">of </w:t>
      </w:r>
      <w:r w:rsidR="00300383">
        <w:rPr>
          <w:color w:val="auto"/>
          <w:szCs w:val="24"/>
        </w:rPr>
        <w:t xml:space="preserve">each </w:t>
      </w:r>
      <w:r w:rsidR="00C15F0A">
        <w:rPr>
          <w:color w:val="auto"/>
          <w:szCs w:val="24"/>
        </w:rPr>
        <w:t>facility</w:t>
      </w:r>
      <w:r w:rsidR="00300383">
        <w:rPr>
          <w:color w:val="auto"/>
          <w:szCs w:val="24"/>
        </w:rPr>
        <w:t xml:space="preserve"> covered by an active underlying agreement</w:t>
      </w:r>
      <w:r w:rsidR="00C15F0A">
        <w:rPr>
          <w:color w:val="auto"/>
          <w:szCs w:val="24"/>
        </w:rPr>
        <w:t>.</w:t>
      </w:r>
      <w:r>
        <w:rPr>
          <w:color w:val="auto"/>
          <w:szCs w:val="24"/>
        </w:rPr>
        <w:t xml:space="preserve"> </w:t>
      </w:r>
      <w:r w:rsidR="00300383">
        <w:rPr>
          <w:color w:val="auto"/>
          <w:szCs w:val="24"/>
        </w:rPr>
        <w:t xml:space="preserve">Each </w:t>
      </w:r>
      <w:hyperlink w:anchor="Sectorassociation" w:history="1">
        <w:r w:rsidRPr="00021E17">
          <w:rPr>
            <w:rStyle w:val="Hyperlink"/>
            <w:szCs w:val="24"/>
          </w:rPr>
          <w:t>sector association</w:t>
        </w:r>
      </w:hyperlink>
      <w:r>
        <w:rPr>
          <w:color w:val="auto"/>
          <w:szCs w:val="24"/>
        </w:rPr>
        <w:t xml:space="preserve"> will liaise with its operators to collate the data </w:t>
      </w:r>
      <w:r w:rsidR="00C1240B">
        <w:rPr>
          <w:color w:val="auto"/>
          <w:szCs w:val="24"/>
        </w:rPr>
        <w:t xml:space="preserve">we need </w:t>
      </w:r>
      <w:r>
        <w:rPr>
          <w:color w:val="auto"/>
          <w:szCs w:val="24"/>
        </w:rPr>
        <w:t xml:space="preserve">and upload it to </w:t>
      </w:r>
      <w:proofErr w:type="spellStart"/>
      <w:r w:rsidR="00C15F0A">
        <w:rPr>
          <w:color w:val="auto"/>
          <w:szCs w:val="24"/>
        </w:rPr>
        <w:t>MyCCA</w:t>
      </w:r>
      <w:proofErr w:type="spellEnd"/>
      <w:r w:rsidR="00C15F0A">
        <w:rPr>
          <w:color w:val="auto"/>
          <w:szCs w:val="24"/>
        </w:rPr>
        <w:t xml:space="preserve"> </w:t>
      </w:r>
      <w:r>
        <w:rPr>
          <w:color w:val="auto"/>
          <w:szCs w:val="24"/>
        </w:rPr>
        <w:t>by the reporting deadline of 1 May.</w:t>
      </w:r>
    </w:p>
    <w:p w14:paraId="10E5E8A8" w14:textId="77777777" w:rsidR="00026E66" w:rsidRDefault="002737EF" w:rsidP="00FF0098">
      <w:pPr>
        <w:pStyle w:val="Heading4"/>
        <w:tabs>
          <w:tab w:val="left" w:pos="0"/>
        </w:tabs>
        <w:rPr>
          <w:color w:val="auto"/>
          <w:szCs w:val="24"/>
        </w:rPr>
      </w:pPr>
      <w:r>
        <w:rPr>
          <w:color w:val="auto"/>
          <w:szCs w:val="24"/>
        </w:rPr>
        <w:t xml:space="preserve">10.3.4.1. Change of operator </w:t>
      </w:r>
    </w:p>
    <w:p w14:paraId="5F1B1C84" w14:textId="5B9E6CDC" w:rsidR="00026E66" w:rsidRDefault="002737EF" w:rsidP="00FF0098">
      <w:pPr>
        <w:tabs>
          <w:tab w:val="left" w:pos="0"/>
        </w:tabs>
        <w:ind w:right="182"/>
      </w:pPr>
      <w:r>
        <w:rPr>
          <w:color w:val="auto"/>
        </w:rPr>
        <w:t xml:space="preserve">The operator </w:t>
      </w:r>
      <w:r w:rsidR="007F08A6">
        <w:rPr>
          <w:color w:val="auto"/>
        </w:rPr>
        <w:t xml:space="preserve">of a facility included in an active underlying agreement immediately after </w:t>
      </w:r>
      <w:r>
        <w:rPr>
          <w:color w:val="auto"/>
        </w:rPr>
        <w:t xml:space="preserve">the </w:t>
      </w:r>
      <w:r>
        <w:rPr>
          <w:color w:val="auto"/>
          <w:szCs w:val="24"/>
        </w:rPr>
        <w:t>end</w:t>
      </w:r>
      <w:r>
        <w:rPr>
          <w:color w:val="auto"/>
        </w:rPr>
        <w:t xml:space="preserve"> of each</w:t>
      </w:r>
      <w:r w:rsidR="0028016E">
        <w:rPr>
          <w:color w:val="auto"/>
        </w:rPr>
        <w:t xml:space="preserve"> year or</w:t>
      </w:r>
      <w:r>
        <w:rPr>
          <w:color w:val="auto"/>
        </w:rPr>
        <w:t xml:space="preserve"> target period is responsible for </w:t>
      </w:r>
      <w:r w:rsidR="007F08A6">
        <w:rPr>
          <w:color w:val="auto"/>
        </w:rPr>
        <w:t xml:space="preserve">providing us with data for </w:t>
      </w:r>
      <w:r>
        <w:rPr>
          <w:color w:val="auto"/>
        </w:rPr>
        <w:t>th</w:t>
      </w:r>
      <w:r w:rsidR="00642446">
        <w:rPr>
          <w:color w:val="auto"/>
        </w:rPr>
        <w:t>at</w:t>
      </w:r>
      <w:r>
        <w:rPr>
          <w:color w:val="auto"/>
        </w:rPr>
        <w:t xml:space="preserve"> </w:t>
      </w:r>
      <w:r w:rsidR="00461039">
        <w:rPr>
          <w:color w:val="auto"/>
        </w:rPr>
        <w:t>facility</w:t>
      </w:r>
      <w:r>
        <w:rPr>
          <w:color w:val="auto"/>
          <w:szCs w:val="24"/>
        </w:rPr>
        <w:t xml:space="preserve">. </w:t>
      </w:r>
      <w:r w:rsidR="007F08A6">
        <w:rPr>
          <w:color w:val="auto"/>
          <w:szCs w:val="24"/>
        </w:rPr>
        <w:t>W</w:t>
      </w:r>
      <w:r w:rsidR="00642446">
        <w:rPr>
          <w:color w:val="auto"/>
          <w:szCs w:val="24"/>
        </w:rPr>
        <w:t>here relevant, w</w:t>
      </w:r>
      <w:r w:rsidR="007F08A6">
        <w:rPr>
          <w:color w:val="auto"/>
          <w:szCs w:val="24"/>
        </w:rPr>
        <w:t xml:space="preserve">e </w:t>
      </w:r>
      <w:r w:rsidR="00A8202B">
        <w:rPr>
          <w:color w:val="auto"/>
          <w:szCs w:val="24"/>
        </w:rPr>
        <w:t xml:space="preserve">will </w:t>
      </w:r>
      <w:r w:rsidR="007F08A6">
        <w:rPr>
          <w:color w:val="auto"/>
          <w:szCs w:val="24"/>
        </w:rPr>
        <w:t xml:space="preserve">send </w:t>
      </w:r>
      <w:r w:rsidR="00030F9C">
        <w:rPr>
          <w:color w:val="auto"/>
          <w:szCs w:val="24"/>
        </w:rPr>
        <w:t xml:space="preserve">any </w:t>
      </w:r>
      <w:hyperlink w:anchor="Buyout" w:history="1">
        <w:r w:rsidR="00030F9C" w:rsidRPr="00FE39EA">
          <w:rPr>
            <w:rStyle w:val="Hyperlink"/>
          </w:rPr>
          <w:t>buy-out</w:t>
        </w:r>
      </w:hyperlink>
      <w:r w:rsidR="00030F9C">
        <w:rPr>
          <w:color w:val="auto"/>
        </w:rPr>
        <w:t xml:space="preserve"> </w:t>
      </w:r>
      <w:r w:rsidR="00642446">
        <w:rPr>
          <w:color w:val="auto"/>
        </w:rPr>
        <w:t xml:space="preserve">fee </w:t>
      </w:r>
      <w:r w:rsidR="00030F9C">
        <w:rPr>
          <w:color w:val="auto"/>
        </w:rPr>
        <w:t xml:space="preserve">notice </w:t>
      </w:r>
      <w:r w:rsidR="00030F9C">
        <w:rPr>
          <w:color w:val="auto"/>
          <w:szCs w:val="24"/>
        </w:rPr>
        <w:t xml:space="preserve">and </w:t>
      </w:r>
      <w:r>
        <w:rPr>
          <w:color w:val="auto"/>
        </w:rPr>
        <w:t>Memorandum of Account (</w:t>
      </w:r>
      <w:proofErr w:type="spellStart"/>
      <w:r w:rsidR="008D64D4">
        <w:fldChar w:fldCharType="begin"/>
      </w:r>
      <w:r w:rsidR="008D64D4">
        <w:instrText>HYPERLINK \l "MOA"</w:instrText>
      </w:r>
      <w:r w:rsidR="008D64D4">
        <w:fldChar w:fldCharType="separate"/>
      </w:r>
      <w:r w:rsidR="008D64D4">
        <w:rPr>
          <w:rStyle w:val="Hyperlink"/>
        </w:rPr>
        <w:t>M</w:t>
      </w:r>
      <w:r w:rsidR="00E72B99">
        <w:rPr>
          <w:rStyle w:val="Hyperlink"/>
        </w:rPr>
        <w:t>o</w:t>
      </w:r>
      <w:r w:rsidR="008D64D4">
        <w:rPr>
          <w:rStyle w:val="Hyperlink"/>
        </w:rPr>
        <w:t>A</w:t>
      </w:r>
      <w:proofErr w:type="spellEnd"/>
      <w:r w:rsidR="008D64D4">
        <w:fldChar w:fldCharType="end"/>
      </w:r>
      <w:r>
        <w:rPr>
          <w:color w:val="auto"/>
        </w:rPr>
        <w:t xml:space="preserve">) </w:t>
      </w:r>
      <w:r w:rsidR="00030F9C">
        <w:rPr>
          <w:color w:val="auto"/>
        </w:rPr>
        <w:t xml:space="preserve">to </w:t>
      </w:r>
      <w:r w:rsidR="0028016E">
        <w:rPr>
          <w:color w:val="auto"/>
        </w:rPr>
        <w:t>th</w:t>
      </w:r>
      <w:r w:rsidR="00030F9C">
        <w:rPr>
          <w:color w:val="auto"/>
        </w:rPr>
        <w:t xml:space="preserve">at </w:t>
      </w:r>
      <w:r w:rsidR="00642446">
        <w:rPr>
          <w:color w:val="auto"/>
        </w:rPr>
        <w:t xml:space="preserve">same </w:t>
      </w:r>
      <w:r w:rsidR="00030F9C">
        <w:rPr>
          <w:color w:val="auto"/>
        </w:rPr>
        <w:t>operator</w:t>
      </w:r>
      <w:r>
        <w:rPr>
          <w:color w:val="auto"/>
        </w:rPr>
        <w:t xml:space="preserve">, even if </w:t>
      </w:r>
      <w:r w:rsidR="00030F9C">
        <w:rPr>
          <w:color w:val="auto"/>
        </w:rPr>
        <w:t xml:space="preserve">we </w:t>
      </w:r>
      <w:r w:rsidR="00515815">
        <w:rPr>
          <w:color w:val="auto"/>
        </w:rPr>
        <w:t xml:space="preserve">amend the </w:t>
      </w:r>
      <w:r>
        <w:rPr>
          <w:color w:val="auto"/>
          <w:szCs w:val="24"/>
        </w:rPr>
        <w:t xml:space="preserve">underlying agreement </w:t>
      </w:r>
      <w:r w:rsidR="00515815">
        <w:rPr>
          <w:color w:val="auto"/>
          <w:szCs w:val="24"/>
        </w:rPr>
        <w:t xml:space="preserve">after the end of the target period to </w:t>
      </w:r>
      <w:r w:rsidR="00030F9C">
        <w:rPr>
          <w:color w:val="auto"/>
        </w:rPr>
        <w:t>remove that facility</w:t>
      </w:r>
      <w:r w:rsidR="00022307">
        <w:rPr>
          <w:color w:val="auto"/>
        </w:rPr>
        <w:t xml:space="preserve"> from their agreement</w:t>
      </w:r>
      <w:r>
        <w:rPr>
          <w:color w:val="auto"/>
          <w:szCs w:val="24"/>
        </w:rPr>
        <w:t xml:space="preserve">. </w:t>
      </w:r>
    </w:p>
    <w:p w14:paraId="2E21E998" w14:textId="407E0F69" w:rsidR="00026E66" w:rsidRDefault="002737EF" w:rsidP="00FF0098">
      <w:pPr>
        <w:tabs>
          <w:tab w:val="left" w:pos="0"/>
        </w:tabs>
        <w:ind w:right="182"/>
        <w:rPr>
          <w:color w:val="auto"/>
        </w:rPr>
      </w:pPr>
      <w:r>
        <w:rPr>
          <w:color w:val="auto"/>
        </w:rPr>
        <w:t xml:space="preserve">Where </w:t>
      </w:r>
      <w:r w:rsidR="0091103A">
        <w:rPr>
          <w:color w:val="auto"/>
        </w:rPr>
        <w:t xml:space="preserve">we </w:t>
      </w:r>
      <w:r w:rsidR="007B0622">
        <w:rPr>
          <w:color w:val="auto"/>
        </w:rPr>
        <w:t>transfer</w:t>
      </w:r>
      <w:r w:rsidR="0091103A">
        <w:rPr>
          <w:color w:val="auto"/>
        </w:rPr>
        <w:t xml:space="preserve"> a facility</w:t>
      </w:r>
      <w:r w:rsidR="007B0622">
        <w:rPr>
          <w:color w:val="auto"/>
        </w:rPr>
        <w:t xml:space="preserve"> to </w:t>
      </w:r>
      <w:r w:rsidR="006E3393">
        <w:rPr>
          <w:color w:val="auto"/>
        </w:rPr>
        <w:t xml:space="preserve">an </w:t>
      </w:r>
      <w:r w:rsidR="007B0622">
        <w:rPr>
          <w:color w:val="auto"/>
        </w:rPr>
        <w:t xml:space="preserve">underlying agreement </w:t>
      </w:r>
      <w:r w:rsidR="006E3393">
        <w:rPr>
          <w:color w:val="auto"/>
        </w:rPr>
        <w:t xml:space="preserve">held by </w:t>
      </w:r>
      <w:r w:rsidR="007B0622">
        <w:rPr>
          <w:color w:val="auto"/>
        </w:rPr>
        <w:t xml:space="preserve">a different operator </w:t>
      </w:r>
      <w:r>
        <w:rPr>
          <w:color w:val="auto"/>
        </w:rPr>
        <w:t xml:space="preserve">after 31 December, the responsibility for </w:t>
      </w:r>
      <w:r w:rsidR="007B0622">
        <w:rPr>
          <w:color w:val="auto"/>
        </w:rPr>
        <w:t xml:space="preserve">providing the data we need </w:t>
      </w:r>
      <w:r>
        <w:rPr>
          <w:color w:val="auto"/>
        </w:rPr>
        <w:t>remains with the operator who held the agreement</w:t>
      </w:r>
      <w:r w:rsidR="0014468F">
        <w:rPr>
          <w:color w:val="auto"/>
        </w:rPr>
        <w:t xml:space="preserve"> </w:t>
      </w:r>
      <w:r w:rsidR="006E3393">
        <w:rPr>
          <w:color w:val="auto"/>
        </w:rPr>
        <w:t xml:space="preserve">containing </w:t>
      </w:r>
      <w:r w:rsidR="0014468F">
        <w:rPr>
          <w:color w:val="auto"/>
        </w:rPr>
        <w:t>that facility</w:t>
      </w:r>
      <w:r>
        <w:rPr>
          <w:color w:val="auto"/>
        </w:rPr>
        <w:t xml:space="preserve"> on 31 December. </w:t>
      </w:r>
    </w:p>
    <w:p w14:paraId="2292CD02" w14:textId="77777777" w:rsidR="00B72B58" w:rsidRDefault="00F53344" w:rsidP="00A25DF5">
      <w:pPr>
        <w:tabs>
          <w:tab w:val="left" w:pos="0"/>
        </w:tabs>
        <w:spacing w:after="0"/>
        <w:ind w:right="182"/>
        <w:rPr>
          <w:color w:val="auto"/>
        </w:rPr>
      </w:pPr>
      <w:r>
        <w:rPr>
          <w:color w:val="auto"/>
          <w:szCs w:val="24"/>
        </w:rPr>
        <w:t>We may take enforcement action i</w:t>
      </w:r>
      <w:r w:rsidR="002737EF">
        <w:rPr>
          <w:color w:val="auto"/>
        </w:rPr>
        <w:t>f</w:t>
      </w:r>
      <w:r w:rsidR="00B72B58">
        <w:rPr>
          <w:color w:val="auto"/>
        </w:rPr>
        <w:t>:</w:t>
      </w:r>
    </w:p>
    <w:p w14:paraId="3B92E7E5" w14:textId="77777777" w:rsidR="00B72B58" w:rsidRDefault="00A8202B" w:rsidP="00B72B58">
      <w:pPr>
        <w:pStyle w:val="ListParagraph"/>
        <w:numPr>
          <w:ilvl w:val="0"/>
          <w:numId w:val="224"/>
        </w:numPr>
        <w:tabs>
          <w:tab w:val="left" w:pos="0"/>
        </w:tabs>
        <w:spacing w:after="0"/>
        <w:ind w:right="182"/>
      </w:pPr>
      <w:r w:rsidRPr="00B72B58">
        <w:rPr>
          <w:szCs w:val="24"/>
        </w:rPr>
        <w:t>a report is not submitted</w:t>
      </w:r>
    </w:p>
    <w:p w14:paraId="09BFA1D2" w14:textId="77777777" w:rsidR="00B72B58" w:rsidRPr="00B72B58" w:rsidRDefault="002737EF" w:rsidP="00B72B58">
      <w:pPr>
        <w:pStyle w:val="ListParagraph"/>
        <w:numPr>
          <w:ilvl w:val="0"/>
          <w:numId w:val="224"/>
        </w:numPr>
        <w:tabs>
          <w:tab w:val="left" w:pos="0"/>
        </w:tabs>
        <w:spacing w:after="0"/>
        <w:ind w:right="182"/>
      </w:pPr>
      <w:r w:rsidRPr="00B72B58">
        <w:rPr>
          <w:szCs w:val="24"/>
        </w:rPr>
        <w:t xml:space="preserve">inaccurate </w:t>
      </w:r>
      <w:r w:rsidRPr="00B72B58">
        <w:t xml:space="preserve">information is </w:t>
      </w:r>
      <w:r w:rsidRPr="00B72B58">
        <w:rPr>
          <w:szCs w:val="24"/>
        </w:rPr>
        <w:t>supplied</w:t>
      </w:r>
    </w:p>
    <w:p w14:paraId="6E72F4B3" w14:textId="08667B4C" w:rsidR="00D479AC" w:rsidRPr="00B72B58" w:rsidRDefault="00B72B58" w:rsidP="00B72B58">
      <w:pPr>
        <w:tabs>
          <w:tab w:val="left" w:pos="0"/>
        </w:tabs>
        <w:spacing w:after="0"/>
        <w:ind w:right="182"/>
        <w:rPr>
          <w:color w:val="auto"/>
        </w:rPr>
      </w:pPr>
      <w:r>
        <w:rPr>
          <w:color w:val="auto"/>
          <w:szCs w:val="24"/>
        </w:rPr>
        <w:t xml:space="preserve">See </w:t>
      </w:r>
      <w:hyperlink w:anchor="_8._Application_of" w:history="1">
        <w:r w:rsidR="00A8202B" w:rsidRPr="00B72B58">
          <w:rPr>
            <w:rStyle w:val="Hyperlink"/>
            <w:szCs w:val="24"/>
          </w:rPr>
          <w:t>section 8</w:t>
        </w:r>
      </w:hyperlink>
      <w:r>
        <w:rPr>
          <w:color w:val="auto"/>
          <w:szCs w:val="24"/>
        </w:rPr>
        <w:t xml:space="preserve"> for more information</w:t>
      </w:r>
      <w:r w:rsidR="002737EF" w:rsidRPr="00B72B58">
        <w:rPr>
          <w:color w:val="auto"/>
          <w:szCs w:val="24"/>
        </w:rPr>
        <w:t>.</w:t>
      </w:r>
      <w:r w:rsidR="002737EF" w:rsidRPr="00B72B58">
        <w:rPr>
          <w:color w:val="auto"/>
        </w:rPr>
        <w:t xml:space="preserve"> </w:t>
      </w:r>
    </w:p>
    <w:p w14:paraId="03DA890B" w14:textId="5E94BA3F" w:rsidR="00D479AC" w:rsidRDefault="002737EF" w:rsidP="00A25DF5">
      <w:pPr>
        <w:tabs>
          <w:tab w:val="left" w:pos="0"/>
        </w:tabs>
        <w:spacing w:after="0"/>
        <w:ind w:right="182"/>
        <w:rPr>
          <w:color w:val="auto"/>
        </w:rPr>
      </w:pPr>
      <w:r>
        <w:rPr>
          <w:color w:val="auto"/>
        </w:rPr>
        <w:t xml:space="preserve">If we have </w:t>
      </w:r>
      <w:r>
        <w:rPr>
          <w:color w:val="auto"/>
          <w:szCs w:val="24"/>
        </w:rPr>
        <w:t>insufficient</w:t>
      </w:r>
      <w:r>
        <w:rPr>
          <w:color w:val="auto"/>
        </w:rPr>
        <w:t xml:space="preserve"> information</w:t>
      </w:r>
      <w:r w:rsidR="00E425C3">
        <w:rPr>
          <w:color w:val="auto"/>
        </w:rPr>
        <w:t xml:space="preserve"> </w:t>
      </w:r>
      <w:r>
        <w:rPr>
          <w:color w:val="auto"/>
        </w:rPr>
        <w:t xml:space="preserve">to determine whether the </w:t>
      </w:r>
      <w:r w:rsidR="00D42276">
        <w:rPr>
          <w:color w:val="auto"/>
        </w:rPr>
        <w:t xml:space="preserve">operator met the </w:t>
      </w:r>
      <w:r>
        <w:rPr>
          <w:color w:val="auto"/>
          <w:szCs w:val="24"/>
        </w:rPr>
        <w:t>target</w:t>
      </w:r>
      <w:r>
        <w:rPr>
          <w:color w:val="auto"/>
        </w:rPr>
        <w:t xml:space="preserve"> </w:t>
      </w:r>
      <w:r w:rsidR="00D42276">
        <w:rPr>
          <w:color w:val="auto"/>
        </w:rPr>
        <w:t>for a facility</w:t>
      </w:r>
      <w:r w:rsidR="000E3C7E">
        <w:rPr>
          <w:color w:val="auto"/>
        </w:rPr>
        <w:t>,</w:t>
      </w:r>
      <w:r>
        <w:rPr>
          <w:color w:val="auto"/>
        </w:rPr>
        <w:t xml:space="preserve"> we </w:t>
      </w:r>
      <w:r w:rsidR="00D42276">
        <w:rPr>
          <w:color w:val="auto"/>
        </w:rPr>
        <w:t>must</w:t>
      </w:r>
      <w:r w:rsidR="00A8202B">
        <w:rPr>
          <w:color w:val="auto"/>
        </w:rPr>
        <w:t xml:space="preserve"> not</w:t>
      </w:r>
      <w:r>
        <w:rPr>
          <w:color w:val="auto"/>
        </w:rPr>
        <w:t xml:space="preserve"> recertify th</w:t>
      </w:r>
      <w:r w:rsidR="00D42276">
        <w:rPr>
          <w:color w:val="auto"/>
        </w:rPr>
        <w:t xml:space="preserve">at </w:t>
      </w:r>
      <w:r>
        <w:rPr>
          <w:color w:val="auto"/>
          <w:szCs w:val="24"/>
        </w:rPr>
        <w:t xml:space="preserve">facility </w:t>
      </w:r>
      <w:r>
        <w:rPr>
          <w:color w:val="auto"/>
        </w:rPr>
        <w:t xml:space="preserve">for the </w:t>
      </w:r>
      <w:r>
        <w:rPr>
          <w:color w:val="auto"/>
          <w:szCs w:val="24"/>
        </w:rPr>
        <w:t>new</w:t>
      </w:r>
      <w:r>
        <w:rPr>
          <w:color w:val="auto"/>
        </w:rPr>
        <w:t xml:space="preserve"> </w:t>
      </w:r>
      <w:hyperlink w:anchor="Certificationperiod" w:history="1">
        <w:r w:rsidRPr="007969BF">
          <w:rPr>
            <w:rStyle w:val="Hyperlink"/>
          </w:rPr>
          <w:t>certification period</w:t>
        </w:r>
      </w:hyperlink>
      <w:r>
        <w:rPr>
          <w:color w:val="auto"/>
        </w:rPr>
        <w:t>.</w:t>
      </w:r>
    </w:p>
    <w:p w14:paraId="54CE75B2" w14:textId="4A41B437" w:rsidR="00026E66" w:rsidRPr="00A25DF5" w:rsidRDefault="00A36820" w:rsidP="00A25DF5">
      <w:pPr>
        <w:tabs>
          <w:tab w:val="left" w:pos="0"/>
        </w:tabs>
        <w:spacing w:after="0"/>
        <w:ind w:right="182"/>
      </w:pPr>
      <w:r>
        <w:rPr>
          <w:color w:val="auto"/>
        </w:rPr>
        <w:lastRenderedPageBreak/>
        <w:t xml:space="preserve">If </w:t>
      </w:r>
      <w:r w:rsidR="00D479AC">
        <w:rPr>
          <w:color w:val="auto"/>
        </w:rPr>
        <w:t xml:space="preserve">a </w:t>
      </w:r>
      <w:r>
        <w:rPr>
          <w:color w:val="auto"/>
        </w:rPr>
        <w:t xml:space="preserve">report is submitted after the 1 May deadline but before the start of the new certification period, </w:t>
      </w:r>
      <w:r w:rsidR="0088605E">
        <w:rPr>
          <w:color w:val="auto"/>
        </w:rPr>
        <w:t>(</w:t>
      </w:r>
      <w:r w:rsidR="00E0559B">
        <w:rPr>
          <w:color w:val="auto"/>
        </w:rPr>
        <w:t xml:space="preserve">and progress towards meeting target is </w:t>
      </w:r>
      <w:r w:rsidR="007F7CBF">
        <w:rPr>
          <w:color w:val="auto"/>
        </w:rPr>
        <w:t xml:space="preserve">either </w:t>
      </w:r>
      <w:r w:rsidR="00E0559B">
        <w:rPr>
          <w:color w:val="auto"/>
        </w:rPr>
        <w:t>satisfactory</w:t>
      </w:r>
      <w:r w:rsidR="007F7CBF">
        <w:rPr>
          <w:color w:val="auto"/>
        </w:rPr>
        <w:t xml:space="preserve"> or the operator has paid the correct </w:t>
      </w:r>
      <w:r w:rsidR="00045757">
        <w:rPr>
          <w:color w:val="auto"/>
        </w:rPr>
        <w:t>buy-out fee</w:t>
      </w:r>
      <w:r w:rsidR="00E0559B">
        <w:rPr>
          <w:color w:val="auto"/>
        </w:rPr>
        <w:t xml:space="preserve">), we </w:t>
      </w:r>
      <w:r w:rsidR="00B72B58">
        <w:rPr>
          <w:color w:val="auto"/>
        </w:rPr>
        <w:t xml:space="preserve">can </w:t>
      </w:r>
      <w:r w:rsidR="00E0559B">
        <w:rPr>
          <w:color w:val="auto"/>
        </w:rPr>
        <w:t>recertify the facility</w:t>
      </w:r>
      <w:r w:rsidR="00B72B58">
        <w:rPr>
          <w:color w:val="auto"/>
        </w:rPr>
        <w:t xml:space="preserve"> for the new </w:t>
      </w:r>
      <w:hyperlink w:anchor="Certificationperiod" w:history="1">
        <w:r w:rsidR="00B72B58" w:rsidRPr="007969BF">
          <w:rPr>
            <w:rStyle w:val="Hyperlink"/>
          </w:rPr>
          <w:t>certification period</w:t>
        </w:r>
      </w:hyperlink>
      <w:r w:rsidR="00E0559B">
        <w:rPr>
          <w:color w:val="auto"/>
        </w:rPr>
        <w:t xml:space="preserve">, </w:t>
      </w:r>
      <w:r w:rsidR="00B72B58">
        <w:rPr>
          <w:color w:val="auto"/>
        </w:rPr>
        <w:t xml:space="preserve">but </w:t>
      </w:r>
      <w:r w:rsidR="000D752D">
        <w:rPr>
          <w:color w:val="auto"/>
        </w:rPr>
        <w:t xml:space="preserve">we may still take </w:t>
      </w:r>
      <w:r w:rsidR="00436762">
        <w:rPr>
          <w:color w:val="auto"/>
        </w:rPr>
        <w:t>enforcement action.</w:t>
      </w:r>
    </w:p>
    <w:p w14:paraId="66248016" w14:textId="53962F0D" w:rsidR="00026E66" w:rsidRDefault="002737EF" w:rsidP="00FF0098">
      <w:pPr>
        <w:pStyle w:val="Heading2"/>
        <w:tabs>
          <w:tab w:val="left" w:pos="0"/>
        </w:tabs>
      </w:pPr>
      <w:bookmarkStart w:id="215" w:name="_10.4._Target_adjustments"/>
      <w:bookmarkStart w:id="216" w:name="_Toc94718675"/>
      <w:bookmarkStart w:id="217" w:name="_Toc94088923"/>
      <w:bookmarkStart w:id="218" w:name="_Toc242885403"/>
      <w:bookmarkEnd w:id="215"/>
      <w:r>
        <w:t>10.4. Target adjustments for previous target periods</w:t>
      </w:r>
      <w:bookmarkEnd w:id="216"/>
      <w:bookmarkEnd w:id="217"/>
      <w:bookmarkEnd w:id="218"/>
      <w:r w:rsidR="00FC355D">
        <w:t xml:space="preserve"> </w:t>
      </w:r>
    </w:p>
    <w:p w14:paraId="09C2C2A8" w14:textId="77777777" w:rsidR="00D952E6" w:rsidRDefault="00BD33D9" w:rsidP="00FF0098">
      <w:pPr>
        <w:tabs>
          <w:tab w:val="left" w:pos="0"/>
        </w:tabs>
        <w:ind w:right="182"/>
        <w:rPr>
          <w:color w:val="auto"/>
          <w:szCs w:val="24"/>
        </w:rPr>
      </w:pPr>
      <w:r>
        <w:rPr>
          <w:color w:val="auto"/>
          <w:szCs w:val="24"/>
        </w:rPr>
        <w:t xml:space="preserve">The Technical Annex sets out the </w:t>
      </w:r>
      <w:r w:rsidR="002737EF">
        <w:rPr>
          <w:color w:val="auto"/>
          <w:szCs w:val="24"/>
        </w:rPr>
        <w:t xml:space="preserve">circumstances </w:t>
      </w:r>
      <w:r>
        <w:rPr>
          <w:color w:val="auto"/>
          <w:szCs w:val="24"/>
        </w:rPr>
        <w:t xml:space="preserve">where we may </w:t>
      </w:r>
      <w:r w:rsidR="006076B9">
        <w:rPr>
          <w:color w:val="auto"/>
          <w:szCs w:val="24"/>
        </w:rPr>
        <w:t xml:space="preserve">need to </w:t>
      </w:r>
      <w:r w:rsidR="002737EF">
        <w:rPr>
          <w:color w:val="auto"/>
          <w:szCs w:val="24"/>
        </w:rPr>
        <w:t>var</w:t>
      </w:r>
      <w:r>
        <w:rPr>
          <w:color w:val="auto"/>
          <w:szCs w:val="24"/>
        </w:rPr>
        <w:t>y</w:t>
      </w:r>
      <w:r w:rsidR="002737EF">
        <w:rPr>
          <w:color w:val="auto"/>
          <w:szCs w:val="24"/>
        </w:rPr>
        <w:t xml:space="preserve"> </w:t>
      </w:r>
      <w:r>
        <w:rPr>
          <w:color w:val="auto"/>
          <w:szCs w:val="24"/>
        </w:rPr>
        <w:t xml:space="preserve">the improvement target for </w:t>
      </w:r>
      <w:r w:rsidR="002737EF">
        <w:rPr>
          <w:color w:val="auto"/>
          <w:szCs w:val="24"/>
        </w:rPr>
        <w:t xml:space="preserve">a </w:t>
      </w:r>
      <w:r w:rsidR="00E425C3">
        <w:rPr>
          <w:color w:val="auto"/>
          <w:szCs w:val="24"/>
        </w:rPr>
        <w:t>facility</w:t>
      </w:r>
      <w:r w:rsidR="002737EF">
        <w:rPr>
          <w:color w:val="auto"/>
          <w:szCs w:val="24"/>
        </w:rPr>
        <w:t>.</w:t>
      </w:r>
      <w:r w:rsidR="00E425C3">
        <w:rPr>
          <w:color w:val="auto"/>
          <w:szCs w:val="24"/>
        </w:rPr>
        <w:t xml:space="preserve"> </w:t>
      </w:r>
      <w:r>
        <w:rPr>
          <w:color w:val="auto"/>
          <w:szCs w:val="24"/>
        </w:rPr>
        <w:t>Where the</w:t>
      </w:r>
      <w:r w:rsidR="00FA0681">
        <w:rPr>
          <w:color w:val="auto"/>
          <w:szCs w:val="24"/>
        </w:rPr>
        <w:t>se circumstances</w:t>
      </w:r>
      <w:r>
        <w:rPr>
          <w:color w:val="auto"/>
          <w:szCs w:val="24"/>
        </w:rPr>
        <w:t xml:space="preserve"> apply, the operator must notify us </w:t>
      </w:r>
      <w:r w:rsidR="0085010C">
        <w:rPr>
          <w:color w:val="auto"/>
          <w:szCs w:val="24"/>
        </w:rPr>
        <w:t xml:space="preserve">by 31 January </w:t>
      </w:r>
      <w:r w:rsidR="005D018B">
        <w:rPr>
          <w:color w:val="auto"/>
          <w:szCs w:val="24"/>
        </w:rPr>
        <w:t>following the end of each target period</w:t>
      </w:r>
      <w:r w:rsidR="0085010C">
        <w:rPr>
          <w:color w:val="auto"/>
          <w:szCs w:val="24"/>
        </w:rPr>
        <w:t xml:space="preserve">. This is </w:t>
      </w:r>
      <w:r w:rsidR="00FA0681">
        <w:rPr>
          <w:color w:val="auto"/>
          <w:szCs w:val="24"/>
        </w:rPr>
        <w:t xml:space="preserve">necessary to </w:t>
      </w:r>
      <w:r w:rsidR="005D018B">
        <w:rPr>
          <w:color w:val="auto"/>
          <w:szCs w:val="24"/>
        </w:rPr>
        <w:t xml:space="preserve">ensure that </w:t>
      </w:r>
      <w:r w:rsidR="00FA0681">
        <w:rPr>
          <w:color w:val="auto"/>
          <w:szCs w:val="24"/>
        </w:rPr>
        <w:t xml:space="preserve">we can determine the </w:t>
      </w:r>
      <w:r w:rsidR="00D952E6">
        <w:rPr>
          <w:color w:val="auto"/>
          <w:szCs w:val="24"/>
        </w:rPr>
        <w:t xml:space="preserve">performance </w:t>
      </w:r>
      <w:r w:rsidR="00335323">
        <w:rPr>
          <w:color w:val="auto"/>
          <w:szCs w:val="24"/>
        </w:rPr>
        <w:t xml:space="preserve">for </w:t>
      </w:r>
      <w:r w:rsidR="00FA0681">
        <w:rPr>
          <w:color w:val="auto"/>
          <w:szCs w:val="24"/>
        </w:rPr>
        <w:t xml:space="preserve">the facility </w:t>
      </w:r>
      <w:r w:rsidR="00D952E6">
        <w:rPr>
          <w:color w:val="auto"/>
          <w:szCs w:val="24"/>
        </w:rPr>
        <w:t xml:space="preserve">using data from the final target period report and the </w:t>
      </w:r>
      <w:r w:rsidR="00164D81">
        <w:rPr>
          <w:color w:val="auto"/>
          <w:szCs w:val="24"/>
        </w:rPr>
        <w:t xml:space="preserve">varied </w:t>
      </w:r>
      <w:r w:rsidR="00820EF5">
        <w:rPr>
          <w:color w:val="auto"/>
          <w:szCs w:val="24"/>
        </w:rPr>
        <w:t xml:space="preserve">target. </w:t>
      </w:r>
    </w:p>
    <w:p w14:paraId="4B76DDD8" w14:textId="7CDE00C7" w:rsidR="005B6666" w:rsidRDefault="00EE1841" w:rsidP="00FF0098">
      <w:pPr>
        <w:tabs>
          <w:tab w:val="left" w:pos="0"/>
        </w:tabs>
        <w:ind w:right="182"/>
        <w:rPr>
          <w:color w:val="auto"/>
          <w:szCs w:val="24"/>
        </w:rPr>
      </w:pPr>
      <w:r>
        <w:rPr>
          <w:color w:val="auto"/>
          <w:szCs w:val="24"/>
        </w:rPr>
        <w:t xml:space="preserve">While </w:t>
      </w:r>
      <w:r w:rsidR="00335323">
        <w:rPr>
          <w:color w:val="auto"/>
          <w:szCs w:val="24"/>
        </w:rPr>
        <w:t xml:space="preserve">we won’t use data from the </w:t>
      </w:r>
      <w:r>
        <w:rPr>
          <w:color w:val="auto"/>
          <w:szCs w:val="24"/>
        </w:rPr>
        <w:t xml:space="preserve">interim target period report to determine </w:t>
      </w:r>
      <w:r w:rsidR="00C86A79">
        <w:rPr>
          <w:color w:val="auto"/>
          <w:szCs w:val="24"/>
        </w:rPr>
        <w:t xml:space="preserve">a facility’s </w:t>
      </w:r>
      <w:r>
        <w:rPr>
          <w:color w:val="auto"/>
          <w:szCs w:val="24"/>
        </w:rPr>
        <w:t xml:space="preserve">performance, </w:t>
      </w:r>
      <w:r w:rsidR="00932185">
        <w:rPr>
          <w:color w:val="auto"/>
          <w:szCs w:val="24"/>
        </w:rPr>
        <w:t xml:space="preserve">submitting these variations before submission of the interim target period report will </w:t>
      </w:r>
      <w:r w:rsidR="007E7E06">
        <w:rPr>
          <w:color w:val="auto"/>
          <w:szCs w:val="24"/>
        </w:rPr>
        <w:t>ensure that the</w:t>
      </w:r>
      <w:r w:rsidR="003F2865">
        <w:rPr>
          <w:color w:val="auto"/>
          <w:szCs w:val="24"/>
        </w:rPr>
        <w:t xml:space="preserve"> analysis of the</w:t>
      </w:r>
      <w:r w:rsidR="007E7E06">
        <w:rPr>
          <w:color w:val="auto"/>
          <w:szCs w:val="24"/>
        </w:rPr>
        <w:t xml:space="preserve"> facility’s progress to meeting the target</w:t>
      </w:r>
      <w:r w:rsidR="005B6666">
        <w:rPr>
          <w:color w:val="auto"/>
          <w:szCs w:val="24"/>
        </w:rPr>
        <w:t xml:space="preserve"> is </w:t>
      </w:r>
      <w:r w:rsidR="00164D81">
        <w:rPr>
          <w:color w:val="auto"/>
          <w:szCs w:val="24"/>
        </w:rPr>
        <w:t xml:space="preserve">more </w:t>
      </w:r>
      <w:r w:rsidR="005B6666">
        <w:rPr>
          <w:color w:val="auto"/>
          <w:szCs w:val="24"/>
        </w:rPr>
        <w:t>accurate.</w:t>
      </w:r>
    </w:p>
    <w:p w14:paraId="2152AD2D" w14:textId="2253DC71" w:rsidR="00026E66" w:rsidRDefault="005B6666" w:rsidP="00FF0098">
      <w:pPr>
        <w:tabs>
          <w:tab w:val="left" w:pos="0"/>
        </w:tabs>
        <w:ind w:right="182"/>
        <w:rPr>
          <w:color w:val="auto"/>
        </w:rPr>
      </w:pPr>
      <w:r w:rsidRPr="030AF726">
        <w:rPr>
          <w:color w:val="auto"/>
        </w:rPr>
        <w:t xml:space="preserve">The </w:t>
      </w:r>
      <w:r w:rsidR="009E12F0" w:rsidRPr="030AF726">
        <w:rPr>
          <w:color w:val="auto"/>
        </w:rPr>
        <w:t>2</w:t>
      </w:r>
      <w:r w:rsidRPr="030AF726">
        <w:rPr>
          <w:color w:val="auto"/>
        </w:rPr>
        <w:t xml:space="preserve"> circumstances where variations may be submitted to reflect changes which may impact a facility’s target are</w:t>
      </w:r>
      <w:r w:rsidR="002737EF" w:rsidRPr="030AF726">
        <w:rPr>
          <w:color w:val="auto"/>
        </w:rPr>
        <w:t xml:space="preserve">: </w:t>
      </w:r>
    </w:p>
    <w:p w14:paraId="7BCA6160" w14:textId="1E55F363" w:rsidR="00026E66" w:rsidRPr="00A25DF5" w:rsidRDefault="00E16C91" w:rsidP="004C1365">
      <w:pPr>
        <w:pStyle w:val="ListParagraph"/>
        <w:numPr>
          <w:ilvl w:val="0"/>
          <w:numId w:val="141"/>
        </w:numPr>
      </w:pPr>
      <w:r>
        <w:t xml:space="preserve">a facility which has allocated 100% of </w:t>
      </w:r>
      <w:hyperlink w:anchor="baseyear" w:history="1">
        <w:r w:rsidRPr="0010331E">
          <w:rPr>
            <w:rStyle w:val="Hyperlink"/>
          </w:rPr>
          <w:t>base year</w:t>
        </w:r>
      </w:hyperlink>
      <w:r>
        <w:t xml:space="preserve"> energy to fixed energy, if the throughput in the target period was less than 90% of the throughput in the base year for TP7,</w:t>
      </w:r>
      <w:r w:rsidR="00381B05">
        <w:t xml:space="preserve"> or if the throughput was less than 90% of twice the throughput in the base year for TP8 and TP9 </w:t>
      </w:r>
    </w:p>
    <w:p w14:paraId="7C1E94B4" w14:textId="3D0BB681" w:rsidR="00026E66" w:rsidRPr="00A25DF5" w:rsidRDefault="002737EF" w:rsidP="004C1365">
      <w:pPr>
        <w:pStyle w:val="ListParagraph"/>
        <w:numPr>
          <w:ilvl w:val="0"/>
          <w:numId w:val="141"/>
        </w:numPr>
      </w:pPr>
      <w:r w:rsidRPr="00A25DF5">
        <w:t xml:space="preserve">there has been an </w:t>
      </w:r>
      <w:r w:rsidRPr="004C1365">
        <w:rPr>
          <w:u w:color="0077B9"/>
        </w:rPr>
        <w:t>unexpected disruption in supply</w:t>
      </w:r>
      <w:r w:rsidRPr="00A25DF5">
        <w:t xml:space="preserve"> </w:t>
      </w:r>
      <w:r w:rsidR="00381B05">
        <w:t xml:space="preserve">to the </w:t>
      </w:r>
      <w:hyperlink w:anchor="Targetfacility" w:history="1">
        <w:r w:rsidR="00381B05" w:rsidRPr="003F2865">
          <w:rPr>
            <w:rStyle w:val="Hyperlink"/>
          </w:rPr>
          <w:t>target facility</w:t>
        </w:r>
      </w:hyperlink>
      <w:r w:rsidR="00381B05">
        <w:t xml:space="preserve"> or an unexpected failure </w:t>
      </w:r>
      <w:r w:rsidR="005D75D2">
        <w:t>at an</w:t>
      </w:r>
      <w:r w:rsidR="00381B05">
        <w:t xml:space="preserve"> on-site electricity </w:t>
      </w:r>
      <w:r w:rsidR="00000E40">
        <w:t>generation plant serving the target facility, which causes the facility to fail to meet its target</w:t>
      </w:r>
    </w:p>
    <w:p w14:paraId="59D9EE11" w14:textId="0BE86C51" w:rsidR="00026E66" w:rsidRDefault="002737EF" w:rsidP="00FF0098">
      <w:pPr>
        <w:tabs>
          <w:tab w:val="left" w:pos="0"/>
        </w:tabs>
        <w:spacing w:after="0"/>
        <w:ind w:right="182"/>
        <w:rPr>
          <w:color w:val="auto"/>
          <w:szCs w:val="24"/>
        </w:rPr>
      </w:pPr>
      <w:r>
        <w:rPr>
          <w:color w:val="auto"/>
          <w:szCs w:val="24"/>
        </w:rPr>
        <w:t xml:space="preserve">These variations must be submitted </w:t>
      </w:r>
      <w:r w:rsidR="00FA0608">
        <w:rPr>
          <w:color w:val="auto"/>
          <w:szCs w:val="24"/>
        </w:rPr>
        <w:t>between 1 and 31 of January</w:t>
      </w:r>
      <w:r>
        <w:rPr>
          <w:color w:val="auto"/>
          <w:szCs w:val="24"/>
        </w:rPr>
        <w:t xml:space="preserve"> following the end of each target period</w:t>
      </w:r>
      <w:r w:rsidR="00D24F46">
        <w:rPr>
          <w:color w:val="auto"/>
          <w:szCs w:val="24"/>
        </w:rPr>
        <w:t>.</w:t>
      </w:r>
      <w:r>
        <w:rPr>
          <w:color w:val="auto"/>
          <w:szCs w:val="24"/>
        </w:rPr>
        <w:t xml:space="preserve"> These variations must be assented to ensure that the correct target </w:t>
      </w:r>
      <w:r w:rsidR="00611ACB">
        <w:rPr>
          <w:color w:val="auto"/>
          <w:szCs w:val="24"/>
        </w:rPr>
        <w:t>is re</w:t>
      </w:r>
      <w:r w:rsidR="00961A44">
        <w:rPr>
          <w:color w:val="auto"/>
          <w:szCs w:val="24"/>
        </w:rPr>
        <w:t xml:space="preserve">ported against as part of the final target period report submission. </w:t>
      </w:r>
      <w:r>
        <w:rPr>
          <w:color w:val="auto"/>
          <w:szCs w:val="24"/>
        </w:rPr>
        <w:t xml:space="preserve"> </w:t>
      </w:r>
    </w:p>
    <w:p w14:paraId="3538907D" w14:textId="2EE70C40" w:rsidR="00026E66" w:rsidRDefault="002737EF" w:rsidP="002C18CD">
      <w:pPr>
        <w:pStyle w:val="Heading3"/>
      </w:pPr>
      <w:r>
        <w:t xml:space="preserve">10.4.1. Throughput falls by more than 10% of twice the base year throughput </w:t>
      </w:r>
    </w:p>
    <w:p w14:paraId="59BEEB01" w14:textId="4E68130A" w:rsidR="00AD0F10" w:rsidRDefault="0018084F" w:rsidP="00FF0098">
      <w:pPr>
        <w:tabs>
          <w:tab w:val="left" w:pos="0"/>
        </w:tabs>
        <w:rPr>
          <w:color w:val="auto"/>
        </w:rPr>
      </w:pPr>
      <w:r>
        <w:rPr>
          <w:color w:val="auto"/>
        </w:rPr>
        <w:t xml:space="preserve">The following only applies to facilities that have allocated 100% of their base year energy to </w:t>
      </w:r>
      <w:hyperlink w:anchor="FEC" w:history="1">
        <w:r w:rsidRPr="00FA0608">
          <w:rPr>
            <w:rStyle w:val="Hyperlink"/>
          </w:rPr>
          <w:t>fixed energy</w:t>
        </w:r>
        <w:r w:rsidR="00511EFC" w:rsidRPr="00FA0608">
          <w:rPr>
            <w:rStyle w:val="Hyperlink"/>
          </w:rPr>
          <w:t xml:space="preserve"> consumption</w:t>
        </w:r>
      </w:hyperlink>
      <w:r>
        <w:rPr>
          <w:color w:val="auto"/>
        </w:rPr>
        <w:t xml:space="preserve">. </w:t>
      </w:r>
    </w:p>
    <w:p w14:paraId="560BE566" w14:textId="5E805104" w:rsidR="00026E66" w:rsidRDefault="002737EF" w:rsidP="00FF0098">
      <w:pPr>
        <w:tabs>
          <w:tab w:val="left" w:pos="0"/>
        </w:tabs>
      </w:pPr>
      <w:r>
        <w:rPr>
          <w:color w:val="auto"/>
        </w:rPr>
        <w:t>Paragraph 5</w:t>
      </w:r>
      <w:r w:rsidR="00614A3A">
        <w:rPr>
          <w:color w:val="auto"/>
        </w:rPr>
        <w:t>5</w:t>
      </w:r>
      <w:r>
        <w:rPr>
          <w:color w:val="auto"/>
        </w:rPr>
        <w:t xml:space="preserve"> of the </w:t>
      </w:r>
      <w:hyperlink r:id="rId80" w:history="1">
        <w:r>
          <w:rPr>
            <w:rStyle w:val="Hyperlink"/>
            <w:color w:val="0070C0"/>
          </w:rPr>
          <w:t>Technical Annex</w:t>
        </w:r>
      </w:hyperlink>
      <w:r>
        <w:rPr>
          <w:color w:val="auto"/>
        </w:rPr>
        <w:t xml:space="preserve"> states: </w:t>
      </w:r>
    </w:p>
    <w:p w14:paraId="216C59AA" w14:textId="37F0B440" w:rsidR="00026E66" w:rsidRDefault="002737EF" w:rsidP="004C170C">
      <w:pPr>
        <w:tabs>
          <w:tab w:val="left" w:pos="0"/>
        </w:tabs>
        <w:ind w:left="720"/>
      </w:pPr>
      <w:r>
        <w:t>“</w:t>
      </w:r>
      <w:r w:rsidR="006B69BE" w:rsidRPr="006B69BE">
        <w:t xml:space="preserve">When an Operator has made a notification that throughput has decreased during a Target Period by more than 10% of the throughput in the base year, or by more than 10% of </w:t>
      </w:r>
      <w:r w:rsidR="009E12F0">
        <w:t>2</w:t>
      </w:r>
      <w:r w:rsidR="006B69BE" w:rsidRPr="006B69BE">
        <w:t xml:space="preserve"> times the throughput in the base year for a </w:t>
      </w:r>
      <w:r w:rsidR="009E12F0">
        <w:t>2</w:t>
      </w:r>
      <w:r w:rsidR="006B69BE" w:rsidRPr="006B69BE">
        <w:t xml:space="preserve">-year target period, the </w:t>
      </w:r>
      <w:hyperlink w:anchor="Administrator" w:history="1">
        <w:r w:rsidR="006B69BE" w:rsidRPr="00260C86">
          <w:rPr>
            <w:rStyle w:val="Hyperlink"/>
          </w:rPr>
          <w:t>Administrator</w:t>
        </w:r>
      </w:hyperlink>
      <w:r w:rsidR="006B69BE" w:rsidRPr="006B69BE">
        <w:t xml:space="preserve"> may adjust the previous target using either method 1 or method 2 below.</w:t>
      </w:r>
      <w:r w:rsidR="00AD0F10">
        <w:t>”</w:t>
      </w:r>
    </w:p>
    <w:p w14:paraId="54B89FE7" w14:textId="77777777" w:rsidR="00026E66" w:rsidRDefault="002737EF" w:rsidP="001F5547">
      <w:pPr>
        <w:pStyle w:val="Heading4"/>
      </w:pPr>
      <w:r>
        <w:t>Method 1</w:t>
      </w:r>
    </w:p>
    <w:p w14:paraId="232FC41B" w14:textId="63F0ECCA" w:rsidR="001F20AF" w:rsidRDefault="007F1DBD" w:rsidP="00B739EF">
      <w:pPr>
        <w:tabs>
          <w:tab w:val="left" w:pos="0"/>
        </w:tabs>
      </w:pPr>
      <w:r w:rsidRPr="007F1DBD">
        <w:t xml:space="preserve">Method 1 must be used by the </w:t>
      </w:r>
      <w:hyperlink w:anchor="Administrator" w:history="1">
        <w:r w:rsidRPr="00260C86">
          <w:rPr>
            <w:rStyle w:val="Hyperlink"/>
          </w:rPr>
          <w:t>Administrator</w:t>
        </w:r>
      </w:hyperlink>
      <w:r w:rsidRPr="007F1DBD">
        <w:t xml:space="preserve"> if the actual target period throughput is less than 90% of the throughput in the base </w:t>
      </w:r>
      <w:r w:rsidR="00D80996" w:rsidRPr="007F1DBD">
        <w:t>year</w:t>
      </w:r>
      <w:r w:rsidR="00D80996">
        <w:t xml:space="preserve"> </w:t>
      </w:r>
      <w:r w:rsidR="00D80996" w:rsidRPr="007F1DBD">
        <w:t>and</w:t>
      </w:r>
      <w:r w:rsidRPr="007F1DBD">
        <w:t xml:space="preserve"> if no additional information is provided. Except as provided below, the target must be adjusted directly in proportion to the reduction in throughput (</w:t>
      </w:r>
      <w:r w:rsidR="0095018A">
        <w:t>that is,</w:t>
      </w:r>
      <w:r w:rsidRPr="007F1DBD">
        <w:t xml:space="preserve"> by the percentage by which the actual target period throughput is lower than the base year throughput). </w:t>
      </w:r>
    </w:p>
    <w:p w14:paraId="5D70128F" w14:textId="50104B16" w:rsidR="007F1DBD" w:rsidRDefault="007F1DBD" w:rsidP="00B739EF">
      <w:pPr>
        <w:tabs>
          <w:tab w:val="left" w:pos="0"/>
        </w:tabs>
      </w:pPr>
      <w:r w:rsidRPr="007F1DBD">
        <w:t>Method 1 provides for a taper to be applied in cases where the actual throughput at the target period is between 10% and 20% less than the base year throughput. The taper adds back some energy (or carbon) to the absolute target in such situations so that there is not a sudden and precipitous decrease in the value of the absolute target as soon as the actual target period throughput is &gt;10% less than the base year throughput. The full value of the taper is added back to the target if the actual target period throughput is exactly 10% less than the base year through</w:t>
      </w:r>
      <w:r w:rsidR="007D54E3">
        <w:t>p</w:t>
      </w:r>
      <w:r w:rsidRPr="007F1DBD">
        <w:t xml:space="preserve">ut and no taper is added back to the target if the actual target period throughput is 20% or more less than the base year throughput. The full value of the taper is 10% of the absolute </w:t>
      </w:r>
      <w:hyperlink w:anchor="Energytarget" w:history="1">
        <w:r w:rsidRPr="00DB1221">
          <w:rPr>
            <w:rStyle w:val="Hyperlink"/>
          </w:rPr>
          <w:t>energy target</w:t>
        </w:r>
      </w:hyperlink>
      <w:r w:rsidRPr="007F1DBD">
        <w:t>. The value of the taper added back to the absolute target varies linearly</w:t>
      </w:r>
      <w:r w:rsidR="005A13B2">
        <w:t xml:space="preserve"> </w:t>
      </w:r>
      <w:r w:rsidR="005A13B2" w:rsidRPr="005A13B2">
        <w:t>between actual target period throughput being 10% and 20% less than the base year through</w:t>
      </w:r>
      <w:r w:rsidR="007D54E3">
        <w:t>p</w:t>
      </w:r>
      <w:r w:rsidR="005A13B2" w:rsidRPr="005A13B2">
        <w:t>ut.</w:t>
      </w:r>
    </w:p>
    <w:p w14:paraId="6506B711" w14:textId="77777777" w:rsidR="00026E66" w:rsidRDefault="002737EF" w:rsidP="001F5547">
      <w:pPr>
        <w:pStyle w:val="Heading4"/>
      </w:pPr>
      <w:r>
        <w:t>Method 2</w:t>
      </w:r>
    </w:p>
    <w:p w14:paraId="25913FB7" w14:textId="6C6A8DB7" w:rsidR="002D0E61" w:rsidRDefault="002D0E61" w:rsidP="00B739EF">
      <w:pPr>
        <w:tabs>
          <w:tab w:val="left" w:pos="0"/>
        </w:tabs>
      </w:pPr>
      <w:r w:rsidRPr="002D0E61">
        <w:t xml:space="preserve">Method 2 must be used by the </w:t>
      </w:r>
      <w:hyperlink w:anchor="Administrator" w:history="1">
        <w:r w:rsidRPr="00260C86">
          <w:rPr>
            <w:rStyle w:val="Hyperlink"/>
          </w:rPr>
          <w:t>Administrator</w:t>
        </w:r>
      </w:hyperlink>
      <w:r w:rsidRPr="002D0E61">
        <w:t xml:space="preserve"> where an Operator has provided a statistically valid energy – throughput relationship.</w:t>
      </w:r>
    </w:p>
    <w:p w14:paraId="2E736947" w14:textId="208FAC73" w:rsidR="002D0E61" w:rsidRDefault="00FF0FFA" w:rsidP="004C170C">
      <w:pPr>
        <w:tabs>
          <w:tab w:val="left" w:pos="0"/>
        </w:tabs>
        <w:ind w:left="720"/>
      </w:pPr>
      <w:r>
        <w:t>“</w:t>
      </w:r>
      <w:r w:rsidR="002D0E61" w:rsidRPr="002D0E61">
        <w:t xml:space="preserve">To demonstrate a statistically valid energy – throughput relationship, an Operator must show that there is a correlation factor with an r-squared value of greater than 0.8 between energy consumed in the target facility and throughput. If the R-squared value is less than 0.8, Method 2 must not be used and the </w:t>
      </w:r>
      <w:hyperlink w:anchor="Administrator" w:history="1">
        <w:r w:rsidR="002D0E61" w:rsidRPr="00260C86">
          <w:rPr>
            <w:rStyle w:val="Hyperlink"/>
          </w:rPr>
          <w:t>Administrator</w:t>
        </w:r>
      </w:hyperlink>
      <w:r w:rsidR="002D0E61" w:rsidRPr="002D0E61">
        <w:t xml:space="preserve"> must use the default Method 1 calculation to revise the target. The target adjustment takes account of base load energy use and is achieved by reducing the target by a percentage. This percentage is the extent to which the energy target, for the agreed level of throughput, is less than the energy that would have been consumed in the reference year for that same level of throughput. To determine the latter, the Operator must establish an energy/throughput curve for the reference year.</w:t>
      </w:r>
      <w:r w:rsidR="008143CF">
        <w:t>”</w:t>
      </w:r>
    </w:p>
    <w:p w14:paraId="39958617" w14:textId="44F95F3C" w:rsidR="008143CF" w:rsidRDefault="008143CF" w:rsidP="00B739EF">
      <w:pPr>
        <w:tabs>
          <w:tab w:val="left" w:pos="0"/>
        </w:tabs>
      </w:pPr>
      <w:r>
        <w:rPr>
          <w:color w:val="auto"/>
        </w:rPr>
        <w:t xml:space="preserve">Reference to the </w:t>
      </w:r>
      <w:r>
        <w:rPr>
          <w:i/>
          <w:iCs/>
          <w:color w:val="auto"/>
        </w:rPr>
        <w:t xml:space="preserve">absolute target </w:t>
      </w:r>
      <w:r>
        <w:rPr>
          <w:color w:val="auto"/>
        </w:rPr>
        <w:t xml:space="preserve">in Method 1 </w:t>
      </w:r>
      <w:r w:rsidR="00F33028">
        <w:rPr>
          <w:color w:val="auto"/>
        </w:rPr>
        <w:t xml:space="preserve">above </w:t>
      </w:r>
      <w:r>
        <w:rPr>
          <w:color w:val="auto"/>
        </w:rPr>
        <w:t xml:space="preserve">refers to a facility </w:t>
      </w:r>
      <w:r w:rsidR="00C331B5">
        <w:rPr>
          <w:color w:val="auto"/>
        </w:rPr>
        <w:t xml:space="preserve">for which the operator </w:t>
      </w:r>
      <w:r>
        <w:rPr>
          <w:color w:val="auto"/>
        </w:rPr>
        <w:t xml:space="preserve">allocated 100% of </w:t>
      </w:r>
      <w:r w:rsidR="00C331B5">
        <w:rPr>
          <w:color w:val="auto"/>
        </w:rPr>
        <w:t xml:space="preserve">the </w:t>
      </w:r>
      <w:r>
        <w:rPr>
          <w:color w:val="auto"/>
        </w:rPr>
        <w:t xml:space="preserve">base year energy to fixed </w:t>
      </w:r>
      <w:r w:rsidR="00C331B5">
        <w:rPr>
          <w:color w:val="auto"/>
        </w:rPr>
        <w:t xml:space="preserve">consumption. (This is equivalent to </w:t>
      </w:r>
      <w:r>
        <w:rPr>
          <w:color w:val="auto"/>
        </w:rPr>
        <w:t xml:space="preserve">the absolute target type that was </w:t>
      </w:r>
      <w:r w:rsidR="00C331B5">
        <w:rPr>
          <w:color w:val="auto"/>
        </w:rPr>
        <w:t xml:space="preserve">used by some operators </w:t>
      </w:r>
      <w:r>
        <w:rPr>
          <w:color w:val="auto"/>
        </w:rPr>
        <w:t xml:space="preserve">in the previous </w:t>
      </w:r>
      <w:r w:rsidR="00C331B5">
        <w:rPr>
          <w:color w:val="auto"/>
        </w:rPr>
        <w:t xml:space="preserve">phase of the </w:t>
      </w:r>
      <w:r w:rsidR="00D6271C">
        <w:rPr>
          <w:color w:val="auto"/>
        </w:rPr>
        <w:t xml:space="preserve">CCA </w:t>
      </w:r>
      <w:r>
        <w:rPr>
          <w:color w:val="auto"/>
        </w:rPr>
        <w:t>scheme.</w:t>
      </w:r>
      <w:r w:rsidR="00C331B5">
        <w:rPr>
          <w:color w:val="auto"/>
        </w:rPr>
        <w:t>)</w:t>
      </w:r>
    </w:p>
    <w:p w14:paraId="0FC9EDC4" w14:textId="5F563D0C" w:rsidR="005F3EB9" w:rsidRDefault="005F3EB9" w:rsidP="00FF0098">
      <w:pPr>
        <w:tabs>
          <w:tab w:val="left" w:pos="0"/>
        </w:tabs>
        <w:rPr>
          <w:color w:val="auto"/>
        </w:rPr>
      </w:pPr>
      <w:r>
        <w:rPr>
          <w:color w:val="auto"/>
        </w:rPr>
        <w:lastRenderedPageBreak/>
        <w:t>W</w:t>
      </w:r>
      <w:r w:rsidR="009023CA">
        <w:rPr>
          <w:color w:val="auto"/>
        </w:rPr>
        <w:t xml:space="preserve">hen determining whether a notification must be submitted, the operator </w:t>
      </w:r>
      <w:r>
        <w:rPr>
          <w:color w:val="auto"/>
        </w:rPr>
        <w:t xml:space="preserve">must compare throughput </w:t>
      </w:r>
      <w:r w:rsidR="0013179A">
        <w:rPr>
          <w:color w:val="auto"/>
        </w:rPr>
        <w:t>in</w:t>
      </w:r>
      <w:r>
        <w:rPr>
          <w:color w:val="auto"/>
        </w:rPr>
        <w:t xml:space="preserve"> each target period against the base year period on a like for like basis. This means:</w:t>
      </w:r>
    </w:p>
    <w:p w14:paraId="31F571D0" w14:textId="0B1D729C" w:rsidR="00B25FFC" w:rsidRDefault="005F3EB9" w:rsidP="005F3EB9">
      <w:pPr>
        <w:pStyle w:val="ListParagraph"/>
        <w:numPr>
          <w:ilvl w:val="0"/>
          <w:numId w:val="141"/>
        </w:numPr>
        <w:tabs>
          <w:tab w:val="left" w:pos="0"/>
        </w:tabs>
      </w:pPr>
      <w:r>
        <w:t>f</w:t>
      </w:r>
      <w:r w:rsidR="00D51DEF" w:rsidRPr="005F3EB9">
        <w:t>or TP7</w:t>
      </w:r>
      <w:r w:rsidR="0069072D" w:rsidRPr="005F3EB9">
        <w:t xml:space="preserve"> (a one-year target period)</w:t>
      </w:r>
      <w:r w:rsidR="00D51DEF" w:rsidRPr="005F3EB9">
        <w:t xml:space="preserve">, </w:t>
      </w:r>
      <w:r w:rsidR="002C24C0" w:rsidRPr="005F3EB9">
        <w:t xml:space="preserve">the </w:t>
      </w:r>
      <w:r w:rsidR="002C24C0">
        <w:t xml:space="preserve">operator must notify us if </w:t>
      </w:r>
      <w:r w:rsidR="004E6D18">
        <w:t xml:space="preserve">the </w:t>
      </w:r>
      <w:r w:rsidR="00D51DEF" w:rsidRPr="005F3EB9">
        <w:t xml:space="preserve">target period throughput </w:t>
      </w:r>
      <w:r w:rsidR="004E6D18">
        <w:t xml:space="preserve">is </w:t>
      </w:r>
      <w:r w:rsidR="00D51DEF" w:rsidRPr="005F3EB9">
        <w:t xml:space="preserve">less than 90% of the </w:t>
      </w:r>
      <w:r w:rsidR="00B25FFC" w:rsidRPr="005F3EB9">
        <w:t xml:space="preserve">base year </w:t>
      </w:r>
      <w:r w:rsidR="00D51DEF" w:rsidRPr="005F3EB9">
        <w:t>throughput</w:t>
      </w:r>
    </w:p>
    <w:p w14:paraId="7CCA4A5A" w14:textId="1336A088" w:rsidR="005D0467" w:rsidRDefault="00B25FFC" w:rsidP="00FF0098">
      <w:pPr>
        <w:pStyle w:val="ListParagraph"/>
        <w:numPr>
          <w:ilvl w:val="0"/>
          <w:numId w:val="141"/>
        </w:numPr>
        <w:tabs>
          <w:tab w:val="left" w:pos="0"/>
        </w:tabs>
      </w:pPr>
      <w:r>
        <w:t>f</w:t>
      </w:r>
      <w:r w:rsidR="0069072D" w:rsidRPr="005F3EB9">
        <w:t xml:space="preserve">or target periods </w:t>
      </w:r>
      <w:r w:rsidR="00D51DEF" w:rsidRPr="005F3EB9">
        <w:t>TP8 and TP9</w:t>
      </w:r>
      <w:r w:rsidR="0069072D" w:rsidRPr="005F3EB9">
        <w:t xml:space="preserve"> (</w:t>
      </w:r>
      <w:r w:rsidR="009E12F0">
        <w:t>2</w:t>
      </w:r>
      <w:r w:rsidR="0069072D" w:rsidRPr="005F3EB9">
        <w:t>-year target periods)</w:t>
      </w:r>
      <w:r w:rsidR="00D51DEF" w:rsidRPr="005F3EB9">
        <w:t xml:space="preserve">, </w:t>
      </w:r>
      <w:r w:rsidR="00AA013D" w:rsidRPr="005F3EB9">
        <w:t xml:space="preserve">the </w:t>
      </w:r>
      <w:r w:rsidR="00AA013D">
        <w:t xml:space="preserve">operator must notify us if </w:t>
      </w:r>
      <w:r w:rsidR="00D51DEF" w:rsidRPr="005F3EB9">
        <w:t xml:space="preserve">the target period throughput </w:t>
      </w:r>
      <w:r w:rsidR="00AA013D">
        <w:t xml:space="preserve">is </w:t>
      </w:r>
      <w:r w:rsidR="00D51DEF" w:rsidRPr="005F3EB9">
        <w:t xml:space="preserve">less than 90% of </w:t>
      </w:r>
      <w:r w:rsidR="009E12F0">
        <w:t>2</w:t>
      </w:r>
      <w:r w:rsidR="00D51DEF" w:rsidRPr="005F3EB9">
        <w:t xml:space="preserve"> times the </w:t>
      </w:r>
      <w:r w:rsidRPr="005F3EB9">
        <w:t xml:space="preserve">base year </w:t>
      </w:r>
      <w:r w:rsidR="00D51DEF" w:rsidRPr="005F3EB9">
        <w:t>throughput</w:t>
      </w:r>
    </w:p>
    <w:p w14:paraId="1E86C41A" w14:textId="08E5EED2" w:rsidR="00026E66" w:rsidRDefault="002737EF" w:rsidP="002C18CD">
      <w:pPr>
        <w:pStyle w:val="Heading3"/>
      </w:pPr>
      <w:r>
        <w:t>10.4.</w:t>
      </w:r>
      <w:r w:rsidR="002C18CD">
        <w:t>2</w:t>
      </w:r>
      <w:r>
        <w:t xml:space="preserve">. Unexpected disruption to energy supply causing the </w:t>
      </w:r>
      <w:r w:rsidR="00495AA0">
        <w:t>facility</w:t>
      </w:r>
      <w:r w:rsidR="003E1576">
        <w:t xml:space="preserve"> </w:t>
      </w:r>
      <w:r>
        <w:t xml:space="preserve">to fail to meet its target </w:t>
      </w:r>
    </w:p>
    <w:p w14:paraId="331DD83D" w14:textId="08BFC06A" w:rsidR="00026E66" w:rsidRDefault="002737EF" w:rsidP="00FF0098">
      <w:pPr>
        <w:tabs>
          <w:tab w:val="left" w:pos="0"/>
        </w:tabs>
      </w:pPr>
      <w:r>
        <w:rPr>
          <w:color w:val="auto"/>
          <w:szCs w:val="24"/>
        </w:rPr>
        <w:t>Paragraph 5</w:t>
      </w:r>
      <w:r w:rsidR="00331893">
        <w:rPr>
          <w:color w:val="auto"/>
          <w:szCs w:val="24"/>
        </w:rPr>
        <w:t>6</w:t>
      </w:r>
      <w:r>
        <w:rPr>
          <w:color w:val="auto"/>
          <w:szCs w:val="24"/>
        </w:rPr>
        <w:t xml:space="preserve"> </w:t>
      </w:r>
      <w:r>
        <w:rPr>
          <w:color w:val="auto"/>
        </w:rPr>
        <w:t xml:space="preserve">of </w:t>
      </w:r>
      <w:r>
        <w:rPr>
          <w:color w:val="auto"/>
          <w:szCs w:val="24"/>
        </w:rPr>
        <w:t>the</w:t>
      </w:r>
      <w:r>
        <w:rPr>
          <w:color w:val="auto"/>
        </w:rPr>
        <w:t xml:space="preserve"> </w:t>
      </w:r>
      <w:hyperlink r:id="rId81" w:history="1">
        <w:r>
          <w:rPr>
            <w:rStyle w:val="Hyperlink"/>
            <w:color w:val="0070C0"/>
          </w:rPr>
          <w:t>Technical Annex</w:t>
        </w:r>
      </w:hyperlink>
      <w:r>
        <w:rPr>
          <w:color w:val="auto"/>
        </w:rPr>
        <w:t xml:space="preserve"> states: </w:t>
      </w:r>
    </w:p>
    <w:p w14:paraId="42BE0A62" w14:textId="7523712B" w:rsidR="001F3265" w:rsidRDefault="001F3265" w:rsidP="004C1365">
      <w:pPr>
        <w:tabs>
          <w:tab w:val="left" w:pos="0"/>
        </w:tabs>
        <w:ind w:left="720"/>
      </w:pPr>
      <w:r>
        <w:t>“</w:t>
      </w:r>
      <w:r w:rsidRPr="001F3265">
        <w:t xml:space="preserve">When an Operator has made a notification that there has been an unexpected disruption in the supply of energy to the site or an unexpected failure in on-site dedicated electricity generation the </w:t>
      </w:r>
      <w:hyperlink w:anchor="Administrator" w:history="1">
        <w:r w:rsidRPr="00260C86">
          <w:rPr>
            <w:rStyle w:val="Hyperlink"/>
          </w:rPr>
          <w:t>Administrator</w:t>
        </w:r>
      </w:hyperlink>
      <w:r w:rsidRPr="001F3265">
        <w:t xml:space="preserve"> may adjust the target to take account of the difference between the quantity and type of </w:t>
      </w:r>
      <w:hyperlink w:anchor="Primaryenergy" w:history="1">
        <w:r w:rsidRPr="00EE67CC">
          <w:rPr>
            <w:rStyle w:val="Hyperlink"/>
          </w:rPr>
          <w:t>primary energy</w:t>
        </w:r>
      </w:hyperlink>
      <w:r w:rsidRPr="001F3265">
        <w:t xml:space="preserve"> consumption that would normally have been required to support operations for the period of the supply failure and the quantity and type of primary energy consumption that was actually required to support operations during the period of the failure. The difference between the two will be taken as the additional energy (or carbon) incurred by the target facility </w:t>
      </w:r>
      <w:proofErr w:type="gramStart"/>
      <w:r w:rsidRPr="001F3265">
        <w:t>as a result of</w:t>
      </w:r>
      <w:proofErr w:type="gramEnd"/>
      <w:r w:rsidRPr="001F3265">
        <w:t xml:space="preserve"> the unexpected supply disruption.</w:t>
      </w:r>
      <w:r>
        <w:t xml:space="preserve">” </w:t>
      </w:r>
    </w:p>
    <w:p w14:paraId="042123AA" w14:textId="7518C38E" w:rsidR="00026E66" w:rsidRPr="00CE1EF9" w:rsidRDefault="003E1576" w:rsidP="00CE1EF9">
      <w:pPr>
        <w:tabs>
          <w:tab w:val="left" w:pos="0"/>
        </w:tabs>
        <w:spacing w:after="151" w:line="247" w:lineRule="auto"/>
        <w:ind w:right="160"/>
        <w:rPr>
          <w:color w:val="auto"/>
          <w:szCs w:val="24"/>
        </w:rPr>
      </w:pPr>
      <w:r>
        <w:rPr>
          <w:color w:val="auto"/>
          <w:szCs w:val="24"/>
        </w:rPr>
        <w:t>T</w:t>
      </w:r>
      <w:r w:rsidR="00361DD7">
        <w:rPr>
          <w:color w:val="auto"/>
          <w:szCs w:val="24"/>
        </w:rPr>
        <w:t xml:space="preserve">o determine that there has been an unexpected disruption in the supply of energy to </w:t>
      </w:r>
      <w:r w:rsidR="009023CA">
        <w:rPr>
          <w:color w:val="auto"/>
          <w:szCs w:val="24"/>
        </w:rPr>
        <w:t xml:space="preserve">a </w:t>
      </w:r>
      <w:r w:rsidR="00361DD7">
        <w:rPr>
          <w:color w:val="auto"/>
          <w:szCs w:val="24"/>
        </w:rPr>
        <w:t xml:space="preserve">facility or an unexpected failure in on-site dedicated electricity generation, </w:t>
      </w:r>
      <w:r w:rsidR="00F93C96">
        <w:rPr>
          <w:color w:val="auto"/>
          <w:szCs w:val="24"/>
        </w:rPr>
        <w:t xml:space="preserve">the operator </w:t>
      </w:r>
      <w:r w:rsidR="001277C0">
        <w:rPr>
          <w:color w:val="auto"/>
          <w:szCs w:val="24"/>
        </w:rPr>
        <w:t xml:space="preserve">must </w:t>
      </w:r>
      <w:r w:rsidR="00F93C96">
        <w:rPr>
          <w:color w:val="auto"/>
          <w:szCs w:val="24"/>
        </w:rPr>
        <w:t>provide us with</w:t>
      </w:r>
      <w:r w:rsidR="00361DD7">
        <w:rPr>
          <w:color w:val="auto"/>
          <w:szCs w:val="24"/>
        </w:rPr>
        <w:t>:</w:t>
      </w:r>
      <w:r w:rsidR="002737EF">
        <w:t xml:space="preserve"> </w:t>
      </w:r>
    </w:p>
    <w:p w14:paraId="0661EAD5" w14:textId="77777777" w:rsidR="00026E66" w:rsidRDefault="002737EF" w:rsidP="0065356B">
      <w:pPr>
        <w:pStyle w:val="ListParagraph"/>
        <w:numPr>
          <w:ilvl w:val="0"/>
          <w:numId w:val="80"/>
        </w:numPr>
        <w:tabs>
          <w:tab w:val="left" w:pos="0"/>
        </w:tabs>
      </w:pPr>
      <w:r>
        <w:t>formal, qualitative evidence that the supply of energy was disrupted, or that on-site dedicated electricity generation plant failed</w:t>
      </w:r>
    </w:p>
    <w:p w14:paraId="757A9816" w14:textId="77777777" w:rsidR="00026E66" w:rsidRDefault="002737EF" w:rsidP="0065356B">
      <w:pPr>
        <w:pStyle w:val="ListParagraph"/>
        <w:numPr>
          <w:ilvl w:val="0"/>
          <w:numId w:val="80"/>
        </w:numPr>
        <w:tabs>
          <w:tab w:val="left" w:pos="0"/>
        </w:tabs>
      </w:pPr>
      <w:r>
        <w:t xml:space="preserve">quantitative evidence of the duration of the disruption of supply – for example, a letter from the energy supplier, or an extract from the energy management system </w:t>
      </w:r>
    </w:p>
    <w:p w14:paraId="7B29725C" w14:textId="05620C38" w:rsidR="00026E66" w:rsidRDefault="002737EF" w:rsidP="0065356B">
      <w:pPr>
        <w:pStyle w:val="ListParagraph"/>
        <w:numPr>
          <w:ilvl w:val="0"/>
          <w:numId w:val="80"/>
        </w:numPr>
        <w:tabs>
          <w:tab w:val="left" w:pos="0"/>
        </w:tabs>
      </w:pPr>
      <w:r>
        <w:t>qualitative evidence to demonstrate that the failure could not have been anticipated – for example, evidence that electricity generation plant adhered to the maintenance regime specified by the plant supplier and that the plant was not scheduled for maintenance for a period comparable to the duration of the supply failure. Examples of evidence could include an extract from the maintenance logbook schedules and/or a letter from the energy supplier providing evidence that the site was not on an interruptible energy supply contract.</w:t>
      </w:r>
      <w:r w:rsidR="00FC355D">
        <w:t xml:space="preserve"> </w:t>
      </w:r>
    </w:p>
    <w:p w14:paraId="001522B2" w14:textId="77777777" w:rsidR="00026E66" w:rsidRDefault="002737EF" w:rsidP="0065356B">
      <w:pPr>
        <w:pStyle w:val="ListParagraph"/>
        <w:numPr>
          <w:ilvl w:val="0"/>
          <w:numId w:val="80"/>
        </w:numPr>
        <w:tabs>
          <w:tab w:val="left" w:pos="0"/>
        </w:tabs>
      </w:pPr>
      <w:r>
        <w:t>data to allow an adjusted target to be created for the relevant target period</w:t>
      </w:r>
    </w:p>
    <w:p w14:paraId="57D09A14" w14:textId="4AA6CBFC" w:rsidR="00026E66" w:rsidRDefault="005461D5" w:rsidP="00FF0098">
      <w:pPr>
        <w:tabs>
          <w:tab w:val="left" w:pos="0"/>
        </w:tabs>
      </w:pPr>
      <w:r>
        <w:t xml:space="preserve">If the supply disruption did not cause the </w:t>
      </w:r>
      <w:r w:rsidR="001C4FFD">
        <w:t xml:space="preserve">operator </w:t>
      </w:r>
      <w:r>
        <w:t xml:space="preserve">to fail </w:t>
      </w:r>
      <w:r w:rsidR="001C4FFD">
        <w:t xml:space="preserve">to meet the </w:t>
      </w:r>
      <w:r>
        <w:t>target</w:t>
      </w:r>
      <w:r w:rsidR="001C4FFD">
        <w:t xml:space="preserve"> for a facility</w:t>
      </w:r>
      <w:r>
        <w:t>, we will not adjust the facility target.</w:t>
      </w:r>
    </w:p>
    <w:p w14:paraId="28C22B99" w14:textId="34BDFAFB" w:rsidR="00026E66" w:rsidRDefault="00844CCD" w:rsidP="00FF0098">
      <w:pPr>
        <w:tabs>
          <w:tab w:val="left" w:pos="0"/>
        </w:tabs>
      </w:pPr>
      <w:r>
        <w:lastRenderedPageBreak/>
        <w:t xml:space="preserve">We have developed a </w:t>
      </w:r>
      <w:r w:rsidR="004978E7">
        <w:t>workbook</w:t>
      </w:r>
      <w:r w:rsidR="002737EF">
        <w:t xml:space="preserve"> </w:t>
      </w:r>
      <w:r w:rsidR="007546B0">
        <w:t xml:space="preserve">which we will use to calculate the </w:t>
      </w:r>
      <w:r w:rsidR="002737EF">
        <w:t xml:space="preserve">adjusted target. This workbook is provided in </w:t>
      </w:r>
      <w:hyperlink w:anchor="_Appendix_H:_Workbook_1" w:history="1">
        <w:r w:rsidR="002737EF">
          <w:rPr>
            <w:rStyle w:val="Hyperlink"/>
          </w:rPr>
          <w:t>Appendix H</w:t>
        </w:r>
      </w:hyperlink>
      <w:r w:rsidR="002737EF">
        <w:t>.</w:t>
      </w:r>
    </w:p>
    <w:p w14:paraId="4432FE39" w14:textId="6EE7B176" w:rsidR="00026E66" w:rsidRDefault="002737EF" w:rsidP="00FF0098">
      <w:pPr>
        <w:tabs>
          <w:tab w:val="left" w:pos="0"/>
        </w:tabs>
      </w:pPr>
      <w:r>
        <w:t xml:space="preserve">Variations related to the disruption of power supply cannot be submitted until the </w:t>
      </w:r>
      <w:hyperlink w:anchor="Reportingwindow" w:history="1">
        <w:r w:rsidRPr="005E46F7">
          <w:rPr>
            <w:rStyle w:val="Hyperlink"/>
          </w:rPr>
          <w:t>reporting window</w:t>
        </w:r>
      </w:hyperlink>
      <w:r>
        <w:t xml:space="preserve"> opens on 1 January following the end of the target period. However, sectors with </w:t>
      </w:r>
      <w:r w:rsidR="00AA0984">
        <w:t>facilities</w:t>
      </w:r>
      <w:r>
        <w:t xml:space="preserve"> that are affected by this issue should contact </w:t>
      </w:r>
      <w:r w:rsidR="00D952BC">
        <w:t>the Environment Agency</w:t>
      </w:r>
      <w:r>
        <w:t xml:space="preserve"> and gather</w:t>
      </w:r>
      <w:r w:rsidR="00C32698">
        <w:t xml:space="preserve"> </w:t>
      </w:r>
      <w:r>
        <w:t xml:space="preserve">the required </w:t>
      </w:r>
      <w:r w:rsidR="00C32698">
        <w:t xml:space="preserve">information we need from operators </w:t>
      </w:r>
      <w:r>
        <w:t>as soon as possible.</w:t>
      </w:r>
    </w:p>
    <w:p w14:paraId="5113A1FF" w14:textId="4567F79E" w:rsidR="00D92B41" w:rsidRDefault="00D92B41" w:rsidP="00D92B41">
      <w:pPr>
        <w:pStyle w:val="Heading2"/>
        <w:tabs>
          <w:tab w:val="left" w:pos="0"/>
        </w:tabs>
      </w:pPr>
      <w:bookmarkStart w:id="219" w:name="_10.5_Buy-out,_surplus"/>
      <w:bookmarkStart w:id="220" w:name="_Toc242885404"/>
      <w:bookmarkEnd w:id="219"/>
      <w:r>
        <w:t>10.5</w:t>
      </w:r>
      <w:r w:rsidR="007D54E3">
        <w:t>.</w:t>
      </w:r>
      <w:r>
        <w:t xml:space="preserve"> Buy-out</w:t>
      </w:r>
      <w:r w:rsidR="004368CF">
        <w:t xml:space="preserve">, </w:t>
      </w:r>
      <w:r>
        <w:t xml:space="preserve">surplus </w:t>
      </w:r>
      <w:r w:rsidR="004368CF">
        <w:t>and recertification</w:t>
      </w:r>
      <w:bookmarkEnd w:id="220"/>
    </w:p>
    <w:p w14:paraId="50128844" w14:textId="6A4EF5F8" w:rsidR="00026E66" w:rsidRDefault="0030135B" w:rsidP="00FF0098">
      <w:pPr>
        <w:tabs>
          <w:tab w:val="left" w:pos="0"/>
        </w:tabs>
        <w:spacing w:after="56"/>
        <w:ind w:right="182"/>
        <w:rPr>
          <w:color w:val="auto"/>
        </w:rPr>
      </w:pPr>
      <w:r>
        <w:rPr>
          <w:color w:val="auto"/>
        </w:rPr>
        <w:t xml:space="preserve">We use the </w:t>
      </w:r>
      <w:hyperlink w:anchor="Buyout" w:history="1">
        <w:r w:rsidR="002737EF" w:rsidRPr="00581B7A">
          <w:rPr>
            <w:rStyle w:val="Hyperlink"/>
          </w:rPr>
          <w:t>buy-out</w:t>
        </w:r>
      </w:hyperlink>
      <w:r w:rsidR="002737EF">
        <w:rPr>
          <w:color w:val="auto"/>
        </w:rPr>
        <w:t xml:space="preserve"> and </w:t>
      </w:r>
      <w:hyperlink w:anchor="Surplus" w:history="1">
        <w:r w:rsidR="00D4753C">
          <w:rPr>
            <w:rStyle w:val="Hyperlink"/>
          </w:rPr>
          <w:t>surplus</w:t>
        </w:r>
      </w:hyperlink>
      <w:r w:rsidR="002737EF">
        <w:rPr>
          <w:color w:val="auto"/>
        </w:rPr>
        <w:t xml:space="preserve"> mechanisms where </w:t>
      </w:r>
      <w:r w:rsidR="00C32698">
        <w:rPr>
          <w:color w:val="auto"/>
        </w:rPr>
        <w:t xml:space="preserve">an operator </w:t>
      </w:r>
      <w:r w:rsidR="002737EF">
        <w:rPr>
          <w:color w:val="auto"/>
        </w:rPr>
        <w:t>under</w:t>
      </w:r>
      <w:r w:rsidR="00C32698">
        <w:rPr>
          <w:color w:val="auto"/>
        </w:rPr>
        <w:t>-</w:t>
      </w:r>
      <w:r w:rsidR="002737EF">
        <w:rPr>
          <w:color w:val="auto"/>
        </w:rPr>
        <w:t xml:space="preserve"> or over-achieve</w:t>
      </w:r>
      <w:r w:rsidR="00C32698">
        <w:rPr>
          <w:color w:val="auto"/>
        </w:rPr>
        <w:t>s</w:t>
      </w:r>
      <w:r w:rsidR="002737EF">
        <w:rPr>
          <w:color w:val="auto"/>
        </w:rPr>
        <w:t xml:space="preserve"> against </w:t>
      </w:r>
      <w:r w:rsidR="00C32698">
        <w:rPr>
          <w:color w:val="auto"/>
        </w:rPr>
        <w:t xml:space="preserve">the </w:t>
      </w:r>
      <w:r w:rsidR="002737EF">
        <w:rPr>
          <w:color w:val="auto"/>
        </w:rPr>
        <w:t>target</w:t>
      </w:r>
      <w:r w:rsidR="00DA540F">
        <w:rPr>
          <w:color w:val="auto"/>
        </w:rPr>
        <w:t xml:space="preserve"> for each facility covered by an active underlying agreement</w:t>
      </w:r>
      <w:r w:rsidR="002737EF">
        <w:rPr>
          <w:color w:val="auto"/>
        </w:rPr>
        <w:t>.</w:t>
      </w:r>
    </w:p>
    <w:p w14:paraId="720280A0" w14:textId="1B050E4C" w:rsidR="00026E66" w:rsidRDefault="002737EF" w:rsidP="004000C6">
      <w:pPr>
        <w:pStyle w:val="Heading3"/>
      </w:pPr>
      <w:r>
        <w:t>10.</w:t>
      </w:r>
      <w:r w:rsidR="00736CFF">
        <w:t>5</w:t>
      </w:r>
      <w:r w:rsidR="00D92B41">
        <w:t>.</w:t>
      </w:r>
      <w:r>
        <w:t xml:space="preserve">1 Surplus </w:t>
      </w:r>
    </w:p>
    <w:p w14:paraId="088AD219" w14:textId="55A8EBD9" w:rsidR="002F42C1" w:rsidRDefault="00E16AC9" w:rsidP="00FF0098">
      <w:pPr>
        <w:tabs>
          <w:tab w:val="left" w:pos="0"/>
        </w:tabs>
        <w:spacing w:after="0"/>
        <w:ind w:right="182"/>
        <w:rPr>
          <w:color w:val="auto"/>
          <w:szCs w:val="24"/>
        </w:rPr>
      </w:pPr>
      <w:r>
        <w:rPr>
          <w:color w:val="auto"/>
          <w:szCs w:val="24"/>
        </w:rPr>
        <w:t xml:space="preserve">Where an operator overachieves the target for a facility, </w:t>
      </w:r>
      <w:r w:rsidR="000178EC">
        <w:rPr>
          <w:color w:val="auto"/>
          <w:szCs w:val="24"/>
        </w:rPr>
        <w:t xml:space="preserve">we can use </w:t>
      </w:r>
      <w:r>
        <w:rPr>
          <w:color w:val="auto"/>
          <w:szCs w:val="24"/>
        </w:rPr>
        <w:t xml:space="preserve">the amount of carbon dioxide </w:t>
      </w:r>
      <w:r w:rsidR="000178EC">
        <w:rPr>
          <w:color w:val="auto"/>
          <w:szCs w:val="24"/>
        </w:rPr>
        <w:t xml:space="preserve">emitted </w:t>
      </w:r>
      <w:r w:rsidR="00F46AA1">
        <w:rPr>
          <w:color w:val="auto"/>
          <w:szCs w:val="24"/>
        </w:rPr>
        <w:t xml:space="preserve">that was </w:t>
      </w:r>
      <w:r w:rsidR="00A54DED">
        <w:rPr>
          <w:color w:val="auto"/>
          <w:szCs w:val="24"/>
        </w:rPr>
        <w:t xml:space="preserve">under the target amount </w:t>
      </w:r>
      <w:r w:rsidR="00544D4D">
        <w:rPr>
          <w:color w:val="auto"/>
          <w:szCs w:val="24"/>
        </w:rPr>
        <w:t xml:space="preserve">(the surplus) </w:t>
      </w:r>
      <w:r w:rsidR="00A54DED">
        <w:rPr>
          <w:color w:val="auto"/>
          <w:szCs w:val="24"/>
        </w:rPr>
        <w:t xml:space="preserve">to offset any under-performance for that </w:t>
      </w:r>
      <w:r w:rsidR="000178EC">
        <w:rPr>
          <w:color w:val="auto"/>
          <w:szCs w:val="24"/>
        </w:rPr>
        <w:t xml:space="preserve">same </w:t>
      </w:r>
      <w:r w:rsidR="00A54DED">
        <w:rPr>
          <w:color w:val="auto"/>
          <w:szCs w:val="24"/>
        </w:rPr>
        <w:t>facility in a future target period</w:t>
      </w:r>
      <w:r w:rsidR="000178EC">
        <w:rPr>
          <w:color w:val="auto"/>
          <w:szCs w:val="24"/>
        </w:rPr>
        <w:t>.</w:t>
      </w:r>
      <w:r w:rsidR="000178EC" w:rsidDel="00725771">
        <w:rPr>
          <w:color w:val="auto"/>
          <w:szCs w:val="24"/>
        </w:rPr>
        <w:t xml:space="preserve"> </w:t>
      </w:r>
      <w:r w:rsidR="000178EC">
        <w:rPr>
          <w:color w:val="auto"/>
          <w:szCs w:val="24"/>
        </w:rPr>
        <w:t xml:space="preserve">This is </w:t>
      </w:r>
      <w:r w:rsidR="00C708DA">
        <w:rPr>
          <w:color w:val="auto"/>
          <w:szCs w:val="24"/>
        </w:rPr>
        <w:t>subject to the following restrictions:</w:t>
      </w:r>
    </w:p>
    <w:p w14:paraId="7299D943" w14:textId="6639F3AA" w:rsidR="00C708DA" w:rsidRDefault="00C708DA" w:rsidP="00C708DA">
      <w:pPr>
        <w:pStyle w:val="ListParagraph"/>
        <w:numPr>
          <w:ilvl w:val="0"/>
          <w:numId w:val="80"/>
        </w:numPr>
        <w:tabs>
          <w:tab w:val="left" w:pos="0"/>
        </w:tabs>
        <w:spacing w:after="0"/>
        <w:ind w:right="182"/>
        <w:rPr>
          <w:szCs w:val="24"/>
        </w:rPr>
      </w:pPr>
      <w:r>
        <w:rPr>
          <w:szCs w:val="24"/>
        </w:rPr>
        <w:t>we cannot use any surplus generated from target period 6 or earlier</w:t>
      </w:r>
    </w:p>
    <w:p w14:paraId="41133C3F" w14:textId="22AC5048" w:rsidR="007F6E71" w:rsidRDefault="007F6E71" w:rsidP="00C708DA">
      <w:pPr>
        <w:pStyle w:val="ListParagraph"/>
        <w:numPr>
          <w:ilvl w:val="0"/>
          <w:numId w:val="80"/>
        </w:numPr>
        <w:tabs>
          <w:tab w:val="left" w:pos="0"/>
        </w:tabs>
        <w:spacing w:after="0"/>
        <w:ind w:right="182"/>
        <w:rPr>
          <w:szCs w:val="24"/>
        </w:rPr>
      </w:pPr>
      <w:r>
        <w:rPr>
          <w:szCs w:val="24"/>
        </w:rPr>
        <w:t>we can only use surplus to offset underachievement before the start of the next certification period</w:t>
      </w:r>
    </w:p>
    <w:p w14:paraId="0A1B8585" w14:textId="7D9112B1" w:rsidR="00F46AA1" w:rsidRPr="00C708DA" w:rsidRDefault="00F46AA1" w:rsidP="00C708DA">
      <w:pPr>
        <w:pStyle w:val="ListParagraph"/>
        <w:numPr>
          <w:ilvl w:val="0"/>
          <w:numId w:val="80"/>
        </w:numPr>
        <w:tabs>
          <w:tab w:val="left" w:pos="0"/>
        </w:tabs>
        <w:spacing w:after="0"/>
        <w:ind w:right="182"/>
        <w:rPr>
          <w:szCs w:val="24"/>
        </w:rPr>
      </w:pPr>
      <w:r>
        <w:rPr>
          <w:szCs w:val="24"/>
        </w:rPr>
        <w:t xml:space="preserve">we cannot use surplus generated by one facility </w:t>
      </w:r>
      <w:r w:rsidR="005F6794">
        <w:rPr>
          <w:szCs w:val="24"/>
        </w:rPr>
        <w:t>to offset the underachievement of a different facility</w:t>
      </w:r>
    </w:p>
    <w:p w14:paraId="57C694EB" w14:textId="62920A1B" w:rsidR="000178EC" w:rsidRDefault="000178EC" w:rsidP="00FF0098">
      <w:pPr>
        <w:tabs>
          <w:tab w:val="left" w:pos="0"/>
        </w:tabs>
        <w:spacing w:after="0"/>
        <w:ind w:right="182"/>
        <w:rPr>
          <w:color w:val="auto"/>
          <w:szCs w:val="24"/>
        </w:rPr>
      </w:pPr>
      <w:r>
        <w:rPr>
          <w:color w:val="auto"/>
          <w:szCs w:val="24"/>
        </w:rPr>
        <w:t>For example:</w:t>
      </w:r>
    </w:p>
    <w:p w14:paraId="1EC2D7EF" w14:textId="7CE0B1A5" w:rsidR="000178EC" w:rsidRDefault="00877E05" w:rsidP="000178EC">
      <w:pPr>
        <w:pStyle w:val="ListParagraph"/>
        <w:numPr>
          <w:ilvl w:val="0"/>
          <w:numId w:val="225"/>
        </w:numPr>
        <w:tabs>
          <w:tab w:val="left" w:pos="0"/>
        </w:tabs>
        <w:spacing w:after="0"/>
        <w:ind w:right="182"/>
        <w:rPr>
          <w:szCs w:val="24"/>
        </w:rPr>
      </w:pPr>
      <w:r>
        <w:rPr>
          <w:szCs w:val="24"/>
        </w:rPr>
        <w:t xml:space="preserve">we cannot use </w:t>
      </w:r>
      <w:r w:rsidR="00744E2F">
        <w:rPr>
          <w:szCs w:val="24"/>
        </w:rPr>
        <w:t xml:space="preserve">any </w:t>
      </w:r>
      <w:r>
        <w:rPr>
          <w:szCs w:val="24"/>
        </w:rPr>
        <w:t xml:space="preserve">surplus </w:t>
      </w:r>
      <w:r w:rsidR="00744E2F">
        <w:rPr>
          <w:szCs w:val="24"/>
        </w:rPr>
        <w:t xml:space="preserve">from TP6 or earlier </w:t>
      </w:r>
      <w:r>
        <w:rPr>
          <w:szCs w:val="24"/>
        </w:rPr>
        <w:t>to offset underachievement against TP7 targets</w:t>
      </w:r>
      <w:r w:rsidR="004209C1">
        <w:rPr>
          <w:szCs w:val="24"/>
        </w:rPr>
        <w:t xml:space="preserve"> – the </w:t>
      </w:r>
      <w:r w:rsidR="004209C1" w:rsidRPr="004209C1">
        <w:rPr>
          <w:szCs w:val="24"/>
        </w:rPr>
        <w:t xml:space="preserve">initial amount of surplus for </w:t>
      </w:r>
      <w:r w:rsidR="004F1D58">
        <w:rPr>
          <w:szCs w:val="24"/>
        </w:rPr>
        <w:t xml:space="preserve">all </w:t>
      </w:r>
      <w:r w:rsidR="004209C1" w:rsidRPr="004209C1">
        <w:rPr>
          <w:szCs w:val="24"/>
        </w:rPr>
        <w:t>facilit</w:t>
      </w:r>
      <w:r w:rsidR="004F1D58">
        <w:rPr>
          <w:szCs w:val="24"/>
        </w:rPr>
        <w:t>ies</w:t>
      </w:r>
      <w:r w:rsidR="004209C1" w:rsidRPr="004209C1">
        <w:rPr>
          <w:szCs w:val="24"/>
        </w:rPr>
        <w:t xml:space="preserve"> </w:t>
      </w:r>
      <w:r w:rsidR="004209C1">
        <w:rPr>
          <w:szCs w:val="24"/>
        </w:rPr>
        <w:t xml:space="preserve">at </w:t>
      </w:r>
      <w:r w:rsidR="004209C1" w:rsidRPr="004209C1">
        <w:rPr>
          <w:szCs w:val="24"/>
        </w:rPr>
        <w:t xml:space="preserve">the start of the </w:t>
      </w:r>
      <w:r w:rsidR="004F1D58">
        <w:rPr>
          <w:szCs w:val="24"/>
        </w:rPr>
        <w:t xml:space="preserve">TP7 </w:t>
      </w:r>
      <w:r w:rsidR="004209C1" w:rsidRPr="004209C1">
        <w:rPr>
          <w:szCs w:val="24"/>
        </w:rPr>
        <w:t>will be zero</w:t>
      </w:r>
    </w:p>
    <w:p w14:paraId="2A28239F" w14:textId="32A86B06" w:rsidR="00877E05" w:rsidRDefault="00877E05" w:rsidP="000178EC">
      <w:pPr>
        <w:pStyle w:val="ListParagraph"/>
        <w:numPr>
          <w:ilvl w:val="0"/>
          <w:numId w:val="225"/>
        </w:numPr>
        <w:tabs>
          <w:tab w:val="left" w:pos="0"/>
        </w:tabs>
        <w:spacing w:after="0"/>
        <w:ind w:right="182"/>
        <w:rPr>
          <w:szCs w:val="24"/>
        </w:rPr>
      </w:pPr>
      <w:r>
        <w:rPr>
          <w:szCs w:val="24"/>
        </w:rPr>
        <w:t>we can use</w:t>
      </w:r>
      <w:r w:rsidR="00E454B3">
        <w:rPr>
          <w:szCs w:val="24"/>
        </w:rPr>
        <w:t xml:space="preserve"> any</w:t>
      </w:r>
      <w:r>
        <w:rPr>
          <w:szCs w:val="24"/>
        </w:rPr>
        <w:t xml:space="preserve"> surplus from TP7 to offset underachievement against the targets for TP8 or TP9 </w:t>
      </w:r>
    </w:p>
    <w:p w14:paraId="445D8875" w14:textId="7496D26E" w:rsidR="00877E05" w:rsidRDefault="00877E05" w:rsidP="000178EC">
      <w:pPr>
        <w:pStyle w:val="ListParagraph"/>
        <w:numPr>
          <w:ilvl w:val="0"/>
          <w:numId w:val="225"/>
        </w:numPr>
        <w:tabs>
          <w:tab w:val="left" w:pos="0"/>
        </w:tabs>
        <w:spacing w:after="0"/>
        <w:ind w:right="182"/>
        <w:rPr>
          <w:szCs w:val="24"/>
        </w:rPr>
      </w:pPr>
      <w:r>
        <w:rPr>
          <w:szCs w:val="24"/>
        </w:rPr>
        <w:t xml:space="preserve">we can use </w:t>
      </w:r>
      <w:r w:rsidR="00E454B3">
        <w:rPr>
          <w:szCs w:val="24"/>
        </w:rPr>
        <w:t xml:space="preserve">any </w:t>
      </w:r>
      <w:r>
        <w:rPr>
          <w:szCs w:val="24"/>
        </w:rPr>
        <w:t>surplus from TP8 to offset underachievement against the target for TP9</w:t>
      </w:r>
      <w:bookmarkStart w:id="221" w:name="_10.4.2.2._Buy-out"/>
      <w:bookmarkStart w:id="222" w:name="_10.5.2._Buy-out"/>
      <w:bookmarkEnd w:id="221"/>
      <w:bookmarkEnd w:id="222"/>
    </w:p>
    <w:p w14:paraId="50BBDE9B" w14:textId="0AEA858A" w:rsidR="00026E66" w:rsidRDefault="002737EF" w:rsidP="004000C6">
      <w:pPr>
        <w:pStyle w:val="Heading3"/>
      </w:pPr>
      <w:r>
        <w:t>10.</w:t>
      </w:r>
      <w:r w:rsidR="00D92B41">
        <w:t>5.2</w:t>
      </w:r>
      <w:r>
        <w:t xml:space="preserve">. Buy-out </w:t>
      </w:r>
    </w:p>
    <w:p w14:paraId="5257B62D" w14:textId="7D05D7F5" w:rsidR="00026E66" w:rsidRDefault="002737EF" w:rsidP="00FF0098">
      <w:pPr>
        <w:tabs>
          <w:tab w:val="left" w:pos="0"/>
        </w:tabs>
      </w:pPr>
      <w:r>
        <w:t xml:space="preserve">The buy-out mechanism </w:t>
      </w:r>
      <w:r w:rsidR="00431EA5">
        <w:t xml:space="preserve">allows us to </w:t>
      </w:r>
      <w:r w:rsidR="00AD3840">
        <w:t>issue a buy-out fee notice to</w:t>
      </w:r>
      <w:r w:rsidR="009E5559">
        <w:t xml:space="preserve"> an</w:t>
      </w:r>
      <w:r w:rsidR="00AD3840">
        <w:t xml:space="preserve"> operator who </w:t>
      </w:r>
      <w:r w:rsidR="00742873">
        <w:t>fails to meet their improvement target</w:t>
      </w:r>
      <w:r w:rsidR="00AD3840">
        <w:t xml:space="preserve"> for a facility</w:t>
      </w:r>
      <w:r>
        <w:t>.</w:t>
      </w:r>
      <w:r w:rsidR="002C0F99">
        <w:t xml:space="preserve"> We can only recertify a facility for the next certification period</w:t>
      </w:r>
      <w:r>
        <w:t xml:space="preserve"> </w:t>
      </w:r>
      <w:r w:rsidR="00C55A68">
        <w:t xml:space="preserve">if </w:t>
      </w:r>
      <w:r w:rsidR="002C0F99">
        <w:t>the operator pays the buy-out fee</w:t>
      </w:r>
      <w:r w:rsidR="000C63FD">
        <w:t xml:space="preserve"> for the facility </w:t>
      </w:r>
      <w:r w:rsidR="00F33056">
        <w:t xml:space="preserve">whose improvement target </w:t>
      </w:r>
      <w:r w:rsidR="000C63FD">
        <w:t>they failed to meet</w:t>
      </w:r>
      <w:r w:rsidR="002C0F99">
        <w:t>.</w:t>
      </w:r>
    </w:p>
    <w:p w14:paraId="09F4BC56" w14:textId="6B6BD44F" w:rsidR="00026E66" w:rsidRDefault="00F33056" w:rsidP="00FF0098">
      <w:pPr>
        <w:tabs>
          <w:tab w:val="left" w:pos="0"/>
        </w:tabs>
      </w:pPr>
      <w:r>
        <w:lastRenderedPageBreak/>
        <w:t xml:space="preserve">The rates of </w:t>
      </w:r>
      <w:r w:rsidR="00072E3F">
        <w:t>buy</w:t>
      </w:r>
      <w:r w:rsidR="0010100A">
        <w:t>-</w:t>
      </w:r>
      <w:r w:rsidR="00072E3F">
        <w:t xml:space="preserve">out fee for </w:t>
      </w:r>
      <w:r w:rsidR="006E01CC">
        <w:t xml:space="preserve">each target period in </w:t>
      </w:r>
      <w:r w:rsidR="00072E3F">
        <w:t xml:space="preserve">the </w:t>
      </w:r>
      <w:r>
        <w:t xml:space="preserve">previous phase of the </w:t>
      </w:r>
      <w:r w:rsidR="00072E3F">
        <w:t>scheme w</w:t>
      </w:r>
      <w:r w:rsidR="006E01CC">
        <w:t xml:space="preserve">ere </w:t>
      </w:r>
      <w:r w:rsidR="00072E3F">
        <w:t>s</w:t>
      </w:r>
      <w:r w:rsidR="006E01CC">
        <w:t>et</w:t>
      </w:r>
      <w:r w:rsidR="00072E3F">
        <w:t xml:space="preserve"> </w:t>
      </w:r>
      <w:r w:rsidR="006E01CC">
        <w:t>out in the regulations</w:t>
      </w:r>
      <w:r w:rsidR="0010100A">
        <w:t xml:space="preserve"> as</w:t>
      </w:r>
      <w:r w:rsidR="002737EF">
        <w:t xml:space="preserve"> follows:</w:t>
      </w:r>
    </w:p>
    <w:p w14:paraId="0CE9D682" w14:textId="77777777" w:rsidR="00026E66" w:rsidRDefault="002737EF" w:rsidP="0065356B">
      <w:pPr>
        <w:pStyle w:val="ListParagraph"/>
        <w:numPr>
          <w:ilvl w:val="0"/>
          <w:numId w:val="81"/>
        </w:numPr>
        <w:tabs>
          <w:tab w:val="left" w:pos="0"/>
        </w:tabs>
      </w:pPr>
      <w:r>
        <w:t>£12 per tCO2e for TP1 and TP2</w:t>
      </w:r>
    </w:p>
    <w:p w14:paraId="01D6F39A" w14:textId="77777777" w:rsidR="00026E66" w:rsidRDefault="002737EF" w:rsidP="0065356B">
      <w:pPr>
        <w:pStyle w:val="ListParagraph"/>
        <w:numPr>
          <w:ilvl w:val="0"/>
          <w:numId w:val="81"/>
        </w:numPr>
        <w:tabs>
          <w:tab w:val="left" w:pos="0"/>
        </w:tabs>
      </w:pPr>
      <w:r>
        <w:t>£14 per tCO2e for TP3 and TP4</w:t>
      </w:r>
    </w:p>
    <w:p w14:paraId="2E4BFB2A" w14:textId="77777777" w:rsidR="00026E66" w:rsidRDefault="002737EF" w:rsidP="0065356B">
      <w:pPr>
        <w:pStyle w:val="ListParagraph"/>
        <w:numPr>
          <w:ilvl w:val="0"/>
          <w:numId w:val="81"/>
        </w:numPr>
        <w:tabs>
          <w:tab w:val="left" w:pos="0"/>
        </w:tabs>
      </w:pPr>
      <w:r>
        <w:t>£18 per tCO2e for TP5</w:t>
      </w:r>
    </w:p>
    <w:p w14:paraId="1DF40837" w14:textId="4DB7E2C5" w:rsidR="002E015D" w:rsidRDefault="00804C81" w:rsidP="00B31743">
      <w:pPr>
        <w:pStyle w:val="ListParagraph"/>
        <w:numPr>
          <w:ilvl w:val="0"/>
          <w:numId w:val="81"/>
        </w:numPr>
        <w:tabs>
          <w:tab w:val="left" w:pos="0"/>
        </w:tabs>
      </w:pPr>
      <w:r>
        <w:t>£25 per tCO2e for TP6</w:t>
      </w:r>
    </w:p>
    <w:p w14:paraId="48B477DC" w14:textId="54ECD55F" w:rsidR="00403E6E" w:rsidRDefault="00B31743" w:rsidP="00B31743">
      <w:pPr>
        <w:tabs>
          <w:tab w:val="left" w:pos="0"/>
        </w:tabs>
      </w:pPr>
      <w:r>
        <w:t xml:space="preserve">For the new </w:t>
      </w:r>
      <w:r w:rsidR="008F5B6A">
        <w:t xml:space="preserve">phase of the </w:t>
      </w:r>
      <w:r>
        <w:t>sche</w:t>
      </w:r>
      <w:r w:rsidR="00947C43">
        <w:t xml:space="preserve">me, </w:t>
      </w:r>
      <w:r w:rsidR="008F5B6A">
        <w:t xml:space="preserve">the regulations have been amended to </w:t>
      </w:r>
      <w:r w:rsidR="00481019">
        <w:t xml:space="preserve">include </w:t>
      </w:r>
      <w:r w:rsidR="00CA5947">
        <w:t>a</w:t>
      </w:r>
      <w:r w:rsidR="00481019">
        <w:t xml:space="preserve"> </w:t>
      </w:r>
      <w:r w:rsidR="00947C43">
        <w:t xml:space="preserve">formula </w:t>
      </w:r>
      <w:r w:rsidR="00CA5947">
        <w:t xml:space="preserve">to </w:t>
      </w:r>
      <w:r w:rsidR="00A8410C">
        <w:t xml:space="preserve">set </w:t>
      </w:r>
      <w:r w:rsidR="00481019">
        <w:t xml:space="preserve">the rate of </w:t>
      </w:r>
      <w:r w:rsidR="00A933DA">
        <w:t>buy</w:t>
      </w:r>
      <w:r w:rsidR="00D61FC2">
        <w:t>-</w:t>
      </w:r>
      <w:r w:rsidR="00A933DA">
        <w:t xml:space="preserve">out fee </w:t>
      </w:r>
      <w:r w:rsidR="008A5262">
        <w:t xml:space="preserve">for </w:t>
      </w:r>
      <w:r w:rsidR="00481019">
        <w:t>target period</w:t>
      </w:r>
      <w:r w:rsidR="00A8410C">
        <w:t>s TP7-TP9</w:t>
      </w:r>
      <w:r w:rsidR="00A933DA">
        <w:t xml:space="preserve">. </w:t>
      </w:r>
      <w:r w:rsidR="000A47CF">
        <w:t xml:space="preserve">This formula </w:t>
      </w:r>
      <w:r w:rsidR="006F3458">
        <w:t>considers</w:t>
      </w:r>
      <w:r w:rsidR="000D4B2F">
        <w:t xml:space="preserve"> the</w:t>
      </w:r>
      <w:r w:rsidR="00403E6E">
        <w:t>:</w:t>
      </w:r>
    </w:p>
    <w:p w14:paraId="6A1D1918" w14:textId="6E549C08" w:rsidR="00A215E6" w:rsidRDefault="00FD4FA5" w:rsidP="00A215E6">
      <w:pPr>
        <w:pStyle w:val="ListParagraph"/>
        <w:numPr>
          <w:ilvl w:val="0"/>
          <w:numId w:val="162"/>
        </w:numPr>
        <w:tabs>
          <w:tab w:val="left" w:pos="0"/>
        </w:tabs>
      </w:pPr>
      <w:r>
        <w:t xml:space="preserve">published </w:t>
      </w:r>
      <w:r w:rsidR="00403E6E">
        <w:t xml:space="preserve">rates of </w:t>
      </w:r>
      <w:hyperlink w:anchor="CCL" w:history="1">
        <w:r w:rsidR="000A47CF" w:rsidRPr="002B56E7">
          <w:rPr>
            <w:rStyle w:val="Hyperlink"/>
          </w:rPr>
          <w:t>CCL</w:t>
        </w:r>
      </w:hyperlink>
      <w:r w:rsidR="000A47CF">
        <w:t xml:space="preserve"> for electricity and </w:t>
      </w:r>
      <w:r w:rsidR="00403E6E">
        <w:t xml:space="preserve">natural </w:t>
      </w:r>
      <w:r w:rsidR="000A47CF">
        <w:t>gas</w:t>
      </w:r>
      <w:r w:rsidR="00715733">
        <w:t xml:space="preserve"> on 1 April in the first year of each target period</w:t>
      </w:r>
    </w:p>
    <w:p w14:paraId="5C9B9FFC" w14:textId="2735DF56" w:rsidR="008A5262" w:rsidRDefault="007E1B88" w:rsidP="00A215E6">
      <w:pPr>
        <w:pStyle w:val="ListParagraph"/>
        <w:numPr>
          <w:ilvl w:val="0"/>
          <w:numId w:val="162"/>
        </w:numPr>
        <w:tabs>
          <w:tab w:val="left" w:pos="0"/>
        </w:tabs>
      </w:pPr>
      <w:r>
        <w:t xml:space="preserve">published percent </w:t>
      </w:r>
      <w:r w:rsidR="008A5262">
        <w:t>discount</w:t>
      </w:r>
      <w:r w:rsidR="00FD4FA5">
        <w:t xml:space="preserve">s </w:t>
      </w:r>
      <w:r w:rsidR="00E66A92">
        <w:t xml:space="preserve">for electricity and natural gas </w:t>
      </w:r>
      <w:r w:rsidR="008A5262">
        <w:t xml:space="preserve">for </w:t>
      </w:r>
      <w:r w:rsidR="00E66A92">
        <w:t>facilities in a CCA</w:t>
      </w:r>
      <w:r w:rsidR="00715733">
        <w:t xml:space="preserve"> on 1 April in the first year of each target period</w:t>
      </w:r>
    </w:p>
    <w:p w14:paraId="64307C54" w14:textId="7274F265" w:rsidR="00FA1034" w:rsidRDefault="00131D01" w:rsidP="00A215E6">
      <w:pPr>
        <w:pStyle w:val="ListParagraph"/>
        <w:numPr>
          <w:ilvl w:val="0"/>
          <w:numId w:val="162"/>
        </w:numPr>
        <w:tabs>
          <w:tab w:val="left" w:pos="0"/>
        </w:tabs>
      </w:pPr>
      <w:r>
        <w:t xml:space="preserve">primary </w:t>
      </w:r>
      <w:r w:rsidR="00FA1034">
        <w:t xml:space="preserve">conversion factor </w:t>
      </w:r>
      <w:r w:rsidR="00F16277">
        <w:t xml:space="preserve">used to calculate the primary </w:t>
      </w:r>
      <w:r>
        <w:t xml:space="preserve">energy for </w:t>
      </w:r>
      <w:r w:rsidR="00777918">
        <w:t>electricity</w:t>
      </w:r>
      <w:r w:rsidR="00E66A92">
        <w:t xml:space="preserve"> </w:t>
      </w:r>
      <w:r w:rsidR="00BF76F8">
        <w:t xml:space="preserve">supplied from the grid </w:t>
      </w:r>
      <w:r w:rsidR="00E66A92">
        <w:t>(2.1)</w:t>
      </w:r>
    </w:p>
    <w:p w14:paraId="78FFB06D" w14:textId="64318DD8" w:rsidR="00EB47CA" w:rsidRDefault="00777918" w:rsidP="00A215E6">
      <w:pPr>
        <w:pStyle w:val="ListParagraph"/>
        <w:numPr>
          <w:ilvl w:val="0"/>
          <w:numId w:val="162"/>
        </w:numPr>
        <w:tabs>
          <w:tab w:val="left" w:pos="0"/>
        </w:tabs>
      </w:pPr>
      <w:r>
        <w:t>carbon</w:t>
      </w:r>
      <w:r w:rsidR="002955E0">
        <w:t xml:space="preserve"> </w:t>
      </w:r>
      <w:r>
        <w:t>emission factors</w:t>
      </w:r>
      <w:r w:rsidR="00FA1034">
        <w:t xml:space="preserve"> for grid electricity and natural gas</w:t>
      </w:r>
    </w:p>
    <w:p w14:paraId="7AAE82C6" w14:textId="70660C09" w:rsidR="00B31743" w:rsidRDefault="005226AD" w:rsidP="00EB47CA">
      <w:pPr>
        <w:tabs>
          <w:tab w:val="left" w:pos="0"/>
        </w:tabs>
      </w:pPr>
      <w:r>
        <w:t xml:space="preserve">The </w:t>
      </w:r>
      <w:r w:rsidR="0026602A">
        <w:t>buy</w:t>
      </w:r>
      <w:r w:rsidR="00D61FC2">
        <w:t>-</w:t>
      </w:r>
      <w:r w:rsidR="0026602A">
        <w:t>out fee</w:t>
      </w:r>
      <w:r w:rsidR="00525964">
        <w:t xml:space="preserve"> will be </w:t>
      </w:r>
      <w:r w:rsidR="00EB47CA">
        <w:t xml:space="preserve">calculated using the published rates </w:t>
      </w:r>
      <w:r w:rsidR="00525964">
        <w:t xml:space="preserve">before </w:t>
      </w:r>
      <w:r w:rsidR="00EB47CA">
        <w:t xml:space="preserve">the start of </w:t>
      </w:r>
      <w:r w:rsidR="00525964">
        <w:t xml:space="preserve">each target period. </w:t>
      </w:r>
      <w:r w:rsidR="00BF76F8">
        <w:t>At the time of publication of this manual, t</w:t>
      </w:r>
      <w:r w:rsidR="00117DF4">
        <w:t xml:space="preserve">he </w:t>
      </w:r>
      <w:r w:rsidR="00EB47CA">
        <w:t xml:space="preserve">rates of </w:t>
      </w:r>
      <w:r w:rsidR="00117DF4">
        <w:t>buy</w:t>
      </w:r>
      <w:r w:rsidR="00D61FC2">
        <w:t>-</w:t>
      </w:r>
      <w:r w:rsidR="00117DF4">
        <w:t>out fee are</w:t>
      </w:r>
      <w:r w:rsidR="00BF76F8">
        <w:t xml:space="preserve"> calculated as</w:t>
      </w:r>
      <w:r w:rsidR="00117DF4">
        <w:t xml:space="preserve">: </w:t>
      </w:r>
    </w:p>
    <w:p w14:paraId="1C4E7845" w14:textId="1A891941" w:rsidR="00117DF4" w:rsidRDefault="00117DF4" w:rsidP="00117DF4">
      <w:pPr>
        <w:pStyle w:val="ListParagraph"/>
        <w:numPr>
          <w:ilvl w:val="0"/>
          <w:numId w:val="162"/>
        </w:numPr>
        <w:tabs>
          <w:tab w:val="left" w:pos="0"/>
        </w:tabs>
      </w:pPr>
      <w:r>
        <w:t>£37 per tCO2e for TP7</w:t>
      </w:r>
    </w:p>
    <w:p w14:paraId="5EE7AD19" w14:textId="4BA11F02" w:rsidR="00117DF4" w:rsidRDefault="00117DF4" w:rsidP="00D04FB8">
      <w:pPr>
        <w:pStyle w:val="ListParagraph"/>
        <w:numPr>
          <w:ilvl w:val="0"/>
          <w:numId w:val="162"/>
        </w:numPr>
        <w:tabs>
          <w:tab w:val="left" w:pos="0"/>
        </w:tabs>
      </w:pPr>
      <w:r>
        <w:t>£</w:t>
      </w:r>
      <w:r w:rsidR="00627A1C">
        <w:t>38</w:t>
      </w:r>
      <w:r>
        <w:t xml:space="preserve"> per tCO2e for TP8</w:t>
      </w:r>
    </w:p>
    <w:p w14:paraId="5BA80CFE" w14:textId="28CCF022" w:rsidR="00EF6E31" w:rsidRDefault="00C65A37" w:rsidP="00FF0098">
      <w:pPr>
        <w:tabs>
          <w:tab w:val="left" w:pos="0"/>
        </w:tabs>
        <w:spacing w:after="0"/>
        <w:ind w:right="182"/>
        <w:rPr>
          <w:color w:val="auto"/>
        </w:rPr>
      </w:pPr>
      <w:r>
        <w:rPr>
          <w:color w:val="auto"/>
        </w:rPr>
        <w:t xml:space="preserve">We will serve a </w:t>
      </w:r>
      <w:r w:rsidR="002737EF">
        <w:rPr>
          <w:color w:val="auto"/>
        </w:rPr>
        <w:t xml:space="preserve">buy-out fee </w:t>
      </w:r>
      <w:r>
        <w:rPr>
          <w:color w:val="auto"/>
        </w:rPr>
        <w:t xml:space="preserve">notice on an operator </w:t>
      </w:r>
      <w:r w:rsidR="000F617C">
        <w:rPr>
          <w:color w:val="auto"/>
        </w:rPr>
        <w:t xml:space="preserve">if </w:t>
      </w:r>
      <w:r w:rsidR="003E6BF4">
        <w:rPr>
          <w:color w:val="auto"/>
        </w:rPr>
        <w:t xml:space="preserve">they fail to meet the improvement target for one or more facilities in their agreement and </w:t>
      </w:r>
      <w:r w:rsidR="00CA78A9">
        <w:rPr>
          <w:color w:val="auto"/>
        </w:rPr>
        <w:t xml:space="preserve">there is </w:t>
      </w:r>
      <w:r w:rsidR="00EF6E31">
        <w:rPr>
          <w:color w:val="auto"/>
        </w:rPr>
        <w:t xml:space="preserve">either </w:t>
      </w:r>
      <w:r w:rsidR="00CA78A9">
        <w:rPr>
          <w:color w:val="auto"/>
        </w:rPr>
        <w:t>insufficient surplus</w:t>
      </w:r>
      <w:r w:rsidR="00EF6E31">
        <w:rPr>
          <w:color w:val="auto"/>
        </w:rPr>
        <w:t>, or we cannot use surplus</w:t>
      </w:r>
      <w:r w:rsidR="00CA78A9">
        <w:rPr>
          <w:color w:val="auto"/>
        </w:rPr>
        <w:t xml:space="preserve"> to offset the underachievement. </w:t>
      </w:r>
      <w:r w:rsidR="005652A7">
        <w:rPr>
          <w:color w:val="auto"/>
        </w:rPr>
        <w:t>We aim to serve the notices as soon as possible after 1 May following the end of each target period.</w:t>
      </w:r>
    </w:p>
    <w:p w14:paraId="139FAFEC" w14:textId="4804C149" w:rsidR="00026E66" w:rsidRDefault="00CA78A9" w:rsidP="00FF0098">
      <w:pPr>
        <w:tabs>
          <w:tab w:val="left" w:pos="0"/>
        </w:tabs>
        <w:spacing w:after="0"/>
        <w:ind w:right="182"/>
      </w:pPr>
      <w:r>
        <w:rPr>
          <w:color w:val="auto"/>
        </w:rPr>
        <w:t xml:space="preserve">The buy-out fee notice </w:t>
      </w:r>
      <w:r w:rsidR="008422DF">
        <w:rPr>
          <w:color w:val="auto"/>
        </w:rPr>
        <w:t xml:space="preserve">and </w:t>
      </w:r>
      <w:r w:rsidR="00DE3568">
        <w:rPr>
          <w:color w:val="auto"/>
        </w:rPr>
        <w:t xml:space="preserve">its </w:t>
      </w:r>
      <w:r w:rsidR="008422DF">
        <w:rPr>
          <w:color w:val="auto"/>
        </w:rPr>
        <w:t xml:space="preserve">accompanying </w:t>
      </w:r>
      <w:r w:rsidR="002737EF">
        <w:rPr>
          <w:color w:val="auto"/>
        </w:rPr>
        <w:t>Memorandum of Account (</w:t>
      </w:r>
      <w:proofErr w:type="spellStart"/>
      <w:r w:rsidR="00A46E3D">
        <w:fldChar w:fldCharType="begin"/>
      </w:r>
      <w:r w:rsidR="00A46E3D">
        <w:instrText>HYPERLINK \l "MOA"</w:instrText>
      </w:r>
      <w:r w:rsidR="00A46E3D">
        <w:fldChar w:fldCharType="separate"/>
      </w:r>
      <w:r w:rsidR="00A46E3D">
        <w:rPr>
          <w:rStyle w:val="Hyperlink"/>
        </w:rPr>
        <w:t>MoA</w:t>
      </w:r>
      <w:proofErr w:type="spellEnd"/>
      <w:r w:rsidR="00A46E3D">
        <w:fldChar w:fldCharType="end"/>
      </w:r>
      <w:r w:rsidR="002737EF">
        <w:rPr>
          <w:color w:val="auto"/>
          <w:szCs w:val="24"/>
        </w:rPr>
        <w:t xml:space="preserve">) </w:t>
      </w:r>
      <w:r>
        <w:rPr>
          <w:color w:val="auto"/>
          <w:szCs w:val="24"/>
        </w:rPr>
        <w:t>set</w:t>
      </w:r>
      <w:r w:rsidR="008422DF">
        <w:rPr>
          <w:color w:val="auto"/>
          <w:szCs w:val="24"/>
        </w:rPr>
        <w:t>s</w:t>
      </w:r>
      <w:r>
        <w:rPr>
          <w:color w:val="auto"/>
          <w:szCs w:val="24"/>
        </w:rPr>
        <w:t xml:space="preserve"> out</w:t>
      </w:r>
      <w:r w:rsidR="002737EF">
        <w:rPr>
          <w:color w:val="auto"/>
          <w:szCs w:val="24"/>
        </w:rPr>
        <w:t>:</w:t>
      </w:r>
      <w:r w:rsidR="00FC355D">
        <w:rPr>
          <w:color w:val="auto"/>
        </w:rPr>
        <w:t xml:space="preserve"> </w:t>
      </w:r>
    </w:p>
    <w:p w14:paraId="170241D7" w14:textId="77777777" w:rsidR="00EE603F" w:rsidRPr="00EE603F" w:rsidRDefault="002737EF" w:rsidP="0065356B">
      <w:pPr>
        <w:pStyle w:val="ListParagraph"/>
        <w:numPr>
          <w:ilvl w:val="0"/>
          <w:numId w:val="82"/>
        </w:numPr>
        <w:tabs>
          <w:tab w:val="left" w:pos="0"/>
        </w:tabs>
        <w:spacing w:after="73"/>
        <w:ind w:right="182"/>
      </w:pPr>
      <w:r>
        <w:t xml:space="preserve">the </w:t>
      </w:r>
      <w:r w:rsidR="00C65A37">
        <w:t xml:space="preserve">amount of </w:t>
      </w:r>
      <w:r w:rsidR="007417F3">
        <w:t xml:space="preserve">buy-out </w:t>
      </w:r>
      <w:r>
        <w:t xml:space="preserve">fee </w:t>
      </w:r>
      <w:r w:rsidR="00C65A37">
        <w:rPr>
          <w:szCs w:val="24"/>
        </w:rPr>
        <w:t xml:space="preserve">for each </w:t>
      </w:r>
      <w:r w:rsidR="00EF6E31">
        <w:rPr>
          <w:szCs w:val="24"/>
        </w:rPr>
        <w:t xml:space="preserve">individual </w:t>
      </w:r>
      <w:r w:rsidR="00C65A37">
        <w:rPr>
          <w:szCs w:val="24"/>
        </w:rPr>
        <w:t>facility</w:t>
      </w:r>
    </w:p>
    <w:p w14:paraId="702CB7D7" w14:textId="7B556B4C" w:rsidR="00026E66" w:rsidRDefault="007417F3" w:rsidP="0065356B">
      <w:pPr>
        <w:pStyle w:val="ListParagraph"/>
        <w:numPr>
          <w:ilvl w:val="0"/>
          <w:numId w:val="82"/>
        </w:numPr>
        <w:tabs>
          <w:tab w:val="left" w:pos="0"/>
        </w:tabs>
        <w:spacing w:after="73"/>
        <w:ind w:right="182"/>
      </w:pPr>
      <w:r>
        <w:rPr>
          <w:szCs w:val="24"/>
        </w:rPr>
        <w:t xml:space="preserve">the total amount </w:t>
      </w:r>
      <w:r w:rsidR="00EF6E31">
        <w:rPr>
          <w:szCs w:val="24"/>
        </w:rPr>
        <w:t xml:space="preserve">due </w:t>
      </w:r>
      <w:r>
        <w:rPr>
          <w:szCs w:val="24"/>
        </w:rPr>
        <w:t>for all facilities</w:t>
      </w:r>
    </w:p>
    <w:p w14:paraId="7E959B67" w14:textId="3A81AF78" w:rsidR="00026E66" w:rsidRDefault="002737EF" w:rsidP="0065356B">
      <w:pPr>
        <w:pStyle w:val="ListParagraph"/>
        <w:numPr>
          <w:ilvl w:val="0"/>
          <w:numId w:val="82"/>
        </w:numPr>
        <w:tabs>
          <w:tab w:val="left" w:pos="0"/>
        </w:tabs>
        <w:spacing w:after="78"/>
        <w:ind w:right="182"/>
      </w:pPr>
      <w:r>
        <w:t xml:space="preserve">the date by which </w:t>
      </w:r>
      <w:r w:rsidR="00C65A37">
        <w:t xml:space="preserve">the cleared funds </w:t>
      </w:r>
      <w:r>
        <w:t xml:space="preserve">must be </w:t>
      </w:r>
      <w:r w:rsidR="00C65A37">
        <w:rPr>
          <w:szCs w:val="24"/>
        </w:rPr>
        <w:t>received</w:t>
      </w:r>
    </w:p>
    <w:p w14:paraId="4416692D" w14:textId="50216705" w:rsidR="00357226" w:rsidRPr="00357226" w:rsidRDefault="002737EF" w:rsidP="0065356B">
      <w:pPr>
        <w:pStyle w:val="ListParagraph"/>
        <w:numPr>
          <w:ilvl w:val="0"/>
          <w:numId w:val="82"/>
        </w:numPr>
        <w:tabs>
          <w:tab w:val="left" w:pos="0"/>
        </w:tabs>
        <w:spacing w:after="70"/>
        <w:ind w:right="182"/>
      </w:pPr>
      <w:r>
        <w:t xml:space="preserve">how to pay the </w:t>
      </w:r>
      <w:r w:rsidR="008422DF">
        <w:t xml:space="preserve">buy-out </w:t>
      </w:r>
      <w:r>
        <w:t>fee</w:t>
      </w:r>
      <w:r w:rsidRPr="00B739EF">
        <w:rPr>
          <w:szCs w:val="24"/>
        </w:rPr>
        <w:t xml:space="preserve"> </w:t>
      </w:r>
      <w:r w:rsidR="00357226">
        <w:t>(by BACS/CHAPS/FPS)</w:t>
      </w:r>
    </w:p>
    <w:p w14:paraId="4C77B8A0" w14:textId="20F25C03" w:rsidR="00026E66" w:rsidRDefault="002737EF" w:rsidP="0065356B">
      <w:pPr>
        <w:pStyle w:val="ListParagraph"/>
        <w:numPr>
          <w:ilvl w:val="0"/>
          <w:numId w:val="82"/>
        </w:numPr>
        <w:tabs>
          <w:tab w:val="left" w:pos="0"/>
        </w:tabs>
        <w:spacing w:after="70"/>
        <w:ind w:right="182"/>
      </w:pPr>
      <w:r>
        <w:t>to whom</w:t>
      </w:r>
      <w:r w:rsidR="008422DF">
        <w:t xml:space="preserve"> t</w:t>
      </w:r>
      <w:r w:rsidR="009761AB">
        <w:t>he fee must be paid</w:t>
      </w:r>
      <w:r>
        <w:t xml:space="preserve"> </w:t>
      </w:r>
      <w:r w:rsidRPr="00B739EF">
        <w:rPr>
          <w:szCs w:val="24"/>
        </w:rPr>
        <w:t>(</w:t>
      </w:r>
      <w:r>
        <w:t>bank account details and a unique payment reference)</w:t>
      </w:r>
    </w:p>
    <w:p w14:paraId="27F2B5DB" w14:textId="48EB70E0" w:rsidR="00026E66" w:rsidRDefault="002737EF" w:rsidP="0065356B">
      <w:pPr>
        <w:pStyle w:val="ListParagraph"/>
        <w:numPr>
          <w:ilvl w:val="0"/>
          <w:numId w:val="82"/>
        </w:numPr>
        <w:tabs>
          <w:tab w:val="left" w:pos="0"/>
        </w:tabs>
        <w:ind w:right="182"/>
      </w:pPr>
      <w:r>
        <w:t>the consequences of not paying the fee</w:t>
      </w:r>
    </w:p>
    <w:p w14:paraId="7FEEEF34" w14:textId="368D5CE6" w:rsidR="00C65A37" w:rsidRDefault="00C65A37" w:rsidP="0065356B">
      <w:pPr>
        <w:pStyle w:val="ListParagraph"/>
        <w:numPr>
          <w:ilvl w:val="0"/>
          <w:numId w:val="82"/>
        </w:numPr>
        <w:tabs>
          <w:tab w:val="left" w:pos="0"/>
        </w:tabs>
        <w:ind w:right="182"/>
      </w:pPr>
      <w:r>
        <w:t>the operator’s right to appeal the notice</w:t>
      </w:r>
    </w:p>
    <w:p w14:paraId="2B95B62E" w14:textId="10340090" w:rsidR="005E35A0" w:rsidRDefault="00326891" w:rsidP="004C1365">
      <w:r>
        <w:lastRenderedPageBreak/>
        <w:t>Where an operator holds more than one agreement, w</w:t>
      </w:r>
      <w:r w:rsidR="00541660">
        <w:t xml:space="preserve">e will issue </w:t>
      </w:r>
      <w:r w:rsidR="005E35A0">
        <w:t xml:space="preserve">separate </w:t>
      </w:r>
      <w:r w:rsidR="00541660">
        <w:t>buy-out fee notice</w:t>
      </w:r>
      <w:r>
        <w:t>s</w:t>
      </w:r>
      <w:r w:rsidR="00541660">
        <w:t xml:space="preserve"> for each agreement</w:t>
      </w:r>
      <w:r>
        <w:t xml:space="preserve"> containing</w:t>
      </w:r>
      <w:r w:rsidR="00EE4494">
        <w:t xml:space="preserve"> at least one</w:t>
      </w:r>
      <w:r>
        <w:t xml:space="preserve"> facilit</w:t>
      </w:r>
      <w:r w:rsidR="00EE4494">
        <w:t>y</w:t>
      </w:r>
      <w:r>
        <w:t xml:space="preserve"> </w:t>
      </w:r>
      <w:r w:rsidR="00EE4494">
        <w:t xml:space="preserve">where the operator </w:t>
      </w:r>
      <w:r>
        <w:t>failed to meet the improvement target</w:t>
      </w:r>
      <w:r w:rsidR="00541660">
        <w:t>.</w:t>
      </w:r>
    </w:p>
    <w:p w14:paraId="6E78C626" w14:textId="20172BA4" w:rsidR="009761AB" w:rsidRDefault="00253A01" w:rsidP="004C1365">
      <w:r>
        <w:t>W</w:t>
      </w:r>
      <w:r w:rsidR="009761AB">
        <w:t>e issue buy-out fee notices</w:t>
      </w:r>
      <w:r w:rsidR="00905418">
        <w:t xml:space="preserve"> as part of our duty in administering the scheme on behalf of government</w:t>
      </w:r>
      <w:r>
        <w:t>.</w:t>
      </w:r>
      <w:r w:rsidDel="00725771">
        <w:t xml:space="preserve"> </w:t>
      </w:r>
      <w:r>
        <w:t>T</w:t>
      </w:r>
      <w:r w:rsidR="00905418">
        <w:t xml:space="preserve">he buy-out fee notices set out that </w:t>
      </w:r>
      <w:r w:rsidR="00EB107A">
        <w:t xml:space="preserve">operators must pay any buy-out fee due to </w:t>
      </w:r>
      <w:r w:rsidR="00905418">
        <w:t xml:space="preserve">an </w:t>
      </w:r>
      <w:r w:rsidR="00FF0C2F">
        <w:t xml:space="preserve">account held by the </w:t>
      </w:r>
      <w:r w:rsidR="00EB107A">
        <w:t>Department for Energy Security and Net Zero</w:t>
      </w:r>
      <w:r w:rsidR="00EC7E59">
        <w:t xml:space="preserve"> (DESNZ)</w:t>
      </w:r>
      <w:r w:rsidR="00F72426">
        <w:t xml:space="preserve">. </w:t>
      </w:r>
      <w:r w:rsidR="00632203">
        <w:t xml:space="preserve">Payment of buy-out fees to our </w:t>
      </w:r>
      <w:r w:rsidR="00F72426">
        <w:t xml:space="preserve">separate </w:t>
      </w:r>
      <w:r w:rsidR="00632203">
        <w:t xml:space="preserve">account </w:t>
      </w:r>
      <w:r w:rsidR="006A1971">
        <w:t xml:space="preserve">(or </w:t>
      </w:r>
      <w:r w:rsidR="00F72426">
        <w:t xml:space="preserve">to </w:t>
      </w:r>
      <w:r w:rsidR="006A1971">
        <w:t xml:space="preserve">any other account) </w:t>
      </w:r>
      <w:r>
        <w:t xml:space="preserve">will </w:t>
      </w:r>
      <w:r w:rsidR="00632203">
        <w:t xml:space="preserve">delay us being able to </w:t>
      </w:r>
      <w:r w:rsidR="00557A23">
        <w:t xml:space="preserve">track </w:t>
      </w:r>
      <w:r w:rsidR="006A1971">
        <w:t>receipt</w:t>
      </w:r>
      <w:r w:rsidR="00FF0C2F">
        <w:t>, which could delay</w:t>
      </w:r>
      <w:r w:rsidR="00557A23">
        <w:t xml:space="preserve"> us being able to </w:t>
      </w:r>
      <w:r w:rsidR="00FF0C2F">
        <w:t>recerti</w:t>
      </w:r>
      <w:r w:rsidR="00557A23">
        <w:t>fy</w:t>
      </w:r>
      <w:r w:rsidR="00FF0C2F">
        <w:t xml:space="preserve"> those facilities.</w:t>
      </w:r>
    </w:p>
    <w:p w14:paraId="647E3A4B" w14:textId="13C96947" w:rsidR="006F363B" w:rsidRDefault="00300B81" w:rsidP="00300B81">
      <w:r>
        <w:t xml:space="preserve">Operators </w:t>
      </w:r>
      <w:r w:rsidR="006F363B">
        <w:t xml:space="preserve">who choose to </w:t>
      </w:r>
      <w:r>
        <w:t xml:space="preserve">pay the buy-out fee </w:t>
      </w:r>
      <w:r w:rsidR="006F363B">
        <w:t xml:space="preserve">must do so </w:t>
      </w:r>
      <w:r w:rsidR="00E00DE2">
        <w:t xml:space="preserve">by the </w:t>
      </w:r>
      <w:r w:rsidR="006F363B">
        <w:t xml:space="preserve">relevant </w:t>
      </w:r>
      <w:r w:rsidR="00E00DE2">
        <w:t>deadline specified in the notice</w:t>
      </w:r>
      <w:r w:rsidR="005652A7">
        <w:t xml:space="preserve"> as follows</w:t>
      </w:r>
      <w:r w:rsidR="006F363B">
        <w:t>:</w:t>
      </w:r>
    </w:p>
    <w:p w14:paraId="086255BC" w14:textId="4A76A520" w:rsidR="006F363B" w:rsidRDefault="006F363B" w:rsidP="006F363B">
      <w:pPr>
        <w:pStyle w:val="ListParagraph"/>
        <w:numPr>
          <w:ilvl w:val="0"/>
          <w:numId w:val="82"/>
        </w:numPr>
      </w:pPr>
      <w:r>
        <w:t xml:space="preserve">for </w:t>
      </w:r>
      <w:r w:rsidR="00661A43">
        <w:t xml:space="preserve">notices we issue before the start of the new certification period (often referred to as </w:t>
      </w:r>
      <w:r w:rsidR="006A4E9B">
        <w:t>“</w:t>
      </w:r>
      <w:r w:rsidR="00661A43">
        <w:t>primary buy-out fee notices</w:t>
      </w:r>
      <w:r w:rsidR="006A4E9B">
        <w:t>”</w:t>
      </w:r>
      <w:r w:rsidR="00661A43">
        <w:t xml:space="preserve">) </w:t>
      </w:r>
      <w:r>
        <w:t xml:space="preserve">the </w:t>
      </w:r>
      <w:r w:rsidR="00661A43">
        <w:t xml:space="preserve">deadline </w:t>
      </w:r>
      <w:r>
        <w:t>is on or before 1 July following the end of each target period</w:t>
      </w:r>
    </w:p>
    <w:p w14:paraId="398087EB" w14:textId="288E7700" w:rsidR="00661A43" w:rsidRDefault="006F363B" w:rsidP="006F363B">
      <w:pPr>
        <w:pStyle w:val="ListParagraph"/>
        <w:numPr>
          <w:ilvl w:val="0"/>
          <w:numId w:val="82"/>
        </w:numPr>
      </w:pPr>
      <w:r>
        <w:t xml:space="preserve">for </w:t>
      </w:r>
      <w:r w:rsidR="00661A43">
        <w:t xml:space="preserve">notices we issue after the start of the new certification period (often referred to as </w:t>
      </w:r>
      <w:r w:rsidR="006A4E9B">
        <w:t>“</w:t>
      </w:r>
      <w:r w:rsidR="00661A43">
        <w:t>secondary buy-out fee notices</w:t>
      </w:r>
      <w:r w:rsidR="006A4E9B">
        <w:t>”</w:t>
      </w:r>
      <w:r w:rsidR="00661A43">
        <w:t xml:space="preserve">) </w:t>
      </w:r>
      <w:r>
        <w:t xml:space="preserve">the </w:t>
      </w:r>
      <w:r w:rsidR="00661A43">
        <w:t xml:space="preserve">deadline </w:t>
      </w:r>
      <w:r>
        <w:t xml:space="preserve">is </w:t>
      </w:r>
      <w:r w:rsidR="00661A43">
        <w:t>30 working days after we issue the notice</w:t>
      </w:r>
    </w:p>
    <w:p w14:paraId="16E37AE8" w14:textId="5F4D30A2" w:rsidR="00300B81" w:rsidRDefault="00300B81" w:rsidP="00300B81">
      <w:r>
        <w:t xml:space="preserve">Operators </w:t>
      </w:r>
      <w:r w:rsidR="006A4E9B">
        <w:t xml:space="preserve">should </w:t>
      </w:r>
      <w:r>
        <w:t>allow sufficient time for their payments to clear</w:t>
      </w:r>
      <w:r w:rsidR="001062EC">
        <w:t xml:space="preserve"> by the payment deadline specified in the notice</w:t>
      </w:r>
      <w:r w:rsidR="006F5E55">
        <w:t>, particularly if pay</w:t>
      </w:r>
      <w:r w:rsidR="007B26BF">
        <w:t>ing</w:t>
      </w:r>
      <w:r w:rsidR="006F5E55">
        <w:t xml:space="preserve"> by BACS</w:t>
      </w:r>
      <w:r w:rsidR="00E01F9B">
        <w:t xml:space="preserve"> as this takes 3 working days</w:t>
      </w:r>
      <w:r w:rsidR="007B26BF">
        <w:t xml:space="preserve"> to clear</w:t>
      </w:r>
      <w:r>
        <w:t>.</w:t>
      </w:r>
    </w:p>
    <w:p w14:paraId="4E0AC732" w14:textId="22912511" w:rsidR="007C0213" w:rsidRDefault="007C0213" w:rsidP="00300B81">
      <w:r>
        <w:t xml:space="preserve">If an operator chooses not to pay the total buy-out fee amount, they must </w:t>
      </w:r>
      <w:r w:rsidR="0092245F">
        <w:t xml:space="preserve">let us know </w:t>
      </w:r>
      <w:r>
        <w:t>which facility or facilities their payment is intended to cover, so we know which facilities to recertify.</w:t>
      </w:r>
      <w:r w:rsidR="0092245F">
        <w:t xml:space="preserve"> They should do this by emailing this information with their remittance advice to </w:t>
      </w:r>
      <w:hyperlink r:id="rId82">
        <w:r w:rsidR="003D3F7E" w:rsidRPr="31EA3EBC">
          <w:rPr>
            <w:rStyle w:val="Hyperlink"/>
          </w:rPr>
          <w:t>CCAPayments@environment-agency.gov.uk</w:t>
        </w:r>
      </w:hyperlink>
      <w:r w:rsidR="00B92780">
        <w:t>.</w:t>
      </w:r>
    </w:p>
    <w:p w14:paraId="26EAF68C" w14:textId="26CFEDE1" w:rsidR="00C8350A" w:rsidRDefault="00D13387" w:rsidP="00F85112">
      <w:r>
        <w:t>We monitor DESNZ</w:t>
      </w:r>
      <w:r w:rsidR="003D3F7E">
        <w:t>’s</w:t>
      </w:r>
      <w:r>
        <w:t xml:space="preserve"> account </w:t>
      </w:r>
      <w:r w:rsidR="00663803">
        <w:t xml:space="preserve">for </w:t>
      </w:r>
      <w:r>
        <w:t>payments made to it and</w:t>
      </w:r>
      <w:r w:rsidR="00E01F9B">
        <w:t>,</w:t>
      </w:r>
      <w:r>
        <w:t xml:space="preserve"> </w:t>
      </w:r>
      <w:r w:rsidR="00E01F9B">
        <w:t xml:space="preserve">where we </w:t>
      </w:r>
      <w:r w:rsidR="003D3F7E">
        <w:t>can</w:t>
      </w:r>
      <w:r w:rsidR="00E01F9B">
        <w:t xml:space="preserve">, </w:t>
      </w:r>
      <w:r w:rsidR="00425069">
        <w:t>will update t</w:t>
      </w:r>
      <w:r w:rsidR="00F2409E">
        <w:t xml:space="preserve">he </w:t>
      </w:r>
      <w:r w:rsidR="00C8292E">
        <w:t xml:space="preserve">details for each facility </w:t>
      </w:r>
      <w:r>
        <w:t xml:space="preserve">in </w:t>
      </w:r>
      <w:proofErr w:type="spellStart"/>
      <w:r>
        <w:t>MyCCA</w:t>
      </w:r>
      <w:proofErr w:type="spellEnd"/>
      <w:r>
        <w:t xml:space="preserve"> </w:t>
      </w:r>
      <w:r w:rsidR="00C8292E">
        <w:t xml:space="preserve">with the </w:t>
      </w:r>
      <w:r w:rsidR="00F2409E">
        <w:t xml:space="preserve">amount and </w:t>
      </w:r>
      <w:r w:rsidR="00EC659D">
        <w:t xml:space="preserve">the </w:t>
      </w:r>
      <w:r w:rsidR="00F2409E">
        <w:t xml:space="preserve">date </w:t>
      </w:r>
      <w:r w:rsidR="003E0624">
        <w:t xml:space="preserve">when </w:t>
      </w:r>
      <w:r w:rsidR="00F85112">
        <w:t xml:space="preserve">the </w:t>
      </w:r>
      <w:r w:rsidR="003E0624">
        <w:t xml:space="preserve">cleared funds were </w:t>
      </w:r>
      <w:r w:rsidR="00F2409E">
        <w:t>received</w:t>
      </w:r>
      <w:r w:rsidR="003E0624">
        <w:t>.</w:t>
      </w:r>
      <w:r w:rsidR="008A289F">
        <w:t xml:space="preserve"> </w:t>
      </w:r>
      <w:r w:rsidR="00F85112">
        <w:t xml:space="preserve">If an operator </w:t>
      </w:r>
      <w:r w:rsidR="00561DA6">
        <w:t xml:space="preserve">fails to </w:t>
      </w:r>
      <w:r w:rsidR="00F85112">
        <w:t xml:space="preserve">use the unique payment reference included in the buy-out fee notice, this may delay us being able to </w:t>
      </w:r>
      <w:r w:rsidR="00FC5540">
        <w:t xml:space="preserve">update the details in </w:t>
      </w:r>
      <w:proofErr w:type="spellStart"/>
      <w:r w:rsidR="00FC5540">
        <w:t>MyCCA</w:t>
      </w:r>
      <w:proofErr w:type="spellEnd"/>
      <w:r w:rsidR="00FC5540">
        <w:t xml:space="preserve"> for the facilities in their agreements</w:t>
      </w:r>
      <w:r w:rsidR="00F85112">
        <w:t>.</w:t>
      </w:r>
      <w:r w:rsidR="00ED1EC4" w:rsidRPr="00ED1EC4">
        <w:t xml:space="preserve"> </w:t>
      </w:r>
      <w:r w:rsidR="00ED1EC4">
        <w:t xml:space="preserve">We use this information to determine which facilities we will recertify for the next </w:t>
      </w:r>
      <w:hyperlink w:anchor="Certificationperiod" w:history="1">
        <w:r w:rsidR="00ED1EC4" w:rsidRPr="007969BF">
          <w:rPr>
            <w:rStyle w:val="Hyperlink"/>
          </w:rPr>
          <w:t>certification period</w:t>
        </w:r>
      </w:hyperlink>
      <w:r w:rsidR="00ED1EC4">
        <w:t>.</w:t>
      </w:r>
      <w:r w:rsidR="002C6C49">
        <w:t xml:space="preserve">  </w:t>
      </w:r>
    </w:p>
    <w:p w14:paraId="60240617" w14:textId="08F13053" w:rsidR="00F85112" w:rsidRDefault="002C6C49" w:rsidP="00F85112">
      <w:r>
        <w:t xml:space="preserve">We recommend that operators send </w:t>
      </w:r>
      <w:r w:rsidR="00C8350A">
        <w:t xml:space="preserve">us </w:t>
      </w:r>
      <w:r>
        <w:t xml:space="preserve">remittance advice </w:t>
      </w:r>
      <w:r w:rsidR="008550AA">
        <w:t xml:space="preserve">by email </w:t>
      </w:r>
      <w:r w:rsidR="00C8350A">
        <w:t xml:space="preserve">to </w:t>
      </w:r>
      <w:hyperlink r:id="rId83">
        <w:r w:rsidR="00C8350A" w:rsidRPr="0DE93ABF">
          <w:rPr>
            <w:rStyle w:val="Hyperlink"/>
          </w:rPr>
          <w:t>CCAPayments@environment-agency.gov.uk</w:t>
        </w:r>
      </w:hyperlink>
      <w:r w:rsidR="00C8350A">
        <w:t xml:space="preserve"> </w:t>
      </w:r>
      <w:r>
        <w:t>when they pay their fee</w:t>
      </w:r>
      <w:r w:rsidR="008550AA">
        <w:t>,</w:t>
      </w:r>
      <w:r>
        <w:t xml:space="preserve"> to </w:t>
      </w:r>
      <w:r w:rsidR="00C8350A">
        <w:t>assist us in tracking the</w:t>
      </w:r>
      <w:r w:rsidR="00955CE1">
        <w:t>ir</w:t>
      </w:r>
      <w:r w:rsidR="00C8350A">
        <w:t xml:space="preserve"> payment.</w:t>
      </w:r>
      <w:r>
        <w:t xml:space="preserve"> </w:t>
      </w:r>
    </w:p>
    <w:p w14:paraId="7C07A764" w14:textId="46DB707D" w:rsidR="009E5559" w:rsidRDefault="00AD23C7" w:rsidP="009E5559">
      <w:pPr>
        <w:rPr>
          <w:color w:val="auto"/>
        </w:rPr>
      </w:pPr>
      <w:r>
        <w:rPr>
          <w:color w:val="auto"/>
        </w:rPr>
        <w:t>W</w:t>
      </w:r>
      <w:r w:rsidR="009E5559">
        <w:rPr>
          <w:color w:val="auto"/>
        </w:rPr>
        <w:t xml:space="preserve">here </w:t>
      </w:r>
      <w:r w:rsidR="009C4928">
        <w:rPr>
          <w:color w:val="auto"/>
        </w:rPr>
        <w:t xml:space="preserve">final TPR </w:t>
      </w:r>
      <w:r w:rsidR="00FB5956">
        <w:rPr>
          <w:color w:val="auto"/>
        </w:rPr>
        <w:t xml:space="preserve">data </w:t>
      </w:r>
      <w:r w:rsidR="009C4928">
        <w:rPr>
          <w:color w:val="auto"/>
        </w:rPr>
        <w:t xml:space="preserve">is corrected </w:t>
      </w:r>
      <w:r w:rsidR="005C4F69">
        <w:rPr>
          <w:color w:val="auto"/>
        </w:rPr>
        <w:t xml:space="preserve">after the start of </w:t>
      </w:r>
      <w:r w:rsidR="009C4928">
        <w:rPr>
          <w:color w:val="auto"/>
        </w:rPr>
        <w:t xml:space="preserve">a </w:t>
      </w:r>
      <w:r w:rsidR="005C4F69">
        <w:rPr>
          <w:color w:val="auto"/>
        </w:rPr>
        <w:t>new certification period</w:t>
      </w:r>
      <w:r w:rsidRPr="00AD23C7">
        <w:rPr>
          <w:color w:val="auto"/>
        </w:rPr>
        <w:t xml:space="preserve"> </w:t>
      </w:r>
      <w:r w:rsidR="009665B2">
        <w:rPr>
          <w:color w:val="auto"/>
        </w:rPr>
        <w:t xml:space="preserve">and the corrected data </w:t>
      </w:r>
      <w:r w:rsidR="0063134D">
        <w:rPr>
          <w:color w:val="auto"/>
        </w:rPr>
        <w:t>results in the operator failing to meet the improvement target for one or more facilities</w:t>
      </w:r>
      <w:r w:rsidR="00FB5956">
        <w:rPr>
          <w:color w:val="auto"/>
        </w:rPr>
        <w:t>,</w:t>
      </w:r>
      <w:r w:rsidR="0063134D">
        <w:rPr>
          <w:color w:val="auto"/>
        </w:rPr>
        <w:t xml:space="preserve"> w</w:t>
      </w:r>
      <w:r>
        <w:rPr>
          <w:color w:val="auto"/>
        </w:rPr>
        <w:t>e will issue a new buy-out fee notice</w:t>
      </w:r>
      <w:r w:rsidR="0063134D">
        <w:rPr>
          <w:color w:val="auto"/>
        </w:rPr>
        <w:t>.</w:t>
      </w:r>
      <w:r>
        <w:rPr>
          <w:color w:val="auto"/>
        </w:rPr>
        <w:t xml:space="preserve"> </w:t>
      </w:r>
      <w:r w:rsidR="009E5559">
        <w:rPr>
          <w:color w:val="auto"/>
        </w:rPr>
        <w:t xml:space="preserve">This is </w:t>
      </w:r>
      <w:r w:rsidR="009C4928">
        <w:rPr>
          <w:color w:val="auto"/>
        </w:rPr>
        <w:t xml:space="preserve">often referred to </w:t>
      </w:r>
      <w:r w:rsidR="009E5559">
        <w:rPr>
          <w:color w:val="auto"/>
        </w:rPr>
        <w:t xml:space="preserve">as </w:t>
      </w:r>
      <w:r w:rsidR="009C4928">
        <w:rPr>
          <w:color w:val="auto"/>
        </w:rPr>
        <w:t xml:space="preserve">a </w:t>
      </w:r>
      <w:hyperlink w:anchor="Secondarybuyout" w:history="1">
        <w:r w:rsidR="009E5559" w:rsidRPr="005E46F7">
          <w:rPr>
            <w:rStyle w:val="Hyperlink"/>
          </w:rPr>
          <w:t>secondary buy-out</w:t>
        </w:r>
      </w:hyperlink>
      <w:r w:rsidR="009E5559">
        <w:rPr>
          <w:color w:val="auto"/>
        </w:rPr>
        <w:t xml:space="preserve">. </w:t>
      </w:r>
    </w:p>
    <w:p w14:paraId="604497E7" w14:textId="579380F9" w:rsidR="00026E66" w:rsidRPr="00B739EF" w:rsidRDefault="002737EF" w:rsidP="004C1365">
      <w:r>
        <w:lastRenderedPageBreak/>
        <w:t xml:space="preserve">If the revised target data are provided at any time other than the </w:t>
      </w:r>
      <w:hyperlink w:anchor="Reportingperiod" w:history="1">
        <w:r w:rsidRPr="005E46F7">
          <w:rPr>
            <w:rStyle w:val="Hyperlink"/>
          </w:rPr>
          <w:t>reporting period</w:t>
        </w:r>
      </w:hyperlink>
      <w:r>
        <w:t xml:space="preserve"> leading up to the 1 May, for example, where a reporting error is corrected following an </w:t>
      </w:r>
      <w:hyperlink w:anchor="Audit" w:history="1">
        <w:r w:rsidR="000E4D47">
          <w:rPr>
            <w:rStyle w:val="Hyperlink"/>
          </w:rPr>
          <w:t>audit</w:t>
        </w:r>
      </w:hyperlink>
      <w:r>
        <w:t xml:space="preserve">, the resulting buy-out fee must be paid within 30 </w:t>
      </w:r>
      <w:r w:rsidR="00F8402C">
        <w:t xml:space="preserve">working </w:t>
      </w:r>
      <w:r>
        <w:t xml:space="preserve">days of the date shown on the </w:t>
      </w:r>
      <w:proofErr w:type="spellStart"/>
      <w:r>
        <w:t>MoA</w:t>
      </w:r>
      <w:proofErr w:type="spellEnd"/>
      <w:r>
        <w:t xml:space="preserve"> notice. </w:t>
      </w:r>
      <w:r w:rsidR="00391F59">
        <w:t xml:space="preserve">If the </w:t>
      </w:r>
      <w:r w:rsidR="00922B61">
        <w:t>buy-out</w:t>
      </w:r>
      <w:r w:rsidR="00391F59">
        <w:t xml:space="preserve"> fee is not paid</w:t>
      </w:r>
      <w:r w:rsidR="004870DE">
        <w:t xml:space="preserve"> within</w:t>
      </w:r>
      <w:r w:rsidR="00FD6F39">
        <w:t xml:space="preserve"> 30 </w:t>
      </w:r>
      <w:r w:rsidR="00F8402C">
        <w:t xml:space="preserve">working </w:t>
      </w:r>
      <w:r w:rsidR="00FD6F39">
        <w:t xml:space="preserve">days of the date shown on the </w:t>
      </w:r>
      <w:proofErr w:type="spellStart"/>
      <w:r w:rsidR="00FD6F39">
        <w:t>MoA</w:t>
      </w:r>
      <w:proofErr w:type="spellEnd"/>
      <w:r w:rsidR="00FD6F39">
        <w:t xml:space="preserve"> notice, the facility or facilities</w:t>
      </w:r>
      <w:r w:rsidR="001C0E72">
        <w:t xml:space="preserve"> will be decertified</w:t>
      </w:r>
      <w:r w:rsidR="00632FA4">
        <w:t xml:space="preserve"> an</w:t>
      </w:r>
      <w:r w:rsidR="005C50AA">
        <w:t xml:space="preserve">d HMRC must be notified. </w:t>
      </w:r>
      <w:r w:rsidR="00922B61">
        <w:t xml:space="preserve">See </w:t>
      </w:r>
      <w:hyperlink w:anchor="_10.5.3._Recertification" w:history="1">
        <w:r w:rsidR="00922B61" w:rsidRPr="003837FE">
          <w:rPr>
            <w:rStyle w:val="Hyperlink"/>
          </w:rPr>
          <w:t>section 10.5.3</w:t>
        </w:r>
      </w:hyperlink>
      <w:r w:rsidR="00922B61">
        <w:t xml:space="preserve"> for more information. </w:t>
      </w:r>
    </w:p>
    <w:p w14:paraId="42846B55" w14:textId="323ED000" w:rsidR="00026E66" w:rsidRDefault="002737EF" w:rsidP="00FF0098">
      <w:pPr>
        <w:pStyle w:val="Heading3"/>
        <w:tabs>
          <w:tab w:val="left" w:pos="0"/>
        </w:tabs>
      </w:pPr>
      <w:bookmarkStart w:id="223" w:name="_10.5.3._Recertification"/>
      <w:bookmarkEnd w:id="223"/>
      <w:r>
        <w:t>10.</w:t>
      </w:r>
      <w:r w:rsidR="000F2081">
        <w:t>5</w:t>
      </w:r>
      <w:r>
        <w:t>.3.</w:t>
      </w:r>
      <w:r w:rsidR="00FC355D">
        <w:t xml:space="preserve"> </w:t>
      </w:r>
      <w:r>
        <w:t xml:space="preserve">Recertification </w:t>
      </w:r>
    </w:p>
    <w:p w14:paraId="4539AEEC" w14:textId="308790A6" w:rsidR="00ED1EC4" w:rsidRDefault="00ED1EC4" w:rsidP="00ED1EC4">
      <w:r>
        <w:t xml:space="preserve">We will only recertify facilities </w:t>
      </w:r>
      <w:r w:rsidR="001542C4">
        <w:t xml:space="preserve">whose operators can </w:t>
      </w:r>
      <w:r>
        <w:t>claim reduced rates of CCL where:</w:t>
      </w:r>
    </w:p>
    <w:p w14:paraId="50F86DCC" w14:textId="77777777" w:rsidR="00ED1EC4" w:rsidRDefault="00ED1EC4" w:rsidP="00ED1EC4">
      <w:pPr>
        <w:pStyle w:val="ListParagraph"/>
        <w:numPr>
          <w:ilvl w:val="0"/>
          <w:numId w:val="162"/>
        </w:numPr>
      </w:pPr>
      <w:r>
        <w:t>the operator met the improvement target for the facility</w:t>
      </w:r>
    </w:p>
    <w:p w14:paraId="659911AF" w14:textId="77777777" w:rsidR="00ED1EC4" w:rsidRDefault="00ED1EC4" w:rsidP="00ED1EC4">
      <w:pPr>
        <w:pStyle w:val="ListParagraph"/>
        <w:numPr>
          <w:ilvl w:val="0"/>
          <w:numId w:val="162"/>
        </w:numPr>
      </w:pPr>
      <w:r>
        <w:t>the operator failed to meet the improvement target for the facility but paid any buy-out fee due</w:t>
      </w:r>
    </w:p>
    <w:p w14:paraId="65222268" w14:textId="11809C77" w:rsidR="00FC3866" w:rsidRDefault="00597890" w:rsidP="00ED1EC4">
      <w:r>
        <w:t xml:space="preserve">The regulations require us to </w:t>
      </w:r>
      <w:r w:rsidR="008C016D">
        <w:t>re</w:t>
      </w:r>
      <w:r>
        <w:t xml:space="preserve">publish the </w:t>
      </w:r>
      <w:r w:rsidR="00FC3866">
        <w:t>Reduced Rate Certificate:</w:t>
      </w:r>
    </w:p>
    <w:p w14:paraId="3794C8E8" w14:textId="3FF44515" w:rsidR="00597890" w:rsidRDefault="00FC3866" w:rsidP="00FC3866">
      <w:pPr>
        <w:pStyle w:val="ListParagraph"/>
        <w:numPr>
          <w:ilvl w:val="0"/>
          <w:numId w:val="162"/>
        </w:numPr>
      </w:pPr>
      <w:r>
        <w:t xml:space="preserve">as soon as reasonably practicable after the start of each new </w:t>
      </w:r>
      <w:hyperlink w:anchor="Certificationperiod" w:history="1">
        <w:r w:rsidR="008C016D" w:rsidRPr="007969BF">
          <w:rPr>
            <w:rStyle w:val="Hyperlink"/>
          </w:rPr>
          <w:t>certification period</w:t>
        </w:r>
      </w:hyperlink>
      <w:r w:rsidR="008C016D">
        <w:t xml:space="preserve"> </w:t>
      </w:r>
      <w:r w:rsidR="00924BC1">
        <w:t>(</w:t>
      </w:r>
      <w:r w:rsidR="008C016D">
        <w:t>that begins on 1 July after the end of each target period</w:t>
      </w:r>
      <w:r w:rsidR="00924BC1">
        <w:t>)</w:t>
      </w:r>
    </w:p>
    <w:p w14:paraId="3F638F3D" w14:textId="4C9A5CBB" w:rsidR="00FC3866" w:rsidRDefault="00FC3866" w:rsidP="00FC3866">
      <w:pPr>
        <w:pStyle w:val="ListParagraph"/>
        <w:numPr>
          <w:ilvl w:val="0"/>
          <w:numId w:val="162"/>
        </w:numPr>
      </w:pPr>
      <w:r>
        <w:t>on the last working day of each month where there have been any changes</w:t>
      </w:r>
    </w:p>
    <w:p w14:paraId="5F080643" w14:textId="79828C54" w:rsidR="00ED1EC4" w:rsidRDefault="00ED1EC4" w:rsidP="00ED1EC4">
      <w:r>
        <w:t xml:space="preserve">We </w:t>
      </w:r>
      <w:r w:rsidR="00924BC1">
        <w:t xml:space="preserve">must </w:t>
      </w:r>
      <w:r>
        <w:t>not recertify facilities if the operator chooses not to pay the buy-out fee.</w:t>
      </w:r>
      <w:r w:rsidR="00871CC6">
        <w:t xml:space="preserve"> </w:t>
      </w:r>
      <w:r w:rsidR="006E09B5">
        <w:t>W</w:t>
      </w:r>
      <w:r>
        <w:t xml:space="preserve">e will issue a </w:t>
      </w:r>
      <w:r w:rsidR="006E09B5">
        <w:t xml:space="preserve">separate </w:t>
      </w:r>
      <w:r>
        <w:t xml:space="preserve">notice of our decision not to recertify the facility or facilities in the </w:t>
      </w:r>
      <w:r w:rsidR="00597890">
        <w:t xml:space="preserve">operator’s </w:t>
      </w:r>
      <w:r>
        <w:t>agreement</w:t>
      </w:r>
      <w:r w:rsidR="00597890">
        <w:t xml:space="preserve"> at the same time as we publish the Reduced Rate Certificate</w:t>
      </w:r>
      <w:r w:rsidR="001542C4">
        <w:t xml:space="preserve"> for </w:t>
      </w:r>
      <w:r w:rsidR="00D44FC6">
        <w:t>each</w:t>
      </w:r>
      <w:r w:rsidR="001542C4" w:rsidRPr="001542C4">
        <w:t xml:space="preserve"> </w:t>
      </w:r>
      <w:r w:rsidR="001542C4">
        <w:t xml:space="preserve">new </w:t>
      </w:r>
      <w:hyperlink w:anchor="Certificationperiod" w:history="1">
        <w:r w:rsidR="001542C4" w:rsidRPr="007969BF">
          <w:rPr>
            <w:rStyle w:val="Hyperlink"/>
          </w:rPr>
          <w:t>certification period</w:t>
        </w:r>
      </w:hyperlink>
      <w:r w:rsidR="001542C4">
        <w:t>.</w:t>
      </w:r>
      <w:r w:rsidR="00C9103F">
        <w:t xml:space="preserve"> We will also pass on information about the facilities we are not recertifying to HMRC.</w:t>
      </w:r>
    </w:p>
    <w:p w14:paraId="7182312E" w14:textId="3A7EA1B6" w:rsidR="00C9103F" w:rsidRDefault="00D30FE7" w:rsidP="00C9103F">
      <w:pPr>
        <w:tabs>
          <w:tab w:val="left" w:pos="0"/>
        </w:tabs>
      </w:pPr>
      <w:r>
        <w:t xml:space="preserve">Where a </w:t>
      </w:r>
      <w:r w:rsidR="00FE3DFF">
        <w:t>buy-out fee</w:t>
      </w:r>
      <w:r>
        <w:t xml:space="preserve"> is received </w:t>
      </w:r>
      <w:r w:rsidR="00FE3DFF">
        <w:t xml:space="preserve">after the </w:t>
      </w:r>
      <w:r w:rsidR="00207A97">
        <w:t xml:space="preserve">relevant </w:t>
      </w:r>
      <w:r w:rsidR="00FE3DFF">
        <w:t xml:space="preserve">due date, </w:t>
      </w:r>
      <w:r w:rsidR="002737EF">
        <w:t xml:space="preserve">we will </w:t>
      </w:r>
      <w:r w:rsidR="00207A97">
        <w:t xml:space="preserve">only </w:t>
      </w:r>
      <w:r w:rsidR="002737EF">
        <w:t xml:space="preserve">recertify the facilities from the date </w:t>
      </w:r>
      <w:r w:rsidR="00207A97">
        <w:t>when cleared funds were received</w:t>
      </w:r>
      <w:r w:rsidR="002737EF">
        <w:t xml:space="preserve">. </w:t>
      </w:r>
      <w:r w:rsidR="006F553B">
        <w:t xml:space="preserve">The operator will not be able to claim the reduced rates of CCL from before </w:t>
      </w:r>
      <w:r w:rsidR="00BC7BA3">
        <w:t xml:space="preserve">that </w:t>
      </w:r>
      <w:r w:rsidR="00C9103F">
        <w:t>recertification date</w:t>
      </w:r>
      <w:r w:rsidR="006F553B">
        <w:t>.</w:t>
      </w:r>
    </w:p>
    <w:p w14:paraId="3A9507E7" w14:textId="3C61E74D" w:rsidR="00C9103F" w:rsidRDefault="00C9103F" w:rsidP="00C9103F">
      <w:pPr>
        <w:tabs>
          <w:tab w:val="left" w:pos="0"/>
        </w:tabs>
      </w:pPr>
      <w:r>
        <w:t>It is the operator’s responsibility to notify their energy suppliers and HMRC of any facilities that are not included on the Reduced Rate Certificate</w:t>
      </w:r>
      <w:r w:rsidR="006035F0">
        <w:t xml:space="preserve"> or are only included after the start of the new certification period</w:t>
      </w:r>
      <w:r>
        <w:t>, so the correct amount of CCL can be accounted for in their bills.</w:t>
      </w:r>
    </w:p>
    <w:p w14:paraId="475EF8D2" w14:textId="7726ED8B" w:rsidR="00132483" w:rsidRDefault="00132483" w:rsidP="00C9103F">
      <w:pPr>
        <w:tabs>
          <w:tab w:val="left" w:pos="0"/>
        </w:tabs>
      </w:pPr>
      <w:r>
        <w:t>If</w:t>
      </w:r>
      <w:r w:rsidR="00D809DD">
        <w:t xml:space="preserve"> we issue a secondary buy-out fee notice for a facility that we have recertified and the operator chooses not to pay </w:t>
      </w:r>
      <w:r w:rsidR="004D3E13">
        <w:t xml:space="preserve">the </w:t>
      </w:r>
      <w:r w:rsidR="00D809DD">
        <w:t>secondary buy-out fee, we must decertify that facility.</w:t>
      </w:r>
      <w:r w:rsidR="000F3627" w:rsidRPr="000F3627">
        <w:t xml:space="preserve"> </w:t>
      </w:r>
      <w:r w:rsidR="000F3627">
        <w:t xml:space="preserve">We will issue a notice of our decision to </w:t>
      </w:r>
      <w:r w:rsidR="00B6284D">
        <w:t>de</w:t>
      </w:r>
      <w:r w:rsidR="000F3627">
        <w:t>certify the facility or facilities in the operator’s agreement.</w:t>
      </w:r>
    </w:p>
    <w:p w14:paraId="7AA9400D" w14:textId="77777777" w:rsidR="00026E66" w:rsidRDefault="002737EF" w:rsidP="001F5547">
      <w:pPr>
        <w:pStyle w:val="Heading4"/>
      </w:pPr>
      <w:r>
        <w:t xml:space="preserve">Example </w:t>
      </w:r>
    </w:p>
    <w:p w14:paraId="4A0B3B77" w14:textId="5A32021D" w:rsidR="00026E66" w:rsidRDefault="00E074DD" w:rsidP="004C1365">
      <w:r>
        <w:t>If t</w:t>
      </w:r>
      <w:r w:rsidR="002737EF">
        <w:t xml:space="preserve">he operator of a </w:t>
      </w:r>
      <w:r w:rsidR="006E3F82">
        <w:t>facility</w:t>
      </w:r>
      <w:r w:rsidR="002737EF">
        <w:t xml:space="preserve"> fail</w:t>
      </w:r>
      <w:r w:rsidR="00426F60">
        <w:t>ed</w:t>
      </w:r>
      <w:r w:rsidR="002737EF">
        <w:t xml:space="preserve"> to meet its </w:t>
      </w:r>
      <w:r w:rsidR="002737EF">
        <w:rPr>
          <w:b/>
          <w:bCs/>
        </w:rPr>
        <w:t>TP</w:t>
      </w:r>
      <w:r w:rsidR="00F213F5">
        <w:rPr>
          <w:b/>
          <w:bCs/>
        </w:rPr>
        <w:t>7</w:t>
      </w:r>
      <w:r w:rsidR="002737EF">
        <w:rPr>
          <w:b/>
          <w:bCs/>
        </w:rPr>
        <w:t xml:space="preserve"> </w:t>
      </w:r>
      <w:r w:rsidR="002737EF">
        <w:rPr>
          <w:b/>
        </w:rPr>
        <w:t>target</w:t>
      </w:r>
      <w:r w:rsidR="002737EF">
        <w:t xml:space="preserve"> </w:t>
      </w:r>
      <w:r>
        <w:t xml:space="preserve">and </w:t>
      </w:r>
      <w:r w:rsidR="002737EF">
        <w:t>chose not to pay the buy-out fee by 1 July 20</w:t>
      </w:r>
      <w:r w:rsidR="00F213F5">
        <w:t>27</w:t>
      </w:r>
      <w:r>
        <w:t>, we</w:t>
      </w:r>
      <w:r w:rsidR="00FC355D">
        <w:t xml:space="preserve"> </w:t>
      </w:r>
      <w:r>
        <w:t>must</w:t>
      </w:r>
      <w:r w:rsidR="008550AA">
        <w:t xml:space="preserve"> no</w:t>
      </w:r>
      <w:r>
        <w:t xml:space="preserve">t </w:t>
      </w:r>
      <w:r w:rsidR="00426F60">
        <w:t xml:space="preserve">include this </w:t>
      </w:r>
      <w:r w:rsidR="002737EF">
        <w:t>facilit</w:t>
      </w:r>
      <w:r w:rsidR="00426F60">
        <w:t>y in the Reduced Rate Certificate</w:t>
      </w:r>
      <w:r w:rsidR="002737EF">
        <w:t xml:space="preserve"> </w:t>
      </w:r>
      <w:r w:rsidR="00426F60">
        <w:t xml:space="preserve">from </w:t>
      </w:r>
      <w:r w:rsidR="002737EF">
        <w:lastRenderedPageBreak/>
        <w:t xml:space="preserve">the start of the </w:t>
      </w:r>
      <w:r w:rsidR="00CD6AF9">
        <w:rPr>
          <w:b/>
        </w:rPr>
        <w:t xml:space="preserve">eighth </w:t>
      </w:r>
      <w:r w:rsidR="00CD6AF9" w:rsidRPr="00A7542D">
        <w:rPr>
          <w:b/>
          <w:bCs/>
        </w:rPr>
        <w:t>certification</w:t>
      </w:r>
      <w:r w:rsidR="002737EF">
        <w:rPr>
          <w:b/>
        </w:rPr>
        <w:t xml:space="preserve"> period</w:t>
      </w:r>
      <w:r w:rsidR="002737EF">
        <w:t xml:space="preserve"> (1 July 20</w:t>
      </w:r>
      <w:r w:rsidR="00657BD2">
        <w:t>27</w:t>
      </w:r>
      <w:r w:rsidR="002737EF">
        <w:t>). This mean</w:t>
      </w:r>
      <w:r w:rsidR="00B8541E">
        <w:t>s</w:t>
      </w:r>
      <w:r w:rsidR="008C563E">
        <w:t xml:space="preserve"> that</w:t>
      </w:r>
      <w:r w:rsidR="002737EF">
        <w:t xml:space="preserve"> the operator </w:t>
      </w:r>
      <w:r w:rsidR="00B2142C">
        <w:t>cannot</w:t>
      </w:r>
      <w:r w:rsidR="002737EF">
        <w:t xml:space="preserve"> claim the </w:t>
      </w:r>
      <w:r w:rsidR="00426F60">
        <w:t xml:space="preserve">reduced rates of </w:t>
      </w:r>
      <w:r w:rsidR="002737EF">
        <w:t xml:space="preserve">CCL for the </w:t>
      </w:r>
      <w:r w:rsidR="00B8541E">
        <w:t>eighth certification</w:t>
      </w:r>
      <w:r w:rsidR="002737EF">
        <w:t xml:space="preserve"> period (1 July 20</w:t>
      </w:r>
      <w:r w:rsidR="0074030A">
        <w:t>2</w:t>
      </w:r>
      <w:r w:rsidR="00551F5A">
        <w:t>7</w:t>
      </w:r>
      <w:r w:rsidR="002737EF">
        <w:t xml:space="preserve"> </w:t>
      </w:r>
      <w:r w:rsidR="008550AA">
        <w:t>to</w:t>
      </w:r>
      <w:r w:rsidR="002737EF">
        <w:t xml:space="preserve"> 30 June 20</w:t>
      </w:r>
      <w:r w:rsidR="00A201D3">
        <w:t>29</w:t>
      </w:r>
      <w:r w:rsidR="002737EF">
        <w:t>).</w:t>
      </w:r>
      <w:r w:rsidR="00FC355D">
        <w:t xml:space="preserve"> </w:t>
      </w:r>
    </w:p>
    <w:p w14:paraId="2BF5311A" w14:textId="5068614E" w:rsidR="00026E66" w:rsidRDefault="002737EF" w:rsidP="004C1365">
      <w:r>
        <w:t xml:space="preserve">If the operator of the same </w:t>
      </w:r>
      <w:r w:rsidR="00B8541E">
        <w:t>facility</w:t>
      </w:r>
      <w:r>
        <w:t xml:space="preserve"> </w:t>
      </w:r>
      <w:r w:rsidR="00CC18E3">
        <w:t xml:space="preserve">either </w:t>
      </w:r>
      <w:r>
        <w:t xml:space="preserve">met its </w:t>
      </w:r>
      <w:r>
        <w:rPr>
          <w:b/>
          <w:bCs/>
        </w:rPr>
        <w:t>TP</w:t>
      </w:r>
      <w:r w:rsidR="00A201D3">
        <w:rPr>
          <w:b/>
          <w:bCs/>
        </w:rPr>
        <w:t>8</w:t>
      </w:r>
      <w:r>
        <w:rPr>
          <w:b/>
          <w:bCs/>
        </w:rPr>
        <w:t xml:space="preserve"> </w:t>
      </w:r>
      <w:r>
        <w:rPr>
          <w:b/>
        </w:rPr>
        <w:t>target</w:t>
      </w:r>
      <w:r>
        <w:t xml:space="preserve"> or paid the TP</w:t>
      </w:r>
      <w:r w:rsidR="00A201D3">
        <w:t>8</w:t>
      </w:r>
      <w:r>
        <w:t xml:space="preserve"> buy-out fee</w:t>
      </w:r>
      <w:r w:rsidR="00CC18E3">
        <w:t>,</w:t>
      </w:r>
      <w:r>
        <w:t xml:space="preserve"> we would recertify the facilit</w:t>
      </w:r>
      <w:r w:rsidR="00CC18E3">
        <w:t>y</w:t>
      </w:r>
      <w:r>
        <w:t xml:space="preserve"> from the start of the </w:t>
      </w:r>
      <w:r w:rsidR="008A0CF2">
        <w:rPr>
          <w:b/>
        </w:rPr>
        <w:t xml:space="preserve">ninth </w:t>
      </w:r>
      <w:r w:rsidR="008A0CF2" w:rsidRPr="00CC18E3">
        <w:rPr>
          <w:b/>
          <w:bCs/>
        </w:rPr>
        <w:t>certification</w:t>
      </w:r>
      <w:r>
        <w:rPr>
          <w:b/>
        </w:rPr>
        <w:t xml:space="preserve"> period</w:t>
      </w:r>
      <w:r>
        <w:t xml:space="preserve"> (1 July 20</w:t>
      </w:r>
      <w:r w:rsidR="00A201D3">
        <w:t>29</w:t>
      </w:r>
      <w:r>
        <w:t>).</w:t>
      </w:r>
      <w:r w:rsidR="00FC355D">
        <w:t xml:space="preserve"> </w:t>
      </w:r>
      <w:r>
        <w:t>Th</w:t>
      </w:r>
      <w:r w:rsidR="00CC18E3">
        <w:t>is means th</w:t>
      </w:r>
      <w:r>
        <w:t xml:space="preserve">e operator </w:t>
      </w:r>
      <w:r w:rsidR="00CC18E3">
        <w:t xml:space="preserve">could </w:t>
      </w:r>
      <w:r>
        <w:t xml:space="preserve">claim </w:t>
      </w:r>
      <w:r w:rsidR="00CC18E3">
        <w:t xml:space="preserve">the reduced rates of </w:t>
      </w:r>
      <w:r>
        <w:t xml:space="preserve">CCL for the whole of the </w:t>
      </w:r>
      <w:r w:rsidR="00541993">
        <w:t>ninth</w:t>
      </w:r>
      <w:r>
        <w:t xml:space="preserve"> certification period (1 July 20</w:t>
      </w:r>
      <w:r w:rsidR="00541993">
        <w:t>29</w:t>
      </w:r>
      <w:r>
        <w:t xml:space="preserve"> </w:t>
      </w:r>
      <w:r w:rsidR="008550AA">
        <w:t>to</w:t>
      </w:r>
      <w:r>
        <w:t xml:space="preserve"> 30 June 20</w:t>
      </w:r>
      <w:r w:rsidR="00541993">
        <w:t>31</w:t>
      </w:r>
      <w:r>
        <w:t>).</w:t>
      </w:r>
    </w:p>
    <w:p w14:paraId="7869895C" w14:textId="0AEAD5E5" w:rsidR="00026E66" w:rsidRDefault="002737EF" w:rsidP="004C1365">
      <w:r w:rsidRPr="6AC5D458">
        <w:rPr>
          <w:color w:val="auto"/>
        </w:rPr>
        <w:t xml:space="preserve">If the operator paid the </w:t>
      </w:r>
      <w:r w:rsidRPr="6AC5D458">
        <w:rPr>
          <w:b/>
          <w:color w:val="auto"/>
        </w:rPr>
        <w:t>TP</w:t>
      </w:r>
      <w:r w:rsidR="00C87147" w:rsidRPr="6AC5D458">
        <w:rPr>
          <w:b/>
          <w:color w:val="auto"/>
        </w:rPr>
        <w:t>7</w:t>
      </w:r>
      <w:r w:rsidRPr="6AC5D458">
        <w:rPr>
          <w:b/>
          <w:color w:val="auto"/>
        </w:rPr>
        <w:t xml:space="preserve"> buy-out fee</w:t>
      </w:r>
      <w:r w:rsidRPr="6AC5D458">
        <w:rPr>
          <w:color w:val="auto"/>
        </w:rPr>
        <w:t xml:space="preserve"> on 1 September 20</w:t>
      </w:r>
      <w:r w:rsidR="00C87147" w:rsidRPr="6AC5D458">
        <w:rPr>
          <w:color w:val="auto"/>
        </w:rPr>
        <w:t>27</w:t>
      </w:r>
      <w:r w:rsidRPr="6AC5D458">
        <w:rPr>
          <w:color w:val="auto"/>
        </w:rPr>
        <w:t>, we would</w:t>
      </w:r>
      <w:r w:rsidR="00CC18E3" w:rsidRPr="6AC5D458">
        <w:rPr>
          <w:color w:val="auto"/>
        </w:rPr>
        <w:t xml:space="preserve"> </w:t>
      </w:r>
      <w:r w:rsidRPr="6AC5D458">
        <w:rPr>
          <w:color w:val="auto"/>
        </w:rPr>
        <w:t>recertify the facilit</w:t>
      </w:r>
      <w:r w:rsidR="00CC18E3" w:rsidRPr="6AC5D458">
        <w:rPr>
          <w:color w:val="auto"/>
        </w:rPr>
        <w:t>y</w:t>
      </w:r>
      <w:r w:rsidRPr="6AC5D458">
        <w:rPr>
          <w:color w:val="auto"/>
        </w:rPr>
        <w:t xml:space="preserve"> from 1 September </w:t>
      </w:r>
      <w:r w:rsidR="00CC18E3" w:rsidRPr="6AC5D458">
        <w:rPr>
          <w:color w:val="auto"/>
        </w:rPr>
        <w:t xml:space="preserve">2027 </w:t>
      </w:r>
      <w:r w:rsidRPr="6AC5D458">
        <w:rPr>
          <w:color w:val="auto"/>
        </w:rPr>
        <w:t xml:space="preserve">until the end of the </w:t>
      </w:r>
      <w:r w:rsidR="00C87147" w:rsidRPr="6AC5D458">
        <w:rPr>
          <w:b/>
          <w:color w:val="auto"/>
        </w:rPr>
        <w:t>eighth</w:t>
      </w:r>
      <w:r w:rsidRPr="6AC5D458">
        <w:rPr>
          <w:b/>
          <w:color w:val="auto"/>
        </w:rPr>
        <w:t xml:space="preserve"> certification</w:t>
      </w:r>
      <w:r w:rsidRPr="6AC5D458">
        <w:rPr>
          <w:color w:val="auto"/>
        </w:rPr>
        <w:t xml:space="preserve"> </w:t>
      </w:r>
      <w:r w:rsidRPr="6AC5D458">
        <w:rPr>
          <w:b/>
          <w:color w:val="auto"/>
        </w:rPr>
        <w:t>period</w:t>
      </w:r>
      <w:r w:rsidRPr="6AC5D458">
        <w:rPr>
          <w:color w:val="auto"/>
        </w:rPr>
        <w:t>.</w:t>
      </w:r>
      <w:r w:rsidR="00FC355D" w:rsidRPr="6AC5D458">
        <w:rPr>
          <w:color w:val="auto"/>
        </w:rPr>
        <w:t xml:space="preserve"> </w:t>
      </w:r>
      <w:r w:rsidRPr="6AC5D458">
        <w:rPr>
          <w:color w:val="auto"/>
        </w:rPr>
        <w:t xml:space="preserve">The operator would be entitled to claim </w:t>
      </w:r>
      <w:r w:rsidR="00CC18E3" w:rsidRPr="6AC5D458">
        <w:rPr>
          <w:color w:val="auto"/>
        </w:rPr>
        <w:t xml:space="preserve">the reduced rates of </w:t>
      </w:r>
      <w:r w:rsidRPr="6AC5D458">
        <w:rPr>
          <w:color w:val="auto"/>
        </w:rPr>
        <w:t>CCL for the period 1 September 20</w:t>
      </w:r>
      <w:r w:rsidR="00C87147" w:rsidRPr="6AC5D458">
        <w:rPr>
          <w:color w:val="auto"/>
        </w:rPr>
        <w:t>27</w:t>
      </w:r>
      <w:r w:rsidRPr="6AC5D458">
        <w:rPr>
          <w:color w:val="auto"/>
        </w:rPr>
        <w:t xml:space="preserve"> </w:t>
      </w:r>
      <w:r w:rsidR="008550AA" w:rsidRPr="6AC5D458">
        <w:rPr>
          <w:color w:val="auto"/>
        </w:rPr>
        <w:t>to</w:t>
      </w:r>
      <w:r w:rsidR="00CC18E3" w:rsidRPr="6AC5D458">
        <w:rPr>
          <w:color w:val="auto"/>
        </w:rPr>
        <w:t xml:space="preserve"> </w:t>
      </w:r>
      <w:r w:rsidRPr="6AC5D458">
        <w:rPr>
          <w:color w:val="auto"/>
        </w:rPr>
        <w:t>30</w:t>
      </w:r>
      <w:r w:rsidR="00CC18E3" w:rsidRPr="6AC5D458">
        <w:rPr>
          <w:color w:val="auto"/>
        </w:rPr>
        <w:t xml:space="preserve"> </w:t>
      </w:r>
      <w:r w:rsidRPr="6AC5D458">
        <w:rPr>
          <w:color w:val="auto"/>
        </w:rPr>
        <w:t>June 20</w:t>
      </w:r>
      <w:r w:rsidR="00C87147" w:rsidRPr="6AC5D458">
        <w:rPr>
          <w:color w:val="auto"/>
        </w:rPr>
        <w:t>29</w:t>
      </w:r>
      <w:r w:rsidRPr="6AC5D458">
        <w:rPr>
          <w:color w:val="auto"/>
        </w:rPr>
        <w:t>.</w:t>
      </w:r>
      <w:r w:rsidR="00FC355D" w:rsidRPr="6AC5D458">
        <w:rPr>
          <w:color w:val="auto"/>
        </w:rPr>
        <w:t xml:space="preserve"> </w:t>
      </w:r>
      <w:r w:rsidR="00CC18E3" w:rsidRPr="6AC5D458">
        <w:rPr>
          <w:color w:val="auto"/>
        </w:rPr>
        <w:t>The operator</w:t>
      </w:r>
      <w:r w:rsidRPr="6AC5D458">
        <w:rPr>
          <w:color w:val="auto"/>
        </w:rPr>
        <w:t xml:space="preserve"> would not be entitled to claim </w:t>
      </w:r>
      <w:r w:rsidR="00CC18E3" w:rsidRPr="6AC5D458">
        <w:rPr>
          <w:color w:val="auto"/>
        </w:rPr>
        <w:t xml:space="preserve">the reduced rates of </w:t>
      </w:r>
      <w:r w:rsidRPr="6AC5D458">
        <w:rPr>
          <w:color w:val="auto"/>
        </w:rPr>
        <w:t>CCL for the period 1 July 20</w:t>
      </w:r>
      <w:r w:rsidR="00C87147" w:rsidRPr="6AC5D458">
        <w:rPr>
          <w:color w:val="auto"/>
        </w:rPr>
        <w:t>27</w:t>
      </w:r>
      <w:r w:rsidRPr="6AC5D458">
        <w:rPr>
          <w:color w:val="auto"/>
        </w:rPr>
        <w:t xml:space="preserve"> to 31 August 20</w:t>
      </w:r>
      <w:r w:rsidR="00C87147" w:rsidRPr="6AC5D458">
        <w:rPr>
          <w:color w:val="auto"/>
        </w:rPr>
        <w:t>27</w:t>
      </w:r>
      <w:r w:rsidRPr="6AC5D458">
        <w:rPr>
          <w:color w:val="auto"/>
        </w:rPr>
        <w:t>.</w:t>
      </w:r>
    </w:p>
    <w:p w14:paraId="03C7833D" w14:textId="6B21EC41" w:rsidR="00026E66" w:rsidRDefault="002737EF" w:rsidP="00FF0098">
      <w:pPr>
        <w:pStyle w:val="Heading4"/>
        <w:tabs>
          <w:tab w:val="left" w:pos="0"/>
        </w:tabs>
        <w:rPr>
          <w:color w:val="auto"/>
        </w:rPr>
      </w:pPr>
      <w:r>
        <w:rPr>
          <w:color w:val="auto"/>
        </w:rPr>
        <w:t>10.</w:t>
      </w:r>
      <w:r w:rsidR="000F2081">
        <w:rPr>
          <w:color w:val="auto"/>
        </w:rPr>
        <w:t>5.3.1</w:t>
      </w:r>
      <w:r>
        <w:rPr>
          <w:color w:val="auto"/>
        </w:rPr>
        <w:t xml:space="preserve"> What happens if a facility which has not been recertified is </w:t>
      </w:r>
      <w:r w:rsidR="00955CE1">
        <w:rPr>
          <w:color w:val="auto"/>
        </w:rPr>
        <w:t>transferred to a different</w:t>
      </w:r>
      <w:r>
        <w:rPr>
          <w:color w:val="auto"/>
        </w:rPr>
        <w:t xml:space="preserve"> operator? </w:t>
      </w:r>
    </w:p>
    <w:p w14:paraId="18027588" w14:textId="77777777" w:rsidR="00026E66" w:rsidRDefault="002737EF" w:rsidP="00FF0098">
      <w:pPr>
        <w:tabs>
          <w:tab w:val="left" w:pos="0"/>
        </w:tabs>
      </w:pPr>
      <w:r>
        <w:t xml:space="preserve">We may only enter into a new underlying agreement covering a facility which has not been recertified with the new operator if we are satisfied that: </w:t>
      </w:r>
    </w:p>
    <w:p w14:paraId="3163A8FD" w14:textId="730F8C06" w:rsidR="00026E66" w:rsidRDefault="002737EF" w:rsidP="0065356B">
      <w:pPr>
        <w:pStyle w:val="ListParagraph"/>
        <w:numPr>
          <w:ilvl w:val="0"/>
          <w:numId w:val="84"/>
        </w:numPr>
        <w:tabs>
          <w:tab w:val="left" w:pos="0"/>
        </w:tabs>
      </w:pPr>
      <w:r>
        <w:t xml:space="preserve">there are no outstanding penalties or </w:t>
      </w:r>
      <w:hyperlink w:anchor="Charges" w:history="1">
        <w:r w:rsidR="00193AD6">
          <w:rPr>
            <w:rStyle w:val="Hyperlink"/>
          </w:rPr>
          <w:t>charges</w:t>
        </w:r>
      </w:hyperlink>
      <w:r>
        <w:t xml:space="preserve"> which occurred under the previous underlying agreement </w:t>
      </w:r>
    </w:p>
    <w:p w14:paraId="2AFC7162" w14:textId="1C53B353" w:rsidR="0070066F" w:rsidRDefault="002737EF" w:rsidP="0070066F">
      <w:pPr>
        <w:pStyle w:val="ListParagraph"/>
        <w:numPr>
          <w:ilvl w:val="0"/>
          <w:numId w:val="84"/>
        </w:numPr>
        <w:tabs>
          <w:tab w:val="left" w:pos="0"/>
        </w:tabs>
      </w:pPr>
      <w:r>
        <w:t>progress in the immediately preceding certification period towards meeting targets under the previous underlying agreement is, or is likely to be, satisfactory</w:t>
      </w:r>
      <w:r w:rsidR="008550AA">
        <w:t xml:space="preserve"> – p</w:t>
      </w:r>
      <w:r>
        <w:t>rogress may be made through paying the buy-out fee</w:t>
      </w:r>
    </w:p>
    <w:p w14:paraId="759AA538" w14:textId="28E96ABF" w:rsidR="0070066F" w:rsidRDefault="0070066F" w:rsidP="0070066F">
      <w:pPr>
        <w:pStyle w:val="Heading2"/>
        <w:tabs>
          <w:tab w:val="left" w:pos="0"/>
        </w:tabs>
      </w:pPr>
      <w:bookmarkStart w:id="224" w:name="_10.4.4._Calculation_of"/>
      <w:bookmarkStart w:id="225" w:name="_10.6._Calculating_the"/>
      <w:bookmarkStart w:id="226" w:name="_Toc242885405"/>
      <w:bookmarkEnd w:id="224"/>
      <w:bookmarkEnd w:id="225"/>
      <w:r>
        <w:t xml:space="preserve">10.6. Calculating the </w:t>
      </w:r>
      <w:r w:rsidR="00313E5B">
        <w:t>performance of a facility</w:t>
      </w:r>
      <w:bookmarkEnd w:id="226"/>
    </w:p>
    <w:p w14:paraId="5D184873" w14:textId="66490BCF" w:rsidR="00C17580" w:rsidRDefault="00C17580" w:rsidP="0086271F">
      <w:r>
        <w:t xml:space="preserve">To </w:t>
      </w:r>
      <w:r w:rsidR="005C30BC">
        <w:t xml:space="preserve">determine </w:t>
      </w:r>
      <w:r w:rsidR="00FB348E">
        <w:t xml:space="preserve">if </w:t>
      </w:r>
      <w:r w:rsidR="006060A2">
        <w:t xml:space="preserve">an </w:t>
      </w:r>
      <w:r w:rsidR="00FC26DB">
        <w:t xml:space="preserve">operator </w:t>
      </w:r>
      <w:r w:rsidR="005C30BC">
        <w:t xml:space="preserve">has </w:t>
      </w:r>
      <w:r>
        <w:t>met or</w:t>
      </w:r>
      <w:r w:rsidR="00897856">
        <w:t xml:space="preserve"> failed to meet </w:t>
      </w:r>
      <w:r w:rsidR="00FB348E">
        <w:t xml:space="preserve">the </w:t>
      </w:r>
      <w:r w:rsidR="00897856">
        <w:t xml:space="preserve">improvement </w:t>
      </w:r>
      <w:r w:rsidR="005C30BC">
        <w:t>target</w:t>
      </w:r>
      <w:r w:rsidR="00897856">
        <w:t xml:space="preserve"> </w:t>
      </w:r>
      <w:r w:rsidR="00FB348E">
        <w:t>for a facility</w:t>
      </w:r>
      <w:r>
        <w:t xml:space="preserve">, </w:t>
      </w:r>
      <w:r w:rsidR="006060A2">
        <w:t xml:space="preserve">they must </w:t>
      </w:r>
      <w:r w:rsidR="00FB348E">
        <w:t>provide us with the</w:t>
      </w:r>
      <w:r>
        <w:t>:</w:t>
      </w:r>
    </w:p>
    <w:p w14:paraId="73948FB0" w14:textId="26CEA2EB" w:rsidR="00C17580" w:rsidRDefault="00FB348E" w:rsidP="00C17580">
      <w:pPr>
        <w:pStyle w:val="ListParagraph"/>
        <w:numPr>
          <w:ilvl w:val="0"/>
          <w:numId w:val="84"/>
        </w:numPr>
      </w:pPr>
      <w:r>
        <w:t>amounts of</w:t>
      </w:r>
      <w:r w:rsidR="00C17580">
        <w:t xml:space="preserve"> each</w:t>
      </w:r>
      <w:r>
        <w:t xml:space="preserve"> fuel </w:t>
      </w:r>
      <w:r w:rsidR="008550AA">
        <w:t xml:space="preserve">or </w:t>
      </w:r>
      <w:r w:rsidR="001634F3">
        <w:t xml:space="preserve">energy source </w:t>
      </w:r>
      <w:r>
        <w:t>used during the reporting period</w:t>
      </w:r>
    </w:p>
    <w:p w14:paraId="5C90F6C5" w14:textId="02422B62" w:rsidR="008079A6" w:rsidRDefault="00A40CA1" w:rsidP="00C17580">
      <w:pPr>
        <w:pStyle w:val="ListParagraph"/>
        <w:numPr>
          <w:ilvl w:val="0"/>
          <w:numId w:val="84"/>
        </w:numPr>
      </w:pPr>
      <w:r>
        <w:t xml:space="preserve">names and </w:t>
      </w:r>
      <w:r w:rsidR="00C124C4">
        <w:t>emission factors for any fuels that are</w:t>
      </w:r>
      <w:r w:rsidR="008550AA">
        <w:t xml:space="preserve"> no</w:t>
      </w:r>
      <w:r w:rsidR="00C124C4">
        <w:t xml:space="preserve">t </w:t>
      </w:r>
      <w:r w:rsidR="00F34B0E">
        <w:t xml:space="preserve">on </w:t>
      </w:r>
      <w:r>
        <w:t xml:space="preserve">the </w:t>
      </w:r>
      <w:r w:rsidR="008F69D8">
        <w:t xml:space="preserve">standard </w:t>
      </w:r>
      <w:r w:rsidR="00F34B0E">
        <w:t>list of fuel types</w:t>
      </w:r>
    </w:p>
    <w:p w14:paraId="7CD0CD8F" w14:textId="0B498902" w:rsidR="001634F3" w:rsidRDefault="001634F3" w:rsidP="001634F3">
      <w:pPr>
        <w:pStyle w:val="ListParagraph"/>
        <w:numPr>
          <w:ilvl w:val="0"/>
          <w:numId w:val="84"/>
        </w:numPr>
      </w:pPr>
      <w:r>
        <w:t>amount</w:t>
      </w:r>
      <w:r w:rsidR="008205C6">
        <w:t>(s)</w:t>
      </w:r>
      <w:r>
        <w:t xml:space="preserve"> of throughput (which must be calculated using the same methodology agreed as part of their application for an agreement or variation to an existing agreement)</w:t>
      </w:r>
    </w:p>
    <w:p w14:paraId="76B15209" w14:textId="60B45B11" w:rsidR="00F34B0E" w:rsidRDefault="00F34B0E" w:rsidP="00C17580">
      <w:pPr>
        <w:pStyle w:val="ListParagraph"/>
        <w:numPr>
          <w:ilvl w:val="0"/>
          <w:numId w:val="84"/>
        </w:numPr>
      </w:pPr>
      <w:r>
        <w:t xml:space="preserve">amount of electricity </w:t>
      </w:r>
      <w:r w:rsidR="00C92F96">
        <w:t xml:space="preserve">used by the facility that was </w:t>
      </w:r>
      <w:r>
        <w:t xml:space="preserve">supplied from </w:t>
      </w:r>
      <w:r w:rsidR="00C92F96">
        <w:t xml:space="preserve">either </w:t>
      </w:r>
      <w:r>
        <w:t xml:space="preserve">a </w:t>
      </w:r>
      <w:r w:rsidR="008550AA">
        <w:t>CHP</w:t>
      </w:r>
      <w:r>
        <w:t xml:space="preserve"> plant or dedicated generators</w:t>
      </w:r>
      <w:r w:rsidR="00A40CA1">
        <w:t xml:space="preserve"> </w:t>
      </w:r>
      <w:r w:rsidR="00C92F96">
        <w:t xml:space="preserve">– this information is only required from </w:t>
      </w:r>
      <w:r w:rsidR="00A35D30">
        <w:t xml:space="preserve">facilities </w:t>
      </w:r>
      <w:r w:rsidR="00A40CA1">
        <w:t>that must use the Special Reporting Methodology</w:t>
      </w:r>
      <w:r w:rsidR="00A35D30">
        <w:t xml:space="preserve"> (SRM)</w:t>
      </w:r>
    </w:p>
    <w:p w14:paraId="0E775F39" w14:textId="7C946C2F" w:rsidR="0086271F" w:rsidRDefault="00B21509" w:rsidP="00C17580">
      <w:r>
        <w:t xml:space="preserve">This information allows us to calculate the total amount of primary energy </w:t>
      </w:r>
      <w:proofErr w:type="gramStart"/>
      <w:r>
        <w:t>used</w:t>
      </w:r>
      <w:proofErr w:type="gramEnd"/>
      <w:r>
        <w:t xml:space="preserve"> </w:t>
      </w:r>
      <w:r w:rsidR="002A67EF">
        <w:t>and the total amount of carbon dioxide equivalent emitted</w:t>
      </w:r>
      <w:r w:rsidR="002A67EF" w:rsidRPr="002A67EF">
        <w:t xml:space="preserve"> </w:t>
      </w:r>
      <w:r w:rsidR="002A67EF">
        <w:t>by the facility.</w:t>
      </w:r>
    </w:p>
    <w:p w14:paraId="6B254A6B" w14:textId="3B02460E" w:rsidR="00312C82" w:rsidRDefault="00312C82" w:rsidP="00312C82">
      <w:pPr>
        <w:pStyle w:val="Heading3"/>
      </w:pPr>
      <w:r>
        <w:lastRenderedPageBreak/>
        <w:t>10.6.1 How we calculate the target energy</w:t>
      </w:r>
    </w:p>
    <w:p w14:paraId="20E4D7B0" w14:textId="621E4B7F" w:rsidR="00312C82" w:rsidRDefault="00312C82" w:rsidP="00C17580">
      <w:r>
        <w:t>T</w:t>
      </w:r>
      <w:r w:rsidR="00586FF2">
        <w:t xml:space="preserve">he </w:t>
      </w:r>
      <w:r w:rsidR="00F877DF">
        <w:t xml:space="preserve">amount of </w:t>
      </w:r>
      <w:r w:rsidR="00586FF2">
        <w:t xml:space="preserve">target energy </w:t>
      </w:r>
      <w:r w:rsidR="00F877DF">
        <w:t xml:space="preserve">depends on how the operator </w:t>
      </w:r>
      <w:r w:rsidR="00650E6D">
        <w:t xml:space="preserve">chose to structure </w:t>
      </w:r>
      <w:r w:rsidR="00F877DF">
        <w:t xml:space="preserve">their base year data for each facility. </w:t>
      </w:r>
    </w:p>
    <w:p w14:paraId="2921C81C" w14:textId="188E29C3" w:rsidR="00650E6D" w:rsidRDefault="00F877DF" w:rsidP="00C17580">
      <w:r>
        <w:t xml:space="preserve">For the new phase, operators could choose to </w:t>
      </w:r>
      <w:r w:rsidR="00AC7E3F">
        <w:t>allocate the energy they consumed during the base year between fixed and variable components.</w:t>
      </w:r>
    </w:p>
    <w:p w14:paraId="4FE77C87" w14:textId="2FC3A983" w:rsidR="00586FF2" w:rsidRDefault="00AC7E3F" w:rsidP="00C17580">
      <w:r>
        <w:t>For example</w:t>
      </w:r>
      <w:r w:rsidR="004E5AC5">
        <w:t>,</w:t>
      </w:r>
      <w:r>
        <w:t xml:space="preserve"> an operator could choose to allocate:</w:t>
      </w:r>
    </w:p>
    <w:p w14:paraId="0D43C6F8" w14:textId="3C77150C" w:rsidR="00AC7E3F" w:rsidRDefault="00AC7E3F" w:rsidP="00AC7E3F">
      <w:pPr>
        <w:pStyle w:val="ListParagraph"/>
        <w:numPr>
          <w:ilvl w:val="0"/>
          <w:numId w:val="84"/>
        </w:numPr>
      </w:pPr>
      <w:r>
        <w:t>all their base year energy to fixed consumption</w:t>
      </w:r>
      <w:r w:rsidR="009D1CE7">
        <w:t xml:space="preserve"> – equivalent to an absolute target type in the previous scheme</w:t>
      </w:r>
    </w:p>
    <w:p w14:paraId="485A42E7" w14:textId="6729205E" w:rsidR="00AC7E3F" w:rsidRDefault="00AC7E3F" w:rsidP="00AC7E3F">
      <w:pPr>
        <w:pStyle w:val="ListParagraph"/>
        <w:numPr>
          <w:ilvl w:val="0"/>
          <w:numId w:val="84"/>
        </w:numPr>
      </w:pPr>
      <w:r>
        <w:t>all their base year energy to variable consumption</w:t>
      </w:r>
      <w:r w:rsidR="009D1CE7">
        <w:t xml:space="preserve"> – equivalent to a relative target type in the previous scheme</w:t>
      </w:r>
    </w:p>
    <w:p w14:paraId="34D78F9A" w14:textId="5892D941" w:rsidR="009D1CE7" w:rsidRDefault="00BD6EA1" w:rsidP="00AC7E3F">
      <w:pPr>
        <w:pStyle w:val="ListParagraph"/>
        <w:numPr>
          <w:ilvl w:val="0"/>
          <w:numId w:val="84"/>
        </w:numPr>
      </w:pPr>
      <w:r>
        <w:t xml:space="preserve">all their base year energy to variable consumption split </w:t>
      </w:r>
      <w:r w:rsidR="00650E6D">
        <w:t xml:space="preserve">across </w:t>
      </w:r>
      <w:r>
        <w:t>more than one product – equivalent to a Novem target type in the previous scheme</w:t>
      </w:r>
    </w:p>
    <w:p w14:paraId="3D9782D3" w14:textId="56F337FE" w:rsidR="00AC7E3F" w:rsidRDefault="00B80062" w:rsidP="00AC7E3F">
      <w:pPr>
        <w:pStyle w:val="ListParagraph"/>
        <w:numPr>
          <w:ilvl w:val="0"/>
          <w:numId w:val="84"/>
        </w:numPr>
      </w:pPr>
      <w:r>
        <w:t xml:space="preserve">part of their base year energy to </w:t>
      </w:r>
      <w:r w:rsidR="00FA6FA5">
        <w:t xml:space="preserve">fixed consumption </w:t>
      </w:r>
      <w:r>
        <w:t>and part to</w:t>
      </w:r>
      <w:r w:rsidR="00FA6FA5">
        <w:t xml:space="preserve"> variable consumption </w:t>
      </w:r>
      <w:r w:rsidR="009D1CE7">
        <w:t>– no equivalent in the previous scheme</w:t>
      </w:r>
    </w:p>
    <w:p w14:paraId="6D48E53E" w14:textId="0544EEEF" w:rsidR="00FA6FA5" w:rsidRDefault="00FA6FA5" w:rsidP="00FA6FA5">
      <w:pPr>
        <w:pStyle w:val="ListParagraph"/>
        <w:numPr>
          <w:ilvl w:val="0"/>
          <w:numId w:val="84"/>
        </w:numPr>
      </w:pPr>
      <w:r>
        <w:t xml:space="preserve">part of their base year energy to fixed consumption and part to variable consumption </w:t>
      </w:r>
      <w:r w:rsidR="00650E6D">
        <w:t xml:space="preserve">split across more than one product </w:t>
      </w:r>
      <w:r>
        <w:t>– no equivalent in the previous scheme</w:t>
      </w:r>
    </w:p>
    <w:p w14:paraId="7C28B7CB" w14:textId="33E73212" w:rsidR="002C6A8E" w:rsidRDefault="002C6A8E" w:rsidP="002C6A8E">
      <w:r>
        <w:t>Paragraphs 57-6</w:t>
      </w:r>
      <w:r w:rsidR="00F96366">
        <w:t>1</w:t>
      </w:r>
      <w:r>
        <w:t xml:space="preserve"> from the </w:t>
      </w:r>
      <w:hyperlink r:id="rId84" w:history="1">
        <w:r>
          <w:rPr>
            <w:rStyle w:val="Hyperlink"/>
            <w:color w:val="0070C0"/>
          </w:rPr>
          <w:t>Technical Annex</w:t>
        </w:r>
      </w:hyperlink>
      <w:r>
        <w:t xml:space="preserve"> explain in detail how we calculate the performance of a facility</w:t>
      </w:r>
      <w:r w:rsidR="00312C82">
        <w:t xml:space="preserve"> for </w:t>
      </w:r>
      <w:proofErr w:type="gramStart"/>
      <w:r w:rsidR="00312C82">
        <w:t>energy</w:t>
      </w:r>
      <w:r w:rsidR="00C06F5E">
        <w:t xml:space="preserve"> </w:t>
      </w:r>
      <w:r w:rsidR="00312C82">
        <w:t>based</w:t>
      </w:r>
      <w:proofErr w:type="gramEnd"/>
      <w:r w:rsidR="00312C82">
        <w:t xml:space="preserve"> targets.</w:t>
      </w:r>
    </w:p>
    <w:p w14:paraId="149646B6" w14:textId="77777777" w:rsidR="00F570CF" w:rsidRDefault="00F570CF" w:rsidP="008569D7">
      <w:pPr>
        <w:tabs>
          <w:tab w:val="left" w:pos="0"/>
        </w:tabs>
        <w:ind w:right="182"/>
        <w:rPr>
          <w:color w:val="auto"/>
        </w:rPr>
      </w:pPr>
      <w:r>
        <w:rPr>
          <w:color w:val="auto"/>
        </w:rPr>
        <w:t>In summary:</w:t>
      </w:r>
    </w:p>
    <w:p w14:paraId="18D365E5" w14:textId="501483E6" w:rsidR="00F570CF" w:rsidRDefault="00F570CF" w:rsidP="008569D7">
      <w:pPr>
        <w:pStyle w:val="ListParagraph"/>
        <w:numPr>
          <w:ilvl w:val="0"/>
          <w:numId w:val="226"/>
        </w:numPr>
        <w:tabs>
          <w:tab w:val="left" w:pos="0"/>
        </w:tabs>
        <w:ind w:right="182"/>
      </w:pPr>
      <w:r w:rsidRPr="00F570CF">
        <w:t>f</w:t>
      </w:r>
      <w:r w:rsidR="00FC3CD9" w:rsidRPr="00F570CF">
        <w:t xml:space="preserve">or </w:t>
      </w:r>
      <w:r w:rsidR="007B2C46" w:rsidRPr="00F570CF">
        <w:t xml:space="preserve">the </w:t>
      </w:r>
      <w:r w:rsidR="00FC3CD9" w:rsidRPr="00F570CF">
        <w:rPr>
          <w:b/>
          <w:bCs/>
        </w:rPr>
        <w:t xml:space="preserve">fixed </w:t>
      </w:r>
      <w:r w:rsidR="00546B28" w:rsidRPr="00F570CF">
        <w:rPr>
          <w:b/>
          <w:bCs/>
        </w:rPr>
        <w:t>target energy</w:t>
      </w:r>
      <w:r w:rsidR="00BF09F9" w:rsidRPr="00F570CF">
        <w:rPr>
          <w:b/>
          <w:bCs/>
        </w:rPr>
        <w:t xml:space="preserve"> component</w:t>
      </w:r>
      <w:r w:rsidR="00FC3CD9" w:rsidRPr="00F570CF">
        <w:t xml:space="preserve">, we multiply the amount of energy used in the </w:t>
      </w:r>
      <w:r w:rsidR="00581EF8" w:rsidRPr="00F570CF">
        <w:t xml:space="preserve">12-month </w:t>
      </w:r>
      <w:r w:rsidR="00FC3CD9" w:rsidRPr="00F570CF">
        <w:t xml:space="preserve">base year </w:t>
      </w:r>
      <w:r w:rsidR="00581EF8" w:rsidRPr="00F570CF">
        <w:t xml:space="preserve">period </w:t>
      </w:r>
      <w:r w:rsidR="00FC3CD9" w:rsidRPr="00F570CF">
        <w:t>by (100% - improvement target %)</w:t>
      </w:r>
      <w:r w:rsidR="005707D4">
        <w:t xml:space="preserve"> –</w:t>
      </w:r>
      <w:r w:rsidR="00B8537B">
        <w:t xml:space="preserve"> </w:t>
      </w:r>
      <w:r w:rsidR="005707D4">
        <w:t>f</w:t>
      </w:r>
      <w:r w:rsidR="00B8537B">
        <w:t>or</w:t>
      </w:r>
      <w:r w:rsidR="00B8537B" w:rsidRPr="00F570CF">
        <w:t xml:space="preserve"> TP8 and TP9 (both </w:t>
      </w:r>
      <w:r w:rsidR="009E12F0">
        <w:t>2</w:t>
      </w:r>
      <w:r w:rsidR="0005108B" w:rsidRPr="00F570CF">
        <w:t>-</w:t>
      </w:r>
      <w:r w:rsidR="00B8537B" w:rsidRPr="00F570CF">
        <w:t>year target periods), we multiply that amount by 2</w:t>
      </w:r>
    </w:p>
    <w:p w14:paraId="7F7FB240" w14:textId="03373849" w:rsidR="00F570CF" w:rsidRDefault="00F570CF" w:rsidP="008569D7">
      <w:pPr>
        <w:pStyle w:val="ListParagraph"/>
        <w:numPr>
          <w:ilvl w:val="0"/>
          <w:numId w:val="226"/>
        </w:numPr>
        <w:tabs>
          <w:tab w:val="left" w:pos="0"/>
        </w:tabs>
        <w:ind w:right="182"/>
      </w:pPr>
      <w:r>
        <w:t>f</w:t>
      </w:r>
      <w:r w:rsidR="00B8537B" w:rsidRPr="00F570CF">
        <w:t xml:space="preserve">or </w:t>
      </w:r>
      <w:r w:rsidR="002C6A8E" w:rsidRPr="00F570CF">
        <w:t xml:space="preserve">the </w:t>
      </w:r>
      <w:r w:rsidR="00B8537B" w:rsidRPr="00F570CF">
        <w:rPr>
          <w:b/>
          <w:bCs/>
        </w:rPr>
        <w:t xml:space="preserve">variable </w:t>
      </w:r>
      <w:r w:rsidR="00DE55DC" w:rsidRPr="00F570CF">
        <w:rPr>
          <w:b/>
          <w:bCs/>
        </w:rPr>
        <w:t>target energy component</w:t>
      </w:r>
      <w:r w:rsidR="00B8537B" w:rsidRPr="00F570CF">
        <w:t xml:space="preserve">, we </w:t>
      </w:r>
      <w:r w:rsidR="00303E4D" w:rsidRPr="00F570CF">
        <w:t xml:space="preserve">multiply the base year energy intensity </w:t>
      </w:r>
      <w:r w:rsidR="003D0F9A" w:rsidRPr="00F570CF">
        <w:t>– the amount of energy used per unit of throughput</w:t>
      </w:r>
      <w:r w:rsidR="003A4821" w:rsidRPr="00F570CF">
        <w:t xml:space="preserve"> in the base year</w:t>
      </w:r>
      <w:r w:rsidR="003D0F9A" w:rsidRPr="00F570CF">
        <w:t xml:space="preserve"> – </w:t>
      </w:r>
      <w:r w:rsidR="00303E4D" w:rsidRPr="00F570CF">
        <w:t>by</w:t>
      </w:r>
      <w:r w:rsidR="003D0F9A" w:rsidRPr="00F570CF">
        <w:t xml:space="preserve"> </w:t>
      </w:r>
      <w:r w:rsidR="00303E4D" w:rsidRPr="00F570CF">
        <w:t>(100% - improvement target %)</w:t>
      </w:r>
      <w:r w:rsidR="003D0F9A" w:rsidRPr="00F570CF">
        <w:t xml:space="preserve">. We then </w:t>
      </w:r>
      <w:r w:rsidR="00303E4D" w:rsidRPr="00F570CF">
        <w:t xml:space="preserve">multiply that by the </w:t>
      </w:r>
      <w:r w:rsidR="008B01FD" w:rsidRPr="00F570CF">
        <w:t xml:space="preserve">amount of throughput in the </w:t>
      </w:r>
      <w:r w:rsidR="00303E4D" w:rsidRPr="00F570CF">
        <w:t>target period</w:t>
      </w:r>
      <w:r w:rsidR="008F3423">
        <w:t xml:space="preserve"> (</w:t>
      </w:r>
      <w:r w:rsidR="00A22D7E">
        <w:t>f</w:t>
      </w:r>
      <w:r w:rsidR="008F3423">
        <w:t>or</w:t>
      </w:r>
      <w:r w:rsidR="008F3423" w:rsidRPr="00F570CF">
        <w:t xml:space="preserve"> </w:t>
      </w:r>
      <w:r w:rsidR="00477CBF" w:rsidRPr="00F570CF">
        <w:t xml:space="preserve">facilities that must </w:t>
      </w:r>
      <w:r w:rsidR="008F3423" w:rsidRPr="00F570CF">
        <w:t>us</w:t>
      </w:r>
      <w:r w:rsidR="00477CBF" w:rsidRPr="00F570CF">
        <w:t>e</w:t>
      </w:r>
      <w:r w:rsidR="008F3423" w:rsidRPr="00F570CF">
        <w:t xml:space="preserve"> the SRM, we use the </w:t>
      </w:r>
      <w:r w:rsidR="008F3423" w:rsidRPr="00F570CF">
        <w:rPr>
          <w:b/>
          <w:bCs/>
        </w:rPr>
        <w:t>adjusted</w:t>
      </w:r>
      <w:r w:rsidR="008F3423" w:rsidRPr="00F570CF">
        <w:t xml:space="preserve"> throughput, rather than actual throughput</w:t>
      </w:r>
      <w:r w:rsidR="008F3423">
        <w:t>)</w:t>
      </w:r>
    </w:p>
    <w:p w14:paraId="5508075F" w14:textId="77777777" w:rsidR="00F570CF" w:rsidRDefault="00F570CF" w:rsidP="008569D7">
      <w:pPr>
        <w:pStyle w:val="ListParagraph"/>
        <w:numPr>
          <w:ilvl w:val="0"/>
          <w:numId w:val="226"/>
        </w:numPr>
        <w:tabs>
          <w:tab w:val="left" w:pos="0"/>
        </w:tabs>
        <w:ind w:right="182"/>
      </w:pPr>
      <w:r>
        <w:t>w</w:t>
      </w:r>
      <w:r w:rsidR="00A24F3E" w:rsidRPr="00F570CF">
        <w:t xml:space="preserve">e </w:t>
      </w:r>
      <w:r w:rsidR="00B3105C" w:rsidRPr="00B3105C">
        <w:t>sum</w:t>
      </w:r>
      <w:r w:rsidR="00B3105C">
        <w:t xml:space="preserve"> </w:t>
      </w:r>
      <w:r w:rsidR="00A24F3E" w:rsidRPr="00F570CF">
        <w:t xml:space="preserve">the </w:t>
      </w:r>
      <w:r w:rsidR="006B020A" w:rsidRPr="00F570CF">
        <w:t xml:space="preserve">fixed and variable target energy </w:t>
      </w:r>
      <w:r w:rsidR="00B3105C" w:rsidRPr="00F570CF">
        <w:t>amounts to determine the total target energy for the facility</w:t>
      </w:r>
    </w:p>
    <w:p w14:paraId="00ADCA43" w14:textId="7CF2AF1C" w:rsidR="00E962F6" w:rsidRPr="00F570CF" w:rsidRDefault="00F570CF" w:rsidP="008569D7">
      <w:pPr>
        <w:pStyle w:val="ListParagraph"/>
        <w:numPr>
          <w:ilvl w:val="0"/>
          <w:numId w:val="226"/>
        </w:numPr>
        <w:tabs>
          <w:tab w:val="left" w:pos="0"/>
        </w:tabs>
        <w:ind w:right="182"/>
      </w:pPr>
      <w:r>
        <w:t>w</w:t>
      </w:r>
      <w:r w:rsidR="006B020A" w:rsidRPr="00F570CF">
        <w:t xml:space="preserve">e </w:t>
      </w:r>
      <w:r w:rsidR="00B3105C" w:rsidRPr="00F570CF">
        <w:t xml:space="preserve">compare </w:t>
      </w:r>
      <w:r w:rsidR="006B020A" w:rsidRPr="00F570CF">
        <w:t xml:space="preserve">the total target energy </w:t>
      </w:r>
      <w:r w:rsidR="00B3105C" w:rsidRPr="00F570CF">
        <w:t>against the actual amount of energy used during the target period</w:t>
      </w:r>
    </w:p>
    <w:p w14:paraId="15DCE95D" w14:textId="357FF9C0" w:rsidR="00A24F3E" w:rsidRDefault="00351645" w:rsidP="008569D7">
      <w:pPr>
        <w:tabs>
          <w:tab w:val="left" w:pos="0"/>
        </w:tabs>
        <w:ind w:right="182"/>
        <w:rPr>
          <w:color w:val="auto"/>
        </w:rPr>
      </w:pPr>
      <w:r>
        <w:rPr>
          <w:color w:val="auto"/>
        </w:rPr>
        <w:t xml:space="preserve">If </w:t>
      </w:r>
      <w:r w:rsidR="00F570CF">
        <w:rPr>
          <w:color w:val="auto"/>
        </w:rPr>
        <w:t xml:space="preserve">an </w:t>
      </w:r>
      <w:r>
        <w:rPr>
          <w:color w:val="auto"/>
        </w:rPr>
        <w:t xml:space="preserve">operator used less energy </w:t>
      </w:r>
      <w:r w:rsidR="00E962F6">
        <w:rPr>
          <w:color w:val="auto"/>
        </w:rPr>
        <w:t xml:space="preserve">during the target period </w:t>
      </w:r>
      <w:r>
        <w:rPr>
          <w:color w:val="auto"/>
        </w:rPr>
        <w:t xml:space="preserve">than the </w:t>
      </w:r>
      <w:r w:rsidR="00B80FDA">
        <w:rPr>
          <w:color w:val="auto"/>
        </w:rPr>
        <w:t xml:space="preserve">total </w:t>
      </w:r>
      <w:r>
        <w:rPr>
          <w:color w:val="auto"/>
        </w:rPr>
        <w:t>target amount</w:t>
      </w:r>
      <w:r w:rsidR="00E962F6">
        <w:rPr>
          <w:color w:val="auto"/>
        </w:rPr>
        <w:t>,</w:t>
      </w:r>
      <w:r>
        <w:rPr>
          <w:color w:val="auto"/>
        </w:rPr>
        <w:t xml:space="preserve"> they met their improvement target. Conversely, </w:t>
      </w:r>
      <w:r w:rsidR="00E962F6">
        <w:rPr>
          <w:color w:val="auto"/>
        </w:rPr>
        <w:t>if the operator used more energy than the target amount, they failed to meet the improvement target.</w:t>
      </w:r>
    </w:p>
    <w:p w14:paraId="1BA8AF6A" w14:textId="1668DA0D" w:rsidR="00E962F6" w:rsidRDefault="00E962F6" w:rsidP="001F5547">
      <w:pPr>
        <w:pStyle w:val="Heading4"/>
      </w:pPr>
      <w:r>
        <w:lastRenderedPageBreak/>
        <w:t>Example</w:t>
      </w:r>
    </w:p>
    <w:p w14:paraId="0453C2B4" w14:textId="353FD036" w:rsidR="00A04F5F" w:rsidRDefault="00E146EC" w:rsidP="008569D7">
      <w:pPr>
        <w:tabs>
          <w:tab w:val="left" w:pos="0"/>
        </w:tabs>
        <w:ind w:right="182"/>
        <w:rPr>
          <w:color w:val="auto"/>
        </w:rPr>
      </w:pPr>
      <w:r>
        <w:rPr>
          <w:color w:val="auto"/>
        </w:rPr>
        <w:t>A</w:t>
      </w:r>
      <w:r w:rsidR="00A04F5F">
        <w:rPr>
          <w:color w:val="auto"/>
        </w:rPr>
        <w:t xml:space="preserve">ssume that the </w:t>
      </w:r>
      <w:r>
        <w:rPr>
          <w:color w:val="auto"/>
        </w:rPr>
        <w:t xml:space="preserve">operator </w:t>
      </w:r>
      <w:r w:rsidR="00A04F5F">
        <w:rPr>
          <w:color w:val="auto"/>
        </w:rPr>
        <w:t xml:space="preserve">of a facility </w:t>
      </w:r>
      <w:r>
        <w:rPr>
          <w:color w:val="auto"/>
        </w:rPr>
        <w:t xml:space="preserve">used </w:t>
      </w:r>
      <w:r w:rsidRPr="00A04F5F">
        <w:rPr>
          <w:b/>
          <w:bCs/>
          <w:color w:val="auto"/>
        </w:rPr>
        <w:t>10,000,000 kWh</w:t>
      </w:r>
      <w:r>
        <w:rPr>
          <w:color w:val="auto"/>
        </w:rPr>
        <w:t xml:space="preserve"> of energy during their base year period and made </w:t>
      </w:r>
      <w:r w:rsidR="0090518B" w:rsidRPr="00A04F5F">
        <w:rPr>
          <w:b/>
          <w:bCs/>
          <w:color w:val="auto"/>
        </w:rPr>
        <w:t>5,000 units</w:t>
      </w:r>
      <w:r w:rsidR="0090518B">
        <w:rPr>
          <w:color w:val="auto"/>
        </w:rPr>
        <w:t xml:space="preserve"> of product.</w:t>
      </w:r>
    </w:p>
    <w:p w14:paraId="507EF492" w14:textId="77777777" w:rsidR="0044563A" w:rsidRDefault="00D52924" w:rsidP="008569D7">
      <w:pPr>
        <w:tabs>
          <w:tab w:val="left" w:pos="0"/>
        </w:tabs>
        <w:ind w:right="182"/>
        <w:rPr>
          <w:color w:val="auto"/>
        </w:rPr>
      </w:pPr>
      <w:r>
        <w:rPr>
          <w:color w:val="auto"/>
        </w:rPr>
        <w:t>The operator used linear regression analysis to determine that</w:t>
      </w:r>
      <w:r w:rsidR="0044563A">
        <w:rPr>
          <w:color w:val="auto"/>
        </w:rPr>
        <w:t>:</w:t>
      </w:r>
    </w:p>
    <w:p w14:paraId="5047A1CA" w14:textId="77777777" w:rsidR="0044563A" w:rsidRDefault="00D52924" w:rsidP="0044563A">
      <w:pPr>
        <w:pStyle w:val="ListParagraph"/>
        <w:numPr>
          <w:ilvl w:val="0"/>
          <w:numId w:val="84"/>
        </w:numPr>
        <w:tabs>
          <w:tab w:val="left" w:pos="0"/>
        </w:tabs>
        <w:ind w:right="182"/>
      </w:pPr>
      <w:r w:rsidRPr="0044563A">
        <w:t xml:space="preserve">20% of their </w:t>
      </w:r>
      <w:r w:rsidR="0042317E" w:rsidRPr="0044563A">
        <w:t xml:space="preserve">base year </w:t>
      </w:r>
      <w:r w:rsidRPr="0044563A">
        <w:t xml:space="preserve">energy </w:t>
      </w:r>
      <w:r w:rsidR="0042317E" w:rsidRPr="0044563A">
        <w:t>(</w:t>
      </w:r>
      <w:r w:rsidR="0042317E" w:rsidRPr="0044563A">
        <w:rPr>
          <w:b/>
          <w:bCs/>
        </w:rPr>
        <w:t>2,000,000 kWh</w:t>
      </w:r>
      <w:r w:rsidR="0042317E" w:rsidRPr="0044563A">
        <w:t xml:space="preserve">) </w:t>
      </w:r>
      <w:r w:rsidR="0044563A" w:rsidRPr="0044563A">
        <w:t xml:space="preserve">should be </w:t>
      </w:r>
      <w:r w:rsidR="00980EBA" w:rsidRPr="0044563A">
        <w:t xml:space="preserve">allocated </w:t>
      </w:r>
      <w:r w:rsidR="0042317E" w:rsidRPr="0044563A">
        <w:t>to fixed consumption</w:t>
      </w:r>
    </w:p>
    <w:p w14:paraId="54CC9373" w14:textId="524C911F" w:rsidR="00A04F5F" w:rsidRPr="0044563A" w:rsidRDefault="0044563A" w:rsidP="0044563A">
      <w:pPr>
        <w:pStyle w:val="ListParagraph"/>
        <w:numPr>
          <w:ilvl w:val="0"/>
          <w:numId w:val="84"/>
        </w:numPr>
        <w:tabs>
          <w:tab w:val="left" w:pos="0"/>
        </w:tabs>
        <w:ind w:right="182"/>
      </w:pPr>
      <w:r>
        <w:t>t</w:t>
      </w:r>
      <w:r w:rsidR="0042317E" w:rsidRPr="0044563A">
        <w:t>he remaining 80% (</w:t>
      </w:r>
      <w:r w:rsidR="0042317E" w:rsidRPr="0044563A">
        <w:rPr>
          <w:b/>
          <w:bCs/>
        </w:rPr>
        <w:t>8,000,000 kWh</w:t>
      </w:r>
      <w:r w:rsidR="0042317E" w:rsidRPr="0044563A">
        <w:t xml:space="preserve">) </w:t>
      </w:r>
      <w:r>
        <w:t xml:space="preserve">should be </w:t>
      </w:r>
      <w:r w:rsidR="00980EBA" w:rsidRPr="0044563A">
        <w:t xml:space="preserve">allocated </w:t>
      </w:r>
      <w:r w:rsidR="0042317E" w:rsidRPr="0044563A">
        <w:t xml:space="preserve">to variable consumption </w:t>
      </w:r>
    </w:p>
    <w:p w14:paraId="1B667838" w14:textId="34B9EBAA" w:rsidR="0042317E" w:rsidRDefault="0042317E" w:rsidP="008569D7">
      <w:pPr>
        <w:tabs>
          <w:tab w:val="left" w:pos="0"/>
        </w:tabs>
        <w:ind w:right="182"/>
        <w:rPr>
          <w:color w:val="auto"/>
        </w:rPr>
      </w:pPr>
      <w:r>
        <w:rPr>
          <w:color w:val="auto"/>
        </w:rPr>
        <w:t xml:space="preserve">If the operator had a </w:t>
      </w:r>
      <w:r w:rsidRPr="00A04F5F">
        <w:rPr>
          <w:b/>
          <w:bCs/>
          <w:color w:val="auto"/>
        </w:rPr>
        <w:t>5%</w:t>
      </w:r>
      <w:r>
        <w:rPr>
          <w:color w:val="auto"/>
        </w:rPr>
        <w:t xml:space="preserve"> improvement target</w:t>
      </w:r>
      <w:r w:rsidR="00980EBA">
        <w:rPr>
          <w:color w:val="auto"/>
        </w:rPr>
        <w:t xml:space="preserve"> for TP7</w:t>
      </w:r>
      <w:r>
        <w:rPr>
          <w:color w:val="auto"/>
        </w:rPr>
        <w:t xml:space="preserve">, </w:t>
      </w:r>
      <w:r w:rsidR="006E7F93">
        <w:rPr>
          <w:color w:val="auto"/>
        </w:rPr>
        <w:t xml:space="preserve">and produced </w:t>
      </w:r>
      <w:r w:rsidR="006E7F93" w:rsidRPr="00A04F5F">
        <w:rPr>
          <w:b/>
          <w:bCs/>
          <w:color w:val="auto"/>
        </w:rPr>
        <w:t>6,000</w:t>
      </w:r>
      <w:r w:rsidR="006E7F93">
        <w:rPr>
          <w:color w:val="auto"/>
        </w:rPr>
        <w:t xml:space="preserve"> units of product during TP7, </w:t>
      </w:r>
      <w:r>
        <w:rPr>
          <w:color w:val="auto"/>
        </w:rPr>
        <w:t>we would calculate the</w:t>
      </w:r>
      <w:r w:rsidR="006E7F93">
        <w:rPr>
          <w:color w:val="auto"/>
        </w:rPr>
        <w:t>ir</w:t>
      </w:r>
      <w:r>
        <w:rPr>
          <w:color w:val="auto"/>
        </w:rPr>
        <w:t xml:space="preserve"> target energy for </w:t>
      </w:r>
      <w:r w:rsidR="00436105">
        <w:rPr>
          <w:color w:val="auto"/>
        </w:rPr>
        <w:t xml:space="preserve">TP7 </w:t>
      </w:r>
      <w:r>
        <w:rPr>
          <w:color w:val="auto"/>
        </w:rPr>
        <w:t>as:</w:t>
      </w:r>
    </w:p>
    <w:p w14:paraId="2F561226" w14:textId="524C3CFB" w:rsidR="006E7F93" w:rsidRDefault="00436105" w:rsidP="008569D7">
      <w:pPr>
        <w:tabs>
          <w:tab w:val="left" w:pos="0"/>
        </w:tabs>
        <w:ind w:right="182"/>
        <w:rPr>
          <w:color w:val="auto"/>
        </w:rPr>
      </w:pPr>
      <w:r>
        <w:rPr>
          <w:color w:val="auto"/>
        </w:rPr>
        <w:t>Fixed</w:t>
      </w:r>
      <w:r w:rsidR="00A207AB">
        <w:rPr>
          <w:color w:val="auto"/>
        </w:rPr>
        <w:t xml:space="preserve"> target energy</w:t>
      </w:r>
      <w:r>
        <w:rPr>
          <w:color w:val="auto"/>
        </w:rPr>
        <w:t xml:space="preserve">: </w:t>
      </w:r>
      <w:r w:rsidRPr="0017208A">
        <w:rPr>
          <w:b/>
          <w:bCs/>
          <w:color w:val="auto"/>
        </w:rPr>
        <w:t>2,000,000 kWh</w:t>
      </w:r>
      <w:r>
        <w:rPr>
          <w:color w:val="auto"/>
        </w:rPr>
        <w:t xml:space="preserve"> × (100% - </w:t>
      </w:r>
      <w:r w:rsidRPr="0017208A">
        <w:rPr>
          <w:b/>
          <w:bCs/>
          <w:color w:val="auto"/>
        </w:rPr>
        <w:t>5%</w:t>
      </w:r>
      <w:r>
        <w:rPr>
          <w:color w:val="auto"/>
        </w:rPr>
        <w:t xml:space="preserve">) = </w:t>
      </w:r>
      <w:r w:rsidR="006E7F93">
        <w:rPr>
          <w:color w:val="auto"/>
        </w:rPr>
        <w:t>1,900,000 kWh</w:t>
      </w:r>
    </w:p>
    <w:p w14:paraId="43360F5D" w14:textId="78993C17" w:rsidR="00E962F6" w:rsidRDefault="006E7F93" w:rsidP="008569D7">
      <w:pPr>
        <w:tabs>
          <w:tab w:val="left" w:pos="0"/>
        </w:tabs>
        <w:ind w:right="182"/>
        <w:rPr>
          <w:color w:val="auto"/>
        </w:rPr>
      </w:pPr>
      <w:r>
        <w:rPr>
          <w:color w:val="auto"/>
        </w:rPr>
        <w:t>Variable</w:t>
      </w:r>
      <w:r w:rsidR="00A207AB">
        <w:rPr>
          <w:color w:val="auto"/>
        </w:rPr>
        <w:t xml:space="preserve"> target energy</w:t>
      </w:r>
      <w:r>
        <w:rPr>
          <w:color w:val="auto"/>
        </w:rPr>
        <w:t xml:space="preserve">: </w:t>
      </w:r>
      <w:r w:rsidRPr="0017208A">
        <w:rPr>
          <w:b/>
          <w:bCs/>
          <w:color w:val="auto"/>
        </w:rPr>
        <w:t>8,000,000</w:t>
      </w:r>
      <w:r w:rsidR="0017208A" w:rsidRPr="0017208A">
        <w:rPr>
          <w:b/>
          <w:bCs/>
          <w:color w:val="auto"/>
        </w:rPr>
        <w:t xml:space="preserve"> kWh</w:t>
      </w:r>
      <w:r>
        <w:rPr>
          <w:color w:val="auto"/>
        </w:rPr>
        <w:t xml:space="preserve"> / </w:t>
      </w:r>
      <w:r w:rsidRPr="0017208A">
        <w:rPr>
          <w:b/>
          <w:bCs/>
          <w:color w:val="auto"/>
        </w:rPr>
        <w:t>5,000</w:t>
      </w:r>
      <w:r>
        <w:rPr>
          <w:color w:val="auto"/>
        </w:rPr>
        <w:t xml:space="preserve"> × (100% - </w:t>
      </w:r>
      <w:r w:rsidRPr="0017208A">
        <w:rPr>
          <w:b/>
          <w:bCs/>
          <w:color w:val="auto"/>
        </w:rPr>
        <w:t>5%</w:t>
      </w:r>
      <w:r>
        <w:rPr>
          <w:color w:val="auto"/>
        </w:rPr>
        <w:t xml:space="preserve">) × </w:t>
      </w:r>
      <w:r w:rsidR="00A207AB" w:rsidRPr="0017208A">
        <w:rPr>
          <w:b/>
          <w:bCs/>
          <w:color w:val="auto"/>
        </w:rPr>
        <w:t>6,000</w:t>
      </w:r>
      <w:r w:rsidR="00A207AB">
        <w:rPr>
          <w:color w:val="auto"/>
        </w:rPr>
        <w:t xml:space="preserve"> = </w:t>
      </w:r>
      <w:r w:rsidR="00264960">
        <w:rPr>
          <w:color w:val="auto"/>
        </w:rPr>
        <w:t>9,120,000 kWh</w:t>
      </w:r>
    </w:p>
    <w:p w14:paraId="746708CF" w14:textId="03AB2FED" w:rsidR="00264960" w:rsidRDefault="00264960" w:rsidP="008569D7">
      <w:pPr>
        <w:tabs>
          <w:tab w:val="left" w:pos="0"/>
        </w:tabs>
        <w:ind w:right="182"/>
        <w:rPr>
          <w:color w:val="auto"/>
        </w:rPr>
      </w:pPr>
      <w:r>
        <w:rPr>
          <w:color w:val="auto"/>
        </w:rPr>
        <w:t>T</w:t>
      </w:r>
      <w:r w:rsidR="006C0C3E">
        <w:rPr>
          <w:color w:val="auto"/>
        </w:rPr>
        <w:t>heir t</w:t>
      </w:r>
      <w:r>
        <w:rPr>
          <w:color w:val="auto"/>
        </w:rPr>
        <w:t>otal target energy</w:t>
      </w:r>
      <w:r w:rsidR="006C0C3E">
        <w:rPr>
          <w:color w:val="auto"/>
        </w:rPr>
        <w:t xml:space="preserve"> is the sum of the above: </w:t>
      </w:r>
      <w:r>
        <w:rPr>
          <w:color w:val="auto"/>
        </w:rPr>
        <w:t xml:space="preserve">1,900,000 + 9,120,000 = </w:t>
      </w:r>
      <w:r w:rsidRPr="006C0C3E">
        <w:rPr>
          <w:b/>
          <w:bCs/>
          <w:color w:val="auto"/>
        </w:rPr>
        <w:t>11,020,000 kWh</w:t>
      </w:r>
      <w:r w:rsidR="006C0C3E" w:rsidRPr="006C0C3E">
        <w:rPr>
          <w:color w:val="auto"/>
        </w:rPr>
        <w:t>.</w:t>
      </w:r>
    </w:p>
    <w:p w14:paraId="43A60842" w14:textId="312C0AB5" w:rsidR="00A04F5F" w:rsidRDefault="006C0C3E" w:rsidP="008569D7">
      <w:pPr>
        <w:tabs>
          <w:tab w:val="left" w:pos="0"/>
        </w:tabs>
        <w:ind w:right="182"/>
        <w:rPr>
          <w:color w:val="auto"/>
        </w:rPr>
      </w:pPr>
      <w:r>
        <w:rPr>
          <w:color w:val="auto"/>
        </w:rPr>
        <w:t xml:space="preserve">If the operator </w:t>
      </w:r>
      <w:r w:rsidR="00C87965">
        <w:rPr>
          <w:color w:val="auto"/>
        </w:rPr>
        <w:t xml:space="preserve">consumed 10,500,000 kWh </w:t>
      </w:r>
      <w:r w:rsidR="008854A6">
        <w:rPr>
          <w:color w:val="auto"/>
        </w:rPr>
        <w:t xml:space="preserve">energy </w:t>
      </w:r>
      <w:r w:rsidR="00C87965">
        <w:rPr>
          <w:color w:val="auto"/>
        </w:rPr>
        <w:t xml:space="preserve">during TP7, they have consumed </w:t>
      </w:r>
      <w:r w:rsidR="008854A6">
        <w:rPr>
          <w:color w:val="auto"/>
        </w:rPr>
        <w:t>520,000 kWh</w:t>
      </w:r>
      <w:r w:rsidR="00C16A3F">
        <w:rPr>
          <w:color w:val="auto"/>
        </w:rPr>
        <w:t xml:space="preserve"> </w:t>
      </w:r>
      <w:r w:rsidR="008854A6" w:rsidRPr="009A6C85">
        <w:rPr>
          <w:b/>
          <w:bCs/>
          <w:color w:val="auto"/>
        </w:rPr>
        <w:t>less</w:t>
      </w:r>
      <w:r w:rsidR="008854A6">
        <w:rPr>
          <w:color w:val="auto"/>
        </w:rPr>
        <w:t xml:space="preserve"> than their target energy and have met their target.</w:t>
      </w:r>
    </w:p>
    <w:p w14:paraId="00BCAD10" w14:textId="7F1839FD" w:rsidR="00614533" w:rsidRDefault="008854A6" w:rsidP="008569D7">
      <w:pPr>
        <w:tabs>
          <w:tab w:val="left" w:pos="0"/>
        </w:tabs>
        <w:ind w:right="182"/>
        <w:rPr>
          <w:color w:val="auto"/>
        </w:rPr>
      </w:pPr>
      <w:r>
        <w:rPr>
          <w:color w:val="auto"/>
        </w:rPr>
        <w:t xml:space="preserve">If the operator consumed 11,500,000 kWh energy during TP7, they have consumed </w:t>
      </w:r>
      <w:r w:rsidR="009A6C85">
        <w:rPr>
          <w:color w:val="auto"/>
        </w:rPr>
        <w:t xml:space="preserve">480,000 kWh </w:t>
      </w:r>
      <w:r w:rsidR="009A6C85">
        <w:rPr>
          <w:b/>
          <w:bCs/>
          <w:color w:val="auto"/>
        </w:rPr>
        <w:t>more</w:t>
      </w:r>
      <w:r w:rsidR="009A6C85">
        <w:rPr>
          <w:color w:val="auto"/>
        </w:rPr>
        <w:t xml:space="preserve"> than their target energy and have failed to meet their target.</w:t>
      </w:r>
    </w:p>
    <w:p w14:paraId="5EDB39B2" w14:textId="617199FE" w:rsidR="00C06F5E" w:rsidRDefault="00C06F5E" w:rsidP="00C06F5E">
      <w:pPr>
        <w:pStyle w:val="Heading3"/>
      </w:pPr>
      <w:r>
        <w:t>10.6.2 How we calculate the target carbon dioxide</w:t>
      </w:r>
    </w:p>
    <w:p w14:paraId="261A49B4" w14:textId="446B3FD2" w:rsidR="00F96366" w:rsidRDefault="00F96366" w:rsidP="008569D7">
      <w:pPr>
        <w:tabs>
          <w:tab w:val="left" w:pos="0"/>
        </w:tabs>
        <w:ind w:right="182"/>
      </w:pPr>
      <w:r>
        <w:rPr>
          <w:color w:val="auto"/>
        </w:rPr>
        <w:t>Paragraphs 62</w:t>
      </w:r>
      <w:r w:rsidR="00A22D7E">
        <w:rPr>
          <w:color w:val="auto"/>
        </w:rPr>
        <w:t xml:space="preserve"> to </w:t>
      </w:r>
      <w:r>
        <w:rPr>
          <w:color w:val="auto"/>
        </w:rPr>
        <w:t xml:space="preserve">66 </w:t>
      </w:r>
      <w:r>
        <w:t xml:space="preserve">from the </w:t>
      </w:r>
      <w:hyperlink r:id="rId85">
        <w:r w:rsidRPr="24A8621A">
          <w:rPr>
            <w:rStyle w:val="Hyperlink"/>
            <w:color w:val="0070C0"/>
          </w:rPr>
          <w:t>Technical Annex</w:t>
        </w:r>
      </w:hyperlink>
      <w:r>
        <w:t xml:space="preserve"> explain in detail how we calculate the performance of a facility for carbon-based targets.</w:t>
      </w:r>
    </w:p>
    <w:p w14:paraId="046441A9" w14:textId="4655372D" w:rsidR="007D538D" w:rsidRPr="009A6C85" w:rsidRDefault="007D538D" w:rsidP="008569D7">
      <w:pPr>
        <w:tabs>
          <w:tab w:val="left" w:pos="0"/>
        </w:tabs>
        <w:ind w:right="182"/>
        <w:rPr>
          <w:color w:val="auto"/>
        </w:rPr>
      </w:pPr>
      <w:r>
        <w:rPr>
          <w:color w:val="auto"/>
        </w:rPr>
        <w:t>The princip</w:t>
      </w:r>
      <w:r w:rsidR="007F3C8E">
        <w:rPr>
          <w:color w:val="auto"/>
        </w:rPr>
        <w:t>le</w:t>
      </w:r>
      <w:r>
        <w:rPr>
          <w:color w:val="auto"/>
        </w:rPr>
        <w:t xml:space="preserve"> </w:t>
      </w:r>
      <w:r w:rsidR="00C06F5E">
        <w:rPr>
          <w:color w:val="auto"/>
        </w:rPr>
        <w:t xml:space="preserve">described </w:t>
      </w:r>
      <w:r w:rsidR="00F96366">
        <w:rPr>
          <w:color w:val="auto"/>
        </w:rPr>
        <w:t xml:space="preserve">in the previous section also </w:t>
      </w:r>
      <w:r>
        <w:rPr>
          <w:color w:val="auto"/>
        </w:rPr>
        <w:t xml:space="preserve">applies to </w:t>
      </w:r>
      <w:r w:rsidR="00C7129D">
        <w:rPr>
          <w:color w:val="auto"/>
        </w:rPr>
        <w:t xml:space="preserve">operators of facilities </w:t>
      </w:r>
      <w:r w:rsidR="00C25220">
        <w:rPr>
          <w:color w:val="auto"/>
        </w:rPr>
        <w:t>with</w:t>
      </w:r>
      <w:r w:rsidR="00C7129D">
        <w:rPr>
          <w:color w:val="auto"/>
        </w:rPr>
        <w:t xml:space="preserve"> carbon-based improvement targets, but instead of comparing the amounts of energy used during the base year and target period, we </w:t>
      </w:r>
      <w:r w:rsidR="006B73D8">
        <w:rPr>
          <w:color w:val="auto"/>
        </w:rPr>
        <w:t xml:space="preserve">first </w:t>
      </w:r>
      <w:r w:rsidR="00C7129D">
        <w:rPr>
          <w:color w:val="auto"/>
        </w:rPr>
        <w:t>convert these amounts to carbon dioxide equivalent.</w:t>
      </w:r>
    </w:p>
    <w:p w14:paraId="7F005EFC" w14:textId="6D288FDA" w:rsidR="0086271F" w:rsidRDefault="0086271F" w:rsidP="008569D7">
      <w:pPr>
        <w:tabs>
          <w:tab w:val="left" w:pos="0"/>
        </w:tabs>
        <w:ind w:right="182"/>
      </w:pPr>
      <w:r>
        <w:rPr>
          <w:color w:val="auto"/>
        </w:rPr>
        <w:t xml:space="preserve">Paragraph 49 </w:t>
      </w:r>
      <w:r w:rsidR="002C4F3D">
        <w:rPr>
          <w:color w:val="auto"/>
        </w:rPr>
        <w:t>in</w:t>
      </w:r>
      <w:r w:rsidR="00932228">
        <w:rPr>
          <w:color w:val="auto"/>
        </w:rPr>
        <w:t xml:space="preserve"> </w:t>
      </w:r>
      <w:r>
        <w:rPr>
          <w:color w:val="auto"/>
        </w:rPr>
        <w:t xml:space="preserve">the </w:t>
      </w:r>
      <w:hyperlink r:id="rId86" w:history="1">
        <w:r>
          <w:rPr>
            <w:rStyle w:val="Hyperlink"/>
            <w:color w:val="0070C0"/>
          </w:rPr>
          <w:t>Technical Annex</w:t>
        </w:r>
      </w:hyperlink>
      <w:r>
        <w:rPr>
          <w:color w:val="auto"/>
        </w:rPr>
        <w:t xml:space="preserve"> </w:t>
      </w:r>
      <w:r w:rsidR="00D70BF2">
        <w:rPr>
          <w:color w:val="auto"/>
        </w:rPr>
        <w:t xml:space="preserve">describes how </w:t>
      </w:r>
      <w:r w:rsidR="00C02872">
        <w:rPr>
          <w:color w:val="auto"/>
          <w:szCs w:val="24"/>
        </w:rPr>
        <w:t xml:space="preserve">we </w:t>
      </w:r>
      <w:r w:rsidR="008569D7">
        <w:rPr>
          <w:color w:val="auto"/>
          <w:szCs w:val="24"/>
        </w:rPr>
        <w:t xml:space="preserve">calculate </w:t>
      </w:r>
      <w:r w:rsidR="009769B4">
        <w:rPr>
          <w:color w:val="auto"/>
          <w:szCs w:val="24"/>
        </w:rPr>
        <w:t xml:space="preserve">emissions </w:t>
      </w:r>
      <w:r w:rsidR="008F5975">
        <w:rPr>
          <w:color w:val="auto"/>
          <w:szCs w:val="24"/>
        </w:rPr>
        <w:t xml:space="preserve">by multiplying the amount of </w:t>
      </w:r>
      <w:r w:rsidR="00E53EB9">
        <w:rPr>
          <w:color w:val="auto"/>
          <w:szCs w:val="24"/>
        </w:rPr>
        <w:t xml:space="preserve">primary </w:t>
      </w:r>
      <w:r w:rsidR="008F5975">
        <w:rPr>
          <w:color w:val="auto"/>
          <w:szCs w:val="24"/>
        </w:rPr>
        <w:t xml:space="preserve">energy </w:t>
      </w:r>
      <w:r w:rsidR="00E53EB9">
        <w:rPr>
          <w:color w:val="auto"/>
          <w:szCs w:val="24"/>
        </w:rPr>
        <w:t xml:space="preserve">used during the reporting period </w:t>
      </w:r>
      <w:r w:rsidR="008F5975">
        <w:rPr>
          <w:color w:val="auto"/>
          <w:szCs w:val="24"/>
        </w:rPr>
        <w:t xml:space="preserve">energy by </w:t>
      </w:r>
      <w:r w:rsidR="00E53EB9">
        <w:rPr>
          <w:color w:val="auto"/>
          <w:szCs w:val="24"/>
        </w:rPr>
        <w:t xml:space="preserve">the relevant </w:t>
      </w:r>
      <w:r w:rsidR="006573DF">
        <w:rPr>
          <w:color w:val="auto"/>
          <w:szCs w:val="24"/>
        </w:rPr>
        <w:t>emission factor</w:t>
      </w:r>
      <w:r w:rsidR="007A1185">
        <w:rPr>
          <w:color w:val="auto"/>
          <w:szCs w:val="24"/>
        </w:rPr>
        <w:t xml:space="preserve"> from </w:t>
      </w:r>
      <w:r w:rsidR="00653DAF">
        <w:rPr>
          <w:color w:val="auto"/>
          <w:szCs w:val="24"/>
        </w:rPr>
        <w:t xml:space="preserve">Table 1 </w:t>
      </w:r>
      <w:r w:rsidR="007A1185">
        <w:rPr>
          <w:color w:val="auto"/>
          <w:szCs w:val="24"/>
        </w:rPr>
        <w:t xml:space="preserve">in </w:t>
      </w:r>
      <w:r w:rsidR="00653DAF">
        <w:rPr>
          <w:color w:val="auto"/>
          <w:szCs w:val="24"/>
        </w:rPr>
        <w:t>the Technical Annex</w:t>
      </w:r>
      <w:r w:rsidR="00E53EB9">
        <w:rPr>
          <w:color w:val="auto"/>
          <w:szCs w:val="24"/>
        </w:rPr>
        <w:t>.</w:t>
      </w:r>
    </w:p>
    <w:p w14:paraId="4C816190" w14:textId="4E328F24" w:rsidR="00976921" w:rsidRDefault="008A7848" w:rsidP="0086271F">
      <w:r>
        <w:t xml:space="preserve">Paragraph 50 from the </w:t>
      </w:r>
      <w:hyperlink r:id="rId87" w:history="1">
        <w:r>
          <w:rPr>
            <w:rStyle w:val="Hyperlink"/>
            <w:color w:val="0070C0"/>
          </w:rPr>
          <w:t>Technical Annex</w:t>
        </w:r>
      </w:hyperlink>
      <w:r>
        <w:t xml:space="preserve"> explains that process emissions of carbon </w:t>
      </w:r>
      <w:r w:rsidR="00743074">
        <w:t xml:space="preserve">dioxide </w:t>
      </w:r>
      <w:r w:rsidR="00120FDD">
        <w:t xml:space="preserve">must </w:t>
      </w:r>
      <w:r w:rsidR="00204022">
        <w:t>be excluded from the report</w:t>
      </w:r>
      <w:r w:rsidR="00120FDD">
        <w:t>ed</w:t>
      </w:r>
      <w:r w:rsidR="00204022">
        <w:t xml:space="preserve"> data.</w:t>
      </w:r>
    </w:p>
    <w:p w14:paraId="09129ABE" w14:textId="23DAF343" w:rsidR="008019AA" w:rsidRDefault="008019AA" w:rsidP="00925C6F">
      <w:pPr>
        <w:pStyle w:val="Heading3"/>
      </w:pPr>
      <w:bookmarkStart w:id="227" w:name="_10.6.1_Facility_Targets"/>
      <w:bookmarkEnd w:id="227"/>
      <w:r w:rsidRPr="008A2903">
        <w:lastRenderedPageBreak/>
        <w:t>10.</w:t>
      </w:r>
      <w:r>
        <w:t>6.</w:t>
      </w:r>
      <w:r w:rsidR="00777E82">
        <w:t>3</w:t>
      </w:r>
      <w:r w:rsidRPr="008A2903">
        <w:t xml:space="preserve"> </w:t>
      </w:r>
      <w:r>
        <w:t xml:space="preserve">How </w:t>
      </w:r>
      <w:r w:rsidR="00F570CF">
        <w:t xml:space="preserve">we determine the amount of </w:t>
      </w:r>
      <w:r>
        <w:t xml:space="preserve">buy-out </w:t>
      </w:r>
      <w:r w:rsidR="00F570CF">
        <w:t xml:space="preserve">or </w:t>
      </w:r>
      <w:r>
        <w:t>surplus</w:t>
      </w:r>
    </w:p>
    <w:p w14:paraId="3492C3E1" w14:textId="11DE274A" w:rsidR="00ED26AB" w:rsidRDefault="00F96366" w:rsidP="001A403F">
      <w:r>
        <w:t xml:space="preserve">After </w:t>
      </w:r>
      <w:r w:rsidR="00DA2627">
        <w:t xml:space="preserve">calculating </w:t>
      </w:r>
      <w:r>
        <w:t xml:space="preserve">the difference between the target amount of energy and the actual </w:t>
      </w:r>
      <w:r w:rsidR="00DA2627">
        <w:t xml:space="preserve">energy consumed in the target period, we must then convert this to </w:t>
      </w:r>
      <w:r w:rsidR="00C30DFB">
        <w:t xml:space="preserve">an amount </w:t>
      </w:r>
      <w:r w:rsidR="00ED26AB">
        <w:t>in</w:t>
      </w:r>
      <w:r w:rsidR="00C557E0">
        <w:t xml:space="preserve"> expressed in</w:t>
      </w:r>
      <w:r w:rsidR="00ED26AB">
        <w:t xml:space="preserve"> units of </w:t>
      </w:r>
      <w:r w:rsidR="00C30DFB">
        <w:t xml:space="preserve">carbon dioxide equivalent.  </w:t>
      </w:r>
    </w:p>
    <w:p w14:paraId="54ED519F" w14:textId="307FAA3E" w:rsidR="001A403F" w:rsidRDefault="00C30DFB" w:rsidP="001A403F">
      <w:r>
        <w:t xml:space="preserve">We do this by multiplying the </w:t>
      </w:r>
      <w:r w:rsidR="00ED26AB">
        <w:t xml:space="preserve">difference </w:t>
      </w:r>
      <w:r w:rsidR="00E41CF2">
        <w:t xml:space="preserve">between the target energy and the actual energy used </w:t>
      </w:r>
      <w:r w:rsidR="00ED26AB">
        <w:t>by the weighted average emission factor for the target period.</w:t>
      </w:r>
      <w:r w:rsidR="00317FFA">
        <w:t xml:space="preserve"> To calculate the weighted average emission factor, we </w:t>
      </w:r>
      <w:r w:rsidR="00FD4ED3">
        <w:t xml:space="preserve">sum up the carbon dioxide </w:t>
      </w:r>
      <w:r w:rsidR="00E45E6C">
        <w:t xml:space="preserve">emitted </w:t>
      </w:r>
      <w:r w:rsidR="00FD4ED3">
        <w:t xml:space="preserve">for each fuel used </w:t>
      </w:r>
      <w:r w:rsidR="00DE1779">
        <w:t xml:space="preserve">using the emission factors from the Technical Annex </w:t>
      </w:r>
      <w:r w:rsidR="00FD4ED3">
        <w:t>and divide th</w:t>
      </w:r>
      <w:r w:rsidR="00DE1779">
        <w:t>e</w:t>
      </w:r>
      <w:r w:rsidR="00FD4ED3">
        <w:t xml:space="preserve"> </w:t>
      </w:r>
      <w:r w:rsidR="00E45E6C">
        <w:t xml:space="preserve">sum </w:t>
      </w:r>
      <w:r w:rsidR="00DE1779">
        <w:t xml:space="preserve">of these </w:t>
      </w:r>
      <w:r w:rsidR="00FD4ED3">
        <w:t>by the total primary energy used.</w:t>
      </w:r>
    </w:p>
    <w:p w14:paraId="5B5A6B81" w14:textId="77777777" w:rsidR="002F2865" w:rsidRDefault="002F2865" w:rsidP="00EF623D">
      <w:pPr>
        <w:pStyle w:val="Heading4"/>
      </w:pPr>
      <w:r>
        <w:t>E</w:t>
      </w:r>
      <w:r w:rsidR="008E7B1C">
        <w:t>xample</w:t>
      </w:r>
    </w:p>
    <w:p w14:paraId="42ABBC4C" w14:textId="482FF678" w:rsidR="008E7B1C" w:rsidRDefault="002F2865" w:rsidP="001A403F">
      <w:r>
        <w:t xml:space="preserve">Consider </w:t>
      </w:r>
      <w:r w:rsidR="008E7B1C">
        <w:t xml:space="preserve">an operator </w:t>
      </w:r>
      <w:r w:rsidR="000D166E">
        <w:t xml:space="preserve">who </w:t>
      </w:r>
      <w:r w:rsidR="008E7B1C">
        <w:t>consumed</w:t>
      </w:r>
      <w:r w:rsidR="000C4FA3">
        <w:t xml:space="preserve"> the following </w:t>
      </w:r>
      <w:r>
        <w:t xml:space="preserve">delivered </w:t>
      </w:r>
      <w:r w:rsidR="000C4FA3">
        <w:t>amounts of energy</w:t>
      </w:r>
      <w:r>
        <w:t xml:space="preserve"> during a target period</w:t>
      </w:r>
      <w:r w:rsidR="008E7B1C">
        <w:t>:</w:t>
      </w:r>
    </w:p>
    <w:p w14:paraId="31294EBB" w14:textId="2F2EA331" w:rsidR="008E7B1C" w:rsidRDefault="008E7B1C" w:rsidP="008E7B1C">
      <w:pPr>
        <w:pStyle w:val="ListParagraph"/>
        <w:numPr>
          <w:ilvl w:val="0"/>
          <w:numId w:val="84"/>
        </w:numPr>
      </w:pPr>
      <w:r>
        <w:t>5,000,000 kWh</w:t>
      </w:r>
      <w:r w:rsidR="00E45E6C">
        <w:t xml:space="preserve"> </w:t>
      </w:r>
      <w:r>
        <w:t>of electricity from the grid</w:t>
      </w:r>
    </w:p>
    <w:p w14:paraId="40BC1916" w14:textId="63E6C9C4" w:rsidR="000D166E" w:rsidRDefault="000D166E" w:rsidP="008E7B1C">
      <w:pPr>
        <w:pStyle w:val="ListParagraph"/>
        <w:numPr>
          <w:ilvl w:val="0"/>
          <w:numId w:val="84"/>
        </w:numPr>
      </w:pPr>
      <w:r>
        <w:t>4,000,000 kWh of natural gas</w:t>
      </w:r>
    </w:p>
    <w:p w14:paraId="2235C4EB" w14:textId="0963F2FD" w:rsidR="00760402" w:rsidRDefault="00760402" w:rsidP="008E7B1C">
      <w:pPr>
        <w:pStyle w:val="ListParagraph"/>
        <w:numPr>
          <w:ilvl w:val="0"/>
          <w:numId w:val="84"/>
        </w:numPr>
      </w:pPr>
      <w:r>
        <w:t xml:space="preserve">1,000,000 kWh of electricity </w:t>
      </w:r>
      <w:r w:rsidR="0084555B">
        <w:t>from onsite wind</w:t>
      </w:r>
      <w:r w:rsidR="0084555B" w:rsidRPr="0084555B">
        <w:t xml:space="preserve"> </w:t>
      </w:r>
      <w:r w:rsidR="0084555B">
        <w:t>generation</w:t>
      </w:r>
    </w:p>
    <w:p w14:paraId="6596AF2C" w14:textId="59D6C74B" w:rsidR="00CB2D12" w:rsidRDefault="00CB2D12" w:rsidP="001A403F">
      <w:r>
        <w:t>The delivered amount of electricity supplied from the grid must be multiplied by the Primary Conversion Factor of 2.1 to obtain the amount of energy in primary energy terms.</w:t>
      </w:r>
      <w:r w:rsidDel="00725771">
        <w:t xml:space="preserve"> </w:t>
      </w:r>
      <w:r>
        <w:t>In this example, 5,000,000 kWh of delivered energy is 10,500,000 kWh primary energy.</w:t>
      </w:r>
      <w:r w:rsidR="00725771">
        <w:t xml:space="preserve"> </w:t>
      </w:r>
      <w:r w:rsidR="002A4E9D">
        <w:t xml:space="preserve">This means </w:t>
      </w:r>
      <w:r>
        <w:t>the total primary energy used du</w:t>
      </w:r>
      <w:r w:rsidR="002A4E9D">
        <w:t>r</w:t>
      </w:r>
      <w:r>
        <w:t xml:space="preserve">ing the target period was </w:t>
      </w:r>
      <w:r w:rsidR="002A4E9D">
        <w:t>15,500,000 kWh.</w:t>
      </w:r>
    </w:p>
    <w:p w14:paraId="2D7C7B33" w14:textId="2AA3B655" w:rsidR="000C4FA3" w:rsidRDefault="000C4FA3" w:rsidP="001A403F">
      <w:r>
        <w:t xml:space="preserve">The </w:t>
      </w:r>
      <w:r w:rsidR="00E06FF8">
        <w:t xml:space="preserve">total amount of CO2e emitted </w:t>
      </w:r>
      <w:r w:rsidR="002F2865">
        <w:t xml:space="preserve">during the target period </w:t>
      </w:r>
      <w:r w:rsidR="00E06FF8">
        <w:t>is</w:t>
      </w:r>
      <w:r w:rsidR="000079DA">
        <w:t xml:space="preserve"> </w:t>
      </w:r>
      <w:r w:rsidR="00A07452" w:rsidRPr="00A07452">
        <w:t>1</w:t>
      </w:r>
      <w:r w:rsidR="00A07452">
        <w:t>,</w:t>
      </w:r>
      <w:r w:rsidR="00A07452" w:rsidRPr="00A07452">
        <w:t>784</w:t>
      </w:r>
      <w:r w:rsidR="00A07452">
        <w:t>,</w:t>
      </w:r>
      <w:r w:rsidR="00A07452" w:rsidRPr="00A07452">
        <w:t>990</w:t>
      </w:r>
      <w:r w:rsidR="00A07452">
        <w:t xml:space="preserve"> kgCO2e, being </w:t>
      </w:r>
      <w:r w:rsidR="000079DA">
        <w:t>the sum of</w:t>
      </w:r>
      <w:r w:rsidR="00E06FF8">
        <w:t>:</w:t>
      </w:r>
    </w:p>
    <w:p w14:paraId="22F5E426" w14:textId="0B2EE5A9" w:rsidR="00E06FF8" w:rsidRDefault="00E06FF8" w:rsidP="00E06FF8">
      <w:pPr>
        <w:pStyle w:val="ListParagraph"/>
        <w:numPr>
          <w:ilvl w:val="0"/>
          <w:numId w:val="84"/>
        </w:numPr>
      </w:pPr>
      <w:r>
        <w:t xml:space="preserve">5,000,000 × 2.1 × </w:t>
      </w:r>
      <w:r w:rsidR="00361C58">
        <w:t xml:space="preserve">0.10046 = </w:t>
      </w:r>
      <w:r w:rsidR="00BC7341">
        <w:t>1,054,830 kgCO2e for grid electricity</w:t>
      </w:r>
    </w:p>
    <w:p w14:paraId="073BD558" w14:textId="7D3D8515" w:rsidR="00BC7341" w:rsidRDefault="00BC7341" w:rsidP="00E06FF8">
      <w:pPr>
        <w:pStyle w:val="ListParagraph"/>
        <w:numPr>
          <w:ilvl w:val="0"/>
          <w:numId w:val="84"/>
        </w:numPr>
      </w:pPr>
      <w:r>
        <w:t xml:space="preserve">4,000,000 × 1.0 × </w:t>
      </w:r>
      <w:r w:rsidR="00CC027C">
        <w:t xml:space="preserve">0.18254 = </w:t>
      </w:r>
      <w:r w:rsidR="00CC027C" w:rsidRPr="00CC027C">
        <w:t>730</w:t>
      </w:r>
      <w:r w:rsidR="00CC027C">
        <w:t>,</w:t>
      </w:r>
      <w:r w:rsidR="00CC027C" w:rsidRPr="00CC027C">
        <w:t>160</w:t>
      </w:r>
      <w:r w:rsidR="00CC027C">
        <w:t xml:space="preserve"> kgCO2e for natural gas</w:t>
      </w:r>
    </w:p>
    <w:p w14:paraId="5245ACD8" w14:textId="63EB8F88" w:rsidR="00CC027C" w:rsidRDefault="00CC027C" w:rsidP="00E06FF8">
      <w:pPr>
        <w:pStyle w:val="ListParagraph"/>
        <w:numPr>
          <w:ilvl w:val="0"/>
          <w:numId w:val="84"/>
        </w:numPr>
      </w:pPr>
      <w:r>
        <w:t>1,000,000 × 1.0 × 0.0000</w:t>
      </w:r>
      <w:r w:rsidR="000079DA">
        <w:t>0</w:t>
      </w:r>
      <w:r>
        <w:t xml:space="preserve"> = 0 kgCO2e for electricity from onsite wind generation</w:t>
      </w:r>
    </w:p>
    <w:p w14:paraId="654D0793" w14:textId="7760C831" w:rsidR="00472ED8" w:rsidRDefault="00260A99" w:rsidP="001A403F">
      <w:r>
        <w:t>(The emission factors for the above fuel types are taken from the Technical Annex.)</w:t>
      </w:r>
    </w:p>
    <w:p w14:paraId="4DD17B01" w14:textId="08592507" w:rsidR="00507725" w:rsidRDefault="00507725" w:rsidP="001A403F">
      <w:r>
        <w:t xml:space="preserve">The weighted emission factor is </w:t>
      </w:r>
      <w:r w:rsidR="00A837A7">
        <w:t xml:space="preserve">therefore </w:t>
      </w:r>
      <w:r>
        <w:t xml:space="preserve">1,784,990 / </w:t>
      </w:r>
      <w:r w:rsidR="00CE29D7" w:rsidRPr="00CE29D7">
        <w:t>15</w:t>
      </w:r>
      <w:r w:rsidR="00CE29D7">
        <w:t>,</w:t>
      </w:r>
      <w:r w:rsidR="00CE29D7" w:rsidRPr="00CE29D7">
        <w:t>500</w:t>
      </w:r>
      <w:r w:rsidR="00CE29D7">
        <w:t>,</w:t>
      </w:r>
      <w:r w:rsidR="00CE29D7" w:rsidRPr="00CE29D7">
        <w:t>000</w:t>
      </w:r>
      <w:r w:rsidR="00CE29D7">
        <w:t xml:space="preserve"> = </w:t>
      </w:r>
      <w:r w:rsidR="00CE29D7" w:rsidRPr="00CE29D7">
        <w:t>0.1151606</w:t>
      </w:r>
      <w:r w:rsidR="00CE29D7">
        <w:t xml:space="preserve"> kgCO2e/kWh</w:t>
      </w:r>
      <w:r w:rsidR="008C76D9">
        <w:t xml:space="preserve"> rounded to </w:t>
      </w:r>
      <w:r w:rsidR="009E12F0">
        <w:t>7</w:t>
      </w:r>
      <w:r w:rsidR="008C76D9">
        <w:t xml:space="preserve"> decimal places.</w:t>
      </w:r>
    </w:p>
    <w:p w14:paraId="152B9564" w14:textId="352B049D" w:rsidR="00C1308E" w:rsidRDefault="00C1308E" w:rsidP="001A403F">
      <w:r>
        <w:t xml:space="preserve">If the operator met their target, by consuming </w:t>
      </w:r>
      <w:r w:rsidR="000671FF">
        <w:t xml:space="preserve">480,000 kWh less than the target energy amount, this would equate to 480,000 kWh × 0.1151606 kgCO2e/kWh = </w:t>
      </w:r>
      <w:r w:rsidR="00814F5F">
        <w:t xml:space="preserve">55,277 kgCO2e. </w:t>
      </w:r>
      <w:r w:rsidR="00E41CF2">
        <w:t>For calculating the amount of surplus gained, we</w:t>
      </w:r>
      <w:r w:rsidR="00814F5F">
        <w:t xml:space="preserve"> round this down to the nearest whole tonne</w:t>
      </w:r>
      <w:r w:rsidR="00E41CF2">
        <w:t xml:space="preserve">, so in this case the surplus gained is </w:t>
      </w:r>
      <w:r w:rsidR="00E41CF2" w:rsidRPr="00E41CF2">
        <w:rPr>
          <w:b/>
          <w:bCs/>
        </w:rPr>
        <w:t>55 tCO2e</w:t>
      </w:r>
      <w:r w:rsidR="00E41CF2">
        <w:t>.</w:t>
      </w:r>
    </w:p>
    <w:p w14:paraId="067AE110" w14:textId="5F1E7094" w:rsidR="00A837A7" w:rsidRDefault="00A837A7" w:rsidP="001A403F">
      <w:r>
        <w:t xml:space="preserve">If the operator failed to meet their energy target by </w:t>
      </w:r>
      <w:r w:rsidR="003609F5">
        <w:t>5</w:t>
      </w:r>
      <w:r>
        <w:t>00,000 kWh</w:t>
      </w:r>
      <w:r w:rsidR="003609F5">
        <w:t xml:space="preserve"> in primary energy terms</w:t>
      </w:r>
      <w:r>
        <w:t xml:space="preserve">, this would </w:t>
      </w:r>
      <w:r w:rsidR="003609F5">
        <w:t xml:space="preserve">equate to 500,000 kWh × 0.1151606 kgCO2e/kWh = </w:t>
      </w:r>
      <w:r w:rsidR="00C1308E">
        <w:t>57,580 kgCO2e.</w:t>
      </w:r>
      <w:r w:rsidR="00513B49">
        <w:t xml:space="preserve"> For </w:t>
      </w:r>
      <w:r w:rsidR="00513B49">
        <w:lastRenderedPageBreak/>
        <w:t xml:space="preserve">calculating the amount of buy-out we round this up to the nearest whole tonne, so in this case the buy-out is </w:t>
      </w:r>
      <w:r w:rsidR="00C5609B" w:rsidRPr="00C5609B">
        <w:rPr>
          <w:b/>
          <w:bCs/>
        </w:rPr>
        <w:t>58 tCO2e</w:t>
      </w:r>
      <w:r w:rsidR="00C5609B">
        <w:t>.</w:t>
      </w:r>
    </w:p>
    <w:p w14:paraId="12CC133B" w14:textId="7B95AA49" w:rsidR="00C5609B" w:rsidRDefault="00C5609B" w:rsidP="001A403F">
      <w:r>
        <w:t xml:space="preserve">Combinations of fuel types and different proportions would result in different amounts of </w:t>
      </w:r>
      <w:r w:rsidR="00D32AF7">
        <w:t>surplus or buy-out, even if the total amount of energy was the same.</w:t>
      </w:r>
    </w:p>
    <w:p w14:paraId="2BFFFFB0" w14:textId="77777777" w:rsidR="006A273F" w:rsidRDefault="00BB1EA7" w:rsidP="001A403F">
      <w:r>
        <w:t>The formula</w:t>
      </w:r>
      <w:r w:rsidR="00D761A8">
        <w:t>e</w:t>
      </w:r>
      <w:r>
        <w:t xml:space="preserve"> for calculating </w:t>
      </w:r>
      <w:r w:rsidR="00D32AF7">
        <w:t xml:space="preserve">the </w:t>
      </w:r>
      <w:r w:rsidR="009C7562">
        <w:t xml:space="preserve">amount of </w:t>
      </w:r>
      <w:r w:rsidR="0099127B">
        <w:t>buy</w:t>
      </w:r>
      <w:r w:rsidR="00D61FC2">
        <w:t>-</w:t>
      </w:r>
      <w:r w:rsidR="0099127B">
        <w:t xml:space="preserve">out </w:t>
      </w:r>
      <w:r w:rsidR="00D32AF7">
        <w:t xml:space="preserve">fee </w:t>
      </w:r>
      <w:r w:rsidR="00D761A8">
        <w:t xml:space="preserve">are </w:t>
      </w:r>
      <w:r w:rsidR="00D32AF7">
        <w:t>set out in the regulations</w:t>
      </w:r>
      <w:r w:rsidR="00D761A8">
        <w:t xml:space="preserve">.  </w:t>
      </w:r>
    </w:p>
    <w:p w14:paraId="42B6B0FD" w14:textId="5E6035E2" w:rsidR="00BB1EA7" w:rsidRDefault="00D730B9" w:rsidP="001A403F">
      <w:r>
        <w:t>For primary buy-out fees, t</w:t>
      </w:r>
      <w:r w:rsidR="00D761A8">
        <w:t xml:space="preserve">his </w:t>
      </w:r>
      <w:r>
        <w:t xml:space="preserve">is calculated </w:t>
      </w:r>
      <w:r w:rsidR="00D32AF7">
        <w:t>as</w:t>
      </w:r>
      <w:r w:rsidR="0099127B">
        <w:t xml:space="preserve">: </w:t>
      </w:r>
    </w:p>
    <w:p w14:paraId="4CE627DD" w14:textId="08ED7B6E" w:rsidR="0099127B" w:rsidRDefault="0099127B" w:rsidP="001A403F">
      <w:pPr>
        <w:rPr>
          <w:i/>
          <w:iCs/>
        </w:rPr>
      </w:pPr>
      <w:r>
        <w:tab/>
      </w:r>
      <w:r>
        <w:rPr>
          <w:i/>
          <w:iCs/>
        </w:rPr>
        <w:t xml:space="preserve">Buy-out fee = </w:t>
      </w:r>
      <w:r w:rsidR="00F96366">
        <w:rPr>
          <w:i/>
          <w:iCs/>
        </w:rPr>
        <w:t>A</w:t>
      </w:r>
      <w:r>
        <w:rPr>
          <w:i/>
          <w:iCs/>
        </w:rPr>
        <w:t xml:space="preserve"> x (W – S)</w:t>
      </w:r>
    </w:p>
    <w:p w14:paraId="3FC0EBBE" w14:textId="00E0CA36" w:rsidR="0099127B" w:rsidRDefault="0099127B" w:rsidP="001A403F">
      <w:r>
        <w:t xml:space="preserve">Where: </w:t>
      </w:r>
    </w:p>
    <w:p w14:paraId="7C7D1AF3" w14:textId="7DA2C323" w:rsidR="0099127B" w:rsidRDefault="00F96366" w:rsidP="00120895">
      <w:pPr>
        <w:pStyle w:val="ListParagraph"/>
        <w:numPr>
          <w:ilvl w:val="0"/>
          <w:numId w:val="173"/>
        </w:numPr>
      </w:pPr>
      <w:r>
        <w:t>A</w:t>
      </w:r>
      <w:r w:rsidR="00120895">
        <w:t xml:space="preserve"> is the buy-out price</w:t>
      </w:r>
      <w:r w:rsidR="006B1AF7">
        <w:t xml:space="preserve"> </w:t>
      </w:r>
    </w:p>
    <w:p w14:paraId="04DD4DB3" w14:textId="4D6C5194" w:rsidR="006B1AF7" w:rsidRDefault="006B1AF7" w:rsidP="00120895">
      <w:pPr>
        <w:pStyle w:val="ListParagraph"/>
        <w:numPr>
          <w:ilvl w:val="0"/>
          <w:numId w:val="173"/>
        </w:numPr>
      </w:pPr>
      <w:r>
        <w:t>W</w:t>
      </w:r>
      <w:r w:rsidR="00AE1893">
        <w:t xml:space="preserve"> </w:t>
      </w:r>
      <w:r>
        <w:t xml:space="preserve">is the amount by which emissions exceeded the target </w:t>
      </w:r>
      <w:r w:rsidR="00AE1893">
        <w:t>in tonnes of CO2e</w:t>
      </w:r>
    </w:p>
    <w:p w14:paraId="1832980E" w14:textId="3BC0A77A" w:rsidR="00491696" w:rsidRDefault="00AE1893" w:rsidP="00AF1C4B">
      <w:pPr>
        <w:pStyle w:val="ListParagraph"/>
        <w:numPr>
          <w:ilvl w:val="0"/>
          <w:numId w:val="173"/>
        </w:numPr>
      </w:pPr>
      <w:r>
        <w:t xml:space="preserve">S is the surplus carried forward from </w:t>
      </w:r>
      <w:r w:rsidR="009C7562">
        <w:t>a</w:t>
      </w:r>
      <w:r>
        <w:t xml:space="preserve"> previous target period, or zero if no surplus </w:t>
      </w:r>
      <w:r w:rsidR="006C6052">
        <w:t>is available</w:t>
      </w:r>
    </w:p>
    <w:p w14:paraId="2016F966" w14:textId="5BB58D17" w:rsidR="00A5529B" w:rsidRPr="0099127B" w:rsidRDefault="00A5529B" w:rsidP="00A5529B">
      <w:r>
        <w:t xml:space="preserve">The amount of surplus </w:t>
      </w:r>
      <w:r w:rsidR="00B37DFA">
        <w:t xml:space="preserve">carried forward from a previous target period </w:t>
      </w:r>
      <w:r>
        <w:t>(S) will be zero for all facilities for TP7.</w:t>
      </w:r>
    </w:p>
    <w:p w14:paraId="70464749" w14:textId="5A0A7BF7" w:rsidR="00AF1C4B" w:rsidRDefault="00D730B9" w:rsidP="00AF1C4B">
      <w:r>
        <w:t>For secondary buy-out fees</w:t>
      </w:r>
      <w:r w:rsidR="006A273F">
        <w:t xml:space="preserve"> – those we determine after the start of a certification period – </w:t>
      </w:r>
      <w:r>
        <w:t>th</w:t>
      </w:r>
      <w:r w:rsidR="00222294">
        <w:t xml:space="preserve">is </w:t>
      </w:r>
      <w:r>
        <w:t xml:space="preserve">is </w:t>
      </w:r>
      <w:r w:rsidR="00AF1C4B">
        <w:t xml:space="preserve">calculated as: </w:t>
      </w:r>
    </w:p>
    <w:p w14:paraId="5329B5BA" w14:textId="1A3E6519" w:rsidR="00AF1C4B" w:rsidRDefault="00AF1C4B" w:rsidP="00AF1C4B">
      <w:pPr>
        <w:rPr>
          <w:i/>
          <w:iCs/>
        </w:rPr>
      </w:pPr>
      <w:r>
        <w:tab/>
      </w:r>
      <w:r>
        <w:rPr>
          <w:i/>
          <w:iCs/>
        </w:rPr>
        <w:t>Buy-out fee = A x W</w:t>
      </w:r>
    </w:p>
    <w:p w14:paraId="2EAB9A1E" w14:textId="323130FB" w:rsidR="00D730B9" w:rsidRDefault="00F1427A" w:rsidP="00D730B9">
      <w:r>
        <w:t xml:space="preserve">This </w:t>
      </w:r>
      <w:r w:rsidR="00AF1C4B">
        <w:t xml:space="preserve">omission of the term S </w:t>
      </w:r>
      <w:r>
        <w:t>for secondary buy-out fees</w:t>
      </w:r>
      <w:r w:rsidR="00525F89" w:rsidRPr="00525F89">
        <w:t xml:space="preserve"> </w:t>
      </w:r>
      <w:r w:rsidR="00525F89">
        <w:t>means that</w:t>
      </w:r>
      <w:r>
        <w:t xml:space="preserve"> we </w:t>
      </w:r>
      <w:r w:rsidR="00222294">
        <w:t xml:space="preserve">must not </w:t>
      </w:r>
      <w:r>
        <w:t xml:space="preserve">offset the buy-out by any surplus the operator may have generated for </w:t>
      </w:r>
      <w:r w:rsidR="00491696">
        <w:t>the</w:t>
      </w:r>
      <w:r>
        <w:t xml:space="preserve"> facility in a previous target period.</w:t>
      </w:r>
    </w:p>
    <w:p w14:paraId="76F4EC04" w14:textId="45B3D365" w:rsidR="00026E66" w:rsidRDefault="002737EF" w:rsidP="00925C6F">
      <w:pPr>
        <w:pStyle w:val="Heading3"/>
      </w:pPr>
      <w:r>
        <w:t>10.</w:t>
      </w:r>
      <w:r w:rsidR="006F3458">
        <w:t>6.</w:t>
      </w:r>
      <w:r w:rsidR="00925C6F">
        <w:t>4</w:t>
      </w:r>
      <w:r>
        <w:t xml:space="preserve"> Scenarios where the </w:t>
      </w:r>
      <w:r w:rsidR="00177FB6">
        <w:t>facility</w:t>
      </w:r>
      <w:r>
        <w:t xml:space="preserve"> joins the scheme part way through the target period </w:t>
      </w:r>
    </w:p>
    <w:p w14:paraId="256C2D6D" w14:textId="057D3A83" w:rsidR="00014750" w:rsidRDefault="002737EF" w:rsidP="00FF0098">
      <w:pPr>
        <w:tabs>
          <w:tab w:val="left" w:pos="0"/>
        </w:tabs>
      </w:pPr>
      <w:r>
        <w:t xml:space="preserve">When a </w:t>
      </w:r>
      <w:r w:rsidR="00DE4F6E">
        <w:t>facility</w:t>
      </w:r>
      <w:r>
        <w:t xml:space="preserve"> joins the scheme part way through the target period, the buy-out/surplus will be calculated in the same way as it would have been if the </w:t>
      </w:r>
      <w:r w:rsidR="00DE4F6E">
        <w:t>facility</w:t>
      </w:r>
      <w:r>
        <w:t xml:space="preserve"> had been in the scheme from the start of the target period. </w:t>
      </w:r>
    </w:p>
    <w:p w14:paraId="6CA9DAC9" w14:textId="1568BF0E" w:rsidR="00026E66" w:rsidRDefault="006F3458" w:rsidP="008019AA">
      <w:pPr>
        <w:pStyle w:val="Heading2"/>
        <w:tabs>
          <w:tab w:val="left" w:pos="0"/>
        </w:tabs>
      </w:pPr>
      <w:bookmarkStart w:id="228" w:name="_Toc242885406"/>
      <w:r>
        <w:t>10.7 How to report</w:t>
      </w:r>
      <w:bookmarkEnd w:id="228"/>
      <w:r>
        <w:t xml:space="preserve"> </w:t>
      </w:r>
    </w:p>
    <w:p w14:paraId="14A9F7A4" w14:textId="24257B75" w:rsidR="00A5495E" w:rsidRDefault="00950CA8" w:rsidP="00950CA8">
      <w:r>
        <w:t>Reports are submitted</w:t>
      </w:r>
      <w:r w:rsidR="00525F89">
        <w:t xml:space="preserve"> </w:t>
      </w:r>
      <w:r w:rsidR="00D845D0">
        <w:t xml:space="preserve">by the </w:t>
      </w:r>
      <w:hyperlink w:anchor="Sectorassociation" w:history="1">
        <w:r w:rsidR="00D845D0" w:rsidRPr="00021E17">
          <w:rPr>
            <w:rStyle w:val="Hyperlink"/>
          </w:rPr>
          <w:t>sector association</w:t>
        </w:r>
      </w:hyperlink>
      <w:r w:rsidR="00D845D0">
        <w:t xml:space="preserve"> </w:t>
      </w:r>
      <w:r w:rsidR="00525F89">
        <w:t xml:space="preserve">using the </w:t>
      </w:r>
      <w:proofErr w:type="spellStart"/>
      <w:r w:rsidR="00525F89">
        <w:t>MyCCA</w:t>
      </w:r>
      <w:proofErr w:type="spellEnd"/>
      <w:r w:rsidR="00525F89">
        <w:t xml:space="preserve"> digital service.</w:t>
      </w:r>
      <w:r>
        <w:t xml:space="preserve"> </w:t>
      </w:r>
      <w:r w:rsidR="00F521A3">
        <w:t>Sectors will collect the data</w:t>
      </w:r>
      <w:r w:rsidR="007B60C3">
        <w:t xml:space="preserve"> </w:t>
      </w:r>
      <w:r w:rsidR="00A34950">
        <w:t xml:space="preserve">we need </w:t>
      </w:r>
      <w:r w:rsidR="007B60C3">
        <w:t>from operators</w:t>
      </w:r>
      <w:r w:rsidR="00F521A3">
        <w:t xml:space="preserve"> and submit </w:t>
      </w:r>
      <w:r w:rsidR="00A34950">
        <w:t xml:space="preserve">this </w:t>
      </w:r>
      <w:r w:rsidR="00F521A3">
        <w:t xml:space="preserve">on </w:t>
      </w:r>
      <w:proofErr w:type="spellStart"/>
      <w:r w:rsidR="00A34950">
        <w:t>MyCCA</w:t>
      </w:r>
      <w:proofErr w:type="spellEnd"/>
      <w:r w:rsidR="00A34950">
        <w:t xml:space="preserve"> </w:t>
      </w:r>
      <w:r w:rsidR="00F521A3">
        <w:t xml:space="preserve">using </w:t>
      </w:r>
      <w:r w:rsidR="00A34950">
        <w:t xml:space="preserve">either </w:t>
      </w:r>
      <w:r w:rsidR="00F521A3">
        <w:t xml:space="preserve">a </w:t>
      </w:r>
      <w:r w:rsidR="005D2DEC">
        <w:t xml:space="preserve">digital </w:t>
      </w:r>
      <w:r w:rsidR="00F521A3">
        <w:t>form or by uploading a C</w:t>
      </w:r>
      <w:r w:rsidR="006412E9">
        <w:t>omma Separated Values (C</w:t>
      </w:r>
      <w:r w:rsidR="00F521A3">
        <w:t>SV</w:t>
      </w:r>
      <w:r w:rsidR="006412E9">
        <w:t>)</w:t>
      </w:r>
      <w:r w:rsidR="00F521A3">
        <w:t xml:space="preserve"> file</w:t>
      </w:r>
      <w:r w:rsidR="00A50F9F">
        <w:t>. Uploading reports</w:t>
      </w:r>
      <w:r w:rsidR="00A50F9F" w:rsidDel="00503F99">
        <w:t xml:space="preserve"> </w:t>
      </w:r>
      <w:r w:rsidR="00503F99">
        <w:t xml:space="preserve">by </w:t>
      </w:r>
      <w:r w:rsidR="00A50F9F">
        <w:t>CSV file allow</w:t>
      </w:r>
      <w:r w:rsidR="006412E9">
        <w:t xml:space="preserve">s a sector user to upload </w:t>
      </w:r>
      <w:r w:rsidR="00A50F9F">
        <w:t>reports for multiple facilities</w:t>
      </w:r>
      <w:r w:rsidR="00192C29">
        <w:t xml:space="preserve"> in the same sector</w:t>
      </w:r>
      <w:r w:rsidR="00A50F9F">
        <w:t xml:space="preserve"> </w:t>
      </w:r>
      <w:r w:rsidR="000D439E">
        <w:t>at the same time.</w:t>
      </w:r>
    </w:p>
    <w:p w14:paraId="08F637D3" w14:textId="69D7E3EC" w:rsidR="00950CA8" w:rsidRDefault="007663FC" w:rsidP="00950CA8">
      <w:r>
        <w:lastRenderedPageBreak/>
        <w:t>A t</w:t>
      </w:r>
      <w:r w:rsidR="00A5495E">
        <w:t xml:space="preserve">emplate </w:t>
      </w:r>
      <w:r>
        <w:t xml:space="preserve">for the </w:t>
      </w:r>
      <w:r w:rsidR="00A5495E">
        <w:t xml:space="preserve">CSV </w:t>
      </w:r>
      <w:r>
        <w:t xml:space="preserve">upload file </w:t>
      </w:r>
      <w:r w:rsidR="00A5495E">
        <w:t>and guidance on how to complete</w:t>
      </w:r>
      <w:r w:rsidR="00BB34EB">
        <w:t xml:space="preserve"> and submit</w:t>
      </w:r>
      <w:r w:rsidR="00A5495E">
        <w:t xml:space="preserve"> </w:t>
      </w:r>
      <w:r>
        <w:t xml:space="preserve">this </w:t>
      </w:r>
      <w:r w:rsidR="00A5495E">
        <w:t>are available to sector</w:t>
      </w:r>
      <w:r>
        <w:t xml:space="preserve"> user</w:t>
      </w:r>
      <w:r w:rsidR="00A5495E">
        <w:t xml:space="preserve">s on </w:t>
      </w:r>
      <w:proofErr w:type="spellStart"/>
      <w:r w:rsidR="00A5495E">
        <w:t>MyCCA</w:t>
      </w:r>
      <w:proofErr w:type="spellEnd"/>
      <w:r w:rsidR="00A5495E">
        <w:t xml:space="preserve"> in the Templates section.</w:t>
      </w:r>
    </w:p>
    <w:p w14:paraId="3C0F4C50" w14:textId="0F4745A5" w:rsidR="000D439E" w:rsidRPr="00950CA8" w:rsidRDefault="000D439E" w:rsidP="00192C29">
      <w:r>
        <w:t xml:space="preserve">Both </w:t>
      </w:r>
      <w:r w:rsidR="005D2DEC">
        <w:t xml:space="preserve">the digital </w:t>
      </w:r>
      <w:r>
        <w:t xml:space="preserve">form and CSV </w:t>
      </w:r>
      <w:r w:rsidR="005D2DEC">
        <w:t xml:space="preserve">upload </w:t>
      </w:r>
      <w:r w:rsidR="00A9590F">
        <w:t xml:space="preserve">will </w:t>
      </w:r>
      <w:r w:rsidR="005D2DEC">
        <w:t xml:space="preserve">identify </w:t>
      </w:r>
      <w:r w:rsidR="00A9590F">
        <w:t>any errors in the data</w:t>
      </w:r>
      <w:r w:rsidR="005D2DEC">
        <w:t xml:space="preserve"> being submitted. These errors </w:t>
      </w:r>
      <w:r w:rsidR="00A9590F">
        <w:t xml:space="preserve">will need to be resolved before the system will accept the </w:t>
      </w:r>
      <w:r w:rsidR="005D2DEC">
        <w:t>data</w:t>
      </w:r>
      <w:r w:rsidR="00A9590F">
        <w:t>.</w:t>
      </w:r>
    </w:p>
    <w:p w14:paraId="3492F02C" w14:textId="77777777" w:rsidR="00026E66" w:rsidRDefault="002737EF" w:rsidP="00FF0098">
      <w:pPr>
        <w:tabs>
          <w:tab w:val="left" w:pos="0"/>
        </w:tabs>
      </w:pPr>
      <w:r>
        <w:t>A few non-standard circumstances may arise when compiling report data. The following paragraphs set out the methods we require operators to apply when dealing with these circumstances.</w:t>
      </w:r>
    </w:p>
    <w:p w14:paraId="6411777B" w14:textId="5A4ADEC9" w:rsidR="00026E66" w:rsidRDefault="007B519F" w:rsidP="004000C6">
      <w:pPr>
        <w:pStyle w:val="Heading3"/>
      </w:pPr>
      <w:r>
        <w:t>10.7.1</w:t>
      </w:r>
      <w:r w:rsidR="00C1737B">
        <w:t xml:space="preserve"> </w:t>
      </w:r>
      <w:r w:rsidR="002737EF">
        <w:t xml:space="preserve">The extent of the eligible facility changes during the target period </w:t>
      </w:r>
    </w:p>
    <w:p w14:paraId="0D21A47F" w14:textId="61BCFD26" w:rsidR="00026E66" w:rsidRDefault="002737EF" w:rsidP="00FF0098">
      <w:pPr>
        <w:tabs>
          <w:tab w:val="left" w:pos="0"/>
        </w:tabs>
      </w:pPr>
      <w:r>
        <w:t>The extent of the eligible facility, with respect to the site, change</w:t>
      </w:r>
      <w:r w:rsidR="000413BB">
        <w:t>s</w:t>
      </w:r>
      <w:r>
        <w:t xml:space="preserve"> </w:t>
      </w:r>
      <w:r w:rsidR="000413BB">
        <w:t>when</w:t>
      </w:r>
      <w:r>
        <w:t xml:space="preserve">: </w:t>
      </w:r>
    </w:p>
    <w:p w14:paraId="5EB04472" w14:textId="4F573D60" w:rsidR="00026E66" w:rsidRDefault="002737EF" w:rsidP="0065356B">
      <w:pPr>
        <w:pStyle w:val="ListParagraph"/>
        <w:numPr>
          <w:ilvl w:val="0"/>
          <w:numId w:val="89"/>
        </w:numPr>
        <w:tabs>
          <w:tab w:val="left" w:pos="0"/>
        </w:tabs>
      </w:pPr>
      <w:r>
        <w:t xml:space="preserve">the energy used in the installation increases </w:t>
      </w:r>
      <w:r w:rsidR="000413BB">
        <w:t xml:space="preserve">to </w:t>
      </w:r>
      <w:r>
        <w:t xml:space="preserve">70% </w:t>
      </w:r>
      <w:r w:rsidR="000413BB">
        <w:t xml:space="preserve">or more </w:t>
      </w:r>
      <w:r>
        <w:t xml:space="preserve">of the total site energy use </w:t>
      </w:r>
      <w:r w:rsidR="000413BB">
        <w:t xml:space="preserve">– </w:t>
      </w:r>
      <w:r>
        <w:t>the</w:t>
      </w:r>
      <w:r w:rsidR="000413BB">
        <w:t xml:space="preserve"> </w:t>
      </w:r>
      <w:r>
        <w:t xml:space="preserve">facility becomes </w:t>
      </w:r>
      <w:r w:rsidRPr="002C2D03">
        <w:rPr>
          <w:b/>
          <w:bCs/>
        </w:rPr>
        <w:t>fully eligible</w:t>
      </w:r>
    </w:p>
    <w:p w14:paraId="2B3EBEFA" w14:textId="36949B60" w:rsidR="00026E66" w:rsidRDefault="002737EF" w:rsidP="0065356B">
      <w:pPr>
        <w:pStyle w:val="ListParagraph"/>
        <w:numPr>
          <w:ilvl w:val="0"/>
          <w:numId w:val="89"/>
        </w:numPr>
        <w:tabs>
          <w:tab w:val="left" w:pos="0"/>
        </w:tabs>
      </w:pPr>
      <w:r>
        <w:t xml:space="preserve">the energy used in the installation decreases below 70% of the total site energy use </w:t>
      </w:r>
      <w:r w:rsidR="000413BB">
        <w:t xml:space="preserve">– </w:t>
      </w:r>
      <w:r>
        <w:t>the</w:t>
      </w:r>
      <w:r w:rsidR="000413BB">
        <w:t xml:space="preserve"> </w:t>
      </w:r>
      <w:r>
        <w:t xml:space="preserve">facility becomes </w:t>
      </w:r>
      <w:r w:rsidRPr="002C2D03">
        <w:rPr>
          <w:b/>
          <w:bCs/>
        </w:rPr>
        <w:t>partially eligible</w:t>
      </w:r>
    </w:p>
    <w:p w14:paraId="21315670" w14:textId="32371AB5" w:rsidR="00026E66" w:rsidRDefault="0062695E" w:rsidP="00EF623D">
      <w:pPr>
        <w:pStyle w:val="Heading4"/>
      </w:pPr>
      <w:r>
        <w:t xml:space="preserve">10.7.1.1 </w:t>
      </w:r>
      <w:r w:rsidR="002737EF">
        <w:t xml:space="preserve">Fully Eligible Reporting </w:t>
      </w:r>
    </w:p>
    <w:p w14:paraId="5D2DB3AA" w14:textId="7493D523" w:rsidR="00040FBD" w:rsidRDefault="002737EF" w:rsidP="00FF0098">
      <w:pPr>
        <w:tabs>
          <w:tab w:val="left" w:pos="0"/>
        </w:tabs>
        <w:ind w:right="182"/>
        <w:rPr>
          <w:color w:val="auto"/>
          <w:szCs w:val="24"/>
        </w:rPr>
      </w:pPr>
      <w:r>
        <w:rPr>
          <w:color w:val="auto"/>
        </w:rPr>
        <w:t xml:space="preserve">Where </w:t>
      </w:r>
      <w:r w:rsidR="002C2D03">
        <w:rPr>
          <w:color w:val="auto"/>
        </w:rPr>
        <w:t>the</w:t>
      </w:r>
      <w:r>
        <w:rPr>
          <w:color w:val="auto"/>
        </w:rPr>
        <w:t xml:space="preserve"> </w:t>
      </w:r>
      <w:r w:rsidR="005A1EA3">
        <w:rPr>
          <w:color w:val="auto"/>
        </w:rPr>
        <w:t xml:space="preserve">proportion of </w:t>
      </w:r>
      <w:r w:rsidR="002C2D03">
        <w:rPr>
          <w:color w:val="auto"/>
        </w:rPr>
        <w:t xml:space="preserve">the </w:t>
      </w:r>
      <w:r w:rsidR="005A1EA3">
        <w:rPr>
          <w:color w:val="auto"/>
        </w:rPr>
        <w:t xml:space="preserve">energy used by the </w:t>
      </w:r>
      <w:r>
        <w:rPr>
          <w:color w:val="auto"/>
          <w:szCs w:val="24"/>
        </w:rPr>
        <w:t>facility</w:t>
      </w:r>
      <w:r w:rsidR="005A1EA3">
        <w:rPr>
          <w:color w:val="auto"/>
          <w:szCs w:val="24"/>
        </w:rPr>
        <w:t xml:space="preserve"> </w:t>
      </w:r>
      <w:r w:rsidR="002C2D03">
        <w:rPr>
          <w:color w:val="auto"/>
          <w:szCs w:val="24"/>
        </w:rPr>
        <w:t xml:space="preserve">in carrying out eligible activities </w:t>
      </w:r>
      <w:r w:rsidR="005A1EA3">
        <w:rPr>
          <w:color w:val="auto"/>
          <w:szCs w:val="24"/>
        </w:rPr>
        <w:t xml:space="preserve">increases to </w:t>
      </w:r>
      <w:r w:rsidR="00C93C73">
        <w:rPr>
          <w:color w:val="auto"/>
          <w:szCs w:val="24"/>
        </w:rPr>
        <w:t xml:space="preserve">70% or </w:t>
      </w:r>
      <w:r w:rsidR="005A1EA3">
        <w:rPr>
          <w:color w:val="auto"/>
          <w:szCs w:val="24"/>
        </w:rPr>
        <w:t>more</w:t>
      </w:r>
      <w:r w:rsidR="002C2D03">
        <w:rPr>
          <w:color w:val="auto"/>
          <w:szCs w:val="24"/>
        </w:rPr>
        <w:t xml:space="preserve"> of the total site energy</w:t>
      </w:r>
      <w:r w:rsidR="000F280F">
        <w:rPr>
          <w:color w:val="auto"/>
          <w:szCs w:val="24"/>
        </w:rPr>
        <w:t xml:space="preserve"> during a target period</w:t>
      </w:r>
      <w:r>
        <w:rPr>
          <w:color w:val="auto"/>
          <w:szCs w:val="24"/>
        </w:rPr>
        <w:t>,</w:t>
      </w:r>
      <w:r>
        <w:rPr>
          <w:color w:val="auto"/>
        </w:rPr>
        <w:t xml:space="preserve"> the </w:t>
      </w:r>
      <w:r w:rsidR="005C3F49">
        <w:rPr>
          <w:color w:val="auto"/>
        </w:rPr>
        <w:t xml:space="preserve">eligible </w:t>
      </w:r>
      <w:r>
        <w:rPr>
          <w:color w:val="auto"/>
          <w:szCs w:val="24"/>
        </w:rPr>
        <w:t>facility will be</w:t>
      </w:r>
      <w:r>
        <w:rPr>
          <w:color w:val="auto"/>
        </w:rPr>
        <w:t xml:space="preserve"> the </w:t>
      </w:r>
      <w:r>
        <w:rPr>
          <w:color w:val="auto"/>
          <w:szCs w:val="24"/>
        </w:rPr>
        <w:t>whole site</w:t>
      </w:r>
      <w:r w:rsidR="005C3F49">
        <w:rPr>
          <w:color w:val="auto"/>
          <w:szCs w:val="24"/>
        </w:rPr>
        <w:t xml:space="preserve">. </w:t>
      </w:r>
      <w:r w:rsidR="00AF02A6">
        <w:rPr>
          <w:color w:val="auto"/>
          <w:szCs w:val="24"/>
        </w:rPr>
        <w:t xml:space="preserve">A variation must </w:t>
      </w:r>
      <w:r w:rsidR="00AF02A6">
        <w:rPr>
          <w:color w:val="auto"/>
        </w:rPr>
        <w:t xml:space="preserve">have </w:t>
      </w:r>
      <w:r w:rsidR="00AF02A6">
        <w:rPr>
          <w:color w:val="auto"/>
          <w:szCs w:val="24"/>
        </w:rPr>
        <w:t xml:space="preserve">been </w:t>
      </w:r>
      <w:r w:rsidR="00AF02A6">
        <w:rPr>
          <w:color w:val="auto"/>
        </w:rPr>
        <w:t xml:space="preserve">submitted </w:t>
      </w:r>
      <w:r w:rsidR="00AF02A6">
        <w:rPr>
          <w:color w:val="auto"/>
          <w:szCs w:val="24"/>
        </w:rPr>
        <w:t xml:space="preserve">to update </w:t>
      </w:r>
      <w:r w:rsidR="00AF02A6">
        <w:rPr>
          <w:color w:val="auto"/>
        </w:rPr>
        <w:t xml:space="preserve">the baseline data for the facility </w:t>
      </w:r>
      <w:r w:rsidR="00AF02A6" w:rsidRPr="00AF02A6">
        <w:rPr>
          <w:b/>
          <w:bCs/>
          <w:color w:val="auto"/>
        </w:rPr>
        <w:t>before reporting</w:t>
      </w:r>
      <w:r w:rsidR="00AF02A6">
        <w:rPr>
          <w:color w:val="auto"/>
        </w:rPr>
        <w:t>.</w:t>
      </w:r>
    </w:p>
    <w:p w14:paraId="7CCDC373" w14:textId="7D13D27C" w:rsidR="00026E66" w:rsidRDefault="005C3F49" w:rsidP="00FF0098">
      <w:pPr>
        <w:tabs>
          <w:tab w:val="left" w:pos="0"/>
        </w:tabs>
        <w:ind w:right="182"/>
      </w:pPr>
      <w:r>
        <w:rPr>
          <w:color w:val="auto"/>
          <w:szCs w:val="24"/>
        </w:rPr>
        <w:t xml:space="preserve">The operator </w:t>
      </w:r>
      <w:r w:rsidR="00664283">
        <w:rPr>
          <w:color w:val="auto"/>
          <w:szCs w:val="24"/>
        </w:rPr>
        <w:t xml:space="preserve">must </w:t>
      </w:r>
      <w:r>
        <w:rPr>
          <w:color w:val="auto"/>
          <w:szCs w:val="24"/>
        </w:rPr>
        <w:t xml:space="preserve">report </w:t>
      </w:r>
      <w:r w:rsidR="002737EF">
        <w:rPr>
          <w:color w:val="auto"/>
          <w:szCs w:val="24"/>
        </w:rPr>
        <w:t xml:space="preserve">the </w:t>
      </w:r>
      <w:r w:rsidR="00040FBD">
        <w:rPr>
          <w:color w:val="auto"/>
          <w:szCs w:val="24"/>
        </w:rPr>
        <w:t xml:space="preserve">total </w:t>
      </w:r>
      <w:r w:rsidR="002737EF">
        <w:rPr>
          <w:color w:val="auto"/>
        </w:rPr>
        <w:t xml:space="preserve">energy </w:t>
      </w:r>
      <w:r w:rsidR="00664283">
        <w:rPr>
          <w:color w:val="auto"/>
        </w:rPr>
        <w:t xml:space="preserve">used at the </w:t>
      </w:r>
      <w:r w:rsidR="00664283">
        <w:rPr>
          <w:color w:val="auto"/>
          <w:szCs w:val="24"/>
        </w:rPr>
        <w:t xml:space="preserve">site </w:t>
      </w:r>
      <w:r w:rsidR="00040FBD">
        <w:rPr>
          <w:color w:val="auto"/>
          <w:szCs w:val="24"/>
        </w:rPr>
        <w:t xml:space="preserve">and </w:t>
      </w:r>
      <w:r w:rsidR="00664283">
        <w:rPr>
          <w:color w:val="auto"/>
          <w:szCs w:val="24"/>
        </w:rPr>
        <w:t xml:space="preserve">may </w:t>
      </w:r>
      <w:r w:rsidR="00040FBD">
        <w:rPr>
          <w:color w:val="auto"/>
          <w:szCs w:val="24"/>
        </w:rPr>
        <w:t xml:space="preserve">use </w:t>
      </w:r>
      <w:r w:rsidR="002737EF">
        <w:rPr>
          <w:color w:val="auto"/>
        </w:rPr>
        <w:t xml:space="preserve">the </w:t>
      </w:r>
      <w:r w:rsidR="002737EF">
        <w:rPr>
          <w:color w:val="auto"/>
          <w:szCs w:val="24"/>
        </w:rPr>
        <w:t xml:space="preserve">main </w:t>
      </w:r>
      <w:r w:rsidR="00040FBD">
        <w:rPr>
          <w:color w:val="auto"/>
          <w:szCs w:val="24"/>
        </w:rPr>
        <w:t xml:space="preserve">supply </w:t>
      </w:r>
      <w:r w:rsidR="002737EF">
        <w:rPr>
          <w:color w:val="auto"/>
        </w:rPr>
        <w:t>meters</w:t>
      </w:r>
      <w:r w:rsidR="00040FBD">
        <w:rPr>
          <w:color w:val="auto"/>
        </w:rPr>
        <w:t xml:space="preserve"> to the site</w:t>
      </w:r>
      <w:r w:rsidR="00664283">
        <w:rPr>
          <w:color w:val="auto"/>
        </w:rPr>
        <w:t xml:space="preserve"> to do this</w:t>
      </w:r>
      <w:r w:rsidR="002737EF">
        <w:rPr>
          <w:color w:val="auto"/>
        </w:rPr>
        <w:t xml:space="preserve">. The </w:t>
      </w:r>
      <w:r w:rsidR="00040FBD">
        <w:rPr>
          <w:color w:val="auto"/>
        </w:rPr>
        <w:t xml:space="preserve">operator </w:t>
      </w:r>
      <w:r w:rsidR="00664283">
        <w:rPr>
          <w:color w:val="auto"/>
        </w:rPr>
        <w:t xml:space="preserve">must </w:t>
      </w:r>
      <w:r w:rsidR="002737EF">
        <w:rPr>
          <w:color w:val="auto"/>
        </w:rPr>
        <w:t xml:space="preserve">report </w:t>
      </w:r>
      <w:r w:rsidR="00AF02A6">
        <w:rPr>
          <w:color w:val="auto"/>
        </w:rPr>
        <w:t xml:space="preserve">the energy used as a fully eligible facility </w:t>
      </w:r>
      <w:r w:rsidR="002737EF">
        <w:rPr>
          <w:color w:val="auto"/>
        </w:rPr>
        <w:t xml:space="preserve">for the </w:t>
      </w:r>
      <w:r w:rsidR="0035346A">
        <w:rPr>
          <w:color w:val="auto"/>
        </w:rPr>
        <w:t xml:space="preserve">entire </w:t>
      </w:r>
      <w:r w:rsidR="002737EF">
        <w:rPr>
          <w:color w:val="auto"/>
        </w:rPr>
        <w:t>target period.</w:t>
      </w:r>
    </w:p>
    <w:p w14:paraId="19D4B974" w14:textId="055F3B6A" w:rsidR="0025231F" w:rsidRDefault="0025231F" w:rsidP="00FF0098">
      <w:pPr>
        <w:tabs>
          <w:tab w:val="left" w:pos="0"/>
        </w:tabs>
        <w:ind w:right="182"/>
      </w:pPr>
      <w:r>
        <w:rPr>
          <w:color w:val="auto"/>
        </w:rPr>
        <w:t xml:space="preserve">The operator must </w:t>
      </w:r>
      <w:r w:rsidR="00D52400">
        <w:rPr>
          <w:color w:val="auto"/>
        </w:rPr>
        <w:t xml:space="preserve">separately notify </w:t>
      </w:r>
      <w:r w:rsidR="007D4C7D">
        <w:rPr>
          <w:color w:val="auto"/>
        </w:rPr>
        <w:t xml:space="preserve">HMRC </w:t>
      </w:r>
      <w:r w:rsidR="00151FBC">
        <w:rPr>
          <w:color w:val="auto"/>
        </w:rPr>
        <w:t xml:space="preserve">and </w:t>
      </w:r>
      <w:r w:rsidR="007D4C7D">
        <w:rPr>
          <w:color w:val="auto"/>
        </w:rPr>
        <w:t>their energy supplier</w:t>
      </w:r>
      <w:r w:rsidR="00D52400">
        <w:rPr>
          <w:color w:val="auto"/>
        </w:rPr>
        <w:t>(</w:t>
      </w:r>
      <w:r w:rsidR="007D4C7D">
        <w:rPr>
          <w:color w:val="auto"/>
        </w:rPr>
        <w:t>s</w:t>
      </w:r>
      <w:r w:rsidR="00D52400">
        <w:rPr>
          <w:color w:val="auto"/>
        </w:rPr>
        <w:t>)</w:t>
      </w:r>
      <w:r w:rsidR="007D4C7D">
        <w:rPr>
          <w:color w:val="auto"/>
        </w:rPr>
        <w:t xml:space="preserve"> </w:t>
      </w:r>
      <w:r w:rsidR="00151FBC">
        <w:rPr>
          <w:color w:val="auto"/>
        </w:rPr>
        <w:t xml:space="preserve">of the changes to their </w:t>
      </w:r>
      <w:r w:rsidR="007D4C7D">
        <w:rPr>
          <w:color w:val="auto"/>
        </w:rPr>
        <w:t xml:space="preserve">circumstances </w:t>
      </w:r>
      <w:r w:rsidR="00151FBC">
        <w:rPr>
          <w:color w:val="auto"/>
        </w:rPr>
        <w:t>using the PP10 and PP11 forms respectively</w:t>
      </w:r>
      <w:r w:rsidR="00D52400">
        <w:rPr>
          <w:color w:val="auto"/>
        </w:rPr>
        <w:t xml:space="preserve"> when the change occurs</w:t>
      </w:r>
      <w:r w:rsidR="00151FBC">
        <w:rPr>
          <w:color w:val="auto"/>
        </w:rPr>
        <w:t>.</w:t>
      </w:r>
    </w:p>
    <w:p w14:paraId="573E0471" w14:textId="2FAB8330" w:rsidR="00026E66" w:rsidRDefault="0062695E" w:rsidP="00EF623D">
      <w:pPr>
        <w:pStyle w:val="Heading4"/>
      </w:pPr>
      <w:r>
        <w:t xml:space="preserve">10.7.1.2. </w:t>
      </w:r>
      <w:r w:rsidR="002737EF">
        <w:t>Part</w:t>
      </w:r>
      <w:r w:rsidR="002A44C2">
        <w:t>ially</w:t>
      </w:r>
      <w:r w:rsidR="002737EF">
        <w:t xml:space="preserve"> Eligible Reporting </w:t>
      </w:r>
    </w:p>
    <w:p w14:paraId="624D59BA" w14:textId="6C373A55" w:rsidR="00111CBE" w:rsidRDefault="00BA09DA" w:rsidP="00B739EF">
      <w:pPr>
        <w:tabs>
          <w:tab w:val="left" w:pos="0"/>
        </w:tabs>
        <w:spacing w:after="0"/>
        <w:ind w:right="182"/>
        <w:rPr>
          <w:color w:val="auto"/>
          <w:szCs w:val="24"/>
        </w:rPr>
      </w:pPr>
      <w:r>
        <w:rPr>
          <w:color w:val="auto"/>
        </w:rPr>
        <w:t xml:space="preserve">Where the proportion of the energy used by the </w:t>
      </w:r>
      <w:r>
        <w:rPr>
          <w:color w:val="auto"/>
          <w:szCs w:val="24"/>
        </w:rPr>
        <w:t>facility in carrying out eligible activities decreases to below 70%</w:t>
      </w:r>
      <w:r w:rsidRPr="00BA09DA">
        <w:rPr>
          <w:color w:val="auto"/>
          <w:szCs w:val="24"/>
        </w:rPr>
        <w:t xml:space="preserve"> </w:t>
      </w:r>
      <w:r>
        <w:rPr>
          <w:color w:val="auto"/>
          <w:szCs w:val="24"/>
        </w:rPr>
        <w:t>of the total site energy during a target period,</w:t>
      </w:r>
      <w:r>
        <w:rPr>
          <w:color w:val="auto"/>
        </w:rPr>
        <w:t xml:space="preserve"> the eligible </w:t>
      </w:r>
      <w:r>
        <w:rPr>
          <w:color w:val="auto"/>
          <w:szCs w:val="24"/>
        </w:rPr>
        <w:t xml:space="preserve">facility will </w:t>
      </w:r>
      <w:r w:rsidR="00111CBE">
        <w:rPr>
          <w:color w:val="auto"/>
          <w:szCs w:val="24"/>
        </w:rPr>
        <w:t xml:space="preserve">no longer </w:t>
      </w:r>
      <w:r>
        <w:rPr>
          <w:color w:val="auto"/>
          <w:szCs w:val="24"/>
        </w:rPr>
        <w:t>be</w:t>
      </w:r>
      <w:r>
        <w:rPr>
          <w:color w:val="auto"/>
        </w:rPr>
        <w:t xml:space="preserve"> the </w:t>
      </w:r>
      <w:r>
        <w:rPr>
          <w:color w:val="auto"/>
          <w:szCs w:val="24"/>
        </w:rPr>
        <w:t>whole site</w:t>
      </w:r>
      <w:r w:rsidR="00F83F3B">
        <w:rPr>
          <w:color w:val="auto"/>
          <w:szCs w:val="24"/>
        </w:rPr>
        <w:t>.</w:t>
      </w:r>
      <w:r w:rsidR="00111CBE">
        <w:rPr>
          <w:color w:val="auto"/>
          <w:szCs w:val="24"/>
        </w:rPr>
        <w:t xml:space="preserve"> </w:t>
      </w:r>
      <w:r w:rsidR="00F83F3B">
        <w:rPr>
          <w:color w:val="auto"/>
          <w:szCs w:val="24"/>
        </w:rPr>
        <w:t>T</w:t>
      </w:r>
      <w:r w:rsidR="00111CBE">
        <w:rPr>
          <w:color w:val="auto"/>
          <w:szCs w:val="24"/>
        </w:rPr>
        <w:t xml:space="preserve">he operator must install sufficient sub-metering to enable them to </w:t>
      </w:r>
      <w:r w:rsidR="00F83F3B">
        <w:rPr>
          <w:color w:val="auto"/>
          <w:szCs w:val="24"/>
        </w:rPr>
        <w:t xml:space="preserve">accurately </w:t>
      </w:r>
      <w:r w:rsidR="006F2E15">
        <w:rPr>
          <w:color w:val="auto"/>
          <w:szCs w:val="24"/>
        </w:rPr>
        <w:t xml:space="preserve">quantify </w:t>
      </w:r>
      <w:r w:rsidR="00111CBE">
        <w:rPr>
          <w:color w:val="auto"/>
          <w:szCs w:val="24"/>
        </w:rPr>
        <w:t xml:space="preserve">the amount of energy used </w:t>
      </w:r>
      <w:r w:rsidR="006F2E15">
        <w:rPr>
          <w:color w:val="auto"/>
          <w:szCs w:val="24"/>
        </w:rPr>
        <w:t xml:space="preserve">in carrying out eligible activities plus any </w:t>
      </w:r>
      <w:r w:rsidR="00CB2725">
        <w:rPr>
          <w:color w:val="auto"/>
          <w:szCs w:val="24"/>
        </w:rPr>
        <w:t xml:space="preserve">optional </w:t>
      </w:r>
      <w:r w:rsidR="006F2E15">
        <w:rPr>
          <w:color w:val="auto"/>
          <w:szCs w:val="24"/>
        </w:rPr>
        <w:t xml:space="preserve">“ineligible” energy </w:t>
      </w:r>
      <w:r w:rsidR="00CB2725">
        <w:rPr>
          <w:color w:val="auto"/>
          <w:szCs w:val="24"/>
        </w:rPr>
        <w:t xml:space="preserve">under </w:t>
      </w:r>
      <w:r w:rsidR="006F2E15">
        <w:rPr>
          <w:color w:val="auto"/>
          <w:szCs w:val="24"/>
        </w:rPr>
        <w:t>the 3/7ths provision</w:t>
      </w:r>
      <w:r>
        <w:rPr>
          <w:color w:val="auto"/>
          <w:szCs w:val="24"/>
        </w:rPr>
        <w:t>.</w:t>
      </w:r>
    </w:p>
    <w:p w14:paraId="26E83665" w14:textId="5F6F1B27" w:rsidR="00026E66" w:rsidRPr="00B739EF" w:rsidRDefault="00295308" w:rsidP="00B739EF">
      <w:pPr>
        <w:tabs>
          <w:tab w:val="left" w:pos="0"/>
        </w:tabs>
        <w:spacing w:after="0"/>
        <w:ind w:right="182"/>
      </w:pPr>
      <w:r>
        <w:rPr>
          <w:color w:val="auto"/>
          <w:szCs w:val="24"/>
        </w:rPr>
        <w:t xml:space="preserve">Unless a facility already has sufficient sub-metering in place, </w:t>
      </w:r>
      <w:r w:rsidR="00321C9B">
        <w:rPr>
          <w:color w:val="auto"/>
          <w:szCs w:val="24"/>
        </w:rPr>
        <w:t xml:space="preserve">we would expect the operator of </w:t>
      </w:r>
      <w:r w:rsidR="000843AD">
        <w:rPr>
          <w:color w:val="auto"/>
          <w:szCs w:val="24"/>
        </w:rPr>
        <w:t>a f</w:t>
      </w:r>
      <w:r w:rsidR="002737EF">
        <w:rPr>
          <w:color w:val="auto"/>
          <w:szCs w:val="24"/>
        </w:rPr>
        <w:t>acilit</w:t>
      </w:r>
      <w:r w:rsidR="000843AD">
        <w:rPr>
          <w:color w:val="auto"/>
          <w:szCs w:val="24"/>
        </w:rPr>
        <w:t>y</w:t>
      </w:r>
      <w:r w:rsidR="002737EF">
        <w:rPr>
          <w:color w:val="auto"/>
          <w:szCs w:val="24"/>
        </w:rPr>
        <w:t xml:space="preserve"> that </w:t>
      </w:r>
      <w:r w:rsidR="006265DD">
        <w:rPr>
          <w:color w:val="auto"/>
          <w:szCs w:val="24"/>
        </w:rPr>
        <w:t>become</w:t>
      </w:r>
      <w:r w:rsidR="000843AD">
        <w:rPr>
          <w:color w:val="auto"/>
          <w:szCs w:val="24"/>
        </w:rPr>
        <w:t>s</w:t>
      </w:r>
      <w:r w:rsidR="006265DD">
        <w:rPr>
          <w:color w:val="auto"/>
          <w:szCs w:val="24"/>
        </w:rPr>
        <w:t xml:space="preserve"> partially eligible </w:t>
      </w:r>
      <w:r w:rsidR="002737EF">
        <w:rPr>
          <w:color w:val="auto"/>
          <w:szCs w:val="24"/>
        </w:rPr>
        <w:t xml:space="preserve">during a target period to report </w:t>
      </w:r>
      <w:r w:rsidR="00C130C5">
        <w:rPr>
          <w:color w:val="auto"/>
          <w:szCs w:val="24"/>
        </w:rPr>
        <w:t xml:space="preserve">target </w:t>
      </w:r>
      <w:r w:rsidR="00C130C5">
        <w:rPr>
          <w:color w:val="auto"/>
          <w:szCs w:val="24"/>
        </w:rPr>
        <w:lastRenderedPageBreak/>
        <w:t xml:space="preserve">period data as if they were </w:t>
      </w:r>
      <w:r w:rsidR="001B0A94">
        <w:rPr>
          <w:color w:val="auto"/>
          <w:szCs w:val="24"/>
        </w:rPr>
        <w:t xml:space="preserve">still </w:t>
      </w:r>
      <w:r w:rsidR="00C130C5">
        <w:rPr>
          <w:color w:val="auto"/>
          <w:szCs w:val="24"/>
        </w:rPr>
        <w:t>fully eligible</w:t>
      </w:r>
      <w:r w:rsidR="00180FEB">
        <w:rPr>
          <w:color w:val="auto"/>
          <w:szCs w:val="24"/>
        </w:rPr>
        <w:t xml:space="preserve"> and using the </w:t>
      </w:r>
      <w:r w:rsidR="001B0A94">
        <w:rPr>
          <w:color w:val="auto"/>
          <w:szCs w:val="24"/>
        </w:rPr>
        <w:t xml:space="preserve">original baseline data for the fully eligible </w:t>
      </w:r>
      <w:r w:rsidR="00180FEB">
        <w:rPr>
          <w:color w:val="auto"/>
          <w:szCs w:val="24"/>
        </w:rPr>
        <w:t>facility</w:t>
      </w:r>
      <w:r w:rsidR="002737EF">
        <w:rPr>
          <w:color w:val="auto"/>
          <w:szCs w:val="24"/>
        </w:rPr>
        <w:t>.</w:t>
      </w:r>
    </w:p>
    <w:p w14:paraId="619973F1" w14:textId="3C5A9572" w:rsidR="00026E66" w:rsidRDefault="00BE4FD7" w:rsidP="00B739EF">
      <w:pPr>
        <w:tabs>
          <w:tab w:val="left" w:pos="0"/>
        </w:tabs>
        <w:spacing w:after="0"/>
        <w:ind w:right="182"/>
        <w:rPr>
          <w:color w:val="auto"/>
          <w:szCs w:val="24"/>
        </w:rPr>
      </w:pPr>
      <w:r>
        <w:rPr>
          <w:color w:val="auto"/>
          <w:szCs w:val="24"/>
        </w:rPr>
        <w:t xml:space="preserve">After at least </w:t>
      </w:r>
      <w:r w:rsidR="002737EF">
        <w:rPr>
          <w:color w:val="auto"/>
          <w:szCs w:val="24"/>
        </w:rPr>
        <w:t xml:space="preserve">12 months of sub-metered data is </w:t>
      </w:r>
      <w:r w:rsidR="00321C9B">
        <w:rPr>
          <w:color w:val="auto"/>
          <w:szCs w:val="24"/>
        </w:rPr>
        <w:t>available</w:t>
      </w:r>
      <w:r w:rsidR="00F50018">
        <w:rPr>
          <w:color w:val="auto"/>
          <w:szCs w:val="24"/>
        </w:rPr>
        <w:t xml:space="preserve"> for the partially eligible facility</w:t>
      </w:r>
      <w:r w:rsidR="002737EF">
        <w:rPr>
          <w:color w:val="auto"/>
          <w:szCs w:val="24"/>
        </w:rPr>
        <w:t xml:space="preserve">, </w:t>
      </w:r>
      <w:r w:rsidR="00321C9B">
        <w:rPr>
          <w:color w:val="auto"/>
          <w:szCs w:val="24"/>
        </w:rPr>
        <w:t xml:space="preserve">we will </w:t>
      </w:r>
      <w:r w:rsidR="002737EF">
        <w:rPr>
          <w:color w:val="auto"/>
          <w:szCs w:val="24"/>
        </w:rPr>
        <w:t>reconstruct</w:t>
      </w:r>
      <w:r w:rsidR="00321C9B">
        <w:rPr>
          <w:color w:val="auto"/>
          <w:szCs w:val="24"/>
        </w:rPr>
        <w:t xml:space="preserve"> the </w:t>
      </w:r>
      <w:r w:rsidR="002737EF">
        <w:rPr>
          <w:color w:val="auto"/>
          <w:szCs w:val="24"/>
        </w:rPr>
        <w:t xml:space="preserve">baseline </w:t>
      </w:r>
      <w:r w:rsidR="00F50018">
        <w:rPr>
          <w:color w:val="auto"/>
          <w:szCs w:val="24"/>
        </w:rPr>
        <w:t>data</w:t>
      </w:r>
      <w:r w:rsidR="004F75B2">
        <w:rPr>
          <w:color w:val="auto"/>
          <w:szCs w:val="24"/>
        </w:rPr>
        <w:t>.</w:t>
      </w:r>
      <w:r w:rsidR="004F75B2" w:rsidDel="00742AFB">
        <w:rPr>
          <w:color w:val="auto"/>
          <w:szCs w:val="24"/>
        </w:rPr>
        <w:t xml:space="preserve"> </w:t>
      </w:r>
      <w:r w:rsidR="004F75B2">
        <w:rPr>
          <w:color w:val="auto"/>
          <w:szCs w:val="24"/>
        </w:rPr>
        <w:t xml:space="preserve">Thereafter, the operator will be expected to report </w:t>
      </w:r>
      <w:r w:rsidR="004A3E37">
        <w:rPr>
          <w:color w:val="auto"/>
          <w:szCs w:val="24"/>
        </w:rPr>
        <w:t xml:space="preserve">their </w:t>
      </w:r>
      <w:r w:rsidR="004F75B2">
        <w:rPr>
          <w:color w:val="auto"/>
          <w:szCs w:val="24"/>
        </w:rPr>
        <w:t xml:space="preserve">energy </w:t>
      </w:r>
      <w:r w:rsidR="004A3E37">
        <w:rPr>
          <w:color w:val="auto"/>
          <w:szCs w:val="24"/>
        </w:rPr>
        <w:t xml:space="preserve">use </w:t>
      </w:r>
      <w:r w:rsidR="004F75B2">
        <w:rPr>
          <w:color w:val="auto"/>
          <w:szCs w:val="24"/>
        </w:rPr>
        <w:t>as a partially eligible facility.</w:t>
      </w:r>
    </w:p>
    <w:p w14:paraId="79E06943" w14:textId="6EF84BA4" w:rsidR="00026E66" w:rsidRPr="00B739EF" w:rsidRDefault="002737EF" w:rsidP="00B739EF">
      <w:pPr>
        <w:tabs>
          <w:tab w:val="left" w:pos="0"/>
        </w:tabs>
        <w:ind w:right="182"/>
      </w:pPr>
      <w:r>
        <w:rPr>
          <w:color w:val="auto"/>
        </w:rPr>
        <w:t xml:space="preserve">If </w:t>
      </w:r>
      <w:r w:rsidR="00920335">
        <w:rPr>
          <w:color w:val="auto"/>
        </w:rPr>
        <w:t xml:space="preserve">the operator </w:t>
      </w:r>
      <w:r w:rsidR="00857E34">
        <w:rPr>
          <w:color w:val="auto"/>
        </w:rPr>
        <w:t xml:space="preserve">has not </w:t>
      </w:r>
      <w:r w:rsidR="00920335">
        <w:rPr>
          <w:color w:val="auto"/>
        </w:rPr>
        <w:t>instal</w:t>
      </w:r>
      <w:r w:rsidR="00857E34">
        <w:rPr>
          <w:color w:val="auto"/>
        </w:rPr>
        <w:t>led</w:t>
      </w:r>
      <w:r w:rsidR="00920335">
        <w:rPr>
          <w:color w:val="auto"/>
        </w:rPr>
        <w:t xml:space="preserve"> </w:t>
      </w:r>
      <w:r>
        <w:rPr>
          <w:color w:val="auto"/>
        </w:rPr>
        <w:t xml:space="preserve">sub-metering </w:t>
      </w:r>
      <w:r w:rsidR="00920335">
        <w:rPr>
          <w:color w:val="auto"/>
        </w:rPr>
        <w:t>be</w:t>
      </w:r>
      <w:r>
        <w:rPr>
          <w:color w:val="auto"/>
          <w:szCs w:val="24"/>
        </w:rPr>
        <w:t>for</w:t>
      </w:r>
      <w:r w:rsidR="00920335">
        <w:rPr>
          <w:color w:val="auto"/>
          <w:szCs w:val="24"/>
        </w:rPr>
        <w:t>e</w:t>
      </w:r>
      <w:r>
        <w:rPr>
          <w:color w:val="auto"/>
        </w:rPr>
        <w:t xml:space="preserve"> the next target period</w:t>
      </w:r>
      <w:r w:rsidR="00857E34">
        <w:rPr>
          <w:color w:val="auto"/>
        </w:rPr>
        <w:t xml:space="preserve"> begins</w:t>
      </w:r>
      <w:r w:rsidR="000425E1">
        <w:rPr>
          <w:color w:val="auto"/>
        </w:rPr>
        <w:t>,</w:t>
      </w:r>
      <w:r>
        <w:rPr>
          <w:color w:val="auto"/>
          <w:szCs w:val="24"/>
        </w:rPr>
        <w:t xml:space="preserve"> </w:t>
      </w:r>
      <w:r w:rsidR="00C840D9">
        <w:rPr>
          <w:color w:val="auto"/>
          <w:szCs w:val="24"/>
        </w:rPr>
        <w:t xml:space="preserve">we expect the operator to </w:t>
      </w:r>
      <w:r w:rsidR="00C300EB">
        <w:rPr>
          <w:color w:val="auto"/>
          <w:szCs w:val="24"/>
        </w:rPr>
        <w:t>apply a correction factor to their total site energy</w:t>
      </w:r>
      <w:r w:rsidR="00A52E55">
        <w:rPr>
          <w:color w:val="auto"/>
          <w:szCs w:val="24"/>
        </w:rPr>
        <w:t xml:space="preserve"> until sub-metering is installed</w:t>
      </w:r>
      <w:r w:rsidR="00C300EB">
        <w:rPr>
          <w:color w:val="auto"/>
          <w:szCs w:val="24"/>
        </w:rPr>
        <w:t xml:space="preserve">. </w:t>
      </w:r>
      <w:r w:rsidR="003A1F6C">
        <w:rPr>
          <w:color w:val="auto"/>
          <w:szCs w:val="24"/>
        </w:rPr>
        <w:t xml:space="preserve">The correction factor is the </w:t>
      </w:r>
      <w:r>
        <w:rPr>
          <w:color w:val="auto"/>
        </w:rPr>
        <w:t xml:space="preserve">ratio of </w:t>
      </w:r>
      <w:r w:rsidR="003A1F6C">
        <w:rPr>
          <w:color w:val="auto"/>
        </w:rPr>
        <w:t xml:space="preserve">the sub-metered </w:t>
      </w:r>
      <w:r w:rsidR="008C1468">
        <w:rPr>
          <w:color w:val="auto"/>
        </w:rPr>
        <w:t xml:space="preserve">eligible </w:t>
      </w:r>
      <w:r>
        <w:rPr>
          <w:color w:val="auto"/>
        </w:rPr>
        <w:t xml:space="preserve">energy (plus </w:t>
      </w:r>
      <w:r w:rsidR="00B34761">
        <w:rPr>
          <w:color w:val="auto"/>
        </w:rPr>
        <w:t xml:space="preserve">any </w:t>
      </w:r>
      <w:r w:rsidR="008C1468">
        <w:rPr>
          <w:color w:val="auto"/>
        </w:rPr>
        <w:t xml:space="preserve">ineligible energy under the </w:t>
      </w:r>
      <w:r>
        <w:rPr>
          <w:color w:val="auto"/>
        </w:rPr>
        <w:t>3/7th</w:t>
      </w:r>
      <w:r w:rsidR="008C1468">
        <w:rPr>
          <w:color w:val="auto"/>
        </w:rPr>
        <w:t>s provision</w:t>
      </w:r>
      <w:r>
        <w:rPr>
          <w:color w:val="auto"/>
        </w:rPr>
        <w:t xml:space="preserve">) to the total </w:t>
      </w:r>
      <w:r w:rsidR="008C1468">
        <w:rPr>
          <w:color w:val="auto"/>
        </w:rPr>
        <w:t xml:space="preserve">site </w:t>
      </w:r>
      <w:r>
        <w:rPr>
          <w:color w:val="auto"/>
        </w:rPr>
        <w:t xml:space="preserve">energy </w:t>
      </w:r>
      <w:r w:rsidR="008C1468">
        <w:rPr>
          <w:color w:val="auto"/>
        </w:rPr>
        <w:t xml:space="preserve">for the </w:t>
      </w:r>
      <w:r>
        <w:rPr>
          <w:color w:val="auto"/>
        </w:rPr>
        <w:t xml:space="preserve">period </w:t>
      </w:r>
      <w:r w:rsidR="00C300EB">
        <w:rPr>
          <w:color w:val="auto"/>
        </w:rPr>
        <w:t xml:space="preserve">from </w:t>
      </w:r>
      <w:r w:rsidR="008C1468">
        <w:rPr>
          <w:color w:val="auto"/>
        </w:rPr>
        <w:t xml:space="preserve">when </w:t>
      </w:r>
      <w:r>
        <w:rPr>
          <w:color w:val="auto"/>
        </w:rPr>
        <w:t>sub-metering was in</w:t>
      </w:r>
      <w:r w:rsidR="00C300EB">
        <w:rPr>
          <w:color w:val="auto"/>
        </w:rPr>
        <w:t>stalled</w:t>
      </w:r>
      <w:r>
        <w:rPr>
          <w:color w:val="auto"/>
        </w:rPr>
        <w:t>.</w:t>
      </w:r>
    </w:p>
    <w:p w14:paraId="31333251" w14:textId="2FC07D84" w:rsidR="00026E66" w:rsidRDefault="002737EF" w:rsidP="004000C6">
      <w:pPr>
        <w:pStyle w:val="Heading3"/>
      </w:pPr>
      <w:r>
        <w:t>10.7.</w:t>
      </w:r>
      <w:r w:rsidR="007B519F">
        <w:t>2</w:t>
      </w:r>
      <w:r>
        <w:t xml:space="preserve">. A facility joins </w:t>
      </w:r>
      <w:r w:rsidR="00607F89">
        <w:t xml:space="preserve">or leaves the </w:t>
      </w:r>
      <w:r w:rsidR="00BD31B6">
        <w:t xml:space="preserve">UK </w:t>
      </w:r>
      <w:r>
        <w:t xml:space="preserve">ETS during </w:t>
      </w:r>
      <w:r w:rsidR="00607F89">
        <w:t xml:space="preserve">a </w:t>
      </w:r>
      <w:r>
        <w:t xml:space="preserve">target period </w:t>
      </w:r>
    </w:p>
    <w:p w14:paraId="4B90AA98" w14:textId="4E9F0427" w:rsidR="00A274EC" w:rsidRDefault="002737EF" w:rsidP="004C1365">
      <w:r>
        <w:t xml:space="preserve">The extent of the </w:t>
      </w:r>
      <w:hyperlink w:anchor="Targetfacility" w:history="1">
        <w:r w:rsidRPr="004966FD">
          <w:rPr>
            <w:rStyle w:val="Hyperlink"/>
          </w:rPr>
          <w:t>target facility</w:t>
        </w:r>
      </w:hyperlink>
      <w:r>
        <w:t xml:space="preserve"> changes </w:t>
      </w:r>
      <w:r w:rsidR="00BA7443">
        <w:t xml:space="preserve">if an </w:t>
      </w:r>
      <w:r>
        <w:t xml:space="preserve">installation </w:t>
      </w:r>
      <w:r w:rsidR="00BA7443">
        <w:t xml:space="preserve">covered by </w:t>
      </w:r>
      <w:r>
        <w:t xml:space="preserve">a CCA </w:t>
      </w:r>
      <w:r w:rsidR="00BA7443">
        <w:t xml:space="preserve">joins or leaves the UK </w:t>
      </w:r>
      <w:r>
        <w:t xml:space="preserve">ETS </w:t>
      </w:r>
      <w:r w:rsidR="00CE6E89">
        <w:t xml:space="preserve">part way </w:t>
      </w:r>
      <w:r>
        <w:t xml:space="preserve">through </w:t>
      </w:r>
      <w:r w:rsidR="00CE6E89">
        <w:t xml:space="preserve">a </w:t>
      </w:r>
      <w:r>
        <w:t>target period</w:t>
      </w:r>
      <w:r w:rsidR="00CE6E89">
        <w:t xml:space="preserve">. Such changes are rare but might occur if </w:t>
      </w:r>
      <w:r w:rsidR="005A5BC6">
        <w:t>an</w:t>
      </w:r>
      <w:r w:rsidR="00CE6E89">
        <w:t xml:space="preserve"> operator ha</w:t>
      </w:r>
      <w:r w:rsidR="005A5BC6">
        <w:t>s</w:t>
      </w:r>
      <w:r w:rsidR="00A274EC">
        <w:t>:</w:t>
      </w:r>
    </w:p>
    <w:p w14:paraId="72B3EC53" w14:textId="0EB0B2A3" w:rsidR="00A274EC" w:rsidRDefault="005A5BC6" w:rsidP="00A274EC">
      <w:pPr>
        <w:pStyle w:val="ListParagraph"/>
        <w:numPr>
          <w:ilvl w:val="0"/>
          <w:numId w:val="89"/>
        </w:numPr>
      </w:pPr>
      <w:r>
        <w:t xml:space="preserve">added </w:t>
      </w:r>
      <w:r w:rsidR="006C6E53">
        <w:t xml:space="preserve">combustion equipment </w:t>
      </w:r>
      <w:r w:rsidR="00A274EC">
        <w:t>taking them above the 20</w:t>
      </w:r>
      <w:r>
        <w:t xml:space="preserve"> </w:t>
      </w:r>
      <w:r w:rsidR="00A274EC">
        <w:t>MW</w:t>
      </w:r>
      <w:r>
        <w:t xml:space="preserve"> </w:t>
      </w:r>
      <w:r w:rsidR="00A274EC">
        <w:t>th</w:t>
      </w:r>
      <w:r>
        <w:t>ermal</w:t>
      </w:r>
      <w:r w:rsidR="00A274EC">
        <w:t xml:space="preserve"> threshold </w:t>
      </w:r>
      <w:r w:rsidR="00CF6669">
        <w:t xml:space="preserve">total installed capacity </w:t>
      </w:r>
      <w:r w:rsidR="00A274EC">
        <w:t>requiring them to apply for a Greenhouse Gas</w:t>
      </w:r>
      <w:r w:rsidR="00606A2B">
        <w:t xml:space="preserve"> (GHG)</w:t>
      </w:r>
      <w:r w:rsidR="00A274EC">
        <w:t xml:space="preserve"> permit</w:t>
      </w:r>
    </w:p>
    <w:p w14:paraId="6100CDF7" w14:textId="508A8313" w:rsidR="00026E66" w:rsidRPr="00B739EF" w:rsidRDefault="000412F8" w:rsidP="00A274EC">
      <w:pPr>
        <w:pStyle w:val="ListParagraph"/>
        <w:numPr>
          <w:ilvl w:val="0"/>
          <w:numId w:val="89"/>
        </w:numPr>
      </w:pPr>
      <w:r>
        <w:t xml:space="preserve">either removed combustion equipment, or </w:t>
      </w:r>
      <w:r w:rsidR="005D6D6C">
        <w:t>installed interlocks to prevent the concurrent use of combustion equipment</w:t>
      </w:r>
      <w:r>
        <w:t>,</w:t>
      </w:r>
      <w:r w:rsidR="005D6D6C">
        <w:t xml:space="preserve"> </w:t>
      </w:r>
      <w:r w:rsidR="00A274EC">
        <w:t xml:space="preserve">such </w:t>
      </w:r>
      <w:r>
        <w:t xml:space="preserve">that the </w:t>
      </w:r>
      <w:r w:rsidR="005A5BC6">
        <w:t xml:space="preserve">available </w:t>
      </w:r>
      <w:r w:rsidR="005D6D6C">
        <w:t xml:space="preserve">installed capacity </w:t>
      </w:r>
      <w:r>
        <w:t xml:space="preserve">is less </w:t>
      </w:r>
      <w:r w:rsidR="005D6D6C">
        <w:t>than</w:t>
      </w:r>
      <w:r>
        <w:t xml:space="preserve"> 20 MW</w:t>
      </w:r>
      <w:r w:rsidR="005A5BC6">
        <w:t xml:space="preserve"> </w:t>
      </w:r>
      <w:r>
        <w:t>th</w:t>
      </w:r>
      <w:r w:rsidR="005A5BC6">
        <w:t>ermal</w:t>
      </w:r>
    </w:p>
    <w:p w14:paraId="540A4486" w14:textId="73C6926D" w:rsidR="001B0B9C" w:rsidRDefault="001B0B9C" w:rsidP="004C1365">
      <w:r>
        <w:t>In either case, we expect the operator to notify us within 20 working days so we can amend the baseline data for the facility accordingly.</w:t>
      </w:r>
    </w:p>
    <w:p w14:paraId="175E2CD5" w14:textId="6EC2E7CB" w:rsidR="00026E66" w:rsidRDefault="008C05F8" w:rsidP="004C1365">
      <w:r>
        <w:t>Where an installation</w:t>
      </w:r>
      <w:r w:rsidR="00606A2B">
        <w:t xml:space="preserve"> </w:t>
      </w:r>
      <w:r w:rsidR="00606A2B" w:rsidRPr="00606A2B">
        <w:rPr>
          <w:b/>
          <w:bCs/>
        </w:rPr>
        <w:t>joins</w:t>
      </w:r>
      <w:r w:rsidR="00606A2B">
        <w:t xml:space="preserve"> the UK ETS part way through a target period, we expect the operator to </w:t>
      </w:r>
      <w:r w:rsidR="00606A2B" w:rsidRPr="00606A2B">
        <w:rPr>
          <w:b/>
          <w:bCs/>
        </w:rPr>
        <w:t>exclude</w:t>
      </w:r>
      <w:r w:rsidR="00606A2B">
        <w:t xml:space="preserve"> from their </w:t>
      </w:r>
      <w:r w:rsidR="00F0319A">
        <w:t xml:space="preserve">base year and target period </w:t>
      </w:r>
      <w:r w:rsidR="00606A2B">
        <w:t xml:space="preserve">report data any fuel </w:t>
      </w:r>
      <w:r w:rsidR="00F0319A">
        <w:t xml:space="preserve">they </w:t>
      </w:r>
      <w:r w:rsidR="00606A2B">
        <w:t>used whose CO2e emissions are reported under the terms of their GHG permit.</w:t>
      </w:r>
    </w:p>
    <w:p w14:paraId="416FA482" w14:textId="156A8CF0" w:rsidR="00606A2B" w:rsidRPr="00B739EF" w:rsidRDefault="00606A2B" w:rsidP="004C1365">
      <w:r>
        <w:t xml:space="preserve">Conversely, if an installation leaves the UK ETS part way through a target period, we expect the operator to </w:t>
      </w:r>
      <w:r w:rsidRPr="00DE7322">
        <w:rPr>
          <w:b/>
          <w:bCs/>
        </w:rPr>
        <w:t>include</w:t>
      </w:r>
      <w:r>
        <w:t xml:space="preserve"> </w:t>
      </w:r>
      <w:r w:rsidR="001B0B9C">
        <w:t xml:space="preserve">all fuels </w:t>
      </w:r>
      <w:r w:rsidR="00DE7322">
        <w:t xml:space="preserve">they </w:t>
      </w:r>
      <w:r w:rsidR="001B0B9C">
        <w:t xml:space="preserve">used </w:t>
      </w:r>
      <w:r w:rsidR="00DE7322">
        <w:t>in their base year and target period data</w:t>
      </w:r>
      <w:r w:rsidR="001B0B9C">
        <w:t>.</w:t>
      </w:r>
    </w:p>
    <w:p w14:paraId="51AA6289" w14:textId="0AD6B3E1" w:rsidR="00026E66" w:rsidRDefault="002737EF" w:rsidP="004000C6">
      <w:pPr>
        <w:pStyle w:val="Heading3"/>
      </w:pPr>
      <w:r>
        <w:t>10</w:t>
      </w:r>
      <w:r w:rsidR="006F3458">
        <w:t>.</w:t>
      </w:r>
      <w:r>
        <w:t>7.</w:t>
      </w:r>
      <w:r w:rsidR="007B519F">
        <w:t>3</w:t>
      </w:r>
      <w:r>
        <w:t xml:space="preserve">. There are metering faults during the reporting period </w:t>
      </w:r>
    </w:p>
    <w:p w14:paraId="7119295C" w14:textId="5728FDE1" w:rsidR="00026E66" w:rsidRPr="00B739EF" w:rsidRDefault="0050435E" w:rsidP="004C1365">
      <w:r>
        <w:t xml:space="preserve">Where </w:t>
      </w:r>
      <w:r w:rsidR="002737EF">
        <w:t xml:space="preserve">a metering fault </w:t>
      </w:r>
      <w:r>
        <w:t xml:space="preserve">results in gaps in the amount of energy consumed during a </w:t>
      </w:r>
      <w:r w:rsidR="002737EF">
        <w:t>target period</w:t>
      </w:r>
      <w:r>
        <w:t xml:space="preserve">, an operator </w:t>
      </w:r>
      <w:r w:rsidR="00ED0D2E">
        <w:t xml:space="preserve">should </w:t>
      </w:r>
      <w:r w:rsidR="002737EF">
        <w:t xml:space="preserve">use </w:t>
      </w:r>
      <w:r w:rsidR="00ED0D2E">
        <w:t xml:space="preserve">an appropriate </w:t>
      </w:r>
      <w:r w:rsidR="002737EF">
        <w:t>estimation technique</w:t>
      </w:r>
      <w:r w:rsidR="00ED0D2E">
        <w:t xml:space="preserve"> from the following</w:t>
      </w:r>
      <w:r w:rsidR="002737EF">
        <w:t>:</w:t>
      </w:r>
      <w:r w:rsidR="00FC355D">
        <w:t xml:space="preserve"> </w:t>
      </w:r>
    </w:p>
    <w:p w14:paraId="6D54A122" w14:textId="67384324" w:rsidR="00026E66" w:rsidRDefault="00ED0D2E" w:rsidP="00ED0D2E">
      <w:pPr>
        <w:pStyle w:val="ListParagraph"/>
        <w:numPr>
          <w:ilvl w:val="0"/>
          <w:numId w:val="227"/>
        </w:numPr>
        <w:tabs>
          <w:tab w:val="left" w:pos="0"/>
        </w:tabs>
        <w:spacing w:after="68"/>
        <w:ind w:right="182"/>
      </w:pPr>
      <w:r>
        <w:rPr>
          <w:szCs w:val="24"/>
        </w:rPr>
        <w:t>u</w:t>
      </w:r>
      <w:r w:rsidR="002737EF" w:rsidRPr="00B739EF">
        <w:rPr>
          <w:szCs w:val="24"/>
        </w:rPr>
        <w:t>sing</w:t>
      </w:r>
      <w:r w:rsidR="002737EF">
        <w:t xml:space="preserve"> </w:t>
      </w:r>
      <w:r w:rsidR="00195C9A">
        <w:t xml:space="preserve">supplier’s </w:t>
      </w:r>
      <w:r w:rsidR="002737EF">
        <w:t>estimated bills</w:t>
      </w:r>
      <w:r w:rsidR="002737EF" w:rsidRPr="00B739EF">
        <w:rPr>
          <w:szCs w:val="24"/>
        </w:rPr>
        <w:t xml:space="preserve"> to obtain the data</w:t>
      </w:r>
    </w:p>
    <w:p w14:paraId="62B69926" w14:textId="1A227F1C" w:rsidR="00026E66" w:rsidRDefault="00C5042B" w:rsidP="00ED0D2E">
      <w:pPr>
        <w:pStyle w:val="ListParagraph"/>
        <w:numPr>
          <w:ilvl w:val="0"/>
          <w:numId w:val="227"/>
        </w:numPr>
        <w:tabs>
          <w:tab w:val="left" w:pos="0"/>
        </w:tabs>
        <w:spacing w:after="70"/>
        <w:ind w:right="182"/>
      </w:pPr>
      <w:r>
        <w:t>extrapolat</w:t>
      </w:r>
      <w:r w:rsidR="001C7618">
        <w:t>e</w:t>
      </w:r>
      <w:r>
        <w:t xml:space="preserve"> </w:t>
      </w:r>
      <w:r w:rsidR="002737EF">
        <w:t xml:space="preserve">actual data to cover the period </w:t>
      </w:r>
      <w:r>
        <w:t xml:space="preserve">where </w:t>
      </w:r>
      <w:r w:rsidR="001C7618">
        <w:t>data are missing</w:t>
      </w:r>
    </w:p>
    <w:p w14:paraId="5D6A46F9" w14:textId="3F758429" w:rsidR="00C76586" w:rsidRPr="00C76586" w:rsidRDefault="001C7618" w:rsidP="00ED0D2E">
      <w:pPr>
        <w:pStyle w:val="ListParagraph"/>
        <w:numPr>
          <w:ilvl w:val="0"/>
          <w:numId w:val="227"/>
        </w:numPr>
        <w:tabs>
          <w:tab w:val="left" w:pos="0"/>
        </w:tabs>
        <w:spacing w:after="54"/>
        <w:ind w:right="182"/>
      </w:pPr>
      <w:r>
        <w:rPr>
          <w:szCs w:val="24"/>
        </w:rPr>
        <w:t>u</w:t>
      </w:r>
      <w:r w:rsidR="002737EF" w:rsidRPr="00B739EF">
        <w:rPr>
          <w:szCs w:val="24"/>
        </w:rPr>
        <w:t>sing</w:t>
      </w:r>
      <w:r w:rsidR="002737EF">
        <w:t xml:space="preserve"> </w:t>
      </w:r>
      <w:r w:rsidR="007F11C8">
        <w:t xml:space="preserve">actual meter readings </w:t>
      </w:r>
      <w:r w:rsidR="002737EF" w:rsidRPr="00B739EF">
        <w:rPr>
          <w:szCs w:val="24"/>
        </w:rPr>
        <w:t xml:space="preserve">for </w:t>
      </w:r>
      <w:r w:rsidR="006F09A5">
        <w:rPr>
          <w:szCs w:val="24"/>
        </w:rPr>
        <w:t xml:space="preserve">an equivalent period </w:t>
      </w:r>
      <w:r w:rsidR="00425D61">
        <w:rPr>
          <w:szCs w:val="24"/>
        </w:rPr>
        <w:t>as a proxy for the missing period</w:t>
      </w:r>
      <w:r w:rsidR="006F09A5">
        <w:rPr>
          <w:szCs w:val="24"/>
        </w:rPr>
        <w:t>,</w:t>
      </w:r>
      <w:r w:rsidR="00425D61">
        <w:rPr>
          <w:szCs w:val="24"/>
        </w:rPr>
        <w:t xml:space="preserve"> </w:t>
      </w:r>
      <w:r w:rsidR="002737EF">
        <w:t xml:space="preserve">for example </w:t>
      </w:r>
      <w:r w:rsidR="00425D61">
        <w:t xml:space="preserve">using </w:t>
      </w:r>
      <w:r w:rsidR="006F09A5">
        <w:t>actual data from a different m</w:t>
      </w:r>
      <w:r w:rsidR="002737EF" w:rsidRPr="00B739EF">
        <w:rPr>
          <w:szCs w:val="24"/>
        </w:rPr>
        <w:t>onth</w:t>
      </w:r>
    </w:p>
    <w:p w14:paraId="2BC289FD" w14:textId="3CDA85A2" w:rsidR="00026E66" w:rsidRPr="00B739EF" w:rsidRDefault="007F11C8" w:rsidP="00ED0D2E">
      <w:pPr>
        <w:pStyle w:val="ListParagraph"/>
        <w:numPr>
          <w:ilvl w:val="0"/>
          <w:numId w:val="227"/>
        </w:numPr>
        <w:tabs>
          <w:tab w:val="left" w:pos="0"/>
        </w:tabs>
        <w:spacing w:after="54"/>
        <w:ind w:right="182"/>
      </w:pPr>
      <w:r>
        <w:t>u</w:t>
      </w:r>
      <w:r w:rsidR="002737EF">
        <w:t xml:space="preserve">sing energy cost data to estimate the energy use for the missing period </w:t>
      </w:r>
    </w:p>
    <w:p w14:paraId="37C53B8B" w14:textId="410068E3" w:rsidR="00026E66" w:rsidRPr="00B739EF" w:rsidRDefault="002737EF" w:rsidP="00B739EF">
      <w:pPr>
        <w:tabs>
          <w:tab w:val="left" w:pos="0"/>
        </w:tabs>
        <w:spacing w:after="0"/>
        <w:ind w:right="182"/>
      </w:pPr>
      <w:r>
        <w:rPr>
          <w:color w:val="auto"/>
        </w:rPr>
        <w:lastRenderedPageBreak/>
        <w:t xml:space="preserve">The operator should </w:t>
      </w:r>
      <w:r w:rsidR="00B27385">
        <w:rPr>
          <w:color w:val="auto"/>
        </w:rPr>
        <w:t xml:space="preserve">demonstrate to us </w:t>
      </w:r>
      <w:r>
        <w:rPr>
          <w:color w:val="auto"/>
        </w:rPr>
        <w:t xml:space="preserve">which of these </w:t>
      </w:r>
      <w:r>
        <w:rPr>
          <w:color w:val="auto"/>
          <w:szCs w:val="24"/>
        </w:rPr>
        <w:t xml:space="preserve">estimation </w:t>
      </w:r>
      <w:r>
        <w:rPr>
          <w:color w:val="auto"/>
        </w:rPr>
        <w:t xml:space="preserve">techniques is the most appropriate for the circumstances. </w:t>
      </w:r>
    </w:p>
    <w:p w14:paraId="603B4D6E" w14:textId="4A1F7104" w:rsidR="00026E66" w:rsidRPr="00B739EF" w:rsidRDefault="002737EF" w:rsidP="00B739EF">
      <w:pPr>
        <w:tabs>
          <w:tab w:val="left" w:pos="0"/>
        </w:tabs>
        <w:spacing w:after="0"/>
        <w:ind w:right="182"/>
      </w:pPr>
      <w:r>
        <w:rPr>
          <w:color w:val="auto"/>
        </w:rPr>
        <w:t xml:space="preserve">Missing supplier invoices are </w:t>
      </w:r>
      <w:r w:rsidRPr="00AA5584">
        <w:rPr>
          <w:b/>
          <w:bCs/>
          <w:color w:val="auto"/>
        </w:rPr>
        <w:t>not</w:t>
      </w:r>
      <w:r>
        <w:rPr>
          <w:color w:val="auto"/>
        </w:rPr>
        <w:t xml:space="preserve"> </w:t>
      </w:r>
      <w:r w:rsidR="00AA5584">
        <w:rPr>
          <w:color w:val="auto"/>
        </w:rPr>
        <w:t>the same as meter faults</w:t>
      </w:r>
      <w:r w:rsidR="00A27CAE">
        <w:rPr>
          <w:color w:val="auto"/>
        </w:rPr>
        <w:t>.</w:t>
      </w:r>
      <w:r w:rsidR="00A27CAE" w:rsidDel="00742AFB">
        <w:rPr>
          <w:color w:val="auto"/>
        </w:rPr>
        <w:t xml:space="preserve"> </w:t>
      </w:r>
      <w:r w:rsidR="00A27CAE">
        <w:rPr>
          <w:color w:val="auto"/>
        </w:rPr>
        <w:t xml:space="preserve">We </w:t>
      </w:r>
      <w:r w:rsidR="00AA5584">
        <w:rPr>
          <w:color w:val="auto"/>
        </w:rPr>
        <w:t>would not allow an operator to estimate consumption</w:t>
      </w:r>
      <w:r w:rsidR="00A27CAE">
        <w:rPr>
          <w:color w:val="auto"/>
        </w:rPr>
        <w:t xml:space="preserve"> in this circumstance</w:t>
      </w:r>
      <w:r>
        <w:rPr>
          <w:color w:val="auto"/>
          <w:szCs w:val="24"/>
        </w:rPr>
        <w:t xml:space="preserve">. </w:t>
      </w:r>
      <w:r w:rsidR="00BE740E">
        <w:rPr>
          <w:color w:val="auto"/>
          <w:szCs w:val="24"/>
        </w:rPr>
        <w:t xml:space="preserve">We expect </w:t>
      </w:r>
      <w:r>
        <w:rPr>
          <w:color w:val="auto"/>
          <w:szCs w:val="24"/>
        </w:rPr>
        <w:t>operator</w:t>
      </w:r>
      <w:r w:rsidR="00BE740E">
        <w:rPr>
          <w:color w:val="auto"/>
          <w:szCs w:val="24"/>
        </w:rPr>
        <w:t>s</w:t>
      </w:r>
      <w:r>
        <w:rPr>
          <w:color w:val="auto"/>
          <w:szCs w:val="24"/>
        </w:rPr>
        <w:t xml:space="preserve"> to take </w:t>
      </w:r>
      <w:r w:rsidR="00BE740E">
        <w:rPr>
          <w:color w:val="auto"/>
          <w:szCs w:val="24"/>
        </w:rPr>
        <w:t xml:space="preserve">their </w:t>
      </w:r>
      <w:r>
        <w:rPr>
          <w:color w:val="auto"/>
        </w:rPr>
        <w:t>own meter readings at regular intervals</w:t>
      </w:r>
      <w:r>
        <w:rPr>
          <w:color w:val="auto"/>
          <w:szCs w:val="24"/>
        </w:rPr>
        <w:t xml:space="preserve"> </w:t>
      </w:r>
      <w:r w:rsidR="00BE740E">
        <w:rPr>
          <w:color w:val="auto"/>
          <w:szCs w:val="24"/>
        </w:rPr>
        <w:t xml:space="preserve">and consider installing sub-metering </w:t>
      </w:r>
      <w:r w:rsidR="00A30254">
        <w:rPr>
          <w:color w:val="auto"/>
          <w:szCs w:val="24"/>
        </w:rPr>
        <w:t>to</w:t>
      </w:r>
      <w:r>
        <w:rPr>
          <w:color w:val="auto"/>
          <w:szCs w:val="24"/>
        </w:rPr>
        <w:t xml:space="preserve"> reduce reliance on supplier invoic</w:t>
      </w:r>
      <w:r w:rsidR="00BE740E">
        <w:rPr>
          <w:color w:val="auto"/>
          <w:szCs w:val="24"/>
        </w:rPr>
        <w:t>es</w:t>
      </w:r>
      <w:r w:rsidR="00A27CAE">
        <w:t xml:space="preserve"> as their sole source of information</w:t>
      </w:r>
      <w:r>
        <w:rPr>
          <w:color w:val="auto"/>
          <w:szCs w:val="24"/>
        </w:rPr>
        <w:t>.</w:t>
      </w:r>
    </w:p>
    <w:p w14:paraId="5E167084" w14:textId="0EC91BDD" w:rsidR="00026E66" w:rsidRDefault="002737EF" w:rsidP="00FF0098">
      <w:pPr>
        <w:tabs>
          <w:tab w:val="left" w:pos="0"/>
        </w:tabs>
        <w:spacing w:after="56"/>
        <w:ind w:right="182"/>
      </w:pPr>
      <w:r>
        <w:rPr>
          <w:color w:val="auto"/>
        </w:rPr>
        <w:t xml:space="preserve">More information on each of the </w:t>
      </w:r>
      <w:r w:rsidR="009E12F0">
        <w:rPr>
          <w:color w:val="auto"/>
        </w:rPr>
        <w:t>4</w:t>
      </w:r>
      <w:r>
        <w:rPr>
          <w:color w:val="auto"/>
        </w:rPr>
        <w:t xml:space="preserve"> estimation techniques is provided in "How to manage energy recording and reporting when a meter fails" in </w:t>
      </w:r>
      <w:hyperlink w:anchor="_Appendix_F:_Estimation" w:history="1">
        <w:r>
          <w:rPr>
            <w:rStyle w:val="Hyperlink"/>
          </w:rPr>
          <w:t>Appendix F</w:t>
        </w:r>
      </w:hyperlink>
      <w:r>
        <w:rPr>
          <w:color w:val="auto"/>
        </w:rPr>
        <w:t xml:space="preserve">. </w:t>
      </w:r>
    </w:p>
    <w:p w14:paraId="0F6A4883" w14:textId="703FDD24" w:rsidR="00026E66" w:rsidRDefault="002737EF" w:rsidP="004000C6">
      <w:pPr>
        <w:pStyle w:val="Heading3"/>
      </w:pPr>
      <w:r>
        <w:t>10</w:t>
      </w:r>
      <w:r w:rsidR="006F3458">
        <w:t>.</w:t>
      </w:r>
      <w:r>
        <w:t>7.</w:t>
      </w:r>
      <w:r w:rsidR="007B519F">
        <w:t>4</w:t>
      </w:r>
      <w:r>
        <w:t>. A facility</w:t>
      </w:r>
      <w:r w:rsidR="00C76586">
        <w:t xml:space="preserve"> or facilities</w:t>
      </w:r>
      <w:r>
        <w:t xml:space="preserve"> becomes ineligible during the target period, but its agreement is not terminated </w:t>
      </w:r>
    </w:p>
    <w:p w14:paraId="0E59CC15" w14:textId="10966F2B" w:rsidR="00026E66" w:rsidRPr="00785586" w:rsidRDefault="002737EF" w:rsidP="00B739EF">
      <w:pPr>
        <w:tabs>
          <w:tab w:val="left" w:pos="0"/>
        </w:tabs>
        <w:ind w:right="182"/>
        <w:rPr>
          <w:color w:val="auto"/>
        </w:rPr>
      </w:pPr>
      <w:r>
        <w:rPr>
          <w:color w:val="auto"/>
        </w:rPr>
        <w:t>The operator of a facility that ceases to be eligible for a CCA must notify us and terminate its agreement as it applies to th</w:t>
      </w:r>
      <w:r w:rsidR="00141ACB">
        <w:rPr>
          <w:color w:val="auto"/>
        </w:rPr>
        <w:t>at</w:t>
      </w:r>
      <w:r>
        <w:rPr>
          <w:color w:val="auto"/>
        </w:rPr>
        <w:t xml:space="preserve"> facility</w:t>
      </w:r>
      <w:r>
        <w:rPr>
          <w:color w:val="auto"/>
          <w:szCs w:val="24"/>
        </w:rPr>
        <w:t xml:space="preserve"> </w:t>
      </w:r>
      <w:r w:rsidR="00141ACB">
        <w:rPr>
          <w:color w:val="auto"/>
          <w:szCs w:val="24"/>
        </w:rPr>
        <w:t>within 20 working days</w:t>
      </w:r>
      <w:r>
        <w:rPr>
          <w:color w:val="auto"/>
          <w:szCs w:val="24"/>
        </w:rPr>
        <w:t>.</w:t>
      </w:r>
      <w:r>
        <w:rPr>
          <w:color w:val="auto"/>
        </w:rPr>
        <w:t xml:space="preserve"> See </w:t>
      </w:r>
      <w:hyperlink w:anchor="_7.5.1._Structural_change" w:history="1">
        <w:r w:rsidRPr="00A30254">
          <w:rPr>
            <w:rStyle w:val="Hyperlink"/>
          </w:rPr>
          <w:t>section 7.5.1.</w:t>
        </w:r>
      </w:hyperlink>
    </w:p>
    <w:p w14:paraId="0CBBAEC7" w14:textId="566DF959" w:rsidR="00026E66" w:rsidRPr="00B739EF" w:rsidRDefault="002737EF" w:rsidP="004000C6">
      <w:pPr>
        <w:pStyle w:val="Heading3"/>
      </w:pPr>
      <w:r>
        <w:t>10.7.</w:t>
      </w:r>
      <w:r w:rsidR="007B519F">
        <w:t>5</w:t>
      </w:r>
      <w:r>
        <w:t xml:space="preserve">. A </w:t>
      </w:r>
      <w:r w:rsidR="008D2198">
        <w:t>facility</w:t>
      </w:r>
      <w:r>
        <w:t xml:space="preserve"> with a capacity throughput has a change in capacity </w:t>
      </w:r>
    </w:p>
    <w:p w14:paraId="2D2EA395" w14:textId="383DA8B6" w:rsidR="00026E66" w:rsidRPr="00B739EF" w:rsidRDefault="002737EF" w:rsidP="004C1365">
      <w:r>
        <w:t xml:space="preserve">The throughput of some </w:t>
      </w:r>
      <w:r w:rsidR="009642F3">
        <w:t>facilities</w:t>
      </w:r>
      <w:r>
        <w:t xml:space="preserve"> is expressed in terms of capacity </w:t>
      </w:r>
      <w:r w:rsidR="00785586">
        <w:t>(</w:t>
      </w:r>
      <w:r>
        <w:t xml:space="preserve">such as the </w:t>
      </w:r>
      <w:r w:rsidR="00785586">
        <w:t xml:space="preserve">volume or area of the </w:t>
      </w:r>
      <w:r>
        <w:t>facility</w:t>
      </w:r>
      <w:r w:rsidR="00785586">
        <w:t>)</w:t>
      </w:r>
      <w:r>
        <w:t xml:space="preserve"> rather than </w:t>
      </w:r>
      <w:r w:rsidR="00FE4CB0">
        <w:t xml:space="preserve">a </w:t>
      </w:r>
      <w:r>
        <w:t xml:space="preserve">physical </w:t>
      </w:r>
      <w:r w:rsidR="00FE4CB0">
        <w:t xml:space="preserve">measure of activity </w:t>
      </w:r>
      <w:r w:rsidR="00785586">
        <w:t>(</w:t>
      </w:r>
      <w:r>
        <w:t xml:space="preserve">such as </w:t>
      </w:r>
      <w:r w:rsidR="00785586">
        <w:t xml:space="preserve">mass </w:t>
      </w:r>
      <w:r>
        <w:t>of product</w:t>
      </w:r>
      <w:r w:rsidR="00785586">
        <w:t>)</w:t>
      </w:r>
      <w:r>
        <w:t xml:space="preserve">. </w:t>
      </w:r>
      <w:r w:rsidR="005A571C">
        <w:t>C</w:t>
      </w:r>
      <w:r>
        <w:t xml:space="preserve">hanges to </w:t>
      </w:r>
      <w:r w:rsidR="005A571C">
        <w:t xml:space="preserve">the </w:t>
      </w:r>
      <w:r>
        <w:t xml:space="preserve">capacity </w:t>
      </w:r>
      <w:r w:rsidR="005A571C">
        <w:t xml:space="preserve">during a target period should be </w:t>
      </w:r>
      <w:r w:rsidR="0036346D">
        <w:t xml:space="preserve">calculated using </w:t>
      </w:r>
      <w:r w:rsidR="005A571C">
        <w:t xml:space="preserve">a </w:t>
      </w:r>
      <w:r>
        <w:t xml:space="preserve">'Time Weighted Capacity' for the target period report in </w:t>
      </w:r>
      <w:r w:rsidR="0036346D">
        <w:t xml:space="preserve">either of </w:t>
      </w:r>
      <w:r>
        <w:t>the following circumstances:</w:t>
      </w:r>
      <w:r w:rsidR="00FC355D">
        <w:t xml:space="preserve"> </w:t>
      </w:r>
    </w:p>
    <w:p w14:paraId="7146463F" w14:textId="240ECBEC" w:rsidR="00026E66" w:rsidRDefault="0036346D" w:rsidP="0065356B">
      <w:pPr>
        <w:pStyle w:val="ListParagraph"/>
        <w:numPr>
          <w:ilvl w:val="0"/>
          <w:numId w:val="91"/>
        </w:numPr>
      </w:pPr>
      <w:r>
        <w:rPr>
          <w:szCs w:val="24"/>
        </w:rPr>
        <w:t>a</w:t>
      </w:r>
      <w:r w:rsidR="002737EF">
        <w:t xml:space="preserve"> facility</w:t>
      </w:r>
      <w:r w:rsidR="002737EF" w:rsidRPr="00B739EF">
        <w:rPr>
          <w:szCs w:val="24"/>
        </w:rPr>
        <w:t xml:space="preserve"> using </w:t>
      </w:r>
      <w:r>
        <w:rPr>
          <w:szCs w:val="24"/>
        </w:rPr>
        <w:t xml:space="preserve">a </w:t>
      </w:r>
      <w:r w:rsidR="002737EF" w:rsidRPr="00B739EF">
        <w:rPr>
          <w:szCs w:val="24"/>
        </w:rPr>
        <w:t>capacity throughput measure</w:t>
      </w:r>
      <w:r w:rsidR="002737EF">
        <w:t xml:space="preserve"> joins the scheme part way through </w:t>
      </w:r>
      <w:r w:rsidR="00D257FA">
        <w:rPr>
          <w:szCs w:val="24"/>
        </w:rPr>
        <w:t xml:space="preserve">a </w:t>
      </w:r>
      <w:r w:rsidR="002737EF">
        <w:t>target period</w:t>
      </w:r>
    </w:p>
    <w:p w14:paraId="4EE7546C" w14:textId="66337BEA" w:rsidR="00026E66" w:rsidRDefault="0036346D" w:rsidP="0065356B">
      <w:pPr>
        <w:pStyle w:val="ListParagraph"/>
        <w:numPr>
          <w:ilvl w:val="0"/>
          <w:numId w:val="91"/>
        </w:numPr>
      </w:pPr>
      <w:r>
        <w:rPr>
          <w:szCs w:val="24"/>
        </w:rPr>
        <w:t>a</w:t>
      </w:r>
      <w:r w:rsidR="002737EF" w:rsidRPr="00B739EF">
        <w:t xml:space="preserve"> facility </w:t>
      </w:r>
      <w:r w:rsidR="002737EF" w:rsidRPr="00B739EF">
        <w:rPr>
          <w:szCs w:val="24"/>
        </w:rPr>
        <w:t>expands or contracts</w:t>
      </w:r>
      <w:r w:rsidR="002737EF" w:rsidRPr="00B739EF">
        <w:t xml:space="preserve"> its </w:t>
      </w:r>
      <w:r w:rsidR="00043D4F">
        <w:t xml:space="preserve">“fixed” </w:t>
      </w:r>
      <w:r w:rsidR="002737EF" w:rsidRPr="00B739EF">
        <w:t>capacity during the target period</w:t>
      </w:r>
    </w:p>
    <w:p w14:paraId="2AD397E1" w14:textId="5708C45E" w:rsidR="00026E66" w:rsidRPr="00B739EF" w:rsidRDefault="002737EF" w:rsidP="004C1365">
      <w:r>
        <w:t xml:space="preserve">In </w:t>
      </w:r>
      <w:r w:rsidR="00A30254">
        <w:t>both</w:t>
      </w:r>
      <w:r>
        <w:rPr>
          <w:szCs w:val="24"/>
        </w:rPr>
        <w:t xml:space="preserve"> </w:t>
      </w:r>
      <w:r>
        <w:t>cases</w:t>
      </w:r>
      <w:r w:rsidR="00A30254">
        <w:t>,</w:t>
      </w:r>
      <w:r>
        <w:t xml:space="preserve"> the energy consumption attributable to the facility will be a function of capacity and the time that it is available. Therefore, where the capacity changes from the </w:t>
      </w:r>
      <w:hyperlink w:anchor="baseyear" w:history="1">
        <w:r w:rsidRPr="0010331E">
          <w:rPr>
            <w:rStyle w:val="Hyperlink"/>
          </w:rPr>
          <w:t>base year</w:t>
        </w:r>
      </w:hyperlink>
      <w:r>
        <w:t xml:space="preserve"> value, or the capacity is only in the scheme for a part of the target period, expressing performance as energy consumption divided by 2 x base year capacity is inappropriate because the base year capacity is not relevant for the whole of the target period. </w:t>
      </w:r>
    </w:p>
    <w:p w14:paraId="127666F6" w14:textId="351F5A34" w:rsidR="00026E66" w:rsidRDefault="002737EF" w:rsidP="004C1365">
      <w:r>
        <w:t>The operator</w:t>
      </w:r>
      <w:r w:rsidR="00D82901">
        <w:t xml:space="preserve"> </w:t>
      </w:r>
      <w:r>
        <w:rPr>
          <w:szCs w:val="24"/>
        </w:rPr>
        <w:t xml:space="preserve">must report a </w:t>
      </w:r>
      <w:r>
        <w:t>‘Time Weighted Capacity’ for the target period</w:t>
      </w:r>
      <w:r>
        <w:rPr>
          <w:szCs w:val="24"/>
        </w:rPr>
        <w:t>, calculated</w:t>
      </w:r>
      <w:r>
        <w:t xml:space="preserve"> by dividing the actual capacity in operation at any one time by the number of months in the base year (12 months) and then multiplying the result by the number of months for which the capacity was operated within the target period.</w:t>
      </w:r>
      <w:r>
        <w:rPr>
          <w:szCs w:val="24"/>
        </w:rPr>
        <w:t xml:space="preserve"> </w:t>
      </w:r>
    </w:p>
    <w:p w14:paraId="06363007" w14:textId="77777777" w:rsidR="005E767C" w:rsidRDefault="002737EF" w:rsidP="005E767C">
      <w:pPr>
        <w:tabs>
          <w:tab w:val="left" w:pos="0"/>
        </w:tabs>
        <w:jc w:val="center"/>
      </w:pPr>
      <m:oMathPara>
        <m:oMathParaPr>
          <m:jc m:val="center"/>
        </m:oMathParaPr>
        <m:oMath>
          <m:r>
            <w:rPr>
              <w:rFonts w:ascii="Cambria Math" w:hAnsi="Cambria Math"/>
            </w:rPr>
            <m:t xml:space="preserve">Time weighted capacity = </m:t>
          </m:r>
          <m:d>
            <m:dPr>
              <m:ctrlPr>
                <w:rPr>
                  <w:rFonts w:ascii="Cambria Math" w:hAnsi="Cambria Math"/>
                </w:rPr>
              </m:ctrlPr>
            </m:dPr>
            <m:e>
              <m:f>
                <m:fPr>
                  <m:ctrlPr>
                    <w:rPr>
                      <w:rFonts w:ascii="Cambria Math" w:hAnsi="Cambria Math"/>
                    </w:rPr>
                  </m:ctrlPr>
                </m:fPr>
                <m:num>
                  <m:r>
                    <w:rPr>
                      <w:rFonts w:ascii="Cambria Math" w:hAnsi="Cambria Math"/>
                    </w:rPr>
                    <m:t>Capacity</m:t>
                  </m:r>
                </m:num>
                <m:den>
                  <m:r>
                    <w:rPr>
                      <w:rFonts w:ascii="Cambria Math" w:hAnsi="Cambria Math"/>
                    </w:rPr>
                    <m:t>Duration of base year</m:t>
                  </m:r>
                </m:den>
              </m:f>
            </m:e>
          </m:d>
          <m:r>
            <w:rPr>
              <w:rFonts w:ascii="Cambria Math" w:hAnsi="Cambria Math"/>
            </w:rPr>
            <m:t>×Duration of operation in target period</m:t>
          </m:r>
        </m:oMath>
      </m:oMathPara>
    </w:p>
    <w:p w14:paraId="6358A523" w14:textId="3A0ADF34" w:rsidR="00026E66" w:rsidRDefault="00026622" w:rsidP="00FF0098">
      <w:pPr>
        <w:tabs>
          <w:tab w:val="left" w:pos="0"/>
        </w:tabs>
        <w:jc w:val="center"/>
      </w:pPr>
      <m:oMathPara>
        <m:oMathParaPr>
          <m:jc m:val="center"/>
        </m:oMathParaPr>
        <m:oMath>
          <m:r>
            <w:rPr>
              <w:rFonts w:ascii="Cambria Math" w:hAnsi="Cambria Math"/>
            </w:rPr>
            <w:lastRenderedPageBreak/>
            <m:t xml:space="preserve">Time weighted capacity= </m:t>
          </m:r>
          <m:nary>
            <m:naryPr>
              <m:chr m:val="∑"/>
              <m:limLoc m:val="undOvr"/>
              <m:ctrlPr>
                <w:rPr>
                  <w:rFonts w:ascii="Cambria Math" w:hAnsi="Cambria Math"/>
                </w:rPr>
              </m:ctrlPr>
            </m:naryPr>
            <m:sub/>
            <m:sup>
              <m:r>
                <w:rPr>
                  <w:rFonts w:ascii="Cambria Math" w:hAnsi="Cambria Math"/>
                </w:rPr>
                <m:t>i</m:t>
              </m:r>
            </m:sup>
            <m:e>
              <m:d>
                <m:dPr>
                  <m:ctrlPr>
                    <w:rPr>
                      <w:rFonts w:ascii="Cambria Math" w:hAnsi="Cambria Math"/>
                    </w:rPr>
                  </m:ctrlPr>
                </m:dPr>
                <m:e>
                  <m:f>
                    <m:fPr>
                      <m:ctrlPr>
                        <w:rPr>
                          <w:rFonts w:ascii="Cambria Math" w:hAnsi="Cambria Math"/>
                        </w:rPr>
                      </m:ctrlPr>
                    </m:fPr>
                    <m:num>
                      <m:r>
                        <w:rPr>
                          <w:rFonts w:ascii="Cambria Math" w:hAnsi="Cambria Math"/>
                        </w:rPr>
                        <m:t>Capacit</m:t>
                      </m:r>
                      <m:sSub>
                        <m:sSubPr>
                          <m:ctrlPr>
                            <w:rPr>
                              <w:rFonts w:ascii="Cambria Math" w:hAnsi="Cambria Math"/>
                            </w:rPr>
                          </m:ctrlPr>
                        </m:sSubPr>
                        <m:e>
                          <m:r>
                            <w:rPr>
                              <w:rFonts w:ascii="Cambria Math" w:hAnsi="Cambria Math"/>
                            </w:rPr>
                            <m:t>y</m:t>
                          </m:r>
                        </m:e>
                        <m:sub>
                          <m:r>
                            <w:rPr>
                              <w:rFonts w:ascii="Cambria Math" w:hAnsi="Cambria Math"/>
                            </w:rPr>
                            <m:t>i</m:t>
                          </m:r>
                        </m:sub>
                      </m:sSub>
                    </m:num>
                    <m:den>
                      <m:r>
                        <w:rPr>
                          <w:rFonts w:ascii="Cambria Math" w:hAnsi="Cambria Math"/>
                        </w:rPr>
                        <m:t>Duration of base year</m:t>
                      </m:r>
                    </m:den>
                  </m:f>
                  <m:r>
                    <w:rPr>
                      <w:rFonts w:ascii="Cambria Math" w:hAnsi="Cambria Math"/>
                    </w:rPr>
                    <m:t>×Duratio</m:t>
                  </m:r>
                  <m:sSub>
                    <m:sSubPr>
                      <m:ctrlPr>
                        <w:rPr>
                          <w:rFonts w:ascii="Cambria Math" w:hAnsi="Cambria Math"/>
                        </w:rPr>
                      </m:ctrlPr>
                    </m:sSubPr>
                    <m:e>
                      <m:r>
                        <w:rPr>
                          <w:rFonts w:ascii="Cambria Math" w:hAnsi="Cambria Math"/>
                        </w:rPr>
                        <m:t>n</m:t>
                      </m:r>
                    </m:e>
                    <m:sub>
                      <m:r>
                        <w:rPr>
                          <w:rFonts w:ascii="Cambria Math" w:hAnsi="Cambria Math"/>
                        </w:rPr>
                        <m:t>i</m:t>
                      </m:r>
                    </m:sub>
                  </m:sSub>
                  <m:r>
                    <w:rPr>
                      <w:rFonts w:ascii="Cambria Math" w:hAnsi="Cambria Math"/>
                    </w:rPr>
                    <m:t xml:space="preserve"> of operation in target period</m:t>
                  </m:r>
                </m:e>
              </m:d>
              <m:r>
                <m:rPr>
                  <m:sty m:val="p"/>
                </m:rPr>
                <w:rPr>
                  <w:rFonts w:ascii="Cambria Math" w:hAnsi="Cambria Math"/>
                </w:rPr>
                <m:t xml:space="preserve"> </m:t>
              </m:r>
            </m:e>
          </m:nary>
        </m:oMath>
      </m:oMathPara>
    </w:p>
    <w:p w14:paraId="5AC40B47" w14:textId="77777777" w:rsidR="00026E66" w:rsidRDefault="00026E66" w:rsidP="00FF0098">
      <w:pPr>
        <w:tabs>
          <w:tab w:val="left" w:pos="0"/>
        </w:tabs>
        <w:jc w:val="center"/>
      </w:pPr>
    </w:p>
    <w:p w14:paraId="2DF17B49" w14:textId="77777777" w:rsidR="00026E66" w:rsidRDefault="002737EF" w:rsidP="004C1365">
      <w:r>
        <w:t xml:space="preserve">Where </w:t>
      </w:r>
      <w:proofErr w:type="spellStart"/>
      <w:r>
        <w:rPr>
          <w:i/>
        </w:rPr>
        <w:t>i</w:t>
      </w:r>
      <w:proofErr w:type="spellEnd"/>
      <w:r>
        <w:rPr>
          <w:i/>
        </w:rPr>
        <w:t xml:space="preserve"> </w:t>
      </w:r>
      <w:r>
        <w:t xml:space="preserve">represents the time when each change in capacity occurred. </w:t>
      </w:r>
    </w:p>
    <w:p w14:paraId="175D900A" w14:textId="0A774D0C" w:rsidR="00026E66" w:rsidRPr="00B739EF" w:rsidRDefault="002737EF" w:rsidP="004C1365">
      <w:r>
        <w:rPr>
          <w:color w:val="auto"/>
          <w:szCs w:val="24"/>
        </w:rPr>
        <w:t>For new entrants</w:t>
      </w:r>
      <w:r>
        <w:rPr>
          <w:color w:val="auto"/>
        </w:rPr>
        <w:t xml:space="preserve"> we expect </w:t>
      </w:r>
      <w:r>
        <w:rPr>
          <w:color w:val="auto"/>
          <w:szCs w:val="24"/>
        </w:rPr>
        <w:t>units</w:t>
      </w:r>
      <w:r>
        <w:rPr>
          <w:color w:val="auto"/>
        </w:rPr>
        <w:t xml:space="preserve"> of days </w:t>
      </w:r>
      <w:r>
        <w:rPr>
          <w:color w:val="auto"/>
          <w:szCs w:val="24"/>
        </w:rPr>
        <w:t>to be used in the adjustment because</w:t>
      </w:r>
      <w:r>
        <w:rPr>
          <w:color w:val="auto"/>
        </w:rPr>
        <w:t xml:space="preserve"> the </w:t>
      </w:r>
      <w:r>
        <w:rPr>
          <w:color w:val="auto"/>
          <w:szCs w:val="24"/>
        </w:rPr>
        <w:t>day</w:t>
      </w:r>
      <w:r>
        <w:rPr>
          <w:color w:val="auto"/>
        </w:rPr>
        <w:t xml:space="preserve"> of </w:t>
      </w:r>
      <w:r>
        <w:rPr>
          <w:color w:val="auto"/>
          <w:szCs w:val="24"/>
        </w:rPr>
        <w:t xml:space="preserve">entry into the scheme </w:t>
      </w:r>
      <w:r>
        <w:rPr>
          <w:color w:val="auto"/>
        </w:rPr>
        <w:t xml:space="preserve">is </w:t>
      </w:r>
      <w:r>
        <w:rPr>
          <w:color w:val="auto"/>
          <w:szCs w:val="24"/>
        </w:rPr>
        <w:t>known.</w:t>
      </w:r>
      <w:r w:rsidR="00FC355D">
        <w:rPr>
          <w:color w:val="auto"/>
          <w:szCs w:val="24"/>
        </w:rPr>
        <w:t xml:space="preserve"> </w:t>
      </w:r>
      <w:r>
        <w:rPr>
          <w:color w:val="auto"/>
        </w:rPr>
        <w:t xml:space="preserve">For adjustments involving a change in capacity, identifying the day on which the capacity changed may be more difficult. </w:t>
      </w:r>
      <w:r>
        <w:rPr>
          <w:color w:val="auto"/>
          <w:szCs w:val="24"/>
        </w:rPr>
        <w:t>If</w:t>
      </w:r>
      <w:r>
        <w:rPr>
          <w:color w:val="auto"/>
        </w:rPr>
        <w:t xml:space="preserve"> this </w:t>
      </w:r>
      <w:r>
        <w:rPr>
          <w:color w:val="auto"/>
          <w:szCs w:val="24"/>
        </w:rPr>
        <w:t>cannot be done, then</w:t>
      </w:r>
      <w:r>
        <w:rPr>
          <w:color w:val="auto"/>
        </w:rPr>
        <w:t xml:space="preserve"> using months </w:t>
      </w:r>
      <w:r>
        <w:rPr>
          <w:color w:val="auto"/>
          <w:szCs w:val="24"/>
        </w:rPr>
        <w:t>in the adjustment is permissible</w:t>
      </w:r>
      <w:r>
        <w:rPr>
          <w:color w:val="auto"/>
        </w:rPr>
        <w:t xml:space="preserve">. If using months, you should only count the capacity for a month if that capacity ran for the whole month. </w:t>
      </w:r>
    </w:p>
    <w:p w14:paraId="7B6B971C" w14:textId="1392D106" w:rsidR="00026E66" w:rsidRDefault="002737EF" w:rsidP="00FF0098">
      <w:pPr>
        <w:pStyle w:val="Heading2"/>
        <w:tabs>
          <w:tab w:val="left" w:pos="0"/>
        </w:tabs>
      </w:pPr>
      <w:bookmarkStart w:id="229" w:name="_Toc94718676"/>
      <w:bookmarkStart w:id="230" w:name="_Toc94088924"/>
      <w:bookmarkStart w:id="231" w:name="_Toc242885407"/>
      <w:r>
        <w:t>10.</w:t>
      </w:r>
      <w:r w:rsidR="006F3458">
        <w:t>8</w:t>
      </w:r>
      <w:r>
        <w:t xml:space="preserve"> Treatment of errors</w:t>
      </w:r>
      <w:bookmarkEnd w:id="229"/>
      <w:bookmarkEnd w:id="230"/>
      <w:bookmarkEnd w:id="231"/>
      <w:r>
        <w:t xml:space="preserve"> </w:t>
      </w:r>
    </w:p>
    <w:p w14:paraId="3E6DDE05" w14:textId="2EDA7CEF" w:rsidR="00E35D65" w:rsidRDefault="00E35D65" w:rsidP="00FF0098">
      <w:pPr>
        <w:tabs>
          <w:tab w:val="left" w:pos="0"/>
        </w:tabs>
        <w:ind w:right="182"/>
        <w:rPr>
          <w:color w:val="auto"/>
          <w:szCs w:val="24"/>
        </w:rPr>
      </w:pPr>
      <w:r>
        <w:rPr>
          <w:color w:val="auto"/>
          <w:szCs w:val="24"/>
        </w:rPr>
        <w:t>Operators must notify us of any errors in both their base year and target period data within 20 working days.</w:t>
      </w:r>
      <w:r w:rsidR="006925E6">
        <w:rPr>
          <w:color w:val="auto"/>
          <w:szCs w:val="24"/>
        </w:rPr>
        <w:t xml:space="preserve"> </w:t>
      </w:r>
      <w:r w:rsidR="002737EF">
        <w:rPr>
          <w:color w:val="auto"/>
          <w:szCs w:val="24"/>
        </w:rPr>
        <w:t xml:space="preserve">You may be liable for penalties for the errors. See </w:t>
      </w:r>
      <w:hyperlink w:anchor="_8._Application_of" w:history="1">
        <w:r w:rsidR="002737EF" w:rsidRPr="00B739EF">
          <w:rPr>
            <w:rStyle w:val="Hyperlink"/>
            <w:szCs w:val="24"/>
          </w:rPr>
          <w:t>section 8</w:t>
        </w:r>
      </w:hyperlink>
      <w:r w:rsidR="002737EF">
        <w:rPr>
          <w:color w:val="auto"/>
          <w:szCs w:val="24"/>
        </w:rPr>
        <w:t xml:space="preserve"> for details of the CCA penalties. </w:t>
      </w:r>
    </w:p>
    <w:p w14:paraId="69911850" w14:textId="22798222" w:rsidR="00026E66" w:rsidRDefault="002737EF" w:rsidP="00FF0098">
      <w:pPr>
        <w:tabs>
          <w:tab w:val="left" w:pos="0"/>
        </w:tabs>
        <w:ind w:right="182"/>
      </w:pPr>
      <w:r>
        <w:rPr>
          <w:color w:val="auto"/>
          <w:szCs w:val="24"/>
        </w:rPr>
        <w:t xml:space="preserve">Errors that could affect the </w:t>
      </w:r>
      <w:r w:rsidR="006F6EF8">
        <w:rPr>
          <w:color w:val="auto"/>
          <w:szCs w:val="24"/>
        </w:rPr>
        <w:t xml:space="preserve">accuracy of the data </w:t>
      </w:r>
      <w:r>
        <w:rPr>
          <w:color w:val="auto"/>
          <w:szCs w:val="24"/>
        </w:rPr>
        <w:t xml:space="preserve">in </w:t>
      </w:r>
      <w:r w:rsidR="00E35D65">
        <w:rPr>
          <w:color w:val="auto"/>
          <w:szCs w:val="24"/>
        </w:rPr>
        <w:t xml:space="preserve">the </w:t>
      </w:r>
      <w:r w:rsidR="006F6EF8">
        <w:rPr>
          <w:color w:val="auto"/>
          <w:szCs w:val="24"/>
        </w:rPr>
        <w:t xml:space="preserve">base year or </w:t>
      </w:r>
      <w:r w:rsidR="00E35D65">
        <w:rPr>
          <w:color w:val="auto"/>
          <w:szCs w:val="24"/>
        </w:rPr>
        <w:t xml:space="preserve">target period </w:t>
      </w:r>
      <w:r>
        <w:rPr>
          <w:color w:val="auto"/>
          <w:szCs w:val="24"/>
        </w:rPr>
        <w:t xml:space="preserve">report include: </w:t>
      </w:r>
    </w:p>
    <w:p w14:paraId="7E5E9ABD" w14:textId="3728379A" w:rsidR="00026E66" w:rsidRDefault="006F6EF8" w:rsidP="0065356B">
      <w:pPr>
        <w:pStyle w:val="ListParagraph"/>
        <w:numPr>
          <w:ilvl w:val="0"/>
          <w:numId w:val="92"/>
        </w:numPr>
        <w:tabs>
          <w:tab w:val="left" w:pos="0"/>
        </w:tabs>
      </w:pPr>
      <w:r>
        <w:rPr>
          <w:szCs w:val="24"/>
        </w:rPr>
        <w:t xml:space="preserve">omitting </w:t>
      </w:r>
      <w:r w:rsidR="009E2A15">
        <w:rPr>
          <w:szCs w:val="24"/>
        </w:rPr>
        <w:t>fuel types or entering the amount used against the wrong fuel type</w:t>
      </w:r>
    </w:p>
    <w:p w14:paraId="0E633129" w14:textId="4852E323" w:rsidR="00026E66" w:rsidRDefault="009E2A15" w:rsidP="0065356B">
      <w:pPr>
        <w:pStyle w:val="ListParagraph"/>
        <w:numPr>
          <w:ilvl w:val="0"/>
          <w:numId w:val="92"/>
        </w:numPr>
        <w:tabs>
          <w:tab w:val="left" w:pos="0"/>
        </w:tabs>
      </w:pPr>
      <w:r>
        <w:rPr>
          <w:szCs w:val="24"/>
        </w:rPr>
        <w:t xml:space="preserve">the amount of </w:t>
      </w:r>
      <w:r w:rsidR="002737EF">
        <w:t xml:space="preserve">energy used </w:t>
      </w:r>
      <w:r w:rsidR="00A752ED">
        <w:t xml:space="preserve">– this could be </w:t>
      </w:r>
      <w:r w:rsidR="00584FD1">
        <w:t xml:space="preserve">due to inaccurate data, </w:t>
      </w:r>
      <w:r w:rsidR="00A752ED">
        <w:t xml:space="preserve">entering data in </w:t>
      </w:r>
      <w:r w:rsidR="005D0A6C">
        <w:t xml:space="preserve">energy </w:t>
      </w:r>
      <w:r w:rsidR="00584FD1">
        <w:t>units</w:t>
      </w:r>
      <w:r w:rsidR="005D0A6C">
        <w:t xml:space="preserve"> </w:t>
      </w:r>
      <w:r w:rsidR="00094FE3">
        <w:t xml:space="preserve">(kWh, MWh or GJ) </w:t>
      </w:r>
      <w:r w:rsidR="00A752ED">
        <w:t>that differ from those used in the baseline period</w:t>
      </w:r>
      <w:r w:rsidR="00584FD1">
        <w:t xml:space="preserve">, using the wrong </w:t>
      </w:r>
      <w:r w:rsidR="002737EF">
        <w:t>conversion factors</w:t>
      </w:r>
      <w:r w:rsidR="002737EF" w:rsidRPr="00B739EF">
        <w:rPr>
          <w:szCs w:val="24"/>
        </w:rPr>
        <w:t xml:space="preserve"> </w:t>
      </w:r>
      <w:r w:rsidR="00584FD1">
        <w:rPr>
          <w:szCs w:val="24"/>
        </w:rPr>
        <w:t xml:space="preserve">to </w:t>
      </w:r>
      <w:r w:rsidR="005D0A6C">
        <w:rPr>
          <w:szCs w:val="24"/>
        </w:rPr>
        <w:t xml:space="preserve">convert mass/volume </w:t>
      </w:r>
      <w:r w:rsidR="00094FE3">
        <w:rPr>
          <w:szCs w:val="24"/>
        </w:rPr>
        <w:t xml:space="preserve">of fuel into </w:t>
      </w:r>
      <w:r w:rsidR="005D0A6C">
        <w:rPr>
          <w:szCs w:val="24"/>
        </w:rPr>
        <w:t>energy units</w:t>
      </w:r>
    </w:p>
    <w:p w14:paraId="0E61A5F9" w14:textId="46BD297D" w:rsidR="00026E66" w:rsidRDefault="00565264" w:rsidP="0065356B">
      <w:pPr>
        <w:pStyle w:val="ListParagraph"/>
        <w:numPr>
          <w:ilvl w:val="0"/>
          <w:numId w:val="92"/>
        </w:numPr>
        <w:tabs>
          <w:tab w:val="left" w:pos="0"/>
        </w:tabs>
      </w:pPr>
      <w:r>
        <w:rPr>
          <w:szCs w:val="24"/>
        </w:rPr>
        <w:t xml:space="preserve">the amount of </w:t>
      </w:r>
      <w:r w:rsidR="003E39ED">
        <w:rPr>
          <w:szCs w:val="24"/>
        </w:rPr>
        <w:t>t</w:t>
      </w:r>
      <w:r w:rsidR="002737EF" w:rsidRPr="00B739EF">
        <w:rPr>
          <w:szCs w:val="24"/>
        </w:rPr>
        <w:t>hroughput</w:t>
      </w:r>
      <w:r>
        <w:rPr>
          <w:szCs w:val="24"/>
        </w:rPr>
        <w:t xml:space="preserve"> – this could be due to </w:t>
      </w:r>
      <w:r w:rsidR="002737EF">
        <w:t xml:space="preserve">inaccurate data, </w:t>
      </w:r>
      <w:r>
        <w:t xml:space="preserve">using a different method to that which was agreed for the baseline period, </w:t>
      </w:r>
      <w:r w:rsidR="002737EF" w:rsidRPr="00B739EF">
        <w:rPr>
          <w:szCs w:val="24"/>
        </w:rPr>
        <w:t>or</w:t>
      </w:r>
      <w:r w:rsidR="002737EF">
        <w:t xml:space="preserve"> </w:t>
      </w:r>
      <w:r>
        <w:t xml:space="preserve">using inaccurate </w:t>
      </w:r>
      <w:r w:rsidR="002737EF">
        <w:t>conversion factors</w:t>
      </w:r>
    </w:p>
    <w:p w14:paraId="6690D097" w14:textId="6E03BB23" w:rsidR="00A13370" w:rsidRDefault="002737EF" w:rsidP="00FF0098">
      <w:pPr>
        <w:tabs>
          <w:tab w:val="left" w:pos="0"/>
        </w:tabs>
        <w:rPr>
          <w:color w:val="auto"/>
          <w:szCs w:val="24"/>
        </w:rPr>
      </w:pPr>
      <w:r>
        <w:rPr>
          <w:color w:val="auto"/>
        </w:rPr>
        <w:t xml:space="preserve">If the </w:t>
      </w:r>
      <w:r w:rsidR="00DD6685">
        <w:rPr>
          <w:color w:val="auto"/>
        </w:rPr>
        <w:t xml:space="preserve">baseline data for a facility is wrong, we must vary your agreement to correct the </w:t>
      </w:r>
      <w:r>
        <w:rPr>
          <w:color w:val="auto"/>
        </w:rPr>
        <w:t xml:space="preserve">error before the </w:t>
      </w:r>
      <w:r w:rsidR="006D0439">
        <w:rPr>
          <w:color w:val="auto"/>
        </w:rPr>
        <w:t xml:space="preserve">sector submits the </w:t>
      </w:r>
      <w:r w:rsidR="00DD6685">
        <w:rPr>
          <w:color w:val="auto"/>
          <w:szCs w:val="24"/>
        </w:rPr>
        <w:t>target period data</w:t>
      </w:r>
      <w:r>
        <w:rPr>
          <w:color w:val="auto"/>
        </w:rPr>
        <w:t xml:space="preserve">. </w:t>
      </w:r>
    </w:p>
    <w:p w14:paraId="66AAD696" w14:textId="3966EF30" w:rsidR="00026E66" w:rsidRDefault="006D0439" w:rsidP="00FF0098">
      <w:pPr>
        <w:tabs>
          <w:tab w:val="left" w:pos="0"/>
        </w:tabs>
      </w:pPr>
      <w:r>
        <w:rPr>
          <w:color w:val="auto"/>
          <w:szCs w:val="24"/>
        </w:rPr>
        <w:t>Similarly, i</w:t>
      </w:r>
      <w:r w:rsidR="002737EF">
        <w:rPr>
          <w:color w:val="auto"/>
          <w:szCs w:val="24"/>
        </w:rPr>
        <w:t>f</w:t>
      </w:r>
      <w:r w:rsidR="002737EF">
        <w:rPr>
          <w:color w:val="auto"/>
        </w:rPr>
        <w:t xml:space="preserve"> </w:t>
      </w:r>
      <w:r w:rsidR="00A13370">
        <w:rPr>
          <w:color w:val="auto"/>
        </w:rPr>
        <w:t xml:space="preserve">the </w:t>
      </w:r>
      <w:r w:rsidR="002737EF">
        <w:rPr>
          <w:color w:val="auto"/>
        </w:rPr>
        <w:t xml:space="preserve">error </w:t>
      </w:r>
      <w:r w:rsidR="00A13370">
        <w:rPr>
          <w:color w:val="auto"/>
        </w:rPr>
        <w:t>meant that we should have adjusted the target for a facility</w:t>
      </w:r>
      <w:r w:rsidR="002737EF">
        <w:rPr>
          <w:color w:val="auto"/>
          <w:szCs w:val="24"/>
        </w:rPr>
        <w:t xml:space="preserve">, </w:t>
      </w:r>
      <w:r w:rsidR="00A13370">
        <w:rPr>
          <w:color w:val="auto"/>
          <w:szCs w:val="24"/>
        </w:rPr>
        <w:t xml:space="preserve">we </w:t>
      </w:r>
      <w:r w:rsidR="002737EF">
        <w:rPr>
          <w:color w:val="auto"/>
          <w:szCs w:val="24"/>
        </w:rPr>
        <w:t xml:space="preserve">will need to </w:t>
      </w:r>
      <w:r w:rsidR="00A13370">
        <w:rPr>
          <w:color w:val="auto"/>
          <w:szCs w:val="24"/>
        </w:rPr>
        <w:t xml:space="preserve">vary the </w:t>
      </w:r>
      <w:r>
        <w:rPr>
          <w:color w:val="auto"/>
          <w:szCs w:val="24"/>
        </w:rPr>
        <w:t xml:space="preserve">sector submits the </w:t>
      </w:r>
      <w:r>
        <w:rPr>
          <w:color w:val="auto"/>
        </w:rPr>
        <w:t>target period data</w:t>
      </w:r>
      <w:r w:rsidR="002737EF">
        <w:rPr>
          <w:color w:val="auto"/>
        </w:rPr>
        <w:t xml:space="preserve">. </w:t>
      </w:r>
    </w:p>
    <w:p w14:paraId="42F73014" w14:textId="7C258D7D" w:rsidR="00026E66" w:rsidRDefault="002737EF" w:rsidP="00FF0098">
      <w:pPr>
        <w:tabs>
          <w:tab w:val="left" w:pos="0"/>
        </w:tabs>
        <w:rPr>
          <w:color w:val="auto"/>
        </w:rPr>
      </w:pPr>
      <w:r>
        <w:rPr>
          <w:color w:val="auto"/>
        </w:rPr>
        <w:t xml:space="preserve">See </w:t>
      </w:r>
      <w:hyperlink w:anchor="_7._Changing_an" w:history="1">
        <w:r w:rsidRPr="00600593">
          <w:rPr>
            <w:rStyle w:val="Hyperlink"/>
          </w:rPr>
          <w:t>section 7</w:t>
        </w:r>
      </w:hyperlink>
      <w:r>
        <w:rPr>
          <w:color w:val="auto"/>
        </w:rPr>
        <w:t xml:space="preserve"> for further guidance on submitting a variation to your underlying agreement.</w:t>
      </w:r>
    </w:p>
    <w:p w14:paraId="2BF7E935" w14:textId="60FA18B6" w:rsidR="00026E66" w:rsidRDefault="002737EF" w:rsidP="00B739EF">
      <w:pPr>
        <w:pStyle w:val="Heading3"/>
        <w:tabs>
          <w:tab w:val="left" w:pos="0"/>
        </w:tabs>
      </w:pPr>
      <w:r>
        <w:t>10.</w:t>
      </w:r>
      <w:r w:rsidR="006F3458">
        <w:t>8</w:t>
      </w:r>
      <w:r>
        <w:t xml:space="preserve">.1. Resubmissions prior to 1 May reporting deadline </w:t>
      </w:r>
    </w:p>
    <w:p w14:paraId="60BA5FC2" w14:textId="764B8363" w:rsidR="00026E66" w:rsidRDefault="0003203F" w:rsidP="004C1365">
      <w:r>
        <w:t xml:space="preserve">As facilities in </w:t>
      </w:r>
      <w:proofErr w:type="spellStart"/>
      <w:r>
        <w:t>MyCCA</w:t>
      </w:r>
      <w:proofErr w:type="spellEnd"/>
      <w:r>
        <w:t xml:space="preserve"> remain “unlocked” between 1 January and the reporting deadline</w:t>
      </w:r>
      <w:r w:rsidR="0048450C">
        <w:t>, s</w:t>
      </w:r>
      <w:r w:rsidR="00A83849">
        <w:t xml:space="preserve">ector associations </w:t>
      </w:r>
      <w:r w:rsidR="00B31FE5">
        <w:t xml:space="preserve">may </w:t>
      </w:r>
      <w:r w:rsidR="00A83849">
        <w:t xml:space="preserve">submit target period data </w:t>
      </w:r>
      <w:r w:rsidR="0048450C">
        <w:t xml:space="preserve">for a facility </w:t>
      </w:r>
      <w:r w:rsidR="00A83849">
        <w:t xml:space="preserve">as many times as needed </w:t>
      </w:r>
      <w:r w:rsidR="00A83849" w:rsidRPr="0035481D">
        <w:rPr>
          <w:b/>
          <w:bCs/>
        </w:rPr>
        <w:t>before</w:t>
      </w:r>
      <w:r w:rsidR="00A83849">
        <w:t xml:space="preserve"> the 1 May reporting deadline. </w:t>
      </w:r>
      <w:r w:rsidR="00863027">
        <w:t xml:space="preserve">Each submission will be stored as a separate </w:t>
      </w:r>
      <w:r w:rsidR="006776F4">
        <w:lastRenderedPageBreak/>
        <w:t>timeline event</w:t>
      </w:r>
      <w:r w:rsidR="0048450C">
        <w:t>. W</w:t>
      </w:r>
      <w:r w:rsidR="00863027">
        <w:t xml:space="preserve">e will only use the latest submission </w:t>
      </w:r>
      <w:r w:rsidR="0035481D">
        <w:t>for determining the target period performance</w:t>
      </w:r>
      <w:r w:rsidR="0048450C">
        <w:t xml:space="preserve"> when we initiate the buy-out and surplus workflow</w:t>
      </w:r>
      <w:r w:rsidR="003C0811">
        <w:t>.</w:t>
      </w:r>
      <w:r w:rsidR="003C0811" w:rsidDel="00E267C2">
        <w:t xml:space="preserve"> </w:t>
      </w:r>
      <w:r w:rsidR="003C0811">
        <w:t>We aim to do this as soon as possible after 1 May</w:t>
      </w:r>
      <w:r w:rsidR="0035481D">
        <w:t>.</w:t>
      </w:r>
    </w:p>
    <w:p w14:paraId="7582619E" w14:textId="02CC2784" w:rsidR="00026E66" w:rsidRDefault="002737EF" w:rsidP="00FF0098">
      <w:pPr>
        <w:pStyle w:val="Heading3"/>
        <w:tabs>
          <w:tab w:val="left" w:pos="0"/>
        </w:tabs>
      </w:pPr>
      <w:r>
        <w:t>10.</w:t>
      </w:r>
      <w:r w:rsidR="006F3458">
        <w:t>8</w:t>
      </w:r>
      <w:r>
        <w:t>.2. Resubmissions through secondary reporting</w:t>
      </w:r>
      <w:r w:rsidR="00FC355D">
        <w:t xml:space="preserve"> </w:t>
      </w:r>
    </w:p>
    <w:p w14:paraId="25E7D8EB" w14:textId="452CBD40" w:rsidR="00026E66" w:rsidRDefault="00A319B7" w:rsidP="00397E9C">
      <w:r>
        <w:t>The buy-out and surplus workflow locks each facility preventing any further corrections to errors. To ensure that we can efficiently determine which facilities to recertify, we will not unlock any facilities until after the start of the new certification period (starting 1 July in the year after each target period).</w:t>
      </w:r>
      <w:r w:rsidR="00397E9C">
        <w:t xml:space="preserve"> </w:t>
      </w:r>
      <w:r w:rsidR="00397E9C" w:rsidRPr="0099120D">
        <w:rPr>
          <w:color w:val="auto"/>
        </w:rPr>
        <w:t>T</w:t>
      </w:r>
      <w:r w:rsidR="002737EF" w:rsidRPr="0099120D">
        <w:rPr>
          <w:color w:val="auto"/>
        </w:rPr>
        <w:t>his</w:t>
      </w:r>
      <w:r w:rsidR="002737EF">
        <w:rPr>
          <w:color w:val="auto"/>
        </w:rPr>
        <w:t xml:space="preserve"> is known as </w:t>
      </w:r>
      <w:r w:rsidR="00397E9C">
        <w:rPr>
          <w:color w:val="auto"/>
        </w:rPr>
        <w:t xml:space="preserve">the </w:t>
      </w:r>
      <w:hyperlink w:anchor="Secondaryreporting" w:history="1">
        <w:r w:rsidR="002737EF" w:rsidRPr="005E46F7">
          <w:rPr>
            <w:rStyle w:val="Hyperlink"/>
          </w:rPr>
          <w:t>secondary reporting</w:t>
        </w:r>
      </w:hyperlink>
      <w:r w:rsidR="00397E9C" w:rsidRPr="0099120D">
        <w:rPr>
          <w:color w:val="auto"/>
        </w:rPr>
        <w:t xml:space="preserve"> period</w:t>
      </w:r>
      <w:r w:rsidR="002737EF" w:rsidRPr="0099120D">
        <w:rPr>
          <w:color w:val="auto"/>
        </w:rPr>
        <w:t>.</w:t>
      </w:r>
      <w:r w:rsidR="002737EF">
        <w:rPr>
          <w:color w:val="auto"/>
        </w:rPr>
        <w:t xml:space="preserve"> </w:t>
      </w:r>
    </w:p>
    <w:p w14:paraId="71DC743A" w14:textId="77777777" w:rsidR="00957084" w:rsidRDefault="00E26DAD" w:rsidP="00B739EF">
      <w:pPr>
        <w:tabs>
          <w:tab w:val="left" w:pos="0"/>
        </w:tabs>
        <w:spacing w:after="0"/>
        <w:ind w:right="182"/>
        <w:rPr>
          <w:color w:val="auto"/>
        </w:rPr>
      </w:pPr>
      <w:r>
        <w:rPr>
          <w:color w:val="auto"/>
          <w:szCs w:val="24"/>
        </w:rPr>
        <w:t xml:space="preserve">Once we </w:t>
      </w:r>
      <w:r w:rsidR="002737EF">
        <w:rPr>
          <w:color w:val="auto"/>
        </w:rPr>
        <w:t xml:space="preserve">are satisfied </w:t>
      </w:r>
      <w:r>
        <w:rPr>
          <w:color w:val="auto"/>
          <w:szCs w:val="24"/>
        </w:rPr>
        <w:t xml:space="preserve">an operator has checked and corrected all possible errors in </w:t>
      </w:r>
      <w:r w:rsidR="00422A8D">
        <w:rPr>
          <w:color w:val="auto"/>
          <w:szCs w:val="24"/>
        </w:rPr>
        <w:t xml:space="preserve">both </w:t>
      </w:r>
      <w:r>
        <w:rPr>
          <w:color w:val="auto"/>
          <w:szCs w:val="24"/>
        </w:rPr>
        <w:t xml:space="preserve">their </w:t>
      </w:r>
      <w:r w:rsidR="00422A8D">
        <w:rPr>
          <w:color w:val="auto"/>
          <w:szCs w:val="24"/>
        </w:rPr>
        <w:t xml:space="preserve">base year and target period report data </w:t>
      </w:r>
      <w:r w:rsidR="002737EF">
        <w:rPr>
          <w:color w:val="auto"/>
          <w:szCs w:val="24"/>
        </w:rPr>
        <w:t xml:space="preserve">and, where relevant, have completed a variation to </w:t>
      </w:r>
      <w:r w:rsidR="00ED6048">
        <w:rPr>
          <w:color w:val="auto"/>
          <w:szCs w:val="24"/>
        </w:rPr>
        <w:t xml:space="preserve">update the base year data </w:t>
      </w:r>
      <w:r w:rsidR="002737EF">
        <w:rPr>
          <w:color w:val="auto"/>
        </w:rPr>
        <w:t xml:space="preserve">we will </w:t>
      </w:r>
      <w:r w:rsidR="00ED6048">
        <w:rPr>
          <w:color w:val="auto"/>
        </w:rPr>
        <w:t>manually “</w:t>
      </w:r>
      <w:r w:rsidR="002737EF">
        <w:rPr>
          <w:color w:val="auto"/>
        </w:rPr>
        <w:t>unlock</w:t>
      </w:r>
      <w:r w:rsidR="00ED6048">
        <w:rPr>
          <w:color w:val="auto"/>
        </w:rPr>
        <w:t>”</w:t>
      </w:r>
      <w:r w:rsidR="002737EF">
        <w:rPr>
          <w:color w:val="auto"/>
          <w:szCs w:val="24"/>
        </w:rPr>
        <w:t xml:space="preserve"> </w:t>
      </w:r>
      <w:r w:rsidR="005712BC">
        <w:rPr>
          <w:color w:val="auto"/>
          <w:szCs w:val="24"/>
        </w:rPr>
        <w:t>the</w:t>
      </w:r>
      <w:r w:rsidR="002737EF">
        <w:rPr>
          <w:color w:val="auto"/>
        </w:rPr>
        <w:t xml:space="preserve"> </w:t>
      </w:r>
      <w:r w:rsidR="00ED6048">
        <w:rPr>
          <w:color w:val="auto"/>
        </w:rPr>
        <w:t xml:space="preserve">option for a sector user to submit a new </w:t>
      </w:r>
      <w:r w:rsidR="002737EF">
        <w:rPr>
          <w:color w:val="auto"/>
        </w:rPr>
        <w:t xml:space="preserve">report </w:t>
      </w:r>
      <w:r w:rsidR="00ED6048">
        <w:rPr>
          <w:color w:val="auto"/>
        </w:rPr>
        <w:t xml:space="preserve">for the facility </w:t>
      </w:r>
      <w:r w:rsidR="002737EF">
        <w:rPr>
          <w:color w:val="auto"/>
        </w:rPr>
        <w:t xml:space="preserve">on </w:t>
      </w:r>
      <w:proofErr w:type="spellStart"/>
      <w:r w:rsidR="005712BC">
        <w:rPr>
          <w:color w:val="auto"/>
        </w:rPr>
        <w:t>My</w:t>
      </w:r>
      <w:r w:rsidR="002737EF">
        <w:rPr>
          <w:color w:val="auto"/>
        </w:rPr>
        <w:t>CCA</w:t>
      </w:r>
      <w:proofErr w:type="spellEnd"/>
      <w:r w:rsidR="002737EF">
        <w:rPr>
          <w:color w:val="auto"/>
        </w:rPr>
        <w:t>.</w:t>
      </w:r>
      <w:r w:rsidR="00FC355D">
        <w:rPr>
          <w:color w:val="auto"/>
        </w:rPr>
        <w:t xml:space="preserve"> </w:t>
      </w:r>
    </w:p>
    <w:p w14:paraId="5954918B" w14:textId="24456909" w:rsidR="00026E66" w:rsidRPr="00B739EF" w:rsidRDefault="001620EA" w:rsidP="00B739EF">
      <w:pPr>
        <w:tabs>
          <w:tab w:val="left" w:pos="0"/>
        </w:tabs>
        <w:spacing w:after="0"/>
        <w:ind w:right="182"/>
      </w:pPr>
      <w:r>
        <w:rPr>
          <w:color w:val="auto"/>
        </w:rPr>
        <w:t xml:space="preserve">Whilst it’s possible </w:t>
      </w:r>
      <w:r w:rsidR="00957084">
        <w:rPr>
          <w:color w:val="auto"/>
        </w:rPr>
        <w:t xml:space="preserve">for a sector user </w:t>
      </w:r>
      <w:r>
        <w:rPr>
          <w:color w:val="auto"/>
        </w:rPr>
        <w:t xml:space="preserve">to upload corrected </w:t>
      </w:r>
      <w:r w:rsidR="00957084">
        <w:rPr>
          <w:color w:val="auto"/>
        </w:rPr>
        <w:t xml:space="preserve">target period </w:t>
      </w:r>
      <w:r>
        <w:rPr>
          <w:color w:val="auto"/>
        </w:rPr>
        <w:t xml:space="preserve">data by uploading a </w:t>
      </w:r>
      <w:r w:rsidR="00957084">
        <w:rPr>
          <w:color w:val="auto"/>
        </w:rPr>
        <w:t xml:space="preserve">new </w:t>
      </w:r>
      <w:r>
        <w:rPr>
          <w:color w:val="auto"/>
        </w:rPr>
        <w:t>CSV</w:t>
      </w:r>
      <w:r w:rsidR="00957084">
        <w:rPr>
          <w:color w:val="auto"/>
        </w:rPr>
        <w:t xml:space="preserve"> </w:t>
      </w:r>
      <w:r>
        <w:rPr>
          <w:color w:val="auto"/>
        </w:rPr>
        <w:t xml:space="preserve">file, we recommend </w:t>
      </w:r>
      <w:r w:rsidR="00957084">
        <w:rPr>
          <w:color w:val="auto"/>
        </w:rPr>
        <w:t xml:space="preserve">they </w:t>
      </w:r>
      <w:r>
        <w:rPr>
          <w:color w:val="auto"/>
        </w:rPr>
        <w:t>us</w:t>
      </w:r>
      <w:r w:rsidR="00957084">
        <w:rPr>
          <w:color w:val="auto"/>
        </w:rPr>
        <w:t>e</w:t>
      </w:r>
      <w:r>
        <w:rPr>
          <w:color w:val="auto"/>
        </w:rPr>
        <w:t xml:space="preserve"> the digital form</w:t>
      </w:r>
      <w:r w:rsidR="00957084">
        <w:rPr>
          <w:color w:val="auto"/>
        </w:rPr>
        <w:t xml:space="preserve"> option in </w:t>
      </w:r>
      <w:proofErr w:type="spellStart"/>
      <w:r w:rsidR="00957084">
        <w:rPr>
          <w:color w:val="auto"/>
        </w:rPr>
        <w:t>MyCCA</w:t>
      </w:r>
      <w:proofErr w:type="spellEnd"/>
      <w:r w:rsidR="00DA3D85">
        <w:rPr>
          <w:color w:val="auto"/>
        </w:rPr>
        <w:t xml:space="preserve">. This </w:t>
      </w:r>
      <w:r>
        <w:rPr>
          <w:color w:val="auto"/>
        </w:rPr>
        <w:t xml:space="preserve">will be pre-populated with the </w:t>
      </w:r>
      <w:r w:rsidR="00DA3D85">
        <w:rPr>
          <w:color w:val="auto"/>
        </w:rPr>
        <w:t xml:space="preserve">previously submitted </w:t>
      </w:r>
      <w:r>
        <w:rPr>
          <w:color w:val="auto"/>
        </w:rPr>
        <w:t xml:space="preserve">data by default and can be </w:t>
      </w:r>
      <w:r w:rsidR="00957084">
        <w:rPr>
          <w:color w:val="auto"/>
        </w:rPr>
        <w:t>manually corrected</w:t>
      </w:r>
      <w:r w:rsidR="00DA3D85">
        <w:rPr>
          <w:color w:val="auto"/>
        </w:rPr>
        <w:t xml:space="preserve"> before submission</w:t>
      </w:r>
      <w:r w:rsidR="00957084">
        <w:rPr>
          <w:color w:val="auto"/>
        </w:rPr>
        <w:t>.</w:t>
      </w:r>
    </w:p>
    <w:p w14:paraId="395D2FBD" w14:textId="422EA109" w:rsidR="00026E66" w:rsidRPr="00B739EF" w:rsidRDefault="002737EF" w:rsidP="00B739EF">
      <w:pPr>
        <w:pStyle w:val="Heading3"/>
        <w:tabs>
          <w:tab w:val="left" w:pos="0"/>
        </w:tabs>
      </w:pPr>
      <w:bookmarkStart w:id="232" w:name="_10.8.3._Re-assessing_performance"/>
      <w:bookmarkEnd w:id="232"/>
      <w:r>
        <w:t>10.</w:t>
      </w:r>
      <w:r w:rsidR="006F3458">
        <w:t>8</w:t>
      </w:r>
      <w:r>
        <w:t xml:space="preserve">.3. Re-assessing performance against the target and changes to surplus or buy-out following secondary reporting </w:t>
      </w:r>
    </w:p>
    <w:p w14:paraId="37F999FC" w14:textId="76C5F9E9" w:rsidR="00F337BC" w:rsidRDefault="00DA3D85" w:rsidP="00FF0098">
      <w:pPr>
        <w:tabs>
          <w:tab w:val="left" w:pos="0"/>
        </w:tabs>
        <w:spacing w:after="161" w:line="235" w:lineRule="auto"/>
        <w:ind w:right="154"/>
        <w:jc w:val="both"/>
        <w:rPr>
          <w:color w:val="auto"/>
          <w:szCs w:val="24"/>
        </w:rPr>
      </w:pPr>
      <w:r>
        <w:rPr>
          <w:color w:val="auto"/>
          <w:szCs w:val="24"/>
        </w:rPr>
        <w:t xml:space="preserve">After the sector has </w:t>
      </w:r>
      <w:r w:rsidR="002737EF">
        <w:rPr>
          <w:color w:val="auto"/>
          <w:szCs w:val="24"/>
        </w:rPr>
        <w:t>submitted correct</w:t>
      </w:r>
      <w:r>
        <w:rPr>
          <w:color w:val="auto"/>
          <w:szCs w:val="24"/>
        </w:rPr>
        <w:t>ed target period data</w:t>
      </w:r>
      <w:r w:rsidR="00F337BC">
        <w:rPr>
          <w:color w:val="auto"/>
          <w:szCs w:val="24"/>
        </w:rPr>
        <w:t xml:space="preserve"> for a facility in </w:t>
      </w:r>
      <w:proofErr w:type="spellStart"/>
      <w:r w:rsidR="00F337BC">
        <w:rPr>
          <w:color w:val="auto"/>
          <w:szCs w:val="24"/>
        </w:rPr>
        <w:t>MyCCA</w:t>
      </w:r>
      <w:proofErr w:type="spellEnd"/>
      <w:r w:rsidR="002737EF">
        <w:rPr>
          <w:color w:val="auto"/>
        </w:rPr>
        <w:t xml:space="preserve">, we will reassess the </w:t>
      </w:r>
      <w:r w:rsidR="00F337BC">
        <w:rPr>
          <w:color w:val="auto"/>
        </w:rPr>
        <w:t xml:space="preserve">performance of the </w:t>
      </w:r>
      <w:r w:rsidR="00A16039">
        <w:rPr>
          <w:color w:val="auto"/>
          <w:szCs w:val="24"/>
        </w:rPr>
        <w:t>facility</w:t>
      </w:r>
      <w:r w:rsidR="002737EF">
        <w:rPr>
          <w:color w:val="auto"/>
          <w:szCs w:val="24"/>
        </w:rPr>
        <w:t xml:space="preserve">. </w:t>
      </w:r>
      <w:r w:rsidR="00F337BC">
        <w:rPr>
          <w:color w:val="auto"/>
          <w:szCs w:val="24"/>
        </w:rPr>
        <w:t xml:space="preserve">We will do this in batches </w:t>
      </w:r>
      <w:r w:rsidR="00564632">
        <w:rPr>
          <w:color w:val="auto"/>
          <w:szCs w:val="24"/>
        </w:rPr>
        <w:t>at suitable intervals, rather than for each individual facility.</w:t>
      </w:r>
    </w:p>
    <w:p w14:paraId="46FD4857" w14:textId="0EFA6B78" w:rsidR="00026E66" w:rsidRDefault="002737EF" w:rsidP="00FF0098">
      <w:pPr>
        <w:tabs>
          <w:tab w:val="left" w:pos="0"/>
        </w:tabs>
        <w:spacing w:after="161" w:line="235" w:lineRule="auto"/>
        <w:ind w:right="154"/>
        <w:jc w:val="both"/>
      </w:pPr>
      <w:r>
        <w:rPr>
          <w:color w:val="auto"/>
          <w:szCs w:val="24"/>
        </w:rPr>
        <w:t xml:space="preserve">If the changes affect the amount of the buy-out fee or surplus calculated, </w:t>
      </w:r>
      <w:r w:rsidR="00763190">
        <w:rPr>
          <w:color w:val="auto"/>
          <w:szCs w:val="24"/>
        </w:rPr>
        <w:t>the account will be updated with the new information.</w:t>
      </w:r>
    </w:p>
    <w:p w14:paraId="7DCD13E8" w14:textId="3469F11C" w:rsidR="00026E66" w:rsidRDefault="002737EF" w:rsidP="00FF0098">
      <w:pPr>
        <w:tabs>
          <w:tab w:val="left" w:pos="0"/>
        </w:tabs>
        <w:ind w:right="182"/>
      </w:pPr>
      <w:r>
        <w:rPr>
          <w:color w:val="auto"/>
          <w:szCs w:val="24"/>
        </w:rPr>
        <w:t xml:space="preserve">If the </w:t>
      </w:r>
      <w:r w:rsidR="00763190">
        <w:rPr>
          <w:color w:val="auto"/>
          <w:szCs w:val="24"/>
        </w:rPr>
        <w:t>facility</w:t>
      </w:r>
      <w:r>
        <w:rPr>
          <w:color w:val="auto"/>
          <w:szCs w:val="24"/>
        </w:rPr>
        <w:t xml:space="preserve"> has met </w:t>
      </w:r>
      <w:r>
        <w:rPr>
          <w:color w:val="auto"/>
        </w:rPr>
        <w:t>its target</w:t>
      </w:r>
      <w:r>
        <w:rPr>
          <w:color w:val="auto"/>
          <w:szCs w:val="24"/>
        </w:rPr>
        <w:t xml:space="preserve"> but there is an increase or decrease to the calculated surplus</w:t>
      </w:r>
      <w:r w:rsidR="003D1E04">
        <w:rPr>
          <w:color w:val="auto"/>
          <w:szCs w:val="24"/>
        </w:rPr>
        <w:t xml:space="preserve"> accrued</w:t>
      </w:r>
      <w:r>
        <w:rPr>
          <w:color w:val="auto"/>
          <w:szCs w:val="24"/>
        </w:rPr>
        <w:t xml:space="preserve">, we will update </w:t>
      </w:r>
      <w:proofErr w:type="spellStart"/>
      <w:proofErr w:type="gramStart"/>
      <w:r w:rsidR="00F054AD">
        <w:rPr>
          <w:color w:val="auto"/>
          <w:szCs w:val="24"/>
        </w:rPr>
        <w:t>MyCCA</w:t>
      </w:r>
      <w:proofErr w:type="spellEnd"/>
      <w:proofErr w:type="gramEnd"/>
      <w:r>
        <w:rPr>
          <w:color w:val="auto"/>
          <w:szCs w:val="24"/>
        </w:rPr>
        <w:t xml:space="preserve"> but we </w:t>
      </w:r>
      <w:r>
        <w:rPr>
          <w:color w:val="auto"/>
        </w:rPr>
        <w:t xml:space="preserve">won’t formally notify </w:t>
      </w:r>
      <w:r>
        <w:rPr>
          <w:color w:val="auto"/>
          <w:szCs w:val="24"/>
        </w:rPr>
        <w:t>you</w:t>
      </w:r>
      <w:r>
        <w:rPr>
          <w:color w:val="auto"/>
        </w:rPr>
        <w:t xml:space="preserve"> of this. If </w:t>
      </w:r>
      <w:r>
        <w:rPr>
          <w:color w:val="auto"/>
          <w:szCs w:val="24"/>
        </w:rPr>
        <w:t xml:space="preserve">we find the </w:t>
      </w:r>
      <w:r w:rsidR="00FE50FE">
        <w:rPr>
          <w:color w:val="auto"/>
          <w:szCs w:val="24"/>
        </w:rPr>
        <w:t>facility</w:t>
      </w:r>
      <w:r>
        <w:rPr>
          <w:color w:val="auto"/>
          <w:szCs w:val="24"/>
        </w:rPr>
        <w:t xml:space="preserve"> has</w:t>
      </w:r>
      <w:r>
        <w:rPr>
          <w:color w:val="auto"/>
        </w:rPr>
        <w:t xml:space="preserve"> failed </w:t>
      </w:r>
      <w:r>
        <w:rPr>
          <w:color w:val="auto"/>
          <w:szCs w:val="24"/>
        </w:rPr>
        <w:t>its</w:t>
      </w:r>
      <w:r>
        <w:rPr>
          <w:color w:val="auto"/>
        </w:rPr>
        <w:t xml:space="preserve"> target, </w:t>
      </w:r>
      <w:r>
        <w:rPr>
          <w:color w:val="auto"/>
          <w:szCs w:val="24"/>
        </w:rPr>
        <w:t xml:space="preserve">then </w:t>
      </w:r>
      <w:r>
        <w:rPr>
          <w:color w:val="auto"/>
        </w:rPr>
        <w:t xml:space="preserve">we will notify </w:t>
      </w:r>
      <w:r>
        <w:rPr>
          <w:color w:val="auto"/>
          <w:szCs w:val="24"/>
        </w:rPr>
        <w:t>you.</w:t>
      </w:r>
    </w:p>
    <w:p w14:paraId="3F81B779" w14:textId="70A7734B" w:rsidR="00026E66" w:rsidRDefault="002737EF" w:rsidP="00FF0098">
      <w:pPr>
        <w:tabs>
          <w:tab w:val="left" w:pos="0"/>
        </w:tabs>
        <w:ind w:right="182"/>
      </w:pPr>
      <w:r>
        <w:rPr>
          <w:color w:val="auto"/>
        </w:rPr>
        <w:t xml:space="preserve">If the </w:t>
      </w:r>
      <w:r>
        <w:rPr>
          <w:color w:val="auto"/>
          <w:szCs w:val="24"/>
        </w:rPr>
        <w:t xml:space="preserve">buy-out fee </w:t>
      </w:r>
      <w:r>
        <w:rPr>
          <w:color w:val="auto"/>
        </w:rPr>
        <w:t xml:space="preserve">decreases, we will </w:t>
      </w:r>
      <w:r>
        <w:rPr>
          <w:color w:val="auto"/>
          <w:szCs w:val="24"/>
        </w:rPr>
        <w:t xml:space="preserve">write to the operator explaining how you may claim a refund of any </w:t>
      </w:r>
      <w:r>
        <w:rPr>
          <w:color w:val="auto"/>
        </w:rPr>
        <w:t xml:space="preserve">buy-out fee due </w:t>
      </w:r>
      <w:r>
        <w:rPr>
          <w:color w:val="auto"/>
          <w:szCs w:val="24"/>
        </w:rPr>
        <w:t xml:space="preserve">that has already been paid to </w:t>
      </w:r>
      <w:r w:rsidR="00763190">
        <w:rPr>
          <w:color w:val="auto"/>
          <w:szCs w:val="24"/>
        </w:rPr>
        <w:t>DESNZ</w:t>
      </w:r>
      <w:r>
        <w:rPr>
          <w:color w:val="auto"/>
          <w:szCs w:val="24"/>
        </w:rPr>
        <w:t xml:space="preserve">. </w:t>
      </w:r>
    </w:p>
    <w:p w14:paraId="37C7CB9C" w14:textId="5615EC60" w:rsidR="00B739EF" w:rsidRDefault="002737EF" w:rsidP="00B739EF">
      <w:pPr>
        <w:tabs>
          <w:tab w:val="left" w:pos="0"/>
        </w:tabs>
        <w:ind w:right="182"/>
        <w:rPr>
          <w:color w:val="auto"/>
        </w:rPr>
      </w:pPr>
      <w:r>
        <w:rPr>
          <w:color w:val="auto"/>
          <w:szCs w:val="24"/>
        </w:rPr>
        <w:t xml:space="preserve">If the buy-out fee </w:t>
      </w:r>
      <w:r>
        <w:rPr>
          <w:color w:val="auto"/>
        </w:rPr>
        <w:t xml:space="preserve">increases, a notice and </w:t>
      </w:r>
      <w:hyperlink w:anchor="MOA" w:history="1">
        <w:proofErr w:type="spellStart"/>
        <w:r w:rsidR="00BA0DF0">
          <w:rPr>
            <w:rStyle w:val="Hyperlink"/>
          </w:rPr>
          <w:t>M</w:t>
        </w:r>
        <w:r w:rsidR="00E72B99">
          <w:rPr>
            <w:rStyle w:val="Hyperlink"/>
          </w:rPr>
          <w:t>o</w:t>
        </w:r>
        <w:r w:rsidR="00BA0DF0">
          <w:rPr>
            <w:rStyle w:val="Hyperlink"/>
          </w:rPr>
          <w:t>A</w:t>
        </w:r>
        <w:proofErr w:type="spellEnd"/>
      </w:hyperlink>
      <w:r>
        <w:rPr>
          <w:color w:val="auto"/>
        </w:rPr>
        <w:t xml:space="preserve"> </w:t>
      </w:r>
      <w:r>
        <w:rPr>
          <w:color w:val="auto"/>
          <w:szCs w:val="24"/>
        </w:rPr>
        <w:t xml:space="preserve">will be sent </w:t>
      </w:r>
      <w:r>
        <w:rPr>
          <w:color w:val="auto"/>
        </w:rPr>
        <w:t xml:space="preserve">to the operator requesting payment of the buy-out fee due. </w:t>
      </w:r>
    </w:p>
    <w:p w14:paraId="423E0411" w14:textId="2305AA50" w:rsidR="00F711A6" w:rsidRDefault="00B41697" w:rsidP="00B739EF">
      <w:pPr>
        <w:tabs>
          <w:tab w:val="left" w:pos="0"/>
        </w:tabs>
        <w:ind w:right="182"/>
      </w:pPr>
      <w:r>
        <w:t xml:space="preserve">If </w:t>
      </w:r>
      <w:r w:rsidR="002E7BFA">
        <w:t>surplus accrued in a previous target period was used to partially or fully offset underperformance</w:t>
      </w:r>
      <w:r w:rsidR="00BB4065">
        <w:t xml:space="preserve"> in a later target period</w:t>
      </w:r>
      <w:r w:rsidR="002E7BFA">
        <w:t xml:space="preserve"> following the submission of a primary report</w:t>
      </w:r>
      <w:r w:rsidR="008E7BD4">
        <w:t xml:space="preserve">, and the correction submitted as part of </w:t>
      </w:r>
      <w:r w:rsidR="00DB6826">
        <w:t xml:space="preserve">a </w:t>
      </w:r>
      <w:r w:rsidR="008E7BD4">
        <w:t>secondary report still results in underperformance</w:t>
      </w:r>
      <w:r w:rsidR="00DB6826">
        <w:t xml:space="preserve"> for that later target period</w:t>
      </w:r>
      <w:r w:rsidR="008E7BD4">
        <w:t xml:space="preserve">, </w:t>
      </w:r>
      <w:r w:rsidR="008020B5">
        <w:t xml:space="preserve">all of the surplus that was originally used </w:t>
      </w:r>
      <w:r w:rsidR="008020B5">
        <w:lastRenderedPageBreak/>
        <w:t xml:space="preserve">will be credited back. Following this, a buy-out fee notice will be sent to the operator for the </w:t>
      </w:r>
      <w:r w:rsidR="008020B5" w:rsidRPr="00E7533C">
        <w:rPr>
          <w:b/>
          <w:bCs/>
        </w:rPr>
        <w:t>full amount</w:t>
      </w:r>
      <w:r w:rsidR="008020B5">
        <w:t xml:space="preserve"> of the underperformance. </w:t>
      </w:r>
    </w:p>
    <w:p w14:paraId="597B8DEF" w14:textId="31EADA04" w:rsidR="00173DEE" w:rsidRDefault="003B085A" w:rsidP="00B739EF">
      <w:pPr>
        <w:tabs>
          <w:tab w:val="left" w:pos="0"/>
        </w:tabs>
        <w:ind w:right="182"/>
      </w:pPr>
      <w:r>
        <w:t xml:space="preserve">If surplus had been </w:t>
      </w:r>
      <w:r w:rsidR="000C3CF1">
        <w:t xml:space="preserve">accrued and banked to a facility, </w:t>
      </w:r>
      <w:r w:rsidR="00C85D29">
        <w:t xml:space="preserve">and we subsequently receive a correction that results in an underperformance, we will reduce or remove the previously banked surplus. </w:t>
      </w:r>
    </w:p>
    <w:p w14:paraId="11C47857" w14:textId="7A10B34B" w:rsidR="00A052FF" w:rsidRDefault="00A052FF" w:rsidP="00B739EF">
      <w:pPr>
        <w:tabs>
          <w:tab w:val="left" w:pos="0"/>
        </w:tabs>
        <w:ind w:right="182"/>
      </w:pPr>
      <w:r>
        <w:t xml:space="preserve">Where a surplus that had been banked during an earlier target period has been used to offset performance against a </w:t>
      </w:r>
      <w:r w:rsidR="00F157BF">
        <w:t>later</w:t>
      </w:r>
      <w:r>
        <w:t xml:space="preserve"> target </w:t>
      </w:r>
      <w:r w:rsidR="0023696D">
        <w:t>period and</w:t>
      </w:r>
      <w:r>
        <w:t xml:space="preserve"> subsequently identi</w:t>
      </w:r>
      <w:r w:rsidR="003D4C42">
        <w:t>f</w:t>
      </w:r>
      <w:r>
        <w:t xml:space="preserve">y that </w:t>
      </w:r>
      <w:r w:rsidR="00F157BF">
        <w:t xml:space="preserve">the amount of surplus gained during that earlier target period was incorrect, we will reassess performance in the later target period </w:t>
      </w:r>
      <w:r w:rsidR="003A66F3">
        <w:t>and where relevant, issue buy</w:t>
      </w:r>
      <w:r w:rsidR="00D61FC2">
        <w:t>-</w:t>
      </w:r>
      <w:r w:rsidR="003A66F3">
        <w:t xml:space="preserve">out fees for the </w:t>
      </w:r>
      <w:r w:rsidR="003A66F3" w:rsidRPr="00E7533C">
        <w:rPr>
          <w:b/>
          <w:bCs/>
        </w:rPr>
        <w:t>full amount</w:t>
      </w:r>
      <w:r w:rsidR="003A66F3">
        <w:t xml:space="preserve"> of underperformance in each of those later target periods. </w:t>
      </w:r>
    </w:p>
    <w:p w14:paraId="078AE4DF" w14:textId="0C1A78D0" w:rsidR="007E47EF" w:rsidRDefault="003A66F3" w:rsidP="00B739EF">
      <w:pPr>
        <w:tabs>
          <w:tab w:val="left" w:pos="0"/>
        </w:tabs>
        <w:ind w:right="182"/>
      </w:pPr>
      <w:r>
        <w:t xml:space="preserve">If </w:t>
      </w:r>
      <w:r w:rsidR="00CC2B20">
        <w:t>an operator fails to pay any of the buy</w:t>
      </w:r>
      <w:r w:rsidR="00D61FC2">
        <w:t>-</w:t>
      </w:r>
      <w:r w:rsidR="00CC2B20">
        <w:t xml:space="preserve">out fees generated through the </w:t>
      </w:r>
      <w:r w:rsidR="007E47EF">
        <w:t xml:space="preserve">secondary reporting process, we will decertify the facility in each applicable certification period, which includes previous certification periods. </w:t>
      </w:r>
      <w:r w:rsidR="00AA0509">
        <w:t xml:space="preserve">In this instance, HMRC may ask the operator to pay back the </w:t>
      </w:r>
      <w:hyperlink w:anchor="CCL" w:history="1">
        <w:r w:rsidR="00AA0509" w:rsidRPr="009747BB">
          <w:rPr>
            <w:rStyle w:val="Hyperlink"/>
          </w:rPr>
          <w:t>CCL</w:t>
        </w:r>
      </w:hyperlink>
      <w:r w:rsidR="00AA0509">
        <w:t xml:space="preserve"> relief they had received for the </w:t>
      </w:r>
      <w:proofErr w:type="gramStart"/>
      <w:r w:rsidR="00AA0509">
        <w:t>period of time</w:t>
      </w:r>
      <w:proofErr w:type="gramEnd"/>
      <w:r w:rsidR="00AA0509">
        <w:t xml:space="preserve"> in whic</w:t>
      </w:r>
      <w:r w:rsidR="00647DE6">
        <w:t xml:space="preserve">h they have been subsequently decertified. </w:t>
      </w:r>
    </w:p>
    <w:p w14:paraId="3589D835" w14:textId="741F3485" w:rsidR="00D132DA" w:rsidRDefault="044931F4" w:rsidP="00B739EF">
      <w:pPr>
        <w:tabs>
          <w:tab w:val="left" w:pos="0"/>
        </w:tabs>
        <w:ind w:right="182"/>
      </w:pPr>
      <w:r>
        <w:t>Paragraphs 35</w:t>
      </w:r>
      <w:r w:rsidR="491154DB">
        <w:t xml:space="preserve"> to </w:t>
      </w:r>
      <w:r w:rsidR="657D055F">
        <w:t xml:space="preserve">41 of the </w:t>
      </w:r>
      <w:hyperlink r:id="rId88">
        <w:r w:rsidR="657D055F" w:rsidRPr="0099120D">
          <w:rPr>
            <w:rStyle w:val="Hyperlink"/>
          </w:rPr>
          <w:t>CCA Statutory Guidance</w:t>
        </w:r>
      </w:hyperlink>
      <w:r w:rsidR="657D055F">
        <w:t xml:space="preserve"> provides further information. </w:t>
      </w:r>
    </w:p>
    <w:p w14:paraId="69E59CA0" w14:textId="3F841882" w:rsidR="002F2C8C" w:rsidRDefault="002737EF" w:rsidP="00BD74B1">
      <w:pPr>
        <w:pStyle w:val="Heading1"/>
      </w:pPr>
      <w:bookmarkStart w:id="233" w:name="_11._Performance_Reports"/>
      <w:bookmarkStart w:id="234" w:name="_Toc94718677"/>
      <w:bookmarkStart w:id="235" w:name="_Toc94088925"/>
      <w:bookmarkStart w:id="236" w:name="_Toc242885408"/>
      <w:bookmarkEnd w:id="233"/>
      <w:r>
        <w:t xml:space="preserve">11. </w:t>
      </w:r>
      <w:r w:rsidR="09AA4FDE">
        <w:t xml:space="preserve">Performance </w:t>
      </w:r>
      <w:r w:rsidR="007E51EF">
        <w:t>R</w:t>
      </w:r>
      <w:r w:rsidR="09AA4FDE">
        <w:t>eports</w:t>
      </w:r>
      <w:bookmarkEnd w:id="236"/>
    </w:p>
    <w:p w14:paraId="2A8E8BFD" w14:textId="6262B8D4" w:rsidR="002F2C8C" w:rsidRDefault="09AA4FDE" w:rsidP="00E57123">
      <w:pPr>
        <w:tabs>
          <w:tab w:val="left" w:pos="0"/>
        </w:tabs>
        <w:spacing w:before="240" w:beforeAutospacing="0" w:after="240" w:afterAutospacing="0"/>
        <w:ind w:right="182"/>
        <w:rPr>
          <w:color w:val="000000" w:themeColor="text1"/>
          <w:szCs w:val="24"/>
        </w:rPr>
      </w:pPr>
      <w:r w:rsidRPr="2145672C">
        <w:rPr>
          <w:color w:val="000000" w:themeColor="text1"/>
          <w:szCs w:val="24"/>
        </w:rPr>
        <w:t xml:space="preserve">The Performance </w:t>
      </w:r>
      <w:r w:rsidR="007E51EF">
        <w:rPr>
          <w:color w:val="000000" w:themeColor="text1"/>
          <w:szCs w:val="24"/>
        </w:rPr>
        <w:t>R</w:t>
      </w:r>
      <w:r w:rsidRPr="2145672C">
        <w:rPr>
          <w:color w:val="000000" w:themeColor="text1"/>
          <w:szCs w:val="24"/>
        </w:rPr>
        <w:t>eport</w:t>
      </w:r>
      <w:r w:rsidR="007E51EF">
        <w:rPr>
          <w:color w:val="000000" w:themeColor="text1"/>
          <w:szCs w:val="24"/>
        </w:rPr>
        <w:t xml:space="preserve">, </w:t>
      </w:r>
      <w:r w:rsidRPr="2145672C">
        <w:rPr>
          <w:color w:val="000000" w:themeColor="text1"/>
          <w:szCs w:val="24"/>
        </w:rPr>
        <w:t>as de</w:t>
      </w:r>
      <w:r w:rsidR="00510595">
        <w:rPr>
          <w:color w:val="000000" w:themeColor="text1"/>
          <w:szCs w:val="24"/>
        </w:rPr>
        <w:t>fined</w:t>
      </w:r>
      <w:r w:rsidRPr="2145672C">
        <w:rPr>
          <w:color w:val="000000" w:themeColor="text1"/>
          <w:szCs w:val="24"/>
        </w:rPr>
        <w:t xml:space="preserve"> in the underlying agreement</w:t>
      </w:r>
      <w:r w:rsidR="000F63B4">
        <w:rPr>
          <w:color w:val="000000" w:themeColor="text1"/>
          <w:szCs w:val="24"/>
        </w:rPr>
        <w:t>,</w:t>
      </w:r>
      <w:r w:rsidRPr="2145672C">
        <w:rPr>
          <w:color w:val="000000" w:themeColor="text1"/>
          <w:szCs w:val="24"/>
        </w:rPr>
        <w:t xml:space="preserve"> includes:</w:t>
      </w:r>
    </w:p>
    <w:p w14:paraId="66C4E9CB" w14:textId="4A888BE5" w:rsidR="002F2C8C" w:rsidRDefault="09AA4FDE" w:rsidP="00E57123">
      <w:pPr>
        <w:pStyle w:val="ListParagraph"/>
        <w:numPr>
          <w:ilvl w:val="0"/>
          <w:numId w:val="209"/>
        </w:numPr>
        <w:spacing w:before="0" w:beforeAutospacing="0" w:after="0" w:afterAutospacing="0"/>
        <w:ind w:right="182"/>
        <w:rPr>
          <w:szCs w:val="24"/>
        </w:rPr>
      </w:pPr>
      <w:r w:rsidRPr="2145672C">
        <w:rPr>
          <w:rFonts w:eastAsia="Arial" w:cs="Arial"/>
          <w:szCs w:val="24"/>
        </w:rPr>
        <w:t>the Performance Account Template (PAT)</w:t>
      </w:r>
    </w:p>
    <w:p w14:paraId="2AEC6148" w14:textId="5ACCC765" w:rsidR="002F2C8C" w:rsidRPr="00296153" w:rsidRDefault="09AA4FDE" w:rsidP="00E57123">
      <w:pPr>
        <w:pStyle w:val="ListParagraph"/>
        <w:numPr>
          <w:ilvl w:val="0"/>
          <w:numId w:val="209"/>
        </w:numPr>
        <w:spacing w:before="0" w:beforeAutospacing="0" w:after="0" w:afterAutospacing="0"/>
        <w:ind w:right="182"/>
        <w:rPr>
          <w:szCs w:val="24"/>
        </w:rPr>
      </w:pPr>
      <w:r w:rsidRPr="2145672C">
        <w:rPr>
          <w:rFonts w:eastAsia="Arial" w:cs="Arial"/>
          <w:szCs w:val="24"/>
        </w:rPr>
        <w:t xml:space="preserve">confirmation </w:t>
      </w:r>
      <w:r w:rsidR="00787872">
        <w:rPr>
          <w:rFonts w:eastAsia="Arial" w:cs="Arial"/>
          <w:szCs w:val="24"/>
        </w:rPr>
        <w:t xml:space="preserve">that </w:t>
      </w:r>
      <w:r w:rsidRPr="00296153">
        <w:rPr>
          <w:rFonts w:eastAsia="Arial" w:cs="Arial"/>
          <w:szCs w:val="24"/>
        </w:rPr>
        <w:t xml:space="preserve">the facility is </w:t>
      </w:r>
      <w:r w:rsidR="00787872">
        <w:rPr>
          <w:rFonts w:eastAsia="Arial" w:cs="Arial"/>
          <w:szCs w:val="24"/>
        </w:rPr>
        <w:t xml:space="preserve">using at least </w:t>
      </w:r>
      <w:r w:rsidRPr="00296153">
        <w:rPr>
          <w:rFonts w:eastAsia="Arial" w:cs="Arial"/>
          <w:szCs w:val="24"/>
        </w:rPr>
        <w:t xml:space="preserve">70% </w:t>
      </w:r>
      <w:r w:rsidR="00787872">
        <w:rPr>
          <w:rFonts w:eastAsia="Arial" w:cs="Arial"/>
          <w:szCs w:val="24"/>
        </w:rPr>
        <w:t xml:space="preserve">of the total site energy in carrying out </w:t>
      </w:r>
      <w:r w:rsidRPr="00296153">
        <w:rPr>
          <w:rFonts w:eastAsia="Arial" w:cs="Arial"/>
          <w:szCs w:val="24"/>
        </w:rPr>
        <w:t>eligible</w:t>
      </w:r>
      <w:r w:rsidR="00787872">
        <w:rPr>
          <w:rFonts w:eastAsia="Arial" w:cs="Arial"/>
          <w:szCs w:val="24"/>
        </w:rPr>
        <w:t xml:space="preserve"> activities</w:t>
      </w:r>
    </w:p>
    <w:p w14:paraId="4CA77268" w14:textId="469890AE" w:rsidR="002F2C8C" w:rsidRPr="00296153" w:rsidRDefault="09AA4FDE" w:rsidP="00E57123">
      <w:pPr>
        <w:pStyle w:val="ListParagraph"/>
        <w:numPr>
          <w:ilvl w:val="0"/>
          <w:numId w:val="209"/>
        </w:numPr>
        <w:spacing w:before="0" w:beforeAutospacing="0" w:after="0" w:afterAutospacing="0"/>
        <w:ind w:right="182"/>
        <w:rPr>
          <w:szCs w:val="24"/>
        </w:rPr>
      </w:pPr>
      <w:r w:rsidRPr="00296153">
        <w:rPr>
          <w:rFonts w:eastAsia="Arial" w:cs="Arial"/>
          <w:szCs w:val="24"/>
        </w:rPr>
        <w:t xml:space="preserve">UK ETS information </w:t>
      </w:r>
      <w:r w:rsidR="006126FB">
        <w:rPr>
          <w:rFonts w:eastAsia="Arial" w:cs="Arial"/>
          <w:szCs w:val="24"/>
        </w:rPr>
        <w:t>for</w:t>
      </w:r>
      <w:r w:rsidRPr="00296153">
        <w:rPr>
          <w:rFonts w:eastAsia="Arial" w:cs="Arial"/>
          <w:szCs w:val="24"/>
        </w:rPr>
        <w:t xml:space="preserve"> the facility (if applicable)</w:t>
      </w:r>
    </w:p>
    <w:p w14:paraId="4D3D42D7" w14:textId="771511A0" w:rsidR="002F2C8C" w:rsidRDefault="09AA4FDE" w:rsidP="00E57123">
      <w:pPr>
        <w:tabs>
          <w:tab w:val="left" w:pos="0"/>
        </w:tabs>
        <w:spacing w:before="240" w:beforeAutospacing="0" w:after="240" w:afterAutospacing="0"/>
        <w:ind w:right="182"/>
        <w:rPr>
          <w:color w:val="000000" w:themeColor="text1"/>
          <w:szCs w:val="24"/>
        </w:rPr>
      </w:pPr>
      <w:r w:rsidRPr="00863888">
        <w:rPr>
          <w:color w:val="000000" w:themeColor="text1"/>
          <w:szCs w:val="24"/>
        </w:rPr>
        <w:t>Operator</w:t>
      </w:r>
      <w:r w:rsidR="00AF41DF" w:rsidRPr="00863888">
        <w:rPr>
          <w:color w:val="000000" w:themeColor="text1"/>
          <w:szCs w:val="24"/>
        </w:rPr>
        <w:t>s will n</w:t>
      </w:r>
      <w:r w:rsidR="004802F5" w:rsidRPr="00863888">
        <w:rPr>
          <w:color w:val="000000" w:themeColor="text1"/>
          <w:szCs w:val="24"/>
        </w:rPr>
        <w:t>eed to</w:t>
      </w:r>
      <w:r w:rsidRPr="00863888">
        <w:rPr>
          <w:color w:val="000000" w:themeColor="text1"/>
          <w:szCs w:val="24"/>
        </w:rPr>
        <w:t xml:space="preserve"> </w:t>
      </w:r>
      <w:r w:rsidR="00ED4E77" w:rsidRPr="00863888">
        <w:rPr>
          <w:color w:val="000000" w:themeColor="text1"/>
          <w:szCs w:val="24"/>
        </w:rPr>
        <w:t xml:space="preserve">submit this </w:t>
      </w:r>
      <w:r w:rsidR="00863888" w:rsidRPr="00863888">
        <w:rPr>
          <w:color w:val="000000" w:themeColor="text1"/>
          <w:szCs w:val="24"/>
        </w:rPr>
        <w:t>data for</w:t>
      </w:r>
      <w:r w:rsidR="004802F5" w:rsidRPr="00863888">
        <w:rPr>
          <w:color w:val="000000" w:themeColor="text1"/>
          <w:szCs w:val="24"/>
        </w:rPr>
        <w:t xml:space="preserve"> all facilities included in their </w:t>
      </w:r>
      <w:r w:rsidR="00440C26" w:rsidRPr="00863888">
        <w:rPr>
          <w:color w:val="000000" w:themeColor="text1"/>
          <w:szCs w:val="24"/>
        </w:rPr>
        <w:t xml:space="preserve">agreement </w:t>
      </w:r>
      <w:r w:rsidR="00787872">
        <w:rPr>
          <w:color w:val="000000" w:themeColor="text1"/>
          <w:szCs w:val="24"/>
        </w:rPr>
        <w:t xml:space="preserve">by </w:t>
      </w:r>
      <w:r w:rsidRPr="73A57582">
        <w:rPr>
          <w:color w:val="000000" w:themeColor="text1"/>
          <w:szCs w:val="24"/>
        </w:rPr>
        <w:t>1 May 2027</w:t>
      </w:r>
      <w:r w:rsidR="009567E4">
        <w:rPr>
          <w:color w:val="000000" w:themeColor="text1"/>
          <w:szCs w:val="24"/>
        </w:rPr>
        <w:t>, and then</w:t>
      </w:r>
      <w:r w:rsidR="00AC6085">
        <w:rPr>
          <w:color w:val="000000" w:themeColor="text1"/>
          <w:szCs w:val="24"/>
        </w:rPr>
        <w:t xml:space="preserve"> annually</w:t>
      </w:r>
      <w:r w:rsidR="009567E4">
        <w:rPr>
          <w:color w:val="000000" w:themeColor="text1"/>
          <w:szCs w:val="24"/>
        </w:rPr>
        <w:t xml:space="preserve"> by 1 May every subsequent year</w:t>
      </w:r>
      <w:r w:rsidRPr="73A57582">
        <w:rPr>
          <w:color w:val="000000" w:themeColor="text1"/>
          <w:szCs w:val="24"/>
        </w:rPr>
        <w:t xml:space="preserve">. </w:t>
      </w:r>
      <w:r w:rsidR="003F4345">
        <w:rPr>
          <w:color w:val="000000" w:themeColor="text1"/>
          <w:szCs w:val="24"/>
        </w:rPr>
        <w:t>The Performance Report is submitted alongside the relevant interim or final target period report.</w:t>
      </w:r>
    </w:p>
    <w:p w14:paraId="30963505" w14:textId="0B986B1D" w:rsidR="005E624A" w:rsidRDefault="0087634C" w:rsidP="00E57123">
      <w:pPr>
        <w:tabs>
          <w:tab w:val="left" w:pos="0"/>
        </w:tabs>
        <w:spacing w:before="240" w:beforeAutospacing="0" w:after="240" w:afterAutospacing="0"/>
        <w:ind w:right="182"/>
        <w:rPr>
          <w:color w:val="000000" w:themeColor="text1"/>
          <w:szCs w:val="24"/>
        </w:rPr>
      </w:pPr>
      <w:r>
        <w:rPr>
          <w:color w:val="000000" w:themeColor="text1"/>
          <w:szCs w:val="24"/>
        </w:rPr>
        <w:t>As c</w:t>
      </w:r>
      <w:r w:rsidR="005E624A">
        <w:rPr>
          <w:color w:val="000000" w:themeColor="text1"/>
          <w:szCs w:val="24"/>
        </w:rPr>
        <w:t xml:space="preserve">onfirmation of the </w:t>
      </w:r>
      <w:r>
        <w:rPr>
          <w:color w:val="000000" w:themeColor="text1"/>
          <w:szCs w:val="24"/>
        </w:rPr>
        <w:t>“</w:t>
      </w:r>
      <w:r w:rsidR="005E624A">
        <w:rPr>
          <w:color w:val="000000" w:themeColor="text1"/>
          <w:szCs w:val="24"/>
        </w:rPr>
        <w:t>70% rule</w:t>
      </w:r>
      <w:r>
        <w:rPr>
          <w:color w:val="000000" w:themeColor="text1"/>
          <w:szCs w:val="24"/>
        </w:rPr>
        <w:t>”</w:t>
      </w:r>
      <w:r w:rsidR="005E624A">
        <w:rPr>
          <w:color w:val="000000" w:themeColor="text1"/>
          <w:szCs w:val="24"/>
        </w:rPr>
        <w:t xml:space="preserve"> </w:t>
      </w:r>
      <w:r>
        <w:rPr>
          <w:color w:val="000000" w:themeColor="text1"/>
          <w:szCs w:val="24"/>
        </w:rPr>
        <w:t xml:space="preserve">only requires a yes/no response, we have </w:t>
      </w:r>
      <w:r w:rsidR="005E624A">
        <w:rPr>
          <w:color w:val="000000" w:themeColor="text1"/>
          <w:szCs w:val="24"/>
        </w:rPr>
        <w:t xml:space="preserve">included </w:t>
      </w:r>
      <w:r>
        <w:rPr>
          <w:color w:val="000000" w:themeColor="text1"/>
          <w:szCs w:val="24"/>
        </w:rPr>
        <w:t xml:space="preserve">this </w:t>
      </w:r>
      <w:r w:rsidR="005E624A">
        <w:rPr>
          <w:color w:val="000000" w:themeColor="text1"/>
          <w:szCs w:val="24"/>
        </w:rPr>
        <w:t xml:space="preserve">as a mandatory question in the </w:t>
      </w:r>
      <w:r>
        <w:rPr>
          <w:color w:val="000000" w:themeColor="text1"/>
          <w:szCs w:val="24"/>
        </w:rPr>
        <w:t xml:space="preserve">final and interim </w:t>
      </w:r>
      <w:r w:rsidR="005E624A">
        <w:rPr>
          <w:color w:val="000000" w:themeColor="text1"/>
          <w:szCs w:val="24"/>
        </w:rPr>
        <w:t xml:space="preserve">target period report </w:t>
      </w:r>
      <w:r>
        <w:rPr>
          <w:color w:val="000000" w:themeColor="text1"/>
          <w:szCs w:val="24"/>
        </w:rPr>
        <w:t xml:space="preserve">workflow, rather than </w:t>
      </w:r>
      <w:r w:rsidR="001349DB">
        <w:rPr>
          <w:color w:val="000000" w:themeColor="text1"/>
          <w:szCs w:val="24"/>
        </w:rPr>
        <w:t xml:space="preserve">as </w:t>
      </w:r>
      <w:r>
        <w:rPr>
          <w:color w:val="000000" w:themeColor="text1"/>
          <w:szCs w:val="24"/>
        </w:rPr>
        <w:t>a separate workflow.</w:t>
      </w:r>
    </w:p>
    <w:p w14:paraId="6D3634D5" w14:textId="3353A548" w:rsidR="001349DB" w:rsidRDefault="001349DB" w:rsidP="00E57123">
      <w:pPr>
        <w:tabs>
          <w:tab w:val="left" w:pos="0"/>
        </w:tabs>
        <w:spacing w:before="240" w:beforeAutospacing="0" w:after="240" w:afterAutospacing="0"/>
        <w:ind w:right="182"/>
        <w:rPr>
          <w:color w:val="000000" w:themeColor="text1"/>
          <w:szCs w:val="24"/>
        </w:rPr>
      </w:pPr>
      <w:r>
        <w:rPr>
          <w:color w:val="000000" w:themeColor="text1"/>
          <w:szCs w:val="24"/>
        </w:rPr>
        <w:t xml:space="preserve">The PAT and UK ETS data components of the performance report both have their own separate workflows in </w:t>
      </w:r>
      <w:proofErr w:type="spellStart"/>
      <w:r>
        <w:rPr>
          <w:color w:val="000000" w:themeColor="text1"/>
          <w:szCs w:val="24"/>
        </w:rPr>
        <w:t>MyCCA</w:t>
      </w:r>
      <w:proofErr w:type="spellEnd"/>
      <w:r>
        <w:rPr>
          <w:color w:val="000000" w:themeColor="text1"/>
          <w:szCs w:val="24"/>
        </w:rPr>
        <w:t>.</w:t>
      </w:r>
    </w:p>
    <w:p w14:paraId="342A4802" w14:textId="01BDCE3F" w:rsidR="00863888" w:rsidRPr="00055B21" w:rsidRDefault="00863888" w:rsidP="00E950E4">
      <w:pPr>
        <w:pStyle w:val="Heading2"/>
      </w:pPr>
      <w:bookmarkStart w:id="237" w:name="_Toc242885409"/>
      <w:r w:rsidRPr="00055B21">
        <w:lastRenderedPageBreak/>
        <w:t>11.1 Performance Account Template (PAT)</w:t>
      </w:r>
      <w:bookmarkEnd w:id="237"/>
    </w:p>
    <w:p w14:paraId="361230AD" w14:textId="242EB0DD" w:rsidR="00615C2A" w:rsidRDefault="003E3585" w:rsidP="00E57123">
      <w:pPr>
        <w:tabs>
          <w:tab w:val="left" w:pos="0"/>
        </w:tabs>
        <w:ind w:right="182"/>
      </w:pPr>
      <w:r>
        <w:t>Operators must complete t</w:t>
      </w:r>
      <w:r w:rsidR="00615C2A">
        <w:t>he</w:t>
      </w:r>
      <w:r w:rsidR="00EC7985">
        <w:t xml:space="preserve"> </w:t>
      </w:r>
      <w:r w:rsidR="00E57123" w:rsidRPr="007776FF">
        <w:t>Performance Account Template (PAT)</w:t>
      </w:r>
      <w:r w:rsidR="00615C2A">
        <w:t xml:space="preserve"> report </w:t>
      </w:r>
      <w:r>
        <w:t xml:space="preserve">with </w:t>
      </w:r>
      <w:r w:rsidR="00E57123">
        <w:t xml:space="preserve">information about the </w:t>
      </w:r>
      <w:r w:rsidR="00E57123" w:rsidRPr="007776FF">
        <w:t xml:space="preserve">energy efficiency or </w:t>
      </w:r>
      <w:r w:rsidR="00E57123">
        <w:t>e</w:t>
      </w:r>
      <w:r w:rsidR="00E57123" w:rsidRPr="007776FF">
        <w:t>missions</w:t>
      </w:r>
      <w:r w:rsidR="00E57123">
        <w:t xml:space="preserve"> </w:t>
      </w:r>
      <w:r w:rsidR="00E57123" w:rsidRPr="007776FF">
        <w:t>reductions</w:t>
      </w:r>
      <w:r w:rsidR="00EC7985">
        <w:t xml:space="preserve"> </w:t>
      </w:r>
      <w:r w:rsidR="00F52A12">
        <w:t xml:space="preserve">measures </w:t>
      </w:r>
      <w:r>
        <w:t xml:space="preserve">they have </w:t>
      </w:r>
      <w:r w:rsidR="00EC7985">
        <w:t>implemented</w:t>
      </w:r>
      <w:r w:rsidR="00E57123" w:rsidRPr="007776FF">
        <w:t xml:space="preserve"> </w:t>
      </w:r>
      <w:r w:rsidR="00EC7985" w:rsidRPr="007776FF">
        <w:t>to</w:t>
      </w:r>
      <w:r w:rsidR="00E57123" w:rsidRPr="007776FF">
        <w:t xml:space="preserve"> meet </w:t>
      </w:r>
      <w:r w:rsidR="00F52A12">
        <w:t xml:space="preserve">the </w:t>
      </w:r>
      <w:r w:rsidR="00615C2A">
        <w:t xml:space="preserve">facility </w:t>
      </w:r>
      <w:r w:rsidR="00F52A12">
        <w:t xml:space="preserve">improvement </w:t>
      </w:r>
      <w:r w:rsidR="00615C2A">
        <w:t>target</w:t>
      </w:r>
      <w:r w:rsidR="00E57123">
        <w:t>.</w:t>
      </w:r>
    </w:p>
    <w:p w14:paraId="75C184BA" w14:textId="6550EE32" w:rsidR="00060215" w:rsidRDefault="00BB2FBF">
      <w:r>
        <w:t xml:space="preserve">Mandatory disclosure </w:t>
      </w:r>
      <w:r w:rsidR="005C2E9E">
        <w:t xml:space="preserve">of actions taken during the </w:t>
      </w:r>
      <w:hyperlink w:anchor="Targetperiod" w:history="1">
        <w:r w:rsidR="005C2E9E" w:rsidRPr="00503774">
          <w:rPr>
            <w:rStyle w:val="Hyperlink"/>
          </w:rPr>
          <w:t>target period</w:t>
        </w:r>
      </w:hyperlink>
      <w:r w:rsidR="005C2E9E">
        <w:t xml:space="preserve"> to improve energy efficiency and emissions reductions w</w:t>
      </w:r>
      <w:r w:rsidR="002507BB">
        <w:t>as</w:t>
      </w:r>
      <w:r w:rsidR="005C2E9E">
        <w:t xml:space="preserve"> introduced </w:t>
      </w:r>
      <w:r w:rsidR="00172991">
        <w:t xml:space="preserve">as part of the </w:t>
      </w:r>
      <w:r w:rsidR="00B46968">
        <w:t xml:space="preserve">Target Period 6 </w:t>
      </w:r>
      <w:r w:rsidR="00172991">
        <w:t xml:space="preserve">extension </w:t>
      </w:r>
      <w:r w:rsidR="00B46968">
        <w:t>to the previous CCA scheme.</w:t>
      </w:r>
    </w:p>
    <w:p w14:paraId="0A311DBE" w14:textId="77777777" w:rsidR="00EB2755" w:rsidRDefault="00E97A39">
      <w:r>
        <w:t xml:space="preserve">This mandatory reporting requirement </w:t>
      </w:r>
      <w:r w:rsidR="001C2DB8">
        <w:t xml:space="preserve">remains in place for </w:t>
      </w:r>
      <w:r w:rsidR="00202F3D">
        <w:t>the new scheme</w:t>
      </w:r>
      <w:r w:rsidR="00D00DAF">
        <w:t>, but a PAT report must now be completed and submitted for each facility in a</w:t>
      </w:r>
      <w:r w:rsidR="00EB2755">
        <w:t xml:space="preserve"> CCA3</w:t>
      </w:r>
      <w:r w:rsidR="00D00DAF">
        <w:t xml:space="preserve"> agreement</w:t>
      </w:r>
      <w:r w:rsidR="00D34B09">
        <w:t xml:space="preserve">. </w:t>
      </w:r>
    </w:p>
    <w:p w14:paraId="0B927E51" w14:textId="6629E9DE" w:rsidR="009F08D4" w:rsidRDefault="00D34B09">
      <w:r>
        <w:t>PAT reports must be</w:t>
      </w:r>
      <w:r w:rsidR="00464F47">
        <w:t xml:space="preserve"> </w:t>
      </w:r>
      <w:r>
        <w:t>submitted</w:t>
      </w:r>
      <w:r w:rsidR="00464F47">
        <w:t xml:space="preserve"> annually </w:t>
      </w:r>
      <w:r w:rsidR="00AB4D56">
        <w:t xml:space="preserve">for </w:t>
      </w:r>
      <w:r w:rsidR="00E40DCA">
        <w:t xml:space="preserve">each facility </w:t>
      </w:r>
      <w:r w:rsidR="00CF397B">
        <w:t>that was in</w:t>
      </w:r>
      <w:r w:rsidR="00E40DCA">
        <w:t xml:space="preserve"> </w:t>
      </w:r>
      <w:r w:rsidR="00771453">
        <w:t xml:space="preserve">an active </w:t>
      </w:r>
      <w:r w:rsidR="00E40DCA">
        <w:t>agreement</w:t>
      </w:r>
      <w:r w:rsidR="00BD7620">
        <w:t xml:space="preserve"> </w:t>
      </w:r>
      <w:r w:rsidR="00771453">
        <w:t xml:space="preserve">at the end of each </w:t>
      </w:r>
      <w:r w:rsidR="00963904">
        <w:t>reporting year</w:t>
      </w:r>
      <w:r w:rsidR="00E40DCA">
        <w:t xml:space="preserve">. </w:t>
      </w:r>
      <w:r w:rsidR="00AB4D56">
        <w:t xml:space="preserve">All CCA reporting requirement deadlines </w:t>
      </w:r>
      <w:r w:rsidR="00A42704">
        <w:t xml:space="preserve">can be found in </w:t>
      </w:r>
      <w:hyperlink w:anchor="_Appendix_B:_Reporting" w:history="1">
        <w:r w:rsidR="00A42704" w:rsidRPr="00202F3D">
          <w:rPr>
            <w:rStyle w:val="Hyperlink"/>
          </w:rPr>
          <w:t>Appendix B</w:t>
        </w:r>
      </w:hyperlink>
      <w:r w:rsidR="00A42704">
        <w:t xml:space="preserve">. </w:t>
      </w:r>
    </w:p>
    <w:p w14:paraId="3F7C170C" w14:textId="77777777" w:rsidR="008366A6" w:rsidRDefault="008366A6" w:rsidP="008366A6">
      <w:r>
        <w:t xml:space="preserve">A template for the PAT CSV file and guidance on completing the template will be available for sectors users to download from the Templates section of </w:t>
      </w:r>
      <w:proofErr w:type="spellStart"/>
      <w:r>
        <w:t>MyCCA</w:t>
      </w:r>
      <w:proofErr w:type="spellEnd"/>
      <w:r>
        <w:t xml:space="preserve">. </w:t>
      </w:r>
    </w:p>
    <w:p w14:paraId="1E109594" w14:textId="4848BDD2" w:rsidR="00F879B5" w:rsidRDefault="003F257B">
      <w:r>
        <w:t xml:space="preserve">The information </w:t>
      </w:r>
      <w:r w:rsidR="00163D82">
        <w:t>operators</w:t>
      </w:r>
      <w:r>
        <w:t xml:space="preserve"> </w:t>
      </w:r>
      <w:r w:rsidRPr="00163D82">
        <w:rPr>
          <w:b/>
          <w:bCs/>
        </w:rPr>
        <w:t>must</w:t>
      </w:r>
      <w:r w:rsidR="00D12606">
        <w:t xml:space="preserve"> provide</w:t>
      </w:r>
      <w:r>
        <w:t xml:space="preserve"> </w:t>
      </w:r>
      <w:r w:rsidR="001302C4">
        <w:t xml:space="preserve">so that the sector can upload the </w:t>
      </w:r>
      <w:r>
        <w:t xml:space="preserve">PAT </w:t>
      </w:r>
      <w:r w:rsidR="001B7F56">
        <w:t>report</w:t>
      </w:r>
      <w:r>
        <w:t xml:space="preserve"> </w:t>
      </w:r>
      <w:r w:rsidR="001302C4">
        <w:t xml:space="preserve">on </w:t>
      </w:r>
      <w:proofErr w:type="spellStart"/>
      <w:r w:rsidR="001302C4">
        <w:t>MyCCA</w:t>
      </w:r>
      <w:proofErr w:type="spellEnd"/>
      <w:r w:rsidR="001302C4">
        <w:t xml:space="preserve"> </w:t>
      </w:r>
      <w:r w:rsidR="00163D82">
        <w:t>are</w:t>
      </w:r>
      <w:r>
        <w:t xml:space="preserve">: </w:t>
      </w:r>
    </w:p>
    <w:p w14:paraId="35C4CC75" w14:textId="78B8032E" w:rsidR="003F257B" w:rsidRDefault="008366A6" w:rsidP="003F257B">
      <w:pPr>
        <w:pStyle w:val="ListParagraph"/>
        <w:numPr>
          <w:ilvl w:val="0"/>
          <w:numId w:val="183"/>
        </w:numPr>
      </w:pPr>
      <w:r>
        <w:t xml:space="preserve">the </w:t>
      </w:r>
      <w:r w:rsidR="00EF5F4F">
        <w:t>f</w:t>
      </w:r>
      <w:r w:rsidR="003F257B">
        <w:t xml:space="preserve">acility </w:t>
      </w:r>
      <w:r>
        <w:t>identifier – exactly as it appears in the active underlying agreement</w:t>
      </w:r>
    </w:p>
    <w:p w14:paraId="6D7008B4" w14:textId="7447AB48" w:rsidR="003F257B" w:rsidRDefault="00163D82" w:rsidP="003F257B">
      <w:pPr>
        <w:pStyle w:val="ListParagraph"/>
        <w:numPr>
          <w:ilvl w:val="0"/>
          <w:numId w:val="183"/>
        </w:numPr>
      </w:pPr>
      <w:r>
        <w:t xml:space="preserve">a </w:t>
      </w:r>
      <w:r w:rsidR="00EF5F4F">
        <w:t>c</w:t>
      </w:r>
      <w:r w:rsidR="00A96561">
        <w:t xml:space="preserve">ategory </w:t>
      </w:r>
      <w:r>
        <w:t xml:space="preserve">for </w:t>
      </w:r>
      <w:r w:rsidR="00A96561">
        <w:t xml:space="preserve">the energy efficiency </w:t>
      </w:r>
      <w:r w:rsidR="00834C41">
        <w:t>or</w:t>
      </w:r>
      <w:r w:rsidR="00A96561">
        <w:t xml:space="preserve"> emission reduction measure</w:t>
      </w:r>
    </w:p>
    <w:p w14:paraId="388CC4A9" w14:textId="783F6FDA" w:rsidR="00A96561" w:rsidRDefault="00EF5F4F" w:rsidP="003F257B">
      <w:pPr>
        <w:pStyle w:val="ListParagraph"/>
        <w:numPr>
          <w:ilvl w:val="0"/>
          <w:numId w:val="183"/>
        </w:numPr>
      </w:pPr>
      <w:r>
        <w:t>w</w:t>
      </w:r>
      <w:r w:rsidR="002F5116">
        <w:t xml:space="preserve">hether </w:t>
      </w:r>
      <w:r w:rsidR="00621C95">
        <w:t xml:space="preserve">the </w:t>
      </w:r>
      <w:r w:rsidR="00047E4F">
        <w:t>measure</w:t>
      </w:r>
      <w:r w:rsidR="00621C95">
        <w:t xml:space="preserve"> is </w:t>
      </w:r>
      <w:r w:rsidR="004E222E">
        <w:t xml:space="preserve">on the </w:t>
      </w:r>
      <w:r w:rsidR="00621C95">
        <w:t>supply side or demand side</w:t>
      </w:r>
    </w:p>
    <w:p w14:paraId="6F29AA44" w14:textId="0F987F19" w:rsidR="00621C95" w:rsidRDefault="00EF5F4F" w:rsidP="003F257B">
      <w:pPr>
        <w:pStyle w:val="ListParagraph"/>
        <w:numPr>
          <w:ilvl w:val="0"/>
          <w:numId w:val="183"/>
        </w:numPr>
      </w:pPr>
      <w:r>
        <w:t>a</w:t>
      </w:r>
      <w:r w:rsidR="000013D0">
        <w:t xml:space="preserve"> </w:t>
      </w:r>
      <w:r w:rsidR="00027450">
        <w:t xml:space="preserve">short </w:t>
      </w:r>
      <w:r w:rsidR="000013D0">
        <w:t xml:space="preserve">description of the </w:t>
      </w:r>
      <w:r w:rsidR="00047E4F">
        <w:t>measure implemented</w:t>
      </w:r>
    </w:p>
    <w:p w14:paraId="1ADCBD44" w14:textId="0A0F863D" w:rsidR="005B7F5B" w:rsidRDefault="00EF5F4F" w:rsidP="003F257B">
      <w:pPr>
        <w:pStyle w:val="ListParagraph"/>
        <w:numPr>
          <w:ilvl w:val="0"/>
          <w:numId w:val="183"/>
        </w:numPr>
      </w:pPr>
      <w:r>
        <w:t>a r</w:t>
      </w:r>
      <w:r w:rsidR="00047E4F">
        <w:t>eason for implement</w:t>
      </w:r>
      <w:r w:rsidR="007265EC">
        <w:t>ing the measure</w:t>
      </w:r>
    </w:p>
    <w:p w14:paraId="56E7F779" w14:textId="27B0B0B3" w:rsidR="005B7F5B" w:rsidRDefault="000826F5" w:rsidP="003F257B">
      <w:pPr>
        <w:pStyle w:val="ListParagraph"/>
        <w:numPr>
          <w:ilvl w:val="0"/>
          <w:numId w:val="183"/>
        </w:numPr>
      </w:pPr>
      <w:r>
        <w:t xml:space="preserve">the date </w:t>
      </w:r>
      <w:r w:rsidR="00F40103">
        <w:t xml:space="preserve">when the measure was </w:t>
      </w:r>
      <w:r w:rsidR="00047E4F">
        <w:t>implement</w:t>
      </w:r>
      <w:r w:rsidR="00F40103">
        <w:t>ed</w:t>
      </w:r>
    </w:p>
    <w:p w14:paraId="4F3FBDAF" w14:textId="58EC9CBE" w:rsidR="00D00A09" w:rsidRDefault="00EF5F4F" w:rsidP="003F257B">
      <w:pPr>
        <w:pStyle w:val="ListParagraph"/>
        <w:numPr>
          <w:ilvl w:val="0"/>
          <w:numId w:val="183"/>
        </w:numPr>
      </w:pPr>
      <w:r>
        <w:t>w</w:t>
      </w:r>
      <w:r w:rsidR="00711CC4">
        <w:t xml:space="preserve">hether the measure </w:t>
      </w:r>
      <w:r>
        <w:t xml:space="preserve">implemented </w:t>
      </w:r>
      <w:r w:rsidR="00132767">
        <w:t>affect</w:t>
      </w:r>
      <w:r>
        <w:t>ed</w:t>
      </w:r>
      <w:r w:rsidR="00711CC4">
        <w:t xml:space="preserve"> the fixed, variable or both fixed and variable </w:t>
      </w:r>
      <w:r>
        <w:t xml:space="preserve">components of </w:t>
      </w:r>
      <w:r w:rsidR="00240E42">
        <w:t xml:space="preserve">energy consumption </w:t>
      </w:r>
      <w:r w:rsidR="00834C41">
        <w:t>or</w:t>
      </w:r>
      <w:r w:rsidR="00447DC1">
        <w:t xml:space="preserve"> </w:t>
      </w:r>
      <w:r w:rsidR="00240E42">
        <w:t xml:space="preserve">carbon </w:t>
      </w:r>
      <w:r w:rsidR="00CA35A5">
        <w:t xml:space="preserve">dioxide </w:t>
      </w:r>
      <w:r w:rsidR="00240E42">
        <w:t>emissions</w:t>
      </w:r>
    </w:p>
    <w:p w14:paraId="27F73288" w14:textId="7075B3D9" w:rsidR="000826F5" w:rsidRDefault="00E93708" w:rsidP="00495188">
      <w:pPr>
        <w:pStyle w:val="ListParagraph"/>
        <w:numPr>
          <w:ilvl w:val="0"/>
          <w:numId w:val="183"/>
        </w:numPr>
      </w:pPr>
      <w:r>
        <w:t xml:space="preserve">the proportion of the total </w:t>
      </w:r>
      <w:r w:rsidR="00CC1B47">
        <w:t xml:space="preserve">primary </w:t>
      </w:r>
      <w:r>
        <w:t xml:space="preserve">energy </w:t>
      </w:r>
      <w:r w:rsidR="00CC1B47">
        <w:t xml:space="preserve">affected by </w:t>
      </w:r>
      <w:r w:rsidR="00EF498B">
        <w:t xml:space="preserve">each </w:t>
      </w:r>
      <w:r w:rsidR="00CC1B47">
        <w:t>measure</w:t>
      </w:r>
    </w:p>
    <w:p w14:paraId="7E77766F" w14:textId="264FBAA4" w:rsidR="00CC1B47" w:rsidRDefault="006A711E" w:rsidP="00495188">
      <w:pPr>
        <w:pStyle w:val="ListParagraph"/>
        <w:numPr>
          <w:ilvl w:val="0"/>
          <w:numId w:val="183"/>
        </w:numPr>
      </w:pPr>
      <w:r>
        <w:t xml:space="preserve">how widely </w:t>
      </w:r>
      <w:r w:rsidR="00EF498B">
        <w:t xml:space="preserve">each </w:t>
      </w:r>
      <w:r>
        <w:t>measure has been implemented</w:t>
      </w:r>
      <w:r w:rsidR="00EF498B">
        <w:t xml:space="preserve"> at the time of reporting</w:t>
      </w:r>
    </w:p>
    <w:p w14:paraId="4DE034C7" w14:textId="50871431" w:rsidR="006A711E" w:rsidRDefault="006A711E" w:rsidP="00495188">
      <w:pPr>
        <w:pStyle w:val="ListParagraph"/>
        <w:numPr>
          <w:ilvl w:val="0"/>
          <w:numId w:val="183"/>
        </w:numPr>
      </w:pPr>
      <w:r>
        <w:t xml:space="preserve">the expected efficiency improvement of </w:t>
      </w:r>
      <w:r w:rsidR="00EF498B">
        <w:t xml:space="preserve">each </w:t>
      </w:r>
      <w:r>
        <w:t>measure</w:t>
      </w:r>
    </w:p>
    <w:p w14:paraId="6A5630AF" w14:textId="301C9B51" w:rsidR="00512EB0" w:rsidRDefault="006703E3" w:rsidP="006E6CBF">
      <w:r>
        <w:t>T</w:t>
      </w:r>
      <w:r w:rsidR="006E6CBF">
        <w:t>he template includes an</w:t>
      </w:r>
      <w:r w:rsidR="006E6CBF" w:rsidRPr="006E6CBF">
        <w:t xml:space="preserve"> </w:t>
      </w:r>
      <w:r w:rsidR="006E6CBF">
        <w:t xml:space="preserve">optional “Notes” element, to provide </w:t>
      </w:r>
      <w:r w:rsidR="00C102C9">
        <w:t xml:space="preserve">any </w:t>
      </w:r>
      <w:r w:rsidR="006E6CBF">
        <w:t>more context on the measures that have been implemented.</w:t>
      </w:r>
    </w:p>
    <w:p w14:paraId="14E1D2F1" w14:textId="6FD9E282" w:rsidR="00EB2755" w:rsidRDefault="00512EB0" w:rsidP="006E6CBF">
      <w:r>
        <w:t xml:space="preserve">If no actions have been implemented </w:t>
      </w:r>
      <w:r w:rsidR="007F5D87">
        <w:t xml:space="preserve">for a facility </w:t>
      </w:r>
      <w:r>
        <w:t>at the time of report</w:t>
      </w:r>
      <w:r w:rsidR="007F5D87">
        <w:t>ing</w:t>
      </w:r>
      <w:r>
        <w:t xml:space="preserve">, the category </w:t>
      </w:r>
      <w:r w:rsidR="00555A1B">
        <w:t>“No action”</w:t>
      </w:r>
      <w:r>
        <w:t xml:space="preserve"> </w:t>
      </w:r>
      <w:r w:rsidRPr="007F5D87">
        <w:rPr>
          <w:b/>
          <w:bCs/>
        </w:rPr>
        <w:t>must</w:t>
      </w:r>
      <w:r>
        <w:t xml:space="preserve"> be selected</w:t>
      </w:r>
      <w:r w:rsidR="00A12D8B">
        <w:t xml:space="preserve"> and</w:t>
      </w:r>
      <w:r w:rsidR="00555A1B">
        <w:t xml:space="preserve"> an explanation </w:t>
      </w:r>
      <w:r w:rsidR="00555A1B" w:rsidRPr="004E222E">
        <w:rPr>
          <w:b/>
          <w:bCs/>
        </w:rPr>
        <w:t>must</w:t>
      </w:r>
      <w:r w:rsidR="00555A1B">
        <w:t xml:space="preserve"> be provided in the “Notes” </w:t>
      </w:r>
      <w:r w:rsidR="007F5D87">
        <w:t xml:space="preserve">element </w:t>
      </w:r>
      <w:r w:rsidR="006E6CBF">
        <w:t>of the CSV file.</w:t>
      </w:r>
      <w:r w:rsidR="00A95C39">
        <w:t xml:space="preserve"> To avoid ambiguous returns, if </w:t>
      </w:r>
      <w:r w:rsidR="00C85AA3">
        <w:t>“N</w:t>
      </w:r>
      <w:r w:rsidR="00A95C39">
        <w:t>o action</w:t>
      </w:r>
      <w:r w:rsidR="00C85AA3">
        <w:t>”</w:t>
      </w:r>
      <w:r w:rsidR="00A95C39">
        <w:t xml:space="preserve"> has been</w:t>
      </w:r>
      <w:r w:rsidR="00C85AA3">
        <w:t xml:space="preserve"> specified for a facility, only the facility identifier, category and notes elements must be populated.</w:t>
      </w:r>
    </w:p>
    <w:p w14:paraId="1F363644" w14:textId="42D1C55F" w:rsidR="00463879" w:rsidRDefault="00004769">
      <w:r>
        <w:lastRenderedPageBreak/>
        <w:t xml:space="preserve">We may take enforcement action if a PAT report is not submitted by the deadlines set out in </w:t>
      </w:r>
      <w:hyperlink w:anchor="_Appendix_B:_Register" w:history="1">
        <w:r w:rsidRPr="00202F3D">
          <w:rPr>
            <w:rStyle w:val="Hyperlink"/>
          </w:rPr>
          <w:t>Appendix B</w:t>
        </w:r>
      </w:hyperlink>
      <w:r>
        <w:t xml:space="preserve">. </w:t>
      </w:r>
    </w:p>
    <w:p w14:paraId="0E57D1D0" w14:textId="3AAEB3F3" w:rsidR="00D817B2" w:rsidRDefault="00523412">
      <w:r>
        <w:t xml:space="preserve">Corrections to </w:t>
      </w:r>
      <w:r w:rsidR="00D817B2">
        <w:t xml:space="preserve">PAT reports can be </w:t>
      </w:r>
      <w:r>
        <w:t xml:space="preserve">submitted in </w:t>
      </w:r>
      <w:proofErr w:type="spellStart"/>
      <w:r>
        <w:t>MyCCA</w:t>
      </w:r>
      <w:proofErr w:type="spellEnd"/>
      <w:r>
        <w:t xml:space="preserve"> </w:t>
      </w:r>
      <w:r w:rsidR="003B061E">
        <w:t>up to</w:t>
      </w:r>
      <w:r w:rsidR="0052302C">
        <w:t xml:space="preserve"> 31 December </w:t>
      </w:r>
      <w:r w:rsidR="003B061E">
        <w:t>of</w:t>
      </w:r>
      <w:r w:rsidR="0052302C">
        <w:t xml:space="preserve"> the reporting year. After this</w:t>
      </w:r>
      <w:r w:rsidR="003B061E">
        <w:t xml:space="preserve"> date</w:t>
      </w:r>
      <w:r w:rsidR="00DD7E67">
        <w:t xml:space="preserve"> it will only be possible to submit a PAT report for the following year</w:t>
      </w:r>
      <w:r w:rsidR="004C3AC1">
        <w:t>.</w:t>
      </w:r>
      <w:r w:rsidR="00DD7E67" w:rsidDel="00725771">
        <w:t xml:space="preserve"> </w:t>
      </w:r>
      <w:r w:rsidR="00FE3FC6">
        <w:t xml:space="preserve">For example, </w:t>
      </w:r>
      <w:r w:rsidR="00DD7E67">
        <w:t>the PAT report</w:t>
      </w:r>
      <w:r w:rsidR="00FE3FC6">
        <w:t xml:space="preserve"> for the 2026 calendar year (1 January 2026 to 31 December 2026) </w:t>
      </w:r>
      <w:r w:rsidR="00DD7E67">
        <w:t xml:space="preserve">must be submitted by </w:t>
      </w:r>
      <w:r w:rsidR="00D85276">
        <w:t>1 May 2027 and</w:t>
      </w:r>
      <w:r w:rsidR="00DD7E67">
        <w:t xml:space="preserve"> may be corrected up to 31 December 2027.</w:t>
      </w:r>
    </w:p>
    <w:p w14:paraId="3659BA47" w14:textId="5D03D747" w:rsidR="00863888" w:rsidRPr="00055B21" w:rsidRDefault="00863888" w:rsidP="00E950E4">
      <w:pPr>
        <w:pStyle w:val="Heading2"/>
      </w:pPr>
      <w:bookmarkStart w:id="238" w:name="_11.2_Confirmation_if"/>
      <w:bookmarkStart w:id="239" w:name="_Toc242885410"/>
      <w:bookmarkEnd w:id="238"/>
      <w:r w:rsidRPr="00055B21">
        <w:t xml:space="preserve">11.2 Confirmation </w:t>
      </w:r>
      <w:r w:rsidR="007D41BF">
        <w:t xml:space="preserve">that </w:t>
      </w:r>
      <w:r w:rsidR="002810F7" w:rsidRPr="00055B21">
        <w:t xml:space="preserve">energy consumed at the target facility is </w:t>
      </w:r>
      <w:r w:rsidR="007D41BF">
        <w:t>at least</w:t>
      </w:r>
      <w:r w:rsidR="00027A66" w:rsidRPr="00055B21">
        <w:t xml:space="preserve"> 70% of its total energy</w:t>
      </w:r>
      <w:bookmarkEnd w:id="239"/>
    </w:p>
    <w:p w14:paraId="1C9A026F" w14:textId="2D288B11" w:rsidR="00027A66" w:rsidRDefault="7076A33B" w:rsidP="00A9233C">
      <w:pPr>
        <w:tabs>
          <w:tab w:val="left" w:pos="0"/>
        </w:tabs>
        <w:spacing w:before="240" w:beforeAutospacing="0" w:after="240" w:afterAutospacing="0"/>
        <w:ind w:right="182"/>
        <w:rPr>
          <w:color w:val="000000" w:themeColor="text1"/>
          <w:szCs w:val="24"/>
        </w:rPr>
      </w:pPr>
      <w:r w:rsidRPr="00EC26B0">
        <w:rPr>
          <w:color w:val="000000" w:themeColor="text1"/>
          <w:szCs w:val="24"/>
        </w:rPr>
        <w:t>Operators holding an agreement are required to confirm</w:t>
      </w:r>
      <w:r w:rsidR="00A9233C">
        <w:rPr>
          <w:color w:val="000000" w:themeColor="text1"/>
          <w:szCs w:val="24"/>
        </w:rPr>
        <w:t xml:space="preserve"> in their interim and final target period report</w:t>
      </w:r>
      <w:r w:rsidR="00D85276">
        <w:rPr>
          <w:color w:val="000000" w:themeColor="text1"/>
          <w:szCs w:val="24"/>
        </w:rPr>
        <w:t>s</w:t>
      </w:r>
      <w:r w:rsidR="00A9233C">
        <w:rPr>
          <w:color w:val="000000" w:themeColor="text1"/>
          <w:szCs w:val="24"/>
        </w:rPr>
        <w:t xml:space="preserve"> whether</w:t>
      </w:r>
      <w:r w:rsidRPr="642E8D6C">
        <w:rPr>
          <w:color w:val="000000" w:themeColor="text1"/>
          <w:szCs w:val="24"/>
        </w:rPr>
        <w:t xml:space="preserve"> </w:t>
      </w:r>
      <w:r w:rsidR="00D85276" w:rsidRPr="642E8D6C">
        <w:rPr>
          <w:color w:val="000000" w:themeColor="text1"/>
          <w:szCs w:val="24"/>
        </w:rPr>
        <w:t xml:space="preserve">at least 70% </w:t>
      </w:r>
      <w:r w:rsidR="00A97754">
        <w:rPr>
          <w:color w:val="000000" w:themeColor="text1"/>
          <w:szCs w:val="24"/>
        </w:rPr>
        <w:t xml:space="preserve">of the total site </w:t>
      </w:r>
      <w:r w:rsidRPr="642E8D6C">
        <w:rPr>
          <w:color w:val="000000" w:themeColor="text1"/>
          <w:szCs w:val="24"/>
        </w:rPr>
        <w:t xml:space="preserve">energy </w:t>
      </w:r>
      <w:r w:rsidR="00A97754">
        <w:rPr>
          <w:color w:val="000000" w:themeColor="text1"/>
          <w:szCs w:val="24"/>
        </w:rPr>
        <w:t xml:space="preserve">is </w:t>
      </w:r>
      <w:r w:rsidRPr="642E8D6C">
        <w:rPr>
          <w:color w:val="000000" w:themeColor="text1"/>
          <w:szCs w:val="24"/>
        </w:rPr>
        <w:t xml:space="preserve">consumed in carrying out eligible </w:t>
      </w:r>
      <w:r w:rsidR="00A97754">
        <w:rPr>
          <w:color w:val="000000" w:themeColor="text1"/>
          <w:szCs w:val="24"/>
        </w:rPr>
        <w:t xml:space="preserve">activities </w:t>
      </w:r>
      <w:r w:rsidRPr="642E8D6C">
        <w:rPr>
          <w:color w:val="000000" w:themeColor="text1"/>
          <w:szCs w:val="24"/>
        </w:rPr>
        <w:t>and any directly associated activities</w:t>
      </w:r>
      <w:r w:rsidR="00A97754">
        <w:rPr>
          <w:color w:val="000000" w:themeColor="text1"/>
          <w:szCs w:val="24"/>
        </w:rPr>
        <w:t xml:space="preserve"> at each facility</w:t>
      </w:r>
      <w:r w:rsidRPr="642E8D6C">
        <w:rPr>
          <w:color w:val="000000" w:themeColor="text1"/>
          <w:szCs w:val="24"/>
        </w:rPr>
        <w:t xml:space="preserve">. Further information on how to assess this can be found in </w:t>
      </w:r>
      <w:hyperlink w:anchor="_3.3.3._Step_3:" w:history="1">
        <w:r w:rsidRPr="00AC6085">
          <w:rPr>
            <w:rStyle w:val="Hyperlink"/>
            <w:szCs w:val="24"/>
          </w:rPr>
          <w:t>section 3</w:t>
        </w:r>
        <w:r w:rsidR="00CA65E9" w:rsidRPr="00AC6085">
          <w:rPr>
            <w:rStyle w:val="Hyperlink"/>
            <w:szCs w:val="24"/>
          </w:rPr>
          <w:t>.3.3</w:t>
        </w:r>
      </w:hyperlink>
      <w:r w:rsidRPr="642E8D6C">
        <w:rPr>
          <w:color w:val="000000" w:themeColor="text1"/>
          <w:szCs w:val="24"/>
        </w:rPr>
        <w:t xml:space="preserve">. </w:t>
      </w:r>
    </w:p>
    <w:p w14:paraId="2B376383" w14:textId="6D73A849" w:rsidR="7076A33B" w:rsidRDefault="7076A33B" w:rsidP="00A9233C">
      <w:pPr>
        <w:tabs>
          <w:tab w:val="left" w:pos="0"/>
        </w:tabs>
        <w:spacing w:before="240" w:beforeAutospacing="0" w:after="240" w:afterAutospacing="0"/>
        <w:ind w:right="182"/>
        <w:rPr>
          <w:color w:val="000000" w:themeColor="text1"/>
          <w:szCs w:val="24"/>
        </w:rPr>
      </w:pPr>
      <w:r w:rsidRPr="642E8D6C">
        <w:rPr>
          <w:color w:val="000000" w:themeColor="text1"/>
          <w:szCs w:val="24"/>
        </w:rPr>
        <w:t xml:space="preserve">A 70% </w:t>
      </w:r>
      <w:r w:rsidR="00A97754">
        <w:rPr>
          <w:color w:val="000000" w:themeColor="text1"/>
          <w:szCs w:val="24"/>
        </w:rPr>
        <w:t xml:space="preserve">evaluation </w:t>
      </w:r>
      <w:r w:rsidRPr="642E8D6C">
        <w:rPr>
          <w:color w:val="000000" w:themeColor="text1"/>
          <w:szCs w:val="24"/>
        </w:rPr>
        <w:t xml:space="preserve">workbook may be used to </w:t>
      </w:r>
      <w:r w:rsidR="00475BF8">
        <w:rPr>
          <w:color w:val="000000" w:themeColor="text1"/>
          <w:szCs w:val="24"/>
        </w:rPr>
        <w:t>determine</w:t>
      </w:r>
      <w:r w:rsidRPr="642E8D6C">
        <w:rPr>
          <w:color w:val="000000" w:themeColor="text1"/>
          <w:szCs w:val="24"/>
        </w:rPr>
        <w:t xml:space="preserve"> the </w:t>
      </w:r>
      <w:r w:rsidR="00AB2E2D">
        <w:rPr>
          <w:color w:val="000000" w:themeColor="text1"/>
          <w:szCs w:val="24"/>
        </w:rPr>
        <w:t xml:space="preserve">current </w:t>
      </w:r>
      <w:r w:rsidRPr="642E8D6C">
        <w:rPr>
          <w:color w:val="000000" w:themeColor="text1"/>
          <w:szCs w:val="24"/>
        </w:rPr>
        <w:t xml:space="preserve">percentage </w:t>
      </w:r>
      <w:r w:rsidR="00AB2E2D">
        <w:rPr>
          <w:color w:val="000000" w:themeColor="text1"/>
          <w:szCs w:val="24"/>
        </w:rPr>
        <w:t>value (and is a good source of evidence</w:t>
      </w:r>
      <w:r w:rsidR="00CE4EC5">
        <w:rPr>
          <w:color w:val="000000" w:themeColor="text1"/>
          <w:szCs w:val="24"/>
        </w:rPr>
        <w:t xml:space="preserve"> in the event of an audit or request for information</w:t>
      </w:r>
      <w:r w:rsidR="00AB2E2D">
        <w:rPr>
          <w:color w:val="000000" w:themeColor="text1"/>
          <w:szCs w:val="24"/>
        </w:rPr>
        <w:t xml:space="preserve">), </w:t>
      </w:r>
      <w:r w:rsidRPr="642E8D6C">
        <w:rPr>
          <w:color w:val="000000" w:themeColor="text1"/>
          <w:szCs w:val="24"/>
        </w:rPr>
        <w:t xml:space="preserve">but </w:t>
      </w:r>
      <w:r w:rsidR="00AB2E2D">
        <w:rPr>
          <w:color w:val="000000" w:themeColor="text1"/>
          <w:szCs w:val="24"/>
        </w:rPr>
        <w:t>f</w:t>
      </w:r>
      <w:r w:rsidRPr="642E8D6C">
        <w:rPr>
          <w:color w:val="000000" w:themeColor="text1"/>
          <w:szCs w:val="24"/>
        </w:rPr>
        <w:t>or reporting purposes</w:t>
      </w:r>
      <w:r w:rsidR="00CE4EC5">
        <w:rPr>
          <w:color w:val="000000" w:themeColor="text1"/>
          <w:szCs w:val="24"/>
        </w:rPr>
        <w:t xml:space="preserve"> we only expect </w:t>
      </w:r>
      <w:r w:rsidRPr="642E8D6C">
        <w:rPr>
          <w:color w:val="000000" w:themeColor="text1"/>
          <w:szCs w:val="24"/>
        </w:rPr>
        <w:t xml:space="preserve">a Yes or No answer. </w:t>
      </w:r>
      <w:hyperlink w:anchor="_7.5._Review_of" w:history="1">
        <w:r w:rsidRPr="00AC6085">
          <w:rPr>
            <w:rStyle w:val="Hyperlink"/>
            <w:szCs w:val="24"/>
          </w:rPr>
          <w:t>Section 7.5</w:t>
        </w:r>
      </w:hyperlink>
      <w:r w:rsidRPr="642E8D6C">
        <w:rPr>
          <w:color w:val="000000" w:themeColor="text1"/>
          <w:szCs w:val="24"/>
        </w:rPr>
        <w:t xml:space="preserve"> provides guidance on structural changes impacting the 70% rule.</w:t>
      </w:r>
    </w:p>
    <w:p w14:paraId="309FBF8E" w14:textId="59480881" w:rsidR="006126FB" w:rsidRPr="00055B21" w:rsidRDefault="006126FB" w:rsidP="00E950E4">
      <w:pPr>
        <w:pStyle w:val="Heading2"/>
      </w:pPr>
      <w:bookmarkStart w:id="240" w:name="_11.3_UK_ETS"/>
      <w:bookmarkStart w:id="241" w:name="_Toc242885411"/>
      <w:bookmarkEnd w:id="240"/>
      <w:r w:rsidRPr="00055B21">
        <w:t>11.3 UK ETS information for the facility (if applicable)</w:t>
      </w:r>
      <w:bookmarkEnd w:id="241"/>
    </w:p>
    <w:p w14:paraId="7DFE6362" w14:textId="23DD736C" w:rsidR="00E57123" w:rsidRDefault="00E57123" w:rsidP="45537B8D">
      <w:pPr>
        <w:tabs>
          <w:tab w:val="left" w:pos="0"/>
        </w:tabs>
        <w:ind w:right="182"/>
      </w:pPr>
      <w:r w:rsidRPr="45537B8D">
        <w:t xml:space="preserve">If </w:t>
      </w:r>
      <w:r w:rsidR="00A94FFA">
        <w:t xml:space="preserve">the </w:t>
      </w:r>
      <w:r w:rsidR="00263E0C">
        <w:t xml:space="preserve">operator of a CCA </w:t>
      </w:r>
      <w:r w:rsidR="00A94FFA">
        <w:t xml:space="preserve">facility </w:t>
      </w:r>
      <w:r w:rsidR="00525D31">
        <w:t xml:space="preserve">undertakes a </w:t>
      </w:r>
      <w:hyperlink w:anchor="Schedule2" w:history="1">
        <w:r w:rsidR="00525D31" w:rsidRPr="00D63154">
          <w:rPr>
            <w:rStyle w:val="Hyperlink"/>
          </w:rPr>
          <w:t>Schedule 2 activity</w:t>
        </w:r>
      </w:hyperlink>
      <w:r w:rsidR="00525D31">
        <w:t xml:space="preserve"> </w:t>
      </w:r>
      <w:r w:rsidR="00CF3AEF">
        <w:t xml:space="preserve">(UK ETS) </w:t>
      </w:r>
      <w:r w:rsidR="00525D31">
        <w:t xml:space="preserve">and </w:t>
      </w:r>
      <w:r w:rsidR="00CF3AEF">
        <w:t xml:space="preserve">holds </w:t>
      </w:r>
      <w:r w:rsidR="00525D31">
        <w:t>a greenhouse gas (GHG) permit,</w:t>
      </w:r>
      <w:r w:rsidRPr="45537B8D">
        <w:t xml:space="preserve"> the operator must report the amounts of energy consumed </w:t>
      </w:r>
      <w:r w:rsidR="005C5ED8">
        <w:t>at the facility</w:t>
      </w:r>
      <w:r w:rsidR="003F4F50">
        <w:t xml:space="preserve"> as part of the performance report</w:t>
      </w:r>
      <w:r w:rsidR="005C5ED8">
        <w:t xml:space="preserve">. </w:t>
      </w:r>
      <w:r w:rsidR="00390406">
        <w:t xml:space="preserve">This </w:t>
      </w:r>
      <w:r w:rsidR="00D63154">
        <w:t>includes</w:t>
      </w:r>
      <w:r w:rsidR="008B3D63">
        <w:t xml:space="preserve"> </w:t>
      </w:r>
      <w:r w:rsidR="00744653">
        <w:t>any operator who holds a H</w:t>
      </w:r>
      <w:r w:rsidR="008B3D63">
        <w:t xml:space="preserve">ospital and </w:t>
      </w:r>
      <w:r w:rsidR="00744653">
        <w:t>S</w:t>
      </w:r>
      <w:r w:rsidR="008B3D63">
        <w:t xml:space="preserve">mall </w:t>
      </w:r>
      <w:r w:rsidR="00744653">
        <w:t>E</w:t>
      </w:r>
      <w:r w:rsidR="008B3D63">
        <w:t>mitter (HSE) permit.</w:t>
      </w:r>
    </w:p>
    <w:p w14:paraId="1437CFED" w14:textId="276224D8" w:rsidR="005C5ED8" w:rsidRDefault="004476BC" w:rsidP="001C301F">
      <w:pPr>
        <w:tabs>
          <w:tab w:val="left" w:pos="0"/>
        </w:tabs>
        <w:ind w:right="182"/>
      </w:pPr>
      <w:r>
        <w:t>Operators of i</w:t>
      </w:r>
      <w:r w:rsidR="00841116" w:rsidRPr="00841116">
        <w:t xml:space="preserve">nstallations that emit </w:t>
      </w:r>
      <w:r>
        <w:t xml:space="preserve">fewer </w:t>
      </w:r>
      <w:r w:rsidR="00841116" w:rsidRPr="00841116">
        <w:t xml:space="preserve">than 2,500 tonnes of carbon dioxide equivalent had the opportunity to apply under the baseline data collection window (April </w:t>
      </w:r>
      <w:r w:rsidR="00D20FEB">
        <w:t>to</w:t>
      </w:r>
      <w:r w:rsidR="00841116" w:rsidRPr="00841116">
        <w:t xml:space="preserve"> June 2025) for Ultra-Small Emitter (USE) status for the 2026 </w:t>
      </w:r>
      <w:r w:rsidR="00D20FEB">
        <w:t>to</w:t>
      </w:r>
      <w:r w:rsidR="00841116" w:rsidRPr="00841116">
        <w:t xml:space="preserve"> 2030 allocation period.</w:t>
      </w:r>
      <w:r w:rsidR="001C301F" w:rsidRPr="001C301F">
        <w:t xml:space="preserve"> </w:t>
      </w:r>
      <w:r w:rsidR="001C301F">
        <w:t>Operators with USE status must confirm that this still applies as part of their submission. They may voluntarily supply energy data</w:t>
      </w:r>
      <w:r w:rsidR="00823F93">
        <w:t xml:space="preserve"> for fuels combusted as part of such installations</w:t>
      </w:r>
      <w:r w:rsidR="00333F81">
        <w:t xml:space="preserve">. </w:t>
      </w:r>
    </w:p>
    <w:p w14:paraId="4D2B5A3B" w14:textId="114C55AA" w:rsidR="00475BF8" w:rsidRDefault="004F222B" w:rsidP="00D63154">
      <w:pPr>
        <w:tabs>
          <w:tab w:val="left" w:pos="0"/>
        </w:tabs>
        <w:ind w:right="182"/>
      </w:pPr>
      <w:r>
        <w:t>Further information on how this information needs to be submitted</w:t>
      </w:r>
      <w:r w:rsidR="002824D5">
        <w:t xml:space="preserve"> in the digital service</w:t>
      </w:r>
      <w:r>
        <w:t xml:space="preserve"> will be </w:t>
      </w:r>
      <w:r w:rsidR="008F2A0F">
        <w:t xml:space="preserve">confirmed </w:t>
      </w:r>
      <w:r w:rsidR="00D20FEB">
        <w:t xml:space="preserve">by </w:t>
      </w:r>
      <w:r w:rsidR="003F4F50">
        <w:t>newsletter in advance of the deadline</w:t>
      </w:r>
      <w:r w:rsidR="008F2A0F">
        <w:t>.</w:t>
      </w:r>
    </w:p>
    <w:p w14:paraId="2DC4E557" w14:textId="77777777" w:rsidR="00475BF8" w:rsidRDefault="00475BF8" w:rsidP="00D63154">
      <w:pPr>
        <w:tabs>
          <w:tab w:val="left" w:pos="0"/>
        </w:tabs>
        <w:ind w:right="182"/>
      </w:pPr>
    </w:p>
    <w:p w14:paraId="241A7A7A" w14:textId="77777777" w:rsidR="00475BF8" w:rsidRDefault="00475BF8" w:rsidP="00D63154">
      <w:pPr>
        <w:tabs>
          <w:tab w:val="left" w:pos="0"/>
        </w:tabs>
        <w:ind w:right="182"/>
      </w:pPr>
    </w:p>
    <w:p w14:paraId="30099C40" w14:textId="66CF4A03" w:rsidR="00475BF8" w:rsidRDefault="00475BF8" w:rsidP="00D63154">
      <w:pPr>
        <w:tabs>
          <w:tab w:val="left" w:pos="0"/>
        </w:tabs>
        <w:ind w:right="182"/>
      </w:pPr>
    </w:p>
    <w:p w14:paraId="5E348361" w14:textId="347FDEEA" w:rsidR="00026E66" w:rsidRDefault="00D73F76" w:rsidP="00B739EF">
      <w:pPr>
        <w:pStyle w:val="Heading1"/>
        <w:tabs>
          <w:tab w:val="left" w:pos="0"/>
        </w:tabs>
      </w:pPr>
      <w:bookmarkStart w:id="242" w:name="_Toc242885412"/>
      <w:r>
        <w:lastRenderedPageBreak/>
        <w:t xml:space="preserve">12. </w:t>
      </w:r>
      <w:r w:rsidR="002737EF">
        <w:t>List of abbreviations</w:t>
      </w:r>
      <w:bookmarkEnd w:id="234"/>
      <w:bookmarkEnd w:id="235"/>
      <w:bookmarkEnd w:id="242"/>
    </w:p>
    <w:tbl>
      <w:tblPr>
        <w:tblStyle w:val="TableGridLight"/>
        <w:tblW w:w="5000" w:type="pct"/>
        <w:tblLook w:val="0620" w:firstRow="1" w:lastRow="0" w:firstColumn="0" w:lastColumn="0" w:noHBand="1" w:noVBand="1"/>
      </w:tblPr>
      <w:tblGrid>
        <w:gridCol w:w="1885"/>
        <w:gridCol w:w="7742"/>
      </w:tblGrid>
      <w:tr w:rsidR="001E10AD" w:rsidRPr="0017613C" w14:paraId="5B5E2385" w14:textId="77777777" w:rsidTr="0017613C">
        <w:trPr>
          <w:trHeight w:val="488"/>
        </w:trPr>
        <w:tc>
          <w:tcPr>
            <w:tcW w:w="979" w:type="pct"/>
          </w:tcPr>
          <w:p w14:paraId="251B5A88" w14:textId="344AB2CA" w:rsidR="0017613C" w:rsidRPr="0017613C" w:rsidRDefault="0017613C" w:rsidP="00FF0098">
            <w:pPr>
              <w:tabs>
                <w:tab w:val="left" w:pos="0"/>
              </w:tabs>
              <w:spacing w:after="117" w:line="256" w:lineRule="auto"/>
              <w:ind w:right="115"/>
              <w:rPr>
                <w:b/>
                <w:bCs/>
                <w:color w:val="auto"/>
              </w:rPr>
            </w:pPr>
            <w:r w:rsidRPr="0017613C">
              <w:rPr>
                <w:b/>
                <w:bCs/>
                <w:color w:val="auto"/>
              </w:rPr>
              <w:t>Abbreviation</w:t>
            </w:r>
          </w:p>
        </w:tc>
        <w:tc>
          <w:tcPr>
            <w:tcW w:w="4021" w:type="pct"/>
          </w:tcPr>
          <w:p w14:paraId="256CD618" w14:textId="0526CDA1" w:rsidR="0017613C" w:rsidRPr="0017613C" w:rsidRDefault="0017613C" w:rsidP="00FF0098">
            <w:pPr>
              <w:tabs>
                <w:tab w:val="left" w:pos="0"/>
              </w:tabs>
              <w:spacing w:after="0" w:line="256" w:lineRule="auto"/>
              <w:jc w:val="both"/>
              <w:rPr>
                <w:b/>
                <w:bCs/>
                <w:color w:val="auto"/>
              </w:rPr>
            </w:pPr>
            <w:r w:rsidRPr="0017613C">
              <w:rPr>
                <w:b/>
                <w:bCs/>
                <w:color w:val="auto"/>
              </w:rPr>
              <w:t xml:space="preserve">Full </w:t>
            </w:r>
            <w:r w:rsidR="00F22E60">
              <w:rPr>
                <w:b/>
                <w:bCs/>
                <w:color w:val="auto"/>
              </w:rPr>
              <w:t>term</w:t>
            </w:r>
          </w:p>
        </w:tc>
      </w:tr>
      <w:tr w:rsidR="001E10AD" w14:paraId="7B881F06" w14:textId="77777777" w:rsidTr="0017613C">
        <w:trPr>
          <w:trHeight w:hRule="exact" w:val="488"/>
        </w:trPr>
        <w:tc>
          <w:tcPr>
            <w:tcW w:w="979" w:type="pct"/>
          </w:tcPr>
          <w:p w14:paraId="35AEB890" w14:textId="510D0D78" w:rsidR="0017613C" w:rsidRPr="00814652" w:rsidRDefault="0017613C" w:rsidP="0017613C">
            <w:pPr>
              <w:tabs>
                <w:tab w:val="left" w:pos="0"/>
              </w:tabs>
              <w:spacing w:after="0" w:line="256" w:lineRule="auto"/>
              <w:ind w:right="115"/>
              <w:rPr>
                <w:b/>
                <w:bCs/>
                <w:color w:val="auto"/>
              </w:rPr>
            </w:pPr>
            <w:r w:rsidRPr="00814652">
              <w:rPr>
                <w:b/>
                <w:bCs/>
                <w:color w:val="auto"/>
              </w:rPr>
              <w:t>BEIS</w:t>
            </w:r>
          </w:p>
        </w:tc>
        <w:tc>
          <w:tcPr>
            <w:tcW w:w="4021" w:type="pct"/>
          </w:tcPr>
          <w:p w14:paraId="0AEB2F74" w14:textId="7CCA848A" w:rsidR="0017613C" w:rsidRDefault="0017613C" w:rsidP="0017613C">
            <w:pPr>
              <w:tabs>
                <w:tab w:val="left" w:pos="0"/>
              </w:tabs>
              <w:spacing w:after="0" w:line="256" w:lineRule="auto"/>
              <w:rPr>
                <w:color w:val="auto"/>
              </w:rPr>
            </w:pPr>
            <w:r>
              <w:rPr>
                <w:color w:val="auto"/>
              </w:rPr>
              <w:t>Department for Business, Energy and Industrial Strategy</w:t>
            </w:r>
          </w:p>
        </w:tc>
      </w:tr>
      <w:tr w:rsidR="001E10AD" w14:paraId="167715D4" w14:textId="77777777" w:rsidTr="0017613C">
        <w:trPr>
          <w:trHeight w:hRule="exact" w:val="488"/>
        </w:trPr>
        <w:tc>
          <w:tcPr>
            <w:tcW w:w="979" w:type="pct"/>
          </w:tcPr>
          <w:p w14:paraId="21BF8411" w14:textId="616B66B3" w:rsidR="0017613C" w:rsidRPr="00814652" w:rsidRDefault="0017613C" w:rsidP="0017613C">
            <w:pPr>
              <w:tabs>
                <w:tab w:val="left" w:pos="0"/>
              </w:tabs>
              <w:spacing w:after="0" w:line="256" w:lineRule="auto"/>
              <w:ind w:right="115"/>
              <w:rPr>
                <w:b/>
                <w:bCs/>
                <w:color w:val="auto"/>
              </w:rPr>
            </w:pPr>
            <w:r w:rsidRPr="00814652">
              <w:rPr>
                <w:b/>
                <w:bCs/>
                <w:color w:val="auto"/>
              </w:rPr>
              <w:t>CCA</w:t>
            </w:r>
          </w:p>
        </w:tc>
        <w:tc>
          <w:tcPr>
            <w:tcW w:w="4021" w:type="pct"/>
          </w:tcPr>
          <w:p w14:paraId="4B3A4BB4" w14:textId="704FC2CE" w:rsidR="0017613C" w:rsidRDefault="0017613C" w:rsidP="0017613C">
            <w:pPr>
              <w:tabs>
                <w:tab w:val="left" w:pos="0"/>
              </w:tabs>
              <w:spacing w:after="0" w:line="256" w:lineRule="auto"/>
              <w:rPr>
                <w:color w:val="auto"/>
              </w:rPr>
            </w:pPr>
            <w:r>
              <w:rPr>
                <w:color w:val="auto"/>
              </w:rPr>
              <w:t>Climate Change Agreement</w:t>
            </w:r>
          </w:p>
        </w:tc>
      </w:tr>
      <w:tr w:rsidR="001E10AD" w14:paraId="605807FC" w14:textId="77777777" w:rsidTr="0017613C">
        <w:trPr>
          <w:trHeight w:hRule="exact" w:val="488"/>
        </w:trPr>
        <w:tc>
          <w:tcPr>
            <w:tcW w:w="979" w:type="pct"/>
          </w:tcPr>
          <w:p w14:paraId="156B1B44" w14:textId="77777777" w:rsidR="0017613C" w:rsidRPr="00814652" w:rsidRDefault="0017613C" w:rsidP="0017613C">
            <w:pPr>
              <w:tabs>
                <w:tab w:val="left" w:pos="0"/>
              </w:tabs>
              <w:spacing w:after="0" w:line="256" w:lineRule="auto"/>
              <w:ind w:right="115"/>
              <w:rPr>
                <w:b/>
                <w:bCs/>
                <w:color w:val="auto"/>
              </w:rPr>
            </w:pPr>
            <w:r w:rsidRPr="00814652">
              <w:rPr>
                <w:b/>
                <w:bCs/>
                <w:color w:val="auto"/>
              </w:rPr>
              <w:t>CCL</w:t>
            </w:r>
          </w:p>
        </w:tc>
        <w:tc>
          <w:tcPr>
            <w:tcW w:w="4021" w:type="pct"/>
          </w:tcPr>
          <w:p w14:paraId="4901AD09" w14:textId="77777777" w:rsidR="0017613C" w:rsidRDefault="0017613C" w:rsidP="0017613C">
            <w:pPr>
              <w:tabs>
                <w:tab w:val="left" w:pos="0"/>
              </w:tabs>
              <w:spacing w:after="0" w:line="256" w:lineRule="auto"/>
              <w:rPr>
                <w:color w:val="auto"/>
              </w:rPr>
            </w:pPr>
            <w:r>
              <w:rPr>
                <w:color w:val="auto"/>
              </w:rPr>
              <w:t xml:space="preserve">Climate Change Levy </w:t>
            </w:r>
          </w:p>
        </w:tc>
      </w:tr>
      <w:tr w:rsidR="001E10AD" w14:paraId="170A1CFF" w14:textId="77777777" w:rsidTr="0017613C">
        <w:trPr>
          <w:trHeight w:hRule="exact" w:val="488"/>
        </w:trPr>
        <w:tc>
          <w:tcPr>
            <w:tcW w:w="979" w:type="pct"/>
          </w:tcPr>
          <w:p w14:paraId="2C3746F5" w14:textId="77777777" w:rsidR="0017613C" w:rsidRPr="00814652" w:rsidRDefault="0017613C" w:rsidP="0017613C">
            <w:pPr>
              <w:tabs>
                <w:tab w:val="left" w:pos="0"/>
              </w:tabs>
              <w:spacing w:after="0" w:line="256" w:lineRule="auto"/>
              <w:ind w:right="115"/>
              <w:rPr>
                <w:b/>
                <w:bCs/>
                <w:color w:val="auto"/>
              </w:rPr>
            </w:pPr>
            <w:r w:rsidRPr="00814652">
              <w:rPr>
                <w:b/>
                <w:bCs/>
                <w:color w:val="auto"/>
              </w:rPr>
              <w:t>Ce</w:t>
            </w:r>
          </w:p>
        </w:tc>
        <w:tc>
          <w:tcPr>
            <w:tcW w:w="4021" w:type="pct"/>
          </w:tcPr>
          <w:p w14:paraId="5FA9FADF" w14:textId="77777777" w:rsidR="0017613C" w:rsidRDefault="0017613C" w:rsidP="0017613C">
            <w:pPr>
              <w:tabs>
                <w:tab w:val="left" w:pos="0"/>
              </w:tabs>
              <w:spacing w:after="0" w:line="256" w:lineRule="auto"/>
              <w:rPr>
                <w:color w:val="auto"/>
              </w:rPr>
            </w:pPr>
            <w:r>
              <w:rPr>
                <w:color w:val="auto"/>
              </w:rPr>
              <w:t xml:space="preserve">Carbon equivalent </w:t>
            </w:r>
          </w:p>
        </w:tc>
      </w:tr>
      <w:tr w:rsidR="001E10AD" w14:paraId="4759AE8F" w14:textId="77777777" w:rsidTr="0017613C">
        <w:trPr>
          <w:trHeight w:hRule="exact" w:val="488"/>
        </w:trPr>
        <w:tc>
          <w:tcPr>
            <w:tcW w:w="979" w:type="pct"/>
          </w:tcPr>
          <w:p w14:paraId="7A073042" w14:textId="77777777" w:rsidR="0017613C" w:rsidRPr="00814652" w:rsidRDefault="0017613C" w:rsidP="0017613C">
            <w:pPr>
              <w:tabs>
                <w:tab w:val="left" w:pos="0"/>
              </w:tabs>
              <w:spacing w:after="0" w:line="256" w:lineRule="auto"/>
              <w:ind w:right="115"/>
              <w:rPr>
                <w:b/>
                <w:bCs/>
                <w:color w:val="auto"/>
              </w:rPr>
            </w:pPr>
            <w:r w:rsidRPr="00814652">
              <w:rPr>
                <w:b/>
                <w:bCs/>
                <w:color w:val="auto"/>
              </w:rPr>
              <w:t>CHP</w:t>
            </w:r>
          </w:p>
        </w:tc>
        <w:tc>
          <w:tcPr>
            <w:tcW w:w="4021" w:type="pct"/>
          </w:tcPr>
          <w:p w14:paraId="00D35B14" w14:textId="77777777" w:rsidR="0017613C" w:rsidRDefault="0017613C" w:rsidP="0017613C">
            <w:pPr>
              <w:tabs>
                <w:tab w:val="left" w:pos="0"/>
              </w:tabs>
              <w:spacing w:after="0" w:line="256" w:lineRule="auto"/>
              <w:rPr>
                <w:color w:val="auto"/>
              </w:rPr>
            </w:pPr>
            <w:r>
              <w:rPr>
                <w:color w:val="auto"/>
              </w:rPr>
              <w:t xml:space="preserve">Combined Heat and Power </w:t>
            </w:r>
          </w:p>
        </w:tc>
      </w:tr>
      <w:tr w:rsidR="001E10AD" w14:paraId="274C0C9E" w14:textId="77777777" w:rsidTr="0017613C">
        <w:trPr>
          <w:trHeight w:hRule="exact" w:val="488"/>
        </w:trPr>
        <w:tc>
          <w:tcPr>
            <w:tcW w:w="979" w:type="pct"/>
          </w:tcPr>
          <w:p w14:paraId="568A88CE" w14:textId="77777777" w:rsidR="0017613C" w:rsidRPr="00814652" w:rsidRDefault="0017613C" w:rsidP="0017613C">
            <w:pPr>
              <w:tabs>
                <w:tab w:val="left" w:pos="0"/>
              </w:tabs>
              <w:spacing w:after="0" w:line="256" w:lineRule="auto"/>
              <w:ind w:right="115"/>
              <w:rPr>
                <w:b/>
                <w:bCs/>
                <w:color w:val="auto"/>
              </w:rPr>
            </w:pPr>
            <w:r w:rsidRPr="00814652">
              <w:rPr>
                <w:b/>
                <w:bCs/>
                <w:color w:val="auto"/>
              </w:rPr>
              <w:t>CHPQA</w:t>
            </w:r>
          </w:p>
        </w:tc>
        <w:tc>
          <w:tcPr>
            <w:tcW w:w="4021" w:type="pct"/>
          </w:tcPr>
          <w:p w14:paraId="1BAF1883" w14:textId="77777777" w:rsidR="0017613C" w:rsidRDefault="0017613C" w:rsidP="0017613C">
            <w:pPr>
              <w:tabs>
                <w:tab w:val="left" w:pos="0"/>
              </w:tabs>
              <w:spacing w:after="0" w:line="256" w:lineRule="auto"/>
              <w:rPr>
                <w:color w:val="auto"/>
              </w:rPr>
            </w:pPr>
            <w:r>
              <w:rPr>
                <w:color w:val="auto"/>
              </w:rPr>
              <w:t xml:space="preserve">Combined Heat and Power Quality Assurance </w:t>
            </w:r>
          </w:p>
        </w:tc>
      </w:tr>
      <w:tr w:rsidR="001E10AD" w14:paraId="0217E3B8" w14:textId="77777777" w:rsidTr="0017613C">
        <w:trPr>
          <w:trHeight w:hRule="exact" w:val="488"/>
        </w:trPr>
        <w:tc>
          <w:tcPr>
            <w:tcW w:w="979" w:type="pct"/>
          </w:tcPr>
          <w:p w14:paraId="2B8CD7A0" w14:textId="77777777" w:rsidR="0017613C" w:rsidRPr="00814652" w:rsidRDefault="0017613C" w:rsidP="0017613C">
            <w:pPr>
              <w:tabs>
                <w:tab w:val="left" w:pos="0"/>
              </w:tabs>
              <w:spacing w:after="0" w:line="256" w:lineRule="auto"/>
              <w:ind w:right="115"/>
              <w:rPr>
                <w:b/>
                <w:bCs/>
                <w:color w:val="auto"/>
              </w:rPr>
            </w:pPr>
            <w:r w:rsidRPr="00814652">
              <w:rPr>
                <w:b/>
                <w:bCs/>
                <w:color w:val="auto"/>
              </w:rPr>
              <w:t>CO2</w:t>
            </w:r>
          </w:p>
        </w:tc>
        <w:tc>
          <w:tcPr>
            <w:tcW w:w="4021" w:type="pct"/>
          </w:tcPr>
          <w:p w14:paraId="5538E0E0" w14:textId="77777777" w:rsidR="0017613C" w:rsidRDefault="0017613C" w:rsidP="0017613C">
            <w:pPr>
              <w:tabs>
                <w:tab w:val="left" w:pos="0"/>
              </w:tabs>
              <w:spacing w:after="0" w:line="256" w:lineRule="auto"/>
            </w:pPr>
            <w:r>
              <w:rPr>
                <w:color w:val="auto"/>
              </w:rPr>
              <w:t xml:space="preserve">Carbon </w:t>
            </w:r>
            <w:r>
              <w:rPr>
                <w:color w:val="auto"/>
                <w:szCs w:val="24"/>
              </w:rPr>
              <w:t>dioxide</w:t>
            </w:r>
            <w:r>
              <w:rPr>
                <w:color w:val="auto"/>
              </w:rPr>
              <w:t xml:space="preserve"> </w:t>
            </w:r>
          </w:p>
        </w:tc>
      </w:tr>
      <w:tr w:rsidR="001E10AD" w14:paraId="4036B4FB" w14:textId="77777777" w:rsidTr="0017613C">
        <w:trPr>
          <w:trHeight w:hRule="exact" w:val="488"/>
        </w:trPr>
        <w:tc>
          <w:tcPr>
            <w:tcW w:w="979" w:type="pct"/>
          </w:tcPr>
          <w:p w14:paraId="6987C45C" w14:textId="77777777" w:rsidR="0017613C" w:rsidRPr="00814652" w:rsidRDefault="0017613C" w:rsidP="0017613C">
            <w:pPr>
              <w:tabs>
                <w:tab w:val="left" w:pos="0"/>
              </w:tabs>
              <w:spacing w:after="0" w:line="256" w:lineRule="auto"/>
              <w:ind w:right="115"/>
              <w:rPr>
                <w:b/>
                <w:bCs/>
                <w:color w:val="auto"/>
              </w:rPr>
            </w:pPr>
            <w:r w:rsidRPr="00814652">
              <w:rPr>
                <w:b/>
                <w:bCs/>
                <w:color w:val="auto"/>
              </w:rPr>
              <w:t>CO2e</w:t>
            </w:r>
          </w:p>
        </w:tc>
        <w:tc>
          <w:tcPr>
            <w:tcW w:w="4021" w:type="pct"/>
          </w:tcPr>
          <w:p w14:paraId="1884F84F" w14:textId="77777777" w:rsidR="0017613C" w:rsidRDefault="0017613C" w:rsidP="0017613C">
            <w:pPr>
              <w:tabs>
                <w:tab w:val="left" w:pos="0"/>
              </w:tabs>
              <w:spacing w:after="0" w:line="256" w:lineRule="auto"/>
            </w:pPr>
            <w:r>
              <w:rPr>
                <w:color w:val="auto"/>
              </w:rPr>
              <w:t xml:space="preserve">Carbon </w:t>
            </w:r>
            <w:r>
              <w:rPr>
                <w:color w:val="auto"/>
                <w:szCs w:val="24"/>
              </w:rPr>
              <w:t>dioxide</w:t>
            </w:r>
            <w:r>
              <w:rPr>
                <w:color w:val="auto"/>
              </w:rPr>
              <w:t xml:space="preserve"> equivalent </w:t>
            </w:r>
          </w:p>
        </w:tc>
      </w:tr>
      <w:tr w:rsidR="001E10AD" w14:paraId="1FA6D569" w14:textId="77777777" w:rsidTr="0017613C">
        <w:trPr>
          <w:trHeight w:hRule="exact" w:val="488"/>
        </w:trPr>
        <w:tc>
          <w:tcPr>
            <w:tcW w:w="979" w:type="pct"/>
          </w:tcPr>
          <w:p w14:paraId="1C01FA0E" w14:textId="77777777" w:rsidR="0017613C" w:rsidRPr="00814652" w:rsidRDefault="0017613C" w:rsidP="0017613C">
            <w:pPr>
              <w:tabs>
                <w:tab w:val="left" w:pos="0"/>
              </w:tabs>
              <w:spacing w:after="0" w:line="256" w:lineRule="auto"/>
              <w:ind w:right="115"/>
              <w:rPr>
                <w:b/>
                <w:bCs/>
                <w:color w:val="auto"/>
              </w:rPr>
            </w:pPr>
            <w:r w:rsidRPr="00814652">
              <w:rPr>
                <w:b/>
                <w:bCs/>
                <w:color w:val="auto"/>
              </w:rPr>
              <w:t>DAA</w:t>
            </w:r>
          </w:p>
        </w:tc>
        <w:tc>
          <w:tcPr>
            <w:tcW w:w="4021" w:type="pct"/>
          </w:tcPr>
          <w:p w14:paraId="12E2BE2F" w14:textId="77777777" w:rsidR="0017613C" w:rsidRDefault="0017613C" w:rsidP="0017613C">
            <w:pPr>
              <w:tabs>
                <w:tab w:val="left" w:pos="0"/>
              </w:tabs>
              <w:spacing w:after="0" w:line="256" w:lineRule="auto"/>
            </w:pPr>
            <w:r>
              <w:rPr>
                <w:color w:val="auto"/>
              </w:rPr>
              <w:t xml:space="preserve">Directly </w:t>
            </w:r>
            <w:r>
              <w:rPr>
                <w:color w:val="auto"/>
                <w:szCs w:val="24"/>
              </w:rPr>
              <w:t>associated activity</w:t>
            </w:r>
          </w:p>
        </w:tc>
      </w:tr>
      <w:tr w:rsidR="001E10AD" w14:paraId="4046B7FA" w14:textId="77777777" w:rsidTr="0017613C">
        <w:trPr>
          <w:trHeight w:hRule="exact" w:val="488"/>
        </w:trPr>
        <w:tc>
          <w:tcPr>
            <w:tcW w:w="979" w:type="pct"/>
          </w:tcPr>
          <w:p w14:paraId="5E55E9CB"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DECC </w:t>
            </w:r>
          </w:p>
        </w:tc>
        <w:tc>
          <w:tcPr>
            <w:tcW w:w="4021" w:type="pct"/>
          </w:tcPr>
          <w:p w14:paraId="20F709FB" w14:textId="5768CBDF" w:rsidR="0017613C" w:rsidRDefault="0017613C" w:rsidP="0017613C">
            <w:pPr>
              <w:tabs>
                <w:tab w:val="left" w:pos="0"/>
              </w:tabs>
              <w:spacing w:after="0" w:line="256" w:lineRule="auto"/>
              <w:rPr>
                <w:color w:val="auto"/>
              </w:rPr>
            </w:pPr>
            <w:r>
              <w:rPr>
                <w:color w:val="auto"/>
              </w:rPr>
              <w:t xml:space="preserve">Department </w:t>
            </w:r>
            <w:r w:rsidR="00DC3280">
              <w:rPr>
                <w:color w:val="auto"/>
              </w:rPr>
              <w:t xml:space="preserve">of </w:t>
            </w:r>
            <w:r>
              <w:rPr>
                <w:color w:val="auto"/>
              </w:rPr>
              <w:t xml:space="preserve">Energy and Climate Change </w:t>
            </w:r>
          </w:p>
        </w:tc>
      </w:tr>
      <w:tr w:rsidR="001E10AD" w14:paraId="694CACD7" w14:textId="77777777" w:rsidTr="0017613C">
        <w:trPr>
          <w:trHeight w:hRule="exact" w:val="488"/>
        </w:trPr>
        <w:tc>
          <w:tcPr>
            <w:tcW w:w="979" w:type="pct"/>
          </w:tcPr>
          <w:p w14:paraId="740CCAD5"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Defra </w:t>
            </w:r>
          </w:p>
        </w:tc>
        <w:tc>
          <w:tcPr>
            <w:tcW w:w="4021" w:type="pct"/>
          </w:tcPr>
          <w:p w14:paraId="29CE457E" w14:textId="24768939" w:rsidR="0017613C" w:rsidRDefault="0017613C" w:rsidP="0017613C">
            <w:pPr>
              <w:tabs>
                <w:tab w:val="left" w:pos="0"/>
              </w:tabs>
              <w:spacing w:after="0" w:line="256" w:lineRule="auto"/>
              <w:rPr>
                <w:color w:val="auto"/>
              </w:rPr>
            </w:pPr>
            <w:r>
              <w:rPr>
                <w:color w:val="auto"/>
              </w:rPr>
              <w:t xml:space="preserve">Department </w:t>
            </w:r>
            <w:r w:rsidR="00186B8D">
              <w:rPr>
                <w:color w:val="auto"/>
              </w:rPr>
              <w:t xml:space="preserve">for </w:t>
            </w:r>
            <w:r>
              <w:rPr>
                <w:color w:val="auto"/>
              </w:rPr>
              <w:t xml:space="preserve">Environment, Food and Rural Affairs </w:t>
            </w:r>
          </w:p>
        </w:tc>
      </w:tr>
      <w:tr w:rsidR="00BD0A4C" w14:paraId="0A334E0F" w14:textId="77777777" w:rsidTr="0017613C">
        <w:trPr>
          <w:trHeight w:hRule="exact" w:val="488"/>
        </w:trPr>
        <w:tc>
          <w:tcPr>
            <w:tcW w:w="979" w:type="pct"/>
          </w:tcPr>
          <w:p w14:paraId="76D38FF5" w14:textId="3532FAFA" w:rsidR="00BD0A4C" w:rsidRPr="00814652" w:rsidRDefault="00BD0A4C" w:rsidP="0017613C">
            <w:pPr>
              <w:tabs>
                <w:tab w:val="left" w:pos="0"/>
              </w:tabs>
              <w:spacing w:after="0" w:line="256" w:lineRule="auto"/>
              <w:ind w:right="115"/>
              <w:rPr>
                <w:b/>
                <w:bCs/>
                <w:color w:val="auto"/>
              </w:rPr>
            </w:pPr>
            <w:r>
              <w:rPr>
                <w:b/>
                <w:bCs/>
                <w:color w:val="auto"/>
              </w:rPr>
              <w:t>DESNZ</w:t>
            </w:r>
          </w:p>
        </w:tc>
        <w:tc>
          <w:tcPr>
            <w:tcW w:w="4021" w:type="pct"/>
          </w:tcPr>
          <w:p w14:paraId="2D46A4F6" w14:textId="48651404" w:rsidR="00BD0A4C" w:rsidRDefault="00BD0A4C" w:rsidP="0017613C">
            <w:pPr>
              <w:tabs>
                <w:tab w:val="left" w:pos="0"/>
              </w:tabs>
              <w:spacing w:after="0" w:line="256" w:lineRule="auto"/>
              <w:rPr>
                <w:color w:val="auto"/>
              </w:rPr>
            </w:pPr>
            <w:r>
              <w:rPr>
                <w:color w:val="auto"/>
              </w:rPr>
              <w:t>Department for En</w:t>
            </w:r>
            <w:r w:rsidR="00CB6882">
              <w:rPr>
                <w:color w:val="auto"/>
              </w:rPr>
              <w:t>ergy Security and Net Zero</w:t>
            </w:r>
          </w:p>
        </w:tc>
      </w:tr>
      <w:tr w:rsidR="001E10AD" w14:paraId="6F8A0CB1" w14:textId="77777777" w:rsidTr="0017613C">
        <w:trPr>
          <w:trHeight w:hRule="exact" w:val="488"/>
        </w:trPr>
        <w:tc>
          <w:tcPr>
            <w:tcW w:w="979" w:type="pct"/>
          </w:tcPr>
          <w:p w14:paraId="3D8FAB8B"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EPR </w:t>
            </w:r>
          </w:p>
        </w:tc>
        <w:tc>
          <w:tcPr>
            <w:tcW w:w="4021" w:type="pct"/>
          </w:tcPr>
          <w:p w14:paraId="4BB4BB80" w14:textId="77777777" w:rsidR="0017613C" w:rsidRDefault="0017613C" w:rsidP="0017613C">
            <w:pPr>
              <w:tabs>
                <w:tab w:val="left" w:pos="0"/>
              </w:tabs>
              <w:spacing w:after="0" w:line="256" w:lineRule="auto"/>
              <w:rPr>
                <w:color w:val="auto"/>
              </w:rPr>
            </w:pPr>
            <w:r>
              <w:rPr>
                <w:color w:val="auto"/>
              </w:rPr>
              <w:t xml:space="preserve">Environmental Permitting Regulations </w:t>
            </w:r>
          </w:p>
        </w:tc>
      </w:tr>
      <w:tr w:rsidR="001E10AD" w14:paraId="69C831F5" w14:textId="77777777" w:rsidTr="0017613C">
        <w:trPr>
          <w:trHeight w:hRule="exact" w:val="488"/>
        </w:trPr>
        <w:tc>
          <w:tcPr>
            <w:tcW w:w="979" w:type="pct"/>
          </w:tcPr>
          <w:p w14:paraId="1E15D16C" w14:textId="584D462D" w:rsidR="0017613C" w:rsidRPr="00814652" w:rsidRDefault="0017613C" w:rsidP="0017613C">
            <w:pPr>
              <w:tabs>
                <w:tab w:val="left" w:pos="0"/>
              </w:tabs>
              <w:spacing w:after="0" w:line="256" w:lineRule="auto"/>
              <w:ind w:right="115"/>
              <w:rPr>
                <w:b/>
                <w:bCs/>
                <w:color w:val="auto"/>
              </w:rPr>
            </w:pPr>
            <w:r w:rsidRPr="00814652">
              <w:rPr>
                <w:b/>
                <w:bCs/>
                <w:color w:val="auto"/>
              </w:rPr>
              <w:t xml:space="preserve">ETS </w:t>
            </w:r>
          </w:p>
        </w:tc>
        <w:tc>
          <w:tcPr>
            <w:tcW w:w="4021" w:type="pct"/>
          </w:tcPr>
          <w:p w14:paraId="460FDE19" w14:textId="77777777" w:rsidR="0017613C" w:rsidRDefault="0017613C" w:rsidP="0017613C">
            <w:pPr>
              <w:tabs>
                <w:tab w:val="left" w:pos="0"/>
              </w:tabs>
              <w:spacing w:after="0" w:line="256" w:lineRule="auto"/>
              <w:rPr>
                <w:color w:val="auto"/>
              </w:rPr>
            </w:pPr>
            <w:r>
              <w:rPr>
                <w:color w:val="auto"/>
              </w:rPr>
              <w:t>Emissions Trading Scheme</w:t>
            </w:r>
          </w:p>
        </w:tc>
      </w:tr>
      <w:tr w:rsidR="001E10AD" w14:paraId="0A30A322" w14:textId="77777777" w:rsidTr="0017613C">
        <w:trPr>
          <w:trHeight w:hRule="exact" w:val="488"/>
        </w:trPr>
        <w:tc>
          <w:tcPr>
            <w:tcW w:w="979" w:type="pct"/>
          </w:tcPr>
          <w:p w14:paraId="40316BC8"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GCV </w:t>
            </w:r>
          </w:p>
        </w:tc>
        <w:tc>
          <w:tcPr>
            <w:tcW w:w="4021" w:type="pct"/>
          </w:tcPr>
          <w:p w14:paraId="4300A116" w14:textId="77777777" w:rsidR="0017613C" w:rsidRDefault="0017613C" w:rsidP="0017613C">
            <w:pPr>
              <w:tabs>
                <w:tab w:val="left" w:pos="0"/>
              </w:tabs>
              <w:spacing w:after="0" w:line="256" w:lineRule="auto"/>
            </w:pPr>
            <w:r>
              <w:rPr>
                <w:color w:val="auto"/>
              </w:rPr>
              <w:t xml:space="preserve">Gross </w:t>
            </w:r>
            <w:r>
              <w:rPr>
                <w:color w:val="auto"/>
                <w:szCs w:val="24"/>
              </w:rPr>
              <w:t>calorific value</w:t>
            </w:r>
            <w:r>
              <w:rPr>
                <w:color w:val="auto"/>
              </w:rPr>
              <w:t xml:space="preserve"> </w:t>
            </w:r>
          </w:p>
        </w:tc>
      </w:tr>
      <w:tr w:rsidR="001E10AD" w14:paraId="47171292" w14:textId="77777777" w:rsidTr="0017613C">
        <w:trPr>
          <w:trHeight w:hRule="exact" w:val="488"/>
        </w:trPr>
        <w:tc>
          <w:tcPr>
            <w:tcW w:w="979" w:type="pct"/>
          </w:tcPr>
          <w:p w14:paraId="06EF168A"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GHG </w:t>
            </w:r>
          </w:p>
        </w:tc>
        <w:tc>
          <w:tcPr>
            <w:tcW w:w="4021" w:type="pct"/>
          </w:tcPr>
          <w:p w14:paraId="1D404EAD" w14:textId="13CEDCFA" w:rsidR="0017613C" w:rsidRDefault="0017613C" w:rsidP="0017613C">
            <w:pPr>
              <w:tabs>
                <w:tab w:val="left" w:pos="0"/>
              </w:tabs>
              <w:spacing w:after="0" w:line="256" w:lineRule="auto"/>
            </w:pPr>
            <w:r>
              <w:rPr>
                <w:color w:val="auto"/>
              </w:rPr>
              <w:t xml:space="preserve">Greenhouse </w:t>
            </w:r>
            <w:r>
              <w:rPr>
                <w:color w:val="auto"/>
                <w:szCs w:val="24"/>
              </w:rPr>
              <w:t>gas</w:t>
            </w:r>
          </w:p>
        </w:tc>
      </w:tr>
      <w:tr w:rsidR="001E10AD" w14:paraId="6FDBFFA9" w14:textId="77777777" w:rsidTr="0017613C">
        <w:trPr>
          <w:trHeight w:hRule="exact" w:val="488"/>
        </w:trPr>
        <w:tc>
          <w:tcPr>
            <w:tcW w:w="979" w:type="pct"/>
          </w:tcPr>
          <w:p w14:paraId="5B304F11"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HMRC </w:t>
            </w:r>
          </w:p>
        </w:tc>
        <w:tc>
          <w:tcPr>
            <w:tcW w:w="4021" w:type="pct"/>
          </w:tcPr>
          <w:p w14:paraId="67562BD2" w14:textId="3F061CAB" w:rsidR="0017613C" w:rsidRDefault="0017613C" w:rsidP="0017613C">
            <w:pPr>
              <w:tabs>
                <w:tab w:val="left" w:pos="0"/>
              </w:tabs>
              <w:spacing w:after="0" w:line="256" w:lineRule="auto"/>
              <w:rPr>
                <w:color w:val="auto"/>
              </w:rPr>
            </w:pPr>
            <w:r>
              <w:rPr>
                <w:color w:val="auto"/>
              </w:rPr>
              <w:t>H</w:t>
            </w:r>
            <w:r w:rsidR="007C44D4">
              <w:rPr>
                <w:color w:val="auto"/>
              </w:rPr>
              <w:t>is</w:t>
            </w:r>
            <w:r>
              <w:rPr>
                <w:color w:val="auto"/>
              </w:rPr>
              <w:t xml:space="preserve"> Majesty’s Revenue </w:t>
            </w:r>
            <w:r w:rsidR="00D8535E">
              <w:rPr>
                <w:color w:val="auto"/>
              </w:rPr>
              <w:t>and</w:t>
            </w:r>
            <w:r>
              <w:rPr>
                <w:color w:val="auto"/>
              </w:rPr>
              <w:t xml:space="preserve"> Customs </w:t>
            </w:r>
          </w:p>
        </w:tc>
      </w:tr>
      <w:tr w:rsidR="001E10AD" w14:paraId="23E28095" w14:textId="77777777" w:rsidTr="0017613C">
        <w:trPr>
          <w:trHeight w:hRule="exact" w:val="488"/>
        </w:trPr>
        <w:tc>
          <w:tcPr>
            <w:tcW w:w="979" w:type="pct"/>
          </w:tcPr>
          <w:p w14:paraId="65EBF792"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HMT </w:t>
            </w:r>
          </w:p>
        </w:tc>
        <w:tc>
          <w:tcPr>
            <w:tcW w:w="4021" w:type="pct"/>
          </w:tcPr>
          <w:p w14:paraId="28857B93" w14:textId="6B9C7D65" w:rsidR="0017613C" w:rsidRDefault="0017613C" w:rsidP="0017613C">
            <w:pPr>
              <w:tabs>
                <w:tab w:val="left" w:pos="0"/>
              </w:tabs>
              <w:spacing w:after="0" w:line="256" w:lineRule="auto"/>
              <w:rPr>
                <w:color w:val="auto"/>
              </w:rPr>
            </w:pPr>
            <w:r>
              <w:rPr>
                <w:color w:val="auto"/>
              </w:rPr>
              <w:t>H</w:t>
            </w:r>
            <w:r w:rsidR="007C44D4">
              <w:rPr>
                <w:color w:val="auto"/>
              </w:rPr>
              <w:t>is</w:t>
            </w:r>
            <w:r>
              <w:rPr>
                <w:color w:val="auto"/>
              </w:rPr>
              <w:t xml:space="preserve"> Majesty's Treasury</w:t>
            </w:r>
          </w:p>
        </w:tc>
      </w:tr>
      <w:tr w:rsidR="004A59F3" w14:paraId="04567C66" w14:textId="77777777" w:rsidTr="0017613C">
        <w:trPr>
          <w:trHeight w:hRule="exact" w:val="488"/>
        </w:trPr>
        <w:tc>
          <w:tcPr>
            <w:tcW w:w="979" w:type="pct"/>
          </w:tcPr>
          <w:p w14:paraId="00F3A942" w14:textId="7343A711" w:rsidR="004A59F3" w:rsidRPr="00814652" w:rsidRDefault="004A59F3" w:rsidP="0017613C">
            <w:pPr>
              <w:tabs>
                <w:tab w:val="left" w:pos="0"/>
              </w:tabs>
              <w:spacing w:after="0" w:line="256" w:lineRule="auto"/>
              <w:ind w:right="115"/>
              <w:rPr>
                <w:b/>
                <w:bCs/>
                <w:color w:val="auto"/>
              </w:rPr>
            </w:pPr>
            <w:proofErr w:type="spellStart"/>
            <w:r>
              <w:rPr>
                <w:b/>
                <w:bCs/>
                <w:color w:val="auto"/>
              </w:rPr>
              <w:t>MoA</w:t>
            </w:r>
            <w:proofErr w:type="spellEnd"/>
          </w:p>
        </w:tc>
        <w:tc>
          <w:tcPr>
            <w:tcW w:w="4021" w:type="pct"/>
          </w:tcPr>
          <w:p w14:paraId="1EB0EBE5" w14:textId="088E324A" w:rsidR="004A59F3" w:rsidRDefault="004A59F3" w:rsidP="0017613C">
            <w:pPr>
              <w:tabs>
                <w:tab w:val="left" w:pos="0"/>
              </w:tabs>
              <w:spacing w:after="0" w:line="256" w:lineRule="auto"/>
              <w:rPr>
                <w:color w:val="auto"/>
              </w:rPr>
            </w:pPr>
            <w:r>
              <w:rPr>
                <w:color w:val="auto"/>
              </w:rPr>
              <w:t>Memorandum of Account</w:t>
            </w:r>
          </w:p>
        </w:tc>
      </w:tr>
      <w:tr w:rsidR="001E10AD" w14:paraId="2417026F" w14:textId="77777777" w:rsidTr="0017613C">
        <w:trPr>
          <w:trHeight w:hRule="exact" w:val="488"/>
        </w:trPr>
        <w:tc>
          <w:tcPr>
            <w:tcW w:w="979" w:type="pct"/>
          </w:tcPr>
          <w:p w14:paraId="436BA739"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MOF </w:t>
            </w:r>
          </w:p>
        </w:tc>
        <w:tc>
          <w:tcPr>
            <w:tcW w:w="4021" w:type="pct"/>
          </w:tcPr>
          <w:p w14:paraId="13FB2068" w14:textId="77777777" w:rsidR="0017613C" w:rsidRDefault="0017613C" w:rsidP="0017613C">
            <w:pPr>
              <w:tabs>
                <w:tab w:val="left" w:pos="0"/>
              </w:tabs>
              <w:spacing w:after="0" w:line="256" w:lineRule="auto"/>
            </w:pPr>
            <w:r>
              <w:rPr>
                <w:color w:val="auto"/>
              </w:rPr>
              <w:t>Multi-</w:t>
            </w:r>
            <w:r>
              <w:rPr>
                <w:color w:val="auto"/>
                <w:szCs w:val="24"/>
              </w:rPr>
              <w:t>operator facility</w:t>
            </w:r>
            <w:r>
              <w:rPr>
                <w:color w:val="auto"/>
              </w:rPr>
              <w:t xml:space="preserve"> </w:t>
            </w:r>
          </w:p>
        </w:tc>
      </w:tr>
      <w:tr w:rsidR="00BD0A4C" w14:paraId="12458B57" w14:textId="77777777" w:rsidTr="0017613C">
        <w:trPr>
          <w:trHeight w:hRule="exact" w:val="488"/>
        </w:trPr>
        <w:tc>
          <w:tcPr>
            <w:tcW w:w="979" w:type="pct"/>
          </w:tcPr>
          <w:p w14:paraId="00BF6917" w14:textId="07E0D3F3" w:rsidR="00BD0A4C" w:rsidRPr="00814652" w:rsidRDefault="00BD0A4C" w:rsidP="0017613C">
            <w:pPr>
              <w:tabs>
                <w:tab w:val="left" w:pos="0"/>
              </w:tabs>
              <w:spacing w:after="0" w:line="256" w:lineRule="auto"/>
              <w:ind w:right="115"/>
              <w:rPr>
                <w:b/>
                <w:bCs/>
                <w:color w:val="auto"/>
              </w:rPr>
            </w:pPr>
            <w:r>
              <w:rPr>
                <w:b/>
                <w:bCs/>
                <w:color w:val="auto"/>
              </w:rPr>
              <w:t>PAT</w:t>
            </w:r>
          </w:p>
        </w:tc>
        <w:tc>
          <w:tcPr>
            <w:tcW w:w="4021" w:type="pct"/>
          </w:tcPr>
          <w:p w14:paraId="4A2F43B6" w14:textId="643F99FC" w:rsidR="00BD0A4C" w:rsidRDefault="00BD0A4C" w:rsidP="0017613C">
            <w:pPr>
              <w:tabs>
                <w:tab w:val="left" w:pos="0"/>
              </w:tabs>
              <w:spacing w:after="0" w:line="256" w:lineRule="auto"/>
              <w:rPr>
                <w:color w:val="auto"/>
              </w:rPr>
            </w:pPr>
            <w:r>
              <w:rPr>
                <w:color w:val="auto"/>
              </w:rPr>
              <w:t>Performance Account Template</w:t>
            </w:r>
          </w:p>
        </w:tc>
      </w:tr>
      <w:tr w:rsidR="001E10AD" w14:paraId="1E6A9E05" w14:textId="77777777" w:rsidTr="0017613C">
        <w:trPr>
          <w:trHeight w:hRule="exact" w:val="488"/>
        </w:trPr>
        <w:tc>
          <w:tcPr>
            <w:tcW w:w="979" w:type="pct"/>
          </w:tcPr>
          <w:p w14:paraId="21C52F32"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QPO </w:t>
            </w:r>
          </w:p>
        </w:tc>
        <w:tc>
          <w:tcPr>
            <w:tcW w:w="4021" w:type="pct"/>
          </w:tcPr>
          <w:p w14:paraId="24B066F5" w14:textId="77777777" w:rsidR="0017613C" w:rsidRDefault="0017613C" w:rsidP="0017613C">
            <w:pPr>
              <w:tabs>
                <w:tab w:val="left" w:pos="0"/>
              </w:tabs>
              <w:spacing w:after="0" w:line="256" w:lineRule="auto"/>
            </w:pPr>
            <w:r>
              <w:rPr>
                <w:color w:val="auto"/>
              </w:rPr>
              <w:t xml:space="preserve">Qualifying </w:t>
            </w:r>
            <w:r>
              <w:rPr>
                <w:color w:val="auto"/>
                <w:szCs w:val="24"/>
              </w:rPr>
              <w:t>power output</w:t>
            </w:r>
            <w:r>
              <w:rPr>
                <w:color w:val="auto"/>
              </w:rPr>
              <w:t xml:space="preserve"> </w:t>
            </w:r>
          </w:p>
        </w:tc>
      </w:tr>
      <w:tr w:rsidR="001E10AD" w14:paraId="221BA3BE" w14:textId="77777777" w:rsidTr="0017613C">
        <w:trPr>
          <w:trHeight w:hRule="exact" w:val="488"/>
        </w:trPr>
        <w:tc>
          <w:tcPr>
            <w:tcW w:w="979" w:type="pct"/>
          </w:tcPr>
          <w:p w14:paraId="7B3CF78F"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RRC </w:t>
            </w:r>
          </w:p>
        </w:tc>
        <w:tc>
          <w:tcPr>
            <w:tcW w:w="4021" w:type="pct"/>
          </w:tcPr>
          <w:p w14:paraId="6CF22FAB" w14:textId="77777777" w:rsidR="0017613C" w:rsidRDefault="0017613C" w:rsidP="0017613C">
            <w:pPr>
              <w:tabs>
                <w:tab w:val="left" w:pos="0"/>
              </w:tabs>
              <w:spacing w:after="0" w:line="256" w:lineRule="auto"/>
            </w:pPr>
            <w:r>
              <w:rPr>
                <w:color w:val="auto"/>
              </w:rPr>
              <w:t xml:space="preserve">Reduced </w:t>
            </w:r>
            <w:r>
              <w:rPr>
                <w:color w:val="auto"/>
                <w:szCs w:val="24"/>
              </w:rPr>
              <w:t>rate certificate</w:t>
            </w:r>
            <w:r>
              <w:rPr>
                <w:color w:val="auto"/>
              </w:rPr>
              <w:t xml:space="preserve"> </w:t>
            </w:r>
          </w:p>
        </w:tc>
      </w:tr>
      <w:tr w:rsidR="001E10AD" w14:paraId="167ED3F0" w14:textId="77777777" w:rsidTr="0017613C">
        <w:trPr>
          <w:trHeight w:hRule="exact" w:val="488"/>
        </w:trPr>
        <w:tc>
          <w:tcPr>
            <w:tcW w:w="979" w:type="pct"/>
          </w:tcPr>
          <w:p w14:paraId="196563CD"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SEC </w:t>
            </w:r>
          </w:p>
        </w:tc>
        <w:tc>
          <w:tcPr>
            <w:tcW w:w="4021" w:type="pct"/>
          </w:tcPr>
          <w:p w14:paraId="61B276A7" w14:textId="77777777" w:rsidR="0017613C" w:rsidRDefault="0017613C" w:rsidP="0017613C">
            <w:pPr>
              <w:tabs>
                <w:tab w:val="left" w:pos="0"/>
              </w:tabs>
              <w:spacing w:after="0" w:line="256" w:lineRule="auto"/>
            </w:pPr>
            <w:r>
              <w:rPr>
                <w:color w:val="auto"/>
              </w:rPr>
              <w:t xml:space="preserve">Specific </w:t>
            </w:r>
            <w:r>
              <w:rPr>
                <w:color w:val="auto"/>
                <w:szCs w:val="24"/>
              </w:rPr>
              <w:t>energy consumption</w:t>
            </w:r>
            <w:r>
              <w:rPr>
                <w:color w:val="auto"/>
              </w:rPr>
              <w:t xml:space="preserve"> </w:t>
            </w:r>
          </w:p>
        </w:tc>
      </w:tr>
      <w:tr w:rsidR="001E10AD" w14:paraId="17E41E22" w14:textId="77777777" w:rsidTr="0017613C">
        <w:trPr>
          <w:trHeight w:hRule="exact" w:val="488"/>
        </w:trPr>
        <w:tc>
          <w:tcPr>
            <w:tcW w:w="979" w:type="pct"/>
          </w:tcPr>
          <w:p w14:paraId="1A956DEA"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SRM </w:t>
            </w:r>
          </w:p>
        </w:tc>
        <w:tc>
          <w:tcPr>
            <w:tcW w:w="4021" w:type="pct"/>
          </w:tcPr>
          <w:p w14:paraId="71A667AC" w14:textId="77777777" w:rsidR="0017613C" w:rsidRDefault="0017613C" w:rsidP="0017613C">
            <w:pPr>
              <w:tabs>
                <w:tab w:val="left" w:pos="0"/>
              </w:tabs>
              <w:spacing w:after="0" w:line="256" w:lineRule="auto"/>
            </w:pPr>
            <w:r>
              <w:rPr>
                <w:color w:val="auto"/>
              </w:rPr>
              <w:t xml:space="preserve">Special </w:t>
            </w:r>
            <w:r>
              <w:rPr>
                <w:color w:val="auto"/>
                <w:szCs w:val="24"/>
              </w:rPr>
              <w:t>reporting methodology</w:t>
            </w:r>
            <w:r>
              <w:rPr>
                <w:color w:val="auto"/>
              </w:rPr>
              <w:t xml:space="preserve"> </w:t>
            </w:r>
          </w:p>
        </w:tc>
      </w:tr>
      <w:tr w:rsidR="001E10AD" w14:paraId="4842C2E6" w14:textId="77777777" w:rsidTr="0017613C">
        <w:trPr>
          <w:trHeight w:hRule="exact" w:val="488"/>
        </w:trPr>
        <w:tc>
          <w:tcPr>
            <w:tcW w:w="979" w:type="pct"/>
          </w:tcPr>
          <w:p w14:paraId="2564C084" w14:textId="77777777" w:rsidR="0017613C" w:rsidRPr="00814652" w:rsidRDefault="0017613C" w:rsidP="0017613C">
            <w:pPr>
              <w:tabs>
                <w:tab w:val="left" w:pos="0"/>
              </w:tabs>
              <w:spacing w:after="0" w:line="256" w:lineRule="auto"/>
              <w:ind w:right="115"/>
              <w:rPr>
                <w:b/>
                <w:bCs/>
                <w:color w:val="auto"/>
              </w:rPr>
            </w:pPr>
            <w:r w:rsidRPr="00814652">
              <w:rPr>
                <w:b/>
                <w:bCs/>
                <w:color w:val="auto"/>
              </w:rPr>
              <w:lastRenderedPageBreak/>
              <w:t xml:space="preserve">STU </w:t>
            </w:r>
          </w:p>
        </w:tc>
        <w:tc>
          <w:tcPr>
            <w:tcW w:w="4021" w:type="pct"/>
          </w:tcPr>
          <w:p w14:paraId="253A4A57" w14:textId="77777777" w:rsidR="0017613C" w:rsidRDefault="0017613C" w:rsidP="0017613C">
            <w:pPr>
              <w:tabs>
                <w:tab w:val="left" w:pos="0"/>
              </w:tabs>
              <w:spacing w:after="0" w:line="256" w:lineRule="auto"/>
            </w:pPr>
            <w:r>
              <w:rPr>
                <w:color w:val="auto"/>
              </w:rPr>
              <w:t xml:space="preserve">Stationary </w:t>
            </w:r>
            <w:r>
              <w:rPr>
                <w:color w:val="auto"/>
                <w:szCs w:val="24"/>
              </w:rPr>
              <w:t>technical unit</w:t>
            </w:r>
            <w:r>
              <w:rPr>
                <w:color w:val="auto"/>
              </w:rPr>
              <w:t xml:space="preserve"> </w:t>
            </w:r>
          </w:p>
        </w:tc>
      </w:tr>
      <w:tr w:rsidR="001E10AD" w14:paraId="0E8F7FF0" w14:textId="77777777" w:rsidTr="0017613C">
        <w:trPr>
          <w:trHeight w:hRule="exact" w:val="488"/>
        </w:trPr>
        <w:tc>
          <w:tcPr>
            <w:tcW w:w="979" w:type="pct"/>
          </w:tcPr>
          <w:p w14:paraId="443BBC7C"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TPO </w:t>
            </w:r>
          </w:p>
        </w:tc>
        <w:tc>
          <w:tcPr>
            <w:tcW w:w="4021" w:type="pct"/>
          </w:tcPr>
          <w:p w14:paraId="42BAAD19" w14:textId="77777777" w:rsidR="0017613C" w:rsidRDefault="0017613C" w:rsidP="0017613C">
            <w:pPr>
              <w:tabs>
                <w:tab w:val="left" w:pos="0"/>
              </w:tabs>
              <w:spacing w:after="0" w:line="256" w:lineRule="auto"/>
            </w:pPr>
            <w:r>
              <w:rPr>
                <w:color w:val="auto"/>
              </w:rPr>
              <w:t xml:space="preserve">Total </w:t>
            </w:r>
            <w:r>
              <w:rPr>
                <w:color w:val="auto"/>
                <w:szCs w:val="24"/>
              </w:rPr>
              <w:t>power output</w:t>
            </w:r>
            <w:r>
              <w:rPr>
                <w:color w:val="auto"/>
              </w:rPr>
              <w:t xml:space="preserve"> </w:t>
            </w:r>
          </w:p>
        </w:tc>
      </w:tr>
      <w:tr w:rsidR="00BD0A4C" w14:paraId="113FB5DA" w14:textId="77777777" w:rsidTr="0017613C">
        <w:trPr>
          <w:trHeight w:hRule="exact" w:val="488"/>
        </w:trPr>
        <w:tc>
          <w:tcPr>
            <w:tcW w:w="979" w:type="pct"/>
          </w:tcPr>
          <w:p w14:paraId="1A5F94E1" w14:textId="51D6E563" w:rsidR="00BD0A4C" w:rsidRPr="00814652" w:rsidRDefault="00BD0A4C" w:rsidP="0017613C">
            <w:pPr>
              <w:tabs>
                <w:tab w:val="left" w:pos="0"/>
              </w:tabs>
              <w:spacing w:after="0" w:line="256" w:lineRule="auto"/>
              <w:ind w:right="115"/>
              <w:rPr>
                <w:b/>
                <w:bCs/>
                <w:color w:val="auto"/>
              </w:rPr>
            </w:pPr>
            <w:r>
              <w:rPr>
                <w:b/>
                <w:bCs/>
                <w:color w:val="auto"/>
              </w:rPr>
              <w:t>TPR</w:t>
            </w:r>
          </w:p>
        </w:tc>
        <w:tc>
          <w:tcPr>
            <w:tcW w:w="4021" w:type="pct"/>
          </w:tcPr>
          <w:p w14:paraId="5FDF36A1" w14:textId="7C31D047" w:rsidR="00BD0A4C" w:rsidRDefault="00BD0A4C" w:rsidP="0017613C">
            <w:pPr>
              <w:tabs>
                <w:tab w:val="left" w:pos="0"/>
              </w:tabs>
              <w:spacing w:after="0" w:line="256" w:lineRule="auto"/>
              <w:rPr>
                <w:color w:val="auto"/>
              </w:rPr>
            </w:pPr>
            <w:r>
              <w:rPr>
                <w:color w:val="auto"/>
              </w:rPr>
              <w:t>Target period report</w:t>
            </w:r>
          </w:p>
        </w:tc>
      </w:tr>
      <w:tr w:rsidR="00C01AFD" w14:paraId="4BF335DD" w14:textId="77777777" w:rsidTr="0017613C">
        <w:trPr>
          <w:trHeight w:hRule="exact" w:val="488"/>
        </w:trPr>
        <w:tc>
          <w:tcPr>
            <w:tcW w:w="979" w:type="pct"/>
          </w:tcPr>
          <w:p w14:paraId="7732F461" w14:textId="027D7A96" w:rsidR="00C01AFD" w:rsidRDefault="00C01AFD" w:rsidP="0017613C">
            <w:pPr>
              <w:tabs>
                <w:tab w:val="left" w:pos="0"/>
              </w:tabs>
              <w:spacing w:after="0" w:line="256" w:lineRule="auto"/>
              <w:ind w:right="115"/>
              <w:rPr>
                <w:b/>
                <w:bCs/>
                <w:color w:val="auto"/>
              </w:rPr>
            </w:pPr>
            <w:r>
              <w:rPr>
                <w:b/>
                <w:bCs/>
                <w:color w:val="auto"/>
              </w:rPr>
              <w:t>UK ETS</w:t>
            </w:r>
          </w:p>
        </w:tc>
        <w:tc>
          <w:tcPr>
            <w:tcW w:w="4021" w:type="pct"/>
          </w:tcPr>
          <w:p w14:paraId="78D62FC3" w14:textId="75428400" w:rsidR="00C01AFD" w:rsidRDefault="00C01AFD" w:rsidP="0017613C">
            <w:pPr>
              <w:tabs>
                <w:tab w:val="left" w:pos="0"/>
              </w:tabs>
              <w:spacing w:after="0" w:line="256" w:lineRule="auto"/>
              <w:rPr>
                <w:color w:val="auto"/>
              </w:rPr>
            </w:pPr>
            <w:r>
              <w:rPr>
                <w:color w:val="auto"/>
              </w:rPr>
              <w:t>United Kingdom Emissions Trading Scheme</w:t>
            </w:r>
          </w:p>
        </w:tc>
      </w:tr>
    </w:tbl>
    <w:p w14:paraId="564656E9" w14:textId="77777777" w:rsidR="00814652" w:rsidRDefault="00814652">
      <w:pPr>
        <w:suppressAutoHyphens w:val="0"/>
        <w:spacing w:before="0" w:beforeAutospacing="0" w:after="160" w:afterAutospacing="0" w:line="256" w:lineRule="auto"/>
        <w:rPr>
          <w:color w:val="auto"/>
        </w:rPr>
      </w:pPr>
      <w:r>
        <w:rPr>
          <w:color w:val="auto"/>
        </w:rPr>
        <w:br w:type="page"/>
      </w:r>
    </w:p>
    <w:p w14:paraId="541394B9" w14:textId="11F63EAB" w:rsidR="00026E66" w:rsidRDefault="002737EF" w:rsidP="00FF0098">
      <w:pPr>
        <w:pStyle w:val="Heading1"/>
        <w:tabs>
          <w:tab w:val="left" w:pos="0"/>
        </w:tabs>
      </w:pPr>
      <w:bookmarkStart w:id="243" w:name="_Toc94718678"/>
      <w:bookmarkStart w:id="244" w:name="_Toc94088926"/>
      <w:bookmarkStart w:id="245" w:name="_Toc242885413"/>
      <w:r>
        <w:lastRenderedPageBreak/>
        <w:t>1</w:t>
      </w:r>
      <w:r w:rsidR="00D65AA7">
        <w:t>3</w:t>
      </w:r>
      <w:r>
        <w:t>. Glossary</w:t>
      </w:r>
      <w:bookmarkEnd w:id="243"/>
      <w:bookmarkEnd w:id="244"/>
      <w:bookmarkEnd w:id="245"/>
      <w:r>
        <w:t xml:space="preserve"> </w:t>
      </w:r>
    </w:p>
    <w:tbl>
      <w:tblPr>
        <w:tblStyle w:val="TableGridLight"/>
        <w:tblW w:w="0" w:type="auto"/>
        <w:tblLook w:val="0020" w:firstRow="1" w:lastRow="0" w:firstColumn="0" w:lastColumn="0" w:noHBand="0" w:noVBand="0"/>
      </w:tblPr>
      <w:tblGrid>
        <w:gridCol w:w="2122"/>
        <w:gridCol w:w="7060"/>
      </w:tblGrid>
      <w:tr w:rsidR="005F044C" w14:paraId="002C1E92" w14:textId="77777777" w:rsidTr="0F992DB3">
        <w:trPr>
          <w:cantSplit/>
        </w:trPr>
        <w:tc>
          <w:tcPr>
            <w:tcW w:w="2122" w:type="dxa"/>
          </w:tcPr>
          <w:p w14:paraId="4148ADE6" w14:textId="32BBD9C6" w:rsidR="005F044C" w:rsidRPr="004C1365" w:rsidRDefault="005F044C" w:rsidP="005F044C">
            <w:pPr>
              <w:rPr>
                <w:b/>
                <w:bCs/>
              </w:rPr>
            </w:pPr>
            <w:r w:rsidRPr="004C1365">
              <w:rPr>
                <w:b/>
                <w:bCs/>
              </w:rPr>
              <w:t>Term</w:t>
            </w:r>
          </w:p>
        </w:tc>
        <w:tc>
          <w:tcPr>
            <w:tcW w:w="7060" w:type="dxa"/>
          </w:tcPr>
          <w:p w14:paraId="1C44382F" w14:textId="6B9E4ABB" w:rsidR="005F044C" w:rsidRDefault="005F044C" w:rsidP="005F044C">
            <w:r w:rsidRPr="004C1365">
              <w:rPr>
                <w:b/>
                <w:bCs/>
              </w:rPr>
              <w:t>Definition</w:t>
            </w:r>
          </w:p>
        </w:tc>
      </w:tr>
      <w:tr w:rsidR="005F044C" w14:paraId="4E866656" w14:textId="77777777" w:rsidTr="0F992DB3">
        <w:trPr>
          <w:cantSplit/>
        </w:trPr>
        <w:tc>
          <w:tcPr>
            <w:tcW w:w="2122" w:type="dxa"/>
          </w:tcPr>
          <w:p w14:paraId="34673C68" w14:textId="77777777" w:rsidR="005F044C" w:rsidRPr="004C1365" w:rsidRDefault="005F044C" w:rsidP="005F044C">
            <w:pPr>
              <w:rPr>
                <w:b/>
                <w:bCs/>
              </w:rPr>
            </w:pPr>
            <w:bookmarkStart w:id="246" w:name="seventypercentrule"/>
            <w:r w:rsidRPr="004C1365">
              <w:rPr>
                <w:b/>
                <w:bCs/>
              </w:rPr>
              <w:t xml:space="preserve">70% rule </w:t>
            </w:r>
            <w:bookmarkEnd w:id="246"/>
          </w:p>
        </w:tc>
        <w:tc>
          <w:tcPr>
            <w:tcW w:w="7060" w:type="dxa"/>
          </w:tcPr>
          <w:p w14:paraId="778543C9" w14:textId="77777777" w:rsidR="005F044C" w:rsidRDefault="005F044C" w:rsidP="005F044C">
            <w:r>
              <w:t xml:space="preserve">Rule allowing for all the energy consumed at a site to be included in the CCA eligible facility if 70% or more of the site’s energy is consumed within the installation. The rule provides for an additional amount of the site’s energy to be included in the eligible facility if the energy consumed by the installation is less than 70% of the energy consumed on the site. The additional energy that can be included is a maximum of 3/7th of the energy consumed in the installation. </w:t>
            </w:r>
          </w:p>
        </w:tc>
      </w:tr>
      <w:tr w:rsidR="005F044C" w:rsidRPr="004C1365" w14:paraId="3B39119E" w14:textId="77777777" w:rsidTr="0F992DB3">
        <w:trPr>
          <w:cantSplit/>
        </w:trPr>
        <w:tc>
          <w:tcPr>
            <w:tcW w:w="2122" w:type="dxa"/>
          </w:tcPr>
          <w:p w14:paraId="1510D5E0" w14:textId="676514C9" w:rsidR="005F044C" w:rsidRPr="004C1365" w:rsidRDefault="005F044C" w:rsidP="005F044C">
            <w:pPr>
              <w:rPr>
                <w:b/>
                <w:bCs/>
              </w:rPr>
            </w:pPr>
            <w:bookmarkStart w:id="247" w:name="Account"/>
            <w:r w:rsidRPr="004C1365">
              <w:rPr>
                <w:b/>
                <w:bCs/>
              </w:rPr>
              <w:t xml:space="preserve">Account </w:t>
            </w:r>
            <w:bookmarkEnd w:id="247"/>
          </w:p>
        </w:tc>
        <w:tc>
          <w:tcPr>
            <w:tcW w:w="7060" w:type="dxa"/>
          </w:tcPr>
          <w:p w14:paraId="41E9A3AE" w14:textId="2BDB55E3" w:rsidR="005F044C" w:rsidRPr="004C1365" w:rsidRDefault="005F044C" w:rsidP="005F044C">
            <w:pPr>
              <w:rPr>
                <w:b/>
                <w:bCs/>
              </w:rPr>
            </w:pPr>
            <w:r>
              <w:t xml:space="preserve">Account held by a sector association or an operator in </w:t>
            </w:r>
            <w:proofErr w:type="spellStart"/>
            <w:r>
              <w:t>MyCCA</w:t>
            </w:r>
            <w:proofErr w:type="spellEnd"/>
            <w:r>
              <w:t>.</w:t>
            </w:r>
          </w:p>
        </w:tc>
      </w:tr>
      <w:tr w:rsidR="005F044C" w14:paraId="1948660B" w14:textId="77777777" w:rsidTr="0F992DB3">
        <w:trPr>
          <w:cantSplit/>
        </w:trPr>
        <w:tc>
          <w:tcPr>
            <w:tcW w:w="2122" w:type="dxa"/>
          </w:tcPr>
          <w:p w14:paraId="4C29452D" w14:textId="34E7E917" w:rsidR="005F044C" w:rsidRPr="004C1365" w:rsidRDefault="005F044C" w:rsidP="005F044C">
            <w:pPr>
              <w:rPr>
                <w:b/>
                <w:bCs/>
              </w:rPr>
            </w:pPr>
            <w:bookmarkStart w:id="248" w:name="Accountholder"/>
            <w:r w:rsidRPr="004C1365">
              <w:rPr>
                <w:b/>
                <w:bCs/>
              </w:rPr>
              <w:t xml:space="preserve">Account holder </w:t>
            </w:r>
            <w:bookmarkEnd w:id="248"/>
          </w:p>
        </w:tc>
        <w:tc>
          <w:tcPr>
            <w:tcW w:w="7060" w:type="dxa"/>
          </w:tcPr>
          <w:p w14:paraId="664FAA62" w14:textId="6646BAAD" w:rsidR="005F044C" w:rsidRDefault="005F044C" w:rsidP="005F044C">
            <w:r>
              <w:t xml:space="preserve">A sector association or operator holding an account in </w:t>
            </w:r>
            <w:proofErr w:type="spellStart"/>
            <w:r>
              <w:t>MyCCA</w:t>
            </w:r>
            <w:proofErr w:type="spellEnd"/>
            <w:r w:rsidR="00D20FEB">
              <w:t>.</w:t>
            </w:r>
            <w:r>
              <w:t xml:space="preserve"> </w:t>
            </w:r>
          </w:p>
        </w:tc>
      </w:tr>
      <w:tr w:rsidR="005F044C" w14:paraId="5C7D34CA" w14:textId="77777777" w:rsidTr="0F992DB3">
        <w:trPr>
          <w:cantSplit/>
        </w:trPr>
        <w:tc>
          <w:tcPr>
            <w:tcW w:w="2122" w:type="dxa"/>
          </w:tcPr>
          <w:p w14:paraId="097F71D1" w14:textId="190D6D52" w:rsidR="005F044C" w:rsidRPr="004C1365" w:rsidRDefault="005F044C" w:rsidP="005F044C">
            <w:pPr>
              <w:rPr>
                <w:b/>
                <w:bCs/>
              </w:rPr>
            </w:pPr>
            <w:bookmarkStart w:id="249" w:name="Administrator"/>
            <w:r w:rsidRPr="004C1365">
              <w:rPr>
                <w:b/>
                <w:bCs/>
              </w:rPr>
              <w:t>Administrator</w:t>
            </w:r>
            <w:bookmarkEnd w:id="249"/>
            <w:r w:rsidRPr="004C1365">
              <w:rPr>
                <w:b/>
                <w:bCs/>
              </w:rPr>
              <w:t xml:space="preserve"> </w:t>
            </w:r>
          </w:p>
        </w:tc>
        <w:tc>
          <w:tcPr>
            <w:tcW w:w="7060" w:type="dxa"/>
          </w:tcPr>
          <w:p w14:paraId="793E0CC7" w14:textId="13F57B43" w:rsidR="005F044C" w:rsidRDefault="005F044C" w:rsidP="005F044C">
            <w:r>
              <w:t xml:space="preserve">The public body charged by the Secretary of State with administering the CCA scheme. The Environment Agency administers the scheme for the whole of the UK. </w:t>
            </w:r>
          </w:p>
        </w:tc>
      </w:tr>
      <w:tr w:rsidR="005F044C" w14:paraId="3AF01701" w14:textId="77777777" w:rsidTr="0F992DB3">
        <w:trPr>
          <w:cantSplit/>
        </w:trPr>
        <w:tc>
          <w:tcPr>
            <w:tcW w:w="2122" w:type="dxa"/>
          </w:tcPr>
          <w:p w14:paraId="4A5F0505" w14:textId="7FF2351E" w:rsidR="005F044C" w:rsidRPr="004C1365" w:rsidRDefault="005F044C" w:rsidP="005F044C">
            <w:pPr>
              <w:rPr>
                <w:b/>
                <w:bCs/>
              </w:rPr>
            </w:pPr>
            <w:bookmarkStart w:id="250" w:name="Ancilliary"/>
            <w:r w:rsidRPr="004C1365">
              <w:rPr>
                <w:b/>
                <w:bCs/>
              </w:rPr>
              <w:t xml:space="preserve">Ancillary activities </w:t>
            </w:r>
            <w:bookmarkEnd w:id="250"/>
          </w:p>
        </w:tc>
        <w:tc>
          <w:tcPr>
            <w:tcW w:w="7060" w:type="dxa"/>
          </w:tcPr>
          <w:p w14:paraId="5C390441" w14:textId="65F5FB8C" w:rsidR="005F044C" w:rsidRDefault="005F044C" w:rsidP="005F044C">
            <w:r>
              <w:t xml:space="preserve">Activities </w:t>
            </w:r>
            <w:r w:rsidR="001F01DC">
              <w:t>where all the following apply</w:t>
            </w:r>
            <w:r>
              <w:t>:</w:t>
            </w:r>
          </w:p>
          <w:p w14:paraId="126520F6" w14:textId="2354B4AA" w:rsidR="005F044C" w:rsidRDefault="001F01DC" w:rsidP="00CC695E">
            <w:pPr>
              <w:pStyle w:val="ListParagraph"/>
              <w:numPr>
                <w:ilvl w:val="0"/>
                <w:numId w:val="221"/>
              </w:numPr>
            </w:pPr>
            <w:r>
              <w:t xml:space="preserve">are </w:t>
            </w:r>
            <w:r w:rsidR="005F044C">
              <w:t>directly associated with any of the primary activities carried out at an installation</w:t>
            </w:r>
          </w:p>
          <w:p w14:paraId="4CAE2DB2" w14:textId="24D3B83C" w:rsidR="005F044C" w:rsidRDefault="005F044C" w:rsidP="00CC695E">
            <w:pPr>
              <w:pStyle w:val="ListParagraph"/>
              <w:numPr>
                <w:ilvl w:val="0"/>
                <w:numId w:val="221"/>
              </w:numPr>
            </w:pPr>
            <w:r>
              <w:t>have a technical connection with those primary activities</w:t>
            </w:r>
          </w:p>
          <w:p w14:paraId="3A507047" w14:textId="511BE592" w:rsidR="005F044C" w:rsidRDefault="005F044C" w:rsidP="00CC695E">
            <w:pPr>
              <w:pStyle w:val="ListParagraph"/>
              <w:numPr>
                <w:ilvl w:val="0"/>
                <w:numId w:val="221"/>
              </w:numPr>
            </w:pPr>
            <w:r>
              <w:t xml:space="preserve">could </w:t>
            </w:r>
            <w:proofErr w:type="gramStart"/>
            <w:r>
              <w:t>have an effect on</w:t>
            </w:r>
            <w:proofErr w:type="gramEnd"/>
            <w:r>
              <w:t xml:space="preserve"> pollution</w:t>
            </w:r>
          </w:p>
        </w:tc>
      </w:tr>
      <w:tr w:rsidR="005F044C" w14:paraId="0B486CBA" w14:textId="77777777" w:rsidTr="0F992DB3">
        <w:trPr>
          <w:cantSplit/>
        </w:trPr>
        <w:tc>
          <w:tcPr>
            <w:tcW w:w="2122" w:type="dxa"/>
          </w:tcPr>
          <w:p w14:paraId="4447AC85" w14:textId="18BA83F9" w:rsidR="005F044C" w:rsidRPr="004C1365" w:rsidRDefault="005F044C" w:rsidP="005F044C">
            <w:pPr>
              <w:rPr>
                <w:b/>
                <w:bCs/>
              </w:rPr>
            </w:pPr>
            <w:bookmarkStart w:id="251" w:name="Audit"/>
            <w:r w:rsidRPr="004C1365">
              <w:rPr>
                <w:b/>
                <w:bCs/>
              </w:rPr>
              <w:t>Audit</w:t>
            </w:r>
            <w:bookmarkEnd w:id="251"/>
            <w:r w:rsidRPr="004C1365">
              <w:rPr>
                <w:b/>
                <w:bCs/>
              </w:rPr>
              <w:t xml:space="preserve"> </w:t>
            </w:r>
          </w:p>
        </w:tc>
        <w:tc>
          <w:tcPr>
            <w:tcW w:w="7060" w:type="dxa"/>
          </w:tcPr>
          <w:p w14:paraId="669F6090" w14:textId="4209DF1A" w:rsidR="005F044C" w:rsidRDefault="005F044C" w:rsidP="005F044C">
            <w:r>
              <w:t xml:space="preserve">A technical review carried out by the Administrator (or by the technical consultant on behalf of the Administrator) to check compliance within the scheme rules. Audits also include checks on eligibility, administration and record-keeping. </w:t>
            </w:r>
          </w:p>
        </w:tc>
      </w:tr>
      <w:tr w:rsidR="005F044C" w14:paraId="0B6A0D2B" w14:textId="77777777" w:rsidTr="0F992DB3">
        <w:trPr>
          <w:cantSplit/>
        </w:trPr>
        <w:tc>
          <w:tcPr>
            <w:tcW w:w="2122" w:type="dxa"/>
          </w:tcPr>
          <w:p w14:paraId="747FCB12" w14:textId="6FBF49A4" w:rsidR="005F044C" w:rsidRPr="004C1365" w:rsidRDefault="005F044C" w:rsidP="005F044C">
            <w:pPr>
              <w:rPr>
                <w:b/>
                <w:bCs/>
              </w:rPr>
            </w:pPr>
            <w:bookmarkStart w:id="252" w:name="baseyear"/>
            <w:r w:rsidRPr="004C1365">
              <w:rPr>
                <w:b/>
                <w:bCs/>
              </w:rPr>
              <w:t>Base year</w:t>
            </w:r>
            <w:bookmarkEnd w:id="252"/>
          </w:p>
        </w:tc>
        <w:tc>
          <w:tcPr>
            <w:tcW w:w="7060" w:type="dxa"/>
          </w:tcPr>
          <w:p w14:paraId="73E47A03" w14:textId="77777777" w:rsidR="005F044C" w:rsidRDefault="005F044C" w:rsidP="005F044C">
            <w:r>
              <w:t>A 12-month period agreed between an operator and the Administrator, ending before the date of an underlying agreement, for which data are supplied by an operator to the Administrator before the operator enters into the agreement.</w:t>
            </w:r>
          </w:p>
          <w:p w14:paraId="659E77E2" w14:textId="2BC4616E" w:rsidR="005F044C" w:rsidRDefault="005F044C" w:rsidP="005F044C">
            <w:r>
              <w:t>The data from this 12</w:t>
            </w:r>
            <w:r>
              <w:rPr>
                <w:szCs w:val="24"/>
              </w:rPr>
              <w:t>-</w:t>
            </w:r>
            <w:r>
              <w:t>month continuous period establishes the baseline performance of the facility before the underlying agreement. Future performance and energy and carbon</w:t>
            </w:r>
            <w:r w:rsidR="00CA35A5">
              <w:t xml:space="preserve"> dioxide</w:t>
            </w:r>
            <w:r>
              <w:t xml:space="preserve"> savings achieved in the scheme are measured relative to this base year performance.</w:t>
            </w:r>
          </w:p>
        </w:tc>
      </w:tr>
      <w:tr w:rsidR="00421482" w14:paraId="14D0BD3B" w14:textId="77777777" w:rsidTr="0F992DB3">
        <w:trPr>
          <w:cantSplit/>
        </w:trPr>
        <w:tc>
          <w:tcPr>
            <w:tcW w:w="2122" w:type="dxa"/>
          </w:tcPr>
          <w:p w14:paraId="6ABEE5B8" w14:textId="3B43FF7E" w:rsidR="00421482" w:rsidRPr="004C1365" w:rsidRDefault="00421482" w:rsidP="005F044C">
            <w:pPr>
              <w:rPr>
                <w:b/>
                <w:bCs/>
              </w:rPr>
            </w:pPr>
            <w:bookmarkStart w:id="253" w:name="Brownfield"/>
            <w:r w:rsidRPr="004C1365">
              <w:rPr>
                <w:b/>
                <w:bCs/>
              </w:rPr>
              <w:t xml:space="preserve">Brownfield facility </w:t>
            </w:r>
            <w:bookmarkEnd w:id="253"/>
          </w:p>
        </w:tc>
        <w:tc>
          <w:tcPr>
            <w:tcW w:w="7060" w:type="dxa"/>
          </w:tcPr>
          <w:p w14:paraId="387FAB05" w14:textId="2655F2C1" w:rsidR="00421482" w:rsidRDefault="00421482" w:rsidP="005F044C">
            <w:r>
              <w:t xml:space="preserve">An existing site. </w:t>
            </w:r>
          </w:p>
        </w:tc>
      </w:tr>
      <w:tr w:rsidR="00421482" w14:paraId="6003E959" w14:textId="77777777" w:rsidTr="0F992DB3">
        <w:trPr>
          <w:cantSplit/>
        </w:trPr>
        <w:tc>
          <w:tcPr>
            <w:tcW w:w="2122" w:type="dxa"/>
          </w:tcPr>
          <w:p w14:paraId="7E87EBF4" w14:textId="45AD2D3D" w:rsidR="00421482" w:rsidRPr="004C1365" w:rsidRDefault="00421482" w:rsidP="005F044C">
            <w:pPr>
              <w:rPr>
                <w:b/>
                <w:bCs/>
              </w:rPr>
            </w:pPr>
            <w:bookmarkStart w:id="254" w:name="Buyout"/>
            <w:r w:rsidRPr="004C1365">
              <w:rPr>
                <w:b/>
                <w:bCs/>
              </w:rPr>
              <w:lastRenderedPageBreak/>
              <w:t xml:space="preserve">Buy-out </w:t>
            </w:r>
            <w:bookmarkEnd w:id="254"/>
          </w:p>
        </w:tc>
        <w:tc>
          <w:tcPr>
            <w:tcW w:w="7060" w:type="dxa"/>
          </w:tcPr>
          <w:p w14:paraId="572355DA" w14:textId="29A273F4" w:rsidR="00421482" w:rsidRDefault="00421482" w:rsidP="005F044C">
            <w:r>
              <w:t xml:space="preserve">Buy-out is a fee a facility may be required to pay to retain certification in the CCA scheme. It is payable at the end of a target period if the facility has failed to meet the target stated in its underlying agreement, or to rectify an error identified at any other time that has had a material impact on the facility’s performance against its target at a previous </w:t>
            </w:r>
            <w:hyperlink w:anchor="Reportingperiod" w:history="1">
              <w:r w:rsidRPr="005E46F7">
                <w:rPr>
                  <w:rStyle w:val="Hyperlink"/>
                </w:rPr>
                <w:t>reporting period</w:t>
              </w:r>
            </w:hyperlink>
            <w:r>
              <w:t xml:space="preserve">. </w:t>
            </w:r>
          </w:p>
          <w:p w14:paraId="3F73FED4" w14:textId="12A94D44" w:rsidR="00421482" w:rsidRDefault="00421482" w:rsidP="005D6E28">
            <w:r>
              <w:t>The buy-out fee is calculated by multiplying the amount by which the facility has failed to meet its target, expressed in terms of tonnes of carbon dioxide equivalent (tCO</w:t>
            </w:r>
            <w:r>
              <w:rPr>
                <w:vertAlign w:val="subscript"/>
              </w:rPr>
              <w:t>2</w:t>
            </w:r>
            <w:r>
              <w:t>e)</w:t>
            </w:r>
            <w:r w:rsidR="005D6E28">
              <w:t>.</w:t>
            </w:r>
            <w:r>
              <w:t xml:space="preserve"> </w:t>
            </w:r>
          </w:p>
        </w:tc>
      </w:tr>
      <w:tr w:rsidR="00421482" w14:paraId="3328BCA2" w14:textId="77777777" w:rsidTr="0F992DB3">
        <w:trPr>
          <w:cantSplit/>
        </w:trPr>
        <w:tc>
          <w:tcPr>
            <w:tcW w:w="2122" w:type="dxa"/>
          </w:tcPr>
          <w:p w14:paraId="111BEF79" w14:textId="55AF260D" w:rsidR="00421482" w:rsidRPr="004C1365" w:rsidRDefault="00421482" w:rsidP="005F044C">
            <w:pPr>
              <w:rPr>
                <w:b/>
                <w:bCs/>
              </w:rPr>
            </w:pPr>
            <w:bookmarkStart w:id="255" w:name="Carbon"/>
            <w:r w:rsidRPr="004C1365">
              <w:rPr>
                <w:b/>
                <w:bCs/>
              </w:rPr>
              <w:t>Carbon</w:t>
            </w:r>
            <w:bookmarkEnd w:id="255"/>
            <w:r w:rsidRPr="004C1365">
              <w:rPr>
                <w:b/>
                <w:bCs/>
              </w:rPr>
              <w:t xml:space="preserve"> </w:t>
            </w:r>
            <w:r w:rsidR="00D15861">
              <w:rPr>
                <w:b/>
                <w:bCs/>
              </w:rPr>
              <w:t>dioxide</w:t>
            </w:r>
          </w:p>
        </w:tc>
        <w:tc>
          <w:tcPr>
            <w:tcW w:w="7060" w:type="dxa"/>
          </w:tcPr>
          <w:p w14:paraId="6B6F980B" w14:textId="2CAFC697" w:rsidR="00421482" w:rsidRDefault="00421482" w:rsidP="005F044C">
            <w:r>
              <w:t xml:space="preserve">Carbon dioxide emissions associated with the burning/use of certain fuels. </w:t>
            </w:r>
          </w:p>
        </w:tc>
      </w:tr>
      <w:tr w:rsidR="00421482" w14:paraId="745479A5" w14:textId="77777777" w:rsidTr="0F992DB3">
        <w:trPr>
          <w:cantSplit/>
        </w:trPr>
        <w:tc>
          <w:tcPr>
            <w:tcW w:w="2122" w:type="dxa"/>
          </w:tcPr>
          <w:p w14:paraId="3CD95636" w14:textId="7AB7A307" w:rsidR="00421482" w:rsidRPr="004C1365" w:rsidRDefault="00421482" w:rsidP="005F044C">
            <w:pPr>
              <w:rPr>
                <w:b/>
                <w:bCs/>
              </w:rPr>
            </w:pPr>
            <w:bookmarkStart w:id="256" w:name="Carbonconversionfactor"/>
            <w:r w:rsidRPr="004C1365">
              <w:rPr>
                <w:b/>
                <w:bCs/>
              </w:rPr>
              <w:t>Carbon</w:t>
            </w:r>
            <w:r w:rsidR="002955E0">
              <w:rPr>
                <w:b/>
                <w:bCs/>
              </w:rPr>
              <w:t xml:space="preserve"> dioxide</w:t>
            </w:r>
            <w:r w:rsidRPr="004C1365">
              <w:rPr>
                <w:b/>
                <w:bCs/>
              </w:rPr>
              <w:t xml:space="preserve"> conversion factor </w:t>
            </w:r>
            <w:bookmarkEnd w:id="256"/>
          </w:p>
        </w:tc>
        <w:tc>
          <w:tcPr>
            <w:tcW w:w="7060" w:type="dxa"/>
          </w:tcPr>
          <w:p w14:paraId="78CD3AC4" w14:textId="78A50029" w:rsidR="00421482" w:rsidRDefault="00421482" w:rsidP="005F044C">
            <w:r>
              <w:t xml:space="preserve">A conversion factor that is used to calculate the carbon </w:t>
            </w:r>
            <w:r w:rsidR="002955E0">
              <w:t xml:space="preserve">dioxide </w:t>
            </w:r>
            <w:r>
              <w:t xml:space="preserve">emissions associated with the consumption of different fuels or electricity. The factor is expressed in terms of carbon </w:t>
            </w:r>
            <w:r w:rsidR="002955E0">
              <w:t xml:space="preserve">dioxide </w:t>
            </w:r>
            <w:r>
              <w:t>emitted per unit of energy consumed (for example, kgC</w:t>
            </w:r>
            <w:r w:rsidR="002955E0">
              <w:t>O2e</w:t>
            </w:r>
            <w:r>
              <w:t xml:space="preserve"> per kWh). </w:t>
            </w:r>
          </w:p>
        </w:tc>
      </w:tr>
      <w:tr w:rsidR="00421482" w14:paraId="463872B2" w14:textId="77777777" w:rsidTr="0F992DB3">
        <w:trPr>
          <w:cantSplit/>
        </w:trPr>
        <w:tc>
          <w:tcPr>
            <w:tcW w:w="2122" w:type="dxa"/>
          </w:tcPr>
          <w:p w14:paraId="67CBA64D" w14:textId="628BAC5B" w:rsidR="00421482" w:rsidRPr="004C1365" w:rsidRDefault="00421482" w:rsidP="005F044C">
            <w:pPr>
              <w:rPr>
                <w:b/>
                <w:bCs/>
              </w:rPr>
            </w:pPr>
            <w:bookmarkStart w:id="257" w:name="Carbontarget"/>
            <w:r w:rsidRPr="004C1365">
              <w:rPr>
                <w:b/>
                <w:bCs/>
              </w:rPr>
              <w:t xml:space="preserve">Carbon target </w:t>
            </w:r>
            <w:bookmarkEnd w:id="257"/>
          </w:p>
        </w:tc>
        <w:tc>
          <w:tcPr>
            <w:tcW w:w="7060" w:type="dxa"/>
          </w:tcPr>
          <w:p w14:paraId="0AB7BF74" w14:textId="45685948" w:rsidR="00421482" w:rsidRDefault="00421482" w:rsidP="005F044C">
            <w:r>
              <w:t>A target expressed in tonnes of carbon</w:t>
            </w:r>
            <w:r w:rsidR="2C1E2BCE">
              <w:t xml:space="preserve"> dioxide </w:t>
            </w:r>
            <w:r w:rsidR="4F67DBCC">
              <w:t>equivalent</w:t>
            </w:r>
            <w:r>
              <w:t>.</w:t>
            </w:r>
          </w:p>
        </w:tc>
      </w:tr>
      <w:tr w:rsidR="00421482" w14:paraId="5161A000" w14:textId="77777777" w:rsidTr="0F992DB3">
        <w:trPr>
          <w:cantSplit/>
        </w:trPr>
        <w:tc>
          <w:tcPr>
            <w:tcW w:w="2122" w:type="dxa"/>
          </w:tcPr>
          <w:p w14:paraId="7E950149" w14:textId="0F42798D" w:rsidR="00421482" w:rsidRPr="004C1365" w:rsidRDefault="00421482" w:rsidP="005F044C">
            <w:pPr>
              <w:rPr>
                <w:b/>
                <w:bCs/>
              </w:rPr>
            </w:pPr>
            <w:bookmarkStart w:id="258" w:name="CCAregister"/>
            <w:r w:rsidRPr="004C1365">
              <w:rPr>
                <w:b/>
                <w:bCs/>
              </w:rPr>
              <w:t xml:space="preserve">CCA register </w:t>
            </w:r>
            <w:bookmarkEnd w:id="258"/>
          </w:p>
        </w:tc>
        <w:tc>
          <w:tcPr>
            <w:tcW w:w="7060" w:type="dxa"/>
          </w:tcPr>
          <w:p w14:paraId="37EE7094" w14:textId="2ED2D510" w:rsidR="00421482" w:rsidRDefault="00421482" w:rsidP="005F044C">
            <w:r>
              <w:t xml:space="preserve">Online system, referred to as the </w:t>
            </w:r>
            <w:proofErr w:type="spellStart"/>
            <w:r>
              <w:t>MyCCA</w:t>
            </w:r>
            <w:proofErr w:type="spellEnd"/>
            <w:r>
              <w:t xml:space="preserve"> service,</w:t>
            </w:r>
            <w:r w:rsidR="004079E2">
              <w:t xml:space="preserve"> operated</w:t>
            </w:r>
            <w:r>
              <w:t xml:space="preserve"> by the Environment Agency as Administrator to carry out the administration of climate change agreements. </w:t>
            </w:r>
          </w:p>
        </w:tc>
      </w:tr>
      <w:tr w:rsidR="00421482" w14:paraId="4E6139C1" w14:textId="77777777" w:rsidTr="0F992DB3">
        <w:trPr>
          <w:cantSplit/>
        </w:trPr>
        <w:tc>
          <w:tcPr>
            <w:tcW w:w="2122" w:type="dxa"/>
          </w:tcPr>
          <w:p w14:paraId="29440FB8" w14:textId="08B90697" w:rsidR="00421482" w:rsidRPr="004C1365" w:rsidRDefault="00421482" w:rsidP="005F044C">
            <w:pPr>
              <w:rPr>
                <w:b/>
                <w:bCs/>
              </w:rPr>
            </w:pPr>
            <w:bookmarkStart w:id="259" w:name="Certificationperiod"/>
            <w:r w:rsidRPr="004C1365">
              <w:rPr>
                <w:b/>
                <w:bCs/>
              </w:rPr>
              <w:t xml:space="preserve">Certification period </w:t>
            </w:r>
            <w:bookmarkEnd w:id="259"/>
          </w:p>
        </w:tc>
        <w:tc>
          <w:tcPr>
            <w:tcW w:w="7060" w:type="dxa"/>
          </w:tcPr>
          <w:p w14:paraId="331BD904" w14:textId="5AAFD8AA" w:rsidR="00421482" w:rsidRDefault="00421482" w:rsidP="005F044C">
            <w:r>
              <w:t xml:space="preserve">The period of validity of a certificate issued by the Environment Agency on behalf of the Secretary of State stating that the facilities listed in it are eligible for the CCL discount. Certification periods last for </w:t>
            </w:r>
            <w:r w:rsidR="009E12F0">
              <w:t>2</w:t>
            </w:r>
            <w:r>
              <w:t xml:space="preserve"> years and are specified in the facility’s underlying agreement. </w:t>
            </w:r>
          </w:p>
        </w:tc>
      </w:tr>
      <w:tr w:rsidR="00421482" w14:paraId="788A75BA" w14:textId="77777777" w:rsidTr="0F992DB3">
        <w:trPr>
          <w:cantSplit/>
        </w:trPr>
        <w:tc>
          <w:tcPr>
            <w:tcW w:w="2122" w:type="dxa"/>
          </w:tcPr>
          <w:p w14:paraId="02F19003" w14:textId="4AFF27F1" w:rsidR="00421482" w:rsidRPr="004C1365" w:rsidRDefault="00421482" w:rsidP="005F044C">
            <w:pPr>
              <w:rPr>
                <w:b/>
                <w:bCs/>
              </w:rPr>
            </w:pPr>
            <w:bookmarkStart w:id="260" w:name="Charges"/>
            <w:r w:rsidRPr="004C1365">
              <w:rPr>
                <w:b/>
                <w:bCs/>
              </w:rPr>
              <w:t>Charges</w:t>
            </w:r>
            <w:bookmarkEnd w:id="260"/>
            <w:r w:rsidRPr="004C1365">
              <w:rPr>
                <w:b/>
                <w:bCs/>
              </w:rPr>
              <w:t xml:space="preserve"> </w:t>
            </w:r>
          </w:p>
        </w:tc>
        <w:tc>
          <w:tcPr>
            <w:tcW w:w="7060" w:type="dxa"/>
          </w:tcPr>
          <w:p w14:paraId="082E6FFA" w14:textId="12FF5E2E" w:rsidR="00421482" w:rsidRDefault="00421482" w:rsidP="005F044C">
            <w:r>
              <w:t xml:space="preserve">Charges levied at the agreement level due to the Administrator under the charging scheme. The charges are based on the number of eligible facilities within </w:t>
            </w:r>
            <w:r w:rsidR="00512499">
              <w:t>an</w:t>
            </w:r>
            <w:r>
              <w:t xml:space="preserve"> underlying agreement. </w:t>
            </w:r>
          </w:p>
        </w:tc>
      </w:tr>
      <w:tr w:rsidR="00421482" w14:paraId="1BFA44AB" w14:textId="77777777" w:rsidTr="0F992DB3">
        <w:trPr>
          <w:cantSplit/>
        </w:trPr>
        <w:tc>
          <w:tcPr>
            <w:tcW w:w="2122" w:type="dxa"/>
          </w:tcPr>
          <w:p w14:paraId="72D36255" w14:textId="3D0ABB6D" w:rsidR="00421482" w:rsidRPr="004C1365" w:rsidRDefault="00421482" w:rsidP="005F044C">
            <w:pPr>
              <w:rPr>
                <w:b/>
                <w:bCs/>
              </w:rPr>
            </w:pPr>
            <w:bookmarkStart w:id="261" w:name="Chargingscheme"/>
            <w:r w:rsidRPr="004C1365">
              <w:rPr>
                <w:b/>
                <w:bCs/>
              </w:rPr>
              <w:t xml:space="preserve">Charging scheme </w:t>
            </w:r>
            <w:bookmarkEnd w:id="261"/>
          </w:p>
        </w:tc>
        <w:tc>
          <w:tcPr>
            <w:tcW w:w="7060" w:type="dxa"/>
          </w:tcPr>
          <w:p w14:paraId="32705F06" w14:textId="6518BA8E" w:rsidR="00421482" w:rsidRDefault="00421482" w:rsidP="005F044C">
            <w:r>
              <w:t xml:space="preserve">The Climate Change Agreements Charging </w:t>
            </w:r>
            <w:r w:rsidR="00CC695E">
              <w:t>Scheme allows</w:t>
            </w:r>
            <w:r>
              <w:t xml:space="preserve"> the Administrator to charge participants in the scheme to recover its costs. </w:t>
            </w:r>
          </w:p>
        </w:tc>
      </w:tr>
      <w:tr w:rsidR="00421482" w14:paraId="06B9D678" w14:textId="77777777" w:rsidTr="0F992DB3">
        <w:trPr>
          <w:cantSplit/>
        </w:trPr>
        <w:tc>
          <w:tcPr>
            <w:tcW w:w="2122" w:type="dxa"/>
          </w:tcPr>
          <w:p w14:paraId="6B2925A4" w14:textId="25AC0E13" w:rsidR="00421482" w:rsidRPr="004C1365" w:rsidRDefault="00421482" w:rsidP="005F044C">
            <w:pPr>
              <w:rPr>
                <w:b/>
                <w:bCs/>
              </w:rPr>
            </w:pPr>
            <w:bookmarkStart w:id="262" w:name="Climatechangeagreement"/>
            <w:r w:rsidRPr="004C1365">
              <w:rPr>
                <w:b/>
                <w:bCs/>
              </w:rPr>
              <w:t xml:space="preserve">Climate change agreement </w:t>
            </w:r>
            <w:bookmarkEnd w:id="262"/>
          </w:p>
        </w:tc>
        <w:tc>
          <w:tcPr>
            <w:tcW w:w="7060" w:type="dxa"/>
          </w:tcPr>
          <w:p w14:paraId="15916AC5" w14:textId="4F06C618" w:rsidR="00421482" w:rsidRPr="00814652" w:rsidRDefault="00421482" w:rsidP="005F044C">
            <w:r>
              <w:t xml:space="preserve">The scheme under which eligible facilities can receive a discount in the rate of Climate Change Levy (CCL) in return for achieving energy and carbon efficiency targets. </w:t>
            </w:r>
          </w:p>
        </w:tc>
      </w:tr>
      <w:tr w:rsidR="00421482" w14:paraId="771A2506" w14:textId="77777777" w:rsidTr="0F992DB3">
        <w:trPr>
          <w:cantSplit/>
        </w:trPr>
        <w:tc>
          <w:tcPr>
            <w:tcW w:w="2122" w:type="dxa"/>
          </w:tcPr>
          <w:p w14:paraId="22657756" w14:textId="281C98E6" w:rsidR="00421482" w:rsidRPr="004C1365" w:rsidRDefault="00421482" w:rsidP="005F044C">
            <w:pPr>
              <w:rPr>
                <w:b/>
                <w:bCs/>
              </w:rPr>
            </w:pPr>
            <w:bookmarkStart w:id="263" w:name="CCL"/>
            <w:r w:rsidRPr="004C1365">
              <w:rPr>
                <w:b/>
                <w:bCs/>
              </w:rPr>
              <w:t xml:space="preserve">Climate Change Levy (CCL) </w:t>
            </w:r>
            <w:bookmarkEnd w:id="263"/>
          </w:p>
        </w:tc>
        <w:tc>
          <w:tcPr>
            <w:tcW w:w="7060" w:type="dxa"/>
          </w:tcPr>
          <w:p w14:paraId="299FEB7F" w14:textId="008E20F1" w:rsidR="00421482" w:rsidRDefault="00421482" w:rsidP="005F044C">
            <w:r>
              <w:t>Tax since 1 April 2001 on electricity, gas, petroleum gas, coal, lignite, coke, semi-coke and petroleum coke (but not mineral oils) used as fuels by non-domestic energy users.</w:t>
            </w:r>
          </w:p>
        </w:tc>
      </w:tr>
      <w:tr w:rsidR="00421482" w14:paraId="2453D4B9" w14:textId="77777777" w:rsidTr="0F992DB3">
        <w:trPr>
          <w:cantSplit/>
        </w:trPr>
        <w:tc>
          <w:tcPr>
            <w:tcW w:w="2122" w:type="dxa"/>
          </w:tcPr>
          <w:p w14:paraId="410B58BB" w14:textId="7737F486" w:rsidR="00421482" w:rsidRPr="004C1365" w:rsidRDefault="00421482" w:rsidP="005F044C">
            <w:pPr>
              <w:rPr>
                <w:b/>
                <w:bCs/>
              </w:rPr>
            </w:pPr>
            <w:bookmarkStart w:id="264" w:name="Consultant"/>
            <w:r w:rsidRPr="004C1365">
              <w:rPr>
                <w:b/>
                <w:bCs/>
              </w:rPr>
              <w:t xml:space="preserve">Consultant </w:t>
            </w:r>
            <w:bookmarkEnd w:id="264"/>
          </w:p>
        </w:tc>
        <w:tc>
          <w:tcPr>
            <w:tcW w:w="7060" w:type="dxa"/>
          </w:tcPr>
          <w:p w14:paraId="6B57DA05" w14:textId="555D2680" w:rsidR="00421482" w:rsidRDefault="00421482" w:rsidP="005F044C">
            <w:r>
              <w:t xml:space="preserve">An external organisation (consultancy) that assists sector associations (and operators) in completing their obligations under the CCA scheme. </w:t>
            </w:r>
          </w:p>
        </w:tc>
      </w:tr>
      <w:tr w:rsidR="00421482" w14:paraId="4D755E6A" w14:textId="77777777" w:rsidTr="0F992DB3">
        <w:trPr>
          <w:cantSplit/>
        </w:trPr>
        <w:tc>
          <w:tcPr>
            <w:tcW w:w="2122" w:type="dxa"/>
          </w:tcPr>
          <w:p w14:paraId="3F148E0E" w14:textId="5D17AE06" w:rsidR="00421482" w:rsidRPr="004C1365" w:rsidRDefault="00421482" w:rsidP="005F044C">
            <w:pPr>
              <w:rPr>
                <w:b/>
                <w:bCs/>
              </w:rPr>
            </w:pPr>
            <w:bookmarkStart w:id="265" w:name="Decisionnotice"/>
            <w:r w:rsidRPr="004C1365">
              <w:rPr>
                <w:b/>
                <w:bCs/>
              </w:rPr>
              <w:t xml:space="preserve">Decision notice </w:t>
            </w:r>
            <w:bookmarkEnd w:id="265"/>
          </w:p>
        </w:tc>
        <w:tc>
          <w:tcPr>
            <w:tcW w:w="7060" w:type="dxa"/>
          </w:tcPr>
          <w:p w14:paraId="129A888E" w14:textId="624E84CF" w:rsidR="00421482" w:rsidRDefault="00421482" w:rsidP="005F044C">
            <w:r>
              <w:t xml:space="preserve">A notice served by the Administrator under the Rules for the operation of climate change agreements. See rule(s). </w:t>
            </w:r>
          </w:p>
        </w:tc>
      </w:tr>
      <w:tr w:rsidR="00421482" w14:paraId="28913E58" w14:textId="77777777" w:rsidTr="0F992DB3">
        <w:trPr>
          <w:cantSplit/>
        </w:trPr>
        <w:tc>
          <w:tcPr>
            <w:tcW w:w="2122" w:type="dxa"/>
          </w:tcPr>
          <w:p w14:paraId="2AB3F681" w14:textId="234B549D" w:rsidR="00421482" w:rsidRPr="004C1365" w:rsidRDefault="00421482" w:rsidP="005F044C">
            <w:pPr>
              <w:rPr>
                <w:b/>
                <w:bCs/>
              </w:rPr>
            </w:pPr>
            <w:bookmarkStart w:id="266" w:name="Deliveredenergy"/>
            <w:r w:rsidRPr="004C1365">
              <w:rPr>
                <w:b/>
                <w:bCs/>
              </w:rPr>
              <w:lastRenderedPageBreak/>
              <w:t xml:space="preserve">Delivered energy </w:t>
            </w:r>
            <w:bookmarkEnd w:id="266"/>
          </w:p>
        </w:tc>
        <w:tc>
          <w:tcPr>
            <w:tcW w:w="7060" w:type="dxa"/>
          </w:tcPr>
          <w:p w14:paraId="55047F37" w14:textId="59086280" w:rsidR="00421482" w:rsidRDefault="00421482" w:rsidP="005F044C">
            <w:r>
              <w:t xml:space="preserve">The amount of energy contained in fuel, heat or power delivered to a site or installation for consumption. It’s synonymous with metered energy. Not to be confused with primary energy, which is the basis on which energy is accounted for in the CCA scheme. </w:t>
            </w:r>
          </w:p>
        </w:tc>
      </w:tr>
      <w:tr w:rsidR="00421482" w14:paraId="05102B3C" w14:textId="77777777" w:rsidTr="0F992DB3">
        <w:trPr>
          <w:cantSplit/>
        </w:trPr>
        <w:tc>
          <w:tcPr>
            <w:tcW w:w="2122" w:type="dxa"/>
          </w:tcPr>
          <w:p w14:paraId="671175E1" w14:textId="6D546FD8" w:rsidR="00421482" w:rsidRPr="004C1365" w:rsidRDefault="00421482" w:rsidP="005F044C">
            <w:pPr>
              <w:rPr>
                <w:b/>
                <w:bCs/>
              </w:rPr>
            </w:pPr>
            <w:bookmarkStart w:id="267" w:name="BEIS"/>
            <w:r w:rsidRPr="004C1365">
              <w:rPr>
                <w:b/>
                <w:bCs/>
              </w:rPr>
              <w:t xml:space="preserve">Department for Business, Energy and Industrial Strategy (BEIS) </w:t>
            </w:r>
            <w:bookmarkEnd w:id="267"/>
          </w:p>
        </w:tc>
        <w:tc>
          <w:tcPr>
            <w:tcW w:w="7060" w:type="dxa"/>
          </w:tcPr>
          <w:p w14:paraId="23E4369F" w14:textId="31D187E4" w:rsidR="00421482" w:rsidRDefault="00421482" w:rsidP="005F044C">
            <w:r>
              <w:t xml:space="preserve">Former name of the Department for Energy Security and Net Zero, the Government department with the overall responsibility for energy and climate change policy in the UK. </w:t>
            </w:r>
          </w:p>
        </w:tc>
      </w:tr>
      <w:tr w:rsidR="00421482" w14:paraId="21B5AE04" w14:textId="77777777" w:rsidTr="0F992DB3">
        <w:trPr>
          <w:cantSplit/>
        </w:trPr>
        <w:tc>
          <w:tcPr>
            <w:tcW w:w="2122" w:type="dxa"/>
          </w:tcPr>
          <w:p w14:paraId="58575C7C" w14:textId="7CC48781" w:rsidR="00421482" w:rsidRPr="004C1365" w:rsidRDefault="00421482" w:rsidP="005F044C">
            <w:pPr>
              <w:rPr>
                <w:b/>
                <w:bCs/>
              </w:rPr>
            </w:pPr>
            <w:bookmarkStart w:id="268" w:name="Devolvedadministration"/>
            <w:r w:rsidRPr="004C1365">
              <w:rPr>
                <w:b/>
                <w:bCs/>
              </w:rPr>
              <w:t xml:space="preserve">Devolved administrations </w:t>
            </w:r>
            <w:bookmarkEnd w:id="268"/>
          </w:p>
        </w:tc>
        <w:tc>
          <w:tcPr>
            <w:tcW w:w="7060" w:type="dxa"/>
          </w:tcPr>
          <w:p w14:paraId="2A83EA06" w14:textId="0ACC8DAF" w:rsidR="00421482" w:rsidRDefault="00421482" w:rsidP="005F044C">
            <w:r>
              <w:t xml:space="preserve">The Scottish Parliament, the National Assembly for Wales and the Northern Ireland Assembly. </w:t>
            </w:r>
          </w:p>
        </w:tc>
      </w:tr>
      <w:tr w:rsidR="00421482" w14:paraId="33D5478F" w14:textId="77777777" w:rsidTr="0F992DB3">
        <w:trPr>
          <w:cantSplit/>
        </w:trPr>
        <w:tc>
          <w:tcPr>
            <w:tcW w:w="2122" w:type="dxa"/>
          </w:tcPr>
          <w:p w14:paraId="51E18E04" w14:textId="744D8D46" w:rsidR="00421482" w:rsidRPr="004C1365" w:rsidRDefault="00421482" w:rsidP="005F044C">
            <w:pPr>
              <w:rPr>
                <w:b/>
                <w:bCs/>
              </w:rPr>
            </w:pPr>
            <w:bookmarkStart w:id="269" w:name="DAA"/>
            <w:r w:rsidRPr="004C1365">
              <w:rPr>
                <w:b/>
                <w:bCs/>
              </w:rPr>
              <w:t xml:space="preserve">Directly associated activity (DAA) </w:t>
            </w:r>
            <w:bookmarkEnd w:id="269"/>
          </w:p>
        </w:tc>
        <w:tc>
          <w:tcPr>
            <w:tcW w:w="7060" w:type="dxa"/>
          </w:tcPr>
          <w:p w14:paraId="551222FE" w14:textId="5FC8D79A" w:rsidR="00421482" w:rsidRDefault="00421482" w:rsidP="005F044C">
            <w:r>
              <w:t xml:space="preserve">An activity on the same site which has a technical connection with the activities listed in Appendix A and which could </w:t>
            </w:r>
            <w:r w:rsidR="00067E62">
              <w:t>affect</w:t>
            </w:r>
            <w:r>
              <w:t xml:space="preserve"> emissions and pollution. </w:t>
            </w:r>
          </w:p>
        </w:tc>
      </w:tr>
      <w:tr w:rsidR="00421482" w14:paraId="0E2BA17F" w14:textId="77777777" w:rsidTr="0F992DB3">
        <w:trPr>
          <w:cantSplit/>
        </w:trPr>
        <w:tc>
          <w:tcPr>
            <w:tcW w:w="2122" w:type="dxa"/>
          </w:tcPr>
          <w:p w14:paraId="18271843" w14:textId="2E7FBD31" w:rsidR="00421482" w:rsidRPr="004C1365" w:rsidRDefault="00421482" w:rsidP="005F044C">
            <w:pPr>
              <w:rPr>
                <w:b/>
                <w:bCs/>
              </w:rPr>
            </w:pPr>
            <w:bookmarkStart w:id="270" w:name="Eligibleprocess"/>
            <w:r w:rsidRPr="004C1365">
              <w:rPr>
                <w:b/>
                <w:bCs/>
              </w:rPr>
              <w:t xml:space="preserve">Eligible processes </w:t>
            </w:r>
            <w:bookmarkEnd w:id="270"/>
          </w:p>
        </w:tc>
        <w:tc>
          <w:tcPr>
            <w:tcW w:w="7060" w:type="dxa"/>
          </w:tcPr>
          <w:p w14:paraId="3FF82C67" w14:textId="77777777" w:rsidR="00421482" w:rsidRDefault="00421482" w:rsidP="005F044C">
            <w:r>
              <w:t>The term used to describe:</w:t>
            </w:r>
          </w:p>
          <w:p w14:paraId="2ECC4AA7" w14:textId="77777777" w:rsidR="00421482" w:rsidRPr="00814652" w:rsidRDefault="00421482" w:rsidP="000D456D">
            <w:pPr>
              <w:pStyle w:val="ListParagraph"/>
              <w:numPr>
                <w:ilvl w:val="0"/>
                <w:numId w:val="222"/>
              </w:numPr>
            </w:pPr>
            <w:r w:rsidRPr="00814652">
              <w:t>Part A activities</w:t>
            </w:r>
          </w:p>
          <w:p w14:paraId="116E2932" w14:textId="77777777" w:rsidR="00B4730D" w:rsidRDefault="00421482" w:rsidP="00B4730D">
            <w:pPr>
              <w:pStyle w:val="ListParagraph"/>
              <w:numPr>
                <w:ilvl w:val="0"/>
                <w:numId w:val="222"/>
              </w:numPr>
            </w:pPr>
            <w:r w:rsidRPr="00814652">
              <w:t>the processes listed in the Schedule of The Climate Change Agreements (Eligible Facilities) Regulations 2012</w:t>
            </w:r>
            <w:r>
              <w:t xml:space="preserve"> (as amended)</w:t>
            </w:r>
            <w:r w:rsidRPr="00814652">
              <w:t>;</w:t>
            </w:r>
          </w:p>
          <w:p w14:paraId="168F25E5" w14:textId="4D23DECA" w:rsidR="000D456D" w:rsidRDefault="00B4730D" w:rsidP="000D456D">
            <w:pPr>
              <w:pStyle w:val="ListParagraph"/>
              <w:numPr>
                <w:ilvl w:val="0"/>
                <w:numId w:val="222"/>
              </w:numPr>
            </w:pPr>
            <w:r>
              <w:t xml:space="preserve">the processes listed in the Schedule of </w:t>
            </w:r>
            <w:r w:rsidR="00514117">
              <w:t>T</w:t>
            </w:r>
            <w:r w:rsidR="00514117" w:rsidRPr="000D456D">
              <w:t>he Climate Change Agreements (Energy–intensive Installations) Regulations</w:t>
            </w:r>
            <w:r w:rsidR="00514117">
              <w:t xml:space="preserve"> 2006 (as amended)</w:t>
            </w:r>
          </w:p>
          <w:p w14:paraId="2EDA779E" w14:textId="0AE1E15B" w:rsidR="00421482" w:rsidRDefault="00421482" w:rsidP="000D456D">
            <w:pPr>
              <w:pStyle w:val="ListParagraph"/>
              <w:numPr>
                <w:ilvl w:val="0"/>
                <w:numId w:val="222"/>
              </w:numPr>
            </w:pPr>
            <w:r w:rsidRPr="00814652">
              <w:t>ancillary activities</w:t>
            </w:r>
            <w:r w:rsidRPr="000D456D">
              <w:rPr>
                <w:szCs w:val="24"/>
              </w:rPr>
              <w:t xml:space="preserve"> with a technical connection to the above</w:t>
            </w:r>
          </w:p>
        </w:tc>
      </w:tr>
      <w:tr w:rsidR="00421482" w14:paraId="1FC9C62F" w14:textId="77777777" w:rsidTr="0F992DB3">
        <w:trPr>
          <w:cantSplit/>
        </w:trPr>
        <w:tc>
          <w:tcPr>
            <w:tcW w:w="2122" w:type="dxa"/>
          </w:tcPr>
          <w:p w14:paraId="3ADF4859" w14:textId="5B75DA05" w:rsidR="00421482" w:rsidRPr="004C1365" w:rsidRDefault="00421482" w:rsidP="005F044C">
            <w:pPr>
              <w:rPr>
                <w:b/>
                <w:bCs/>
              </w:rPr>
            </w:pPr>
            <w:bookmarkStart w:id="271" w:name="Emissions"/>
            <w:r w:rsidRPr="004C1365">
              <w:rPr>
                <w:b/>
                <w:bCs/>
              </w:rPr>
              <w:t>Emissions</w:t>
            </w:r>
            <w:bookmarkEnd w:id="271"/>
            <w:r w:rsidRPr="004C1365">
              <w:rPr>
                <w:b/>
                <w:bCs/>
              </w:rPr>
              <w:t xml:space="preserve"> </w:t>
            </w:r>
          </w:p>
        </w:tc>
        <w:tc>
          <w:tcPr>
            <w:tcW w:w="7060" w:type="dxa"/>
          </w:tcPr>
          <w:p w14:paraId="22E7558D" w14:textId="6A77C703" w:rsidR="00421482" w:rsidRDefault="00421482" w:rsidP="005F044C">
            <w:r>
              <w:t>Total emissions in tonnes of carbon dioxide equivalent (tCO</w:t>
            </w:r>
            <w:r>
              <w:rPr>
                <w:vertAlign w:val="subscript"/>
              </w:rPr>
              <w:t>2</w:t>
            </w:r>
            <w:r>
              <w:t xml:space="preserve">e) for a facility </w:t>
            </w:r>
          </w:p>
        </w:tc>
      </w:tr>
      <w:tr w:rsidR="00421482" w14:paraId="072F8CB5" w14:textId="77777777" w:rsidTr="0F992DB3">
        <w:trPr>
          <w:cantSplit/>
        </w:trPr>
        <w:tc>
          <w:tcPr>
            <w:tcW w:w="2122" w:type="dxa"/>
          </w:tcPr>
          <w:p w14:paraId="1AC4C940" w14:textId="6B6AE748" w:rsidR="00421482" w:rsidRPr="004C1365" w:rsidRDefault="00421482" w:rsidP="005F044C">
            <w:pPr>
              <w:rPr>
                <w:b/>
                <w:bCs/>
              </w:rPr>
            </w:pPr>
            <w:bookmarkStart w:id="272" w:name="Energytarget"/>
            <w:r w:rsidRPr="004C1365">
              <w:rPr>
                <w:b/>
                <w:bCs/>
              </w:rPr>
              <w:t xml:space="preserve">Energy target </w:t>
            </w:r>
            <w:bookmarkEnd w:id="272"/>
          </w:p>
        </w:tc>
        <w:tc>
          <w:tcPr>
            <w:tcW w:w="7060" w:type="dxa"/>
          </w:tcPr>
          <w:p w14:paraId="0A695D5E" w14:textId="182C28F7" w:rsidR="00421482" w:rsidRDefault="00421482" w:rsidP="005F044C">
            <w:r>
              <w:t>A target that includes units of energy, such as kWh, MWh and PJ.</w:t>
            </w:r>
          </w:p>
        </w:tc>
      </w:tr>
      <w:tr w:rsidR="00421482" w14:paraId="3A86ED2C" w14:textId="77777777" w:rsidTr="0F992DB3">
        <w:trPr>
          <w:cantSplit/>
        </w:trPr>
        <w:tc>
          <w:tcPr>
            <w:tcW w:w="2122" w:type="dxa"/>
          </w:tcPr>
          <w:p w14:paraId="17141F24" w14:textId="1167617D" w:rsidR="00421482" w:rsidRPr="004C1365" w:rsidRDefault="00421482" w:rsidP="005F044C">
            <w:pPr>
              <w:rPr>
                <w:b/>
                <w:bCs/>
              </w:rPr>
            </w:pPr>
            <w:bookmarkStart w:id="273" w:name="EnvironmentAgency"/>
            <w:r w:rsidRPr="004C1365">
              <w:rPr>
                <w:b/>
                <w:bCs/>
              </w:rPr>
              <w:t xml:space="preserve">Environment Agency </w:t>
            </w:r>
            <w:bookmarkEnd w:id="273"/>
          </w:p>
        </w:tc>
        <w:tc>
          <w:tcPr>
            <w:tcW w:w="7060" w:type="dxa"/>
          </w:tcPr>
          <w:p w14:paraId="79FB58B4" w14:textId="7C962B0C" w:rsidR="00421482" w:rsidRDefault="00421482" w:rsidP="005F044C">
            <w:r>
              <w:t xml:space="preserve">The organisation appointed under The Climate Change Agreements (Administration) Regulations 2012 to be the Administrator of the CCA scheme from 1 October 2012. </w:t>
            </w:r>
          </w:p>
        </w:tc>
      </w:tr>
      <w:tr w:rsidR="00421482" w14:paraId="4D7BD70D" w14:textId="77777777" w:rsidTr="0F992DB3">
        <w:trPr>
          <w:cantSplit/>
        </w:trPr>
        <w:tc>
          <w:tcPr>
            <w:tcW w:w="2122" w:type="dxa"/>
          </w:tcPr>
          <w:p w14:paraId="65458D85" w14:textId="64325EEC" w:rsidR="00421482" w:rsidRPr="004C1365" w:rsidRDefault="00421482" w:rsidP="005F044C">
            <w:pPr>
              <w:rPr>
                <w:b/>
                <w:bCs/>
              </w:rPr>
            </w:pPr>
            <w:bookmarkStart w:id="274" w:name="EPR"/>
            <w:r w:rsidRPr="004C1365">
              <w:rPr>
                <w:b/>
                <w:bCs/>
              </w:rPr>
              <w:t>EPR</w:t>
            </w:r>
            <w:bookmarkEnd w:id="274"/>
            <w:r w:rsidRPr="004C1365">
              <w:rPr>
                <w:b/>
                <w:bCs/>
              </w:rPr>
              <w:t xml:space="preserve"> </w:t>
            </w:r>
          </w:p>
        </w:tc>
        <w:tc>
          <w:tcPr>
            <w:tcW w:w="7060" w:type="dxa"/>
          </w:tcPr>
          <w:p w14:paraId="4373D33E" w14:textId="3664C0CE" w:rsidR="00421482" w:rsidRDefault="00421482" w:rsidP="005F044C">
            <w:r>
              <w:t>The Environmental Permitting (England and Wales) Regulations 2016</w:t>
            </w:r>
            <w:r w:rsidR="0002774A">
              <w:t xml:space="preserve"> (as amended)</w:t>
            </w:r>
            <w:r>
              <w:t>.</w:t>
            </w:r>
          </w:p>
        </w:tc>
      </w:tr>
      <w:tr w:rsidR="00421482" w14:paraId="0CA0BC0D" w14:textId="77777777" w:rsidTr="0F992DB3">
        <w:trPr>
          <w:cantSplit/>
        </w:trPr>
        <w:tc>
          <w:tcPr>
            <w:tcW w:w="2122" w:type="dxa"/>
          </w:tcPr>
          <w:p w14:paraId="22F5EC49" w14:textId="5D82BB44" w:rsidR="00421482" w:rsidRPr="004C1365" w:rsidRDefault="00421482" w:rsidP="005F044C">
            <w:pPr>
              <w:rPr>
                <w:b/>
                <w:bCs/>
              </w:rPr>
            </w:pPr>
            <w:bookmarkStart w:id="275" w:name="UKETS"/>
            <w:r w:rsidRPr="004C1365">
              <w:rPr>
                <w:b/>
                <w:bCs/>
              </w:rPr>
              <w:t xml:space="preserve">Emissions Trading Scheme (ETS) </w:t>
            </w:r>
            <w:bookmarkEnd w:id="275"/>
          </w:p>
        </w:tc>
        <w:tc>
          <w:tcPr>
            <w:tcW w:w="7060" w:type="dxa"/>
          </w:tcPr>
          <w:p w14:paraId="4F7668D6" w14:textId="4E8A6856" w:rsidR="00421482" w:rsidRDefault="00421482" w:rsidP="005F044C">
            <w:r>
              <w:t>The UK Emissions Trading Scheme established under the Greenhouse Gas Emissions Trading Scheme Order 2020. The UK ETS came into force on the 1 January 2021 replacing the UK’s participation in the EU ETS</w:t>
            </w:r>
            <w:r>
              <w:rPr>
                <w:szCs w:val="24"/>
              </w:rPr>
              <w:t>.</w:t>
            </w:r>
          </w:p>
        </w:tc>
      </w:tr>
      <w:tr w:rsidR="00421482" w14:paraId="620F6AF2" w14:textId="77777777" w:rsidTr="0F992DB3">
        <w:trPr>
          <w:cantSplit/>
        </w:trPr>
        <w:tc>
          <w:tcPr>
            <w:tcW w:w="2122" w:type="dxa"/>
          </w:tcPr>
          <w:p w14:paraId="47418837" w14:textId="66280E9B" w:rsidR="00421482" w:rsidRPr="004C1365" w:rsidRDefault="00421482" w:rsidP="005F044C">
            <w:pPr>
              <w:rPr>
                <w:b/>
                <w:bCs/>
              </w:rPr>
            </w:pPr>
            <w:bookmarkStart w:id="276" w:name="Facility"/>
            <w:r w:rsidRPr="004C1365">
              <w:rPr>
                <w:b/>
                <w:bCs/>
              </w:rPr>
              <w:t>Facility</w:t>
            </w:r>
            <w:bookmarkEnd w:id="276"/>
            <w:r w:rsidRPr="004C1365">
              <w:rPr>
                <w:b/>
                <w:bCs/>
              </w:rPr>
              <w:t xml:space="preserve"> </w:t>
            </w:r>
          </w:p>
        </w:tc>
        <w:tc>
          <w:tcPr>
            <w:tcW w:w="7060" w:type="dxa"/>
          </w:tcPr>
          <w:p w14:paraId="38139387" w14:textId="0C0B8430" w:rsidR="00421482" w:rsidRDefault="00421482" w:rsidP="005F044C">
            <w:r>
              <w:t xml:space="preserve">An installation, site, or part of site which is eligible to be covered by a climate change agreement. Also known as the eligible facility. </w:t>
            </w:r>
          </w:p>
        </w:tc>
      </w:tr>
      <w:tr w:rsidR="00AC19E2" w14:paraId="1C02BC1E" w14:textId="77777777" w:rsidTr="0F992DB3">
        <w:trPr>
          <w:cantSplit/>
        </w:trPr>
        <w:tc>
          <w:tcPr>
            <w:tcW w:w="2122" w:type="dxa"/>
          </w:tcPr>
          <w:p w14:paraId="6B3D210E" w14:textId="12F6D786" w:rsidR="00AC19E2" w:rsidRPr="004C1365" w:rsidRDefault="00AC19E2" w:rsidP="00AC19E2">
            <w:pPr>
              <w:rPr>
                <w:b/>
                <w:bCs/>
              </w:rPr>
            </w:pPr>
            <w:bookmarkStart w:id="277" w:name="facilitytarget"/>
            <w:r>
              <w:rPr>
                <w:b/>
                <w:bCs/>
              </w:rPr>
              <w:lastRenderedPageBreak/>
              <w:t>Facility</w:t>
            </w:r>
            <w:r w:rsidRPr="004C1365">
              <w:rPr>
                <w:b/>
                <w:bCs/>
              </w:rPr>
              <w:t xml:space="preserve"> target </w:t>
            </w:r>
            <w:bookmarkEnd w:id="277"/>
          </w:p>
        </w:tc>
        <w:tc>
          <w:tcPr>
            <w:tcW w:w="7060" w:type="dxa"/>
          </w:tcPr>
          <w:p w14:paraId="2329F758" w14:textId="2D78D3AF" w:rsidR="00AC19E2" w:rsidRDefault="00AC19E2" w:rsidP="00AC19E2">
            <w:r>
              <w:t>The target set out in Appendix 5 of an underlying agreement for a facility. The target applies to the energy consumed in the facility, that is, the energy consumed in the eligible facility less any energy consumed in the eligible facility that is consumed in plant carrying out activities in Schedule 2 to The Greenhouse Gas Emissions Trading Scheme Order 2020 (ETS) (as amended)</w:t>
            </w:r>
            <w:r w:rsidR="00924DEE">
              <w:t>.</w:t>
            </w:r>
            <w:r>
              <w:t xml:space="preserve"> </w:t>
            </w:r>
          </w:p>
        </w:tc>
      </w:tr>
      <w:tr w:rsidR="00AC19E2" w14:paraId="2D123ED0" w14:textId="77777777" w:rsidTr="0F992DB3">
        <w:trPr>
          <w:cantSplit/>
        </w:trPr>
        <w:tc>
          <w:tcPr>
            <w:tcW w:w="2122" w:type="dxa"/>
          </w:tcPr>
          <w:p w14:paraId="0486BC01" w14:textId="5641E05E" w:rsidR="00AC19E2" w:rsidRPr="004C1365" w:rsidRDefault="00AC19E2" w:rsidP="00AC19E2">
            <w:pPr>
              <w:rPr>
                <w:b/>
                <w:bCs/>
              </w:rPr>
            </w:pPr>
            <w:bookmarkStart w:id="278" w:name="FinanceAct2000"/>
            <w:r w:rsidRPr="004C1365">
              <w:rPr>
                <w:b/>
                <w:bCs/>
              </w:rPr>
              <w:t xml:space="preserve">Finance Act 2000 </w:t>
            </w:r>
            <w:bookmarkEnd w:id="278"/>
          </w:p>
        </w:tc>
        <w:tc>
          <w:tcPr>
            <w:tcW w:w="7060" w:type="dxa"/>
          </w:tcPr>
          <w:p w14:paraId="232A6931" w14:textId="73AA7F3F" w:rsidR="00AC19E2" w:rsidRDefault="00AC19E2" w:rsidP="00AC19E2">
            <w:r>
              <w:t xml:space="preserve">Schedule 6 of the Finance Act 2000 (as amended) contains legislation pertaining to the Climate Change Levy. </w:t>
            </w:r>
          </w:p>
        </w:tc>
      </w:tr>
      <w:tr w:rsidR="00AB1C91" w14:paraId="0442EBBE" w14:textId="77777777" w:rsidTr="0F992DB3">
        <w:trPr>
          <w:cantSplit/>
        </w:trPr>
        <w:tc>
          <w:tcPr>
            <w:tcW w:w="2122" w:type="dxa"/>
          </w:tcPr>
          <w:p w14:paraId="19578B2B" w14:textId="165A8369" w:rsidR="00AB1C91" w:rsidRPr="004C1365" w:rsidRDefault="00AB1C91" w:rsidP="00AC19E2">
            <w:pPr>
              <w:rPr>
                <w:b/>
                <w:bCs/>
              </w:rPr>
            </w:pPr>
            <w:bookmarkStart w:id="279" w:name="FEC"/>
            <w:r w:rsidRPr="3F9E71A2">
              <w:rPr>
                <w:b/>
                <w:bCs/>
              </w:rPr>
              <w:t>Fixed Energy Consumption (FEC)</w:t>
            </w:r>
            <w:bookmarkEnd w:id="279"/>
          </w:p>
        </w:tc>
        <w:tc>
          <w:tcPr>
            <w:tcW w:w="7060" w:type="dxa"/>
          </w:tcPr>
          <w:p w14:paraId="4E82A00D" w14:textId="3681A424" w:rsidR="00AB1C91" w:rsidRDefault="00F3383F" w:rsidP="00AC19E2">
            <w:r>
              <w:t>T</w:t>
            </w:r>
            <w:r w:rsidR="00AB1C91">
              <w:t>he proportion of energy consumed at a facility regardless of activity; any energy usage not linked to</w:t>
            </w:r>
            <w:r>
              <w:t xml:space="preserve"> throughput</w:t>
            </w:r>
            <w:r w:rsidR="00924DEE">
              <w:t>.</w:t>
            </w:r>
          </w:p>
        </w:tc>
      </w:tr>
      <w:tr w:rsidR="00AC19E2" w14:paraId="48700D25" w14:textId="77777777" w:rsidTr="0F992DB3">
        <w:trPr>
          <w:cantSplit/>
        </w:trPr>
        <w:tc>
          <w:tcPr>
            <w:tcW w:w="2122" w:type="dxa"/>
          </w:tcPr>
          <w:p w14:paraId="17DD7F40" w14:textId="75793196" w:rsidR="00AC19E2" w:rsidRPr="004C1365" w:rsidRDefault="00AC19E2" w:rsidP="00AC19E2">
            <w:pPr>
              <w:rPr>
                <w:b/>
                <w:bCs/>
              </w:rPr>
            </w:pPr>
            <w:bookmarkStart w:id="280" w:name="Fuel"/>
            <w:bookmarkStart w:id="281" w:name="excludedinstallationfacilitator"/>
            <w:r w:rsidRPr="004C1365">
              <w:rPr>
                <w:b/>
                <w:bCs/>
              </w:rPr>
              <w:t>Fuel</w:t>
            </w:r>
            <w:bookmarkEnd w:id="280"/>
            <w:r w:rsidRPr="004C1365">
              <w:rPr>
                <w:b/>
                <w:bCs/>
              </w:rPr>
              <w:t xml:space="preserve"> </w:t>
            </w:r>
          </w:p>
        </w:tc>
        <w:tc>
          <w:tcPr>
            <w:tcW w:w="7060" w:type="dxa"/>
          </w:tcPr>
          <w:p w14:paraId="27677E96" w14:textId="7BC0F458" w:rsidR="00AC19E2" w:rsidRDefault="00AC19E2" w:rsidP="00AC19E2">
            <w:r>
              <w:t>Gas, liquid or solid matter that can be consumed to produce energy in the form of heat or power.</w:t>
            </w:r>
          </w:p>
        </w:tc>
      </w:tr>
      <w:bookmarkEnd w:id="281"/>
      <w:tr w:rsidR="00AC19E2" w14:paraId="40880393" w14:textId="77777777" w:rsidTr="0F992DB3">
        <w:trPr>
          <w:cantSplit/>
        </w:trPr>
        <w:tc>
          <w:tcPr>
            <w:tcW w:w="2122" w:type="dxa"/>
          </w:tcPr>
          <w:p w14:paraId="0DB51751" w14:textId="006618CE" w:rsidR="00AC19E2" w:rsidRPr="004C1365" w:rsidRDefault="00AC19E2" w:rsidP="00AC19E2">
            <w:pPr>
              <w:rPr>
                <w:b/>
                <w:bCs/>
              </w:rPr>
            </w:pPr>
            <w:r w:rsidRPr="004C1365">
              <w:rPr>
                <w:b/>
                <w:bCs/>
              </w:rPr>
              <w:t xml:space="preserve">Green electricity tariff </w:t>
            </w:r>
          </w:p>
        </w:tc>
        <w:tc>
          <w:tcPr>
            <w:tcW w:w="7060" w:type="dxa"/>
          </w:tcPr>
          <w:p w14:paraId="774C2DDA" w14:textId="067FF303" w:rsidR="00AC19E2" w:rsidRDefault="00AC19E2" w:rsidP="00AC19E2">
            <w:r>
              <w:t xml:space="preserve">A green supply tariff means that some or </w:t>
            </w:r>
            <w:proofErr w:type="gramStart"/>
            <w:r>
              <w:t>all of</w:t>
            </w:r>
            <w:proofErr w:type="gramEnd"/>
            <w:r>
              <w:t xml:space="preserve"> the electricity supplied is ‘matched’ by purchases of renewable energy made by the energy supplier on their customer’s behalf. </w:t>
            </w:r>
          </w:p>
        </w:tc>
      </w:tr>
      <w:tr w:rsidR="00AC19E2" w14:paraId="200F8F5D" w14:textId="77777777" w:rsidTr="0F992DB3">
        <w:trPr>
          <w:cantSplit/>
        </w:trPr>
        <w:tc>
          <w:tcPr>
            <w:tcW w:w="2122" w:type="dxa"/>
          </w:tcPr>
          <w:p w14:paraId="3CFDF026" w14:textId="3F701099" w:rsidR="00AC19E2" w:rsidRPr="004C1365" w:rsidRDefault="00AC19E2" w:rsidP="00AC19E2">
            <w:pPr>
              <w:rPr>
                <w:b/>
                <w:bCs/>
              </w:rPr>
            </w:pPr>
            <w:bookmarkStart w:id="282" w:name="greenfield"/>
            <w:r w:rsidRPr="004C1365">
              <w:rPr>
                <w:b/>
                <w:bCs/>
              </w:rPr>
              <w:t xml:space="preserve">Greenfield facility </w:t>
            </w:r>
            <w:bookmarkEnd w:id="282"/>
          </w:p>
        </w:tc>
        <w:tc>
          <w:tcPr>
            <w:tcW w:w="7060" w:type="dxa"/>
          </w:tcPr>
          <w:p w14:paraId="74F2C229" w14:textId="436145AA" w:rsidR="00AC19E2" w:rsidRDefault="00AC19E2" w:rsidP="00AC19E2">
            <w:r>
              <w:t xml:space="preserve">A newly built facility or an existing facility that has </w:t>
            </w:r>
            <w:proofErr w:type="gramStart"/>
            <w:r>
              <w:t>closed down</w:t>
            </w:r>
            <w:proofErr w:type="gramEnd"/>
            <w:r>
              <w:t xml:space="preserve"> and undergone a complete replacement of plant and been recommissioned with a new eligible process. </w:t>
            </w:r>
          </w:p>
        </w:tc>
      </w:tr>
      <w:tr w:rsidR="00AC19E2" w14:paraId="320E7E66" w14:textId="77777777" w:rsidTr="0F992DB3">
        <w:trPr>
          <w:cantSplit/>
        </w:trPr>
        <w:tc>
          <w:tcPr>
            <w:tcW w:w="2122" w:type="dxa"/>
          </w:tcPr>
          <w:p w14:paraId="0FFBAEFE" w14:textId="57E37396" w:rsidR="00AC19E2" w:rsidRPr="004C1365" w:rsidRDefault="00AC19E2" w:rsidP="00AC19E2">
            <w:pPr>
              <w:rPr>
                <w:b/>
                <w:bCs/>
              </w:rPr>
            </w:pPr>
            <w:bookmarkStart w:id="283" w:name="installation"/>
            <w:r w:rsidRPr="004C1365">
              <w:rPr>
                <w:b/>
                <w:bCs/>
              </w:rPr>
              <w:t>Installation</w:t>
            </w:r>
            <w:bookmarkEnd w:id="283"/>
            <w:r w:rsidRPr="004C1365">
              <w:rPr>
                <w:b/>
                <w:bCs/>
              </w:rPr>
              <w:t xml:space="preserve"> </w:t>
            </w:r>
          </w:p>
        </w:tc>
        <w:tc>
          <w:tcPr>
            <w:tcW w:w="7060" w:type="dxa"/>
          </w:tcPr>
          <w:p w14:paraId="4574EF56" w14:textId="2C57BC0C" w:rsidR="00AC19E2" w:rsidRDefault="00AC19E2" w:rsidP="00AC19E2">
            <w:r>
              <w:t xml:space="preserve">The stationary technical unit (STU) and directly associated activities (DAA) combined. </w:t>
            </w:r>
          </w:p>
        </w:tc>
      </w:tr>
      <w:tr w:rsidR="00AC19E2" w14:paraId="63FB843B" w14:textId="77777777" w:rsidTr="0F992DB3">
        <w:trPr>
          <w:cantSplit/>
        </w:trPr>
        <w:tc>
          <w:tcPr>
            <w:tcW w:w="2122" w:type="dxa"/>
          </w:tcPr>
          <w:p w14:paraId="7113E5D2" w14:textId="11EC1C1E" w:rsidR="00AC19E2" w:rsidRPr="004C1365" w:rsidRDefault="00AC19E2" w:rsidP="00AC19E2">
            <w:pPr>
              <w:rPr>
                <w:b/>
                <w:bCs/>
              </w:rPr>
            </w:pPr>
            <w:bookmarkStart w:id="284" w:name="MOA"/>
            <w:r w:rsidRPr="004C1365">
              <w:rPr>
                <w:b/>
                <w:bCs/>
              </w:rPr>
              <w:t>Memorandum of Account (</w:t>
            </w:r>
            <w:proofErr w:type="spellStart"/>
            <w:r w:rsidRPr="004C1365">
              <w:rPr>
                <w:b/>
                <w:bCs/>
              </w:rPr>
              <w:t>MoA</w:t>
            </w:r>
            <w:proofErr w:type="spellEnd"/>
            <w:r w:rsidRPr="004C1365">
              <w:rPr>
                <w:b/>
                <w:bCs/>
              </w:rPr>
              <w:t xml:space="preserve">) </w:t>
            </w:r>
            <w:bookmarkEnd w:id="284"/>
          </w:p>
        </w:tc>
        <w:tc>
          <w:tcPr>
            <w:tcW w:w="7060" w:type="dxa"/>
          </w:tcPr>
          <w:p w14:paraId="2364902B" w14:textId="489EE594" w:rsidR="00AC19E2" w:rsidRDefault="00AC19E2" w:rsidP="00AC19E2">
            <w:r>
              <w:t xml:space="preserve">A notice sent from the Environment Agency to the operator to notify them that a fee is due for example annual subsistence charges or a buy-out fee. </w:t>
            </w:r>
          </w:p>
        </w:tc>
      </w:tr>
      <w:tr w:rsidR="00AC19E2" w14:paraId="0764560D" w14:textId="77777777" w:rsidTr="0F992DB3">
        <w:trPr>
          <w:cantSplit/>
        </w:trPr>
        <w:tc>
          <w:tcPr>
            <w:tcW w:w="2122" w:type="dxa"/>
          </w:tcPr>
          <w:p w14:paraId="430CB7A1" w14:textId="7E2A73E5" w:rsidR="00AC19E2" w:rsidRPr="004C1365" w:rsidRDefault="00AC19E2" w:rsidP="00AC19E2">
            <w:pPr>
              <w:rPr>
                <w:b/>
                <w:bCs/>
              </w:rPr>
            </w:pPr>
            <w:bookmarkStart w:id="285" w:name="MinMetexemption"/>
            <w:bookmarkStart w:id="286" w:name="Greenelectricity"/>
            <w:r w:rsidRPr="004C1365">
              <w:rPr>
                <w:b/>
                <w:bCs/>
              </w:rPr>
              <w:t xml:space="preserve">Mineralogical/ metallurgical exemption </w:t>
            </w:r>
            <w:bookmarkEnd w:id="285"/>
          </w:p>
        </w:tc>
        <w:tc>
          <w:tcPr>
            <w:tcW w:w="7060" w:type="dxa"/>
          </w:tcPr>
          <w:p w14:paraId="59ED806A" w14:textId="35AFFF4D" w:rsidR="00AC19E2" w:rsidRDefault="00AC19E2" w:rsidP="00AC19E2">
            <w:r>
              <w:t xml:space="preserve">CCL exemption provisions introduced for those in the mineralogical and metallurgical sectors. </w:t>
            </w:r>
          </w:p>
        </w:tc>
      </w:tr>
      <w:tr w:rsidR="00AC19E2" w14:paraId="1EE266E4" w14:textId="77777777" w:rsidTr="0F992DB3">
        <w:trPr>
          <w:cantSplit/>
        </w:trPr>
        <w:tc>
          <w:tcPr>
            <w:tcW w:w="2122" w:type="dxa"/>
          </w:tcPr>
          <w:p w14:paraId="2F45E7A5" w14:textId="69F8420D" w:rsidR="00AC19E2" w:rsidRPr="004C1365" w:rsidRDefault="00AC19E2" w:rsidP="00AC19E2">
            <w:pPr>
              <w:rPr>
                <w:b/>
                <w:bCs/>
              </w:rPr>
            </w:pPr>
            <w:bookmarkStart w:id="287" w:name="Multioperatorfacility"/>
            <w:bookmarkEnd w:id="286"/>
            <w:r w:rsidRPr="004C1365">
              <w:rPr>
                <w:b/>
                <w:bCs/>
              </w:rPr>
              <w:t>Multi-operator facility</w:t>
            </w:r>
            <w:bookmarkEnd w:id="287"/>
          </w:p>
        </w:tc>
        <w:tc>
          <w:tcPr>
            <w:tcW w:w="7060" w:type="dxa"/>
          </w:tcPr>
          <w:p w14:paraId="27D48441" w14:textId="5E841C0F" w:rsidR="00AC19E2" w:rsidRDefault="00AC19E2" w:rsidP="00AC19E2">
            <w:r>
              <w:t xml:space="preserve">A facility in respect of which different parts of the installation or installations are operated by different legal persons. </w:t>
            </w:r>
          </w:p>
        </w:tc>
      </w:tr>
      <w:tr w:rsidR="00AC19E2" w14:paraId="04AFB1FF" w14:textId="77777777" w:rsidTr="0F992DB3">
        <w:trPr>
          <w:cantSplit/>
        </w:trPr>
        <w:tc>
          <w:tcPr>
            <w:tcW w:w="2122" w:type="dxa"/>
          </w:tcPr>
          <w:p w14:paraId="6E91F1EC" w14:textId="505C71CB" w:rsidR="00AC19E2" w:rsidRPr="004C1365" w:rsidRDefault="00AC19E2" w:rsidP="00AC19E2">
            <w:pPr>
              <w:rPr>
                <w:b/>
                <w:bCs/>
              </w:rPr>
            </w:pPr>
            <w:r>
              <w:rPr>
                <w:b/>
                <w:bCs/>
              </w:rPr>
              <w:t>Manage your Climate Change Agreement (</w:t>
            </w:r>
            <w:proofErr w:type="spellStart"/>
            <w:r>
              <w:rPr>
                <w:b/>
                <w:bCs/>
              </w:rPr>
              <w:t>MyCCA</w:t>
            </w:r>
            <w:proofErr w:type="spellEnd"/>
            <w:r>
              <w:rPr>
                <w:b/>
                <w:bCs/>
              </w:rPr>
              <w:t>)</w:t>
            </w:r>
          </w:p>
        </w:tc>
        <w:tc>
          <w:tcPr>
            <w:tcW w:w="7060" w:type="dxa"/>
          </w:tcPr>
          <w:p w14:paraId="6FFAD44E" w14:textId="103A3237" w:rsidR="00AC19E2" w:rsidRDefault="00AC19E2" w:rsidP="00AC19E2">
            <w:r>
              <w:t xml:space="preserve">The digital service maintained by the Environment Agency to carry out the administration of the scheme. This has the same meaning as the CCA Register. </w:t>
            </w:r>
          </w:p>
        </w:tc>
      </w:tr>
      <w:tr w:rsidR="00AC19E2" w14:paraId="7689554A" w14:textId="77777777" w:rsidTr="0F992DB3">
        <w:trPr>
          <w:cantSplit/>
        </w:trPr>
        <w:tc>
          <w:tcPr>
            <w:tcW w:w="2122" w:type="dxa"/>
          </w:tcPr>
          <w:p w14:paraId="634C2846" w14:textId="10D320E7" w:rsidR="00AC19E2" w:rsidRPr="004C1365" w:rsidRDefault="00AC19E2" w:rsidP="00AC19E2">
            <w:pPr>
              <w:rPr>
                <w:b/>
                <w:bCs/>
              </w:rPr>
            </w:pPr>
            <w:bookmarkStart w:id="288" w:name="Operator"/>
            <w:r w:rsidRPr="004C1365">
              <w:rPr>
                <w:b/>
                <w:bCs/>
              </w:rPr>
              <w:t>Operator</w:t>
            </w:r>
            <w:bookmarkEnd w:id="288"/>
            <w:r w:rsidRPr="004C1365">
              <w:rPr>
                <w:b/>
                <w:bCs/>
              </w:rPr>
              <w:t xml:space="preserve"> </w:t>
            </w:r>
          </w:p>
        </w:tc>
        <w:tc>
          <w:tcPr>
            <w:tcW w:w="7060" w:type="dxa"/>
          </w:tcPr>
          <w:p w14:paraId="7BB1FECF" w14:textId="765D39DC" w:rsidR="00AC19E2" w:rsidRDefault="00AC19E2" w:rsidP="00AC19E2">
            <w:r>
              <w:t xml:space="preserve">A legal person or organisation that is party to an underlying agreement. May also be known as an account holder or participant. </w:t>
            </w:r>
          </w:p>
        </w:tc>
      </w:tr>
      <w:tr w:rsidR="00AC19E2" w14:paraId="054BD124" w14:textId="77777777" w:rsidTr="0F992DB3">
        <w:trPr>
          <w:cantSplit/>
        </w:trPr>
        <w:tc>
          <w:tcPr>
            <w:tcW w:w="2122" w:type="dxa"/>
          </w:tcPr>
          <w:p w14:paraId="0D99EF19" w14:textId="15770669" w:rsidR="00AC19E2" w:rsidRPr="004C1365" w:rsidRDefault="00AC19E2" w:rsidP="00AC19E2">
            <w:pPr>
              <w:rPr>
                <w:b/>
                <w:bCs/>
              </w:rPr>
            </w:pPr>
            <w:bookmarkStart w:id="289" w:name="PartAactivity"/>
            <w:r w:rsidRPr="004C1365">
              <w:rPr>
                <w:b/>
                <w:bCs/>
              </w:rPr>
              <w:t xml:space="preserve">Part A activity </w:t>
            </w:r>
            <w:bookmarkEnd w:id="289"/>
          </w:p>
        </w:tc>
        <w:tc>
          <w:tcPr>
            <w:tcW w:w="7060" w:type="dxa"/>
          </w:tcPr>
          <w:p w14:paraId="65764542" w14:textId="63A90DD7" w:rsidR="00AC19E2" w:rsidRDefault="00AC19E2" w:rsidP="00AC19E2">
            <w:r>
              <w:t xml:space="preserve">An activity falling within Part </w:t>
            </w:r>
            <w:proofErr w:type="gramStart"/>
            <w:r>
              <w:t>A(</w:t>
            </w:r>
            <w:proofErr w:type="gramEnd"/>
            <w:r>
              <w:t xml:space="preserve">1) of any Section in Part 2, or Part </w:t>
            </w:r>
            <w:proofErr w:type="gramStart"/>
            <w:r>
              <w:t>A(</w:t>
            </w:r>
            <w:proofErr w:type="gramEnd"/>
            <w:r>
              <w:t>2) of any Section of Part 2 of Schedule 1 to the EPR, taking account of any relevant numeric thresholds, relevant exceptions or relevant modifications in paragraph 51 of Schedule 6 to the Finance Act 2000.</w:t>
            </w:r>
          </w:p>
        </w:tc>
      </w:tr>
      <w:tr w:rsidR="00AC19E2" w14:paraId="52BC43F8" w14:textId="77777777" w:rsidTr="0F992DB3">
        <w:trPr>
          <w:cantSplit/>
        </w:trPr>
        <w:tc>
          <w:tcPr>
            <w:tcW w:w="2122" w:type="dxa"/>
          </w:tcPr>
          <w:p w14:paraId="48A31597" w14:textId="71B17ACD" w:rsidR="00AC19E2" w:rsidRPr="004C1365" w:rsidRDefault="00AC19E2" w:rsidP="00AC19E2">
            <w:pPr>
              <w:rPr>
                <w:b/>
                <w:bCs/>
              </w:rPr>
            </w:pPr>
            <w:bookmarkStart w:id="290" w:name="Penalty"/>
            <w:r w:rsidRPr="004C1365">
              <w:rPr>
                <w:b/>
                <w:bCs/>
              </w:rPr>
              <w:lastRenderedPageBreak/>
              <w:t>Penalty</w:t>
            </w:r>
            <w:bookmarkEnd w:id="290"/>
            <w:r w:rsidRPr="004C1365">
              <w:rPr>
                <w:b/>
                <w:bCs/>
              </w:rPr>
              <w:t xml:space="preserve"> </w:t>
            </w:r>
          </w:p>
        </w:tc>
        <w:tc>
          <w:tcPr>
            <w:tcW w:w="7060" w:type="dxa"/>
          </w:tcPr>
          <w:p w14:paraId="33800E95" w14:textId="45E381B4" w:rsidR="00AC19E2" w:rsidRDefault="00AC19E2" w:rsidP="00AC19E2">
            <w:r>
              <w:t xml:space="preserve">A civil financial penalty issued under the CCA scheme by the Administrator to the operator of a facility due to an infringement of the CCA rules and agreements. </w:t>
            </w:r>
          </w:p>
        </w:tc>
      </w:tr>
      <w:tr w:rsidR="00AC19E2" w14:paraId="2E5C4F72" w14:textId="77777777" w:rsidTr="0F992DB3">
        <w:trPr>
          <w:cantSplit/>
        </w:trPr>
        <w:tc>
          <w:tcPr>
            <w:tcW w:w="2122" w:type="dxa"/>
          </w:tcPr>
          <w:p w14:paraId="1B8852C5" w14:textId="74D6CEF5" w:rsidR="00AC19E2" w:rsidRPr="004C1365" w:rsidRDefault="00AC19E2" w:rsidP="00AC19E2">
            <w:pPr>
              <w:rPr>
                <w:b/>
                <w:bCs/>
              </w:rPr>
            </w:pPr>
            <w:bookmarkStart w:id="291" w:name="Personalinfo"/>
            <w:r w:rsidRPr="004C1365">
              <w:rPr>
                <w:b/>
                <w:bCs/>
              </w:rPr>
              <w:t xml:space="preserve">Personal information </w:t>
            </w:r>
            <w:bookmarkEnd w:id="291"/>
          </w:p>
        </w:tc>
        <w:tc>
          <w:tcPr>
            <w:tcW w:w="7060" w:type="dxa"/>
          </w:tcPr>
          <w:p w14:paraId="45168FB2" w14:textId="77777777" w:rsidR="00951EEC" w:rsidRDefault="00951EEC" w:rsidP="00AC19E2">
            <w:r>
              <w:t xml:space="preserve">Person information includes: </w:t>
            </w:r>
          </w:p>
          <w:p w14:paraId="1DB8EF6F" w14:textId="7F168524" w:rsidR="00951EEC" w:rsidRDefault="00E248B7" w:rsidP="00AC19E2">
            <w:pPr>
              <w:pStyle w:val="ListParagraph"/>
              <w:numPr>
                <w:ilvl w:val="0"/>
                <w:numId w:val="223"/>
              </w:numPr>
            </w:pPr>
            <w:r>
              <w:t>a</w:t>
            </w:r>
            <w:r w:rsidR="00AC19E2">
              <w:t xml:space="preserve">ddress of the registered office of the sector association or operator </w:t>
            </w:r>
          </w:p>
          <w:p w14:paraId="57DC0297" w14:textId="1844EAF6" w:rsidR="00AC19E2" w:rsidRDefault="00E248B7" w:rsidP="00951EEC">
            <w:pPr>
              <w:pStyle w:val="ListParagraph"/>
              <w:numPr>
                <w:ilvl w:val="0"/>
                <w:numId w:val="223"/>
              </w:numPr>
            </w:pPr>
            <w:r>
              <w:t>n</w:t>
            </w:r>
            <w:r w:rsidR="00AC19E2">
              <w:t xml:space="preserve">ame, address and email address of a person who can be contacted in respect of </w:t>
            </w:r>
            <w:r w:rsidR="00AC19E2" w:rsidRPr="00814652">
              <w:t xml:space="preserve"> </w:t>
            </w:r>
          </w:p>
        </w:tc>
      </w:tr>
      <w:tr w:rsidR="00AC19E2" w14:paraId="27472B77" w14:textId="77777777" w:rsidTr="0F992DB3">
        <w:trPr>
          <w:cantSplit/>
        </w:trPr>
        <w:tc>
          <w:tcPr>
            <w:tcW w:w="2122" w:type="dxa"/>
          </w:tcPr>
          <w:p w14:paraId="2660942B" w14:textId="7E5B58D8" w:rsidR="00AC19E2" w:rsidRPr="004C1365" w:rsidRDefault="00AC19E2" w:rsidP="00AC19E2">
            <w:pPr>
              <w:rPr>
                <w:b/>
                <w:bCs/>
              </w:rPr>
            </w:pPr>
            <w:bookmarkStart w:id="292" w:name="Primaryactivity"/>
            <w:r w:rsidRPr="004C1365">
              <w:rPr>
                <w:b/>
                <w:bCs/>
              </w:rPr>
              <w:t>Primary activity</w:t>
            </w:r>
            <w:bookmarkEnd w:id="292"/>
          </w:p>
        </w:tc>
        <w:tc>
          <w:tcPr>
            <w:tcW w:w="7060" w:type="dxa"/>
          </w:tcPr>
          <w:p w14:paraId="62210199" w14:textId="035740E5" w:rsidR="00AC19E2" w:rsidRDefault="00AC19E2" w:rsidP="00AC19E2">
            <w:r>
              <w:t>An activity the carrying out of which at a facility results in the facility being eligible to be covered by an agreement.</w:t>
            </w:r>
          </w:p>
        </w:tc>
      </w:tr>
      <w:tr w:rsidR="00AC19E2" w14:paraId="020C5A69" w14:textId="77777777" w:rsidTr="0F992DB3">
        <w:trPr>
          <w:cantSplit/>
        </w:trPr>
        <w:tc>
          <w:tcPr>
            <w:tcW w:w="2122" w:type="dxa"/>
          </w:tcPr>
          <w:p w14:paraId="6EA9E515" w14:textId="3F074C21" w:rsidR="00AC19E2" w:rsidRPr="004C1365" w:rsidRDefault="00AC19E2" w:rsidP="00AC19E2">
            <w:pPr>
              <w:rPr>
                <w:b/>
                <w:bCs/>
              </w:rPr>
            </w:pPr>
            <w:bookmarkStart w:id="293" w:name="Primaryenergy"/>
            <w:r w:rsidRPr="004C1365">
              <w:rPr>
                <w:b/>
                <w:bCs/>
              </w:rPr>
              <w:t>Primary energy</w:t>
            </w:r>
            <w:bookmarkEnd w:id="293"/>
          </w:p>
        </w:tc>
        <w:tc>
          <w:tcPr>
            <w:tcW w:w="7060" w:type="dxa"/>
          </w:tcPr>
          <w:p w14:paraId="06C65736" w14:textId="2A0ED102" w:rsidR="00AC19E2" w:rsidRDefault="00AC19E2" w:rsidP="00AC19E2">
            <w:r>
              <w:t>The primary fuel (or other primary energy source such as wind or solar energy) consumed in the process of generating and delivering to the point of consumption secondary forms of energy such as electricity, heat or mechanical power.</w:t>
            </w:r>
          </w:p>
        </w:tc>
      </w:tr>
      <w:tr w:rsidR="00AC19E2" w14:paraId="7A0EC4D7" w14:textId="77777777" w:rsidTr="0F992DB3">
        <w:trPr>
          <w:cantSplit/>
        </w:trPr>
        <w:tc>
          <w:tcPr>
            <w:tcW w:w="2122" w:type="dxa"/>
          </w:tcPr>
          <w:p w14:paraId="705B48BF" w14:textId="427D4CE6" w:rsidR="00AC19E2" w:rsidRPr="004C1365" w:rsidRDefault="00AC19E2" w:rsidP="00AC19E2">
            <w:pPr>
              <w:rPr>
                <w:b/>
                <w:bCs/>
              </w:rPr>
            </w:pPr>
            <w:bookmarkStart w:id="294" w:name="Publish"/>
            <w:r w:rsidRPr="004C1365">
              <w:rPr>
                <w:b/>
                <w:bCs/>
              </w:rPr>
              <w:t>Publish</w:t>
            </w:r>
            <w:bookmarkEnd w:id="294"/>
          </w:p>
        </w:tc>
        <w:tc>
          <w:tcPr>
            <w:tcW w:w="7060" w:type="dxa"/>
          </w:tcPr>
          <w:p w14:paraId="7902C364" w14:textId="699B7B33" w:rsidR="00AC19E2" w:rsidRDefault="00AC19E2" w:rsidP="00AC19E2">
            <w:r>
              <w:t>To publish on any part of a website maintained by the Administrator that is accessible to the public.</w:t>
            </w:r>
          </w:p>
        </w:tc>
      </w:tr>
      <w:tr w:rsidR="00AC19E2" w14:paraId="6EAD7F46" w14:textId="77777777" w:rsidTr="0F992DB3">
        <w:trPr>
          <w:cantSplit/>
        </w:trPr>
        <w:tc>
          <w:tcPr>
            <w:tcW w:w="2122" w:type="dxa"/>
          </w:tcPr>
          <w:p w14:paraId="23A27381" w14:textId="78E940E0" w:rsidR="00AC19E2" w:rsidRPr="004C1365" w:rsidRDefault="00AC19E2" w:rsidP="00AC19E2">
            <w:pPr>
              <w:rPr>
                <w:b/>
                <w:bCs/>
              </w:rPr>
            </w:pPr>
            <w:bookmarkStart w:id="295" w:name="RRC"/>
            <w:r w:rsidRPr="004C1365">
              <w:rPr>
                <w:b/>
                <w:bCs/>
              </w:rPr>
              <w:t>Reduced rate certificate (RRC</w:t>
            </w:r>
            <w:bookmarkEnd w:id="295"/>
            <w:r w:rsidRPr="004C1365">
              <w:rPr>
                <w:b/>
                <w:bCs/>
              </w:rPr>
              <w:t xml:space="preserve">) </w:t>
            </w:r>
          </w:p>
        </w:tc>
        <w:tc>
          <w:tcPr>
            <w:tcW w:w="7060" w:type="dxa"/>
          </w:tcPr>
          <w:p w14:paraId="2A35D808" w14:textId="44D4F085" w:rsidR="00AC19E2" w:rsidRDefault="00AC19E2" w:rsidP="00AC19E2">
            <w:r>
              <w:t xml:space="preserve">A report published by the Environment Agency and submitted to HM Revenue and Customs (HMRC). The certificate details all facilities that are deemed to be part of the CCA scheme at the point of publication and therefore entitled to the CCL discount. </w:t>
            </w:r>
          </w:p>
        </w:tc>
      </w:tr>
      <w:tr w:rsidR="00AC19E2" w14:paraId="7BF30C65" w14:textId="77777777" w:rsidTr="0F992DB3">
        <w:trPr>
          <w:cantSplit/>
        </w:trPr>
        <w:tc>
          <w:tcPr>
            <w:tcW w:w="2122" w:type="dxa"/>
          </w:tcPr>
          <w:p w14:paraId="10F88E81" w14:textId="23CF8AEC" w:rsidR="00AC19E2" w:rsidRPr="004C1365" w:rsidRDefault="00AC19E2" w:rsidP="00AC19E2">
            <w:pPr>
              <w:rPr>
                <w:b/>
                <w:bCs/>
              </w:rPr>
            </w:pPr>
            <w:bookmarkStart w:id="296" w:name="Regulator"/>
            <w:r w:rsidRPr="004C1365">
              <w:rPr>
                <w:b/>
                <w:bCs/>
              </w:rPr>
              <w:t>Regulator</w:t>
            </w:r>
            <w:bookmarkEnd w:id="296"/>
            <w:r w:rsidRPr="004C1365">
              <w:rPr>
                <w:b/>
                <w:bCs/>
              </w:rPr>
              <w:t xml:space="preserve"> </w:t>
            </w:r>
          </w:p>
        </w:tc>
        <w:tc>
          <w:tcPr>
            <w:tcW w:w="7060" w:type="dxa"/>
          </w:tcPr>
          <w:p w14:paraId="6C4DC01F" w14:textId="77CBF88C" w:rsidR="00AC19E2" w:rsidRDefault="00AC19E2" w:rsidP="00AC19E2">
            <w:r>
              <w:t>The environmental regulator</w:t>
            </w:r>
            <w:r w:rsidR="003C6FE8">
              <w:t xml:space="preserve"> for EPR</w:t>
            </w:r>
            <w:r>
              <w:t xml:space="preserve"> is: </w:t>
            </w:r>
          </w:p>
          <w:p w14:paraId="7DD054AD" w14:textId="77777777" w:rsidR="00AC19E2" w:rsidRDefault="00AC19E2" w:rsidP="30E828AA">
            <w:pPr>
              <w:pStyle w:val="ListParagraph"/>
              <w:numPr>
                <w:ilvl w:val="0"/>
                <w:numId w:val="232"/>
              </w:numPr>
            </w:pPr>
            <w:r w:rsidRPr="00814652">
              <w:t xml:space="preserve">Environment Agency for </w:t>
            </w:r>
            <w:r>
              <w:t xml:space="preserve">all participants in the CCA scheme and for </w:t>
            </w:r>
            <w:r w:rsidRPr="00814652">
              <w:t>Part A1 processes in England</w:t>
            </w:r>
          </w:p>
          <w:p w14:paraId="3C4D74F2" w14:textId="77777777" w:rsidR="00AC19E2" w:rsidRPr="00814652" w:rsidRDefault="00AC19E2" w:rsidP="30E828AA">
            <w:pPr>
              <w:pStyle w:val="ListParagraph"/>
              <w:numPr>
                <w:ilvl w:val="0"/>
                <w:numId w:val="232"/>
              </w:numPr>
            </w:pPr>
            <w:r w:rsidRPr="00814652">
              <w:t xml:space="preserve">Natural Resources Wales for Part A1 processes in Wales </w:t>
            </w:r>
          </w:p>
          <w:p w14:paraId="028C4AC0" w14:textId="77777777" w:rsidR="00AC19E2" w:rsidRDefault="00AC19E2" w:rsidP="30E828AA">
            <w:pPr>
              <w:pStyle w:val="ListParagraph"/>
              <w:numPr>
                <w:ilvl w:val="0"/>
                <w:numId w:val="232"/>
              </w:numPr>
            </w:pPr>
            <w:r>
              <w:t>Local Authorities</w:t>
            </w:r>
            <w:r w:rsidRPr="00814652">
              <w:t xml:space="preserve"> in England and Wales for Part A2 processes </w:t>
            </w:r>
          </w:p>
          <w:p w14:paraId="5B1C4B44" w14:textId="77777777" w:rsidR="00AC19E2" w:rsidRPr="00814652" w:rsidRDefault="00AC19E2" w:rsidP="30E828AA">
            <w:pPr>
              <w:pStyle w:val="ListParagraph"/>
              <w:numPr>
                <w:ilvl w:val="0"/>
                <w:numId w:val="232"/>
              </w:numPr>
            </w:pPr>
            <w:r w:rsidRPr="00814652">
              <w:t xml:space="preserve">Scottish Environment Protection Agency (SEPA) for all Part A processes in Scotland </w:t>
            </w:r>
          </w:p>
          <w:p w14:paraId="2A7F97E6" w14:textId="67804D4A" w:rsidR="00AC19E2" w:rsidRDefault="00AC19E2" w:rsidP="30E828AA">
            <w:pPr>
              <w:pStyle w:val="ListParagraph"/>
              <w:numPr>
                <w:ilvl w:val="0"/>
                <w:numId w:val="232"/>
              </w:numPr>
            </w:pPr>
            <w:r w:rsidRPr="00814652">
              <w:t xml:space="preserve">Northern Ireland Environment Agency (NIEA) for all Part A processes in Northern Ireland </w:t>
            </w:r>
          </w:p>
        </w:tc>
      </w:tr>
      <w:tr w:rsidR="00AC19E2" w14:paraId="0F941ADE" w14:textId="77777777" w:rsidTr="0F992DB3">
        <w:trPr>
          <w:cantSplit/>
        </w:trPr>
        <w:tc>
          <w:tcPr>
            <w:tcW w:w="2122" w:type="dxa"/>
          </w:tcPr>
          <w:p w14:paraId="362F8796" w14:textId="1A0CE9E4" w:rsidR="00AC19E2" w:rsidRPr="004C1365" w:rsidRDefault="00AC19E2" w:rsidP="00AC19E2">
            <w:pPr>
              <w:rPr>
                <w:b/>
                <w:bCs/>
              </w:rPr>
            </w:pPr>
            <w:bookmarkStart w:id="297" w:name="Reportingdate"/>
            <w:r w:rsidRPr="004C1365">
              <w:rPr>
                <w:b/>
                <w:bCs/>
              </w:rPr>
              <w:t>Reporting date</w:t>
            </w:r>
            <w:bookmarkEnd w:id="297"/>
          </w:p>
        </w:tc>
        <w:tc>
          <w:tcPr>
            <w:tcW w:w="7060" w:type="dxa"/>
          </w:tcPr>
          <w:p w14:paraId="587159EF" w14:textId="5DB3F65E" w:rsidR="00AC19E2" w:rsidRDefault="00AC19E2" w:rsidP="00AC19E2">
            <w:r>
              <w:t xml:space="preserve">The last day by which a performance </w:t>
            </w:r>
            <w:r w:rsidR="00405E7B">
              <w:t>report, interim</w:t>
            </w:r>
            <w:r>
              <w:t xml:space="preserve"> or final target period report must be submitted. </w:t>
            </w:r>
          </w:p>
        </w:tc>
      </w:tr>
      <w:tr w:rsidR="00AC19E2" w14:paraId="42BF97EA" w14:textId="77777777" w:rsidTr="0F992DB3">
        <w:trPr>
          <w:cantSplit/>
        </w:trPr>
        <w:tc>
          <w:tcPr>
            <w:tcW w:w="2122" w:type="dxa"/>
          </w:tcPr>
          <w:p w14:paraId="3FD75F7C" w14:textId="3CE6A096" w:rsidR="00AC19E2" w:rsidRPr="004C1365" w:rsidRDefault="00AC19E2" w:rsidP="00AC19E2">
            <w:pPr>
              <w:rPr>
                <w:b/>
                <w:bCs/>
              </w:rPr>
            </w:pPr>
            <w:bookmarkStart w:id="298" w:name="Reportingperiod"/>
            <w:r w:rsidRPr="004C1365">
              <w:rPr>
                <w:b/>
                <w:bCs/>
              </w:rPr>
              <w:t>Reporting period</w:t>
            </w:r>
            <w:bookmarkEnd w:id="298"/>
          </w:p>
        </w:tc>
        <w:tc>
          <w:tcPr>
            <w:tcW w:w="7060" w:type="dxa"/>
          </w:tcPr>
          <w:p w14:paraId="11AD5C6E" w14:textId="28618C29" w:rsidR="00AC19E2" w:rsidRPr="00814652" w:rsidRDefault="00AC19E2" w:rsidP="00AC19E2">
            <w:r>
              <w:t xml:space="preserve">The period at the end of a target period for gathering, submitting and verifying performance data. </w:t>
            </w:r>
          </w:p>
        </w:tc>
      </w:tr>
      <w:tr w:rsidR="00AC19E2" w14:paraId="17A80B43" w14:textId="77777777" w:rsidTr="0F992DB3">
        <w:trPr>
          <w:cantSplit/>
        </w:trPr>
        <w:tc>
          <w:tcPr>
            <w:tcW w:w="2122" w:type="dxa"/>
          </w:tcPr>
          <w:p w14:paraId="4B33CF70" w14:textId="6B71E11C" w:rsidR="00AC19E2" w:rsidRPr="004C1365" w:rsidRDefault="00AC19E2" w:rsidP="00AC19E2">
            <w:pPr>
              <w:rPr>
                <w:b/>
                <w:bCs/>
              </w:rPr>
            </w:pPr>
            <w:bookmarkStart w:id="299" w:name="Reportingvariation"/>
            <w:r w:rsidRPr="004C1365">
              <w:rPr>
                <w:b/>
                <w:bCs/>
              </w:rPr>
              <w:t>Reporting variation</w:t>
            </w:r>
            <w:bookmarkEnd w:id="299"/>
          </w:p>
        </w:tc>
        <w:tc>
          <w:tcPr>
            <w:tcW w:w="7060" w:type="dxa"/>
          </w:tcPr>
          <w:p w14:paraId="1DA9D6F4" w14:textId="4E68BC84" w:rsidR="00AC19E2" w:rsidRDefault="00AC19E2" w:rsidP="00AC19E2">
            <w:r>
              <w:t>A variation that must be submitted at the beginning of the reporting window to reflect a change that may impact on a target unit's target.</w:t>
            </w:r>
            <w:r w:rsidR="00E248B7">
              <w:t xml:space="preserve"> </w:t>
            </w:r>
            <w:r>
              <w:t xml:space="preserve">These variations must be submitted between 1 and 31 January.  </w:t>
            </w:r>
          </w:p>
        </w:tc>
      </w:tr>
      <w:tr w:rsidR="00AC19E2" w14:paraId="4734EEEC" w14:textId="77777777" w:rsidTr="0F992DB3">
        <w:trPr>
          <w:cantSplit/>
        </w:trPr>
        <w:tc>
          <w:tcPr>
            <w:tcW w:w="2122" w:type="dxa"/>
          </w:tcPr>
          <w:p w14:paraId="24C4BACB" w14:textId="22063A1E" w:rsidR="00AC19E2" w:rsidRPr="004C1365" w:rsidRDefault="00AC19E2" w:rsidP="00AC19E2">
            <w:pPr>
              <w:rPr>
                <w:b/>
                <w:bCs/>
              </w:rPr>
            </w:pPr>
            <w:bookmarkStart w:id="300" w:name="Reportingwindow"/>
            <w:r w:rsidRPr="004C1365">
              <w:rPr>
                <w:b/>
                <w:bCs/>
              </w:rPr>
              <w:lastRenderedPageBreak/>
              <w:t>Reporting window</w:t>
            </w:r>
            <w:bookmarkEnd w:id="300"/>
          </w:p>
        </w:tc>
        <w:tc>
          <w:tcPr>
            <w:tcW w:w="7060" w:type="dxa"/>
          </w:tcPr>
          <w:p w14:paraId="2A3ED317" w14:textId="066D7B11" w:rsidR="00AC19E2" w:rsidRDefault="00AC19E2" w:rsidP="00AC19E2">
            <w:r>
              <w:t>The timeframe during which the register is open for interim and final target period reporting and the submission of the performance report</w:t>
            </w:r>
            <w:r w:rsidR="00405E7B">
              <w:t>.</w:t>
            </w:r>
          </w:p>
        </w:tc>
      </w:tr>
      <w:tr w:rsidR="00AC19E2" w14:paraId="266D3005" w14:textId="77777777" w:rsidTr="0F992DB3">
        <w:trPr>
          <w:cantSplit/>
        </w:trPr>
        <w:tc>
          <w:tcPr>
            <w:tcW w:w="2122" w:type="dxa"/>
          </w:tcPr>
          <w:p w14:paraId="54BEBE35" w14:textId="106F048A" w:rsidR="00AC19E2" w:rsidRPr="004C1365" w:rsidRDefault="00AC19E2" w:rsidP="00AC19E2">
            <w:pPr>
              <w:rPr>
                <w:b/>
                <w:bCs/>
              </w:rPr>
            </w:pPr>
            <w:bookmarkStart w:id="301" w:name="Responsibleperson"/>
            <w:r w:rsidRPr="004C1365">
              <w:rPr>
                <w:b/>
                <w:bCs/>
              </w:rPr>
              <w:t xml:space="preserve">Responsible person </w:t>
            </w:r>
            <w:bookmarkEnd w:id="301"/>
          </w:p>
        </w:tc>
        <w:tc>
          <w:tcPr>
            <w:tcW w:w="7060" w:type="dxa"/>
          </w:tcPr>
          <w:p w14:paraId="43CE5316" w14:textId="77777777" w:rsidR="00AC19E2" w:rsidRDefault="00AC19E2" w:rsidP="00AC19E2">
            <w:r>
              <w:t xml:space="preserve">An individual who is legally authorised by the operator to: </w:t>
            </w:r>
          </w:p>
          <w:p w14:paraId="5D564423" w14:textId="77777777" w:rsidR="00AC19E2" w:rsidRPr="00814652" w:rsidRDefault="00AC19E2" w:rsidP="30E828AA">
            <w:pPr>
              <w:pStyle w:val="ListParagraph"/>
              <w:numPr>
                <w:ilvl w:val="0"/>
                <w:numId w:val="233"/>
              </w:numPr>
            </w:pPr>
            <w:r w:rsidRPr="00814652">
              <w:t xml:space="preserve">act on behalf of the operator (or their representative) </w:t>
            </w:r>
          </w:p>
          <w:p w14:paraId="5180E80D" w14:textId="77777777" w:rsidR="00AC19E2" w:rsidRPr="00814652" w:rsidRDefault="00AC19E2" w:rsidP="30E828AA">
            <w:pPr>
              <w:pStyle w:val="ListParagraph"/>
              <w:numPr>
                <w:ilvl w:val="0"/>
                <w:numId w:val="233"/>
              </w:numPr>
            </w:pPr>
            <w:r w:rsidRPr="00814652">
              <w:t xml:space="preserve">enter as the operator’s agent into an underlying agreement </w:t>
            </w:r>
          </w:p>
          <w:p w14:paraId="595325CB" w14:textId="77777777" w:rsidR="00AC19E2" w:rsidRPr="00814652" w:rsidRDefault="00AC19E2" w:rsidP="30E828AA">
            <w:pPr>
              <w:pStyle w:val="ListParagraph"/>
              <w:numPr>
                <w:ilvl w:val="0"/>
                <w:numId w:val="233"/>
              </w:numPr>
            </w:pPr>
            <w:r w:rsidRPr="00814652">
              <w:t xml:space="preserve">agree any amendments to an underlying agreement </w:t>
            </w:r>
          </w:p>
          <w:p w14:paraId="65DDCC3D" w14:textId="77777777" w:rsidR="00AC19E2" w:rsidRPr="00814652" w:rsidRDefault="00AC19E2" w:rsidP="30E828AA">
            <w:pPr>
              <w:pStyle w:val="ListParagraph"/>
              <w:numPr>
                <w:ilvl w:val="0"/>
                <w:numId w:val="233"/>
              </w:numPr>
            </w:pPr>
            <w:r w:rsidRPr="00814652">
              <w:t xml:space="preserve">accept notices served by the Administrator on behalf of the operator </w:t>
            </w:r>
          </w:p>
          <w:p w14:paraId="3493D55D" w14:textId="08F124CB" w:rsidR="00AC19E2" w:rsidRDefault="00AC19E2" w:rsidP="00AC19E2">
            <w:r>
              <w:t>The responsible person is not required to be the day-to-day contact for the target unit.</w:t>
            </w:r>
          </w:p>
        </w:tc>
      </w:tr>
      <w:tr w:rsidR="00AC19E2" w14:paraId="6EF29F52" w14:textId="77777777" w:rsidTr="0F992DB3">
        <w:trPr>
          <w:cantSplit/>
        </w:trPr>
        <w:tc>
          <w:tcPr>
            <w:tcW w:w="2122" w:type="dxa"/>
          </w:tcPr>
          <w:p w14:paraId="45D8047C" w14:textId="48EF8721" w:rsidR="00AC19E2" w:rsidRPr="004C1365" w:rsidRDefault="00AC19E2" w:rsidP="00AC19E2">
            <w:pPr>
              <w:rPr>
                <w:b/>
                <w:bCs/>
              </w:rPr>
            </w:pPr>
            <w:bookmarkStart w:id="302" w:name="Rules"/>
            <w:r w:rsidRPr="004C1365">
              <w:rPr>
                <w:b/>
                <w:bCs/>
              </w:rPr>
              <w:t xml:space="preserve">Rule(s) </w:t>
            </w:r>
            <w:bookmarkEnd w:id="302"/>
          </w:p>
        </w:tc>
        <w:tc>
          <w:tcPr>
            <w:tcW w:w="7060" w:type="dxa"/>
          </w:tcPr>
          <w:p w14:paraId="0B30ECA1" w14:textId="428F57E0" w:rsidR="00AC19E2" w:rsidRDefault="00AC19E2" w:rsidP="00AC19E2">
            <w:r>
              <w:t xml:space="preserve">One or more of the Rules for the </w:t>
            </w:r>
            <w:r>
              <w:rPr>
                <w:szCs w:val="24"/>
              </w:rPr>
              <w:t>operation</w:t>
            </w:r>
            <w:r>
              <w:t xml:space="preserve"> of Climate Change Agreements as set out in Appendix 1 to underlying agreements and umbrella agreements.</w:t>
            </w:r>
          </w:p>
        </w:tc>
      </w:tr>
      <w:tr w:rsidR="00AC19E2" w14:paraId="612F38A9" w14:textId="77777777" w:rsidTr="0F992DB3">
        <w:trPr>
          <w:cantSplit/>
        </w:trPr>
        <w:tc>
          <w:tcPr>
            <w:tcW w:w="2122" w:type="dxa"/>
          </w:tcPr>
          <w:p w14:paraId="42D991BD" w14:textId="2D53136A" w:rsidR="00AC19E2" w:rsidRPr="004C1365" w:rsidRDefault="00AC19E2" w:rsidP="00AC19E2">
            <w:pPr>
              <w:rPr>
                <w:b/>
                <w:bCs/>
              </w:rPr>
            </w:pPr>
            <w:bookmarkStart w:id="303" w:name="Schedule2"/>
            <w:r>
              <w:rPr>
                <w:b/>
                <w:bCs/>
              </w:rPr>
              <w:t>Schedule 2</w:t>
            </w:r>
            <w:r w:rsidRPr="004C1365">
              <w:rPr>
                <w:b/>
                <w:bCs/>
              </w:rPr>
              <w:t xml:space="preserve"> activity </w:t>
            </w:r>
            <w:bookmarkEnd w:id="303"/>
          </w:p>
        </w:tc>
        <w:tc>
          <w:tcPr>
            <w:tcW w:w="7060" w:type="dxa"/>
          </w:tcPr>
          <w:p w14:paraId="2FB8D77A" w14:textId="0C41A1A7" w:rsidR="00AC19E2" w:rsidRDefault="00AC19E2" w:rsidP="00AC19E2">
            <w:r w:rsidRPr="000C2064">
              <w:t>Activities listed in Schedule 2 to The Greenhouse Gas Emissions Trading Scheme Order 2020 establishing a UK-wide greenhouse gas emissions trading scheme (</w:t>
            </w:r>
            <w:r w:rsidR="005849C7">
              <w:t xml:space="preserve">UK </w:t>
            </w:r>
            <w:r w:rsidRPr="000C2064">
              <w:t>ETS).</w:t>
            </w:r>
          </w:p>
        </w:tc>
      </w:tr>
      <w:tr w:rsidR="00AC19E2" w14:paraId="62171CEF" w14:textId="77777777" w:rsidTr="0F992DB3">
        <w:trPr>
          <w:cantSplit/>
        </w:trPr>
        <w:tc>
          <w:tcPr>
            <w:tcW w:w="2122" w:type="dxa"/>
          </w:tcPr>
          <w:p w14:paraId="6CD70DE3" w14:textId="2E2AA87D" w:rsidR="00AC19E2" w:rsidRPr="004C1365" w:rsidRDefault="00AC19E2" w:rsidP="00AC19E2">
            <w:pPr>
              <w:rPr>
                <w:b/>
                <w:bCs/>
              </w:rPr>
            </w:pPr>
            <w:bookmarkStart w:id="304" w:name="Secondarybuyout"/>
            <w:r w:rsidRPr="004C1365">
              <w:rPr>
                <w:b/>
                <w:bCs/>
              </w:rPr>
              <w:t xml:space="preserve">Secondary buy- out </w:t>
            </w:r>
            <w:bookmarkEnd w:id="304"/>
          </w:p>
        </w:tc>
        <w:tc>
          <w:tcPr>
            <w:tcW w:w="7060" w:type="dxa"/>
          </w:tcPr>
          <w:p w14:paraId="113CBC79" w14:textId="39DD6150" w:rsidR="00AC19E2" w:rsidRDefault="00AC19E2" w:rsidP="00AC19E2">
            <w:r>
              <w:t xml:space="preserve">Buy-out associated with the correction of an error through secondary reporting. </w:t>
            </w:r>
          </w:p>
        </w:tc>
      </w:tr>
      <w:tr w:rsidR="00AC19E2" w14:paraId="4F59CE9A" w14:textId="77777777" w:rsidTr="0F992DB3">
        <w:trPr>
          <w:cantSplit/>
        </w:trPr>
        <w:tc>
          <w:tcPr>
            <w:tcW w:w="2122" w:type="dxa"/>
          </w:tcPr>
          <w:p w14:paraId="2BBDF8C2" w14:textId="601705B8" w:rsidR="00AC19E2" w:rsidRPr="004C1365" w:rsidRDefault="00AC19E2" w:rsidP="00AC19E2">
            <w:pPr>
              <w:rPr>
                <w:b/>
                <w:bCs/>
              </w:rPr>
            </w:pPr>
            <w:bookmarkStart w:id="305" w:name="Secondaryreporting"/>
            <w:r w:rsidRPr="004C1365">
              <w:rPr>
                <w:b/>
                <w:bCs/>
              </w:rPr>
              <w:t xml:space="preserve">Secondary reporting </w:t>
            </w:r>
            <w:bookmarkEnd w:id="305"/>
          </w:p>
        </w:tc>
        <w:tc>
          <w:tcPr>
            <w:tcW w:w="7060" w:type="dxa"/>
          </w:tcPr>
          <w:p w14:paraId="31FCEE96" w14:textId="1F5DCFF8" w:rsidR="00AC19E2" w:rsidRDefault="00AC19E2" w:rsidP="00AC19E2">
            <w:r>
              <w:t xml:space="preserve">A reporting amendment carried out after the closure of the reporting window and the issue of </w:t>
            </w:r>
            <w:proofErr w:type="spellStart"/>
            <w:r>
              <w:t>MoAs</w:t>
            </w:r>
            <w:proofErr w:type="spellEnd"/>
            <w:r>
              <w:t xml:space="preserve">. </w:t>
            </w:r>
          </w:p>
        </w:tc>
      </w:tr>
      <w:tr w:rsidR="00AC19E2" w14:paraId="7D9D975C" w14:textId="77777777" w:rsidTr="0F992DB3">
        <w:trPr>
          <w:cantSplit/>
        </w:trPr>
        <w:tc>
          <w:tcPr>
            <w:tcW w:w="2122" w:type="dxa"/>
          </w:tcPr>
          <w:p w14:paraId="4357C92E" w14:textId="402CC202" w:rsidR="00AC19E2" w:rsidRPr="004C1365" w:rsidRDefault="00AC19E2" w:rsidP="00AC19E2">
            <w:pPr>
              <w:rPr>
                <w:b/>
                <w:bCs/>
              </w:rPr>
            </w:pPr>
            <w:bookmarkStart w:id="306" w:name="Sector"/>
            <w:r w:rsidRPr="004C1365">
              <w:rPr>
                <w:b/>
                <w:bCs/>
              </w:rPr>
              <w:t>Sector</w:t>
            </w:r>
            <w:bookmarkEnd w:id="306"/>
            <w:r w:rsidRPr="004C1365">
              <w:rPr>
                <w:b/>
                <w:bCs/>
              </w:rPr>
              <w:t xml:space="preserve"> </w:t>
            </w:r>
          </w:p>
        </w:tc>
        <w:tc>
          <w:tcPr>
            <w:tcW w:w="7060" w:type="dxa"/>
          </w:tcPr>
          <w:p w14:paraId="6FFAA51F" w14:textId="11195343" w:rsidR="00AC19E2" w:rsidRDefault="00AC19E2" w:rsidP="00AC19E2">
            <w:r>
              <w:t xml:space="preserve">The collection of facilities satisfying the definition of eligibility set out in that sector association’s umbrella agreement. </w:t>
            </w:r>
          </w:p>
        </w:tc>
      </w:tr>
      <w:tr w:rsidR="00AC19E2" w14:paraId="07F8FFEB" w14:textId="77777777" w:rsidTr="0F992DB3">
        <w:trPr>
          <w:cantSplit/>
        </w:trPr>
        <w:tc>
          <w:tcPr>
            <w:tcW w:w="2122" w:type="dxa"/>
          </w:tcPr>
          <w:p w14:paraId="21C4A36D" w14:textId="5F806DC4" w:rsidR="00AC19E2" w:rsidRPr="004C1365" w:rsidRDefault="00AC19E2" w:rsidP="00AC19E2">
            <w:pPr>
              <w:rPr>
                <w:b/>
                <w:bCs/>
              </w:rPr>
            </w:pPr>
            <w:bookmarkStart w:id="307" w:name="Sectorassociation"/>
            <w:r w:rsidRPr="004C1365">
              <w:rPr>
                <w:b/>
                <w:bCs/>
              </w:rPr>
              <w:t xml:space="preserve">Sector association </w:t>
            </w:r>
            <w:bookmarkEnd w:id="307"/>
          </w:p>
        </w:tc>
        <w:tc>
          <w:tcPr>
            <w:tcW w:w="7060" w:type="dxa"/>
          </w:tcPr>
          <w:p w14:paraId="5C035C4E" w14:textId="61E6CB17" w:rsidR="00AC19E2" w:rsidRPr="00814652" w:rsidRDefault="00AC19E2" w:rsidP="00AC19E2">
            <w:r>
              <w:t xml:space="preserve">Trade association or other body representing a sector of industry. Some sectors have set up (or plan to set up) subsidiary or separate organisations to represent them in the agreements. </w:t>
            </w:r>
          </w:p>
        </w:tc>
      </w:tr>
      <w:tr w:rsidR="00AC19E2" w14:paraId="2E34ECEA" w14:textId="77777777" w:rsidTr="0F992DB3">
        <w:trPr>
          <w:cantSplit/>
        </w:trPr>
        <w:tc>
          <w:tcPr>
            <w:tcW w:w="2122" w:type="dxa"/>
          </w:tcPr>
          <w:p w14:paraId="767E9D34" w14:textId="16222363" w:rsidR="00AC19E2" w:rsidRPr="004C1365" w:rsidRDefault="00AC19E2" w:rsidP="00AC19E2">
            <w:pPr>
              <w:rPr>
                <w:b/>
                <w:bCs/>
              </w:rPr>
            </w:pPr>
            <w:bookmarkStart w:id="308" w:name="Sectorcommitment"/>
            <w:r w:rsidRPr="004C1365">
              <w:rPr>
                <w:b/>
                <w:bCs/>
              </w:rPr>
              <w:t xml:space="preserve">Sector commitment </w:t>
            </w:r>
            <w:bookmarkEnd w:id="308"/>
          </w:p>
        </w:tc>
        <w:tc>
          <w:tcPr>
            <w:tcW w:w="7060" w:type="dxa"/>
          </w:tcPr>
          <w:p w14:paraId="7261D4FD" w14:textId="2E30F7C9" w:rsidR="00AC19E2" w:rsidRDefault="00AC19E2" w:rsidP="00AC19E2">
            <w:r>
              <w:t xml:space="preserve">The commitment agreed between DESNZ and the sector association as set out in Appendix 5 of an umbrella agreement. This is to facilitate the determination and distribution of individual facility targets, with the facility targets producing, in aggregate, the agreed sector commitment. The sector commitment agreed for a particular point in the future will change as the make-up of the sector changes through entrants, exits and variations to incumbent facilities. </w:t>
            </w:r>
          </w:p>
        </w:tc>
      </w:tr>
      <w:tr w:rsidR="00AC19E2" w14:paraId="189A67E9" w14:textId="77777777" w:rsidTr="0F992DB3">
        <w:trPr>
          <w:cantSplit/>
        </w:trPr>
        <w:tc>
          <w:tcPr>
            <w:tcW w:w="2122" w:type="dxa"/>
          </w:tcPr>
          <w:p w14:paraId="393E753F" w14:textId="523A5EED" w:rsidR="00AC19E2" w:rsidRPr="004223E8" w:rsidRDefault="00AC19E2" w:rsidP="00AC19E2">
            <w:pPr>
              <w:rPr>
                <w:b/>
                <w:bCs/>
              </w:rPr>
            </w:pPr>
            <w:r w:rsidRPr="004223E8">
              <w:rPr>
                <w:b/>
                <w:bCs/>
              </w:rPr>
              <w:t>Shared Services Connected</w:t>
            </w:r>
          </w:p>
        </w:tc>
        <w:tc>
          <w:tcPr>
            <w:tcW w:w="7060" w:type="dxa"/>
          </w:tcPr>
          <w:p w14:paraId="2C24BE04" w14:textId="05C5B760" w:rsidR="00AC19E2" w:rsidRDefault="00AC19E2" w:rsidP="00AC19E2">
            <w:r>
              <w:t>The finance department that manages all financial transactions into and out of the Environment Agency.</w:t>
            </w:r>
          </w:p>
        </w:tc>
      </w:tr>
      <w:tr w:rsidR="00AC19E2" w14:paraId="6EA4F0CF" w14:textId="77777777" w:rsidTr="0F992DB3">
        <w:trPr>
          <w:cantSplit/>
        </w:trPr>
        <w:tc>
          <w:tcPr>
            <w:tcW w:w="2122" w:type="dxa"/>
          </w:tcPr>
          <w:p w14:paraId="3F71A25A" w14:textId="77AD7B43" w:rsidR="00AC19E2" w:rsidRPr="004C1365" w:rsidRDefault="00AC19E2" w:rsidP="00AC19E2">
            <w:pPr>
              <w:rPr>
                <w:b/>
                <w:bCs/>
              </w:rPr>
            </w:pPr>
            <w:bookmarkStart w:id="309" w:name="Site"/>
            <w:r w:rsidRPr="004C1365">
              <w:rPr>
                <w:b/>
                <w:bCs/>
              </w:rPr>
              <w:lastRenderedPageBreak/>
              <w:t>Site</w:t>
            </w:r>
            <w:bookmarkEnd w:id="309"/>
            <w:r w:rsidRPr="004C1365">
              <w:rPr>
                <w:b/>
                <w:bCs/>
              </w:rPr>
              <w:t xml:space="preserve"> </w:t>
            </w:r>
          </w:p>
        </w:tc>
        <w:tc>
          <w:tcPr>
            <w:tcW w:w="7060" w:type="dxa"/>
          </w:tcPr>
          <w:p w14:paraId="056E2C44" w14:textId="2A97028F" w:rsidR="00AC19E2" w:rsidRDefault="00AC19E2" w:rsidP="00AC19E2">
            <w:r>
              <w:t>A site is an area of land falling within a continuous boundary which encloses the land used in connection with the operation of the installation. For this purpose, however, an area of land may still be regarded as a single site even if it is dissected by a road, railway line or river. Other non-contiguous parcels of land would not, however, constitute a single site.</w:t>
            </w:r>
          </w:p>
        </w:tc>
      </w:tr>
      <w:tr w:rsidR="00AC19E2" w14:paraId="18A11984" w14:textId="77777777" w:rsidTr="0F992DB3">
        <w:trPr>
          <w:cantSplit/>
        </w:trPr>
        <w:tc>
          <w:tcPr>
            <w:tcW w:w="2122" w:type="dxa"/>
          </w:tcPr>
          <w:p w14:paraId="48B739AC" w14:textId="77339F90" w:rsidR="00AC19E2" w:rsidRPr="004C1365" w:rsidRDefault="00AC19E2" w:rsidP="00AC19E2">
            <w:pPr>
              <w:rPr>
                <w:b/>
                <w:bCs/>
              </w:rPr>
            </w:pPr>
            <w:bookmarkStart w:id="310" w:name="SRM"/>
            <w:r w:rsidRPr="004C1365">
              <w:rPr>
                <w:b/>
                <w:bCs/>
              </w:rPr>
              <w:t xml:space="preserve">Special Reporting Mechanism (SRM) </w:t>
            </w:r>
            <w:bookmarkEnd w:id="310"/>
          </w:p>
        </w:tc>
        <w:tc>
          <w:tcPr>
            <w:tcW w:w="7060" w:type="dxa"/>
          </w:tcPr>
          <w:p w14:paraId="382C5AB8" w14:textId="6AFE1271" w:rsidR="00AC19E2" w:rsidRDefault="00AC19E2" w:rsidP="00AC19E2">
            <w:r>
              <w:t>A mandatory reporting mechanism to account for CHP and imported electricity when fuel consumption is covered under the ETS.</w:t>
            </w:r>
          </w:p>
        </w:tc>
      </w:tr>
      <w:tr w:rsidR="00AC19E2" w14:paraId="5B3CB81B" w14:textId="77777777" w:rsidTr="0F992DB3">
        <w:trPr>
          <w:cantSplit/>
        </w:trPr>
        <w:tc>
          <w:tcPr>
            <w:tcW w:w="2122" w:type="dxa"/>
          </w:tcPr>
          <w:p w14:paraId="775C9A2B" w14:textId="68816C6E" w:rsidR="00AC19E2" w:rsidRPr="004C1365" w:rsidRDefault="00AC19E2" w:rsidP="00AC19E2">
            <w:pPr>
              <w:rPr>
                <w:b/>
                <w:bCs/>
              </w:rPr>
            </w:pPr>
            <w:bookmarkStart w:id="311" w:name="SEC"/>
            <w:r w:rsidRPr="004C1365">
              <w:rPr>
                <w:b/>
                <w:bCs/>
              </w:rPr>
              <w:t xml:space="preserve">Specific energy consumption (SEC) </w:t>
            </w:r>
            <w:bookmarkEnd w:id="311"/>
          </w:p>
        </w:tc>
        <w:tc>
          <w:tcPr>
            <w:tcW w:w="7060" w:type="dxa"/>
          </w:tcPr>
          <w:p w14:paraId="4BF6EF07" w14:textId="0223A519" w:rsidR="00AC19E2" w:rsidRDefault="00AC19E2" w:rsidP="00AC19E2">
            <w:r>
              <w:t>The amount of energy consumed per unit of activity.</w:t>
            </w:r>
          </w:p>
        </w:tc>
      </w:tr>
      <w:tr w:rsidR="00AC19E2" w14:paraId="3AE61711" w14:textId="77777777" w:rsidTr="0F992DB3">
        <w:trPr>
          <w:cantSplit/>
        </w:trPr>
        <w:tc>
          <w:tcPr>
            <w:tcW w:w="2122" w:type="dxa"/>
          </w:tcPr>
          <w:p w14:paraId="436FD879" w14:textId="7D397B13" w:rsidR="00AC19E2" w:rsidRPr="004C1365" w:rsidRDefault="00AC19E2" w:rsidP="00AC19E2">
            <w:pPr>
              <w:rPr>
                <w:b/>
                <w:bCs/>
              </w:rPr>
            </w:pPr>
            <w:bookmarkStart w:id="312" w:name="STU"/>
            <w:r w:rsidRPr="004C1365">
              <w:rPr>
                <w:b/>
                <w:bCs/>
              </w:rPr>
              <w:t xml:space="preserve">Stationary technical unit (STU) </w:t>
            </w:r>
            <w:bookmarkEnd w:id="312"/>
          </w:p>
        </w:tc>
        <w:tc>
          <w:tcPr>
            <w:tcW w:w="7060" w:type="dxa"/>
          </w:tcPr>
          <w:p w14:paraId="34D06CAE" w14:textId="4F4A18F4" w:rsidR="00AC19E2" w:rsidRDefault="00AC19E2" w:rsidP="00AC19E2">
            <w:r>
              <w:t>A place where one or more eligible process is carried out.</w:t>
            </w:r>
          </w:p>
        </w:tc>
      </w:tr>
      <w:tr w:rsidR="00AC19E2" w14:paraId="1E406A32" w14:textId="77777777" w:rsidTr="0F992DB3">
        <w:trPr>
          <w:cantSplit/>
        </w:trPr>
        <w:tc>
          <w:tcPr>
            <w:tcW w:w="2122" w:type="dxa"/>
          </w:tcPr>
          <w:p w14:paraId="280FC86F" w14:textId="3054679B" w:rsidR="00AC19E2" w:rsidRPr="004C1365" w:rsidRDefault="00AC19E2" w:rsidP="00AC19E2">
            <w:pPr>
              <w:rPr>
                <w:b/>
                <w:bCs/>
              </w:rPr>
            </w:pPr>
            <w:bookmarkStart w:id="313" w:name="Structuralchange"/>
            <w:r w:rsidRPr="004C1365">
              <w:rPr>
                <w:b/>
                <w:bCs/>
              </w:rPr>
              <w:t xml:space="preserve">Structural change </w:t>
            </w:r>
            <w:bookmarkEnd w:id="313"/>
          </w:p>
        </w:tc>
        <w:tc>
          <w:tcPr>
            <w:tcW w:w="7060" w:type="dxa"/>
          </w:tcPr>
          <w:p w14:paraId="11845F15" w14:textId="7DB86E9B" w:rsidR="00AC19E2" w:rsidRDefault="00AC19E2" w:rsidP="00AC19E2">
            <w:r>
              <w:t xml:space="preserve">Any change at a facility which, in the view of the Administrator, may make the target, currently set for the facility, no longer appropriate. Structural changes include changes that affect the proportion of the site’s energy consumption included in the eligible facility and the ETS status of any energy- consuming plant included in the eligible facility. </w:t>
            </w:r>
          </w:p>
        </w:tc>
      </w:tr>
      <w:tr w:rsidR="00AC19E2" w14:paraId="4FB0063F" w14:textId="77777777" w:rsidTr="0F992DB3">
        <w:trPr>
          <w:cantSplit/>
        </w:trPr>
        <w:tc>
          <w:tcPr>
            <w:tcW w:w="2122" w:type="dxa"/>
          </w:tcPr>
          <w:p w14:paraId="2836B12B" w14:textId="5A901A4F" w:rsidR="00AC19E2" w:rsidRPr="004C1365" w:rsidRDefault="00AC19E2" w:rsidP="00AC19E2">
            <w:pPr>
              <w:rPr>
                <w:b/>
                <w:bCs/>
              </w:rPr>
            </w:pPr>
            <w:bookmarkStart w:id="314" w:name="Subsector"/>
            <w:r w:rsidRPr="004C1365">
              <w:rPr>
                <w:b/>
                <w:bCs/>
              </w:rPr>
              <w:t xml:space="preserve">Sub-sector </w:t>
            </w:r>
            <w:bookmarkEnd w:id="314"/>
          </w:p>
        </w:tc>
        <w:tc>
          <w:tcPr>
            <w:tcW w:w="7060" w:type="dxa"/>
          </w:tcPr>
          <w:p w14:paraId="55379084" w14:textId="27B3D87B" w:rsidR="00AC19E2" w:rsidRDefault="00AC19E2" w:rsidP="00AC19E2">
            <w:r>
              <w:t xml:space="preserve">A practical method of partitioning within a sector such that the facilities in each sub-sector carry out the same or similar processes and/or have either all energy targets or all carbon targets. </w:t>
            </w:r>
          </w:p>
        </w:tc>
      </w:tr>
      <w:tr w:rsidR="00AC19E2" w14:paraId="2C3613EC" w14:textId="77777777" w:rsidTr="0F992DB3">
        <w:trPr>
          <w:cantSplit/>
        </w:trPr>
        <w:tc>
          <w:tcPr>
            <w:tcW w:w="2122" w:type="dxa"/>
          </w:tcPr>
          <w:p w14:paraId="2EEC871D" w14:textId="08AC03AD" w:rsidR="00AC19E2" w:rsidRPr="004C1365" w:rsidRDefault="00AC19E2" w:rsidP="00AC19E2">
            <w:pPr>
              <w:rPr>
                <w:b/>
                <w:bCs/>
              </w:rPr>
            </w:pPr>
            <w:bookmarkStart w:id="315" w:name="Surplus"/>
            <w:r w:rsidRPr="004C1365">
              <w:rPr>
                <w:b/>
                <w:bCs/>
              </w:rPr>
              <w:t>Surplus</w:t>
            </w:r>
            <w:bookmarkEnd w:id="315"/>
            <w:r w:rsidRPr="004C1365">
              <w:rPr>
                <w:b/>
                <w:bCs/>
              </w:rPr>
              <w:t xml:space="preserve"> </w:t>
            </w:r>
          </w:p>
        </w:tc>
        <w:tc>
          <w:tcPr>
            <w:tcW w:w="7060" w:type="dxa"/>
          </w:tcPr>
          <w:p w14:paraId="43083069" w14:textId="3D3B076E" w:rsidR="00AC19E2" w:rsidRDefault="00AC19E2" w:rsidP="00AC19E2">
            <w:r>
              <w:t xml:space="preserve">The amount by which the emissions have fallen below the target for any target period recorded on an account. </w:t>
            </w:r>
          </w:p>
        </w:tc>
      </w:tr>
      <w:tr w:rsidR="00AC19E2" w14:paraId="0C0E7F3D" w14:textId="77777777" w:rsidTr="0F992DB3">
        <w:trPr>
          <w:cantSplit/>
        </w:trPr>
        <w:tc>
          <w:tcPr>
            <w:tcW w:w="2122" w:type="dxa"/>
          </w:tcPr>
          <w:p w14:paraId="31A70E2A" w14:textId="2EC9F799" w:rsidR="00AC19E2" w:rsidRPr="004C1365" w:rsidRDefault="00AC19E2" w:rsidP="00AC19E2">
            <w:pPr>
              <w:rPr>
                <w:b/>
                <w:bCs/>
              </w:rPr>
            </w:pPr>
            <w:bookmarkStart w:id="316" w:name="Targetfacility"/>
            <w:r w:rsidRPr="004C1365">
              <w:rPr>
                <w:b/>
                <w:bCs/>
              </w:rPr>
              <w:t xml:space="preserve">Target facility </w:t>
            </w:r>
            <w:bookmarkEnd w:id="316"/>
          </w:p>
        </w:tc>
        <w:tc>
          <w:tcPr>
            <w:tcW w:w="7060" w:type="dxa"/>
          </w:tcPr>
          <w:p w14:paraId="70D73B65" w14:textId="3D2F336C" w:rsidR="00AC19E2" w:rsidRDefault="00AC19E2" w:rsidP="00AC19E2">
            <w:r>
              <w:t>The part or parts of a facility which do not carry out Schedule 2 activities</w:t>
            </w:r>
            <w:r>
              <w:rPr>
                <w:szCs w:val="24"/>
              </w:rPr>
              <w:t>.</w:t>
            </w:r>
            <w:r>
              <w:t xml:space="preserve"> The target facility is the part of a facility in respect of which targets are set and energy use and emissions must be reported.</w:t>
            </w:r>
          </w:p>
        </w:tc>
      </w:tr>
      <w:tr w:rsidR="00AC19E2" w14:paraId="1033B32F" w14:textId="77777777" w:rsidTr="0F992DB3">
        <w:trPr>
          <w:cantSplit/>
        </w:trPr>
        <w:tc>
          <w:tcPr>
            <w:tcW w:w="2122" w:type="dxa"/>
          </w:tcPr>
          <w:p w14:paraId="23341038" w14:textId="0AC57086" w:rsidR="00AC19E2" w:rsidRPr="004C1365" w:rsidRDefault="00AC19E2" w:rsidP="00AC19E2">
            <w:pPr>
              <w:rPr>
                <w:b/>
                <w:bCs/>
              </w:rPr>
            </w:pPr>
            <w:bookmarkStart w:id="317" w:name="Targetperiod"/>
            <w:r w:rsidRPr="004C1365">
              <w:rPr>
                <w:b/>
                <w:bCs/>
              </w:rPr>
              <w:lastRenderedPageBreak/>
              <w:t xml:space="preserve">Target period </w:t>
            </w:r>
            <w:bookmarkEnd w:id="317"/>
          </w:p>
        </w:tc>
        <w:tc>
          <w:tcPr>
            <w:tcW w:w="7060" w:type="dxa"/>
          </w:tcPr>
          <w:p w14:paraId="1CFBB837" w14:textId="77777777" w:rsidR="00AC19E2" w:rsidRDefault="00AC19E2" w:rsidP="00AC19E2">
            <w:pPr>
              <w:rPr>
                <w:szCs w:val="24"/>
              </w:rPr>
            </w:pPr>
            <w:r>
              <w:rPr>
                <w:szCs w:val="24"/>
              </w:rPr>
              <w:t>The period over which performance against targets is assessed.</w:t>
            </w:r>
          </w:p>
          <w:p w14:paraId="7FD6DEA8" w14:textId="77777777" w:rsidR="00AC19E2" w:rsidRDefault="00AC19E2" w:rsidP="00AC19E2">
            <w:r>
              <w:t xml:space="preserve">The Climate Change Agreements (Administration) Regulations 2012 (as amended) </w:t>
            </w:r>
            <w:r>
              <w:rPr>
                <w:szCs w:val="24"/>
              </w:rPr>
              <w:t>define</w:t>
            </w:r>
            <w:r>
              <w:t xml:space="preserve"> the target periods</w:t>
            </w:r>
            <w:r>
              <w:rPr>
                <w:szCs w:val="24"/>
              </w:rPr>
              <w:t xml:space="preserve"> as follows</w:t>
            </w:r>
            <w:r>
              <w:t>:</w:t>
            </w:r>
          </w:p>
          <w:p w14:paraId="7128DA93" w14:textId="77777777" w:rsidR="00AC19E2" w:rsidRDefault="00AC19E2" w:rsidP="30E828AA">
            <w:pPr>
              <w:pStyle w:val="ListParagraph"/>
              <w:numPr>
                <w:ilvl w:val="0"/>
                <w:numId w:val="234"/>
              </w:numPr>
            </w:pPr>
            <w:r>
              <w:t>Target period 1: 1 January 2013 to 31 December 2014</w:t>
            </w:r>
          </w:p>
          <w:p w14:paraId="475629DF" w14:textId="77777777" w:rsidR="00AC19E2" w:rsidRDefault="00AC19E2" w:rsidP="30E828AA">
            <w:pPr>
              <w:pStyle w:val="ListParagraph"/>
              <w:numPr>
                <w:ilvl w:val="0"/>
                <w:numId w:val="234"/>
              </w:numPr>
            </w:pPr>
            <w:r>
              <w:t>Target period 2: 1 January 2015 to 31 December 2016</w:t>
            </w:r>
          </w:p>
          <w:p w14:paraId="4F911C37" w14:textId="77777777" w:rsidR="00AC19E2" w:rsidRDefault="00AC19E2" w:rsidP="30E828AA">
            <w:pPr>
              <w:pStyle w:val="ListParagraph"/>
              <w:numPr>
                <w:ilvl w:val="0"/>
                <w:numId w:val="234"/>
              </w:numPr>
            </w:pPr>
            <w:r>
              <w:t>Target period 3: 1 January 2017 to 31 December 2018</w:t>
            </w:r>
          </w:p>
          <w:p w14:paraId="0CF43968" w14:textId="77777777" w:rsidR="00AC19E2" w:rsidRDefault="00AC19E2" w:rsidP="30E828AA">
            <w:pPr>
              <w:pStyle w:val="ListParagraph"/>
              <w:numPr>
                <w:ilvl w:val="0"/>
                <w:numId w:val="234"/>
              </w:numPr>
            </w:pPr>
            <w:r>
              <w:t>Target period 4: 1 January 2019 to 31 December 2020</w:t>
            </w:r>
          </w:p>
          <w:p w14:paraId="104B12F1" w14:textId="77777777" w:rsidR="00AC19E2" w:rsidRDefault="00AC19E2" w:rsidP="30E828AA">
            <w:pPr>
              <w:pStyle w:val="ListParagraph"/>
              <w:numPr>
                <w:ilvl w:val="0"/>
                <w:numId w:val="234"/>
              </w:numPr>
            </w:pPr>
            <w:r>
              <w:t>Target period 5: 1 January 2021 to 31 December 2022</w:t>
            </w:r>
          </w:p>
          <w:p w14:paraId="2B2257F5" w14:textId="77777777" w:rsidR="00AC19E2" w:rsidRDefault="00AC19E2" w:rsidP="30E828AA">
            <w:pPr>
              <w:pStyle w:val="ListParagraph"/>
              <w:numPr>
                <w:ilvl w:val="0"/>
                <w:numId w:val="234"/>
              </w:numPr>
            </w:pPr>
            <w:r>
              <w:t>Target period 6: 1 January 2024 to 31 December 2024</w:t>
            </w:r>
          </w:p>
          <w:p w14:paraId="5F951284" w14:textId="77777777" w:rsidR="00AC19E2" w:rsidRDefault="00AC19E2" w:rsidP="30E828AA">
            <w:pPr>
              <w:pStyle w:val="ListParagraph"/>
              <w:numPr>
                <w:ilvl w:val="0"/>
                <w:numId w:val="234"/>
              </w:numPr>
            </w:pPr>
            <w:r>
              <w:t>Target period 7: 1 January 2026 to 31 December 2026</w:t>
            </w:r>
          </w:p>
          <w:p w14:paraId="74F43ADA" w14:textId="77777777" w:rsidR="00AC19E2" w:rsidRDefault="00AC19E2" w:rsidP="30E828AA">
            <w:pPr>
              <w:pStyle w:val="ListParagraph"/>
              <w:numPr>
                <w:ilvl w:val="0"/>
                <w:numId w:val="234"/>
              </w:numPr>
            </w:pPr>
            <w:r>
              <w:t>Target period 8: 1 January 2027 to 31 December 2028</w:t>
            </w:r>
          </w:p>
          <w:p w14:paraId="1782CE5E" w14:textId="5882A26C" w:rsidR="00AC19E2" w:rsidRDefault="00AC19E2" w:rsidP="30E828AA">
            <w:pPr>
              <w:pStyle w:val="ListParagraph"/>
              <w:numPr>
                <w:ilvl w:val="0"/>
                <w:numId w:val="234"/>
              </w:numPr>
            </w:pPr>
            <w:r>
              <w:t>Target period 9: 1 January 2029 to 31 December 2030</w:t>
            </w:r>
          </w:p>
        </w:tc>
      </w:tr>
      <w:tr w:rsidR="00AC19E2" w14:paraId="1CD78730" w14:textId="77777777" w:rsidTr="0F992DB3">
        <w:trPr>
          <w:cantSplit/>
        </w:trPr>
        <w:tc>
          <w:tcPr>
            <w:tcW w:w="2122" w:type="dxa"/>
          </w:tcPr>
          <w:p w14:paraId="25AE93A2" w14:textId="6BB07282" w:rsidR="00AC19E2" w:rsidRPr="004C1365" w:rsidRDefault="00AC19E2" w:rsidP="00AC19E2">
            <w:pPr>
              <w:rPr>
                <w:b/>
                <w:bCs/>
              </w:rPr>
            </w:pPr>
            <w:bookmarkStart w:id="318" w:name="Targetunitvariationthroughputchanges"/>
            <w:r w:rsidRPr="004C1365">
              <w:rPr>
                <w:b/>
                <w:bCs/>
              </w:rPr>
              <w:t xml:space="preserve">Target variations for throughput changes </w:t>
            </w:r>
            <w:bookmarkEnd w:id="318"/>
          </w:p>
        </w:tc>
        <w:tc>
          <w:tcPr>
            <w:tcW w:w="7060" w:type="dxa"/>
          </w:tcPr>
          <w:p w14:paraId="356272B6" w14:textId="32E68A33" w:rsidR="00AC19E2" w:rsidRDefault="00AC19E2" w:rsidP="00AC19E2">
            <w:r>
              <w:t xml:space="preserve">The process whereby targets for facilities that have apportioned 100% of their energy as fixed are adjusted when the actual throughput of a facility during a target period is 10% or more below twice the base year throughput. </w:t>
            </w:r>
          </w:p>
        </w:tc>
      </w:tr>
      <w:tr w:rsidR="00AC19E2" w14:paraId="3B3FD6F5" w14:textId="77777777" w:rsidTr="0F992DB3">
        <w:trPr>
          <w:cantSplit/>
        </w:trPr>
        <w:tc>
          <w:tcPr>
            <w:tcW w:w="2122" w:type="dxa"/>
          </w:tcPr>
          <w:p w14:paraId="20AE6211" w14:textId="01821840" w:rsidR="00AC19E2" w:rsidRPr="004C1365" w:rsidRDefault="00AC19E2" w:rsidP="00AC19E2">
            <w:pPr>
              <w:rPr>
                <w:b/>
                <w:bCs/>
              </w:rPr>
            </w:pPr>
            <w:bookmarkStart w:id="319" w:name="Termination"/>
            <w:r w:rsidRPr="004C1365">
              <w:rPr>
                <w:b/>
                <w:bCs/>
              </w:rPr>
              <w:t>Termination</w:t>
            </w:r>
            <w:bookmarkEnd w:id="319"/>
            <w:r w:rsidRPr="004C1365">
              <w:rPr>
                <w:b/>
                <w:bCs/>
              </w:rPr>
              <w:t xml:space="preserve"> </w:t>
            </w:r>
          </w:p>
        </w:tc>
        <w:tc>
          <w:tcPr>
            <w:tcW w:w="7060" w:type="dxa"/>
          </w:tcPr>
          <w:p w14:paraId="5CF4ED48" w14:textId="1922356A" w:rsidR="00AC19E2" w:rsidRDefault="00AC19E2" w:rsidP="00AC19E2">
            <w:r>
              <w:t>Termination of an operator’s Climate Change Agreement</w:t>
            </w:r>
            <w:r w:rsidR="00E248B7">
              <w:t>.</w:t>
            </w:r>
            <w:r>
              <w:t xml:space="preserve"> </w:t>
            </w:r>
          </w:p>
        </w:tc>
      </w:tr>
      <w:tr w:rsidR="00AC19E2" w14:paraId="03E77DE6" w14:textId="77777777" w:rsidTr="0F992DB3">
        <w:trPr>
          <w:cantSplit/>
        </w:trPr>
        <w:tc>
          <w:tcPr>
            <w:tcW w:w="2122" w:type="dxa"/>
          </w:tcPr>
          <w:p w14:paraId="1B265776" w14:textId="528217FE" w:rsidR="00AC19E2" w:rsidRPr="004C1365" w:rsidRDefault="00AC19E2" w:rsidP="00AC19E2">
            <w:pPr>
              <w:rPr>
                <w:b/>
                <w:bCs/>
              </w:rPr>
            </w:pPr>
            <w:bookmarkStart w:id="320" w:name="Throughput"/>
            <w:r w:rsidRPr="004C1365">
              <w:rPr>
                <w:b/>
                <w:bCs/>
              </w:rPr>
              <w:t>Throughput</w:t>
            </w:r>
            <w:bookmarkEnd w:id="320"/>
            <w:r w:rsidRPr="004C1365">
              <w:rPr>
                <w:b/>
                <w:bCs/>
              </w:rPr>
              <w:t xml:space="preserve"> </w:t>
            </w:r>
          </w:p>
        </w:tc>
        <w:tc>
          <w:tcPr>
            <w:tcW w:w="7060" w:type="dxa"/>
          </w:tcPr>
          <w:p w14:paraId="28F61745" w14:textId="06180A79" w:rsidR="00AC19E2" w:rsidRDefault="00AC19E2" w:rsidP="00AC19E2">
            <w:r>
              <w:t xml:space="preserve">The measure of production (or a factor related to production) that has been selected and agreed with the Administrator and is used in determining the relationship between the amount of energy used by the facility and the facility’s levels of activity. </w:t>
            </w:r>
          </w:p>
        </w:tc>
      </w:tr>
      <w:tr w:rsidR="00AC19E2" w14:paraId="1679A138" w14:textId="77777777" w:rsidTr="0F992DB3">
        <w:trPr>
          <w:cantSplit/>
        </w:trPr>
        <w:tc>
          <w:tcPr>
            <w:tcW w:w="2122" w:type="dxa"/>
          </w:tcPr>
          <w:p w14:paraId="62D58D23" w14:textId="0542453E" w:rsidR="00AC19E2" w:rsidRPr="004C1365" w:rsidRDefault="00AC19E2" w:rsidP="00AC19E2">
            <w:pPr>
              <w:rPr>
                <w:b/>
                <w:bCs/>
              </w:rPr>
            </w:pPr>
            <w:bookmarkStart w:id="321" w:name="Throughputconversion"/>
            <w:r w:rsidRPr="004C1365">
              <w:rPr>
                <w:b/>
                <w:bCs/>
              </w:rPr>
              <w:t xml:space="preserve">Throughput conversion factor </w:t>
            </w:r>
            <w:bookmarkEnd w:id="321"/>
          </w:p>
        </w:tc>
        <w:tc>
          <w:tcPr>
            <w:tcW w:w="7060" w:type="dxa"/>
          </w:tcPr>
          <w:p w14:paraId="3594547A" w14:textId="6CC0817C" w:rsidR="00AC19E2" w:rsidRDefault="00AC19E2" w:rsidP="00AC19E2">
            <w:r>
              <w:t xml:space="preserve">The factor used, when the throughput unit of the facility differs from the throughput unit of the sector to express facility throughput in equivalent sector throughput terms so that the </w:t>
            </w:r>
            <w:r w:rsidR="009E12F0">
              <w:t>2</w:t>
            </w:r>
            <w:r>
              <w:t xml:space="preserve"> can be compared. </w:t>
            </w:r>
          </w:p>
        </w:tc>
      </w:tr>
      <w:tr w:rsidR="00AC19E2" w14:paraId="567BD504" w14:textId="77777777" w:rsidTr="0F992DB3">
        <w:trPr>
          <w:cantSplit/>
        </w:trPr>
        <w:tc>
          <w:tcPr>
            <w:tcW w:w="2122" w:type="dxa"/>
          </w:tcPr>
          <w:p w14:paraId="532A8D1A" w14:textId="0BDB16DD" w:rsidR="00AC19E2" w:rsidRPr="004C1365" w:rsidRDefault="00AC19E2" w:rsidP="00AC19E2">
            <w:pPr>
              <w:rPr>
                <w:b/>
                <w:bCs/>
              </w:rPr>
            </w:pPr>
            <w:bookmarkStart w:id="322" w:name="Throughputunits"/>
            <w:r w:rsidRPr="004C1365">
              <w:rPr>
                <w:b/>
                <w:bCs/>
              </w:rPr>
              <w:t xml:space="preserve">Throughput units </w:t>
            </w:r>
            <w:bookmarkEnd w:id="322"/>
          </w:p>
        </w:tc>
        <w:tc>
          <w:tcPr>
            <w:tcW w:w="7060" w:type="dxa"/>
          </w:tcPr>
          <w:p w14:paraId="2273FB49" w14:textId="5B500387" w:rsidR="00AC19E2" w:rsidRDefault="00AC19E2" w:rsidP="00AC19E2">
            <w:r>
              <w:t xml:space="preserve">The units used to express the throughput of a facility (for example, kg, tonnes, vehicles). </w:t>
            </w:r>
          </w:p>
        </w:tc>
      </w:tr>
      <w:tr w:rsidR="001367AE" w14:paraId="16CA2B79" w14:textId="77777777" w:rsidTr="0F992DB3">
        <w:trPr>
          <w:cantSplit/>
        </w:trPr>
        <w:tc>
          <w:tcPr>
            <w:tcW w:w="2122" w:type="dxa"/>
          </w:tcPr>
          <w:p w14:paraId="426649E5" w14:textId="64F27481" w:rsidR="001367AE" w:rsidRPr="001367AE" w:rsidRDefault="001367AE" w:rsidP="00AC19E2">
            <w:pPr>
              <w:rPr>
                <w:b/>
                <w:bCs/>
              </w:rPr>
            </w:pPr>
            <w:bookmarkStart w:id="323" w:name="TEC"/>
            <w:r w:rsidRPr="001367AE">
              <w:rPr>
                <w:b/>
                <w:bCs/>
              </w:rPr>
              <w:t>Total Energy Consumption (TEC)</w:t>
            </w:r>
            <w:bookmarkEnd w:id="323"/>
          </w:p>
        </w:tc>
        <w:tc>
          <w:tcPr>
            <w:tcW w:w="7060" w:type="dxa"/>
          </w:tcPr>
          <w:p w14:paraId="692DA2C4" w14:textId="43A86B80" w:rsidR="001367AE" w:rsidRDefault="001367AE" w:rsidP="00AC19E2">
            <w:r>
              <w:t xml:space="preserve">The sum of both the FEC and the VECs for each product produced at a facility. </w:t>
            </w:r>
          </w:p>
        </w:tc>
      </w:tr>
      <w:tr w:rsidR="00AC19E2" w14:paraId="78A9080D" w14:textId="77777777" w:rsidTr="0F992DB3">
        <w:trPr>
          <w:cantSplit/>
        </w:trPr>
        <w:tc>
          <w:tcPr>
            <w:tcW w:w="2122" w:type="dxa"/>
          </w:tcPr>
          <w:p w14:paraId="67A7EED1" w14:textId="593A0C83" w:rsidR="00AC19E2" w:rsidRPr="004C1365" w:rsidRDefault="00AC19E2" w:rsidP="00AC19E2">
            <w:pPr>
              <w:rPr>
                <w:b/>
                <w:bCs/>
              </w:rPr>
            </w:pPr>
            <w:r w:rsidRPr="004C1365">
              <w:rPr>
                <w:b/>
                <w:bCs/>
              </w:rPr>
              <w:t xml:space="preserve">Tribunal </w:t>
            </w:r>
          </w:p>
        </w:tc>
        <w:tc>
          <w:tcPr>
            <w:tcW w:w="7060" w:type="dxa"/>
          </w:tcPr>
          <w:p w14:paraId="3081A523" w14:textId="22FEF567" w:rsidR="00AC19E2" w:rsidRDefault="00AC19E2" w:rsidP="00AC19E2">
            <w:r>
              <w:t xml:space="preserve">The First-tier Tribunal established under the Tribunal Courts and Enforcement Act 2007. </w:t>
            </w:r>
          </w:p>
        </w:tc>
      </w:tr>
      <w:tr w:rsidR="00AC19E2" w14:paraId="070AD710" w14:textId="77777777" w:rsidTr="0F992DB3">
        <w:trPr>
          <w:cantSplit/>
        </w:trPr>
        <w:tc>
          <w:tcPr>
            <w:tcW w:w="2122" w:type="dxa"/>
          </w:tcPr>
          <w:p w14:paraId="07A6E0D9" w14:textId="240F5C82" w:rsidR="00AC19E2" w:rsidRPr="004C1365" w:rsidRDefault="00AC19E2" w:rsidP="00AC19E2">
            <w:pPr>
              <w:rPr>
                <w:b/>
                <w:bCs/>
              </w:rPr>
            </w:pPr>
            <w:bookmarkStart w:id="324" w:name="Umbrellaagreement"/>
            <w:r w:rsidRPr="004C1365">
              <w:rPr>
                <w:b/>
                <w:bCs/>
              </w:rPr>
              <w:t xml:space="preserve">Umbrella agreement </w:t>
            </w:r>
            <w:bookmarkEnd w:id="324"/>
          </w:p>
        </w:tc>
        <w:tc>
          <w:tcPr>
            <w:tcW w:w="7060" w:type="dxa"/>
          </w:tcPr>
          <w:p w14:paraId="280C9DB4" w14:textId="0B1FF51B" w:rsidR="00AC19E2" w:rsidRDefault="00AC19E2" w:rsidP="00AC19E2">
            <w:r>
              <w:t xml:space="preserve">An agreement between a sector association and the Administrator that governs the obligations of both parties within the CCA scheme. It lists all the facilities covered by it when it was signed. </w:t>
            </w:r>
          </w:p>
        </w:tc>
      </w:tr>
      <w:tr w:rsidR="00AC19E2" w14:paraId="5A8102C3" w14:textId="77777777" w:rsidTr="0F992DB3">
        <w:trPr>
          <w:cantSplit/>
        </w:trPr>
        <w:tc>
          <w:tcPr>
            <w:tcW w:w="2122" w:type="dxa"/>
          </w:tcPr>
          <w:p w14:paraId="45E93E07" w14:textId="0A548FA5" w:rsidR="00AC19E2" w:rsidRPr="004C1365" w:rsidRDefault="00AC19E2" w:rsidP="00AC19E2">
            <w:pPr>
              <w:rPr>
                <w:b/>
                <w:bCs/>
              </w:rPr>
            </w:pPr>
            <w:bookmarkStart w:id="325" w:name="Underlyingagreement"/>
            <w:r w:rsidRPr="004C1365">
              <w:rPr>
                <w:b/>
                <w:bCs/>
              </w:rPr>
              <w:t xml:space="preserve">Underlying agreement </w:t>
            </w:r>
            <w:bookmarkEnd w:id="325"/>
          </w:p>
        </w:tc>
        <w:tc>
          <w:tcPr>
            <w:tcW w:w="7060" w:type="dxa"/>
          </w:tcPr>
          <w:p w14:paraId="1FFD7BBF" w14:textId="41C66FF0" w:rsidR="00AC19E2" w:rsidRDefault="00AC19E2" w:rsidP="00AC19E2">
            <w:r>
              <w:t xml:space="preserve">An agreement between the operator of a facility or facilities and the Administrator that governs the obligations of the Administrator and the operator (and its constituent eligible facilities) within the CCA scheme. </w:t>
            </w:r>
          </w:p>
        </w:tc>
      </w:tr>
      <w:tr w:rsidR="00F3383F" w14:paraId="08319BD1" w14:textId="77777777" w:rsidTr="0F992DB3">
        <w:trPr>
          <w:cantSplit/>
        </w:trPr>
        <w:tc>
          <w:tcPr>
            <w:tcW w:w="2122" w:type="dxa"/>
          </w:tcPr>
          <w:p w14:paraId="695A1923" w14:textId="72334B55" w:rsidR="00F3383F" w:rsidRPr="004C1365" w:rsidRDefault="00F3383F" w:rsidP="00AC19E2">
            <w:pPr>
              <w:rPr>
                <w:b/>
                <w:bCs/>
              </w:rPr>
            </w:pPr>
            <w:bookmarkStart w:id="326" w:name="VEC"/>
            <w:r w:rsidRPr="7E757432">
              <w:rPr>
                <w:b/>
                <w:bCs/>
              </w:rPr>
              <w:lastRenderedPageBreak/>
              <w:t>Variable Energy Consumption (VEC)</w:t>
            </w:r>
            <w:bookmarkEnd w:id="326"/>
          </w:p>
        </w:tc>
        <w:tc>
          <w:tcPr>
            <w:tcW w:w="7060" w:type="dxa"/>
          </w:tcPr>
          <w:p w14:paraId="40834D19" w14:textId="18D56CE3" w:rsidR="00F3383F" w:rsidRDefault="00F3383F" w:rsidP="00AC19E2">
            <w:r>
              <w:t xml:space="preserve">The proportion of energy consumed at the facility per unit of activity; any energy usage linked to throughput.  </w:t>
            </w:r>
          </w:p>
        </w:tc>
      </w:tr>
      <w:tr w:rsidR="00AC19E2" w14:paraId="5C64E2A9" w14:textId="77777777" w:rsidTr="0F992DB3">
        <w:trPr>
          <w:cantSplit/>
        </w:trPr>
        <w:tc>
          <w:tcPr>
            <w:tcW w:w="2122" w:type="dxa"/>
          </w:tcPr>
          <w:p w14:paraId="2253CB68" w14:textId="31986651" w:rsidR="00AC19E2" w:rsidRPr="004C1365" w:rsidRDefault="00AC19E2" w:rsidP="00AC19E2">
            <w:pPr>
              <w:rPr>
                <w:b/>
                <w:bCs/>
              </w:rPr>
            </w:pPr>
            <w:r w:rsidRPr="004C1365">
              <w:rPr>
                <w:b/>
                <w:bCs/>
              </w:rPr>
              <w:t xml:space="preserve">Variation notice </w:t>
            </w:r>
          </w:p>
        </w:tc>
        <w:tc>
          <w:tcPr>
            <w:tcW w:w="7060" w:type="dxa"/>
          </w:tcPr>
          <w:p w14:paraId="433B7E30" w14:textId="15BDCD77" w:rsidR="00AC19E2" w:rsidRDefault="00AC19E2" w:rsidP="00AC19E2">
            <w:r>
              <w:t xml:space="preserve">A notice served by the Administrator on a sector association under Rule 11 of an underlying agreement </w:t>
            </w:r>
            <w:r w:rsidR="00E248B7">
              <w:t>or</w:t>
            </w:r>
            <w:r>
              <w:t xml:space="preserve"> umbrella agreement</w:t>
            </w:r>
            <w:r w:rsidR="00725771">
              <w:t>.</w:t>
            </w:r>
          </w:p>
        </w:tc>
      </w:tr>
    </w:tbl>
    <w:p w14:paraId="5CAE48CC" w14:textId="77777777" w:rsidR="00F22E60" w:rsidRDefault="00F22E60">
      <w:pPr>
        <w:suppressAutoHyphens w:val="0"/>
        <w:spacing w:before="0" w:beforeAutospacing="0" w:after="160" w:afterAutospacing="0" w:line="256" w:lineRule="auto"/>
      </w:pPr>
      <w:bookmarkStart w:id="327" w:name="_Appendix_A:_Eligible"/>
      <w:bookmarkStart w:id="328" w:name="_Toc94718679"/>
      <w:bookmarkStart w:id="329" w:name="_Toc94088927"/>
      <w:bookmarkEnd w:id="327"/>
      <w:r>
        <w:br w:type="page"/>
      </w:r>
    </w:p>
    <w:p w14:paraId="5BA71FCC" w14:textId="5CD3B932" w:rsidR="00026E66" w:rsidRDefault="00B03AD7" w:rsidP="00FF0098">
      <w:pPr>
        <w:pStyle w:val="Heading1"/>
        <w:tabs>
          <w:tab w:val="left" w:pos="0"/>
        </w:tabs>
      </w:pPr>
      <w:bookmarkStart w:id="330" w:name="_Appendix_A:_Eligible_1"/>
      <w:bookmarkStart w:id="331" w:name="_Toc242885414"/>
      <w:bookmarkEnd w:id="330"/>
      <w:r>
        <w:lastRenderedPageBreak/>
        <w:t xml:space="preserve">Appendix </w:t>
      </w:r>
      <w:r w:rsidR="002737EF">
        <w:t>A: Eligible processes</w:t>
      </w:r>
      <w:bookmarkEnd w:id="328"/>
      <w:bookmarkEnd w:id="329"/>
      <w:bookmarkEnd w:id="331"/>
      <w:r w:rsidR="002737EF">
        <w:t xml:space="preserve"> </w:t>
      </w:r>
    </w:p>
    <w:p w14:paraId="357BC667" w14:textId="77777777" w:rsidR="00026E66" w:rsidRDefault="002737EF" w:rsidP="00FF0098">
      <w:pPr>
        <w:tabs>
          <w:tab w:val="left" w:pos="0"/>
        </w:tabs>
      </w:pPr>
      <w:r>
        <w:t xml:space="preserve">The eligibility text in this appendix is taken from the respective umbrella agreements. </w:t>
      </w:r>
    </w:p>
    <w:tbl>
      <w:tblPr>
        <w:tblStyle w:val="TableGridLight"/>
        <w:tblW w:w="9629" w:type="dxa"/>
        <w:tblLook w:val="00A0" w:firstRow="1" w:lastRow="0" w:firstColumn="1" w:lastColumn="0" w:noHBand="0" w:noVBand="0"/>
      </w:tblPr>
      <w:tblGrid>
        <w:gridCol w:w="998"/>
        <w:gridCol w:w="1937"/>
        <w:gridCol w:w="6694"/>
      </w:tblGrid>
      <w:tr w:rsidR="004B7064" w:rsidRPr="004C1365" w14:paraId="48393A94" w14:textId="77777777" w:rsidTr="1D58E67F">
        <w:trPr>
          <w:cantSplit/>
        </w:trPr>
        <w:tc>
          <w:tcPr>
            <w:tcW w:w="998" w:type="dxa"/>
          </w:tcPr>
          <w:p w14:paraId="68772978" w14:textId="77777777" w:rsidR="00026E66" w:rsidRPr="004C1365" w:rsidRDefault="002737EF" w:rsidP="004C1365">
            <w:pPr>
              <w:rPr>
                <w:b/>
                <w:bCs/>
              </w:rPr>
            </w:pPr>
            <w:r w:rsidRPr="004C1365">
              <w:rPr>
                <w:b/>
                <w:bCs/>
              </w:rPr>
              <w:t xml:space="preserve">Sector code </w:t>
            </w:r>
          </w:p>
        </w:tc>
        <w:tc>
          <w:tcPr>
            <w:tcW w:w="1902" w:type="dxa"/>
          </w:tcPr>
          <w:p w14:paraId="3E7EC872" w14:textId="77777777" w:rsidR="00026E66" w:rsidRPr="004C1365" w:rsidRDefault="002737EF" w:rsidP="004C1365">
            <w:pPr>
              <w:rPr>
                <w:b/>
                <w:bCs/>
              </w:rPr>
            </w:pPr>
            <w:r w:rsidRPr="004C1365">
              <w:rPr>
                <w:b/>
                <w:bCs/>
              </w:rPr>
              <w:t xml:space="preserve">Sector name </w:t>
            </w:r>
          </w:p>
        </w:tc>
        <w:tc>
          <w:tcPr>
            <w:tcW w:w="6729" w:type="dxa"/>
          </w:tcPr>
          <w:p w14:paraId="20DC8DD0" w14:textId="77777777" w:rsidR="00026E66" w:rsidRPr="004C1365" w:rsidRDefault="002737EF" w:rsidP="004C1365">
            <w:pPr>
              <w:rPr>
                <w:b/>
                <w:bCs/>
              </w:rPr>
            </w:pPr>
            <w:r w:rsidRPr="004C1365">
              <w:rPr>
                <w:b/>
                <w:bCs/>
              </w:rPr>
              <w:t>Eligibility definition from the umbrella agreement</w:t>
            </w:r>
          </w:p>
        </w:tc>
      </w:tr>
      <w:tr w:rsidR="004B7064" w14:paraId="7580C9F7" w14:textId="77777777" w:rsidTr="1D58E67F">
        <w:trPr>
          <w:cantSplit/>
        </w:trPr>
        <w:tc>
          <w:tcPr>
            <w:tcW w:w="998" w:type="dxa"/>
          </w:tcPr>
          <w:p w14:paraId="56892DAF" w14:textId="77777777" w:rsidR="00026E66" w:rsidRPr="004C1365" w:rsidRDefault="002737EF" w:rsidP="004C1365">
            <w:pPr>
              <w:rPr>
                <w:b/>
                <w:bCs/>
              </w:rPr>
            </w:pPr>
            <w:r w:rsidRPr="004C1365">
              <w:rPr>
                <w:b/>
                <w:bCs/>
              </w:rPr>
              <w:t xml:space="preserve">ADS </w:t>
            </w:r>
          </w:p>
        </w:tc>
        <w:tc>
          <w:tcPr>
            <w:tcW w:w="1902" w:type="dxa"/>
          </w:tcPr>
          <w:p w14:paraId="67AA7E52" w14:textId="77777777" w:rsidR="00026E66" w:rsidRDefault="002737EF" w:rsidP="004C1365">
            <w:r>
              <w:t xml:space="preserve">Aerospace </w:t>
            </w:r>
          </w:p>
        </w:tc>
        <w:tc>
          <w:tcPr>
            <w:tcW w:w="6729" w:type="dxa"/>
          </w:tcPr>
          <w:p w14:paraId="12BCF146" w14:textId="77777777" w:rsidR="00026E66" w:rsidRDefault="002737EF" w:rsidP="004C1365">
            <w:r>
              <w:t>A facility belongs to the aerospace sector if it is a facility which undertakes one or more of the following activities: (</w:t>
            </w:r>
            <w:proofErr w:type="spellStart"/>
            <w:r>
              <w:t>i</w:t>
            </w:r>
            <w:proofErr w:type="spellEnd"/>
            <w:r>
              <w:t xml:space="preserve">) casting of ferrous or non-ferrous metals in a foundry; (ii) melting ferrous or non-ferrous metals; (iii) hot-rolling of ferrous metals and their alloys; (iv) operating hammers in a forge; (v) surface treatment of substances, objects or products using organic solvents, in particular for dressing, printing, coating, degreasing, waterproofing, sizing, painting, cleaning or impregnating; (vi) surface treatment of metals and plastic materials using an electrolytic or chemical process; (vii) burning of any fuel in an appliance with a rated thermal input of 50 megawatts or more; (viii) manufacture or repair involving the use of beryllium or selenium or an alloy containing one or both of those metals; (ix) producing explosives; (x) activities involving carbonisation; or (xi) producing synthetic rubbers where the activity is in connection with the aerospace or defence industries. </w:t>
            </w:r>
          </w:p>
        </w:tc>
      </w:tr>
      <w:tr w:rsidR="004B7064" w14:paraId="65458D67" w14:textId="77777777" w:rsidTr="1D58E67F">
        <w:trPr>
          <w:cantSplit/>
        </w:trPr>
        <w:tc>
          <w:tcPr>
            <w:tcW w:w="998" w:type="dxa"/>
          </w:tcPr>
          <w:p w14:paraId="68D10A21" w14:textId="77777777" w:rsidR="00026E66" w:rsidRPr="004C1365" w:rsidRDefault="002737EF" w:rsidP="004C1365">
            <w:pPr>
              <w:rPr>
                <w:b/>
                <w:bCs/>
              </w:rPr>
            </w:pPr>
            <w:r w:rsidRPr="004C1365">
              <w:rPr>
                <w:b/>
                <w:bCs/>
              </w:rPr>
              <w:t xml:space="preserve">AFED </w:t>
            </w:r>
          </w:p>
        </w:tc>
        <w:tc>
          <w:tcPr>
            <w:tcW w:w="1902" w:type="dxa"/>
          </w:tcPr>
          <w:p w14:paraId="367E8881" w14:textId="77777777" w:rsidR="00026E66" w:rsidRDefault="002737EF" w:rsidP="004C1365">
            <w:r>
              <w:t xml:space="preserve">Aluminium </w:t>
            </w:r>
          </w:p>
        </w:tc>
        <w:tc>
          <w:tcPr>
            <w:tcW w:w="6729" w:type="dxa"/>
          </w:tcPr>
          <w:p w14:paraId="2F4781A6" w14:textId="77777777" w:rsidR="00026E66" w:rsidRDefault="002737EF" w:rsidP="004C1365">
            <w:r>
              <w:t xml:space="preserve">A facility belongs to the aluminium, titanium and magnesium sector if it is a facility which - (a) produces aluminium, magnesium or titanium from ore, concentrates or secondary raw materials by metallurgical, chemical or electrolytic activities; (b) melts, including making alloys, aluminium, magnesium or titanium, including recovered products (refining, foundry casting, etc.); (c) refines aluminium, magnesium or titanium or any aluminium, magnesium or titanium alloy, except where the activity is related to the separation of aluminium, magnesium or titanium from mixed scrap by differential melting and no other activity in this list is carried out in the facility; (d) produces chemicals involving aluminium, magnesium or titanium; or (e) surface treats aluminium, magnesium or titanium or any aluminium, magnesium or titanium alloy using an electrolytic or chemical process. </w:t>
            </w:r>
          </w:p>
        </w:tc>
      </w:tr>
      <w:tr w:rsidR="004B7064" w14:paraId="5F6738EF" w14:textId="77777777" w:rsidTr="1D58E67F">
        <w:trPr>
          <w:cantSplit/>
        </w:trPr>
        <w:tc>
          <w:tcPr>
            <w:tcW w:w="998" w:type="dxa"/>
          </w:tcPr>
          <w:p w14:paraId="384E88ED" w14:textId="77777777" w:rsidR="00026E66" w:rsidRPr="004C1365" w:rsidRDefault="002737EF" w:rsidP="004C1365">
            <w:pPr>
              <w:rPr>
                <w:b/>
                <w:bCs/>
              </w:rPr>
            </w:pPr>
            <w:r w:rsidRPr="004C1365">
              <w:rPr>
                <w:b/>
                <w:bCs/>
              </w:rPr>
              <w:t xml:space="preserve">AIC </w:t>
            </w:r>
          </w:p>
        </w:tc>
        <w:tc>
          <w:tcPr>
            <w:tcW w:w="1902" w:type="dxa"/>
          </w:tcPr>
          <w:p w14:paraId="37E7C424" w14:textId="77777777" w:rsidR="00026E66" w:rsidRDefault="002737EF" w:rsidP="004C1365">
            <w:r>
              <w:t xml:space="preserve">Agricultural Supply </w:t>
            </w:r>
          </w:p>
        </w:tc>
        <w:tc>
          <w:tcPr>
            <w:tcW w:w="6729" w:type="dxa"/>
          </w:tcPr>
          <w:p w14:paraId="515C5CF6" w14:textId="77777777" w:rsidR="00026E66" w:rsidRDefault="002737EF" w:rsidP="004C1365">
            <w:r>
              <w:t xml:space="preserve">A facility belongs to the agricultural supply sector if it is a facility in which the predominant activity is the manufacture of animal feeds for agricultural purposes. </w:t>
            </w:r>
          </w:p>
        </w:tc>
      </w:tr>
      <w:tr w:rsidR="007741E0" w14:paraId="1A99D911" w14:textId="77777777" w:rsidTr="1D58E67F">
        <w:trPr>
          <w:cantSplit/>
        </w:trPr>
        <w:tc>
          <w:tcPr>
            <w:tcW w:w="998" w:type="dxa"/>
          </w:tcPr>
          <w:p w14:paraId="4C0EC842" w14:textId="1DEA7F3C" w:rsidR="007741E0" w:rsidRPr="004C1365" w:rsidRDefault="007741E0" w:rsidP="004C1365">
            <w:pPr>
              <w:rPr>
                <w:b/>
                <w:bCs/>
              </w:rPr>
            </w:pPr>
            <w:r>
              <w:rPr>
                <w:b/>
                <w:bCs/>
              </w:rPr>
              <w:lastRenderedPageBreak/>
              <w:t>AGB</w:t>
            </w:r>
          </w:p>
        </w:tc>
        <w:tc>
          <w:tcPr>
            <w:tcW w:w="1902" w:type="dxa"/>
          </w:tcPr>
          <w:p w14:paraId="6E256CB5" w14:textId="3E7FAECD" w:rsidR="007741E0" w:rsidRDefault="006003E4" w:rsidP="006003E4">
            <w:r>
              <w:t>Battery (Automotive Grade Batteries)</w:t>
            </w:r>
          </w:p>
        </w:tc>
        <w:tc>
          <w:tcPr>
            <w:tcW w:w="6729" w:type="dxa"/>
          </w:tcPr>
          <w:p w14:paraId="2CC848B3" w14:textId="2BFFE598" w:rsidR="007741E0" w:rsidRDefault="006003E4" w:rsidP="004C1365">
            <w:r w:rsidRPr="006003E4">
              <w:t xml:space="preserve">At an installation where automotive grade battery cells are produced using </w:t>
            </w:r>
            <w:proofErr w:type="gramStart"/>
            <w:r w:rsidRPr="006003E4">
              <w:t>all of</w:t>
            </w:r>
            <w:proofErr w:type="gramEnd"/>
            <w:r w:rsidRPr="006003E4">
              <w:t xml:space="preserve"> the following processes: (a) electrode manufacture, (b) cell assembly, (c) cell formation, and (d) cell final testing.</w:t>
            </w:r>
          </w:p>
        </w:tc>
      </w:tr>
      <w:tr w:rsidR="004B7064" w14:paraId="7E0658F9" w14:textId="77777777" w:rsidTr="1D58E67F">
        <w:trPr>
          <w:cantSplit/>
        </w:trPr>
        <w:tc>
          <w:tcPr>
            <w:tcW w:w="998" w:type="dxa"/>
          </w:tcPr>
          <w:p w14:paraId="1600146D" w14:textId="77777777" w:rsidR="00026E66" w:rsidRPr="004C1365" w:rsidRDefault="002737EF" w:rsidP="004C1365">
            <w:pPr>
              <w:rPr>
                <w:b/>
                <w:bCs/>
              </w:rPr>
            </w:pPr>
            <w:r w:rsidRPr="004C1365">
              <w:rPr>
                <w:b/>
                <w:bCs/>
              </w:rPr>
              <w:t xml:space="preserve">AWM </w:t>
            </w:r>
          </w:p>
        </w:tc>
        <w:tc>
          <w:tcPr>
            <w:tcW w:w="1902" w:type="dxa"/>
          </w:tcPr>
          <w:p w14:paraId="1C1C46C8" w14:textId="77777777" w:rsidR="00026E66" w:rsidRDefault="002737EF" w:rsidP="004C1365">
            <w:r>
              <w:t xml:space="preserve">Wallcoverings </w:t>
            </w:r>
          </w:p>
        </w:tc>
        <w:tc>
          <w:tcPr>
            <w:tcW w:w="6729" w:type="dxa"/>
          </w:tcPr>
          <w:p w14:paraId="03D42E71" w14:textId="77777777" w:rsidR="00026E66" w:rsidRDefault="002737EF" w:rsidP="004C1365">
            <w:r>
              <w:t xml:space="preserve">A facility belongs to the wallcovering sector if it is a facility that surface treats substances, objects and products using organic solvents in coatings, printing inks and finishes during the manufacture of wallcoverings and other flexible decorative surface materials in roll form. </w:t>
            </w:r>
          </w:p>
        </w:tc>
      </w:tr>
      <w:tr w:rsidR="004B7064" w14:paraId="57669F6C" w14:textId="77777777" w:rsidTr="1D58E67F">
        <w:trPr>
          <w:cantSplit/>
        </w:trPr>
        <w:tc>
          <w:tcPr>
            <w:tcW w:w="998" w:type="dxa"/>
          </w:tcPr>
          <w:p w14:paraId="549043F0" w14:textId="77777777" w:rsidR="00026E66" w:rsidRPr="004C1365" w:rsidRDefault="002737EF" w:rsidP="004C1365">
            <w:pPr>
              <w:rPr>
                <w:b/>
                <w:bCs/>
              </w:rPr>
            </w:pPr>
            <w:r w:rsidRPr="004C1365">
              <w:rPr>
                <w:b/>
                <w:bCs/>
              </w:rPr>
              <w:t xml:space="preserve">BATC </w:t>
            </w:r>
          </w:p>
        </w:tc>
        <w:tc>
          <w:tcPr>
            <w:tcW w:w="1902" w:type="dxa"/>
          </w:tcPr>
          <w:p w14:paraId="3D8B3537" w14:textId="77777777" w:rsidR="00026E66" w:rsidRDefault="002737EF" w:rsidP="004C1365">
            <w:r>
              <w:t xml:space="preserve">Textiles </w:t>
            </w:r>
          </w:p>
        </w:tc>
        <w:tc>
          <w:tcPr>
            <w:tcW w:w="6729" w:type="dxa"/>
          </w:tcPr>
          <w:p w14:paraId="20854F75" w14:textId="77777777" w:rsidR="00026E66" w:rsidRDefault="002737EF" w:rsidP="004C1365">
            <w:r>
              <w:t xml:space="preserve">A facility belongs to the apparel and textiles sector if it is a facility that undertakes one or more of the following processes: </w:t>
            </w:r>
          </w:p>
          <w:p w14:paraId="3545F221" w14:textId="77777777" w:rsidR="00026E66" w:rsidRDefault="002737EF" w:rsidP="004C1365">
            <w:r>
              <w:t>the wet stages used in the preparation, processing (for example. mercerizing and scouring), and the dyeing and finishing of Apparel and Textiles (including, but not exclusively, fibres, threads, yarns, fabrics and carpets) and the dyeing of garments.</w:t>
            </w:r>
          </w:p>
        </w:tc>
      </w:tr>
      <w:tr w:rsidR="004B7064" w14:paraId="0FA1D53F" w14:textId="77777777" w:rsidTr="1D58E67F">
        <w:trPr>
          <w:cantSplit/>
        </w:trPr>
        <w:tc>
          <w:tcPr>
            <w:tcW w:w="998" w:type="dxa"/>
          </w:tcPr>
          <w:p w14:paraId="16FEDE5C" w14:textId="77777777" w:rsidR="00026E66" w:rsidRPr="004C1365" w:rsidRDefault="002737EF" w:rsidP="004C1365">
            <w:pPr>
              <w:rPr>
                <w:b/>
                <w:bCs/>
              </w:rPr>
            </w:pPr>
            <w:r w:rsidRPr="004C1365">
              <w:rPr>
                <w:b/>
                <w:bCs/>
              </w:rPr>
              <w:t xml:space="preserve">BATE </w:t>
            </w:r>
          </w:p>
        </w:tc>
        <w:tc>
          <w:tcPr>
            <w:tcW w:w="1902" w:type="dxa"/>
          </w:tcPr>
          <w:p w14:paraId="4AA52705" w14:textId="77777777" w:rsidR="00026E66" w:rsidRDefault="002737EF" w:rsidP="004C1365">
            <w:r>
              <w:t xml:space="preserve">Textiles Energy Intensive </w:t>
            </w:r>
          </w:p>
        </w:tc>
        <w:tc>
          <w:tcPr>
            <w:tcW w:w="6729" w:type="dxa"/>
          </w:tcPr>
          <w:p w14:paraId="14FB8173" w14:textId="545E5AE4" w:rsidR="00026E66" w:rsidRDefault="002737EF" w:rsidP="004C1365">
            <w:r>
              <w:t xml:space="preserve">At an installation or site where textiles are manufactured: spinning, weaving, knitting, finishing but not printing or dyeing. </w:t>
            </w:r>
          </w:p>
        </w:tc>
      </w:tr>
      <w:tr w:rsidR="004B7064" w14:paraId="589F2B0B" w14:textId="77777777" w:rsidTr="1D58E67F">
        <w:trPr>
          <w:cantSplit/>
        </w:trPr>
        <w:tc>
          <w:tcPr>
            <w:tcW w:w="998" w:type="dxa"/>
          </w:tcPr>
          <w:p w14:paraId="4E7E9BC4" w14:textId="77777777" w:rsidR="00026E66" w:rsidRPr="004C1365" w:rsidRDefault="002737EF" w:rsidP="004C1365">
            <w:pPr>
              <w:rPr>
                <w:b/>
                <w:bCs/>
              </w:rPr>
            </w:pPr>
            <w:r w:rsidRPr="004C1365">
              <w:rPr>
                <w:b/>
                <w:bCs/>
              </w:rPr>
              <w:t xml:space="preserve">BCA </w:t>
            </w:r>
          </w:p>
        </w:tc>
        <w:tc>
          <w:tcPr>
            <w:tcW w:w="1902" w:type="dxa"/>
          </w:tcPr>
          <w:p w14:paraId="6A2A8BC9" w14:textId="77777777" w:rsidR="00026E66" w:rsidRDefault="002737EF" w:rsidP="004C1365">
            <w:r>
              <w:t xml:space="preserve">Cement </w:t>
            </w:r>
          </w:p>
        </w:tc>
        <w:tc>
          <w:tcPr>
            <w:tcW w:w="6729" w:type="dxa"/>
          </w:tcPr>
          <w:p w14:paraId="7D419933" w14:textId="77777777" w:rsidR="00026E66" w:rsidRDefault="002737EF" w:rsidP="004C1365">
            <w:r>
              <w:t xml:space="preserve">A facility belongs to the cement sector if it is a facility at which the primary activity is producing or grinding cement clinker. </w:t>
            </w:r>
          </w:p>
        </w:tc>
      </w:tr>
      <w:tr w:rsidR="004B7064" w14:paraId="1799D8FD" w14:textId="77777777" w:rsidTr="1D58E67F">
        <w:trPr>
          <w:cantSplit/>
        </w:trPr>
        <w:tc>
          <w:tcPr>
            <w:tcW w:w="998" w:type="dxa"/>
          </w:tcPr>
          <w:p w14:paraId="6D432607" w14:textId="77777777" w:rsidR="00026E66" w:rsidRPr="004C1365" w:rsidRDefault="002737EF" w:rsidP="004C1365">
            <w:pPr>
              <w:rPr>
                <w:b/>
                <w:bCs/>
              </w:rPr>
            </w:pPr>
            <w:r w:rsidRPr="004C1365">
              <w:rPr>
                <w:b/>
                <w:bCs/>
              </w:rPr>
              <w:t xml:space="preserve">BCC </w:t>
            </w:r>
          </w:p>
        </w:tc>
        <w:tc>
          <w:tcPr>
            <w:tcW w:w="1902" w:type="dxa"/>
          </w:tcPr>
          <w:p w14:paraId="4416BD00" w14:textId="77777777" w:rsidR="00026E66" w:rsidRDefault="002737EF" w:rsidP="004C1365">
            <w:r>
              <w:t xml:space="preserve">Ceramics </w:t>
            </w:r>
          </w:p>
        </w:tc>
        <w:tc>
          <w:tcPr>
            <w:tcW w:w="6729" w:type="dxa"/>
          </w:tcPr>
          <w:p w14:paraId="375D768D" w14:textId="77777777" w:rsidR="00026E66" w:rsidRDefault="002737EF" w:rsidP="004C1365">
            <w:r>
              <w:t xml:space="preserve">A facility belongs to the ceramics sector if it is a facility which manufactures ceramic products (including roofing tiles, bricks, refractory bricks, tiles, stoneware or porcelain) by firing in kilns. Or at an installation or site where silica sand in combination with any associated minerals is extracted, processed and packaged: blasting, quarrying, crushing, classifying, milling, pumping, grinding, acid leaching, drying and packaging. </w:t>
            </w:r>
          </w:p>
        </w:tc>
      </w:tr>
      <w:tr w:rsidR="004B7064" w14:paraId="6EA31D64" w14:textId="77777777" w:rsidTr="1D58E67F">
        <w:trPr>
          <w:cantSplit/>
        </w:trPr>
        <w:tc>
          <w:tcPr>
            <w:tcW w:w="998" w:type="dxa"/>
          </w:tcPr>
          <w:p w14:paraId="04262C9E" w14:textId="77777777" w:rsidR="00026E66" w:rsidRPr="004C1365" w:rsidRDefault="002737EF" w:rsidP="004C1365">
            <w:pPr>
              <w:rPr>
                <w:b/>
                <w:bCs/>
              </w:rPr>
            </w:pPr>
            <w:r w:rsidRPr="004C1365">
              <w:rPr>
                <w:b/>
                <w:bCs/>
              </w:rPr>
              <w:t xml:space="preserve">BCCF </w:t>
            </w:r>
          </w:p>
        </w:tc>
        <w:tc>
          <w:tcPr>
            <w:tcW w:w="1902" w:type="dxa"/>
          </w:tcPr>
          <w:p w14:paraId="478A608C" w14:textId="77777777" w:rsidR="00026E66" w:rsidRDefault="002737EF" w:rsidP="004C1365">
            <w:r>
              <w:t xml:space="preserve">Calcium Carbonate </w:t>
            </w:r>
          </w:p>
        </w:tc>
        <w:tc>
          <w:tcPr>
            <w:tcW w:w="6729" w:type="dxa"/>
          </w:tcPr>
          <w:p w14:paraId="22A6A8B6" w14:textId="77777777" w:rsidR="00026E66" w:rsidRDefault="002737EF" w:rsidP="004C1365">
            <w:r>
              <w:t xml:space="preserve">At an installation or site where calcium </w:t>
            </w:r>
            <w:proofErr w:type="gramStart"/>
            <w:r>
              <w:t>carbonate based</w:t>
            </w:r>
            <w:proofErr w:type="gramEnd"/>
            <w:r>
              <w:t xml:space="preserve"> minerals are processed for use as filler or whitener for paper, plastics, pharmaceuticals, ceramics, food, paint or other products: crushing, drying, milling, classifying, screening, packaging. </w:t>
            </w:r>
          </w:p>
        </w:tc>
      </w:tr>
      <w:tr w:rsidR="004B7064" w14:paraId="516B6293" w14:textId="77777777" w:rsidTr="1D58E67F">
        <w:trPr>
          <w:cantSplit/>
        </w:trPr>
        <w:tc>
          <w:tcPr>
            <w:tcW w:w="998" w:type="dxa"/>
          </w:tcPr>
          <w:p w14:paraId="02AB65EA" w14:textId="77777777" w:rsidR="00026E66" w:rsidRPr="004C1365" w:rsidRDefault="002737EF" w:rsidP="004C1365">
            <w:pPr>
              <w:rPr>
                <w:b/>
                <w:bCs/>
              </w:rPr>
            </w:pPr>
            <w:r w:rsidRPr="004C1365">
              <w:rPr>
                <w:b/>
                <w:bCs/>
              </w:rPr>
              <w:lastRenderedPageBreak/>
              <w:t xml:space="preserve">BCGA </w:t>
            </w:r>
          </w:p>
        </w:tc>
        <w:tc>
          <w:tcPr>
            <w:tcW w:w="1902" w:type="dxa"/>
          </w:tcPr>
          <w:p w14:paraId="04717ABC" w14:textId="77777777" w:rsidR="00026E66" w:rsidRDefault="002737EF" w:rsidP="004C1365">
            <w:r>
              <w:t xml:space="preserve">Compressed Gases </w:t>
            </w:r>
          </w:p>
        </w:tc>
        <w:tc>
          <w:tcPr>
            <w:tcW w:w="6729" w:type="dxa"/>
          </w:tcPr>
          <w:p w14:paraId="107E1EAC" w14:textId="270077F5" w:rsidR="00026E66" w:rsidRDefault="002737EF" w:rsidP="004C1365">
            <w:r>
              <w:t>At an installation or site where</w:t>
            </w:r>
            <w:r w:rsidR="00E248B7">
              <w:t xml:space="preserve"> –</w:t>
            </w:r>
            <w:r>
              <w:t xml:space="preserve"> (a) nitrogen, oxygen or argon is separated from air, and then compressed or liquefied; or (b) nitrogen, oxygen and argon are separated from air, and then made into a compressed or liquefied mixture of at least </w:t>
            </w:r>
            <w:r w:rsidR="009E12F0">
              <w:t>2</w:t>
            </w:r>
            <w:r>
              <w:t xml:space="preserve"> of the former, separating the above substances from air using one or more of the following air separation technologies: cryogenic distillation, pressure swing adsorption, vacuum swing absorption or membrane separation, compressing and liquefying the separated substances, pumping them (in a compressed or liquefied form) from within the installation for further use within or outside the installation. </w:t>
            </w:r>
          </w:p>
        </w:tc>
      </w:tr>
      <w:tr w:rsidR="004B7064" w14:paraId="76C94CAE" w14:textId="77777777" w:rsidTr="1D58E67F">
        <w:trPr>
          <w:cantSplit/>
        </w:trPr>
        <w:tc>
          <w:tcPr>
            <w:tcW w:w="998" w:type="dxa"/>
          </w:tcPr>
          <w:p w14:paraId="1FB1718A" w14:textId="77777777" w:rsidR="00026E66" w:rsidRPr="004C1365" w:rsidRDefault="002737EF" w:rsidP="004C1365">
            <w:pPr>
              <w:rPr>
                <w:b/>
                <w:bCs/>
              </w:rPr>
            </w:pPr>
            <w:r w:rsidRPr="004C1365">
              <w:rPr>
                <w:b/>
                <w:bCs/>
              </w:rPr>
              <w:t xml:space="preserve">BEPA </w:t>
            </w:r>
          </w:p>
        </w:tc>
        <w:tc>
          <w:tcPr>
            <w:tcW w:w="1902" w:type="dxa"/>
          </w:tcPr>
          <w:p w14:paraId="755D8BE7" w14:textId="77777777" w:rsidR="00026E66" w:rsidRDefault="002737EF" w:rsidP="004C1365">
            <w:r>
              <w:t xml:space="preserve">Egg Processing </w:t>
            </w:r>
          </w:p>
        </w:tc>
        <w:tc>
          <w:tcPr>
            <w:tcW w:w="6729" w:type="dxa"/>
          </w:tcPr>
          <w:p w14:paraId="20CD15C8" w14:textId="77777777" w:rsidR="00026E66" w:rsidRDefault="002737EF" w:rsidP="004C1365">
            <w:r>
              <w:t xml:space="preserve">A facility belongs to the egg processing sector if it is a facility which processes eggs </w:t>
            </w:r>
            <w:proofErr w:type="gramStart"/>
            <w:r>
              <w:t>for the production of</w:t>
            </w:r>
            <w:proofErr w:type="gramEnd"/>
            <w:r>
              <w:t xml:space="preserve"> food. </w:t>
            </w:r>
          </w:p>
        </w:tc>
      </w:tr>
      <w:tr w:rsidR="004B7064" w14:paraId="562FE93E" w14:textId="77777777" w:rsidTr="1D58E67F">
        <w:trPr>
          <w:cantSplit/>
        </w:trPr>
        <w:tc>
          <w:tcPr>
            <w:tcW w:w="998" w:type="dxa"/>
          </w:tcPr>
          <w:p w14:paraId="238FA3CD" w14:textId="77777777" w:rsidR="00026E66" w:rsidRPr="004C1365" w:rsidRDefault="002737EF" w:rsidP="004C1365">
            <w:pPr>
              <w:rPr>
                <w:b/>
                <w:bCs/>
              </w:rPr>
            </w:pPr>
            <w:r w:rsidRPr="004C1365">
              <w:rPr>
                <w:b/>
                <w:bCs/>
              </w:rPr>
              <w:t>BGMC</w:t>
            </w:r>
          </w:p>
        </w:tc>
        <w:tc>
          <w:tcPr>
            <w:tcW w:w="1902" w:type="dxa"/>
          </w:tcPr>
          <w:p w14:paraId="588BBB39" w14:textId="77777777" w:rsidR="00026E66" w:rsidRDefault="002737EF" w:rsidP="004C1365">
            <w:r>
              <w:t>Glass</w:t>
            </w:r>
          </w:p>
        </w:tc>
        <w:tc>
          <w:tcPr>
            <w:tcW w:w="6729" w:type="dxa"/>
          </w:tcPr>
          <w:p w14:paraId="039A6C0D" w14:textId="012D3609" w:rsidR="00026E66" w:rsidRDefault="002737EF" w:rsidP="004C1365">
            <w:r>
              <w:t>A facility belongs to the glass sector if it is a facility which (</w:t>
            </w:r>
            <w:proofErr w:type="spellStart"/>
            <w:r>
              <w:t>i</w:t>
            </w:r>
            <w:proofErr w:type="spellEnd"/>
            <w:r>
              <w:t>) manufactures glass or glass fibre; (ii) manufactures glass frit or enamel frit, or uses glass frit or enamel frit in any activity where that activity is related to its manufacture; (iii) carries out surface treatment of substances, objects or products using organic solvents during the manufacture of glass and/or glass products; (iv) produces salts such as sodium metasilicate; (v) carries out any activity of manufacture of glass and/or glass products</w:t>
            </w:r>
            <w:r w:rsidR="00FC355D">
              <w:t xml:space="preserve"> </w:t>
            </w:r>
            <w:r>
              <w:t>which involves the use of hydrogen fluoride, hydrogen chloride, hydrogen bromide or hydrogen iodide or any of their acids and which may result in the release of any of these compounds into the air; or (vi) carries on related activities of a description agreed between the sector association and the Secretary of State. At an installation or site where glass products or chemicals using glass as a base material are produced from raw materials, pre-formed glass or cullet for use as reflective additives in road markings or as toughened glass for the automotive market: partial melting, fusing, bending, toughening, cutting, grinding, etching, polishing (both mechanical and chemical), surface treating and drying.</w:t>
            </w:r>
          </w:p>
        </w:tc>
      </w:tr>
      <w:tr w:rsidR="004B7064" w14:paraId="585D9405" w14:textId="77777777" w:rsidTr="1D58E67F">
        <w:trPr>
          <w:cantSplit/>
        </w:trPr>
        <w:tc>
          <w:tcPr>
            <w:tcW w:w="998" w:type="dxa"/>
          </w:tcPr>
          <w:p w14:paraId="0713C40C" w14:textId="77777777" w:rsidR="00026E66" w:rsidRPr="004C1365" w:rsidRDefault="002737EF" w:rsidP="004C1365">
            <w:pPr>
              <w:rPr>
                <w:b/>
                <w:bCs/>
              </w:rPr>
            </w:pPr>
            <w:r w:rsidRPr="004C1365">
              <w:rPr>
                <w:b/>
                <w:bCs/>
              </w:rPr>
              <w:t xml:space="preserve">BLA </w:t>
            </w:r>
          </w:p>
        </w:tc>
        <w:tc>
          <w:tcPr>
            <w:tcW w:w="1902" w:type="dxa"/>
          </w:tcPr>
          <w:p w14:paraId="1C54AFA4" w14:textId="77777777" w:rsidR="00026E66" w:rsidRDefault="002737EF" w:rsidP="004C1365">
            <w:r>
              <w:t xml:space="preserve">Lime </w:t>
            </w:r>
          </w:p>
        </w:tc>
        <w:tc>
          <w:tcPr>
            <w:tcW w:w="6729" w:type="dxa"/>
          </w:tcPr>
          <w:p w14:paraId="77E2F1A7" w14:textId="77777777" w:rsidR="00026E66" w:rsidRDefault="002737EF" w:rsidP="004C1365">
            <w:r>
              <w:t xml:space="preserve">A facility belongs to the lime sector if it is a facility which produces lime. </w:t>
            </w:r>
          </w:p>
        </w:tc>
      </w:tr>
      <w:tr w:rsidR="004B7064" w14:paraId="4F26BFB2" w14:textId="77777777" w:rsidTr="1D58E67F">
        <w:trPr>
          <w:cantSplit/>
        </w:trPr>
        <w:tc>
          <w:tcPr>
            <w:tcW w:w="998" w:type="dxa"/>
          </w:tcPr>
          <w:p w14:paraId="19046381" w14:textId="77777777" w:rsidR="00026E66" w:rsidRPr="004C1365" w:rsidRDefault="002737EF" w:rsidP="004C1365">
            <w:pPr>
              <w:rPr>
                <w:b/>
                <w:bCs/>
              </w:rPr>
            </w:pPr>
            <w:r w:rsidRPr="004C1365">
              <w:rPr>
                <w:b/>
                <w:bCs/>
              </w:rPr>
              <w:t xml:space="preserve">BLRA </w:t>
            </w:r>
          </w:p>
        </w:tc>
        <w:tc>
          <w:tcPr>
            <w:tcW w:w="1902" w:type="dxa"/>
          </w:tcPr>
          <w:p w14:paraId="5869FD9D" w14:textId="77777777" w:rsidR="00026E66" w:rsidRDefault="002737EF" w:rsidP="004C1365">
            <w:r>
              <w:t xml:space="preserve">Brewing </w:t>
            </w:r>
          </w:p>
        </w:tc>
        <w:tc>
          <w:tcPr>
            <w:tcW w:w="6729" w:type="dxa"/>
          </w:tcPr>
          <w:p w14:paraId="75336140" w14:textId="77777777" w:rsidR="00026E66" w:rsidRDefault="002737EF" w:rsidP="004C1365">
            <w:r>
              <w:t xml:space="preserve">A facility belongs to the brewing sector if it is a facility which operates facilities for treating and processing vegetable raw material intended </w:t>
            </w:r>
            <w:proofErr w:type="gramStart"/>
            <w:r>
              <w:t>for the production of</w:t>
            </w:r>
            <w:proofErr w:type="gramEnd"/>
            <w:r>
              <w:t xml:space="preserve"> beer. </w:t>
            </w:r>
          </w:p>
        </w:tc>
      </w:tr>
      <w:tr w:rsidR="004B7064" w14:paraId="61920498" w14:textId="77777777" w:rsidTr="1D58E67F">
        <w:trPr>
          <w:cantSplit/>
        </w:trPr>
        <w:tc>
          <w:tcPr>
            <w:tcW w:w="998" w:type="dxa"/>
          </w:tcPr>
          <w:p w14:paraId="1C94FBCA" w14:textId="77777777" w:rsidR="00026E66" w:rsidRPr="004C1365" w:rsidRDefault="002737EF" w:rsidP="004C1365">
            <w:pPr>
              <w:rPr>
                <w:b/>
                <w:bCs/>
              </w:rPr>
            </w:pPr>
            <w:r w:rsidRPr="004C1365">
              <w:rPr>
                <w:b/>
                <w:bCs/>
              </w:rPr>
              <w:lastRenderedPageBreak/>
              <w:t xml:space="preserve">BMPA </w:t>
            </w:r>
          </w:p>
        </w:tc>
        <w:tc>
          <w:tcPr>
            <w:tcW w:w="1902" w:type="dxa"/>
          </w:tcPr>
          <w:p w14:paraId="1A8C2BFB" w14:textId="77777777" w:rsidR="00026E66" w:rsidRDefault="002737EF" w:rsidP="004C1365">
            <w:r>
              <w:t xml:space="preserve">Meat </w:t>
            </w:r>
          </w:p>
        </w:tc>
        <w:tc>
          <w:tcPr>
            <w:tcW w:w="6729" w:type="dxa"/>
          </w:tcPr>
          <w:p w14:paraId="0E800D7C" w14:textId="77777777" w:rsidR="00026E66" w:rsidRDefault="002737EF" w:rsidP="004C1365">
            <w:r>
              <w:t xml:space="preserve">A facility belongs to the meat processing sector if it is a facility in which the predominant activity is the slaughtering of animals or the processing of red meat; the facility may also include standalone permanent storage buildings for controlling the inside temperature of the storage area below ambient temperature for the purposes of storing red meat, and which includes permanent machinery to cool or freeze products prior to storage or to produce ice for the purposes of storing red meat. </w:t>
            </w:r>
          </w:p>
        </w:tc>
      </w:tr>
      <w:tr w:rsidR="004B7064" w14:paraId="1AA6F53A" w14:textId="77777777" w:rsidTr="1D58E67F">
        <w:trPr>
          <w:cantSplit/>
        </w:trPr>
        <w:tc>
          <w:tcPr>
            <w:tcW w:w="998" w:type="dxa"/>
          </w:tcPr>
          <w:p w14:paraId="39C71E0D" w14:textId="77777777" w:rsidR="00026E66" w:rsidRPr="004C1365" w:rsidRDefault="002737EF" w:rsidP="004C1365">
            <w:pPr>
              <w:rPr>
                <w:b/>
                <w:bCs/>
              </w:rPr>
            </w:pPr>
            <w:r w:rsidRPr="004C1365">
              <w:rPr>
                <w:b/>
                <w:bCs/>
              </w:rPr>
              <w:t xml:space="preserve">BNMA </w:t>
            </w:r>
          </w:p>
        </w:tc>
        <w:tc>
          <w:tcPr>
            <w:tcW w:w="1902" w:type="dxa"/>
          </w:tcPr>
          <w:p w14:paraId="26D8A29B" w14:textId="77777777" w:rsidR="00026E66" w:rsidRDefault="002737EF" w:rsidP="004C1365">
            <w:r>
              <w:t xml:space="preserve">Geosynthetics </w:t>
            </w:r>
            <w:proofErr w:type="gramStart"/>
            <w:r>
              <w:t>Non-Woven</w:t>
            </w:r>
            <w:proofErr w:type="gramEnd"/>
            <w:r>
              <w:t xml:space="preserve"> </w:t>
            </w:r>
          </w:p>
        </w:tc>
        <w:tc>
          <w:tcPr>
            <w:tcW w:w="6729" w:type="dxa"/>
          </w:tcPr>
          <w:p w14:paraId="5FE2CB87" w14:textId="5D845C39" w:rsidR="00026E66" w:rsidRDefault="002737EF" w:rsidP="004C1365">
            <w:r>
              <w:t xml:space="preserve">At an installation or site where geosynthetic materials comprising at least one component made from a synthetic or natural polymer in the form of a sheet, strip or other </w:t>
            </w:r>
            <w:r w:rsidR="009E12F0">
              <w:t>3</w:t>
            </w:r>
            <w:r>
              <w:t xml:space="preserve">- dimensional structure are manufactured for use in geotechnical or civil engineering applications: all processes and activities involved in the manufacture of such materials. </w:t>
            </w:r>
          </w:p>
        </w:tc>
      </w:tr>
      <w:tr w:rsidR="004B7064" w14:paraId="249D9769" w14:textId="77777777" w:rsidTr="1D58E67F">
        <w:trPr>
          <w:cantSplit/>
        </w:trPr>
        <w:tc>
          <w:tcPr>
            <w:tcW w:w="998" w:type="dxa"/>
          </w:tcPr>
          <w:p w14:paraId="121A7D3A" w14:textId="77777777" w:rsidR="00026E66" w:rsidRPr="004C1365" w:rsidRDefault="002737EF" w:rsidP="004C1365">
            <w:pPr>
              <w:rPr>
                <w:b/>
                <w:bCs/>
              </w:rPr>
            </w:pPr>
            <w:r w:rsidRPr="004C1365">
              <w:rPr>
                <w:b/>
                <w:bCs/>
              </w:rPr>
              <w:t xml:space="preserve">BPC1 </w:t>
            </w:r>
          </w:p>
        </w:tc>
        <w:tc>
          <w:tcPr>
            <w:tcW w:w="1902" w:type="dxa"/>
          </w:tcPr>
          <w:p w14:paraId="1D42D4AB" w14:textId="77777777" w:rsidR="00026E66" w:rsidRDefault="002737EF" w:rsidP="004C1365">
            <w:r>
              <w:t xml:space="preserve">Poultry Meat Rearing </w:t>
            </w:r>
          </w:p>
        </w:tc>
        <w:tc>
          <w:tcPr>
            <w:tcW w:w="6729" w:type="dxa"/>
          </w:tcPr>
          <w:p w14:paraId="27E5593F" w14:textId="77777777" w:rsidR="00026E66" w:rsidRDefault="002737EF" w:rsidP="004C1365">
            <w:r>
              <w:t xml:space="preserve">A facility belongs to the poultry meat sector if it is a facility in which the predominant activity is the breeding or rearing of poultry for meat. </w:t>
            </w:r>
          </w:p>
        </w:tc>
      </w:tr>
      <w:tr w:rsidR="004B7064" w14:paraId="54CA29AA" w14:textId="77777777" w:rsidTr="1D58E67F">
        <w:trPr>
          <w:cantSplit/>
        </w:trPr>
        <w:tc>
          <w:tcPr>
            <w:tcW w:w="998" w:type="dxa"/>
          </w:tcPr>
          <w:p w14:paraId="4CC66299" w14:textId="77777777" w:rsidR="00026E66" w:rsidRPr="004C1365" w:rsidRDefault="002737EF" w:rsidP="004C1365">
            <w:pPr>
              <w:rPr>
                <w:b/>
                <w:bCs/>
              </w:rPr>
            </w:pPr>
            <w:r w:rsidRPr="004C1365">
              <w:rPr>
                <w:b/>
                <w:bCs/>
              </w:rPr>
              <w:t xml:space="preserve">BPC2 </w:t>
            </w:r>
          </w:p>
        </w:tc>
        <w:tc>
          <w:tcPr>
            <w:tcW w:w="1902" w:type="dxa"/>
          </w:tcPr>
          <w:p w14:paraId="71C15E0C" w14:textId="77777777" w:rsidR="00026E66" w:rsidRDefault="002737EF" w:rsidP="004C1365">
            <w:r>
              <w:t xml:space="preserve">Poultry Meat Processing </w:t>
            </w:r>
          </w:p>
        </w:tc>
        <w:tc>
          <w:tcPr>
            <w:tcW w:w="6729" w:type="dxa"/>
          </w:tcPr>
          <w:p w14:paraId="2241E3BA" w14:textId="77777777" w:rsidR="00026E66" w:rsidRDefault="002737EF" w:rsidP="004C1365">
            <w:r>
              <w:t xml:space="preserve">A facility belongs to the poultry meat processing sector if it is a facility in which the predominant activity is one of the following: a) the slaughtering of poultry and/or the processing of poultry meat, b) the manufacture of animal feeds for use on poultry farms. </w:t>
            </w:r>
          </w:p>
        </w:tc>
      </w:tr>
      <w:tr w:rsidR="004B7064" w14:paraId="77F45C35" w14:textId="77777777" w:rsidTr="1D58E67F">
        <w:trPr>
          <w:cantSplit/>
        </w:trPr>
        <w:tc>
          <w:tcPr>
            <w:tcW w:w="998" w:type="dxa"/>
          </w:tcPr>
          <w:p w14:paraId="6AAD4974" w14:textId="77777777" w:rsidR="00026E66" w:rsidRPr="004C1365" w:rsidRDefault="002737EF" w:rsidP="004C1365">
            <w:pPr>
              <w:rPr>
                <w:b/>
                <w:bCs/>
              </w:rPr>
            </w:pPr>
            <w:r w:rsidRPr="004C1365">
              <w:rPr>
                <w:b/>
                <w:bCs/>
              </w:rPr>
              <w:t xml:space="preserve">BPF </w:t>
            </w:r>
          </w:p>
        </w:tc>
        <w:tc>
          <w:tcPr>
            <w:tcW w:w="1902" w:type="dxa"/>
          </w:tcPr>
          <w:p w14:paraId="14E7DA29" w14:textId="77777777" w:rsidR="00026E66" w:rsidRDefault="002737EF" w:rsidP="004C1365">
            <w:r>
              <w:t xml:space="preserve">Plastics </w:t>
            </w:r>
          </w:p>
        </w:tc>
        <w:tc>
          <w:tcPr>
            <w:tcW w:w="6729" w:type="dxa"/>
          </w:tcPr>
          <w:p w14:paraId="1DA90368" w14:textId="54ADCF6A" w:rsidR="00026E66" w:rsidRDefault="002737EF" w:rsidP="004C1365">
            <w:r>
              <w:t>At an installation or site where plastic materials, or plastic products (whether or not these are finished products), are produced by</w:t>
            </w:r>
            <w:r w:rsidR="00814652">
              <w:t xml:space="preserve"> –</w:t>
            </w:r>
            <w:r>
              <w:t xml:space="preserve"> (a) the application of heat and pressure to; or (b) a chemical reaction involving plastics powder, granules, shredded waste or liquid: injection moulding, reaction injection moulding, compression moulding (including hot and cold press moulding), transfer moulding, structural foam moulding, direct screw transfer moulding, rotational moulding (including slush moulding), flexible foam moulding (including dual component processing), blow moulding, casting, expanded polystyrene moulding, expandable materials processing, mixing and compounding, </w:t>
            </w:r>
            <w:proofErr w:type="spellStart"/>
            <w:r>
              <w:t>calendering</w:t>
            </w:r>
            <w:proofErr w:type="spellEnd"/>
            <w:r>
              <w:t xml:space="preserve">, powder coating (including dip moulding), sintering, thermoforming (including vacuum forming), pultrusion, filament winding, spread coating, hand lay- up and resin transfer moulding. </w:t>
            </w:r>
          </w:p>
        </w:tc>
      </w:tr>
      <w:tr w:rsidR="004B7064" w14:paraId="54E6E486" w14:textId="77777777" w:rsidTr="1D58E67F">
        <w:trPr>
          <w:cantSplit/>
        </w:trPr>
        <w:tc>
          <w:tcPr>
            <w:tcW w:w="998" w:type="dxa"/>
          </w:tcPr>
          <w:p w14:paraId="74825CA1" w14:textId="77777777" w:rsidR="00026E66" w:rsidRPr="004C1365" w:rsidRDefault="002737EF" w:rsidP="004C1365">
            <w:pPr>
              <w:rPr>
                <w:b/>
                <w:bCs/>
              </w:rPr>
            </w:pPr>
            <w:r w:rsidRPr="004C1365">
              <w:rPr>
                <w:b/>
                <w:bCs/>
              </w:rPr>
              <w:t xml:space="preserve">BPIF </w:t>
            </w:r>
          </w:p>
        </w:tc>
        <w:tc>
          <w:tcPr>
            <w:tcW w:w="1902" w:type="dxa"/>
          </w:tcPr>
          <w:p w14:paraId="48288499" w14:textId="77777777" w:rsidR="00026E66" w:rsidRDefault="002737EF" w:rsidP="004C1365">
            <w:r>
              <w:t xml:space="preserve">Printing </w:t>
            </w:r>
          </w:p>
        </w:tc>
        <w:tc>
          <w:tcPr>
            <w:tcW w:w="6729" w:type="dxa"/>
          </w:tcPr>
          <w:p w14:paraId="5573C204" w14:textId="77777777" w:rsidR="00026E66" w:rsidRDefault="002737EF" w:rsidP="004C1365">
            <w:r>
              <w:t>A facility belongs to the printing sector if it is a facility that undertakes printing using organic solvents in the following processes; lithography, letterpress, flexography, gravure and screen printing.</w:t>
            </w:r>
          </w:p>
        </w:tc>
      </w:tr>
      <w:tr w:rsidR="004B7064" w14:paraId="62AE123D" w14:textId="77777777" w:rsidTr="1D58E67F">
        <w:trPr>
          <w:cantSplit/>
        </w:trPr>
        <w:tc>
          <w:tcPr>
            <w:tcW w:w="998" w:type="dxa"/>
          </w:tcPr>
          <w:p w14:paraId="181BD68E" w14:textId="77777777" w:rsidR="00814652" w:rsidRPr="004C1365" w:rsidRDefault="00814652" w:rsidP="004C1365">
            <w:pPr>
              <w:rPr>
                <w:b/>
                <w:bCs/>
              </w:rPr>
            </w:pPr>
            <w:r w:rsidRPr="004C1365">
              <w:rPr>
                <w:b/>
                <w:bCs/>
              </w:rPr>
              <w:lastRenderedPageBreak/>
              <w:t xml:space="preserve">BTMA </w:t>
            </w:r>
          </w:p>
        </w:tc>
        <w:tc>
          <w:tcPr>
            <w:tcW w:w="1902" w:type="dxa"/>
          </w:tcPr>
          <w:p w14:paraId="7F02CE56" w14:textId="77777777" w:rsidR="00814652" w:rsidRDefault="00814652" w:rsidP="004C1365">
            <w:r>
              <w:t xml:space="preserve">Tyres </w:t>
            </w:r>
          </w:p>
        </w:tc>
        <w:tc>
          <w:tcPr>
            <w:tcW w:w="6729" w:type="dxa"/>
          </w:tcPr>
          <w:p w14:paraId="4AA62389" w14:textId="04C27385" w:rsidR="00814652" w:rsidRDefault="00814652" w:rsidP="004C1365">
            <w:r>
              <w:t xml:space="preserve">A facility belongs to the new rubber tyre manufacturing sector if it is a facility which manufactures new rubber tyres or manufactures intermediate products used in the manufacture of rubber tyres. </w:t>
            </w:r>
          </w:p>
        </w:tc>
      </w:tr>
      <w:tr w:rsidR="004B7064" w14:paraId="7DFA6259" w14:textId="77777777" w:rsidTr="1D58E67F">
        <w:trPr>
          <w:cantSplit/>
        </w:trPr>
        <w:tc>
          <w:tcPr>
            <w:tcW w:w="998" w:type="dxa"/>
          </w:tcPr>
          <w:p w14:paraId="23B3E2A7" w14:textId="77777777" w:rsidR="00814652" w:rsidRPr="004C1365" w:rsidRDefault="00814652" w:rsidP="004C1365">
            <w:pPr>
              <w:rPr>
                <w:b/>
                <w:bCs/>
              </w:rPr>
            </w:pPr>
            <w:r w:rsidRPr="004C1365">
              <w:rPr>
                <w:b/>
                <w:bCs/>
              </w:rPr>
              <w:t xml:space="preserve">CAST </w:t>
            </w:r>
          </w:p>
        </w:tc>
        <w:tc>
          <w:tcPr>
            <w:tcW w:w="1902" w:type="dxa"/>
          </w:tcPr>
          <w:p w14:paraId="470AF569" w14:textId="77777777" w:rsidR="00814652" w:rsidRDefault="00814652" w:rsidP="004C1365">
            <w:r>
              <w:t xml:space="preserve">Foundries </w:t>
            </w:r>
          </w:p>
        </w:tc>
        <w:tc>
          <w:tcPr>
            <w:tcW w:w="6729" w:type="dxa"/>
          </w:tcPr>
          <w:p w14:paraId="5EAF1661" w14:textId="4A0B34FC" w:rsidR="00814652" w:rsidRDefault="00814652" w:rsidP="004C1365">
            <w:r>
              <w:t xml:space="preserve">A facility belongs to the foundries sector if it is a facility which – (a) produces, melts or refines iron or steel or any ferrous alloy, including continuous casting, using electric arc furnaces or a cupola, crucible furnace, </w:t>
            </w:r>
            <w:proofErr w:type="spellStart"/>
            <w:r>
              <w:t>reverbatory</w:t>
            </w:r>
            <w:proofErr w:type="spellEnd"/>
            <w:r>
              <w:t xml:space="preserve"> furnace, rotary furnace, induction furnace or resistance furnace; (b) applies protective fused metal coatings; (c) casts ferrous metals at a foundry; or (d) melts, including making alloys, non-ferrous metals, including recovered products (refining, foundry casting, </w:t>
            </w:r>
            <w:r w:rsidDel="00E248B7">
              <w:t>etc.).</w:t>
            </w:r>
            <w:r>
              <w:t xml:space="preserve"> </w:t>
            </w:r>
          </w:p>
        </w:tc>
      </w:tr>
      <w:tr w:rsidR="004B7064" w14:paraId="2F9EB4DF" w14:textId="77777777" w:rsidTr="1D58E67F">
        <w:trPr>
          <w:cantSplit/>
        </w:trPr>
        <w:tc>
          <w:tcPr>
            <w:tcW w:w="998" w:type="dxa"/>
          </w:tcPr>
          <w:p w14:paraId="3DAF91CB" w14:textId="77777777" w:rsidR="00814652" w:rsidRPr="004C1365" w:rsidRDefault="00814652" w:rsidP="004C1365">
            <w:pPr>
              <w:rPr>
                <w:b/>
                <w:bCs/>
              </w:rPr>
            </w:pPr>
            <w:r w:rsidRPr="004C1365">
              <w:rPr>
                <w:b/>
                <w:bCs/>
              </w:rPr>
              <w:t xml:space="preserve">CBM </w:t>
            </w:r>
          </w:p>
        </w:tc>
        <w:tc>
          <w:tcPr>
            <w:tcW w:w="1902" w:type="dxa"/>
          </w:tcPr>
          <w:p w14:paraId="1378F450" w14:textId="77777777" w:rsidR="00814652" w:rsidRDefault="00814652" w:rsidP="004C1365">
            <w:proofErr w:type="spellStart"/>
            <w:r>
              <w:t>Metalforming</w:t>
            </w:r>
            <w:proofErr w:type="spellEnd"/>
            <w:r>
              <w:t xml:space="preserve"> </w:t>
            </w:r>
          </w:p>
        </w:tc>
        <w:tc>
          <w:tcPr>
            <w:tcW w:w="6729" w:type="dxa"/>
          </w:tcPr>
          <w:p w14:paraId="75E00EA5" w14:textId="0F2544D2" w:rsidR="00814652" w:rsidRDefault="00814652" w:rsidP="00150B05">
            <w:r>
              <w:t>A facility belongs to the metal forming sector if it is a facility which operates as a forge, producing from a cold or heated metal work piece by a blow or series of blows a product or component with enhanced physical and or metallurgical properties</w:t>
            </w:r>
            <w:r w:rsidR="00150B05">
              <w:t>,</w:t>
            </w:r>
            <w:r>
              <w:t xml:space="preserve"> including</w:t>
            </w:r>
            <w:r w:rsidR="00150B05">
              <w:t>:</w:t>
            </w:r>
            <w:r>
              <w:t xml:space="preserve"> Cold Forging, Warm Forging, Hot Forging; Heading, Upsetting; Stamping, Pressing; Blanking, Shearing,</w:t>
            </w:r>
            <w:r w:rsidR="00150B05">
              <w:t xml:space="preserve"> </w:t>
            </w:r>
            <w:r>
              <w:t xml:space="preserve">Trimming, Piercing, Punching, Notching; Coining; Deep Drawing; Precision Bending; and which may heat-treat pre- formed or manufactured metal components to facilitate their efficient formability or to enhance their service performance, all processes and activities involved in the heat treatment of pre- formed or manufactured metal components to facilitate their efficient formability or to enhance their service performance; and which may undertake (other than for the re-painting or re- spraying of or of parts of aircraft or road or railway vehicles) application of printing ink or paint or any other coating material to a substrate, or drying or curing after such application, as, or in the course of, a manufacturing activity, where the process may result in the release into the air of particulate matter or of any volatile organic compound. </w:t>
            </w:r>
          </w:p>
        </w:tc>
      </w:tr>
      <w:tr w:rsidR="004B7064" w14:paraId="027EBCB0" w14:textId="77777777" w:rsidTr="1D58E67F">
        <w:trPr>
          <w:cantSplit/>
        </w:trPr>
        <w:tc>
          <w:tcPr>
            <w:tcW w:w="998" w:type="dxa"/>
          </w:tcPr>
          <w:p w14:paraId="31B09A98" w14:textId="77777777" w:rsidR="00814652" w:rsidRPr="004C1365" w:rsidRDefault="00814652" w:rsidP="004C1365">
            <w:pPr>
              <w:rPr>
                <w:b/>
                <w:bCs/>
              </w:rPr>
            </w:pPr>
            <w:r w:rsidRPr="004C1365">
              <w:rPr>
                <w:b/>
                <w:bCs/>
              </w:rPr>
              <w:lastRenderedPageBreak/>
              <w:t xml:space="preserve">CIA </w:t>
            </w:r>
          </w:p>
        </w:tc>
        <w:tc>
          <w:tcPr>
            <w:tcW w:w="1902" w:type="dxa"/>
          </w:tcPr>
          <w:p w14:paraId="5F27948E" w14:textId="77777777" w:rsidR="00814652" w:rsidRDefault="00814652" w:rsidP="004C1365">
            <w:r>
              <w:t xml:space="preserve">Chemicals </w:t>
            </w:r>
          </w:p>
        </w:tc>
        <w:tc>
          <w:tcPr>
            <w:tcW w:w="6729" w:type="dxa"/>
          </w:tcPr>
          <w:p w14:paraId="6E40427F" w14:textId="09271F45" w:rsidR="00814652" w:rsidRDefault="00814652" w:rsidP="004C1365">
            <w:r>
              <w:t xml:space="preserve">A facility belongs to the chemical sector if it is a facility which is used for: </w:t>
            </w:r>
          </w:p>
          <w:p w14:paraId="3243E784" w14:textId="06F444C5" w:rsidR="00814652" w:rsidRDefault="00814652" w:rsidP="00B64FE1">
            <w:r>
              <w:t>manufacturing organic or inorganic chemicals, chemical fertilisers, plant health products, biocides, pharmaceutical products or explosives</w:t>
            </w:r>
            <w:r w:rsidDel="00E248B7">
              <w:t xml:space="preserve">; </w:t>
            </w:r>
          </w:p>
          <w:p w14:paraId="721583A6" w14:textId="7BEF578E" w:rsidR="00814652" w:rsidRDefault="00814652" w:rsidP="00B64FE1">
            <w:r>
              <w:t>a manufacturing activity involving carbon disulphide or ammonia (but not ammonia used as a refrigerant)</w:t>
            </w:r>
          </w:p>
          <w:p w14:paraId="3E686932" w14:textId="09399B84" w:rsidR="00814652" w:rsidRDefault="00814652" w:rsidP="00B64FE1">
            <w:r>
              <w:t>an activity involving chemical processing</w:t>
            </w:r>
          </w:p>
          <w:p w14:paraId="46988099" w14:textId="044A33B2" w:rsidR="00814652" w:rsidRDefault="00814652" w:rsidP="00B64FE1">
            <w:r>
              <w:t xml:space="preserve">it produces potassium chloride from Sylvinite (potassium chloride) ore containing a mixture of potassium chloride, sodium chloride, clay and anhydrite, by sub-surface mining followed by separation and purification from the other constituents through a process of crushing/grinding, froth flotation and depending on the specific product, drying and compacting, followed by grading prior to dispatch; high grade soluble product is also obtained by the recrystallisation of KCl from supersaturated brine: or it produces potassium, sodium, magnesium and/or calcium salts from </w:t>
            </w:r>
            <w:proofErr w:type="spellStart"/>
            <w:r>
              <w:t>Polyhalite</w:t>
            </w:r>
            <w:proofErr w:type="spellEnd"/>
            <w:r>
              <w:t xml:space="preserve"> ore by a process of crushing/grinding, leaching, acid reaction, precipitation, evaporation, crystallisation and drying </w:t>
            </w:r>
          </w:p>
          <w:p w14:paraId="2A4A612D" w14:textId="12C0C83D" w:rsidR="00814652" w:rsidRDefault="00814652" w:rsidP="00B64FE1">
            <w:r>
              <w:t>any other activity of a description which CIABATA and the Secretary of State have agreed is suitable for inclusion in the chemical sector</w:t>
            </w:r>
          </w:p>
        </w:tc>
      </w:tr>
      <w:tr w:rsidR="004B7064" w14:paraId="5CDEC54A" w14:textId="77777777" w:rsidTr="1D58E67F">
        <w:trPr>
          <w:cantSplit/>
        </w:trPr>
        <w:tc>
          <w:tcPr>
            <w:tcW w:w="998" w:type="dxa"/>
          </w:tcPr>
          <w:p w14:paraId="11AD1D52" w14:textId="77777777" w:rsidR="00814652" w:rsidRPr="004C1365" w:rsidRDefault="00814652" w:rsidP="004C1365">
            <w:pPr>
              <w:rPr>
                <w:b/>
                <w:bCs/>
              </w:rPr>
            </w:pPr>
            <w:r w:rsidRPr="004C1365">
              <w:rPr>
                <w:b/>
                <w:bCs/>
              </w:rPr>
              <w:t xml:space="preserve">CONF </w:t>
            </w:r>
          </w:p>
        </w:tc>
        <w:tc>
          <w:tcPr>
            <w:tcW w:w="1902" w:type="dxa"/>
          </w:tcPr>
          <w:p w14:paraId="7BA60984" w14:textId="22F4C945" w:rsidR="00814652" w:rsidRDefault="00814652" w:rsidP="004C1365">
            <w:r>
              <w:t xml:space="preserve">Timber Sawmilling </w:t>
            </w:r>
          </w:p>
        </w:tc>
        <w:tc>
          <w:tcPr>
            <w:tcW w:w="6729" w:type="dxa"/>
          </w:tcPr>
          <w:p w14:paraId="5C5B83BE" w14:textId="480EE4A9" w:rsidR="00814652" w:rsidRDefault="00814652" w:rsidP="004C1365">
            <w:r>
              <w:t>A facility belongs to the sawmill sector if it is a facility where</w:t>
            </w:r>
            <w:r w:rsidR="00E248B7">
              <w:t xml:space="preserve"> either</w:t>
            </w:r>
            <w:r>
              <w:t xml:space="preserve">: </w:t>
            </w:r>
          </w:p>
          <w:p w14:paraId="3DD9FE18" w14:textId="6921D64B" w:rsidR="00814652" w:rsidRDefault="00814652" w:rsidP="00B64FE1">
            <w:r>
              <w:t>an unprocessed log undergoes semi-processing (“a semi- processed log”)</w:t>
            </w:r>
            <w:r w:rsidDel="00E248B7">
              <w:t>; or</w:t>
            </w:r>
            <w:r>
              <w:t xml:space="preserve"> </w:t>
            </w:r>
          </w:p>
          <w:p w14:paraId="6EF5B209" w14:textId="3B90A341" w:rsidR="00814652" w:rsidRDefault="00814652" w:rsidP="00B64FE1">
            <w:r>
              <w:t>a semi-processed log is kiln dried, graded, planed, shaped, or chemically treated where this occurs at the same installation or site where the log underwent semi-processing</w:t>
            </w:r>
          </w:p>
          <w:p w14:paraId="62BC02DF" w14:textId="77777777" w:rsidR="00814652" w:rsidRDefault="00814652" w:rsidP="004C1365">
            <w:r>
              <w:t xml:space="preserve">“Semi-processing” means debarking and sawing an unprocessed log. </w:t>
            </w:r>
          </w:p>
          <w:p w14:paraId="29FCA8A7" w14:textId="61C70BBD" w:rsidR="00814652" w:rsidRDefault="00814652" w:rsidP="004C1365">
            <w:r>
              <w:t xml:space="preserve">“Unprocessed log” means a log from which the branches have been removed, but to which no other processing has been applied. </w:t>
            </w:r>
          </w:p>
        </w:tc>
      </w:tr>
      <w:tr w:rsidR="004B7064" w14:paraId="45F5744B" w14:textId="77777777" w:rsidTr="1D58E67F">
        <w:trPr>
          <w:cantSplit/>
        </w:trPr>
        <w:tc>
          <w:tcPr>
            <w:tcW w:w="998" w:type="dxa"/>
          </w:tcPr>
          <w:p w14:paraId="6038AC55" w14:textId="77777777" w:rsidR="00814652" w:rsidRPr="004C1365" w:rsidRDefault="00814652" w:rsidP="004C1365">
            <w:pPr>
              <w:rPr>
                <w:b/>
                <w:bCs/>
              </w:rPr>
            </w:pPr>
            <w:r w:rsidRPr="004C1365">
              <w:rPr>
                <w:b/>
                <w:bCs/>
              </w:rPr>
              <w:lastRenderedPageBreak/>
              <w:t xml:space="preserve">CPI </w:t>
            </w:r>
          </w:p>
        </w:tc>
        <w:tc>
          <w:tcPr>
            <w:tcW w:w="1902" w:type="dxa"/>
          </w:tcPr>
          <w:p w14:paraId="793816D6" w14:textId="77777777" w:rsidR="00814652" w:rsidRDefault="00814652" w:rsidP="004C1365">
            <w:r>
              <w:t xml:space="preserve">Paper </w:t>
            </w:r>
          </w:p>
        </w:tc>
        <w:tc>
          <w:tcPr>
            <w:tcW w:w="6729" w:type="dxa"/>
          </w:tcPr>
          <w:p w14:paraId="2915D768" w14:textId="3F07DD2C" w:rsidR="00814652" w:rsidRDefault="00814652" w:rsidP="004C1365">
            <w:r>
              <w:t xml:space="preserve">A facility belongs to the paper sector if it is a facility at which the primary activity is the manufacture of paper, pulp or cardboard. </w:t>
            </w:r>
          </w:p>
        </w:tc>
      </w:tr>
      <w:tr w:rsidR="004B7064" w14:paraId="772E63F2" w14:textId="77777777" w:rsidTr="1D58E67F">
        <w:trPr>
          <w:cantSplit/>
        </w:trPr>
        <w:tc>
          <w:tcPr>
            <w:tcW w:w="998" w:type="dxa"/>
          </w:tcPr>
          <w:p w14:paraId="349F834C" w14:textId="77777777" w:rsidR="00814652" w:rsidRPr="004C1365" w:rsidRDefault="00814652" w:rsidP="004C1365">
            <w:pPr>
              <w:rPr>
                <w:b/>
                <w:bCs/>
              </w:rPr>
            </w:pPr>
            <w:r w:rsidRPr="004C1365">
              <w:rPr>
                <w:b/>
                <w:bCs/>
              </w:rPr>
              <w:t xml:space="preserve">CSDF </w:t>
            </w:r>
          </w:p>
        </w:tc>
        <w:tc>
          <w:tcPr>
            <w:tcW w:w="1902" w:type="dxa"/>
          </w:tcPr>
          <w:p w14:paraId="667CCC5B" w14:textId="77777777" w:rsidR="00814652" w:rsidRDefault="00814652" w:rsidP="004C1365">
            <w:r>
              <w:t xml:space="preserve">Cold Storage </w:t>
            </w:r>
          </w:p>
        </w:tc>
        <w:tc>
          <w:tcPr>
            <w:tcW w:w="6729" w:type="dxa"/>
          </w:tcPr>
          <w:p w14:paraId="31C895FA" w14:textId="5531A1A1" w:rsidR="00814652" w:rsidRDefault="00814652" w:rsidP="004C1365">
            <w:r>
              <w:t>At an installation (which must be a building where the predominant business activity is commercial temperature controlled storage or product freezing) or site upon which there is such an installation where</w:t>
            </w:r>
            <w:r w:rsidR="00E248B7">
              <w:t xml:space="preserve"> –</w:t>
            </w:r>
            <w:r>
              <w:t xml:space="preserve"> (a) products are cooled or frozen for the purposes of</w:t>
            </w:r>
            <w:r w:rsidR="00E248B7">
              <w:t xml:space="preserve"> –</w:t>
            </w:r>
            <w:r>
              <w:t xml:space="preserve"> (</w:t>
            </w:r>
            <w:proofErr w:type="spellStart"/>
            <w:r>
              <w:t>i</w:t>
            </w:r>
            <w:proofErr w:type="spellEnd"/>
            <w:r>
              <w:t xml:space="preserve">) storing them under controlled temperatures below ambient levels; or (ii) producing ice; or (b) products are stored under controlled temperatures below ambient levels, cooling and freezing products and all processes and activities involved in controlling temperatures below ambient levels. </w:t>
            </w:r>
          </w:p>
        </w:tc>
      </w:tr>
      <w:tr w:rsidR="004B7064" w14:paraId="28BD3124" w14:textId="77777777" w:rsidTr="1D58E67F">
        <w:trPr>
          <w:cantSplit/>
        </w:trPr>
        <w:tc>
          <w:tcPr>
            <w:tcW w:w="998" w:type="dxa"/>
          </w:tcPr>
          <w:p w14:paraId="78F6DDA5" w14:textId="77777777" w:rsidR="00814652" w:rsidRPr="004C1365" w:rsidRDefault="00814652" w:rsidP="004C1365">
            <w:pPr>
              <w:rPr>
                <w:b/>
                <w:bCs/>
              </w:rPr>
            </w:pPr>
            <w:r w:rsidRPr="004C1365">
              <w:rPr>
                <w:b/>
                <w:bCs/>
              </w:rPr>
              <w:t xml:space="preserve">DATC </w:t>
            </w:r>
          </w:p>
        </w:tc>
        <w:tc>
          <w:tcPr>
            <w:tcW w:w="1902" w:type="dxa"/>
          </w:tcPr>
          <w:p w14:paraId="31A206AB" w14:textId="77777777" w:rsidR="00814652" w:rsidRDefault="00814652" w:rsidP="004C1365">
            <w:r>
              <w:t xml:space="preserve">Data Centres </w:t>
            </w:r>
          </w:p>
        </w:tc>
        <w:tc>
          <w:tcPr>
            <w:tcW w:w="6729" w:type="dxa"/>
          </w:tcPr>
          <w:p w14:paraId="176B892B" w14:textId="77777777" w:rsidR="00814652" w:rsidRDefault="00814652" w:rsidP="004C1365">
            <w:r>
              <w:t xml:space="preserve">The business activity is the leasing or licensing of a data facility which is being used as a data centre. </w:t>
            </w:r>
          </w:p>
          <w:p w14:paraId="1379F08B" w14:textId="64671555" w:rsidR="00814652" w:rsidRDefault="00814652" w:rsidP="004C1365">
            <w:r>
              <w:t>“</w:t>
            </w:r>
            <w:proofErr w:type="gramStart"/>
            <w:r w:rsidDel="00E248B7">
              <w:t>d</w:t>
            </w:r>
            <w:r>
              <w:t>ata</w:t>
            </w:r>
            <w:proofErr w:type="gramEnd"/>
            <w:r>
              <w:t xml:space="preserve"> facility” means a room, or rooms sharing the same electricity supply circuit, occupied mainly or exclusively by computer </w:t>
            </w:r>
            <w:proofErr w:type="gramStart"/>
            <w:r>
              <w:t>equipment</w:t>
            </w:r>
            <w:proofErr w:type="gramEnd"/>
            <w:r>
              <w:t xml:space="preserve"> which is enabled to transfer data electronically, and where in respect of the room or rooms</w:t>
            </w:r>
            <w:r w:rsidR="00827D03">
              <w:t xml:space="preserve">: </w:t>
            </w:r>
          </w:p>
          <w:p w14:paraId="480DC7A2" w14:textId="77777777" w:rsidR="00814652" w:rsidRDefault="00814652" w:rsidP="00B64FE1">
            <w:r>
              <w:t xml:space="preserve">the temperature and humidity </w:t>
            </w:r>
            <w:proofErr w:type="gramStart"/>
            <w:r>
              <w:t>is</w:t>
            </w:r>
            <w:proofErr w:type="gramEnd"/>
            <w:r>
              <w:t xml:space="preserve"> regulated in connection with the operation of the computer equipment</w:t>
            </w:r>
            <w:r w:rsidDel="0049576B">
              <w:t xml:space="preserve">; </w:t>
            </w:r>
          </w:p>
          <w:p w14:paraId="53B06219" w14:textId="5776EDA4" w:rsidR="00814652" w:rsidRDefault="00814652" w:rsidP="00B64FE1">
            <w:r>
              <w:t>the electricity supply is at least 200kW</w:t>
            </w:r>
            <w:r w:rsidDel="0049576B">
              <w:t>; and</w:t>
            </w:r>
            <w:r>
              <w:t xml:space="preserve"> </w:t>
            </w:r>
          </w:p>
          <w:p w14:paraId="6F0833EE" w14:textId="30B04787" w:rsidR="00814652" w:rsidRDefault="00814652" w:rsidP="00B64FE1">
            <w:r>
              <w:t>electricity is supplied by a back-up electricity supply when the mains supply is interrupted</w:t>
            </w:r>
            <w:r w:rsidDel="0049576B">
              <w:t>.</w:t>
            </w:r>
          </w:p>
        </w:tc>
      </w:tr>
      <w:tr w:rsidR="004B7064" w14:paraId="4D00612C" w14:textId="77777777" w:rsidTr="1D58E67F">
        <w:trPr>
          <w:cantSplit/>
        </w:trPr>
        <w:tc>
          <w:tcPr>
            <w:tcW w:w="998" w:type="dxa"/>
          </w:tcPr>
          <w:p w14:paraId="5BF4281D" w14:textId="77777777" w:rsidR="00814652" w:rsidRPr="004C1365" w:rsidRDefault="00814652" w:rsidP="004C1365">
            <w:pPr>
              <w:rPr>
                <w:b/>
                <w:bCs/>
              </w:rPr>
            </w:pPr>
            <w:r w:rsidRPr="004C1365">
              <w:rPr>
                <w:b/>
                <w:bCs/>
              </w:rPr>
              <w:t xml:space="preserve">DIAL </w:t>
            </w:r>
          </w:p>
        </w:tc>
        <w:tc>
          <w:tcPr>
            <w:tcW w:w="1902" w:type="dxa"/>
          </w:tcPr>
          <w:p w14:paraId="40B3D2A7" w14:textId="77777777" w:rsidR="00814652" w:rsidRDefault="00814652" w:rsidP="004C1365">
            <w:r>
              <w:t xml:space="preserve">Dairy </w:t>
            </w:r>
          </w:p>
        </w:tc>
        <w:tc>
          <w:tcPr>
            <w:tcW w:w="6729" w:type="dxa"/>
          </w:tcPr>
          <w:p w14:paraId="5248C6D3" w14:textId="04A3F8A7" w:rsidR="00814652" w:rsidRDefault="00814652" w:rsidP="004C1365">
            <w:r>
              <w:t xml:space="preserve">A facility belongs to the dairy sector if it is a facility whose activities involve the purchase of raw milk or a commodity produced from raw milk in order to convert it into liquid drinking milk, dairy products, or composite dairy products, or any other commodity of which milk is a substantial ingredient; and, in the case of organisations which purchase raw milk and for whom the processing of milk is the dominant activity, the use of similar manufacturing processes to those used to produce dairy products in respect of other food or drink products. </w:t>
            </w:r>
          </w:p>
        </w:tc>
      </w:tr>
      <w:tr w:rsidR="004B7064" w14:paraId="771E8979" w14:textId="77777777" w:rsidTr="1D58E67F">
        <w:trPr>
          <w:cantSplit/>
        </w:trPr>
        <w:tc>
          <w:tcPr>
            <w:tcW w:w="998" w:type="dxa"/>
          </w:tcPr>
          <w:p w14:paraId="6F4AAD90" w14:textId="77777777" w:rsidR="00814652" w:rsidRPr="004C1365" w:rsidRDefault="00814652" w:rsidP="004C1365">
            <w:pPr>
              <w:rPr>
                <w:b/>
                <w:bCs/>
              </w:rPr>
            </w:pPr>
            <w:r w:rsidRPr="004C1365">
              <w:rPr>
                <w:b/>
                <w:bCs/>
              </w:rPr>
              <w:t xml:space="preserve">EUR </w:t>
            </w:r>
          </w:p>
        </w:tc>
        <w:tc>
          <w:tcPr>
            <w:tcW w:w="1902" w:type="dxa"/>
          </w:tcPr>
          <w:p w14:paraId="1EF16DAB" w14:textId="77777777" w:rsidR="00814652" w:rsidRDefault="00814652" w:rsidP="004C1365">
            <w:proofErr w:type="spellStart"/>
            <w:r>
              <w:t>Eurisol</w:t>
            </w:r>
            <w:proofErr w:type="spellEnd"/>
            <w:r>
              <w:t xml:space="preserve"> / Mineral Wool </w:t>
            </w:r>
          </w:p>
        </w:tc>
        <w:tc>
          <w:tcPr>
            <w:tcW w:w="6729" w:type="dxa"/>
          </w:tcPr>
          <w:p w14:paraId="0549B12C" w14:textId="747F5E00" w:rsidR="00814652" w:rsidRDefault="00814652" w:rsidP="004C1365">
            <w:r>
              <w:t xml:space="preserve">A facility belongs to the mineral wool sector if it is a facility which produces mineral wool insulation products for thermal, acoustic and fire applications manufactured using glass or rock. </w:t>
            </w:r>
          </w:p>
        </w:tc>
      </w:tr>
      <w:tr w:rsidR="004B7064" w14:paraId="4C095B9D" w14:textId="77777777" w:rsidTr="1D58E67F">
        <w:trPr>
          <w:cantSplit/>
        </w:trPr>
        <w:tc>
          <w:tcPr>
            <w:tcW w:w="998" w:type="dxa"/>
          </w:tcPr>
          <w:p w14:paraId="5A70A58A" w14:textId="77777777" w:rsidR="00814652" w:rsidRPr="004C1365" w:rsidRDefault="00814652" w:rsidP="004C1365">
            <w:pPr>
              <w:rPr>
                <w:b/>
                <w:bCs/>
              </w:rPr>
            </w:pPr>
            <w:r w:rsidRPr="004C1365">
              <w:rPr>
                <w:b/>
                <w:bCs/>
              </w:rPr>
              <w:lastRenderedPageBreak/>
              <w:t xml:space="preserve">FDF1 </w:t>
            </w:r>
          </w:p>
        </w:tc>
        <w:tc>
          <w:tcPr>
            <w:tcW w:w="1902" w:type="dxa"/>
          </w:tcPr>
          <w:p w14:paraId="2E8B7D18" w14:textId="77777777" w:rsidR="00814652" w:rsidRDefault="00814652" w:rsidP="004C1365">
            <w:r>
              <w:t xml:space="preserve">Food and Drink </w:t>
            </w:r>
          </w:p>
        </w:tc>
        <w:tc>
          <w:tcPr>
            <w:tcW w:w="6729" w:type="dxa"/>
          </w:tcPr>
          <w:p w14:paraId="298E1D5E" w14:textId="15A545EB" w:rsidR="00814652" w:rsidRDefault="00814652" w:rsidP="004C1365">
            <w:r>
              <w:t xml:space="preserve">A facility belongs to the food and drink sector if it is a facility which treats, and processes materials intended </w:t>
            </w:r>
            <w:proofErr w:type="gramStart"/>
            <w:r>
              <w:t>for the production of</w:t>
            </w:r>
            <w:proofErr w:type="gramEnd"/>
            <w:r>
              <w:t xml:space="preserve"> food products. For this </w:t>
            </w:r>
            <w:proofErr w:type="gramStart"/>
            <w:r>
              <w:t>purpose</w:t>
            </w:r>
            <w:proofErr w:type="gramEnd"/>
            <w:r>
              <w:t xml:space="preserve"> ‘food’ includes drink, articles and substances of no nutritional value which are used for human consumption and articles and substances used as ingredients in the preparation of food. At an installation or site where refined salt for use in food products or supplements is prepared or processed from minerals. </w:t>
            </w:r>
          </w:p>
        </w:tc>
      </w:tr>
      <w:tr w:rsidR="004B7064" w14:paraId="4AB82C68" w14:textId="77777777" w:rsidTr="1D58E67F">
        <w:trPr>
          <w:cantSplit/>
        </w:trPr>
        <w:tc>
          <w:tcPr>
            <w:tcW w:w="998" w:type="dxa"/>
          </w:tcPr>
          <w:p w14:paraId="61882F60" w14:textId="77777777" w:rsidR="00814652" w:rsidRPr="004C1365" w:rsidRDefault="00814652" w:rsidP="004C1365">
            <w:pPr>
              <w:rPr>
                <w:b/>
                <w:bCs/>
              </w:rPr>
            </w:pPr>
            <w:r w:rsidRPr="004C1365">
              <w:rPr>
                <w:b/>
                <w:bCs/>
              </w:rPr>
              <w:t xml:space="preserve">FDFS </w:t>
            </w:r>
          </w:p>
        </w:tc>
        <w:tc>
          <w:tcPr>
            <w:tcW w:w="1902" w:type="dxa"/>
          </w:tcPr>
          <w:p w14:paraId="408E710F" w14:textId="77777777" w:rsidR="00814652" w:rsidRDefault="00814652" w:rsidP="004C1365">
            <w:r>
              <w:t xml:space="preserve">Supermarkets </w:t>
            </w:r>
          </w:p>
        </w:tc>
        <w:tc>
          <w:tcPr>
            <w:tcW w:w="6729" w:type="dxa"/>
          </w:tcPr>
          <w:p w14:paraId="535A4FE7" w14:textId="75EDDFC4" w:rsidR="00814652" w:rsidRDefault="00814652" w:rsidP="004C1365">
            <w:r>
              <w:t xml:space="preserve">A facility belongs to the supermarket sector if it is a facility which treats and processes materials intended </w:t>
            </w:r>
            <w:proofErr w:type="gramStart"/>
            <w:r>
              <w:t>for the production of</w:t>
            </w:r>
            <w:proofErr w:type="gramEnd"/>
            <w:r>
              <w:t xml:space="preserve"> food products in supermarket stores. </w:t>
            </w:r>
          </w:p>
        </w:tc>
      </w:tr>
      <w:tr w:rsidR="004B7064" w14:paraId="7D1F5896" w14:textId="77777777" w:rsidTr="1D58E67F">
        <w:trPr>
          <w:cantSplit/>
        </w:trPr>
        <w:tc>
          <w:tcPr>
            <w:tcW w:w="998" w:type="dxa"/>
          </w:tcPr>
          <w:p w14:paraId="22CA72CA" w14:textId="77777777" w:rsidR="00814652" w:rsidRPr="004C1365" w:rsidRDefault="00814652" w:rsidP="004C1365">
            <w:pPr>
              <w:rPr>
                <w:b/>
                <w:bCs/>
              </w:rPr>
            </w:pPr>
            <w:r w:rsidRPr="004C1365">
              <w:rPr>
                <w:b/>
                <w:bCs/>
              </w:rPr>
              <w:t xml:space="preserve">GPDA </w:t>
            </w:r>
          </w:p>
        </w:tc>
        <w:tc>
          <w:tcPr>
            <w:tcW w:w="1902" w:type="dxa"/>
          </w:tcPr>
          <w:p w14:paraId="4BA285DA" w14:textId="77777777" w:rsidR="00814652" w:rsidRDefault="00814652" w:rsidP="004C1365">
            <w:r>
              <w:t xml:space="preserve">Gypsum Products </w:t>
            </w:r>
          </w:p>
        </w:tc>
        <w:tc>
          <w:tcPr>
            <w:tcW w:w="6729" w:type="dxa"/>
          </w:tcPr>
          <w:p w14:paraId="53E7C28C" w14:textId="4F1ADC5C" w:rsidR="00814652" w:rsidRDefault="00814652" w:rsidP="004C1365">
            <w:r>
              <w:t xml:space="preserve">A facility belongs to the gypsum manufacturing sector if it is a facility that burns fuels in Part A combustion plant that is integrated into the process of manufacturing gypsum. </w:t>
            </w:r>
          </w:p>
        </w:tc>
      </w:tr>
      <w:tr w:rsidR="004B7064" w14:paraId="5EC6EADA" w14:textId="77777777" w:rsidTr="1D58E67F">
        <w:trPr>
          <w:cantSplit/>
        </w:trPr>
        <w:tc>
          <w:tcPr>
            <w:tcW w:w="998" w:type="dxa"/>
          </w:tcPr>
          <w:p w14:paraId="435F1822" w14:textId="77777777" w:rsidR="00814652" w:rsidRPr="004C1365" w:rsidRDefault="00814652" w:rsidP="004C1365">
            <w:pPr>
              <w:rPr>
                <w:b/>
                <w:bCs/>
              </w:rPr>
            </w:pPr>
            <w:r w:rsidRPr="004C1365">
              <w:rPr>
                <w:b/>
                <w:bCs/>
              </w:rPr>
              <w:t xml:space="preserve">KABC </w:t>
            </w:r>
          </w:p>
        </w:tc>
        <w:tc>
          <w:tcPr>
            <w:tcW w:w="1902" w:type="dxa"/>
          </w:tcPr>
          <w:p w14:paraId="322DB79B" w14:textId="77777777" w:rsidR="00814652" w:rsidRDefault="00814652" w:rsidP="004C1365">
            <w:r>
              <w:t xml:space="preserve">Kaolin and Ball Clay </w:t>
            </w:r>
          </w:p>
        </w:tc>
        <w:tc>
          <w:tcPr>
            <w:tcW w:w="6729" w:type="dxa"/>
          </w:tcPr>
          <w:p w14:paraId="7D2064C6" w14:textId="61CE2C62" w:rsidR="00814652" w:rsidRDefault="00814652" w:rsidP="004C1365">
            <w:r>
              <w:t xml:space="preserve">At an installation or site where kaolinitic clay in combination with any of its accessory minerals is extracted and processed: blasting and crushing, dry mining or hydraulic mining, refining, blending, drying and packaging, classifying, </w:t>
            </w:r>
            <w:proofErr w:type="spellStart"/>
            <w:r>
              <w:t>hydrocloning</w:t>
            </w:r>
            <w:proofErr w:type="spellEnd"/>
            <w:r>
              <w:t xml:space="preserve">, pumping, centrifuging, grinding, shredding, magnetic separating, bleaching, pressing, pugging, milling, micro-separating. </w:t>
            </w:r>
          </w:p>
        </w:tc>
      </w:tr>
      <w:tr w:rsidR="004B7064" w14:paraId="0468C2AF" w14:textId="77777777" w:rsidTr="1D58E67F">
        <w:trPr>
          <w:cantSplit/>
        </w:trPr>
        <w:tc>
          <w:tcPr>
            <w:tcW w:w="998" w:type="dxa"/>
          </w:tcPr>
          <w:p w14:paraId="1870287F" w14:textId="77777777" w:rsidR="00814652" w:rsidRPr="004C1365" w:rsidRDefault="00814652" w:rsidP="004C1365">
            <w:pPr>
              <w:rPr>
                <w:b/>
                <w:bCs/>
              </w:rPr>
            </w:pPr>
            <w:r w:rsidRPr="004C1365">
              <w:rPr>
                <w:b/>
                <w:bCs/>
              </w:rPr>
              <w:t xml:space="preserve">MAGB </w:t>
            </w:r>
          </w:p>
        </w:tc>
        <w:tc>
          <w:tcPr>
            <w:tcW w:w="1902" w:type="dxa"/>
          </w:tcPr>
          <w:p w14:paraId="21CE3C92" w14:textId="77777777" w:rsidR="00814652" w:rsidRDefault="00814652" w:rsidP="004C1365">
            <w:r>
              <w:t xml:space="preserve">Malting </w:t>
            </w:r>
          </w:p>
        </w:tc>
        <w:tc>
          <w:tcPr>
            <w:tcW w:w="6729" w:type="dxa"/>
          </w:tcPr>
          <w:p w14:paraId="2DFAAA6C" w14:textId="1E3E696C" w:rsidR="00814652" w:rsidRDefault="00814652" w:rsidP="004C1365">
            <w:r>
              <w:t xml:space="preserve">A facility belongs to the malting sector if it is a facility which modifies cereal grain by the process of malting for use in the production of drinks and foodstuffs and whose predominant product is malt. </w:t>
            </w:r>
          </w:p>
        </w:tc>
      </w:tr>
      <w:tr w:rsidR="00F1798C" w14:paraId="19D93E74" w14:textId="77777777" w:rsidTr="1D58E67F">
        <w:trPr>
          <w:cantSplit/>
        </w:trPr>
        <w:tc>
          <w:tcPr>
            <w:tcW w:w="998" w:type="dxa"/>
          </w:tcPr>
          <w:p w14:paraId="5151C0AB" w14:textId="32716B5A" w:rsidR="00F1798C" w:rsidRPr="004C1365" w:rsidRDefault="00F1798C" w:rsidP="004C1365">
            <w:pPr>
              <w:rPr>
                <w:b/>
                <w:bCs/>
              </w:rPr>
            </w:pPr>
            <w:r>
              <w:rPr>
                <w:b/>
                <w:bCs/>
              </w:rPr>
              <w:t>MPA</w:t>
            </w:r>
          </w:p>
        </w:tc>
        <w:tc>
          <w:tcPr>
            <w:tcW w:w="1902" w:type="dxa"/>
          </w:tcPr>
          <w:p w14:paraId="48594294" w14:textId="7A01208B" w:rsidR="00F1798C" w:rsidRDefault="00F1798C" w:rsidP="004C1365">
            <w:r>
              <w:t>Silica Sand</w:t>
            </w:r>
          </w:p>
        </w:tc>
        <w:tc>
          <w:tcPr>
            <w:tcW w:w="6729" w:type="dxa"/>
          </w:tcPr>
          <w:p w14:paraId="235BF52B" w14:textId="217215B1" w:rsidR="00F1798C" w:rsidRDefault="00F1798C" w:rsidP="004C1365">
            <w:r>
              <w:t>A facility belongs to the ceramics sector if it is a facility which manufactures ceramic products (including roofing tiles, bricks, refractory bricks, tiles, stoneware or porcelain) by firing in kilns. Or at an installation or site where silica sand in combination with any associated minerals is extracted, processed and packaged: blasting, quarrying, crushing, classifying, milling, pumping, grinding, acid leaching, drying and packaging.</w:t>
            </w:r>
          </w:p>
        </w:tc>
      </w:tr>
      <w:tr w:rsidR="004B7064" w14:paraId="0AD93BCE" w14:textId="77777777" w:rsidTr="1D58E67F">
        <w:trPr>
          <w:cantSplit/>
        </w:trPr>
        <w:tc>
          <w:tcPr>
            <w:tcW w:w="998" w:type="dxa"/>
          </w:tcPr>
          <w:p w14:paraId="4D67B209" w14:textId="77777777" w:rsidR="00814652" w:rsidRPr="004C1365" w:rsidRDefault="00814652" w:rsidP="004C1365">
            <w:pPr>
              <w:rPr>
                <w:b/>
                <w:bCs/>
              </w:rPr>
            </w:pPr>
            <w:r w:rsidRPr="004C1365">
              <w:rPr>
                <w:b/>
                <w:bCs/>
              </w:rPr>
              <w:t xml:space="preserve">MPMA </w:t>
            </w:r>
          </w:p>
        </w:tc>
        <w:tc>
          <w:tcPr>
            <w:tcW w:w="1902" w:type="dxa"/>
          </w:tcPr>
          <w:p w14:paraId="1E25F444" w14:textId="77777777" w:rsidR="00814652" w:rsidRDefault="00814652" w:rsidP="004C1365">
            <w:r>
              <w:t xml:space="preserve">Metal Packaging </w:t>
            </w:r>
          </w:p>
        </w:tc>
        <w:tc>
          <w:tcPr>
            <w:tcW w:w="6729" w:type="dxa"/>
          </w:tcPr>
          <w:p w14:paraId="14AEA413" w14:textId="13064B40" w:rsidR="00814652" w:rsidRDefault="00814652" w:rsidP="004C1365">
            <w:r>
              <w:t xml:space="preserve">A facility belongs to the metal packaging sector if it is a facility which uses organic solvents for surface treating operations (such as protection, decoration, sealing and lubrication) during the manufacture of metal packaging products. </w:t>
            </w:r>
          </w:p>
        </w:tc>
      </w:tr>
      <w:tr w:rsidR="006003E4" w14:paraId="1C4C439F" w14:textId="77777777" w:rsidTr="1D58E67F">
        <w:trPr>
          <w:cantSplit/>
        </w:trPr>
        <w:tc>
          <w:tcPr>
            <w:tcW w:w="998" w:type="dxa"/>
          </w:tcPr>
          <w:p w14:paraId="22983110" w14:textId="05E4BB07" w:rsidR="006003E4" w:rsidRPr="004C1365" w:rsidRDefault="006003E4" w:rsidP="004C1365">
            <w:pPr>
              <w:rPr>
                <w:b/>
                <w:bCs/>
              </w:rPr>
            </w:pPr>
            <w:r>
              <w:rPr>
                <w:b/>
                <w:bCs/>
              </w:rPr>
              <w:lastRenderedPageBreak/>
              <w:t>MRP</w:t>
            </w:r>
          </w:p>
        </w:tc>
        <w:tc>
          <w:tcPr>
            <w:tcW w:w="1902" w:type="dxa"/>
          </w:tcPr>
          <w:p w14:paraId="439EE9F6" w14:textId="48A560A9" w:rsidR="006003E4" w:rsidRDefault="000A2F8B" w:rsidP="004C1365">
            <w:r w:rsidRPr="000A2F8B">
              <w:t xml:space="preserve">Plastic Mechanical </w:t>
            </w:r>
            <w:r>
              <w:t>R</w:t>
            </w:r>
            <w:r w:rsidRPr="000A2F8B">
              <w:t>ecycling</w:t>
            </w:r>
          </w:p>
        </w:tc>
        <w:tc>
          <w:tcPr>
            <w:tcW w:w="6729" w:type="dxa"/>
          </w:tcPr>
          <w:p w14:paraId="42825038" w14:textId="7013FC92" w:rsidR="006003E4" w:rsidRDefault="000A2F8B" w:rsidP="004C1365">
            <w:r w:rsidRPr="000A2F8B">
              <w:t>At an installation where waste plastic products are mechanically recycled, the eligible processes are any such processes that produce plastic flakes or granulates, but only where they include sorting, label and contaminate removal, cleaning</w:t>
            </w:r>
            <w:r w:rsidRPr="000A2F8B" w:rsidDel="005D5797">
              <w:t>,</w:t>
            </w:r>
            <w:r w:rsidRPr="000A2F8B">
              <w:t xml:space="preserve"> and grinding.</w:t>
            </w:r>
          </w:p>
        </w:tc>
      </w:tr>
      <w:tr w:rsidR="004B7064" w14:paraId="48A6FE38" w14:textId="77777777" w:rsidTr="1D58E67F">
        <w:trPr>
          <w:cantSplit/>
        </w:trPr>
        <w:tc>
          <w:tcPr>
            <w:tcW w:w="998" w:type="dxa"/>
          </w:tcPr>
          <w:p w14:paraId="5D40FA04" w14:textId="77777777" w:rsidR="00814652" w:rsidRPr="004C1365" w:rsidRDefault="00814652" w:rsidP="004C1365">
            <w:pPr>
              <w:rPr>
                <w:b/>
                <w:bCs/>
              </w:rPr>
            </w:pPr>
            <w:r w:rsidRPr="004C1365">
              <w:rPr>
                <w:b/>
                <w:bCs/>
              </w:rPr>
              <w:t xml:space="preserve">NAMB </w:t>
            </w:r>
          </w:p>
        </w:tc>
        <w:tc>
          <w:tcPr>
            <w:tcW w:w="1902" w:type="dxa"/>
          </w:tcPr>
          <w:p w14:paraId="20C44FB6" w14:textId="77777777" w:rsidR="00814652" w:rsidRDefault="00814652" w:rsidP="004C1365">
            <w:r>
              <w:t xml:space="preserve">Bakers </w:t>
            </w:r>
          </w:p>
        </w:tc>
        <w:tc>
          <w:tcPr>
            <w:tcW w:w="6729" w:type="dxa"/>
          </w:tcPr>
          <w:p w14:paraId="3B65BA40" w14:textId="499C53D1" w:rsidR="00814652" w:rsidRDefault="00814652" w:rsidP="004C1365">
            <w:r>
              <w:t xml:space="preserve">A facility belongs to the craft baking sector if it is a facility that produces bread, morning goods, flour confectionery and savoury products from animal and vegetable raw materials and using traditional bakery skills, rather than ‘industrial’ type baking processes. The facility may be either a) A ‘bakery’ that serves more than one retail outlet; or b) ‘A shop’ which is a retail outlet that processes part-finished products (‘bake off’) or is a ‘scratch’ bakery that produces product for no other retail outlet. </w:t>
            </w:r>
          </w:p>
        </w:tc>
      </w:tr>
      <w:tr w:rsidR="004B7064" w14:paraId="6A741802" w14:textId="77777777" w:rsidTr="1D58E67F">
        <w:trPr>
          <w:cantSplit/>
        </w:trPr>
        <w:tc>
          <w:tcPr>
            <w:tcW w:w="998" w:type="dxa"/>
          </w:tcPr>
          <w:p w14:paraId="713DDE40" w14:textId="77777777" w:rsidR="00814652" w:rsidRPr="004C1365" w:rsidRDefault="00814652" w:rsidP="004C1365">
            <w:pPr>
              <w:rPr>
                <w:b/>
                <w:bCs/>
              </w:rPr>
            </w:pPr>
            <w:r w:rsidRPr="004C1365">
              <w:rPr>
                <w:b/>
                <w:bCs/>
              </w:rPr>
              <w:t xml:space="preserve">NFA </w:t>
            </w:r>
          </w:p>
        </w:tc>
        <w:tc>
          <w:tcPr>
            <w:tcW w:w="1902" w:type="dxa"/>
          </w:tcPr>
          <w:p w14:paraId="6D842F23" w14:textId="77777777" w:rsidR="00814652" w:rsidRDefault="00814652" w:rsidP="004C1365">
            <w:r>
              <w:t xml:space="preserve">Non-Ferrous Metals </w:t>
            </w:r>
          </w:p>
        </w:tc>
        <w:tc>
          <w:tcPr>
            <w:tcW w:w="6729" w:type="dxa"/>
          </w:tcPr>
          <w:p w14:paraId="4B0A6FE9" w14:textId="748966B9" w:rsidR="00814652" w:rsidRDefault="00814652" w:rsidP="004C1365">
            <w:r>
              <w:t xml:space="preserve">A facility belongs to the non-ferrous sector if it is a facility which produces, processes or uses non-ferrous metals, or is engaged in related manufacturing activities. </w:t>
            </w:r>
          </w:p>
        </w:tc>
      </w:tr>
      <w:tr w:rsidR="004B7064" w14:paraId="564E8D25" w14:textId="77777777" w:rsidTr="1D58E67F">
        <w:trPr>
          <w:cantSplit/>
        </w:trPr>
        <w:tc>
          <w:tcPr>
            <w:tcW w:w="998" w:type="dxa"/>
          </w:tcPr>
          <w:p w14:paraId="1934E6C4" w14:textId="77777777" w:rsidR="00814652" w:rsidRPr="004C1365" w:rsidRDefault="00814652" w:rsidP="004C1365">
            <w:pPr>
              <w:rPr>
                <w:b/>
                <w:bCs/>
              </w:rPr>
            </w:pPr>
            <w:r w:rsidRPr="004C1365">
              <w:rPr>
                <w:b/>
                <w:bCs/>
              </w:rPr>
              <w:t xml:space="preserve">NFU1 </w:t>
            </w:r>
          </w:p>
        </w:tc>
        <w:tc>
          <w:tcPr>
            <w:tcW w:w="1902" w:type="dxa"/>
          </w:tcPr>
          <w:p w14:paraId="1D85BEE1" w14:textId="77777777" w:rsidR="00814652" w:rsidRDefault="00814652" w:rsidP="004C1365">
            <w:r>
              <w:t xml:space="preserve">Pigs </w:t>
            </w:r>
          </w:p>
        </w:tc>
        <w:tc>
          <w:tcPr>
            <w:tcW w:w="6729" w:type="dxa"/>
          </w:tcPr>
          <w:p w14:paraId="0F7D55BA" w14:textId="73D50C34" w:rsidR="00814652" w:rsidRDefault="00814652" w:rsidP="004C1365">
            <w:r>
              <w:t xml:space="preserve">A facility belongs to the pig farming sector if it is a facility which is specifically used in indoor pig production. </w:t>
            </w:r>
          </w:p>
        </w:tc>
      </w:tr>
      <w:tr w:rsidR="004B7064" w14:paraId="4229913C" w14:textId="77777777" w:rsidTr="1D58E67F">
        <w:trPr>
          <w:cantSplit/>
        </w:trPr>
        <w:tc>
          <w:tcPr>
            <w:tcW w:w="998" w:type="dxa"/>
          </w:tcPr>
          <w:p w14:paraId="243317AB" w14:textId="77777777" w:rsidR="00814652" w:rsidRPr="004C1365" w:rsidRDefault="00814652" w:rsidP="004C1365">
            <w:pPr>
              <w:rPr>
                <w:b/>
                <w:bCs/>
              </w:rPr>
            </w:pPr>
            <w:r w:rsidRPr="004C1365">
              <w:rPr>
                <w:b/>
                <w:bCs/>
              </w:rPr>
              <w:t xml:space="preserve">NFU4 </w:t>
            </w:r>
          </w:p>
        </w:tc>
        <w:tc>
          <w:tcPr>
            <w:tcW w:w="1902" w:type="dxa"/>
          </w:tcPr>
          <w:p w14:paraId="571FD3C3" w14:textId="77777777" w:rsidR="00814652" w:rsidRDefault="00814652" w:rsidP="004C1365">
            <w:r>
              <w:t xml:space="preserve">Horticulture </w:t>
            </w:r>
          </w:p>
        </w:tc>
        <w:tc>
          <w:tcPr>
            <w:tcW w:w="6729" w:type="dxa"/>
          </w:tcPr>
          <w:p w14:paraId="0B2FC1C6" w14:textId="3524DD15" w:rsidR="00814652" w:rsidRDefault="00814652" w:rsidP="004C1365">
            <w:r>
              <w:t xml:space="preserve">At an installation or site where (in controlled, environment– protected structures) horticultural crops are grown, harvested and receive primary preparation for market: planting, seeding, heating, lighting, ventilating, irrigating, fertilising, cooling, preparing and sterilising growing media, grading and conveying. </w:t>
            </w:r>
          </w:p>
        </w:tc>
      </w:tr>
      <w:tr w:rsidR="004B7064" w14:paraId="04F775A8" w14:textId="77777777" w:rsidTr="1D58E67F">
        <w:trPr>
          <w:cantSplit/>
        </w:trPr>
        <w:tc>
          <w:tcPr>
            <w:tcW w:w="998" w:type="dxa"/>
          </w:tcPr>
          <w:p w14:paraId="034F0023" w14:textId="77777777" w:rsidR="00814652" w:rsidRPr="004C1365" w:rsidRDefault="00814652" w:rsidP="004C1365">
            <w:pPr>
              <w:rPr>
                <w:b/>
                <w:bCs/>
              </w:rPr>
            </w:pPr>
            <w:r w:rsidRPr="004C1365">
              <w:rPr>
                <w:b/>
                <w:bCs/>
              </w:rPr>
              <w:t xml:space="preserve">NFU5 </w:t>
            </w:r>
          </w:p>
        </w:tc>
        <w:tc>
          <w:tcPr>
            <w:tcW w:w="1902" w:type="dxa"/>
          </w:tcPr>
          <w:p w14:paraId="08C50201" w14:textId="3DD58137" w:rsidR="00814652" w:rsidRDefault="00814652" w:rsidP="004C1365">
            <w:r>
              <w:t xml:space="preserve">Eggs </w:t>
            </w:r>
            <w:r w:rsidR="00D8535E">
              <w:t>and</w:t>
            </w:r>
            <w:r>
              <w:t xml:space="preserve"> Poultry Meat </w:t>
            </w:r>
          </w:p>
        </w:tc>
        <w:tc>
          <w:tcPr>
            <w:tcW w:w="6729" w:type="dxa"/>
          </w:tcPr>
          <w:p w14:paraId="2ADD4046" w14:textId="5440C75F" w:rsidR="00814652" w:rsidRDefault="00814652" w:rsidP="004C1365">
            <w:r>
              <w:t xml:space="preserve">A facility belongs to the NFU poultry meat sector if it is a facility which is specifically used for rearing poultry </w:t>
            </w:r>
            <w:proofErr w:type="gramStart"/>
            <w:r>
              <w:t>for the production of</w:t>
            </w:r>
            <w:proofErr w:type="gramEnd"/>
            <w:r>
              <w:t xml:space="preserve"> meat. </w:t>
            </w:r>
            <w:r w:rsidDel="005D5797">
              <w:t xml:space="preserve">And/or </w:t>
            </w:r>
            <w:r>
              <w:t xml:space="preserve">A facility belongs to the egg production sector if it is a facility which is specifically used for rearing poultry </w:t>
            </w:r>
            <w:proofErr w:type="gramStart"/>
            <w:r>
              <w:t>for the production of</w:t>
            </w:r>
            <w:proofErr w:type="gramEnd"/>
            <w:r>
              <w:t xml:space="preserve"> eggs. </w:t>
            </w:r>
          </w:p>
        </w:tc>
      </w:tr>
      <w:tr w:rsidR="004B7064" w14:paraId="7A211CB4" w14:textId="77777777" w:rsidTr="1D58E67F">
        <w:trPr>
          <w:cantSplit/>
        </w:trPr>
        <w:tc>
          <w:tcPr>
            <w:tcW w:w="998" w:type="dxa"/>
          </w:tcPr>
          <w:p w14:paraId="7C3E4DD5" w14:textId="77777777" w:rsidR="00814652" w:rsidRPr="004C1365" w:rsidRDefault="00814652" w:rsidP="004C1365">
            <w:pPr>
              <w:rPr>
                <w:b/>
                <w:bCs/>
              </w:rPr>
            </w:pPr>
            <w:r w:rsidRPr="004C1365">
              <w:rPr>
                <w:b/>
                <w:bCs/>
              </w:rPr>
              <w:t xml:space="preserve">NMI </w:t>
            </w:r>
          </w:p>
        </w:tc>
        <w:tc>
          <w:tcPr>
            <w:tcW w:w="1902" w:type="dxa"/>
          </w:tcPr>
          <w:p w14:paraId="7D3CD837" w14:textId="77777777" w:rsidR="00814652" w:rsidRDefault="00814652" w:rsidP="004C1365">
            <w:r>
              <w:t xml:space="preserve">Semiconductors </w:t>
            </w:r>
          </w:p>
        </w:tc>
        <w:tc>
          <w:tcPr>
            <w:tcW w:w="6729" w:type="dxa"/>
          </w:tcPr>
          <w:p w14:paraId="003486B9" w14:textId="6C5E3B6F" w:rsidR="00814652" w:rsidRDefault="00814652" w:rsidP="004C1365">
            <w:r>
              <w:t xml:space="preserve">A facility belongs to the semiconductor sector if it is a facility which manufactures semiconductors and/or raw materials specific to the manufacture of semiconductor devices. </w:t>
            </w:r>
          </w:p>
        </w:tc>
      </w:tr>
      <w:tr w:rsidR="000A2F8B" w14:paraId="5154E765" w14:textId="77777777" w:rsidTr="1D58E67F">
        <w:trPr>
          <w:cantSplit/>
        </w:trPr>
        <w:tc>
          <w:tcPr>
            <w:tcW w:w="998" w:type="dxa"/>
          </w:tcPr>
          <w:p w14:paraId="549B8CCB" w14:textId="76CFFD54" w:rsidR="000A2F8B" w:rsidRPr="004C1365" w:rsidRDefault="000A2F8B" w:rsidP="004C1365">
            <w:pPr>
              <w:rPr>
                <w:b/>
                <w:bCs/>
              </w:rPr>
            </w:pPr>
            <w:r>
              <w:rPr>
                <w:b/>
                <w:bCs/>
              </w:rPr>
              <w:t>OFFB</w:t>
            </w:r>
          </w:p>
        </w:tc>
        <w:tc>
          <w:tcPr>
            <w:tcW w:w="1902" w:type="dxa"/>
          </w:tcPr>
          <w:p w14:paraId="6E7521CF" w14:textId="075F1CA2" w:rsidR="000A2F8B" w:rsidRDefault="00397A67" w:rsidP="004C1365">
            <w:r w:rsidRPr="00397A67">
              <w:t>Spirits – Offsite bottling</w:t>
            </w:r>
          </w:p>
        </w:tc>
        <w:tc>
          <w:tcPr>
            <w:tcW w:w="6729" w:type="dxa"/>
          </w:tcPr>
          <w:p w14:paraId="1E9EE8C7" w14:textId="59343CF0" w:rsidR="000A2F8B" w:rsidRDefault="00397A67" w:rsidP="004C1365">
            <w:r w:rsidRPr="00397A67">
              <w:t>At an installation where spirit drink is packaged into a retail container and closures are applied on packaging lines, the eligible processes are any such packaging or application taking place on those packaging lines. Packaging lines include secondary packaging processes, labelling, placement of retail containers into cases and automatised palletising operations.</w:t>
            </w:r>
          </w:p>
        </w:tc>
      </w:tr>
      <w:tr w:rsidR="004B7064" w14:paraId="74230CB3" w14:textId="77777777" w:rsidTr="1D58E67F">
        <w:trPr>
          <w:cantSplit/>
        </w:trPr>
        <w:tc>
          <w:tcPr>
            <w:tcW w:w="998" w:type="dxa"/>
          </w:tcPr>
          <w:p w14:paraId="1F83ECCA" w14:textId="77777777" w:rsidR="00814652" w:rsidRPr="004C1365" w:rsidRDefault="00814652" w:rsidP="004C1365">
            <w:pPr>
              <w:rPr>
                <w:b/>
                <w:bCs/>
              </w:rPr>
            </w:pPr>
            <w:r w:rsidRPr="004C1365">
              <w:rPr>
                <w:b/>
                <w:bCs/>
              </w:rPr>
              <w:lastRenderedPageBreak/>
              <w:t xml:space="preserve">PIFA </w:t>
            </w:r>
          </w:p>
        </w:tc>
        <w:tc>
          <w:tcPr>
            <w:tcW w:w="1902" w:type="dxa"/>
          </w:tcPr>
          <w:p w14:paraId="12840C6F" w14:textId="3F867F50" w:rsidR="00814652" w:rsidRDefault="00814652" w:rsidP="004C1365">
            <w:r>
              <w:t xml:space="preserve">Packaging </w:t>
            </w:r>
            <w:r w:rsidR="00D8535E">
              <w:t>and</w:t>
            </w:r>
            <w:r>
              <w:t xml:space="preserve"> Industrial Films </w:t>
            </w:r>
          </w:p>
        </w:tc>
        <w:tc>
          <w:tcPr>
            <w:tcW w:w="6729" w:type="dxa"/>
          </w:tcPr>
          <w:p w14:paraId="4A1A75B9" w14:textId="1609B50C" w:rsidR="00814652" w:rsidRDefault="00814652" w:rsidP="004C1365">
            <w:r>
              <w:t xml:space="preserve">An installation or site where plastic film is produced using extrusion to convert melted polymer into blown or cast film: all processes and activities involved in the production of plastic film using extrusion to convert melted polymer into blown or cast film, and which may include printing using organic solvents in the following processes; lithography, letterpress, flexography, gravure and screen printing on plastic film. </w:t>
            </w:r>
          </w:p>
        </w:tc>
      </w:tr>
      <w:tr w:rsidR="004B7064" w14:paraId="70A12B4B" w14:textId="77777777" w:rsidTr="1D58E67F">
        <w:trPr>
          <w:cantSplit/>
        </w:trPr>
        <w:tc>
          <w:tcPr>
            <w:tcW w:w="998" w:type="dxa"/>
          </w:tcPr>
          <w:p w14:paraId="652B9D02" w14:textId="77777777" w:rsidR="00E642D6" w:rsidRPr="004C1365" w:rsidRDefault="00E642D6" w:rsidP="004C1365">
            <w:pPr>
              <w:rPr>
                <w:b/>
                <w:bCs/>
              </w:rPr>
            </w:pPr>
            <w:r w:rsidRPr="004C1365">
              <w:rPr>
                <w:b/>
                <w:bCs/>
              </w:rPr>
              <w:t xml:space="preserve">SEA </w:t>
            </w:r>
          </w:p>
        </w:tc>
        <w:tc>
          <w:tcPr>
            <w:tcW w:w="1902" w:type="dxa"/>
          </w:tcPr>
          <w:p w14:paraId="2BF8EE35" w14:textId="1B4E6F1D" w:rsidR="00E642D6" w:rsidRDefault="00E642D6" w:rsidP="004C1365">
            <w:r>
              <w:t xml:space="preserve">Surface Engineering </w:t>
            </w:r>
          </w:p>
        </w:tc>
        <w:tc>
          <w:tcPr>
            <w:tcW w:w="6729" w:type="dxa"/>
          </w:tcPr>
          <w:p w14:paraId="63207E7B" w14:textId="469A2B68" w:rsidR="00E642D6" w:rsidRDefault="00E642D6" w:rsidP="004C1365">
            <w:r>
              <w:t xml:space="preserve">A facility belongs to the surface engineering sector if it is a facility which surface treats substances, objects or products using organic solvents, in particular for dressing, printing, coating, degreasing, waterproofing, sizing, painting, cleaning or impregnating or which surface treats metals and plastic materials using an electrolytic or chemical process. </w:t>
            </w:r>
          </w:p>
        </w:tc>
      </w:tr>
      <w:tr w:rsidR="004B7064" w14:paraId="028ACCAB" w14:textId="77777777" w:rsidTr="1D58E67F">
        <w:trPr>
          <w:cantSplit/>
        </w:trPr>
        <w:tc>
          <w:tcPr>
            <w:tcW w:w="998" w:type="dxa"/>
          </w:tcPr>
          <w:p w14:paraId="099AB841" w14:textId="77777777" w:rsidR="00E642D6" w:rsidRPr="004C1365" w:rsidRDefault="00E642D6" w:rsidP="004C1365">
            <w:pPr>
              <w:rPr>
                <w:b/>
                <w:bCs/>
              </w:rPr>
            </w:pPr>
            <w:r w:rsidRPr="004C1365">
              <w:rPr>
                <w:b/>
                <w:bCs/>
              </w:rPr>
              <w:t xml:space="preserve">SEEC </w:t>
            </w:r>
          </w:p>
        </w:tc>
        <w:tc>
          <w:tcPr>
            <w:tcW w:w="1902" w:type="dxa"/>
          </w:tcPr>
          <w:p w14:paraId="0F9B41E6" w14:textId="77777777" w:rsidR="00E642D6" w:rsidRDefault="00E642D6" w:rsidP="004C1365">
            <w:r>
              <w:t xml:space="preserve">Spirits </w:t>
            </w:r>
          </w:p>
        </w:tc>
        <w:tc>
          <w:tcPr>
            <w:tcW w:w="6729" w:type="dxa"/>
          </w:tcPr>
          <w:p w14:paraId="55B0CF60" w14:textId="77777777" w:rsidR="00E642D6" w:rsidRDefault="00E642D6" w:rsidP="004C1365">
            <w:r>
              <w:t xml:space="preserve">A facility belongs to the spirit drinks sector if it is a facility in the United Kingdom of Great Britain and Northern Ireland that is engaged in one or more of the following activities: </w:t>
            </w:r>
          </w:p>
          <w:p w14:paraId="7B1080B8" w14:textId="77777777" w:rsidR="00E642D6" w:rsidRDefault="00E642D6" w:rsidP="614D7086">
            <w:pPr>
              <w:pStyle w:val="ListParagraph"/>
              <w:numPr>
                <w:ilvl w:val="0"/>
                <w:numId w:val="238"/>
              </w:numPr>
            </w:pPr>
            <w:r>
              <w:t>the production and/or preparation of spirit drinks (as defined in EC Regulation 110/2008) (the ethyl alcohol, distillate or spirit of which is of agricultural origin)</w:t>
            </w:r>
            <w:r w:rsidDel="00404CFC">
              <w:t>;</w:t>
            </w:r>
            <w:r>
              <w:t xml:space="preserve"> </w:t>
            </w:r>
          </w:p>
          <w:p w14:paraId="432713CC" w14:textId="538C2C2A" w:rsidR="00E642D6" w:rsidRDefault="00E642D6" w:rsidP="614D7086">
            <w:pPr>
              <w:pStyle w:val="ListParagraph"/>
              <w:numPr>
                <w:ilvl w:val="0"/>
                <w:numId w:val="238"/>
              </w:numPr>
            </w:pPr>
            <w:r>
              <w:t>the distillation of ethyl alcohol of agricultural origin (as defined in EC Regulation 110/2008) intended for human consumption</w:t>
            </w:r>
          </w:p>
          <w:p w14:paraId="38146C48" w14:textId="51B833DB" w:rsidR="00E642D6" w:rsidRDefault="00E642D6" w:rsidP="614D7086">
            <w:pPr>
              <w:pStyle w:val="ListParagraph"/>
              <w:numPr>
                <w:ilvl w:val="0"/>
                <w:numId w:val="238"/>
              </w:numPr>
            </w:pPr>
            <w:r>
              <w:t>the production of distillate of agricultural origin (as defined in EC Regulation 110/2008) intended for human consumption; iv) the processing of by-products from a distillery which is a facility engaged in any activity covered by (</w:t>
            </w:r>
            <w:proofErr w:type="spellStart"/>
            <w:r>
              <w:t>i</w:t>
            </w:r>
            <w:proofErr w:type="spellEnd"/>
            <w:r>
              <w:t>)-(iii) above</w:t>
            </w:r>
          </w:p>
        </w:tc>
      </w:tr>
      <w:tr w:rsidR="004B7064" w14:paraId="3A102FFA" w14:textId="77777777" w:rsidTr="1D58E67F">
        <w:trPr>
          <w:cantSplit/>
        </w:trPr>
        <w:tc>
          <w:tcPr>
            <w:tcW w:w="998" w:type="dxa"/>
          </w:tcPr>
          <w:p w14:paraId="5387F74D" w14:textId="77777777" w:rsidR="00E642D6" w:rsidRPr="004C1365" w:rsidRDefault="00E642D6" w:rsidP="004C1365">
            <w:pPr>
              <w:rPr>
                <w:b/>
                <w:bCs/>
              </w:rPr>
            </w:pPr>
            <w:r w:rsidRPr="004C1365">
              <w:rPr>
                <w:b/>
                <w:bCs/>
              </w:rPr>
              <w:t xml:space="preserve">SEHT </w:t>
            </w:r>
          </w:p>
        </w:tc>
        <w:tc>
          <w:tcPr>
            <w:tcW w:w="1902" w:type="dxa"/>
          </w:tcPr>
          <w:p w14:paraId="7A2026A6" w14:textId="7EA024E2" w:rsidR="00E642D6" w:rsidRDefault="00E642D6" w:rsidP="004C1365">
            <w:r>
              <w:t xml:space="preserve">Surface Engineering Heat Treatment </w:t>
            </w:r>
          </w:p>
        </w:tc>
        <w:tc>
          <w:tcPr>
            <w:tcW w:w="6729" w:type="dxa"/>
          </w:tcPr>
          <w:p w14:paraId="0E0A3E99" w14:textId="2529227B" w:rsidR="00E642D6" w:rsidRDefault="00E642D6" w:rsidP="004C1365">
            <w:r>
              <w:t xml:space="preserve">A facility belongs to the heat treatment sector if it is a facility where pre-formed or manufactured metal components are heat- treated to facilitate their efficient formability or to enhance their service performance, all processes and activities involved in the heat treatment of pre-formed or manufactured metal components to facilitate their efficient formability to enhance their service performance. </w:t>
            </w:r>
          </w:p>
        </w:tc>
      </w:tr>
      <w:tr w:rsidR="004B7064" w14:paraId="6C935B2A" w14:textId="77777777" w:rsidTr="1D58E67F">
        <w:trPr>
          <w:cantSplit/>
        </w:trPr>
        <w:tc>
          <w:tcPr>
            <w:tcW w:w="998" w:type="dxa"/>
          </w:tcPr>
          <w:p w14:paraId="0B4583A5" w14:textId="77777777" w:rsidR="00E642D6" w:rsidRPr="004C1365" w:rsidRDefault="00E642D6" w:rsidP="004C1365">
            <w:pPr>
              <w:rPr>
                <w:b/>
                <w:bCs/>
              </w:rPr>
            </w:pPr>
            <w:r w:rsidRPr="004C1365">
              <w:rPr>
                <w:b/>
                <w:bCs/>
              </w:rPr>
              <w:t xml:space="preserve">SGS </w:t>
            </w:r>
          </w:p>
        </w:tc>
        <w:tc>
          <w:tcPr>
            <w:tcW w:w="1902" w:type="dxa"/>
          </w:tcPr>
          <w:p w14:paraId="04D7FF07" w14:textId="77777777" w:rsidR="00E642D6" w:rsidRDefault="00E642D6" w:rsidP="004C1365">
            <w:r>
              <w:t xml:space="preserve">Slag Grinding </w:t>
            </w:r>
          </w:p>
        </w:tc>
        <w:tc>
          <w:tcPr>
            <w:tcW w:w="6729" w:type="dxa"/>
          </w:tcPr>
          <w:p w14:paraId="7DBA3BC1" w14:textId="65F60D59" w:rsidR="00E642D6" w:rsidRDefault="00E642D6" w:rsidP="004C1365">
            <w:r>
              <w:t xml:space="preserve">A facility belongs to the slag grinders sector if it is a facility which grinds granulated blast furnace slag. </w:t>
            </w:r>
          </w:p>
        </w:tc>
      </w:tr>
      <w:tr w:rsidR="004B7064" w14:paraId="77BD6EC0" w14:textId="77777777" w:rsidTr="1D58E67F">
        <w:trPr>
          <w:cantSplit/>
        </w:trPr>
        <w:tc>
          <w:tcPr>
            <w:tcW w:w="998" w:type="dxa"/>
          </w:tcPr>
          <w:p w14:paraId="39D718A3" w14:textId="77777777" w:rsidR="00E642D6" w:rsidRPr="004C1365" w:rsidRDefault="00E642D6" w:rsidP="004C1365">
            <w:pPr>
              <w:rPr>
                <w:b/>
                <w:bCs/>
              </w:rPr>
            </w:pPr>
            <w:r w:rsidRPr="004C1365">
              <w:rPr>
                <w:b/>
                <w:bCs/>
              </w:rPr>
              <w:lastRenderedPageBreak/>
              <w:t xml:space="preserve">SMMT </w:t>
            </w:r>
          </w:p>
        </w:tc>
        <w:tc>
          <w:tcPr>
            <w:tcW w:w="1902" w:type="dxa"/>
          </w:tcPr>
          <w:p w14:paraId="1D535E0E" w14:textId="74F2804B" w:rsidR="00E642D6" w:rsidRDefault="00E642D6" w:rsidP="004C1365">
            <w:r>
              <w:t xml:space="preserve">Motor Manufacturing </w:t>
            </w:r>
          </w:p>
        </w:tc>
        <w:tc>
          <w:tcPr>
            <w:tcW w:w="6729" w:type="dxa"/>
          </w:tcPr>
          <w:p w14:paraId="48321687" w14:textId="77777777" w:rsidR="00E642D6" w:rsidRDefault="00E642D6" w:rsidP="004C1365">
            <w:r>
              <w:t xml:space="preserve">A facility belongs to the motor industry sector if it is a facility within the motor industry that undertakes one or more of the following activities: the casting of ferrous and non-ferrous metals in a foundry; the surface treatment of substances, objects or products using organic solvents, in particular for dressing, printing, coating degreasing, waterproofing, sizing, painting, cleaning or impregnating; the surface treating of metals and plastic materials using electrolytic or chemical process, operates as a forge, producing from a cold or heated metal work piece by a blow or series of blows a product or component with enhanced physical and or metallurgical properties, resin transfer moulding, plastic injection moulding, on-site nitrogen generation and the burning of fuels in a Part A combustion plants or if it is a facility where pre-formed or manufactured metal components are heat-treated to facilitate their formability or to enhance their service performance: the relevant processes and activities are all processes and activities involved in the heat treatment of pre-formed or manufactured metal components to facilitate their efficient formability or to enhance their service performance. </w:t>
            </w:r>
          </w:p>
          <w:p w14:paraId="10B12AA3" w14:textId="449721A5" w:rsidR="00E642D6" w:rsidRDefault="00E642D6" w:rsidP="004C1365">
            <w:r>
              <w:t xml:space="preserve">The motor industry shall mean motor vehicles, components and accessories and shall include chassis of motor vehicles, trailers, engines, vehicle bodywork, freight containers, tyres and transport service equipment, and engine components for marine craft. </w:t>
            </w:r>
          </w:p>
        </w:tc>
      </w:tr>
      <w:tr w:rsidR="004B7064" w14:paraId="7E242BC4" w14:textId="77777777" w:rsidTr="1D58E67F">
        <w:trPr>
          <w:cantSplit/>
        </w:trPr>
        <w:tc>
          <w:tcPr>
            <w:tcW w:w="998" w:type="dxa"/>
          </w:tcPr>
          <w:p w14:paraId="1CBB4F52" w14:textId="77777777" w:rsidR="00E642D6" w:rsidRPr="004C1365" w:rsidRDefault="00E642D6" w:rsidP="004C1365">
            <w:pPr>
              <w:rPr>
                <w:b/>
                <w:bCs/>
              </w:rPr>
            </w:pPr>
            <w:r w:rsidRPr="004C1365">
              <w:rPr>
                <w:b/>
                <w:bCs/>
              </w:rPr>
              <w:t xml:space="preserve">TSA </w:t>
            </w:r>
          </w:p>
        </w:tc>
        <w:tc>
          <w:tcPr>
            <w:tcW w:w="1902" w:type="dxa"/>
          </w:tcPr>
          <w:p w14:paraId="58DEC192" w14:textId="77777777" w:rsidR="00E642D6" w:rsidRDefault="00E642D6" w:rsidP="004C1365">
            <w:r>
              <w:t xml:space="preserve">Laundries </w:t>
            </w:r>
          </w:p>
        </w:tc>
        <w:tc>
          <w:tcPr>
            <w:tcW w:w="6729" w:type="dxa"/>
          </w:tcPr>
          <w:p w14:paraId="5D14B302" w14:textId="70FA3EF4" w:rsidR="00E642D6" w:rsidRDefault="00E642D6" w:rsidP="004C1365">
            <w:r>
              <w:t xml:space="preserve">At an installation or site, not being a launderette predominately offering self-service washes or predominately serving the domestic market, where textiles are laundered by washing with water, drying and smoothing except where such laundering is carried out in support of other activities carried out by the business (not being textile rental activities), whether or not such activities are carried out at the installation or site. </w:t>
            </w:r>
          </w:p>
        </w:tc>
      </w:tr>
      <w:tr w:rsidR="004B7064" w14:paraId="1E05F670" w14:textId="77777777" w:rsidTr="1D58E67F">
        <w:trPr>
          <w:cantSplit/>
        </w:trPr>
        <w:tc>
          <w:tcPr>
            <w:tcW w:w="998" w:type="dxa"/>
          </w:tcPr>
          <w:p w14:paraId="13757380" w14:textId="77777777" w:rsidR="00E642D6" w:rsidRPr="004C1365" w:rsidRDefault="00E642D6" w:rsidP="004C1365">
            <w:pPr>
              <w:rPr>
                <w:b/>
                <w:bCs/>
              </w:rPr>
            </w:pPr>
            <w:r w:rsidRPr="004C1365">
              <w:rPr>
                <w:b/>
                <w:bCs/>
              </w:rPr>
              <w:t xml:space="preserve">UKLF </w:t>
            </w:r>
          </w:p>
        </w:tc>
        <w:tc>
          <w:tcPr>
            <w:tcW w:w="1902" w:type="dxa"/>
          </w:tcPr>
          <w:p w14:paraId="1BDCA24F" w14:textId="77777777" w:rsidR="00E642D6" w:rsidRDefault="00E642D6" w:rsidP="004C1365">
            <w:r>
              <w:t xml:space="preserve">Leather </w:t>
            </w:r>
          </w:p>
        </w:tc>
        <w:tc>
          <w:tcPr>
            <w:tcW w:w="6729" w:type="dxa"/>
          </w:tcPr>
          <w:p w14:paraId="3CE0FAE5" w14:textId="3A87827E" w:rsidR="00E642D6" w:rsidRDefault="00E642D6" w:rsidP="004C1365">
            <w:r>
              <w:t xml:space="preserve">A facility belongs to the leather sector if it is a facility that processes, tans, dresses or finishes raw and part processed hides and skins to produce part processed leather intermediates or finished leather. </w:t>
            </w:r>
          </w:p>
        </w:tc>
      </w:tr>
      <w:tr w:rsidR="004B7064" w14:paraId="7E05306E" w14:textId="77777777" w:rsidTr="1D58E67F">
        <w:trPr>
          <w:cantSplit/>
        </w:trPr>
        <w:tc>
          <w:tcPr>
            <w:tcW w:w="998" w:type="dxa"/>
          </w:tcPr>
          <w:p w14:paraId="5D1AB9C6" w14:textId="77777777" w:rsidR="00E642D6" w:rsidRPr="004C1365" w:rsidRDefault="00E642D6" w:rsidP="004C1365">
            <w:pPr>
              <w:rPr>
                <w:b/>
                <w:bCs/>
              </w:rPr>
            </w:pPr>
            <w:r w:rsidRPr="004C1365">
              <w:rPr>
                <w:b/>
                <w:bCs/>
              </w:rPr>
              <w:lastRenderedPageBreak/>
              <w:t xml:space="preserve">UKRA </w:t>
            </w:r>
          </w:p>
        </w:tc>
        <w:tc>
          <w:tcPr>
            <w:tcW w:w="1902" w:type="dxa"/>
          </w:tcPr>
          <w:p w14:paraId="6555DAE9" w14:textId="77777777" w:rsidR="00E642D6" w:rsidRDefault="00E642D6" w:rsidP="004C1365">
            <w:r>
              <w:t xml:space="preserve">Rendering </w:t>
            </w:r>
          </w:p>
        </w:tc>
        <w:tc>
          <w:tcPr>
            <w:tcW w:w="6729" w:type="dxa"/>
          </w:tcPr>
          <w:p w14:paraId="2F0215A5" w14:textId="2A0CAFF7" w:rsidR="00E642D6" w:rsidRDefault="00E642D6" w:rsidP="004C1365">
            <w:r>
              <w:t xml:space="preserve">A facility belongs to the rendering sector if it is a facility which is engaged in rendering animal material not used for human consumption by utilising heat treatment to reduce moisture content and separation of animal protein from tallow by centrifuging and pressing. </w:t>
            </w:r>
          </w:p>
        </w:tc>
      </w:tr>
      <w:tr w:rsidR="004B7064" w14:paraId="7AFBDA78" w14:textId="77777777" w:rsidTr="1D58E67F">
        <w:trPr>
          <w:cantSplit/>
        </w:trPr>
        <w:tc>
          <w:tcPr>
            <w:tcW w:w="998" w:type="dxa"/>
          </w:tcPr>
          <w:p w14:paraId="6D26A83F" w14:textId="77777777" w:rsidR="00E642D6" w:rsidRPr="004C1365" w:rsidRDefault="00E642D6" w:rsidP="004C1365">
            <w:pPr>
              <w:rPr>
                <w:b/>
                <w:bCs/>
              </w:rPr>
            </w:pPr>
            <w:r w:rsidRPr="004C1365">
              <w:rPr>
                <w:b/>
                <w:bCs/>
              </w:rPr>
              <w:t xml:space="preserve">UKSA </w:t>
            </w:r>
          </w:p>
        </w:tc>
        <w:tc>
          <w:tcPr>
            <w:tcW w:w="1902" w:type="dxa"/>
          </w:tcPr>
          <w:p w14:paraId="7F1157BE" w14:textId="77777777" w:rsidR="00E642D6" w:rsidRDefault="00E642D6" w:rsidP="004C1365">
            <w:r>
              <w:t xml:space="preserve">Steel </w:t>
            </w:r>
          </w:p>
        </w:tc>
        <w:tc>
          <w:tcPr>
            <w:tcW w:w="6729" w:type="dxa"/>
          </w:tcPr>
          <w:p w14:paraId="1BBB4968" w14:textId="743B62D4" w:rsidR="00E642D6" w:rsidRDefault="00E642D6" w:rsidP="004C1365">
            <w:r>
              <w:t>A facility belongs to the steel sector if it is a facility which is used for manufacturing iron or steel products or carrying on related activities of a description agreed between the sector association and the Secretary of State. In this clause - ‘iron’ and ‘steel’ include any alloy where the iron content is at least 50% by weight; ‘iron or steel products‘ means – (</w:t>
            </w:r>
            <w:proofErr w:type="spellStart"/>
            <w:r>
              <w:t>i</w:t>
            </w:r>
            <w:proofErr w:type="spellEnd"/>
            <w:r>
              <w:t>) pig iron used for steelmaking or related purposes; (ii) steel ingots, blooms, billets and slabs; (iii) semi-finished steel for tube making; (iv) uncoated, and coated rolled products, bright steel bars, wire, tubes and pipes; (v) railway rails and accessories (including light rails), tyres, wheels, axles, rolled steel rings, wheel-pairs, steel arches and forgings; ‘manufacturing‘ means making, rolling, casting, forging, or drawing iron or steel or if it is a facility where pre- formed or manufactured metal components are heat-treated to facilitate their formability or to enhance their service performance: the relevant processes and activities are all processes and activities involved in the heat treatment of pre- formed or manufactured metal components to facilitate their efficient formability or to enhance their service performance.</w:t>
            </w:r>
          </w:p>
        </w:tc>
      </w:tr>
      <w:tr w:rsidR="004B7064" w14:paraId="6B20FD3C" w14:textId="77777777" w:rsidTr="1D58E67F">
        <w:trPr>
          <w:cantSplit/>
        </w:trPr>
        <w:tc>
          <w:tcPr>
            <w:tcW w:w="998" w:type="dxa"/>
          </w:tcPr>
          <w:p w14:paraId="30E3A4F3" w14:textId="77777777" w:rsidR="00E642D6" w:rsidRPr="004C1365" w:rsidRDefault="00E642D6" w:rsidP="004C1365">
            <w:pPr>
              <w:rPr>
                <w:b/>
                <w:bCs/>
              </w:rPr>
            </w:pPr>
            <w:r w:rsidRPr="004C1365">
              <w:rPr>
                <w:b/>
                <w:bCs/>
              </w:rPr>
              <w:t xml:space="preserve">WPIF </w:t>
            </w:r>
          </w:p>
        </w:tc>
        <w:tc>
          <w:tcPr>
            <w:tcW w:w="1902" w:type="dxa"/>
          </w:tcPr>
          <w:p w14:paraId="283BC3D0" w14:textId="77777777" w:rsidR="00E642D6" w:rsidRDefault="00E642D6" w:rsidP="004C1365">
            <w:r>
              <w:t xml:space="preserve">Wood Panels </w:t>
            </w:r>
          </w:p>
        </w:tc>
        <w:tc>
          <w:tcPr>
            <w:tcW w:w="6729" w:type="dxa"/>
          </w:tcPr>
          <w:p w14:paraId="33374A0F" w14:textId="1FA6D4F5" w:rsidR="00E642D6" w:rsidRDefault="00E642D6" w:rsidP="004C1365">
            <w:r>
              <w:t xml:space="preserve">A facility belongs to the composite wood-based boards sector if it is a facility which manufactures composite wood-based boards and products: wood particleboard, oriented strand board, wood fibreboard, plywood, cement bonded particleboard or any other composite </w:t>
            </w:r>
            <w:proofErr w:type="gramStart"/>
            <w:r>
              <w:t>wood based</w:t>
            </w:r>
            <w:proofErr w:type="gramEnd"/>
            <w:r>
              <w:t xml:space="preserve"> board. </w:t>
            </w:r>
          </w:p>
        </w:tc>
      </w:tr>
    </w:tbl>
    <w:p w14:paraId="487D1C57" w14:textId="77777777" w:rsidR="00E642D6" w:rsidRDefault="00E642D6">
      <w:pPr>
        <w:suppressAutoHyphens w:val="0"/>
        <w:spacing w:before="0" w:beforeAutospacing="0" w:after="160" w:afterAutospacing="0" w:line="256" w:lineRule="auto"/>
        <w:rPr>
          <w:color w:val="auto"/>
        </w:rPr>
      </w:pPr>
      <w:r>
        <w:rPr>
          <w:color w:val="auto"/>
        </w:rPr>
        <w:br w:type="page"/>
      </w:r>
    </w:p>
    <w:p w14:paraId="74CA1AEF" w14:textId="30BF04C6" w:rsidR="00231A37" w:rsidRPr="00231A37" w:rsidRDefault="005833E4" w:rsidP="00BD74B1">
      <w:pPr>
        <w:pStyle w:val="Heading1"/>
        <w:tabs>
          <w:tab w:val="left" w:pos="0"/>
        </w:tabs>
      </w:pPr>
      <w:bookmarkStart w:id="332" w:name="_Appendix_B:_Register"/>
      <w:bookmarkStart w:id="333" w:name="_Appendix_B:_Reporting"/>
      <w:bookmarkStart w:id="334" w:name="_Toc94718683"/>
      <w:bookmarkStart w:id="335" w:name="_Toc94088931"/>
      <w:bookmarkStart w:id="336" w:name="_Toc242885415"/>
      <w:bookmarkEnd w:id="332"/>
      <w:bookmarkEnd w:id="333"/>
      <w:r>
        <w:lastRenderedPageBreak/>
        <w:t xml:space="preserve">Appendix B: Reporting deadlines for Target Periods 7 </w:t>
      </w:r>
      <w:r w:rsidR="007C36F2">
        <w:t>to</w:t>
      </w:r>
      <w:r>
        <w:t xml:space="preserve"> 9</w:t>
      </w:r>
      <w:bookmarkEnd w:id="336"/>
    </w:p>
    <w:tbl>
      <w:tblPr>
        <w:tblW w:w="9204" w:type="dxa"/>
        <w:tblCellMar>
          <w:left w:w="0" w:type="dxa"/>
          <w:right w:w="0" w:type="dxa"/>
        </w:tblCellMar>
        <w:tblLook w:val="04A0" w:firstRow="1" w:lastRow="0" w:firstColumn="1" w:lastColumn="0" w:noHBand="0" w:noVBand="1"/>
      </w:tblPr>
      <w:tblGrid>
        <w:gridCol w:w="1691"/>
        <w:gridCol w:w="3828"/>
        <w:gridCol w:w="3685"/>
      </w:tblGrid>
      <w:tr w:rsidR="009D555A" w14:paraId="3F22F116" w14:textId="77777777" w:rsidTr="00BD74B1">
        <w:trPr>
          <w:trHeight w:val="300"/>
        </w:trPr>
        <w:tc>
          <w:tcPr>
            <w:tcW w:w="1691" w:type="dxa"/>
            <w:tcBorders>
              <w:top w:val="single" w:sz="8" w:space="0" w:color="A3A3A3"/>
              <w:left w:val="single" w:sz="8" w:space="0" w:color="A3A3A3"/>
              <w:bottom w:val="single" w:sz="8" w:space="0" w:color="A3A3A3"/>
              <w:right w:val="single" w:sz="8" w:space="0" w:color="A3A3A3"/>
            </w:tcBorders>
            <w:shd w:val="clear" w:color="auto" w:fill="FEE599"/>
            <w:tcMar>
              <w:top w:w="0" w:type="dxa"/>
              <w:left w:w="108" w:type="dxa"/>
              <w:bottom w:w="0" w:type="dxa"/>
              <w:right w:w="108" w:type="dxa"/>
            </w:tcMar>
            <w:vAlign w:val="center"/>
            <w:hideMark/>
          </w:tcPr>
          <w:p w14:paraId="483DD101" w14:textId="4F421295" w:rsidR="009D555A" w:rsidRDefault="009D555A">
            <w:pPr>
              <w:rPr>
                <w:rFonts w:eastAsiaTheme="minorHAnsi"/>
                <w:b/>
                <w:bCs/>
                <w:color w:val="auto"/>
              </w:rPr>
            </w:pPr>
            <w:r>
              <w:rPr>
                <w:b/>
                <w:bCs/>
              </w:rPr>
              <w:t>Deadline</w:t>
            </w:r>
          </w:p>
        </w:tc>
        <w:tc>
          <w:tcPr>
            <w:tcW w:w="7513" w:type="dxa"/>
            <w:gridSpan w:val="2"/>
            <w:tcBorders>
              <w:top w:val="single" w:sz="8" w:space="0" w:color="A3A3A3"/>
              <w:left w:val="nil"/>
              <w:bottom w:val="single" w:sz="8" w:space="0" w:color="A3A3A3"/>
              <w:right w:val="single" w:sz="8" w:space="0" w:color="A3A3A3"/>
            </w:tcBorders>
            <w:shd w:val="clear" w:color="auto" w:fill="FEE599"/>
            <w:tcMar>
              <w:top w:w="0" w:type="dxa"/>
              <w:left w:w="108" w:type="dxa"/>
              <w:bottom w:w="0" w:type="dxa"/>
              <w:right w:w="108" w:type="dxa"/>
            </w:tcMar>
            <w:vAlign w:val="center"/>
            <w:hideMark/>
          </w:tcPr>
          <w:p w14:paraId="0687DC7F" w14:textId="35678633" w:rsidR="009D555A" w:rsidRDefault="009D555A">
            <w:pPr>
              <w:rPr>
                <w:b/>
                <w:bCs/>
              </w:rPr>
            </w:pPr>
            <w:r>
              <w:rPr>
                <w:b/>
                <w:bCs/>
              </w:rPr>
              <w:t>Report</w:t>
            </w:r>
            <w:r w:rsidR="00231A37">
              <w:rPr>
                <w:b/>
                <w:bCs/>
              </w:rPr>
              <w:t>s</w:t>
            </w:r>
          </w:p>
        </w:tc>
      </w:tr>
      <w:tr w:rsidR="009D555A" w14:paraId="4FBCCECA" w14:textId="77777777" w:rsidTr="00BD74B1">
        <w:trPr>
          <w:trHeight w:val="300"/>
        </w:trPr>
        <w:tc>
          <w:tcPr>
            <w:tcW w:w="1691" w:type="dxa"/>
            <w:tcBorders>
              <w:top w:val="nil"/>
              <w:left w:val="single" w:sz="8" w:space="0" w:color="A3A3A3"/>
              <w:bottom w:val="single" w:sz="8" w:space="0" w:color="A3A3A3"/>
              <w:right w:val="single" w:sz="8" w:space="0" w:color="A3A3A3"/>
            </w:tcBorders>
            <w:tcMar>
              <w:top w:w="0" w:type="dxa"/>
              <w:left w:w="108" w:type="dxa"/>
              <w:bottom w:w="0" w:type="dxa"/>
              <w:right w:w="108" w:type="dxa"/>
            </w:tcMar>
            <w:vAlign w:val="center"/>
            <w:hideMark/>
          </w:tcPr>
          <w:p w14:paraId="578074E1" w14:textId="02C0107A" w:rsidR="009D555A" w:rsidRDefault="009D555A">
            <w:r>
              <w:t>1 May 2027</w:t>
            </w:r>
          </w:p>
        </w:tc>
        <w:tc>
          <w:tcPr>
            <w:tcW w:w="3828" w:type="dxa"/>
            <w:tcBorders>
              <w:top w:val="nil"/>
              <w:left w:val="nil"/>
              <w:bottom w:val="single" w:sz="8" w:space="0" w:color="A3A3A3"/>
              <w:right w:val="single" w:sz="8" w:space="0" w:color="A3A3A3"/>
            </w:tcBorders>
            <w:tcMar>
              <w:top w:w="0" w:type="dxa"/>
              <w:left w:w="108" w:type="dxa"/>
              <w:bottom w:w="0" w:type="dxa"/>
              <w:right w:w="108" w:type="dxa"/>
            </w:tcMar>
            <w:vAlign w:val="center"/>
            <w:hideMark/>
          </w:tcPr>
          <w:p w14:paraId="7610CA08" w14:textId="0AE0FD04" w:rsidR="009D555A" w:rsidRPr="007C36F2" w:rsidRDefault="009D555A">
            <w:r w:rsidRPr="00484318">
              <w:t>TP7 Final Target Period Report</w:t>
            </w:r>
          </w:p>
        </w:tc>
        <w:tc>
          <w:tcPr>
            <w:tcW w:w="3685" w:type="dxa"/>
            <w:tcBorders>
              <w:top w:val="nil"/>
              <w:left w:val="nil"/>
              <w:bottom w:val="single" w:sz="8" w:space="0" w:color="A3A3A3"/>
              <w:right w:val="single" w:sz="8" w:space="0" w:color="A3A3A3"/>
            </w:tcBorders>
            <w:tcMar>
              <w:top w:w="0" w:type="dxa"/>
              <w:left w:w="108" w:type="dxa"/>
              <w:bottom w:w="0" w:type="dxa"/>
              <w:right w:w="108" w:type="dxa"/>
            </w:tcMar>
            <w:vAlign w:val="center"/>
            <w:hideMark/>
          </w:tcPr>
          <w:p w14:paraId="7D237D21" w14:textId="71D690B2" w:rsidR="009D555A" w:rsidRPr="00484318" w:rsidRDefault="004076C9" w:rsidP="2FD6F9F9">
            <w:r w:rsidRPr="00484318">
              <w:t>Performance Report</w:t>
            </w:r>
          </w:p>
        </w:tc>
      </w:tr>
      <w:tr w:rsidR="009D555A" w14:paraId="12C1E860" w14:textId="77777777" w:rsidTr="00BD74B1">
        <w:trPr>
          <w:trHeight w:val="300"/>
        </w:trPr>
        <w:tc>
          <w:tcPr>
            <w:tcW w:w="1691" w:type="dxa"/>
            <w:tcBorders>
              <w:top w:val="nil"/>
              <w:left w:val="single" w:sz="8" w:space="0" w:color="A3A3A3"/>
              <w:bottom w:val="single" w:sz="8" w:space="0" w:color="A3A3A3"/>
              <w:right w:val="single" w:sz="8" w:space="0" w:color="A3A3A3"/>
            </w:tcBorders>
            <w:tcMar>
              <w:top w:w="0" w:type="dxa"/>
              <w:left w:w="108" w:type="dxa"/>
              <w:bottom w:w="0" w:type="dxa"/>
              <w:right w:w="108" w:type="dxa"/>
            </w:tcMar>
            <w:vAlign w:val="center"/>
            <w:hideMark/>
          </w:tcPr>
          <w:p w14:paraId="19560E07" w14:textId="2847EC30" w:rsidR="009D555A" w:rsidRDefault="009D555A">
            <w:r>
              <w:t>1 May 2028</w:t>
            </w:r>
          </w:p>
        </w:tc>
        <w:tc>
          <w:tcPr>
            <w:tcW w:w="3828" w:type="dxa"/>
            <w:tcBorders>
              <w:top w:val="nil"/>
              <w:left w:val="nil"/>
              <w:bottom w:val="single" w:sz="8" w:space="0" w:color="A3A3A3"/>
              <w:right w:val="single" w:sz="8" w:space="0" w:color="A3A3A3"/>
            </w:tcBorders>
            <w:tcMar>
              <w:top w:w="0" w:type="dxa"/>
              <w:left w:w="108" w:type="dxa"/>
              <w:bottom w:w="0" w:type="dxa"/>
              <w:right w:w="108" w:type="dxa"/>
            </w:tcMar>
            <w:vAlign w:val="center"/>
            <w:hideMark/>
          </w:tcPr>
          <w:p w14:paraId="1564D293" w14:textId="57BA2418" w:rsidR="009D555A" w:rsidRPr="007C36F2" w:rsidRDefault="009D555A">
            <w:r>
              <w:t>TP8 Interim Target Period Report</w:t>
            </w:r>
          </w:p>
        </w:tc>
        <w:tc>
          <w:tcPr>
            <w:tcW w:w="3685" w:type="dxa"/>
            <w:tcBorders>
              <w:top w:val="nil"/>
              <w:left w:val="nil"/>
              <w:bottom w:val="single" w:sz="8" w:space="0" w:color="A3A3A3"/>
              <w:right w:val="single" w:sz="8" w:space="0" w:color="A3A3A3"/>
            </w:tcBorders>
            <w:tcMar>
              <w:top w:w="0" w:type="dxa"/>
              <w:left w:w="108" w:type="dxa"/>
              <w:bottom w:w="0" w:type="dxa"/>
              <w:right w:w="108" w:type="dxa"/>
            </w:tcMar>
            <w:hideMark/>
          </w:tcPr>
          <w:p w14:paraId="57EF1570" w14:textId="3FBE7F99" w:rsidR="009D555A" w:rsidRPr="007C36F2" w:rsidRDefault="004076C9">
            <w:r>
              <w:t>Performance Report</w:t>
            </w:r>
          </w:p>
        </w:tc>
      </w:tr>
      <w:tr w:rsidR="009D555A" w14:paraId="19182ABE" w14:textId="77777777" w:rsidTr="00BD74B1">
        <w:trPr>
          <w:trHeight w:val="300"/>
        </w:trPr>
        <w:tc>
          <w:tcPr>
            <w:tcW w:w="1691" w:type="dxa"/>
            <w:tcBorders>
              <w:top w:val="nil"/>
              <w:left w:val="single" w:sz="8" w:space="0" w:color="A3A3A3"/>
              <w:bottom w:val="single" w:sz="8" w:space="0" w:color="A3A3A3"/>
              <w:right w:val="single" w:sz="8" w:space="0" w:color="A3A3A3"/>
            </w:tcBorders>
            <w:tcMar>
              <w:top w:w="0" w:type="dxa"/>
              <w:left w:w="108" w:type="dxa"/>
              <w:bottom w:w="0" w:type="dxa"/>
              <w:right w:w="108" w:type="dxa"/>
            </w:tcMar>
            <w:vAlign w:val="center"/>
            <w:hideMark/>
          </w:tcPr>
          <w:p w14:paraId="33FC58CF" w14:textId="706C63B2" w:rsidR="009D555A" w:rsidRDefault="009D555A">
            <w:r>
              <w:t>1 May 2029</w:t>
            </w:r>
          </w:p>
        </w:tc>
        <w:tc>
          <w:tcPr>
            <w:tcW w:w="3828" w:type="dxa"/>
            <w:tcBorders>
              <w:top w:val="nil"/>
              <w:left w:val="nil"/>
              <w:bottom w:val="single" w:sz="8" w:space="0" w:color="A3A3A3"/>
              <w:right w:val="single" w:sz="8" w:space="0" w:color="A3A3A3"/>
            </w:tcBorders>
            <w:tcMar>
              <w:top w:w="0" w:type="dxa"/>
              <w:left w:w="108" w:type="dxa"/>
              <w:bottom w:w="0" w:type="dxa"/>
              <w:right w:w="108" w:type="dxa"/>
            </w:tcMar>
            <w:vAlign w:val="center"/>
            <w:hideMark/>
          </w:tcPr>
          <w:p w14:paraId="72E7BDEF" w14:textId="1F355CF2" w:rsidR="009D555A" w:rsidRPr="007C36F2" w:rsidRDefault="009D555A">
            <w:r>
              <w:t>TP8 Final Target Period Report</w:t>
            </w:r>
          </w:p>
        </w:tc>
        <w:tc>
          <w:tcPr>
            <w:tcW w:w="3685" w:type="dxa"/>
            <w:tcBorders>
              <w:top w:val="nil"/>
              <w:left w:val="nil"/>
              <w:bottom w:val="single" w:sz="8" w:space="0" w:color="A3A3A3"/>
              <w:right w:val="single" w:sz="8" w:space="0" w:color="A3A3A3"/>
            </w:tcBorders>
            <w:tcMar>
              <w:top w:w="0" w:type="dxa"/>
              <w:left w:w="108" w:type="dxa"/>
              <w:bottom w:w="0" w:type="dxa"/>
              <w:right w:w="108" w:type="dxa"/>
            </w:tcMar>
            <w:hideMark/>
          </w:tcPr>
          <w:p w14:paraId="3F6E77A1" w14:textId="6245A8F8" w:rsidR="009D555A" w:rsidRPr="007C36F2" w:rsidRDefault="004076C9">
            <w:r>
              <w:t>Performance Report</w:t>
            </w:r>
          </w:p>
        </w:tc>
      </w:tr>
      <w:tr w:rsidR="009D555A" w14:paraId="614A5B77" w14:textId="77777777" w:rsidTr="00BD74B1">
        <w:trPr>
          <w:trHeight w:val="300"/>
        </w:trPr>
        <w:tc>
          <w:tcPr>
            <w:tcW w:w="1691" w:type="dxa"/>
            <w:tcBorders>
              <w:top w:val="nil"/>
              <w:left w:val="single" w:sz="8" w:space="0" w:color="A3A3A3"/>
              <w:bottom w:val="single" w:sz="8" w:space="0" w:color="A3A3A3"/>
              <w:right w:val="single" w:sz="8" w:space="0" w:color="A3A3A3"/>
            </w:tcBorders>
            <w:tcMar>
              <w:top w:w="0" w:type="dxa"/>
              <w:left w:w="108" w:type="dxa"/>
              <w:bottom w:w="0" w:type="dxa"/>
              <w:right w:w="108" w:type="dxa"/>
            </w:tcMar>
            <w:vAlign w:val="center"/>
            <w:hideMark/>
          </w:tcPr>
          <w:p w14:paraId="4F2C7923" w14:textId="7AF6615B" w:rsidR="009D555A" w:rsidRDefault="009D555A">
            <w:r>
              <w:t>1 May 2030</w:t>
            </w:r>
          </w:p>
        </w:tc>
        <w:tc>
          <w:tcPr>
            <w:tcW w:w="3828" w:type="dxa"/>
            <w:tcBorders>
              <w:top w:val="nil"/>
              <w:left w:val="nil"/>
              <w:bottom w:val="single" w:sz="8" w:space="0" w:color="A3A3A3"/>
              <w:right w:val="single" w:sz="8" w:space="0" w:color="A3A3A3"/>
            </w:tcBorders>
            <w:tcMar>
              <w:top w:w="0" w:type="dxa"/>
              <w:left w:w="108" w:type="dxa"/>
              <w:bottom w:w="0" w:type="dxa"/>
              <w:right w:w="108" w:type="dxa"/>
            </w:tcMar>
            <w:vAlign w:val="center"/>
            <w:hideMark/>
          </w:tcPr>
          <w:p w14:paraId="783023CE" w14:textId="30329C2F" w:rsidR="009D555A" w:rsidRPr="007C36F2" w:rsidRDefault="009D555A">
            <w:r>
              <w:t>TP</w:t>
            </w:r>
            <w:r w:rsidR="0060724B">
              <w:t>9</w:t>
            </w:r>
            <w:r>
              <w:t xml:space="preserve"> Interim Target Period Report</w:t>
            </w:r>
          </w:p>
        </w:tc>
        <w:tc>
          <w:tcPr>
            <w:tcW w:w="3685" w:type="dxa"/>
            <w:tcBorders>
              <w:top w:val="nil"/>
              <w:left w:val="nil"/>
              <w:bottom w:val="single" w:sz="8" w:space="0" w:color="A3A3A3"/>
              <w:right w:val="single" w:sz="8" w:space="0" w:color="A3A3A3"/>
            </w:tcBorders>
            <w:tcMar>
              <w:top w:w="0" w:type="dxa"/>
              <w:left w:w="108" w:type="dxa"/>
              <w:bottom w:w="0" w:type="dxa"/>
              <w:right w:w="108" w:type="dxa"/>
            </w:tcMar>
            <w:hideMark/>
          </w:tcPr>
          <w:p w14:paraId="69DA8BD9" w14:textId="2528217A" w:rsidR="009D555A" w:rsidRPr="007C36F2" w:rsidRDefault="004076C9">
            <w:r>
              <w:t>Performance Report</w:t>
            </w:r>
          </w:p>
        </w:tc>
      </w:tr>
      <w:tr w:rsidR="0060724B" w14:paraId="30289BEC" w14:textId="77777777" w:rsidTr="00BD74B1">
        <w:trPr>
          <w:trHeight w:val="300"/>
        </w:trPr>
        <w:tc>
          <w:tcPr>
            <w:tcW w:w="1691" w:type="dxa"/>
            <w:tcBorders>
              <w:top w:val="nil"/>
              <w:left w:val="single" w:sz="8" w:space="0" w:color="A3A3A3"/>
              <w:bottom w:val="single" w:sz="8" w:space="0" w:color="A3A3A3"/>
              <w:right w:val="single" w:sz="8" w:space="0" w:color="A3A3A3"/>
            </w:tcBorders>
            <w:tcMar>
              <w:top w:w="0" w:type="dxa"/>
              <w:left w:w="108" w:type="dxa"/>
              <w:bottom w:w="0" w:type="dxa"/>
              <w:right w:w="108" w:type="dxa"/>
            </w:tcMar>
            <w:vAlign w:val="center"/>
            <w:hideMark/>
          </w:tcPr>
          <w:p w14:paraId="7CA3C81C" w14:textId="2C48F6EF" w:rsidR="0060724B" w:rsidRDefault="0060724B" w:rsidP="0060724B">
            <w:r>
              <w:t>1 May 2031</w:t>
            </w:r>
          </w:p>
        </w:tc>
        <w:tc>
          <w:tcPr>
            <w:tcW w:w="3828" w:type="dxa"/>
            <w:tcBorders>
              <w:top w:val="nil"/>
              <w:left w:val="nil"/>
              <w:bottom w:val="single" w:sz="8" w:space="0" w:color="A3A3A3"/>
              <w:right w:val="single" w:sz="8" w:space="0" w:color="A3A3A3"/>
            </w:tcBorders>
            <w:tcMar>
              <w:top w:w="0" w:type="dxa"/>
              <w:left w:w="108" w:type="dxa"/>
              <w:bottom w:w="0" w:type="dxa"/>
              <w:right w:w="108" w:type="dxa"/>
            </w:tcMar>
            <w:vAlign w:val="center"/>
            <w:hideMark/>
          </w:tcPr>
          <w:p w14:paraId="3240C745" w14:textId="71DF5B0B" w:rsidR="0060724B" w:rsidRPr="007C36F2" w:rsidRDefault="0060724B" w:rsidP="0060724B">
            <w:r>
              <w:t>TP9 Final Target Period Report</w:t>
            </w:r>
          </w:p>
        </w:tc>
        <w:tc>
          <w:tcPr>
            <w:tcW w:w="3685" w:type="dxa"/>
            <w:tcBorders>
              <w:top w:val="nil"/>
              <w:left w:val="nil"/>
              <w:bottom w:val="single" w:sz="8" w:space="0" w:color="A3A3A3"/>
              <w:right w:val="single" w:sz="8" w:space="0" w:color="A3A3A3"/>
            </w:tcBorders>
            <w:tcMar>
              <w:top w:w="0" w:type="dxa"/>
              <w:left w:w="108" w:type="dxa"/>
              <w:bottom w:w="0" w:type="dxa"/>
              <w:right w:w="108" w:type="dxa"/>
            </w:tcMar>
            <w:hideMark/>
          </w:tcPr>
          <w:p w14:paraId="7A296786" w14:textId="7A53FC9D" w:rsidR="0060724B" w:rsidRPr="007C36F2" w:rsidRDefault="004076C9" w:rsidP="0060724B">
            <w:r>
              <w:t>Performance Report</w:t>
            </w:r>
          </w:p>
        </w:tc>
      </w:tr>
    </w:tbl>
    <w:p w14:paraId="42ED9FDF" w14:textId="77777777" w:rsidR="00E124D9" w:rsidRDefault="00E124D9" w:rsidP="614D7086"/>
    <w:p w14:paraId="680857D5" w14:textId="3F127A61" w:rsidR="492BF4CB" w:rsidRDefault="00FB2492" w:rsidP="00942B69">
      <w:pPr>
        <w:pStyle w:val="Heading1"/>
        <w:tabs>
          <w:tab w:val="left" w:pos="0"/>
        </w:tabs>
      </w:pPr>
      <w:bookmarkStart w:id="337" w:name="_Toc242885416"/>
      <w:r>
        <w:t>Appendix C: Summary of changes in the new CCA scheme</w:t>
      </w:r>
      <w:bookmarkEnd w:id="337"/>
      <w:r>
        <w:t xml:space="preserve"> </w:t>
      </w:r>
    </w:p>
    <w:p w14:paraId="6F855495" w14:textId="4068BE80" w:rsidR="00461AAB" w:rsidRDefault="00461AAB" w:rsidP="00461AAB">
      <w:r>
        <w:t>The new CCA scheme</w:t>
      </w:r>
      <w:r w:rsidRPr="00461AAB">
        <w:t xml:space="preserve"> </w:t>
      </w:r>
      <w:r>
        <w:t>started in January 2026 and includes the following Target Periods (TP):</w:t>
      </w:r>
    </w:p>
    <w:p w14:paraId="3D7C95AE" w14:textId="407A728C" w:rsidR="00461AAB" w:rsidRDefault="00461AAB" w:rsidP="00461AAB">
      <w:pPr>
        <w:pStyle w:val="ListParagraph"/>
        <w:numPr>
          <w:ilvl w:val="0"/>
          <w:numId w:val="218"/>
        </w:numPr>
      </w:pPr>
      <w:r>
        <w:t xml:space="preserve">TP7: </w:t>
      </w:r>
      <w:r w:rsidR="007C36F2">
        <w:t xml:space="preserve">1 January </w:t>
      </w:r>
      <w:r>
        <w:t xml:space="preserve">2026 </w:t>
      </w:r>
      <w:r w:rsidR="007C36F2">
        <w:t>to</w:t>
      </w:r>
      <w:r>
        <w:t xml:space="preserve"> </w:t>
      </w:r>
      <w:r w:rsidDel="007C36F2">
        <w:t>31</w:t>
      </w:r>
      <w:r w:rsidR="007C36F2">
        <w:t xml:space="preserve"> December </w:t>
      </w:r>
      <w:r>
        <w:t>2026</w:t>
      </w:r>
    </w:p>
    <w:p w14:paraId="5728FDE1" w14:textId="322C14DF" w:rsidR="00461AAB" w:rsidRDefault="00461AAB" w:rsidP="00461AAB">
      <w:pPr>
        <w:pStyle w:val="ListParagraph"/>
        <w:numPr>
          <w:ilvl w:val="0"/>
          <w:numId w:val="218"/>
        </w:numPr>
      </w:pPr>
      <w:r>
        <w:t xml:space="preserve">TP8: </w:t>
      </w:r>
      <w:r w:rsidR="007C36F2">
        <w:t xml:space="preserve">1 January </w:t>
      </w:r>
      <w:r>
        <w:t xml:space="preserve">2027 </w:t>
      </w:r>
      <w:r w:rsidR="007C36F2">
        <w:t>to</w:t>
      </w:r>
      <w:r>
        <w:t xml:space="preserve"> </w:t>
      </w:r>
      <w:r w:rsidDel="007C36F2">
        <w:t>31</w:t>
      </w:r>
      <w:r w:rsidR="007C36F2">
        <w:t xml:space="preserve"> December </w:t>
      </w:r>
      <w:r>
        <w:t>2028</w:t>
      </w:r>
    </w:p>
    <w:p w14:paraId="0D38533F" w14:textId="72F45B7D" w:rsidR="00461AAB" w:rsidRDefault="00461AAB" w:rsidP="00461AAB">
      <w:pPr>
        <w:pStyle w:val="ListParagraph"/>
        <w:numPr>
          <w:ilvl w:val="0"/>
          <w:numId w:val="218"/>
        </w:numPr>
      </w:pPr>
      <w:r>
        <w:t xml:space="preserve">TP9: </w:t>
      </w:r>
      <w:r w:rsidR="007C36F2">
        <w:t xml:space="preserve">1 January </w:t>
      </w:r>
      <w:r>
        <w:t xml:space="preserve">2029 </w:t>
      </w:r>
      <w:r w:rsidR="007C36F2">
        <w:t>to</w:t>
      </w:r>
      <w:r>
        <w:t xml:space="preserve"> </w:t>
      </w:r>
      <w:r w:rsidDel="007C36F2">
        <w:t>31</w:t>
      </w:r>
      <w:r w:rsidR="007C36F2">
        <w:t xml:space="preserve"> December </w:t>
      </w:r>
      <w:r>
        <w:t>2030</w:t>
      </w:r>
    </w:p>
    <w:p w14:paraId="4B69EA30" w14:textId="749742E8" w:rsidR="00461AAB" w:rsidRDefault="00461AAB" w:rsidP="00461AAB">
      <w:r>
        <w:t>The certification periods (CP) for the new scheme are:</w:t>
      </w:r>
    </w:p>
    <w:p w14:paraId="3C0CC9B3" w14:textId="63E58563" w:rsidR="00461AAB" w:rsidRDefault="00461AAB" w:rsidP="00942B69">
      <w:pPr>
        <w:pStyle w:val="ListParagraph"/>
        <w:numPr>
          <w:ilvl w:val="0"/>
          <w:numId w:val="219"/>
        </w:numPr>
      </w:pPr>
      <w:r>
        <w:t xml:space="preserve">CP8: </w:t>
      </w:r>
      <w:r w:rsidR="007C36F2">
        <w:t xml:space="preserve">1 January </w:t>
      </w:r>
      <w:r>
        <w:t xml:space="preserve">2027 </w:t>
      </w:r>
      <w:r w:rsidR="007C36F2">
        <w:t>to</w:t>
      </w:r>
      <w:r>
        <w:t xml:space="preserve"> </w:t>
      </w:r>
      <w:r w:rsidR="007C36F2">
        <w:t xml:space="preserve">30 December </w:t>
      </w:r>
      <w:r>
        <w:t>2029</w:t>
      </w:r>
    </w:p>
    <w:p w14:paraId="51A2A547" w14:textId="43C962A1" w:rsidR="00461AAB" w:rsidRDefault="00461AAB" w:rsidP="00942B69">
      <w:pPr>
        <w:pStyle w:val="ListParagraph"/>
        <w:numPr>
          <w:ilvl w:val="0"/>
          <w:numId w:val="219"/>
        </w:numPr>
      </w:pPr>
      <w:r>
        <w:t xml:space="preserve">CP9: </w:t>
      </w:r>
      <w:r w:rsidR="007C36F2">
        <w:t xml:space="preserve">1 January </w:t>
      </w:r>
      <w:r>
        <w:t xml:space="preserve">2029 </w:t>
      </w:r>
      <w:r w:rsidR="007C36F2">
        <w:t>to</w:t>
      </w:r>
      <w:r>
        <w:t xml:space="preserve"> </w:t>
      </w:r>
      <w:r w:rsidR="007C36F2">
        <w:t xml:space="preserve">30 December </w:t>
      </w:r>
      <w:r>
        <w:t>2031</w:t>
      </w:r>
    </w:p>
    <w:p w14:paraId="762D2F94" w14:textId="453330ED" w:rsidR="00461AAB" w:rsidRDefault="00461AAB" w:rsidP="00942B69">
      <w:pPr>
        <w:pStyle w:val="ListParagraph"/>
        <w:numPr>
          <w:ilvl w:val="0"/>
          <w:numId w:val="219"/>
        </w:numPr>
      </w:pPr>
      <w:r>
        <w:t>CP10:</w:t>
      </w:r>
      <w:r>
        <w:tab/>
      </w:r>
      <w:r w:rsidR="007C36F2">
        <w:t xml:space="preserve">1 January </w:t>
      </w:r>
      <w:r>
        <w:t xml:space="preserve">2031 </w:t>
      </w:r>
      <w:r w:rsidR="007C36F2">
        <w:t>to</w:t>
      </w:r>
      <w:r>
        <w:t xml:space="preserve"> </w:t>
      </w:r>
      <w:r w:rsidR="007C36F2">
        <w:t xml:space="preserve">31 March </w:t>
      </w:r>
      <w:r>
        <w:t>2033</w:t>
      </w:r>
    </w:p>
    <w:p w14:paraId="1C1279CF" w14:textId="22967450" w:rsidR="006A49F7" w:rsidRDefault="00874FB4" w:rsidP="006A49F7">
      <w:r>
        <w:t>The main changes in the new scheme include</w:t>
      </w:r>
      <w:r w:rsidR="00C70FDD">
        <w:t>:</w:t>
      </w:r>
    </w:p>
    <w:p w14:paraId="1A2C6C9D" w14:textId="65B12CBA" w:rsidR="00C70FDD" w:rsidRDefault="007028D4" w:rsidP="00C70FDD">
      <w:pPr>
        <w:pStyle w:val="ListParagraph"/>
        <w:numPr>
          <w:ilvl w:val="0"/>
          <w:numId w:val="217"/>
        </w:numPr>
      </w:pPr>
      <w:r>
        <w:t>Targets</w:t>
      </w:r>
      <w:r w:rsidR="00E124D9">
        <w:t xml:space="preserve"> previously</w:t>
      </w:r>
      <w:r>
        <w:t xml:space="preserve"> set at a target unit level have been replaced with </w:t>
      </w:r>
      <w:r w:rsidR="00C70FDD">
        <w:t>facilit</w:t>
      </w:r>
      <w:r>
        <w:t>y level</w:t>
      </w:r>
      <w:r w:rsidR="006A49F7">
        <w:t xml:space="preserve"> targets</w:t>
      </w:r>
      <w:r w:rsidR="00C70FDD">
        <w:t>. Agreements may still contain multiple facilities</w:t>
      </w:r>
      <w:r>
        <w:t xml:space="preserve">. </w:t>
      </w:r>
      <w:r w:rsidR="00BB6E72">
        <w:t xml:space="preserve">Target Period </w:t>
      </w:r>
      <w:r w:rsidR="005B5A74">
        <w:t>Reports</w:t>
      </w:r>
      <w:r w:rsidR="00BB6E72">
        <w:t xml:space="preserve"> and Performance Reports</w:t>
      </w:r>
      <w:r w:rsidR="005B5A74">
        <w:t xml:space="preserve"> must be submitted for each facility within an agreement.</w:t>
      </w:r>
      <w:r w:rsidR="00C70FDD">
        <w:t xml:space="preserve"> As performance is measured </w:t>
      </w:r>
      <w:r w:rsidR="0049120C">
        <w:t>at</w:t>
      </w:r>
      <w:r w:rsidR="00C70FDD">
        <w:t xml:space="preserve"> facility level, any surplus o</w:t>
      </w:r>
      <w:r w:rsidR="00143EB5">
        <w:t xml:space="preserve">r </w:t>
      </w:r>
      <w:r w:rsidR="00C70FDD">
        <w:t>buy-out fee will be calculated for each facility</w:t>
      </w:r>
      <w:r w:rsidR="00BB6E72">
        <w:t xml:space="preserve"> separately</w:t>
      </w:r>
      <w:r w:rsidR="00A2403D">
        <w:t>.</w:t>
      </w:r>
      <w:r w:rsidR="002D5AAB">
        <w:t xml:space="preserve"> </w:t>
      </w:r>
      <w:r w:rsidR="00A2403D">
        <w:t>Surplus cannot be transferred between facilities</w:t>
      </w:r>
      <w:r w:rsidR="00C70FDD">
        <w:t>.</w:t>
      </w:r>
      <w:r w:rsidR="00BB0C7A">
        <w:t xml:space="preserve"> </w:t>
      </w:r>
    </w:p>
    <w:p w14:paraId="31586744" w14:textId="1D964885" w:rsidR="00182BD7" w:rsidRDefault="005B5A74" w:rsidP="00182BD7">
      <w:pPr>
        <w:pStyle w:val="ListParagraph"/>
        <w:numPr>
          <w:ilvl w:val="0"/>
          <w:numId w:val="217"/>
        </w:numPr>
      </w:pPr>
      <w:r>
        <w:t xml:space="preserve">A </w:t>
      </w:r>
      <w:r w:rsidR="00961BEF">
        <w:t xml:space="preserve">new </w:t>
      </w:r>
      <w:r w:rsidR="006A49F7">
        <w:t xml:space="preserve">single adapted </w:t>
      </w:r>
      <w:proofErr w:type="spellStart"/>
      <w:r w:rsidR="006A49F7">
        <w:t>novem</w:t>
      </w:r>
      <w:proofErr w:type="spellEnd"/>
      <w:r w:rsidR="006A49F7">
        <w:t xml:space="preserve"> </w:t>
      </w:r>
      <w:r w:rsidR="00C70FDD">
        <w:t xml:space="preserve">energy or carbon </w:t>
      </w:r>
      <w:r w:rsidR="006A49F7">
        <w:t>target</w:t>
      </w:r>
      <w:r>
        <w:t xml:space="preserve"> has been introduced to replace </w:t>
      </w:r>
      <w:r w:rsidR="002476AA">
        <w:t xml:space="preserve">the previous target </w:t>
      </w:r>
      <w:r w:rsidR="00E124D9">
        <w:t>types (</w:t>
      </w:r>
      <w:r w:rsidR="00961BEF">
        <w:t xml:space="preserve">absolute, relative or </w:t>
      </w:r>
      <w:proofErr w:type="spellStart"/>
      <w:r w:rsidR="00961BEF">
        <w:t>novem</w:t>
      </w:r>
      <w:proofErr w:type="spellEnd"/>
      <w:r w:rsidR="00961BEF">
        <w:t xml:space="preserve">). The adapted </w:t>
      </w:r>
      <w:proofErr w:type="spellStart"/>
      <w:r w:rsidR="00961BEF">
        <w:t>novem</w:t>
      </w:r>
      <w:proofErr w:type="spellEnd"/>
      <w:r w:rsidR="00961BEF">
        <w:t xml:space="preserve"> target is based on fixed and/or variable energy consumption.</w:t>
      </w:r>
    </w:p>
    <w:p w14:paraId="316C1DD6" w14:textId="3F930B5F" w:rsidR="00BB0C7A" w:rsidRPr="00BB0C7A" w:rsidRDefault="00182BD7" w:rsidP="00BB0C7A">
      <w:pPr>
        <w:pStyle w:val="ListParagraph"/>
        <w:numPr>
          <w:ilvl w:val="0"/>
          <w:numId w:val="217"/>
        </w:numPr>
      </w:pPr>
      <w:r>
        <w:t xml:space="preserve">The standard base year for </w:t>
      </w:r>
      <w:r w:rsidRPr="00182BD7">
        <w:t>target periods 7 to 9</w:t>
      </w:r>
      <w:r>
        <w:t xml:space="preserve"> is a </w:t>
      </w:r>
      <w:r w:rsidRPr="00182BD7">
        <w:t>12-month period from January to December 2022</w:t>
      </w:r>
      <w:r>
        <w:t xml:space="preserve">. </w:t>
      </w:r>
    </w:p>
    <w:p w14:paraId="775F068B" w14:textId="68CBE1B0" w:rsidR="004A54A5" w:rsidRPr="004A54A5" w:rsidRDefault="001C1FE6" w:rsidP="00BB0C7A">
      <w:pPr>
        <w:pStyle w:val="ListParagraph"/>
        <w:numPr>
          <w:ilvl w:val="0"/>
          <w:numId w:val="217"/>
        </w:numPr>
      </w:pPr>
      <w:r>
        <w:rPr>
          <w:szCs w:val="24"/>
        </w:rPr>
        <w:lastRenderedPageBreak/>
        <w:t>Operators must submit</w:t>
      </w:r>
      <w:r w:rsidR="004A54A5">
        <w:rPr>
          <w:szCs w:val="24"/>
        </w:rPr>
        <w:t xml:space="preserve"> interim and final t</w:t>
      </w:r>
      <w:r w:rsidR="00BB0C7A" w:rsidRPr="00BB0C7A">
        <w:rPr>
          <w:szCs w:val="24"/>
        </w:rPr>
        <w:t xml:space="preserve">arget </w:t>
      </w:r>
      <w:r w:rsidR="004A54A5">
        <w:rPr>
          <w:szCs w:val="24"/>
        </w:rPr>
        <w:t>p</w:t>
      </w:r>
      <w:r w:rsidR="00BB0C7A" w:rsidRPr="00BB0C7A">
        <w:rPr>
          <w:szCs w:val="24"/>
        </w:rPr>
        <w:t xml:space="preserve">eriod </w:t>
      </w:r>
      <w:r w:rsidR="004A54A5">
        <w:rPr>
          <w:szCs w:val="24"/>
        </w:rPr>
        <w:t>r</w:t>
      </w:r>
      <w:r w:rsidR="00BB0C7A" w:rsidRPr="00BB0C7A">
        <w:rPr>
          <w:szCs w:val="24"/>
        </w:rPr>
        <w:t>eports</w:t>
      </w:r>
      <w:r w:rsidR="004A54A5">
        <w:rPr>
          <w:szCs w:val="24"/>
        </w:rPr>
        <w:t>.</w:t>
      </w:r>
      <w:r w:rsidR="004B5BD9">
        <w:rPr>
          <w:szCs w:val="24"/>
        </w:rPr>
        <w:t xml:space="preserve"> Interim reports will not be used to assess whether a facility has met or failed to meet its </w:t>
      </w:r>
      <w:proofErr w:type="gramStart"/>
      <w:r w:rsidR="004B5BD9">
        <w:rPr>
          <w:szCs w:val="24"/>
        </w:rPr>
        <w:t>target</w:t>
      </w:r>
      <w:r w:rsidR="006B7D19">
        <w:rPr>
          <w:szCs w:val="24"/>
        </w:rPr>
        <w:t>, but</w:t>
      </w:r>
      <w:proofErr w:type="gramEnd"/>
      <w:r w:rsidR="006B7D19">
        <w:rPr>
          <w:szCs w:val="24"/>
        </w:rPr>
        <w:t xml:space="preserve"> will demonstrate progress at the halfway p</w:t>
      </w:r>
      <w:r w:rsidR="00CE5D7E">
        <w:rPr>
          <w:szCs w:val="24"/>
        </w:rPr>
        <w:t>oint in the target period.</w:t>
      </w:r>
      <w:r w:rsidR="004B5BD9">
        <w:rPr>
          <w:szCs w:val="24"/>
        </w:rPr>
        <w:t xml:space="preserve"> </w:t>
      </w:r>
    </w:p>
    <w:p w14:paraId="1B68EF4B" w14:textId="27A672CB" w:rsidR="00BB0C7A" w:rsidRPr="00BB0C7A" w:rsidRDefault="00155AD7" w:rsidP="00BB0C7A">
      <w:pPr>
        <w:pStyle w:val="ListParagraph"/>
        <w:numPr>
          <w:ilvl w:val="0"/>
          <w:numId w:val="217"/>
        </w:numPr>
      </w:pPr>
      <w:r>
        <w:rPr>
          <w:szCs w:val="24"/>
        </w:rPr>
        <w:t>O</w:t>
      </w:r>
      <w:r w:rsidR="00BB0C7A" w:rsidRPr="00BB0C7A">
        <w:rPr>
          <w:szCs w:val="24"/>
        </w:rPr>
        <w:t xml:space="preserve">perators </w:t>
      </w:r>
      <w:r>
        <w:rPr>
          <w:szCs w:val="24"/>
        </w:rPr>
        <w:t>must</w:t>
      </w:r>
      <w:r w:rsidR="00BB0C7A" w:rsidRPr="00BB0C7A">
        <w:rPr>
          <w:szCs w:val="24"/>
        </w:rPr>
        <w:t xml:space="preserve"> submit </w:t>
      </w:r>
      <w:r>
        <w:rPr>
          <w:szCs w:val="24"/>
        </w:rPr>
        <w:t>p</w:t>
      </w:r>
      <w:r w:rsidR="00BB0C7A" w:rsidRPr="00BB0C7A">
        <w:rPr>
          <w:szCs w:val="24"/>
        </w:rPr>
        <w:t xml:space="preserve">erformance reports, including the Performance Account Template (PAT), </w:t>
      </w:r>
      <w:r>
        <w:rPr>
          <w:szCs w:val="24"/>
        </w:rPr>
        <w:t xml:space="preserve">a declaration </w:t>
      </w:r>
      <w:r w:rsidR="0097567B">
        <w:rPr>
          <w:szCs w:val="24"/>
        </w:rPr>
        <w:t xml:space="preserve">on whether over 70% of energy consumption at the facility is used for eligible activities or directly associated activities, and information regarding energy consumption </w:t>
      </w:r>
      <w:r w:rsidR="0058534C">
        <w:rPr>
          <w:szCs w:val="24"/>
        </w:rPr>
        <w:t xml:space="preserve">under the UK ETS where this applies to a facility. </w:t>
      </w:r>
      <w:r w:rsidR="00BB0C7A" w:rsidRPr="00BB0C7A">
        <w:rPr>
          <w:szCs w:val="24"/>
        </w:rPr>
        <w:t xml:space="preserve"> </w:t>
      </w:r>
    </w:p>
    <w:p w14:paraId="1DD9F29A" w14:textId="769C7BCB" w:rsidR="00092FF9" w:rsidRPr="006741A4" w:rsidRDefault="0058534C" w:rsidP="00313759">
      <w:pPr>
        <w:pStyle w:val="ListParagraph"/>
        <w:numPr>
          <w:ilvl w:val="0"/>
          <w:numId w:val="217"/>
        </w:numPr>
      </w:pPr>
      <w:r w:rsidRPr="006741A4">
        <w:rPr>
          <w:szCs w:val="24"/>
        </w:rPr>
        <w:t>T</w:t>
      </w:r>
      <w:r w:rsidR="00BB0C7A" w:rsidRPr="006741A4">
        <w:rPr>
          <w:szCs w:val="24"/>
        </w:rPr>
        <w:t>he</w:t>
      </w:r>
      <w:r w:rsidR="00313759" w:rsidRPr="006741A4">
        <w:rPr>
          <w:szCs w:val="24"/>
        </w:rPr>
        <w:t xml:space="preserve"> </w:t>
      </w:r>
      <w:r w:rsidR="00092FF9" w:rsidRPr="006741A4">
        <w:rPr>
          <w:szCs w:val="24"/>
        </w:rPr>
        <w:t xml:space="preserve">carbon dioxide conversion factors have </w:t>
      </w:r>
      <w:r w:rsidRPr="006741A4">
        <w:rPr>
          <w:szCs w:val="24"/>
        </w:rPr>
        <w:t xml:space="preserve">been </w:t>
      </w:r>
      <w:r w:rsidR="00DD6740" w:rsidRPr="006741A4">
        <w:rPr>
          <w:szCs w:val="24"/>
        </w:rPr>
        <w:t>updated,</w:t>
      </w:r>
      <w:r w:rsidR="00092FF9" w:rsidRPr="006741A4">
        <w:rPr>
          <w:szCs w:val="24"/>
        </w:rPr>
        <w:t xml:space="preserve"> and the </w:t>
      </w:r>
      <w:r w:rsidR="00313759" w:rsidRPr="006741A4">
        <w:rPr>
          <w:szCs w:val="24"/>
        </w:rPr>
        <w:t xml:space="preserve">primary grid electricity conversion factor </w:t>
      </w:r>
      <w:r w:rsidR="00092FF9" w:rsidRPr="006741A4">
        <w:rPr>
          <w:szCs w:val="24"/>
        </w:rPr>
        <w:t>has changed from 2.6 to 2.1.</w:t>
      </w:r>
    </w:p>
    <w:p w14:paraId="5B2D396F" w14:textId="7DACC900" w:rsidR="00092FF9" w:rsidRPr="00092FF9" w:rsidRDefault="00092FF9" w:rsidP="00313759">
      <w:pPr>
        <w:pStyle w:val="ListParagraph"/>
        <w:numPr>
          <w:ilvl w:val="0"/>
          <w:numId w:val="217"/>
        </w:numPr>
      </w:pPr>
      <w:r>
        <w:t xml:space="preserve">If all the criteria for the Special Reporting Methodology (SRM) are </w:t>
      </w:r>
      <w:r w:rsidR="00DD6740">
        <w:t>met,</w:t>
      </w:r>
      <w:r>
        <w:t xml:space="preserve"> then </w:t>
      </w:r>
      <w:r w:rsidR="00942B69">
        <w:t xml:space="preserve">SRM </w:t>
      </w:r>
      <w:r w:rsidR="00942B69" w:rsidRPr="006741A4">
        <w:rPr>
          <w:b/>
          <w:bCs/>
          <w:i/>
          <w:iCs/>
        </w:rPr>
        <w:t>must</w:t>
      </w:r>
      <w:r w:rsidR="00942B69">
        <w:t xml:space="preserve"> be used in the new scheme</w:t>
      </w:r>
      <w:r w:rsidR="007028D4">
        <w:t>.</w:t>
      </w:r>
      <w:r w:rsidR="00942B69">
        <w:t xml:space="preserve"> </w:t>
      </w:r>
    </w:p>
    <w:p w14:paraId="40B7155C" w14:textId="54069D9D" w:rsidR="00BB0C7A" w:rsidRPr="006741A4" w:rsidRDefault="002476AA" w:rsidP="00942B69">
      <w:pPr>
        <w:pStyle w:val="ListParagraph"/>
        <w:numPr>
          <w:ilvl w:val="0"/>
          <w:numId w:val="217"/>
        </w:numPr>
      </w:pPr>
      <w:r w:rsidRPr="006741A4">
        <w:rPr>
          <w:szCs w:val="24"/>
        </w:rPr>
        <w:t>S</w:t>
      </w:r>
      <w:r w:rsidR="002D5AAB" w:rsidRPr="006741A4">
        <w:rPr>
          <w:szCs w:val="24"/>
        </w:rPr>
        <w:t>elf-generated renewable electricity consumed at the facility</w:t>
      </w:r>
      <w:r w:rsidR="006741A4" w:rsidRPr="006741A4">
        <w:rPr>
          <w:szCs w:val="24"/>
        </w:rPr>
        <w:t xml:space="preserve"> </w:t>
      </w:r>
      <w:r w:rsidR="00485EB0" w:rsidRPr="006741A4">
        <w:rPr>
          <w:szCs w:val="24"/>
        </w:rPr>
        <w:t xml:space="preserve">is </w:t>
      </w:r>
      <w:r w:rsidR="002D5AAB" w:rsidRPr="006741A4">
        <w:rPr>
          <w:szCs w:val="24"/>
        </w:rPr>
        <w:t>multiplied by a factor of 1.0.</w:t>
      </w:r>
    </w:p>
    <w:p w14:paraId="2698ED50" w14:textId="77777777" w:rsidR="008863CC" w:rsidRPr="008863CC" w:rsidRDefault="008863CC" w:rsidP="00942B69">
      <w:pPr>
        <w:pStyle w:val="ListParagraph"/>
        <w:numPr>
          <w:ilvl w:val="0"/>
          <w:numId w:val="217"/>
        </w:numPr>
      </w:pPr>
      <w:r w:rsidRPr="008863CC">
        <w:rPr>
          <w:szCs w:val="24"/>
        </w:rPr>
        <w:t>Managing your Climate Change Agreement (</w:t>
      </w:r>
      <w:proofErr w:type="spellStart"/>
      <w:r w:rsidRPr="008863CC">
        <w:rPr>
          <w:szCs w:val="24"/>
        </w:rPr>
        <w:t>MyCCA</w:t>
      </w:r>
      <w:proofErr w:type="spellEnd"/>
      <w:r w:rsidRPr="008863CC">
        <w:rPr>
          <w:szCs w:val="24"/>
        </w:rPr>
        <w:t>) replaces the previous CCA Register and is the primary digital service used to administer agreements.</w:t>
      </w:r>
    </w:p>
    <w:p w14:paraId="32BFDC5D" w14:textId="661AA0D5" w:rsidR="00420624" w:rsidRDefault="00420624" w:rsidP="00942B69">
      <w:pPr>
        <w:pStyle w:val="ListParagraph"/>
        <w:numPr>
          <w:ilvl w:val="0"/>
          <w:numId w:val="217"/>
        </w:numPr>
      </w:pPr>
      <w:r>
        <w:t xml:space="preserve">New sectors will join the CCA scheme from January 2027 – these include the mechanical recycling of plastics, packaging of spirits and automotive battery cell production. </w:t>
      </w:r>
    </w:p>
    <w:p w14:paraId="4686923C" w14:textId="737024DC" w:rsidR="00DE1796" w:rsidRDefault="00DE1796" w:rsidP="00484318"/>
    <w:p w14:paraId="168FA36F" w14:textId="37B33430" w:rsidR="006A49F7" w:rsidRPr="006A49F7" w:rsidRDefault="006A49F7" w:rsidP="00484318">
      <w:r>
        <w:t xml:space="preserve"> </w:t>
      </w:r>
    </w:p>
    <w:p w14:paraId="075ABFBA" w14:textId="32780054" w:rsidR="005833E4" w:rsidRDefault="005833E4" w:rsidP="00484318"/>
    <w:p w14:paraId="75F26A7F" w14:textId="2BA9C97D" w:rsidR="005833E4" w:rsidRDefault="005833E4" w:rsidP="00484318"/>
    <w:p w14:paraId="0D674F46" w14:textId="77777777" w:rsidR="00B57B2D" w:rsidRDefault="00B57B2D" w:rsidP="00496A53"/>
    <w:p w14:paraId="0B1F78BA" w14:textId="77777777" w:rsidR="00B57B2D" w:rsidRDefault="00B57B2D" w:rsidP="00496A53"/>
    <w:p w14:paraId="186F3534" w14:textId="77777777" w:rsidR="00B57B2D" w:rsidRDefault="00B57B2D" w:rsidP="00B57B2D"/>
    <w:p w14:paraId="71A3FFEB" w14:textId="77777777" w:rsidR="00B57B2D" w:rsidRDefault="00B57B2D" w:rsidP="00B57B2D"/>
    <w:p w14:paraId="3C4F83F8" w14:textId="77777777" w:rsidR="00B57B2D" w:rsidRDefault="00B57B2D" w:rsidP="00B57B2D"/>
    <w:p w14:paraId="4099301F" w14:textId="77777777" w:rsidR="00B57B2D" w:rsidRPr="00B57B2D" w:rsidRDefault="00B57B2D" w:rsidP="00B57B2D"/>
    <w:p w14:paraId="57C2E0B4" w14:textId="400E0FFB" w:rsidR="00026E66" w:rsidRDefault="002737EF" w:rsidP="00FF0098">
      <w:pPr>
        <w:pStyle w:val="Heading1"/>
        <w:tabs>
          <w:tab w:val="left" w:pos="0"/>
        </w:tabs>
      </w:pPr>
      <w:bookmarkStart w:id="338" w:name="_Appendix_D:_Calculation"/>
      <w:bookmarkStart w:id="339" w:name="_Toc94718684"/>
      <w:bookmarkStart w:id="340" w:name="_Toc94088932"/>
      <w:bookmarkStart w:id="341" w:name="_Toc242885417"/>
      <w:bookmarkEnd w:id="334"/>
      <w:bookmarkEnd w:id="335"/>
      <w:bookmarkEnd w:id="338"/>
      <w:r>
        <w:lastRenderedPageBreak/>
        <w:t xml:space="preserve">Appendix </w:t>
      </w:r>
      <w:r w:rsidR="00397DEC">
        <w:t>D</w:t>
      </w:r>
      <w:r>
        <w:t>: Calculation methods</w:t>
      </w:r>
      <w:bookmarkEnd w:id="339"/>
      <w:bookmarkEnd w:id="340"/>
      <w:bookmarkEnd w:id="341"/>
      <w:r>
        <w:t xml:space="preserve"> </w:t>
      </w:r>
    </w:p>
    <w:p w14:paraId="4C4C2D0F" w14:textId="77777777" w:rsidR="00026E66" w:rsidRDefault="002737EF" w:rsidP="00FF0098">
      <w:pPr>
        <w:pStyle w:val="Heading2"/>
        <w:tabs>
          <w:tab w:val="left" w:pos="0"/>
        </w:tabs>
      </w:pPr>
      <w:bookmarkStart w:id="342" w:name="_D.1_Accounting_for"/>
      <w:bookmarkStart w:id="343" w:name="_Toc94718685"/>
      <w:bookmarkStart w:id="344" w:name="_Toc94088933"/>
      <w:bookmarkStart w:id="345" w:name="_Toc242885418"/>
      <w:bookmarkEnd w:id="342"/>
      <w:r>
        <w:t>D.1 Accounting for CHP in the CCA scheme</w:t>
      </w:r>
      <w:bookmarkEnd w:id="343"/>
      <w:bookmarkEnd w:id="344"/>
      <w:bookmarkEnd w:id="345"/>
    </w:p>
    <w:p w14:paraId="21696D92" w14:textId="77777777" w:rsidR="00026E66" w:rsidRDefault="002737EF" w:rsidP="00FF0098">
      <w:pPr>
        <w:pStyle w:val="Heading3"/>
        <w:tabs>
          <w:tab w:val="left" w:pos="0"/>
        </w:tabs>
      </w:pPr>
      <w:r>
        <w:t xml:space="preserve">CHP – where all fuel input is non-renewable </w:t>
      </w:r>
    </w:p>
    <w:p w14:paraId="649D3AB3" w14:textId="21E57DF1" w:rsidR="00026E66" w:rsidRDefault="002737EF" w:rsidP="00FF0098">
      <w:pPr>
        <w:tabs>
          <w:tab w:val="left" w:pos="0"/>
        </w:tabs>
        <w:rPr>
          <w:color w:val="auto"/>
        </w:rPr>
      </w:pPr>
      <w:r>
        <w:rPr>
          <w:color w:val="auto"/>
        </w:rPr>
        <w:t xml:space="preserve">Where all fuel inputs to the CHP plant are not renewable energy, they should be accounted for in CCA as stated in paragraphs </w:t>
      </w:r>
      <w:r w:rsidR="00941E23">
        <w:rPr>
          <w:color w:val="auto"/>
        </w:rPr>
        <w:t xml:space="preserve">17 </w:t>
      </w:r>
      <w:r>
        <w:rPr>
          <w:color w:val="auto"/>
        </w:rPr>
        <w:t xml:space="preserve">to </w:t>
      </w:r>
      <w:r w:rsidR="00941E23">
        <w:rPr>
          <w:color w:val="auto"/>
        </w:rPr>
        <w:t>28</w:t>
      </w:r>
      <w:r>
        <w:rPr>
          <w:color w:val="auto"/>
        </w:rPr>
        <w:t xml:space="preserve"> in </w:t>
      </w:r>
      <w:hyperlink r:id="rId89">
        <w:r w:rsidRPr="5BDEA65B">
          <w:rPr>
            <w:rStyle w:val="Hyperlink"/>
            <w:color w:val="0070C0"/>
          </w:rPr>
          <w:t>Technical Annex</w:t>
        </w:r>
      </w:hyperlink>
      <w:r>
        <w:rPr>
          <w:color w:val="auto"/>
        </w:rPr>
        <w:t xml:space="preserve">. </w:t>
      </w:r>
    </w:p>
    <w:p w14:paraId="7EE1DBDC" w14:textId="5238FBC2" w:rsidR="00026E66" w:rsidRDefault="002737EF" w:rsidP="00FF0098">
      <w:pPr>
        <w:tabs>
          <w:tab w:val="left" w:pos="0"/>
        </w:tabs>
        <w:rPr>
          <w:color w:val="auto"/>
        </w:rPr>
      </w:pPr>
      <w:r>
        <w:rPr>
          <w:color w:val="auto"/>
        </w:rPr>
        <w:t xml:space="preserve">Where the electricity or heat outputs from a CHP plant are consumed within the target facility, </w:t>
      </w:r>
      <w:r w:rsidR="00941E23">
        <w:rPr>
          <w:color w:val="auto"/>
        </w:rPr>
        <w:t xml:space="preserve">and the CHP is not covered by UK ETS, </w:t>
      </w:r>
      <w:r>
        <w:rPr>
          <w:color w:val="auto"/>
        </w:rPr>
        <w:t xml:space="preserve">the units of energy to report must be calculated on the basis of the units of energy input to the CHP plant, not the units of electricity or heat consumed. </w:t>
      </w:r>
    </w:p>
    <w:p w14:paraId="39BC8A46" w14:textId="38FF498B" w:rsidR="00026E66" w:rsidRDefault="002737EF" w:rsidP="00FF0098">
      <w:pPr>
        <w:tabs>
          <w:tab w:val="left" w:pos="0"/>
        </w:tabs>
        <w:rPr>
          <w:color w:val="auto"/>
        </w:rPr>
      </w:pPr>
      <w:r>
        <w:rPr>
          <w:color w:val="auto"/>
        </w:rPr>
        <w:t xml:space="preserve">Where a target facility is served by a CHP plant (whether the CHP plant is on the associated facility or whether the CHP plant is operated by a </w:t>
      </w:r>
      <w:r w:rsidR="004B7AA4">
        <w:rPr>
          <w:color w:val="auto"/>
        </w:rPr>
        <w:t>third</w:t>
      </w:r>
      <w:r>
        <w:rPr>
          <w:color w:val="auto"/>
        </w:rPr>
        <w:t xml:space="preserve"> party operator) and all of the energy from the CHP plant is consumed within the target facility, the target facility must be treated as consuming all of the units of energy input to the CHP and no allocation of those units is required. </w:t>
      </w:r>
    </w:p>
    <w:p w14:paraId="111162F1" w14:textId="22914B85" w:rsidR="00026E66" w:rsidRDefault="002737EF" w:rsidP="00FF0098">
      <w:pPr>
        <w:tabs>
          <w:tab w:val="left" w:pos="0"/>
        </w:tabs>
        <w:rPr>
          <w:color w:val="auto"/>
        </w:rPr>
      </w:pPr>
      <w:r>
        <w:rPr>
          <w:color w:val="auto"/>
        </w:rPr>
        <w:t>Where a target facility is served by a CHP plant on the associated facility and some of the electricity or heat outputs from the CHP plant are exported from the facility, or where the target facility imports electricity or heat generated by a CHP plant that is not part of the facility, the energy input to the CHP must be allocated to each consumer of the heat or the electricity as follows</w:t>
      </w:r>
      <w:r w:rsidR="00F361DB" w:rsidRPr="3FC29FF8">
        <w:rPr>
          <w:color w:val="auto"/>
        </w:rPr>
        <w:t>.</w:t>
      </w:r>
      <w:r>
        <w:rPr>
          <w:color w:val="auto"/>
        </w:rPr>
        <w:t xml:space="preserve"> </w:t>
      </w:r>
    </w:p>
    <w:p w14:paraId="630D8447" w14:textId="669C5238" w:rsidR="00026E66" w:rsidRDefault="002737EF" w:rsidP="00FF0098">
      <w:pPr>
        <w:tabs>
          <w:tab w:val="left" w:pos="0"/>
        </w:tabs>
        <w:rPr>
          <w:color w:val="auto"/>
        </w:rPr>
      </w:pPr>
      <w:r>
        <w:rPr>
          <w:color w:val="auto"/>
        </w:rPr>
        <w:t xml:space="preserve">First allocate the energy inputs to the CHP to the electricity and heat outputs using the following </w:t>
      </w:r>
      <w:r w:rsidR="009E12F0" w:rsidRPr="1EA314F6">
        <w:rPr>
          <w:color w:val="auto"/>
        </w:rPr>
        <w:t>2</w:t>
      </w:r>
      <w:r>
        <w:rPr>
          <w:color w:val="auto"/>
        </w:rPr>
        <w:t xml:space="preserve"> formulae: </w:t>
      </w:r>
    </w:p>
    <w:p w14:paraId="189871A2" w14:textId="3B05D640" w:rsidR="00026E66" w:rsidRDefault="002737EF" w:rsidP="00FF0098">
      <w:pPr>
        <w:tabs>
          <w:tab w:val="left" w:pos="0"/>
        </w:tabs>
        <w:jc w:val="center"/>
      </w:pPr>
      <m:oMathPara>
        <m:oMathParaPr>
          <m:jc m:val="center"/>
        </m:oMathParaPr>
        <m:oMath>
          <m:r>
            <w:rPr>
              <w:rFonts w:ascii="Cambria Math" w:hAnsi="Cambria Math"/>
            </w:rPr>
            <m:t xml:space="preserve">Heat Energy = </m:t>
          </m:r>
          <m:d>
            <m:dPr>
              <m:ctrlPr>
                <w:rPr>
                  <w:rFonts w:ascii="Cambria Math" w:hAnsi="Cambria Math"/>
                </w:rPr>
              </m:ctrlPr>
            </m:dPr>
            <m:e>
              <m:f>
                <m:fPr>
                  <m:ctrlPr>
                    <w:rPr>
                      <w:rFonts w:ascii="Cambria Math" w:hAnsi="Cambria Math"/>
                    </w:rPr>
                  </m:ctrlPr>
                </m:fPr>
                <m:num>
                  <m:r>
                    <w:rPr>
                      <w:rFonts w:ascii="Cambria Math" w:hAnsi="Cambria Math"/>
                    </w:rPr>
                    <m:t>Fuel Input</m:t>
                  </m:r>
                </m:num>
                <m:den>
                  <m:d>
                    <m:dPr>
                      <m:ctrlPr>
                        <w:rPr>
                          <w:rFonts w:ascii="Cambria Math" w:hAnsi="Cambria Math"/>
                        </w:rPr>
                      </m:ctrlPr>
                    </m:dPr>
                    <m:e>
                      <m:r>
                        <w:rPr>
                          <w:rFonts w:ascii="Cambria Math" w:hAnsi="Cambria Math"/>
                        </w:rPr>
                        <m:t>2×Electricity Output</m:t>
                      </m:r>
                    </m:e>
                  </m:d>
                  <m:r>
                    <w:rPr>
                      <w:rFonts w:ascii="Cambria Math" w:hAnsi="Cambria Math"/>
                    </w:rPr>
                    <m:t>+ Heat output</m:t>
                  </m:r>
                </m:den>
              </m:f>
            </m:e>
          </m:d>
          <m:r>
            <w:rPr>
              <w:rFonts w:ascii="Cambria Math" w:hAnsi="Cambria Math"/>
            </w:rPr>
            <m:t>×Heat output</m:t>
          </m:r>
        </m:oMath>
      </m:oMathPara>
    </w:p>
    <w:p w14:paraId="2B4C2586" w14:textId="77777777" w:rsidR="00026E66" w:rsidRDefault="00026E66" w:rsidP="00FF0098">
      <w:pPr>
        <w:tabs>
          <w:tab w:val="left" w:pos="0"/>
        </w:tabs>
        <w:spacing w:after="0" w:line="247" w:lineRule="auto"/>
        <w:ind w:right="160"/>
        <w:rPr>
          <w:color w:val="auto"/>
          <w:shd w:val="clear" w:color="auto" w:fill="FFFF00"/>
        </w:rPr>
      </w:pPr>
    </w:p>
    <w:p w14:paraId="2A7403C4" w14:textId="49765370" w:rsidR="00026E66" w:rsidRPr="00B57B2D" w:rsidRDefault="002737EF" w:rsidP="00B57B2D">
      <w:pPr>
        <w:tabs>
          <w:tab w:val="left" w:pos="0"/>
        </w:tabs>
        <w:spacing w:after="0" w:line="247" w:lineRule="auto"/>
        <w:ind w:right="160"/>
        <w:jc w:val="center"/>
      </w:pPr>
      <m:oMathPara>
        <m:oMath>
          <m:r>
            <w:rPr>
              <w:rFonts w:ascii="Cambria Math" w:hAnsi="Cambria Math"/>
            </w:rPr>
            <m:t>Electricity Energy =</m:t>
          </m:r>
          <m:d>
            <m:dPr>
              <m:ctrlPr>
                <w:rPr>
                  <w:rFonts w:ascii="Cambria Math" w:hAnsi="Cambria Math"/>
                </w:rPr>
              </m:ctrlPr>
            </m:dPr>
            <m:e>
              <m:f>
                <m:fPr>
                  <m:ctrlPr>
                    <w:rPr>
                      <w:rFonts w:ascii="Cambria Math" w:hAnsi="Cambria Math"/>
                    </w:rPr>
                  </m:ctrlPr>
                </m:fPr>
                <m:num>
                  <m:r>
                    <w:rPr>
                      <w:rFonts w:ascii="Cambria Math" w:hAnsi="Cambria Math"/>
                    </w:rPr>
                    <m:t>2×Fuel input</m:t>
                  </m:r>
                </m:num>
                <m:den>
                  <m:d>
                    <m:dPr>
                      <m:ctrlPr>
                        <w:rPr>
                          <w:rFonts w:ascii="Cambria Math" w:hAnsi="Cambria Math"/>
                        </w:rPr>
                      </m:ctrlPr>
                    </m:dPr>
                    <m:e>
                      <m:r>
                        <w:rPr>
                          <w:rFonts w:ascii="Cambria Math" w:hAnsi="Cambria Math"/>
                        </w:rPr>
                        <m:t>2×Electricity Output</m:t>
                      </m:r>
                    </m:e>
                  </m:d>
                  <m:r>
                    <w:rPr>
                      <w:rFonts w:ascii="Cambria Math" w:hAnsi="Cambria Math"/>
                    </w:rPr>
                    <m:t>+ Heat output</m:t>
                  </m:r>
                </m:den>
              </m:f>
            </m:e>
          </m:d>
          <m:r>
            <w:rPr>
              <w:rFonts w:ascii="Cambria Math" w:hAnsi="Cambria Math"/>
            </w:rPr>
            <m:t>×Electricity output</m:t>
          </m:r>
        </m:oMath>
      </m:oMathPara>
    </w:p>
    <w:p w14:paraId="3FC141F5" w14:textId="77777777" w:rsidR="00026E66" w:rsidRDefault="002737EF" w:rsidP="00FF0098">
      <w:pPr>
        <w:tabs>
          <w:tab w:val="left" w:pos="0"/>
        </w:tabs>
      </w:pPr>
      <w:r>
        <w:t>Where:</w:t>
      </w:r>
    </w:p>
    <w:p w14:paraId="740C1FFA" w14:textId="77777777" w:rsidR="00026E66" w:rsidRDefault="002737EF" w:rsidP="0065356B">
      <w:pPr>
        <w:pStyle w:val="ListParagraph"/>
        <w:numPr>
          <w:ilvl w:val="0"/>
          <w:numId w:val="108"/>
        </w:numPr>
        <w:tabs>
          <w:tab w:val="left" w:pos="0"/>
        </w:tabs>
      </w:pPr>
      <w:r w:rsidRPr="00E642D6">
        <w:rPr>
          <w:b/>
        </w:rPr>
        <w:t xml:space="preserve">Heat Energy </w:t>
      </w:r>
      <w:r>
        <w:t xml:space="preserve">is the input energy allocated to the heat outputs of the CHP plant. </w:t>
      </w:r>
    </w:p>
    <w:p w14:paraId="1033C112" w14:textId="77777777" w:rsidR="00026E66" w:rsidRDefault="002737EF" w:rsidP="0065356B">
      <w:pPr>
        <w:pStyle w:val="ListParagraph"/>
        <w:numPr>
          <w:ilvl w:val="0"/>
          <w:numId w:val="108"/>
        </w:numPr>
        <w:tabs>
          <w:tab w:val="left" w:pos="0"/>
        </w:tabs>
      </w:pPr>
      <w:r w:rsidRPr="00E642D6">
        <w:rPr>
          <w:b/>
        </w:rPr>
        <w:t xml:space="preserve">Electricity Energy </w:t>
      </w:r>
      <w:r>
        <w:t xml:space="preserve">is the input energy allocated to the electricity outputs of the plant. </w:t>
      </w:r>
    </w:p>
    <w:p w14:paraId="251FCB2E" w14:textId="1C2D194F" w:rsidR="00026E66" w:rsidRDefault="002737EF" w:rsidP="00397DEC">
      <w:pPr>
        <w:pStyle w:val="ListParagraph"/>
        <w:numPr>
          <w:ilvl w:val="0"/>
          <w:numId w:val="108"/>
        </w:numPr>
        <w:tabs>
          <w:tab w:val="left" w:pos="0"/>
        </w:tabs>
      </w:pPr>
      <w:r w:rsidRPr="00E642D6">
        <w:rPr>
          <w:b/>
        </w:rPr>
        <w:t xml:space="preserve">Fuel Input </w:t>
      </w:r>
      <w:r>
        <w:t xml:space="preserve">is the total fuel supplied to the CHP plant, expressed in energy terms, using the Gross Calorific Value of the input fuels. For CHP schemes certified under </w:t>
      </w:r>
      <w:r>
        <w:lastRenderedPageBreak/>
        <w:t>the Combined Heat and Power Quality Assurance (CHPQA) programme it is the Total Fuel Input (TPI), as defined by the CHPQA Standard</w:t>
      </w:r>
      <w:r w:rsidR="00941E23">
        <w:t>.</w:t>
      </w:r>
      <w:r>
        <w:t xml:space="preserve"> </w:t>
      </w:r>
    </w:p>
    <w:p w14:paraId="4FC26AAB" w14:textId="19D058DA" w:rsidR="00026E66" w:rsidRDefault="002737EF" w:rsidP="0065356B">
      <w:pPr>
        <w:pStyle w:val="ListParagraph"/>
        <w:numPr>
          <w:ilvl w:val="0"/>
          <w:numId w:val="108"/>
        </w:numPr>
        <w:tabs>
          <w:tab w:val="left" w:pos="0"/>
        </w:tabs>
      </w:pPr>
      <w:r w:rsidRPr="00E642D6">
        <w:rPr>
          <w:b/>
        </w:rPr>
        <w:t xml:space="preserve">Heat Output </w:t>
      </w:r>
      <w:r>
        <w:t xml:space="preserve">is the quantity of heat produced by the CHP plant, expressed in energy terms. For CHP schemes certified under the Combined Heat and Power Quality Assurance (CHPQA) programme it is the Qualifying Heat Output (QHO), as defined by the CHPQA Standard. </w:t>
      </w:r>
    </w:p>
    <w:p w14:paraId="7082FC7B" w14:textId="4FB3D992" w:rsidR="00026E66" w:rsidRDefault="002737EF" w:rsidP="0065356B">
      <w:pPr>
        <w:pStyle w:val="ListParagraph"/>
        <w:numPr>
          <w:ilvl w:val="0"/>
          <w:numId w:val="108"/>
        </w:numPr>
        <w:tabs>
          <w:tab w:val="left" w:pos="0"/>
        </w:tabs>
      </w:pPr>
      <w:r w:rsidRPr="00E642D6">
        <w:rPr>
          <w:b/>
        </w:rPr>
        <w:t xml:space="preserve">Electricity Output </w:t>
      </w:r>
      <w:r>
        <w:t xml:space="preserve">is the quantity of electricity generated by the CHP plant, expressed in energy terms. For CHP schemes certified under the Combined Heat and Power Quality Assurance (CHPQA) programme it is the Total Power Output (TPO), as defined by the CHPQA Standard. </w:t>
      </w:r>
    </w:p>
    <w:p w14:paraId="6C1CFD22" w14:textId="77777777" w:rsidR="00026E66" w:rsidRDefault="002737EF" w:rsidP="0065356B">
      <w:pPr>
        <w:pStyle w:val="ListParagraph"/>
        <w:numPr>
          <w:ilvl w:val="0"/>
          <w:numId w:val="108"/>
        </w:numPr>
        <w:tabs>
          <w:tab w:val="left" w:pos="0"/>
        </w:tabs>
      </w:pPr>
      <w:r>
        <w:t xml:space="preserve">Energy units must be consistent throughout. </w:t>
      </w:r>
    </w:p>
    <w:p w14:paraId="2F27E455" w14:textId="77777777" w:rsidR="00026E66" w:rsidRDefault="002737EF" w:rsidP="00FF0098">
      <w:pPr>
        <w:tabs>
          <w:tab w:val="left" w:pos="0"/>
        </w:tabs>
      </w:pPr>
      <w:r>
        <w:t xml:space="preserve">Where absorption cooling is used to produce a cooling supply, the heat input to the absorption chiller must be metered so far as is reasonably practicable. If the heat input to the absorption chiller is not metered, then the cooling output must be metered and divided by the average coefficient of performance (COP) of the cooling system to estimate the heat consumed. </w:t>
      </w:r>
    </w:p>
    <w:p w14:paraId="286F68C6" w14:textId="77777777" w:rsidR="00026E66" w:rsidRDefault="002737EF" w:rsidP="00FF0098">
      <w:pPr>
        <w:tabs>
          <w:tab w:val="left" w:pos="0"/>
        </w:tabs>
      </w:pPr>
      <w:r>
        <w:t xml:space="preserve">Then apportion the energy input to each consumer of heat and electricity as follows: </w:t>
      </w:r>
    </w:p>
    <w:p w14:paraId="551329E1" w14:textId="70DB2659" w:rsidR="00026E66" w:rsidRDefault="00976759" w:rsidP="0065356B">
      <w:pPr>
        <w:pStyle w:val="ListParagraph"/>
        <w:numPr>
          <w:ilvl w:val="0"/>
          <w:numId w:val="109"/>
        </w:numPr>
        <w:tabs>
          <w:tab w:val="left" w:pos="0"/>
        </w:tabs>
      </w:pPr>
      <w:r>
        <w:t>a</w:t>
      </w:r>
      <w:r w:rsidR="002737EF">
        <w:t>llocate the heat energy to each consumer of the heat in proportion to the quantity of heat from the CHP plant that each consumes</w:t>
      </w:r>
    </w:p>
    <w:p w14:paraId="5B3A6E2F" w14:textId="65AFC06E" w:rsidR="00026E66" w:rsidRDefault="00976759" w:rsidP="0065356B">
      <w:pPr>
        <w:pStyle w:val="ListParagraph"/>
        <w:numPr>
          <w:ilvl w:val="0"/>
          <w:numId w:val="109"/>
        </w:numPr>
        <w:tabs>
          <w:tab w:val="left" w:pos="0"/>
        </w:tabs>
      </w:pPr>
      <w:r>
        <w:t>a</w:t>
      </w:r>
      <w:r w:rsidR="002737EF">
        <w:t>llocate the electricity energy to each consumer of the electricity in proportion to the quantity of electricity from the CHP plant that each consumes</w:t>
      </w:r>
    </w:p>
    <w:p w14:paraId="6BA1EBEB" w14:textId="77777777" w:rsidR="00026E66" w:rsidRDefault="002737EF" w:rsidP="00FF0098">
      <w:pPr>
        <w:tabs>
          <w:tab w:val="left" w:pos="0"/>
        </w:tabs>
      </w:pPr>
      <w:r>
        <w:t xml:space="preserve">If heat is distributed to </w:t>
      </w:r>
      <w:proofErr w:type="gramStart"/>
      <w:r>
        <w:t>a number of</w:t>
      </w:r>
      <w:proofErr w:type="gramEnd"/>
      <w:r>
        <w:t xml:space="preserve"> users (m), this is expressed: </w:t>
      </w:r>
    </w:p>
    <w:p w14:paraId="3DE49753" w14:textId="77777777" w:rsidR="00026E66" w:rsidRDefault="002737EF" w:rsidP="00FF0098">
      <w:pPr>
        <w:tabs>
          <w:tab w:val="left" w:pos="0"/>
        </w:tabs>
        <w:jc w:val="center"/>
      </w:pPr>
      <m:oMathPara>
        <m:oMathParaPr>
          <m:jc m:val="center"/>
        </m:oMathParaPr>
        <m:oMath>
          <m:r>
            <w:rPr>
              <w:rFonts w:ascii="Cambria Math" w:hAnsi="Cambria Math"/>
            </w:rPr>
            <m:t>Heat Output=Hea</m:t>
          </m:r>
          <m:sSub>
            <m:sSubPr>
              <m:ctrlPr>
                <w:rPr>
                  <w:rFonts w:ascii="Cambria Math" w:hAnsi="Cambria Math"/>
                </w:rPr>
              </m:ctrlPr>
            </m:sSubPr>
            <m:e>
              <m:r>
                <w:rPr>
                  <w:rFonts w:ascii="Cambria Math" w:hAnsi="Cambria Math"/>
                </w:rPr>
                <m:t>t</m:t>
              </m:r>
            </m:e>
            <m:sub>
              <m:r>
                <w:rPr>
                  <w:rFonts w:ascii="Cambria Math" w:hAnsi="Cambria Math"/>
                </w:rPr>
                <m:t>1</m:t>
              </m:r>
            </m:sub>
          </m:sSub>
          <m:r>
            <w:rPr>
              <w:rFonts w:ascii="Cambria Math" w:hAnsi="Cambria Math"/>
            </w:rPr>
            <m:t>+Hea</m:t>
          </m:r>
          <m:sSub>
            <m:sSubPr>
              <m:ctrlPr>
                <w:rPr>
                  <w:rFonts w:ascii="Cambria Math" w:hAnsi="Cambria Math"/>
                </w:rPr>
              </m:ctrlPr>
            </m:sSubPr>
            <m:e>
              <m:r>
                <w:rPr>
                  <w:rFonts w:ascii="Cambria Math" w:hAnsi="Cambria Math"/>
                </w:rPr>
                <m:t>t</m:t>
              </m:r>
            </m:e>
            <m:sub>
              <m:r>
                <w:rPr>
                  <w:rFonts w:ascii="Cambria Math" w:hAnsi="Cambria Math"/>
                </w:rPr>
                <m:t>2</m:t>
              </m:r>
            </m:sub>
          </m:sSub>
          <m:r>
            <w:rPr>
              <w:rFonts w:ascii="Cambria Math" w:hAnsi="Cambria Math"/>
            </w:rPr>
            <m:t>+Hea</m:t>
          </m:r>
          <m:sSub>
            <m:sSubPr>
              <m:ctrlPr>
                <w:rPr>
                  <w:rFonts w:ascii="Cambria Math" w:hAnsi="Cambria Math"/>
                </w:rPr>
              </m:ctrlPr>
            </m:sSubPr>
            <m:e>
              <m:r>
                <w:rPr>
                  <w:rFonts w:ascii="Cambria Math" w:hAnsi="Cambria Math"/>
                </w:rPr>
                <m:t>t</m:t>
              </m:r>
            </m:e>
            <m:sub>
              <m:r>
                <w:rPr>
                  <w:rFonts w:ascii="Cambria Math" w:hAnsi="Cambria Math"/>
                </w:rPr>
                <m:t>3</m:t>
              </m:r>
            </m:sub>
          </m:sSub>
          <m:r>
            <w:rPr>
              <w:rFonts w:ascii="Cambria Math" w:hAnsi="Cambria Math"/>
            </w:rPr>
            <m:t>+⋯+Hea</m:t>
          </m:r>
          <m:sSub>
            <m:sSubPr>
              <m:ctrlPr>
                <w:rPr>
                  <w:rFonts w:ascii="Cambria Math" w:hAnsi="Cambria Math"/>
                </w:rPr>
              </m:ctrlPr>
            </m:sSubPr>
            <m:e>
              <m:r>
                <w:rPr>
                  <w:rFonts w:ascii="Cambria Math" w:hAnsi="Cambria Math"/>
                </w:rPr>
                <m:t>t</m:t>
              </m:r>
            </m:e>
            <m:sub>
              <m:r>
                <w:rPr>
                  <w:rFonts w:ascii="Cambria Math" w:hAnsi="Cambria Math"/>
                </w:rPr>
                <m:t>m</m:t>
              </m:r>
            </m:sub>
          </m:sSub>
        </m:oMath>
      </m:oMathPara>
    </w:p>
    <w:p w14:paraId="058E15DC" w14:textId="77777777" w:rsidR="00026E66" w:rsidRDefault="002737EF" w:rsidP="00FF0098">
      <w:pPr>
        <w:tabs>
          <w:tab w:val="left" w:pos="0"/>
        </w:tabs>
      </w:pPr>
      <w:r>
        <w:t xml:space="preserve">If electricity is distributed to several electricity consumers (n), this is expressed: </w:t>
      </w:r>
    </w:p>
    <w:p w14:paraId="2FB19064" w14:textId="77777777" w:rsidR="00026E66" w:rsidRDefault="002737EF" w:rsidP="00FF0098">
      <w:pPr>
        <w:tabs>
          <w:tab w:val="left" w:pos="0"/>
        </w:tabs>
        <w:jc w:val="center"/>
      </w:pPr>
      <m:oMathPara>
        <m:oMathParaPr>
          <m:jc m:val="center"/>
        </m:oMathParaPr>
        <m:oMath>
          <m:r>
            <w:rPr>
              <w:rFonts w:ascii="Cambria Math" w:hAnsi="Cambria Math"/>
            </w:rPr>
            <m:t>Electricity Output =Electricit</m:t>
          </m:r>
          <m:sSub>
            <m:sSubPr>
              <m:ctrlPr>
                <w:rPr>
                  <w:rFonts w:ascii="Cambria Math" w:hAnsi="Cambria Math"/>
                </w:rPr>
              </m:ctrlPr>
            </m:sSubPr>
            <m:e>
              <m:r>
                <w:rPr>
                  <w:rFonts w:ascii="Cambria Math" w:hAnsi="Cambria Math"/>
                </w:rPr>
                <m:t>y</m:t>
              </m:r>
            </m:e>
            <m:sub>
              <m:r>
                <w:rPr>
                  <w:rFonts w:ascii="Cambria Math" w:hAnsi="Cambria Math"/>
                </w:rPr>
                <m:t>1</m:t>
              </m:r>
            </m:sub>
          </m:sSub>
          <m:r>
            <w:rPr>
              <w:rFonts w:ascii="Cambria Math" w:hAnsi="Cambria Math"/>
            </w:rPr>
            <m:t>+Electricit</m:t>
          </m:r>
          <m:sSub>
            <m:sSubPr>
              <m:ctrlPr>
                <w:rPr>
                  <w:rFonts w:ascii="Cambria Math" w:hAnsi="Cambria Math"/>
                </w:rPr>
              </m:ctrlPr>
            </m:sSubPr>
            <m:e>
              <m:r>
                <w:rPr>
                  <w:rFonts w:ascii="Cambria Math" w:hAnsi="Cambria Math"/>
                </w:rPr>
                <m:t>y</m:t>
              </m:r>
            </m:e>
            <m:sub>
              <m:r>
                <w:rPr>
                  <w:rFonts w:ascii="Cambria Math" w:hAnsi="Cambria Math"/>
                </w:rPr>
                <m:t>2</m:t>
              </m:r>
            </m:sub>
          </m:sSub>
          <m:r>
            <w:rPr>
              <w:rFonts w:ascii="Cambria Math" w:hAnsi="Cambria Math"/>
            </w:rPr>
            <m:t>+Electricit</m:t>
          </m:r>
          <m:sSub>
            <m:sSubPr>
              <m:ctrlPr>
                <w:rPr>
                  <w:rFonts w:ascii="Cambria Math" w:hAnsi="Cambria Math"/>
                </w:rPr>
              </m:ctrlPr>
            </m:sSubPr>
            <m:e>
              <m:r>
                <w:rPr>
                  <w:rFonts w:ascii="Cambria Math" w:hAnsi="Cambria Math"/>
                </w:rPr>
                <m:t>y</m:t>
              </m:r>
            </m:e>
            <m:sub>
              <m:r>
                <w:rPr>
                  <w:rFonts w:ascii="Cambria Math" w:hAnsi="Cambria Math"/>
                </w:rPr>
                <m:t>3</m:t>
              </m:r>
            </m:sub>
          </m:sSub>
          <m:r>
            <w:rPr>
              <w:rFonts w:ascii="Cambria Math" w:hAnsi="Cambria Math"/>
            </w:rPr>
            <m:t>+⋯+Electricit</m:t>
          </m:r>
          <m:sSub>
            <m:sSubPr>
              <m:ctrlPr>
                <w:rPr>
                  <w:rFonts w:ascii="Cambria Math" w:hAnsi="Cambria Math"/>
                </w:rPr>
              </m:ctrlPr>
            </m:sSubPr>
            <m:e>
              <m:r>
                <w:rPr>
                  <w:rFonts w:ascii="Cambria Math" w:hAnsi="Cambria Math"/>
                </w:rPr>
                <m:t>y</m:t>
              </m:r>
            </m:e>
            <m:sub>
              <m:r>
                <w:rPr>
                  <w:rFonts w:ascii="Cambria Math" w:hAnsi="Cambria Math"/>
                </w:rPr>
                <m:t>n</m:t>
              </m:r>
            </m:sub>
          </m:sSub>
        </m:oMath>
      </m:oMathPara>
    </w:p>
    <w:p w14:paraId="0E18C388" w14:textId="77777777" w:rsidR="00026E66" w:rsidRDefault="002737EF" w:rsidP="00FF0098">
      <w:pPr>
        <w:tabs>
          <w:tab w:val="left" w:pos="0"/>
        </w:tabs>
      </w:pPr>
      <w:r>
        <w:t>The energy inputs to the CHP plant are assigned to consumer, ‘</w:t>
      </w:r>
      <w:proofErr w:type="spellStart"/>
      <w:r>
        <w:t>i</w:t>
      </w:r>
      <w:proofErr w:type="spellEnd"/>
      <w:r>
        <w:t xml:space="preserve">’, according to the formula: </w:t>
      </w:r>
    </w:p>
    <w:p w14:paraId="6711F10D" w14:textId="77777777" w:rsidR="00026E66" w:rsidRDefault="002737EF" w:rsidP="00FF0098">
      <w:pPr>
        <w:tabs>
          <w:tab w:val="left" w:pos="0"/>
        </w:tabs>
        <w:jc w:val="center"/>
      </w:pPr>
      <m:oMathPara>
        <m:oMathParaPr>
          <m:jc m:val="center"/>
        </m:oMathParaPr>
        <m:oMath>
          <m:r>
            <w:rPr>
              <w:rFonts w:ascii="Cambria Math" w:hAnsi="Cambria Math"/>
            </w:rPr>
            <m:t>Heat Energ</m:t>
          </m:r>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Hea</m:t>
                  </m:r>
                  <m:sSub>
                    <m:sSubPr>
                      <m:ctrlPr>
                        <w:rPr>
                          <w:rFonts w:ascii="Cambria Math" w:hAnsi="Cambria Math"/>
                        </w:rPr>
                      </m:ctrlPr>
                    </m:sSubPr>
                    <m:e>
                      <m:r>
                        <w:rPr>
                          <w:rFonts w:ascii="Cambria Math" w:hAnsi="Cambria Math"/>
                        </w:rPr>
                        <m:t>t</m:t>
                      </m:r>
                    </m:e>
                    <m:sub>
                      <m:r>
                        <w:rPr>
                          <w:rFonts w:ascii="Cambria Math" w:hAnsi="Cambria Math"/>
                        </w:rPr>
                        <m:t>i</m:t>
                      </m:r>
                    </m:sub>
                  </m:sSub>
                </m:num>
                <m:den>
                  <m:r>
                    <w:rPr>
                      <w:rFonts w:ascii="Cambria Math" w:hAnsi="Cambria Math"/>
                    </w:rPr>
                    <m:t>Heat Output</m:t>
                  </m:r>
                </m:den>
              </m:f>
            </m:e>
          </m:d>
          <m:r>
            <w:rPr>
              <w:rFonts w:ascii="Cambria Math" w:hAnsi="Cambria Math"/>
            </w:rPr>
            <m:t>×Heat Energy</m:t>
          </m:r>
        </m:oMath>
      </m:oMathPara>
    </w:p>
    <w:p w14:paraId="365965DA" w14:textId="77777777" w:rsidR="00026E66" w:rsidRDefault="002737EF" w:rsidP="00FF0098">
      <w:pPr>
        <w:tabs>
          <w:tab w:val="left" w:pos="0"/>
        </w:tabs>
      </w:pPr>
      <w:r>
        <w:t xml:space="preserve">The electricity energy inputs to the CHP plant are assigned to consumer, ‘j’, according to the formula: </w:t>
      </w:r>
    </w:p>
    <w:p w14:paraId="1EA525C7" w14:textId="77777777" w:rsidR="00026E66" w:rsidRDefault="002737EF" w:rsidP="00FF0098">
      <w:pPr>
        <w:tabs>
          <w:tab w:val="left" w:pos="0"/>
        </w:tabs>
        <w:jc w:val="center"/>
      </w:pPr>
      <w:r>
        <w:rPr>
          <w:rFonts w:ascii="Cambria Math" w:hAnsi="Cambria Math"/>
          <w:color w:val="auto"/>
        </w:rPr>
        <w:br/>
      </w:r>
      <m:oMathPara>
        <m:oMathParaPr>
          <m:jc m:val="center"/>
        </m:oMathParaPr>
        <m:oMath>
          <m:r>
            <w:rPr>
              <w:rFonts w:ascii="Cambria Math" w:hAnsi="Cambria Math"/>
            </w:rPr>
            <w:lastRenderedPageBreak/>
            <m:t>Electricity Energ</m:t>
          </m:r>
          <m:sSub>
            <m:sSubPr>
              <m:ctrlPr>
                <w:rPr>
                  <w:rFonts w:ascii="Cambria Math" w:hAnsi="Cambria Math"/>
                </w:rPr>
              </m:ctrlPr>
            </m:sSubPr>
            <m:e>
              <m:r>
                <w:rPr>
                  <w:rFonts w:ascii="Cambria Math" w:hAnsi="Cambria Math"/>
                </w:rPr>
                <m:t>y</m:t>
              </m:r>
            </m:e>
            <m:sub>
              <m:r>
                <w:rPr>
                  <w:rFonts w:ascii="Cambria Math" w:hAnsi="Cambria Math"/>
                </w:rPr>
                <m:t>j</m:t>
              </m:r>
            </m:sub>
          </m:sSub>
          <m: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Electricit</m:t>
                  </m:r>
                  <m:sSub>
                    <m:sSubPr>
                      <m:ctrlPr>
                        <w:rPr>
                          <w:rFonts w:ascii="Cambria Math" w:hAnsi="Cambria Math"/>
                        </w:rPr>
                      </m:ctrlPr>
                    </m:sSubPr>
                    <m:e>
                      <m:r>
                        <w:rPr>
                          <w:rFonts w:ascii="Cambria Math" w:hAnsi="Cambria Math"/>
                        </w:rPr>
                        <m:t>y</m:t>
                      </m:r>
                    </m:e>
                    <m:sub>
                      <m:r>
                        <w:rPr>
                          <w:rFonts w:ascii="Cambria Math" w:hAnsi="Cambria Math"/>
                        </w:rPr>
                        <m:t>j</m:t>
                      </m:r>
                    </m:sub>
                  </m:sSub>
                </m:num>
                <m:den>
                  <m:r>
                    <w:rPr>
                      <w:rFonts w:ascii="Cambria Math" w:hAnsi="Cambria Math"/>
                    </w:rPr>
                    <m:t>Electricity Output</m:t>
                  </m:r>
                </m:den>
              </m:f>
            </m:e>
          </m:d>
          <m:r>
            <w:rPr>
              <w:rFonts w:ascii="Cambria Math" w:hAnsi="Cambria Math"/>
            </w:rPr>
            <m:t>×Electricity Energy</m:t>
          </m:r>
        </m:oMath>
      </m:oMathPara>
    </w:p>
    <w:p w14:paraId="6277DCAA" w14:textId="77777777" w:rsidR="00026E66" w:rsidRDefault="002737EF" w:rsidP="00FF0098">
      <w:pPr>
        <w:tabs>
          <w:tab w:val="left" w:pos="0"/>
        </w:tabs>
      </w:pPr>
      <w:r>
        <w:t xml:space="preserve">If some of the CHP generated electricity is exported to the public supply (that is the grid), and not directly to a known consumer, a credit must be allocated to each heat consumer in respect of all or part of this electricity exported to the grid. </w:t>
      </w:r>
    </w:p>
    <w:p w14:paraId="2B5955C7" w14:textId="1CECB7E0" w:rsidR="00026E66" w:rsidRDefault="002737EF" w:rsidP="00FF0098">
      <w:pPr>
        <w:tabs>
          <w:tab w:val="left" w:pos="0"/>
        </w:tabs>
      </w:pPr>
      <w:r>
        <w:t xml:space="preserve">The electricity exported to the grid in respect of which a credit must be allocated is the Good Quality CHP electricity (as defined by the CHPQA Standard) exported to the grid. The Good Quality CHP electricity exported to the grid is given by: </w:t>
      </w:r>
    </w:p>
    <w:p w14:paraId="1D3C7BFA" w14:textId="77777777" w:rsidR="00026E66" w:rsidRDefault="002737EF" w:rsidP="00FF0098">
      <w:pPr>
        <w:tabs>
          <w:tab w:val="left" w:pos="0"/>
        </w:tabs>
        <w:spacing w:after="380" w:line="247" w:lineRule="auto"/>
        <w:ind w:right="160"/>
        <w:jc w:val="center"/>
      </w:pPr>
      <m:oMathPara>
        <m:oMathParaPr>
          <m:jc m:val="center"/>
        </m:oMathParaPr>
        <m:oMath>
          <m:r>
            <m:rPr>
              <m:sty m:val="p"/>
            </m:rPr>
            <w:rPr>
              <w:rFonts w:ascii="Cambria Math" w:hAnsi="Cambria Math"/>
            </w:rPr>
            <m:t xml:space="preserve">GQCHP electricity exported to the grid </m:t>
          </m:r>
          <m:r>
            <w:rPr>
              <w:rFonts w:ascii="Cambria Math" w:hAnsi="Cambria Math"/>
            </w:rPr>
            <m:t>=</m:t>
          </m:r>
          <m:r>
            <m:rPr>
              <m:sty m:val="p"/>
            </m:rPr>
            <w:rPr>
              <w:rFonts w:ascii="Cambria Math" w:hAnsi="Cambria Math"/>
            </w:rPr>
            <m:t xml:space="preserve"> QPO</m:t>
          </m:r>
          <m:r>
            <w:rPr>
              <w:rFonts w:ascii="Cambria Math" w:hAnsi="Cambria Math"/>
            </w:rPr>
            <m:t>-</m:t>
          </m:r>
          <m:r>
            <m:rPr>
              <m:sty m:val="p"/>
            </m:rPr>
            <w:rPr>
              <w:rFonts w:ascii="Cambria Math" w:hAnsi="Cambria Math"/>
            </w:rPr>
            <m:t xml:space="preserve"> QPO consumed by known consumers</m:t>
          </m:r>
        </m:oMath>
      </m:oMathPara>
    </w:p>
    <w:p w14:paraId="346CE0A4" w14:textId="77777777" w:rsidR="00026E66" w:rsidRDefault="002737EF" w:rsidP="00FF0098">
      <w:pPr>
        <w:tabs>
          <w:tab w:val="left" w:pos="0"/>
        </w:tabs>
      </w:pPr>
      <w:r>
        <w:t xml:space="preserve">Where: </w:t>
      </w:r>
    </w:p>
    <w:p w14:paraId="4FF2BD9B" w14:textId="3AAC6508" w:rsidR="00026E66" w:rsidRDefault="002737EF" w:rsidP="0065356B">
      <w:pPr>
        <w:pStyle w:val="ListParagraph"/>
        <w:numPr>
          <w:ilvl w:val="0"/>
          <w:numId w:val="110"/>
        </w:numPr>
        <w:tabs>
          <w:tab w:val="left" w:pos="0"/>
        </w:tabs>
      </w:pPr>
      <w:r>
        <w:t>QPO is the Qualifying Power Output (as defined by the CHPQA Standard)</w:t>
      </w:r>
    </w:p>
    <w:p w14:paraId="2E60CED5" w14:textId="77777777" w:rsidR="00026E66" w:rsidRDefault="002737EF" w:rsidP="0065356B">
      <w:pPr>
        <w:pStyle w:val="ListParagraph"/>
        <w:numPr>
          <w:ilvl w:val="0"/>
          <w:numId w:val="110"/>
        </w:numPr>
        <w:tabs>
          <w:tab w:val="left" w:pos="0"/>
        </w:tabs>
      </w:pPr>
      <w:r>
        <w:t xml:space="preserve">QPO consumed by known consumers is the CHP electricity on which the climate change levy is not paid </w:t>
      </w:r>
    </w:p>
    <w:p w14:paraId="52EB8DF4" w14:textId="77777777" w:rsidR="00026E66" w:rsidRDefault="002737EF" w:rsidP="00FF0098">
      <w:pPr>
        <w:tabs>
          <w:tab w:val="left" w:pos="0"/>
        </w:tabs>
      </w:pPr>
      <w:r>
        <w:t xml:space="preserve">The credit allocated to each heat consumer is calculated as follows: </w:t>
      </w:r>
    </w:p>
    <w:p w14:paraId="31B1BBE8" w14:textId="33213773" w:rsidR="00026E66" w:rsidRDefault="002737EF" w:rsidP="00A85DB5">
      <w:pPr>
        <w:pStyle w:val="ListParagraph"/>
        <w:numPr>
          <w:ilvl w:val="0"/>
          <w:numId w:val="239"/>
        </w:numPr>
        <w:tabs>
          <w:tab w:val="left" w:pos="0"/>
        </w:tabs>
      </w:pPr>
      <w:r>
        <w:t>Multiply the Good Quality CHP electricity exported to the grid by 2.</w:t>
      </w:r>
      <w:r w:rsidR="00C9486E">
        <w:t>1</w:t>
      </w:r>
      <w:r>
        <w:t xml:space="preserve">. </w:t>
      </w:r>
    </w:p>
    <w:p w14:paraId="0A828D33" w14:textId="0A80D797" w:rsidR="00026E66" w:rsidRDefault="002737EF" w:rsidP="00A85DB5">
      <w:pPr>
        <w:pStyle w:val="ListParagraph"/>
        <w:numPr>
          <w:ilvl w:val="0"/>
          <w:numId w:val="239"/>
        </w:numPr>
        <w:tabs>
          <w:tab w:val="left" w:pos="0"/>
        </w:tabs>
      </w:pPr>
      <w:r>
        <w:t xml:space="preserve">Subtract the energy apportioned to the Good Quality CHP electricity exported to the grid (as calculated in paragraph </w:t>
      </w:r>
      <w:r w:rsidR="004D5425">
        <w:t>20</w:t>
      </w:r>
      <w:r w:rsidR="004D5425" w:rsidRPr="004D5425">
        <w:t xml:space="preserve"> </w:t>
      </w:r>
      <w:r w:rsidR="004D5425">
        <w:t xml:space="preserve">in the </w:t>
      </w:r>
      <w:hyperlink r:id="rId90">
        <w:r w:rsidR="004D5425" w:rsidRPr="5BDEA65B">
          <w:rPr>
            <w:rStyle w:val="Hyperlink"/>
            <w:color w:val="0070C0"/>
          </w:rPr>
          <w:t>Technical Annex</w:t>
        </w:r>
      </w:hyperlink>
      <w:r>
        <w:t xml:space="preserve">). This gives the primary energy that has been saved </w:t>
      </w:r>
      <w:proofErr w:type="gramStart"/>
      <w:r>
        <w:t>as a result of</w:t>
      </w:r>
      <w:proofErr w:type="gramEnd"/>
      <w:r>
        <w:t xml:space="preserve"> the grid exported CHP electricity displacing conventional grid electricity generated at a power station. </w:t>
      </w:r>
    </w:p>
    <w:p w14:paraId="4D6F8FCE" w14:textId="77777777" w:rsidR="00026E66" w:rsidRDefault="002737EF" w:rsidP="00A85DB5">
      <w:pPr>
        <w:pStyle w:val="ListParagraph"/>
        <w:numPr>
          <w:ilvl w:val="0"/>
          <w:numId w:val="239"/>
        </w:numPr>
        <w:tabs>
          <w:tab w:val="left" w:pos="0"/>
        </w:tabs>
      </w:pPr>
      <w:r>
        <w:t xml:space="preserve">Divide this saving among each of the consumers of heat from the CHP on a pro-rata basis according to the quantity of heat each uses. </w:t>
      </w:r>
    </w:p>
    <w:p w14:paraId="4BECA71B" w14:textId="7C61B109" w:rsidR="00026E66" w:rsidRDefault="002737EF" w:rsidP="00A85DB5">
      <w:pPr>
        <w:pStyle w:val="ListParagraph"/>
        <w:numPr>
          <w:ilvl w:val="0"/>
          <w:numId w:val="239"/>
        </w:numPr>
        <w:tabs>
          <w:tab w:val="left" w:pos="0"/>
        </w:tabs>
      </w:pPr>
      <w:r>
        <w:t xml:space="preserve">Subtract the pro-rata saving from each of the Heat Energy figures (as calculated in paragraph </w:t>
      </w:r>
      <w:r w:rsidR="004D5425">
        <w:t>20 in the Technical Annex</w:t>
      </w:r>
      <w:r>
        <w:t xml:space="preserve">), to get a revised Heat Energy figure. </w:t>
      </w:r>
    </w:p>
    <w:p w14:paraId="50D38568" w14:textId="77777777" w:rsidR="00026E66" w:rsidRDefault="002737EF" w:rsidP="00FF0098">
      <w:pPr>
        <w:tabs>
          <w:tab w:val="left" w:pos="0"/>
        </w:tabs>
      </w:pPr>
      <w:r>
        <w:t>Thus, if QPO were exported to public supply instead of being supplied to consumer ‘k', then the revised Heat Energy figures for each consumer ‘</w:t>
      </w:r>
      <w:proofErr w:type="spellStart"/>
      <w:r>
        <w:t>i</w:t>
      </w:r>
      <w:proofErr w:type="spellEnd"/>
      <w:r>
        <w:t>’ (</w:t>
      </w:r>
      <w:proofErr w:type="spellStart"/>
      <w:r>
        <w:t>i</w:t>
      </w:r>
      <w:proofErr w:type="spellEnd"/>
      <w:r>
        <w:t xml:space="preserve"> = </w:t>
      </w:r>
      <w:proofErr w:type="gramStart"/>
      <w:r>
        <w:t>1,..</w:t>
      </w:r>
      <w:proofErr w:type="gramEnd"/>
      <w:r>
        <w:t xml:space="preserve">,m) would be as follows: </w:t>
      </w:r>
    </w:p>
    <w:p w14:paraId="5DB1D560" w14:textId="0D3821FF" w:rsidR="00026E66" w:rsidRDefault="000071D0" w:rsidP="00FF0098">
      <w:pPr>
        <w:tabs>
          <w:tab w:val="left" w:pos="0"/>
        </w:tabs>
        <w:spacing w:after="215" w:line="247" w:lineRule="auto"/>
        <w:ind w:right="160"/>
        <w:jc w:val="center"/>
      </w:pPr>
      <m:oMathPara>
        <m:oMathParaPr>
          <m:jc m:val="center"/>
        </m:oMathParaPr>
        <m:oMath>
          <m:r>
            <w:rPr>
              <w:rFonts w:ascii="Cambria Math" w:hAnsi="Cambria Math"/>
            </w:rPr>
            <m:t>Revised Heat Energ</m:t>
          </m:r>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 Heat Energ</m:t>
          </m:r>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t>
          </m:r>
          <m:d>
            <m:dPr>
              <m:ctrlPr>
                <w:rPr>
                  <w:rFonts w:ascii="Cambria Math" w:hAnsi="Cambria Math"/>
                </w:rPr>
              </m:ctrlPr>
            </m:dPr>
            <m:e>
              <m:d>
                <m:dPr>
                  <m:ctrlPr>
                    <w:rPr>
                      <w:rFonts w:ascii="Cambria Math" w:hAnsi="Cambria Math"/>
                    </w:rPr>
                  </m:ctrlPr>
                </m:dPr>
                <m:e>
                  <m:r>
                    <w:rPr>
                      <w:rFonts w:ascii="Cambria Math" w:hAnsi="Cambria Math"/>
                    </w:rPr>
                    <m:t>Exported QPO×2.1 - Electricity Energ</m:t>
                  </m:r>
                  <m:sSub>
                    <m:sSubPr>
                      <m:ctrlPr>
                        <w:rPr>
                          <w:rFonts w:ascii="Cambria Math" w:hAnsi="Cambria Math"/>
                        </w:rPr>
                      </m:ctrlPr>
                    </m:sSubPr>
                    <m:e>
                      <m:r>
                        <w:rPr>
                          <w:rFonts w:ascii="Cambria Math" w:hAnsi="Cambria Math"/>
                        </w:rPr>
                        <m:t>y</m:t>
                      </m:r>
                    </m:e>
                    <m:sub>
                      <m:r>
                        <w:rPr>
                          <w:rFonts w:ascii="Cambria Math" w:hAnsi="Cambria Math"/>
                        </w:rPr>
                        <m:t>k</m:t>
                      </m:r>
                    </m:sub>
                  </m:sSub>
                </m:e>
              </m:d>
              <m:r>
                <w:rPr>
                  <w:rFonts w:ascii="Cambria Math" w:hAnsi="Cambria Math"/>
                </w:rPr>
                <m:t>×</m:t>
              </m:r>
              <m:f>
                <m:fPr>
                  <m:ctrlPr>
                    <w:rPr>
                      <w:rFonts w:ascii="Cambria Math" w:hAnsi="Cambria Math"/>
                    </w:rPr>
                  </m:ctrlPr>
                </m:fPr>
                <m:num>
                  <m:r>
                    <w:rPr>
                      <w:rFonts w:ascii="Cambria Math" w:hAnsi="Cambria Math"/>
                    </w:rPr>
                    <m:t>Hea</m:t>
                  </m:r>
                  <m:sSub>
                    <m:sSubPr>
                      <m:ctrlPr>
                        <w:rPr>
                          <w:rFonts w:ascii="Cambria Math" w:hAnsi="Cambria Math"/>
                        </w:rPr>
                      </m:ctrlPr>
                    </m:sSubPr>
                    <m:e>
                      <m:r>
                        <w:rPr>
                          <w:rFonts w:ascii="Cambria Math" w:hAnsi="Cambria Math"/>
                        </w:rPr>
                        <m:t>t</m:t>
                      </m:r>
                    </m:e>
                    <m:sub>
                      <m:r>
                        <w:rPr>
                          <w:rFonts w:ascii="Cambria Math" w:hAnsi="Cambria Math"/>
                        </w:rPr>
                        <m:t>i</m:t>
                      </m:r>
                    </m:sub>
                  </m:sSub>
                </m:num>
                <m:den>
                  <m:r>
                    <w:rPr>
                      <w:rFonts w:ascii="Cambria Math" w:hAnsi="Cambria Math"/>
                    </w:rPr>
                    <m:t>Heat output</m:t>
                  </m:r>
                </m:den>
              </m:f>
            </m:e>
          </m:d>
        </m:oMath>
      </m:oMathPara>
    </w:p>
    <w:p w14:paraId="0A53A19D" w14:textId="26D010C2" w:rsidR="00026E66" w:rsidRDefault="002737EF" w:rsidP="00FF0098">
      <w:pPr>
        <w:tabs>
          <w:tab w:val="left" w:pos="0"/>
        </w:tabs>
      </w:pPr>
      <w:r>
        <w:t>In cases where there is export of CHP generated electricity to the grid, consumer ‘</w:t>
      </w:r>
      <w:proofErr w:type="spellStart"/>
      <w:r>
        <w:t>i</w:t>
      </w:r>
      <w:proofErr w:type="spellEnd"/>
      <w:r>
        <w:t xml:space="preserve">’ must report total primary energy consumption, </w:t>
      </w:r>
      <w:proofErr w:type="gramStart"/>
      <w:r>
        <w:t>as a result of</w:t>
      </w:r>
      <w:proofErr w:type="gramEnd"/>
      <w:r>
        <w:t xml:space="preserve"> the use of CHP generated electricity and heat, as Revised Heat Energy</w:t>
      </w:r>
      <w:r w:rsidR="00A371C4" w:rsidRPr="006A019E">
        <w:rPr>
          <w:vertAlign w:val="subscript"/>
        </w:rPr>
        <w:t>(</w:t>
      </w:r>
      <w:proofErr w:type="spellStart"/>
      <w:r>
        <w:rPr>
          <w:vertAlign w:val="subscript"/>
        </w:rPr>
        <w:t>i</w:t>
      </w:r>
      <w:proofErr w:type="spellEnd"/>
      <w:r w:rsidR="004D5425">
        <w:rPr>
          <w:vertAlign w:val="subscript"/>
        </w:rPr>
        <w:t>)</w:t>
      </w:r>
      <w:r>
        <w:rPr>
          <w:vertAlign w:val="subscript"/>
        </w:rPr>
        <w:t xml:space="preserve"> </w:t>
      </w:r>
      <w:r>
        <w:t>plus Electricity Energy</w:t>
      </w:r>
      <w:r w:rsidR="00A371C4" w:rsidRPr="00C34A03">
        <w:rPr>
          <w:vertAlign w:val="subscript"/>
        </w:rPr>
        <w:t>(</w:t>
      </w:r>
      <w:proofErr w:type="spellStart"/>
      <w:r w:rsidR="00A371C4">
        <w:rPr>
          <w:vertAlign w:val="subscript"/>
        </w:rPr>
        <w:t>i</w:t>
      </w:r>
      <w:proofErr w:type="spellEnd"/>
      <w:r w:rsidR="00A371C4">
        <w:rPr>
          <w:vertAlign w:val="subscript"/>
        </w:rPr>
        <w:t>)</w:t>
      </w:r>
      <w:r>
        <w:t xml:space="preserve">. </w:t>
      </w:r>
    </w:p>
    <w:p w14:paraId="456BC06D" w14:textId="77777777" w:rsidR="00026E66" w:rsidRDefault="002737EF" w:rsidP="00FF0098">
      <w:pPr>
        <w:tabs>
          <w:tab w:val="left" w:pos="0"/>
        </w:tabs>
      </w:pPr>
      <w:r>
        <w:t xml:space="preserve">When calculating credits for grid exported QPO: </w:t>
      </w:r>
    </w:p>
    <w:p w14:paraId="51C1FEDF" w14:textId="26015255" w:rsidR="00026E66" w:rsidRDefault="002737EF" w:rsidP="0065356B">
      <w:pPr>
        <w:pStyle w:val="ListParagraph"/>
        <w:numPr>
          <w:ilvl w:val="0"/>
          <w:numId w:val="112"/>
        </w:numPr>
        <w:tabs>
          <w:tab w:val="left" w:pos="0"/>
        </w:tabs>
      </w:pPr>
      <w:r>
        <w:lastRenderedPageBreak/>
        <w:t>if the fuel allocated to a heat user minus the credit for exported QPO results in an overall fuel figure of less than zero the user affected must set the overall fuel figure to zero</w:t>
      </w:r>
    </w:p>
    <w:p w14:paraId="1A5B92B9" w14:textId="4F3B4EC2" w:rsidR="00026E66" w:rsidRDefault="002737EF" w:rsidP="0065356B">
      <w:pPr>
        <w:pStyle w:val="ListParagraph"/>
        <w:numPr>
          <w:ilvl w:val="0"/>
          <w:numId w:val="112"/>
        </w:numPr>
        <w:tabs>
          <w:tab w:val="left" w:pos="0"/>
        </w:tabs>
      </w:pPr>
      <w:r>
        <w:t>if the heat credit itself for exported QPO to a heat user is negative the user affected must set the credit for exported QPO to zero</w:t>
      </w:r>
    </w:p>
    <w:p w14:paraId="4618714A" w14:textId="77777777" w:rsidR="00026E66" w:rsidRDefault="002737EF" w:rsidP="00FF0098">
      <w:pPr>
        <w:tabs>
          <w:tab w:val="left" w:pos="0"/>
        </w:tabs>
      </w:pPr>
      <w:r>
        <w:t>When reporting primary energy (fuel) consumption associated with the consumption of CHP generated electricity or heat, this fuel consumption must be recorded under the same fuel type as the fuel inputs to the CHP. For example, if the fuel inputs to the CHP are natural gas, then the fuel consumption associated with the consumption of CHP electricity and heat will be reported under natural gas.</w:t>
      </w:r>
    </w:p>
    <w:p w14:paraId="32BEF28F" w14:textId="77777777" w:rsidR="00026E66" w:rsidRPr="00E931A9" w:rsidRDefault="002737EF" w:rsidP="00FF0098">
      <w:pPr>
        <w:pStyle w:val="Heading3"/>
        <w:tabs>
          <w:tab w:val="left" w:pos="0"/>
        </w:tabs>
      </w:pPr>
      <w:r w:rsidRPr="00E931A9">
        <w:t xml:space="preserve">CHP – where all fuel input is renewable </w:t>
      </w:r>
    </w:p>
    <w:p w14:paraId="626C2726" w14:textId="6018D1F9" w:rsidR="00026E66" w:rsidRDefault="002737EF" w:rsidP="00FF0098">
      <w:pPr>
        <w:tabs>
          <w:tab w:val="left" w:pos="0"/>
        </w:tabs>
      </w:pPr>
      <w:r>
        <w:rPr>
          <w:color w:val="auto"/>
        </w:rPr>
        <w:t xml:space="preserve">Paragraphs </w:t>
      </w:r>
      <w:r w:rsidR="00A371C4">
        <w:rPr>
          <w:color w:val="auto"/>
        </w:rPr>
        <w:t xml:space="preserve">35 </w:t>
      </w:r>
      <w:r>
        <w:rPr>
          <w:color w:val="auto"/>
        </w:rPr>
        <w:t xml:space="preserve">to </w:t>
      </w:r>
      <w:r w:rsidR="00A371C4">
        <w:rPr>
          <w:color w:val="auto"/>
        </w:rPr>
        <w:t>39</w:t>
      </w:r>
      <w:r>
        <w:rPr>
          <w:color w:val="auto"/>
        </w:rPr>
        <w:t xml:space="preserve"> from</w:t>
      </w:r>
      <w:r w:rsidR="00B609AA">
        <w:rPr>
          <w:color w:val="auto"/>
        </w:rPr>
        <w:t xml:space="preserve"> the</w:t>
      </w:r>
      <w:r>
        <w:rPr>
          <w:color w:val="auto"/>
        </w:rPr>
        <w:t xml:space="preserve"> </w:t>
      </w:r>
      <w:hyperlink r:id="rId91" w:history="1">
        <w:r>
          <w:rPr>
            <w:rStyle w:val="Hyperlink"/>
            <w:color w:val="0070C0"/>
          </w:rPr>
          <w:t>Technical Annex</w:t>
        </w:r>
      </w:hyperlink>
      <w:r w:rsidR="00FC355D">
        <w:rPr>
          <w:color w:val="auto"/>
        </w:rPr>
        <w:t xml:space="preserve"> </w:t>
      </w:r>
      <w:r>
        <w:rPr>
          <w:color w:val="auto"/>
        </w:rPr>
        <w:t xml:space="preserve">state that: </w:t>
      </w:r>
    </w:p>
    <w:p w14:paraId="33AEB4D9" w14:textId="77777777" w:rsidR="00221770" w:rsidRDefault="002737EF" w:rsidP="00FF0098">
      <w:pPr>
        <w:tabs>
          <w:tab w:val="left" w:pos="0"/>
        </w:tabs>
        <w:rPr>
          <w:color w:val="auto"/>
        </w:rPr>
      </w:pPr>
      <w:r>
        <w:rPr>
          <w:color w:val="auto"/>
        </w:rPr>
        <w:t xml:space="preserve">If the fuel input to the CHP is 100% renewable </w:t>
      </w:r>
      <w:proofErr w:type="gramStart"/>
      <w:r>
        <w:rPr>
          <w:color w:val="auto"/>
        </w:rPr>
        <w:t>all of</w:t>
      </w:r>
      <w:proofErr w:type="gramEnd"/>
      <w:r>
        <w:rPr>
          <w:color w:val="auto"/>
        </w:rPr>
        <w:t xml:space="preserve"> the electricity and heat outputs of the CHP must be considered renewable. This means that consumption of </w:t>
      </w:r>
      <w:proofErr w:type="gramStart"/>
      <w:r>
        <w:rPr>
          <w:color w:val="auto"/>
        </w:rPr>
        <w:t>all of</w:t>
      </w:r>
      <w:proofErr w:type="gramEnd"/>
      <w:r>
        <w:rPr>
          <w:color w:val="auto"/>
        </w:rPr>
        <w:t xml:space="preserve"> this electricity will be treated as if it were grid electricity</w:t>
      </w:r>
      <w:r w:rsidR="006B0312">
        <w:rPr>
          <w:color w:val="auto"/>
        </w:rPr>
        <w:t xml:space="preserve"> using a Primary Emission Factor of 2.1</w:t>
      </w:r>
      <w:r>
        <w:rPr>
          <w:color w:val="auto"/>
        </w:rPr>
        <w:t>.</w:t>
      </w:r>
      <w:r w:rsidR="006B0312">
        <w:rPr>
          <w:color w:val="auto"/>
        </w:rPr>
        <w:t xml:space="preserve"> </w:t>
      </w:r>
    </w:p>
    <w:p w14:paraId="6A26B66B" w14:textId="7DD3714E" w:rsidR="00026E66" w:rsidRDefault="002737EF" w:rsidP="00FF0098">
      <w:pPr>
        <w:tabs>
          <w:tab w:val="left" w:pos="0"/>
        </w:tabs>
        <w:rPr>
          <w:color w:val="auto"/>
        </w:rPr>
      </w:pPr>
      <w:r>
        <w:rPr>
          <w:color w:val="auto"/>
        </w:rPr>
        <w:t xml:space="preserve">Consumption of CHP heat will lead to the reporting of primary energy consumption (in the form of some of the input fuels), but this energy consumption will be zero rated for carbon. </w:t>
      </w:r>
    </w:p>
    <w:p w14:paraId="6A310A00" w14:textId="77777777" w:rsidR="00026E66" w:rsidRDefault="002737EF" w:rsidP="00FF0098">
      <w:pPr>
        <w:tabs>
          <w:tab w:val="left" w:pos="0"/>
        </w:tabs>
        <w:rPr>
          <w:color w:val="auto"/>
        </w:rPr>
      </w:pPr>
      <w:r>
        <w:rPr>
          <w:color w:val="auto"/>
        </w:rPr>
        <w:t xml:space="preserve">For a CHP where the fuel inputs are 100% renewable, the primary energy for CHP heat is calculated as follows: </w:t>
      </w:r>
    </w:p>
    <w:p w14:paraId="765987C0" w14:textId="72F3F0FD" w:rsidR="00026E66" w:rsidRDefault="002737EF" w:rsidP="00FF0098">
      <w:pPr>
        <w:tabs>
          <w:tab w:val="left" w:pos="0"/>
        </w:tabs>
      </w:pPr>
      <w:r>
        <w:t>Primary energy for CHP heat = Total Fuel Input to CHP – (Total Power Output from CHP × 2.</w:t>
      </w:r>
      <w:r w:rsidR="0074658D">
        <w:t>1</w:t>
      </w:r>
      <w:r>
        <w:t xml:space="preserve">) </w:t>
      </w:r>
    </w:p>
    <w:p w14:paraId="63B9C436" w14:textId="28625454" w:rsidR="00026E66" w:rsidRDefault="002737EF" w:rsidP="00FF0098">
      <w:pPr>
        <w:tabs>
          <w:tab w:val="left" w:pos="0"/>
        </w:tabs>
      </w:pPr>
      <w:r>
        <w:t>If Total Fuel Input to CHP &lt; (Total Power Output from CHP × 2.</w:t>
      </w:r>
      <w:r w:rsidR="0074658D">
        <w:t>1</w:t>
      </w:r>
      <w:r>
        <w:t>), then primary energy for CHP heat must be set to zero.</w:t>
      </w:r>
    </w:p>
    <w:p w14:paraId="68A9485F" w14:textId="77777777" w:rsidR="00026E66" w:rsidRDefault="002737EF" w:rsidP="00FF0098">
      <w:pPr>
        <w:tabs>
          <w:tab w:val="left" w:pos="0"/>
        </w:tabs>
      </w:pPr>
      <w:r>
        <w:t>This means that the energy input to renewable CHP must be recorded in order that the primary energy for renewable CHP heat can be determined and reported.</w:t>
      </w:r>
    </w:p>
    <w:p w14:paraId="414A4EE9" w14:textId="2272A486" w:rsidR="00026E66" w:rsidRDefault="002737EF" w:rsidP="00FF0098">
      <w:pPr>
        <w:tabs>
          <w:tab w:val="left" w:pos="0"/>
        </w:tabs>
      </w:pPr>
      <w:r>
        <w:t>When reporting primary energy (fuel) consumption associated with the consumption of CHP generated heat, this fuel consumption must be recorded under the same fuel type as the fuel inputs to the CHP. For example, if the fuel inputs to the CHP are biogas, then the fuel consumption associated with the consumption of CHP heat will be reported under biogas. The consumption of CHP generated electricity in this case would be reported as primary</w:t>
      </w:r>
      <w:r w:rsidR="00FC716A">
        <w:t xml:space="preserve"> </w:t>
      </w:r>
      <w:r w:rsidR="002D169C">
        <w:t>together with grid electricity consumed.</w:t>
      </w:r>
    </w:p>
    <w:p w14:paraId="31A9D616" w14:textId="77777777" w:rsidR="00B57B2D" w:rsidRDefault="00B57B2D" w:rsidP="00FF0098">
      <w:pPr>
        <w:tabs>
          <w:tab w:val="left" w:pos="0"/>
        </w:tabs>
      </w:pPr>
    </w:p>
    <w:p w14:paraId="5AC217C9" w14:textId="27EE454E" w:rsidR="00026E66" w:rsidRDefault="002737EF" w:rsidP="00FF0098">
      <w:pPr>
        <w:pStyle w:val="Heading3"/>
        <w:tabs>
          <w:tab w:val="left" w:pos="0"/>
        </w:tabs>
      </w:pPr>
      <w:r>
        <w:lastRenderedPageBreak/>
        <w:t>CHP – where fuel input is mix of renewable and non-renewable</w:t>
      </w:r>
      <w:r w:rsidR="00FC355D">
        <w:t xml:space="preserve"> </w:t>
      </w:r>
    </w:p>
    <w:p w14:paraId="63175D5F" w14:textId="6ED9C093" w:rsidR="00026E66" w:rsidRDefault="002737EF" w:rsidP="00FF0098">
      <w:pPr>
        <w:tabs>
          <w:tab w:val="left" w:pos="0"/>
        </w:tabs>
        <w:rPr>
          <w:color w:val="auto"/>
        </w:rPr>
      </w:pPr>
      <w:r w:rsidRPr="58D35329">
        <w:rPr>
          <w:color w:val="auto"/>
        </w:rPr>
        <w:t xml:space="preserve">Paragraphs </w:t>
      </w:r>
      <w:r w:rsidR="006B0312">
        <w:rPr>
          <w:color w:val="auto"/>
        </w:rPr>
        <w:t>40</w:t>
      </w:r>
      <w:r w:rsidR="006B0312" w:rsidRPr="58D35329">
        <w:rPr>
          <w:color w:val="auto"/>
        </w:rPr>
        <w:t xml:space="preserve"> </w:t>
      </w:r>
      <w:r w:rsidRPr="58D35329">
        <w:rPr>
          <w:color w:val="auto"/>
        </w:rPr>
        <w:t xml:space="preserve">to </w:t>
      </w:r>
      <w:r w:rsidR="006B0312">
        <w:rPr>
          <w:color w:val="auto"/>
        </w:rPr>
        <w:t>43</w:t>
      </w:r>
      <w:r w:rsidRPr="58D35329">
        <w:rPr>
          <w:color w:val="auto"/>
        </w:rPr>
        <w:t xml:space="preserve"> from</w:t>
      </w:r>
      <w:r w:rsidR="007B4BE6">
        <w:rPr>
          <w:color w:val="auto"/>
        </w:rPr>
        <w:t xml:space="preserve"> the</w:t>
      </w:r>
      <w:r w:rsidRPr="58D35329">
        <w:rPr>
          <w:color w:val="auto"/>
        </w:rPr>
        <w:t xml:space="preserve"> </w:t>
      </w:r>
      <w:hyperlink r:id="rId92">
        <w:r w:rsidRPr="58D35329">
          <w:rPr>
            <w:rStyle w:val="Hyperlink"/>
            <w:color w:val="0070C0"/>
          </w:rPr>
          <w:t>Technical Annex</w:t>
        </w:r>
      </w:hyperlink>
      <w:r w:rsidRPr="58D35329">
        <w:rPr>
          <w:color w:val="auto"/>
        </w:rPr>
        <w:t xml:space="preserve"> state that: </w:t>
      </w:r>
    </w:p>
    <w:p w14:paraId="1266002C" w14:textId="77777777" w:rsidR="00026E66" w:rsidRDefault="002737EF" w:rsidP="00FF0098">
      <w:pPr>
        <w:tabs>
          <w:tab w:val="left" w:pos="0"/>
        </w:tabs>
        <w:rPr>
          <w:color w:val="auto"/>
        </w:rPr>
      </w:pPr>
      <w:r>
        <w:rPr>
          <w:color w:val="auto"/>
        </w:rPr>
        <w:t xml:space="preserve">If the fuel input to the CHP is not 100% renewable, then a proportion of the electricity output must be treated as renewable and the balance as non-renewable. The proportion of the electricity output that is treated as renewable must be the same as the proportion of the fuel input that is deemed renewable, on an energy content basis. </w:t>
      </w:r>
    </w:p>
    <w:p w14:paraId="105588A7" w14:textId="77777777" w:rsidR="00026E66" w:rsidRDefault="002737EF" w:rsidP="00FF0098">
      <w:pPr>
        <w:tabs>
          <w:tab w:val="left" w:pos="0"/>
        </w:tabs>
      </w:pPr>
      <w:r>
        <w:t xml:space="preserve">The primary energy associated with electricity and heat outputs of the CHP treated as renewable must be determined as set out in the section above (CHP where </w:t>
      </w:r>
      <w:proofErr w:type="gramStart"/>
      <w:r>
        <w:t>all of</w:t>
      </w:r>
      <w:proofErr w:type="gramEnd"/>
      <w:r>
        <w:t xml:space="preserve"> the fuel input is renewable). </w:t>
      </w:r>
    </w:p>
    <w:p w14:paraId="3C68213F" w14:textId="77777777" w:rsidR="00026E66" w:rsidRDefault="002737EF" w:rsidP="00FF0098">
      <w:pPr>
        <w:tabs>
          <w:tab w:val="left" w:pos="0"/>
        </w:tabs>
      </w:pPr>
      <w:r>
        <w:t xml:space="preserve">The primary energy associated with the electricity and heat outputs of the CHP treated as non- renewable must be determined as set out in the section above (Combined Heat and Power where </w:t>
      </w:r>
      <w:proofErr w:type="gramStart"/>
      <w:r>
        <w:t>all of</w:t>
      </w:r>
      <w:proofErr w:type="gramEnd"/>
      <w:r>
        <w:t xml:space="preserve"> the fuel inputs are non-renewable).</w:t>
      </w:r>
    </w:p>
    <w:p w14:paraId="01D038AB" w14:textId="77777777" w:rsidR="00026E66" w:rsidRDefault="002737EF" w:rsidP="00FF0098">
      <w:pPr>
        <w:tabs>
          <w:tab w:val="left" w:pos="0"/>
        </w:tabs>
      </w:pPr>
      <w:r>
        <w:t xml:space="preserve">The following example illustrates how to determine the energy to report and how carbon will be accounted for in respect of the consumption of electricity and heat outputs of a CHP fuelled by a mix of renewable and non-renewable fuels. </w:t>
      </w:r>
    </w:p>
    <w:p w14:paraId="2C1AB63D" w14:textId="77777777" w:rsidR="00026E66" w:rsidRDefault="002737EF" w:rsidP="00E642D6">
      <w:pPr>
        <w:pStyle w:val="Heading3"/>
      </w:pPr>
      <w:r>
        <w:t xml:space="preserve">Example </w:t>
      </w:r>
    </w:p>
    <w:p w14:paraId="17CE0BE5" w14:textId="35599542" w:rsidR="00026E66" w:rsidRDefault="002737EF" w:rsidP="00FF0098">
      <w:pPr>
        <w:tabs>
          <w:tab w:val="left" w:pos="0"/>
        </w:tabs>
        <w:rPr>
          <w:color w:val="auto"/>
        </w:rPr>
      </w:pPr>
      <w:r>
        <w:rPr>
          <w:color w:val="auto"/>
        </w:rPr>
        <w:t xml:space="preserve">A reciprocating engine (CHP) situated on CCA facility A generates electricity through the combustion </w:t>
      </w:r>
      <w:r>
        <w:rPr>
          <w:color w:val="auto"/>
          <w:szCs w:val="24"/>
        </w:rPr>
        <w:t>and carbon is accounted for by facilities A and B as follows.</w:t>
      </w:r>
      <w:r>
        <w:rPr>
          <w:color w:val="auto"/>
        </w:rPr>
        <w:t xml:space="preserve"> </w:t>
      </w:r>
    </w:p>
    <w:tbl>
      <w:tblPr>
        <w:tblW w:w="89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300"/>
        <w:gridCol w:w="4606"/>
      </w:tblGrid>
      <w:tr w:rsidR="00C60053" w14:paraId="3A48E917" w14:textId="77777777" w:rsidTr="004C1365">
        <w:trPr>
          <w:trHeight w:val="545"/>
        </w:trPr>
        <w:tc>
          <w:tcPr>
            <w:tcW w:w="4300" w:type="dxa"/>
          </w:tcPr>
          <w:p w14:paraId="360946DA" w14:textId="77777777" w:rsidR="00E642D6" w:rsidRDefault="00E642D6" w:rsidP="00F22E60">
            <w:r>
              <w:t xml:space="preserve">Total fuel input to CHP </w:t>
            </w:r>
          </w:p>
        </w:tc>
        <w:tc>
          <w:tcPr>
            <w:tcW w:w="4606" w:type="dxa"/>
          </w:tcPr>
          <w:p w14:paraId="1CEFE5A0" w14:textId="77777777" w:rsidR="00E642D6" w:rsidRDefault="00E642D6">
            <w:pPr>
              <w:tabs>
                <w:tab w:val="left" w:pos="0"/>
              </w:tabs>
              <w:spacing w:after="0" w:line="256" w:lineRule="auto"/>
              <w:rPr>
                <w:color w:val="auto"/>
              </w:rPr>
            </w:pPr>
            <w:r>
              <w:rPr>
                <w:color w:val="auto"/>
              </w:rPr>
              <w:t xml:space="preserve">17,000 MWh </w:t>
            </w:r>
          </w:p>
        </w:tc>
      </w:tr>
      <w:tr w:rsidR="00C60053" w14:paraId="662BC0FE" w14:textId="77777777" w:rsidTr="004C1365">
        <w:trPr>
          <w:trHeight w:val="560"/>
        </w:trPr>
        <w:tc>
          <w:tcPr>
            <w:tcW w:w="4300" w:type="dxa"/>
          </w:tcPr>
          <w:p w14:paraId="1A22F984" w14:textId="5A06AB6B" w:rsidR="00E642D6" w:rsidRDefault="006B0312" w:rsidP="00F22E60">
            <w:r>
              <w:t>Renewable input b</w:t>
            </w:r>
            <w:r w:rsidR="00E642D6">
              <w:t xml:space="preserve">iogas fuel </w:t>
            </w:r>
          </w:p>
        </w:tc>
        <w:tc>
          <w:tcPr>
            <w:tcW w:w="4606" w:type="dxa"/>
          </w:tcPr>
          <w:p w14:paraId="4ACAEE7B" w14:textId="77777777" w:rsidR="00E642D6" w:rsidRDefault="00E642D6">
            <w:pPr>
              <w:tabs>
                <w:tab w:val="left" w:pos="0"/>
              </w:tabs>
              <w:spacing w:after="0" w:line="256" w:lineRule="auto"/>
            </w:pPr>
            <w:r>
              <w:rPr>
                <w:color w:val="auto"/>
              </w:rPr>
              <w:t xml:space="preserve">17,000 </w:t>
            </w:r>
            <w:r>
              <w:rPr>
                <w:color w:val="auto"/>
                <w:szCs w:val="24"/>
              </w:rPr>
              <w:t>× 50</w:t>
            </w:r>
            <w:r>
              <w:rPr>
                <w:color w:val="auto"/>
              </w:rPr>
              <w:t xml:space="preserve">% = 8,500 MWh </w:t>
            </w:r>
          </w:p>
        </w:tc>
      </w:tr>
      <w:tr w:rsidR="00C60053" w14:paraId="3F28FAE9" w14:textId="77777777" w:rsidTr="004C1365">
        <w:trPr>
          <w:trHeight w:val="559"/>
        </w:trPr>
        <w:tc>
          <w:tcPr>
            <w:tcW w:w="4300" w:type="dxa"/>
          </w:tcPr>
          <w:p w14:paraId="3797C816" w14:textId="539BDC0F" w:rsidR="00E642D6" w:rsidRDefault="006B0312" w:rsidP="00F22E60">
            <w:r>
              <w:t>Non-renewable n</w:t>
            </w:r>
            <w:r w:rsidR="00E642D6">
              <w:t xml:space="preserve">atural gas fuel input </w:t>
            </w:r>
          </w:p>
        </w:tc>
        <w:tc>
          <w:tcPr>
            <w:tcW w:w="4606" w:type="dxa"/>
          </w:tcPr>
          <w:p w14:paraId="54E3B87A" w14:textId="77777777" w:rsidR="00E642D6" w:rsidRDefault="00E642D6">
            <w:pPr>
              <w:tabs>
                <w:tab w:val="left" w:pos="0"/>
              </w:tabs>
              <w:spacing w:after="0" w:line="256" w:lineRule="auto"/>
            </w:pPr>
            <w:r>
              <w:rPr>
                <w:color w:val="auto"/>
              </w:rPr>
              <w:t xml:space="preserve">17,000 </w:t>
            </w:r>
            <w:r>
              <w:rPr>
                <w:color w:val="auto"/>
                <w:szCs w:val="24"/>
              </w:rPr>
              <w:t>× 50</w:t>
            </w:r>
            <w:r>
              <w:rPr>
                <w:color w:val="auto"/>
              </w:rPr>
              <w:t xml:space="preserve">% = 8,500 MWh </w:t>
            </w:r>
          </w:p>
        </w:tc>
      </w:tr>
      <w:tr w:rsidR="00C60053" w14:paraId="21577303" w14:textId="77777777" w:rsidTr="004C1365">
        <w:trPr>
          <w:trHeight w:val="1188"/>
        </w:trPr>
        <w:tc>
          <w:tcPr>
            <w:tcW w:w="4300" w:type="dxa"/>
          </w:tcPr>
          <w:p w14:paraId="222E8746" w14:textId="77777777" w:rsidR="00E642D6" w:rsidRDefault="00E642D6" w:rsidP="00F22E60">
            <w:r>
              <w:t xml:space="preserve">Renewable fuel input </w:t>
            </w:r>
          </w:p>
        </w:tc>
        <w:tc>
          <w:tcPr>
            <w:tcW w:w="4606" w:type="dxa"/>
          </w:tcPr>
          <w:p w14:paraId="6E085EF8" w14:textId="5B7451F5" w:rsidR="00E642D6" w:rsidRDefault="00E642D6">
            <w:pPr>
              <w:tabs>
                <w:tab w:val="left" w:pos="0"/>
              </w:tabs>
              <w:spacing w:after="117" w:line="256" w:lineRule="auto"/>
              <w:rPr>
                <w:color w:val="auto"/>
              </w:rPr>
            </w:pPr>
            <w:r>
              <w:rPr>
                <w:color w:val="auto"/>
              </w:rPr>
              <w:t xml:space="preserve">= </w:t>
            </w:r>
            <w:r w:rsidR="006B0312">
              <w:rPr>
                <w:color w:val="auto"/>
              </w:rPr>
              <w:t>(</w:t>
            </w:r>
            <w:r>
              <w:rPr>
                <w:color w:val="auto"/>
              </w:rPr>
              <w:t>8,500/17,000</w:t>
            </w:r>
            <w:r w:rsidR="006B0312">
              <w:rPr>
                <w:color w:val="auto"/>
              </w:rPr>
              <w:t>) x 100%</w:t>
            </w:r>
            <w:r>
              <w:rPr>
                <w:color w:val="auto"/>
              </w:rPr>
              <w:t xml:space="preserve"> = 50% </w:t>
            </w:r>
          </w:p>
          <w:p w14:paraId="5230486E" w14:textId="77777777" w:rsidR="00E642D6" w:rsidRDefault="00E642D6">
            <w:pPr>
              <w:tabs>
                <w:tab w:val="left" w:pos="0"/>
              </w:tabs>
              <w:spacing w:after="0" w:line="256" w:lineRule="auto"/>
              <w:rPr>
                <w:color w:val="auto"/>
              </w:rPr>
            </w:pPr>
            <w:r>
              <w:rPr>
                <w:color w:val="auto"/>
              </w:rPr>
              <w:t xml:space="preserve">Therefore, not all electricity and heat generated is considered renewable. </w:t>
            </w:r>
          </w:p>
        </w:tc>
      </w:tr>
      <w:tr w:rsidR="00C60053" w14:paraId="4834BB68" w14:textId="77777777" w:rsidTr="004C1365">
        <w:trPr>
          <w:trHeight w:val="545"/>
        </w:trPr>
        <w:tc>
          <w:tcPr>
            <w:tcW w:w="4300" w:type="dxa"/>
          </w:tcPr>
          <w:p w14:paraId="32E405C5" w14:textId="77777777" w:rsidR="00E642D6" w:rsidRDefault="00E642D6" w:rsidP="00F22E60">
            <w:r>
              <w:t xml:space="preserve">Non-renewable fuel input </w:t>
            </w:r>
          </w:p>
        </w:tc>
        <w:tc>
          <w:tcPr>
            <w:tcW w:w="4606" w:type="dxa"/>
          </w:tcPr>
          <w:p w14:paraId="70BE1B93" w14:textId="63928CB3" w:rsidR="00E642D6" w:rsidRDefault="00E642D6">
            <w:pPr>
              <w:tabs>
                <w:tab w:val="left" w:pos="0"/>
              </w:tabs>
              <w:spacing w:after="0" w:line="256" w:lineRule="auto"/>
              <w:rPr>
                <w:color w:val="auto"/>
              </w:rPr>
            </w:pPr>
            <w:r>
              <w:rPr>
                <w:color w:val="auto"/>
              </w:rPr>
              <w:t xml:space="preserve">= </w:t>
            </w:r>
            <w:r w:rsidR="006B0312">
              <w:rPr>
                <w:color w:val="auto"/>
              </w:rPr>
              <w:t>(</w:t>
            </w:r>
            <w:r>
              <w:rPr>
                <w:color w:val="auto"/>
              </w:rPr>
              <w:t>8,500/17,000</w:t>
            </w:r>
            <w:r w:rsidR="006B0312">
              <w:rPr>
                <w:color w:val="auto"/>
              </w:rPr>
              <w:t>) x 100%</w:t>
            </w:r>
            <w:r>
              <w:rPr>
                <w:color w:val="auto"/>
              </w:rPr>
              <w:t xml:space="preserve"> = 50% </w:t>
            </w:r>
          </w:p>
        </w:tc>
      </w:tr>
    </w:tbl>
    <w:p w14:paraId="53E768B7" w14:textId="77777777" w:rsidR="004C1365" w:rsidRDefault="004C1365">
      <w:pPr>
        <w:suppressAutoHyphens w:val="0"/>
        <w:spacing w:before="0" w:beforeAutospacing="0" w:after="160" w:afterAutospacing="0" w:line="256" w:lineRule="auto"/>
        <w:rPr>
          <w:b/>
          <w:color w:val="auto"/>
        </w:rPr>
      </w:pPr>
      <w:r>
        <w:rPr>
          <w:b/>
          <w:color w:val="auto"/>
        </w:rPr>
        <w:br w:type="page"/>
      </w:r>
    </w:p>
    <w:p w14:paraId="68DB0986" w14:textId="77AA1B54" w:rsidR="00E642D6" w:rsidRDefault="00E642D6" w:rsidP="00FF0098">
      <w:pPr>
        <w:tabs>
          <w:tab w:val="left" w:pos="0"/>
        </w:tabs>
        <w:rPr>
          <w:b/>
          <w:color w:val="auto"/>
        </w:rPr>
      </w:pPr>
      <w:r>
        <w:rPr>
          <w:b/>
          <w:color w:val="auto"/>
        </w:rPr>
        <w:lastRenderedPageBreak/>
        <w:t>Renewable outputs</w:t>
      </w:r>
    </w:p>
    <w:tbl>
      <w:tblPr>
        <w:tblW w:w="89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678"/>
        <w:gridCol w:w="4228"/>
      </w:tblGrid>
      <w:tr w:rsidR="00C60053" w14:paraId="0DA76C31" w14:textId="77777777" w:rsidTr="004C1365">
        <w:trPr>
          <w:trHeight w:val="797"/>
        </w:trPr>
        <w:tc>
          <w:tcPr>
            <w:tcW w:w="4678" w:type="dxa"/>
          </w:tcPr>
          <w:p w14:paraId="28A88D34" w14:textId="77777777" w:rsidR="00E642D6" w:rsidRDefault="00E642D6" w:rsidP="00F22E60">
            <w:r>
              <w:t xml:space="preserve">Proportion of electricity considered renewable </w:t>
            </w:r>
          </w:p>
        </w:tc>
        <w:tc>
          <w:tcPr>
            <w:tcW w:w="4228" w:type="dxa"/>
          </w:tcPr>
          <w:p w14:paraId="653DC47A" w14:textId="77777777" w:rsidR="00E642D6" w:rsidRDefault="00E642D6">
            <w:pPr>
              <w:tabs>
                <w:tab w:val="left" w:pos="0"/>
              </w:tabs>
              <w:spacing w:after="0" w:line="256" w:lineRule="auto"/>
              <w:rPr>
                <w:color w:val="auto"/>
              </w:rPr>
            </w:pPr>
            <w:r>
              <w:rPr>
                <w:color w:val="auto"/>
              </w:rPr>
              <w:t xml:space="preserve">50% </w:t>
            </w:r>
          </w:p>
        </w:tc>
      </w:tr>
      <w:tr w:rsidR="00C60053" w14:paraId="0F310E18" w14:textId="77777777" w:rsidTr="004C1365">
        <w:trPr>
          <w:trHeight w:val="542"/>
        </w:trPr>
        <w:tc>
          <w:tcPr>
            <w:tcW w:w="4678" w:type="dxa"/>
          </w:tcPr>
          <w:p w14:paraId="6AEE4E8B" w14:textId="77777777" w:rsidR="00E642D6" w:rsidRDefault="00E642D6" w:rsidP="00F22E60">
            <w:r>
              <w:t xml:space="preserve">Proportion of heat considered renewable </w:t>
            </w:r>
          </w:p>
        </w:tc>
        <w:tc>
          <w:tcPr>
            <w:tcW w:w="4228" w:type="dxa"/>
          </w:tcPr>
          <w:p w14:paraId="534813EB" w14:textId="77777777" w:rsidR="00E642D6" w:rsidRDefault="00E642D6">
            <w:pPr>
              <w:tabs>
                <w:tab w:val="left" w:pos="0"/>
              </w:tabs>
              <w:spacing w:after="0" w:line="256" w:lineRule="auto"/>
              <w:rPr>
                <w:color w:val="auto"/>
              </w:rPr>
            </w:pPr>
            <w:r>
              <w:rPr>
                <w:color w:val="auto"/>
              </w:rPr>
              <w:t xml:space="preserve">50% </w:t>
            </w:r>
          </w:p>
        </w:tc>
      </w:tr>
      <w:tr w:rsidR="00C60053" w14:paraId="4399BFDD" w14:textId="77777777" w:rsidTr="004C1365">
        <w:trPr>
          <w:trHeight w:val="562"/>
        </w:trPr>
        <w:tc>
          <w:tcPr>
            <w:tcW w:w="4678" w:type="dxa"/>
          </w:tcPr>
          <w:p w14:paraId="67F65B86" w14:textId="77777777" w:rsidR="00E642D6" w:rsidRDefault="00E642D6" w:rsidP="00F22E60">
            <w:r>
              <w:t xml:space="preserve">Electricity considered renewable </w:t>
            </w:r>
          </w:p>
        </w:tc>
        <w:tc>
          <w:tcPr>
            <w:tcW w:w="4228" w:type="dxa"/>
          </w:tcPr>
          <w:p w14:paraId="71221558" w14:textId="77777777" w:rsidR="00E642D6" w:rsidRDefault="00E642D6">
            <w:pPr>
              <w:tabs>
                <w:tab w:val="left" w:pos="0"/>
              </w:tabs>
              <w:spacing w:after="0" w:line="256" w:lineRule="auto"/>
            </w:pPr>
            <w:r>
              <w:rPr>
                <w:color w:val="auto"/>
              </w:rPr>
              <w:t xml:space="preserve">= 50% </w:t>
            </w:r>
            <w:r>
              <w:rPr>
                <w:color w:val="auto"/>
                <w:szCs w:val="24"/>
              </w:rPr>
              <w:t>×</w:t>
            </w:r>
            <w:r>
              <w:rPr>
                <w:color w:val="auto"/>
              </w:rPr>
              <w:t xml:space="preserve"> 4,800 = 2,400 MWh </w:t>
            </w:r>
          </w:p>
        </w:tc>
      </w:tr>
      <w:tr w:rsidR="00C60053" w14:paraId="510052C5" w14:textId="77777777" w:rsidTr="004C1365">
        <w:trPr>
          <w:trHeight w:val="559"/>
        </w:trPr>
        <w:tc>
          <w:tcPr>
            <w:tcW w:w="4678" w:type="dxa"/>
          </w:tcPr>
          <w:p w14:paraId="7C625487" w14:textId="77777777" w:rsidR="00E642D6" w:rsidRDefault="00E642D6" w:rsidP="00F22E60">
            <w:r>
              <w:t xml:space="preserve">Heat considered renewable </w:t>
            </w:r>
          </w:p>
        </w:tc>
        <w:tc>
          <w:tcPr>
            <w:tcW w:w="4228" w:type="dxa"/>
          </w:tcPr>
          <w:p w14:paraId="6351B7AD" w14:textId="77777777" w:rsidR="00E642D6" w:rsidRDefault="00E642D6">
            <w:pPr>
              <w:tabs>
                <w:tab w:val="left" w:pos="0"/>
              </w:tabs>
              <w:spacing w:after="0" w:line="256" w:lineRule="auto"/>
            </w:pPr>
            <w:r>
              <w:rPr>
                <w:color w:val="auto"/>
              </w:rPr>
              <w:t xml:space="preserve">= 50% </w:t>
            </w:r>
            <w:r>
              <w:rPr>
                <w:rFonts w:eastAsia="Segoe UI Symbol"/>
                <w:color w:val="auto"/>
                <w:szCs w:val="24"/>
              </w:rPr>
              <w:t>×</w:t>
            </w:r>
            <w:r>
              <w:rPr>
                <w:color w:val="auto"/>
              </w:rPr>
              <w:t xml:space="preserve"> 7,000 = 3,500 MWh </w:t>
            </w:r>
          </w:p>
        </w:tc>
      </w:tr>
      <w:tr w:rsidR="00C60053" w14:paraId="72877244" w14:textId="77777777" w:rsidTr="004C1365">
        <w:trPr>
          <w:trHeight w:val="559"/>
        </w:trPr>
        <w:tc>
          <w:tcPr>
            <w:tcW w:w="4678" w:type="dxa"/>
          </w:tcPr>
          <w:p w14:paraId="14743120" w14:textId="77777777" w:rsidR="00E642D6" w:rsidRDefault="00E642D6" w:rsidP="00F22E60">
            <w:r>
              <w:t xml:space="preserve">Total fuel for renewable outputs </w:t>
            </w:r>
          </w:p>
        </w:tc>
        <w:tc>
          <w:tcPr>
            <w:tcW w:w="4228" w:type="dxa"/>
          </w:tcPr>
          <w:p w14:paraId="488D5F22" w14:textId="77777777" w:rsidR="00E642D6" w:rsidRDefault="00E642D6">
            <w:pPr>
              <w:tabs>
                <w:tab w:val="left" w:pos="0"/>
              </w:tabs>
              <w:spacing w:after="0" w:line="256" w:lineRule="auto"/>
            </w:pPr>
            <w:r>
              <w:rPr>
                <w:color w:val="auto"/>
              </w:rPr>
              <w:t xml:space="preserve">= 50% </w:t>
            </w:r>
            <w:r>
              <w:rPr>
                <w:rFonts w:eastAsia="Segoe UI Symbol"/>
                <w:color w:val="auto"/>
                <w:szCs w:val="24"/>
              </w:rPr>
              <w:t>×</w:t>
            </w:r>
            <w:r>
              <w:rPr>
                <w:color w:val="auto"/>
              </w:rPr>
              <w:t xml:space="preserve"> 17,000 = 8,500 MWh </w:t>
            </w:r>
          </w:p>
        </w:tc>
      </w:tr>
      <w:tr w:rsidR="00C60053" w14:paraId="49267585" w14:textId="77777777" w:rsidTr="004C1365">
        <w:trPr>
          <w:trHeight w:val="559"/>
        </w:trPr>
        <w:tc>
          <w:tcPr>
            <w:tcW w:w="4678" w:type="dxa"/>
          </w:tcPr>
          <w:p w14:paraId="51378F84" w14:textId="77777777" w:rsidR="00E642D6" w:rsidRDefault="00E642D6" w:rsidP="00F22E60">
            <w:r>
              <w:t xml:space="preserve">Primary energy for renewable electricity </w:t>
            </w:r>
          </w:p>
        </w:tc>
        <w:tc>
          <w:tcPr>
            <w:tcW w:w="4228" w:type="dxa"/>
          </w:tcPr>
          <w:p w14:paraId="5B899BAF" w14:textId="56850889" w:rsidR="00E642D6" w:rsidRDefault="00E642D6">
            <w:pPr>
              <w:tabs>
                <w:tab w:val="left" w:pos="0"/>
              </w:tabs>
              <w:spacing w:after="0" w:line="256" w:lineRule="auto"/>
            </w:pPr>
            <w:r>
              <w:rPr>
                <w:color w:val="auto"/>
              </w:rPr>
              <w:t xml:space="preserve">= 2,400 </w:t>
            </w:r>
            <w:r>
              <w:rPr>
                <w:rFonts w:eastAsia="Segoe UI Symbol"/>
                <w:color w:val="auto"/>
                <w:szCs w:val="24"/>
              </w:rPr>
              <w:t>×</w:t>
            </w:r>
            <w:r>
              <w:rPr>
                <w:color w:val="auto"/>
              </w:rPr>
              <w:t xml:space="preserve"> 2.</w:t>
            </w:r>
            <w:r w:rsidR="00A01A6A">
              <w:rPr>
                <w:color w:val="auto"/>
              </w:rPr>
              <w:t xml:space="preserve">1 </w:t>
            </w:r>
            <w:r>
              <w:rPr>
                <w:color w:val="auto"/>
              </w:rPr>
              <w:t xml:space="preserve">= </w:t>
            </w:r>
            <w:r w:rsidR="00A01A6A">
              <w:rPr>
                <w:color w:val="auto"/>
              </w:rPr>
              <w:t>5,040</w:t>
            </w:r>
            <w:r>
              <w:rPr>
                <w:color w:val="auto"/>
              </w:rPr>
              <w:t xml:space="preserve"> MWh </w:t>
            </w:r>
          </w:p>
        </w:tc>
      </w:tr>
      <w:tr w:rsidR="00C60053" w14:paraId="1F31DB61" w14:textId="77777777" w:rsidTr="004C1365">
        <w:trPr>
          <w:trHeight w:val="542"/>
        </w:trPr>
        <w:tc>
          <w:tcPr>
            <w:tcW w:w="4678" w:type="dxa"/>
          </w:tcPr>
          <w:p w14:paraId="63774D33" w14:textId="77777777" w:rsidR="00E642D6" w:rsidRDefault="00E642D6" w:rsidP="00F22E60">
            <w:r>
              <w:t xml:space="preserve">Primary energy for renewable heat </w:t>
            </w:r>
          </w:p>
        </w:tc>
        <w:tc>
          <w:tcPr>
            <w:tcW w:w="4228" w:type="dxa"/>
          </w:tcPr>
          <w:p w14:paraId="72D98E37" w14:textId="0D74EEBD" w:rsidR="00E642D6" w:rsidRDefault="00E642D6">
            <w:pPr>
              <w:tabs>
                <w:tab w:val="left" w:pos="0"/>
              </w:tabs>
              <w:spacing w:after="0" w:line="256" w:lineRule="auto"/>
              <w:rPr>
                <w:color w:val="auto"/>
              </w:rPr>
            </w:pPr>
            <w:r>
              <w:rPr>
                <w:color w:val="auto"/>
              </w:rPr>
              <w:t xml:space="preserve">= 8,500 – </w:t>
            </w:r>
            <w:r w:rsidR="00A01A6A">
              <w:rPr>
                <w:color w:val="auto"/>
              </w:rPr>
              <w:t>5,040</w:t>
            </w:r>
            <w:r>
              <w:rPr>
                <w:color w:val="auto"/>
              </w:rPr>
              <w:t xml:space="preserve"> = </w:t>
            </w:r>
            <w:r w:rsidR="00A01A6A">
              <w:rPr>
                <w:color w:val="auto"/>
              </w:rPr>
              <w:t>3,4</w:t>
            </w:r>
            <w:r>
              <w:rPr>
                <w:color w:val="auto"/>
              </w:rPr>
              <w:t xml:space="preserve">60 MWh </w:t>
            </w:r>
          </w:p>
        </w:tc>
      </w:tr>
    </w:tbl>
    <w:p w14:paraId="6A3C5C29" w14:textId="0697ACD8" w:rsidR="00E642D6" w:rsidRPr="00E642D6" w:rsidRDefault="00E642D6" w:rsidP="00FF0098">
      <w:pPr>
        <w:tabs>
          <w:tab w:val="left" w:pos="0"/>
        </w:tabs>
        <w:rPr>
          <w:b/>
        </w:rPr>
      </w:pPr>
      <w:r w:rsidRPr="00E642D6">
        <w:rPr>
          <w:b/>
        </w:rPr>
        <w:t>Non-renewable outputs</w:t>
      </w:r>
    </w:p>
    <w:tbl>
      <w:tblPr>
        <w:tblW w:w="89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678"/>
        <w:gridCol w:w="4228"/>
      </w:tblGrid>
      <w:tr w:rsidR="00DA79C2" w14:paraId="4C024A11" w14:textId="77777777" w:rsidTr="004C1365">
        <w:trPr>
          <w:trHeight w:val="797"/>
        </w:trPr>
        <w:tc>
          <w:tcPr>
            <w:tcW w:w="4678" w:type="dxa"/>
          </w:tcPr>
          <w:p w14:paraId="2663F885" w14:textId="77777777" w:rsidR="00026E66" w:rsidRDefault="002737EF" w:rsidP="00F22E60">
            <w:r>
              <w:t xml:space="preserve">Proportion of electricity considered non- renewable </w:t>
            </w:r>
          </w:p>
        </w:tc>
        <w:tc>
          <w:tcPr>
            <w:tcW w:w="4228" w:type="dxa"/>
          </w:tcPr>
          <w:p w14:paraId="6441D12B" w14:textId="77777777" w:rsidR="00026E66" w:rsidRDefault="002737EF" w:rsidP="00FF0098">
            <w:pPr>
              <w:tabs>
                <w:tab w:val="left" w:pos="0"/>
              </w:tabs>
              <w:spacing w:after="0" w:line="256" w:lineRule="auto"/>
              <w:rPr>
                <w:color w:val="auto"/>
              </w:rPr>
            </w:pPr>
            <w:r>
              <w:rPr>
                <w:color w:val="auto"/>
              </w:rPr>
              <w:t xml:space="preserve">50% </w:t>
            </w:r>
          </w:p>
        </w:tc>
      </w:tr>
      <w:tr w:rsidR="00DA79C2" w14:paraId="26A4258F" w14:textId="77777777" w:rsidTr="004C1365">
        <w:trPr>
          <w:trHeight w:val="797"/>
        </w:trPr>
        <w:tc>
          <w:tcPr>
            <w:tcW w:w="4678" w:type="dxa"/>
          </w:tcPr>
          <w:p w14:paraId="0EE05A27" w14:textId="77777777" w:rsidR="00026E66" w:rsidRDefault="002737EF" w:rsidP="00F22E60">
            <w:r>
              <w:t xml:space="preserve">Proportion of heat considered non- renewable </w:t>
            </w:r>
          </w:p>
        </w:tc>
        <w:tc>
          <w:tcPr>
            <w:tcW w:w="4228" w:type="dxa"/>
          </w:tcPr>
          <w:p w14:paraId="4FEF33D4" w14:textId="77777777" w:rsidR="00026E66" w:rsidRDefault="002737EF" w:rsidP="00FF0098">
            <w:pPr>
              <w:tabs>
                <w:tab w:val="left" w:pos="0"/>
              </w:tabs>
              <w:spacing w:after="0" w:line="256" w:lineRule="auto"/>
              <w:rPr>
                <w:color w:val="auto"/>
              </w:rPr>
            </w:pPr>
            <w:r>
              <w:rPr>
                <w:color w:val="auto"/>
              </w:rPr>
              <w:t xml:space="preserve">50% </w:t>
            </w:r>
          </w:p>
        </w:tc>
      </w:tr>
      <w:tr w:rsidR="00DA79C2" w14:paraId="3F44D012" w14:textId="77777777" w:rsidTr="004C1365">
        <w:trPr>
          <w:trHeight w:val="794"/>
        </w:trPr>
        <w:tc>
          <w:tcPr>
            <w:tcW w:w="4678" w:type="dxa"/>
          </w:tcPr>
          <w:p w14:paraId="024194C0" w14:textId="77777777" w:rsidR="00026E66" w:rsidRDefault="002737EF" w:rsidP="00F22E60">
            <w:r>
              <w:t xml:space="preserve">Electricity output considered non- renewable </w:t>
            </w:r>
          </w:p>
        </w:tc>
        <w:tc>
          <w:tcPr>
            <w:tcW w:w="4228" w:type="dxa"/>
          </w:tcPr>
          <w:p w14:paraId="28F44D43" w14:textId="77777777" w:rsidR="00026E66" w:rsidRDefault="002737EF" w:rsidP="00FF0098">
            <w:pPr>
              <w:tabs>
                <w:tab w:val="left" w:pos="0"/>
              </w:tabs>
              <w:spacing w:after="0" w:line="256" w:lineRule="auto"/>
            </w:pPr>
            <w:r>
              <w:rPr>
                <w:color w:val="auto"/>
              </w:rPr>
              <w:t xml:space="preserve">= 50% </w:t>
            </w:r>
            <w:r>
              <w:rPr>
                <w:color w:val="auto"/>
                <w:szCs w:val="24"/>
              </w:rPr>
              <w:t>×</w:t>
            </w:r>
            <w:r>
              <w:rPr>
                <w:color w:val="auto"/>
              </w:rPr>
              <w:t xml:space="preserve"> 4,800 = 2,400 MWh </w:t>
            </w:r>
          </w:p>
        </w:tc>
      </w:tr>
      <w:tr w:rsidR="00DA79C2" w14:paraId="5181A673" w14:textId="77777777" w:rsidTr="004C1365">
        <w:trPr>
          <w:trHeight w:val="559"/>
        </w:trPr>
        <w:tc>
          <w:tcPr>
            <w:tcW w:w="4678" w:type="dxa"/>
          </w:tcPr>
          <w:p w14:paraId="4DEF0D04" w14:textId="77777777" w:rsidR="00026E66" w:rsidRDefault="002737EF" w:rsidP="00F22E60">
            <w:r>
              <w:t xml:space="preserve">Heat output considered non-renewable </w:t>
            </w:r>
          </w:p>
        </w:tc>
        <w:tc>
          <w:tcPr>
            <w:tcW w:w="4228" w:type="dxa"/>
          </w:tcPr>
          <w:p w14:paraId="66D3416B" w14:textId="77777777" w:rsidR="00026E66" w:rsidRDefault="002737EF" w:rsidP="00FF0098">
            <w:pPr>
              <w:tabs>
                <w:tab w:val="left" w:pos="0"/>
              </w:tabs>
              <w:spacing w:after="0" w:line="256" w:lineRule="auto"/>
            </w:pPr>
            <w:r>
              <w:rPr>
                <w:color w:val="auto"/>
              </w:rPr>
              <w:t xml:space="preserve">= 50% </w:t>
            </w:r>
            <w:r>
              <w:rPr>
                <w:color w:val="auto"/>
                <w:szCs w:val="24"/>
              </w:rPr>
              <w:t>×</w:t>
            </w:r>
            <w:r>
              <w:rPr>
                <w:color w:val="auto"/>
              </w:rPr>
              <w:t xml:space="preserve"> 7,000 = 3,500 MWh </w:t>
            </w:r>
          </w:p>
        </w:tc>
      </w:tr>
      <w:tr w:rsidR="00DA79C2" w14:paraId="0D9AE323" w14:textId="77777777" w:rsidTr="004C1365">
        <w:trPr>
          <w:trHeight w:val="562"/>
        </w:trPr>
        <w:tc>
          <w:tcPr>
            <w:tcW w:w="4678" w:type="dxa"/>
          </w:tcPr>
          <w:p w14:paraId="75DB57ED" w14:textId="77777777" w:rsidR="00026E66" w:rsidRDefault="002737EF" w:rsidP="00F22E60">
            <w:r>
              <w:t xml:space="preserve">Total fuel for non-renewable outputs </w:t>
            </w:r>
          </w:p>
        </w:tc>
        <w:tc>
          <w:tcPr>
            <w:tcW w:w="4228" w:type="dxa"/>
          </w:tcPr>
          <w:p w14:paraId="7AC90A3E" w14:textId="77777777" w:rsidR="00026E66" w:rsidRDefault="002737EF" w:rsidP="00FF0098">
            <w:pPr>
              <w:tabs>
                <w:tab w:val="left" w:pos="0"/>
              </w:tabs>
              <w:spacing w:after="0" w:line="256" w:lineRule="auto"/>
            </w:pPr>
            <w:r>
              <w:rPr>
                <w:color w:val="auto"/>
              </w:rPr>
              <w:t xml:space="preserve">= 50% </w:t>
            </w:r>
            <w:r>
              <w:rPr>
                <w:color w:val="auto"/>
                <w:szCs w:val="24"/>
              </w:rPr>
              <w:t>×</w:t>
            </w:r>
            <w:r>
              <w:rPr>
                <w:color w:val="auto"/>
              </w:rPr>
              <w:t xml:space="preserve"> 17,000 = 8,500 MWh </w:t>
            </w:r>
          </w:p>
        </w:tc>
      </w:tr>
      <w:tr w:rsidR="00DA79C2" w14:paraId="40917B2B" w14:textId="77777777" w:rsidTr="004C1365">
        <w:trPr>
          <w:trHeight w:val="1490"/>
        </w:trPr>
        <w:tc>
          <w:tcPr>
            <w:tcW w:w="4678" w:type="dxa"/>
          </w:tcPr>
          <w:p w14:paraId="0A087DE0" w14:textId="435D8D6B" w:rsidR="00026E66" w:rsidRDefault="002737EF" w:rsidP="00F22E60">
            <w:r>
              <w:t xml:space="preserve">Fuel for non-renewable electricity output (calculated using formula given in paragraph </w:t>
            </w:r>
            <w:r w:rsidR="00A01A6A">
              <w:t xml:space="preserve">20 of </w:t>
            </w:r>
            <w:r>
              <w:t xml:space="preserve">the </w:t>
            </w:r>
            <w:hyperlink r:id="rId93" w:history="1">
              <w:r>
                <w:rPr>
                  <w:rStyle w:val="Hyperlink"/>
                  <w:color w:val="0070C0"/>
                </w:rPr>
                <w:t>Technical Annex</w:t>
              </w:r>
            </w:hyperlink>
            <w:r>
              <w:t xml:space="preserve">) </w:t>
            </w:r>
          </w:p>
        </w:tc>
        <w:tc>
          <w:tcPr>
            <w:tcW w:w="4228" w:type="dxa"/>
          </w:tcPr>
          <w:p w14:paraId="02D1AAC8" w14:textId="46579BF6" w:rsidR="00026E66" w:rsidRDefault="00000000" w:rsidP="00FF0098">
            <w:pPr>
              <w:tabs>
                <w:tab w:val="left" w:pos="0"/>
              </w:tabs>
              <w:spacing w:after="0" w:line="256" w:lineRule="auto"/>
              <w:jc w:val="center"/>
            </w:pPr>
            <m:oMathPara>
              <m:oMathParaPr>
                <m:jc m:val="center"/>
              </m:oMathParaPr>
              <m:oMath>
                <m:f>
                  <m:fPr>
                    <m:ctrlPr>
                      <w:rPr>
                        <w:rFonts w:ascii="Cambria Math" w:hAnsi="Cambria Math"/>
                      </w:rPr>
                    </m:ctrlPr>
                  </m:fPr>
                  <m:num>
                    <m:r>
                      <w:rPr>
                        <w:rFonts w:ascii="Cambria Math" w:hAnsi="Cambria Math"/>
                      </w:rPr>
                      <m:t>2×</m:t>
                    </m:r>
                    <m:r>
                      <m:rPr>
                        <m:sty m:val="p"/>
                      </m:rPr>
                      <w:rPr>
                        <w:rFonts w:ascii="Cambria Math" w:hAnsi="Cambria Math"/>
                      </w:rPr>
                      <m:t>8,500</m:t>
                    </m:r>
                  </m:num>
                  <m:den>
                    <m:d>
                      <m:dPr>
                        <m:ctrlPr>
                          <w:rPr>
                            <w:rFonts w:ascii="Cambria Math" w:hAnsi="Cambria Math"/>
                          </w:rPr>
                        </m:ctrlPr>
                      </m:dPr>
                      <m:e>
                        <m:r>
                          <w:rPr>
                            <w:rFonts w:ascii="Cambria Math" w:hAnsi="Cambria Math"/>
                          </w:rPr>
                          <m:t>2×</m:t>
                        </m:r>
                        <m:r>
                          <m:rPr>
                            <m:sty m:val="p"/>
                          </m:rPr>
                          <w:rPr>
                            <w:rFonts w:ascii="Cambria Math" w:hAnsi="Cambria Math"/>
                          </w:rPr>
                          <m:t>2,400</m:t>
                        </m:r>
                      </m:e>
                    </m:d>
                    <m:r>
                      <w:rPr>
                        <w:rFonts w:ascii="Cambria Math" w:hAnsi="Cambria Math"/>
                      </w:rPr>
                      <m:t>+</m:t>
                    </m:r>
                    <m:r>
                      <m:rPr>
                        <m:sty m:val="p"/>
                      </m:rPr>
                      <w:rPr>
                        <w:rFonts w:ascii="Cambria Math" w:hAnsi="Cambria Math"/>
                      </w:rPr>
                      <m:t>3,500</m:t>
                    </m:r>
                  </m:den>
                </m:f>
                <m:r>
                  <w:rPr>
                    <w:rFonts w:ascii="Cambria Math" w:hAnsi="Cambria Math"/>
                  </w:rPr>
                  <m:t>×</m:t>
                </m:r>
                <m:r>
                  <m:rPr>
                    <m:sty m:val="p"/>
                  </m:rPr>
                  <w:rPr>
                    <w:rFonts w:ascii="Cambria Math" w:hAnsi="Cambria Math"/>
                  </w:rPr>
                  <m:t>2,400</m:t>
                </m:r>
                <m:r>
                  <w:rPr>
                    <w:rFonts w:ascii="Cambria Math" w:hAnsi="Cambria Math"/>
                  </w:rPr>
                  <m:t>=</m:t>
                </m:r>
                <m:r>
                  <m:rPr>
                    <m:sty m:val="p"/>
                  </m:rPr>
                  <w:rPr>
                    <w:rFonts w:ascii="Cambria Math" w:hAnsi="Cambria Math"/>
                  </w:rPr>
                  <m:t>4,916 MWh</m:t>
                </m:r>
              </m:oMath>
            </m:oMathPara>
          </w:p>
        </w:tc>
      </w:tr>
      <w:tr w:rsidR="00DA79C2" w14:paraId="5665EDD7" w14:textId="77777777" w:rsidTr="004C1365">
        <w:trPr>
          <w:trHeight w:val="922"/>
        </w:trPr>
        <w:tc>
          <w:tcPr>
            <w:tcW w:w="4678" w:type="dxa"/>
          </w:tcPr>
          <w:p w14:paraId="282F0986" w14:textId="3AA18886" w:rsidR="00026E66" w:rsidRDefault="002737EF" w:rsidP="00F22E60">
            <w:r>
              <w:t xml:space="preserve">Fuel for non-renewable heat output (calculated using formula given in paragraph </w:t>
            </w:r>
            <w:r w:rsidR="00A01A6A">
              <w:t xml:space="preserve">20 </w:t>
            </w:r>
            <w:r>
              <w:t xml:space="preserve">of the </w:t>
            </w:r>
            <w:hyperlink r:id="rId94" w:history="1">
              <w:r>
                <w:rPr>
                  <w:rStyle w:val="Hyperlink"/>
                  <w:color w:val="0070C0"/>
                </w:rPr>
                <w:t>Technical Annex</w:t>
              </w:r>
            </w:hyperlink>
            <w:r>
              <w:t xml:space="preserve">) </w:t>
            </w:r>
          </w:p>
        </w:tc>
        <w:tc>
          <w:tcPr>
            <w:tcW w:w="4228" w:type="dxa"/>
          </w:tcPr>
          <w:p w14:paraId="2F8D2F8D" w14:textId="0FB379F5" w:rsidR="00026E66" w:rsidRDefault="00000000" w:rsidP="00FF0098">
            <w:pPr>
              <w:tabs>
                <w:tab w:val="left" w:pos="0"/>
              </w:tabs>
              <w:spacing w:after="0" w:line="256" w:lineRule="auto"/>
              <w:jc w:val="center"/>
            </w:pPr>
            <m:oMathPara>
              <m:oMathParaPr>
                <m:jc m:val="center"/>
              </m:oMathParaPr>
              <m:oMath>
                <m:f>
                  <m:fPr>
                    <m:ctrlPr>
                      <w:rPr>
                        <w:rFonts w:ascii="Cambria Math" w:hAnsi="Cambria Math"/>
                      </w:rPr>
                    </m:ctrlPr>
                  </m:fPr>
                  <m:num>
                    <m:r>
                      <w:rPr>
                        <w:rFonts w:ascii="Cambria Math" w:hAnsi="Cambria Math"/>
                      </w:rPr>
                      <m:t>8500</m:t>
                    </m:r>
                  </m:num>
                  <m:den>
                    <m:d>
                      <m:dPr>
                        <m:ctrlPr>
                          <w:rPr>
                            <w:rFonts w:ascii="Cambria Math" w:hAnsi="Cambria Math"/>
                          </w:rPr>
                        </m:ctrlPr>
                      </m:dPr>
                      <m:e>
                        <m:r>
                          <w:rPr>
                            <w:rFonts w:ascii="Cambria Math" w:hAnsi="Cambria Math"/>
                          </w:rPr>
                          <m:t>2×</m:t>
                        </m:r>
                        <m:r>
                          <m:rPr>
                            <m:sty m:val="p"/>
                          </m:rPr>
                          <w:rPr>
                            <w:rFonts w:ascii="Cambria Math" w:hAnsi="Cambria Math"/>
                          </w:rPr>
                          <m:t>2,400</m:t>
                        </m:r>
                      </m:e>
                    </m:d>
                    <m:r>
                      <w:rPr>
                        <w:rFonts w:ascii="Cambria Math" w:hAnsi="Cambria Math"/>
                      </w:rPr>
                      <m:t>+</m:t>
                    </m:r>
                    <m:r>
                      <m:rPr>
                        <m:sty m:val="p"/>
                      </m:rPr>
                      <w:rPr>
                        <w:rFonts w:ascii="Cambria Math" w:hAnsi="Cambria Math"/>
                      </w:rPr>
                      <m:t>3,500</m:t>
                    </m:r>
                  </m:den>
                </m:f>
                <m:r>
                  <w:rPr>
                    <w:rFonts w:ascii="Cambria Math" w:hAnsi="Cambria Math"/>
                  </w:rPr>
                  <m:t>×3500=</m:t>
                </m:r>
                <m:r>
                  <m:rPr>
                    <m:sty m:val="p"/>
                  </m:rPr>
                  <w:rPr>
                    <w:rFonts w:ascii="Cambria Math" w:hAnsi="Cambria Math"/>
                  </w:rPr>
                  <m:t>3,584 MWh</m:t>
                </m:r>
              </m:oMath>
            </m:oMathPara>
          </w:p>
        </w:tc>
      </w:tr>
    </w:tbl>
    <w:p w14:paraId="1D46F2F5" w14:textId="77777777" w:rsidR="004C1365" w:rsidRDefault="004C1365">
      <w:pPr>
        <w:suppressAutoHyphens w:val="0"/>
        <w:spacing w:before="0" w:beforeAutospacing="0" w:after="160" w:afterAutospacing="0" w:line="256" w:lineRule="auto"/>
        <w:rPr>
          <w:b/>
          <w:color w:val="auto"/>
        </w:rPr>
      </w:pPr>
      <w:r>
        <w:rPr>
          <w:b/>
          <w:color w:val="auto"/>
        </w:rPr>
        <w:br w:type="page"/>
      </w:r>
    </w:p>
    <w:p w14:paraId="463B8756" w14:textId="792F0E5D" w:rsidR="00E642D6" w:rsidRDefault="00AE46A9" w:rsidP="00FF0098">
      <w:pPr>
        <w:tabs>
          <w:tab w:val="left" w:pos="0"/>
        </w:tabs>
        <w:rPr>
          <w:b/>
        </w:rPr>
      </w:pPr>
      <w:r>
        <w:rPr>
          <w:b/>
          <w:color w:val="auto"/>
        </w:rPr>
        <w:lastRenderedPageBreak/>
        <w:t>Facility A Consumption and accounting – electricity</w:t>
      </w:r>
    </w:p>
    <w:tbl>
      <w:tblPr>
        <w:tblW w:w="89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820"/>
        <w:gridCol w:w="4086"/>
      </w:tblGrid>
      <w:tr w:rsidR="00DA79C2" w14:paraId="5F7B820B" w14:textId="77777777" w:rsidTr="004C1365">
        <w:trPr>
          <w:trHeight w:val="794"/>
        </w:trPr>
        <w:tc>
          <w:tcPr>
            <w:tcW w:w="4820" w:type="dxa"/>
          </w:tcPr>
          <w:p w14:paraId="2AA0242C" w14:textId="77777777" w:rsidR="00E642D6" w:rsidRDefault="00E642D6" w:rsidP="00F22E60">
            <w:r>
              <w:t xml:space="preserve">Total delivered electricity consumed (renewable and non-renewable) </w:t>
            </w:r>
          </w:p>
        </w:tc>
        <w:tc>
          <w:tcPr>
            <w:tcW w:w="4086" w:type="dxa"/>
          </w:tcPr>
          <w:p w14:paraId="5C9872DD" w14:textId="77777777" w:rsidR="00E642D6" w:rsidRDefault="00E642D6">
            <w:pPr>
              <w:tabs>
                <w:tab w:val="left" w:pos="0"/>
              </w:tabs>
              <w:spacing w:after="0" w:line="256" w:lineRule="auto"/>
              <w:rPr>
                <w:color w:val="auto"/>
              </w:rPr>
            </w:pPr>
            <w:r>
              <w:rPr>
                <w:color w:val="auto"/>
              </w:rPr>
              <w:t xml:space="preserve">= 3,000 MWh </w:t>
            </w:r>
          </w:p>
        </w:tc>
      </w:tr>
      <w:tr w:rsidR="00DA79C2" w14:paraId="759C9C9A" w14:textId="77777777" w:rsidTr="004C1365">
        <w:trPr>
          <w:trHeight w:val="799"/>
        </w:trPr>
        <w:tc>
          <w:tcPr>
            <w:tcW w:w="4820" w:type="dxa"/>
          </w:tcPr>
          <w:p w14:paraId="2038C035" w14:textId="77777777" w:rsidR="00E642D6" w:rsidRDefault="00E642D6" w:rsidP="00F22E60">
            <w:r>
              <w:t xml:space="preserve">Delivered electricity consumed – renewable </w:t>
            </w:r>
          </w:p>
        </w:tc>
        <w:tc>
          <w:tcPr>
            <w:tcW w:w="4086" w:type="dxa"/>
          </w:tcPr>
          <w:p w14:paraId="3C326D6C" w14:textId="77777777" w:rsidR="00E642D6" w:rsidRDefault="00E642D6">
            <w:pPr>
              <w:tabs>
                <w:tab w:val="left" w:pos="0"/>
              </w:tabs>
              <w:spacing w:after="0" w:line="256" w:lineRule="auto"/>
            </w:pPr>
            <w:r>
              <w:rPr>
                <w:color w:val="auto"/>
              </w:rPr>
              <w:t xml:space="preserve">= 50% </w:t>
            </w:r>
            <w:r>
              <w:rPr>
                <w:color w:val="auto"/>
                <w:szCs w:val="24"/>
              </w:rPr>
              <w:t>×</w:t>
            </w:r>
            <w:r>
              <w:rPr>
                <w:color w:val="auto"/>
              </w:rPr>
              <w:t xml:space="preserve"> 3,000 = 1,500 MWh </w:t>
            </w:r>
          </w:p>
        </w:tc>
      </w:tr>
      <w:tr w:rsidR="00DA79C2" w14:paraId="09C43F0B" w14:textId="77777777" w:rsidTr="004C1365">
        <w:trPr>
          <w:trHeight w:val="797"/>
        </w:trPr>
        <w:tc>
          <w:tcPr>
            <w:tcW w:w="4820" w:type="dxa"/>
          </w:tcPr>
          <w:p w14:paraId="1430AE05" w14:textId="77777777" w:rsidR="00E642D6" w:rsidRDefault="00E642D6" w:rsidP="00F22E60">
            <w:r>
              <w:t xml:space="preserve">Delivered electricity consumed – non- renewable </w:t>
            </w:r>
          </w:p>
        </w:tc>
        <w:tc>
          <w:tcPr>
            <w:tcW w:w="4086" w:type="dxa"/>
          </w:tcPr>
          <w:p w14:paraId="2A90A2DA" w14:textId="77777777" w:rsidR="00E642D6" w:rsidRDefault="00E642D6">
            <w:pPr>
              <w:tabs>
                <w:tab w:val="left" w:pos="0"/>
              </w:tabs>
              <w:spacing w:after="0" w:line="256" w:lineRule="auto"/>
            </w:pPr>
            <w:r>
              <w:rPr>
                <w:color w:val="auto"/>
              </w:rPr>
              <w:t xml:space="preserve">= 50% </w:t>
            </w:r>
            <w:r>
              <w:rPr>
                <w:color w:val="auto"/>
                <w:szCs w:val="24"/>
              </w:rPr>
              <w:t>×</w:t>
            </w:r>
            <w:r>
              <w:rPr>
                <w:color w:val="auto"/>
              </w:rPr>
              <w:t xml:space="preserve"> 3,000 = 1,500 MWh </w:t>
            </w:r>
          </w:p>
        </w:tc>
      </w:tr>
      <w:tr w:rsidR="00DA79C2" w14:paraId="31635832" w14:textId="77777777" w:rsidTr="004C1365">
        <w:trPr>
          <w:trHeight w:val="797"/>
        </w:trPr>
        <w:tc>
          <w:tcPr>
            <w:tcW w:w="4820" w:type="dxa"/>
          </w:tcPr>
          <w:p w14:paraId="48B3452A" w14:textId="77777777" w:rsidR="00E642D6" w:rsidRDefault="00E642D6" w:rsidP="00F22E60">
            <w:pPr>
              <w:rPr>
                <w:szCs w:val="24"/>
              </w:rPr>
            </w:pPr>
            <w:r>
              <w:rPr>
                <w:szCs w:val="24"/>
              </w:rPr>
              <w:t xml:space="preserve">Primary energy accounted for – renewable electricity </w:t>
            </w:r>
          </w:p>
        </w:tc>
        <w:tc>
          <w:tcPr>
            <w:tcW w:w="4086" w:type="dxa"/>
          </w:tcPr>
          <w:p w14:paraId="207130A1" w14:textId="6081FA21" w:rsidR="00E642D6" w:rsidRDefault="00E642D6">
            <w:pPr>
              <w:tabs>
                <w:tab w:val="left" w:pos="0"/>
              </w:tabs>
              <w:spacing w:after="0" w:line="256" w:lineRule="auto"/>
              <w:rPr>
                <w:color w:val="auto"/>
                <w:szCs w:val="24"/>
              </w:rPr>
            </w:pPr>
            <w:r>
              <w:rPr>
                <w:color w:val="auto"/>
                <w:szCs w:val="24"/>
              </w:rPr>
              <w:t>= 1,500 × 2.</w:t>
            </w:r>
            <w:r w:rsidR="00A01A6A">
              <w:rPr>
                <w:color w:val="auto"/>
                <w:szCs w:val="24"/>
              </w:rPr>
              <w:t xml:space="preserve">1 </w:t>
            </w:r>
            <w:r>
              <w:rPr>
                <w:color w:val="auto"/>
                <w:szCs w:val="24"/>
              </w:rPr>
              <w:t>= 3,</w:t>
            </w:r>
            <w:r w:rsidR="00A01A6A">
              <w:rPr>
                <w:color w:val="auto"/>
                <w:szCs w:val="24"/>
              </w:rPr>
              <w:t xml:space="preserve">150 </w:t>
            </w:r>
            <w:r>
              <w:rPr>
                <w:color w:val="auto"/>
                <w:szCs w:val="24"/>
              </w:rPr>
              <w:t xml:space="preserve">MWh </w:t>
            </w:r>
          </w:p>
        </w:tc>
      </w:tr>
      <w:tr w:rsidR="00DA79C2" w14:paraId="6D481E2B" w14:textId="77777777" w:rsidTr="004C1365">
        <w:trPr>
          <w:trHeight w:val="797"/>
        </w:trPr>
        <w:tc>
          <w:tcPr>
            <w:tcW w:w="4820" w:type="dxa"/>
          </w:tcPr>
          <w:p w14:paraId="4B3B497C" w14:textId="77777777" w:rsidR="00E642D6" w:rsidRDefault="00E642D6" w:rsidP="00F22E60">
            <w:r>
              <w:t xml:space="preserve">Primary energy accounted for – non- renewable electricity </w:t>
            </w:r>
          </w:p>
        </w:tc>
        <w:tc>
          <w:tcPr>
            <w:tcW w:w="4086" w:type="dxa"/>
          </w:tcPr>
          <w:p w14:paraId="3C7EF349" w14:textId="77777777" w:rsidR="00E642D6" w:rsidRDefault="00000000">
            <w:pPr>
              <w:tabs>
                <w:tab w:val="left" w:pos="0"/>
              </w:tabs>
              <w:spacing w:after="0" w:line="256" w:lineRule="auto"/>
              <w:jc w:val="center"/>
            </w:pPr>
            <m:oMathPara>
              <m:oMathParaPr>
                <m:jc m:val="center"/>
              </m:oMathParaPr>
              <m:oMath>
                <m:d>
                  <m:dPr>
                    <m:ctrlPr>
                      <w:rPr>
                        <w:rFonts w:ascii="Cambria Math" w:hAnsi="Cambria Math"/>
                      </w:rPr>
                    </m:ctrlPr>
                  </m:dPr>
                  <m:e>
                    <m:f>
                      <m:fPr>
                        <m:ctrlPr>
                          <w:rPr>
                            <w:rFonts w:ascii="Cambria Math" w:hAnsi="Cambria Math"/>
                          </w:rPr>
                        </m:ctrlPr>
                      </m:fPr>
                      <m:num>
                        <m:r>
                          <m:rPr>
                            <m:sty m:val="p"/>
                          </m:rPr>
                          <w:rPr>
                            <w:rFonts w:ascii="Cambria Math" w:hAnsi="Cambria Math"/>
                          </w:rPr>
                          <m:t>1,500</m:t>
                        </m:r>
                      </m:num>
                      <m:den>
                        <m:r>
                          <m:rPr>
                            <m:sty m:val="p"/>
                          </m:rPr>
                          <w:rPr>
                            <w:rFonts w:ascii="Cambria Math" w:hAnsi="Cambria Math"/>
                          </w:rPr>
                          <m:t>2,400</m:t>
                        </m:r>
                      </m:den>
                    </m:f>
                  </m:e>
                </m:d>
                <m:r>
                  <w:rPr>
                    <w:rFonts w:ascii="Cambria Math" w:hAnsi="Cambria Math"/>
                  </w:rPr>
                  <m:t>×</m:t>
                </m:r>
                <m:r>
                  <m:rPr>
                    <m:sty m:val="p"/>
                  </m:rPr>
                  <w:rPr>
                    <w:rFonts w:ascii="Cambria Math" w:hAnsi="Cambria Math"/>
                  </w:rPr>
                  <m:t xml:space="preserve">4,916 </m:t>
                </m:r>
                <m:r>
                  <w:rPr>
                    <w:rFonts w:ascii="Cambria Math" w:hAnsi="Cambria Math"/>
                  </w:rPr>
                  <m:t>=</m:t>
                </m:r>
                <m:r>
                  <m:rPr>
                    <m:sty m:val="p"/>
                  </m:rPr>
                  <w:rPr>
                    <w:rFonts w:ascii="Cambria Math" w:hAnsi="Cambria Math"/>
                  </w:rPr>
                  <m:t xml:space="preserve"> 3,073 MWh</m:t>
                </m:r>
              </m:oMath>
            </m:oMathPara>
          </w:p>
        </w:tc>
      </w:tr>
    </w:tbl>
    <w:p w14:paraId="5C6B8A32" w14:textId="38BC4356" w:rsidR="00E642D6" w:rsidRDefault="00E642D6" w:rsidP="00FF0098">
      <w:pPr>
        <w:tabs>
          <w:tab w:val="left" w:pos="0"/>
        </w:tabs>
        <w:rPr>
          <w:b/>
        </w:rPr>
      </w:pPr>
      <w:r>
        <w:rPr>
          <w:b/>
          <w:color w:val="auto"/>
        </w:rPr>
        <w:t>Facility A Consumption and accounting – heat</w:t>
      </w:r>
    </w:p>
    <w:tbl>
      <w:tblPr>
        <w:tblW w:w="89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962"/>
        <w:gridCol w:w="3944"/>
      </w:tblGrid>
      <w:tr w:rsidR="00C60053" w14:paraId="6A25BB6F" w14:textId="77777777" w:rsidTr="004C1365">
        <w:trPr>
          <w:trHeight w:val="542"/>
        </w:trPr>
        <w:tc>
          <w:tcPr>
            <w:tcW w:w="4962" w:type="dxa"/>
          </w:tcPr>
          <w:p w14:paraId="7717C622" w14:textId="77777777" w:rsidR="00E642D6" w:rsidRDefault="00E642D6" w:rsidP="00F22E60">
            <w:r>
              <w:t xml:space="preserve">Total delivered heat consumed </w:t>
            </w:r>
          </w:p>
        </w:tc>
        <w:tc>
          <w:tcPr>
            <w:tcW w:w="3944" w:type="dxa"/>
          </w:tcPr>
          <w:p w14:paraId="66190D72" w14:textId="77777777" w:rsidR="00E642D6" w:rsidRDefault="00E642D6">
            <w:pPr>
              <w:tabs>
                <w:tab w:val="left" w:pos="0"/>
              </w:tabs>
              <w:spacing w:after="0" w:line="256" w:lineRule="auto"/>
              <w:rPr>
                <w:color w:val="auto"/>
              </w:rPr>
            </w:pPr>
            <w:r>
              <w:rPr>
                <w:color w:val="auto"/>
              </w:rPr>
              <w:t xml:space="preserve">= 3,500 MWh </w:t>
            </w:r>
          </w:p>
        </w:tc>
      </w:tr>
      <w:tr w:rsidR="00C60053" w14:paraId="5A3F80C7" w14:textId="77777777" w:rsidTr="004C1365">
        <w:trPr>
          <w:trHeight w:val="559"/>
        </w:trPr>
        <w:tc>
          <w:tcPr>
            <w:tcW w:w="4962" w:type="dxa"/>
          </w:tcPr>
          <w:p w14:paraId="4494762E" w14:textId="77777777" w:rsidR="00E642D6" w:rsidRDefault="00E642D6" w:rsidP="00F22E60">
            <w:r>
              <w:t xml:space="preserve">Delivered heat consumed renewable </w:t>
            </w:r>
          </w:p>
        </w:tc>
        <w:tc>
          <w:tcPr>
            <w:tcW w:w="3944" w:type="dxa"/>
          </w:tcPr>
          <w:p w14:paraId="0E8688EC" w14:textId="77777777" w:rsidR="00E642D6" w:rsidRDefault="00E642D6">
            <w:pPr>
              <w:tabs>
                <w:tab w:val="left" w:pos="0"/>
              </w:tabs>
              <w:spacing w:after="0" w:line="256" w:lineRule="auto"/>
            </w:pPr>
            <w:r>
              <w:rPr>
                <w:color w:val="auto"/>
              </w:rPr>
              <w:t xml:space="preserve">= 50% </w:t>
            </w:r>
            <w:r>
              <w:rPr>
                <w:color w:val="auto"/>
                <w:szCs w:val="24"/>
              </w:rPr>
              <w:t>× 3</w:t>
            </w:r>
            <w:r>
              <w:rPr>
                <w:color w:val="auto"/>
              </w:rPr>
              <w:t xml:space="preserve">,500 = 1,750 MWh </w:t>
            </w:r>
          </w:p>
        </w:tc>
      </w:tr>
      <w:tr w:rsidR="00C60053" w14:paraId="6CBA6E22" w14:textId="77777777" w:rsidTr="004C1365">
        <w:trPr>
          <w:trHeight w:val="562"/>
        </w:trPr>
        <w:tc>
          <w:tcPr>
            <w:tcW w:w="4962" w:type="dxa"/>
          </w:tcPr>
          <w:p w14:paraId="513C313A" w14:textId="77777777" w:rsidR="00E642D6" w:rsidRDefault="00E642D6" w:rsidP="00F22E60">
            <w:r>
              <w:t xml:space="preserve">Delivered heat consumed non-renewable </w:t>
            </w:r>
          </w:p>
        </w:tc>
        <w:tc>
          <w:tcPr>
            <w:tcW w:w="3944" w:type="dxa"/>
          </w:tcPr>
          <w:p w14:paraId="0D395D3C" w14:textId="77777777" w:rsidR="00E642D6" w:rsidRDefault="00E642D6">
            <w:pPr>
              <w:tabs>
                <w:tab w:val="left" w:pos="0"/>
              </w:tabs>
              <w:spacing w:after="0" w:line="256" w:lineRule="auto"/>
            </w:pPr>
            <w:r>
              <w:rPr>
                <w:color w:val="auto"/>
              </w:rPr>
              <w:t xml:space="preserve">= 50% </w:t>
            </w:r>
            <w:r>
              <w:rPr>
                <w:color w:val="auto"/>
                <w:szCs w:val="24"/>
              </w:rPr>
              <w:t>× 3</w:t>
            </w:r>
            <w:r>
              <w:rPr>
                <w:color w:val="auto"/>
              </w:rPr>
              <w:t xml:space="preserve">,500 = 1,750 MWh </w:t>
            </w:r>
          </w:p>
        </w:tc>
      </w:tr>
      <w:tr w:rsidR="00C60053" w14:paraId="1EBF8E1F" w14:textId="77777777" w:rsidTr="004C1365">
        <w:trPr>
          <w:trHeight w:val="795"/>
        </w:trPr>
        <w:tc>
          <w:tcPr>
            <w:tcW w:w="4962" w:type="dxa"/>
          </w:tcPr>
          <w:p w14:paraId="471FF60D" w14:textId="77777777" w:rsidR="00E642D6" w:rsidRDefault="00E642D6" w:rsidP="00F22E60">
            <w:r>
              <w:t xml:space="preserve">Primary energy accounted for renewable heat </w:t>
            </w:r>
          </w:p>
        </w:tc>
        <w:tc>
          <w:tcPr>
            <w:tcW w:w="3944" w:type="dxa"/>
          </w:tcPr>
          <w:p w14:paraId="302F398C" w14:textId="57B574EF" w:rsidR="00E642D6" w:rsidRDefault="00E642D6">
            <w:pPr>
              <w:tabs>
                <w:tab w:val="left" w:pos="0"/>
              </w:tabs>
              <w:spacing w:after="0" w:line="256" w:lineRule="auto"/>
            </w:pPr>
            <w:r>
              <w:rPr>
                <w:color w:val="auto"/>
              </w:rPr>
              <w:t xml:space="preserve">= (1,750/3,500) </w:t>
            </w:r>
            <w:r>
              <w:rPr>
                <w:color w:val="auto"/>
                <w:szCs w:val="24"/>
              </w:rPr>
              <w:t xml:space="preserve">× </w:t>
            </w:r>
            <w:r w:rsidR="00A01A6A">
              <w:rPr>
                <w:color w:val="auto"/>
                <w:szCs w:val="24"/>
              </w:rPr>
              <w:t>3,460</w:t>
            </w:r>
            <w:r>
              <w:rPr>
                <w:color w:val="auto"/>
              </w:rPr>
              <w:t xml:space="preserve"> = 1,</w:t>
            </w:r>
            <w:r w:rsidR="00A01A6A">
              <w:rPr>
                <w:color w:val="auto"/>
              </w:rPr>
              <w:t xml:space="preserve">730 </w:t>
            </w:r>
            <w:r>
              <w:rPr>
                <w:color w:val="auto"/>
              </w:rPr>
              <w:t xml:space="preserve">MWh </w:t>
            </w:r>
          </w:p>
        </w:tc>
      </w:tr>
      <w:tr w:rsidR="00C60053" w14:paraId="389E400F" w14:textId="77777777" w:rsidTr="004C1365">
        <w:trPr>
          <w:trHeight w:val="797"/>
        </w:trPr>
        <w:tc>
          <w:tcPr>
            <w:tcW w:w="4962" w:type="dxa"/>
          </w:tcPr>
          <w:p w14:paraId="35BC0212" w14:textId="77777777" w:rsidR="00E642D6" w:rsidRDefault="00E642D6" w:rsidP="00F22E60">
            <w:r>
              <w:t xml:space="preserve">Primary energy accounted for non- renewable heat </w:t>
            </w:r>
          </w:p>
        </w:tc>
        <w:tc>
          <w:tcPr>
            <w:tcW w:w="3944" w:type="dxa"/>
          </w:tcPr>
          <w:p w14:paraId="08A838F8" w14:textId="77777777" w:rsidR="00E642D6" w:rsidRDefault="00E642D6">
            <w:pPr>
              <w:tabs>
                <w:tab w:val="left" w:pos="0"/>
              </w:tabs>
              <w:spacing w:after="0" w:line="256" w:lineRule="auto"/>
            </w:pPr>
            <w:r>
              <w:rPr>
                <w:color w:val="auto"/>
              </w:rPr>
              <w:t xml:space="preserve">= (1,750/3,500) </w:t>
            </w:r>
            <w:r>
              <w:rPr>
                <w:color w:val="auto"/>
                <w:szCs w:val="24"/>
              </w:rPr>
              <w:t>× 3</w:t>
            </w:r>
            <w:r>
              <w:rPr>
                <w:color w:val="auto"/>
              </w:rPr>
              <w:t xml:space="preserve">,584 = 1,792 MWh </w:t>
            </w:r>
          </w:p>
        </w:tc>
      </w:tr>
    </w:tbl>
    <w:p w14:paraId="17CA72FB" w14:textId="77777777" w:rsidR="004C1365" w:rsidRDefault="004C1365">
      <w:pPr>
        <w:suppressAutoHyphens w:val="0"/>
        <w:spacing w:before="0" w:beforeAutospacing="0" w:after="160" w:afterAutospacing="0" w:line="256" w:lineRule="auto"/>
        <w:rPr>
          <w:b/>
          <w:color w:val="auto"/>
        </w:rPr>
      </w:pPr>
      <w:r>
        <w:rPr>
          <w:b/>
          <w:color w:val="auto"/>
        </w:rPr>
        <w:br w:type="page"/>
      </w:r>
    </w:p>
    <w:p w14:paraId="560BB356" w14:textId="3B6E76A5" w:rsidR="00E642D6" w:rsidRDefault="00AE46A9" w:rsidP="00FF0098">
      <w:pPr>
        <w:tabs>
          <w:tab w:val="left" w:pos="0"/>
        </w:tabs>
        <w:rPr>
          <w:b/>
        </w:rPr>
      </w:pPr>
      <w:r>
        <w:rPr>
          <w:b/>
          <w:color w:val="auto"/>
        </w:rPr>
        <w:lastRenderedPageBreak/>
        <w:t>Facility A Reporting</w:t>
      </w:r>
    </w:p>
    <w:tbl>
      <w:tblPr>
        <w:tblW w:w="89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962"/>
        <w:gridCol w:w="3944"/>
      </w:tblGrid>
      <w:tr w:rsidR="00C60053" w14:paraId="63A07F28" w14:textId="77777777" w:rsidTr="004C1365">
        <w:trPr>
          <w:trHeight w:val="542"/>
        </w:trPr>
        <w:tc>
          <w:tcPr>
            <w:tcW w:w="4962" w:type="dxa"/>
          </w:tcPr>
          <w:p w14:paraId="49B46297" w14:textId="77777777" w:rsidR="00AE46A9" w:rsidRDefault="00AE46A9" w:rsidP="00F22E60">
            <w:r>
              <w:t xml:space="preserve">Delivered renewable electricity </w:t>
            </w:r>
          </w:p>
        </w:tc>
        <w:tc>
          <w:tcPr>
            <w:tcW w:w="3944" w:type="dxa"/>
          </w:tcPr>
          <w:p w14:paraId="28371154" w14:textId="77777777" w:rsidR="00AE46A9" w:rsidRDefault="00AE46A9">
            <w:pPr>
              <w:tabs>
                <w:tab w:val="left" w:pos="0"/>
              </w:tabs>
              <w:spacing w:after="0" w:line="256" w:lineRule="auto"/>
              <w:rPr>
                <w:color w:val="auto"/>
              </w:rPr>
            </w:pPr>
            <w:r>
              <w:rPr>
                <w:color w:val="auto"/>
              </w:rPr>
              <w:t xml:space="preserve">1,500 MWh </w:t>
            </w:r>
          </w:p>
        </w:tc>
      </w:tr>
      <w:tr w:rsidR="00C60053" w14:paraId="081E24AB" w14:textId="77777777" w:rsidTr="004C1365">
        <w:trPr>
          <w:trHeight w:val="545"/>
        </w:trPr>
        <w:tc>
          <w:tcPr>
            <w:tcW w:w="4962" w:type="dxa"/>
          </w:tcPr>
          <w:p w14:paraId="1F3B11DA" w14:textId="77777777" w:rsidR="00AE46A9" w:rsidRDefault="00AE46A9" w:rsidP="00F22E60">
            <w:r>
              <w:t xml:space="preserve">Non-renewable electricity </w:t>
            </w:r>
          </w:p>
        </w:tc>
        <w:tc>
          <w:tcPr>
            <w:tcW w:w="3944" w:type="dxa"/>
          </w:tcPr>
          <w:p w14:paraId="38289663" w14:textId="77777777" w:rsidR="00AE46A9" w:rsidRDefault="00AE46A9">
            <w:pPr>
              <w:tabs>
                <w:tab w:val="left" w:pos="0"/>
              </w:tabs>
              <w:spacing w:after="0" w:line="256" w:lineRule="auto"/>
              <w:rPr>
                <w:color w:val="auto"/>
              </w:rPr>
            </w:pPr>
            <w:r>
              <w:rPr>
                <w:color w:val="auto"/>
              </w:rPr>
              <w:t xml:space="preserve">3,073 MWh (as natural gas) </w:t>
            </w:r>
          </w:p>
        </w:tc>
      </w:tr>
      <w:tr w:rsidR="00C60053" w14:paraId="68F8D7E2" w14:textId="77777777" w:rsidTr="004C1365">
        <w:trPr>
          <w:trHeight w:val="542"/>
        </w:trPr>
        <w:tc>
          <w:tcPr>
            <w:tcW w:w="4962" w:type="dxa"/>
          </w:tcPr>
          <w:p w14:paraId="0771594A" w14:textId="77777777" w:rsidR="00AE46A9" w:rsidRDefault="00AE46A9" w:rsidP="00F22E60">
            <w:r>
              <w:t xml:space="preserve">Renewable heat </w:t>
            </w:r>
          </w:p>
        </w:tc>
        <w:tc>
          <w:tcPr>
            <w:tcW w:w="3944" w:type="dxa"/>
          </w:tcPr>
          <w:p w14:paraId="227B22F5" w14:textId="7E780FB6" w:rsidR="00AE46A9" w:rsidRDefault="00AE46A9">
            <w:pPr>
              <w:tabs>
                <w:tab w:val="left" w:pos="0"/>
              </w:tabs>
              <w:spacing w:after="0" w:line="256" w:lineRule="auto"/>
              <w:rPr>
                <w:color w:val="auto"/>
              </w:rPr>
            </w:pPr>
            <w:r>
              <w:rPr>
                <w:color w:val="auto"/>
              </w:rPr>
              <w:t>1,</w:t>
            </w:r>
            <w:r w:rsidR="00A01A6A">
              <w:rPr>
                <w:color w:val="auto"/>
              </w:rPr>
              <w:t xml:space="preserve">730 </w:t>
            </w:r>
            <w:r>
              <w:rPr>
                <w:color w:val="auto"/>
              </w:rPr>
              <w:t xml:space="preserve">MWh (as biogas) </w:t>
            </w:r>
          </w:p>
        </w:tc>
      </w:tr>
      <w:tr w:rsidR="00C60053" w14:paraId="481F4E85" w14:textId="77777777" w:rsidTr="004C1365">
        <w:trPr>
          <w:trHeight w:val="543"/>
        </w:trPr>
        <w:tc>
          <w:tcPr>
            <w:tcW w:w="4962" w:type="dxa"/>
          </w:tcPr>
          <w:p w14:paraId="2D7EF2DD" w14:textId="77777777" w:rsidR="00AE46A9" w:rsidRDefault="00AE46A9" w:rsidP="00F22E60">
            <w:r>
              <w:t xml:space="preserve">Non-renewable heat </w:t>
            </w:r>
          </w:p>
        </w:tc>
        <w:tc>
          <w:tcPr>
            <w:tcW w:w="3944" w:type="dxa"/>
          </w:tcPr>
          <w:p w14:paraId="7A37C220" w14:textId="77777777" w:rsidR="00AE46A9" w:rsidRDefault="00AE46A9">
            <w:pPr>
              <w:tabs>
                <w:tab w:val="left" w:pos="0"/>
              </w:tabs>
              <w:spacing w:after="0" w:line="256" w:lineRule="auto"/>
              <w:rPr>
                <w:color w:val="auto"/>
              </w:rPr>
            </w:pPr>
            <w:r>
              <w:rPr>
                <w:color w:val="auto"/>
              </w:rPr>
              <w:t xml:space="preserve">1,792 MWh (as natural gas) </w:t>
            </w:r>
          </w:p>
        </w:tc>
      </w:tr>
      <w:tr w:rsidR="00C60053" w14:paraId="17EDFA4E" w14:textId="77777777" w:rsidTr="004C1365">
        <w:trPr>
          <w:trHeight w:val="1049"/>
        </w:trPr>
        <w:tc>
          <w:tcPr>
            <w:tcW w:w="4962" w:type="dxa"/>
          </w:tcPr>
          <w:p w14:paraId="741418C2" w14:textId="69E236FE" w:rsidR="00AE46A9" w:rsidRDefault="00AE46A9" w:rsidP="00F22E60">
            <w:r>
              <w:t>Reporting would return total CO</w:t>
            </w:r>
            <w:r>
              <w:rPr>
                <w:vertAlign w:val="subscript"/>
              </w:rPr>
              <w:t xml:space="preserve">2 </w:t>
            </w:r>
            <w:r>
              <w:t xml:space="preserve">emissions associated with this energy consumption </w:t>
            </w:r>
          </w:p>
        </w:tc>
        <w:tc>
          <w:tcPr>
            <w:tcW w:w="3944" w:type="dxa"/>
          </w:tcPr>
          <w:p w14:paraId="4206BF84" w14:textId="52BAF04B" w:rsidR="00AE46A9" w:rsidRDefault="00AE46A9">
            <w:pPr>
              <w:tabs>
                <w:tab w:val="left" w:pos="0"/>
              </w:tabs>
              <w:spacing w:after="0" w:line="256" w:lineRule="auto"/>
            </w:pPr>
            <w:r>
              <w:rPr>
                <w:color w:val="auto"/>
              </w:rPr>
              <w:t>1,</w:t>
            </w:r>
            <w:r w:rsidR="00A01A6A">
              <w:rPr>
                <w:color w:val="auto"/>
              </w:rPr>
              <w:t>038</w:t>
            </w:r>
            <w:r>
              <w:rPr>
                <w:color w:val="auto"/>
              </w:rPr>
              <w:t>,</w:t>
            </w:r>
            <w:r w:rsidR="001F3330">
              <w:rPr>
                <w:color w:val="auto"/>
              </w:rPr>
              <w:t>74</w:t>
            </w:r>
            <w:r w:rsidR="00C27B06">
              <w:rPr>
                <w:color w:val="auto"/>
              </w:rPr>
              <w:t>7</w:t>
            </w:r>
            <w:r>
              <w:rPr>
                <w:color w:val="auto"/>
              </w:rPr>
              <w:t>kgCO</w:t>
            </w:r>
            <w:r>
              <w:rPr>
                <w:color w:val="auto"/>
                <w:vertAlign w:val="subscript"/>
              </w:rPr>
              <w:t>2</w:t>
            </w:r>
            <w:r w:rsidR="001F3330">
              <w:rPr>
                <w:color w:val="auto"/>
                <w:vertAlign w:val="subscript"/>
              </w:rPr>
              <w:t>e</w:t>
            </w:r>
            <w:r>
              <w:rPr>
                <w:color w:val="auto"/>
                <w:vertAlign w:val="subscript"/>
              </w:rPr>
              <w:t xml:space="preserve"> </w:t>
            </w:r>
          </w:p>
        </w:tc>
      </w:tr>
      <w:tr w:rsidR="00C60053" w14:paraId="547E1DC5" w14:textId="77777777" w:rsidTr="004C1365">
        <w:trPr>
          <w:trHeight w:val="814"/>
        </w:trPr>
        <w:tc>
          <w:tcPr>
            <w:tcW w:w="4962" w:type="dxa"/>
          </w:tcPr>
          <w:p w14:paraId="1FA84387" w14:textId="77777777" w:rsidR="00AE46A9" w:rsidRDefault="00AE46A9" w:rsidP="00F22E60">
            <w:r>
              <w:t xml:space="preserve">Of which renewable electricity </w:t>
            </w:r>
          </w:p>
        </w:tc>
        <w:tc>
          <w:tcPr>
            <w:tcW w:w="3944" w:type="dxa"/>
          </w:tcPr>
          <w:p w14:paraId="15334692" w14:textId="6F3961D8" w:rsidR="00AE46A9" w:rsidRDefault="00AE46A9">
            <w:pPr>
              <w:tabs>
                <w:tab w:val="left" w:pos="0"/>
              </w:tabs>
              <w:spacing w:after="0" w:line="256" w:lineRule="auto"/>
            </w:pPr>
            <w:r>
              <w:rPr>
                <w:color w:val="auto"/>
              </w:rPr>
              <w:t xml:space="preserve">= 1,500 MWh </w:t>
            </w:r>
            <w:r>
              <w:rPr>
                <w:color w:val="auto"/>
                <w:szCs w:val="24"/>
              </w:rPr>
              <w:t xml:space="preserve">× </w:t>
            </w:r>
            <w:r w:rsidR="001F3330">
              <w:rPr>
                <w:color w:val="auto"/>
              </w:rPr>
              <w:t xml:space="preserve">0.10046 </w:t>
            </w:r>
            <w:r>
              <w:rPr>
                <w:color w:val="auto"/>
              </w:rPr>
              <w:t>kgCO</w:t>
            </w:r>
            <w:r>
              <w:rPr>
                <w:color w:val="auto"/>
                <w:vertAlign w:val="subscript"/>
              </w:rPr>
              <w:t>2</w:t>
            </w:r>
            <w:r w:rsidR="001F3330">
              <w:rPr>
                <w:color w:val="auto"/>
                <w:vertAlign w:val="subscript"/>
              </w:rPr>
              <w:t>e</w:t>
            </w:r>
            <w:r>
              <w:rPr>
                <w:color w:val="auto"/>
              </w:rPr>
              <w:t xml:space="preserve">/kWh </w:t>
            </w:r>
            <w:r>
              <w:rPr>
                <w:color w:val="auto"/>
                <w:szCs w:val="24"/>
              </w:rPr>
              <w:t xml:space="preserve">× </w:t>
            </w:r>
          </w:p>
          <w:p w14:paraId="6B270F2D" w14:textId="47984FED" w:rsidR="00AE46A9" w:rsidRDefault="00AE46A9">
            <w:pPr>
              <w:tabs>
                <w:tab w:val="left" w:pos="0"/>
              </w:tabs>
              <w:spacing w:after="0" w:line="256" w:lineRule="auto"/>
            </w:pPr>
            <w:r>
              <w:rPr>
                <w:color w:val="auto"/>
              </w:rPr>
              <w:t xml:space="preserve">1,000 = </w:t>
            </w:r>
            <w:r w:rsidR="001F3330">
              <w:rPr>
                <w:color w:val="auto"/>
              </w:rPr>
              <w:t>150,690</w:t>
            </w:r>
            <w:r>
              <w:rPr>
                <w:color w:val="auto"/>
              </w:rPr>
              <w:t xml:space="preserve"> kgCO</w:t>
            </w:r>
            <w:r>
              <w:rPr>
                <w:color w:val="auto"/>
                <w:vertAlign w:val="subscript"/>
              </w:rPr>
              <w:t>2</w:t>
            </w:r>
            <w:r w:rsidR="001F3330">
              <w:rPr>
                <w:color w:val="auto"/>
                <w:vertAlign w:val="subscript"/>
              </w:rPr>
              <w:t>e</w:t>
            </w:r>
            <w:r>
              <w:rPr>
                <w:color w:val="auto"/>
                <w:vertAlign w:val="subscript"/>
              </w:rPr>
              <w:t xml:space="preserve"> </w:t>
            </w:r>
          </w:p>
        </w:tc>
      </w:tr>
      <w:tr w:rsidR="00C60053" w14:paraId="3ED8B499" w14:textId="77777777" w:rsidTr="004C1365">
        <w:trPr>
          <w:trHeight w:val="811"/>
        </w:trPr>
        <w:tc>
          <w:tcPr>
            <w:tcW w:w="4962" w:type="dxa"/>
          </w:tcPr>
          <w:p w14:paraId="0548E21E" w14:textId="77777777" w:rsidR="00AE46A9" w:rsidRDefault="00AE46A9" w:rsidP="00F22E60">
            <w:r>
              <w:t xml:space="preserve">Of which non-renewable electricity </w:t>
            </w:r>
          </w:p>
        </w:tc>
        <w:tc>
          <w:tcPr>
            <w:tcW w:w="3944" w:type="dxa"/>
          </w:tcPr>
          <w:p w14:paraId="58173A51" w14:textId="31E07143" w:rsidR="00AE46A9" w:rsidRDefault="00AE46A9">
            <w:pPr>
              <w:tabs>
                <w:tab w:val="left" w:pos="0"/>
              </w:tabs>
              <w:spacing w:after="0" w:line="256" w:lineRule="auto"/>
            </w:pPr>
            <w:r>
              <w:rPr>
                <w:color w:val="auto"/>
              </w:rPr>
              <w:t xml:space="preserve">= 3,073 </w:t>
            </w:r>
            <w:r>
              <w:rPr>
                <w:color w:val="auto"/>
                <w:szCs w:val="24"/>
              </w:rPr>
              <w:t>×</w:t>
            </w:r>
            <w:r>
              <w:rPr>
                <w:color w:val="auto"/>
              </w:rPr>
              <w:t>.</w:t>
            </w:r>
            <w:r w:rsidR="001F3330">
              <w:rPr>
                <w:color w:val="auto"/>
              </w:rPr>
              <w:t>0.18254</w:t>
            </w:r>
            <w:r>
              <w:rPr>
                <w:color w:val="auto"/>
                <w:szCs w:val="24"/>
              </w:rPr>
              <w:t>× 1</w:t>
            </w:r>
            <w:r>
              <w:rPr>
                <w:color w:val="auto"/>
              </w:rPr>
              <w:t xml:space="preserve">,000 = </w:t>
            </w:r>
          </w:p>
          <w:p w14:paraId="0E250FB8" w14:textId="1DF1101C" w:rsidR="00AE46A9" w:rsidRDefault="001F3330">
            <w:pPr>
              <w:tabs>
                <w:tab w:val="left" w:pos="0"/>
              </w:tabs>
              <w:spacing w:after="0" w:line="256" w:lineRule="auto"/>
            </w:pPr>
            <w:r>
              <w:rPr>
                <w:color w:val="auto"/>
              </w:rPr>
              <w:t>560</w:t>
            </w:r>
            <w:r w:rsidR="00AE46A9">
              <w:rPr>
                <w:color w:val="auto"/>
              </w:rPr>
              <w:t>,</w:t>
            </w:r>
            <w:r>
              <w:rPr>
                <w:color w:val="auto"/>
              </w:rPr>
              <w:t xml:space="preserve">945 </w:t>
            </w:r>
            <w:r w:rsidR="00AE46A9">
              <w:rPr>
                <w:color w:val="auto"/>
              </w:rPr>
              <w:t>kgCO</w:t>
            </w:r>
            <w:r w:rsidR="00AE46A9">
              <w:rPr>
                <w:color w:val="auto"/>
                <w:vertAlign w:val="subscript"/>
              </w:rPr>
              <w:t>2</w:t>
            </w:r>
            <w:r>
              <w:rPr>
                <w:color w:val="auto"/>
                <w:vertAlign w:val="subscript"/>
              </w:rPr>
              <w:t>e</w:t>
            </w:r>
            <w:r w:rsidR="00AE46A9">
              <w:rPr>
                <w:color w:val="auto"/>
                <w:vertAlign w:val="subscript"/>
              </w:rPr>
              <w:t xml:space="preserve"> </w:t>
            </w:r>
          </w:p>
        </w:tc>
      </w:tr>
      <w:tr w:rsidR="00C60053" w14:paraId="27FF2D6E" w14:textId="77777777" w:rsidTr="004C1365">
        <w:trPr>
          <w:trHeight w:val="542"/>
        </w:trPr>
        <w:tc>
          <w:tcPr>
            <w:tcW w:w="4962" w:type="dxa"/>
          </w:tcPr>
          <w:p w14:paraId="1A95389C" w14:textId="77777777" w:rsidR="00AE46A9" w:rsidRDefault="00AE46A9" w:rsidP="00F22E60">
            <w:r>
              <w:t xml:space="preserve">Of which renewable heat </w:t>
            </w:r>
          </w:p>
        </w:tc>
        <w:tc>
          <w:tcPr>
            <w:tcW w:w="3944" w:type="dxa"/>
          </w:tcPr>
          <w:p w14:paraId="69A98925" w14:textId="5CE15A00" w:rsidR="00AE46A9" w:rsidRDefault="00AE46A9">
            <w:pPr>
              <w:tabs>
                <w:tab w:val="left" w:pos="0"/>
              </w:tabs>
              <w:spacing w:after="0" w:line="256" w:lineRule="auto"/>
            </w:pPr>
            <w:r>
              <w:rPr>
                <w:color w:val="auto"/>
              </w:rPr>
              <w:t>0 kg CO</w:t>
            </w:r>
            <w:r>
              <w:rPr>
                <w:color w:val="auto"/>
                <w:vertAlign w:val="subscript"/>
              </w:rPr>
              <w:t>2</w:t>
            </w:r>
            <w:r w:rsidR="001F3330">
              <w:rPr>
                <w:color w:val="auto"/>
                <w:vertAlign w:val="subscript"/>
              </w:rPr>
              <w:t>e</w:t>
            </w:r>
            <w:r>
              <w:rPr>
                <w:color w:val="auto"/>
                <w:vertAlign w:val="subscript"/>
              </w:rPr>
              <w:t xml:space="preserve"> </w:t>
            </w:r>
          </w:p>
        </w:tc>
      </w:tr>
      <w:tr w:rsidR="00C60053" w14:paraId="350C20FA" w14:textId="77777777" w:rsidTr="004C1365">
        <w:trPr>
          <w:trHeight w:val="814"/>
        </w:trPr>
        <w:tc>
          <w:tcPr>
            <w:tcW w:w="4962" w:type="dxa"/>
          </w:tcPr>
          <w:p w14:paraId="037E9867" w14:textId="77777777" w:rsidR="00AE46A9" w:rsidRDefault="00AE46A9" w:rsidP="00F22E60">
            <w:r>
              <w:t xml:space="preserve">Of which non-renewable heat </w:t>
            </w:r>
          </w:p>
        </w:tc>
        <w:tc>
          <w:tcPr>
            <w:tcW w:w="3944" w:type="dxa"/>
          </w:tcPr>
          <w:p w14:paraId="2AA946D1" w14:textId="2840A226" w:rsidR="00AE46A9" w:rsidRDefault="00AE46A9">
            <w:pPr>
              <w:tabs>
                <w:tab w:val="left" w:pos="0"/>
              </w:tabs>
              <w:spacing w:after="0" w:line="256" w:lineRule="auto"/>
            </w:pPr>
            <w:r>
              <w:rPr>
                <w:color w:val="auto"/>
              </w:rPr>
              <w:t xml:space="preserve">= 1,792 MWh </w:t>
            </w:r>
            <w:r>
              <w:rPr>
                <w:rFonts w:eastAsia="Segoe UI Symbol"/>
                <w:color w:val="auto"/>
                <w:szCs w:val="24"/>
              </w:rPr>
              <w:t xml:space="preserve">× </w:t>
            </w:r>
            <w:r w:rsidR="001F3330">
              <w:rPr>
                <w:color w:val="auto"/>
              </w:rPr>
              <w:t xml:space="preserve">0.18254 </w:t>
            </w:r>
            <w:r>
              <w:rPr>
                <w:color w:val="auto"/>
              </w:rPr>
              <w:t>kgCO</w:t>
            </w:r>
            <w:r>
              <w:rPr>
                <w:color w:val="auto"/>
                <w:vertAlign w:val="subscript"/>
              </w:rPr>
              <w:t>2</w:t>
            </w:r>
            <w:r w:rsidR="001F3330">
              <w:rPr>
                <w:color w:val="auto"/>
                <w:vertAlign w:val="subscript"/>
              </w:rPr>
              <w:t>e</w:t>
            </w:r>
            <w:r>
              <w:rPr>
                <w:color w:val="auto"/>
              </w:rPr>
              <w:t xml:space="preserve">/kWh </w:t>
            </w:r>
            <w:r>
              <w:rPr>
                <w:color w:val="auto"/>
                <w:szCs w:val="24"/>
              </w:rPr>
              <w:t xml:space="preserve">× </w:t>
            </w:r>
          </w:p>
          <w:p w14:paraId="3B0E7786" w14:textId="7AA94C1C" w:rsidR="00AE46A9" w:rsidRDefault="00AE46A9">
            <w:pPr>
              <w:tabs>
                <w:tab w:val="left" w:pos="0"/>
              </w:tabs>
              <w:spacing w:after="0" w:line="256" w:lineRule="auto"/>
            </w:pPr>
            <w:r>
              <w:rPr>
                <w:color w:val="auto"/>
              </w:rPr>
              <w:t xml:space="preserve">1,000 = </w:t>
            </w:r>
            <w:r w:rsidR="001F3330">
              <w:rPr>
                <w:color w:val="auto"/>
              </w:rPr>
              <w:t>327,112</w:t>
            </w:r>
            <w:r>
              <w:rPr>
                <w:color w:val="auto"/>
              </w:rPr>
              <w:t xml:space="preserve"> kgCO</w:t>
            </w:r>
            <w:r>
              <w:rPr>
                <w:color w:val="auto"/>
                <w:vertAlign w:val="subscript"/>
              </w:rPr>
              <w:t>2</w:t>
            </w:r>
            <w:r w:rsidR="00C27B06">
              <w:rPr>
                <w:color w:val="auto"/>
                <w:vertAlign w:val="subscript"/>
              </w:rPr>
              <w:t>e</w:t>
            </w:r>
            <w:r>
              <w:rPr>
                <w:color w:val="auto"/>
                <w:vertAlign w:val="subscript"/>
              </w:rPr>
              <w:t xml:space="preserve"> </w:t>
            </w:r>
          </w:p>
        </w:tc>
      </w:tr>
    </w:tbl>
    <w:p w14:paraId="477020E2" w14:textId="77777777" w:rsidR="004C1365" w:rsidRDefault="004C1365">
      <w:pPr>
        <w:suppressAutoHyphens w:val="0"/>
        <w:spacing w:before="0" w:beforeAutospacing="0" w:after="160" w:afterAutospacing="0" w:line="256" w:lineRule="auto"/>
        <w:rPr>
          <w:b/>
          <w:color w:val="auto"/>
        </w:rPr>
      </w:pPr>
      <w:r>
        <w:rPr>
          <w:b/>
          <w:color w:val="auto"/>
        </w:rPr>
        <w:br w:type="page"/>
      </w:r>
    </w:p>
    <w:p w14:paraId="57895498" w14:textId="52A2B7C0" w:rsidR="00AE46A9" w:rsidRDefault="00AE46A9" w:rsidP="00FF0098">
      <w:pPr>
        <w:tabs>
          <w:tab w:val="left" w:pos="0"/>
        </w:tabs>
        <w:rPr>
          <w:b/>
        </w:rPr>
      </w:pPr>
      <w:r>
        <w:rPr>
          <w:b/>
          <w:color w:val="auto"/>
        </w:rPr>
        <w:lastRenderedPageBreak/>
        <w:t>Facility B Consumption and accounting – electricity</w:t>
      </w:r>
    </w:p>
    <w:tbl>
      <w:tblPr>
        <w:tblW w:w="89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962"/>
        <w:gridCol w:w="3944"/>
      </w:tblGrid>
      <w:tr w:rsidR="00C60053" w14:paraId="5707F1BD" w14:textId="77777777" w:rsidTr="004C1365">
        <w:trPr>
          <w:trHeight w:val="542"/>
        </w:trPr>
        <w:tc>
          <w:tcPr>
            <w:tcW w:w="4962" w:type="dxa"/>
          </w:tcPr>
          <w:p w14:paraId="5937A200" w14:textId="77777777" w:rsidR="00AE46A9" w:rsidRDefault="00AE46A9" w:rsidP="00F22E60">
            <w:r>
              <w:t xml:space="preserve">Total delivered electricity consumed </w:t>
            </w:r>
          </w:p>
        </w:tc>
        <w:tc>
          <w:tcPr>
            <w:tcW w:w="3944" w:type="dxa"/>
          </w:tcPr>
          <w:p w14:paraId="464EC5D2" w14:textId="77777777" w:rsidR="00AE46A9" w:rsidRDefault="00AE46A9">
            <w:pPr>
              <w:tabs>
                <w:tab w:val="left" w:pos="0"/>
              </w:tabs>
              <w:spacing w:after="0" w:line="256" w:lineRule="auto"/>
              <w:rPr>
                <w:color w:val="auto"/>
              </w:rPr>
            </w:pPr>
            <w:r>
              <w:rPr>
                <w:color w:val="auto"/>
              </w:rPr>
              <w:t xml:space="preserve">= 1,800 MWh </w:t>
            </w:r>
          </w:p>
        </w:tc>
      </w:tr>
      <w:tr w:rsidR="00C60053" w14:paraId="761A8AC8" w14:textId="77777777" w:rsidTr="004C1365">
        <w:trPr>
          <w:trHeight w:val="797"/>
        </w:trPr>
        <w:tc>
          <w:tcPr>
            <w:tcW w:w="4962" w:type="dxa"/>
          </w:tcPr>
          <w:p w14:paraId="66D1C171" w14:textId="77777777" w:rsidR="00AE46A9" w:rsidRDefault="00AE46A9" w:rsidP="00F22E60">
            <w:r>
              <w:t xml:space="preserve">Delivered electricity consumed – renewable </w:t>
            </w:r>
          </w:p>
        </w:tc>
        <w:tc>
          <w:tcPr>
            <w:tcW w:w="3944" w:type="dxa"/>
          </w:tcPr>
          <w:p w14:paraId="17F6E777" w14:textId="77777777" w:rsidR="00AE46A9" w:rsidRDefault="00AE46A9">
            <w:pPr>
              <w:tabs>
                <w:tab w:val="left" w:pos="0"/>
              </w:tabs>
              <w:spacing w:after="0" w:line="256" w:lineRule="auto"/>
            </w:pPr>
            <w:r>
              <w:rPr>
                <w:color w:val="auto"/>
              </w:rPr>
              <w:t xml:space="preserve">= 50% </w:t>
            </w:r>
            <w:r>
              <w:rPr>
                <w:color w:val="auto"/>
                <w:szCs w:val="24"/>
              </w:rPr>
              <w:t>× 1</w:t>
            </w:r>
            <w:r>
              <w:rPr>
                <w:color w:val="auto"/>
              </w:rPr>
              <w:t xml:space="preserve">,800 = 900 MWh </w:t>
            </w:r>
          </w:p>
        </w:tc>
      </w:tr>
      <w:tr w:rsidR="00C60053" w14:paraId="211C2468" w14:textId="77777777" w:rsidTr="004C1365">
        <w:trPr>
          <w:trHeight w:val="797"/>
        </w:trPr>
        <w:tc>
          <w:tcPr>
            <w:tcW w:w="4962" w:type="dxa"/>
          </w:tcPr>
          <w:p w14:paraId="734B1097" w14:textId="77777777" w:rsidR="00AE46A9" w:rsidRDefault="00AE46A9" w:rsidP="00F22E60">
            <w:r>
              <w:t xml:space="preserve">Delivered electricity consumed – non- renewable </w:t>
            </w:r>
          </w:p>
        </w:tc>
        <w:tc>
          <w:tcPr>
            <w:tcW w:w="3944" w:type="dxa"/>
          </w:tcPr>
          <w:p w14:paraId="21C86D77" w14:textId="77777777" w:rsidR="00AE46A9" w:rsidRDefault="00AE46A9">
            <w:pPr>
              <w:tabs>
                <w:tab w:val="left" w:pos="0"/>
              </w:tabs>
              <w:spacing w:after="0" w:line="256" w:lineRule="auto"/>
            </w:pPr>
            <w:r>
              <w:rPr>
                <w:color w:val="auto"/>
              </w:rPr>
              <w:t xml:space="preserve">= 50% </w:t>
            </w:r>
            <w:r>
              <w:rPr>
                <w:color w:val="auto"/>
                <w:szCs w:val="24"/>
              </w:rPr>
              <w:t>× 1</w:t>
            </w:r>
            <w:r>
              <w:rPr>
                <w:color w:val="auto"/>
              </w:rPr>
              <w:t xml:space="preserve">,800 = 900 MWh </w:t>
            </w:r>
          </w:p>
        </w:tc>
      </w:tr>
      <w:tr w:rsidR="00C60053" w14:paraId="30F99370" w14:textId="77777777" w:rsidTr="004C1365">
        <w:trPr>
          <w:trHeight w:val="797"/>
        </w:trPr>
        <w:tc>
          <w:tcPr>
            <w:tcW w:w="4962" w:type="dxa"/>
          </w:tcPr>
          <w:p w14:paraId="4FAD69C5" w14:textId="77777777" w:rsidR="00AE46A9" w:rsidRDefault="00AE46A9" w:rsidP="00F22E60">
            <w:r>
              <w:t xml:space="preserve">Primary energy accounted for – renewable electricity </w:t>
            </w:r>
          </w:p>
        </w:tc>
        <w:tc>
          <w:tcPr>
            <w:tcW w:w="3944" w:type="dxa"/>
          </w:tcPr>
          <w:p w14:paraId="4ABF890D" w14:textId="2B005723" w:rsidR="00AE46A9" w:rsidRDefault="00AE46A9">
            <w:pPr>
              <w:tabs>
                <w:tab w:val="left" w:pos="0"/>
              </w:tabs>
              <w:spacing w:after="0" w:line="256" w:lineRule="auto"/>
            </w:pPr>
            <w:r>
              <w:rPr>
                <w:color w:val="auto"/>
              </w:rPr>
              <w:t xml:space="preserve">= 900 </w:t>
            </w:r>
            <w:r>
              <w:rPr>
                <w:color w:val="auto"/>
                <w:szCs w:val="24"/>
              </w:rPr>
              <w:t>× 2</w:t>
            </w:r>
            <w:r>
              <w:rPr>
                <w:color w:val="auto"/>
              </w:rPr>
              <w:t>.</w:t>
            </w:r>
            <w:r w:rsidR="00C27B06">
              <w:rPr>
                <w:color w:val="auto"/>
              </w:rPr>
              <w:t xml:space="preserve">1 </w:t>
            </w:r>
            <w:r>
              <w:rPr>
                <w:color w:val="auto"/>
              </w:rPr>
              <w:t xml:space="preserve">= </w:t>
            </w:r>
            <w:r w:rsidR="00C27B06">
              <w:rPr>
                <w:color w:val="auto"/>
              </w:rPr>
              <w:t>1,890</w:t>
            </w:r>
            <w:r>
              <w:rPr>
                <w:color w:val="auto"/>
              </w:rPr>
              <w:t xml:space="preserve"> MWh </w:t>
            </w:r>
          </w:p>
        </w:tc>
      </w:tr>
      <w:tr w:rsidR="00C60053" w14:paraId="50E968A2" w14:textId="77777777" w:rsidTr="004C1365">
        <w:trPr>
          <w:trHeight w:val="794"/>
        </w:trPr>
        <w:tc>
          <w:tcPr>
            <w:tcW w:w="4962" w:type="dxa"/>
          </w:tcPr>
          <w:p w14:paraId="7199EFC0" w14:textId="77777777" w:rsidR="00AE46A9" w:rsidRDefault="00AE46A9" w:rsidP="00F22E60">
            <w:r>
              <w:t xml:space="preserve">Primary energy accounted for – non- renewable electricity </w:t>
            </w:r>
          </w:p>
        </w:tc>
        <w:tc>
          <w:tcPr>
            <w:tcW w:w="3944" w:type="dxa"/>
          </w:tcPr>
          <w:p w14:paraId="398F7E34" w14:textId="77777777" w:rsidR="00AE46A9" w:rsidRDefault="00AE46A9">
            <w:pPr>
              <w:tabs>
                <w:tab w:val="left" w:pos="0"/>
              </w:tabs>
              <w:spacing w:after="0" w:line="256" w:lineRule="auto"/>
            </w:pPr>
            <w:r>
              <w:rPr>
                <w:color w:val="auto"/>
              </w:rPr>
              <w:t xml:space="preserve">= (900/2,400) </w:t>
            </w:r>
            <w:r>
              <w:rPr>
                <w:color w:val="auto"/>
                <w:szCs w:val="24"/>
              </w:rPr>
              <w:t>× 4</w:t>
            </w:r>
            <w:r>
              <w:rPr>
                <w:color w:val="auto"/>
              </w:rPr>
              <w:t xml:space="preserve">,916 = 1,844 MWh </w:t>
            </w:r>
          </w:p>
        </w:tc>
      </w:tr>
    </w:tbl>
    <w:p w14:paraId="072BE5AB" w14:textId="31ED1E44" w:rsidR="00AE46A9" w:rsidRDefault="00AE46A9" w:rsidP="00FF0098">
      <w:pPr>
        <w:tabs>
          <w:tab w:val="left" w:pos="0"/>
        </w:tabs>
        <w:rPr>
          <w:b/>
        </w:rPr>
      </w:pPr>
      <w:r>
        <w:rPr>
          <w:b/>
          <w:color w:val="auto"/>
        </w:rPr>
        <w:t>Facility B Consumption and accounting –</w:t>
      </w:r>
      <w:r w:rsidR="00F22E60">
        <w:rPr>
          <w:b/>
          <w:color w:val="auto"/>
        </w:rPr>
        <w:t xml:space="preserve"> </w:t>
      </w:r>
      <w:r>
        <w:rPr>
          <w:b/>
          <w:color w:val="auto"/>
        </w:rPr>
        <w:t>heat</w:t>
      </w:r>
    </w:p>
    <w:tbl>
      <w:tblPr>
        <w:tblW w:w="89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962"/>
        <w:gridCol w:w="3944"/>
      </w:tblGrid>
      <w:tr w:rsidR="00C60053" w14:paraId="4980512E" w14:textId="77777777" w:rsidTr="004C1365">
        <w:trPr>
          <w:trHeight w:val="542"/>
        </w:trPr>
        <w:tc>
          <w:tcPr>
            <w:tcW w:w="4962" w:type="dxa"/>
          </w:tcPr>
          <w:p w14:paraId="3DE82D7F" w14:textId="77777777" w:rsidR="00AE46A9" w:rsidRDefault="00AE46A9" w:rsidP="00F22E60">
            <w:r>
              <w:t xml:space="preserve">Total delivered heat consumed </w:t>
            </w:r>
          </w:p>
        </w:tc>
        <w:tc>
          <w:tcPr>
            <w:tcW w:w="3944" w:type="dxa"/>
          </w:tcPr>
          <w:p w14:paraId="0F264060" w14:textId="77777777" w:rsidR="00AE46A9" w:rsidRDefault="00AE46A9">
            <w:pPr>
              <w:tabs>
                <w:tab w:val="left" w:pos="0"/>
              </w:tabs>
              <w:spacing w:after="0" w:line="256" w:lineRule="auto"/>
              <w:rPr>
                <w:color w:val="auto"/>
              </w:rPr>
            </w:pPr>
            <w:r>
              <w:rPr>
                <w:color w:val="auto"/>
              </w:rPr>
              <w:t xml:space="preserve">= 3,500 MWh </w:t>
            </w:r>
          </w:p>
        </w:tc>
      </w:tr>
      <w:tr w:rsidR="00C60053" w14:paraId="09C19D5F" w14:textId="77777777" w:rsidTr="004C1365">
        <w:trPr>
          <w:trHeight w:val="559"/>
        </w:trPr>
        <w:tc>
          <w:tcPr>
            <w:tcW w:w="4962" w:type="dxa"/>
          </w:tcPr>
          <w:p w14:paraId="5AB7354A" w14:textId="77777777" w:rsidR="00AE46A9" w:rsidRDefault="00AE46A9" w:rsidP="00F22E60">
            <w:r>
              <w:t xml:space="preserve">Delivered heat consumed – renewable </w:t>
            </w:r>
          </w:p>
        </w:tc>
        <w:tc>
          <w:tcPr>
            <w:tcW w:w="3944" w:type="dxa"/>
          </w:tcPr>
          <w:p w14:paraId="41844115" w14:textId="77777777" w:rsidR="00AE46A9" w:rsidRDefault="00AE46A9">
            <w:pPr>
              <w:tabs>
                <w:tab w:val="left" w:pos="0"/>
              </w:tabs>
              <w:spacing w:after="0" w:line="256" w:lineRule="auto"/>
            </w:pPr>
            <w:r>
              <w:rPr>
                <w:color w:val="auto"/>
              </w:rPr>
              <w:t xml:space="preserve">= 50% </w:t>
            </w:r>
            <w:r>
              <w:rPr>
                <w:color w:val="auto"/>
                <w:szCs w:val="24"/>
              </w:rPr>
              <w:t>× 3</w:t>
            </w:r>
            <w:r>
              <w:rPr>
                <w:color w:val="auto"/>
              </w:rPr>
              <w:t xml:space="preserve">,500 = 1,750 MWh </w:t>
            </w:r>
          </w:p>
        </w:tc>
      </w:tr>
      <w:tr w:rsidR="00C60053" w14:paraId="07AECC61" w14:textId="77777777" w:rsidTr="004C1365">
        <w:trPr>
          <w:trHeight w:val="560"/>
        </w:trPr>
        <w:tc>
          <w:tcPr>
            <w:tcW w:w="4962" w:type="dxa"/>
          </w:tcPr>
          <w:p w14:paraId="63BEF7B6" w14:textId="77777777" w:rsidR="00AE46A9" w:rsidRDefault="00AE46A9" w:rsidP="00F22E60">
            <w:r>
              <w:t xml:space="preserve">Delivered heat consumed – non-renewable </w:t>
            </w:r>
          </w:p>
        </w:tc>
        <w:tc>
          <w:tcPr>
            <w:tcW w:w="3944" w:type="dxa"/>
          </w:tcPr>
          <w:p w14:paraId="3031F5C8" w14:textId="77777777" w:rsidR="00AE46A9" w:rsidRDefault="00AE46A9">
            <w:pPr>
              <w:tabs>
                <w:tab w:val="left" w:pos="0"/>
              </w:tabs>
              <w:spacing w:after="0" w:line="256" w:lineRule="auto"/>
            </w:pPr>
            <w:r>
              <w:rPr>
                <w:color w:val="auto"/>
              </w:rPr>
              <w:t xml:space="preserve">= 50% </w:t>
            </w:r>
            <w:r>
              <w:rPr>
                <w:color w:val="auto"/>
                <w:szCs w:val="24"/>
              </w:rPr>
              <w:t>× 3</w:t>
            </w:r>
            <w:r>
              <w:rPr>
                <w:color w:val="auto"/>
              </w:rPr>
              <w:t xml:space="preserve">,500 = 1,750 MWh </w:t>
            </w:r>
          </w:p>
        </w:tc>
      </w:tr>
      <w:tr w:rsidR="00C60053" w14:paraId="1E2DD1D2" w14:textId="77777777" w:rsidTr="004C1365">
        <w:trPr>
          <w:trHeight w:val="797"/>
        </w:trPr>
        <w:tc>
          <w:tcPr>
            <w:tcW w:w="4962" w:type="dxa"/>
          </w:tcPr>
          <w:p w14:paraId="57E36D18" w14:textId="77777777" w:rsidR="00AE46A9" w:rsidRDefault="00AE46A9" w:rsidP="00F22E60">
            <w:r>
              <w:t xml:space="preserve">Primary energy accounted for – renewable heat </w:t>
            </w:r>
          </w:p>
        </w:tc>
        <w:tc>
          <w:tcPr>
            <w:tcW w:w="3944" w:type="dxa"/>
          </w:tcPr>
          <w:p w14:paraId="4ADD12FA" w14:textId="22DDBDDB" w:rsidR="00AE46A9" w:rsidRDefault="00AE46A9">
            <w:pPr>
              <w:tabs>
                <w:tab w:val="left" w:pos="0"/>
              </w:tabs>
              <w:spacing w:after="0" w:line="256" w:lineRule="auto"/>
            </w:pPr>
            <w:r>
              <w:rPr>
                <w:color w:val="auto"/>
              </w:rPr>
              <w:t xml:space="preserve">= (1,750/3,500) </w:t>
            </w:r>
            <w:r>
              <w:rPr>
                <w:color w:val="auto"/>
                <w:szCs w:val="24"/>
              </w:rPr>
              <w:t xml:space="preserve">× </w:t>
            </w:r>
            <w:r w:rsidR="00C27B06">
              <w:rPr>
                <w:color w:val="auto"/>
                <w:szCs w:val="24"/>
              </w:rPr>
              <w:t>3,460</w:t>
            </w:r>
            <w:r>
              <w:rPr>
                <w:color w:val="auto"/>
              </w:rPr>
              <w:t xml:space="preserve"> = </w:t>
            </w:r>
            <w:r w:rsidR="00C27B06">
              <w:rPr>
                <w:color w:val="auto"/>
              </w:rPr>
              <w:t xml:space="preserve">1,730 </w:t>
            </w:r>
            <w:r>
              <w:rPr>
                <w:color w:val="auto"/>
              </w:rPr>
              <w:t xml:space="preserve">MWh </w:t>
            </w:r>
          </w:p>
        </w:tc>
      </w:tr>
      <w:tr w:rsidR="00C60053" w14:paraId="600490F9" w14:textId="77777777" w:rsidTr="004C1365">
        <w:trPr>
          <w:trHeight w:val="794"/>
        </w:trPr>
        <w:tc>
          <w:tcPr>
            <w:tcW w:w="4962" w:type="dxa"/>
          </w:tcPr>
          <w:p w14:paraId="5ED72653" w14:textId="77777777" w:rsidR="00AE46A9" w:rsidRDefault="00AE46A9" w:rsidP="00F22E60">
            <w:r>
              <w:t xml:space="preserve">Primary energy accounted for – non- renewable heat </w:t>
            </w:r>
          </w:p>
        </w:tc>
        <w:tc>
          <w:tcPr>
            <w:tcW w:w="3944" w:type="dxa"/>
          </w:tcPr>
          <w:p w14:paraId="7EE63177" w14:textId="77777777" w:rsidR="00AE46A9" w:rsidRDefault="00AE46A9">
            <w:pPr>
              <w:tabs>
                <w:tab w:val="left" w:pos="0"/>
              </w:tabs>
              <w:spacing w:after="0" w:line="256" w:lineRule="auto"/>
            </w:pPr>
            <w:r>
              <w:rPr>
                <w:color w:val="auto"/>
              </w:rPr>
              <w:t xml:space="preserve">= (1,750/3,500) </w:t>
            </w:r>
            <w:r>
              <w:rPr>
                <w:color w:val="auto"/>
                <w:szCs w:val="24"/>
              </w:rPr>
              <w:t>× 3</w:t>
            </w:r>
            <w:r>
              <w:rPr>
                <w:color w:val="auto"/>
              </w:rPr>
              <w:t xml:space="preserve">,584 = 1,792 MWh </w:t>
            </w:r>
          </w:p>
        </w:tc>
      </w:tr>
    </w:tbl>
    <w:p w14:paraId="00B36FFA" w14:textId="77777777" w:rsidR="004C1365" w:rsidRDefault="004C1365">
      <w:pPr>
        <w:suppressAutoHyphens w:val="0"/>
        <w:spacing w:before="0" w:beforeAutospacing="0" w:after="160" w:afterAutospacing="0" w:line="256" w:lineRule="auto"/>
        <w:rPr>
          <w:b/>
          <w:color w:val="auto"/>
        </w:rPr>
      </w:pPr>
      <w:r>
        <w:rPr>
          <w:b/>
          <w:color w:val="auto"/>
        </w:rPr>
        <w:br w:type="page"/>
      </w:r>
    </w:p>
    <w:p w14:paraId="28E8F1A3" w14:textId="63A30994" w:rsidR="00AE46A9" w:rsidRDefault="00AE46A9" w:rsidP="00FF0098">
      <w:pPr>
        <w:tabs>
          <w:tab w:val="left" w:pos="0"/>
        </w:tabs>
        <w:rPr>
          <w:b/>
        </w:rPr>
      </w:pPr>
      <w:r>
        <w:rPr>
          <w:b/>
          <w:color w:val="auto"/>
        </w:rPr>
        <w:lastRenderedPageBreak/>
        <w:t>Facility B Reporting</w:t>
      </w:r>
    </w:p>
    <w:tbl>
      <w:tblPr>
        <w:tblW w:w="89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962"/>
        <w:gridCol w:w="3944"/>
      </w:tblGrid>
      <w:tr w:rsidR="00C60053" w14:paraId="0C7405A3" w14:textId="77777777" w:rsidTr="004C1365">
        <w:trPr>
          <w:trHeight w:val="542"/>
        </w:trPr>
        <w:tc>
          <w:tcPr>
            <w:tcW w:w="4962" w:type="dxa"/>
          </w:tcPr>
          <w:p w14:paraId="1E3BE381" w14:textId="77777777" w:rsidR="00AE46A9" w:rsidRDefault="00AE46A9" w:rsidP="00F22E60">
            <w:r>
              <w:t xml:space="preserve">Delivered renewable electricity </w:t>
            </w:r>
          </w:p>
        </w:tc>
        <w:tc>
          <w:tcPr>
            <w:tcW w:w="3944" w:type="dxa"/>
          </w:tcPr>
          <w:p w14:paraId="7A93A028" w14:textId="77777777" w:rsidR="00AE46A9" w:rsidRDefault="00AE46A9">
            <w:pPr>
              <w:tabs>
                <w:tab w:val="left" w:pos="0"/>
              </w:tabs>
              <w:spacing w:after="0" w:line="256" w:lineRule="auto"/>
              <w:rPr>
                <w:color w:val="auto"/>
              </w:rPr>
            </w:pPr>
            <w:r>
              <w:rPr>
                <w:color w:val="auto"/>
              </w:rPr>
              <w:t xml:space="preserve">900 MWh </w:t>
            </w:r>
          </w:p>
        </w:tc>
      </w:tr>
      <w:tr w:rsidR="00C60053" w14:paraId="208BC159" w14:textId="77777777" w:rsidTr="004C1365">
        <w:trPr>
          <w:trHeight w:val="543"/>
        </w:trPr>
        <w:tc>
          <w:tcPr>
            <w:tcW w:w="4962" w:type="dxa"/>
          </w:tcPr>
          <w:p w14:paraId="5A08EF4B" w14:textId="77777777" w:rsidR="00AE46A9" w:rsidRDefault="00AE46A9" w:rsidP="00F22E60">
            <w:r>
              <w:t xml:space="preserve">Non-renewable electricity </w:t>
            </w:r>
          </w:p>
        </w:tc>
        <w:tc>
          <w:tcPr>
            <w:tcW w:w="3944" w:type="dxa"/>
          </w:tcPr>
          <w:p w14:paraId="23D0E91D" w14:textId="77777777" w:rsidR="00AE46A9" w:rsidRDefault="00AE46A9">
            <w:pPr>
              <w:tabs>
                <w:tab w:val="left" w:pos="0"/>
              </w:tabs>
              <w:spacing w:after="0" w:line="256" w:lineRule="auto"/>
              <w:rPr>
                <w:color w:val="auto"/>
              </w:rPr>
            </w:pPr>
            <w:r>
              <w:rPr>
                <w:color w:val="auto"/>
              </w:rPr>
              <w:t xml:space="preserve">1,844 MWh (as natural gas) </w:t>
            </w:r>
          </w:p>
        </w:tc>
      </w:tr>
      <w:tr w:rsidR="00C60053" w14:paraId="73A754DC" w14:textId="77777777" w:rsidTr="004C1365">
        <w:trPr>
          <w:trHeight w:val="542"/>
        </w:trPr>
        <w:tc>
          <w:tcPr>
            <w:tcW w:w="4962" w:type="dxa"/>
          </w:tcPr>
          <w:p w14:paraId="2C853592" w14:textId="77777777" w:rsidR="00AE46A9" w:rsidRDefault="00AE46A9" w:rsidP="00F22E60">
            <w:r>
              <w:t xml:space="preserve">Renewable heat </w:t>
            </w:r>
          </w:p>
        </w:tc>
        <w:tc>
          <w:tcPr>
            <w:tcW w:w="3944" w:type="dxa"/>
          </w:tcPr>
          <w:p w14:paraId="0D64EB66" w14:textId="38CD9A7B" w:rsidR="00AE46A9" w:rsidRDefault="00D747A2">
            <w:pPr>
              <w:tabs>
                <w:tab w:val="left" w:pos="0"/>
              </w:tabs>
              <w:spacing w:after="0" w:line="256" w:lineRule="auto"/>
              <w:rPr>
                <w:color w:val="auto"/>
              </w:rPr>
            </w:pPr>
            <w:r>
              <w:rPr>
                <w:color w:val="auto"/>
              </w:rPr>
              <w:t xml:space="preserve">1,730 </w:t>
            </w:r>
            <w:r w:rsidR="00AE46A9">
              <w:rPr>
                <w:color w:val="auto"/>
              </w:rPr>
              <w:t xml:space="preserve">MWh (as biogas) </w:t>
            </w:r>
          </w:p>
        </w:tc>
      </w:tr>
      <w:tr w:rsidR="00C60053" w14:paraId="03874329" w14:textId="77777777" w:rsidTr="004C1365">
        <w:trPr>
          <w:trHeight w:val="545"/>
        </w:trPr>
        <w:tc>
          <w:tcPr>
            <w:tcW w:w="4962" w:type="dxa"/>
          </w:tcPr>
          <w:p w14:paraId="756F6D96" w14:textId="77777777" w:rsidR="00AE46A9" w:rsidRDefault="00AE46A9" w:rsidP="00F22E60">
            <w:r>
              <w:t xml:space="preserve">Non-renewable heat </w:t>
            </w:r>
          </w:p>
        </w:tc>
        <w:tc>
          <w:tcPr>
            <w:tcW w:w="3944" w:type="dxa"/>
          </w:tcPr>
          <w:p w14:paraId="4ECC0276" w14:textId="77777777" w:rsidR="00AE46A9" w:rsidRDefault="00AE46A9">
            <w:pPr>
              <w:tabs>
                <w:tab w:val="left" w:pos="0"/>
              </w:tabs>
              <w:spacing w:after="0" w:line="256" w:lineRule="auto"/>
              <w:rPr>
                <w:color w:val="auto"/>
              </w:rPr>
            </w:pPr>
            <w:r>
              <w:rPr>
                <w:color w:val="auto"/>
              </w:rPr>
              <w:t xml:space="preserve">1,792 MWh (as natural gas) </w:t>
            </w:r>
          </w:p>
        </w:tc>
      </w:tr>
      <w:tr w:rsidR="00C60053" w14:paraId="1EE7D26E" w14:textId="77777777" w:rsidTr="004C1365">
        <w:trPr>
          <w:trHeight w:val="1049"/>
        </w:trPr>
        <w:tc>
          <w:tcPr>
            <w:tcW w:w="4962" w:type="dxa"/>
          </w:tcPr>
          <w:p w14:paraId="77282AA6" w14:textId="77777777" w:rsidR="00AE46A9" w:rsidRDefault="00AE46A9" w:rsidP="00F22E60">
            <w:r>
              <w:t>Reporting form would return total CO</w:t>
            </w:r>
            <w:r>
              <w:rPr>
                <w:vertAlign w:val="subscript"/>
              </w:rPr>
              <w:t xml:space="preserve">2 </w:t>
            </w:r>
            <w:r>
              <w:t xml:space="preserve">emissions associated with this energy consumption </w:t>
            </w:r>
          </w:p>
        </w:tc>
        <w:tc>
          <w:tcPr>
            <w:tcW w:w="3944" w:type="dxa"/>
          </w:tcPr>
          <w:p w14:paraId="5AF90954" w14:textId="62DA6FFD" w:rsidR="00AE46A9" w:rsidRDefault="00D747A2">
            <w:pPr>
              <w:tabs>
                <w:tab w:val="left" w:pos="0"/>
              </w:tabs>
              <w:spacing w:after="0" w:line="256" w:lineRule="auto"/>
            </w:pPr>
            <w:r>
              <w:rPr>
                <w:color w:val="auto"/>
              </w:rPr>
              <w:t>754,130</w:t>
            </w:r>
            <w:r w:rsidR="00AE46A9">
              <w:rPr>
                <w:color w:val="auto"/>
              </w:rPr>
              <w:t xml:space="preserve"> kgCO</w:t>
            </w:r>
            <w:r w:rsidR="00AE46A9">
              <w:rPr>
                <w:color w:val="auto"/>
                <w:vertAlign w:val="subscript"/>
              </w:rPr>
              <w:t>2</w:t>
            </w:r>
            <w:r>
              <w:rPr>
                <w:color w:val="auto"/>
                <w:vertAlign w:val="subscript"/>
              </w:rPr>
              <w:t>e</w:t>
            </w:r>
            <w:r w:rsidR="00AE46A9">
              <w:rPr>
                <w:color w:val="auto"/>
                <w:vertAlign w:val="subscript"/>
              </w:rPr>
              <w:t xml:space="preserve"> </w:t>
            </w:r>
          </w:p>
        </w:tc>
      </w:tr>
      <w:tr w:rsidR="00C60053" w14:paraId="021D662A" w14:textId="77777777" w:rsidTr="004C1365">
        <w:trPr>
          <w:trHeight w:val="811"/>
        </w:trPr>
        <w:tc>
          <w:tcPr>
            <w:tcW w:w="4962" w:type="dxa"/>
          </w:tcPr>
          <w:p w14:paraId="3E80838D" w14:textId="77777777" w:rsidR="00AE46A9" w:rsidRDefault="00AE46A9" w:rsidP="00F22E60">
            <w:r>
              <w:t xml:space="preserve">Of which renewable electricity </w:t>
            </w:r>
          </w:p>
        </w:tc>
        <w:tc>
          <w:tcPr>
            <w:tcW w:w="3944" w:type="dxa"/>
          </w:tcPr>
          <w:p w14:paraId="63439DE6" w14:textId="5549C1C2" w:rsidR="00AE46A9" w:rsidRDefault="00AE46A9">
            <w:pPr>
              <w:tabs>
                <w:tab w:val="left" w:pos="0"/>
              </w:tabs>
              <w:spacing w:after="0" w:line="256" w:lineRule="auto"/>
            </w:pPr>
            <w:r>
              <w:rPr>
                <w:color w:val="auto"/>
              </w:rPr>
              <w:t xml:space="preserve">= 900 MWh </w:t>
            </w:r>
            <w:r>
              <w:rPr>
                <w:color w:val="auto"/>
                <w:szCs w:val="24"/>
              </w:rPr>
              <w:t xml:space="preserve">× </w:t>
            </w:r>
            <w:r w:rsidR="00D747A2">
              <w:rPr>
                <w:color w:val="auto"/>
              </w:rPr>
              <w:t xml:space="preserve">0.10046 </w:t>
            </w:r>
            <w:r>
              <w:rPr>
                <w:color w:val="auto"/>
              </w:rPr>
              <w:t>kgCO</w:t>
            </w:r>
            <w:r>
              <w:rPr>
                <w:color w:val="auto"/>
                <w:vertAlign w:val="subscript"/>
              </w:rPr>
              <w:t>2</w:t>
            </w:r>
            <w:r w:rsidR="00D747A2">
              <w:rPr>
                <w:color w:val="auto"/>
                <w:vertAlign w:val="subscript"/>
              </w:rPr>
              <w:t>e</w:t>
            </w:r>
            <w:r>
              <w:rPr>
                <w:color w:val="auto"/>
              </w:rPr>
              <w:t xml:space="preserve">/kWh </w:t>
            </w:r>
            <w:r>
              <w:rPr>
                <w:color w:val="auto"/>
                <w:szCs w:val="24"/>
              </w:rPr>
              <w:t>× 1</w:t>
            </w:r>
            <w:r>
              <w:rPr>
                <w:color w:val="auto"/>
              </w:rPr>
              <w:t xml:space="preserve">,000 </w:t>
            </w:r>
          </w:p>
          <w:p w14:paraId="340D6D0D" w14:textId="1E49965D" w:rsidR="00AE46A9" w:rsidRDefault="00AE46A9">
            <w:pPr>
              <w:tabs>
                <w:tab w:val="left" w:pos="0"/>
              </w:tabs>
              <w:spacing w:after="0" w:line="256" w:lineRule="auto"/>
            </w:pPr>
            <w:r>
              <w:rPr>
                <w:color w:val="auto"/>
              </w:rPr>
              <w:t xml:space="preserve">= </w:t>
            </w:r>
            <w:r w:rsidR="00D747A2">
              <w:rPr>
                <w:color w:val="auto"/>
              </w:rPr>
              <w:t xml:space="preserve">90,414 </w:t>
            </w:r>
            <w:r>
              <w:rPr>
                <w:color w:val="auto"/>
              </w:rPr>
              <w:t>kgCO</w:t>
            </w:r>
            <w:r>
              <w:rPr>
                <w:color w:val="auto"/>
                <w:vertAlign w:val="subscript"/>
              </w:rPr>
              <w:t>2</w:t>
            </w:r>
            <w:r w:rsidR="00D747A2">
              <w:rPr>
                <w:color w:val="auto"/>
                <w:vertAlign w:val="subscript"/>
              </w:rPr>
              <w:t>e</w:t>
            </w:r>
            <w:r>
              <w:rPr>
                <w:color w:val="auto"/>
                <w:vertAlign w:val="subscript"/>
              </w:rPr>
              <w:t xml:space="preserve"> </w:t>
            </w:r>
          </w:p>
        </w:tc>
      </w:tr>
      <w:tr w:rsidR="00C60053" w14:paraId="60AA5C82" w14:textId="77777777" w:rsidTr="004C1365">
        <w:trPr>
          <w:trHeight w:val="814"/>
        </w:trPr>
        <w:tc>
          <w:tcPr>
            <w:tcW w:w="4962" w:type="dxa"/>
          </w:tcPr>
          <w:p w14:paraId="3CE515F3" w14:textId="77777777" w:rsidR="00AE46A9" w:rsidRDefault="00AE46A9" w:rsidP="00F22E60">
            <w:r>
              <w:t xml:space="preserve">Of which non-renewable electricity </w:t>
            </w:r>
          </w:p>
        </w:tc>
        <w:tc>
          <w:tcPr>
            <w:tcW w:w="3944" w:type="dxa"/>
          </w:tcPr>
          <w:p w14:paraId="3B87EA11" w14:textId="4063F429" w:rsidR="00AE46A9" w:rsidRDefault="00AE46A9">
            <w:pPr>
              <w:tabs>
                <w:tab w:val="left" w:pos="0"/>
              </w:tabs>
              <w:spacing w:after="0" w:line="256" w:lineRule="auto"/>
            </w:pPr>
            <w:r>
              <w:rPr>
                <w:color w:val="auto"/>
              </w:rPr>
              <w:t xml:space="preserve">= 1,844 </w:t>
            </w:r>
            <w:r>
              <w:rPr>
                <w:color w:val="auto"/>
                <w:szCs w:val="24"/>
              </w:rPr>
              <w:t xml:space="preserve">× </w:t>
            </w:r>
            <w:r w:rsidR="00D747A2">
              <w:rPr>
                <w:color w:val="auto"/>
              </w:rPr>
              <w:t xml:space="preserve">0.18254 </w:t>
            </w:r>
            <w:r>
              <w:rPr>
                <w:color w:val="auto"/>
              </w:rPr>
              <w:t>kgCO</w:t>
            </w:r>
            <w:r>
              <w:rPr>
                <w:color w:val="auto"/>
                <w:vertAlign w:val="subscript"/>
              </w:rPr>
              <w:t>2</w:t>
            </w:r>
            <w:r w:rsidR="00D747A2">
              <w:rPr>
                <w:color w:val="auto"/>
                <w:vertAlign w:val="subscript"/>
              </w:rPr>
              <w:t>e</w:t>
            </w:r>
            <w:r>
              <w:rPr>
                <w:color w:val="auto"/>
              </w:rPr>
              <w:t xml:space="preserve">/kWh </w:t>
            </w:r>
            <w:r>
              <w:rPr>
                <w:color w:val="auto"/>
                <w:szCs w:val="24"/>
              </w:rPr>
              <w:t>× 1</w:t>
            </w:r>
            <w:r>
              <w:rPr>
                <w:color w:val="auto"/>
              </w:rPr>
              <w:t xml:space="preserve">,000 = </w:t>
            </w:r>
          </w:p>
          <w:p w14:paraId="682B5009" w14:textId="07C2ABBC" w:rsidR="00AE46A9" w:rsidRDefault="00D747A2">
            <w:pPr>
              <w:tabs>
                <w:tab w:val="left" w:pos="0"/>
              </w:tabs>
              <w:spacing w:after="0" w:line="256" w:lineRule="auto"/>
            </w:pPr>
            <w:r>
              <w:rPr>
                <w:color w:val="auto"/>
              </w:rPr>
              <w:t xml:space="preserve">336,604 </w:t>
            </w:r>
            <w:r w:rsidR="00AE46A9">
              <w:rPr>
                <w:color w:val="auto"/>
              </w:rPr>
              <w:t>kgCO</w:t>
            </w:r>
            <w:r w:rsidR="00AE46A9">
              <w:rPr>
                <w:color w:val="auto"/>
                <w:vertAlign w:val="subscript"/>
              </w:rPr>
              <w:t>2</w:t>
            </w:r>
            <w:r>
              <w:rPr>
                <w:color w:val="auto"/>
                <w:vertAlign w:val="subscript"/>
              </w:rPr>
              <w:t>e</w:t>
            </w:r>
            <w:r w:rsidR="00AE46A9">
              <w:rPr>
                <w:color w:val="auto"/>
                <w:vertAlign w:val="subscript"/>
              </w:rPr>
              <w:t xml:space="preserve"> </w:t>
            </w:r>
          </w:p>
        </w:tc>
      </w:tr>
      <w:tr w:rsidR="00C60053" w14:paraId="3C109FE3" w14:textId="77777777" w:rsidTr="004C1365">
        <w:trPr>
          <w:trHeight w:val="542"/>
        </w:trPr>
        <w:tc>
          <w:tcPr>
            <w:tcW w:w="4962" w:type="dxa"/>
          </w:tcPr>
          <w:p w14:paraId="02ABCF02" w14:textId="77777777" w:rsidR="00AE46A9" w:rsidRDefault="00AE46A9" w:rsidP="00F22E60">
            <w:r>
              <w:t xml:space="preserve">Of which renewable heat </w:t>
            </w:r>
          </w:p>
        </w:tc>
        <w:tc>
          <w:tcPr>
            <w:tcW w:w="3944" w:type="dxa"/>
          </w:tcPr>
          <w:p w14:paraId="143122CC" w14:textId="1471FD4C" w:rsidR="00AE46A9" w:rsidRDefault="00AE46A9">
            <w:pPr>
              <w:tabs>
                <w:tab w:val="left" w:pos="0"/>
              </w:tabs>
              <w:spacing w:after="0" w:line="256" w:lineRule="auto"/>
            </w:pPr>
            <w:r>
              <w:rPr>
                <w:color w:val="auto"/>
              </w:rPr>
              <w:t>0 kg CO</w:t>
            </w:r>
            <w:r>
              <w:rPr>
                <w:color w:val="auto"/>
                <w:vertAlign w:val="subscript"/>
              </w:rPr>
              <w:t>2</w:t>
            </w:r>
            <w:r w:rsidR="00D747A2">
              <w:rPr>
                <w:color w:val="auto"/>
                <w:vertAlign w:val="subscript"/>
              </w:rPr>
              <w:t>e</w:t>
            </w:r>
            <w:r>
              <w:rPr>
                <w:color w:val="auto"/>
                <w:vertAlign w:val="subscript"/>
              </w:rPr>
              <w:t xml:space="preserve"> </w:t>
            </w:r>
          </w:p>
        </w:tc>
      </w:tr>
      <w:tr w:rsidR="00C60053" w14:paraId="36E37DE3" w14:textId="77777777" w:rsidTr="004C1365">
        <w:trPr>
          <w:trHeight w:val="814"/>
        </w:trPr>
        <w:tc>
          <w:tcPr>
            <w:tcW w:w="4962" w:type="dxa"/>
          </w:tcPr>
          <w:p w14:paraId="64D2A5A6" w14:textId="77777777" w:rsidR="00AE46A9" w:rsidRDefault="00AE46A9" w:rsidP="00F22E60">
            <w:r>
              <w:t xml:space="preserve">Of which non-renewable heat </w:t>
            </w:r>
          </w:p>
        </w:tc>
        <w:tc>
          <w:tcPr>
            <w:tcW w:w="3944" w:type="dxa"/>
          </w:tcPr>
          <w:p w14:paraId="0029B783" w14:textId="02197853" w:rsidR="00AE46A9" w:rsidRDefault="00AE46A9">
            <w:pPr>
              <w:tabs>
                <w:tab w:val="left" w:pos="0"/>
              </w:tabs>
              <w:spacing w:after="0" w:line="256" w:lineRule="auto"/>
            </w:pPr>
            <w:r>
              <w:rPr>
                <w:color w:val="auto"/>
              </w:rPr>
              <w:t xml:space="preserve">= 1,792 MWh </w:t>
            </w:r>
            <w:r>
              <w:rPr>
                <w:color w:val="auto"/>
                <w:szCs w:val="24"/>
              </w:rPr>
              <w:t xml:space="preserve">× </w:t>
            </w:r>
            <w:r w:rsidR="00D747A2">
              <w:rPr>
                <w:color w:val="auto"/>
              </w:rPr>
              <w:t xml:space="preserve">0.18254 </w:t>
            </w:r>
            <w:r>
              <w:rPr>
                <w:color w:val="auto"/>
              </w:rPr>
              <w:t>kgCO</w:t>
            </w:r>
            <w:r>
              <w:rPr>
                <w:color w:val="auto"/>
                <w:vertAlign w:val="subscript"/>
              </w:rPr>
              <w:t>2</w:t>
            </w:r>
            <w:r w:rsidR="00D747A2">
              <w:rPr>
                <w:color w:val="auto"/>
                <w:vertAlign w:val="subscript"/>
              </w:rPr>
              <w:t>e</w:t>
            </w:r>
            <w:r>
              <w:rPr>
                <w:color w:val="auto"/>
              </w:rPr>
              <w:t xml:space="preserve">/kWh </w:t>
            </w:r>
            <w:r>
              <w:rPr>
                <w:color w:val="auto"/>
                <w:szCs w:val="24"/>
              </w:rPr>
              <w:t>×</w:t>
            </w:r>
          </w:p>
          <w:p w14:paraId="5B71C6C6" w14:textId="6BAF7D1E" w:rsidR="00AE46A9" w:rsidRDefault="00AE46A9">
            <w:pPr>
              <w:tabs>
                <w:tab w:val="left" w:pos="0"/>
              </w:tabs>
              <w:spacing w:after="0" w:line="256" w:lineRule="auto"/>
            </w:pPr>
            <w:r>
              <w:rPr>
                <w:color w:val="auto"/>
              </w:rPr>
              <w:t xml:space="preserve">1000 = </w:t>
            </w:r>
            <w:r w:rsidR="00D747A2">
              <w:rPr>
                <w:color w:val="auto"/>
              </w:rPr>
              <w:t>327,112</w:t>
            </w:r>
            <w:r>
              <w:rPr>
                <w:color w:val="auto"/>
              </w:rPr>
              <w:t xml:space="preserve"> kgCO</w:t>
            </w:r>
            <w:r>
              <w:rPr>
                <w:color w:val="auto"/>
                <w:vertAlign w:val="subscript"/>
              </w:rPr>
              <w:t>2</w:t>
            </w:r>
            <w:r w:rsidR="00D747A2">
              <w:rPr>
                <w:color w:val="auto"/>
                <w:vertAlign w:val="subscript"/>
              </w:rPr>
              <w:t>e</w:t>
            </w:r>
            <w:r>
              <w:rPr>
                <w:color w:val="auto"/>
                <w:vertAlign w:val="subscript"/>
              </w:rPr>
              <w:t xml:space="preserve"> </w:t>
            </w:r>
          </w:p>
        </w:tc>
      </w:tr>
    </w:tbl>
    <w:p w14:paraId="169A834A" w14:textId="77777777" w:rsidR="00BD74B1" w:rsidRDefault="00BD74B1" w:rsidP="00BD74B1">
      <w:pPr>
        <w:suppressAutoHyphens w:val="0"/>
        <w:spacing w:before="0" w:beforeAutospacing="0" w:after="160" w:afterAutospacing="0" w:line="256" w:lineRule="auto"/>
        <w:rPr>
          <w:b/>
        </w:rPr>
      </w:pPr>
    </w:p>
    <w:p w14:paraId="46E6968B" w14:textId="5FA6C5D7" w:rsidR="00026E66" w:rsidRDefault="002737EF" w:rsidP="00BD74B1">
      <w:pPr>
        <w:suppressAutoHyphens w:val="0"/>
        <w:spacing w:before="0" w:beforeAutospacing="0" w:after="160" w:afterAutospacing="0" w:line="256" w:lineRule="auto"/>
        <w:rPr>
          <w:b/>
        </w:rPr>
      </w:pPr>
      <w:r>
        <w:rPr>
          <w:b/>
        </w:rPr>
        <w:t xml:space="preserve">Facility A reports: </w:t>
      </w:r>
    </w:p>
    <w:p w14:paraId="172A1BB4" w14:textId="77777777" w:rsidR="00026E66" w:rsidRDefault="002737EF" w:rsidP="0065356B">
      <w:pPr>
        <w:pStyle w:val="ListParagraph"/>
        <w:numPr>
          <w:ilvl w:val="0"/>
          <w:numId w:val="113"/>
        </w:numPr>
        <w:tabs>
          <w:tab w:val="left" w:pos="0"/>
        </w:tabs>
      </w:pPr>
      <w:r>
        <w:t xml:space="preserve">1,500 MWh of delivered renewable electricity (which will be treated </w:t>
      </w:r>
      <w:proofErr w:type="gramStart"/>
      <w:r>
        <w:t>exactly the same</w:t>
      </w:r>
      <w:proofErr w:type="gramEnd"/>
      <w:r>
        <w:t xml:space="preserve"> as grid electricity) </w:t>
      </w:r>
    </w:p>
    <w:p w14:paraId="45758DA0" w14:textId="77777777" w:rsidR="00026E66" w:rsidRDefault="002737EF" w:rsidP="0065356B">
      <w:pPr>
        <w:pStyle w:val="ListParagraph"/>
        <w:numPr>
          <w:ilvl w:val="0"/>
          <w:numId w:val="113"/>
        </w:numPr>
        <w:tabs>
          <w:tab w:val="left" w:pos="0"/>
        </w:tabs>
      </w:pPr>
      <w:r>
        <w:t xml:space="preserve">3,073 MWh natural gas for the non-renewable electricity it consumed </w:t>
      </w:r>
    </w:p>
    <w:p w14:paraId="49C706AB" w14:textId="0E6B8622" w:rsidR="00026E66" w:rsidRDefault="00977B57" w:rsidP="0065356B">
      <w:pPr>
        <w:pStyle w:val="ListParagraph"/>
        <w:numPr>
          <w:ilvl w:val="0"/>
          <w:numId w:val="113"/>
        </w:numPr>
        <w:tabs>
          <w:tab w:val="left" w:pos="0"/>
        </w:tabs>
      </w:pPr>
      <w:r>
        <w:t>1,730</w:t>
      </w:r>
      <w:r w:rsidR="002737EF">
        <w:t xml:space="preserve"> MWh of biogas for renewable heat </w:t>
      </w:r>
      <w:r w:rsidR="007E5191">
        <w:t>it consumed</w:t>
      </w:r>
    </w:p>
    <w:p w14:paraId="7357BC43" w14:textId="2F36964C" w:rsidR="00026E66" w:rsidRDefault="002737EF" w:rsidP="0065356B">
      <w:pPr>
        <w:pStyle w:val="ListParagraph"/>
        <w:numPr>
          <w:ilvl w:val="0"/>
          <w:numId w:val="113"/>
        </w:numPr>
        <w:tabs>
          <w:tab w:val="left" w:pos="0"/>
        </w:tabs>
      </w:pPr>
      <w:r>
        <w:t xml:space="preserve">1,792 MWh of natural gas for non-renewable heat </w:t>
      </w:r>
      <w:r w:rsidR="00937FBF">
        <w:t>it consumed</w:t>
      </w:r>
    </w:p>
    <w:p w14:paraId="07DE56FF" w14:textId="29495D80" w:rsidR="00026E66" w:rsidRDefault="002737EF" w:rsidP="00FF0098">
      <w:pPr>
        <w:tabs>
          <w:tab w:val="left" w:pos="0"/>
        </w:tabs>
      </w:pPr>
      <w:r>
        <w:t>The reporting form would calculate CO</w:t>
      </w:r>
      <w:r>
        <w:rPr>
          <w:vertAlign w:val="subscript"/>
        </w:rPr>
        <w:t>2</w:t>
      </w:r>
      <w:r w:rsidR="00977B57">
        <w:rPr>
          <w:vertAlign w:val="subscript"/>
        </w:rPr>
        <w:t>e</w:t>
      </w:r>
      <w:r>
        <w:rPr>
          <w:vertAlign w:val="subscript"/>
        </w:rPr>
        <w:t xml:space="preserve"> </w:t>
      </w:r>
      <w:r>
        <w:t xml:space="preserve">emissions associated with this energy consumption of </w:t>
      </w:r>
      <w:r w:rsidR="00977B57">
        <w:t>1,038,747</w:t>
      </w:r>
      <w:r>
        <w:t xml:space="preserve"> kgCO</w:t>
      </w:r>
      <w:r>
        <w:rPr>
          <w:vertAlign w:val="subscript"/>
        </w:rPr>
        <w:t>2</w:t>
      </w:r>
      <w:r w:rsidR="00977B57">
        <w:rPr>
          <w:vertAlign w:val="subscript"/>
        </w:rPr>
        <w:t>e</w:t>
      </w:r>
      <w:r>
        <w:t xml:space="preserve">. </w:t>
      </w:r>
    </w:p>
    <w:p w14:paraId="77BC2377" w14:textId="77777777" w:rsidR="00026E66" w:rsidRDefault="002737EF" w:rsidP="00FF0098">
      <w:pPr>
        <w:tabs>
          <w:tab w:val="left" w:pos="0"/>
        </w:tabs>
      </w:pPr>
      <w:r>
        <w:rPr>
          <w:b/>
          <w:color w:val="auto"/>
        </w:rPr>
        <w:t>Facility B reports:</w:t>
      </w:r>
      <w:r>
        <w:rPr>
          <w:color w:val="auto"/>
        </w:rPr>
        <w:t xml:space="preserve"> </w:t>
      </w:r>
    </w:p>
    <w:p w14:paraId="07A97A3B" w14:textId="77777777" w:rsidR="00026E66" w:rsidRDefault="002737EF" w:rsidP="0065356B">
      <w:pPr>
        <w:pStyle w:val="ListParagraph"/>
        <w:numPr>
          <w:ilvl w:val="0"/>
          <w:numId w:val="114"/>
        </w:numPr>
        <w:tabs>
          <w:tab w:val="left" w:pos="0"/>
        </w:tabs>
      </w:pPr>
      <w:r>
        <w:t xml:space="preserve">900 MWh of delivered renewable electricity (which will be treated </w:t>
      </w:r>
      <w:proofErr w:type="gramStart"/>
      <w:r>
        <w:t>exactly the same</w:t>
      </w:r>
      <w:proofErr w:type="gramEnd"/>
      <w:r>
        <w:t xml:space="preserve"> as grid electricity) </w:t>
      </w:r>
    </w:p>
    <w:p w14:paraId="0BC2CF6D" w14:textId="77777777" w:rsidR="00026E66" w:rsidRDefault="002737EF" w:rsidP="0065356B">
      <w:pPr>
        <w:pStyle w:val="ListParagraph"/>
        <w:numPr>
          <w:ilvl w:val="0"/>
          <w:numId w:val="114"/>
        </w:numPr>
        <w:tabs>
          <w:tab w:val="left" w:pos="0"/>
        </w:tabs>
      </w:pPr>
      <w:r>
        <w:t xml:space="preserve">1,844 MWh of natural gas for the non-renewable electricity it consumed </w:t>
      </w:r>
    </w:p>
    <w:p w14:paraId="4B9C3F98" w14:textId="1405FEF8" w:rsidR="00026E66" w:rsidRDefault="002737EF" w:rsidP="0065356B">
      <w:pPr>
        <w:pStyle w:val="ListParagraph"/>
        <w:numPr>
          <w:ilvl w:val="0"/>
          <w:numId w:val="114"/>
        </w:numPr>
        <w:tabs>
          <w:tab w:val="left" w:pos="0"/>
        </w:tabs>
      </w:pPr>
      <w:r>
        <w:t>1,</w:t>
      </w:r>
      <w:r w:rsidR="00977B57">
        <w:t xml:space="preserve">730 </w:t>
      </w:r>
      <w:r>
        <w:t xml:space="preserve">MWh of biogas for renewable heat </w:t>
      </w:r>
      <w:r w:rsidR="00937FBF">
        <w:t>it consumed</w:t>
      </w:r>
    </w:p>
    <w:p w14:paraId="4440907F" w14:textId="77B5892C" w:rsidR="00026E66" w:rsidRDefault="002737EF" w:rsidP="0065356B">
      <w:pPr>
        <w:pStyle w:val="ListParagraph"/>
        <w:numPr>
          <w:ilvl w:val="0"/>
          <w:numId w:val="114"/>
        </w:numPr>
        <w:tabs>
          <w:tab w:val="left" w:pos="0"/>
        </w:tabs>
      </w:pPr>
      <w:r>
        <w:lastRenderedPageBreak/>
        <w:t xml:space="preserve">1,792 MWh of natural gas for non-renewable heat </w:t>
      </w:r>
      <w:r w:rsidR="00F64C2C">
        <w:t>it consumed</w:t>
      </w:r>
    </w:p>
    <w:p w14:paraId="7BF42FA6" w14:textId="5B93FD67" w:rsidR="00026E66" w:rsidRDefault="002737EF" w:rsidP="00FF0098">
      <w:pPr>
        <w:tabs>
          <w:tab w:val="left" w:pos="0"/>
        </w:tabs>
      </w:pPr>
      <w:r>
        <w:t>The reporting form would calculate CO</w:t>
      </w:r>
      <w:r>
        <w:rPr>
          <w:vertAlign w:val="subscript"/>
        </w:rPr>
        <w:t>2</w:t>
      </w:r>
      <w:r w:rsidR="00977B57">
        <w:rPr>
          <w:vertAlign w:val="subscript"/>
        </w:rPr>
        <w:t>e</w:t>
      </w:r>
      <w:r>
        <w:rPr>
          <w:vertAlign w:val="subscript"/>
        </w:rPr>
        <w:t xml:space="preserve"> </w:t>
      </w:r>
      <w:r>
        <w:t xml:space="preserve">emissions associated with this energy consumption of </w:t>
      </w:r>
      <w:r w:rsidR="00977B57">
        <w:t>754,130</w:t>
      </w:r>
      <w:r>
        <w:t xml:space="preserve"> kgCO</w:t>
      </w:r>
      <w:r>
        <w:rPr>
          <w:vertAlign w:val="subscript"/>
        </w:rPr>
        <w:t>2</w:t>
      </w:r>
      <w:r w:rsidR="00977B57">
        <w:rPr>
          <w:vertAlign w:val="subscript"/>
        </w:rPr>
        <w:t>e</w:t>
      </w:r>
      <w:r>
        <w:t xml:space="preserve">. </w:t>
      </w:r>
    </w:p>
    <w:p w14:paraId="61D4F980" w14:textId="77777777" w:rsidR="00026E66" w:rsidRDefault="002737EF" w:rsidP="00FF0098">
      <w:pPr>
        <w:pStyle w:val="Heading2"/>
        <w:tabs>
          <w:tab w:val="left" w:pos="0"/>
        </w:tabs>
      </w:pPr>
      <w:bookmarkStart w:id="346" w:name="_Toc94718686"/>
      <w:bookmarkStart w:id="347" w:name="_Toc94088934"/>
      <w:bookmarkStart w:id="348" w:name="_Toc242885419"/>
      <w:r>
        <w:t>D.2 CHP special reporting methodology</w:t>
      </w:r>
      <w:bookmarkEnd w:id="346"/>
      <w:bookmarkEnd w:id="347"/>
      <w:bookmarkEnd w:id="348"/>
      <w:r>
        <w:t xml:space="preserve"> </w:t>
      </w:r>
    </w:p>
    <w:p w14:paraId="0BD0AF12" w14:textId="50CB8745" w:rsidR="00026E66" w:rsidRDefault="002737EF" w:rsidP="00FF0098">
      <w:pPr>
        <w:tabs>
          <w:tab w:val="left" w:pos="0"/>
        </w:tabs>
      </w:pPr>
      <w:r>
        <w:t xml:space="preserve">Fuel consumed in plant carrying </w:t>
      </w:r>
      <w:r w:rsidR="008F75F9">
        <w:t>out</w:t>
      </w:r>
      <w:r w:rsidR="00977B57">
        <w:t xml:space="preserve"> activities listed in Schedule 2 to The Greenhouse Gas Emissions Trading Scheme Order 2020 (ETS)</w:t>
      </w:r>
      <w:r>
        <w:t xml:space="preserve"> is excluded from the CCA target facility. This means that such fuel is not included in the target facility's baseline and will not be reported by the target facility at future target periods. </w:t>
      </w:r>
    </w:p>
    <w:p w14:paraId="5FD90740" w14:textId="50EE3C0A" w:rsidR="00026E66" w:rsidRDefault="002737EF" w:rsidP="00FF0098">
      <w:pPr>
        <w:tabs>
          <w:tab w:val="left" w:pos="0"/>
        </w:tabs>
      </w:pPr>
      <w:r>
        <w:t xml:space="preserve">For </w:t>
      </w:r>
      <w:proofErr w:type="gramStart"/>
      <w:r>
        <w:t>a number of</w:t>
      </w:r>
      <w:proofErr w:type="gramEnd"/>
      <w:r>
        <w:t xml:space="preserve"> facilities, all fuel consumed for the generation of heat is covered by</w:t>
      </w:r>
      <w:r w:rsidR="00ED198D">
        <w:t xml:space="preserve"> UK</w:t>
      </w:r>
      <w:r w:rsidDel="00BD6EAA">
        <w:t xml:space="preserve"> </w:t>
      </w:r>
      <w:r>
        <w:t xml:space="preserve">ETS. This means that, in many cases, grid electricity is the only energy included in the CCA target facility. </w:t>
      </w:r>
    </w:p>
    <w:p w14:paraId="23F8078E" w14:textId="303C3473" w:rsidR="00026E66" w:rsidRDefault="002737EF" w:rsidP="00FF0098">
      <w:pPr>
        <w:tabs>
          <w:tab w:val="left" w:pos="0"/>
        </w:tabs>
      </w:pPr>
      <w:r>
        <w:t>However, at some facilities where all fuel for the generation of heat is covered by</w:t>
      </w:r>
      <w:r w:rsidR="001C41C7">
        <w:t xml:space="preserve"> UK</w:t>
      </w:r>
      <w:r>
        <w:t xml:space="preserve"> ETS, CHP plant is also used to meet all or a proportion of the facility’s electricity demand. Where the fuel consumption of this CHP is covered by</w:t>
      </w:r>
      <w:r w:rsidR="000A590D">
        <w:t xml:space="preserve"> UK</w:t>
      </w:r>
      <w:r>
        <w:t xml:space="preserve"> ETS, the fuel consumed by the CHP plant is also excluded from the CCA target facility. </w:t>
      </w:r>
    </w:p>
    <w:p w14:paraId="7D469C3D" w14:textId="527FF446" w:rsidR="00026E66" w:rsidRDefault="002737EF" w:rsidP="00FF0098">
      <w:pPr>
        <w:tabs>
          <w:tab w:val="left" w:pos="0"/>
        </w:tabs>
      </w:pPr>
      <w:r>
        <w:t xml:space="preserve">Over a given </w:t>
      </w:r>
      <w:proofErr w:type="gramStart"/>
      <w:r>
        <w:t>period of time</w:t>
      </w:r>
      <w:proofErr w:type="gramEnd"/>
      <w:r>
        <w:t>, such as a base year or a target period, the CHP plant may not meet all the facility’s electricity demand. This could be because the CHP plant has insufficient capacity to do this or it is not operating for maintenance or other reasons. In these situations</w:t>
      </w:r>
      <w:r w:rsidR="00977B57">
        <w:t>,</w:t>
      </w:r>
      <w:r>
        <w:t xml:space="preserve"> the facility will have to import grid </w:t>
      </w:r>
      <w:proofErr w:type="gramStart"/>
      <w:r>
        <w:t>electricity</w:t>
      </w:r>
      <w:proofErr w:type="gramEnd"/>
      <w:r>
        <w:t xml:space="preserve"> and this electricity will be included in the CCA target facility. This means that the electricity consumption included in the CCA target facility could change appreciably over time even if its total electricity consumption remains the same. In these situations</w:t>
      </w:r>
      <w:r w:rsidR="00977B57">
        <w:t>,</w:t>
      </w:r>
      <w:r>
        <w:t xml:space="preserve"> the apparent performance of the CCA target facility is subject to large movements, up or down, and for reasons unconnected with the efficiency with which electricity is consumed. This means that apparent performance may become uncoupled from actual performance. </w:t>
      </w:r>
    </w:p>
    <w:p w14:paraId="18E4BF35" w14:textId="77777777" w:rsidR="00026E66" w:rsidRDefault="002737EF" w:rsidP="00FF0098">
      <w:pPr>
        <w:tabs>
          <w:tab w:val="left" w:pos="0"/>
        </w:tabs>
      </w:pPr>
      <w:r>
        <w:t xml:space="preserve">A special reporting methodology (SRM) has been devised to reduce this volatility in apparent performance and for changes in apparent performance to more closely reflect changes in actual performance. </w:t>
      </w:r>
    </w:p>
    <w:p w14:paraId="1A880F3A" w14:textId="77777777" w:rsidR="00026E66" w:rsidRDefault="002737EF" w:rsidP="00FF0098">
      <w:pPr>
        <w:tabs>
          <w:tab w:val="left" w:pos="0"/>
        </w:tabs>
      </w:pPr>
      <w:r>
        <w:t xml:space="preserve">The SRM works by adjusting the throughput used in the calculation of performance of the target facility to reflect the proportion of total electricity consumption that is sourced from the grid. Actual grid electricity consumption is used as normal in the calculation of performance. </w:t>
      </w:r>
    </w:p>
    <w:p w14:paraId="70BCD5AC" w14:textId="77777777" w:rsidR="00026E66" w:rsidRDefault="002737EF" w:rsidP="00FF0098">
      <w:pPr>
        <w:tabs>
          <w:tab w:val="left" w:pos="0"/>
        </w:tabs>
      </w:pPr>
      <w:r>
        <w:t>As such, performance for the facility in the base year or at a future target period is expressed as follows:</w:t>
      </w:r>
    </w:p>
    <w:p w14:paraId="175E0AC4" w14:textId="70AFB860" w:rsidR="00026E66" w:rsidRDefault="002737EF" w:rsidP="00FF0098">
      <w:pPr>
        <w:tabs>
          <w:tab w:val="left" w:pos="0"/>
        </w:tabs>
        <w:spacing w:after="0" w:line="256" w:lineRule="auto"/>
        <w:ind w:right="19"/>
        <w:jc w:val="center"/>
      </w:pPr>
      <m:oMathPara>
        <m:oMathParaPr>
          <m:jc m:val="center"/>
        </m:oMathParaPr>
        <m:oMath>
          <m:r>
            <w:rPr>
              <w:rFonts w:ascii="Cambria Math" w:hAnsi="Cambria Math"/>
            </w:rPr>
            <w:lastRenderedPageBreak/>
            <m:t>Performance =</m:t>
          </m:r>
          <m:f>
            <m:fPr>
              <m:ctrlPr>
                <w:rPr>
                  <w:rFonts w:ascii="Cambria Math" w:hAnsi="Cambria Math"/>
                </w:rPr>
              </m:ctrlPr>
            </m:fPr>
            <m:num>
              <m:sSub>
                <m:sSubPr>
                  <m:ctrlPr>
                    <w:rPr>
                      <w:rFonts w:ascii="Cambria Math" w:hAnsi="Cambria Math"/>
                    </w:rPr>
                  </m:ctrlPr>
                </m:sSubPr>
                <m:e>
                  <m:r>
                    <w:rPr>
                      <w:rFonts w:ascii="Cambria Math" w:hAnsi="Cambria Math"/>
                    </w:rPr>
                    <m:t>Total grid imports</m:t>
                  </m:r>
                </m:e>
                <m:sub>
                  <m:r>
                    <w:rPr>
                      <w:rFonts w:ascii="Cambria Math" w:hAnsi="Cambria Math"/>
                    </w:rPr>
                    <m:t>Primary</m:t>
                  </m:r>
                </m:sub>
              </m:sSub>
              <m:r>
                <m:rPr>
                  <m:sty m:val="p"/>
                </m:rPr>
                <w:rPr>
                  <w:rFonts w:ascii="Cambria Math" w:hAnsi="Cambria Math"/>
                </w:rPr>
                <m:t>+</m:t>
              </m:r>
              <m:sSub>
                <m:sSubPr>
                  <m:ctrlPr>
                    <w:rPr>
                      <w:rFonts w:ascii="Cambria Math" w:hAnsi="Cambria Math"/>
                    </w:rPr>
                  </m:ctrlPr>
                </m:sSubPr>
                <m:e>
                  <m:r>
                    <w:rPr>
                      <w:rFonts w:ascii="Cambria Math" w:hAnsi="Cambria Math"/>
                    </w:rPr>
                    <m:t>Total Photovoltaic, wind or hydro</m:t>
                  </m:r>
                </m:e>
                <m:sub>
                  <m:r>
                    <w:rPr>
                      <w:rFonts w:ascii="Cambria Math" w:hAnsi="Cambria Math"/>
                    </w:rPr>
                    <m:t>Primary</m:t>
                  </m:r>
                </m:sub>
              </m:sSub>
            </m:num>
            <m:den>
              <m:r>
                <w:rPr>
                  <w:rFonts w:ascii="Cambria Math" w:hAnsi="Cambria Math"/>
                </w:rPr>
                <m:t>Total throughput ×Grid intensity factor</m:t>
              </m:r>
            </m:den>
          </m:f>
        </m:oMath>
      </m:oMathPara>
    </w:p>
    <w:p w14:paraId="0DCFCE9C" w14:textId="670DF64C" w:rsidR="00026E66" w:rsidRDefault="003D45EB" w:rsidP="00FF0098">
      <w:pPr>
        <w:tabs>
          <w:tab w:val="left" w:pos="0"/>
        </w:tabs>
      </w:pPr>
      <w:r>
        <w:t>W</w:t>
      </w:r>
      <w:r w:rsidR="002737EF">
        <w:t xml:space="preserve">here: </w:t>
      </w:r>
    </w:p>
    <w:p w14:paraId="7835DC22" w14:textId="48AECB53" w:rsidR="00026E66" w:rsidRDefault="002737EF" w:rsidP="00FF0098">
      <w:pPr>
        <w:tabs>
          <w:tab w:val="left" w:pos="0"/>
        </w:tabs>
        <w:spacing w:after="0" w:line="256" w:lineRule="auto"/>
      </w:pPr>
      <w:r>
        <w:rPr>
          <w:color w:val="auto"/>
        </w:rPr>
        <w:t xml:space="preserve"> </w:t>
      </w:r>
      <m:oMath>
        <m:r>
          <w:rPr>
            <w:rFonts w:ascii="Cambria Math" w:hAnsi="Cambria Math"/>
          </w:rPr>
          <m:t>Grid intensity factor(delivered electricity)</m:t>
        </m:r>
      </m:oMath>
      <w:r w:rsidR="002B4F75">
        <w:t xml:space="preserve"> =</w:t>
      </w:r>
    </w:p>
    <w:p w14:paraId="454AFDA9" w14:textId="5D63A448" w:rsidR="00026E66" w:rsidRDefault="00000000" w:rsidP="00FF0098">
      <w:pPr>
        <w:tabs>
          <w:tab w:val="left" w:pos="0"/>
        </w:tabs>
        <w:spacing w:after="0" w:line="256" w:lineRule="auto"/>
        <w:jc w:val="center"/>
      </w:pPr>
      <m:oMathPara>
        <m:oMath>
          <m:f>
            <m:fPr>
              <m:ctrlPr>
                <w:rPr>
                  <w:rFonts w:ascii="Cambria Math" w:hAnsi="Cambria Math"/>
                  <w:sz w:val="18"/>
                  <w:szCs w:val="18"/>
                </w:rPr>
              </m:ctrlPr>
            </m:fPr>
            <m:num>
              <m:r>
                <w:rPr>
                  <w:rFonts w:ascii="Cambria Math" w:hAnsi="Cambria Math"/>
                  <w:sz w:val="18"/>
                  <w:szCs w:val="18"/>
                </w:rPr>
                <m:t>Total grid import</m:t>
              </m:r>
              <m:sSub>
                <m:sSubPr>
                  <m:ctrlPr>
                    <w:rPr>
                      <w:rFonts w:ascii="Cambria Math" w:hAnsi="Cambria Math"/>
                      <w:sz w:val="18"/>
                      <w:szCs w:val="18"/>
                    </w:rPr>
                  </m:ctrlPr>
                </m:sSubPr>
                <m:e>
                  <m:r>
                    <w:rPr>
                      <w:rFonts w:ascii="Cambria Math" w:hAnsi="Cambria Math"/>
                      <w:sz w:val="18"/>
                      <w:szCs w:val="18"/>
                    </w:rPr>
                    <m:t>s</m:t>
                  </m:r>
                </m:e>
                <m:sub>
                  <m:r>
                    <w:rPr>
                      <w:rFonts w:ascii="Cambria Math" w:hAnsi="Cambria Math"/>
                      <w:sz w:val="18"/>
                      <w:szCs w:val="18"/>
                    </w:rPr>
                    <m:t>(d)</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Total Photovoltaic,  wind or hydro</m:t>
                  </m:r>
                </m:e>
                <m:sub>
                  <m:r>
                    <w:rPr>
                      <w:rFonts w:ascii="Cambria Math" w:hAnsi="Cambria Math"/>
                      <w:sz w:val="18"/>
                      <w:szCs w:val="18"/>
                    </w:rPr>
                    <m:t>(d)</m:t>
                  </m:r>
                </m:sub>
              </m:sSub>
            </m:num>
            <m:den>
              <m:sSub>
                <m:sSubPr>
                  <m:ctrlPr>
                    <w:rPr>
                      <w:rFonts w:ascii="Cambria Math" w:hAnsi="Cambria Math"/>
                      <w:i/>
                      <w:sz w:val="18"/>
                      <w:szCs w:val="18"/>
                    </w:rPr>
                  </m:ctrlPr>
                </m:sSubPr>
                <m:e>
                  <m:r>
                    <w:rPr>
                      <w:rFonts w:ascii="Cambria Math" w:hAnsi="Cambria Math"/>
                      <w:sz w:val="18"/>
                      <w:szCs w:val="18"/>
                    </w:rPr>
                    <m:t>Total grid imports</m:t>
                  </m:r>
                </m:e>
                <m:sub>
                  <m:r>
                    <w:rPr>
                      <w:rFonts w:ascii="Cambria Math" w:hAnsi="Cambria Math"/>
                      <w:sz w:val="18"/>
                      <w:szCs w:val="18"/>
                    </w:rPr>
                    <m:t>(d)</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Total Photovoltaic, wind or hydro</m:t>
                  </m:r>
                </m:e>
                <m:sub>
                  <m:r>
                    <w:rPr>
                      <w:rFonts w:ascii="Cambria Math" w:hAnsi="Cambria Math"/>
                      <w:sz w:val="18"/>
                      <w:szCs w:val="18"/>
                    </w:rPr>
                    <m:t>(d)</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Total other generators</m:t>
                  </m:r>
                </m:e>
                <m:sub>
                  <m:r>
                    <w:rPr>
                      <w:rFonts w:ascii="Cambria Math" w:hAnsi="Cambria Math"/>
                      <w:sz w:val="18"/>
                      <w:szCs w:val="18"/>
                    </w:rPr>
                    <m:t>(d)</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Total CHP</m:t>
                  </m:r>
                </m:e>
                <m:sub>
                  <m:r>
                    <w:rPr>
                      <w:rFonts w:ascii="Cambria Math" w:hAnsi="Cambria Math"/>
                      <w:sz w:val="18"/>
                      <w:szCs w:val="18"/>
                    </w:rPr>
                    <m:t>(d)</m:t>
                  </m:r>
                </m:sub>
              </m:sSub>
            </m:den>
          </m:f>
        </m:oMath>
      </m:oMathPara>
    </w:p>
    <w:p w14:paraId="4499E2B3" w14:textId="77777777" w:rsidR="006B56C7" w:rsidRPr="006B56C7" w:rsidRDefault="006B56C7" w:rsidP="006B56C7">
      <w:pPr>
        <w:tabs>
          <w:tab w:val="left" w:pos="0"/>
        </w:tabs>
      </w:pPr>
      <w:r w:rsidRPr="006B56C7">
        <w:t>Where:</w:t>
      </w:r>
    </w:p>
    <w:p w14:paraId="4981D417" w14:textId="65E5AAAF" w:rsidR="002C607A" w:rsidRDefault="006B56C7" w:rsidP="002C607A">
      <w:pPr>
        <w:numPr>
          <w:ilvl w:val="0"/>
          <w:numId w:val="220"/>
        </w:numPr>
        <w:tabs>
          <w:tab w:val="left" w:pos="0"/>
        </w:tabs>
      </w:pPr>
      <w:r w:rsidRPr="002C607A">
        <w:t>(d) is delivered electricit</w:t>
      </w:r>
      <w:r w:rsidR="002C607A">
        <w:t>y</w:t>
      </w:r>
      <w:r w:rsidR="003D45EB">
        <w:t>.</w:t>
      </w:r>
    </w:p>
    <w:p w14:paraId="61D9FF33" w14:textId="7D00A04A" w:rsidR="002C607A" w:rsidRDefault="006B56C7" w:rsidP="002C607A">
      <w:pPr>
        <w:numPr>
          <w:ilvl w:val="0"/>
          <w:numId w:val="220"/>
        </w:numPr>
        <w:tabs>
          <w:tab w:val="left" w:pos="0"/>
        </w:tabs>
      </w:pPr>
      <w:r w:rsidRPr="002C607A">
        <w:t>‘</w:t>
      </w:r>
      <w:r w:rsidR="002C607A" w:rsidRPr="002C607A">
        <w:t>Total grid imports</w:t>
      </w:r>
      <w:r w:rsidRPr="002C607A">
        <w:t xml:space="preserve">’ is </w:t>
      </w:r>
      <w:r w:rsidR="002C607A" w:rsidRPr="002C607A">
        <w:t xml:space="preserve">total </w:t>
      </w:r>
      <w:r w:rsidRPr="002C607A">
        <w:t>electricity imported from the grid</w:t>
      </w:r>
      <w:r w:rsidR="003D45EB">
        <w:t>.</w:t>
      </w:r>
    </w:p>
    <w:p w14:paraId="475BC055" w14:textId="128CA2E2" w:rsidR="002C607A" w:rsidRDefault="006B56C7" w:rsidP="002C607A">
      <w:pPr>
        <w:numPr>
          <w:ilvl w:val="0"/>
          <w:numId w:val="220"/>
        </w:numPr>
        <w:tabs>
          <w:tab w:val="left" w:pos="0"/>
        </w:tabs>
      </w:pPr>
      <w:r w:rsidRPr="002C607A">
        <w:t>‘</w:t>
      </w:r>
      <w:r w:rsidR="002C607A" w:rsidRPr="002C607A">
        <w:t>Total Photovoltaic, wind or hydro</w:t>
      </w:r>
      <w:r w:rsidR="00F8197C">
        <w:t>’</w:t>
      </w:r>
      <w:r w:rsidR="002C607A" w:rsidRPr="002C607A">
        <w:t xml:space="preserve"> </w:t>
      </w:r>
      <w:r w:rsidRPr="002C607A">
        <w:t xml:space="preserve">is </w:t>
      </w:r>
      <w:r w:rsidR="002C607A" w:rsidRPr="002C607A">
        <w:t xml:space="preserve">photovoltaic, wind or hydro </w:t>
      </w:r>
      <w:r w:rsidRPr="002C607A">
        <w:t>renewable electricity generated onsite, not via the combustion of a fuel, and consumed onsite. </w:t>
      </w:r>
    </w:p>
    <w:p w14:paraId="47431BDB" w14:textId="75E8DE07" w:rsidR="006B56C7" w:rsidRDefault="006B56C7" w:rsidP="002C607A">
      <w:pPr>
        <w:numPr>
          <w:ilvl w:val="0"/>
          <w:numId w:val="220"/>
        </w:numPr>
        <w:tabs>
          <w:tab w:val="left" w:pos="0"/>
        </w:tabs>
      </w:pPr>
      <w:r w:rsidRPr="002C607A">
        <w:t>‘</w:t>
      </w:r>
      <w:r w:rsidR="002C607A" w:rsidRPr="002C607A">
        <w:t xml:space="preserve">Total </w:t>
      </w:r>
      <w:r w:rsidRPr="002C607A">
        <w:t xml:space="preserve">other </w:t>
      </w:r>
      <w:r w:rsidR="002C607A" w:rsidRPr="002C607A">
        <w:t>generators’</w:t>
      </w:r>
      <w:r w:rsidR="002C607A" w:rsidRPr="002C607A">
        <w:rPr>
          <w:i/>
          <w:iCs/>
        </w:rPr>
        <w:t xml:space="preserve"> </w:t>
      </w:r>
      <w:r w:rsidR="002C607A" w:rsidRPr="002C607A">
        <w:t xml:space="preserve">is </w:t>
      </w:r>
      <w:r w:rsidRPr="002C607A">
        <w:t>all other electricity which is generated</w:t>
      </w:r>
      <w:r w:rsidRPr="006B56C7">
        <w:t xml:space="preserve"> by the facility via the combustion of a fuel (which may be renewable or non-renewable) and consumed within the </w:t>
      </w:r>
      <w:r w:rsidR="002C607A">
        <w:t>e</w:t>
      </w:r>
      <w:r w:rsidRPr="006B56C7">
        <w:t xml:space="preserve">ligible </w:t>
      </w:r>
      <w:r w:rsidR="002C607A">
        <w:t>f</w:t>
      </w:r>
      <w:r w:rsidRPr="006B56C7">
        <w:t>acility</w:t>
      </w:r>
      <w:r w:rsidR="003D45EB">
        <w:t>.</w:t>
      </w:r>
    </w:p>
    <w:p w14:paraId="18B75A3A" w14:textId="195A01EC" w:rsidR="002C607A" w:rsidRPr="006B56C7" w:rsidRDefault="002C607A" w:rsidP="002C607A">
      <w:pPr>
        <w:numPr>
          <w:ilvl w:val="0"/>
          <w:numId w:val="220"/>
        </w:numPr>
        <w:tabs>
          <w:tab w:val="left" w:pos="0"/>
        </w:tabs>
      </w:pPr>
      <w:r w:rsidRPr="002C607A">
        <w:t>‘</w:t>
      </w:r>
      <w:r>
        <w:t xml:space="preserve">Total </w:t>
      </w:r>
      <w:r w:rsidRPr="002C607A">
        <w:t>CHP’ is electricity generated by CHP (which may be either renewable or non-renewable) which is consumed within</w:t>
      </w:r>
      <w:r w:rsidRPr="006B56C7">
        <w:t xml:space="preserve"> the </w:t>
      </w:r>
      <w:r>
        <w:t>e</w:t>
      </w:r>
      <w:r w:rsidRPr="006B56C7">
        <w:t xml:space="preserve">ligible </w:t>
      </w:r>
      <w:r>
        <w:t>f</w:t>
      </w:r>
      <w:r w:rsidRPr="006B56C7">
        <w:t>acility</w:t>
      </w:r>
      <w:r w:rsidR="003D45EB">
        <w:t>.</w:t>
      </w:r>
    </w:p>
    <w:p w14:paraId="2ABEC84C" w14:textId="35604F0B" w:rsidR="00026E66" w:rsidRDefault="002737EF" w:rsidP="00FF0098">
      <w:pPr>
        <w:tabs>
          <w:tab w:val="left" w:pos="0"/>
        </w:tabs>
      </w:pPr>
      <w:r>
        <w:t xml:space="preserve">Where </w:t>
      </w:r>
      <w:r w:rsidR="0049584D">
        <w:t xml:space="preserve">a facility </w:t>
      </w:r>
      <w:r>
        <w:t>meet</w:t>
      </w:r>
      <w:r w:rsidR="0049584D">
        <w:t>s</w:t>
      </w:r>
      <w:r>
        <w:t xml:space="preserve"> the </w:t>
      </w:r>
      <w:r w:rsidR="0049584D">
        <w:t xml:space="preserve">SRM </w:t>
      </w:r>
      <w:r>
        <w:t xml:space="preserve">criteria, the operator </w:t>
      </w:r>
      <w:r w:rsidR="0049584D">
        <w:t xml:space="preserve">must </w:t>
      </w:r>
      <w:r>
        <w:t xml:space="preserve">use the SRM to calculate </w:t>
      </w:r>
      <w:r w:rsidR="0049584D">
        <w:t xml:space="preserve">facility </w:t>
      </w:r>
      <w:r>
        <w:t xml:space="preserve">performance for the </w:t>
      </w:r>
      <w:r w:rsidR="0049584D">
        <w:t>facility for</w:t>
      </w:r>
      <w:r>
        <w:t xml:space="preserve"> the base year and subsequent target periods. </w:t>
      </w:r>
    </w:p>
    <w:p w14:paraId="47CEF376" w14:textId="77777777" w:rsidR="00AE46A9" w:rsidRDefault="00AE46A9">
      <w:pPr>
        <w:suppressAutoHyphens w:val="0"/>
        <w:spacing w:before="0" w:beforeAutospacing="0" w:after="160" w:afterAutospacing="0" w:line="256" w:lineRule="auto"/>
        <w:rPr>
          <w:rFonts w:eastAsia="Calibri" w:cs="Times New Roman"/>
          <w:color w:val="auto"/>
          <w:lang w:eastAsia="en-US"/>
        </w:rPr>
      </w:pPr>
      <w:r>
        <w:br w:type="page"/>
      </w:r>
    </w:p>
    <w:p w14:paraId="17DB18F7" w14:textId="2A375C92" w:rsidR="00026E66" w:rsidRDefault="002737EF" w:rsidP="00FF0098">
      <w:pPr>
        <w:pStyle w:val="Heading1"/>
        <w:tabs>
          <w:tab w:val="left" w:pos="0"/>
        </w:tabs>
      </w:pPr>
      <w:bookmarkStart w:id="349" w:name="_Appendix_E:_Definition"/>
      <w:bookmarkStart w:id="350" w:name="_Appendix_EF:_Definition"/>
      <w:bookmarkStart w:id="351" w:name="_Toc94718689"/>
      <w:bookmarkStart w:id="352" w:name="_Toc94088937"/>
      <w:bookmarkStart w:id="353" w:name="_Toc242885420"/>
      <w:bookmarkEnd w:id="349"/>
      <w:bookmarkEnd w:id="350"/>
      <w:r>
        <w:lastRenderedPageBreak/>
        <w:t xml:space="preserve">Appendix </w:t>
      </w:r>
      <w:r w:rsidR="004E7090">
        <w:t>E</w:t>
      </w:r>
      <w:r>
        <w:t>: Definition of an installation in the CCA scheme</w:t>
      </w:r>
      <w:bookmarkEnd w:id="351"/>
      <w:bookmarkEnd w:id="352"/>
      <w:bookmarkEnd w:id="353"/>
      <w:r>
        <w:t xml:space="preserve"> </w:t>
      </w:r>
    </w:p>
    <w:p w14:paraId="05538C6C" w14:textId="255B20D9" w:rsidR="00EA39C7" w:rsidRDefault="00095C1D" w:rsidP="0088260E">
      <w:pPr>
        <w:tabs>
          <w:tab w:val="left" w:pos="0"/>
        </w:tabs>
      </w:pPr>
      <w:r>
        <w:t xml:space="preserve">The Finance Act 2000 sets out that a </w:t>
      </w:r>
      <w:r w:rsidR="008F7A5A">
        <w:t xml:space="preserve">facility </w:t>
      </w:r>
      <w:r w:rsidR="002C6EF0">
        <w:t xml:space="preserve">to which a Climate Change Agreement </w:t>
      </w:r>
      <w:r w:rsidR="00560464">
        <w:t xml:space="preserve">can apply is taken to </w:t>
      </w:r>
      <w:r w:rsidR="0037165B">
        <w:t xml:space="preserve">mean: </w:t>
      </w:r>
    </w:p>
    <w:p w14:paraId="68DF5A02" w14:textId="0C61C532" w:rsidR="0025308F" w:rsidRPr="0025308F" w:rsidRDefault="0025308F" w:rsidP="0025308F">
      <w:pPr>
        <w:tabs>
          <w:tab w:val="left" w:pos="0"/>
        </w:tabs>
      </w:pPr>
      <w:r w:rsidRPr="0025308F">
        <w:t>(a)</w:t>
      </w:r>
      <w:r>
        <w:t xml:space="preserve"> </w:t>
      </w:r>
      <w:r w:rsidRPr="0025308F">
        <w:t>an installation covered by paragraph 51; or</w:t>
      </w:r>
    </w:p>
    <w:p w14:paraId="5B8CE0E2" w14:textId="2758724C" w:rsidR="0025308F" w:rsidRPr="0025308F" w:rsidRDefault="0025308F" w:rsidP="0025308F">
      <w:pPr>
        <w:tabs>
          <w:tab w:val="left" w:pos="0"/>
        </w:tabs>
      </w:pPr>
      <w:r w:rsidRPr="0025308F">
        <w:t>(b)</w:t>
      </w:r>
      <w:r>
        <w:t xml:space="preserve"> </w:t>
      </w:r>
      <w:r w:rsidRPr="0025308F">
        <w:t>a site on which there is or are—</w:t>
      </w:r>
    </w:p>
    <w:p w14:paraId="47691FD8" w14:textId="151C0A93" w:rsidR="0025308F" w:rsidRDefault="0025308F" w:rsidP="0025308F">
      <w:pPr>
        <w:tabs>
          <w:tab w:val="left" w:pos="0"/>
        </w:tabs>
      </w:pPr>
      <w:r>
        <w:tab/>
      </w:r>
      <w:r w:rsidRPr="0025308F">
        <w:t>(</w:t>
      </w:r>
      <w:proofErr w:type="spellStart"/>
      <w:r w:rsidRPr="0025308F">
        <w:t>i</w:t>
      </w:r>
      <w:proofErr w:type="spellEnd"/>
      <w:r w:rsidRPr="0025308F">
        <w:t>)</w:t>
      </w:r>
      <w:r>
        <w:t xml:space="preserve"> </w:t>
      </w:r>
      <w:r w:rsidRPr="0025308F">
        <w:t xml:space="preserve">such an installation or </w:t>
      </w:r>
      <w:r w:rsidR="009E12F0">
        <w:t>2</w:t>
      </w:r>
      <w:r w:rsidRPr="0025308F">
        <w:t xml:space="preserve"> or more such installations,</w:t>
      </w:r>
    </w:p>
    <w:p w14:paraId="707705E1" w14:textId="3566BBB1" w:rsidR="0025308F" w:rsidRPr="0025308F" w:rsidRDefault="0025308F" w:rsidP="0025308F">
      <w:pPr>
        <w:tabs>
          <w:tab w:val="left" w:pos="0"/>
        </w:tabs>
      </w:pPr>
      <w:r>
        <w:tab/>
      </w:r>
      <w:r w:rsidRPr="0025308F">
        <w:t>(ii)</w:t>
      </w:r>
      <w:r>
        <w:t xml:space="preserve"> </w:t>
      </w:r>
      <w:r w:rsidRPr="0025308F">
        <w:t>a part, or parts, of such an installation,</w:t>
      </w:r>
    </w:p>
    <w:p w14:paraId="21298160" w14:textId="211ADC8D" w:rsidR="0025308F" w:rsidRPr="0025308F" w:rsidRDefault="0025308F" w:rsidP="0025308F">
      <w:pPr>
        <w:tabs>
          <w:tab w:val="left" w:pos="0"/>
        </w:tabs>
      </w:pPr>
      <w:r>
        <w:tab/>
      </w:r>
      <w:r w:rsidRPr="0025308F">
        <w:t>(iii)</w:t>
      </w:r>
      <w:r>
        <w:t xml:space="preserve"> </w:t>
      </w:r>
      <w:r w:rsidRPr="0025308F">
        <w:t xml:space="preserve">a part, or parts, of each of </w:t>
      </w:r>
      <w:r w:rsidR="009E12F0" w:rsidRPr="0025308F" w:rsidDel="009E12F0">
        <w:t>2</w:t>
      </w:r>
      <w:r w:rsidRPr="0025308F">
        <w:t xml:space="preserve"> or more such installations, or</w:t>
      </w:r>
    </w:p>
    <w:p w14:paraId="5055046F" w14:textId="38EBAD58" w:rsidR="0025308F" w:rsidRPr="0025308F" w:rsidRDefault="0025308F" w:rsidP="0025308F">
      <w:pPr>
        <w:tabs>
          <w:tab w:val="left" w:pos="0"/>
        </w:tabs>
      </w:pPr>
      <w:r>
        <w:tab/>
      </w:r>
      <w:r w:rsidRPr="0025308F">
        <w:t>(iv)</w:t>
      </w:r>
      <w:r>
        <w:t xml:space="preserve"> </w:t>
      </w:r>
      <w:r w:rsidRPr="0025308F">
        <w:t>any combination of such installations and parts of such installations.</w:t>
      </w:r>
    </w:p>
    <w:p w14:paraId="077D3521" w14:textId="177ED346" w:rsidR="0037165B" w:rsidRDefault="00400B14" w:rsidP="0088260E">
      <w:pPr>
        <w:tabs>
          <w:tab w:val="left" w:pos="0"/>
        </w:tabs>
      </w:pPr>
      <w:r>
        <w:t xml:space="preserve">Paragraph 51 </w:t>
      </w:r>
      <w:r w:rsidR="0031285A">
        <w:t xml:space="preserve">outlines that Part A installations in the Environmental Permitting (England and Wales) </w:t>
      </w:r>
      <w:r w:rsidR="009F65A5">
        <w:t xml:space="preserve">Regulations </w:t>
      </w:r>
      <w:r w:rsidR="0031285A">
        <w:t>2016</w:t>
      </w:r>
      <w:r w:rsidR="00C276E6">
        <w:t xml:space="preserve"> are </w:t>
      </w:r>
      <w:r w:rsidR="0043537A">
        <w:t xml:space="preserve">the relevant installations to which a Climate Change Agreement can apply. </w:t>
      </w:r>
    </w:p>
    <w:p w14:paraId="513A3F80" w14:textId="0B395326" w:rsidR="0043537A" w:rsidRDefault="00DA2680" w:rsidP="0088260E">
      <w:pPr>
        <w:tabs>
          <w:tab w:val="left" w:pos="0"/>
        </w:tabs>
      </w:pPr>
      <w:r>
        <w:t xml:space="preserve">Paragraph 51 also includes installations that carry out eligible activities </w:t>
      </w:r>
      <w:r w:rsidR="00620D77">
        <w:t>included in The Climate Change Agreements (</w:t>
      </w:r>
      <w:r w:rsidR="00432E51">
        <w:t>Energy-Intensive Installations) and The Climate Change Agreements</w:t>
      </w:r>
      <w:r w:rsidR="001E3386">
        <w:t xml:space="preserve"> (Eligible Facilities) regulations (as amended). </w:t>
      </w:r>
    </w:p>
    <w:p w14:paraId="0B64ADBA" w14:textId="0EF452F0" w:rsidR="0088260E" w:rsidRDefault="002737EF" w:rsidP="0088260E">
      <w:pPr>
        <w:tabs>
          <w:tab w:val="left" w:pos="0"/>
        </w:tabs>
      </w:pPr>
      <w:r>
        <w:t>The definition</w:t>
      </w:r>
      <w:r w:rsidR="008D6432">
        <w:t xml:space="preserve"> of an installation is included in </w:t>
      </w:r>
      <w:r w:rsidR="0088260E" w:rsidRPr="0088260E">
        <w:t>The Environmental Permitting (England and Wales) Regulations 2016</w:t>
      </w:r>
      <w:r w:rsidR="0088260E">
        <w:t>.</w:t>
      </w:r>
      <w:r w:rsidR="00F65D07">
        <w:t xml:space="preserve"> An installation </w:t>
      </w:r>
      <w:r w:rsidR="00C457E2">
        <w:t>means</w:t>
      </w:r>
      <w:r w:rsidR="00F65D07">
        <w:t xml:space="preserve">: </w:t>
      </w:r>
    </w:p>
    <w:p w14:paraId="4AA2A449" w14:textId="72E6E943" w:rsidR="00C457E2" w:rsidRPr="00C457E2" w:rsidRDefault="00C457E2" w:rsidP="00A85DB5">
      <w:pPr>
        <w:pStyle w:val="ListParagraph"/>
        <w:numPr>
          <w:ilvl w:val="0"/>
          <w:numId w:val="246"/>
        </w:numPr>
        <w:tabs>
          <w:tab w:val="left" w:pos="0"/>
        </w:tabs>
      </w:pPr>
      <w:r w:rsidRPr="00C457E2">
        <w:t>a stationary technical unit where one or more activities are carried on</w:t>
      </w:r>
      <w:r w:rsidRPr="00C457E2" w:rsidDel="00782E50">
        <w:t>, and</w:t>
      </w:r>
    </w:p>
    <w:p w14:paraId="02A46B0E" w14:textId="069A19E0" w:rsidR="00C457E2" w:rsidRPr="00C457E2" w:rsidRDefault="00C457E2" w:rsidP="00A85DB5">
      <w:pPr>
        <w:pStyle w:val="ListParagraph"/>
        <w:numPr>
          <w:ilvl w:val="0"/>
          <w:numId w:val="246"/>
        </w:numPr>
        <w:tabs>
          <w:tab w:val="left" w:pos="0"/>
        </w:tabs>
      </w:pPr>
      <w:r w:rsidRPr="00C457E2">
        <w:t>any other location on the same site where any other directly associated activities are carried on</w:t>
      </w:r>
    </w:p>
    <w:p w14:paraId="0F0FA8D3" w14:textId="2B5EE21F" w:rsidR="000325F5" w:rsidRPr="000325F5" w:rsidRDefault="00C457E2" w:rsidP="000325F5">
      <w:pPr>
        <w:tabs>
          <w:tab w:val="left" w:pos="0"/>
        </w:tabs>
      </w:pPr>
      <w:r>
        <w:t>Further information is provided in</w:t>
      </w:r>
      <w:r w:rsidR="00457DB6">
        <w:t xml:space="preserve"> Appendix 2 of</w:t>
      </w:r>
      <w:r w:rsidR="000325F5">
        <w:t xml:space="preserve"> the Environmental Permitting</w:t>
      </w:r>
      <w:r>
        <w:t xml:space="preserve"> </w:t>
      </w:r>
      <w:hyperlink r:id="rId95">
        <w:r w:rsidR="000325F5" w:rsidRPr="2F8BAF05">
          <w:rPr>
            <w:rStyle w:val="Hyperlink"/>
          </w:rPr>
          <w:t>Regulatory Guidance Note No. 2: Understanding the meaning of regulated facility</w:t>
        </w:r>
      </w:hyperlink>
      <w:r w:rsidR="00AF7376">
        <w:t xml:space="preserve">. </w:t>
      </w:r>
      <w:r w:rsidR="00E5215E">
        <w:t>Relevant extracts</w:t>
      </w:r>
      <w:r w:rsidR="00612D15">
        <w:t xml:space="preserve"> for the CCA scheme are included below. </w:t>
      </w:r>
    </w:p>
    <w:p w14:paraId="615682B8" w14:textId="4805D612" w:rsidR="00F65D07" w:rsidRPr="0088260E" w:rsidRDefault="00F65D07" w:rsidP="0088260E">
      <w:pPr>
        <w:tabs>
          <w:tab w:val="left" w:pos="0"/>
        </w:tabs>
      </w:pPr>
    </w:p>
    <w:p w14:paraId="4B598310" w14:textId="7F6BE0D6" w:rsidR="00026E66" w:rsidRDefault="002737EF" w:rsidP="00FF0098">
      <w:pPr>
        <w:tabs>
          <w:tab w:val="left" w:pos="0"/>
        </w:tabs>
      </w:pPr>
      <w:r>
        <w:t xml:space="preserve"> </w:t>
      </w:r>
    </w:p>
    <w:p w14:paraId="4405D3A8" w14:textId="3F925A33" w:rsidR="00026E66" w:rsidRDefault="00B03235" w:rsidP="00FF0098">
      <w:pPr>
        <w:pStyle w:val="Heading2"/>
        <w:tabs>
          <w:tab w:val="left" w:pos="0"/>
        </w:tabs>
      </w:pPr>
      <w:bookmarkStart w:id="354" w:name="_Toc242885421"/>
      <w:r w:rsidRPr="00B03235">
        <w:rPr>
          <w:bCs/>
        </w:rPr>
        <w:lastRenderedPageBreak/>
        <w:t>Limb (</w:t>
      </w:r>
      <w:proofErr w:type="spellStart"/>
      <w:r w:rsidRPr="00B03235">
        <w:rPr>
          <w:bCs/>
        </w:rPr>
        <w:t>i</w:t>
      </w:r>
      <w:proofErr w:type="spellEnd"/>
      <w:r w:rsidRPr="00B03235">
        <w:rPr>
          <w:bCs/>
        </w:rPr>
        <w:t xml:space="preserve">) </w:t>
      </w:r>
      <w:r w:rsidR="00695C97">
        <w:rPr>
          <w:bCs/>
        </w:rPr>
        <w:t>S</w:t>
      </w:r>
      <w:r w:rsidRPr="00B03235">
        <w:rPr>
          <w:bCs/>
        </w:rPr>
        <w:t xml:space="preserve">tationary </w:t>
      </w:r>
      <w:r w:rsidR="00695C97">
        <w:rPr>
          <w:bCs/>
        </w:rPr>
        <w:t>T</w:t>
      </w:r>
      <w:r w:rsidRPr="00B03235">
        <w:rPr>
          <w:bCs/>
        </w:rPr>
        <w:t xml:space="preserve">echnical </w:t>
      </w:r>
      <w:r w:rsidR="00695C97">
        <w:rPr>
          <w:bCs/>
        </w:rPr>
        <w:t>U</w:t>
      </w:r>
      <w:r w:rsidRPr="00B03235">
        <w:rPr>
          <w:bCs/>
        </w:rPr>
        <w:t>nit</w:t>
      </w:r>
      <w:r w:rsidR="00695C97">
        <w:rPr>
          <w:bCs/>
        </w:rPr>
        <w:t xml:space="preserve"> (STU)</w:t>
      </w:r>
      <w:bookmarkEnd w:id="354"/>
      <w:r w:rsidRPr="00B03235">
        <w:rPr>
          <w:bCs/>
        </w:rPr>
        <w:t xml:space="preserve"> </w:t>
      </w:r>
    </w:p>
    <w:p w14:paraId="2E959B84" w14:textId="029553F7" w:rsidR="00026E66" w:rsidRDefault="002737EF" w:rsidP="00FF0098">
      <w:pPr>
        <w:tabs>
          <w:tab w:val="left" w:pos="0"/>
        </w:tabs>
      </w:pPr>
      <w:r>
        <w:t xml:space="preserve">Two criteria exist for the purpose of determining whether plant or machinery satisfy the first limb of this definition: </w:t>
      </w:r>
    </w:p>
    <w:p w14:paraId="3C7BD55E" w14:textId="1BF825E0" w:rsidR="00026E66" w:rsidRDefault="002737EF" w:rsidP="0065356B">
      <w:pPr>
        <w:pStyle w:val="ListParagraph"/>
        <w:numPr>
          <w:ilvl w:val="0"/>
          <w:numId w:val="118"/>
        </w:numPr>
        <w:tabs>
          <w:tab w:val="left" w:pos="0"/>
        </w:tabs>
      </w:pPr>
      <w:r>
        <w:t xml:space="preserve">(1A) </w:t>
      </w:r>
      <w:r w:rsidR="002B059E" w:rsidRPr="002B059E">
        <w:t>the plant or machinery must be a “technical unit” where one or more activities listed in Part 2 of Schedule 1 to the Environmental Permitting Regulations (“listed activities”) are carried out; and</w:t>
      </w:r>
    </w:p>
    <w:p w14:paraId="75B55CC0" w14:textId="6A1F7313" w:rsidR="00026E66" w:rsidRDefault="002737EF" w:rsidP="0065356B">
      <w:pPr>
        <w:pStyle w:val="ListParagraph"/>
        <w:numPr>
          <w:ilvl w:val="0"/>
          <w:numId w:val="118"/>
        </w:numPr>
        <w:tabs>
          <w:tab w:val="left" w:pos="0"/>
        </w:tabs>
      </w:pPr>
      <w:r>
        <w:t>(1B) The technical unit must be stationary</w:t>
      </w:r>
    </w:p>
    <w:p w14:paraId="49B41747" w14:textId="21C93BAC" w:rsidR="00026E66" w:rsidRDefault="002737EF" w:rsidP="00FF0098">
      <w:pPr>
        <w:tabs>
          <w:tab w:val="left" w:pos="0"/>
        </w:tabs>
      </w:pPr>
      <w:r>
        <w:t xml:space="preserve">For the purpose of criterion (1A), ‘technical unit’ can be taken to mean something which is functionally self-contained in the sense that the unit – which may consist of one component or a number of components functioning together – can carry out the Schedule 1 activity or activities on its own. </w:t>
      </w:r>
    </w:p>
    <w:p w14:paraId="3C8F3A06" w14:textId="164C83FB" w:rsidR="00D20CCF" w:rsidRPr="00D20CCF" w:rsidRDefault="00D20CCF" w:rsidP="00D20CCF">
      <w:pPr>
        <w:tabs>
          <w:tab w:val="left" w:pos="0"/>
        </w:tabs>
      </w:pPr>
      <w:r w:rsidRPr="00D20CCF">
        <w:t xml:space="preserve">If there are </w:t>
      </w:r>
      <w:r w:rsidR="009E12F0">
        <w:t>2</w:t>
      </w:r>
      <w:r w:rsidRPr="00D20CCF">
        <w:t xml:space="preserve"> or more </w:t>
      </w:r>
      <w:r w:rsidR="00695C97">
        <w:t xml:space="preserve">STUs </w:t>
      </w:r>
      <w:r w:rsidRPr="00D20CCF">
        <w:t xml:space="preserve">on the same site they will be treated as a single STU if they are technically connected and one of the following criteria is met: </w:t>
      </w:r>
    </w:p>
    <w:p w14:paraId="0A2357DF" w14:textId="556745FF" w:rsidR="00D20CCF" w:rsidRPr="00D20CCF" w:rsidRDefault="00D20CCF" w:rsidP="00DF0760">
      <w:pPr>
        <w:pStyle w:val="ListParagraph"/>
        <w:numPr>
          <w:ilvl w:val="0"/>
          <w:numId w:val="242"/>
        </w:numPr>
        <w:tabs>
          <w:tab w:val="left" w:pos="0"/>
        </w:tabs>
      </w:pPr>
      <w:r w:rsidRPr="00D20CCF">
        <w:t xml:space="preserve">they carry out successive steps in an integrated industrial activity </w:t>
      </w:r>
    </w:p>
    <w:p w14:paraId="49320360" w14:textId="2B569134" w:rsidR="00D20CCF" w:rsidRPr="00D20CCF" w:rsidRDefault="00D20CCF" w:rsidP="00DF0760">
      <w:pPr>
        <w:pStyle w:val="ListParagraph"/>
        <w:numPr>
          <w:ilvl w:val="0"/>
          <w:numId w:val="242"/>
        </w:numPr>
        <w:tabs>
          <w:tab w:val="left" w:pos="0"/>
        </w:tabs>
      </w:pPr>
      <w:r w:rsidRPr="00D20CCF">
        <w:t xml:space="preserve">one of the listed activities is a Directly Associated Activity (DAA) of the other </w:t>
      </w:r>
    </w:p>
    <w:p w14:paraId="1EB8561D" w14:textId="168AD1E5" w:rsidR="00D20CCF" w:rsidRPr="00D20CCF" w:rsidRDefault="00D20CCF" w:rsidP="00DF0760">
      <w:pPr>
        <w:pStyle w:val="ListParagraph"/>
        <w:numPr>
          <w:ilvl w:val="0"/>
          <w:numId w:val="242"/>
        </w:numPr>
        <w:tabs>
          <w:tab w:val="left" w:pos="0"/>
        </w:tabs>
      </w:pPr>
      <w:r w:rsidRPr="00D20CCF">
        <w:t>both units are served by the same DAA</w:t>
      </w:r>
    </w:p>
    <w:p w14:paraId="2E241072" w14:textId="0FA4C72C" w:rsidR="00026E66" w:rsidRDefault="00AD1A71" w:rsidP="00FF0098">
      <w:pPr>
        <w:pStyle w:val="Heading2"/>
        <w:tabs>
          <w:tab w:val="left" w:pos="0"/>
        </w:tabs>
      </w:pPr>
      <w:bookmarkStart w:id="355" w:name="_Toc242885422"/>
      <w:r w:rsidRPr="00AD1A71">
        <w:rPr>
          <w:bCs/>
        </w:rPr>
        <w:t xml:space="preserve">Limb (ii) </w:t>
      </w:r>
      <w:r>
        <w:rPr>
          <w:bCs/>
        </w:rPr>
        <w:t>D</w:t>
      </w:r>
      <w:r w:rsidRPr="00AD1A71">
        <w:rPr>
          <w:bCs/>
        </w:rPr>
        <w:t xml:space="preserve">irectly </w:t>
      </w:r>
      <w:r>
        <w:rPr>
          <w:bCs/>
        </w:rPr>
        <w:t>A</w:t>
      </w:r>
      <w:r w:rsidRPr="00AD1A71">
        <w:rPr>
          <w:bCs/>
        </w:rPr>
        <w:t xml:space="preserve">ssociated </w:t>
      </w:r>
      <w:r>
        <w:rPr>
          <w:bCs/>
        </w:rPr>
        <w:t>A</w:t>
      </w:r>
      <w:r w:rsidRPr="00AD1A71">
        <w:rPr>
          <w:bCs/>
        </w:rPr>
        <w:t>ctivities</w:t>
      </w:r>
      <w:r>
        <w:rPr>
          <w:bCs/>
        </w:rPr>
        <w:t xml:space="preserve"> (DAA)</w:t>
      </w:r>
      <w:bookmarkEnd w:id="355"/>
      <w:r w:rsidRPr="00AD1A71">
        <w:rPr>
          <w:bCs/>
        </w:rPr>
        <w:t xml:space="preserve"> </w:t>
      </w:r>
    </w:p>
    <w:p w14:paraId="3897B5E3" w14:textId="1A85155A" w:rsidR="00026E66" w:rsidRDefault="002737EF" w:rsidP="00FF0098">
      <w:pPr>
        <w:tabs>
          <w:tab w:val="left" w:pos="0"/>
        </w:tabs>
      </w:pPr>
      <w:r>
        <w:t xml:space="preserve">An installation consists of the stationary technical unit, identified under the first limb of the definition, plus any location on the same site where activities that satisfy the second limb are carried out. Three criteria are proposed for the purpose of determining whether an activity satisfies the second limb: </w:t>
      </w:r>
    </w:p>
    <w:p w14:paraId="2F29A274" w14:textId="77777777" w:rsidR="00026E66" w:rsidRDefault="002737EF" w:rsidP="0065356B">
      <w:pPr>
        <w:pStyle w:val="ListParagraph"/>
        <w:numPr>
          <w:ilvl w:val="0"/>
          <w:numId w:val="120"/>
        </w:numPr>
        <w:tabs>
          <w:tab w:val="left" w:pos="0"/>
        </w:tabs>
      </w:pPr>
      <w:r>
        <w:t xml:space="preserve">(2A) The activity must be directly associated with the stationary technical unit. </w:t>
      </w:r>
    </w:p>
    <w:p w14:paraId="6B49FF93" w14:textId="77777777" w:rsidR="00026E66" w:rsidRDefault="002737EF" w:rsidP="0065356B">
      <w:pPr>
        <w:pStyle w:val="ListParagraph"/>
        <w:numPr>
          <w:ilvl w:val="0"/>
          <w:numId w:val="120"/>
        </w:numPr>
        <w:tabs>
          <w:tab w:val="left" w:pos="0"/>
        </w:tabs>
      </w:pPr>
      <w:r>
        <w:t xml:space="preserve">(2B) The activity must have a technical connection with the listed activities carried out in or by the stationary technical unit. </w:t>
      </w:r>
    </w:p>
    <w:p w14:paraId="10DE9687" w14:textId="77777777" w:rsidR="00026E66" w:rsidRDefault="002737EF" w:rsidP="0065356B">
      <w:pPr>
        <w:pStyle w:val="ListParagraph"/>
        <w:numPr>
          <w:ilvl w:val="0"/>
          <w:numId w:val="120"/>
        </w:numPr>
        <w:tabs>
          <w:tab w:val="left" w:pos="0"/>
        </w:tabs>
      </w:pPr>
      <w:r>
        <w:t xml:space="preserve">(2C) The activity must be capable of </w:t>
      </w:r>
      <w:proofErr w:type="gramStart"/>
      <w:r>
        <w:t>having an effect on</w:t>
      </w:r>
      <w:proofErr w:type="gramEnd"/>
      <w:r>
        <w:t xml:space="preserve"> emissions. </w:t>
      </w:r>
    </w:p>
    <w:p w14:paraId="464170B7" w14:textId="7E90F07D" w:rsidR="00026E66" w:rsidRDefault="002737EF" w:rsidP="00FF0098">
      <w:pPr>
        <w:tabs>
          <w:tab w:val="left" w:pos="0"/>
        </w:tabs>
      </w:pPr>
      <w:r>
        <w:t xml:space="preserve">Criterion (2A) requires that the activity is carried out on the same site as the stationary technical unit and that the activity serves the stationary technical unit (that is, there is an asymmetrical relationship whereby the activity serves the stationary technical unit, but not vice versa). If an activity, such as operating a landfill, serves a stationary technical unit carrying out a listed activity and some other industrial unit or units on a different site or carrying out non-listed activities, then the activity will only be directly associated with the stationary technical unit if that unit is the principal user of the activity. </w:t>
      </w:r>
    </w:p>
    <w:p w14:paraId="578DF4BF" w14:textId="4B84410E" w:rsidR="00026E66" w:rsidRDefault="002737EF" w:rsidP="00FF0098">
      <w:pPr>
        <w:tabs>
          <w:tab w:val="left" w:pos="0"/>
        </w:tabs>
      </w:pPr>
      <w:r>
        <w:t xml:space="preserve">Criterion (2B) gives rise to </w:t>
      </w:r>
      <w:r w:rsidR="009E12F0">
        <w:t>4</w:t>
      </w:r>
      <w:r>
        <w:t xml:space="preserve"> types of DAA which may be said to have a technical connection with a stationary technical unit: </w:t>
      </w:r>
    </w:p>
    <w:p w14:paraId="7BF31C2C" w14:textId="6F2A1AE3" w:rsidR="00026E66" w:rsidRDefault="002737EF" w:rsidP="0065356B">
      <w:pPr>
        <w:pStyle w:val="ListParagraph"/>
        <w:numPr>
          <w:ilvl w:val="0"/>
          <w:numId w:val="121"/>
        </w:numPr>
        <w:tabs>
          <w:tab w:val="left" w:pos="0"/>
        </w:tabs>
      </w:pPr>
      <w:r>
        <w:lastRenderedPageBreak/>
        <w:t>input activities concerned with the storage and treatment of inputs into the stationary technical unit</w:t>
      </w:r>
    </w:p>
    <w:p w14:paraId="388CCD8E" w14:textId="0F28F704" w:rsidR="00026E66" w:rsidRDefault="002737EF" w:rsidP="0065356B">
      <w:pPr>
        <w:pStyle w:val="ListParagraph"/>
        <w:numPr>
          <w:ilvl w:val="0"/>
          <w:numId w:val="121"/>
        </w:numPr>
        <w:tabs>
          <w:tab w:val="left" w:pos="0"/>
        </w:tabs>
      </w:pPr>
      <w:r>
        <w:t>intermediate activities concerned with the storage and treatment of intermediate products during the carrying out of the listed activities – this might apply particularly where the stationary technical unit consists of a number of sub</w:t>
      </w:r>
      <w:r w:rsidR="00141725">
        <w:t>-</w:t>
      </w:r>
      <w:r>
        <w:t>units, with the product of one sub</w:t>
      </w:r>
      <w:r w:rsidR="00141725">
        <w:t>-</w:t>
      </w:r>
      <w:r>
        <w:t xml:space="preserve">unit being stored or treated prior to being passed on to the next </w:t>
      </w:r>
      <w:proofErr w:type="gramStart"/>
      <w:r>
        <w:t>sub unit</w:t>
      </w:r>
      <w:proofErr w:type="gramEnd"/>
      <w:r>
        <w:t xml:space="preserve"> in the production chain</w:t>
      </w:r>
    </w:p>
    <w:p w14:paraId="0CB686F2" w14:textId="617AF002" w:rsidR="00026E66" w:rsidRDefault="002737EF" w:rsidP="0065356B">
      <w:pPr>
        <w:pStyle w:val="ListParagraph"/>
        <w:numPr>
          <w:ilvl w:val="0"/>
          <w:numId w:val="121"/>
        </w:numPr>
        <w:tabs>
          <w:tab w:val="left" w:pos="0"/>
        </w:tabs>
      </w:pPr>
      <w:r>
        <w:t>output activities concerned with the treatment of waste (or other emissions, like manure) from the stationary technical unit</w:t>
      </w:r>
    </w:p>
    <w:p w14:paraId="5163BAE5" w14:textId="42B082E7" w:rsidR="00026E66" w:rsidRDefault="002737EF" w:rsidP="0065356B">
      <w:pPr>
        <w:pStyle w:val="ListParagraph"/>
        <w:numPr>
          <w:ilvl w:val="0"/>
          <w:numId w:val="121"/>
        </w:numPr>
        <w:tabs>
          <w:tab w:val="left" w:pos="0"/>
        </w:tabs>
      </w:pPr>
      <w:r>
        <w:t>output activities concerned with the finishing, packaging and storage of the product from the stationary technical unit</w:t>
      </w:r>
    </w:p>
    <w:p w14:paraId="7A05B9E1" w14:textId="31991EA2" w:rsidR="00026E66" w:rsidRDefault="002737EF" w:rsidP="00FF0098">
      <w:pPr>
        <w:tabs>
          <w:tab w:val="left" w:pos="0"/>
        </w:tabs>
      </w:pPr>
      <w:r>
        <w:t xml:space="preserve">These activities have a technical connection in the sense that they are integral parts of the overall listed industrial activity. Often there will also be a physical connection, such as a conveyor belt or pipeline, but this does not have to be the case. </w:t>
      </w:r>
    </w:p>
    <w:p w14:paraId="48B8F302" w14:textId="57BFD19C" w:rsidR="00026E66" w:rsidRDefault="002737EF" w:rsidP="00FF0098">
      <w:pPr>
        <w:tabs>
          <w:tab w:val="left" w:pos="0"/>
        </w:tabs>
      </w:pPr>
      <w:r>
        <w:t>The need for input, intermediate and output activities to be an integral part of a listed activity before it is caught by limb (ii) is presented as part of criterion (2B). Note, however, that the requirement for associated activities to be ‘directly’ associated in criterion (2A) also emphasises the need for associated activities to be an integral part of a listed activity before they are treated as part of an installation.</w:t>
      </w:r>
    </w:p>
    <w:p w14:paraId="7A4F80BE" w14:textId="1B3876B1" w:rsidR="00026E66" w:rsidRDefault="002737EF" w:rsidP="00FF0098">
      <w:pPr>
        <w:tabs>
          <w:tab w:val="left" w:pos="0"/>
        </w:tabs>
      </w:pPr>
      <w:r>
        <w:t xml:space="preserve">Criterion (2C) covers both activities that </w:t>
      </w:r>
      <w:proofErr w:type="gramStart"/>
      <w:r>
        <w:t>have an effect on</w:t>
      </w:r>
      <w:proofErr w:type="gramEnd"/>
      <w:r>
        <w:t xml:space="preserve"> emissions and pollution from the listed activities with which they are associated and activities that have such an </w:t>
      </w:r>
      <w:proofErr w:type="gramStart"/>
      <w:r>
        <w:t>effect in their own right</w:t>
      </w:r>
      <w:proofErr w:type="gramEnd"/>
      <w:r>
        <w:t xml:space="preserve">. </w:t>
      </w:r>
    </w:p>
    <w:p w14:paraId="570B043D" w14:textId="77777777" w:rsidR="00026E66" w:rsidRDefault="002737EF" w:rsidP="00FF0098">
      <w:pPr>
        <w:pStyle w:val="Heading1"/>
        <w:pageBreakBefore/>
        <w:tabs>
          <w:tab w:val="left" w:pos="0"/>
        </w:tabs>
      </w:pPr>
      <w:bookmarkStart w:id="356" w:name="_Appendix_F:_Estimation"/>
      <w:bookmarkStart w:id="357" w:name="_Toc94718690"/>
      <w:bookmarkStart w:id="358" w:name="_Toc94088938"/>
      <w:bookmarkStart w:id="359" w:name="_Toc242885423"/>
      <w:bookmarkEnd w:id="356"/>
      <w:r>
        <w:lastRenderedPageBreak/>
        <w:t>Appendix F: Estimation techniques for meter failure or fault</w:t>
      </w:r>
      <w:bookmarkEnd w:id="357"/>
      <w:bookmarkEnd w:id="358"/>
      <w:bookmarkEnd w:id="359"/>
      <w:r>
        <w:t xml:space="preserve"> </w:t>
      </w:r>
    </w:p>
    <w:p w14:paraId="5CAE84E1" w14:textId="77777777" w:rsidR="00026E66" w:rsidRDefault="002737EF" w:rsidP="00FF0098">
      <w:pPr>
        <w:tabs>
          <w:tab w:val="left" w:pos="0"/>
        </w:tabs>
      </w:pPr>
      <w:r>
        <w:t xml:space="preserve">The estimation techniques described in this appendix should only be used when there are gaps in energy supply data, for example, when a meter fails or is subsequently found to have been faulty. </w:t>
      </w:r>
    </w:p>
    <w:p w14:paraId="00464B53" w14:textId="4DB4B993" w:rsidR="00026E66" w:rsidRDefault="002737EF" w:rsidP="00AE46A9">
      <w:pPr>
        <w:pStyle w:val="Heading2"/>
        <w:tabs>
          <w:tab w:val="left" w:pos="0"/>
        </w:tabs>
      </w:pPr>
      <w:bookmarkStart w:id="360" w:name="_Toc94718691"/>
      <w:bookmarkStart w:id="361" w:name="_Toc94088939"/>
      <w:bookmarkStart w:id="362" w:name="_Toc242885424"/>
      <w:r>
        <w:t>F.1 Introduction</w:t>
      </w:r>
      <w:bookmarkEnd w:id="360"/>
      <w:bookmarkEnd w:id="361"/>
      <w:bookmarkEnd w:id="362"/>
      <w:r>
        <w:t xml:space="preserve"> </w:t>
      </w:r>
    </w:p>
    <w:p w14:paraId="23C468B3" w14:textId="3065F44B" w:rsidR="00026E66" w:rsidRDefault="002737EF" w:rsidP="00FF0098">
      <w:pPr>
        <w:tabs>
          <w:tab w:val="left" w:pos="0"/>
        </w:tabs>
      </w:pPr>
      <w:r>
        <w:t xml:space="preserve">There are </w:t>
      </w:r>
      <w:r w:rsidR="009E12F0">
        <w:t>5</w:t>
      </w:r>
      <w:r>
        <w:t xml:space="preserve"> basic steps you should follow when applying an estimation technique: </w:t>
      </w:r>
    </w:p>
    <w:p w14:paraId="40F161B0" w14:textId="630E3EFD" w:rsidR="00026E66" w:rsidRDefault="002737EF" w:rsidP="0065356B">
      <w:pPr>
        <w:pStyle w:val="ListParagraph"/>
        <w:numPr>
          <w:ilvl w:val="0"/>
          <w:numId w:val="122"/>
        </w:numPr>
        <w:tabs>
          <w:tab w:val="left" w:pos="0"/>
        </w:tabs>
      </w:pPr>
      <w:r>
        <w:t>Identify gaps in energy supply data</w:t>
      </w:r>
      <w:r w:rsidR="00782E50">
        <w:t>.</w:t>
      </w:r>
      <w:r>
        <w:t xml:space="preserve"> </w:t>
      </w:r>
    </w:p>
    <w:p w14:paraId="073D69D1" w14:textId="0160A308" w:rsidR="00026E66" w:rsidRDefault="002737EF" w:rsidP="0065356B">
      <w:pPr>
        <w:pStyle w:val="ListParagraph"/>
        <w:numPr>
          <w:ilvl w:val="0"/>
          <w:numId w:val="122"/>
        </w:numPr>
        <w:tabs>
          <w:tab w:val="left" w:pos="0"/>
        </w:tabs>
      </w:pPr>
      <w:r>
        <w:t>Identify a suitable technique to address these gaps</w:t>
      </w:r>
      <w:r w:rsidR="00782E50">
        <w:t>.</w:t>
      </w:r>
      <w:r>
        <w:t xml:space="preserve"> </w:t>
      </w:r>
    </w:p>
    <w:p w14:paraId="5A113856" w14:textId="3BB0C684" w:rsidR="00026E66" w:rsidRDefault="002737EF" w:rsidP="0065356B">
      <w:pPr>
        <w:pStyle w:val="ListParagraph"/>
        <w:numPr>
          <w:ilvl w:val="0"/>
          <w:numId w:val="122"/>
        </w:numPr>
        <w:tabs>
          <w:tab w:val="left" w:pos="0"/>
        </w:tabs>
      </w:pPr>
      <w:r>
        <w:t>Quantify the missing data using the technique</w:t>
      </w:r>
      <w:r w:rsidR="00782E50">
        <w:t>.</w:t>
      </w:r>
    </w:p>
    <w:p w14:paraId="61AB2B09" w14:textId="55FDB00D" w:rsidR="00026E66" w:rsidRDefault="002737EF" w:rsidP="0065356B">
      <w:pPr>
        <w:pStyle w:val="ListParagraph"/>
        <w:numPr>
          <w:ilvl w:val="0"/>
          <w:numId w:val="122"/>
        </w:numPr>
        <w:tabs>
          <w:tab w:val="left" w:pos="0"/>
        </w:tabs>
      </w:pPr>
      <w:r>
        <w:t>Use the data to complete target period reporting data</w:t>
      </w:r>
      <w:r w:rsidR="00782E50">
        <w:t>.</w:t>
      </w:r>
      <w:r>
        <w:t xml:space="preserve"> </w:t>
      </w:r>
    </w:p>
    <w:p w14:paraId="7E9ED268" w14:textId="13EFB254" w:rsidR="00026E66" w:rsidRDefault="002737EF" w:rsidP="0065356B">
      <w:pPr>
        <w:pStyle w:val="ListParagraph"/>
        <w:numPr>
          <w:ilvl w:val="0"/>
          <w:numId w:val="122"/>
        </w:numPr>
        <w:tabs>
          <w:tab w:val="left" w:pos="0"/>
        </w:tabs>
      </w:pPr>
      <w:r>
        <w:t>Retain records for future reference and potential facility audit</w:t>
      </w:r>
      <w:r w:rsidR="00782E50">
        <w:t>.</w:t>
      </w:r>
      <w:r>
        <w:t xml:space="preserve"> </w:t>
      </w:r>
    </w:p>
    <w:p w14:paraId="2DFACD54" w14:textId="7BAB6CF7" w:rsidR="00026E66" w:rsidRDefault="002737EF" w:rsidP="00FF0098">
      <w:pPr>
        <w:tabs>
          <w:tab w:val="left" w:pos="0"/>
        </w:tabs>
      </w:pPr>
      <w:r>
        <w:t xml:space="preserve">To decide whether an approach is reasonable or not, you should consider which technique will be the most accurate, that is, you should select the technique on the basis that it is limited to filling the data gaps, maximises the use of primary source data and acknowledges the levels of activity during the period of the data gaps. </w:t>
      </w:r>
    </w:p>
    <w:p w14:paraId="09A3D893" w14:textId="77777777" w:rsidR="00026E66" w:rsidRDefault="002737EF" w:rsidP="00FF0098">
      <w:pPr>
        <w:tabs>
          <w:tab w:val="left" w:pos="0"/>
        </w:tabs>
      </w:pPr>
      <w:r>
        <w:t xml:space="preserve">You must ensure that the reasons for your choice of technique and the steps in your estimation process are documented to provide an audit trail. </w:t>
      </w:r>
    </w:p>
    <w:p w14:paraId="6DB836B2" w14:textId="77777777" w:rsidR="00026E66" w:rsidRDefault="002737EF" w:rsidP="00FF0098">
      <w:pPr>
        <w:pStyle w:val="Heading2"/>
        <w:tabs>
          <w:tab w:val="left" w:pos="0"/>
        </w:tabs>
      </w:pPr>
      <w:bookmarkStart w:id="363" w:name="_Toc94718692"/>
      <w:bookmarkStart w:id="364" w:name="_Toc94088940"/>
      <w:bookmarkStart w:id="365" w:name="_Toc242885425"/>
      <w:r>
        <w:t>F.2 What are the estimation techniques?</w:t>
      </w:r>
      <w:bookmarkEnd w:id="363"/>
      <w:bookmarkEnd w:id="364"/>
      <w:bookmarkEnd w:id="365"/>
      <w:r>
        <w:t xml:space="preserve"> </w:t>
      </w:r>
    </w:p>
    <w:p w14:paraId="4F174CD0" w14:textId="36268E51" w:rsidR="00026E66" w:rsidRDefault="002737EF" w:rsidP="00FF0098">
      <w:pPr>
        <w:tabs>
          <w:tab w:val="left" w:pos="0"/>
        </w:tabs>
      </w:pPr>
      <w:r>
        <w:t xml:space="preserve">The </w:t>
      </w:r>
      <w:r w:rsidR="009E12F0">
        <w:t>4</w:t>
      </w:r>
      <w:r>
        <w:t xml:space="preserve"> techniques available to use are: </w:t>
      </w:r>
    </w:p>
    <w:p w14:paraId="4BEAB508" w14:textId="77777777" w:rsidR="00026E66" w:rsidRDefault="002737EF" w:rsidP="0065356B">
      <w:pPr>
        <w:pStyle w:val="ListParagraph"/>
        <w:numPr>
          <w:ilvl w:val="0"/>
          <w:numId w:val="123"/>
        </w:numPr>
        <w:tabs>
          <w:tab w:val="left" w:pos="0"/>
        </w:tabs>
      </w:pPr>
      <w:r>
        <w:t xml:space="preserve">estimated energy bills </w:t>
      </w:r>
    </w:p>
    <w:p w14:paraId="062FDC36" w14:textId="77777777" w:rsidR="00026E66" w:rsidRDefault="002737EF" w:rsidP="0065356B">
      <w:pPr>
        <w:pStyle w:val="ListParagraph"/>
        <w:numPr>
          <w:ilvl w:val="0"/>
          <w:numId w:val="123"/>
        </w:numPr>
        <w:tabs>
          <w:tab w:val="left" w:pos="0"/>
        </w:tabs>
      </w:pPr>
      <w:r>
        <w:t xml:space="preserve">pro-rata calculation </w:t>
      </w:r>
    </w:p>
    <w:p w14:paraId="751FB119" w14:textId="77777777" w:rsidR="00026E66" w:rsidRDefault="002737EF" w:rsidP="0065356B">
      <w:pPr>
        <w:pStyle w:val="ListParagraph"/>
        <w:numPr>
          <w:ilvl w:val="0"/>
          <w:numId w:val="123"/>
        </w:numPr>
        <w:tabs>
          <w:tab w:val="left" w:pos="0"/>
        </w:tabs>
      </w:pPr>
      <w:r>
        <w:t xml:space="preserve">direct comparison </w:t>
      </w:r>
    </w:p>
    <w:p w14:paraId="5BD9EFBC" w14:textId="77777777" w:rsidR="00026E66" w:rsidRDefault="002737EF" w:rsidP="0065356B">
      <w:pPr>
        <w:pStyle w:val="ListParagraph"/>
        <w:numPr>
          <w:ilvl w:val="0"/>
          <w:numId w:val="123"/>
        </w:numPr>
        <w:tabs>
          <w:tab w:val="left" w:pos="0"/>
        </w:tabs>
      </w:pPr>
      <w:r>
        <w:t xml:space="preserve">price settlement </w:t>
      </w:r>
    </w:p>
    <w:p w14:paraId="52CEEF9D" w14:textId="77777777" w:rsidR="00026E66" w:rsidRDefault="002737EF" w:rsidP="00FF0098">
      <w:pPr>
        <w:tabs>
          <w:tab w:val="left" w:pos="0"/>
        </w:tabs>
      </w:pPr>
      <w:r>
        <w:t xml:space="preserve">The ways in which you can apply these techniques are described in turn below with examples. They are not in a priority </w:t>
      </w:r>
      <w:proofErr w:type="gramStart"/>
      <w:r>
        <w:t>order</w:t>
      </w:r>
      <w:proofErr w:type="gramEnd"/>
      <w:r>
        <w:t xml:space="preserve"> and you should consider which method is most reasonable as outlined above. </w:t>
      </w:r>
    </w:p>
    <w:p w14:paraId="67CB3E96" w14:textId="77777777" w:rsidR="00026E66" w:rsidRDefault="002737EF" w:rsidP="00FF0098">
      <w:pPr>
        <w:tabs>
          <w:tab w:val="left" w:pos="0"/>
        </w:tabs>
      </w:pPr>
      <w:r>
        <w:t xml:space="preserve">Other techniques, such as benchmarking, are not valid as estimation techniques within the CCA scheme. This is because establishing benchmark data and then measuring estimated data against them would make effective verification (either by the operator or the Administrator) too complex. </w:t>
      </w:r>
    </w:p>
    <w:p w14:paraId="0721CE1E" w14:textId="77777777" w:rsidR="00026E66" w:rsidRDefault="002737EF" w:rsidP="00FF0098">
      <w:pPr>
        <w:tabs>
          <w:tab w:val="left" w:pos="0"/>
        </w:tabs>
      </w:pPr>
      <w:r>
        <w:lastRenderedPageBreak/>
        <w:t xml:space="preserve">It is important to ensure the estimate resulting from your chosen method does not under-estimate supply. </w:t>
      </w:r>
    </w:p>
    <w:p w14:paraId="36ED0BF9" w14:textId="77777777" w:rsidR="00026E66" w:rsidRDefault="002737EF" w:rsidP="00FF0098">
      <w:pPr>
        <w:pStyle w:val="Heading3"/>
        <w:tabs>
          <w:tab w:val="left" w:pos="0"/>
        </w:tabs>
      </w:pPr>
      <w:r>
        <w:t xml:space="preserve">Technique 1: Estimated energy bills </w:t>
      </w:r>
    </w:p>
    <w:p w14:paraId="3EF11657" w14:textId="77777777" w:rsidR="00026E66" w:rsidRDefault="002737EF" w:rsidP="00FF0098">
      <w:pPr>
        <w:tabs>
          <w:tab w:val="left" w:pos="0"/>
        </w:tabs>
      </w:pPr>
      <w:r>
        <w:t xml:space="preserve">You can use estimated bills from suppliers to establish the energy supplied for electricity or fuels (in most cases this will be for natural gas). Suppliers may send these because they are unable to provide bills based on actual supply data for the entire period. All evidence for estimated bills should be kept </w:t>
      </w:r>
      <w:proofErr w:type="gramStart"/>
      <w:r>
        <w:t>to provide</w:t>
      </w:r>
      <w:proofErr w:type="gramEnd"/>
      <w:r>
        <w:t xml:space="preserve"> an audit trail. </w:t>
      </w:r>
    </w:p>
    <w:p w14:paraId="1CC86F36" w14:textId="2482920E" w:rsidR="00026E66" w:rsidRPr="00395FC6" w:rsidRDefault="002737EF" w:rsidP="00FF0098">
      <w:pPr>
        <w:pStyle w:val="Heading4"/>
        <w:tabs>
          <w:tab w:val="left" w:pos="0"/>
        </w:tabs>
      </w:pPr>
      <w:r>
        <w:t>Example – Operator A</w:t>
      </w:r>
    </w:p>
    <w:p w14:paraId="505F26C9" w14:textId="77777777" w:rsidR="00026E66" w:rsidRDefault="002737EF" w:rsidP="00FF0098">
      <w:pPr>
        <w:tabs>
          <w:tab w:val="left" w:pos="0"/>
        </w:tabs>
      </w:pPr>
      <w:r>
        <w:rPr>
          <w:b/>
        </w:rPr>
        <w:t>Step 1</w:t>
      </w:r>
      <w:r>
        <w:t>: Some time after the billing period, an invoice for natural gas supply to operator A is identified as being estimated.</w:t>
      </w:r>
    </w:p>
    <w:p w14:paraId="6D5FC163" w14:textId="77777777" w:rsidR="00026E66" w:rsidRDefault="002737EF" w:rsidP="00FF0098">
      <w:pPr>
        <w:tabs>
          <w:tab w:val="left" w:pos="0"/>
        </w:tabs>
      </w:pPr>
      <w:r>
        <w:t>Estimates are used where bills are issued more frequently than actual meter readings are recorded.</w:t>
      </w:r>
    </w:p>
    <w:p w14:paraId="0D8AE10A" w14:textId="77777777" w:rsidR="00026E66" w:rsidRDefault="002737EF" w:rsidP="00FF0098">
      <w:pPr>
        <w:tabs>
          <w:tab w:val="left" w:pos="0"/>
        </w:tabs>
      </w:pPr>
      <w:r>
        <w:t>Estimates are usually based on past supply and/or a meter profile.</w:t>
      </w:r>
    </w:p>
    <w:p w14:paraId="23E7E9AB" w14:textId="77777777" w:rsidR="00026E66" w:rsidRDefault="002737EF" w:rsidP="00FF0098">
      <w:pPr>
        <w:tabs>
          <w:tab w:val="left" w:pos="0"/>
        </w:tabs>
      </w:pPr>
      <w:r>
        <w:rPr>
          <w:b/>
        </w:rPr>
        <w:t>Step 2</w:t>
      </w:r>
      <w:r>
        <w:t>: Actual meter readings have not been taken for the billing period, so operator A uses estimated bills to cover that period.</w:t>
      </w:r>
    </w:p>
    <w:p w14:paraId="12FBFEF8" w14:textId="50069AB4" w:rsidR="00026E66" w:rsidRDefault="002737EF" w:rsidP="00FF0098">
      <w:pPr>
        <w:tabs>
          <w:tab w:val="left" w:pos="0"/>
        </w:tabs>
      </w:pPr>
      <w:r>
        <w:t xml:space="preserve">Operator A should check that the billed estimate is proportionally consistent with the supply </w:t>
      </w:r>
      <w:proofErr w:type="gramStart"/>
      <w:r>
        <w:t>actually recorded</w:t>
      </w:r>
      <w:proofErr w:type="gramEnd"/>
      <w:r>
        <w:t xml:space="preserve"> by the meter. For example, if you normally consume X m</w:t>
      </w:r>
      <w:r>
        <w:rPr>
          <w:vertAlign w:val="superscript"/>
        </w:rPr>
        <w:t xml:space="preserve">3 </w:t>
      </w:r>
      <w:r>
        <w:t xml:space="preserve">of gas per month and you are reading the meter </w:t>
      </w:r>
      <w:r w:rsidR="009E12F0">
        <w:t>2</w:t>
      </w:r>
      <w:r>
        <w:t xml:space="preserve"> months after the end of the estimated period, the current reading should be greater than the billed estimate by approximately 2X m</w:t>
      </w:r>
      <w:r>
        <w:rPr>
          <w:vertAlign w:val="superscript"/>
        </w:rPr>
        <w:t>3</w:t>
      </w:r>
      <w:r>
        <w:t>.</w:t>
      </w:r>
    </w:p>
    <w:p w14:paraId="68712C42" w14:textId="77777777" w:rsidR="00026E66" w:rsidRDefault="002737EF" w:rsidP="00FF0098">
      <w:pPr>
        <w:tabs>
          <w:tab w:val="left" w:pos="0"/>
        </w:tabs>
      </w:pPr>
      <w:r>
        <w:t xml:space="preserve">If there is a large difference between estimated and actual </w:t>
      </w:r>
      <w:proofErr w:type="gramStart"/>
      <w:r>
        <w:t>supply</w:t>
      </w:r>
      <w:proofErr w:type="gramEnd"/>
      <w:r>
        <w:t xml:space="preserve"> then let your supplier know.</w:t>
      </w:r>
    </w:p>
    <w:p w14:paraId="58BBDAB5" w14:textId="77777777" w:rsidR="00026E66" w:rsidRDefault="002737EF" w:rsidP="00FF0098">
      <w:pPr>
        <w:tabs>
          <w:tab w:val="left" w:pos="0"/>
        </w:tabs>
      </w:pPr>
      <w:r>
        <w:rPr>
          <w:b/>
        </w:rPr>
        <w:t>Step 3</w:t>
      </w:r>
      <w:r>
        <w:t>: Calculate the amount of energy supplied for the period.</w:t>
      </w:r>
    </w:p>
    <w:p w14:paraId="39C23FD3" w14:textId="77777777" w:rsidR="00026E66" w:rsidRDefault="002737EF" w:rsidP="00FF0098">
      <w:pPr>
        <w:tabs>
          <w:tab w:val="left" w:pos="0"/>
        </w:tabs>
      </w:pPr>
      <w:r>
        <w:t>Supply data are taken from the estimated bills.</w:t>
      </w:r>
    </w:p>
    <w:p w14:paraId="6C1754F8" w14:textId="77777777" w:rsidR="00026E66" w:rsidRDefault="002737EF" w:rsidP="00FF0098">
      <w:pPr>
        <w:tabs>
          <w:tab w:val="left" w:pos="0"/>
        </w:tabs>
      </w:pPr>
      <w:r>
        <w:rPr>
          <w:b/>
        </w:rPr>
        <w:t>Step 4</w:t>
      </w:r>
      <w:r>
        <w:t>: Reporting</w:t>
      </w:r>
    </w:p>
    <w:p w14:paraId="5623ADB2" w14:textId="77777777" w:rsidR="00026E66" w:rsidRDefault="002737EF" w:rsidP="00FF0098">
      <w:pPr>
        <w:tabs>
          <w:tab w:val="left" w:pos="0"/>
        </w:tabs>
      </w:pPr>
      <w:r>
        <w:t>Operator A should report the estimated supply for the period where appropriate.</w:t>
      </w:r>
    </w:p>
    <w:p w14:paraId="31CB6C64" w14:textId="77777777" w:rsidR="00026E66" w:rsidRDefault="002737EF" w:rsidP="00FF0098">
      <w:pPr>
        <w:tabs>
          <w:tab w:val="left" w:pos="0"/>
        </w:tabs>
      </w:pPr>
      <w:r>
        <w:rPr>
          <w:b/>
        </w:rPr>
        <w:t>Step 5</w:t>
      </w:r>
      <w:r>
        <w:t>: Operator A should keep auditable records of the estimated bills as part of its records for the target period. These are:</w:t>
      </w:r>
    </w:p>
    <w:p w14:paraId="640A134A" w14:textId="3D447F08" w:rsidR="00026E66" w:rsidRDefault="00782E50" w:rsidP="0065356B">
      <w:pPr>
        <w:pStyle w:val="ListParagraph"/>
        <w:numPr>
          <w:ilvl w:val="0"/>
          <w:numId w:val="124"/>
        </w:numPr>
        <w:tabs>
          <w:tab w:val="left" w:pos="0"/>
        </w:tabs>
      </w:pPr>
      <w:r>
        <w:t>s</w:t>
      </w:r>
      <w:r w:rsidR="002737EF">
        <w:t>upplier invoices for CCA reporting period giving estimated supply</w:t>
      </w:r>
    </w:p>
    <w:p w14:paraId="7192EB5A" w14:textId="4E185739" w:rsidR="00026E66" w:rsidRDefault="00782E50" w:rsidP="0065356B">
      <w:pPr>
        <w:pStyle w:val="ListParagraph"/>
        <w:numPr>
          <w:ilvl w:val="0"/>
          <w:numId w:val="124"/>
        </w:numPr>
        <w:tabs>
          <w:tab w:val="left" w:pos="0"/>
        </w:tabs>
      </w:pPr>
      <w:r>
        <w:t>a</w:t>
      </w:r>
      <w:r w:rsidR="002737EF">
        <w:t>ctual meter readings taken for comparison with estimated bills and recorded on meter log sheets</w:t>
      </w:r>
    </w:p>
    <w:p w14:paraId="2C5BC3FF" w14:textId="2A9D523F" w:rsidR="00026E66" w:rsidRDefault="00782E50" w:rsidP="0065356B">
      <w:pPr>
        <w:pStyle w:val="ListParagraph"/>
        <w:numPr>
          <w:ilvl w:val="0"/>
          <w:numId w:val="124"/>
        </w:numPr>
        <w:tabs>
          <w:tab w:val="left" w:pos="0"/>
        </w:tabs>
      </w:pPr>
      <w:r>
        <w:lastRenderedPageBreak/>
        <w:t>c</w:t>
      </w:r>
      <w:r w:rsidR="002737EF">
        <w:t>orrespondence notifying the suppliers of large discrepancies (where applicable)</w:t>
      </w:r>
    </w:p>
    <w:p w14:paraId="20290F57" w14:textId="77777777" w:rsidR="00026E66" w:rsidRDefault="002737EF" w:rsidP="00FF0098">
      <w:pPr>
        <w:pStyle w:val="Heading3"/>
        <w:tabs>
          <w:tab w:val="left" w:pos="0"/>
        </w:tabs>
      </w:pPr>
      <w:r>
        <w:t xml:space="preserve">Technique 2: Pro rata calculation </w:t>
      </w:r>
    </w:p>
    <w:p w14:paraId="623E4668" w14:textId="77777777" w:rsidR="00026E66" w:rsidRDefault="002737EF" w:rsidP="004C1365">
      <w:r>
        <w:t xml:space="preserve">The pro rata estimation technique involves quantifying the missing data for a data gap using a proportional method based on actual readings from another similar period. </w:t>
      </w:r>
    </w:p>
    <w:p w14:paraId="0A2000C4" w14:textId="77777777" w:rsidR="00026E66" w:rsidRDefault="002737EF" w:rsidP="004C1365">
      <w:r>
        <w:t xml:space="preserve">The energy supply for a CCA target period may be estimated pro rata against the supply for a similar, but shorter period. Actual meter readings should be used to derive a daily supply rate that is then used to fill in any data gaps. </w:t>
      </w:r>
    </w:p>
    <w:p w14:paraId="08CA11C9" w14:textId="77777777" w:rsidR="00026E66" w:rsidRDefault="002737EF" w:rsidP="004C1365">
      <w:r>
        <w:t xml:space="preserve">This method is less useful where seasonal effects come into play (for example, where there is a supply peak during one part of a year due to an external factor). </w:t>
      </w:r>
    </w:p>
    <w:p w14:paraId="4B18F06F" w14:textId="421BA2EE" w:rsidR="00026E66" w:rsidRDefault="002737EF" w:rsidP="004C1365">
      <w:r>
        <w:t xml:space="preserve">To ensure that the data used to fill the supply gap remain relevant, the data must cover at least </w:t>
      </w:r>
      <w:r w:rsidR="009E12F0">
        <w:t>3</w:t>
      </w:r>
      <w:r>
        <w:t xml:space="preserve"> months and be no more than 12 months outside the period to be estimated. You should keep all evidence to provide an audit trail. </w:t>
      </w:r>
    </w:p>
    <w:p w14:paraId="16CCB6CE" w14:textId="42C367B5" w:rsidR="00026E66" w:rsidRDefault="002737EF" w:rsidP="004C1365">
      <w:r>
        <w:t xml:space="preserve">This technique can also be used for situations where a gas meter corrector fails but the mechanical meter continues to operate, preventing the corrected energy consumption over </w:t>
      </w:r>
      <w:proofErr w:type="gramStart"/>
      <w:r>
        <w:t>a period of time</w:t>
      </w:r>
      <w:proofErr w:type="gramEnd"/>
      <w:r>
        <w:t xml:space="preserve"> from being known. Provided both corrected and mechanical meter readings have been collected over a reasonable period of time during which the whole metering system has been operating correctly, and a good correlation exists between the </w:t>
      </w:r>
      <w:r w:rsidR="009E12F0">
        <w:t>2</w:t>
      </w:r>
      <w:r>
        <w:t xml:space="preserve">, this correlation can be used to estimate the corrected energy consumption from the mechanical meter readings over the period of corrector failure. </w:t>
      </w:r>
    </w:p>
    <w:p w14:paraId="468DC691" w14:textId="77777777" w:rsidR="00026E66" w:rsidRDefault="002737EF" w:rsidP="00FF0098">
      <w:pPr>
        <w:pStyle w:val="Heading4"/>
        <w:tabs>
          <w:tab w:val="left" w:pos="0"/>
        </w:tabs>
      </w:pPr>
      <w:r>
        <w:t xml:space="preserve">Example – Operator B </w:t>
      </w:r>
    </w:p>
    <w:p w14:paraId="48077853" w14:textId="0ADEDDED" w:rsidR="00026E66" w:rsidRDefault="002737EF" w:rsidP="00FF0098">
      <w:pPr>
        <w:tabs>
          <w:tab w:val="left" w:pos="0"/>
        </w:tabs>
      </w:pPr>
      <w:r>
        <w:rPr>
          <w:b/>
        </w:rPr>
        <w:t>Step 1</w:t>
      </w:r>
      <w:r>
        <w:t xml:space="preserve">: Operator B is missing natural gas data for the final </w:t>
      </w:r>
      <w:r w:rsidR="009E12F0">
        <w:t>2</w:t>
      </w:r>
      <w:r>
        <w:t xml:space="preserve"> months of a target period due to meter failure. </w:t>
      </w:r>
    </w:p>
    <w:p w14:paraId="619FE536" w14:textId="77777777" w:rsidR="00026E66" w:rsidRDefault="002737EF" w:rsidP="00FF0098">
      <w:pPr>
        <w:tabs>
          <w:tab w:val="left" w:pos="0"/>
        </w:tabs>
      </w:pPr>
      <w:r>
        <w:rPr>
          <w:b/>
        </w:rPr>
        <w:t>Step 2</w:t>
      </w:r>
      <w:r>
        <w:t xml:space="preserve">: Operator B has chosen to use the pro rata method based on actual meter readings for the 10 months before the meter failure. </w:t>
      </w:r>
    </w:p>
    <w:p w14:paraId="4E293962" w14:textId="77777777" w:rsidR="00026E66" w:rsidRDefault="002737EF" w:rsidP="00FF0098">
      <w:pPr>
        <w:tabs>
          <w:tab w:val="left" w:pos="0"/>
        </w:tabs>
      </w:pPr>
      <w:r>
        <w:rPr>
          <w:b/>
        </w:rPr>
        <w:t>Step 3</w:t>
      </w:r>
      <w:r>
        <w:t xml:space="preserve">: Operator B calculates the amount of energy supplied for the period. </w:t>
      </w:r>
    </w:p>
    <w:p w14:paraId="1E8B4C9B" w14:textId="77777777" w:rsidR="00026E66" w:rsidRDefault="002737EF" w:rsidP="00FF0098">
      <w:pPr>
        <w:tabs>
          <w:tab w:val="left" w:pos="0"/>
        </w:tabs>
      </w:pPr>
      <w:r>
        <w:t xml:space="preserve">Actual meter reads (corrected) in units of hundred cubic feet (HCF): </w:t>
      </w:r>
    </w:p>
    <w:p w14:paraId="61068E47" w14:textId="3CC654C7" w:rsidR="00026E66" w:rsidRDefault="002737EF" w:rsidP="00DF0760">
      <w:pPr>
        <w:pStyle w:val="ListParagraph"/>
        <w:numPr>
          <w:ilvl w:val="0"/>
          <w:numId w:val="244"/>
        </w:numPr>
        <w:tabs>
          <w:tab w:val="left" w:pos="0"/>
        </w:tabs>
      </w:pPr>
      <w:r>
        <w:t>1 January 2016: 2,090,658 HCF</w:t>
      </w:r>
    </w:p>
    <w:p w14:paraId="538D2DEE" w14:textId="5B37ECF5" w:rsidR="00026E66" w:rsidRDefault="002737EF" w:rsidP="00DF0760">
      <w:pPr>
        <w:pStyle w:val="ListParagraph"/>
        <w:numPr>
          <w:ilvl w:val="0"/>
          <w:numId w:val="244"/>
        </w:numPr>
        <w:tabs>
          <w:tab w:val="left" w:pos="0"/>
        </w:tabs>
      </w:pPr>
      <w:r>
        <w:t xml:space="preserve">1 November 2016: 2,240,658 HCF </w:t>
      </w:r>
    </w:p>
    <w:p w14:paraId="6A27F221" w14:textId="77777777" w:rsidR="00026E66" w:rsidRDefault="002737EF" w:rsidP="00FF0098">
      <w:pPr>
        <w:tabs>
          <w:tab w:val="left" w:pos="0"/>
        </w:tabs>
      </w:pPr>
      <w:r>
        <w:t xml:space="preserve">Supply between 1 January 2016 and 1 November 2016 = 2,240,658 – 2,090,658 = 150,000 HCF </w:t>
      </w:r>
    </w:p>
    <w:p w14:paraId="1980C0B2" w14:textId="77777777" w:rsidR="00026E66" w:rsidRDefault="002737EF" w:rsidP="00FF0098">
      <w:pPr>
        <w:tabs>
          <w:tab w:val="left" w:pos="0"/>
        </w:tabs>
      </w:pPr>
      <w:r>
        <w:t xml:space="preserve">Metered period: 303 days, missing 62 days at the end of the period. </w:t>
      </w:r>
    </w:p>
    <w:p w14:paraId="7B6D24EF" w14:textId="77777777" w:rsidR="00026E66" w:rsidRDefault="002737EF" w:rsidP="00FF0098">
      <w:pPr>
        <w:tabs>
          <w:tab w:val="left" w:pos="0"/>
        </w:tabs>
      </w:pPr>
      <w:r>
        <w:lastRenderedPageBreak/>
        <w:t xml:space="preserve">Supply in period: 150,000 HCF </w:t>
      </w:r>
    </w:p>
    <w:p w14:paraId="252ECE7A" w14:textId="77777777" w:rsidR="00026E66" w:rsidRDefault="002737EF" w:rsidP="00FF0098">
      <w:pPr>
        <w:tabs>
          <w:tab w:val="left" w:pos="0"/>
        </w:tabs>
      </w:pPr>
      <w:r>
        <w:t>Pro rata for the January to December year = [(daily supply rate) × data gap in days] + rest of year supply = total year supply = [(150,000/303) × 62] + 150,000 = 180,693 HCF.</w:t>
      </w:r>
    </w:p>
    <w:p w14:paraId="0FB3D64C" w14:textId="77777777" w:rsidR="00026E66" w:rsidRDefault="002737EF" w:rsidP="00FF0098">
      <w:pPr>
        <w:tabs>
          <w:tab w:val="left" w:pos="0"/>
        </w:tabs>
        <w:spacing w:after="117" w:line="256" w:lineRule="auto"/>
      </w:pPr>
      <w:r>
        <w:rPr>
          <w:b/>
          <w:color w:val="auto"/>
        </w:rPr>
        <w:t>Or:</w:t>
      </w:r>
      <w:r>
        <w:rPr>
          <w:color w:val="auto"/>
        </w:rPr>
        <w:t xml:space="preserve"> </w:t>
      </w:r>
    </w:p>
    <w:p w14:paraId="0130C907" w14:textId="5F2342BD" w:rsidR="00026E66" w:rsidRDefault="002737EF" w:rsidP="00FF0098">
      <w:pPr>
        <w:tabs>
          <w:tab w:val="left" w:pos="0"/>
        </w:tabs>
      </w:pPr>
      <w:r>
        <w:t>This can be calculated as kilowatt hours (kWh). Using the conversion factors given below for this example calculation, the supply in the period is calculated as 4,706,226 kWh</w:t>
      </w:r>
      <w:r w:rsidR="0093584B">
        <w:t>:</w:t>
      </w:r>
      <w:r>
        <w:t xml:space="preserve"> </w:t>
      </w:r>
    </w:p>
    <w:p w14:paraId="479CB37C" w14:textId="77777777" w:rsidR="00026E66" w:rsidRDefault="002737EF" w:rsidP="0065356B">
      <w:pPr>
        <w:pStyle w:val="ListParagraph"/>
        <w:numPr>
          <w:ilvl w:val="0"/>
          <w:numId w:val="135"/>
        </w:numPr>
        <w:tabs>
          <w:tab w:val="left" w:pos="0"/>
        </w:tabs>
        <w:spacing w:after="93" w:line="237" w:lineRule="auto"/>
      </w:pPr>
      <w:r>
        <w:t xml:space="preserve">Temperature and pressure correction factor = 1.02264 (usually the figures for temperature/pressure correction and calorific value are printed on the gas bill) </w:t>
      </w:r>
    </w:p>
    <w:p w14:paraId="619E80C0" w14:textId="77777777" w:rsidR="00026E66" w:rsidRDefault="002737EF" w:rsidP="0065356B">
      <w:pPr>
        <w:pStyle w:val="ListParagraph"/>
        <w:numPr>
          <w:ilvl w:val="0"/>
          <w:numId w:val="135"/>
        </w:numPr>
        <w:tabs>
          <w:tab w:val="left" w:pos="0"/>
        </w:tabs>
      </w:pPr>
      <w:r>
        <w:t xml:space="preserve">HCF (corrected) </w:t>
      </w:r>
      <w:r w:rsidRPr="00827D03">
        <w:rPr>
          <w:rFonts w:cs="Arial"/>
          <w:szCs w:val="24"/>
        </w:rPr>
        <w:t>×</w:t>
      </w:r>
      <w:r>
        <w:t xml:space="preserve"> 2.832 to convert to cubic metres (m</w:t>
      </w:r>
      <w:r w:rsidRPr="00827D03">
        <w:rPr>
          <w:vertAlign w:val="superscript"/>
        </w:rPr>
        <w:t>3</w:t>
      </w:r>
      <w:r>
        <w:t>)</w:t>
      </w:r>
    </w:p>
    <w:p w14:paraId="18BE2FDA" w14:textId="77777777" w:rsidR="00026E66" w:rsidRDefault="002737EF" w:rsidP="0065356B">
      <w:pPr>
        <w:pStyle w:val="ListParagraph"/>
        <w:numPr>
          <w:ilvl w:val="0"/>
          <w:numId w:val="135"/>
        </w:numPr>
        <w:tabs>
          <w:tab w:val="left" w:pos="0"/>
        </w:tabs>
      </w:pPr>
      <w:r>
        <w:t>m</w:t>
      </w:r>
      <w:r w:rsidRPr="00827D03">
        <w:rPr>
          <w:vertAlign w:val="superscript"/>
        </w:rPr>
        <w:t xml:space="preserve">3 </w:t>
      </w:r>
      <w:r w:rsidRPr="00827D03">
        <w:rPr>
          <w:rFonts w:cs="Arial"/>
          <w:szCs w:val="24"/>
        </w:rPr>
        <w:t>×</w:t>
      </w:r>
      <w:r>
        <w:t xml:space="preserve"> CV of 39.0000 MJ/m</w:t>
      </w:r>
      <w:r w:rsidRPr="00827D03">
        <w:rPr>
          <w:vertAlign w:val="superscript"/>
        </w:rPr>
        <w:t xml:space="preserve">3 </w:t>
      </w:r>
      <w:r>
        <w:t xml:space="preserve">to convert to megajoules (MJ) </w:t>
      </w:r>
    </w:p>
    <w:p w14:paraId="533E7976" w14:textId="77777777" w:rsidR="00026E66" w:rsidRDefault="002737EF" w:rsidP="0065356B">
      <w:pPr>
        <w:pStyle w:val="ListParagraph"/>
        <w:numPr>
          <w:ilvl w:val="0"/>
          <w:numId w:val="135"/>
        </w:numPr>
        <w:tabs>
          <w:tab w:val="left" w:pos="0"/>
        </w:tabs>
        <w:spacing w:after="67" w:line="256" w:lineRule="auto"/>
      </w:pPr>
      <w:r>
        <w:t xml:space="preserve">MJ divided by 1,000 to convert to GJ </w:t>
      </w:r>
    </w:p>
    <w:p w14:paraId="1EC697B5" w14:textId="77777777" w:rsidR="00026E66" w:rsidRDefault="002737EF" w:rsidP="0065356B">
      <w:pPr>
        <w:pStyle w:val="ListParagraph"/>
        <w:numPr>
          <w:ilvl w:val="0"/>
          <w:numId w:val="135"/>
        </w:numPr>
        <w:tabs>
          <w:tab w:val="left" w:pos="0"/>
        </w:tabs>
        <w:spacing w:after="91" w:line="256" w:lineRule="auto"/>
      </w:pPr>
      <w:r>
        <w:t xml:space="preserve">GJ </w:t>
      </w:r>
      <w:r w:rsidRPr="00827D03">
        <w:rPr>
          <w:rFonts w:cs="Arial"/>
          <w:szCs w:val="24"/>
        </w:rPr>
        <w:t>×</w:t>
      </w:r>
      <w:r>
        <w:t xml:space="preserve"> 277.78 (1 GJ = 277.78 kWh) to convert to kWh </w:t>
      </w:r>
    </w:p>
    <w:p w14:paraId="43B6CD8D" w14:textId="77777777" w:rsidR="00026E66" w:rsidRDefault="002737EF" w:rsidP="00FF0098">
      <w:pPr>
        <w:tabs>
          <w:tab w:val="left" w:pos="0"/>
        </w:tabs>
      </w:pPr>
      <w:r>
        <w:rPr>
          <w:color w:val="auto"/>
        </w:rPr>
        <w:t xml:space="preserve">Pro rata for the January </w:t>
      </w:r>
      <w:r>
        <w:t>to December year = [(daily supply rate) × data gap in days] + rest of year supply = total year supply = [(4,706,226/303) × 62] + 4,706,226 = 5,669,216 kWh Note that this figure is not</w:t>
      </w:r>
      <w:r>
        <w:rPr>
          <w:color w:val="auto"/>
        </w:rPr>
        <w:t xml:space="preserve"> for the whole target period. </w:t>
      </w:r>
    </w:p>
    <w:p w14:paraId="56F8690C" w14:textId="5322D119" w:rsidR="00026E66" w:rsidRDefault="002737EF" w:rsidP="00FF0098">
      <w:pPr>
        <w:tabs>
          <w:tab w:val="left" w:pos="0"/>
        </w:tabs>
      </w:pPr>
      <w:r>
        <w:rPr>
          <w:b/>
        </w:rPr>
        <w:t>Step 4</w:t>
      </w:r>
      <w:r>
        <w:t xml:space="preserve">: Operator B reports the estimated supply as part of its submission for its </w:t>
      </w:r>
      <w:r w:rsidR="008526C1">
        <w:t>facility’s</w:t>
      </w:r>
      <w:r w:rsidR="008526C1" w:rsidDel="00BD6EAA">
        <w:t xml:space="preserve"> </w:t>
      </w:r>
      <w:r>
        <w:t xml:space="preserve">target period. This will need to include all metered data for year 1 of the target period as well as any other fuels consumed for the CCA target facility. </w:t>
      </w:r>
    </w:p>
    <w:p w14:paraId="12E2CE80" w14:textId="5DB03EE0" w:rsidR="00026E66" w:rsidRDefault="002737EF" w:rsidP="00FF0098">
      <w:pPr>
        <w:tabs>
          <w:tab w:val="left" w:pos="0"/>
        </w:tabs>
      </w:pPr>
      <w:r>
        <w:rPr>
          <w:b/>
        </w:rPr>
        <w:t>Step 5</w:t>
      </w:r>
      <w:r>
        <w:t xml:space="preserve">: Operator B records all meter readings and conversion factors used and documents these for its audit trail. This should also contain details of monthly gas supply and calorific values (CVs) for the reporting period. CVs can be obtained monthly from supplier’s invoices or daily from the </w:t>
      </w:r>
      <w:hyperlink r:id="rId96" w:history="1">
        <w:r w:rsidR="00395FC6" w:rsidRPr="00395FC6">
          <w:rPr>
            <w:rStyle w:val="Hyperlink"/>
          </w:rPr>
          <w:t>National Grid website</w:t>
        </w:r>
      </w:hyperlink>
      <w:r>
        <w:t>.</w:t>
      </w:r>
    </w:p>
    <w:p w14:paraId="2218AF83" w14:textId="77777777" w:rsidR="00026E66" w:rsidRDefault="002737EF" w:rsidP="00FF0098">
      <w:pPr>
        <w:pStyle w:val="Heading3"/>
        <w:tabs>
          <w:tab w:val="left" w:pos="0"/>
        </w:tabs>
      </w:pPr>
      <w:r>
        <w:t xml:space="preserve">Technique 3: Direct comparison </w:t>
      </w:r>
    </w:p>
    <w:p w14:paraId="2811F21C" w14:textId="77777777" w:rsidR="00026E66" w:rsidRDefault="002737EF" w:rsidP="00FF0098">
      <w:pPr>
        <w:tabs>
          <w:tab w:val="left" w:pos="0"/>
        </w:tabs>
      </w:pPr>
      <w:r>
        <w:t xml:space="preserve">The direct comparison method uses data that correspond with a similar period of supply. The advantage of this method is that it accommodates variability in energy demand (for example, due to annual weather patterns). For industry, it works best where production runs are long and constant and similar production levels are recorded in both periods. </w:t>
      </w:r>
    </w:p>
    <w:p w14:paraId="5381D484" w14:textId="77777777" w:rsidR="00026E66" w:rsidRDefault="002737EF" w:rsidP="00FF0098">
      <w:pPr>
        <w:tabs>
          <w:tab w:val="left" w:pos="0"/>
        </w:tabs>
      </w:pPr>
      <w:r>
        <w:t xml:space="preserve">To ensure the data are applicable and are not used repeatedly for an extended period, the data must be no more than 12 months from the period to be estimated. You should keep all evidence to provide an audit trail. </w:t>
      </w:r>
    </w:p>
    <w:p w14:paraId="36C2BC92" w14:textId="77777777" w:rsidR="00026E66" w:rsidRDefault="002737EF" w:rsidP="00FF0098">
      <w:pPr>
        <w:pStyle w:val="Heading4"/>
        <w:tabs>
          <w:tab w:val="left" w:pos="0"/>
        </w:tabs>
      </w:pPr>
      <w:r>
        <w:t xml:space="preserve">Example – Operator C </w:t>
      </w:r>
    </w:p>
    <w:p w14:paraId="67C9071A" w14:textId="77777777" w:rsidR="00026E66" w:rsidRDefault="002737EF" w:rsidP="00FF0098">
      <w:pPr>
        <w:tabs>
          <w:tab w:val="left" w:pos="0"/>
        </w:tabs>
      </w:pPr>
      <w:r>
        <w:rPr>
          <w:b/>
        </w:rPr>
        <w:t>Step 1</w:t>
      </w:r>
      <w:r>
        <w:t xml:space="preserve">: Operator C has inaccurate natural gas supply data caused by a meter fault. </w:t>
      </w:r>
    </w:p>
    <w:p w14:paraId="26225706" w14:textId="55AB01BA" w:rsidR="00026E66" w:rsidRDefault="002737EF" w:rsidP="00FF0098">
      <w:pPr>
        <w:tabs>
          <w:tab w:val="left" w:pos="0"/>
        </w:tabs>
      </w:pPr>
      <w:r>
        <w:rPr>
          <w:b/>
        </w:rPr>
        <w:lastRenderedPageBreak/>
        <w:t>Step 2</w:t>
      </w:r>
      <w:r>
        <w:t xml:space="preserve">: Subsequent analysis by operator C or the supplier shows that natural gas supply was under-reported over a </w:t>
      </w:r>
      <w:r w:rsidR="009E12F0">
        <w:t>3</w:t>
      </w:r>
      <w:r>
        <w:t xml:space="preserve">-month period before the fault was noticed and rectified. </w:t>
      </w:r>
    </w:p>
    <w:p w14:paraId="0E714E36" w14:textId="77777777" w:rsidR="00026E66" w:rsidRDefault="002737EF" w:rsidP="00FF0098">
      <w:pPr>
        <w:tabs>
          <w:tab w:val="left" w:pos="0"/>
        </w:tabs>
      </w:pPr>
      <w:r>
        <w:rPr>
          <w:b/>
        </w:rPr>
        <w:t>Step 3</w:t>
      </w:r>
      <w:r>
        <w:t xml:space="preserve">: Operator C should calculate the amount of energy supplied in the period. </w:t>
      </w:r>
    </w:p>
    <w:p w14:paraId="2BD2169B" w14:textId="77777777" w:rsidR="00026E66" w:rsidRDefault="002737EF" w:rsidP="00FF0098">
      <w:pPr>
        <w:tabs>
          <w:tab w:val="left" w:pos="0"/>
        </w:tabs>
      </w:pPr>
      <w:r>
        <w:t xml:space="preserve">The fault related to a manufacturing operation which uses natural gas for drying a product. </w:t>
      </w:r>
    </w:p>
    <w:p w14:paraId="35B9F97F" w14:textId="77777777" w:rsidR="00026E66" w:rsidRDefault="002737EF" w:rsidP="00FF0098">
      <w:pPr>
        <w:tabs>
          <w:tab w:val="left" w:pos="0"/>
        </w:tabs>
      </w:pPr>
      <w:r>
        <w:t xml:space="preserve">Operator C notes that shift patterns and production volumes are </w:t>
      </w:r>
      <w:proofErr w:type="gramStart"/>
      <w:r>
        <w:t>similar to</w:t>
      </w:r>
      <w:proofErr w:type="gramEnd"/>
      <w:r>
        <w:t xml:space="preserve"> the previous year. </w:t>
      </w:r>
    </w:p>
    <w:p w14:paraId="3AA55806" w14:textId="3EFA7485" w:rsidR="00026E66" w:rsidRDefault="002737EF" w:rsidP="00FF0098">
      <w:pPr>
        <w:tabs>
          <w:tab w:val="left" w:pos="0"/>
        </w:tabs>
      </w:pPr>
      <w:r>
        <w:t xml:space="preserve">Operator C selects best fit data for </w:t>
      </w:r>
      <w:r w:rsidR="009E12F0">
        <w:t>3</w:t>
      </w:r>
      <w:r>
        <w:t xml:space="preserve"> months from the previous year with similar production volumes. </w:t>
      </w:r>
    </w:p>
    <w:p w14:paraId="742EC4AE" w14:textId="77777777" w:rsidR="00026E66" w:rsidRDefault="002737EF" w:rsidP="00FF0098">
      <w:pPr>
        <w:tabs>
          <w:tab w:val="left" w:pos="0"/>
        </w:tabs>
      </w:pPr>
      <w:r>
        <w:t xml:space="preserve">Adjustment to supply is made on straight-line basis for slight difference in production volumes (similarly this could be for temperature, for example, using degree days). </w:t>
      </w:r>
    </w:p>
    <w:p w14:paraId="413C33A2" w14:textId="77777777" w:rsidR="00026E66" w:rsidRDefault="002737EF" w:rsidP="00FF0098">
      <w:pPr>
        <w:tabs>
          <w:tab w:val="left" w:pos="0"/>
        </w:tabs>
      </w:pPr>
      <w:r>
        <w:rPr>
          <w:b/>
        </w:rPr>
        <w:t>Step 4</w:t>
      </w:r>
      <w:r>
        <w:t xml:space="preserve">: Operator C reports the supply for its target period reporting as follows: </w:t>
      </w:r>
    </w:p>
    <w:p w14:paraId="3D95A166" w14:textId="6EBD1D0B" w:rsidR="00026E66" w:rsidRDefault="002737EF" w:rsidP="00FF0098">
      <w:pPr>
        <w:tabs>
          <w:tab w:val="left" w:pos="0"/>
        </w:tabs>
      </w:pPr>
      <w:r>
        <w:t xml:space="preserve">Reported supply in CCA target period: 21 months’ actual data and </w:t>
      </w:r>
      <w:r w:rsidR="009E12F0">
        <w:t>3</w:t>
      </w:r>
      <w:r>
        <w:t xml:space="preserve"> months’ adjusted data </w:t>
      </w:r>
    </w:p>
    <w:p w14:paraId="305D8DD6" w14:textId="77777777" w:rsidR="00026E66" w:rsidRDefault="002737EF" w:rsidP="00FF0098">
      <w:pPr>
        <w:tabs>
          <w:tab w:val="left" w:pos="0"/>
        </w:tabs>
      </w:pPr>
      <w:r>
        <w:rPr>
          <w:b/>
        </w:rPr>
        <w:t>Step 5</w:t>
      </w:r>
      <w:r>
        <w:t xml:space="preserve">: Operator C should record the following: </w:t>
      </w:r>
    </w:p>
    <w:p w14:paraId="10172509" w14:textId="77777777" w:rsidR="00026E66" w:rsidRDefault="002737EF" w:rsidP="0065356B">
      <w:pPr>
        <w:pStyle w:val="ListParagraph"/>
        <w:numPr>
          <w:ilvl w:val="0"/>
          <w:numId w:val="136"/>
        </w:numPr>
        <w:tabs>
          <w:tab w:val="left" w:pos="0"/>
        </w:tabs>
      </w:pPr>
      <w:r>
        <w:t xml:space="preserve">evidence that a fault affected the gas meter and, if available, that it was repaired </w:t>
      </w:r>
    </w:p>
    <w:p w14:paraId="62F47906" w14:textId="0D5A1EDD" w:rsidR="00026E66" w:rsidRDefault="002737EF" w:rsidP="0065356B">
      <w:pPr>
        <w:pStyle w:val="ListParagraph"/>
        <w:numPr>
          <w:ilvl w:val="0"/>
          <w:numId w:val="136"/>
        </w:numPr>
        <w:tabs>
          <w:tab w:val="left" w:pos="0"/>
        </w:tabs>
      </w:pPr>
      <w:r>
        <w:t xml:space="preserve">analysis showing the fault had affected </w:t>
      </w:r>
      <w:r w:rsidR="009E12F0">
        <w:t>3</w:t>
      </w:r>
      <w:r>
        <w:t xml:space="preserve"> months’ data </w:t>
      </w:r>
    </w:p>
    <w:p w14:paraId="57D3C234" w14:textId="7E8A8D97" w:rsidR="00026E66" w:rsidRDefault="002737EF" w:rsidP="0065356B">
      <w:pPr>
        <w:pStyle w:val="ListParagraph"/>
        <w:numPr>
          <w:ilvl w:val="0"/>
          <w:numId w:val="136"/>
        </w:numPr>
        <w:tabs>
          <w:tab w:val="left" w:pos="0"/>
        </w:tabs>
      </w:pPr>
      <w:r>
        <w:t xml:space="preserve">the </w:t>
      </w:r>
      <w:r w:rsidR="009E12F0">
        <w:t>3</w:t>
      </w:r>
      <w:r>
        <w:t xml:space="preserve"> months’ actual data selected from previous year for direct comparison </w:t>
      </w:r>
    </w:p>
    <w:p w14:paraId="71CE3BB9" w14:textId="77777777" w:rsidR="00026E66" w:rsidRDefault="002737EF" w:rsidP="00FF0098">
      <w:pPr>
        <w:tabs>
          <w:tab w:val="left" w:pos="0"/>
        </w:tabs>
      </w:pPr>
      <w:r>
        <w:t>adjustments – the basis for these as applied to the direct comparison data for example degree day corrections, production volumes and so on.</w:t>
      </w:r>
    </w:p>
    <w:p w14:paraId="0FD62B8F" w14:textId="77777777" w:rsidR="00026E66" w:rsidRDefault="002737EF" w:rsidP="00FF0098">
      <w:pPr>
        <w:pStyle w:val="Heading3"/>
        <w:tabs>
          <w:tab w:val="left" w:pos="0"/>
        </w:tabs>
      </w:pPr>
      <w:r>
        <w:t xml:space="preserve">Technique 4: Price settlement </w:t>
      </w:r>
    </w:p>
    <w:p w14:paraId="2651D076" w14:textId="77777777" w:rsidR="00026E66" w:rsidRDefault="002737EF" w:rsidP="00FF0098">
      <w:pPr>
        <w:tabs>
          <w:tab w:val="left" w:pos="0"/>
        </w:tabs>
      </w:pPr>
      <w:r>
        <w:t xml:space="preserve">As a last resort, you may use a price settlement (energy cost data) with suppliers as the basis for CCA target period reporting. However, this must be as the final backstop in the hierarchy of estimation techniques and must only be used if you are unable to use techniques 1, 2 or 3. </w:t>
      </w:r>
    </w:p>
    <w:p w14:paraId="2BB70B98" w14:textId="77777777" w:rsidR="00026E66" w:rsidRDefault="002737EF" w:rsidP="00FF0098">
      <w:pPr>
        <w:tabs>
          <w:tab w:val="left" w:pos="0"/>
        </w:tabs>
      </w:pPr>
      <w:r>
        <w:t xml:space="preserve">In cases of a simple price settlement the onus is on you, as the operator, to justify a reasonable unit price figure is used to convert this into a supply figure. You should keep all evidence as an audit trail. </w:t>
      </w:r>
    </w:p>
    <w:p w14:paraId="2844A00F" w14:textId="77777777" w:rsidR="00026E66" w:rsidRDefault="002737EF" w:rsidP="00FF0098">
      <w:pPr>
        <w:tabs>
          <w:tab w:val="left" w:pos="0"/>
        </w:tabs>
      </w:pPr>
      <w:r>
        <w:t xml:space="preserve">This technique would allow you to use aggregate cost data rather than requiring individual metered supply, which would be beneficial in cases of </w:t>
      </w:r>
      <w:proofErr w:type="gramStart"/>
      <w:r>
        <w:t>a large number of</w:t>
      </w:r>
      <w:proofErr w:type="gramEnd"/>
      <w:r>
        <w:t xml:space="preserve"> small consuming meters. For this method you need to demonstrate the use of an actual price figure (using the unit price shown on an earlier bill for this billing period) or an average price per unit </w:t>
      </w:r>
      <w:r>
        <w:lastRenderedPageBreak/>
        <w:t xml:space="preserve">(based on a set of price figures) to convert this aggregate cost into an aggregate supply figure. </w:t>
      </w:r>
    </w:p>
    <w:p w14:paraId="6BBD311E" w14:textId="77777777" w:rsidR="00026E66" w:rsidRDefault="002737EF" w:rsidP="00FF0098">
      <w:pPr>
        <w:pStyle w:val="Heading4"/>
        <w:tabs>
          <w:tab w:val="left" w:pos="0"/>
        </w:tabs>
      </w:pPr>
      <w:r>
        <w:t xml:space="preserve">Example – Operator D </w:t>
      </w:r>
    </w:p>
    <w:p w14:paraId="54124BA6" w14:textId="77777777" w:rsidR="00026E66" w:rsidRDefault="002737EF" w:rsidP="00FF0098">
      <w:pPr>
        <w:tabs>
          <w:tab w:val="left" w:pos="0"/>
        </w:tabs>
      </w:pPr>
      <w:r>
        <w:rPr>
          <w:b/>
        </w:rPr>
        <w:t>Step 1</w:t>
      </w:r>
      <w:r>
        <w:t xml:space="preserve">: Operator D has data available from a supplier on an aggregate cost </w:t>
      </w:r>
      <w:proofErr w:type="gramStart"/>
      <w:r>
        <w:t>basis</w:t>
      </w:r>
      <w:proofErr w:type="gramEnd"/>
      <w:r>
        <w:t xml:space="preserve"> but actual supply data cannot be accurately confirmed in the reporting period. </w:t>
      </w:r>
    </w:p>
    <w:p w14:paraId="5CED13F7" w14:textId="77777777" w:rsidR="00026E66" w:rsidRDefault="002737EF" w:rsidP="00FF0098">
      <w:pPr>
        <w:tabs>
          <w:tab w:val="left" w:pos="0"/>
        </w:tabs>
      </w:pPr>
      <w:r>
        <w:rPr>
          <w:b/>
        </w:rPr>
        <w:t>Step 2</w:t>
      </w:r>
      <w:r>
        <w:t xml:space="preserve">: Operator D can take the aggregated cost data and convert this into supply data using the unit price shown on an earlier bill for this billing period (pence per kWh). </w:t>
      </w:r>
    </w:p>
    <w:p w14:paraId="0E23E3D1" w14:textId="77777777" w:rsidR="00026E66" w:rsidRDefault="002737EF" w:rsidP="00FF0098">
      <w:pPr>
        <w:tabs>
          <w:tab w:val="left" w:pos="0"/>
        </w:tabs>
      </w:pPr>
      <w:r>
        <w:rPr>
          <w:b/>
        </w:rPr>
        <w:t>Step 3</w:t>
      </w:r>
      <w:r>
        <w:t xml:space="preserve">: Operator D should calculate the amount of energy supplied in the period: </w:t>
      </w:r>
    </w:p>
    <w:p w14:paraId="11E790C9" w14:textId="5D823CFD" w:rsidR="00026E66" w:rsidRDefault="00BB6772" w:rsidP="0065356B">
      <w:pPr>
        <w:pStyle w:val="ListParagraph"/>
        <w:numPr>
          <w:ilvl w:val="0"/>
          <w:numId w:val="125"/>
        </w:numPr>
        <w:tabs>
          <w:tab w:val="left" w:pos="0"/>
        </w:tabs>
      </w:pPr>
      <w:r>
        <w:t>t</w:t>
      </w:r>
      <w:r w:rsidR="002737EF">
        <w:t xml:space="preserve">ake the energy cost data provided by supplier (for example, £150,000) </w:t>
      </w:r>
    </w:p>
    <w:p w14:paraId="7BAA29E9" w14:textId="1E6E1857" w:rsidR="00026E66" w:rsidRDefault="00BB6772" w:rsidP="0065356B">
      <w:pPr>
        <w:pStyle w:val="ListParagraph"/>
        <w:numPr>
          <w:ilvl w:val="0"/>
          <w:numId w:val="125"/>
        </w:numPr>
        <w:tabs>
          <w:tab w:val="left" w:pos="0"/>
        </w:tabs>
      </w:pPr>
      <w:r>
        <w:t>u</w:t>
      </w:r>
      <w:r w:rsidR="002737EF">
        <w:t>se an average price per unit figure to convert aggregated cost into kWh (for example 6.87 p/kWh (see Step 5: Records))</w:t>
      </w:r>
    </w:p>
    <w:p w14:paraId="4A16C701" w14:textId="3B4FA2AA" w:rsidR="00026E66" w:rsidRDefault="00BB6772" w:rsidP="0065356B">
      <w:pPr>
        <w:pStyle w:val="ListParagraph"/>
        <w:numPr>
          <w:ilvl w:val="0"/>
          <w:numId w:val="125"/>
        </w:numPr>
        <w:tabs>
          <w:tab w:val="left" w:pos="0"/>
        </w:tabs>
      </w:pPr>
      <w:r>
        <w:t>t</w:t>
      </w:r>
      <w:r w:rsidR="002737EF">
        <w:t xml:space="preserve">hen calculate energy supply = £150,000 ∕ 0.0687 = 2,183,406 kWh </w:t>
      </w:r>
    </w:p>
    <w:p w14:paraId="66DD58D6" w14:textId="77777777" w:rsidR="00026E66" w:rsidRDefault="002737EF" w:rsidP="00FF0098">
      <w:pPr>
        <w:tabs>
          <w:tab w:val="left" w:pos="0"/>
        </w:tabs>
      </w:pPr>
      <w:r>
        <w:rPr>
          <w:b/>
        </w:rPr>
        <w:t>Step 4</w:t>
      </w:r>
      <w:r>
        <w:t xml:space="preserve">: Operator D reports the supply for the purpose of target period reporting as follows. </w:t>
      </w:r>
    </w:p>
    <w:p w14:paraId="54A60406" w14:textId="37DBF6F5" w:rsidR="00026E66" w:rsidRDefault="002737EF" w:rsidP="00DF0760">
      <w:pPr>
        <w:pStyle w:val="ListParagraph"/>
        <w:numPr>
          <w:ilvl w:val="0"/>
          <w:numId w:val="245"/>
        </w:numPr>
        <w:tabs>
          <w:tab w:val="left" w:pos="0"/>
        </w:tabs>
      </w:pPr>
      <w:r>
        <w:t xml:space="preserve">Reported supply in period: 2,183,406 kWh </w:t>
      </w:r>
    </w:p>
    <w:p w14:paraId="7FF544CD" w14:textId="77777777" w:rsidR="00026E66" w:rsidRDefault="002737EF" w:rsidP="00FF0098">
      <w:pPr>
        <w:tabs>
          <w:tab w:val="left" w:pos="0"/>
        </w:tabs>
      </w:pPr>
      <w:r>
        <w:rPr>
          <w:b/>
        </w:rPr>
        <w:t>Step 5</w:t>
      </w:r>
      <w:r>
        <w:t xml:space="preserve">: Operator D should record the following: </w:t>
      </w:r>
    </w:p>
    <w:p w14:paraId="7F5D5884" w14:textId="77777777" w:rsidR="00026E66" w:rsidRDefault="002737EF" w:rsidP="0065356B">
      <w:pPr>
        <w:pStyle w:val="ListParagraph"/>
        <w:numPr>
          <w:ilvl w:val="0"/>
          <w:numId w:val="126"/>
        </w:numPr>
        <w:tabs>
          <w:tab w:val="left" w:pos="0"/>
        </w:tabs>
      </w:pPr>
      <w:r>
        <w:t xml:space="preserve">Supplier statements giving aggregated cost and other relevant data </w:t>
      </w:r>
    </w:p>
    <w:p w14:paraId="3B19BD75" w14:textId="77777777" w:rsidR="00026E66" w:rsidRDefault="002737EF" w:rsidP="0065356B">
      <w:pPr>
        <w:pStyle w:val="ListParagraph"/>
        <w:numPr>
          <w:ilvl w:val="0"/>
          <w:numId w:val="126"/>
        </w:numPr>
        <w:tabs>
          <w:tab w:val="left" w:pos="0"/>
        </w:tabs>
      </w:pPr>
      <w:r>
        <w:t xml:space="preserve">Unit price calculations and the basis for any weighting of unit price. Electricity may need to be weighted for weekend units, night units and other time units. Example unit costs operator D might use are as follows: </w:t>
      </w:r>
    </w:p>
    <w:p w14:paraId="658614EF" w14:textId="77777777" w:rsidR="00026E66" w:rsidRDefault="002737EF" w:rsidP="0065356B">
      <w:pPr>
        <w:pStyle w:val="ListParagraph"/>
        <w:numPr>
          <w:ilvl w:val="1"/>
          <w:numId w:val="126"/>
        </w:numPr>
        <w:tabs>
          <w:tab w:val="left" w:pos="0"/>
        </w:tabs>
      </w:pPr>
      <w:r>
        <w:t>weekend units: 8.69 p/kWh, estimated as 35.6% supply</w:t>
      </w:r>
    </w:p>
    <w:p w14:paraId="63DDF016" w14:textId="77777777" w:rsidR="00026E66" w:rsidRDefault="002737EF" w:rsidP="0065356B">
      <w:pPr>
        <w:pStyle w:val="ListParagraph"/>
        <w:numPr>
          <w:ilvl w:val="1"/>
          <w:numId w:val="126"/>
        </w:numPr>
        <w:tabs>
          <w:tab w:val="left" w:pos="0"/>
        </w:tabs>
      </w:pPr>
      <w:r>
        <w:t xml:space="preserve">night units: 4.78 p/kWh, estimated as 7.4% supply </w:t>
      </w:r>
    </w:p>
    <w:p w14:paraId="54505EF9" w14:textId="77777777" w:rsidR="00026E66" w:rsidRDefault="002737EF" w:rsidP="00383EDF">
      <w:pPr>
        <w:pStyle w:val="ListParagraph"/>
        <w:numPr>
          <w:ilvl w:val="1"/>
          <w:numId w:val="126"/>
        </w:numPr>
        <w:tabs>
          <w:tab w:val="left" w:pos="0"/>
        </w:tabs>
      </w:pPr>
      <w:r>
        <w:t xml:space="preserve">other time units: 6.00 p/kWh, estimated as 57% supply </w:t>
      </w:r>
    </w:p>
    <w:p w14:paraId="2A584E46" w14:textId="77777777" w:rsidR="00026E66" w:rsidRDefault="002737EF" w:rsidP="0065356B">
      <w:pPr>
        <w:pStyle w:val="ListParagraph"/>
        <w:numPr>
          <w:ilvl w:val="1"/>
          <w:numId w:val="126"/>
        </w:numPr>
        <w:tabs>
          <w:tab w:val="left" w:pos="0"/>
        </w:tabs>
      </w:pPr>
      <w:r>
        <w:t xml:space="preserve">average unit price = (8.69 </w:t>
      </w:r>
      <w:r w:rsidRPr="00562A78">
        <w:rPr>
          <w:szCs w:val="24"/>
        </w:rPr>
        <w:t>×</w:t>
      </w:r>
      <w:r>
        <w:t xml:space="preserve"> 35.6) + (4.78 </w:t>
      </w:r>
      <w:r w:rsidRPr="00562A78">
        <w:rPr>
          <w:szCs w:val="24"/>
        </w:rPr>
        <w:t>×</w:t>
      </w:r>
      <w:r>
        <w:t xml:space="preserve"> 7.4) + (6.00 </w:t>
      </w:r>
      <w:r w:rsidRPr="00562A78">
        <w:rPr>
          <w:szCs w:val="24"/>
        </w:rPr>
        <w:t>×</w:t>
      </w:r>
      <w:r>
        <w:t xml:space="preserve"> 57</w:t>
      </w:r>
      <w:r w:rsidRPr="00562A78">
        <w:rPr>
          <w:szCs w:val="24"/>
        </w:rPr>
        <w:t xml:space="preserve">) ∕ </w:t>
      </w:r>
      <w:r>
        <w:t>100 = 6.87p</w:t>
      </w:r>
    </w:p>
    <w:p w14:paraId="0E39B79D" w14:textId="3A42F92A" w:rsidR="00395FC6" w:rsidRDefault="00395FC6" w:rsidP="00AE46A9">
      <w:pPr>
        <w:tabs>
          <w:tab w:val="left" w:pos="0"/>
        </w:tabs>
        <w:spacing w:after="0" w:line="256" w:lineRule="auto"/>
        <w:jc w:val="both"/>
        <w:rPr>
          <w:color w:val="auto"/>
        </w:rPr>
      </w:pPr>
      <w:r>
        <w:rPr>
          <w:color w:val="auto"/>
        </w:rPr>
        <w:br w:type="page"/>
      </w:r>
    </w:p>
    <w:p w14:paraId="08549752" w14:textId="77777777" w:rsidR="0080130E" w:rsidRDefault="0080130E" w:rsidP="0080130E">
      <w:pPr>
        <w:pStyle w:val="Heading1"/>
        <w:tabs>
          <w:tab w:val="left" w:pos="0"/>
        </w:tabs>
      </w:pPr>
      <w:bookmarkStart w:id="366" w:name="_Appendix_G:_Facility"/>
      <w:bookmarkStart w:id="367" w:name="_Appendix_H:_Workbook"/>
      <w:bookmarkStart w:id="368" w:name="_Toc94718693"/>
      <w:bookmarkStart w:id="369" w:name="_Toc94088941"/>
      <w:bookmarkStart w:id="370" w:name="_Toc228271314"/>
      <w:bookmarkStart w:id="371" w:name="_Toc94718694"/>
      <w:bookmarkStart w:id="372" w:name="_Toc94088942"/>
      <w:bookmarkStart w:id="373" w:name="_Toc242885426"/>
      <w:bookmarkEnd w:id="366"/>
      <w:bookmarkEnd w:id="367"/>
      <w:r>
        <w:lastRenderedPageBreak/>
        <w:t>Appendix G: Facility eligibility form</w:t>
      </w:r>
      <w:bookmarkEnd w:id="368"/>
      <w:bookmarkEnd w:id="369"/>
      <w:r>
        <w:t xml:space="preserve"> (FEF)</w:t>
      </w:r>
      <w:bookmarkEnd w:id="370"/>
      <w:bookmarkEnd w:id="373"/>
    </w:p>
    <w:p w14:paraId="303DEBF9" w14:textId="77777777" w:rsidR="0080130E" w:rsidRDefault="0080130E" w:rsidP="0080130E">
      <w:r>
        <w:t xml:space="preserve">The facility eligibility form (FEF) can be used by operators for an application for an agreement or when providing facility eligibility evidence for an audit. </w:t>
      </w:r>
    </w:p>
    <w:p w14:paraId="5292785D" w14:textId="77777777" w:rsidR="0080130E" w:rsidRDefault="0080130E" w:rsidP="0080130E">
      <w:pPr>
        <w:pStyle w:val="Heading2"/>
        <w:spacing w:line="259" w:lineRule="auto"/>
        <w:rPr>
          <w:color w:val="008738"/>
        </w:rPr>
      </w:pPr>
      <w:bookmarkStart w:id="374" w:name="_Toc242885427"/>
      <w:r w:rsidRPr="12DBDAA0">
        <w:rPr>
          <w:color w:val="008738"/>
        </w:rPr>
        <w:t>Section 1 – Operator Details</w:t>
      </w:r>
      <w:bookmarkEnd w:id="374"/>
    </w:p>
    <w:p w14:paraId="58205782" w14:textId="77777777" w:rsidR="0080130E" w:rsidRPr="00E87EED" w:rsidRDefault="0080130E" w:rsidP="0080130E">
      <w:pPr>
        <w:pStyle w:val="Heading3"/>
        <w:numPr>
          <w:ilvl w:val="0"/>
          <w:numId w:val="213"/>
        </w:numPr>
        <w:ind w:left="720"/>
        <w:rPr>
          <w:b w:val="0"/>
          <w:bCs/>
          <w:szCs w:val="28"/>
        </w:rPr>
      </w:pPr>
      <w:r w:rsidRPr="00E87EED">
        <w:t>Operator</w:t>
      </w:r>
    </w:p>
    <w:tbl>
      <w:tblPr>
        <w:tblStyle w:val="TableGridLight"/>
        <w:tblW w:w="9786" w:type="dxa"/>
        <w:tblLook w:val="0020" w:firstRow="1" w:lastRow="0" w:firstColumn="0" w:lastColumn="0" w:noHBand="0" w:noVBand="0"/>
      </w:tblPr>
      <w:tblGrid>
        <w:gridCol w:w="5247"/>
        <w:gridCol w:w="4539"/>
      </w:tblGrid>
      <w:tr w:rsidR="0080130E" w14:paraId="14B5D881" w14:textId="77777777" w:rsidTr="00552252">
        <w:trPr>
          <w:trHeight w:val="514"/>
        </w:trPr>
        <w:tc>
          <w:tcPr>
            <w:tcW w:w="5247" w:type="dxa"/>
          </w:tcPr>
          <w:p w14:paraId="6BC9FA41" w14:textId="77777777" w:rsidR="0080130E" w:rsidRDefault="0080130E" w:rsidP="00552252">
            <w:r w:rsidRPr="12DBDAA0">
              <w:rPr>
                <w:szCs w:val="24"/>
              </w:rPr>
              <w:t>1a) Operator Name</w:t>
            </w:r>
          </w:p>
        </w:tc>
        <w:tc>
          <w:tcPr>
            <w:tcW w:w="4539" w:type="dxa"/>
          </w:tcPr>
          <w:p w14:paraId="3E927C42" w14:textId="77777777" w:rsidR="0080130E" w:rsidRDefault="0080130E" w:rsidP="00552252">
            <w:r>
              <w:t xml:space="preserve">Enter operator name </w:t>
            </w:r>
          </w:p>
        </w:tc>
      </w:tr>
      <w:tr w:rsidR="0080130E" w14:paraId="6D15DC6C" w14:textId="77777777" w:rsidTr="00552252">
        <w:trPr>
          <w:trHeight w:val="516"/>
        </w:trPr>
        <w:tc>
          <w:tcPr>
            <w:tcW w:w="5247" w:type="dxa"/>
          </w:tcPr>
          <w:p w14:paraId="1F3F8F41" w14:textId="77777777" w:rsidR="0080130E" w:rsidRDefault="0080130E" w:rsidP="00552252">
            <w:r w:rsidRPr="12DBDAA0">
              <w:rPr>
                <w:szCs w:val="24"/>
              </w:rPr>
              <w:t>1b) Company Number (if applicable)</w:t>
            </w:r>
          </w:p>
        </w:tc>
        <w:tc>
          <w:tcPr>
            <w:tcW w:w="4539" w:type="dxa"/>
          </w:tcPr>
          <w:p w14:paraId="6467618A" w14:textId="77777777" w:rsidR="0080130E" w:rsidRDefault="0080130E" w:rsidP="00552252">
            <w:r>
              <w:t>Enter company number</w:t>
            </w:r>
          </w:p>
        </w:tc>
      </w:tr>
      <w:tr w:rsidR="0080130E" w14:paraId="07088BE1" w14:textId="77777777" w:rsidTr="00552252">
        <w:trPr>
          <w:trHeight w:val="514"/>
        </w:trPr>
        <w:tc>
          <w:tcPr>
            <w:tcW w:w="5247" w:type="dxa"/>
          </w:tcPr>
          <w:p w14:paraId="7AB60DA6" w14:textId="77777777" w:rsidR="0080130E" w:rsidRDefault="0080130E" w:rsidP="00552252">
            <w:r w:rsidRPr="12DBDAA0">
              <w:rPr>
                <w:szCs w:val="24"/>
              </w:rPr>
              <w:t>1c) Operator Address</w:t>
            </w:r>
          </w:p>
        </w:tc>
        <w:tc>
          <w:tcPr>
            <w:tcW w:w="4539" w:type="dxa"/>
          </w:tcPr>
          <w:p w14:paraId="3536813B" w14:textId="77777777" w:rsidR="0080130E" w:rsidRDefault="0080130E" w:rsidP="00552252">
            <w:r>
              <w:t>Enter operator address</w:t>
            </w:r>
          </w:p>
        </w:tc>
      </w:tr>
    </w:tbl>
    <w:p w14:paraId="6DEAE93D" w14:textId="77777777" w:rsidR="0080130E" w:rsidRDefault="0080130E" w:rsidP="0080130E">
      <w:pPr>
        <w:pStyle w:val="Heading2"/>
      </w:pPr>
      <w:bookmarkStart w:id="375" w:name="_Toc242885428"/>
      <w:r>
        <w:rPr>
          <w:color w:val="008738"/>
        </w:rPr>
        <w:t>Section 2 –</w:t>
      </w:r>
      <w:r>
        <w:rPr>
          <w:color w:val="008738"/>
          <w:spacing w:val="-5"/>
        </w:rPr>
        <w:t xml:space="preserve"> </w:t>
      </w:r>
      <w:r>
        <w:rPr>
          <w:color w:val="008738"/>
        </w:rPr>
        <w:t>Facility Profile</w:t>
      </w:r>
      <w:bookmarkEnd w:id="375"/>
    </w:p>
    <w:p w14:paraId="6802B355" w14:textId="77777777" w:rsidR="0080130E" w:rsidRDefault="0080130E" w:rsidP="0080130E">
      <w:pPr>
        <w:pStyle w:val="Heading3"/>
        <w:numPr>
          <w:ilvl w:val="0"/>
          <w:numId w:val="213"/>
        </w:numPr>
        <w:ind w:left="720"/>
        <w:rPr>
          <w:b w:val="0"/>
        </w:rPr>
      </w:pPr>
      <w:r w:rsidRPr="00E223A4">
        <w:t>Facility</w:t>
      </w:r>
    </w:p>
    <w:tbl>
      <w:tblPr>
        <w:tblStyle w:val="TableGridLight"/>
        <w:tblW w:w="9786" w:type="dxa"/>
        <w:tblLook w:val="0020" w:firstRow="1" w:lastRow="0" w:firstColumn="0" w:lastColumn="0" w:noHBand="0" w:noVBand="0"/>
      </w:tblPr>
      <w:tblGrid>
        <w:gridCol w:w="5247"/>
        <w:gridCol w:w="4539"/>
      </w:tblGrid>
      <w:tr w:rsidR="0080130E" w14:paraId="03D520B3" w14:textId="77777777" w:rsidTr="00552252">
        <w:trPr>
          <w:trHeight w:val="514"/>
        </w:trPr>
        <w:tc>
          <w:tcPr>
            <w:tcW w:w="5247" w:type="dxa"/>
          </w:tcPr>
          <w:p w14:paraId="4AA6AC8E" w14:textId="77777777" w:rsidR="0080130E" w:rsidRDefault="0080130E" w:rsidP="00552252">
            <w:r>
              <w:t xml:space="preserve">2a) Site Name </w:t>
            </w:r>
          </w:p>
        </w:tc>
        <w:tc>
          <w:tcPr>
            <w:tcW w:w="4539" w:type="dxa"/>
          </w:tcPr>
          <w:p w14:paraId="773693E8" w14:textId="77777777" w:rsidR="0080130E" w:rsidRDefault="0080130E" w:rsidP="00552252">
            <w:r>
              <w:t xml:space="preserve">Enter site name </w:t>
            </w:r>
          </w:p>
        </w:tc>
      </w:tr>
      <w:tr w:rsidR="0080130E" w14:paraId="2DDD41B7" w14:textId="77777777" w:rsidTr="00552252">
        <w:trPr>
          <w:trHeight w:val="516"/>
        </w:trPr>
        <w:tc>
          <w:tcPr>
            <w:tcW w:w="5247" w:type="dxa"/>
          </w:tcPr>
          <w:p w14:paraId="2254186B" w14:textId="77777777" w:rsidR="0080130E" w:rsidRDefault="0080130E" w:rsidP="00552252">
            <w:r>
              <w:t xml:space="preserve">2b) Facility Address </w:t>
            </w:r>
          </w:p>
        </w:tc>
        <w:tc>
          <w:tcPr>
            <w:tcW w:w="4539" w:type="dxa"/>
          </w:tcPr>
          <w:p w14:paraId="0F398CDA" w14:textId="77777777" w:rsidR="0080130E" w:rsidRDefault="0080130E" w:rsidP="00552252">
            <w:r>
              <w:t xml:space="preserve">Enter facility address </w:t>
            </w:r>
          </w:p>
        </w:tc>
      </w:tr>
      <w:tr w:rsidR="0080130E" w14:paraId="331F3405" w14:textId="77777777" w:rsidTr="00552252">
        <w:trPr>
          <w:trHeight w:val="514"/>
        </w:trPr>
        <w:tc>
          <w:tcPr>
            <w:tcW w:w="5247" w:type="dxa"/>
          </w:tcPr>
          <w:p w14:paraId="1C2EDE01" w14:textId="77777777" w:rsidR="0080130E" w:rsidRDefault="0080130E" w:rsidP="00552252">
            <w:r>
              <w:t xml:space="preserve">2c) Facility Postcode </w:t>
            </w:r>
          </w:p>
        </w:tc>
        <w:tc>
          <w:tcPr>
            <w:tcW w:w="4539" w:type="dxa"/>
          </w:tcPr>
          <w:p w14:paraId="4D077BA4" w14:textId="77777777" w:rsidR="0080130E" w:rsidRDefault="0080130E" w:rsidP="00552252">
            <w:r>
              <w:t xml:space="preserve">Enter facility postcode </w:t>
            </w:r>
          </w:p>
        </w:tc>
      </w:tr>
      <w:tr w:rsidR="0080130E" w14:paraId="23141190" w14:textId="77777777" w:rsidTr="00552252">
        <w:trPr>
          <w:trHeight w:val="518"/>
        </w:trPr>
        <w:tc>
          <w:tcPr>
            <w:tcW w:w="5247" w:type="dxa"/>
          </w:tcPr>
          <w:p w14:paraId="4F1B7DCE" w14:textId="77777777" w:rsidR="0080130E" w:rsidRDefault="0080130E" w:rsidP="00552252">
            <w:r>
              <w:t xml:space="preserve">2d) Facilities Contact </w:t>
            </w:r>
          </w:p>
        </w:tc>
        <w:tc>
          <w:tcPr>
            <w:tcW w:w="4539" w:type="dxa"/>
          </w:tcPr>
          <w:p w14:paraId="6CB62771" w14:textId="77777777" w:rsidR="0080130E" w:rsidRDefault="0080130E" w:rsidP="00552252">
            <w:r>
              <w:t xml:space="preserve">Enter contact name </w:t>
            </w:r>
          </w:p>
        </w:tc>
      </w:tr>
      <w:tr w:rsidR="0080130E" w14:paraId="5959993D" w14:textId="77777777" w:rsidTr="00552252">
        <w:trPr>
          <w:trHeight w:val="514"/>
        </w:trPr>
        <w:tc>
          <w:tcPr>
            <w:tcW w:w="5247" w:type="dxa"/>
          </w:tcPr>
          <w:p w14:paraId="53F2905C" w14:textId="77777777" w:rsidR="0080130E" w:rsidRDefault="0080130E" w:rsidP="00552252">
            <w:r>
              <w:t xml:space="preserve">2e) Facilities Contact email address </w:t>
            </w:r>
          </w:p>
        </w:tc>
        <w:tc>
          <w:tcPr>
            <w:tcW w:w="4539" w:type="dxa"/>
          </w:tcPr>
          <w:p w14:paraId="1B990B77" w14:textId="77777777" w:rsidR="0080130E" w:rsidRDefault="0080130E" w:rsidP="00552252">
            <w:r>
              <w:t xml:space="preserve">Enter contact email address </w:t>
            </w:r>
          </w:p>
        </w:tc>
      </w:tr>
      <w:tr w:rsidR="0080130E" w14:paraId="60E29995" w14:textId="77777777" w:rsidTr="00552252">
        <w:trPr>
          <w:trHeight w:val="516"/>
        </w:trPr>
        <w:tc>
          <w:tcPr>
            <w:tcW w:w="5247" w:type="dxa"/>
          </w:tcPr>
          <w:p w14:paraId="5D589E29" w14:textId="77777777" w:rsidR="0080130E" w:rsidRDefault="0080130E" w:rsidP="00552252">
            <w:r>
              <w:t>2f) Facilities Contact address</w:t>
            </w:r>
          </w:p>
        </w:tc>
        <w:tc>
          <w:tcPr>
            <w:tcW w:w="4539" w:type="dxa"/>
          </w:tcPr>
          <w:p w14:paraId="2BB88567" w14:textId="77777777" w:rsidR="0080130E" w:rsidRDefault="0080130E" w:rsidP="00552252">
            <w:r>
              <w:t>Enter contact address</w:t>
            </w:r>
          </w:p>
        </w:tc>
      </w:tr>
      <w:tr w:rsidR="0080130E" w14:paraId="61D4FD10" w14:textId="77777777" w:rsidTr="00552252">
        <w:trPr>
          <w:trHeight w:val="516"/>
        </w:trPr>
        <w:tc>
          <w:tcPr>
            <w:tcW w:w="5247" w:type="dxa"/>
          </w:tcPr>
          <w:p w14:paraId="702AC8CF" w14:textId="77777777" w:rsidR="0080130E" w:rsidRDefault="0080130E" w:rsidP="00552252">
            <w:r>
              <w:t xml:space="preserve">2g) Facilities Contact phone number </w:t>
            </w:r>
          </w:p>
        </w:tc>
        <w:tc>
          <w:tcPr>
            <w:tcW w:w="4539" w:type="dxa"/>
          </w:tcPr>
          <w:p w14:paraId="3466ABAE" w14:textId="77777777" w:rsidR="0080130E" w:rsidRDefault="0080130E" w:rsidP="00552252">
            <w:r>
              <w:t xml:space="preserve">Enter contact phone number </w:t>
            </w:r>
          </w:p>
        </w:tc>
      </w:tr>
      <w:tr w:rsidR="0080130E" w14:paraId="27D8F74D" w14:textId="77777777" w:rsidTr="00552252">
        <w:trPr>
          <w:trHeight w:val="516"/>
        </w:trPr>
        <w:tc>
          <w:tcPr>
            <w:tcW w:w="5247" w:type="dxa"/>
          </w:tcPr>
          <w:p w14:paraId="42FD3A43" w14:textId="77777777" w:rsidR="0080130E" w:rsidRDefault="0080130E" w:rsidP="00552252">
            <w:r>
              <w:t xml:space="preserve">2h) Consultant Name (where applicable) </w:t>
            </w:r>
          </w:p>
        </w:tc>
        <w:tc>
          <w:tcPr>
            <w:tcW w:w="4539" w:type="dxa"/>
          </w:tcPr>
          <w:p w14:paraId="07B0E1F4" w14:textId="77777777" w:rsidR="0080130E" w:rsidRDefault="0080130E" w:rsidP="00552252">
            <w:r>
              <w:t xml:space="preserve">Enter consultant name (where applicable) </w:t>
            </w:r>
          </w:p>
        </w:tc>
      </w:tr>
      <w:tr w:rsidR="0080130E" w14:paraId="49F6A6A0" w14:textId="77777777" w:rsidTr="00552252">
        <w:trPr>
          <w:trHeight w:val="768"/>
        </w:trPr>
        <w:tc>
          <w:tcPr>
            <w:tcW w:w="5247" w:type="dxa"/>
          </w:tcPr>
          <w:p w14:paraId="49941E83" w14:textId="77777777" w:rsidR="0080130E" w:rsidRDefault="0080130E" w:rsidP="00552252">
            <w:r>
              <w:t xml:space="preserve">2i) Consultant Company (where applicable) </w:t>
            </w:r>
          </w:p>
        </w:tc>
        <w:tc>
          <w:tcPr>
            <w:tcW w:w="4539" w:type="dxa"/>
          </w:tcPr>
          <w:p w14:paraId="526363C0" w14:textId="77777777" w:rsidR="0080130E" w:rsidRDefault="0080130E" w:rsidP="00552252">
            <w:r>
              <w:t xml:space="preserve">Enter consultant company name (where applicable) </w:t>
            </w:r>
          </w:p>
        </w:tc>
      </w:tr>
      <w:tr w:rsidR="0080130E" w14:paraId="61E42FF1" w14:textId="77777777" w:rsidTr="00552252">
        <w:trPr>
          <w:trHeight w:val="768"/>
        </w:trPr>
        <w:tc>
          <w:tcPr>
            <w:tcW w:w="5247" w:type="dxa"/>
          </w:tcPr>
          <w:p w14:paraId="166314DB" w14:textId="77777777" w:rsidR="0080130E" w:rsidRDefault="0080130E" w:rsidP="00552252">
            <w:r>
              <w:t xml:space="preserve">2j) Consultant email address (where applicable) </w:t>
            </w:r>
          </w:p>
        </w:tc>
        <w:tc>
          <w:tcPr>
            <w:tcW w:w="4539" w:type="dxa"/>
          </w:tcPr>
          <w:p w14:paraId="7223C908" w14:textId="77777777" w:rsidR="0080130E" w:rsidRDefault="0080130E" w:rsidP="00552252">
            <w:r>
              <w:t xml:space="preserve">Enter consultant email address (where applicable) </w:t>
            </w:r>
          </w:p>
        </w:tc>
      </w:tr>
      <w:tr w:rsidR="0080130E" w14:paraId="0F9AE1D5" w14:textId="77777777" w:rsidTr="00552252">
        <w:trPr>
          <w:trHeight w:val="766"/>
        </w:trPr>
        <w:tc>
          <w:tcPr>
            <w:tcW w:w="5247" w:type="dxa"/>
          </w:tcPr>
          <w:p w14:paraId="0A100A18" w14:textId="77777777" w:rsidR="0080130E" w:rsidRDefault="0080130E" w:rsidP="00552252">
            <w:r>
              <w:t xml:space="preserve">2k) Consultant phone number (where applicable) </w:t>
            </w:r>
          </w:p>
        </w:tc>
        <w:tc>
          <w:tcPr>
            <w:tcW w:w="4539" w:type="dxa"/>
          </w:tcPr>
          <w:p w14:paraId="245FF085" w14:textId="77777777" w:rsidR="0080130E" w:rsidRDefault="0080130E" w:rsidP="00552252">
            <w:r>
              <w:t xml:space="preserve">Enter consultant phone number (where applicable) </w:t>
            </w:r>
          </w:p>
        </w:tc>
      </w:tr>
    </w:tbl>
    <w:p w14:paraId="43D64EBE" w14:textId="77777777" w:rsidR="0080130E" w:rsidRDefault="0080130E" w:rsidP="0080130E">
      <w:pPr>
        <w:pStyle w:val="Heading3"/>
      </w:pPr>
      <w:bookmarkStart w:id="376" w:name="_Toc228271317"/>
      <w:r>
        <w:lastRenderedPageBreak/>
        <w:t>3) Related agreements</w:t>
      </w:r>
      <w:bookmarkEnd w:id="376"/>
    </w:p>
    <w:tbl>
      <w:tblPr>
        <w:tblStyle w:val="TableGridLight"/>
        <w:tblW w:w="9786" w:type="dxa"/>
        <w:tblLook w:val="0020" w:firstRow="1" w:lastRow="0" w:firstColumn="0" w:lastColumn="0" w:noHBand="0" w:noVBand="0"/>
      </w:tblPr>
      <w:tblGrid>
        <w:gridCol w:w="5247"/>
        <w:gridCol w:w="4539"/>
      </w:tblGrid>
      <w:tr w:rsidR="0080130E" w14:paraId="59764B64" w14:textId="77777777" w:rsidTr="00552252">
        <w:trPr>
          <w:trHeight w:val="768"/>
        </w:trPr>
        <w:tc>
          <w:tcPr>
            <w:tcW w:w="5247" w:type="dxa"/>
          </w:tcPr>
          <w:p w14:paraId="0F97A8DE" w14:textId="77777777" w:rsidR="0080130E" w:rsidRDefault="0080130E" w:rsidP="00552252">
            <w:pPr>
              <w:tabs>
                <w:tab w:val="left" w:pos="0"/>
              </w:tabs>
              <w:spacing w:after="0" w:line="256" w:lineRule="auto"/>
              <w:jc w:val="both"/>
              <w:rPr>
                <w:color w:val="auto"/>
              </w:rPr>
            </w:pPr>
            <w:r>
              <w:rPr>
                <w:color w:val="auto"/>
              </w:rPr>
              <w:t xml:space="preserve">3a) Is the facility adjacent to or connected to an existing CCA facility? </w:t>
            </w:r>
          </w:p>
        </w:tc>
        <w:tc>
          <w:tcPr>
            <w:tcW w:w="4539" w:type="dxa"/>
          </w:tcPr>
          <w:p w14:paraId="4835F7F5" w14:textId="77777777" w:rsidR="0080130E" w:rsidRDefault="0080130E" w:rsidP="00552252">
            <w:pPr>
              <w:tabs>
                <w:tab w:val="left" w:pos="0"/>
              </w:tabs>
              <w:spacing w:after="0" w:line="256" w:lineRule="auto"/>
              <w:rPr>
                <w:color w:val="auto"/>
              </w:rPr>
            </w:pPr>
            <w:r>
              <w:rPr>
                <w:color w:val="auto"/>
              </w:rPr>
              <w:t xml:space="preserve">Yes/No </w:t>
            </w:r>
          </w:p>
        </w:tc>
      </w:tr>
      <w:tr w:rsidR="0080130E" w14:paraId="0FFB959B" w14:textId="77777777" w:rsidTr="00552252">
        <w:trPr>
          <w:trHeight w:val="516"/>
        </w:trPr>
        <w:tc>
          <w:tcPr>
            <w:tcW w:w="5247" w:type="dxa"/>
          </w:tcPr>
          <w:p w14:paraId="2A372FEB" w14:textId="77777777" w:rsidR="0080130E" w:rsidRDefault="0080130E" w:rsidP="00552252">
            <w:pPr>
              <w:tabs>
                <w:tab w:val="left" w:pos="0"/>
              </w:tabs>
              <w:spacing w:after="0" w:line="256" w:lineRule="auto"/>
              <w:rPr>
                <w:color w:val="auto"/>
              </w:rPr>
            </w:pPr>
            <w:r>
              <w:rPr>
                <w:color w:val="auto"/>
              </w:rPr>
              <w:t xml:space="preserve">3b) Connected Facility Number </w:t>
            </w:r>
          </w:p>
        </w:tc>
        <w:tc>
          <w:tcPr>
            <w:tcW w:w="4539" w:type="dxa"/>
          </w:tcPr>
          <w:p w14:paraId="22361620" w14:textId="0850CF72" w:rsidR="0080130E" w:rsidRDefault="0080130E" w:rsidP="00552252">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w:t>
            </w:r>
            <w:r w:rsidR="00020E70">
              <w:rPr>
                <w:color w:val="auto"/>
              </w:rPr>
              <w:t>3</w:t>
            </w:r>
            <w:r>
              <w:rPr>
                <w:color w:val="auto"/>
              </w:rPr>
              <w:t xml:space="preserve">a - Supply </w:t>
            </w:r>
          </w:p>
        </w:tc>
      </w:tr>
    </w:tbl>
    <w:p w14:paraId="41A715D4" w14:textId="77777777" w:rsidR="0080130E" w:rsidRDefault="0080130E" w:rsidP="0080130E">
      <w:pPr>
        <w:pStyle w:val="Heading3"/>
      </w:pPr>
      <w:bookmarkStart w:id="377" w:name="_Toc228271318"/>
      <w:r>
        <w:t>4) Previous agreements</w:t>
      </w:r>
      <w:bookmarkEnd w:id="377"/>
    </w:p>
    <w:tbl>
      <w:tblPr>
        <w:tblStyle w:val="TableGridLight"/>
        <w:tblW w:w="9786" w:type="dxa"/>
        <w:tblLook w:val="0020" w:firstRow="1" w:lastRow="0" w:firstColumn="0" w:lastColumn="0" w:noHBand="0" w:noVBand="0"/>
      </w:tblPr>
      <w:tblGrid>
        <w:gridCol w:w="5247"/>
        <w:gridCol w:w="4539"/>
      </w:tblGrid>
      <w:tr w:rsidR="0080130E" w14:paraId="73AE0095" w14:textId="77777777" w:rsidTr="00552252">
        <w:trPr>
          <w:trHeight w:val="769"/>
        </w:trPr>
        <w:tc>
          <w:tcPr>
            <w:tcW w:w="5247" w:type="dxa"/>
          </w:tcPr>
          <w:p w14:paraId="41FD3A89" w14:textId="77777777" w:rsidR="0080130E" w:rsidRDefault="0080130E" w:rsidP="00552252">
            <w:pPr>
              <w:tabs>
                <w:tab w:val="left" w:pos="0"/>
              </w:tabs>
              <w:spacing w:after="0" w:line="256" w:lineRule="auto"/>
              <w:rPr>
                <w:color w:val="auto"/>
              </w:rPr>
            </w:pPr>
            <w:r>
              <w:rPr>
                <w:color w:val="auto"/>
              </w:rPr>
              <w:t xml:space="preserve">4a) Has any part of the facility been previously covered by a CCA? </w:t>
            </w:r>
          </w:p>
        </w:tc>
        <w:tc>
          <w:tcPr>
            <w:tcW w:w="4539" w:type="dxa"/>
          </w:tcPr>
          <w:p w14:paraId="2ABB6F6A" w14:textId="77777777" w:rsidR="0080130E" w:rsidRDefault="0080130E" w:rsidP="00552252">
            <w:pPr>
              <w:tabs>
                <w:tab w:val="left" w:pos="0"/>
              </w:tabs>
              <w:spacing w:after="0" w:line="256" w:lineRule="auto"/>
              <w:rPr>
                <w:color w:val="auto"/>
              </w:rPr>
            </w:pPr>
            <w:r>
              <w:rPr>
                <w:color w:val="auto"/>
              </w:rPr>
              <w:t xml:space="preserve">Yes/No </w:t>
            </w:r>
          </w:p>
        </w:tc>
      </w:tr>
      <w:tr w:rsidR="0080130E" w14:paraId="5D353856" w14:textId="77777777" w:rsidTr="00552252">
        <w:trPr>
          <w:trHeight w:val="770"/>
        </w:trPr>
        <w:tc>
          <w:tcPr>
            <w:tcW w:w="5247" w:type="dxa"/>
          </w:tcPr>
          <w:p w14:paraId="7559547A" w14:textId="77777777" w:rsidR="0080130E" w:rsidRDefault="0080130E" w:rsidP="00552252">
            <w:pPr>
              <w:tabs>
                <w:tab w:val="left" w:pos="0"/>
              </w:tabs>
              <w:spacing w:after="0" w:line="256" w:lineRule="auto"/>
              <w:rPr>
                <w:color w:val="auto"/>
              </w:rPr>
            </w:pPr>
            <w:r>
              <w:rPr>
                <w:color w:val="auto"/>
              </w:rPr>
              <w:t xml:space="preserve">4b) Has the facility recently had a change in ownership? </w:t>
            </w:r>
          </w:p>
        </w:tc>
        <w:tc>
          <w:tcPr>
            <w:tcW w:w="4539" w:type="dxa"/>
          </w:tcPr>
          <w:p w14:paraId="7F0AD25D" w14:textId="1A02FD4A" w:rsidR="0080130E" w:rsidRDefault="0080130E" w:rsidP="00552252">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w:t>
            </w:r>
            <w:r w:rsidR="00653DE7">
              <w:rPr>
                <w:color w:val="auto"/>
              </w:rPr>
              <w:t>4</w:t>
            </w:r>
            <w:r>
              <w:rPr>
                <w:color w:val="auto"/>
              </w:rPr>
              <w:t xml:space="preserve">a - Supply </w:t>
            </w:r>
          </w:p>
        </w:tc>
      </w:tr>
      <w:tr w:rsidR="0080130E" w14:paraId="0AC38AFA" w14:textId="77777777" w:rsidTr="00552252">
        <w:trPr>
          <w:trHeight w:val="516"/>
        </w:trPr>
        <w:tc>
          <w:tcPr>
            <w:tcW w:w="5247" w:type="dxa"/>
          </w:tcPr>
          <w:p w14:paraId="5DBF3380" w14:textId="77777777" w:rsidR="0080130E" w:rsidRDefault="0080130E" w:rsidP="00552252">
            <w:pPr>
              <w:tabs>
                <w:tab w:val="left" w:pos="0"/>
              </w:tabs>
              <w:spacing w:after="0" w:line="256" w:lineRule="auto"/>
              <w:rPr>
                <w:color w:val="auto"/>
              </w:rPr>
            </w:pPr>
            <w:r>
              <w:rPr>
                <w:color w:val="auto"/>
              </w:rPr>
              <w:t xml:space="preserve">4c) Previous Facility Number </w:t>
            </w:r>
          </w:p>
        </w:tc>
        <w:tc>
          <w:tcPr>
            <w:tcW w:w="4539" w:type="dxa"/>
          </w:tcPr>
          <w:p w14:paraId="0B27A3CC" w14:textId="6F7BED8D" w:rsidR="0080130E" w:rsidRDefault="0080130E" w:rsidP="00552252">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w:t>
            </w:r>
            <w:r w:rsidR="00653DE7">
              <w:rPr>
                <w:color w:val="auto"/>
              </w:rPr>
              <w:t>4</w:t>
            </w:r>
            <w:r>
              <w:rPr>
                <w:color w:val="auto"/>
              </w:rPr>
              <w:t xml:space="preserve">a and </w:t>
            </w:r>
            <w:r w:rsidR="00653DE7">
              <w:rPr>
                <w:color w:val="auto"/>
              </w:rPr>
              <w:t>4</w:t>
            </w:r>
            <w:r>
              <w:rPr>
                <w:color w:val="auto"/>
              </w:rPr>
              <w:t xml:space="preserve">b - Supply </w:t>
            </w:r>
          </w:p>
        </w:tc>
      </w:tr>
      <w:tr w:rsidR="0080130E" w14:paraId="76320175" w14:textId="77777777" w:rsidTr="00552252">
        <w:trPr>
          <w:trHeight w:val="768"/>
        </w:trPr>
        <w:tc>
          <w:tcPr>
            <w:tcW w:w="5247" w:type="dxa"/>
          </w:tcPr>
          <w:p w14:paraId="0AB73F56" w14:textId="77777777" w:rsidR="0080130E" w:rsidRDefault="0080130E" w:rsidP="00552252">
            <w:pPr>
              <w:tabs>
                <w:tab w:val="left" w:pos="0"/>
              </w:tabs>
              <w:spacing w:after="0" w:line="256" w:lineRule="auto"/>
              <w:rPr>
                <w:color w:val="auto"/>
              </w:rPr>
            </w:pPr>
            <w:r>
              <w:rPr>
                <w:color w:val="auto"/>
              </w:rPr>
              <w:t xml:space="preserve">4d) Has any part of the facility been covered by a CCA that has previously been terminated? </w:t>
            </w:r>
          </w:p>
        </w:tc>
        <w:tc>
          <w:tcPr>
            <w:tcW w:w="4539" w:type="dxa"/>
          </w:tcPr>
          <w:p w14:paraId="330587A8" w14:textId="77777777" w:rsidR="0080130E" w:rsidRDefault="0080130E" w:rsidP="00552252">
            <w:pPr>
              <w:tabs>
                <w:tab w:val="left" w:pos="0"/>
              </w:tabs>
              <w:spacing w:after="0" w:line="256" w:lineRule="auto"/>
              <w:rPr>
                <w:color w:val="auto"/>
              </w:rPr>
            </w:pPr>
            <w:r>
              <w:rPr>
                <w:color w:val="auto"/>
              </w:rPr>
              <w:t xml:space="preserve">Yes/No </w:t>
            </w:r>
          </w:p>
        </w:tc>
      </w:tr>
      <w:tr w:rsidR="0080130E" w14:paraId="1FA5107F" w14:textId="77777777" w:rsidTr="00552252">
        <w:trPr>
          <w:trHeight w:val="514"/>
        </w:trPr>
        <w:tc>
          <w:tcPr>
            <w:tcW w:w="5247" w:type="dxa"/>
          </w:tcPr>
          <w:p w14:paraId="776EE601" w14:textId="77777777" w:rsidR="0080130E" w:rsidRDefault="0080130E" w:rsidP="00552252">
            <w:pPr>
              <w:tabs>
                <w:tab w:val="left" w:pos="0"/>
              </w:tabs>
              <w:spacing w:after="0" w:line="256" w:lineRule="auto"/>
              <w:rPr>
                <w:color w:val="auto"/>
              </w:rPr>
            </w:pPr>
            <w:r>
              <w:rPr>
                <w:color w:val="auto"/>
              </w:rPr>
              <w:t xml:space="preserve">4e) Previous Facility Number </w:t>
            </w:r>
          </w:p>
        </w:tc>
        <w:tc>
          <w:tcPr>
            <w:tcW w:w="4539" w:type="dxa"/>
          </w:tcPr>
          <w:p w14:paraId="747AA1FB" w14:textId="00552706" w:rsidR="0080130E" w:rsidRDefault="0080130E" w:rsidP="00552252">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w:t>
            </w:r>
            <w:r w:rsidR="00653DE7">
              <w:rPr>
                <w:color w:val="auto"/>
              </w:rPr>
              <w:t>4</w:t>
            </w:r>
            <w:r>
              <w:rPr>
                <w:color w:val="auto"/>
              </w:rPr>
              <w:t xml:space="preserve">d - Supply </w:t>
            </w:r>
          </w:p>
        </w:tc>
      </w:tr>
      <w:tr w:rsidR="0080130E" w14:paraId="0F8A26AA" w14:textId="77777777" w:rsidTr="00552252">
        <w:trPr>
          <w:trHeight w:val="516"/>
        </w:trPr>
        <w:tc>
          <w:tcPr>
            <w:tcW w:w="5247" w:type="dxa"/>
          </w:tcPr>
          <w:p w14:paraId="1A76AAC9" w14:textId="77777777" w:rsidR="0080130E" w:rsidRDefault="0080130E" w:rsidP="00552252">
            <w:pPr>
              <w:tabs>
                <w:tab w:val="left" w:pos="0"/>
              </w:tabs>
              <w:spacing w:after="0" w:line="256" w:lineRule="auto"/>
              <w:rPr>
                <w:color w:val="auto"/>
              </w:rPr>
            </w:pPr>
            <w:r>
              <w:rPr>
                <w:color w:val="auto"/>
              </w:rPr>
              <w:t xml:space="preserve">4f) Date agreement commenced </w:t>
            </w:r>
          </w:p>
        </w:tc>
        <w:tc>
          <w:tcPr>
            <w:tcW w:w="4539" w:type="dxa"/>
          </w:tcPr>
          <w:p w14:paraId="5582A1E8" w14:textId="2BF7C3C7" w:rsidR="0080130E" w:rsidRDefault="0080130E" w:rsidP="00552252">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w:t>
            </w:r>
            <w:r w:rsidR="00653DE7">
              <w:rPr>
                <w:color w:val="auto"/>
              </w:rPr>
              <w:t>4</w:t>
            </w:r>
            <w:r>
              <w:rPr>
                <w:color w:val="auto"/>
              </w:rPr>
              <w:t xml:space="preserve">d - Supply Day/Month/Year </w:t>
            </w:r>
          </w:p>
        </w:tc>
      </w:tr>
      <w:tr w:rsidR="0080130E" w14:paraId="53853A6E" w14:textId="77777777" w:rsidTr="00552252">
        <w:trPr>
          <w:trHeight w:val="516"/>
        </w:trPr>
        <w:tc>
          <w:tcPr>
            <w:tcW w:w="5247" w:type="dxa"/>
          </w:tcPr>
          <w:p w14:paraId="41F9F205" w14:textId="77777777" w:rsidR="0080130E" w:rsidRDefault="0080130E" w:rsidP="00552252">
            <w:pPr>
              <w:tabs>
                <w:tab w:val="left" w:pos="0"/>
              </w:tabs>
              <w:spacing w:after="0" w:line="256" w:lineRule="auto"/>
              <w:rPr>
                <w:color w:val="auto"/>
              </w:rPr>
            </w:pPr>
            <w:r>
              <w:rPr>
                <w:color w:val="auto"/>
              </w:rPr>
              <w:t xml:space="preserve">4g) Date agreement was terminated (If applicable) </w:t>
            </w:r>
          </w:p>
        </w:tc>
        <w:tc>
          <w:tcPr>
            <w:tcW w:w="4539" w:type="dxa"/>
          </w:tcPr>
          <w:p w14:paraId="2CC66E61" w14:textId="1F8619F7" w:rsidR="0080130E" w:rsidRDefault="0080130E" w:rsidP="00552252">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w:t>
            </w:r>
            <w:r w:rsidR="00653DE7">
              <w:rPr>
                <w:color w:val="auto"/>
              </w:rPr>
              <w:t>4</w:t>
            </w:r>
            <w:r>
              <w:rPr>
                <w:color w:val="auto"/>
              </w:rPr>
              <w:t xml:space="preserve">d - Supply Day/Month/Year </w:t>
            </w:r>
          </w:p>
        </w:tc>
      </w:tr>
      <w:tr w:rsidR="0080130E" w14:paraId="3BEF760F" w14:textId="77777777" w:rsidTr="00552252">
        <w:trPr>
          <w:trHeight w:val="514"/>
        </w:trPr>
        <w:tc>
          <w:tcPr>
            <w:tcW w:w="5247" w:type="dxa"/>
          </w:tcPr>
          <w:p w14:paraId="391F7AD5" w14:textId="77777777" w:rsidR="0080130E" w:rsidRDefault="0080130E" w:rsidP="00552252">
            <w:pPr>
              <w:tabs>
                <w:tab w:val="left" w:pos="0"/>
              </w:tabs>
              <w:spacing w:after="0" w:line="256" w:lineRule="auto"/>
              <w:rPr>
                <w:color w:val="auto"/>
              </w:rPr>
            </w:pPr>
            <w:r>
              <w:rPr>
                <w:color w:val="auto"/>
              </w:rPr>
              <w:t xml:space="preserve">4h) Reason for termination </w:t>
            </w:r>
          </w:p>
        </w:tc>
        <w:tc>
          <w:tcPr>
            <w:tcW w:w="4539" w:type="dxa"/>
          </w:tcPr>
          <w:p w14:paraId="07B8144D" w14:textId="46C91506" w:rsidR="0080130E" w:rsidRDefault="0080130E" w:rsidP="00552252">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w:t>
            </w:r>
            <w:r w:rsidR="00653DE7">
              <w:rPr>
                <w:color w:val="auto"/>
              </w:rPr>
              <w:t>4</w:t>
            </w:r>
            <w:r>
              <w:rPr>
                <w:color w:val="auto"/>
              </w:rPr>
              <w:t xml:space="preserve">d - Supply </w:t>
            </w:r>
          </w:p>
        </w:tc>
      </w:tr>
    </w:tbl>
    <w:p w14:paraId="6C90FE1B" w14:textId="77777777" w:rsidR="0080130E" w:rsidRDefault="0080130E" w:rsidP="0080130E">
      <w:pPr>
        <w:pStyle w:val="Heading3"/>
      </w:pPr>
      <w:bookmarkStart w:id="378" w:name="_Toc228271319"/>
      <w:r>
        <w:t>5) UK emissions trading scheme (UK ETS) coverage</w:t>
      </w:r>
      <w:bookmarkEnd w:id="378"/>
    </w:p>
    <w:tbl>
      <w:tblPr>
        <w:tblStyle w:val="TableGridLight"/>
        <w:tblW w:w="9786" w:type="dxa"/>
        <w:tblLook w:val="0020" w:firstRow="1" w:lastRow="0" w:firstColumn="0" w:lastColumn="0" w:noHBand="0" w:noVBand="0"/>
      </w:tblPr>
      <w:tblGrid>
        <w:gridCol w:w="5247"/>
        <w:gridCol w:w="4539"/>
      </w:tblGrid>
      <w:tr w:rsidR="0080130E" w14:paraId="2C55425F" w14:textId="77777777" w:rsidTr="00552252">
        <w:trPr>
          <w:trHeight w:val="514"/>
        </w:trPr>
        <w:tc>
          <w:tcPr>
            <w:tcW w:w="5247" w:type="dxa"/>
          </w:tcPr>
          <w:p w14:paraId="117137CA" w14:textId="608C1DD7" w:rsidR="0080130E" w:rsidRDefault="00653DE7" w:rsidP="00552252">
            <w:pPr>
              <w:tabs>
                <w:tab w:val="left" w:pos="0"/>
              </w:tabs>
              <w:spacing w:after="0" w:line="256" w:lineRule="auto"/>
              <w:rPr>
                <w:color w:val="auto"/>
              </w:rPr>
            </w:pPr>
            <w:r>
              <w:rPr>
                <w:color w:val="auto"/>
              </w:rPr>
              <w:t>5</w:t>
            </w:r>
            <w:r w:rsidR="0080130E">
              <w:rPr>
                <w:color w:val="auto"/>
              </w:rPr>
              <w:t xml:space="preserve">a) Is the facility covered by the UK ETS? </w:t>
            </w:r>
          </w:p>
        </w:tc>
        <w:tc>
          <w:tcPr>
            <w:tcW w:w="4539" w:type="dxa"/>
          </w:tcPr>
          <w:p w14:paraId="3F75FC1A" w14:textId="77777777" w:rsidR="0080130E" w:rsidRDefault="0080130E" w:rsidP="00552252">
            <w:pPr>
              <w:tabs>
                <w:tab w:val="left" w:pos="0"/>
              </w:tabs>
              <w:spacing w:after="0" w:line="256" w:lineRule="auto"/>
              <w:rPr>
                <w:color w:val="auto"/>
              </w:rPr>
            </w:pPr>
            <w:r>
              <w:rPr>
                <w:color w:val="auto"/>
              </w:rPr>
              <w:t xml:space="preserve">Yes/No </w:t>
            </w:r>
          </w:p>
        </w:tc>
      </w:tr>
      <w:tr w:rsidR="0080130E" w14:paraId="475A73E6" w14:textId="77777777" w:rsidTr="00552252">
        <w:trPr>
          <w:trHeight w:val="516"/>
        </w:trPr>
        <w:tc>
          <w:tcPr>
            <w:tcW w:w="5247" w:type="dxa"/>
          </w:tcPr>
          <w:p w14:paraId="5DDFF094" w14:textId="6F1C5300" w:rsidR="0080130E" w:rsidRDefault="00653DE7" w:rsidP="00552252">
            <w:pPr>
              <w:tabs>
                <w:tab w:val="left" w:pos="0"/>
              </w:tabs>
              <w:spacing w:after="0" w:line="256" w:lineRule="auto"/>
              <w:rPr>
                <w:color w:val="auto"/>
              </w:rPr>
            </w:pPr>
            <w:r>
              <w:rPr>
                <w:color w:val="auto"/>
              </w:rPr>
              <w:t>5</w:t>
            </w:r>
            <w:r w:rsidR="0080130E">
              <w:rPr>
                <w:color w:val="auto"/>
              </w:rPr>
              <w:t xml:space="preserve">b) UK ETS Number </w:t>
            </w:r>
          </w:p>
        </w:tc>
        <w:tc>
          <w:tcPr>
            <w:tcW w:w="4539" w:type="dxa"/>
          </w:tcPr>
          <w:p w14:paraId="731D5533" w14:textId="1C4C9AE3" w:rsidR="0080130E" w:rsidRDefault="0080130E" w:rsidP="00552252">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w:t>
            </w:r>
            <w:r w:rsidR="00653DE7">
              <w:rPr>
                <w:color w:val="auto"/>
              </w:rPr>
              <w:t>5</w:t>
            </w:r>
            <w:r>
              <w:rPr>
                <w:color w:val="auto"/>
              </w:rPr>
              <w:t xml:space="preserve">a - Supply </w:t>
            </w:r>
          </w:p>
        </w:tc>
      </w:tr>
      <w:tr w:rsidR="0080130E" w14:paraId="4DE0C9E2" w14:textId="77777777" w:rsidTr="00552252">
        <w:trPr>
          <w:trHeight w:val="516"/>
        </w:trPr>
        <w:tc>
          <w:tcPr>
            <w:tcW w:w="5247" w:type="dxa"/>
          </w:tcPr>
          <w:p w14:paraId="741D0775" w14:textId="61E6FDDA" w:rsidR="0080130E" w:rsidRDefault="00653DE7" w:rsidP="00552252">
            <w:pPr>
              <w:tabs>
                <w:tab w:val="left" w:pos="0"/>
              </w:tabs>
              <w:spacing w:after="0" w:line="256" w:lineRule="auto"/>
              <w:rPr>
                <w:color w:val="auto"/>
              </w:rPr>
            </w:pPr>
            <w:r>
              <w:rPr>
                <w:color w:val="auto"/>
              </w:rPr>
              <w:t>5</w:t>
            </w:r>
            <w:r w:rsidR="0080130E">
              <w:rPr>
                <w:color w:val="auto"/>
              </w:rPr>
              <w:t xml:space="preserve">c) Installation Name </w:t>
            </w:r>
          </w:p>
        </w:tc>
        <w:tc>
          <w:tcPr>
            <w:tcW w:w="4539" w:type="dxa"/>
          </w:tcPr>
          <w:p w14:paraId="18B40998" w14:textId="2FA663A2" w:rsidR="0080130E" w:rsidRDefault="0080130E" w:rsidP="00552252">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w:t>
            </w:r>
            <w:r w:rsidR="00653DE7">
              <w:rPr>
                <w:color w:val="auto"/>
              </w:rPr>
              <w:t>5</w:t>
            </w:r>
            <w:r>
              <w:rPr>
                <w:color w:val="auto"/>
              </w:rPr>
              <w:t xml:space="preserve">a - Supply </w:t>
            </w:r>
          </w:p>
        </w:tc>
      </w:tr>
      <w:tr w:rsidR="0080130E" w14:paraId="0994A5A8" w14:textId="77777777" w:rsidTr="00552252">
        <w:trPr>
          <w:trHeight w:val="516"/>
        </w:trPr>
        <w:tc>
          <w:tcPr>
            <w:tcW w:w="5247" w:type="dxa"/>
          </w:tcPr>
          <w:p w14:paraId="43ADCFBF" w14:textId="2637ED3B" w:rsidR="0080130E" w:rsidRDefault="00653DE7" w:rsidP="00552252">
            <w:pPr>
              <w:tabs>
                <w:tab w:val="left" w:pos="0"/>
              </w:tabs>
              <w:spacing w:after="0" w:line="256" w:lineRule="auto"/>
              <w:rPr>
                <w:color w:val="auto"/>
              </w:rPr>
            </w:pPr>
            <w:r>
              <w:rPr>
                <w:color w:val="auto"/>
              </w:rPr>
              <w:t>5</w:t>
            </w:r>
            <w:r w:rsidR="0080130E">
              <w:rPr>
                <w:color w:val="auto"/>
              </w:rPr>
              <w:t xml:space="preserve">d) Installation Postcode </w:t>
            </w:r>
          </w:p>
        </w:tc>
        <w:tc>
          <w:tcPr>
            <w:tcW w:w="4539" w:type="dxa"/>
          </w:tcPr>
          <w:p w14:paraId="7E07BAC2" w14:textId="7119CE1A" w:rsidR="0080130E" w:rsidRDefault="0080130E" w:rsidP="00552252">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w:t>
            </w:r>
            <w:r w:rsidR="00653DE7">
              <w:rPr>
                <w:color w:val="auto"/>
              </w:rPr>
              <w:t>5</w:t>
            </w:r>
            <w:r>
              <w:rPr>
                <w:color w:val="auto"/>
              </w:rPr>
              <w:t xml:space="preserve">a - Supply </w:t>
            </w:r>
          </w:p>
        </w:tc>
      </w:tr>
    </w:tbl>
    <w:p w14:paraId="26A3D734" w14:textId="6BC8D300" w:rsidR="0080130E" w:rsidRDefault="00653DE7" w:rsidP="0080130E">
      <w:pPr>
        <w:pStyle w:val="Heading3"/>
      </w:pPr>
      <w:bookmarkStart w:id="379" w:name="_Toc228271320"/>
      <w:r>
        <w:t>6</w:t>
      </w:r>
      <w:r w:rsidR="0080130E">
        <w:t>) Agreement type</w:t>
      </w:r>
      <w:bookmarkEnd w:id="379"/>
    </w:p>
    <w:tbl>
      <w:tblPr>
        <w:tblStyle w:val="TableGridLight"/>
        <w:tblW w:w="9786" w:type="dxa"/>
        <w:tblLook w:val="0020" w:firstRow="1" w:lastRow="0" w:firstColumn="0" w:lastColumn="0" w:noHBand="0" w:noVBand="0"/>
      </w:tblPr>
      <w:tblGrid>
        <w:gridCol w:w="5247"/>
        <w:gridCol w:w="4539"/>
      </w:tblGrid>
      <w:tr w:rsidR="0080130E" w14:paraId="53DBB2A0" w14:textId="77777777" w:rsidTr="00552252">
        <w:trPr>
          <w:trHeight w:val="768"/>
        </w:trPr>
        <w:tc>
          <w:tcPr>
            <w:tcW w:w="5247" w:type="dxa"/>
          </w:tcPr>
          <w:p w14:paraId="7683B011" w14:textId="3A715DDE" w:rsidR="0080130E" w:rsidRDefault="00653DE7" w:rsidP="00552252">
            <w:pPr>
              <w:tabs>
                <w:tab w:val="left" w:pos="0"/>
              </w:tabs>
              <w:spacing w:after="0" w:line="256" w:lineRule="auto"/>
              <w:rPr>
                <w:color w:val="auto"/>
              </w:rPr>
            </w:pPr>
            <w:r>
              <w:rPr>
                <w:color w:val="auto"/>
              </w:rPr>
              <w:t>6</w:t>
            </w:r>
            <w:r w:rsidR="0080130E">
              <w:rPr>
                <w:color w:val="auto"/>
              </w:rPr>
              <w:t xml:space="preserve">a) Eligible under </w:t>
            </w:r>
          </w:p>
        </w:tc>
        <w:tc>
          <w:tcPr>
            <w:tcW w:w="4539" w:type="dxa"/>
          </w:tcPr>
          <w:p w14:paraId="350675A3" w14:textId="3966971F" w:rsidR="0080130E" w:rsidRDefault="0080130E" w:rsidP="00552252">
            <w:pPr>
              <w:tabs>
                <w:tab w:val="left" w:pos="0"/>
              </w:tabs>
              <w:spacing w:after="0" w:line="256" w:lineRule="auto"/>
              <w:rPr>
                <w:color w:val="auto"/>
              </w:rPr>
            </w:pPr>
            <w:r>
              <w:rPr>
                <w:color w:val="auto"/>
              </w:rPr>
              <w:t>Environmental Permitting Regulations (EPR</w:t>
            </w:r>
            <w:r w:rsidR="004C4096">
              <w:rPr>
                <w:color w:val="auto"/>
              </w:rPr>
              <w:t>)</w:t>
            </w:r>
            <w:r>
              <w:rPr>
                <w:color w:val="auto"/>
              </w:rPr>
              <w:t xml:space="preserve"> or Energy Intensive (EI) </w:t>
            </w:r>
          </w:p>
        </w:tc>
      </w:tr>
    </w:tbl>
    <w:p w14:paraId="2E6077BF" w14:textId="30899FD3" w:rsidR="0080130E" w:rsidRDefault="00653DE7" w:rsidP="0080130E">
      <w:pPr>
        <w:pStyle w:val="Heading3"/>
      </w:pPr>
      <w:bookmarkStart w:id="380" w:name="_Toc228271322"/>
      <w:r>
        <w:lastRenderedPageBreak/>
        <w:t>7</w:t>
      </w:r>
      <w:r w:rsidR="0080130E">
        <w:t>) EPR authorisation – where applicable</w:t>
      </w:r>
      <w:bookmarkEnd w:id="380"/>
    </w:p>
    <w:tbl>
      <w:tblPr>
        <w:tblStyle w:val="TableGridLight"/>
        <w:tblW w:w="9786" w:type="dxa"/>
        <w:tblLook w:val="0020" w:firstRow="1" w:lastRow="0" w:firstColumn="0" w:lastColumn="0" w:noHBand="0" w:noVBand="0"/>
      </w:tblPr>
      <w:tblGrid>
        <w:gridCol w:w="5247"/>
        <w:gridCol w:w="4539"/>
      </w:tblGrid>
      <w:tr w:rsidR="0080130E" w14:paraId="754FA898" w14:textId="77777777" w:rsidTr="00552252">
        <w:trPr>
          <w:trHeight w:val="1023"/>
        </w:trPr>
        <w:tc>
          <w:tcPr>
            <w:tcW w:w="5247" w:type="dxa"/>
          </w:tcPr>
          <w:p w14:paraId="45DEA923" w14:textId="2059D63A" w:rsidR="0080130E" w:rsidRDefault="00653DE7" w:rsidP="00552252">
            <w:pPr>
              <w:tabs>
                <w:tab w:val="left" w:pos="0"/>
              </w:tabs>
              <w:spacing w:after="0" w:line="256" w:lineRule="auto"/>
              <w:rPr>
                <w:color w:val="auto"/>
              </w:rPr>
            </w:pPr>
            <w:r>
              <w:rPr>
                <w:szCs w:val="24"/>
              </w:rPr>
              <w:t>7</w:t>
            </w:r>
            <w:r w:rsidR="0080130E" w:rsidRPr="12DBDAA0">
              <w:rPr>
                <w:szCs w:val="24"/>
              </w:rPr>
              <w:t>a)</w:t>
            </w:r>
            <w:r w:rsidR="0080130E" w:rsidRPr="12DBDAA0">
              <w:rPr>
                <w:spacing w:val="-5"/>
                <w:szCs w:val="24"/>
              </w:rPr>
              <w:t xml:space="preserve"> </w:t>
            </w:r>
            <w:r w:rsidR="0080130E" w:rsidRPr="12DBDAA0">
              <w:rPr>
                <w:szCs w:val="24"/>
              </w:rPr>
              <w:t>Do</w:t>
            </w:r>
            <w:r w:rsidR="0080130E" w:rsidRPr="12DBDAA0">
              <w:rPr>
                <w:spacing w:val="-1"/>
                <w:szCs w:val="24"/>
              </w:rPr>
              <w:t xml:space="preserve"> </w:t>
            </w:r>
            <w:r w:rsidR="0080130E" w:rsidRPr="12DBDAA0">
              <w:rPr>
                <w:szCs w:val="24"/>
              </w:rPr>
              <w:t>you</w:t>
            </w:r>
            <w:r w:rsidR="0080130E" w:rsidRPr="12DBDAA0">
              <w:rPr>
                <w:spacing w:val="-2"/>
                <w:szCs w:val="24"/>
              </w:rPr>
              <w:t xml:space="preserve"> </w:t>
            </w:r>
            <w:r w:rsidR="0080130E" w:rsidRPr="12DBDAA0">
              <w:rPr>
                <w:szCs w:val="24"/>
              </w:rPr>
              <w:t>currently</w:t>
            </w:r>
            <w:r w:rsidR="0080130E" w:rsidRPr="12DBDAA0">
              <w:rPr>
                <w:spacing w:val="-6"/>
                <w:szCs w:val="24"/>
              </w:rPr>
              <w:t xml:space="preserve"> </w:t>
            </w:r>
            <w:r w:rsidR="0080130E" w:rsidRPr="12DBDAA0">
              <w:rPr>
                <w:szCs w:val="24"/>
              </w:rPr>
              <w:t>hold</w:t>
            </w:r>
            <w:r w:rsidR="0080130E" w:rsidRPr="12DBDAA0">
              <w:rPr>
                <w:spacing w:val="-1"/>
                <w:szCs w:val="24"/>
              </w:rPr>
              <w:t xml:space="preserve"> </w:t>
            </w:r>
            <w:r w:rsidR="0080130E" w:rsidRPr="12DBDAA0">
              <w:rPr>
                <w:szCs w:val="24"/>
              </w:rPr>
              <w:t>an</w:t>
            </w:r>
            <w:r w:rsidR="0080130E" w:rsidRPr="12DBDAA0">
              <w:rPr>
                <w:spacing w:val="-1"/>
                <w:szCs w:val="24"/>
              </w:rPr>
              <w:t xml:space="preserve"> </w:t>
            </w:r>
            <w:r w:rsidR="0080130E" w:rsidRPr="12DBDAA0">
              <w:rPr>
                <w:szCs w:val="24"/>
              </w:rPr>
              <w:t>EPR</w:t>
            </w:r>
            <w:r w:rsidR="0080130E" w:rsidRPr="12DBDAA0">
              <w:rPr>
                <w:spacing w:val="-6"/>
                <w:szCs w:val="24"/>
              </w:rPr>
              <w:t xml:space="preserve"> </w:t>
            </w:r>
            <w:r w:rsidR="0080130E" w:rsidRPr="12DBDAA0">
              <w:rPr>
                <w:spacing w:val="-13"/>
                <w:szCs w:val="24"/>
              </w:rPr>
              <w:t>for</w:t>
            </w:r>
            <w:r w:rsidR="0080130E" w:rsidRPr="12DBDAA0">
              <w:rPr>
                <w:szCs w:val="24"/>
              </w:rPr>
              <w:t xml:space="preserve"> </w:t>
            </w:r>
            <w:r w:rsidR="0080130E" w:rsidRPr="12DBDAA0">
              <w:rPr>
                <w:spacing w:val="-12"/>
                <w:szCs w:val="24"/>
              </w:rPr>
              <w:t>any</w:t>
            </w:r>
            <w:r w:rsidR="0080130E" w:rsidRPr="12DBDAA0">
              <w:rPr>
                <w:szCs w:val="24"/>
              </w:rPr>
              <w:t xml:space="preserve"> </w:t>
            </w:r>
            <w:r w:rsidR="0080130E" w:rsidRPr="12DBDAA0">
              <w:rPr>
                <w:spacing w:val="-11"/>
                <w:szCs w:val="24"/>
              </w:rPr>
              <w:t>activity</w:t>
            </w:r>
            <w:r w:rsidR="0080130E" w:rsidRPr="12DBDAA0">
              <w:rPr>
                <w:szCs w:val="24"/>
              </w:rPr>
              <w:t xml:space="preserve"> </w:t>
            </w:r>
            <w:r w:rsidR="0080130E" w:rsidRPr="12DBDAA0">
              <w:rPr>
                <w:spacing w:val="-11"/>
                <w:szCs w:val="24"/>
              </w:rPr>
              <w:t>being</w:t>
            </w:r>
            <w:r w:rsidR="0080130E" w:rsidRPr="12DBDAA0">
              <w:rPr>
                <w:szCs w:val="24"/>
              </w:rPr>
              <w:t xml:space="preserve"> </w:t>
            </w:r>
            <w:r w:rsidR="0080130E" w:rsidRPr="12DBDAA0">
              <w:rPr>
                <w:spacing w:val="-11"/>
                <w:szCs w:val="24"/>
              </w:rPr>
              <w:t>carried</w:t>
            </w:r>
            <w:r w:rsidR="0080130E" w:rsidRPr="12DBDAA0">
              <w:rPr>
                <w:szCs w:val="24"/>
              </w:rPr>
              <w:t xml:space="preserve"> out in the facility?</w:t>
            </w:r>
          </w:p>
        </w:tc>
        <w:tc>
          <w:tcPr>
            <w:tcW w:w="4539" w:type="dxa"/>
          </w:tcPr>
          <w:p w14:paraId="0A0B79E3" w14:textId="77777777" w:rsidR="0080130E" w:rsidRDefault="0080130E" w:rsidP="00552252">
            <w:pPr>
              <w:tabs>
                <w:tab w:val="left" w:pos="0"/>
              </w:tabs>
              <w:spacing w:after="0" w:line="256" w:lineRule="auto"/>
              <w:rPr>
                <w:color w:val="auto"/>
              </w:rPr>
            </w:pPr>
            <w:r>
              <w:rPr>
                <w:color w:val="auto"/>
              </w:rPr>
              <w:t xml:space="preserve">Yes/No </w:t>
            </w:r>
          </w:p>
        </w:tc>
      </w:tr>
      <w:tr w:rsidR="0080130E" w14:paraId="7730B88B" w14:textId="77777777" w:rsidTr="00552252">
        <w:trPr>
          <w:trHeight w:val="514"/>
        </w:trPr>
        <w:tc>
          <w:tcPr>
            <w:tcW w:w="5247" w:type="dxa"/>
          </w:tcPr>
          <w:p w14:paraId="0C03B2BA" w14:textId="2EC3F847" w:rsidR="0080130E" w:rsidRDefault="00653DE7" w:rsidP="00552252">
            <w:pPr>
              <w:tabs>
                <w:tab w:val="left" w:pos="0"/>
              </w:tabs>
              <w:spacing w:after="0" w:line="256" w:lineRule="auto"/>
              <w:rPr>
                <w:color w:val="auto"/>
              </w:rPr>
            </w:pPr>
            <w:r>
              <w:rPr>
                <w:szCs w:val="24"/>
              </w:rPr>
              <w:t>7</w:t>
            </w:r>
            <w:r w:rsidR="0080130E" w:rsidRPr="12DBDAA0">
              <w:rPr>
                <w:szCs w:val="24"/>
              </w:rPr>
              <w:t>b)</w:t>
            </w:r>
            <w:r w:rsidR="0080130E" w:rsidRPr="12DBDAA0">
              <w:rPr>
                <w:spacing w:val="-10"/>
                <w:szCs w:val="24"/>
              </w:rPr>
              <w:t xml:space="preserve"> </w:t>
            </w:r>
            <w:r w:rsidR="0080130E" w:rsidRPr="12DBDAA0">
              <w:rPr>
                <w:szCs w:val="24"/>
              </w:rPr>
              <w:t>Please</w:t>
            </w:r>
            <w:r w:rsidR="0080130E" w:rsidRPr="12DBDAA0">
              <w:rPr>
                <w:spacing w:val="-5"/>
                <w:szCs w:val="24"/>
              </w:rPr>
              <w:t xml:space="preserve"> </w:t>
            </w:r>
            <w:r w:rsidR="0080130E" w:rsidRPr="12DBDAA0">
              <w:rPr>
                <w:szCs w:val="24"/>
              </w:rPr>
              <w:t>provide</w:t>
            </w:r>
            <w:r w:rsidR="0080130E" w:rsidRPr="12DBDAA0">
              <w:rPr>
                <w:spacing w:val="-5"/>
                <w:szCs w:val="24"/>
              </w:rPr>
              <w:t xml:space="preserve"> </w:t>
            </w:r>
            <w:r w:rsidR="0080130E" w:rsidRPr="12DBDAA0">
              <w:rPr>
                <w:szCs w:val="24"/>
              </w:rPr>
              <w:t xml:space="preserve">permit </w:t>
            </w:r>
            <w:r w:rsidR="0080130E" w:rsidRPr="12DBDAA0">
              <w:rPr>
                <w:spacing w:val="-2"/>
                <w:szCs w:val="24"/>
              </w:rPr>
              <w:t>number(s)</w:t>
            </w:r>
          </w:p>
        </w:tc>
        <w:tc>
          <w:tcPr>
            <w:tcW w:w="4539" w:type="dxa"/>
          </w:tcPr>
          <w:p w14:paraId="04EC4571" w14:textId="4F075C6D" w:rsidR="0080130E" w:rsidRDefault="0080130E" w:rsidP="00552252">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w:t>
            </w:r>
            <w:r w:rsidR="00573A67">
              <w:rPr>
                <w:color w:val="auto"/>
              </w:rPr>
              <w:t>7</w:t>
            </w:r>
            <w:r>
              <w:rPr>
                <w:color w:val="auto"/>
              </w:rPr>
              <w:t xml:space="preserve">a – Please Supply </w:t>
            </w:r>
          </w:p>
        </w:tc>
      </w:tr>
      <w:tr w:rsidR="0080130E" w14:paraId="5FA312B1" w14:textId="77777777" w:rsidTr="00552252">
        <w:trPr>
          <w:trHeight w:val="768"/>
        </w:trPr>
        <w:tc>
          <w:tcPr>
            <w:tcW w:w="5247" w:type="dxa"/>
          </w:tcPr>
          <w:p w14:paraId="2324AB0D" w14:textId="5CB81BBD" w:rsidR="0080130E" w:rsidRDefault="00653DE7" w:rsidP="00552252">
            <w:pPr>
              <w:tabs>
                <w:tab w:val="left" w:pos="0"/>
              </w:tabs>
              <w:spacing w:after="0" w:line="256" w:lineRule="auto"/>
              <w:ind w:right="35"/>
              <w:rPr>
                <w:color w:val="auto"/>
              </w:rPr>
            </w:pPr>
            <w:r>
              <w:rPr>
                <w:szCs w:val="24"/>
              </w:rPr>
              <w:t>7</w:t>
            </w:r>
            <w:r w:rsidR="0080130E" w:rsidRPr="12DBDAA0">
              <w:rPr>
                <w:szCs w:val="24"/>
              </w:rPr>
              <w:t>c)</w:t>
            </w:r>
            <w:r w:rsidR="0080130E" w:rsidRPr="12DBDAA0">
              <w:rPr>
                <w:spacing w:val="-9"/>
                <w:szCs w:val="24"/>
              </w:rPr>
              <w:t xml:space="preserve"> Who is the regulator who has issued your permit?</w:t>
            </w:r>
          </w:p>
        </w:tc>
        <w:tc>
          <w:tcPr>
            <w:tcW w:w="4539" w:type="dxa"/>
          </w:tcPr>
          <w:p w14:paraId="50C2E39E" w14:textId="20A5D98C" w:rsidR="0080130E" w:rsidRDefault="0080130E" w:rsidP="00552252">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w:t>
            </w:r>
            <w:r w:rsidR="00573A67">
              <w:rPr>
                <w:color w:val="auto"/>
              </w:rPr>
              <w:t>7</w:t>
            </w:r>
            <w:r>
              <w:rPr>
                <w:color w:val="auto"/>
              </w:rPr>
              <w:t xml:space="preserve">a – Please Supply </w:t>
            </w:r>
          </w:p>
        </w:tc>
      </w:tr>
      <w:tr w:rsidR="0080130E" w14:paraId="77A46225" w14:textId="77777777" w:rsidTr="00552252">
        <w:trPr>
          <w:trHeight w:val="516"/>
        </w:trPr>
        <w:tc>
          <w:tcPr>
            <w:tcW w:w="5247" w:type="dxa"/>
          </w:tcPr>
          <w:p w14:paraId="0E10F888" w14:textId="7A97EA5C" w:rsidR="0080130E" w:rsidRDefault="00653DE7" w:rsidP="00552252">
            <w:pPr>
              <w:tabs>
                <w:tab w:val="left" w:pos="0"/>
              </w:tabs>
              <w:spacing w:after="0" w:line="256" w:lineRule="auto"/>
              <w:rPr>
                <w:color w:val="auto"/>
              </w:rPr>
            </w:pPr>
            <w:r>
              <w:rPr>
                <w:szCs w:val="24"/>
              </w:rPr>
              <w:t>7</w:t>
            </w:r>
            <w:r w:rsidR="0080130E" w:rsidRPr="12DBDAA0">
              <w:rPr>
                <w:szCs w:val="24"/>
              </w:rPr>
              <w:t xml:space="preserve">d) If </w:t>
            </w:r>
            <w:proofErr w:type="gramStart"/>
            <w:r w:rsidR="0080130E" w:rsidRPr="12DBDAA0">
              <w:rPr>
                <w:szCs w:val="24"/>
              </w:rPr>
              <w:t>Yes</w:t>
            </w:r>
            <w:proofErr w:type="gramEnd"/>
            <w:r w:rsidR="0080130E" w:rsidRPr="12DBDAA0">
              <w:rPr>
                <w:szCs w:val="24"/>
              </w:rPr>
              <w:t xml:space="preserve"> to </w:t>
            </w:r>
            <w:r w:rsidR="00573A67">
              <w:rPr>
                <w:szCs w:val="24"/>
              </w:rPr>
              <w:t>7</w:t>
            </w:r>
            <w:r w:rsidR="0080130E" w:rsidRPr="12DBDAA0">
              <w:rPr>
                <w:szCs w:val="24"/>
              </w:rPr>
              <w:t>a, please attach a copy of the Permit.</w:t>
            </w:r>
            <w:r w:rsidR="0080130E">
              <w:br/>
            </w:r>
            <w:r w:rsidR="0080130E" w:rsidRPr="12DBDAA0">
              <w:rPr>
                <w:szCs w:val="24"/>
              </w:rPr>
              <w:t xml:space="preserve">When providing a copy of your permit, please ensure you include the </w:t>
            </w:r>
            <w:r w:rsidR="0080130E" w:rsidRPr="12DBDAA0">
              <w:rPr>
                <w:spacing w:val="-2"/>
                <w:szCs w:val="24"/>
              </w:rPr>
              <w:t>sections</w:t>
            </w:r>
            <w:r w:rsidR="0080130E" w:rsidRPr="12DBDAA0">
              <w:rPr>
                <w:spacing w:val="-9"/>
                <w:szCs w:val="24"/>
              </w:rPr>
              <w:t xml:space="preserve"> </w:t>
            </w:r>
            <w:r w:rsidR="0080130E" w:rsidRPr="12DBDAA0">
              <w:rPr>
                <w:spacing w:val="-2"/>
                <w:szCs w:val="24"/>
              </w:rPr>
              <w:t>describing</w:t>
            </w:r>
            <w:r w:rsidR="0080130E" w:rsidRPr="12DBDAA0">
              <w:rPr>
                <w:spacing w:val="-8"/>
                <w:szCs w:val="24"/>
              </w:rPr>
              <w:t xml:space="preserve"> </w:t>
            </w:r>
            <w:r w:rsidR="0080130E" w:rsidRPr="12DBDAA0">
              <w:rPr>
                <w:spacing w:val="-2"/>
                <w:szCs w:val="24"/>
              </w:rPr>
              <w:t>the</w:t>
            </w:r>
            <w:r w:rsidR="0080130E" w:rsidRPr="12DBDAA0">
              <w:rPr>
                <w:spacing w:val="-8"/>
                <w:szCs w:val="24"/>
              </w:rPr>
              <w:t xml:space="preserve"> </w:t>
            </w:r>
            <w:r w:rsidR="0080130E" w:rsidRPr="12DBDAA0">
              <w:rPr>
                <w:spacing w:val="-2"/>
                <w:szCs w:val="24"/>
              </w:rPr>
              <w:t>activities</w:t>
            </w:r>
            <w:r w:rsidR="0080130E" w:rsidRPr="12DBDAA0">
              <w:rPr>
                <w:spacing w:val="-9"/>
                <w:szCs w:val="24"/>
              </w:rPr>
              <w:t xml:space="preserve"> </w:t>
            </w:r>
            <w:r w:rsidR="0080130E" w:rsidRPr="12DBDAA0">
              <w:rPr>
                <w:spacing w:val="-2"/>
                <w:szCs w:val="24"/>
              </w:rPr>
              <w:t>and</w:t>
            </w:r>
            <w:r w:rsidR="0080130E" w:rsidRPr="12DBDAA0">
              <w:rPr>
                <w:spacing w:val="-8"/>
                <w:szCs w:val="24"/>
              </w:rPr>
              <w:t xml:space="preserve"> their ex</w:t>
            </w:r>
            <w:r w:rsidR="0080130E" w:rsidRPr="12DBDAA0">
              <w:rPr>
                <w:spacing w:val="-2"/>
                <w:szCs w:val="24"/>
              </w:rPr>
              <w:t>tent.</w:t>
            </w:r>
          </w:p>
        </w:tc>
        <w:tc>
          <w:tcPr>
            <w:tcW w:w="4539" w:type="dxa"/>
          </w:tcPr>
          <w:p w14:paraId="3C1B1FEC" w14:textId="77777777" w:rsidR="0080130E" w:rsidRDefault="0080130E" w:rsidP="00552252">
            <w:pPr>
              <w:tabs>
                <w:tab w:val="left" w:pos="0"/>
              </w:tabs>
              <w:spacing w:after="0" w:line="256" w:lineRule="auto"/>
              <w:rPr>
                <w:color w:val="auto"/>
              </w:rPr>
            </w:pPr>
            <w:r>
              <w:rPr>
                <w:color w:val="auto"/>
              </w:rPr>
              <w:t xml:space="preserve">Attached/not attached </w:t>
            </w:r>
          </w:p>
        </w:tc>
      </w:tr>
    </w:tbl>
    <w:p w14:paraId="7856153B" w14:textId="77777777" w:rsidR="0080130E" w:rsidRDefault="0080130E" w:rsidP="0080130E">
      <w:pPr>
        <w:pStyle w:val="Heading2"/>
      </w:pPr>
      <w:bookmarkStart w:id="381" w:name="_Toc228271323"/>
      <w:bookmarkStart w:id="382" w:name="_Toc242885429"/>
      <w:r>
        <w:t>Section 3 – Information on the extent of the facility</w:t>
      </w:r>
      <w:bookmarkEnd w:id="381"/>
      <w:bookmarkEnd w:id="382"/>
    </w:p>
    <w:p w14:paraId="197978F0" w14:textId="77777777" w:rsidR="0080130E" w:rsidRDefault="0080130E" w:rsidP="0080130E">
      <w:r>
        <w:t>A detailed description of the process from start to finish must be provided. This must identify the eligible activities and explain which activity or substance makes them eligible under the sector’s CCA eligibility criteria (see Appendix A).</w:t>
      </w:r>
    </w:p>
    <w:p w14:paraId="64215671" w14:textId="6F8ABD53" w:rsidR="0080130E" w:rsidRDefault="0080130E" w:rsidP="0080130E">
      <w:r>
        <w:t>Please also demonstrate how any directly associated activities (DAA)</w:t>
      </w:r>
      <w:r w:rsidR="00293A3B">
        <w:t xml:space="preserve"> </w:t>
      </w:r>
      <w:r>
        <w:t>are included.</w:t>
      </w:r>
      <w:r w:rsidR="00293A3B" w:rsidRPr="00293A3B">
        <w:t xml:space="preserve"> </w:t>
      </w:r>
      <w:r w:rsidR="008A7D2B">
        <w:t>These are</w:t>
      </w:r>
      <w:r w:rsidR="00293A3B">
        <w:t xml:space="preserve"> activities on the same site with a technical connection to those listed in Appendix A and which could </w:t>
      </w:r>
      <w:proofErr w:type="gramStart"/>
      <w:r w:rsidR="00293A3B">
        <w:t>have an effect on</w:t>
      </w:r>
      <w:proofErr w:type="gramEnd"/>
      <w:r w:rsidR="00293A3B">
        <w:t xml:space="preserve"> emissions</w:t>
      </w:r>
      <w:r w:rsidR="008A7D2B">
        <w:t>.</w:t>
      </w:r>
    </w:p>
    <w:p w14:paraId="6DFE2349" w14:textId="77777777" w:rsidR="0080130E" w:rsidRDefault="0080130E" w:rsidP="0080130E">
      <w:r>
        <w:t>Where activities are neither eligible nor directly associated with eligible activities, they will be considered ineligible.</w:t>
      </w:r>
    </w:p>
    <w:p w14:paraId="499C997C" w14:textId="77777777" w:rsidR="0080130E" w:rsidRDefault="0080130E" w:rsidP="0080130E">
      <w:r>
        <w:t>All additional information necessary to identify what is being produced and how must be provided. A process flow map and site plan must be included, with annotations clearly identifying eligible, directly associated, ineligible, and 70% areas. Colour coding should be used as follows: green for eligible activities, amber for DAA, and red for ineligible activities.</w:t>
      </w:r>
    </w:p>
    <w:p w14:paraId="10223785" w14:textId="5E2066B4" w:rsidR="008A7D2B" w:rsidRDefault="0080130E" w:rsidP="0080130E">
      <w:r>
        <w:t>The site plan should clearly show the boundary of the facility marked in red. Ideally, it should be based on a satellite or aerial image but must show the extent of the facility in relation to fixed infrastructure or features outside the facility boundary, such as roads, buildings, or other landmarks, to geographically contextualise the location.</w:t>
      </w:r>
      <w:bookmarkStart w:id="383" w:name="_Toc228271324"/>
    </w:p>
    <w:p w14:paraId="17B90E87" w14:textId="67F93FA7" w:rsidR="0080130E" w:rsidRDefault="008A7D2B" w:rsidP="00E351F5">
      <w:pPr>
        <w:pStyle w:val="Heading3"/>
      </w:pPr>
      <w:r>
        <w:t>7)</w:t>
      </w:r>
      <w:r w:rsidR="0080130E">
        <w:t xml:space="preserve"> The manufacturing process</w:t>
      </w:r>
      <w:bookmarkEnd w:id="383"/>
      <w:r w:rsidR="0080130E">
        <w:t xml:space="preserve"> </w:t>
      </w:r>
    </w:p>
    <w:p w14:paraId="316F1AC6" w14:textId="77777777" w:rsidR="0080130E" w:rsidRDefault="0080130E" w:rsidP="0080130E">
      <w:pPr>
        <w:rPr>
          <w:color w:val="auto"/>
        </w:rPr>
      </w:pPr>
      <w:r>
        <w:rPr>
          <w:color w:val="auto"/>
        </w:rPr>
        <w:t>Please attach a description of the manufacturing process conducted at this site from receipt of raw materials to dispatch of final product. It should be of sufficient detail to allow an unambiguous interpretation of the extent of your process(es). The narrative should also describe the product or range of products being produced.</w:t>
      </w:r>
    </w:p>
    <w:tbl>
      <w:tblPr>
        <w:tblStyle w:val="TableGridLight"/>
        <w:tblW w:w="9786" w:type="dxa"/>
        <w:tblLook w:val="0020" w:firstRow="1" w:lastRow="0" w:firstColumn="0" w:lastColumn="0" w:noHBand="0" w:noVBand="0"/>
      </w:tblPr>
      <w:tblGrid>
        <w:gridCol w:w="5247"/>
        <w:gridCol w:w="4539"/>
      </w:tblGrid>
      <w:tr w:rsidR="0080130E" w14:paraId="5208466B" w14:textId="77777777" w:rsidTr="00552252">
        <w:trPr>
          <w:trHeight w:val="516"/>
        </w:trPr>
        <w:tc>
          <w:tcPr>
            <w:tcW w:w="5247" w:type="dxa"/>
          </w:tcPr>
          <w:p w14:paraId="0E62ED95" w14:textId="5F5FA7CB" w:rsidR="0080130E" w:rsidRDefault="0080130E" w:rsidP="00552252">
            <w:pPr>
              <w:tabs>
                <w:tab w:val="left" w:pos="0"/>
              </w:tabs>
              <w:spacing w:after="0" w:line="256" w:lineRule="auto"/>
              <w:rPr>
                <w:color w:val="auto"/>
              </w:rPr>
            </w:pPr>
            <w:r>
              <w:rPr>
                <w:color w:val="auto"/>
              </w:rPr>
              <w:lastRenderedPageBreak/>
              <w:t xml:space="preserve">Manufacturing process description (PDF) </w:t>
            </w:r>
          </w:p>
        </w:tc>
        <w:tc>
          <w:tcPr>
            <w:tcW w:w="4539" w:type="dxa"/>
          </w:tcPr>
          <w:p w14:paraId="044123D5" w14:textId="77777777" w:rsidR="0080130E" w:rsidRDefault="0080130E" w:rsidP="00552252">
            <w:pPr>
              <w:tabs>
                <w:tab w:val="left" w:pos="0"/>
              </w:tabs>
              <w:spacing w:after="0" w:line="256" w:lineRule="auto"/>
              <w:rPr>
                <w:color w:val="auto"/>
              </w:rPr>
            </w:pPr>
            <w:r>
              <w:rPr>
                <w:color w:val="auto"/>
              </w:rPr>
              <w:t xml:space="preserve">Attached/not attached </w:t>
            </w:r>
          </w:p>
        </w:tc>
      </w:tr>
      <w:tr w:rsidR="0080130E" w14:paraId="5382771B" w14:textId="77777777" w:rsidTr="00552252">
        <w:trPr>
          <w:trHeight w:val="516"/>
        </w:trPr>
        <w:tc>
          <w:tcPr>
            <w:tcW w:w="5247" w:type="dxa"/>
          </w:tcPr>
          <w:p w14:paraId="22825EE0" w14:textId="347FF454" w:rsidR="0080130E" w:rsidRDefault="0080130E" w:rsidP="00552252">
            <w:pPr>
              <w:tabs>
                <w:tab w:val="left" w:pos="0"/>
              </w:tabs>
              <w:spacing w:after="0" w:line="256" w:lineRule="auto"/>
              <w:rPr>
                <w:color w:val="auto"/>
              </w:rPr>
            </w:pPr>
            <w:r>
              <w:rPr>
                <w:color w:val="auto"/>
              </w:rPr>
              <w:t xml:space="preserve">Process flow maps (PDF) </w:t>
            </w:r>
          </w:p>
        </w:tc>
        <w:tc>
          <w:tcPr>
            <w:tcW w:w="4539" w:type="dxa"/>
          </w:tcPr>
          <w:p w14:paraId="7E7E6F58" w14:textId="77777777" w:rsidR="0080130E" w:rsidRDefault="0080130E" w:rsidP="00552252">
            <w:pPr>
              <w:tabs>
                <w:tab w:val="left" w:pos="0"/>
              </w:tabs>
              <w:spacing w:after="0" w:line="256" w:lineRule="auto"/>
              <w:rPr>
                <w:color w:val="auto"/>
              </w:rPr>
            </w:pPr>
            <w:r>
              <w:rPr>
                <w:color w:val="auto"/>
              </w:rPr>
              <w:t xml:space="preserve">Attached/not attached </w:t>
            </w:r>
          </w:p>
        </w:tc>
      </w:tr>
      <w:tr w:rsidR="0080130E" w14:paraId="65068E98" w14:textId="77777777" w:rsidTr="00552252">
        <w:trPr>
          <w:trHeight w:val="514"/>
        </w:trPr>
        <w:tc>
          <w:tcPr>
            <w:tcW w:w="5247" w:type="dxa"/>
          </w:tcPr>
          <w:p w14:paraId="4F2035A0" w14:textId="4C6402DC" w:rsidR="0080130E" w:rsidRDefault="0080130E" w:rsidP="00552252">
            <w:pPr>
              <w:tabs>
                <w:tab w:val="left" w:pos="0"/>
              </w:tabs>
              <w:spacing w:after="0" w:line="256" w:lineRule="auto"/>
              <w:rPr>
                <w:color w:val="auto"/>
              </w:rPr>
            </w:pPr>
            <w:r>
              <w:rPr>
                <w:color w:val="auto"/>
              </w:rPr>
              <w:t xml:space="preserve">Annotated site plans (PDF) </w:t>
            </w:r>
          </w:p>
        </w:tc>
        <w:tc>
          <w:tcPr>
            <w:tcW w:w="4539" w:type="dxa"/>
          </w:tcPr>
          <w:p w14:paraId="21B62DC4" w14:textId="77777777" w:rsidR="0080130E" w:rsidRDefault="0080130E" w:rsidP="00552252">
            <w:pPr>
              <w:tabs>
                <w:tab w:val="left" w:pos="0"/>
              </w:tabs>
              <w:spacing w:after="0" w:line="256" w:lineRule="auto"/>
              <w:rPr>
                <w:color w:val="auto"/>
              </w:rPr>
            </w:pPr>
            <w:r>
              <w:rPr>
                <w:color w:val="auto"/>
              </w:rPr>
              <w:t xml:space="preserve">Attached/not attached </w:t>
            </w:r>
          </w:p>
        </w:tc>
      </w:tr>
    </w:tbl>
    <w:p w14:paraId="4799479E" w14:textId="77777777" w:rsidR="0080130E" w:rsidRDefault="0080130E" w:rsidP="0080130E">
      <w:pPr>
        <w:pStyle w:val="Heading3"/>
      </w:pPr>
      <w:bookmarkStart w:id="384" w:name="_Toc228271325"/>
      <w:r>
        <w:t>8) The eligible process</w:t>
      </w:r>
      <w:bookmarkEnd w:id="384"/>
      <w:r>
        <w:t xml:space="preserve"> </w:t>
      </w:r>
    </w:p>
    <w:p w14:paraId="5E5D4F8A" w14:textId="4463C2FB" w:rsidR="0080130E" w:rsidRDefault="0080130E" w:rsidP="0080130E">
      <w:r w:rsidRPr="00503BE7">
        <w:rPr>
          <w:color w:val="auto"/>
        </w:rPr>
        <w:t xml:space="preserve">Please attach a brief description of the plant or processes directly used at the facility, covered by the sector's eligibility criteria </w:t>
      </w:r>
      <w:r w:rsidR="004C4096">
        <w:rPr>
          <w:color w:val="auto"/>
        </w:rPr>
        <w:t>(</w:t>
      </w:r>
      <w:r w:rsidRPr="00503BE7">
        <w:rPr>
          <w:color w:val="auto"/>
        </w:rPr>
        <w:t>see Appendix A</w:t>
      </w:r>
      <w:r w:rsidR="004C4096">
        <w:rPr>
          <w:color w:val="auto"/>
        </w:rPr>
        <w:t>)</w:t>
      </w:r>
      <w:r w:rsidRPr="00503BE7">
        <w:rPr>
          <w:color w:val="auto"/>
        </w:rPr>
        <w:t>. Do not include any directly associated activities at this stage. It is essential that a clear explanation of how the activities meet the eligibility criteria, stated in Appendix A, for the sector are met. Simply quoting the eligibility criteria is not sufficient you should explain how you meet the criteria by drawing in the information supplied in the process flow and manufacturing process descriptions provided.</w:t>
      </w:r>
    </w:p>
    <w:tbl>
      <w:tblPr>
        <w:tblStyle w:val="TableGridLight"/>
        <w:tblW w:w="9786" w:type="dxa"/>
        <w:tblLook w:val="0020" w:firstRow="1" w:lastRow="0" w:firstColumn="0" w:lastColumn="0" w:noHBand="0" w:noVBand="0"/>
      </w:tblPr>
      <w:tblGrid>
        <w:gridCol w:w="5247"/>
        <w:gridCol w:w="4539"/>
      </w:tblGrid>
      <w:tr w:rsidR="0080130E" w14:paraId="43CB377E" w14:textId="77777777" w:rsidTr="00552252">
        <w:trPr>
          <w:trHeight w:val="516"/>
        </w:trPr>
        <w:tc>
          <w:tcPr>
            <w:tcW w:w="5247" w:type="dxa"/>
          </w:tcPr>
          <w:p w14:paraId="3CC1447D" w14:textId="77777777" w:rsidR="0080130E" w:rsidRDefault="0080130E" w:rsidP="00552252">
            <w:pPr>
              <w:tabs>
                <w:tab w:val="left" w:pos="0"/>
              </w:tabs>
              <w:spacing w:after="0" w:line="256" w:lineRule="auto"/>
              <w:rPr>
                <w:color w:val="auto"/>
              </w:rPr>
            </w:pPr>
            <w:r>
              <w:rPr>
                <w:color w:val="auto"/>
              </w:rPr>
              <w:t xml:space="preserve">8a) Eligible process description </w:t>
            </w:r>
          </w:p>
        </w:tc>
        <w:tc>
          <w:tcPr>
            <w:tcW w:w="4539" w:type="dxa"/>
          </w:tcPr>
          <w:p w14:paraId="5D6D43B4" w14:textId="77777777" w:rsidR="0080130E" w:rsidRDefault="0080130E" w:rsidP="00552252">
            <w:pPr>
              <w:tabs>
                <w:tab w:val="left" w:pos="0"/>
              </w:tabs>
              <w:spacing w:after="0" w:line="256" w:lineRule="auto"/>
              <w:rPr>
                <w:color w:val="auto"/>
              </w:rPr>
            </w:pPr>
            <w:r>
              <w:rPr>
                <w:color w:val="auto"/>
              </w:rPr>
              <w:t xml:space="preserve">Attached/not attached </w:t>
            </w:r>
          </w:p>
        </w:tc>
      </w:tr>
      <w:tr w:rsidR="0080130E" w14:paraId="763A7AD8" w14:textId="77777777" w:rsidTr="00552252">
        <w:trPr>
          <w:trHeight w:val="1275"/>
        </w:trPr>
        <w:tc>
          <w:tcPr>
            <w:tcW w:w="9786" w:type="dxa"/>
            <w:gridSpan w:val="2"/>
          </w:tcPr>
          <w:p w14:paraId="661CB436" w14:textId="77777777" w:rsidR="0080130E" w:rsidRDefault="0080130E" w:rsidP="00552252">
            <w:pPr>
              <w:tabs>
                <w:tab w:val="left" w:pos="0"/>
              </w:tabs>
              <w:spacing w:after="0" w:line="256" w:lineRule="auto"/>
              <w:rPr>
                <w:color w:val="auto"/>
              </w:rPr>
            </w:pPr>
            <w:r>
              <w:rPr>
                <w:color w:val="auto"/>
              </w:rPr>
              <w:t xml:space="preserve">Enter eligible process description here if not attached. </w:t>
            </w:r>
          </w:p>
        </w:tc>
      </w:tr>
    </w:tbl>
    <w:p w14:paraId="3C879AA5" w14:textId="77777777" w:rsidR="0080130E" w:rsidRDefault="0080130E" w:rsidP="0080130E">
      <w:pPr>
        <w:pStyle w:val="Heading3"/>
      </w:pPr>
      <w:bookmarkStart w:id="385" w:name="_Toc228271326"/>
      <w:r>
        <w:t>9). Directly associated activities</w:t>
      </w:r>
      <w:bookmarkEnd w:id="385"/>
      <w:r>
        <w:t xml:space="preserve"> </w:t>
      </w:r>
    </w:p>
    <w:p w14:paraId="39446E41" w14:textId="6FE97BBA" w:rsidR="0080130E" w:rsidRDefault="0080130E" w:rsidP="0080130E">
      <w:r>
        <w:rPr>
          <w:color w:val="auto"/>
        </w:rPr>
        <w:t>Please attach a description listing any activities that you consider to be 'directly associated'. The description should address how the activity or process meets the criteria for being directly associated. Any directly associated activities must be on the same site as the activities described above under</w:t>
      </w:r>
      <w:r w:rsidR="00DD4F1D">
        <w:rPr>
          <w:color w:val="auto"/>
        </w:rPr>
        <w:t xml:space="preserve"> section 8</w:t>
      </w:r>
      <w:r>
        <w:rPr>
          <w:color w:val="auto"/>
        </w:rPr>
        <w:t xml:space="preserve">. They must be technically </w:t>
      </w:r>
      <w:proofErr w:type="gramStart"/>
      <w:r>
        <w:rPr>
          <w:color w:val="auto"/>
        </w:rPr>
        <w:t>connected,</w:t>
      </w:r>
      <w:proofErr w:type="gramEnd"/>
      <w:r>
        <w:rPr>
          <w:color w:val="auto"/>
        </w:rPr>
        <w:t xml:space="preserve"> they must serve the activities described in </w:t>
      </w:r>
      <w:r w:rsidR="00DD4F1D">
        <w:rPr>
          <w:color w:val="auto"/>
        </w:rPr>
        <w:t>t</w:t>
      </w:r>
      <w:r>
        <w:rPr>
          <w:color w:val="auto"/>
        </w:rPr>
        <w:t xml:space="preserve">he </w:t>
      </w:r>
      <w:r w:rsidR="00DD4F1D">
        <w:rPr>
          <w:color w:val="auto"/>
        </w:rPr>
        <w:t>e</w:t>
      </w:r>
      <w:r>
        <w:rPr>
          <w:color w:val="auto"/>
        </w:rPr>
        <w:t xml:space="preserve">ligible </w:t>
      </w:r>
      <w:r w:rsidR="00DD4F1D">
        <w:rPr>
          <w:color w:val="auto"/>
        </w:rPr>
        <w:t>p</w:t>
      </w:r>
      <w:r>
        <w:rPr>
          <w:color w:val="auto"/>
        </w:rPr>
        <w:t xml:space="preserve">rocess and must be capable of </w:t>
      </w:r>
      <w:proofErr w:type="gramStart"/>
      <w:r>
        <w:rPr>
          <w:color w:val="auto"/>
        </w:rPr>
        <w:t>having an effect on</w:t>
      </w:r>
      <w:proofErr w:type="gramEnd"/>
      <w:r>
        <w:rPr>
          <w:color w:val="auto"/>
        </w:rPr>
        <w:t xml:space="preserve"> emissions.</w:t>
      </w:r>
    </w:p>
    <w:tbl>
      <w:tblPr>
        <w:tblStyle w:val="TableGridLight"/>
        <w:tblW w:w="9786" w:type="dxa"/>
        <w:tblLook w:val="0020" w:firstRow="1" w:lastRow="0" w:firstColumn="0" w:lastColumn="0" w:noHBand="0" w:noVBand="0"/>
      </w:tblPr>
      <w:tblGrid>
        <w:gridCol w:w="5247"/>
        <w:gridCol w:w="4539"/>
      </w:tblGrid>
      <w:tr w:rsidR="0080130E" w14:paraId="1545B8D7" w14:textId="77777777" w:rsidTr="00552252">
        <w:trPr>
          <w:trHeight w:val="514"/>
        </w:trPr>
        <w:tc>
          <w:tcPr>
            <w:tcW w:w="5247" w:type="dxa"/>
          </w:tcPr>
          <w:p w14:paraId="114683F1" w14:textId="77777777" w:rsidR="0080130E" w:rsidRDefault="0080130E" w:rsidP="00552252">
            <w:pPr>
              <w:tabs>
                <w:tab w:val="left" w:pos="0"/>
              </w:tabs>
              <w:spacing w:after="0" w:line="256" w:lineRule="auto"/>
              <w:rPr>
                <w:color w:val="auto"/>
              </w:rPr>
            </w:pPr>
            <w:r>
              <w:rPr>
                <w:color w:val="auto"/>
              </w:rPr>
              <w:t xml:space="preserve">9a) DAA description </w:t>
            </w:r>
          </w:p>
        </w:tc>
        <w:tc>
          <w:tcPr>
            <w:tcW w:w="4539" w:type="dxa"/>
          </w:tcPr>
          <w:p w14:paraId="59405D3C" w14:textId="77777777" w:rsidR="0080130E" w:rsidRDefault="0080130E" w:rsidP="00552252">
            <w:pPr>
              <w:tabs>
                <w:tab w:val="left" w:pos="0"/>
              </w:tabs>
              <w:spacing w:after="0" w:line="256" w:lineRule="auto"/>
              <w:rPr>
                <w:color w:val="auto"/>
              </w:rPr>
            </w:pPr>
            <w:r>
              <w:rPr>
                <w:color w:val="auto"/>
              </w:rPr>
              <w:t xml:space="preserve">Attached/not attached </w:t>
            </w:r>
          </w:p>
        </w:tc>
      </w:tr>
      <w:tr w:rsidR="0080130E" w14:paraId="1C8C9E8A" w14:textId="77777777" w:rsidTr="00552252">
        <w:trPr>
          <w:trHeight w:val="1344"/>
        </w:trPr>
        <w:tc>
          <w:tcPr>
            <w:tcW w:w="9786" w:type="dxa"/>
            <w:gridSpan w:val="2"/>
          </w:tcPr>
          <w:p w14:paraId="2ED0D51E" w14:textId="77777777" w:rsidR="0080130E" w:rsidRDefault="0080130E" w:rsidP="00552252">
            <w:pPr>
              <w:tabs>
                <w:tab w:val="left" w:pos="0"/>
              </w:tabs>
              <w:spacing w:after="0" w:line="256" w:lineRule="auto"/>
              <w:rPr>
                <w:color w:val="auto"/>
              </w:rPr>
            </w:pPr>
            <w:r>
              <w:rPr>
                <w:color w:val="auto"/>
              </w:rPr>
              <w:t xml:space="preserve">Enter DAA description here if not attached. </w:t>
            </w:r>
          </w:p>
        </w:tc>
      </w:tr>
    </w:tbl>
    <w:p w14:paraId="59AAE847" w14:textId="77777777" w:rsidR="0080130E" w:rsidRDefault="0080130E" w:rsidP="0080130E">
      <w:pPr>
        <w:pStyle w:val="Heading2"/>
      </w:pPr>
      <w:bookmarkStart w:id="386" w:name="_Toc228271327"/>
      <w:bookmarkStart w:id="387" w:name="_Toc242885430"/>
      <w:r>
        <w:lastRenderedPageBreak/>
        <w:t>Section 4 – Application of the 70% rule (on basis of most recent 12-month continuous data)</w:t>
      </w:r>
      <w:bookmarkEnd w:id="386"/>
      <w:bookmarkEnd w:id="387"/>
    </w:p>
    <w:p w14:paraId="0C9DC4F6" w14:textId="77777777" w:rsidR="0080130E" w:rsidRPr="000C5C46" w:rsidRDefault="0080130E" w:rsidP="0080130E">
      <w:pPr>
        <w:pStyle w:val="Heading3"/>
      </w:pPr>
      <w:r>
        <w:t>10) Application of the 70% rule</w:t>
      </w:r>
    </w:p>
    <w:tbl>
      <w:tblPr>
        <w:tblStyle w:val="TableGridLight"/>
        <w:tblW w:w="9786" w:type="dxa"/>
        <w:tblLook w:val="0020" w:firstRow="1" w:lastRow="0" w:firstColumn="0" w:lastColumn="0" w:noHBand="0" w:noVBand="0"/>
      </w:tblPr>
      <w:tblGrid>
        <w:gridCol w:w="5247"/>
        <w:gridCol w:w="4539"/>
      </w:tblGrid>
      <w:tr w:rsidR="0080130E" w14:paraId="367FD5F1" w14:textId="77777777" w:rsidTr="00552252">
        <w:trPr>
          <w:trHeight w:val="1527"/>
        </w:trPr>
        <w:tc>
          <w:tcPr>
            <w:tcW w:w="5247" w:type="dxa"/>
          </w:tcPr>
          <w:p w14:paraId="1B99CAB1" w14:textId="77777777" w:rsidR="0080130E" w:rsidRDefault="0080130E" w:rsidP="00552252">
            <w:r>
              <w:t xml:space="preserve">10a) The facility occupies the entire site, that is, the energy consumed by the installation defined above in the 'Extent of Facility' (section 3) is greater than or equal to 70% of the primary energy used within the site. </w:t>
            </w:r>
          </w:p>
        </w:tc>
        <w:tc>
          <w:tcPr>
            <w:tcW w:w="4539" w:type="dxa"/>
          </w:tcPr>
          <w:p w14:paraId="76019A0D" w14:textId="77777777" w:rsidR="0080130E" w:rsidRDefault="0080130E" w:rsidP="00552252">
            <w:r>
              <w:t xml:space="preserve">Yes/No </w:t>
            </w:r>
          </w:p>
        </w:tc>
      </w:tr>
      <w:tr w:rsidR="0080130E" w14:paraId="77849D90" w14:textId="77777777" w:rsidTr="00552252">
        <w:trPr>
          <w:trHeight w:val="2033"/>
        </w:trPr>
        <w:tc>
          <w:tcPr>
            <w:tcW w:w="5247" w:type="dxa"/>
          </w:tcPr>
          <w:p w14:paraId="613F43B5" w14:textId="77777777" w:rsidR="0080130E" w:rsidRDefault="0080130E" w:rsidP="00552252">
            <w:r>
              <w:t xml:space="preserve">10b) The facility occupies part of the site, that is, the energy consumed by the installation defined above in the 'Extent of Facility' (section 3) is less than 70% of the primary energy used within the site. In this case the eligible facility can be defined to include other activities that consume no more than 3/7ths of the consumption of the installation. </w:t>
            </w:r>
          </w:p>
        </w:tc>
        <w:tc>
          <w:tcPr>
            <w:tcW w:w="4539" w:type="dxa"/>
          </w:tcPr>
          <w:p w14:paraId="531569B1" w14:textId="77777777" w:rsidR="0080130E" w:rsidRDefault="0080130E" w:rsidP="00552252">
            <w:r>
              <w:t xml:space="preserve">Yes/No </w:t>
            </w:r>
          </w:p>
        </w:tc>
      </w:tr>
      <w:tr w:rsidR="0080130E" w14:paraId="53A21767" w14:textId="77777777" w:rsidTr="00552252">
        <w:trPr>
          <w:trHeight w:val="1529"/>
        </w:trPr>
        <w:tc>
          <w:tcPr>
            <w:tcW w:w="5247" w:type="dxa"/>
          </w:tcPr>
          <w:p w14:paraId="359D9D97" w14:textId="77777777" w:rsidR="0080130E" w:rsidRDefault="0080130E" w:rsidP="00552252">
            <w:r>
              <w:t xml:space="preserve">10c) Provide the exact percentage of energy consumed in the installation (STU + DAA) as a proportion of the whole site energy use, excluding any additional energy that can be claimed under the 3/7ths provision. </w:t>
            </w:r>
          </w:p>
        </w:tc>
        <w:tc>
          <w:tcPr>
            <w:tcW w:w="4539" w:type="dxa"/>
          </w:tcPr>
          <w:p w14:paraId="7AB3827E" w14:textId="77777777" w:rsidR="0080130E" w:rsidRDefault="0080130E" w:rsidP="00552252">
            <w:r>
              <w:t xml:space="preserve">Please enter a number between 0% and 100%. </w:t>
            </w:r>
          </w:p>
        </w:tc>
      </w:tr>
      <w:tr w:rsidR="0080130E" w14:paraId="789ECEE4" w14:textId="77777777" w:rsidTr="00552252">
        <w:trPr>
          <w:trHeight w:val="1272"/>
        </w:trPr>
        <w:tc>
          <w:tcPr>
            <w:tcW w:w="5247" w:type="dxa"/>
          </w:tcPr>
          <w:p w14:paraId="0C68BF89" w14:textId="77777777" w:rsidR="0080130E" w:rsidRDefault="0080130E" w:rsidP="00552252">
            <w:r>
              <w:t xml:space="preserve">10d) Provide the percentage of energy consumed in relation to the 3/7ths provision as a proportion of the installation's (STU + DAA) energy use, where this is applicable (needs to be sub-metered). </w:t>
            </w:r>
          </w:p>
        </w:tc>
        <w:tc>
          <w:tcPr>
            <w:tcW w:w="4539" w:type="dxa"/>
          </w:tcPr>
          <w:p w14:paraId="29889A93" w14:textId="11FEC4D1" w:rsidR="0080130E" w:rsidRDefault="0080130E" w:rsidP="00552252">
            <w:r>
              <w:t xml:space="preserve">If </w:t>
            </w:r>
            <w:proofErr w:type="gramStart"/>
            <w:r>
              <w:t>Yes</w:t>
            </w:r>
            <w:proofErr w:type="gramEnd"/>
            <w:r>
              <w:t xml:space="preserve"> to </w:t>
            </w:r>
            <w:r w:rsidR="00005F0F">
              <w:t>10b</w:t>
            </w:r>
            <w:r>
              <w:t xml:space="preserve"> – Please enter a number between 0% and 42.9%. </w:t>
            </w:r>
          </w:p>
        </w:tc>
      </w:tr>
      <w:tr w:rsidR="0080130E" w14:paraId="0B1FA021" w14:textId="77777777" w:rsidTr="00552252">
        <w:trPr>
          <w:trHeight w:val="768"/>
        </w:trPr>
        <w:tc>
          <w:tcPr>
            <w:tcW w:w="5247" w:type="dxa"/>
          </w:tcPr>
          <w:p w14:paraId="7F740AB1" w14:textId="77777777" w:rsidR="0080130E" w:rsidRDefault="0080130E" w:rsidP="00552252">
            <w:r>
              <w:t xml:space="preserve">10e) Is sub-metering in place for the eligible facility (STU + DAA + 3/7ths)? </w:t>
            </w:r>
          </w:p>
        </w:tc>
        <w:tc>
          <w:tcPr>
            <w:tcW w:w="4539" w:type="dxa"/>
          </w:tcPr>
          <w:p w14:paraId="21CB30E6" w14:textId="7248CB86" w:rsidR="0080130E" w:rsidRDefault="0080130E" w:rsidP="00552252">
            <w:r>
              <w:t xml:space="preserve">If </w:t>
            </w:r>
            <w:proofErr w:type="gramStart"/>
            <w:r>
              <w:t>Yes</w:t>
            </w:r>
            <w:proofErr w:type="gramEnd"/>
            <w:r>
              <w:t xml:space="preserve"> to </w:t>
            </w:r>
            <w:r w:rsidR="00005F0F">
              <w:t>10b</w:t>
            </w:r>
            <w:r>
              <w:t xml:space="preserve"> – Supply </w:t>
            </w:r>
          </w:p>
        </w:tc>
      </w:tr>
      <w:tr w:rsidR="0080130E" w14:paraId="46C6D08B" w14:textId="77777777" w:rsidTr="00552252">
        <w:trPr>
          <w:trHeight w:val="768"/>
        </w:trPr>
        <w:tc>
          <w:tcPr>
            <w:tcW w:w="5247" w:type="dxa"/>
          </w:tcPr>
          <w:p w14:paraId="574ECAC8" w14:textId="77777777" w:rsidR="0080130E" w:rsidDel="000C5C46" w:rsidRDefault="0080130E" w:rsidP="00552252">
            <w:r>
              <w:t xml:space="preserve">10f) </w:t>
            </w:r>
            <w:r w:rsidRPr="00083C15">
              <w:t>Sub-metered start date</w:t>
            </w:r>
          </w:p>
        </w:tc>
        <w:tc>
          <w:tcPr>
            <w:tcW w:w="4539" w:type="dxa"/>
          </w:tcPr>
          <w:p w14:paraId="04C64EB9" w14:textId="7C8906C7" w:rsidR="0080130E" w:rsidRDefault="0080130E" w:rsidP="00552252">
            <w:r>
              <w:t xml:space="preserve">If </w:t>
            </w:r>
            <w:proofErr w:type="gramStart"/>
            <w:r>
              <w:t>Yes</w:t>
            </w:r>
            <w:proofErr w:type="gramEnd"/>
            <w:r>
              <w:t xml:space="preserve"> to </w:t>
            </w:r>
            <w:r w:rsidR="00005F0F">
              <w:t>10b</w:t>
            </w:r>
            <w:r>
              <w:t xml:space="preserve"> – Supply</w:t>
            </w:r>
          </w:p>
        </w:tc>
      </w:tr>
    </w:tbl>
    <w:p w14:paraId="543B4D52" w14:textId="77777777" w:rsidR="0080130E" w:rsidRDefault="0080130E" w:rsidP="0080130E">
      <w:pPr>
        <w:pStyle w:val="Heading3"/>
      </w:pPr>
      <w:bookmarkStart w:id="388" w:name="_Toc228271328"/>
      <w:r>
        <w:t>11) 70% evidence</w:t>
      </w:r>
      <w:bookmarkEnd w:id="388"/>
      <w:r>
        <w:t xml:space="preserve"> </w:t>
      </w:r>
    </w:p>
    <w:p w14:paraId="0212210E" w14:textId="77777777" w:rsidR="0080130E" w:rsidRDefault="0080130E" w:rsidP="0080130E">
      <w:r>
        <w:rPr>
          <w:color w:val="auto"/>
        </w:rPr>
        <w:t>You will need to provide data (for example, from permanent sub-metering or spot metering, or estimates). The origin of all data should be specified. Please give the basis of any estimates and show any formula used.</w:t>
      </w:r>
    </w:p>
    <w:tbl>
      <w:tblPr>
        <w:tblStyle w:val="TableGridLight"/>
        <w:tblW w:w="9786" w:type="dxa"/>
        <w:tblLook w:val="0020" w:firstRow="1" w:lastRow="0" w:firstColumn="0" w:lastColumn="0" w:noHBand="0" w:noVBand="0"/>
      </w:tblPr>
      <w:tblGrid>
        <w:gridCol w:w="5247"/>
        <w:gridCol w:w="4539"/>
      </w:tblGrid>
      <w:tr w:rsidR="0080130E" w14:paraId="4BCD38DB" w14:textId="77777777" w:rsidTr="00552252">
        <w:trPr>
          <w:trHeight w:val="2028"/>
        </w:trPr>
        <w:tc>
          <w:tcPr>
            <w:tcW w:w="5247" w:type="dxa"/>
          </w:tcPr>
          <w:p w14:paraId="0C8AB689" w14:textId="77777777" w:rsidR="0080130E" w:rsidRDefault="0080130E" w:rsidP="00552252">
            <w:r>
              <w:lastRenderedPageBreak/>
              <w:t xml:space="preserve">11a) Please attach: </w:t>
            </w:r>
          </w:p>
          <w:p w14:paraId="40894BD6" w14:textId="505A51E4" w:rsidR="0080130E" w:rsidRDefault="0080130E" w:rsidP="00552252">
            <w:r>
              <w:t xml:space="preserve">Evidence that the activities described in </w:t>
            </w:r>
            <w:r w:rsidR="52603CE6">
              <w:t xml:space="preserve">Section 3 </w:t>
            </w:r>
            <w:r w:rsidR="000F51F5">
              <w:t>consume</w:t>
            </w:r>
            <w:r>
              <w:t xml:space="preserve"> the percentage of primary energy stated in </w:t>
            </w:r>
            <w:r w:rsidR="6BEC62AE">
              <w:t>10</w:t>
            </w:r>
            <w:r w:rsidR="571CF79D">
              <w:t>c</w:t>
            </w:r>
            <w:r>
              <w:t xml:space="preserve"> and </w:t>
            </w:r>
            <w:r w:rsidR="571CF79D">
              <w:t>10d</w:t>
            </w:r>
            <w:r>
              <w:t xml:space="preserve"> </w:t>
            </w:r>
          </w:p>
          <w:p w14:paraId="6E2F25B3" w14:textId="77777777" w:rsidR="0080130E" w:rsidRDefault="0080130E" w:rsidP="00552252">
            <w:r>
              <w:t xml:space="preserve">Evidence that suitable sub-metering has been installed. </w:t>
            </w:r>
          </w:p>
        </w:tc>
        <w:tc>
          <w:tcPr>
            <w:tcW w:w="4539" w:type="dxa"/>
          </w:tcPr>
          <w:p w14:paraId="21C63432" w14:textId="148645FC" w:rsidR="0080130E" w:rsidRDefault="0080130E" w:rsidP="00552252">
            <w:r>
              <w:t>If No to 10</w:t>
            </w:r>
            <w:r w:rsidR="00F038C1">
              <w:t>a</w:t>
            </w:r>
            <w:r>
              <w:t xml:space="preserve"> – Attach evidence </w:t>
            </w:r>
          </w:p>
        </w:tc>
      </w:tr>
      <w:tr w:rsidR="0080130E" w14:paraId="1ABC2DDC" w14:textId="77777777" w:rsidTr="00552252">
        <w:trPr>
          <w:trHeight w:val="2667"/>
        </w:trPr>
        <w:tc>
          <w:tcPr>
            <w:tcW w:w="5247" w:type="dxa"/>
          </w:tcPr>
          <w:p w14:paraId="1B0B0978" w14:textId="77777777" w:rsidR="0080130E" w:rsidRDefault="0080130E" w:rsidP="00552252">
            <w:r>
              <w:t xml:space="preserve">11b) Please attach either: </w:t>
            </w:r>
          </w:p>
          <w:p w14:paraId="11770741" w14:textId="77777777" w:rsidR="0080130E" w:rsidRDefault="0080130E" w:rsidP="00552252">
            <w:r>
              <w:t xml:space="preserve">Evidence that activities in the installation (STU + DAA) </w:t>
            </w:r>
            <w:proofErr w:type="gramStart"/>
            <w:r>
              <w:t>is</w:t>
            </w:r>
            <w:proofErr w:type="gramEnd"/>
            <w:r>
              <w:t xml:space="preserve"> greater or equal to 70% of the site's total energy use. </w:t>
            </w:r>
          </w:p>
          <w:p w14:paraId="1E5E071B" w14:textId="77777777" w:rsidR="0080130E" w:rsidRDefault="0080130E" w:rsidP="00552252">
            <w:r>
              <w:t xml:space="preserve">Or: </w:t>
            </w:r>
          </w:p>
          <w:p w14:paraId="18435D05" w14:textId="77777777" w:rsidR="0080130E" w:rsidRDefault="0080130E" w:rsidP="00552252">
            <w:r>
              <w:t xml:space="preserve">Evidence that activities outside of the installation (STU + DAA) are less than 30% of the site’s total energy use. </w:t>
            </w:r>
          </w:p>
        </w:tc>
        <w:tc>
          <w:tcPr>
            <w:tcW w:w="4539" w:type="dxa"/>
          </w:tcPr>
          <w:p w14:paraId="6B5443DC" w14:textId="4659FE76" w:rsidR="0080130E" w:rsidRDefault="0080130E" w:rsidP="00552252">
            <w:r>
              <w:t xml:space="preserve">If </w:t>
            </w:r>
            <w:proofErr w:type="gramStart"/>
            <w:r>
              <w:t>Yes</w:t>
            </w:r>
            <w:proofErr w:type="gramEnd"/>
            <w:r>
              <w:t xml:space="preserve"> to 10</w:t>
            </w:r>
            <w:r w:rsidR="00F038C1">
              <w:t>a</w:t>
            </w:r>
            <w:r>
              <w:t xml:space="preserve"> – Attach evidence </w:t>
            </w:r>
          </w:p>
        </w:tc>
      </w:tr>
    </w:tbl>
    <w:p w14:paraId="403809CB" w14:textId="77777777" w:rsidR="0080130E" w:rsidRPr="000C5C46" w:rsidRDefault="0080130E" w:rsidP="0080130E">
      <w:pPr>
        <w:pStyle w:val="Heading2"/>
      </w:pPr>
      <w:bookmarkStart w:id="389" w:name="_Toc228271329"/>
      <w:bookmarkStart w:id="390" w:name="_Toc242885431"/>
      <w:r w:rsidRPr="000C5C46">
        <w:t>Section 5 -</w:t>
      </w:r>
      <w:r w:rsidRPr="00CC52BA">
        <w:t xml:space="preserve"> </w:t>
      </w:r>
      <w:r w:rsidRPr="000C5C46">
        <w:t>Eligibility confirmation</w:t>
      </w:r>
      <w:bookmarkEnd w:id="390"/>
    </w:p>
    <w:p w14:paraId="40DC856A" w14:textId="77777777" w:rsidR="0080130E" w:rsidRDefault="0080130E" w:rsidP="0080130E">
      <w:r w:rsidRPr="00335472">
        <w:t>If you are aware, or</w:t>
      </w:r>
      <w:r>
        <w:t xml:space="preserve"> </w:t>
      </w:r>
      <w:r w:rsidRPr="00335472">
        <w:t xml:space="preserve">become aware at any point, that the facility does not meet the eligibility requirements to hold a CCA, you must </w:t>
      </w:r>
      <w:r w:rsidRPr="007F1D40">
        <w:t xml:space="preserve">notify the Environment Agency immediately and </w:t>
      </w:r>
      <w:r w:rsidRPr="00335472">
        <w:t>confirm the date on which the facility ceased to be eligible</w:t>
      </w:r>
      <w:r>
        <w:t xml:space="preserve"> and provide evidence</w:t>
      </w:r>
      <w:r w:rsidRPr="00335472">
        <w:t>.</w:t>
      </w:r>
      <w:r>
        <w:t xml:space="preserve"> </w:t>
      </w:r>
      <w:r w:rsidRPr="00335472">
        <w:t xml:space="preserve">This applies whether that conclusion was reached before or </w:t>
      </w:r>
      <w:proofErr w:type="gramStart"/>
      <w:r w:rsidRPr="00335472">
        <w:t>as a result of</w:t>
      </w:r>
      <w:proofErr w:type="gramEnd"/>
      <w:r w:rsidRPr="00335472">
        <w:t xml:space="preserve"> compiling the information requested. </w:t>
      </w:r>
      <w:r>
        <w:t xml:space="preserve">Please note that this date will be notified to HMRC. </w:t>
      </w:r>
    </w:p>
    <w:p w14:paraId="66F71716" w14:textId="77777777" w:rsidR="0080130E" w:rsidRDefault="0080130E" w:rsidP="0080130E">
      <w:pPr>
        <w:pStyle w:val="Heading3"/>
      </w:pPr>
      <w:r>
        <w:t xml:space="preserve">12) </w:t>
      </w:r>
      <w:r w:rsidRPr="00726A65">
        <w:t>Eligibility confirmation</w:t>
      </w:r>
    </w:p>
    <w:tbl>
      <w:tblPr>
        <w:tblStyle w:val="TableGridLight"/>
        <w:tblW w:w="9786" w:type="dxa"/>
        <w:tblLook w:val="0020" w:firstRow="1" w:lastRow="0" w:firstColumn="0" w:lastColumn="0" w:noHBand="0" w:noVBand="0"/>
      </w:tblPr>
      <w:tblGrid>
        <w:gridCol w:w="5247"/>
        <w:gridCol w:w="4539"/>
      </w:tblGrid>
      <w:tr w:rsidR="0080130E" w14:paraId="3489C0B3" w14:textId="77777777" w:rsidTr="00552252">
        <w:trPr>
          <w:trHeight w:val="516"/>
        </w:trPr>
        <w:tc>
          <w:tcPr>
            <w:tcW w:w="5247" w:type="dxa"/>
          </w:tcPr>
          <w:p w14:paraId="303D9031" w14:textId="77777777" w:rsidR="0080130E" w:rsidRPr="12DBDAA0" w:rsidRDefault="0080130E" w:rsidP="00552252">
            <w:pPr>
              <w:rPr>
                <w:szCs w:val="24"/>
              </w:rPr>
            </w:pPr>
            <w:r>
              <w:rPr>
                <w:szCs w:val="24"/>
              </w:rPr>
              <w:t>12a) Are you completing this form for an</w:t>
            </w:r>
            <w:r>
              <w:t xml:space="preserve"> application for a change of ownership or facility eligibility audit?</w:t>
            </w:r>
          </w:p>
        </w:tc>
        <w:tc>
          <w:tcPr>
            <w:tcW w:w="4539" w:type="dxa"/>
          </w:tcPr>
          <w:p w14:paraId="44D1828A" w14:textId="77777777" w:rsidR="0080130E" w:rsidRDefault="0080130E" w:rsidP="00552252">
            <w:pPr>
              <w:tabs>
                <w:tab w:val="left" w:pos="0"/>
              </w:tabs>
              <w:spacing w:after="0" w:line="256" w:lineRule="auto"/>
              <w:rPr>
                <w:color w:val="auto"/>
              </w:rPr>
            </w:pPr>
            <w:r>
              <w:t>Yes/No</w:t>
            </w:r>
          </w:p>
        </w:tc>
      </w:tr>
      <w:tr w:rsidR="0080130E" w14:paraId="50923A04" w14:textId="77777777" w:rsidTr="00552252">
        <w:trPr>
          <w:trHeight w:val="516"/>
        </w:trPr>
        <w:tc>
          <w:tcPr>
            <w:tcW w:w="5247" w:type="dxa"/>
          </w:tcPr>
          <w:p w14:paraId="23B26154" w14:textId="23292ECD" w:rsidR="0080130E" w:rsidRDefault="0080130E" w:rsidP="00552252">
            <w:pPr>
              <w:tabs>
                <w:tab w:val="left" w:pos="0"/>
              </w:tabs>
              <w:spacing w:after="0" w:line="256" w:lineRule="auto"/>
              <w:rPr>
                <w:color w:val="auto"/>
              </w:rPr>
            </w:pPr>
            <w:r w:rsidRPr="12DBDAA0">
              <w:rPr>
                <w:szCs w:val="24"/>
              </w:rPr>
              <w:t>1</w:t>
            </w:r>
            <w:r>
              <w:rPr>
                <w:szCs w:val="24"/>
              </w:rPr>
              <w:t>2</w:t>
            </w:r>
            <w:r w:rsidR="003739F1">
              <w:rPr>
                <w:szCs w:val="24"/>
              </w:rPr>
              <w:t>b</w:t>
            </w:r>
            <w:r w:rsidRPr="12DBDAA0">
              <w:rPr>
                <w:szCs w:val="24"/>
              </w:rPr>
              <w:t>) Are you aware, or have you become aware at any point, that the facility does not meet the eligibility requirements to hold a CCA?</w:t>
            </w:r>
          </w:p>
        </w:tc>
        <w:tc>
          <w:tcPr>
            <w:tcW w:w="4539" w:type="dxa"/>
          </w:tcPr>
          <w:p w14:paraId="0D4CA63D" w14:textId="77777777" w:rsidR="0080130E" w:rsidRDefault="0080130E" w:rsidP="00552252">
            <w:pPr>
              <w:tabs>
                <w:tab w:val="left" w:pos="0"/>
              </w:tabs>
              <w:spacing w:after="0" w:line="256" w:lineRule="auto"/>
              <w:rPr>
                <w:color w:val="auto"/>
              </w:rPr>
            </w:pPr>
            <w:r>
              <w:t xml:space="preserve">If </w:t>
            </w:r>
            <w:proofErr w:type="gramStart"/>
            <w:r>
              <w:t>Yes</w:t>
            </w:r>
            <w:proofErr w:type="gramEnd"/>
            <w:r>
              <w:t xml:space="preserve"> to 12a – Yes/No</w:t>
            </w:r>
          </w:p>
        </w:tc>
      </w:tr>
      <w:tr w:rsidR="0080130E" w14:paraId="40DD86F0" w14:textId="77777777" w:rsidTr="00552252">
        <w:trPr>
          <w:trHeight w:val="516"/>
        </w:trPr>
        <w:tc>
          <w:tcPr>
            <w:tcW w:w="5247" w:type="dxa"/>
          </w:tcPr>
          <w:p w14:paraId="14C88CB7" w14:textId="42910671" w:rsidR="0080130E" w:rsidRDefault="0080130E" w:rsidP="00552252">
            <w:pPr>
              <w:tabs>
                <w:tab w:val="left" w:pos="0"/>
              </w:tabs>
              <w:spacing w:after="0" w:line="256" w:lineRule="auto"/>
              <w:rPr>
                <w:color w:val="auto"/>
              </w:rPr>
            </w:pPr>
            <w:r w:rsidRPr="12DBDAA0">
              <w:rPr>
                <w:spacing w:val="-4"/>
                <w:szCs w:val="24"/>
              </w:rPr>
              <w:t>1</w:t>
            </w:r>
            <w:r>
              <w:rPr>
                <w:spacing w:val="-4"/>
                <w:szCs w:val="24"/>
              </w:rPr>
              <w:t>2</w:t>
            </w:r>
            <w:r w:rsidR="003739F1">
              <w:rPr>
                <w:spacing w:val="-4"/>
                <w:szCs w:val="24"/>
              </w:rPr>
              <w:t>c</w:t>
            </w:r>
            <w:r w:rsidRPr="12DBDAA0">
              <w:rPr>
                <w:spacing w:val="-4"/>
                <w:szCs w:val="24"/>
              </w:rPr>
              <w:t>) C</w:t>
            </w:r>
            <w:r w:rsidRPr="12DBDAA0">
              <w:rPr>
                <w:szCs w:val="24"/>
              </w:rPr>
              <w:t>onfirm the date on which the facility ceased to be eligible.</w:t>
            </w:r>
          </w:p>
        </w:tc>
        <w:tc>
          <w:tcPr>
            <w:tcW w:w="4539" w:type="dxa"/>
          </w:tcPr>
          <w:p w14:paraId="6CCAF31D" w14:textId="77777777" w:rsidR="0080130E" w:rsidRDefault="0080130E" w:rsidP="00552252">
            <w:pPr>
              <w:tabs>
                <w:tab w:val="left" w:pos="0"/>
              </w:tabs>
              <w:spacing w:after="0" w:line="256" w:lineRule="auto"/>
              <w:rPr>
                <w:color w:val="auto"/>
              </w:rPr>
            </w:pPr>
            <w:r>
              <w:t xml:space="preserve">If </w:t>
            </w:r>
            <w:proofErr w:type="gramStart"/>
            <w:r>
              <w:t>Yes</w:t>
            </w:r>
            <w:proofErr w:type="gramEnd"/>
            <w:r>
              <w:t xml:space="preserve"> to 12a – Supply</w:t>
            </w:r>
          </w:p>
        </w:tc>
      </w:tr>
      <w:tr w:rsidR="0080130E" w14:paraId="00684F2E" w14:textId="77777777" w:rsidTr="00552252">
        <w:trPr>
          <w:trHeight w:val="514"/>
        </w:trPr>
        <w:tc>
          <w:tcPr>
            <w:tcW w:w="5247" w:type="dxa"/>
          </w:tcPr>
          <w:p w14:paraId="0D8E7224" w14:textId="0236921D" w:rsidR="0080130E" w:rsidRDefault="0080130E" w:rsidP="00552252">
            <w:pPr>
              <w:tabs>
                <w:tab w:val="left" w:pos="0"/>
              </w:tabs>
              <w:spacing w:after="0" w:line="256" w:lineRule="auto"/>
              <w:rPr>
                <w:color w:val="auto"/>
              </w:rPr>
            </w:pPr>
            <w:r w:rsidRPr="12DBDAA0">
              <w:rPr>
                <w:szCs w:val="24"/>
              </w:rPr>
              <w:t>1</w:t>
            </w:r>
            <w:r>
              <w:rPr>
                <w:szCs w:val="24"/>
              </w:rPr>
              <w:t>2</w:t>
            </w:r>
            <w:r w:rsidR="003739F1">
              <w:rPr>
                <w:szCs w:val="24"/>
              </w:rPr>
              <w:t>d</w:t>
            </w:r>
            <w:r w:rsidRPr="12DBDAA0">
              <w:rPr>
                <w:szCs w:val="24"/>
              </w:rPr>
              <w:t>) Please attach evidence to confirm the date on which the facility ceased to be eligible.</w:t>
            </w:r>
          </w:p>
        </w:tc>
        <w:tc>
          <w:tcPr>
            <w:tcW w:w="4539" w:type="dxa"/>
          </w:tcPr>
          <w:p w14:paraId="2CBD9776" w14:textId="77777777" w:rsidR="0080130E" w:rsidRDefault="0080130E" w:rsidP="00552252">
            <w:pPr>
              <w:tabs>
                <w:tab w:val="left" w:pos="0"/>
              </w:tabs>
              <w:spacing w:after="0" w:line="256" w:lineRule="auto"/>
              <w:rPr>
                <w:color w:val="auto"/>
              </w:rPr>
            </w:pPr>
            <w:r>
              <w:t xml:space="preserve">If </w:t>
            </w:r>
            <w:proofErr w:type="gramStart"/>
            <w:r>
              <w:t>Yes</w:t>
            </w:r>
            <w:proofErr w:type="gramEnd"/>
            <w:r>
              <w:t xml:space="preserve"> to 12a – </w:t>
            </w:r>
            <w:r>
              <w:rPr>
                <w:color w:val="auto"/>
              </w:rPr>
              <w:t xml:space="preserve">Attach evidence </w:t>
            </w:r>
          </w:p>
        </w:tc>
      </w:tr>
    </w:tbl>
    <w:p w14:paraId="3CB24BDD" w14:textId="77777777" w:rsidR="0080130E" w:rsidRDefault="0080130E" w:rsidP="0080130E">
      <w:pPr>
        <w:pStyle w:val="Heading2"/>
      </w:pPr>
      <w:bookmarkStart w:id="391" w:name="_Toc242885432"/>
      <w:r>
        <w:t>Section 5 – Submission</w:t>
      </w:r>
      <w:bookmarkEnd w:id="389"/>
      <w:bookmarkEnd w:id="391"/>
    </w:p>
    <w:p w14:paraId="1F1520F3" w14:textId="77777777" w:rsidR="0080130E" w:rsidRDefault="0080130E" w:rsidP="0080130E">
      <w:r>
        <w:t xml:space="preserve">I declare that to the best of my knowledge the information provided on this form is correct. </w:t>
      </w:r>
    </w:p>
    <w:p w14:paraId="089DCCF8" w14:textId="77777777" w:rsidR="0080130E" w:rsidRDefault="0080130E" w:rsidP="0080130E">
      <w:r>
        <w:lastRenderedPageBreak/>
        <w:t xml:space="preserve">I understand that the climate change agreement is bound by the process definition and description of eligible areas of the facility as described on this form. I accept that if there are any changes to the process or the eligible area, I will notify this to the Administrator through the operator in order that an assessment can be made of the need to review the extent of a facility's eligibility. </w:t>
      </w:r>
    </w:p>
    <w:p w14:paraId="28CCEC89" w14:textId="77777777" w:rsidR="0080130E" w:rsidRDefault="0080130E" w:rsidP="0080130E">
      <w:r>
        <w:t>Please supply evidence that the operator associated with this facility has authorised the submission of this information.</w:t>
      </w:r>
    </w:p>
    <w:tbl>
      <w:tblPr>
        <w:tblStyle w:val="TableGridLight"/>
        <w:tblW w:w="9786" w:type="dxa"/>
        <w:tblLook w:val="0020" w:firstRow="1" w:lastRow="0" w:firstColumn="0" w:lastColumn="0" w:noHBand="0" w:noVBand="0"/>
      </w:tblPr>
      <w:tblGrid>
        <w:gridCol w:w="5247"/>
        <w:gridCol w:w="4539"/>
      </w:tblGrid>
      <w:tr w:rsidR="0080130E" w14:paraId="129FA82C" w14:textId="77777777" w:rsidTr="00552252">
        <w:trPr>
          <w:trHeight w:val="637"/>
        </w:trPr>
        <w:tc>
          <w:tcPr>
            <w:tcW w:w="5247" w:type="dxa"/>
          </w:tcPr>
          <w:p w14:paraId="589AFE36" w14:textId="77777777" w:rsidR="0080130E" w:rsidRDefault="0080130E" w:rsidP="00552252">
            <w:r>
              <w:t xml:space="preserve">Signed (electronic signature) </w:t>
            </w:r>
          </w:p>
        </w:tc>
        <w:tc>
          <w:tcPr>
            <w:tcW w:w="4539" w:type="dxa"/>
          </w:tcPr>
          <w:p w14:paraId="4D175188" w14:textId="77777777" w:rsidR="0080130E" w:rsidRDefault="0080130E" w:rsidP="00552252">
            <w:r>
              <w:t xml:space="preserve"> </w:t>
            </w:r>
          </w:p>
        </w:tc>
      </w:tr>
      <w:tr w:rsidR="0080130E" w14:paraId="0B5D6CA2" w14:textId="77777777" w:rsidTr="00552252">
        <w:trPr>
          <w:trHeight w:val="516"/>
        </w:trPr>
        <w:tc>
          <w:tcPr>
            <w:tcW w:w="5247" w:type="dxa"/>
          </w:tcPr>
          <w:p w14:paraId="12036AB1" w14:textId="77777777" w:rsidR="0080130E" w:rsidRDefault="0080130E" w:rsidP="00552252">
            <w:r>
              <w:t xml:space="preserve">Name </w:t>
            </w:r>
          </w:p>
        </w:tc>
        <w:tc>
          <w:tcPr>
            <w:tcW w:w="4539" w:type="dxa"/>
          </w:tcPr>
          <w:p w14:paraId="2820BF73" w14:textId="77777777" w:rsidR="0080130E" w:rsidRDefault="0080130E" w:rsidP="00552252">
            <w:r>
              <w:t xml:space="preserve"> </w:t>
            </w:r>
          </w:p>
        </w:tc>
      </w:tr>
      <w:tr w:rsidR="0080130E" w14:paraId="57C3E63E" w14:textId="77777777" w:rsidTr="00552252">
        <w:trPr>
          <w:trHeight w:val="516"/>
        </w:trPr>
        <w:tc>
          <w:tcPr>
            <w:tcW w:w="5247" w:type="dxa"/>
          </w:tcPr>
          <w:p w14:paraId="1A1D2BC4" w14:textId="77777777" w:rsidR="0080130E" w:rsidRDefault="0080130E" w:rsidP="00552252">
            <w:r>
              <w:t xml:space="preserve">Position or title </w:t>
            </w:r>
          </w:p>
        </w:tc>
        <w:tc>
          <w:tcPr>
            <w:tcW w:w="4539" w:type="dxa"/>
          </w:tcPr>
          <w:p w14:paraId="6C24B86C" w14:textId="77777777" w:rsidR="0080130E" w:rsidRDefault="0080130E" w:rsidP="00552252">
            <w:r>
              <w:t xml:space="preserve"> </w:t>
            </w:r>
          </w:p>
        </w:tc>
      </w:tr>
      <w:tr w:rsidR="0080130E" w14:paraId="5F1216F6" w14:textId="77777777" w:rsidTr="00552252">
        <w:trPr>
          <w:trHeight w:val="517"/>
        </w:trPr>
        <w:tc>
          <w:tcPr>
            <w:tcW w:w="5247" w:type="dxa"/>
          </w:tcPr>
          <w:p w14:paraId="1164BEA7" w14:textId="77777777" w:rsidR="0080130E" w:rsidRDefault="0080130E" w:rsidP="00552252">
            <w:r>
              <w:t xml:space="preserve">Date </w:t>
            </w:r>
          </w:p>
        </w:tc>
        <w:tc>
          <w:tcPr>
            <w:tcW w:w="4539" w:type="dxa"/>
          </w:tcPr>
          <w:p w14:paraId="60F2D63F" w14:textId="77777777" w:rsidR="0080130E" w:rsidRDefault="0080130E" w:rsidP="00552252">
            <w:r>
              <w:t xml:space="preserve"> </w:t>
            </w:r>
          </w:p>
        </w:tc>
      </w:tr>
    </w:tbl>
    <w:p w14:paraId="60257AE5" w14:textId="409C4C44" w:rsidR="0080130E" w:rsidRPr="00BD74B1" w:rsidRDefault="0080130E" w:rsidP="00BD74B1">
      <w:pPr>
        <w:suppressAutoHyphens w:val="0"/>
        <w:spacing w:before="0" w:beforeAutospacing="0" w:after="160" w:afterAutospacing="0" w:line="256" w:lineRule="auto"/>
        <w:rPr>
          <w:color w:val="auto"/>
        </w:rPr>
      </w:pPr>
      <w:r>
        <w:rPr>
          <w:color w:val="auto"/>
        </w:rPr>
        <w:br w:type="page"/>
      </w:r>
    </w:p>
    <w:p w14:paraId="56009FD5" w14:textId="11DA7572" w:rsidR="00026E66" w:rsidRDefault="00022606" w:rsidP="00FF0098">
      <w:pPr>
        <w:pStyle w:val="Heading1"/>
        <w:tabs>
          <w:tab w:val="left" w:pos="0"/>
        </w:tabs>
      </w:pPr>
      <w:bookmarkStart w:id="392" w:name="_Appendix_H:_Workbook_1"/>
      <w:bookmarkStart w:id="393" w:name="_Toc242885433"/>
      <w:bookmarkEnd w:id="392"/>
      <w:r>
        <w:lastRenderedPageBreak/>
        <w:t>Appendix H</w:t>
      </w:r>
      <w:r w:rsidR="002737EF">
        <w:t>: Workbook tools</w:t>
      </w:r>
      <w:bookmarkEnd w:id="371"/>
      <w:bookmarkEnd w:id="372"/>
      <w:bookmarkEnd w:id="393"/>
      <w:r w:rsidR="002737EF">
        <w:t xml:space="preserve"> </w:t>
      </w:r>
    </w:p>
    <w:p w14:paraId="71008A9D" w14:textId="0FF07FBD" w:rsidR="00026E66" w:rsidRDefault="002737EF" w:rsidP="00FF0098">
      <w:pPr>
        <w:pStyle w:val="Heading2"/>
        <w:tabs>
          <w:tab w:val="left" w:pos="0"/>
        </w:tabs>
      </w:pPr>
      <w:bookmarkStart w:id="394" w:name="_Toc242885434"/>
      <w:r>
        <w:t xml:space="preserve">New </w:t>
      </w:r>
      <w:r w:rsidR="00E75C8E">
        <w:t>e</w:t>
      </w:r>
      <w:r>
        <w:t>ntrant and variation target calculators</w:t>
      </w:r>
      <w:bookmarkEnd w:id="394"/>
      <w:r>
        <w:t xml:space="preserve"> </w:t>
      </w:r>
    </w:p>
    <w:tbl>
      <w:tblPr>
        <w:tblStyle w:val="TableGridLight"/>
        <w:tblW w:w="0" w:type="auto"/>
        <w:tblLook w:val="04A0" w:firstRow="1" w:lastRow="0" w:firstColumn="1" w:lastColumn="0" w:noHBand="0" w:noVBand="1"/>
      </w:tblPr>
      <w:tblGrid>
        <w:gridCol w:w="1980"/>
        <w:gridCol w:w="1984"/>
        <w:gridCol w:w="1560"/>
        <w:gridCol w:w="3658"/>
      </w:tblGrid>
      <w:tr w:rsidR="00C60053" w14:paraId="4ED4627A" w14:textId="77777777" w:rsidTr="0007222A">
        <w:tc>
          <w:tcPr>
            <w:tcW w:w="1980" w:type="dxa"/>
          </w:tcPr>
          <w:p w14:paraId="44456F08" w14:textId="47E3E55A" w:rsidR="00562A78" w:rsidRDefault="00562A78" w:rsidP="00562A78">
            <w:r>
              <w:rPr>
                <w:b/>
                <w:color w:val="auto"/>
              </w:rPr>
              <w:t>Workbook</w:t>
            </w:r>
            <w:r>
              <w:rPr>
                <w:color w:val="auto"/>
              </w:rPr>
              <w:t xml:space="preserve"> </w:t>
            </w:r>
          </w:p>
        </w:tc>
        <w:tc>
          <w:tcPr>
            <w:tcW w:w="1984" w:type="dxa"/>
          </w:tcPr>
          <w:p w14:paraId="36C14E10" w14:textId="04273A9C" w:rsidR="00562A78" w:rsidRDefault="00562A78" w:rsidP="00562A78">
            <w:r>
              <w:rPr>
                <w:b/>
                <w:color w:val="auto"/>
              </w:rPr>
              <w:t>Used for</w:t>
            </w:r>
            <w:r>
              <w:rPr>
                <w:color w:val="auto"/>
              </w:rPr>
              <w:t xml:space="preserve"> </w:t>
            </w:r>
          </w:p>
        </w:tc>
        <w:tc>
          <w:tcPr>
            <w:tcW w:w="1560" w:type="dxa"/>
          </w:tcPr>
          <w:p w14:paraId="30DC9295" w14:textId="0CE27F5F" w:rsidR="00562A78" w:rsidRPr="00FC355D" w:rsidRDefault="00562A78" w:rsidP="00562A78">
            <w:pPr>
              <w:rPr>
                <w:color w:val="0070C0"/>
              </w:rPr>
            </w:pPr>
            <w:r w:rsidRPr="00FC355D">
              <w:rPr>
                <w:b/>
                <w:color w:val="auto"/>
              </w:rPr>
              <w:t>File name</w:t>
            </w:r>
          </w:p>
        </w:tc>
        <w:tc>
          <w:tcPr>
            <w:tcW w:w="3658" w:type="dxa"/>
          </w:tcPr>
          <w:p w14:paraId="18F01EA5" w14:textId="5042F74C" w:rsidR="00562A78" w:rsidRDefault="00562A78" w:rsidP="00562A78">
            <w:r>
              <w:rPr>
                <w:b/>
                <w:color w:val="auto"/>
              </w:rPr>
              <w:t>Application</w:t>
            </w:r>
            <w:r>
              <w:rPr>
                <w:color w:val="auto"/>
              </w:rPr>
              <w:t xml:space="preserve"> </w:t>
            </w:r>
          </w:p>
        </w:tc>
      </w:tr>
      <w:tr w:rsidR="00C60053" w14:paraId="7B344B41" w14:textId="77777777" w:rsidTr="0007222A">
        <w:tc>
          <w:tcPr>
            <w:tcW w:w="1980" w:type="dxa"/>
          </w:tcPr>
          <w:p w14:paraId="44D2C78C" w14:textId="2700F111" w:rsidR="00562A78" w:rsidRPr="00A26401" w:rsidRDefault="00562A78" w:rsidP="00562A78">
            <w:r w:rsidRPr="00A26401">
              <w:rPr>
                <w:b/>
                <w:color w:val="auto"/>
              </w:rPr>
              <w:t>Target</w:t>
            </w:r>
            <w:hyperlink r:id="rId97" w:history="1">
              <w:r w:rsidRPr="00A26401">
                <w:rPr>
                  <w:b/>
                  <w:color w:val="auto"/>
                </w:rPr>
                <w:t xml:space="preserve"> </w:t>
              </w:r>
            </w:hyperlink>
            <w:hyperlink r:id="rId98" w:history="1">
              <w:r w:rsidRPr="00A26401">
                <w:rPr>
                  <w:b/>
                  <w:color w:val="auto"/>
                </w:rPr>
                <w:t>calculator</w:t>
              </w:r>
            </w:hyperlink>
            <w:hyperlink r:id="rId99" w:history="1">
              <w:r w:rsidRPr="00A26401">
                <w:rPr>
                  <w:color w:val="auto"/>
                </w:rPr>
                <w:t xml:space="preserve"> </w:t>
              </w:r>
            </w:hyperlink>
          </w:p>
        </w:tc>
        <w:tc>
          <w:tcPr>
            <w:tcW w:w="1984" w:type="dxa"/>
          </w:tcPr>
          <w:p w14:paraId="653E2EE8" w14:textId="34EB7E47" w:rsidR="00562A78" w:rsidRDefault="00562A78" w:rsidP="00827D03">
            <w:pPr>
              <w:tabs>
                <w:tab w:val="left" w:pos="0"/>
              </w:tabs>
              <w:spacing w:after="0" w:line="256" w:lineRule="auto"/>
            </w:pPr>
            <w:r>
              <w:rPr>
                <w:color w:val="auto"/>
              </w:rPr>
              <w:t>New applications and base line variations including data corrections</w:t>
            </w:r>
          </w:p>
        </w:tc>
        <w:tc>
          <w:tcPr>
            <w:tcW w:w="1560" w:type="dxa"/>
          </w:tcPr>
          <w:p w14:paraId="1D9A6D73" w14:textId="1CE57642" w:rsidR="00827D03" w:rsidRPr="00FC355D" w:rsidRDefault="00113AEB" w:rsidP="00562A78">
            <w:hyperlink r:id="rId100" w:history="1">
              <w:r w:rsidRPr="00207F6E">
                <w:rPr>
                  <w:rStyle w:val="Hyperlink"/>
                </w:rPr>
                <w:t>LIT 10506</w:t>
              </w:r>
            </w:hyperlink>
          </w:p>
        </w:tc>
        <w:tc>
          <w:tcPr>
            <w:tcW w:w="3658" w:type="dxa"/>
          </w:tcPr>
          <w:p w14:paraId="48658F39" w14:textId="3E951266" w:rsidR="00562A78" w:rsidRDefault="00562A78" w:rsidP="00562A78">
            <w:r>
              <w:rPr>
                <w:color w:val="auto"/>
              </w:rPr>
              <w:t xml:space="preserve">This workbook is for working out the appropriate targets for new entrant </w:t>
            </w:r>
            <w:r w:rsidR="00CB2AF2">
              <w:rPr>
                <w:color w:val="auto"/>
              </w:rPr>
              <w:t>facilities</w:t>
            </w:r>
            <w:r>
              <w:rPr>
                <w:color w:val="auto"/>
              </w:rPr>
              <w:t xml:space="preserve"> or for existing </w:t>
            </w:r>
            <w:r w:rsidR="002D62EB">
              <w:rPr>
                <w:color w:val="auto"/>
              </w:rPr>
              <w:t>facilities.</w:t>
            </w:r>
            <w:r>
              <w:rPr>
                <w:color w:val="auto"/>
              </w:rPr>
              <w:t xml:space="preserve"> It may be used for baseline revisions due to eligibility changes, structural changes or </w:t>
            </w:r>
            <w:r w:rsidR="00D15861">
              <w:rPr>
                <w:color w:val="auto"/>
              </w:rPr>
              <w:t>errors.</w:t>
            </w:r>
            <w:r>
              <w:rPr>
                <w:color w:val="auto"/>
              </w:rPr>
              <w:t xml:space="preserve"> Some data </w:t>
            </w:r>
            <w:proofErr w:type="gramStart"/>
            <w:r>
              <w:rPr>
                <w:color w:val="auto"/>
              </w:rPr>
              <w:t>has to</w:t>
            </w:r>
            <w:proofErr w:type="gramEnd"/>
            <w:r>
              <w:rPr>
                <w:color w:val="auto"/>
              </w:rPr>
              <w:t xml:space="preserve"> remain fixed (</w:t>
            </w:r>
            <w:r w:rsidR="007A7512">
              <w:rPr>
                <w:color w:val="auto"/>
              </w:rPr>
              <w:t>for example</w:t>
            </w:r>
            <w:r>
              <w:rPr>
                <w:color w:val="auto"/>
              </w:rPr>
              <w:t xml:space="preserve"> units, percentage improvement profile). It captures revised baseline energy and fuel split data and calculates the </w:t>
            </w:r>
            <w:r w:rsidR="00CB2AF2">
              <w:rPr>
                <w:color w:val="auto"/>
              </w:rPr>
              <w:t>facility</w:t>
            </w:r>
            <w:r>
              <w:rPr>
                <w:color w:val="auto"/>
              </w:rPr>
              <w:t xml:space="preserve"> numerical targets by using the </w:t>
            </w:r>
            <w:r w:rsidR="00CB2AF2">
              <w:rPr>
                <w:color w:val="auto"/>
              </w:rPr>
              <w:t>facility</w:t>
            </w:r>
            <w:r>
              <w:rPr>
                <w:color w:val="auto"/>
              </w:rPr>
              <w:t xml:space="preserve"> percentage targets. </w:t>
            </w:r>
          </w:p>
        </w:tc>
      </w:tr>
    </w:tbl>
    <w:p w14:paraId="37C69440" w14:textId="26B4096F" w:rsidR="7B63EFD3" w:rsidRDefault="7B63EFD3"/>
    <w:p w14:paraId="54234A16" w14:textId="77777777" w:rsidR="00562A78" w:rsidRDefault="00562A78">
      <w:pPr>
        <w:suppressAutoHyphens w:val="0"/>
        <w:spacing w:before="0" w:beforeAutospacing="0" w:after="160" w:afterAutospacing="0" w:line="256" w:lineRule="auto"/>
      </w:pPr>
      <w:r>
        <w:br w:type="page"/>
      </w:r>
    </w:p>
    <w:p w14:paraId="747A2D0A" w14:textId="45C4D058" w:rsidR="00026E66" w:rsidRDefault="002737EF" w:rsidP="00FF0098">
      <w:pPr>
        <w:pStyle w:val="Heading2"/>
        <w:tabs>
          <w:tab w:val="left" w:pos="0"/>
        </w:tabs>
      </w:pPr>
      <w:bookmarkStart w:id="395" w:name="_Toc242885435"/>
      <w:r>
        <w:lastRenderedPageBreak/>
        <w:t xml:space="preserve">Reporting </w:t>
      </w:r>
      <w:r w:rsidR="00E75C8E">
        <w:t>v</w:t>
      </w:r>
      <w:r>
        <w:t xml:space="preserve">ariation </w:t>
      </w:r>
      <w:r w:rsidR="00E75C8E">
        <w:t>t</w:t>
      </w:r>
      <w:r>
        <w:t>arget calculators</w:t>
      </w:r>
      <w:bookmarkEnd w:id="395"/>
      <w:r>
        <w:t xml:space="preserve"> </w:t>
      </w:r>
    </w:p>
    <w:tbl>
      <w:tblPr>
        <w:tblStyle w:val="TableGridLight"/>
        <w:tblW w:w="0" w:type="auto"/>
        <w:tblLook w:val="04A0" w:firstRow="1" w:lastRow="0" w:firstColumn="1" w:lastColumn="0" w:noHBand="0" w:noVBand="1"/>
      </w:tblPr>
      <w:tblGrid>
        <w:gridCol w:w="2122"/>
        <w:gridCol w:w="1471"/>
        <w:gridCol w:w="1505"/>
        <w:gridCol w:w="4093"/>
      </w:tblGrid>
      <w:tr w:rsidR="00C60053" w14:paraId="197C37E7" w14:textId="77777777" w:rsidTr="0007222A">
        <w:tc>
          <w:tcPr>
            <w:tcW w:w="2122" w:type="dxa"/>
          </w:tcPr>
          <w:p w14:paraId="2A436B59" w14:textId="101AC51C" w:rsidR="00562A78" w:rsidRDefault="00562A78" w:rsidP="00562A78">
            <w:r>
              <w:rPr>
                <w:b/>
                <w:color w:val="auto"/>
              </w:rPr>
              <w:t>Workbook</w:t>
            </w:r>
            <w:r>
              <w:rPr>
                <w:color w:val="auto"/>
              </w:rPr>
              <w:t xml:space="preserve"> </w:t>
            </w:r>
          </w:p>
        </w:tc>
        <w:tc>
          <w:tcPr>
            <w:tcW w:w="1471" w:type="dxa"/>
          </w:tcPr>
          <w:p w14:paraId="777A038E" w14:textId="6E086C74" w:rsidR="00562A78" w:rsidRDefault="00562A78" w:rsidP="00562A78">
            <w:r>
              <w:rPr>
                <w:b/>
                <w:color w:val="auto"/>
              </w:rPr>
              <w:t>Used for</w:t>
            </w:r>
            <w:r>
              <w:rPr>
                <w:color w:val="auto"/>
              </w:rPr>
              <w:t xml:space="preserve"> </w:t>
            </w:r>
          </w:p>
        </w:tc>
        <w:tc>
          <w:tcPr>
            <w:tcW w:w="1505" w:type="dxa"/>
          </w:tcPr>
          <w:p w14:paraId="1EE750B4" w14:textId="5435A190" w:rsidR="00562A78" w:rsidRPr="00E75C8E" w:rsidRDefault="00562A78" w:rsidP="00562A78">
            <w:pPr>
              <w:rPr>
                <w:color w:val="0070C0"/>
              </w:rPr>
            </w:pPr>
            <w:r w:rsidRPr="00E75C8E">
              <w:rPr>
                <w:b/>
                <w:color w:val="auto"/>
              </w:rPr>
              <w:t>File name</w:t>
            </w:r>
            <w:r w:rsidRPr="00E75C8E">
              <w:rPr>
                <w:color w:val="auto"/>
              </w:rPr>
              <w:t xml:space="preserve"> </w:t>
            </w:r>
          </w:p>
        </w:tc>
        <w:tc>
          <w:tcPr>
            <w:tcW w:w="4093" w:type="dxa"/>
          </w:tcPr>
          <w:p w14:paraId="2B0FD572" w14:textId="2884023B" w:rsidR="00562A78" w:rsidRDefault="00562A78" w:rsidP="00562A78">
            <w:r>
              <w:rPr>
                <w:b/>
                <w:color w:val="auto"/>
              </w:rPr>
              <w:t>Application</w:t>
            </w:r>
            <w:r>
              <w:rPr>
                <w:color w:val="auto"/>
              </w:rPr>
              <w:t xml:space="preserve"> </w:t>
            </w:r>
          </w:p>
        </w:tc>
      </w:tr>
      <w:tr w:rsidR="00C60053" w14:paraId="63BD0CBC" w14:textId="77777777" w:rsidTr="0007222A">
        <w:tc>
          <w:tcPr>
            <w:tcW w:w="2122" w:type="dxa"/>
          </w:tcPr>
          <w:p w14:paraId="4D796951" w14:textId="3AF2ADED" w:rsidR="00562A78" w:rsidRDefault="00562A78" w:rsidP="00562A78">
            <w:r>
              <w:rPr>
                <w:b/>
                <w:color w:val="auto"/>
              </w:rPr>
              <w:t>Supply disruption calculator</w:t>
            </w:r>
            <w:r>
              <w:rPr>
                <w:color w:val="auto"/>
              </w:rPr>
              <w:t xml:space="preserve"> </w:t>
            </w:r>
          </w:p>
        </w:tc>
        <w:tc>
          <w:tcPr>
            <w:tcW w:w="1471" w:type="dxa"/>
          </w:tcPr>
          <w:p w14:paraId="45CA1E72" w14:textId="0B07378A" w:rsidR="00562A78" w:rsidRDefault="00562A78" w:rsidP="00562A78">
            <w:r>
              <w:rPr>
                <w:color w:val="auto"/>
              </w:rPr>
              <w:t xml:space="preserve">Target adjustment </w:t>
            </w:r>
          </w:p>
        </w:tc>
        <w:tc>
          <w:tcPr>
            <w:tcW w:w="1505" w:type="dxa"/>
          </w:tcPr>
          <w:p w14:paraId="75FEC2F8" w14:textId="669BFD7A" w:rsidR="00562A78" w:rsidRPr="00E75C8E" w:rsidRDefault="00562A78" w:rsidP="00562A78">
            <w:pPr>
              <w:rPr>
                <w:color w:val="0070C0"/>
              </w:rPr>
            </w:pPr>
            <w:hyperlink r:id="rId101" w:history="1">
              <w:r w:rsidRPr="00E75C8E">
                <w:rPr>
                  <w:color w:val="0070C0"/>
                  <w:u w:val="single" w:color="0077B9"/>
                </w:rPr>
                <w:t>LIT</w:t>
              </w:r>
            </w:hyperlink>
            <w:hyperlink r:id="rId102" w:history="1">
              <w:r w:rsidRPr="00E75C8E">
                <w:rPr>
                  <w:color w:val="0070C0"/>
                  <w:u w:val="single" w:color="0077B9"/>
                </w:rPr>
                <w:t xml:space="preserve"> </w:t>
              </w:r>
            </w:hyperlink>
            <w:hyperlink r:id="rId103" w:history="1">
              <w:r w:rsidRPr="00E75C8E">
                <w:rPr>
                  <w:color w:val="0070C0"/>
                  <w:u w:val="single" w:color="0077B9"/>
                </w:rPr>
                <w:t>10083</w:t>
              </w:r>
            </w:hyperlink>
            <w:hyperlink r:id="rId104" w:history="1">
              <w:r w:rsidRPr="00E75C8E">
                <w:rPr>
                  <w:color w:val="0070C0"/>
                </w:rPr>
                <w:t xml:space="preserve"> </w:t>
              </w:r>
            </w:hyperlink>
          </w:p>
        </w:tc>
        <w:tc>
          <w:tcPr>
            <w:tcW w:w="4093" w:type="dxa"/>
          </w:tcPr>
          <w:p w14:paraId="498A8FD7" w14:textId="71512E6F" w:rsidR="00562A78" w:rsidRDefault="00562A78" w:rsidP="00562A78">
            <w:r>
              <w:rPr>
                <w:color w:val="auto"/>
              </w:rPr>
              <w:t xml:space="preserve">This workbook is mandatory for use in cases where an unexpected disruption in the supply of energy to a site, or an unexpected failure in on-site dedicated electricity generation has occurred. It enables the target to be adjusted in line with the extra energy associated with the disruption of power supply. </w:t>
            </w:r>
          </w:p>
        </w:tc>
      </w:tr>
      <w:tr w:rsidR="00C60053" w14:paraId="380FD18B" w14:textId="77777777" w:rsidTr="0007222A">
        <w:tc>
          <w:tcPr>
            <w:tcW w:w="2122" w:type="dxa"/>
          </w:tcPr>
          <w:p w14:paraId="37226966" w14:textId="46B31954" w:rsidR="00562A78" w:rsidRDefault="00562A78" w:rsidP="00562A78">
            <w:r>
              <w:rPr>
                <w:b/>
                <w:color w:val="auto"/>
              </w:rPr>
              <w:t xml:space="preserve">Fall in throughput for </w:t>
            </w:r>
            <w:r w:rsidR="008526C1">
              <w:rPr>
                <w:b/>
                <w:color w:val="auto"/>
              </w:rPr>
              <w:t xml:space="preserve">facilities </w:t>
            </w:r>
            <w:r w:rsidR="00821498">
              <w:rPr>
                <w:b/>
                <w:color w:val="auto"/>
              </w:rPr>
              <w:t xml:space="preserve">that have 100% fixed energy </w:t>
            </w:r>
            <w:r w:rsidR="00DC74A7">
              <w:rPr>
                <w:b/>
                <w:color w:val="auto"/>
              </w:rPr>
              <w:t>(previously known as absolute target)</w:t>
            </w:r>
          </w:p>
        </w:tc>
        <w:tc>
          <w:tcPr>
            <w:tcW w:w="1471" w:type="dxa"/>
          </w:tcPr>
          <w:p w14:paraId="3E32445F" w14:textId="0E6771B3" w:rsidR="00562A78" w:rsidRDefault="00562A78" w:rsidP="00562A78">
            <w:r>
              <w:rPr>
                <w:color w:val="auto"/>
              </w:rPr>
              <w:t xml:space="preserve">Target adjustment </w:t>
            </w:r>
          </w:p>
        </w:tc>
        <w:tc>
          <w:tcPr>
            <w:tcW w:w="1505" w:type="dxa"/>
          </w:tcPr>
          <w:p w14:paraId="2975D3F1" w14:textId="3B1E3A41" w:rsidR="00562A78" w:rsidRPr="00E75C8E" w:rsidRDefault="00562A78" w:rsidP="00562A78">
            <w:pPr>
              <w:rPr>
                <w:color w:val="0070C0"/>
              </w:rPr>
            </w:pPr>
            <w:hyperlink r:id="rId105" w:history="1">
              <w:r w:rsidRPr="00E75C8E">
                <w:rPr>
                  <w:color w:val="0070C0"/>
                  <w:u w:val="single" w:color="0077B9"/>
                </w:rPr>
                <w:t>LIT</w:t>
              </w:r>
            </w:hyperlink>
            <w:hyperlink r:id="rId106" w:history="1">
              <w:r w:rsidRPr="00E75C8E">
                <w:rPr>
                  <w:color w:val="0070C0"/>
                  <w:u w:val="single" w:color="0077B9"/>
                </w:rPr>
                <w:t xml:space="preserve"> </w:t>
              </w:r>
            </w:hyperlink>
            <w:hyperlink r:id="rId107" w:history="1">
              <w:r w:rsidRPr="00E75C8E">
                <w:rPr>
                  <w:color w:val="0070C0"/>
                  <w:u w:val="single" w:color="0077B9"/>
                </w:rPr>
                <w:t>10086</w:t>
              </w:r>
            </w:hyperlink>
            <w:hyperlink r:id="rId108" w:history="1">
              <w:r w:rsidRPr="00E75C8E">
                <w:rPr>
                  <w:color w:val="0070C0"/>
                </w:rPr>
                <w:t xml:space="preserve"> </w:t>
              </w:r>
            </w:hyperlink>
          </w:p>
        </w:tc>
        <w:tc>
          <w:tcPr>
            <w:tcW w:w="4093" w:type="dxa"/>
          </w:tcPr>
          <w:p w14:paraId="28509FD1" w14:textId="1C68D781" w:rsidR="00562A78" w:rsidRDefault="00562A78" w:rsidP="00562A78">
            <w:r>
              <w:rPr>
                <w:color w:val="auto"/>
              </w:rPr>
              <w:t>This workbook is for target adjustment in cases where the throughput of a</w:t>
            </w:r>
            <w:r w:rsidR="00CB2AF2">
              <w:rPr>
                <w:color w:val="auto"/>
              </w:rPr>
              <w:t xml:space="preserve"> facility that has apportioned 100% of its energy as fixed </w:t>
            </w:r>
            <w:r w:rsidR="003750DF">
              <w:rPr>
                <w:color w:val="auto"/>
              </w:rPr>
              <w:t>energy falls</w:t>
            </w:r>
            <w:r>
              <w:rPr>
                <w:color w:val="auto"/>
              </w:rPr>
              <w:t xml:space="preserve"> by more than 10% of twice the base year throughput. </w:t>
            </w:r>
          </w:p>
        </w:tc>
      </w:tr>
    </w:tbl>
    <w:p w14:paraId="74CDD586" w14:textId="42A6979C" w:rsidR="7B63EFD3" w:rsidRDefault="7B63EFD3">
      <w:bookmarkStart w:id="396" w:name="_Appendix_I:_The"/>
      <w:bookmarkEnd w:id="396"/>
    </w:p>
    <w:p w14:paraId="50620D25" w14:textId="5D7E5C93" w:rsidR="7B63EFD3" w:rsidRDefault="7B63EFD3"/>
    <w:p w14:paraId="3EC187DF" w14:textId="3F8FF372" w:rsidR="00026E66" w:rsidRDefault="00026E66" w:rsidP="007A7512"/>
    <w:p w14:paraId="5B18718F" w14:textId="77777777" w:rsidR="0079596B" w:rsidRDefault="0079596B" w:rsidP="007A7512"/>
    <w:p w14:paraId="797072B6" w14:textId="77777777" w:rsidR="0079596B" w:rsidRDefault="0079596B" w:rsidP="007A7512"/>
    <w:p w14:paraId="10DD753D" w14:textId="77777777" w:rsidR="0079596B" w:rsidRDefault="0079596B" w:rsidP="007A7512"/>
    <w:p w14:paraId="5C0DE2B7" w14:textId="77777777" w:rsidR="0079596B" w:rsidRDefault="0079596B" w:rsidP="007A7512"/>
    <w:p w14:paraId="3D9D62A0" w14:textId="77777777" w:rsidR="0079596B" w:rsidRDefault="0079596B" w:rsidP="007A7512"/>
    <w:p w14:paraId="34890D67" w14:textId="77777777" w:rsidR="0079596B" w:rsidRDefault="0079596B" w:rsidP="007A7512"/>
    <w:p w14:paraId="3A833568" w14:textId="77777777" w:rsidR="0079596B" w:rsidRDefault="0079596B" w:rsidP="007A7512"/>
    <w:p w14:paraId="328B682E" w14:textId="77777777" w:rsidR="0079596B" w:rsidRDefault="0079596B" w:rsidP="007A7512"/>
    <w:p w14:paraId="4984EDF9" w14:textId="77777777" w:rsidR="00026E66" w:rsidRDefault="00026E66" w:rsidP="007A7512"/>
    <w:sectPr w:rsidR="00026E66" w:rsidSect="006925E6">
      <w:headerReference w:type="default" r:id="rId109"/>
      <w:footerReference w:type="default" r:id="rId110"/>
      <w:headerReference w:type="first" r:id="rId111"/>
      <w:footerReference w:type="first" r:id="rId112"/>
      <w:footnotePr>
        <w:numRestart w:val="eachPage"/>
      </w:footnotePr>
      <w:pgSz w:w="11899" w:h="16841"/>
      <w:pgMar w:top="1440" w:right="1128" w:bottom="1440"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32B32" w14:textId="77777777" w:rsidR="00F07034" w:rsidRDefault="00F07034">
      <w:pPr>
        <w:spacing w:after="0"/>
      </w:pPr>
      <w:r>
        <w:separator/>
      </w:r>
    </w:p>
  </w:endnote>
  <w:endnote w:type="continuationSeparator" w:id="0">
    <w:p w14:paraId="2494644B" w14:textId="77777777" w:rsidR="00F07034" w:rsidRDefault="00F0703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1D95" w14:textId="3260507B" w:rsidR="001049E0" w:rsidRDefault="001E628A">
    <w:pPr>
      <w:pStyle w:val="Footer"/>
    </w:pPr>
    <w:r>
      <w:rPr>
        <w:noProof/>
      </w:rPr>
      <mc:AlternateContent>
        <mc:Choice Requires="wps">
          <w:drawing>
            <wp:anchor distT="0" distB="0" distL="0" distR="0" simplePos="0" relativeHeight="251658245" behindDoc="0" locked="0" layoutInCell="1" allowOverlap="1" wp14:anchorId="33FC4E2F" wp14:editId="4AE903B0">
              <wp:simplePos x="635" y="635"/>
              <wp:positionH relativeFrom="page">
                <wp:align>center</wp:align>
              </wp:positionH>
              <wp:positionV relativeFrom="page">
                <wp:align>bottom</wp:align>
              </wp:positionV>
              <wp:extent cx="1137920" cy="546735"/>
              <wp:effectExtent l="0" t="0" r="5080" b="0"/>
              <wp:wrapNone/>
              <wp:docPr id="1253676699" name="Text Box 7"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37920" cy="546735"/>
                      </a:xfrm>
                      <a:prstGeom prst="rect">
                        <a:avLst/>
                      </a:prstGeom>
                      <a:noFill/>
                      <a:ln>
                        <a:noFill/>
                      </a:ln>
                    </wps:spPr>
                    <wps:txbx>
                      <w:txbxContent>
                        <w:p w14:paraId="76926A4F" w14:textId="6A05450B" w:rsidR="001E628A" w:rsidRPr="001E628A" w:rsidRDefault="001E628A" w:rsidP="001E628A">
                          <w:pPr>
                            <w:spacing w:after="0"/>
                            <w:rPr>
                              <w:rFonts w:ascii="Aptos" w:eastAsia="Aptos" w:hAnsi="Aptos" w:cs="Aptos"/>
                              <w:noProof/>
                              <w:sz w:val="20"/>
                              <w:szCs w:val="20"/>
                            </w:rPr>
                          </w:pPr>
                          <w:r w:rsidRPr="001E628A">
                            <w:rPr>
                              <w:rFonts w:ascii="Aptos" w:eastAsia="Aptos" w:hAnsi="Aptos" w:cs="Aptos"/>
                              <w:noProof/>
                              <w:sz w:val="20"/>
                              <w:szCs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FC4E2F" id="_x0000_t202" coordsize="21600,21600" o:spt="202" path="m,l,21600r21600,l21600,xe">
              <v:stroke joinstyle="miter"/>
              <v:path gradientshapeok="t" o:connecttype="rect"/>
            </v:shapetype>
            <v:shape id="Text Box 7" o:spid="_x0000_s1027" type="#_x0000_t202" alt="OFFICIAL-SENSITIVE" style="position:absolute;margin-left:0;margin-top:0;width:89.6pt;height:43.0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" filled="f" stroked="f">
              <v:textbox style="mso-fit-shape-to-text:t" inset="0,0,0,15pt">
                <w:txbxContent>
                  <w:p w14:paraId="76926A4F" w14:textId="6A05450B" w:rsidR="001E628A" w:rsidRPr="001E628A" w:rsidRDefault="001E628A" w:rsidP="001E628A">
                    <w:pPr>
                      <w:spacing w:after="0"/>
                      <w:rPr>
                        <w:rFonts w:ascii="Aptos" w:eastAsia="Aptos" w:hAnsi="Aptos" w:cs="Aptos"/>
                        <w:noProof/>
                        <w:sz w:val="20"/>
                        <w:szCs w:val="20"/>
                      </w:rPr>
                    </w:pPr>
                    <w:r w:rsidRPr="001E628A">
                      <w:rPr>
                        <w:rFonts w:ascii="Aptos" w:eastAsia="Aptos" w:hAnsi="Aptos" w:cs="Aptos"/>
                        <w:noProof/>
                        <w:sz w:val="20"/>
                        <w:szCs w:val="20"/>
                      </w:rPr>
                      <w:t>OFFICIAL-SENSITIVE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AE40E" w14:textId="19F79C51" w:rsidR="00FF0098" w:rsidRDefault="00FF0098">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72EBC" w14:textId="59294F26" w:rsidR="007107B6" w:rsidRDefault="002737EF" w:rsidP="00DD721B">
    <w:pPr>
      <w:tabs>
        <w:tab w:val="center" w:pos="0"/>
        <w:tab w:val="center" w:pos="5465"/>
        <w:tab w:val="right" w:pos="8931"/>
      </w:tabs>
      <w:spacing w:after="0" w:line="256" w:lineRule="auto"/>
    </w:pPr>
    <w:r>
      <w:rPr>
        <w:rFonts w:ascii="Calibri" w:eastAsia="Calibri" w:hAnsi="Calibri" w:cs="Calibri"/>
      </w:rPr>
      <w:tab/>
    </w:r>
    <w:r>
      <w:rPr>
        <w:rFonts w:ascii="Calibri" w:eastAsia="Calibri" w:hAnsi="Calibri" w:cs="Calibri"/>
        <w:sz w:val="20"/>
      </w:rPr>
      <w:t xml:space="preserve"> </w:t>
    </w:r>
    <w:r>
      <w:rPr>
        <w:rFonts w:ascii="Calibri" w:eastAsia="Calibri" w:hAnsi="Calibri" w:cs="Calibri"/>
        <w:sz w:val="20"/>
      </w:rPr>
      <w:tab/>
    </w:r>
    <w:r>
      <w:fldChar w:fldCharType="begin"/>
    </w:r>
    <w:r>
      <w:instrText xml:space="preserve"> PAGE </w:instrText>
    </w:r>
    <w:r>
      <w:fldChar w:fldCharType="separate"/>
    </w:r>
    <w:r>
      <w:t>9</w:t>
    </w:r>
    <w:r>
      <w:fldChar w:fldCharType="end"/>
    </w:r>
    <w:r>
      <w:t xml:space="preserve"> of </w:t>
    </w:r>
    <w:r w:rsidR="006925E6">
      <w:t>148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92A8E" w14:textId="1BF5A398" w:rsidR="007107B6" w:rsidRPr="009A79A4" w:rsidRDefault="007107B6" w:rsidP="009A79A4">
    <w:pPr>
      <w:tabs>
        <w:tab w:val="center" w:pos="0"/>
        <w:tab w:val="center" w:pos="5465"/>
        <w:tab w:val="right" w:pos="8931"/>
      </w:tabs>
      <w:spacing w:after="0" w:line="25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0D339" w14:textId="77777777" w:rsidR="00F07034" w:rsidRDefault="00F07034">
      <w:pPr>
        <w:spacing w:after="0"/>
      </w:pPr>
      <w:r>
        <w:separator/>
      </w:r>
    </w:p>
  </w:footnote>
  <w:footnote w:type="continuationSeparator" w:id="0">
    <w:p w14:paraId="667C11FF" w14:textId="77777777" w:rsidR="00F07034" w:rsidRDefault="00F0703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A58D2" w14:textId="6E76B94D" w:rsidR="001049E0" w:rsidRDefault="001E628A">
    <w:pPr>
      <w:pStyle w:val="Header"/>
    </w:pPr>
    <w:r>
      <w:rPr>
        <w:noProof/>
      </w:rPr>
      <mc:AlternateContent>
        <mc:Choice Requires="wps">
          <w:drawing>
            <wp:anchor distT="0" distB="0" distL="0" distR="0" simplePos="0" relativeHeight="251658241" behindDoc="0" locked="0" layoutInCell="1" allowOverlap="1" wp14:anchorId="5BAFABD8" wp14:editId="15194458">
              <wp:simplePos x="635" y="635"/>
              <wp:positionH relativeFrom="page">
                <wp:align>center</wp:align>
              </wp:positionH>
              <wp:positionV relativeFrom="page">
                <wp:align>top</wp:align>
              </wp:positionV>
              <wp:extent cx="1137920" cy="546735"/>
              <wp:effectExtent l="0" t="0" r="5080" b="5715"/>
              <wp:wrapNone/>
              <wp:docPr id="733243801" name="Text Box 2"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37920" cy="546735"/>
                      </a:xfrm>
                      <a:prstGeom prst="rect">
                        <a:avLst/>
                      </a:prstGeom>
                      <a:noFill/>
                      <a:ln>
                        <a:noFill/>
                      </a:ln>
                    </wps:spPr>
                    <wps:txbx>
                      <w:txbxContent>
                        <w:p w14:paraId="376BB50F" w14:textId="3A0DC083" w:rsidR="001E628A" w:rsidRPr="001E628A" w:rsidRDefault="001E628A" w:rsidP="001E628A">
                          <w:pPr>
                            <w:spacing w:after="0"/>
                            <w:rPr>
                              <w:rFonts w:ascii="Aptos" w:eastAsia="Aptos" w:hAnsi="Aptos" w:cs="Aptos"/>
                              <w:noProof/>
                              <w:sz w:val="20"/>
                              <w:szCs w:val="20"/>
                            </w:rPr>
                          </w:pPr>
                          <w:r w:rsidRPr="001E628A">
                            <w:rPr>
                              <w:rFonts w:ascii="Aptos" w:eastAsia="Aptos" w:hAnsi="Aptos" w:cs="Aptos"/>
                              <w:noProof/>
                              <w:sz w:val="20"/>
                              <w:szCs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AFABD8" id="_x0000_t202" coordsize="21600,21600" o:spt="202" path="m,l,21600r21600,l21600,xe">
              <v:stroke joinstyle="miter"/>
              <v:path gradientshapeok="t" o:connecttype="rect"/>
            </v:shapetype>
            <v:shape id="Text Box 2" o:spid="_x0000_s1026" type="#_x0000_t202" alt="OFFICIAL-SENSITIVE" style="position:absolute;margin-left:0;margin-top:0;width:89.6pt;height:43.0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" filled="f" stroked="f">
              <v:textbox style="mso-fit-shape-to-text:t" inset="0,15pt,0,0">
                <w:txbxContent>
                  <w:p w14:paraId="376BB50F" w14:textId="3A0DC083" w:rsidR="001E628A" w:rsidRPr="001E628A" w:rsidRDefault="001E628A" w:rsidP="001E628A">
                    <w:pPr>
                      <w:spacing w:after="0"/>
                      <w:rPr>
                        <w:rFonts w:ascii="Aptos" w:eastAsia="Aptos" w:hAnsi="Aptos" w:cs="Aptos"/>
                        <w:noProof/>
                        <w:sz w:val="20"/>
                        <w:szCs w:val="20"/>
                      </w:rPr>
                    </w:pPr>
                    <w:r w:rsidRPr="001E628A">
                      <w:rPr>
                        <w:rFonts w:ascii="Aptos" w:eastAsia="Aptos" w:hAnsi="Aptos" w:cs="Aptos"/>
                        <w:noProof/>
                        <w:sz w:val="20"/>
                        <w:szCs w:val="20"/>
                      </w:rPr>
                      <w:t>OFFICIAL-SENSITIVE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7DD1D" w14:textId="1AB51551" w:rsidR="00FF0098" w:rsidRPr="00777F4B" w:rsidRDefault="00FF0098">
    <w:pPr>
      <w:pStyle w:val="Header"/>
    </w:pPr>
    <w:r w:rsidRPr="00F6274F">
      <w:rPr>
        <w:noProof/>
      </w:rPr>
      <w:drawing>
        <wp:anchor distT="0" distB="0" distL="114300" distR="114300" simplePos="0" relativeHeight="251662344" behindDoc="1" locked="0" layoutInCell="1" allowOverlap="1" wp14:anchorId="0794ED31" wp14:editId="2FFF7F3F">
          <wp:simplePos x="0" y="0"/>
          <wp:positionH relativeFrom="margin">
            <wp:posOffset>3908747</wp:posOffset>
          </wp:positionH>
          <wp:positionV relativeFrom="page">
            <wp:posOffset>344805</wp:posOffset>
          </wp:positionV>
          <wp:extent cx="2286573" cy="99720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6741"/>
                  <a:stretch/>
                </pic:blipFill>
                <pic:spPr bwMode="auto">
                  <a:xfrm>
                    <a:off x="0" y="0"/>
                    <a:ext cx="2286573" cy="997200"/>
                  </a:xfrm>
                  <a:prstGeom prst="rect">
                    <a:avLst/>
                  </a:prstGeom>
                  <a:noFill/>
                  <a:ln>
                    <a:noFill/>
                  </a:ln>
                  <a:extLst>
                    <a:ext uri="{53640926-AAD7-44d8-BBD7-CCE9431645EC}">
                      <a14:shadowObscured xmlns:aclsh="http://schemas.microsoft.com/office/drawing/2020/classificationShape" xmlns:adec="http://schemas.microsoft.com/office/drawing/2017/decorativ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58D48" w14:textId="7B25EC07" w:rsidR="007107B6" w:rsidRPr="00457B98" w:rsidRDefault="007107B6" w:rsidP="00457B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CB4B7" w14:textId="03A5B906" w:rsidR="007107B6" w:rsidRPr="00457B98" w:rsidRDefault="007107B6" w:rsidP="00457B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5EFF"/>
    <w:multiLevelType w:val="hybridMultilevel"/>
    <w:tmpl w:val="5F083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9C5ED8"/>
    <w:multiLevelType w:val="hybridMultilevel"/>
    <w:tmpl w:val="9EF6F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C92D26"/>
    <w:multiLevelType w:val="multilevel"/>
    <w:tmpl w:val="AC361F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2A06C57"/>
    <w:multiLevelType w:val="hybridMultilevel"/>
    <w:tmpl w:val="CE2C106C"/>
    <w:lvl w:ilvl="0" w:tplc="FFFFFFFF">
      <w:start w:val="1"/>
      <w:numFmt w:val="decimal"/>
      <w:lvlText w:val="%1)"/>
      <w:lvlJc w:val="left"/>
      <w:pPr>
        <w:ind w:left="327" w:hanging="327"/>
      </w:pPr>
      <w:rPr>
        <w:rFonts w:ascii="Arial" w:hAnsi="Arial" w:hint="default"/>
        <w:b/>
        <w:bCs/>
        <w:i w:val="0"/>
        <w:iCs w:val="0"/>
        <w:spacing w:val="-1"/>
        <w:w w:val="100"/>
        <w:sz w:val="28"/>
        <w:szCs w:val="28"/>
        <w:lang w:val="en-US" w:eastAsia="en-US" w:bidi="ar-SA"/>
      </w:rPr>
    </w:lvl>
    <w:lvl w:ilvl="1" w:tplc="FFFFFFFF">
      <w:numFmt w:val="bullet"/>
      <w:lvlText w:val="•"/>
      <w:lvlJc w:val="left"/>
      <w:pPr>
        <w:ind w:left="1280" w:hanging="327"/>
      </w:pPr>
      <w:rPr>
        <w:lang w:val="en-US" w:eastAsia="en-US" w:bidi="ar-SA"/>
      </w:rPr>
    </w:lvl>
    <w:lvl w:ilvl="2" w:tplc="FFFFFFFF">
      <w:numFmt w:val="bullet"/>
      <w:lvlText w:val="•"/>
      <w:lvlJc w:val="left"/>
      <w:pPr>
        <w:ind w:left="2240" w:hanging="327"/>
      </w:pPr>
      <w:rPr>
        <w:lang w:val="en-US" w:eastAsia="en-US" w:bidi="ar-SA"/>
      </w:rPr>
    </w:lvl>
    <w:lvl w:ilvl="3" w:tplc="FFFFFFFF">
      <w:numFmt w:val="bullet"/>
      <w:lvlText w:val="•"/>
      <w:lvlJc w:val="left"/>
      <w:pPr>
        <w:ind w:left="3200" w:hanging="327"/>
      </w:pPr>
      <w:rPr>
        <w:lang w:val="en-US" w:eastAsia="en-US" w:bidi="ar-SA"/>
      </w:rPr>
    </w:lvl>
    <w:lvl w:ilvl="4" w:tplc="FFFFFFFF">
      <w:numFmt w:val="bullet"/>
      <w:lvlText w:val="•"/>
      <w:lvlJc w:val="left"/>
      <w:pPr>
        <w:ind w:left="4160" w:hanging="327"/>
      </w:pPr>
      <w:rPr>
        <w:lang w:val="en-US" w:eastAsia="en-US" w:bidi="ar-SA"/>
      </w:rPr>
    </w:lvl>
    <w:lvl w:ilvl="5" w:tplc="FFFFFFFF">
      <w:numFmt w:val="bullet"/>
      <w:lvlText w:val="•"/>
      <w:lvlJc w:val="left"/>
      <w:pPr>
        <w:ind w:left="5120" w:hanging="327"/>
      </w:pPr>
      <w:rPr>
        <w:lang w:val="en-US" w:eastAsia="en-US" w:bidi="ar-SA"/>
      </w:rPr>
    </w:lvl>
    <w:lvl w:ilvl="6" w:tplc="FFFFFFFF">
      <w:numFmt w:val="bullet"/>
      <w:lvlText w:val="•"/>
      <w:lvlJc w:val="left"/>
      <w:pPr>
        <w:ind w:left="6080" w:hanging="327"/>
      </w:pPr>
      <w:rPr>
        <w:lang w:val="en-US" w:eastAsia="en-US" w:bidi="ar-SA"/>
      </w:rPr>
    </w:lvl>
    <w:lvl w:ilvl="7" w:tplc="FFFFFFFF">
      <w:numFmt w:val="bullet"/>
      <w:lvlText w:val="•"/>
      <w:lvlJc w:val="left"/>
      <w:pPr>
        <w:ind w:left="7040" w:hanging="327"/>
      </w:pPr>
      <w:rPr>
        <w:lang w:val="en-US" w:eastAsia="en-US" w:bidi="ar-SA"/>
      </w:rPr>
    </w:lvl>
    <w:lvl w:ilvl="8" w:tplc="FFFFFFFF">
      <w:numFmt w:val="bullet"/>
      <w:lvlText w:val="•"/>
      <w:lvlJc w:val="left"/>
      <w:pPr>
        <w:ind w:left="8000" w:hanging="327"/>
      </w:pPr>
      <w:rPr>
        <w:lang w:val="en-US" w:eastAsia="en-US" w:bidi="ar-SA"/>
      </w:rPr>
    </w:lvl>
  </w:abstractNum>
  <w:abstractNum w:abstractNumId="4" w15:restartNumberingAfterBreak="0">
    <w:nsid w:val="03050BF8"/>
    <w:multiLevelType w:val="hybridMultilevel"/>
    <w:tmpl w:val="94D66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3144A40"/>
    <w:multiLevelType w:val="hybridMultilevel"/>
    <w:tmpl w:val="5986C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3A75232"/>
    <w:multiLevelType w:val="hybridMultilevel"/>
    <w:tmpl w:val="13C6E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3EA58B4"/>
    <w:multiLevelType w:val="hybridMultilevel"/>
    <w:tmpl w:val="73E6AA6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04CC22B7"/>
    <w:multiLevelType w:val="hybridMultilevel"/>
    <w:tmpl w:val="F11A3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5356C38"/>
    <w:multiLevelType w:val="hybridMultilevel"/>
    <w:tmpl w:val="D864F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5566D17"/>
    <w:multiLevelType w:val="hybridMultilevel"/>
    <w:tmpl w:val="B0BEF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58D3537"/>
    <w:multiLevelType w:val="hybridMultilevel"/>
    <w:tmpl w:val="9A0EA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5EC6552"/>
    <w:multiLevelType w:val="hybridMultilevel"/>
    <w:tmpl w:val="B3429F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6761A7F"/>
    <w:multiLevelType w:val="hybridMultilevel"/>
    <w:tmpl w:val="54B04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6E06FD0"/>
    <w:multiLevelType w:val="hybridMultilevel"/>
    <w:tmpl w:val="BD529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71E3642"/>
    <w:multiLevelType w:val="hybridMultilevel"/>
    <w:tmpl w:val="81C4A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71F6360"/>
    <w:multiLevelType w:val="hybridMultilevel"/>
    <w:tmpl w:val="5F941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7613436"/>
    <w:multiLevelType w:val="hybridMultilevel"/>
    <w:tmpl w:val="5E344E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79F0B16"/>
    <w:multiLevelType w:val="hybridMultilevel"/>
    <w:tmpl w:val="DDCA4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7DE7E15"/>
    <w:multiLevelType w:val="hybridMultilevel"/>
    <w:tmpl w:val="9ABCA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80D7971"/>
    <w:multiLevelType w:val="hybridMultilevel"/>
    <w:tmpl w:val="7F80DD7C"/>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1" w15:restartNumberingAfterBreak="0">
    <w:nsid w:val="082071BC"/>
    <w:multiLevelType w:val="hybridMultilevel"/>
    <w:tmpl w:val="19CC0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082E710D"/>
    <w:multiLevelType w:val="hybridMultilevel"/>
    <w:tmpl w:val="A7F01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094301FC"/>
    <w:multiLevelType w:val="hybridMultilevel"/>
    <w:tmpl w:val="C4D0D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099D79F1"/>
    <w:multiLevelType w:val="hybridMultilevel"/>
    <w:tmpl w:val="CF22E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A4A640D"/>
    <w:multiLevelType w:val="hybridMultilevel"/>
    <w:tmpl w:val="42F4F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AD674C7"/>
    <w:multiLevelType w:val="hybridMultilevel"/>
    <w:tmpl w:val="8E34C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0C1E1D4D"/>
    <w:multiLevelType w:val="hybridMultilevel"/>
    <w:tmpl w:val="B1081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0C926DEF"/>
    <w:multiLevelType w:val="hybridMultilevel"/>
    <w:tmpl w:val="7D34C9DE"/>
    <w:lvl w:ilvl="0" w:tplc="E53A84C2">
      <w:start w:val="1"/>
      <w:numFmt w:val="bullet"/>
      <w:lvlText w:val=""/>
      <w:lvlJc w:val="left"/>
      <w:pPr>
        <w:ind w:left="720" w:hanging="360"/>
      </w:pPr>
      <w:rPr>
        <w:rFonts w:ascii="Symbol" w:hAnsi="Symbol"/>
      </w:rPr>
    </w:lvl>
    <w:lvl w:ilvl="1" w:tplc="A386C9C4">
      <w:start w:val="1"/>
      <w:numFmt w:val="bullet"/>
      <w:lvlText w:val=""/>
      <w:lvlJc w:val="left"/>
      <w:pPr>
        <w:ind w:left="720" w:hanging="360"/>
      </w:pPr>
      <w:rPr>
        <w:rFonts w:ascii="Symbol" w:hAnsi="Symbol"/>
      </w:rPr>
    </w:lvl>
    <w:lvl w:ilvl="2" w:tplc="FE466652">
      <w:start w:val="1"/>
      <w:numFmt w:val="bullet"/>
      <w:lvlText w:val=""/>
      <w:lvlJc w:val="left"/>
      <w:pPr>
        <w:ind w:left="720" w:hanging="360"/>
      </w:pPr>
      <w:rPr>
        <w:rFonts w:ascii="Symbol" w:hAnsi="Symbol"/>
      </w:rPr>
    </w:lvl>
    <w:lvl w:ilvl="3" w:tplc="CD8602DA">
      <w:start w:val="1"/>
      <w:numFmt w:val="bullet"/>
      <w:lvlText w:val=""/>
      <w:lvlJc w:val="left"/>
      <w:pPr>
        <w:ind w:left="720" w:hanging="360"/>
      </w:pPr>
      <w:rPr>
        <w:rFonts w:ascii="Symbol" w:hAnsi="Symbol"/>
      </w:rPr>
    </w:lvl>
    <w:lvl w:ilvl="4" w:tplc="E51AC89E">
      <w:start w:val="1"/>
      <w:numFmt w:val="bullet"/>
      <w:lvlText w:val=""/>
      <w:lvlJc w:val="left"/>
      <w:pPr>
        <w:ind w:left="720" w:hanging="360"/>
      </w:pPr>
      <w:rPr>
        <w:rFonts w:ascii="Symbol" w:hAnsi="Symbol"/>
      </w:rPr>
    </w:lvl>
    <w:lvl w:ilvl="5" w:tplc="DF6CE41A">
      <w:start w:val="1"/>
      <w:numFmt w:val="bullet"/>
      <w:lvlText w:val=""/>
      <w:lvlJc w:val="left"/>
      <w:pPr>
        <w:ind w:left="720" w:hanging="360"/>
      </w:pPr>
      <w:rPr>
        <w:rFonts w:ascii="Symbol" w:hAnsi="Symbol"/>
      </w:rPr>
    </w:lvl>
    <w:lvl w:ilvl="6" w:tplc="5DC83462">
      <w:start w:val="1"/>
      <w:numFmt w:val="bullet"/>
      <w:lvlText w:val=""/>
      <w:lvlJc w:val="left"/>
      <w:pPr>
        <w:ind w:left="720" w:hanging="360"/>
      </w:pPr>
      <w:rPr>
        <w:rFonts w:ascii="Symbol" w:hAnsi="Symbol"/>
      </w:rPr>
    </w:lvl>
    <w:lvl w:ilvl="7" w:tplc="ECA2B3F4">
      <w:start w:val="1"/>
      <w:numFmt w:val="bullet"/>
      <w:lvlText w:val=""/>
      <w:lvlJc w:val="left"/>
      <w:pPr>
        <w:ind w:left="720" w:hanging="360"/>
      </w:pPr>
      <w:rPr>
        <w:rFonts w:ascii="Symbol" w:hAnsi="Symbol"/>
      </w:rPr>
    </w:lvl>
    <w:lvl w:ilvl="8" w:tplc="1DF83500">
      <w:start w:val="1"/>
      <w:numFmt w:val="bullet"/>
      <w:lvlText w:val=""/>
      <w:lvlJc w:val="left"/>
      <w:pPr>
        <w:ind w:left="720" w:hanging="360"/>
      </w:pPr>
      <w:rPr>
        <w:rFonts w:ascii="Symbol" w:hAnsi="Symbol"/>
      </w:rPr>
    </w:lvl>
  </w:abstractNum>
  <w:abstractNum w:abstractNumId="29" w15:restartNumberingAfterBreak="0">
    <w:nsid w:val="0CFE176A"/>
    <w:multiLevelType w:val="hybridMultilevel"/>
    <w:tmpl w:val="EBFCC5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0DF64770"/>
    <w:multiLevelType w:val="multilevel"/>
    <w:tmpl w:val="CAC0E1B8"/>
    <w:lvl w:ilvl="0">
      <w:numFmt w:val="bullet"/>
      <w:lvlText w:val="•"/>
      <w:lvlJc w:val="left"/>
      <w:pPr>
        <w:ind w:left="97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1">
      <w:numFmt w:val="bullet"/>
      <w:lvlText w:val="o"/>
      <w:lvlJc w:val="left"/>
      <w:pPr>
        <w:ind w:left="1193"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2">
      <w:numFmt w:val="bullet"/>
      <w:lvlText w:val="▪"/>
      <w:lvlJc w:val="left"/>
      <w:pPr>
        <w:ind w:left="1913"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numFmt w:val="bullet"/>
      <w:lvlText w:val="•"/>
      <w:lvlJc w:val="left"/>
      <w:pPr>
        <w:ind w:left="2633"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4">
      <w:numFmt w:val="bullet"/>
      <w:lvlText w:val="o"/>
      <w:lvlJc w:val="left"/>
      <w:pPr>
        <w:ind w:left="3353"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numFmt w:val="bullet"/>
      <w:lvlText w:val="▪"/>
      <w:lvlJc w:val="left"/>
      <w:pPr>
        <w:ind w:left="4073"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numFmt w:val="bullet"/>
      <w:lvlText w:val="•"/>
      <w:lvlJc w:val="left"/>
      <w:pPr>
        <w:ind w:left="4793"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numFmt w:val="bullet"/>
      <w:lvlText w:val="o"/>
      <w:lvlJc w:val="left"/>
      <w:pPr>
        <w:ind w:left="5513"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numFmt w:val="bullet"/>
      <w:lvlText w:val="▪"/>
      <w:lvlJc w:val="left"/>
      <w:pPr>
        <w:ind w:left="6233"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31" w15:restartNumberingAfterBreak="0">
    <w:nsid w:val="0F2F226E"/>
    <w:multiLevelType w:val="hybridMultilevel"/>
    <w:tmpl w:val="1B026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00951EF"/>
    <w:multiLevelType w:val="hybridMultilevel"/>
    <w:tmpl w:val="15D29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0B76670"/>
    <w:multiLevelType w:val="hybridMultilevel"/>
    <w:tmpl w:val="2CE6E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1B8740C"/>
    <w:multiLevelType w:val="hybridMultilevel"/>
    <w:tmpl w:val="A19EC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2A02549"/>
    <w:multiLevelType w:val="hybridMultilevel"/>
    <w:tmpl w:val="11902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3247494"/>
    <w:multiLevelType w:val="multilevel"/>
    <w:tmpl w:val="4F62DAD6"/>
    <w:lvl w:ilvl="0">
      <w:numFmt w:val="bullet"/>
      <w:lvlText w:val=""/>
      <w:lvlJc w:val="left"/>
      <w:pPr>
        <w:ind w:left="833" w:hanging="360"/>
      </w:pPr>
      <w:rPr>
        <w:rFonts w:ascii="Symbol" w:hAnsi="Symbol"/>
      </w:rPr>
    </w:lvl>
    <w:lvl w:ilvl="1">
      <w:numFmt w:val="bullet"/>
      <w:lvlText w:val="o"/>
      <w:lvlJc w:val="left"/>
      <w:pPr>
        <w:ind w:left="1553" w:hanging="360"/>
      </w:pPr>
      <w:rPr>
        <w:rFonts w:ascii="Courier New" w:hAnsi="Courier New" w:cs="Courier New"/>
      </w:rPr>
    </w:lvl>
    <w:lvl w:ilvl="2">
      <w:numFmt w:val="bullet"/>
      <w:lvlText w:val=""/>
      <w:lvlJc w:val="left"/>
      <w:pPr>
        <w:ind w:left="2273" w:hanging="360"/>
      </w:pPr>
      <w:rPr>
        <w:rFonts w:ascii="Wingdings" w:hAnsi="Wingdings"/>
      </w:rPr>
    </w:lvl>
    <w:lvl w:ilvl="3">
      <w:numFmt w:val="bullet"/>
      <w:lvlText w:val=""/>
      <w:lvlJc w:val="left"/>
      <w:pPr>
        <w:ind w:left="2993" w:hanging="360"/>
      </w:pPr>
      <w:rPr>
        <w:rFonts w:ascii="Symbol" w:hAnsi="Symbol"/>
      </w:rPr>
    </w:lvl>
    <w:lvl w:ilvl="4">
      <w:numFmt w:val="bullet"/>
      <w:lvlText w:val="o"/>
      <w:lvlJc w:val="left"/>
      <w:pPr>
        <w:ind w:left="3713" w:hanging="360"/>
      </w:pPr>
      <w:rPr>
        <w:rFonts w:ascii="Courier New" w:hAnsi="Courier New" w:cs="Courier New"/>
      </w:rPr>
    </w:lvl>
    <w:lvl w:ilvl="5">
      <w:numFmt w:val="bullet"/>
      <w:lvlText w:val=""/>
      <w:lvlJc w:val="left"/>
      <w:pPr>
        <w:ind w:left="4433" w:hanging="360"/>
      </w:pPr>
      <w:rPr>
        <w:rFonts w:ascii="Wingdings" w:hAnsi="Wingdings"/>
      </w:rPr>
    </w:lvl>
    <w:lvl w:ilvl="6">
      <w:numFmt w:val="bullet"/>
      <w:lvlText w:val=""/>
      <w:lvlJc w:val="left"/>
      <w:pPr>
        <w:ind w:left="5153" w:hanging="360"/>
      </w:pPr>
      <w:rPr>
        <w:rFonts w:ascii="Symbol" w:hAnsi="Symbol"/>
      </w:rPr>
    </w:lvl>
    <w:lvl w:ilvl="7">
      <w:numFmt w:val="bullet"/>
      <w:lvlText w:val="o"/>
      <w:lvlJc w:val="left"/>
      <w:pPr>
        <w:ind w:left="5873" w:hanging="360"/>
      </w:pPr>
      <w:rPr>
        <w:rFonts w:ascii="Courier New" w:hAnsi="Courier New" w:cs="Courier New"/>
      </w:rPr>
    </w:lvl>
    <w:lvl w:ilvl="8">
      <w:numFmt w:val="bullet"/>
      <w:lvlText w:val=""/>
      <w:lvlJc w:val="left"/>
      <w:pPr>
        <w:ind w:left="6593" w:hanging="360"/>
      </w:pPr>
      <w:rPr>
        <w:rFonts w:ascii="Wingdings" w:hAnsi="Wingdings"/>
      </w:rPr>
    </w:lvl>
  </w:abstractNum>
  <w:abstractNum w:abstractNumId="37" w15:restartNumberingAfterBreak="0">
    <w:nsid w:val="134D3523"/>
    <w:multiLevelType w:val="hybridMultilevel"/>
    <w:tmpl w:val="77E8838C"/>
    <w:lvl w:ilvl="0" w:tplc="352641B8">
      <w:start w:val="1"/>
      <w:numFmt w:val="lowerLetter"/>
      <w:lvlText w:val="%1)"/>
      <w:lvlJc w:val="left"/>
      <w:pPr>
        <w:ind w:left="6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C744EFA">
      <w:start w:val="1"/>
      <w:numFmt w:val="lowerRoman"/>
      <w:lvlText w:val="%2)"/>
      <w:lvlJc w:val="left"/>
      <w:pPr>
        <w:ind w:left="9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A9E6C48">
      <w:start w:val="1"/>
      <w:numFmt w:val="lowerRoman"/>
      <w:lvlText w:val="%3"/>
      <w:lvlJc w:val="left"/>
      <w:pPr>
        <w:ind w:left="1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B64F120">
      <w:start w:val="1"/>
      <w:numFmt w:val="decimal"/>
      <w:lvlText w:val="%4"/>
      <w:lvlJc w:val="left"/>
      <w:pPr>
        <w:ind w:left="25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AA8C568">
      <w:start w:val="1"/>
      <w:numFmt w:val="lowerLetter"/>
      <w:lvlText w:val="%5"/>
      <w:lvlJc w:val="left"/>
      <w:pPr>
        <w:ind w:left="32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C4C59B4">
      <w:start w:val="1"/>
      <w:numFmt w:val="lowerRoman"/>
      <w:lvlText w:val="%6"/>
      <w:lvlJc w:val="left"/>
      <w:pPr>
        <w:ind w:left="39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B5A8B84">
      <w:start w:val="1"/>
      <w:numFmt w:val="decimal"/>
      <w:lvlText w:val="%7"/>
      <w:lvlJc w:val="left"/>
      <w:pPr>
        <w:ind w:left="4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6D64F94">
      <w:start w:val="1"/>
      <w:numFmt w:val="lowerLetter"/>
      <w:lvlText w:val="%8"/>
      <w:lvlJc w:val="left"/>
      <w:pPr>
        <w:ind w:left="5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F1C8E64">
      <w:start w:val="1"/>
      <w:numFmt w:val="lowerRoman"/>
      <w:lvlText w:val="%9"/>
      <w:lvlJc w:val="left"/>
      <w:pPr>
        <w:ind w:left="6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13BA09C8"/>
    <w:multiLevelType w:val="hybridMultilevel"/>
    <w:tmpl w:val="F7B46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49420BF"/>
    <w:multiLevelType w:val="hybridMultilevel"/>
    <w:tmpl w:val="CF00B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4AC3749"/>
    <w:multiLevelType w:val="multilevel"/>
    <w:tmpl w:val="A776EEB8"/>
    <w:lvl w:ilvl="0">
      <w:start w:val="1"/>
      <w:numFmt w:val="decimal"/>
      <w:lvlText w:val="%1."/>
      <w:lvlJc w:val="left"/>
      <w:pPr>
        <w:ind w:left="720" w:hanging="360"/>
      </w:pPr>
    </w:lvl>
    <w:lvl w:ilvl="1">
      <w:start w:val="5"/>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153E3230"/>
    <w:multiLevelType w:val="hybridMultilevel"/>
    <w:tmpl w:val="2DBCDB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6EF7391"/>
    <w:multiLevelType w:val="hybridMultilevel"/>
    <w:tmpl w:val="C1D47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170255CD"/>
    <w:multiLevelType w:val="multilevel"/>
    <w:tmpl w:val="D4C8B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17D04C00"/>
    <w:multiLevelType w:val="hybridMultilevel"/>
    <w:tmpl w:val="BDFCDF9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18FE007A"/>
    <w:multiLevelType w:val="hybridMultilevel"/>
    <w:tmpl w:val="9598976C"/>
    <w:lvl w:ilvl="0" w:tplc="F702A70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19300966"/>
    <w:multiLevelType w:val="hybridMultilevel"/>
    <w:tmpl w:val="877E6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95467A2"/>
    <w:multiLevelType w:val="hybridMultilevel"/>
    <w:tmpl w:val="226A8C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19656A99"/>
    <w:multiLevelType w:val="hybridMultilevel"/>
    <w:tmpl w:val="8A16F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1976709E"/>
    <w:multiLevelType w:val="hybridMultilevel"/>
    <w:tmpl w:val="44108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198956FD"/>
    <w:multiLevelType w:val="hybridMultilevel"/>
    <w:tmpl w:val="CAB04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1A752DCC"/>
    <w:multiLevelType w:val="multilevel"/>
    <w:tmpl w:val="39746F6C"/>
    <w:lvl w:ilvl="0">
      <w:numFmt w:val="bullet"/>
      <w:lvlText w:val="-"/>
      <w:lvlJc w:val="left"/>
      <w:rPr>
        <w:rFonts w:ascii="Arial" w:eastAsia="Arial" w:hAnsi="Arial" w:cs="Arial"/>
        <w:b w:val="0"/>
        <w:i w:val="0"/>
        <w:strike w:val="0"/>
        <w:dstrike w:val="0"/>
        <w:color w:val="000000"/>
        <w:position w:val="0"/>
        <w:sz w:val="22"/>
        <w:szCs w:val="22"/>
        <w:u w:val="none" w:color="000000"/>
        <w:shd w:val="clear" w:color="auto" w:fill="auto"/>
        <w:vertAlign w:val="baseline"/>
      </w:rPr>
    </w:lvl>
    <w:lvl w:ilvl="1">
      <w:numFmt w:val="bullet"/>
      <w:lvlText w:val="o"/>
      <w:lvlJc w:val="left"/>
      <w:pPr>
        <w:ind w:left="119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2">
      <w:numFmt w:val="bullet"/>
      <w:lvlText w:val="▪"/>
      <w:lvlJc w:val="left"/>
      <w:pPr>
        <w:ind w:left="191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numFmt w:val="bullet"/>
      <w:lvlText w:val="•"/>
      <w:lvlJc w:val="left"/>
      <w:pPr>
        <w:ind w:left="263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4">
      <w:numFmt w:val="bullet"/>
      <w:lvlText w:val="o"/>
      <w:lvlJc w:val="left"/>
      <w:pPr>
        <w:ind w:left="335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numFmt w:val="bullet"/>
      <w:lvlText w:val="▪"/>
      <w:lvlJc w:val="left"/>
      <w:pPr>
        <w:ind w:left="407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numFmt w:val="bullet"/>
      <w:lvlText w:val="•"/>
      <w:lvlJc w:val="left"/>
      <w:pPr>
        <w:ind w:left="479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numFmt w:val="bullet"/>
      <w:lvlText w:val="o"/>
      <w:lvlJc w:val="left"/>
      <w:pPr>
        <w:ind w:left="551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numFmt w:val="bullet"/>
      <w:lvlText w:val="▪"/>
      <w:lvlJc w:val="left"/>
      <w:pPr>
        <w:ind w:left="623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52" w15:restartNumberingAfterBreak="0">
    <w:nsid w:val="1AD230DB"/>
    <w:multiLevelType w:val="hybridMultilevel"/>
    <w:tmpl w:val="E7F65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1ADC10F3"/>
    <w:multiLevelType w:val="hybridMultilevel"/>
    <w:tmpl w:val="192AA87E"/>
    <w:lvl w:ilvl="0" w:tplc="70CCCEAC">
      <w:start w:val="1"/>
      <w:numFmt w:val="decimal"/>
      <w:lvlText w:val="%1)"/>
      <w:lvlJc w:val="left"/>
      <w:pPr>
        <w:ind w:left="327" w:hanging="327"/>
      </w:pPr>
      <w:rPr>
        <w:rFonts w:ascii="Arial" w:hAnsi="Arial" w:hint="default"/>
        <w:b/>
        <w:bCs/>
        <w:i w:val="0"/>
        <w:iCs w:val="0"/>
        <w:spacing w:val="-1"/>
        <w:w w:val="100"/>
        <w:sz w:val="28"/>
        <w:szCs w:val="28"/>
        <w:lang w:val="en-US" w:eastAsia="en-US" w:bidi="ar-SA"/>
      </w:rPr>
    </w:lvl>
    <w:lvl w:ilvl="1" w:tplc="2AC2DA4C">
      <w:numFmt w:val="bullet"/>
      <w:lvlText w:val="•"/>
      <w:lvlJc w:val="left"/>
      <w:pPr>
        <w:ind w:left="1280" w:hanging="327"/>
      </w:pPr>
      <w:rPr>
        <w:lang w:val="en-US" w:eastAsia="en-US" w:bidi="ar-SA"/>
      </w:rPr>
    </w:lvl>
    <w:lvl w:ilvl="2" w:tplc="0DCA7366">
      <w:numFmt w:val="bullet"/>
      <w:lvlText w:val="•"/>
      <w:lvlJc w:val="left"/>
      <w:pPr>
        <w:ind w:left="2240" w:hanging="327"/>
      </w:pPr>
      <w:rPr>
        <w:lang w:val="en-US" w:eastAsia="en-US" w:bidi="ar-SA"/>
      </w:rPr>
    </w:lvl>
    <w:lvl w:ilvl="3" w:tplc="9ADC5ADE">
      <w:numFmt w:val="bullet"/>
      <w:lvlText w:val="•"/>
      <w:lvlJc w:val="left"/>
      <w:pPr>
        <w:ind w:left="3200" w:hanging="327"/>
      </w:pPr>
      <w:rPr>
        <w:lang w:val="en-US" w:eastAsia="en-US" w:bidi="ar-SA"/>
      </w:rPr>
    </w:lvl>
    <w:lvl w:ilvl="4" w:tplc="86BAF4EC">
      <w:numFmt w:val="bullet"/>
      <w:lvlText w:val="•"/>
      <w:lvlJc w:val="left"/>
      <w:pPr>
        <w:ind w:left="4160" w:hanging="327"/>
      </w:pPr>
      <w:rPr>
        <w:lang w:val="en-US" w:eastAsia="en-US" w:bidi="ar-SA"/>
      </w:rPr>
    </w:lvl>
    <w:lvl w:ilvl="5" w:tplc="8B98CD30">
      <w:numFmt w:val="bullet"/>
      <w:lvlText w:val="•"/>
      <w:lvlJc w:val="left"/>
      <w:pPr>
        <w:ind w:left="5120" w:hanging="327"/>
      </w:pPr>
      <w:rPr>
        <w:lang w:val="en-US" w:eastAsia="en-US" w:bidi="ar-SA"/>
      </w:rPr>
    </w:lvl>
    <w:lvl w:ilvl="6" w:tplc="2F0E8DD6">
      <w:numFmt w:val="bullet"/>
      <w:lvlText w:val="•"/>
      <w:lvlJc w:val="left"/>
      <w:pPr>
        <w:ind w:left="6080" w:hanging="327"/>
      </w:pPr>
      <w:rPr>
        <w:lang w:val="en-US" w:eastAsia="en-US" w:bidi="ar-SA"/>
      </w:rPr>
    </w:lvl>
    <w:lvl w:ilvl="7" w:tplc="F424961E">
      <w:numFmt w:val="bullet"/>
      <w:lvlText w:val="•"/>
      <w:lvlJc w:val="left"/>
      <w:pPr>
        <w:ind w:left="7040" w:hanging="327"/>
      </w:pPr>
      <w:rPr>
        <w:lang w:val="en-US" w:eastAsia="en-US" w:bidi="ar-SA"/>
      </w:rPr>
    </w:lvl>
    <w:lvl w:ilvl="8" w:tplc="9634F27C">
      <w:numFmt w:val="bullet"/>
      <w:lvlText w:val="•"/>
      <w:lvlJc w:val="left"/>
      <w:pPr>
        <w:ind w:left="8000" w:hanging="327"/>
      </w:pPr>
      <w:rPr>
        <w:lang w:val="en-US" w:eastAsia="en-US" w:bidi="ar-SA"/>
      </w:rPr>
    </w:lvl>
  </w:abstractNum>
  <w:abstractNum w:abstractNumId="54" w15:restartNumberingAfterBreak="0">
    <w:nsid w:val="1B276482"/>
    <w:multiLevelType w:val="multilevel"/>
    <w:tmpl w:val="28942A10"/>
    <w:lvl w:ilvl="0">
      <w:numFmt w:val="bullet"/>
      <w:lvlText w:val="-"/>
      <w:lvlJc w:val="left"/>
      <w:rPr>
        <w:rFonts w:ascii="Arial" w:eastAsia="Arial" w:hAnsi="Arial" w:cs="Arial"/>
        <w:b w:val="0"/>
        <w:i w:val="0"/>
        <w:strike w:val="0"/>
        <w:dstrike w:val="0"/>
        <w:color w:val="000000"/>
        <w:position w:val="0"/>
        <w:sz w:val="22"/>
        <w:szCs w:val="22"/>
        <w:u w:val="none" w:color="000000"/>
        <w:shd w:val="clear" w:color="auto" w:fill="auto"/>
        <w:vertAlign w:val="baseline"/>
      </w:rPr>
    </w:lvl>
    <w:lvl w:ilvl="1">
      <w:numFmt w:val="bullet"/>
      <w:lvlText w:val="o"/>
      <w:lvlJc w:val="left"/>
      <w:pPr>
        <w:ind w:left="119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2">
      <w:numFmt w:val="bullet"/>
      <w:lvlText w:val="▪"/>
      <w:lvlJc w:val="left"/>
      <w:pPr>
        <w:ind w:left="191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numFmt w:val="bullet"/>
      <w:lvlText w:val="•"/>
      <w:lvlJc w:val="left"/>
      <w:pPr>
        <w:ind w:left="263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4">
      <w:numFmt w:val="bullet"/>
      <w:lvlText w:val="o"/>
      <w:lvlJc w:val="left"/>
      <w:pPr>
        <w:ind w:left="335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numFmt w:val="bullet"/>
      <w:lvlText w:val="▪"/>
      <w:lvlJc w:val="left"/>
      <w:pPr>
        <w:ind w:left="407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numFmt w:val="bullet"/>
      <w:lvlText w:val="•"/>
      <w:lvlJc w:val="left"/>
      <w:pPr>
        <w:ind w:left="479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numFmt w:val="bullet"/>
      <w:lvlText w:val="o"/>
      <w:lvlJc w:val="left"/>
      <w:pPr>
        <w:ind w:left="551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numFmt w:val="bullet"/>
      <w:lvlText w:val="▪"/>
      <w:lvlJc w:val="left"/>
      <w:pPr>
        <w:ind w:left="623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55" w15:restartNumberingAfterBreak="0">
    <w:nsid w:val="1B7169BA"/>
    <w:multiLevelType w:val="hybridMultilevel"/>
    <w:tmpl w:val="9E1AF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1B9B3324"/>
    <w:multiLevelType w:val="hybridMultilevel"/>
    <w:tmpl w:val="2F449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1BCF0212"/>
    <w:multiLevelType w:val="hybridMultilevel"/>
    <w:tmpl w:val="17046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1BE43540"/>
    <w:multiLevelType w:val="multilevel"/>
    <w:tmpl w:val="A776EEB8"/>
    <w:lvl w:ilvl="0">
      <w:start w:val="1"/>
      <w:numFmt w:val="decimal"/>
      <w:lvlText w:val="%1."/>
      <w:lvlJc w:val="left"/>
      <w:pPr>
        <w:ind w:left="720" w:hanging="360"/>
      </w:pPr>
    </w:lvl>
    <w:lvl w:ilvl="1">
      <w:start w:val="5"/>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1BFC5BB6"/>
    <w:multiLevelType w:val="multilevel"/>
    <w:tmpl w:val="56E4F1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0" w15:restartNumberingAfterBreak="0">
    <w:nsid w:val="1C966309"/>
    <w:multiLevelType w:val="hybridMultilevel"/>
    <w:tmpl w:val="259AE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1CB62E2A"/>
    <w:multiLevelType w:val="multilevel"/>
    <w:tmpl w:val="A776EEB8"/>
    <w:lvl w:ilvl="0">
      <w:start w:val="1"/>
      <w:numFmt w:val="decimal"/>
      <w:lvlText w:val="%1."/>
      <w:lvlJc w:val="left"/>
      <w:pPr>
        <w:ind w:left="720" w:hanging="360"/>
      </w:pPr>
    </w:lvl>
    <w:lvl w:ilvl="1">
      <w:start w:val="5"/>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1CDD709A"/>
    <w:multiLevelType w:val="multilevel"/>
    <w:tmpl w:val="27F8A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1D696F77"/>
    <w:multiLevelType w:val="multilevel"/>
    <w:tmpl w:val="A776EEB8"/>
    <w:lvl w:ilvl="0">
      <w:start w:val="1"/>
      <w:numFmt w:val="decimal"/>
      <w:lvlText w:val="%1."/>
      <w:lvlJc w:val="left"/>
      <w:pPr>
        <w:ind w:left="720" w:hanging="360"/>
      </w:pPr>
    </w:lvl>
    <w:lvl w:ilvl="1">
      <w:start w:val="5"/>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1E1C485F"/>
    <w:multiLevelType w:val="hybridMultilevel"/>
    <w:tmpl w:val="64EC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1E303D52"/>
    <w:multiLevelType w:val="multilevel"/>
    <w:tmpl w:val="741CB4CE"/>
    <w:lvl w:ilvl="0">
      <w:start w:val="1"/>
      <w:numFmt w:val="lowerRoman"/>
      <w:lvlText w:val="%1)"/>
      <w:lvlJc w:val="left"/>
      <w:rPr>
        <w:rFonts w:ascii="Arial" w:eastAsia="Arial" w:hAnsi="Arial" w:cs="Arial"/>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ind w:left="118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90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62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334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406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78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50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622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66" w15:restartNumberingAfterBreak="0">
    <w:nsid w:val="1ED218B2"/>
    <w:multiLevelType w:val="hybridMultilevel"/>
    <w:tmpl w:val="32CC3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1F38687F"/>
    <w:multiLevelType w:val="hybridMultilevel"/>
    <w:tmpl w:val="3F622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1F7B7886"/>
    <w:multiLevelType w:val="hybridMultilevel"/>
    <w:tmpl w:val="F2483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1FA52D33"/>
    <w:multiLevelType w:val="multilevel"/>
    <w:tmpl w:val="A776EEB8"/>
    <w:lvl w:ilvl="0">
      <w:start w:val="1"/>
      <w:numFmt w:val="decimal"/>
      <w:lvlText w:val="%1."/>
      <w:lvlJc w:val="left"/>
      <w:pPr>
        <w:ind w:left="720" w:hanging="360"/>
      </w:pPr>
    </w:lvl>
    <w:lvl w:ilvl="1">
      <w:start w:val="5"/>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200107AF"/>
    <w:multiLevelType w:val="hybridMultilevel"/>
    <w:tmpl w:val="D76260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209C4956"/>
    <w:multiLevelType w:val="hybridMultilevel"/>
    <w:tmpl w:val="59A22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224570FB"/>
    <w:multiLevelType w:val="hybridMultilevel"/>
    <w:tmpl w:val="49F0E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2449343D"/>
    <w:multiLevelType w:val="hybridMultilevel"/>
    <w:tmpl w:val="99387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24DF4675"/>
    <w:multiLevelType w:val="hybridMultilevel"/>
    <w:tmpl w:val="6C9E81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252522D7"/>
    <w:multiLevelType w:val="hybridMultilevel"/>
    <w:tmpl w:val="9E9C5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26444ACD"/>
    <w:multiLevelType w:val="hybridMultilevel"/>
    <w:tmpl w:val="98D82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26AD6E66"/>
    <w:multiLevelType w:val="multilevel"/>
    <w:tmpl w:val="33689A86"/>
    <w:lvl w:ilvl="0">
      <w:start w:val="1"/>
      <w:numFmt w:val="lowerLetter"/>
      <w:lvlText w:val="(%1)"/>
      <w:lvlJc w:val="left"/>
      <w:pPr>
        <w:ind w:left="103"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ind w:left="118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90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62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334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406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78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50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622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78" w15:restartNumberingAfterBreak="0">
    <w:nsid w:val="27193184"/>
    <w:multiLevelType w:val="hybridMultilevel"/>
    <w:tmpl w:val="8C028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27FB7F87"/>
    <w:multiLevelType w:val="hybridMultilevel"/>
    <w:tmpl w:val="52EE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280E4AEF"/>
    <w:multiLevelType w:val="hybridMultilevel"/>
    <w:tmpl w:val="E4563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282E14CB"/>
    <w:multiLevelType w:val="hybridMultilevel"/>
    <w:tmpl w:val="B6486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28C962E9"/>
    <w:multiLevelType w:val="hybridMultilevel"/>
    <w:tmpl w:val="A6721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28F2193F"/>
    <w:multiLevelType w:val="hybridMultilevel"/>
    <w:tmpl w:val="88E66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294D236E"/>
    <w:multiLevelType w:val="hybridMultilevel"/>
    <w:tmpl w:val="BAF01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2A930B56"/>
    <w:multiLevelType w:val="hybridMultilevel"/>
    <w:tmpl w:val="25664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2B57684C"/>
    <w:multiLevelType w:val="multilevel"/>
    <w:tmpl w:val="F026A2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B6B6BB0"/>
    <w:multiLevelType w:val="hybridMultilevel"/>
    <w:tmpl w:val="14A21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2B8132A9"/>
    <w:multiLevelType w:val="hybridMultilevel"/>
    <w:tmpl w:val="803879F6"/>
    <w:lvl w:ilvl="0" w:tplc="08090001">
      <w:start w:val="1"/>
      <w:numFmt w:val="bullet"/>
      <w:lvlText w:val=""/>
      <w:lvlJc w:val="left"/>
      <w:pPr>
        <w:ind w:left="785" w:hanging="360"/>
      </w:pPr>
      <w:rPr>
        <w:rFonts w:ascii="Symbol" w:hAnsi="Symbol" w:hint="default"/>
      </w:rPr>
    </w:lvl>
    <w:lvl w:ilvl="1" w:tplc="08090003">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89" w15:restartNumberingAfterBreak="0">
    <w:nsid w:val="2BF75BDA"/>
    <w:multiLevelType w:val="hybridMultilevel"/>
    <w:tmpl w:val="0F023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2C870588"/>
    <w:multiLevelType w:val="hybridMultilevel"/>
    <w:tmpl w:val="D6BC9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2D2A62B9"/>
    <w:multiLevelType w:val="hybridMultilevel"/>
    <w:tmpl w:val="376A4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2D4311B8"/>
    <w:multiLevelType w:val="hybridMultilevel"/>
    <w:tmpl w:val="DA02FD90"/>
    <w:lvl w:ilvl="0" w:tplc="3A9CDCFE">
      <w:start w:val="1"/>
      <w:numFmt w:val="bullet"/>
      <w:lvlText w:val=""/>
      <w:lvlJc w:val="left"/>
      <w:pPr>
        <w:ind w:left="720" w:hanging="360"/>
      </w:pPr>
      <w:rPr>
        <w:rFonts w:ascii="Symbol" w:hAnsi="Symbol"/>
      </w:rPr>
    </w:lvl>
    <w:lvl w:ilvl="1" w:tplc="85F44BE8">
      <w:start w:val="1"/>
      <w:numFmt w:val="bullet"/>
      <w:lvlText w:val=""/>
      <w:lvlJc w:val="left"/>
      <w:pPr>
        <w:ind w:left="720" w:hanging="360"/>
      </w:pPr>
      <w:rPr>
        <w:rFonts w:ascii="Symbol" w:hAnsi="Symbol"/>
      </w:rPr>
    </w:lvl>
    <w:lvl w:ilvl="2" w:tplc="7BE68E32">
      <w:start w:val="1"/>
      <w:numFmt w:val="bullet"/>
      <w:lvlText w:val=""/>
      <w:lvlJc w:val="left"/>
      <w:pPr>
        <w:ind w:left="720" w:hanging="360"/>
      </w:pPr>
      <w:rPr>
        <w:rFonts w:ascii="Symbol" w:hAnsi="Symbol"/>
      </w:rPr>
    </w:lvl>
    <w:lvl w:ilvl="3" w:tplc="96EC6662">
      <w:start w:val="1"/>
      <w:numFmt w:val="bullet"/>
      <w:lvlText w:val=""/>
      <w:lvlJc w:val="left"/>
      <w:pPr>
        <w:ind w:left="720" w:hanging="360"/>
      </w:pPr>
      <w:rPr>
        <w:rFonts w:ascii="Symbol" w:hAnsi="Symbol"/>
      </w:rPr>
    </w:lvl>
    <w:lvl w:ilvl="4" w:tplc="2342E9C2">
      <w:start w:val="1"/>
      <w:numFmt w:val="bullet"/>
      <w:lvlText w:val=""/>
      <w:lvlJc w:val="left"/>
      <w:pPr>
        <w:ind w:left="720" w:hanging="360"/>
      </w:pPr>
      <w:rPr>
        <w:rFonts w:ascii="Symbol" w:hAnsi="Symbol"/>
      </w:rPr>
    </w:lvl>
    <w:lvl w:ilvl="5" w:tplc="3E10527A">
      <w:start w:val="1"/>
      <w:numFmt w:val="bullet"/>
      <w:lvlText w:val=""/>
      <w:lvlJc w:val="left"/>
      <w:pPr>
        <w:ind w:left="720" w:hanging="360"/>
      </w:pPr>
      <w:rPr>
        <w:rFonts w:ascii="Symbol" w:hAnsi="Symbol"/>
      </w:rPr>
    </w:lvl>
    <w:lvl w:ilvl="6" w:tplc="A3D6B9E0">
      <w:start w:val="1"/>
      <w:numFmt w:val="bullet"/>
      <w:lvlText w:val=""/>
      <w:lvlJc w:val="left"/>
      <w:pPr>
        <w:ind w:left="720" w:hanging="360"/>
      </w:pPr>
      <w:rPr>
        <w:rFonts w:ascii="Symbol" w:hAnsi="Symbol"/>
      </w:rPr>
    </w:lvl>
    <w:lvl w:ilvl="7" w:tplc="4C28197E">
      <w:start w:val="1"/>
      <w:numFmt w:val="bullet"/>
      <w:lvlText w:val=""/>
      <w:lvlJc w:val="left"/>
      <w:pPr>
        <w:ind w:left="720" w:hanging="360"/>
      </w:pPr>
      <w:rPr>
        <w:rFonts w:ascii="Symbol" w:hAnsi="Symbol"/>
      </w:rPr>
    </w:lvl>
    <w:lvl w:ilvl="8" w:tplc="73A62190">
      <w:start w:val="1"/>
      <w:numFmt w:val="bullet"/>
      <w:lvlText w:val=""/>
      <w:lvlJc w:val="left"/>
      <w:pPr>
        <w:ind w:left="720" w:hanging="360"/>
      </w:pPr>
      <w:rPr>
        <w:rFonts w:ascii="Symbol" w:hAnsi="Symbol"/>
      </w:rPr>
    </w:lvl>
  </w:abstractNum>
  <w:abstractNum w:abstractNumId="93" w15:restartNumberingAfterBreak="0">
    <w:nsid w:val="2E093C89"/>
    <w:multiLevelType w:val="hybridMultilevel"/>
    <w:tmpl w:val="2AC89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2E3030E3"/>
    <w:multiLevelType w:val="hybridMultilevel"/>
    <w:tmpl w:val="41E08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2E872F37"/>
    <w:multiLevelType w:val="hybridMultilevel"/>
    <w:tmpl w:val="1C54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2ED138D2"/>
    <w:multiLevelType w:val="hybridMultilevel"/>
    <w:tmpl w:val="FE62A4D2"/>
    <w:lvl w:ilvl="0" w:tplc="991411E4">
      <w:start w:val="1"/>
      <w:numFmt w:val="lowerLetter"/>
      <w:lvlText w:val="%1)"/>
      <w:lvlJc w:val="left"/>
      <w:pPr>
        <w:ind w:left="6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E2CEC2">
      <w:start w:val="1"/>
      <w:numFmt w:val="lowerRoman"/>
      <w:lvlText w:val="%2)"/>
      <w:lvlJc w:val="left"/>
      <w:pPr>
        <w:ind w:left="10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84CB4EC">
      <w:start w:val="1"/>
      <w:numFmt w:val="lowerRoman"/>
      <w:lvlText w:val="%3"/>
      <w:lvlJc w:val="left"/>
      <w:pPr>
        <w:ind w:left="1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7AA71AC">
      <w:start w:val="1"/>
      <w:numFmt w:val="decimal"/>
      <w:lvlText w:val="%4"/>
      <w:lvlJc w:val="left"/>
      <w:pPr>
        <w:ind w:left="25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7600F4E">
      <w:start w:val="1"/>
      <w:numFmt w:val="lowerLetter"/>
      <w:lvlText w:val="%5"/>
      <w:lvlJc w:val="left"/>
      <w:pPr>
        <w:ind w:left="32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584C3EC">
      <w:start w:val="1"/>
      <w:numFmt w:val="lowerRoman"/>
      <w:lvlText w:val="%6"/>
      <w:lvlJc w:val="left"/>
      <w:pPr>
        <w:ind w:left="39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E2E6AC8">
      <w:start w:val="1"/>
      <w:numFmt w:val="decimal"/>
      <w:lvlText w:val="%7"/>
      <w:lvlJc w:val="left"/>
      <w:pPr>
        <w:ind w:left="4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D42340">
      <w:start w:val="1"/>
      <w:numFmt w:val="lowerLetter"/>
      <w:lvlText w:val="%8"/>
      <w:lvlJc w:val="left"/>
      <w:pPr>
        <w:ind w:left="5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006717C">
      <w:start w:val="1"/>
      <w:numFmt w:val="lowerRoman"/>
      <w:lvlText w:val="%9"/>
      <w:lvlJc w:val="left"/>
      <w:pPr>
        <w:ind w:left="6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2F825C18"/>
    <w:multiLevelType w:val="hybridMultilevel"/>
    <w:tmpl w:val="FFFFFFFF"/>
    <w:lvl w:ilvl="0" w:tplc="4558CBA6">
      <w:start w:val="1"/>
      <w:numFmt w:val="decimal"/>
      <w:lvlText w:val="2)"/>
      <w:lvlJc w:val="left"/>
      <w:pPr>
        <w:ind w:left="720" w:hanging="360"/>
      </w:pPr>
    </w:lvl>
    <w:lvl w:ilvl="1" w:tplc="130E5118">
      <w:start w:val="1"/>
      <w:numFmt w:val="lowerLetter"/>
      <w:lvlText w:val="%2."/>
      <w:lvlJc w:val="left"/>
      <w:pPr>
        <w:ind w:left="1440" w:hanging="360"/>
      </w:pPr>
    </w:lvl>
    <w:lvl w:ilvl="2" w:tplc="66484DEA">
      <w:start w:val="1"/>
      <w:numFmt w:val="lowerRoman"/>
      <w:lvlText w:val="%3."/>
      <w:lvlJc w:val="right"/>
      <w:pPr>
        <w:ind w:left="2160" w:hanging="180"/>
      </w:pPr>
    </w:lvl>
    <w:lvl w:ilvl="3" w:tplc="681A0E00">
      <w:start w:val="1"/>
      <w:numFmt w:val="decimal"/>
      <w:lvlText w:val="%4."/>
      <w:lvlJc w:val="left"/>
      <w:pPr>
        <w:ind w:left="2880" w:hanging="360"/>
      </w:pPr>
    </w:lvl>
    <w:lvl w:ilvl="4" w:tplc="58960A48">
      <w:start w:val="1"/>
      <w:numFmt w:val="lowerLetter"/>
      <w:lvlText w:val="%5."/>
      <w:lvlJc w:val="left"/>
      <w:pPr>
        <w:ind w:left="3600" w:hanging="360"/>
      </w:pPr>
    </w:lvl>
    <w:lvl w:ilvl="5" w:tplc="E7483542">
      <w:start w:val="1"/>
      <w:numFmt w:val="lowerRoman"/>
      <w:lvlText w:val="%6."/>
      <w:lvlJc w:val="right"/>
      <w:pPr>
        <w:ind w:left="4320" w:hanging="180"/>
      </w:pPr>
    </w:lvl>
    <w:lvl w:ilvl="6" w:tplc="B3A4433A">
      <w:start w:val="1"/>
      <w:numFmt w:val="decimal"/>
      <w:lvlText w:val="%7."/>
      <w:lvlJc w:val="left"/>
      <w:pPr>
        <w:ind w:left="5040" w:hanging="360"/>
      </w:pPr>
    </w:lvl>
    <w:lvl w:ilvl="7" w:tplc="96A23100">
      <w:start w:val="1"/>
      <w:numFmt w:val="lowerLetter"/>
      <w:lvlText w:val="%8."/>
      <w:lvlJc w:val="left"/>
      <w:pPr>
        <w:ind w:left="5760" w:hanging="360"/>
      </w:pPr>
    </w:lvl>
    <w:lvl w:ilvl="8" w:tplc="38F68598">
      <w:start w:val="1"/>
      <w:numFmt w:val="lowerRoman"/>
      <w:lvlText w:val="%9."/>
      <w:lvlJc w:val="right"/>
      <w:pPr>
        <w:ind w:left="6480" w:hanging="180"/>
      </w:pPr>
    </w:lvl>
  </w:abstractNum>
  <w:abstractNum w:abstractNumId="98" w15:restartNumberingAfterBreak="0">
    <w:nsid w:val="30C7059B"/>
    <w:multiLevelType w:val="hybridMultilevel"/>
    <w:tmpl w:val="6B121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3224416F"/>
    <w:multiLevelType w:val="hybridMultilevel"/>
    <w:tmpl w:val="23249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3227500C"/>
    <w:multiLevelType w:val="hybridMultilevel"/>
    <w:tmpl w:val="52AE4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32983ED8"/>
    <w:multiLevelType w:val="hybridMultilevel"/>
    <w:tmpl w:val="2B9C7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33713100"/>
    <w:multiLevelType w:val="hybridMultilevel"/>
    <w:tmpl w:val="EFE0EAAA"/>
    <w:lvl w:ilvl="0" w:tplc="F9A85EE6">
      <w:start w:val="1"/>
      <w:numFmt w:val="bullet"/>
      <w:lvlText w:val=""/>
      <w:lvlJc w:val="left"/>
      <w:pPr>
        <w:ind w:left="720" w:hanging="360"/>
      </w:pPr>
      <w:rPr>
        <w:rFonts w:ascii="Symbol" w:hAnsi="Symbol"/>
      </w:rPr>
    </w:lvl>
    <w:lvl w:ilvl="1" w:tplc="2E8658FC">
      <w:start w:val="1"/>
      <w:numFmt w:val="bullet"/>
      <w:lvlText w:val=""/>
      <w:lvlJc w:val="left"/>
      <w:pPr>
        <w:ind w:left="720" w:hanging="360"/>
      </w:pPr>
      <w:rPr>
        <w:rFonts w:ascii="Symbol" w:hAnsi="Symbol"/>
      </w:rPr>
    </w:lvl>
    <w:lvl w:ilvl="2" w:tplc="4448D250">
      <w:start w:val="1"/>
      <w:numFmt w:val="bullet"/>
      <w:lvlText w:val=""/>
      <w:lvlJc w:val="left"/>
      <w:pPr>
        <w:ind w:left="720" w:hanging="360"/>
      </w:pPr>
      <w:rPr>
        <w:rFonts w:ascii="Symbol" w:hAnsi="Symbol"/>
      </w:rPr>
    </w:lvl>
    <w:lvl w:ilvl="3" w:tplc="E384D75A">
      <w:start w:val="1"/>
      <w:numFmt w:val="bullet"/>
      <w:lvlText w:val=""/>
      <w:lvlJc w:val="left"/>
      <w:pPr>
        <w:ind w:left="720" w:hanging="360"/>
      </w:pPr>
      <w:rPr>
        <w:rFonts w:ascii="Symbol" w:hAnsi="Symbol"/>
      </w:rPr>
    </w:lvl>
    <w:lvl w:ilvl="4" w:tplc="25047E2E">
      <w:start w:val="1"/>
      <w:numFmt w:val="bullet"/>
      <w:lvlText w:val=""/>
      <w:lvlJc w:val="left"/>
      <w:pPr>
        <w:ind w:left="720" w:hanging="360"/>
      </w:pPr>
      <w:rPr>
        <w:rFonts w:ascii="Symbol" w:hAnsi="Symbol"/>
      </w:rPr>
    </w:lvl>
    <w:lvl w:ilvl="5" w:tplc="17AC8F68">
      <w:start w:val="1"/>
      <w:numFmt w:val="bullet"/>
      <w:lvlText w:val=""/>
      <w:lvlJc w:val="left"/>
      <w:pPr>
        <w:ind w:left="720" w:hanging="360"/>
      </w:pPr>
      <w:rPr>
        <w:rFonts w:ascii="Symbol" w:hAnsi="Symbol"/>
      </w:rPr>
    </w:lvl>
    <w:lvl w:ilvl="6" w:tplc="0EE6DCAE">
      <w:start w:val="1"/>
      <w:numFmt w:val="bullet"/>
      <w:lvlText w:val=""/>
      <w:lvlJc w:val="left"/>
      <w:pPr>
        <w:ind w:left="720" w:hanging="360"/>
      </w:pPr>
      <w:rPr>
        <w:rFonts w:ascii="Symbol" w:hAnsi="Symbol"/>
      </w:rPr>
    </w:lvl>
    <w:lvl w:ilvl="7" w:tplc="BDECBD76">
      <w:start w:val="1"/>
      <w:numFmt w:val="bullet"/>
      <w:lvlText w:val=""/>
      <w:lvlJc w:val="left"/>
      <w:pPr>
        <w:ind w:left="720" w:hanging="360"/>
      </w:pPr>
      <w:rPr>
        <w:rFonts w:ascii="Symbol" w:hAnsi="Symbol"/>
      </w:rPr>
    </w:lvl>
    <w:lvl w:ilvl="8" w:tplc="E1A61BCA">
      <w:start w:val="1"/>
      <w:numFmt w:val="bullet"/>
      <w:lvlText w:val=""/>
      <w:lvlJc w:val="left"/>
      <w:pPr>
        <w:ind w:left="720" w:hanging="360"/>
      </w:pPr>
      <w:rPr>
        <w:rFonts w:ascii="Symbol" w:hAnsi="Symbol"/>
      </w:rPr>
    </w:lvl>
  </w:abstractNum>
  <w:abstractNum w:abstractNumId="103" w15:restartNumberingAfterBreak="0">
    <w:nsid w:val="33A62AB0"/>
    <w:multiLevelType w:val="hybridMultilevel"/>
    <w:tmpl w:val="C9C2B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34A1428E"/>
    <w:multiLevelType w:val="hybridMultilevel"/>
    <w:tmpl w:val="214A9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34FE347E"/>
    <w:multiLevelType w:val="hybridMultilevel"/>
    <w:tmpl w:val="1FE27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36290C9E"/>
    <w:multiLevelType w:val="hybridMultilevel"/>
    <w:tmpl w:val="86829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366F7143"/>
    <w:multiLevelType w:val="hybridMultilevel"/>
    <w:tmpl w:val="2760D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36E10D11"/>
    <w:multiLevelType w:val="hybridMultilevel"/>
    <w:tmpl w:val="CB6C6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371C5BB4"/>
    <w:multiLevelType w:val="hybridMultilevel"/>
    <w:tmpl w:val="A0A0C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371D0332"/>
    <w:multiLevelType w:val="hybridMultilevel"/>
    <w:tmpl w:val="90C69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37476E36"/>
    <w:multiLevelType w:val="hybridMultilevel"/>
    <w:tmpl w:val="9F724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37C36D2C"/>
    <w:multiLevelType w:val="hybridMultilevel"/>
    <w:tmpl w:val="0EA42B1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3" w15:restartNumberingAfterBreak="0">
    <w:nsid w:val="38293921"/>
    <w:multiLevelType w:val="hybridMultilevel"/>
    <w:tmpl w:val="A7E8E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38F83C1A"/>
    <w:multiLevelType w:val="hybridMultilevel"/>
    <w:tmpl w:val="C504D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38FC4A17"/>
    <w:multiLevelType w:val="hybridMultilevel"/>
    <w:tmpl w:val="55948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3959BC54"/>
    <w:multiLevelType w:val="hybridMultilevel"/>
    <w:tmpl w:val="FFFFFFFF"/>
    <w:lvl w:ilvl="0" w:tplc="A6942FDC">
      <w:start w:val="1"/>
      <w:numFmt w:val="bullet"/>
      <w:lvlText w:val="·"/>
      <w:lvlJc w:val="left"/>
      <w:pPr>
        <w:ind w:left="720" w:hanging="360"/>
      </w:pPr>
      <w:rPr>
        <w:rFonts w:ascii="Symbol" w:hAnsi="Symbol" w:hint="default"/>
      </w:rPr>
    </w:lvl>
    <w:lvl w:ilvl="1" w:tplc="8C38D9C4">
      <w:start w:val="1"/>
      <w:numFmt w:val="bullet"/>
      <w:lvlText w:val="o"/>
      <w:lvlJc w:val="left"/>
      <w:pPr>
        <w:ind w:left="1440" w:hanging="360"/>
      </w:pPr>
      <w:rPr>
        <w:rFonts w:ascii="Courier New" w:hAnsi="Courier New" w:hint="default"/>
      </w:rPr>
    </w:lvl>
    <w:lvl w:ilvl="2" w:tplc="F448FED0">
      <w:start w:val="1"/>
      <w:numFmt w:val="bullet"/>
      <w:lvlText w:val=""/>
      <w:lvlJc w:val="left"/>
      <w:pPr>
        <w:ind w:left="2160" w:hanging="360"/>
      </w:pPr>
      <w:rPr>
        <w:rFonts w:ascii="Wingdings" w:hAnsi="Wingdings" w:hint="default"/>
      </w:rPr>
    </w:lvl>
    <w:lvl w:ilvl="3" w:tplc="260C0AA4">
      <w:start w:val="1"/>
      <w:numFmt w:val="bullet"/>
      <w:lvlText w:val=""/>
      <w:lvlJc w:val="left"/>
      <w:pPr>
        <w:ind w:left="2880" w:hanging="360"/>
      </w:pPr>
      <w:rPr>
        <w:rFonts w:ascii="Symbol" w:hAnsi="Symbol" w:hint="default"/>
      </w:rPr>
    </w:lvl>
    <w:lvl w:ilvl="4" w:tplc="88AE2256">
      <w:start w:val="1"/>
      <w:numFmt w:val="bullet"/>
      <w:lvlText w:val="o"/>
      <w:lvlJc w:val="left"/>
      <w:pPr>
        <w:ind w:left="3600" w:hanging="360"/>
      </w:pPr>
      <w:rPr>
        <w:rFonts w:ascii="Courier New" w:hAnsi="Courier New" w:hint="default"/>
      </w:rPr>
    </w:lvl>
    <w:lvl w:ilvl="5" w:tplc="B0C4D28A">
      <w:start w:val="1"/>
      <w:numFmt w:val="bullet"/>
      <w:lvlText w:val=""/>
      <w:lvlJc w:val="left"/>
      <w:pPr>
        <w:ind w:left="4320" w:hanging="360"/>
      </w:pPr>
      <w:rPr>
        <w:rFonts w:ascii="Wingdings" w:hAnsi="Wingdings" w:hint="default"/>
      </w:rPr>
    </w:lvl>
    <w:lvl w:ilvl="6" w:tplc="9F66ABD2">
      <w:start w:val="1"/>
      <w:numFmt w:val="bullet"/>
      <w:lvlText w:val=""/>
      <w:lvlJc w:val="left"/>
      <w:pPr>
        <w:ind w:left="5040" w:hanging="360"/>
      </w:pPr>
      <w:rPr>
        <w:rFonts w:ascii="Symbol" w:hAnsi="Symbol" w:hint="default"/>
      </w:rPr>
    </w:lvl>
    <w:lvl w:ilvl="7" w:tplc="328ECE12">
      <w:start w:val="1"/>
      <w:numFmt w:val="bullet"/>
      <w:lvlText w:val="o"/>
      <w:lvlJc w:val="left"/>
      <w:pPr>
        <w:ind w:left="5760" w:hanging="360"/>
      </w:pPr>
      <w:rPr>
        <w:rFonts w:ascii="Courier New" w:hAnsi="Courier New" w:hint="default"/>
      </w:rPr>
    </w:lvl>
    <w:lvl w:ilvl="8" w:tplc="41E68B7C">
      <w:start w:val="1"/>
      <w:numFmt w:val="bullet"/>
      <w:lvlText w:val=""/>
      <w:lvlJc w:val="left"/>
      <w:pPr>
        <w:ind w:left="6480" w:hanging="360"/>
      </w:pPr>
      <w:rPr>
        <w:rFonts w:ascii="Wingdings" w:hAnsi="Wingdings" w:hint="default"/>
      </w:rPr>
    </w:lvl>
  </w:abstractNum>
  <w:abstractNum w:abstractNumId="117" w15:restartNumberingAfterBreak="0">
    <w:nsid w:val="3B5E3F7D"/>
    <w:multiLevelType w:val="hybridMultilevel"/>
    <w:tmpl w:val="C8784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3B654929"/>
    <w:multiLevelType w:val="hybridMultilevel"/>
    <w:tmpl w:val="C88AF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3B8F21F6"/>
    <w:multiLevelType w:val="hybridMultilevel"/>
    <w:tmpl w:val="00844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3BFF5998"/>
    <w:multiLevelType w:val="hybridMultilevel"/>
    <w:tmpl w:val="C786E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3D4E13B0"/>
    <w:multiLevelType w:val="hybridMultilevel"/>
    <w:tmpl w:val="05D86D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3D577562"/>
    <w:multiLevelType w:val="hybridMultilevel"/>
    <w:tmpl w:val="0016B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3DD143C3"/>
    <w:multiLevelType w:val="hybridMultilevel"/>
    <w:tmpl w:val="A6489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3DE957A5"/>
    <w:multiLevelType w:val="multilevel"/>
    <w:tmpl w:val="59E6636C"/>
    <w:lvl w:ilvl="0">
      <w:start w:val="1"/>
      <w:numFmt w:val="lowerLetter"/>
      <w:lvlText w:val="%1)"/>
      <w:lvlJc w:val="left"/>
      <w:pPr>
        <w:ind w:left="103"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ind w:left="118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90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62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334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406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78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50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622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125" w15:restartNumberingAfterBreak="0">
    <w:nsid w:val="3E7716D1"/>
    <w:multiLevelType w:val="hybridMultilevel"/>
    <w:tmpl w:val="E8A24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3ECD012E"/>
    <w:multiLevelType w:val="multilevel"/>
    <w:tmpl w:val="CEFC0EFC"/>
    <w:lvl w:ilvl="0">
      <w:numFmt w:val="bullet"/>
      <w:lvlText w:val=""/>
      <w:lvlJc w:val="left"/>
      <w:pPr>
        <w:ind w:left="833" w:hanging="360"/>
      </w:pPr>
      <w:rPr>
        <w:rFonts w:ascii="Symbol" w:hAnsi="Symbol"/>
      </w:rPr>
    </w:lvl>
    <w:lvl w:ilvl="1">
      <w:numFmt w:val="bullet"/>
      <w:lvlText w:val="o"/>
      <w:lvlJc w:val="left"/>
      <w:pPr>
        <w:ind w:left="1553" w:hanging="360"/>
      </w:pPr>
      <w:rPr>
        <w:rFonts w:ascii="Courier New" w:hAnsi="Courier New" w:cs="Courier New"/>
      </w:rPr>
    </w:lvl>
    <w:lvl w:ilvl="2">
      <w:numFmt w:val="bullet"/>
      <w:lvlText w:val=""/>
      <w:lvlJc w:val="left"/>
      <w:pPr>
        <w:ind w:left="2273" w:hanging="360"/>
      </w:pPr>
      <w:rPr>
        <w:rFonts w:ascii="Wingdings" w:hAnsi="Wingdings"/>
      </w:rPr>
    </w:lvl>
    <w:lvl w:ilvl="3">
      <w:numFmt w:val="bullet"/>
      <w:lvlText w:val=""/>
      <w:lvlJc w:val="left"/>
      <w:pPr>
        <w:ind w:left="2993" w:hanging="360"/>
      </w:pPr>
      <w:rPr>
        <w:rFonts w:ascii="Symbol" w:hAnsi="Symbol"/>
      </w:rPr>
    </w:lvl>
    <w:lvl w:ilvl="4">
      <w:numFmt w:val="bullet"/>
      <w:lvlText w:val="o"/>
      <w:lvlJc w:val="left"/>
      <w:pPr>
        <w:ind w:left="3713" w:hanging="360"/>
      </w:pPr>
      <w:rPr>
        <w:rFonts w:ascii="Courier New" w:hAnsi="Courier New" w:cs="Courier New"/>
      </w:rPr>
    </w:lvl>
    <w:lvl w:ilvl="5">
      <w:numFmt w:val="bullet"/>
      <w:lvlText w:val=""/>
      <w:lvlJc w:val="left"/>
      <w:pPr>
        <w:ind w:left="4433" w:hanging="360"/>
      </w:pPr>
      <w:rPr>
        <w:rFonts w:ascii="Wingdings" w:hAnsi="Wingdings"/>
      </w:rPr>
    </w:lvl>
    <w:lvl w:ilvl="6">
      <w:numFmt w:val="bullet"/>
      <w:lvlText w:val=""/>
      <w:lvlJc w:val="left"/>
      <w:pPr>
        <w:ind w:left="5153" w:hanging="360"/>
      </w:pPr>
      <w:rPr>
        <w:rFonts w:ascii="Symbol" w:hAnsi="Symbol"/>
      </w:rPr>
    </w:lvl>
    <w:lvl w:ilvl="7">
      <w:numFmt w:val="bullet"/>
      <w:lvlText w:val="o"/>
      <w:lvlJc w:val="left"/>
      <w:pPr>
        <w:ind w:left="5873" w:hanging="360"/>
      </w:pPr>
      <w:rPr>
        <w:rFonts w:ascii="Courier New" w:hAnsi="Courier New" w:cs="Courier New"/>
      </w:rPr>
    </w:lvl>
    <w:lvl w:ilvl="8">
      <w:numFmt w:val="bullet"/>
      <w:lvlText w:val=""/>
      <w:lvlJc w:val="left"/>
      <w:pPr>
        <w:ind w:left="6593" w:hanging="360"/>
      </w:pPr>
      <w:rPr>
        <w:rFonts w:ascii="Wingdings" w:hAnsi="Wingdings"/>
      </w:rPr>
    </w:lvl>
  </w:abstractNum>
  <w:abstractNum w:abstractNumId="127" w15:restartNumberingAfterBreak="0">
    <w:nsid w:val="3EF16DEF"/>
    <w:multiLevelType w:val="hybridMultilevel"/>
    <w:tmpl w:val="86062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3F461F9E"/>
    <w:multiLevelType w:val="hybridMultilevel"/>
    <w:tmpl w:val="C4102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3F630A6F"/>
    <w:multiLevelType w:val="hybridMultilevel"/>
    <w:tmpl w:val="FCDE5D4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0" w15:restartNumberingAfterBreak="0">
    <w:nsid w:val="4048518E"/>
    <w:multiLevelType w:val="hybridMultilevel"/>
    <w:tmpl w:val="F46091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41186CD2"/>
    <w:multiLevelType w:val="hybridMultilevel"/>
    <w:tmpl w:val="F8DE0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423F31E7"/>
    <w:multiLevelType w:val="hybridMultilevel"/>
    <w:tmpl w:val="338AA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42416719"/>
    <w:multiLevelType w:val="hybridMultilevel"/>
    <w:tmpl w:val="FAA8A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42696E94"/>
    <w:multiLevelType w:val="hybridMultilevel"/>
    <w:tmpl w:val="06A8C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42BA2489"/>
    <w:multiLevelType w:val="hybridMultilevel"/>
    <w:tmpl w:val="92E27B86"/>
    <w:lvl w:ilvl="0" w:tplc="389AC376">
      <w:start w:val="1"/>
      <w:numFmt w:val="bullet"/>
      <w:lvlText w:val=""/>
      <w:lvlJc w:val="left"/>
      <w:pPr>
        <w:ind w:left="1020" w:hanging="360"/>
      </w:pPr>
      <w:rPr>
        <w:rFonts w:ascii="Symbol" w:hAnsi="Symbol"/>
      </w:rPr>
    </w:lvl>
    <w:lvl w:ilvl="1" w:tplc="094881FC">
      <w:start w:val="1"/>
      <w:numFmt w:val="bullet"/>
      <w:lvlText w:val=""/>
      <w:lvlJc w:val="left"/>
      <w:pPr>
        <w:ind w:left="1020" w:hanging="360"/>
      </w:pPr>
      <w:rPr>
        <w:rFonts w:ascii="Symbol" w:hAnsi="Symbol"/>
      </w:rPr>
    </w:lvl>
    <w:lvl w:ilvl="2" w:tplc="43BE3F70">
      <w:start w:val="1"/>
      <w:numFmt w:val="bullet"/>
      <w:lvlText w:val=""/>
      <w:lvlJc w:val="left"/>
      <w:pPr>
        <w:ind w:left="1020" w:hanging="360"/>
      </w:pPr>
      <w:rPr>
        <w:rFonts w:ascii="Symbol" w:hAnsi="Symbol"/>
      </w:rPr>
    </w:lvl>
    <w:lvl w:ilvl="3" w:tplc="26D4FB98">
      <w:start w:val="1"/>
      <w:numFmt w:val="bullet"/>
      <w:lvlText w:val=""/>
      <w:lvlJc w:val="left"/>
      <w:pPr>
        <w:ind w:left="1020" w:hanging="360"/>
      </w:pPr>
      <w:rPr>
        <w:rFonts w:ascii="Symbol" w:hAnsi="Symbol"/>
      </w:rPr>
    </w:lvl>
    <w:lvl w:ilvl="4" w:tplc="C458D676">
      <w:start w:val="1"/>
      <w:numFmt w:val="bullet"/>
      <w:lvlText w:val=""/>
      <w:lvlJc w:val="left"/>
      <w:pPr>
        <w:ind w:left="1020" w:hanging="360"/>
      </w:pPr>
      <w:rPr>
        <w:rFonts w:ascii="Symbol" w:hAnsi="Symbol"/>
      </w:rPr>
    </w:lvl>
    <w:lvl w:ilvl="5" w:tplc="EEA489D8">
      <w:start w:val="1"/>
      <w:numFmt w:val="bullet"/>
      <w:lvlText w:val=""/>
      <w:lvlJc w:val="left"/>
      <w:pPr>
        <w:ind w:left="1020" w:hanging="360"/>
      </w:pPr>
      <w:rPr>
        <w:rFonts w:ascii="Symbol" w:hAnsi="Symbol"/>
      </w:rPr>
    </w:lvl>
    <w:lvl w:ilvl="6" w:tplc="8604DCA8">
      <w:start w:val="1"/>
      <w:numFmt w:val="bullet"/>
      <w:lvlText w:val=""/>
      <w:lvlJc w:val="left"/>
      <w:pPr>
        <w:ind w:left="1020" w:hanging="360"/>
      </w:pPr>
      <w:rPr>
        <w:rFonts w:ascii="Symbol" w:hAnsi="Symbol"/>
      </w:rPr>
    </w:lvl>
    <w:lvl w:ilvl="7" w:tplc="B1CA39D4">
      <w:start w:val="1"/>
      <w:numFmt w:val="bullet"/>
      <w:lvlText w:val=""/>
      <w:lvlJc w:val="left"/>
      <w:pPr>
        <w:ind w:left="1020" w:hanging="360"/>
      </w:pPr>
      <w:rPr>
        <w:rFonts w:ascii="Symbol" w:hAnsi="Symbol"/>
      </w:rPr>
    </w:lvl>
    <w:lvl w:ilvl="8" w:tplc="F892A1AA">
      <w:start w:val="1"/>
      <w:numFmt w:val="bullet"/>
      <w:lvlText w:val=""/>
      <w:lvlJc w:val="left"/>
      <w:pPr>
        <w:ind w:left="1020" w:hanging="360"/>
      </w:pPr>
      <w:rPr>
        <w:rFonts w:ascii="Symbol" w:hAnsi="Symbol"/>
      </w:rPr>
    </w:lvl>
  </w:abstractNum>
  <w:abstractNum w:abstractNumId="136" w15:restartNumberingAfterBreak="0">
    <w:nsid w:val="42E103AF"/>
    <w:multiLevelType w:val="hybridMultilevel"/>
    <w:tmpl w:val="0BA8B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42F325A5"/>
    <w:multiLevelType w:val="hybridMultilevel"/>
    <w:tmpl w:val="A5D203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 w15:restartNumberingAfterBreak="0">
    <w:nsid w:val="430F4827"/>
    <w:multiLevelType w:val="hybridMultilevel"/>
    <w:tmpl w:val="93DCC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43486242"/>
    <w:multiLevelType w:val="hybridMultilevel"/>
    <w:tmpl w:val="9222A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435C62B6"/>
    <w:multiLevelType w:val="hybridMultilevel"/>
    <w:tmpl w:val="3B467D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1" w15:restartNumberingAfterBreak="0">
    <w:nsid w:val="43671940"/>
    <w:multiLevelType w:val="hybridMultilevel"/>
    <w:tmpl w:val="DCCE5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43931D31"/>
    <w:multiLevelType w:val="hybridMultilevel"/>
    <w:tmpl w:val="F5D0E12A"/>
    <w:lvl w:ilvl="0" w:tplc="FFFFFFFF">
      <w:start w:val="1"/>
      <w:numFmt w:val="decimal"/>
      <w:lvlText w:val="%1)"/>
      <w:lvlJc w:val="left"/>
      <w:pPr>
        <w:ind w:left="327" w:hanging="327"/>
      </w:pPr>
      <w:rPr>
        <w:rFonts w:ascii="Arial" w:hAnsi="Arial" w:hint="default"/>
        <w:b/>
        <w:bCs/>
        <w:i w:val="0"/>
        <w:iCs w:val="0"/>
        <w:spacing w:val="-1"/>
        <w:w w:val="100"/>
        <w:sz w:val="28"/>
        <w:szCs w:val="28"/>
        <w:lang w:val="en-US" w:eastAsia="en-US" w:bidi="ar-SA"/>
      </w:rPr>
    </w:lvl>
    <w:lvl w:ilvl="1" w:tplc="FFFFFFFF">
      <w:numFmt w:val="bullet"/>
      <w:lvlText w:val="•"/>
      <w:lvlJc w:val="left"/>
      <w:pPr>
        <w:ind w:left="1280" w:hanging="327"/>
      </w:pPr>
      <w:rPr>
        <w:lang w:val="en-US" w:eastAsia="en-US" w:bidi="ar-SA"/>
      </w:rPr>
    </w:lvl>
    <w:lvl w:ilvl="2" w:tplc="FFFFFFFF">
      <w:numFmt w:val="bullet"/>
      <w:lvlText w:val="•"/>
      <w:lvlJc w:val="left"/>
      <w:pPr>
        <w:ind w:left="2240" w:hanging="327"/>
      </w:pPr>
      <w:rPr>
        <w:lang w:val="en-US" w:eastAsia="en-US" w:bidi="ar-SA"/>
      </w:rPr>
    </w:lvl>
    <w:lvl w:ilvl="3" w:tplc="FFFFFFFF">
      <w:numFmt w:val="bullet"/>
      <w:lvlText w:val="•"/>
      <w:lvlJc w:val="left"/>
      <w:pPr>
        <w:ind w:left="3200" w:hanging="327"/>
      </w:pPr>
      <w:rPr>
        <w:lang w:val="en-US" w:eastAsia="en-US" w:bidi="ar-SA"/>
      </w:rPr>
    </w:lvl>
    <w:lvl w:ilvl="4" w:tplc="FFFFFFFF">
      <w:numFmt w:val="bullet"/>
      <w:lvlText w:val="•"/>
      <w:lvlJc w:val="left"/>
      <w:pPr>
        <w:ind w:left="4160" w:hanging="327"/>
      </w:pPr>
      <w:rPr>
        <w:lang w:val="en-US" w:eastAsia="en-US" w:bidi="ar-SA"/>
      </w:rPr>
    </w:lvl>
    <w:lvl w:ilvl="5" w:tplc="FFFFFFFF">
      <w:numFmt w:val="bullet"/>
      <w:lvlText w:val="•"/>
      <w:lvlJc w:val="left"/>
      <w:pPr>
        <w:ind w:left="5120" w:hanging="327"/>
      </w:pPr>
      <w:rPr>
        <w:lang w:val="en-US" w:eastAsia="en-US" w:bidi="ar-SA"/>
      </w:rPr>
    </w:lvl>
    <w:lvl w:ilvl="6" w:tplc="FFFFFFFF">
      <w:numFmt w:val="bullet"/>
      <w:lvlText w:val="•"/>
      <w:lvlJc w:val="left"/>
      <w:pPr>
        <w:ind w:left="6080" w:hanging="327"/>
      </w:pPr>
      <w:rPr>
        <w:lang w:val="en-US" w:eastAsia="en-US" w:bidi="ar-SA"/>
      </w:rPr>
    </w:lvl>
    <w:lvl w:ilvl="7" w:tplc="FFFFFFFF">
      <w:numFmt w:val="bullet"/>
      <w:lvlText w:val="•"/>
      <w:lvlJc w:val="left"/>
      <w:pPr>
        <w:ind w:left="7040" w:hanging="327"/>
      </w:pPr>
      <w:rPr>
        <w:lang w:val="en-US" w:eastAsia="en-US" w:bidi="ar-SA"/>
      </w:rPr>
    </w:lvl>
    <w:lvl w:ilvl="8" w:tplc="FFFFFFFF">
      <w:numFmt w:val="bullet"/>
      <w:lvlText w:val="•"/>
      <w:lvlJc w:val="left"/>
      <w:pPr>
        <w:ind w:left="8000" w:hanging="327"/>
      </w:pPr>
      <w:rPr>
        <w:lang w:val="en-US" w:eastAsia="en-US" w:bidi="ar-SA"/>
      </w:rPr>
    </w:lvl>
  </w:abstractNum>
  <w:abstractNum w:abstractNumId="143" w15:restartNumberingAfterBreak="0">
    <w:nsid w:val="439A1A49"/>
    <w:multiLevelType w:val="hybridMultilevel"/>
    <w:tmpl w:val="0DD4F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43B07027"/>
    <w:multiLevelType w:val="hybridMultilevel"/>
    <w:tmpl w:val="EC4CC4C2"/>
    <w:lvl w:ilvl="0" w:tplc="E3D024DE">
      <w:start w:val="1"/>
      <w:numFmt w:val="bullet"/>
      <w:lvlText w:val="·"/>
      <w:lvlJc w:val="left"/>
      <w:pPr>
        <w:ind w:left="720" w:hanging="360"/>
      </w:pPr>
      <w:rPr>
        <w:rFonts w:ascii="Symbol" w:hAnsi="Symbol" w:hint="default"/>
      </w:rPr>
    </w:lvl>
    <w:lvl w:ilvl="1" w:tplc="E2DCBA2C">
      <w:start w:val="1"/>
      <w:numFmt w:val="bullet"/>
      <w:lvlText w:val="o"/>
      <w:lvlJc w:val="left"/>
      <w:pPr>
        <w:ind w:left="1440" w:hanging="360"/>
      </w:pPr>
      <w:rPr>
        <w:rFonts w:ascii="Courier New" w:hAnsi="Courier New" w:hint="default"/>
      </w:rPr>
    </w:lvl>
    <w:lvl w:ilvl="2" w:tplc="AB380884">
      <w:start w:val="1"/>
      <w:numFmt w:val="bullet"/>
      <w:lvlText w:val=""/>
      <w:lvlJc w:val="left"/>
      <w:pPr>
        <w:ind w:left="2160" w:hanging="360"/>
      </w:pPr>
      <w:rPr>
        <w:rFonts w:ascii="Wingdings" w:hAnsi="Wingdings" w:hint="default"/>
      </w:rPr>
    </w:lvl>
    <w:lvl w:ilvl="3" w:tplc="0798967E">
      <w:start w:val="1"/>
      <w:numFmt w:val="bullet"/>
      <w:lvlText w:val=""/>
      <w:lvlJc w:val="left"/>
      <w:pPr>
        <w:ind w:left="2880" w:hanging="360"/>
      </w:pPr>
      <w:rPr>
        <w:rFonts w:ascii="Symbol" w:hAnsi="Symbol" w:hint="default"/>
      </w:rPr>
    </w:lvl>
    <w:lvl w:ilvl="4" w:tplc="D6C83F02">
      <w:start w:val="1"/>
      <w:numFmt w:val="bullet"/>
      <w:lvlText w:val="o"/>
      <w:lvlJc w:val="left"/>
      <w:pPr>
        <w:ind w:left="3600" w:hanging="360"/>
      </w:pPr>
      <w:rPr>
        <w:rFonts w:ascii="Courier New" w:hAnsi="Courier New" w:hint="default"/>
      </w:rPr>
    </w:lvl>
    <w:lvl w:ilvl="5" w:tplc="C16247C2">
      <w:start w:val="1"/>
      <w:numFmt w:val="bullet"/>
      <w:lvlText w:val=""/>
      <w:lvlJc w:val="left"/>
      <w:pPr>
        <w:ind w:left="4320" w:hanging="360"/>
      </w:pPr>
      <w:rPr>
        <w:rFonts w:ascii="Wingdings" w:hAnsi="Wingdings" w:hint="default"/>
      </w:rPr>
    </w:lvl>
    <w:lvl w:ilvl="6" w:tplc="432A05FC">
      <w:start w:val="1"/>
      <w:numFmt w:val="bullet"/>
      <w:lvlText w:val=""/>
      <w:lvlJc w:val="left"/>
      <w:pPr>
        <w:ind w:left="5040" w:hanging="360"/>
      </w:pPr>
      <w:rPr>
        <w:rFonts w:ascii="Symbol" w:hAnsi="Symbol" w:hint="default"/>
      </w:rPr>
    </w:lvl>
    <w:lvl w:ilvl="7" w:tplc="07F21BBE">
      <w:start w:val="1"/>
      <w:numFmt w:val="bullet"/>
      <w:lvlText w:val="o"/>
      <w:lvlJc w:val="left"/>
      <w:pPr>
        <w:ind w:left="5760" w:hanging="360"/>
      </w:pPr>
      <w:rPr>
        <w:rFonts w:ascii="Courier New" w:hAnsi="Courier New" w:hint="default"/>
      </w:rPr>
    </w:lvl>
    <w:lvl w:ilvl="8" w:tplc="C66A4288">
      <w:start w:val="1"/>
      <w:numFmt w:val="bullet"/>
      <w:lvlText w:val=""/>
      <w:lvlJc w:val="left"/>
      <w:pPr>
        <w:ind w:left="6480" w:hanging="360"/>
      </w:pPr>
      <w:rPr>
        <w:rFonts w:ascii="Wingdings" w:hAnsi="Wingdings" w:hint="default"/>
      </w:rPr>
    </w:lvl>
  </w:abstractNum>
  <w:abstractNum w:abstractNumId="145" w15:restartNumberingAfterBreak="0">
    <w:nsid w:val="45F453B5"/>
    <w:multiLevelType w:val="hybridMultilevel"/>
    <w:tmpl w:val="FAFC4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460F6A1D"/>
    <w:multiLevelType w:val="hybridMultilevel"/>
    <w:tmpl w:val="4CC8EF6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49101D05"/>
    <w:multiLevelType w:val="hybridMultilevel"/>
    <w:tmpl w:val="03148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4AA97F06"/>
    <w:multiLevelType w:val="hybridMultilevel"/>
    <w:tmpl w:val="C128D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4C2E4231"/>
    <w:multiLevelType w:val="hybridMultilevel"/>
    <w:tmpl w:val="207232D2"/>
    <w:lvl w:ilvl="0" w:tplc="24D0AE00">
      <w:start w:val="1"/>
      <w:numFmt w:val="lowerLetter"/>
      <w:lvlText w:val="%1)"/>
      <w:lvlJc w:val="left"/>
      <w:pPr>
        <w:ind w:left="6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EA05280">
      <w:start w:val="1"/>
      <w:numFmt w:val="lowerLetter"/>
      <w:lvlText w:val="%2"/>
      <w:lvlJc w:val="left"/>
      <w:pPr>
        <w:ind w:left="13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7C2FB48">
      <w:start w:val="1"/>
      <w:numFmt w:val="lowerRoman"/>
      <w:lvlText w:val="%3"/>
      <w:lvlJc w:val="left"/>
      <w:pPr>
        <w:ind w:left="20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4F8444C">
      <w:start w:val="1"/>
      <w:numFmt w:val="decimal"/>
      <w:lvlText w:val="%4"/>
      <w:lvlJc w:val="left"/>
      <w:pPr>
        <w:ind w:left="27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7A4F12">
      <w:start w:val="1"/>
      <w:numFmt w:val="lowerLetter"/>
      <w:lvlText w:val="%5"/>
      <w:lvlJc w:val="left"/>
      <w:pPr>
        <w:ind w:left="34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D764E4C">
      <w:start w:val="1"/>
      <w:numFmt w:val="lowerRoman"/>
      <w:lvlText w:val="%6"/>
      <w:lvlJc w:val="left"/>
      <w:pPr>
        <w:ind w:left="42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5CE6FCE">
      <w:start w:val="1"/>
      <w:numFmt w:val="decimal"/>
      <w:lvlText w:val="%7"/>
      <w:lvlJc w:val="left"/>
      <w:pPr>
        <w:ind w:left="49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368C368">
      <w:start w:val="1"/>
      <w:numFmt w:val="lowerLetter"/>
      <w:lvlText w:val="%8"/>
      <w:lvlJc w:val="left"/>
      <w:pPr>
        <w:ind w:left="56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9E24EE8">
      <w:start w:val="1"/>
      <w:numFmt w:val="lowerRoman"/>
      <w:lvlText w:val="%9"/>
      <w:lvlJc w:val="left"/>
      <w:pPr>
        <w:ind w:left="63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4CB045C0"/>
    <w:multiLevelType w:val="multilevel"/>
    <w:tmpl w:val="1276A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4D8F2D3D"/>
    <w:multiLevelType w:val="multilevel"/>
    <w:tmpl w:val="92CE8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4D9C13B3"/>
    <w:multiLevelType w:val="hybridMultilevel"/>
    <w:tmpl w:val="BFB4F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 w15:restartNumberingAfterBreak="0">
    <w:nsid w:val="4E7E6F80"/>
    <w:multiLevelType w:val="hybridMultilevel"/>
    <w:tmpl w:val="859899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 w15:restartNumberingAfterBreak="0">
    <w:nsid w:val="4E857A14"/>
    <w:multiLevelType w:val="multilevel"/>
    <w:tmpl w:val="4224CF5A"/>
    <w:lvl w:ilvl="0">
      <w:numFmt w:val="bullet"/>
      <w:lvlText w:val=""/>
      <w:lvlJc w:val="left"/>
      <w:pPr>
        <w:ind w:left="833" w:hanging="360"/>
      </w:pPr>
      <w:rPr>
        <w:rFonts w:ascii="Symbol" w:hAnsi="Symbol"/>
      </w:rPr>
    </w:lvl>
    <w:lvl w:ilvl="1">
      <w:numFmt w:val="bullet"/>
      <w:lvlText w:val="o"/>
      <w:lvlJc w:val="left"/>
      <w:pPr>
        <w:ind w:left="1553" w:hanging="360"/>
      </w:pPr>
      <w:rPr>
        <w:rFonts w:ascii="Courier New" w:hAnsi="Courier New" w:cs="Courier New"/>
      </w:rPr>
    </w:lvl>
    <w:lvl w:ilvl="2">
      <w:numFmt w:val="bullet"/>
      <w:lvlText w:val=""/>
      <w:lvlJc w:val="left"/>
      <w:pPr>
        <w:ind w:left="2273" w:hanging="360"/>
      </w:pPr>
      <w:rPr>
        <w:rFonts w:ascii="Wingdings" w:hAnsi="Wingdings"/>
      </w:rPr>
    </w:lvl>
    <w:lvl w:ilvl="3">
      <w:numFmt w:val="bullet"/>
      <w:lvlText w:val=""/>
      <w:lvlJc w:val="left"/>
      <w:pPr>
        <w:ind w:left="2993" w:hanging="360"/>
      </w:pPr>
      <w:rPr>
        <w:rFonts w:ascii="Symbol" w:hAnsi="Symbol"/>
      </w:rPr>
    </w:lvl>
    <w:lvl w:ilvl="4">
      <w:numFmt w:val="bullet"/>
      <w:lvlText w:val="o"/>
      <w:lvlJc w:val="left"/>
      <w:pPr>
        <w:ind w:left="3713" w:hanging="360"/>
      </w:pPr>
      <w:rPr>
        <w:rFonts w:ascii="Courier New" w:hAnsi="Courier New" w:cs="Courier New"/>
      </w:rPr>
    </w:lvl>
    <w:lvl w:ilvl="5">
      <w:numFmt w:val="bullet"/>
      <w:lvlText w:val=""/>
      <w:lvlJc w:val="left"/>
      <w:pPr>
        <w:ind w:left="4433" w:hanging="360"/>
      </w:pPr>
      <w:rPr>
        <w:rFonts w:ascii="Wingdings" w:hAnsi="Wingdings"/>
      </w:rPr>
    </w:lvl>
    <w:lvl w:ilvl="6">
      <w:numFmt w:val="bullet"/>
      <w:lvlText w:val=""/>
      <w:lvlJc w:val="left"/>
      <w:pPr>
        <w:ind w:left="5153" w:hanging="360"/>
      </w:pPr>
      <w:rPr>
        <w:rFonts w:ascii="Symbol" w:hAnsi="Symbol"/>
      </w:rPr>
    </w:lvl>
    <w:lvl w:ilvl="7">
      <w:numFmt w:val="bullet"/>
      <w:lvlText w:val="o"/>
      <w:lvlJc w:val="left"/>
      <w:pPr>
        <w:ind w:left="5873" w:hanging="360"/>
      </w:pPr>
      <w:rPr>
        <w:rFonts w:ascii="Courier New" w:hAnsi="Courier New" w:cs="Courier New"/>
      </w:rPr>
    </w:lvl>
    <w:lvl w:ilvl="8">
      <w:numFmt w:val="bullet"/>
      <w:lvlText w:val=""/>
      <w:lvlJc w:val="left"/>
      <w:pPr>
        <w:ind w:left="6593" w:hanging="360"/>
      </w:pPr>
      <w:rPr>
        <w:rFonts w:ascii="Wingdings" w:hAnsi="Wingdings"/>
      </w:rPr>
    </w:lvl>
  </w:abstractNum>
  <w:abstractNum w:abstractNumId="155" w15:restartNumberingAfterBreak="0">
    <w:nsid w:val="4F104D72"/>
    <w:multiLevelType w:val="hybridMultilevel"/>
    <w:tmpl w:val="B2145B5E"/>
    <w:lvl w:ilvl="0" w:tplc="ABE869FE">
      <w:start w:val="1"/>
      <w:numFmt w:val="bullet"/>
      <w:lvlText w:val=""/>
      <w:lvlJc w:val="left"/>
      <w:pPr>
        <w:ind w:left="720" w:hanging="360"/>
      </w:pPr>
      <w:rPr>
        <w:rFonts w:ascii="Symbol" w:hAnsi="Symbol"/>
      </w:rPr>
    </w:lvl>
    <w:lvl w:ilvl="1" w:tplc="91A4BE32">
      <w:start w:val="1"/>
      <w:numFmt w:val="bullet"/>
      <w:lvlText w:val=""/>
      <w:lvlJc w:val="left"/>
      <w:pPr>
        <w:ind w:left="720" w:hanging="360"/>
      </w:pPr>
      <w:rPr>
        <w:rFonts w:ascii="Symbol" w:hAnsi="Symbol"/>
      </w:rPr>
    </w:lvl>
    <w:lvl w:ilvl="2" w:tplc="3CFCF85C">
      <w:start w:val="1"/>
      <w:numFmt w:val="bullet"/>
      <w:lvlText w:val=""/>
      <w:lvlJc w:val="left"/>
      <w:pPr>
        <w:ind w:left="720" w:hanging="360"/>
      </w:pPr>
      <w:rPr>
        <w:rFonts w:ascii="Symbol" w:hAnsi="Symbol"/>
      </w:rPr>
    </w:lvl>
    <w:lvl w:ilvl="3" w:tplc="8A16F87A">
      <w:start w:val="1"/>
      <w:numFmt w:val="bullet"/>
      <w:lvlText w:val=""/>
      <w:lvlJc w:val="left"/>
      <w:pPr>
        <w:ind w:left="720" w:hanging="360"/>
      </w:pPr>
      <w:rPr>
        <w:rFonts w:ascii="Symbol" w:hAnsi="Symbol"/>
      </w:rPr>
    </w:lvl>
    <w:lvl w:ilvl="4" w:tplc="23F27A2E">
      <w:start w:val="1"/>
      <w:numFmt w:val="bullet"/>
      <w:lvlText w:val=""/>
      <w:lvlJc w:val="left"/>
      <w:pPr>
        <w:ind w:left="720" w:hanging="360"/>
      </w:pPr>
      <w:rPr>
        <w:rFonts w:ascii="Symbol" w:hAnsi="Symbol"/>
      </w:rPr>
    </w:lvl>
    <w:lvl w:ilvl="5" w:tplc="C7E64E66">
      <w:start w:val="1"/>
      <w:numFmt w:val="bullet"/>
      <w:lvlText w:val=""/>
      <w:lvlJc w:val="left"/>
      <w:pPr>
        <w:ind w:left="720" w:hanging="360"/>
      </w:pPr>
      <w:rPr>
        <w:rFonts w:ascii="Symbol" w:hAnsi="Symbol"/>
      </w:rPr>
    </w:lvl>
    <w:lvl w:ilvl="6" w:tplc="F61C2BC2">
      <w:start w:val="1"/>
      <w:numFmt w:val="bullet"/>
      <w:lvlText w:val=""/>
      <w:lvlJc w:val="left"/>
      <w:pPr>
        <w:ind w:left="720" w:hanging="360"/>
      </w:pPr>
      <w:rPr>
        <w:rFonts w:ascii="Symbol" w:hAnsi="Symbol"/>
      </w:rPr>
    </w:lvl>
    <w:lvl w:ilvl="7" w:tplc="30F8E5E6">
      <w:start w:val="1"/>
      <w:numFmt w:val="bullet"/>
      <w:lvlText w:val=""/>
      <w:lvlJc w:val="left"/>
      <w:pPr>
        <w:ind w:left="720" w:hanging="360"/>
      </w:pPr>
      <w:rPr>
        <w:rFonts w:ascii="Symbol" w:hAnsi="Symbol"/>
      </w:rPr>
    </w:lvl>
    <w:lvl w:ilvl="8" w:tplc="5B486520">
      <w:start w:val="1"/>
      <w:numFmt w:val="bullet"/>
      <w:lvlText w:val=""/>
      <w:lvlJc w:val="left"/>
      <w:pPr>
        <w:ind w:left="720" w:hanging="360"/>
      </w:pPr>
      <w:rPr>
        <w:rFonts w:ascii="Symbol" w:hAnsi="Symbol"/>
      </w:rPr>
    </w:lvl>
  </w:abstractNum>
  <w:abstractNum w:abstractNumId="156" w15:restartNumberingAfterBreak="0">
    <w:nsid w:val="4F400409"/>
    <w:multiLevelType w:val="hybridMultilevel"/>
    <w:tmpl w:val="FD983A5A"/>
    <w:lvl w:ilvl="0" w:tplc="18D61638">
      <w:start w:val="1"/>
      <w:numFmt w:val="bullet"/>
      <w:lvlText w:val=""/>
      <w:lvlJc w:val="left"/>
      <w:pPr>
        <w:ind w:left="720" w:hanging="360"/>
      </w:pPr>
      <w:rPr>
        <w:rFonts w:ascii="Symbol" w:hAnsi="Symbol"/>
      </w:rPr>
    </w:lvl>
    <w:lvl w:ilvl="1" w:tplc="EB20DD8E">
      <w:start w:val="1"/>
      <w:numFmt w:val="bullet"/>
      <w:lvlText w:val=""/>
      <w:lvlJc w:val="left"/>
      <w:pPr>
        <w:ind w:left="720" w:hanging="360"/>
      </w:pPr>
      <w:rPr>
        <w:rFonts w:ascii="Symbol" w:hAnsi="Symbol"/>
      </w:rPr>
    </w:lvl>
    <w:lvl w:ilvl="2" w:tplc="54546B58">
      <w:start w:val="1"/>
      <w:numFmt w:val="bullet"/>
      <w:lvlText w:val=""/>
      <w:lvlJc w:val="left"/>
      <w:pPr>
        <w:ind w:left="720" w:hanging="360"/>
      </w:pPr>
      <w:rPr>
        <w:rFonts w:ascii="Symbol" w:hAnsi="Symbol"/>
      </w:rPr>
    </w:lvl>
    <w:lvl w:ilvl="3" w:tplc="7C0EBAC4">
      <w:start w:val="1"/>
      <w:numFmt w:val="bullet"/>
      <w:lvlText w:val=""/>
      <w:lvlJc w:val="left"/>
      <w:pPr>
        <w:ind w:left="720" w:hanging="360"/>
      </w:pPr>
      <w:rPr>
        <w:rFonts w:ascii="Symbol" w:hAnsi="Symbol"/>
      </w:rPr>
    </w:lvl>
    <w:lvl w:ilvl="4" w:tplc="768688FC">
      <w:start w:val="1"/>
      <w:numFmt w:val="bullet"/>
      <w:lvlText w:val=""/>
      <w:lvlJc w:val="left"/>
      <w:pPr>
        <w:ind w:left="720" w:hanging="360"/>
      </w:pPr>
      <w:rPr>
        <w:rFonts w:ascii="Symbol" w:hAnsi="Symbol"/>
      </w:rPr>
    </w:lvl>
    <w:lvl w:ilvl="5" w:tplc="99BC663C">
      <w:start w:val="1"/>
      <w:numFmt w:val="bullet"/>
      <w:lvlText w:val=""/>
      <w:lvlJc w:val="left"/>
      <w:pPr>
        <w:ind w:left="720" w:hanging="360"/>
      </w:pPr>
      <w:rPr>
        <w:rFonts w:ascii="Symbol" w:hAnsi="Symbol"/>
      </w:rPr>
    </w:lvl>
    <w:lvl w:ilvl="6" w:tplc="811EF184">
      <w:start w:val="1"/>
      <w:numFmt w:val="bullet"/>
      <w:lvlText w:val=""/>
      <w:lvlJc w:val="left"/>
      <w:pPr>
        <w:ind w:left="720" w:hanging="360"/>
      </w:pPr>
      <w:rPr>
        <w:rFonts w:ascii="Symbol" w:hAnsi="Symbol"/>
      </w:rPr>
    </w:lvl>
    <w:lvl w:ilvl="7" w:tplc="DE4A50B4">
      <w:start w:val="1"/>
      <w:numFmt w:val="bullet"/>
      <w:lvlText w:val=""/>
      <w:lvlJc w:val="left"/>
      <w:pPr>
        <w:ind w:left="720" w:hanging="360"/>
      </w:pPr>
      <w:rPr>
        <w:rFonts w:ascii="Symbol" w:hAnsi="Symbol"/>
      </w:rPr>
    </w:lvl>
    <w:lvl w:ilvl="8" w:tplc="82B26E32">
      <w:start w:val="1"/>
      <w:numFmt w:val="bullet"/>
      <w:lvlText w:val=""/>
      <w:lvlJc w:val="left"/>
      <w:pPr>
        <w:ind w:left="720" w:hanging="360"/>
      </w:pPr>
      <w:rPr>
        <w:rFonts w:ascii="Symbol" w:hAnsi="Symbol"/>
      </w:rPr>
    </w:lvl>
  </w:abstractNum>
  <w:abstractNum w:abstractNumId="157" w15:restartNumberingAfterBreak="0">
    <w:nsid w:val="4F4714BD"/>
    <w:multiLevelType w:val="hybridMultilevel"/>
    <w:tmpl w:val="823E0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501E5CEB"/>
    <w:multiLevelType w:val="hybridMultilevel"/>
    <w:tmpl w:val="DD464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15:restartNumberingAfterBreak="0">
    <w:nsid w:val="50D847D6"/>
    <w:multiLevelType w:val="multilevel"/>
    <w:tmpl w:val="647A0698"/>
    <w:lvl w:ilvl="0">
      <w:start w:val="1"/>
      <w:numFmt w:val="lowerLetter"/>
      <w:lvlText w:val="(%1)"/>
      <w:lvlJc w:val="left"/>
      <w:pPr>
        <w:ind w:left="103"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ind w:left="1374"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2094"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814"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3534"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4254"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974"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694"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6414"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160" w15:restartNumberingAfterBreak="0">
    <w:nsid w:val="519930B4"/>
    <w:multiLevelType w:val="hybridMultilevel"/>
    <w:tmpl w:val="6824C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522D44BA"/>
    <w:multiLevelType w:val="hybridMultilevel"/>
    <w:tmpl w:val="A34AC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52721F42"/>
    <w:multiLevelType w:val="hybridMultilevel"/>
    <w:tmpl w:val="AC4A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3" w15:restartNumberingAfterBreak="0">
    <w:nsid w:val="529908FD"/>
    <w:multiLevelType w:val="hybridMultilevel"/>
    <w:tmpl w:val="E892D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52EE2FB7"/>
    <w:multiLevelType w:val="hybridMultilevel"/>
    <w:tmpl w:val="69F417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53A10388"/>
    <w:multiLevelType w:val="hybridMultilevel"/>
    <w:tmpl w:val="856291C2"/>
    <w:lvl w:ilvl="0" w:tplc="C33C809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6" w15:restartNumberingAfterBreak="0">
    <w:nsid w:val="541F01BF"/>
    <w:multiLevelType w:val="hybridMultilevel"/>
    <w:tmpl w:val="47C6E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561D6DB4"/>
    <w:multiLevelType w:val="hybridMultilevel"/>
    <w:tmpl w:val="A7866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56AB2963"/>
    <w:multiLevelType w:val="hybridMultilevel"/>
    <w:tmpl w:val="FF5E8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9" w15:restartNumberingAfterBreak="0">
    <w:nsid w:val="56E552C2"/>
    <w:multiLevelType w:val="hybridMultilevel"/>
    <w:tmpl w:val="38765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15:restartNumberingAfterBreak="0">
    <w:nsid w:val="57163E57"/>
    <w:multiLevelType w:val="hybridMultilevel"/>
    <w:tmpl w:val="C13A4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1" w15:restartNumberingAfterBreak="0">
    <w:nsid w:val="57540B3D"/>
    <w:multiLevelType w:val="hybridMultilevel"/>
    <w:tmpl w:val="B54A6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2" w15:restartNumberingAfterBreak="0">
    <w:nsid w:val="578E2FBD"/>
    <w:multiLevelType w:val="hybridMultilevel"/>
    <w:tmpl w:val="53822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3" w15:restartNumberingAfterBreak="0">
    <w:nsid w:val="58963176"/>
    <w:multiLevelType w:val="hybridMultilevel"/>
    <w:tmpl w:val="66DC7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4" w15:restartNumberingAfterBreak="0">
    <w:nsid w:val="58B7342F"/>
    <w:multiLevelType w:val="hybridMultilevel"/>
    <w:tmpl w:val="7EE21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15:restartNumberingAfterBreak="0">
    <w:nsid w:val="599E4A21"/>
    <w:multiLevelType w:val="hybridMultilevel"/>
    <w:tmpl w:val="0F30E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6" w15:restartNumberingAfterBreak="0">
    <w:nsid w:val="5AD57184"/>
    <w:multiLevelType w:val="hybridMultilevel"/>
    <w:tmpl w:val="292CE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5B2F713E"/>
    <w:multiLevelType w:val="hybridMultilevel"/>
    <w:tmpl w:val="8D6E510A"/>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78" w15:restartNumberingAfterBreak="0">
    <w:nsid w:val="5B701AFA"/>
    <w:multiLevelType w:val="hybridMultilevel"/>
    <w:tmpl w:val="37285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15:restartNumberingAfterBreak="0">
    <w:nsid w:val="5BBD2B16"/>
    <w:multiLevelType w:val="hybridMultilevel"/>
    <w:tmpl w:val="3BCA0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5C5025D0"/>
    <w:multiLevelType w:val="hybridMultilevel"/>
    <w:tmpl w:val="BAC0EDEA"/>
    <w:lvl w:ilvl="0" w:tplc="C9FA2FF4">
      <w:start w:val="1"/>
      <w:numFmt w:val="bullet"/>
      <w:lvlText w:val="-"/>
      <w:lvlJc w:val="left"/>
      <w:pPr>
        <w:ind w:left="6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B0DF14">
      <w:start w:val="1"/>
      <w:numFmt w:val="bullet"/>
      <w:lvlText w:val="o"/>
      <w:lvlJc w:val="left"/>
      <w:pPr>
        <w:ind w:left="13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692F902">
      <w:start w:val="1"/>
      <w:numFmt w:val="bullet"/>
      <w:lvlText w:val="▪"/>
      <w:lvlJc w:val="left"/>
      <w:pPr>
        <w:ind w:left="20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32E04BA">
      <w:start w:val="1"/>
      <w:numFmt w:val="bullet"/>
      <w:lvlText w:val="•"/>
      <w:lvlJc w:val="left"/>
      <w:pPr>
        <w:ind w:left="27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A02B012">
      <w:start w:val="1"/>
      <w:numFmt w:val="bullet"/>
      <w:lvlText w:val="o"/>
      <w:lvlJc w:val="left"/>
      <w:pPr>
        <w:ind w:left="34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9C4E500">
      <w:start w:val="1"/>
      <w:numFmt w:val="bullet"/>
      <w:lvlText w:val="▪"/>
      <w:lvlJc w:val="left"/>
      <w:pPr>
        <w:ind w:left="42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2269F5E">
      <w:start w:val="1"/>
      <w:numFmt w:val="bullet"/>
      <w:lvlText w:val="•"/>
      <w:lvlJc w:val="left"/>
      <w:pPr>
        <w:ind w:left="49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F85B1C">
      <w:start w:val="1"/>
      <w:numFmt w:val="bullet"/>
      <w:lvlText w:val="o"/>
      <w:lvlJc w:val="left"/>
      <w:pPr>
        <w:ind w:left="56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3C0509A">
      <w:start w:val="1"/>
      <w:numFmt w:val="bullet"/>
      <w:lvlText w:val="▪"/>
      <w:lvlJc w:val="left"/>
      <w:pPr>
        <w:ind w:left="63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1" w15:restartNumberingAfterBreak="0">
    <w:nsid w:val="5CB853D4"/>
    <w:multiLevelType w:val="hybridMultilevel"/>
    <w:tmpl w:val="86BE8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2" w15:restartNumberingAfterBreak="0">
    <w:nsid w:val="5CF61F05"/>
    <w:multiLevelType w:val="hybridMultilevel"/>
    <w:tmpl w:val="5FF0D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5E301499"/>
    <w:multiLevelType w:val="hybridMultilevel"/>
    <w:tmpl w:val="E7AC7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4" w15:restartNumberingAfterBreak="0">
    <w:nsid w:val="5EF3658C"/>
    <w:multiLevelType w:val="hybridMultilevel"/>
    <w:tmpl w:val="FA08A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5" w15:restartNumberingAfterBreak="0">
    <w:nsid w:val="5F5C21E4"/>
    <w:multiLevelType w:val="hybridMultilevel"/>
    <w:tmpl w:val="9FD05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5F9059C7"/>
    <w:multiLevelType w:val="hybridMultilevel"/>
    <w:tmpl w:val="E7F09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7" w15:restartNumberingAfterBreak="0">
    <w:nsid w:val="605E3ECE"/>
    <w:multiLevelType w:val="multilevel"/>
    <w:tmpl w:val="65E46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60CF426B"/>
    <w:multiLevelType w:val="multilevel"/>
    <w:tmpl w:val="66A08C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619441C6"/>
    <w:multiLevelType w:val="hybridMultilevel"/>
    <w:tmpl w:val="F25EB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0" w15:restartNumberingAfterBreak="0">
    <w:nsid w:val="61A53F64"/>
    <w:multiLevelType w:val="hybridMultilevel"/>
    <w:tmpl w:val="3FE8F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1" w15:restartNumberingAfterBreak="0">
    <w:nsid w:val="61AD720E"/>
    <w:multiLevelType w:val="multilevel"/>
    <w:tmpl w:val="B5D67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61E00B5F"/>
    <w:multiLevelType w:val="hybridMultilevel"/>
    <w:tmpl w:val="E7066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62214F31"/>
    <w:multiLevelType w:val="hybridMultilevel"/>
    <w:tmpl w:val="C340EA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4" w15:restartNumberingAfterBreak="0">
    <w:nsid w:val="62454396"/>
    <w:multiLevelType w:val="hybridMultilevel"/>
    <w:tmpl w:val="3782D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62676062"/>
    <w:multiLevelType w:val="hybridMultilevel"/>
    <w:tmpl w:val="B208797A"/>
    <w:lvl w:ilvl="0" w:tplc="AA9A5FD0">
      <w:start w:val="1"/>
      <w:numFmt w:val="bullet"/>
      <w:lvlText w:val="-"/>
      <w:lvlJc w:val="left"/>
      <w:pPr>
        <w:ind w:left="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330095C">
      <w:start w:val="1"/>
      <w:numFmt w:val="bullet"/>
      <w:lvlText w:val="o"/>
      <w:lvlJc w:val="left"/>
      <w:pPr>
        <w:ind w:left="13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06662CE">
      <w:start w:val="1"/>
      <w:numFmt w:val="bullet"/>
      <w:lvlText w:val="▪"/>
      <w:lvlJc w:val="left"/>
      <w:pPr>
        <w:ind w:left="20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F9CC6CE">
      <w:start w:val="1"/>
      <w:numFmt w:val="bullet"/>
      <w:lvlText w:val="•"/>
      <w:lvlJc w:val="left"/>
      <w:pPr>
        <w:ind w:left="27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E2EA222">
      <w:start w:val="1"/>
      <w:numFmt w:val="bullet"/>
      <w:lvlText w:val="o"/>
      <w:lvlJc w:val="left"/>
      <w:pPr>
        <w:ind w:left="34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71A6CB6">
      <w:start w:val="1"/>
      <w:numFmt w:val="bullet"/>
      <w:lvlText w:val="▪"/>
      <w:lvlJc w:val="left"/>
      <w:pPr>
        <w:ind w:left="42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96EFEDA">
      <w:start w:val="1"/>
      <w:numFmt w:val="bullet"/>
      <w:lvlText w:val="•"/>
      <w:lvlJc w:val="left"/>
      <w:pPr>
        <w:ind w:left="49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46F138">
      <w:start w:val="1"/>
      <w:numFmt w:val="bullet"/>
      <w:lvlText w:val="o"/>
      <w:lvlJc w:val="left"/>
      <w:pPr>
        <w:ind w:left="56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810D578">
      <w:start w:val="1"/>
      <w:numFmt w:val="bullet"/>
      <w:lvlText w:val="▪"/>
      <w:lvlJc w:val="left"/>
      <w:pPr>
        <w:ind w:left="63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6" w15:restartNumberingAfterBreak="0">
    <w:nsid w:val="62CC79C7"/>
    <w:multiLevelType w:val="hybridMultilevel"/>
    <w:tmpl w:val="3A02B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63772022"/>
    <w:multiLevelType w:val="hybridMultilevel"/>
    <w:tmpl w:val="A0BA7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8" w15:restartNumberingAfterBreak="0">
    <w:nsid w:val="63E21883"/>
    <w:multiLevelType w:val="hybridMultilevel"/>
    <w:tmpl w:val="28C8EF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9" w15:restartNumberingAfterBreak="0">
    <w:nsid w:val="63E9381E"/>
    <w:multiLevelType w:val="hybridMultilevel"/>
    <w:tmpl w:val="36D4E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0" w15:restartNumberingAfterBreak="0">
    <w:nsid w:val="64404587"/>
    <w:multiLevelType w:val="hybridMultilevel"/>
    <w:tmpl w:val="3A740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1" w15:restartNumberingAfterBreak="0">
    <w:nsid w:val="64666ADB"/>
    <w:multiLevelType w:val="hybridMultilevel"/>
    <w:tmpl w:val="58EEF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2" w15:restartNumberingAfterBreak="0">
    <w:nsid w:val="646C5F44"/>
    <w:multiLevelType w:val="multilevel"/>
    <w:tmpl w:val="E5DA7648"/>
    <w:lvl w:ilvl="0">
      <w:numFmt w:val="bullet"/>
      <w:lvlText w:val=""/>
      <w:lvlJc w:val="left"/>
      <w:pPr>
        <w:ind w:left="1553" w:hanging="360"/>
      </w:pPr>
      <w:rPr>
        <w:rFonts w:ascii="Symbol" w:hAnsi="Symbol"/>
      </w:rPr>
    </w:lvl>
    <w:lvl w:ilvl="1">
      <w:numFmt w:val="bullet"/>
      <w:lvlText w:val="o"/>
      <w:lvlJc w:val="left"/>
      <w:pPr>
        <w:ind w:left="2273" w:hanging="360"/>
      </w:pPr>
      <w:rPr>
        <w:rFonts w:ascii="Courier New" w:hAnsi="Courier New" w:cs="Courier New"/>
      </w:rPr>
    </w:lvl>
    <w:lvl w:ilvl="2">
      <w:numFmt w:val="bullet"/>
      <w:lvlText w:val=""/>
      <w:lvlJc w:val="left"/>
      <w:pPr>
        <w:ind w:left="2993" w:hanging="360"/>
      </w:pPr>
      <w:rPr>
        <w:rFonts w:ascii="Wingdings" w:hAnsi="Wingdings"/>
      </w:rPr>
    </w:lvl>
    <w:lvl w:ilvl="3">
      <w:numFmt w:val="bullet"/>
      <w:lvlText w:val=""/>
      <w:lvlJc w:val="left"/>
      <w:pPr>
        <w:ind w:left="3713" w:hanging="360"/>
      </w:pPr>
      <w:rPr>
        <w:rFonts w:ascii="Symbol" w:hAnsi="Symbol"/>
      </w:rPr>
    </w:lvl>
    <w:lvl w:ilvl="4">
      <w:numFmt w:val="bullet"/>
      <w:lvlText w:val="o"/>
      <w:lvlJc w:val="left"/>
      <w:pPr>
        <w:ind w:left="4433" w:hanging="360"/>
      </w:pPr>
      <w:rPr>
        <w:rFonts w:ascii="Courier New" w:hAnsi="Courier New" w:cs="Courier New"/>
      </w:rPr>
    </w:lvl>
    <w:lvl w:ilvl="5">
      <w:numFmt w:val="bullet"/>
      <w:lvlText w:val=""/>
      <w:lvlJc w:val="left"/>
      <w:pPr>
        <w:ind w:left="5153" w:hanging="360"/>
      </w:pPr>
      <w:rPr>
        <w:rFonts w:ascii="Wingdings" w:hAnsi="Wingdings"/>
      </w:rPr>
    </w:lvl>
    <w:lvl w:ilvl="6">
      <w:numFmt w:val="bullet"/>
      <w:lvlText w:val=""/>
      <w:lvlJc w:val="left"/>
      <w:pPr>
        <w:ind w:left="5873" w:hanging="360"/>
      </w:pPr>
      <w:rPr>
        <w:rFonts w:ascii="Symbol" w:hAnsi="Symbol"/>
      </w:rPr>
    </w:lvl>
    <w:lvl w:ilvl="7">
      <w:numFmt w:val="bullet"/>
      <w:lvlText w:val="o"/>
      <w:lvlJc w:val="left"/>
      <w:pPr>
        <w:ind w:left="6593" w:hanging="360"/>
      </w:pPr>
      <w:rPr>
        <w:rFonts w:ascii="Courier New" w:hAnsi="Courier New" w:cs="Courier New"/>
      </w:rPr>
    </w:lvl>
    <w:lvl w:ilvl="8">
      <w:numFmt w:val="bullet"/>
      <w:lvlText w:val=""/>
      <w:lvlJc w:val="left"/>
      <w:pPr>
        <w:ind w:left="7313" w:hanging="360"/>
      </w:pPr>
      <w:rPr>
        <w:rFonts w:ascii="Wingdings" w:hAnsi="Wingdings"/>
      </w:rPr>
    </w:lvl>
  </w:abstractNum>
  <w:abstractNum w:abstractNumId="203" w15:restartNumberingAfterBreak="0">
    <w:nsid w:val="6616385E"/>
    <w:multiLevelType w:val="hybridMultilevel"/>
    <w:tmpl w:val="491C4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4" w15:restartNumberingAfterBreak="0">
    <w:nsid w:val="66621C0B"/>
    <w:multiLevelType w:val="multilevel"/>
    <w:tmpl w:val="0532AD50"/>
    <w:lvl w:ilvl="0">
      <w:numFmt w:val="bullet"/>
      <w:lvlText w:val=""/>
      <w:lvlJc w:val="left"/>
      <w:pPr>
        <w:ind w:left="833" w:hanging="360"/>
      </w:pPr>
      <w:rPr>
        <w:rFonts w:ascii="Symbol" w:hAnsi="Symbol"/>
      </w:rPr>
    </w:lvl>
    <w:lvl w:ilvl="1">
      <w:numFmt w:val="bullet"/>
      <w:lvlText w:val="o"/>
      <w:lvlJc w:val="left"/>
      <w:pPr>
        <w:ind w:left="1553" w:hanging="360"/>
      </w:pPr>
      <w:rPr>
        <w:rFonts w:ascii="Courier New" w:hAnsi="Courier New" w:cs="Courier New"/>
      </w:rPr>
    </w:lvl>
    <w:lvl w:ilvl="2">
      <w:numFmt w:val="bullet"/>
      <w:lvlText w:val=""/>
      <w:lvlJc w:val="left"/>
      <w:pPr>
        <w:ind w:left="2273" w:hanging="360"/>
      </w:pPr>
      <w:rPr>
        <w:rFonts w:ascii="Wingdings" w:hAnsi="Wingdings"/>
      </w:rPr>
    </w:lvl>
    <w:lvl w:ilvl="3">
      <w:numFmt w:val="bullet"/>
      <w:lvlText w:val=""/>
      <w:lvlJc w:val="left"/>
      <w:pPr>
        <w:ind w:left="2993" w:hanging="360"/>
      </w:pPr>
      <w:rPr>
        <w:rFonts w:ascii="Symbol" w:hAnsi="Symbol"/>
      </w:rPr>
    </w:lvl>
    <w:lvl w:ilvl="4">
      <w:numFmt w:val="bullet"/>
      <w:lvlText w:val="o"/>
      <w:lvlJc w:val="left"/>
      <w:pPr>
        <w:ind w:left="3713" w:hanging="360"/>
      </w:pPr>
      <w:rPr>
        <w:rFonts w:ascii="Courier New" w:hAnsi="Courier New" w:cs="Courier New"/>
      </w:rPr>
    </w:lvl>
    <w:lvl w:ilvl="5">
      <w:numFmt w:val="bullet"/>
      <w:lvlText w:val=""/>
      <w:lvlJc w:val="left"/>
      <w:pPr>
        <w:ind w:left="4433" w:hanging="360"/>
      </w:pPr>
      <w:rPr>
        <w:rFonts w:ascii="Wingdings" w:hAnsi="Wingdings"/>
      </w:rPr>
    </w:lvl>
    <w:lvl w:ilvl="6">
      <w:numFmt w:val="bullet"/>
      <w:lvlText w:val=""/>
      <w:lvlJc w:val="left"/>
      <w:pPr>
        <w:ind w:left="5153" w:hanging="360"/>
      </w:pPr>
      <w:rPr>
        <w:rFonts w:ascii="Symbol" w:hAnsi="Symbol"/>
      </w:rPr>
    </w:lvl>
    <w:lvl w:ilvl="7">
      <w:numFmt w:val="bullet"/>
      <w:lvlText w:val="o"/>
      <w:lvlJc w:val="left"/>
      <w:pPr>
        <w:ind w:left="5873" w:hanging="360"/>
      </w:pPr>
      <w:rPr>
        <w:rFonts w:ascii="Courier New" w:hAnsi="Courier New" w:cs="Courier New"/>
      </w:rPr>
    </w:lvl>
    <w:lvl w:ilvl="8">
      <w:numFmt w:val="bullet"/>
      <w:lvlText w:val=""/>
      <w:lvlJc w:val="left"/>
      <w:pPr>
        <w:ind w:left="6593" w:hanging="360"/>
      </w:pPr>
      <w:rPr>
        <w:rFonts w:ascii="Wingdings" w:hAnsi="Wingdings"/>
      </w:rPr>
    </w:lvl>
  </w:abstractNum>
  <w:abstractNum w:abstractNumId="205" w15:restartNumberingAfterBreak="0">
    <w:nsid w:val="6734778B"/>
    <w:multiLevelType w:val="hybridMultilevel"/>
    <w:tmpl w:val="AD808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6" w15:restartNumberingAfterBreak="0">
    <w:nsid w:val="67E17407"/>
    <w:multiLevelType w:val="hybridMultilevel"/>
    <w:tmpl w:val="E31AEF60"/>
    <w:lvl w:ilvl="0" w:tplc="0809000F">
      <w:start w:val="1"/>
      <w:numFmt w:val="decimal"/>
      <w:lvlText w:val="%1."/>
      <w:lvlJc w:val="left"/>
      <w:pPr>
        <w:ind w:left="1510" w:hanging="360"/>
      </w:pPr>
    </w:lvl>
    <w:lvl w:ilvl="1" w:tplc="08090019" w:tentative="1">
      <w:start w:val="1"/>
      <w:numFmt w:val="lowerLetter"/>
      <w:lvlText w:val="%2."/>
      <w:lvlJc w:val="left"/>
      <w:pPr>
        <w:ind w:left="2230" w:hanging="360"/>
      </w:pPr>
    </w:lvl>
    <w:lvl w:ilvl="2" w:tplc="0809001B" w:tentative="1">
      <w:start w:val="1"/>
      <w:numFmt w:val="lowerRoman"/>
      <w:lvlText w:val="%3."/>
      <w:lvlJc w:val="right"/>
      <w:pPr>
        <w:ind w:left="2950" w:hanging="180"/>
      </w:pPr>
    </w:lvl>
    <w:lvl w:ilvl="3" w:tplc="0809000F" w:tentative="1">
      <w:start w:val="1"/>
      <w:numFmt w:val="decimal"/>
      <w:lvlText w:val="%4."/>
      <w:lvlJc w:val="left"/>
      <w:pPr>
        <w:ind w:left="3670" w:hanging="360"/>
      </w:pPr>
    </w:lvl>
    <w:lvl w:ilvl="4" w:tplc="08090019" w:tentative="1">
      <w:start w:val="1"/>
      <w:numFmt w:val="lowerLetter"/>
      <w:lvlText w:val="%5."/>
      <w:lvlJc w:val="left"/>
      <w:pPr>
        <w:ind w:left="4390" w:hanging="360"/>
      </w:pPr>
    </w:lvl>
    <w:lvl w:ilvl="5" w:tplc="0809001B" w:tentative="1">
      <w:start w:val="1"/>
      <w:numFmt w:val="lowerRoman"/>
      <w:lvlText w:val="%6."/>
      <w:lvlJc w:val="right"/>
      <w:pPr>
        <w:ind w:left="5110" w:hanging="180"/>
      </w:pPr>
    </w:lvl>
    <w:lvl w:ilvl="6" w:tplc="0809000F" w:tentative="1">
      <w:start w:val="1"/>
      <w:numFmt w:val="decimal"/>
      <w:lvlText w:val="%7."/>
      <w:lvlJc w:val="left"/>
      <w:pPr>
        <w:ind w:left="5830" w:hanging="360"/>
      </w:pPr>
    </w:lvl>
    <w:lvl w:ilvl="7" w:tplc="08090019" w:tentative="1">
      <w:start w:val="1"/>
      <w:numFmt w:val="lowerLetter"/>
      <w:lvlText w:val="%8."/>
      <w:lvlJc w:val="left"/>
      <w:pPr>
        <w:ind w:left="6550" w:hanging="360"/>
      </w:pPr>
    </w:lvl>
    <w:lvl w:ilvl="8" w:tplc="0809001B" w:tentative="1">
      <w:start w:val="1"/>
      <w:numFmt w:val="lowerRoman"/>
      <w:lvlText w:val="%9."/>
      <w:lvlJc w:val="right"/>
      <w:pPr>
        <w:ind w:left="7270" w:hanging="180"/>
      </w:pPr>
    </w:lvl>
  </w:abstractNum>
  <w:abstractNum w:abstractNumId="207" w15:restartNumberingAfterBreak="0">
    <w:nsid w:val="69436FCC"/>
    <w:multiLevelType w:val="hybridMultilevel"/>
    <w:tmpl w:val="632C2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8" w15:restartNumberingAfterBreak="0">
    <w:nsid w:val="69E139CF"/>
    <w:multiLevelType w:val="hybridMultilevel"/>
    <w:tmpl w:val="FB1E3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9" w15:restartNumberingAfterBreak="0">
    <w:nsid w:val="6A947AC2"/>
    <w:multiLevelType w:val="hybridMultilevel"/>
    <w:tmpl w:val="83DE8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0" w15:restartNumberingAfterBreak="0">
    <w:nsid w:val="6AFB7A29"/>
    <w:multiLevelType w:val="hybridMultilevel"/>
    <w:tmpl w:val="B66A8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1" w15:restartNumberingAfterBreak="0">
    <w:nsid w:val="6B240E0B"/>
    <w:multiLevelType w:val="hybridMultilevel"/>
    <w:tmpl w:val="EB944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2" w15:restartNumberingAfterBreak="0">
    <w:nsid w:val="6B70714D"/>
    <w:multiLevelType w:val="hybridMultilevel"/>
    <w:tmpl w:val="C5166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3" w15:restartNumberingAfterBreak="0">
    <w:nsid w:val="6B8A6215"/>
    <w:multiLevelType w:val="hybridMultilevel"/>
    <w:tmpl w:val="154C74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4" w15:restartNumberingAfterBreak="0">
    <w:nsid w:val="6C530726"/>
    <w:multiLevelType w:val="hybridMultilevel"/>
    <w:tmpl w:val="FB2C7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5" w15:restartNumberingAfterBreak="0">
    <w:nsid w:val="6E2A002B"/>
    <w:multiLevelType w:val="hybridMultilevel"/>
    <w:tmpl w:val="FFFFFFFF"/>
    <w:lvl w:ilvl="0" w:tplc="E460B830">
      <w:start w:val="1"/>
      <w:numFmt w:val="bullet"/>
      <w:lvlText w:val=""/>
      <w:lvlJc w:val="left"/>
      <w:pPr>
        <w:ind w:left="720" w:hanging="360"/>
      </w:pPr>
      <w:rPr>
        <w:rFonts w:ascii="Symbol" w:hAnsi="Symbol" w:hint="default"/>
      </w:rPr>
    </w:lvl>
    <w:lvl w:ilvl="1" w:tplc="BD5045CA">
      <w:start w:val="1"/>
      <w:numFmt w:val="bullet"/>
      <w:lvlText w:val="o"/>
      <w:lvlJc w:val="left"/>
      <w:pPr>
        <w:ind w:left="1440" w:hanging="360"/>
      </w:pPr>
      <w:rPr>
        <w:rFonts w:ascii="Courier New" w:hAnsi="Courier New" w:hint="default"/>
      </w:rPr>
    </w:lvl>
    <w:lvl w:ilvl="2" w:tplc="C1461140">
      <w:start w:val="1"/>
      <w:numFmt w:val="bullet"/>
      <w:lvlText w:val=""/>
      <w:lvlJc w:val="left"/>
      <w:pPr>
        <w:ind w:left="2160" w:hanging="360"/>
      </w:pPr>
      <w:rPr>
        <w:rFonts w:ascii="Wingdings" w:hAnsi="Wingdings" w:hint="default"/>
      </w:rPr>
    </w:lvl>
    <w:lvl w:ilvl="3" w:tplc="28E2EC6E">
      <w:start w:val="1"/>
      <w:numFmt w:val="bullet"/>
      <w:lvlText w:val=""/>
      <w:lvlJc w:val="left"/>
      <w:pPr>
        <w:ind w:left="2880" w:hanging="360"/>
      </w:pPr>
      <w:rPr>
        <w:rFonts w:ascii="Symbol" w:hAnsi="Symbol" w:hint="default"/>
      </w:rPr>
    </w:lvl>
    <w:lvl w:ilvl="4" w:tplc="E36E7D94">
      <w:start w:val="1"/>
      <w:numFmt w:val="bullet"/>
      <w:lvlText w:val="o"/>
      <w:lvlJc w:val="left"/>
      <w:pPr>
        <w:ind w:left="3600" w:hanging="360"/>
      </w:pPr>
      <w:rPr>
        <w:rFonts w:ascii="Courier New" w:hAnsi="Courier New" w:hint="default"/>
      </w:rPr>
    </w:lvl>
    <w:lvl w:ilvl="5" w:tplc="F9AE4774">
      <w:start w:val="1"/>
      <w:numFmt w:val="bullet"/>
      <w:lvlText w:val=""/>
      <w:lvlJc w:val="left"/>
      <w:pPr>
        <w:ind w:left="4320" w:hanging="360"/>
      </w:pPr>
      <w:rPr>
        <w:rFonts w:ascii="Wingdings" w:hAnsi="Wingdings" w:hint="default"/>
      </w:rPr>
    </w:lvl>
    <w:lvl w:ilvl="6" w:tplc="9A5EA7D8">
      <w:start w:val="1"/>
      <w:numFmt w:val="bullet"/>
      <w:lvlText w:val=""/>
      <w:lvlJc w:val="left"/>
      <w:pPr>
        <w:ind w:left="5040" w:hanging="360"/>
      </w:pPr>
      <w:rPr>
        <w:rFonts w:ascii="Symbol" w:hAnsi="Symbol" w:hint="default"/>
      </w:rPr>
    </w:lvl>
    <w:lvl w:ilvl="7" w:tplc="BB6C994E">
      <w:start w:val="1"/>
      <w:numFmt w:val="bullet"/>
      <w:lvlText w:val="o"/>
      <w:lvlJc w:val="left"/>
      <w:pPr>
        <w:ind w:left="5760" w:hanging="360"/>
      </w:pPr>
      <w:rPr>
        <w:rFonts w:ascii="Courier New" w:hAnsi="Courier New" w:hint="default"/>
      </w:rPr>
    </w:lvl>
    <w:lvl w:ilvl="8" w:tplc="AA0C05E0">
      <w:start w:val="1"/>
      <w:numFmt w:val="bullet"/>
      <w:lvlText w:val=""/>
      <w:lvlJc w:val="left"/>
      <w:pPr>
        <w:ind w:left="6480" w:hanging="360"/>
      </w:pPr>
      <w:rPr>
        <w:rFonts w:ascii="Wingdings" w:hAnsi="Wingdings" w:hint="default"/>
      </w:rPr>
    </w:lvl>
  </w:abstractNum>
  <w:abstractNum w:abstractNumId="216" w15:restartNumberingAfterBreak="0">
    <w:nsid w:val="6E6B420D"/>
    <w:multiLevelType w:val="multilevel"/>
    <w:tmpl w:val="C658D32C"/>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6EAB5E37"/>
    <w:multiLevelType w:val="hybridMultilevel"/>
    <w:tmpl w:val="4BA0A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8" w15:restartNumberingAfterBreak="0">
    <w:nsid w:val="6EFE5A69"/>
    <w:multiLevelType w:val="multilevel"/>
    <w:tmpl w:val="61FA23A6"/>
    <w:lvl w:ilvl="0">
      <w:start w:val="1"/>
      <w:numFmt w:val="lowerLetter"/>
      <w:lvlText w:val="(%1)"/>
      <w:lvlJc w:val="left"/>
      <w:pPr>
        <w:ind w:left="166"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ind w:left="1246"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966"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686"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3406"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4126"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846"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566"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6286"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219" w15:restartNumberingAfterBreak="0">
    <w:nsid w:val="6F392C79"/>
    <w:multiLevelType w:val="hybridMultilevel"/>
    <w:tmpl w:val="B10E1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0" w15:restartNumberingAfterBreak="0">
    <w:nsid w:val="6FA4455E"/>
    <w:multiLevelType w:val="hybridMultilevel"/>
    <w:tmpl w:val="E1D649F8"/>
    <w:lvl w:ilvl="0" w:tplc="3DB6D65C">
      <w:start w:val="1"/>
      <w:numFmt w:val="decimal"/>
      <w:lvlText w:val="%1."/>
      <w:lvlJc w:val="left"/>
      <w:pPr>
        <w:ind w:left="1440" w:hanging="360"/>
      </w:pPr>
    </w:lvl>
    <w:lvl w:ilvl="1" w:tplc="2F181568">
      <w:start w:val="1"/>
      <w:numFmt w:val="decimal"/>
      <w:lvlText w:val="%2."/>
      <w:lvlJc w:val="left"/>
      <w:pPr>
        <w:ind w:left="1440" w:hanging="360"/>
      </w:pPr>
    </w:lvl>
    <w:lvl w:ilvl="2" w:tplc="B298F7AE">
      <w:start w:val="1"/>
      <w:numFmt w:val="decimal"/>
      <w:lvlText w:val="%3."/>
      <w:lvlJc w:val="left"/>
      <w:pPr>
        <w:ind w:left="1440" w:hanging="360"/>
      </w:pPr>
    </w:lvl>
    <w:lvl w:ilvl="3" w:tplc="5A88766C">
      <w:start w:val="1"/>
      <w:numFmt w:val="decimal"/>
      <w:lvlText w:val="%4."/>
      <w:lvlJc w:val="left"/>
      <w:pPr>
        <w:ind w:left="1440" w:hanging="360"/>
      </w:pPr>
    </w:lvl>
    <w:lvl w:ilvl="4" w:tplc="74B826DA">
      <w:start w:val="1"/>
      <w:numFmt w:val="decimal"/>
      <w:lvlText w:val="%5."/>
      <w:lvlJc w:val="left"/>
      <w:pPr>
        <w:ind w:left="1440" w:hanging="360"/>
      </w:pPr>
    </w:lvl>
    <w:lvl w:ilvl="5" w:tplc="F5C66574">
      <w:start w:val="1"/>
      <w:numFmt w:val="decimal"/>
      <w:lvlText w:val="%6."/>
      <w:lvlJc w:val="left"/>
      <w:pPr>
        <w:ind w:left="1440" w:hanging="360"/>
      </w:pPr>
    </w:lvl>
    <w:lvl w:ilvl="6" w:tplc="8A764A7E">
      <w:start w:val="1"/>
      <w:numFmt w:val="decimal"/>
      <w:lvlText w:val="%7."/>
      <w:lvlJc w:val="left"/>
      <w:pPr>
        <w:ind w:left="1440" w:hanging="360"/>
      </w:pPr>
    </w:lvl>
    <w:lvl w:ilvl="7" w:tplc="1F14A830">
      <w:start w:val="1"/>
      <w:numFmt w:val="decimal"/>
      <w:lvlText w:val="%8."/>
      <w:lvlJc w:val="left"/>
      <w:pPr>
        <w:ind w:left="1440" w:hanging="360"/>
      </w:pPr>
    </w:lvl>
    <w:lvl w:ilvl="8" w:tplc="C3B801E6">
      <w:start w:val="1"/>
      <w:numFmt w:val="decimal"/>
      <w:lvlText w:val="%9."/>
      <w:lvlJc w:val="left"/>
      <w:pPr>
        <w:ind w:left="1440" w:hanging="360"/>
      </w:pPr>
    </w:lvl>
  </w:abstractNum>
  <w:abstractNum w:abstractNumId="221" w15:restartNumberingAfterBreak="0">
    <w:nsid w:val="6FC650F6"/>
    <w:multiLevelType w:val="hybridMultilevel"/>
    <w:tmpl w:val="1F709360"/>
    <w:lvl w:ilvl="0" w:tplc="B3EE5AE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2" w15:restartNumberingAfterBreak="0">
    <w:nsid w:val="6FE158D9"/>
    <w:multiLevelType w:val="hybridMultilevel"/>
    <w:tmpl w:val="76BC8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3" w15:restartNumberingAfterBreak="0">
    <w:nsid w:val="7000767C"/>
    <w:multiLevelType w:val="hybridMultilevel"/>
    <w:tmpl w:val="A8B6C634"/>
    <w:lvl w:ilvl="0" w:tplc="6BCE3134">
      <w:start w:val="1"/>
      <w:numFmt w:val="bullet"/>
      <w:lvlText w:val=""/>
      <w:lvlJc w:val="left"/>
      <w:pPr>
        <w:ind w:left="720" w:hanging="360"/>
      </w:pPr>
      <w:rPr>
        <w:rFonts w:ascii="Symbol" w:hAnsi="Symbol"/>
      </w:rPr>
    </w:lvl>
    <w:lvl w:ilvl="1" w:tplc="23061BC2">
      <w:start w:val="1"/>
      <w:numFmt w:val="bullet"/>
      <w:lvlText w:val=""/>
      <w:lvlJc w:val="left"/>
      <w:pPr>
        <w:ind w:left="720" w:hanging="360"/>
      </w:pPr>
      <w:rPr>
        <w:rFonts w:ascii="Symbol" w:hAnsi="Symbol"/>
      </w:rPr>
    </w:lvl>
    <w:lvl w:ilvl="2" w:tplc="344CD68E">
      <w:start w:val="1"/>
      <w:numFmt w:val="bullet"/>
      <w:lvlText w:val=""/>
      <w:lvlJc w:val="left"/>
      <w:pPr>
        <w:ind w:left="720" w:hanging="360"/>
      </w:pPr>
      <w:rPr>
        <w:rFonts w:ascii="Symbol" w:hAnsi="Symbol"/>
      </w:rPr>
    </w:lvl>
    <w:lvl w:ilvl="3" w:tplc="C06EED6A">
      <w:start w:val="1"/>
      <w:numFmt w:val="bullet"/>
      <w:lvlText w:val=""/>
      <w:lvlJc w:val="left"/>
      <w:pPr>
        <w:ind w:left="720" w:hanging="360"/>
      </w:pPr>
      <w:rPr>
        <w:rFonts w:ascii="Symbol" w:hAnsi="Symbol"/>
      </w:rPr>
    </w:lvl>
    <w:lvl w:ilvl="4" w:tplc="843C9C0C">
      <w:start w:val="1"/>
      <w:numFmt w:val="bullet"/>
      <w:lvlText w:val=""/>
      <w:lvlJc w:val="left"/>
      <w:pPr>
        <w:ind w:left="720" w:hanging="360"/>
      </w:pPr>
      <w:rPr>
        <w:rFonts w:ascii="Symbol" w:hAnsi="Symbol"/>
      </w:rPr>
    </w:lvl>
    <w:lvl w:ilvl="5" w:tplc="FB1ABEDE">
      <w:start w:val="1"/>
      <w:numFmt w:val="bullet"/>
      <w:lvlText w:val=""/>
      <w:lvlJc w:val="left"/>
      <w:pPr>
        <w:ind w:left="720" w:hanging="360"/>
      </w:pPr>
      <w:rPr>
        <w:rFonts w:ascii="Symbol" w:hAnsi="Symbol"/>
      </w:rPr>
    </w:lvl>
    <w:lvl w:ilvl="6" w:tplc="FC085490">
      <w:start w:val="1"/>
      <w:numFmt w:val="bullet"/>
      <w:lvlText w:val=""/>
      <w:lvlJc w:val="left"/>
      <w:pPr>
        <w:ind w:left="720" w:hanging="360"/>
      </w:pPr>
      <w:rPr>
        <w:rFonts w:ascii="Symbol" w:hAnsi="Symbol"/>
      </w:rPr>
    </w:lvl>
    <w:lvl w:ilvl="7" w:tplc="75524AD6">
      <w:start w:val="1"/>
      <w:numFmt w:val="bullet"/>
      <w:lvlText w:val=""/>
      <w:lvlJc w:val="left"/>
      <w:pPr>
        <w:ind w:left="720" w:hanging="360"/>
      </w:pPr>
      <w:rPr>
        <w:rFonts w:ascii="Symbol" w:hAnsi="Symbol"/>
      </w:rPr>
    </w:lvl>
    <w:lvl w:ilvl="8" w:tplc="4FA4BD42">
      <w:start w:val="1"/>
      <w:numFmt w:val="bullet"/>
      <w:lvlText w:val=""/>
      <w:lvlJc w:val="left"/>
      <w:pPr>
        <w:ind w:left="720" w:hanging="360"/>
      </w:pPr>
      <w:rPr>
        <w:rFonts w:ascii="Symbol" w:hAnsi="Symbol"/>
      </w:rPr>
    </w:lvl>
  </w:abstractNum>
  <w:abstractNum w:abstractNumId="224" w15:restartNumberingAfterBreak="0">
    <w:nsid w:val="70373E05"/>
    <w:multiLevelType w:val="hybridMultilevel"/>
    <w:tmpl w:val="B1B4D034"/>
    <w:lvl w:ilvl="0" w:tplc="528636B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5" w15:restartNumberingAfterBreak="0">
    <w:nsid w:val="70B764DF"/>
    <w:multiLevelType w:val="hybridMultilevel"/>
    <w:tmpl w:val="100CF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6" w15:restartNumberingAfterBreak="0">
    <w:nsid w:val="71D12957"/>
    <w:multiLevelType w:val="hybridMultilevel"/>
    <w:tmpl w:val="3B3E4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7" w15:restartNumberingAfterBreak="0">
    <w:nsid w:val="73A70D80"/>
    <w:multiLevelType w:val="multilevel"/>
    <w:tmpl w:val="32684BF6"/>
    <w:lvl w:ilvl="0">
      <w:numFmt w:val="bullet"/>
      <w:lvlText w:val=""/>
      <w:lvlJc w:val="left"/>
      <w:pPr>
        <w:ind w:left="833" w:hanging="360"/>
      </w:pPr>
      <w:rPr>
        <w:rFonts w:ascii="Symbol" w:hAnsi="Symbol"/>
      </w:rPr>
    </w:lvl>
    <w:lvl w:ilvl="1">
      <w:numFmt w:val="bullet"/>
      <w:lvlText w:val="o"/>
      <w:lvlJc w:val="left"/>
      <w:pPr>
        <w:ind w:left="1553" w:hanging="360"/>
      </w:pPr>
      <w:rPr>
        <w:rFonts w:ascii="Courier New" w:hAnsi="Courier New" w:cs="Courier New"/>
      </w:rPr>
    </w:lvl>
    <w:lvl w:ilvl="2">
      <w:numFmt w:val="bullet"/>
      <w:lvlText w:val=""/>
      <w:lvlJc w:val="left"/>
      <w:pPr>
        <w:ind w:left="2273" w:hanging="360"/>
      </w:pPr>
      <w:rPr>
        <w:rFonts w:ascii="Wingdings" w:hAnsi="Wingdings"/>
      </w:rPr>
    </w:lvl>
    <w:lvl w:ilvl="3">
      <w:numFmt w:val="bullet"/>
      <w:lvlText w:val=""/>
      <w:lvlJc w:val="left"/>
      <w:pPr>
        <w:ind w:left="2993" w:hanging="360"/>
      </w:pPr>
      <w:rPr>
        <w:rFonts w:ascii="Symbol" w:hAnsi="Symbol"/>
      </w:rPr>
    </w:lvl>
    <w:lvl w:ilvl="4">
      <w:numFmt w:val="bullet"/>
      <w:lvlText w:val="o"/>
      <w:lvlJc w:val="left"/>
      <w:pPr>
        <w:ind w:left="3713" w:hanging="360"/>
      </w:pPr>
      <w:rPr>
        <w:rFonts w:ascii="Courier New" w:hAnsi="Courier New" w:cs="Courier New"/>
      </w:rPr>
    </w:lvl>
    <w:lvl w:ilvl="5">
      <w:numFmt w:val="bullet"/>
      <w:lvlText w:val=""/>
      <w:lvlJc w:val="left"/>
      <w:pPr>
        <w:ind w:left="4433" w:hanging="360"/>
      </w:pPr>
      <w:rPr>
        <w:rFonts w:ascii="Wingdings" w:hAnsi="Wingdings"/>
      </w:rPr>
    </w:lvl>
    <w:lvl w:ilvl="6">
      <w:numFmt w:val="bullet"/>
      <w:lvlText w:val=""/>
      <w:lvlJc w:val="left"/>
      <w:pPr>
        <w:ind w:left="5153" w:hanging="360"/>
      </w:pPr>
      <w:rPr>
        <w:rFonts w:ascii="Symbol" w:hAnsi="Symbol"/>
      </w:rPr>
    </w:lvl>
    <w:lvl w:ilvl="7">
      <w:numFmt w:val="bullet"/>
      <w:lvlText w:val="o"/>
      <w:lvlJc w:val="left"/>
      <w:pPr>
        <w:ind w:left="5873" w:hanging="360"/>
      </w:pPr>
      <w:rPr>
        <w:rFonts w:ascii="Courier New" w:hAnsi="Courier New" w:cs="Courier New"/>
      </w:rPr>
    </w:lvl>
    <w:lvl w:ilvl="8">
      <w:numFmt w:val="bullet"/>
      <w:lvlText w:val=""/>
      <w:lvlJc w:val="left"/>
      <w:pPr>
        <w:ind w:left="6593" w:hanging="360"/>
      </w:pPr>
      <w:rPr>
        <w:rFonts w:ascii="Wingdings" w:hAnsi="Wingdings"/>
      </w:rPr>
    </w:lvl>
  </w:abstractNum>
  <w:abstractNum w:abstractNumId="228" w15:restartNumberingAfterBreak="0">
    <w:nsid w:val="73C87DAE"/>
    <w:multiLevelType w:val="hybridMultilevel"/>
    <w:tmpl w:val="A0E28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9" w15:restartNumberingAfterBreak="0">
    <w:nsid w:val="74466D98"/>
    <w:multiLevelType w:val="multilevel"/>
    <w:tmpl w:val="5658F23A"/>
    <w:lvl w:ilvl="0">
      <w:numFmt w:val="bullet"/>
      <w:lvlText w:val=""/>
      <w:lvlJc w:val="left"/>
      <w:pPr>
        <w:ind w:left="833" w:hanging="360"/>
      </w:pPr>
      <w:rPr>
        <w:rFonts w:ascii="Symbol" w:hAnsi="Symbol"/>
      </w:rPr>
    </w:lvl>
    <w:lvl w:ilvl="1">
      <w:numFmt w:val="bullet"/>
      <w:lvlText w:val="o"/>
      <w:lvlJc w:val="left"/>
      <w:pPr>
        <w:ind w:left="1553" w:hanging="360"/>
      </w:pPr>
      <w:rPr>
        <w:rFonts w:ascii="Courier New" w:hAnsi="Courier New" w:cs="Courier New"/>
      </w:rPr>
    </w:lvl>
    <w:lvl w:ilvl="2">
      <w:numFmt w:val="bullet"/>
      <w:lvlText w:val=""/>
      <w:lvlJc w:val="left"/>
      <w:pPr>
        <w:ind w:left="2273" w:hanging="360"/>
      </w:pPr>
      <w:rPr>
        <w:rFonts w:ascii="Wingdings" w:hAnsi="Wingdings"/>
      </w:rPr>
    </w:lvl>
    <w:lvl w:ilvl="3">
      <w:numFmt w:val="bullet"/>
      <w:lvlText w:val=""/>
      <w:lvlJc w:val="left"/>
      <w:pPr>
        <w:ind w:left="2993" w:hanging="360"/>
      </w:pPr>
      <w:rPr>
        <w:rFonts w:ascii="Symbol" w:hAnsi="Symbol"/>
      </w:rPr>
    </w:lvl>
    <w:lvl w:ilvl="4">
      <w:numFmt w:val="bullet"/>
      <w:lvlText w:val="o"/>
      <w:lvlJc w:val="left"/>
      <w:pPr>
        <w:ind w:left="3713" w:hanging="360"/>
      </w:pPr>
      <w:rPr>
        <w:rFonts w:ascii="Courier New" w:hAnsi="Courier New" w:cs="Courier New"/>
      </w:rPr>
    </w:lvl>
    <w:lvl w:ilvl="5">
      <w:numFmt w:val="bullet"/>
      <w:lvlText w:val=""/>
      <w:lvlJc w:val="left"/>
      <w:pPr>
        <w:ind w:left="4433" w:hanging="360"/>
      </w:pPr>
      <w:rPr>
        <w:rFonts w:ascii="Wingdings" w:hAnsi="Wingdings"/>
      </w:rPr>
    </w:lvl>
    <w:lvl w:ilvl="6">
      <w:numFmt w:val="bullet"/>
      <w:lvlText w:val=""/>
      <w:lvlJc w:val="left"/>
      <w:pPr>
        <w:ind w:left="5153" w:hanging="360"/>
      </w:pPr>
      <w:rPr>
        <w:rFonts w:ascii="Symbol" w:hAnsi="Symbol"/>
      </w:rPr>
    </w:lvl>
    <w:lvl w:ilvl="7">
      <w:numFmt w:val="bullet"/>
      <w:lvlText w:val="o"/>
      <w:lvlJc w:val="left"/>
      <w:pPr>
        <w:ind w:left="5873" w:hanging="360"/>
      </w:pPr>
      <w:rPr>
        <w:rFonts w:ascii="Courier New" w:hAnsi="Courier New" w:cs="Courier New"/>
      </w:rPr>
    </w:lvl>
    <w:lvl w:ilvl="8">
      <w:numFmt w:val="bullet"/>
      <w:lvlText w:val=""/>
      <w:lvlJc w:val="left"/>
      <w:pPr>
        <w:ind w:left="6593" w:hanging="360"/>
      </w:pPr>
      <w:rPr>
        <w:rFonts w:ascii="Wingdings" w:hAnsi="Wingdings"/>
      </w:rPr>
    </w:lvl>
  </w:abstractNum>
  <w:abstractNum w:abstractNumId="230" w15:restartNumberingAfterBreak="0">
    <w:nsid w:val="754D642B"/>
    <w:multiLevelType w:val="hybridMultilevel"/>
    <w:tmpl w:val="34284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1" w15:restartNumberingAfterBreak="0">
    <w:nsid w:val="75AB7977"/>
    <w:multiLevelType w:val="multilevel"/>
    <w:tmpl w:val="39329210"/>
    <w:lvl w:ilvl="0">
      <w:numFmt w:val="bullet"/>
      <w:lvlText w:val=""/>
      <w:lvlJc w:val="left"/>
      <w:pPr>
        <w:ind w:left="833" w:hanging="360"/>
      </w:pPr>
      <w:rPr>
        <w:rFonts w:ascii="Symbol" w:hAnsi="Symbol"/>
      </w:rPr>
    </w:lvl>
    <w:lvl w:ilvl="1">
      <w:numFmt w:val="bullet"/>
      <w:lvlText w:val="o"/>
      <w:lvlJc w:val="left"/>
      <w:pPr>
        <w:ind w:left="1553" w:hanging="360"/>
      </w:pPr>
      <w:rPr>
        <w:rFonts w:ascii="Courier New" w:hAnsi="Courier New" w:cs="Courier New"/>
      </w:rPr>
    </w:lvl>
    <w:lvl w:ilvl="2">
      <w:numFmt w:val="bullet"/>
      <w:lvlText w:val=""/>
      <w:lvlJc w:val="left"/>
      <w:pPr>
        <w:ind w:left="2273" w:hanging="360"/>
      </w:pPr>
      <w:rPr>
        <w:rFonts w:ascii="Wingdings" w:hAnsi="Wingdings"/>
      </w:rPr>
    </w:lvl>
    <w:lvl w:ilvl="3">
      <w:numFmt w:val="bullet"/>
      <w:lvlText w:val=""/>
      <w:lvlJc w:val="left"/>
      <w:pPr>
        <w:ind w:left="2993" w:hanging="360"/>
      </w:pPr>
      <w:rPr>
        <w:rFonts w:ascii="Symbol" w:hAnsi="Symbol"/>
      </w:rPr>
    </w:lvl>
    <w:lvl w:ilvl="4">
      <w:numFmt w:val="bullet"/>
      <w:lvlText w:val="o"/>
      <w:lvlJc w:val="left"/>
      <w:pPr>
        <w:ind w:left="3713" w:hanging="360"/>
      </w:pPr>
      <w:rPr>
        <w:rFonts w:ascii="Courier New" w:hAnsi="Courier New" w:cs="Courier New"/>
      </w:rPr>
    </w:lvl>
    <w:lvl w:ilvl="5">
      <w:numFmt w:val="bullet"/>
      <w:lvlText w:val=""/>
      <w:lvlJc w:val="left"/>
      <w:pPr>
        <w:ind w:left="4433" w:hanging="360"/>
      </w:pPr>
      <w:rPr>
        <w:rFonts w:ascii="Wingdings" w:hAnsi="Wingdings"/>
      </w:rPr>
    </w:lvl>
    <w:lvl w:ilvl="6">
      <w:numFmt w:val="bullet"/>
      <w:lvlText w:val=""/>
      <w:lvlJc w:val="left"/>
      <w:pPr>
        <w:ind w:left="5153" w:hanging="360"/>
      </w:pPr>
      <w:rPr>
        <w:rFonts w:ascii="Symbol" w:hAnsi="Symbol"/>
      </w:rPr>
    </w:lvl>
    <w:lvl w:ilvl="7">
      <w:numFmt w:val="bullet"/>
      <w:lvlText w:val="o"/>
      <w:lvlJc w:val="left"/>
      <w:pPr>
        <w:ind w:left="5873" w:hanging="360"/>
      </w:pPr>
      <w:rPr>
        <w:rFonts w:ascii="Courier New" w:hAnsi="Courier New" w:cs="Courier New"/>
      </w:rPr>
    </w:lvl>
    <w:lvl w:ilvl="8">
      <w:numFmt w:val="bullet"/>
      <w:lvlText w:val=""/>
      <w:lvlJc w:val="left"/>
      <w:pPr>
        <w:ind w:left="6593" w:hanging="360"/>
      </w:pPr>
      <w:rPr>
        <w:rFonts w:ascii="Wingdings" w:hAnsi="Wingdings"/>
      </w:rPr>
    </w:lvl>
  </w:abstractNum>
  <w:abstractNum w:abstractNumId="232" w15:restartNumberingAfterBreak="0">
    <w:nsid w:val="75CA2633"/>
    <w:multiLevelType w:val="hybridMultilevel"/>
    <w:tmpl w:val="6AF60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3" w15:restartNumberingAfterBreak="0">
    <w:nsid w:val="78134357"/>
    <w:multiLevelType w:val="hybridMultilevel"/>
    <w:tmpl w:val="63A05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4" w15:restartNumberingAfterBreak="0">
    <w:nsid w:val="78B87784"/>
    <w:multiLevelType w:val="multilevel"/>
    <w:tmpl w:val="89B69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78D2706E"/>
    <w:multiLevelType w:val="hybridMultilevel"/>
    <w:tmpl w:val="FB34B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6" w15:restartNumberingAfterBreak="0">
    <w:nsid w:val="7A5977C9"/>
    <w:multiLevelType w:val="hybridMultilevel"/>
    <w:tmpl w:val="533C8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7" w15:restartNumberingAfterBreak="0">
    <w:nsid w:val="7A754085"/>
    <w:multiLevelType w:val="hybridMultilevel"/>
    <w:tmpl w:val="FDA68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8" w15:restartNumberingAfterBreak="0">
    <w:nsid w:val="7AB960CA"/>
    <w:multiLevelType w:val="hybridMultilevel"/>
    <w:tmpl w:val="DA4E7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9" w15:restartNumberingAfterBreak="0">
    <w:nsid w:val="7B5002E5"/>
    <w:multiLevelType w:val="hybridMultilevel"/>
    <w:tmpl w:val="84984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0" w15:restartNumberingAfterBreak="0">
    <w:nsid w:val="7B7C0E93"/>
    <w:multiLevelType w:val="hybridMultilevel"/>
    <w:tmpl w:val="8F82F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1" w15:restartNumberingAfterBreak="0">
    <w:nsid w:val="7D822668"/>
    <w:multiLevelType w:val="hybridMultilevel"/>
    <w:tmpl w:val="3C28337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2" w15:restartNumberingAfterBreak="0">
    <w:nsid w:val="7DDA5EDB"/>
    <w:multiLevelType w:val="hybridMultilevel"/>
    <w:tmpl w:val="872E8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3" w15:restartNumberingAfterBreak="0">
    <w:nsid w:val="7EF25432"/>
    <w:multiLevelType w:val="hybridMultilevel"/>
    <w:tmpl w:val="B9188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4" w15:restartNumberingAfterBreak="0">
    <w:nsid w:val="7F1109B9"/>
    <w:multiLevelType w:val="hybridMultilevel"/>
    <w:tmpl w:val="414A0E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5" w15:restartNumberingAfterBreak="0">
    <w:nsid w:val="7F3A1DD7"/>
    <w:multiLevelType w:val="multilevel"/>
    <w:tmpl w:val="EE2A6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7F3A23C7"/>
    <w:multiLevelType w:val="hybridMultilevel"/>
    <w:tmpl w:val="9348B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7280044">
    <w:abstractNumId w:val="231"/>
  </w:num>
  <w:num w:numId="2" w16cid:durableId="48916805">
    <w:abstractNumId w:val="229"/>
  </w:num>
  <w:num w:numId="3" w16cid:durableId="849103544">
    <w:abstractNumId w:val="30"/>
  </w:num>
  <w:num w:numId="4" w16cid:durableId="257835016">
    <w:abstractNumId w:val="36"/>
  </w:num>
  <w:num w:numId="5" w16cid:durableId="191765649">
    <w:abstractNumId w:val="227"/>
  </w:num>
  <w:num w:numId="6" w16cid:durableId="306709919">
    <w:abstractNumId w:val="154"/>
  </w:num>
  <w:num w:numId="7" w16cid:durableId="1655603103">
    <w:abstractNumId w:val="204"/>
  </w:num>
  <w:num w:numId="8" w16cid:durableId="1752921890">
    <w:abstractNumId w:val="2"/>
  </w:num>
  <w:num w:numId="9" w16cid:durableId="6450189">
    <w:abstractNumId w:val="218"/>
  </w:num>
  <w:num w:numId="10" w16cid:durableId="2097439307">
    <w:abstractNumId w:val="77"/>
  </w:num>
  <w:num w:numId="11" w16cid:durableId="142701954">
    <w:abstractNumId w:val="124"/>
  </w:num>
  <w:num w:numId="12" w16cid:durableId="431780231">
    <w:abstractNumId w:val="159"/>
  </w:num>
  <w:num w:numId="13" w16cid:durableId="757167335">
    <w:abstractNumId w:val="65"/>
  </w:num>
  <w:num w:numId="14" w16cid:durableId="1472751226">
    <w:abstractNumId w:val="202"/>
  </w:num>
  <w:num w:numId="15" w16cid:durableId="1029792911">
    <w:abstractNumId w:val="126"/>
  </w:num>
  <w:num w:numId="16" w16cid:durableId="1627930640">
    <w:abstractNumId w:val="54"/>
  </w:num>
  <w:num w:numId="17" w16cid:durableId="1338847892">
    <w:abstractNumId w:val="51"/>
  </w:num>
  <w:num w:numId="18" w16cid:durableId="116997237">
    <w:abstractNumId w:val="17"/>
  </w:num>
  <w:num w:numId="19" w16cid:durableId="175077539">
    <w:abstractNumId w:val="148"/>
  </w:num>
  <w:num w:numId="20" w16cid:durableId="71633094">
    <w:abstractNumId w:val="118"/>
  </w:num>
  <w:num w:numId="21" w16cid:durableId="1925797862">
    <w:abstractNumId w:val="87"/>
  </w:num>
  <w:num w:numId="22" w16cid:durableId="867911301">
    <w:abstractNumId w:val="168"/>
  </w:num>
  <w:num w:numId="23" w16cid:durableId="1040204975">
    <w:abstractNumId w:val="76"/>
  </w:num>
  <w:num w:numId="24" w16cid:durableId="364451316">
    <w:abstractNumId w:val="201"/>
  </w:num>
  <w:num w:numId="25" w16cid:durableId="1038776272">
    <w:abstractNumId w:val="106"/>
  </w:num>
  <w:num w:numId="26" w16cid:durableId="1167985875">
    <w:abstractNumId w:val="217"/>
  </w:num>
  <w:num w:numId="27" w16cid:durableId="145636487">
    <w:abstractNumId w:val="172"/>
  </w:num>
  <w:num w:numId="28" w16cid:durableId="930545854">
    <w:abstractNumId w:val="228"/>
  </w:num>
  <w:num w:numId="29" w16cid:durableId="1443453560">
    <w:abstractNumId w:val="4"/>
  </w:num>
  <w:num w:numId="30" w16cid:durableId="917714207">
    <w:abstractNumId w:val="198"/>
  </w:num>
  <w:num w:numId="31" w16cid:durableId="663052850">
    <w:abstractNumId w:val="123"/>
  </w:num>
  <w:num w:numId="32" w16cid:durableId="1714962129">
    <w:abstractNumId w:val="11"/>
  </w:num>
  <w:num w:numId="33" w16cid:durableId="689071288">
    <w:abstractNumId w:val="38"/>
  </w:num>
  <w:num w:numId="34" w16cid:durableId="1391271359">
    <w:abstractNumId w:val="133"/>
  </w:num>
  <w:num w:numId="35" w16cid:durableId="479005074">
    <w:abstractNumId w:val="66"/>
  </w:num>
  <w:num w:numId="36" w16cid:durableId="1351486620">
    <w:abstractNumId w:val="212"/>
  </w:num>
  <w:num w:numId="37" w16cid:durableId="568075263">
    <w:abstractNumId w:val="19"/>
  </w:num>
  <w:num w:numId="38" w16cid:durableId="951470677">
    <w:abstractNumId w:val="157"/>
  </w:num>
  <w:num w:numId="39" w16cid:durableId="1617640041">
    <w:abstractNumId w:val="95"/>
  </w:num>
  <w:num w:numId="40" w16cid:durableId="1746874586">
    <w:abstractNumId w:val="219"/>
  </w:num>
  <w:num w:numId="41" w16cid:durableId="1794208537">
    <w:abstractNumId w:val="82"/>
  </w:num>
  <w:num w:numId="42" w16cid:durableId="1639871025">
    <w:abstractNumId w:val="74"/>
  </w:num>
  <w:num w:numId="43" w16cid:durableId="1484662289">
    <w:abstractNumId w:val="181"/>
  </w:num>
  <w:num w:numId="44" w16cid:durableId="294481836">
    <w:abstractNumId w:val="132"/>
  </w:num>
  <w:num w:numId="45" w16cid:durableId="678123728">
    <w:abstractNumId w:val="47"/>
  </w:num>
  <w:num w:numId="46" w16cid:durableId="1478376272">
    <w:abstractNumId w:val="173"/>
  </w:num>
  <w:num w:numId="47" w16cid:durableId="446390770">
    <w:abstractNumId w:val="78"/>
  </w:num>
  <w:num w:numId="48" w16cid:durableId="2059623547">
    <w:abstractNumId w:val="94"/>
  </w:num>
  <w:num w:numId="49" w16cid:durableId="374088111">
    <w:abstractNumId w:val="104"/>
  </w:num>
  <w:num w:numId="50" w16cid:durableId="1011487223">
    <w:abstractNumId w:val="64"/>
  </w:num>
  <w:num w:numId="51" w16cid:durableId="1073354801">
    <w:abstractNumId w:val="100"/>
  </w:num>
  <w:num w:numId="52" w16cid:durableId="895707042">
    <w:abstractNumId w:val="52"/>
  </w:num>
  <w:num w:numId="53" w16cid:durableId="815024350">
    <w:abstractNumId w:val="175"/>
  </w:num>
  <w:num w:numId="54" w16cid:durableId="1235165982">
    <w:abstractNumId w:val="147"/>
  </w:num>
  <w:num w:numId="55" w16cid:durableId="1910995803">
    <w:abstractNumId w:val="226"/>
  </w:num>
  <w:num w:numId="56" w16cid:durableId="935213290">
    <w:abstractNumId w:val="164"/>
  </w:num>
  <w:num w:numId="57" w16cid:durableId="608975251">
    <w:abstractNumId w:val="207"/>
  </w:num>
  <w:num w:numId="58" w16cid:durableId="1198084385">
    <w:abstractNumId w:val="211"/>
  </w:num>
  <w:num w:numId="59" w16cid:durableId="2137214373">
    <w:abstractNumId w:val="39"/>
  </w:num>
  <w:num w:numId="60" w16cid:durableId="200018713">
    <w:abstractNumId w:val="235"/>
  </w:num>
  <w:num w:numId="61" w16cid:durableId="1956132478">
    <w:abstractNumId w:val="71"/>
  </w:num>
  <w:num w:numId="62" w16cid:durableId="124395193">
    <w:abstractNumId w:val="225"/>
  </w:num>
  <w:num w:numId="63" w16cid:durableId="1242981129">
    <w:abstractNumId w:val="189"/>
  </w:num>
  <w:num w:numId="64" w16cid:durableId="1947033977">
    <w:abstractNumId w:val="33"/>
  </w:num>
  <w:num w:numId="65" w16cid:durableId="552891106">
    <w:abstractNumId w:val="190"/>
  </w:num>
  <w:num w:numId="66" w16cid:durableId="597711399">
    <w:abstractNumId w:val="196"/>
  </w:num>
  <w:num w:numId="67" w16cid:durableId="1816682707">
    <w:abstractNumId w:val="69"/>
  </w:num>
  <w:num w:numId="68" w16cid:durableId="1743213383">
    <w:abstractNumId w:val="98"/>
  </w:num>
  <w:num w:numId="69" w16cid:durableId="481625049">
    <w:abstractNumId w:val="185"/>
  </w:num>
  <w:num w:numId="70" w16cid:durableId="1379471940">
    <w:abstractNumId w:val="56"/>
  </w:num>
  <w:num w:numId="71" w16cid:durableId="1774863610">
    <w:abstractNumId w:val="16"/>
  </w:num>
  <w:num w:numId="72" w16cid:durableId="1416704754">
    <w:abstractNumId w:val="46"/>
  </w:num>
  <w:num w:numId="73" w16cid:durableId="1744595977">
    <w:abstractNumId w:val="242"/>
  </w:num>
  <w:num w:numId="74" w16cid:durableId="1735663843">
    <w:abstractNumId w:val="178"/>
  </w:num>
  <w:num w:numId="75" w16cid:durableId="1213540350">
    <w:abstractNumId w:val="114"/>
  </w:num>
  <w:num w:numId="76" w16cid:durableId="1127624772">
    <w:abstractNumId w:val="25"/>
  </w:num>
  <w:num w:numId="77" w16cid:durableId="1075974096">
    <w:abstractNumId w:val="14"/>
  </w:num>
  <w:num w:numId="78" w16cid:durableId="1312949126">
    <w:abstractNumId w:val="110"/>
  </w:num>
  <w:num w:numId="79" w16cid:durableId="1221555654">
    <w:abstractNumId w:val="120"/>
  </w:num>
  <w:num w:numId="80" w16cid:durableId="578828823">
    <w:abstractNumId w:val="22"/>
  </w:num>
  <w:num w:numId="81" w16cid:durableId="1585534744">
    <w:abstractNumId w:val="26"/>
  </w:num>
  <w:num w:numId="82" w16cid:durableId="413286603">
    <w:abstractNumId w:val="203"/>
  </w:num>
  <w:num w:numId="83" w16cid:durableId="841747871">
    <w:abstractNumId w:val="15"/>
  </w:num>
  <w:num w:numId="84" w16cid:durableId="1734696770">
    <w:abstractNumId w:val="8"/>
  </w:num>
  <w:num w:numId="85" w16cid:durableId="852494046">
    <w:abstractNumId w:val="210"/>
  </w:num>
  <w:num w:numId="86" w16cid:durableId="51004132">
    <w:abstractNumId w:val="233"/>
  </w:num>
  <w:num w:numId="87" w16cid:durableId="803230153">
    <w:abstractNumId w:val="179"/>
  </w:num>
  <w:num w:numId="88" w16cid:durableId="1786582926">
    <w:abstractNumId w:val="12"/>
  </w:num>
  <w:num w:numId="89" w16cid:durableId="2001495826">
    <w:abstractNumId w:val="117"/>
  </w:num>
  <w:num w:numId="90" w16cid:durableId="1858614202">
    <w:abstractNumId w:val="121"/>
  </w:num>
  <w:num w:numId="91" w16cid:durableId="947934805">
    <w:abstractNumId w:val="186"/>
  </w:num>
  <w:num w:numId="92" w16cid:durableId="850681445">
    <w:abstractNumId w:val="31"/>
  </w:num>
  <w:num w:numId="93" w16cid:durableId="1639533700">
    <w:abstractNumId w:val="205"/>
  </w:num>
  <w:num w:numId="94" w16cid:durableId="1228876934">
    <w:abstractNumId w:val="246"/>
  </w:num>
  <w:num w:numId="95" w16cid:durableId="368531077">
    <w:abstractNumId w:val="230"/>
  </w:num>
  <w:num w:numId="96" w16cid:durableId="398287446">
    <w:abstractNumId w:val="105"/>
  </w:num>
  <w:num w:numId="97" w16cid:durableId="1499075399">
    <w:abstractNumId w:val="21"/>
  </w:num>
  <w:num w:numId="98" w16cid:durableId="938827675">
    <w:abstractNumId w:val="200"/>
  </w:num>
  <w:num w:numId="99" w16cid:durableId="1345206643">
    <w:abstractNumId w:val="50"/>
  </w:num>
  <w:num w:numId="100" w16cid:durableId="1388798087">
    <w:abstractNumId w:val="136"/>
  </w:num>
  <w:num w:numId="101" w16cid:durableId="1166634725">
    <w:abstractNumId w:val="93"/>
  </w:num>
  <w:num w:numId="102" w16cid:durableId="2116055227">
    <w:abstractNumId w:val="158"/>
  </w:num>
  <w:num w:numId="103" w16cid:durableId="1696006477">
    <w:abstractNumId w:val="0"/>
  </w:num>
  <w:num w:numId="104" w16cid:durableId="795608429">
    <w:abstractNumId w:val="237"/>
  </w:num>
  <w:num w:numId="105" w16cid:durableId="946692707">
    <w:abstractNumId w:val="91"/>
  </w:num>
  <w:num w:numId="106" w16cid:durableId="557715204">
    <w:abstractNumId w:val="48"/>
  </w:num>
  <w:num w:numId="107" w16cid:durableId="1474905715">
    <w:abstractNumId w:val="68"/>
  </w:num>
  <w:num w:numId="108" w16cid:durableId="400097810">
    <w:abstractNumId w:val="85"/>
  </w:num>
  <w:num w:numId="109" w16cid:durableId="1693263960">
    <w:abstractNumId w:val="57"/>
  </w:num>
  <w:num w:numId="110" w16cid:durableId="23603616">
    <w:abstractNumId w:val="174"/>
  </w:num>
  <w:num w:numId="111" w16cid:durableId="1366633980">
    <w:abstractNumId w:val="109"/>
  </w:num>
  <w:num w:numId="112" w16cid:durableId="260452104">
    <w:abstractNumId w:val="115"/>
  </w:num>
  <w:num w:numId="113" w16cid:durableId="300573631">
    <w:abstractNumId w:val="6"/>
  </w:num>
  <w:num w:numId="114" w16cid:durableId="1078287596">
    <w:abstractNumId w:val="166"/>
  </w:num>
  <w:num w:numId="115" w16cid:durableId="985742284">
    <w:abstractNumId w:val="89"/>
  </w:num>
  <w:num w:numId="116" w16cid:durableId="2060007157">
    <w:abstractNumId w:val="125"/>
  </w:num>
  <w:num w:numId="117" w16cid:durableId="1992174454">
    <w:abstractNumId w:val="131"/>
  </w:num>
  <w:num w:numId="118" w16cid:durableId="1966615261">
    <w:abstractNumId w:val="81"/>
  </w:num>
  <w:num w:numId="119" w16cid:durableId="1361970600">
    <w:abstractNumId w:val="67"/>
  </w:num>
  <w:num w:numId="120" w16cid:durableId="1012686660">
    <w:abstractNumId w:val="27"/>
  </w:num>
  <w:num w:numId="121" w16cid:durableId="1160734192">
    <w:abstractNumId w:val="80"/>
  </w:num>
  <w:num w:numId="122" w16cid:durableId="1674605386">
    <w:abstractNumId w:val="153"/>
  </w:num>
  <w:num w:numId="123" w16cid:durableId="1005666909">
    <w:abstractNumId w:val="5"/>
  </w:num>
  <w:num w:numId="124" w16cid:durableId="760760337">
    <w:abstractNumId w:val="32"/>
  </w:num>
  <w:num w:numId="125" w16cid:durableId="1049649498">
    <w:abstractNumId w:val="182"/>
  </w:num>
  <w:num w:numId="126" w16cid:durableId="86313158">
    <w:abstractNumId w:val="130"/>
  </w:num>
  <w:num w:numId="127" w16cid:durableId="1108813802">
    <w:abstractNumId w:val="199"/>
  </w:num>
  <w:num w:numId="128" w16cid:durableId="189412561">
    <w:abstractNumId w:val="34"/>
  </w:num>
  <w:num w:numId="129" w16cid:durableId="690450138">
    <w:abstractNumId w:val="209"/>
  </w:num>
  <w:num w:numId="130" w16cid:durableId="885065543">
    <w:abstractNumId w:val="238"/>
  </w:num>
  <w:num w:numId="131" w16cid:durableId="40329099">
    <w:abstractNumId w:val="176"/>
  </w:num>
  <w:num w:numId="132" w16cid:durableId="1562253307">
    <w:abstractNumId w:val="108"/>
  </w:num>
  <w:num w:numId="133" w16cid:durableId="656884002">
    <w:abstractNumId w:val="213"/>
  </w:num>
  <w:num w:numId="134" w16cid:durableId="678115961">
    <w:abstractNumId w:val="145"/>
  </w:num>
  <w:num w:numId="135" w16cid:durableId="884562336">
    <w:abstractNumId w:val="103"/>
  </w:num>
  <w:num w:numId="136" w16cid:durableId="594169666">
    <w:abstractNumId w:val="192"/>
  </w:num>
  <w:num w:numId="137" w16cid:durableId="711810600">
    <w:abstractNumId w:val="101"/>
  </w:num>
  <w:num w:numId="138" w16cid:durableId="429660979">
    <w:abstractNumId w:val="41"/>
  </w:num>
  <w:num w:numId="139" w16cid:durableId="1070229879">
    <w:abstractNumId w:val="240"/>
  </w:num>
  <w:num w:numId="140" w16cid:durableId="156507952">
    <w:abstractNumId w:val="169"/>
  </w:num>
  <w:num w:numId="141" w16cid:durableId="131869668">
    <w:abstractNumId w:val="222"/>
  </w:num>
  <w:num w:numId="142" w16cid:durableId="2118869080">
    <w:abstractNumId w:val="177"/>
  </w:num>
  <w:num w:numId="143" w16cid:durableId="1052921169">
    <w:abstractNumId w:val="206"/>
  </w:num>
  <w:num w:numId="144" w16cid:durableId="1790198694">
    <w:abstractNumId w:val="7"/>
  </w:num>
  <w:num w:numId="145" w16cid:durableId="899705811">
    <w:abstractNumId w:val="163"/>
  </w:num>
  <w:num w:numId="146" w16cid:durableId="1572734973">
    <w:abstractNumId w:val="73"/>
  </w:num>
  <w:num w:numId="147" w16cid:durableId="407969745">
    <w:abstractNumId w:val="171"/>
  </w:num>
  <w:num w:numId="148" w16cid:durableId="1023629601">
    <w:abstractNumId w:val="216"/>
  </w:num>
  <w:num w:numId="149" w16cid:durableId="1020427092">
    <w:abstractNumId w:val="13"/>
  </w:num>
  <w:num w:numId="150" w16cid:durableId="10381320">
    <w:abstractNumId w:val="140"/>
  </w:num>
  <w:num w:numId="151" w16cid:durableId="1962110834">
    <w:abstractNumId w:val="83"/>
  </w:num>
  <w:num w:numId="152" w16cid:durableId="893203052">
    <w:abstractNumId w:val="10"/>
  </w:num>
  <w:num w:numId="153" w16cid:durableId="638338218">
    <w:abstractNumId w:val="183"/>
  </w:num>
  <w:num w:numId="154" w16cid:durableId="1573200599">
    <w:abstractNumId w:val="53"/>
  </w:num>
  <w:num w:numId="155" w16cid:durableId="97725847">
    <w:abstractNumId w:val="3"/>
  </w:num>
  <w:num w:numId="156" w16cid:durableId="250117861">
    <w:abstractNumId w:val="142"/>
  </w:num>
  <w:num w:numId="157" w16cid:durableId="1451624551">
    <w:abstractNumId w:val="241"/>
  </w:num>
  <w:num w:numId="158" w16cid:durableId="929628209">
    <w:abstractNumId w:val="102"/>
  </w:num>
  <w:num w:numId="159" w16cid:durableId="2048946489">
    <w:abstractNumId w:val="155"/>
  </w:num>
  <w:num w:numId="160" w16cid:durableId="1938561284">
    <w:abstractNumId w:val="92"/>
  </w:num>
  <w:num w:numId="161" w16cid:durableId="1552036804">
    <w:abstractNumId w:val="42"/>
  </w:num>
  <w:num w:numId="162" w16cid:durableId="2027360130">
    <w:abstractNumId w:val="55"/>
  </w:num>
  <w:num w:numId="163" w16cid:durableId="933636415">
    <w:abstractNumId w:val="18"/>
  </w:num>
  <w:num w:numId="164" w16cid:durableId="275523389">
    <w:abstractNumId w:val="1"/>
  </w:num>
  <w:num w:numId="165" w16cid:durableId="857543594">
    <w:abstractNumId w:val="60"/>
  </w:num>
  <w:num w:numId="166" w16cid:durableId="1864589159">
    <w:abstractNumId w:val="113"/>
  </w:num>
  <w:num w:numId="167" w16cid:durableId="2048220496">
    <w:abstractNumId w:val="49"/>
  </w:num>
  <w:num w:numId="168" w16cid:durableId="2126541250">
    <w:abstractNumId w:val="244"/>
  </w:num>
  <w:num w:numId="169" w16cid:durableId="475225378">
    <w:abstractNumId w:val="79"/>
  </w:num>
  <w:num w:numId="170" w16cid:durableId="1648629118">
    <w:abstractNumId w:val="127"/>
  </w:num>
  <w:num w:numId="171" w16cid:durableId="1408572931">
    <w:abstractNumId w:val="70"/>
  </w:num>
  <w:num w:numId="172" w16cid:durableId="503786273">
    <w:abstractNumId w:val="187"/>
  </w:num>
  <w:num w:numId="173" w16cid:durableId="515118914">
    <w:abstractNumId w:val="236"/>
  </w:num>
  <w:num w:numId="174" w16cid:durableId="333187801">
    <w:abstractNumId w:val="37"/>
  </w:num>
  <w:num w:numId="175" w16cid:durableId="436868614">
    <w:abstractNumId w:val="195"/>
  </w:num>
  <w:num w:numId="176" w16cid:durableId="202522292">
    <w:abstractNumId w:val="180"/>
  </w:num>
  <w:num w:numId="177" w16cid:durableId="852497150">
    <w:abstractNumId w:val="149"/>
  </w:num>
  <w:num w:numId="178" w16cid:durableId="1640846127">
    <w:abstractNumId w:val="96"/>
  </w:num>
  <w:num w:numId="179" w16cid:durableId="2009212417">
    <w:abstractNumId w:val="75"/>
  </w:num>
  <w:num w:numId="180" w16cid:durableId="1731417399">
    <w:abstractNumId w:val="208"/>
  </w:num>
  <w:num w:numId="181" w16cid:durableId="1039748311">
    <w:abstractNumId w:val="135"/>
  </w:num>
  <w:num w:numId="182" w16cid:durableId="1052735745">
    <w:abstractNumId w:val="188"/>
  </w:num>
  <w:num w:numId="183" w16cid:durableId="1680306870">
    <w:abstractNumId w:val="29"/>
  </w:num>
  <w:num w:numId="184" w16cid:durableId="1476531399">
    <w:abstractNumId w:val="146"/>
  </w:num>
  <w:num w:numId="185" w16cid:durableId="483081262">
    <w:abstractNumId w:val="223"/>
  </w:num>
  <w:num w:numId="186" w16cid:durableId="97679218">
    <w:abstractNumId w:val="156"/>
  </w:num>
  <w:num w:numId="187" w16cid:durableId="1263994854">
    <w:abstractNumId w:val="28"/>
  </w:num>
  <w:num w:numId="188" w16cid:durableId="707528379">
    <w:abstractNumId w:val="137"/>
  </w:num>
  <w:num w:numId="189" w16cid:durableId="164323308">
    <w:abstractNumId w:val="63"/>
  </w:num>
  <w:num w:numId="190" w16cid:durableId="1056128520">
    <w:abstractNumId w:val="61"/>
  </w:num>
  <w:num w:numId="191" w16cid:durableId="1819763328">
    <w:abstractNumId w:val="40"/>
  </w:num>
  <w:num w:numId="192" w16cid:durableId="820846082">
    <w:abstractNumId w:val="221"/>
  </w:num>
  <w:num w:numId="193" w16cid:durableId="197671805">
    <w:abstractNumId w:val="58"/>
  </w:num>
  <w:num w:numId="194" w16cid:durableId="584992397">
    <w:abstractNumId w:val="170"/>
  </w:num>
  <w:num w:numId="195" w16cid:durableId="655497562">
    <w:abstractNumId w:val="62"/>
  </w:num>
  <w:num w:numId="196" w16cid:durableId="1272324489">
    <w:abstractNumId w:val="150"/>
  </w:num>
  <w:num w:numId="197" w16cid:durableId="1471825140">
    <w:abstractNumId w:val="234"/>
  </w:num>
  <w:num w:numId="198" w16cid:durableId="820584348">
    <w:abstractNumId w:val="151"/>
  </w:num>
  <w:num w:numId="199" w16cid:durableId="1262227184">
    <w:abstractNumId w:val="160"/>
  </w:num>
  <w:num w:numId="200" w16cid:durableId="1391926758">
    <w:abstractNumId w:val="129"/>
  </w:num>
  <w:num w:numId="201" w16cid:durableId="887649719">
    <w:abstractNumId w:val="86"/>
  </w:num>
  <w:num w:numId="202" w16cid:durableId="40255987">
    <w:abstractNumId w:val="152"/>
  </w:num>
  <w:num w:numId="203" w16cid:durableId="872228431">
    <w:abstractNumId w:val="191"/>
  </w:num>
  <w:num w:numId="204" w16cid:durableId="1465271233">
    <w:abstractNumId w:val="245"/>
  </w:num>
  <w:num w:numId="205" w16cid:durableId="1740009142">
    <w:abstractNumId w:val="24"/>
  </w:num>
  <w:num w:numId="206" w16cid:durableId="875236250">
    <w:abstractNumId w:val="122"/>
  </w:num>
  <w:num w:numId="207" w16cid:durableId="1191459052">
    <w:abstractNumId w:val="232"/>
  </w:num>
  <w:num w:numId="208" w16cid:durableId="1538086855">
    <w:abstractNumId w:val="116"/>
  </w:num>
  <w:num w:numId="209" w16cid:durableId="456489057">
    <w:abstractNumId w:val="144"/>
  </w:num>
  <w:num w:numId="210" w16cid:durableId="1349987768">
    <w:abstractNumId w:val="84"/>
  </w:num>
  <w:num w:numId="211" w16cid:durableId="1457260671">
    <w:abstractNumId w:val="99"/>
  </w:num>
  <w:num w:numId="212" w16cid:durableId="288782724">
    <w:abstractNumId w:val="220"/>
  </w:num>
  <w:num w:numId="213" w16cid:durableId="1196115921">
    <w:abstractNumId w:val="165"/>
  </w:num>
  <w:num w:numId="214" w16cid:durableId="704674077">
    <w:abstractNumId w:val="43"/>
  </w:num>
  <w:num w:numId="215" w16cid:durableId="1691299799">
    <w:abstractNumId w:val="215"/>
  </w:num>
  <w:num w:numId="216" w16cid:durableId="1465004723">
    <w:abstractNumId w:val="97"/>
  </w:num>
  <w:num w:numId="217" w16cid:durableId="1391265112">
    <w:abstractNumId w:val="88"/>
  </w:num>
  <w:num w:numId="218" w16cid:durableId="989214464">
    <w:abstractNumId w:val="143"/>
  </w:num>
  <w:num w:numId="219" w16cid:durableId="6029767">
    <w:abstractNumId w:val="214"/>
  </w:num>
  <w:num w:numId="220" w16cid:durableId="87708895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795946952">
    <w:abstractNumId w:val="107"/>
  </w:num>
  <w:num w:numId="222" w16cid:durableId="861819297">
    <w:abstractNumId w:val="197"/>
  </w:num>
  <w:num w:numId="223" w16cid:durableId="375398310">
    <w:abstractNumId w:val="161"/>
  </w:num>
  <w:num w:numId="224" w16cid:durableId="552428201">
    <w:abstractNumId w:val="90"/>
  </w:num>
  <w:num w:numId="225" w16cid:durableId="643389084">
    <w:abstractNumId w:val="167"/>
  </w:num>
  <w:num w:numId="226" w16cid:durableId="1522432505">
    <w:abstractNumId w:val="35"/>
  </w:num>
  <w:num w:numId="227" w16cid:durableId="1574241008">
    <w:abstractNumId w:val="44"/>
  </w:num>
  <w:num w:numId="228" w16cid:durableId="1440293284">
    <w:abstractNumId w:val="134"/>
  </w:num>
  <w:num w:numId="229" w16cid:durableId="819998082">
    <w:abstractNumId w:val="20"/>
  </w:num>
  <w:num w:numId="230" w16cid:durableId="1586916554">
    <w:abstractNumId w:val="139"/>
  </w:num>
  <w:num w:numId="231" w16cid:durableId="1954705343">
    <w:abstractNumId w:val="162"/>
  </w:num>
  <w:num w:numId="232" w16cid:durableId="159540821">
    <w:abstractNumId w:val="9"/>
  </w:num>
  <w:num w:numId="233" w16cid:durableId="1335495783">
    <w:abstractNumId w:val="243"/>
  </w:num>
  <w:num w:numId="234" w16cid:durableId="1387948864">
    <w:abstractNumId w:val="119"/>
  </w:num>
  <w:num w:numId="235" w16cid:durableId="427385451">
    <w:abstractNumId w:val="194"/>
  </w:num>
  <w:num w:numId="236" w16cid:durableId="1553494503">
    <w:abstractNumId w:val="239"/>
  </w:num>
  <w:num w:numId="237" w16cid:durableId="1647123819">
    <w:abstractNumId w:val="111"/>
  </w:num>
  <w:num w:numId="238" w16cid:durableId="1279681946">
    <w:abstractNumId w:val="23"/>
  </w:num>
  <w:num w:numId="239" w16cid:durableId="154419407">
    <w:abstractNumId w:val="112"/>
  </w:num>
  <w:num w:numId="240" w16cid:durableId="2052798015">
    <w:abstractNumId w:val="138"/>
  </w:num>
  <w:num w:numId="241" w16cid:durableId="1113524974">
    <w:abstractNumId w:val="45"/>
  </w:num>
  <w:num w:numId="242" w16cid:durableId="216867957">
    <w:abstractNumId w:val="193"/>
  </w:num>
  <w:num w:numId="243" w16cid:durableId="1947543868">
    <w:abstractNumId w:val="224"/>
  </w:num>
  <w:num w:numId="244" w16cid:durableId="1438867192">
    <w:abstractNumId w:val="72"/>
  </w:num>
  <w:num w:numId="245" w16cid:durableId="1154613686">
    <w:abstractNumId w:val="141"/>
  </w:num>
  <w:num w:numId="246" w16cid:durableId="1535727352">
    <w:abstractNumId w:val="128"/>
  </w:num>
  <w:num w:numId="247" w16cid:durableId="1475831543">
    <w:abstractNumId w:val="184"/>
  </w:num>
  <w:numIdMacAtCleanup w:val="2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E66"/>
    <w:rsid w:val="00000239"/>
    <w:rsid w:val="000002AE"/>
    <w:rsid w:val="000004D6"/>
    <w:rsid w:val="00000BC3"/>
    <w:rsid w:val="00000E40"/>
    <w:rsid w:val="00001086"/>
    <w:rsid w:val="00001285"/>
    <w:rsid w:val="000013D0"/>
    <w:rsid w:val="00002050"/>
    <w:rsid w:val="000026B7"/>
    <w:rsid w:val="00002885"/>
    <w:rsid w:val="000028AF"/>
    <w:rsid w:val="00002A93"/>
    <w:rsid w:val="00002BB8"/>
    <w:rsid w:val="000030B3"/>
    <w:rsid w:val="00003607"/>
    <w:rsid w:val="0000378D"/>
    <w:rsid w:val="0000396A"/>
    <w:rsid w:val="00004088"/>
    <w:rsid w:val="0000436A"/>
    <w:rsid w:val="0000470C"/>
    <w:rsid w:val="00004769"/>
    <w:rsid w:val="00004774"/>
    <w:rsid w:val="00004B54"/>
    <w:rsid w:val="00004B80"/>
    <w:rsid w:val="00005179"/>
    <w:rsid w:val="00005356"/>
    <w:rsid w:val="00005567"/>
    <w:rsid w:val="00005C86"/>
    <w:rsid w:val="00005F0F"/>
    <w:rsid w:val="00006165"/>
    <w:rsid w:val="00006507"/>
    <w:rsid w:val="000065F3"/>
    <w:rsid w:val="000068C4"/>
    <w:rsid w:val="00006D87"/>
    <w:rsid w:val="000071D0"/>
    <w:rsid w:val="000077AC"/>
    <w:rsid w:val="000079DA"/>
    <w:rsid w:val="00007D18"/>
    <w:rsid w:val="00007D27"/>
    <w:rsid w:val="00007E3E"/>
    <w:rsid w:val="000105E1"/>
    <w:rsid w:val="000106FE"/>
    <w:rsid w:val="0001088E"/>
    <w:rsid w:val="000108FA"/>
    <w:rsid w:val="00010EA7"/>
    <w:rsid w:val="00011542"/>
    <w:rsid w:val="00011640"/>
    <w:rsid w:val="00011705"/>
    <w:rsid w:val="000117C8"/>
    <w:rsid w:val="000119BB"/>
    <w:rsid w:val="00011B71"/>
    <w:rsid w:val="00011CBD"/>
    <w:rsid w:val="00011EAC"/>
    <w:rsid w:val="00012900"/>
    <w:rsid w:val="00012A46"/>
    <w:rsid w:val="00013345"/>
    <w:rsid w:val="0001347E"/>
    <w:rsid w:val="0001349F"/>
    <w:rsid w:val="00013720"/>
    <w:rsid w:val="000139B1"/>
    <w:rsid w:val="00013FDE"/>
    <w:rsid w:val="00014148"/>
    <w:rsid w:val="0001452C"/>
    <w:rsid w:val="0001455E"/>
    <w:rsid w:val="00014750"/>
    <w:rsid w:val="00014A15"/>
    <w:rsid w:val="00014E0D"/>
    <w:rsid w:val="00015351"/>
    <w:rsid w:val="000155D3"/>
    <w:rsid w:val="000156DB"/>
    <w:rsid w:val="00016445"/>
    <w:rsid w:val="00016ED6"/>
    <w:rsid w:val="00016EDE"/>
    <w:rsid w:val="00016EFD"/>
    <w:rsid w:val="00017323"/>
    <w:rsid w:val="00017410"/>
    <w:rsid w:val="000175EA"/>
    <w:rsid w:val="0001777A"/>
    <w:rsid w:val="000178EC"/>
    <w:rsid w:val="00017998"/>
    <w:rsid w:val="000200B5"/>
    <w:rsid w:val="000202F4"/>
    <w:rsid w:val="00020421"/>
    <w:rsid w:val="00020587"/>
    <w:rsid w:val="000206CD"/>
    <w:rsid w:val="000209B2"/>
    <w:rsid w:val="00020A0D"/>
    <w:rsid w:val="00020CEF"/>
    <w:rsid w:val="00020E70"/>
    <w:rsid w:val="000210D9"/>
    <w:rsid w:val="0002145E"/>
    <w:rsid w:val="00021495"/>
    <w:rsid w:val="00021E17"/>
    <w:rsid w:val="00022307"/>
    <w:rsid w:val="00022467"/>
    <w:rsid w:val="00022606"/>
    <w:rsid w:val="00022629"/>
    <w:rsid w:val="00022890"/>
    <w:rsid w:val="00022946"/>
    <w:rsid w:val="0002390D"/>
    <w:rsid w:val="00023B14"/>
    <w:rsid w:val="0002463F"/>
    <w:rsid w:val="00024697"/>
    <w:rsid w:val="0002487C"/>
    <w:rsid w:val="00024BF3"/>
    <w:rsid w:val="00024D74"/>
    <w:rsid w:val="000254C8"/>
    <w:rsid w:val="0002569E"/>
    <w:rsid w:val="00025AA6"/>
    <w:rsid w:val="00025C74"/>
    <w:rsid w:val="00025F76"/>
    <w:rsid w:val="00026035"/>
    <w:rsid w:val="00026622"/>
    <w:rsid w:val="00026642"/>
    <w:rsid w:val="000266A5"/>
    <w:rsid w:val="000269C3"/>
    <w:rsid w:val="00026C36"/>
    <w:rsid w:val="00026E66"/>
    <w:rsid w:val="00027336"/>
    <w:rsid w:val="00027402"/>
    <w:rsid w:val="00027450"/>
    <w:rsid w:val="0002774A"/>
    <w:rsid w:val="00027A66"/>
    <w:rsid w:val="00027C07"/>
    <w:rsid w:val="00027DF0"/>
    <w:rsid w:val="00027FDC"/>
    <w:rsid w:val="00027FE5"/>
    <w:rsid w:val="0003045F"/>
    <w:rsid w:val="00030670"/>
    <w:rsid w:val="00030D52"/>
    <w:rsid w:val="00030E3B"/>
    <w:rsid w:val="00030F9C"/>
    <w:rsid w:val="00030FD6"/>
    <w:rsid w:val="000312BB"/>
    <w:rsid w:val="0003156B"/>
    <w:rsid w:val="00031994"/>
    <w:rsid w:val="0003199C"/>
    <w:rsid w:val="0003203F"/>
    <w:rsid w:val="0003207C"/>
    <w:rsid w:val="00032247"/>
    <w:rsid w:val="000325F5"/>
    <w:rsid w:val="000326ED"/>
    <w:rsid w:val="00033328"/>
    <w:rsid w:val="00033D1A"/>
    <w:rsid w:val="00033E2A"/>
    <w:rsid w:val="00033F69"/>
    <w:rsid w:val="00034097"/>
    <w:rsid w:val="00034292"/>
    <w:rsid w:val="000344CD"/>
    <w:rsid w:val="00034532"/>
    <w:rsid w:val="00034BF8"/>
    <w:rsid w:val="00034C44"/>
    <w:rsid w:val="00035017"/>
    <w:rsid w:val="000351EB"/>
    <w:rsid w:val="00035304"/>
    <w:rsid w:val="00035504"/>
    <w:rsid w:val="000357E8"/>
    <w:rsid w:val="00035BD1"/>
    <w:rsid w:val="00035DC2"/>
    <w:rsid w:val="00035E7F"/>
    <w:rsid w:val="00036088"/>
    <w:rsid w:val="0003629E"/>
    <w:rsid w:val="000364D8"/>
    <w:rsid w:val="000366F5"/>
    <w:rsid w:val="00036921"/>
    <w:rsid w:val="00036B61"/>
    <w:rsid w:val="00036C12"/>
    <w:rsid w:val="00036CE6"/>
    <w:rsid w:val="00037198"/>
    <w:rsid w:val="0003748D"/>
    <w:rsid w:val="0004020C"/>
    <w:rsid w:val="00040453"/>
    <w:rsid w:val="0004049B"/>
    <w:rsid w:val="0004068C"/>
    <w:rsid w:val="000407EE"/>
    <w:rsid w:val="00040A82"/>
    <w:rsid w:val="00040FBD"/>
    <w:rsid w:val="000412F8"/>
    <w:rsid w:val="000413BB"/>
    <w:rsid w:val="000413E6"/>
    <w:rsid w:val="00041787"/>
    <w:rsid w:val="00041889"/>
    <w:rsid w:val="00041A6A"/>
    <w:rsid w:val="0004230D"/>
    <w:rsid w:val="000425E1"/>
    <w:rsid w:val="00042C05"/>
    <w:rsid w:val="00043355"/>
    <w:rsid w:val="000436BB"/>
    <w:rsid w:val="00043D4F"/>
    <w:rsid w:val="00043DF7"/>
    <w:rsid w:val="00044239"/>
    <w:rsid w:val="000442E9"/>
    <w:rsid w:val="00044300"/>
    <w:rsid w:val="00044A32"/>
    <w:rsid w:val="00044B07"/>
    <w:rsid w:val="00044D98"/>
    <w:rsid w:val="00044EF0"/>
    <w:rsid w:val="00045103"/>
    <w:rsid w:val="000455A2"/>
    <w:rsid w:val="00045757"/>
    <w:rsid w:val="00045A27"/>
    <w:rsid w:val="00045B57"/>
    <w:rsid w:val="00046025"/>
    <w:rsid w:val="00046613"/>
    <w:rsid w:val="0004667C"/>
    <w:rsid w:val="000466C4"/>
    <w:rsid w:val="00046735"/>
    <w:rsid w:val="00046B2B"/>
    <w:rsid w:val="00046C86"/>
    <w:rsid w:val="00046CB1"/>
    <w:rsid w:val="00046D8A"/>
    <w:rsid w:val="00047312"/>
    <w:rsid w:val="00047487"/>
    <w:rsid w:val="000477BA"/>
    <w:rsid w:val="00047AE7"/>
    <w:rsid w:val="00047E4F"/>
    <w:rsid w:val="00047E81"/>
    <w:rsid w:val="000505C5"/>
    <w:rsid w:val="00050DC4"/>
    <w:rsid w:val="00050E6D"/>
    <w:rsid w:val="0005108B"/>
    <w:rsid w:val="00051665"/>
    <w:rsid w:val="000517CD"/>
    <w:rsid w:val="00051C3C"/>
    <w:rsid w:val="00051CCD"/>
    <w:rsid w:val="00052264"/>
    <w:rsid w:val="0005258B"/>
    <w:rsid w:val="00052E9D"/>
    <w:rsid w:val="00052FE2"/>
    <w:rsid w:val="00053374"/>
    <w:rsid w:val="0005347D"/>
    <w:rsid w:val="00053495"/>
    <w:rsid w:val="00053700"/>
    <w:rsid w:val="00053726"/>
    <w:rsid w:val="000537E0"/>
    <w:rsid w:val="00053F59"/>
    <w:rsid w:val="0005401F"/>
    <w:rsid w:val="0005419C"/>
    <w:rsid w:val="000542DE"/>
    <w:rsid w:val="000548CC"/>
    <w:rsid w:val="00054D11"/>
    <w:rsid w:val="00054FC6"/>
    <w:rsid w:val="00055125"/>
    <w:rsid w:val="000554DB"/>
    <w:rsid w:val="00055741"/>
    <w:rsid w:val="00055998"/>
    <w:rsid w:val="00055AE2"/>
    <w:rsid w:val="00055B21"/>
    <w:rsid w:val="00055C2E"/>
    <w:rsid w:val="00055C49"/>
    <w:rsid w:val="00055FF2"/>
    <w:rsid w:val="000563CB"/>
    <w:rsid w:val="00056648"/>
    <w:rsid w:val="0005667D"/>
    <w:rsid w:val="00056AC8"/>
    <w:rsid w:val="0005700F"/>
    <w:rsid w:val="000572FB"/>
    <w:rsid w:val="00057718"/>
    <w:rsid w:val="00057E4E"/>
    <w:rsid w:val="00060215"/>
    <w:rsid w:val="00060328"/>
    <w:rsid w:val="0006081D"/>
    <w:rsid w:val="000609CC"/>
    <w:rsid w:val="00060CA7"/>
    <w:rsid w:val="0006169F"/>
    <w:rsid w:val="000617FF"/>
    <w:rsid w:val="00061B7B"/>
    <w:rsid w:val="00061DAC"/>
    <w:rsid w:val="00061E71"/>
    <w:rsid w:val="00061FDB"/>
    <w:rsid w:val="0006216E"/>
    <w:rsid w:val="00062217"/>
    <w:rsid w:val="0006260E"/>
    <w:rsid w:val="000628A8"/>
    <w:rsid w:val="000628B5"/>
    <w:rsid w:val="0006295F"/>
    <w:rsid w:val="0006324B"/>
    <w:rsid w:val="000633E7"/>
    <w:rsid w:val="00063ACF"/>
    <w:rsid w:val="00063C83"/>
    <w:rsid w:val="00064196"/>
    <w:rsid w:val="0006438A"/>
    <w:rsid w:val="000644E5"/>
    <w:rsid w:val="00064719"/>
    <w:rsid w:val="0006489E"/>
    <w:rsid w:val="00064BE8"/>
    <w:rsid w:val="00064C3D"/>
    <w:rsid w:val="000651F6"/>
    <w:rsid w:val="00065203"/>
    <w:rsid w:val="0006535F"/>
    <w:rsid w:val="000656C8"/>
    <w:rsid w:val="000656DD"/>
    <w:rsid w:val="00065AC8"/>
    <w:rsid w:val="00065D33"/>
    <w:rsid w:val="00066550"/>
    <w:rsid w:val="00066BC6"/>
    <w:rsid w:val="000671A2"/>
    <w:rsid w:val="000671FF"/>
    <w:rsid w:val="00067264"/>
    <w:rsid w:val="00067C64"/>
    <w:rsid w:val="00067E48"/>
    <w:rsid w:val="00067E62"/>
    <w:rsid w:val="00070504"/>
    <w:rsid w:val="00070711"/>
    <w:rsid w:val="00070A14"/>
    <w:rsid w:val="00070BE3"/>
    <w:rsid w:val="00071204"/>
    <w:rsid w:val="0007188B"/>
    <w:rsid w:val="000718CC"/>
    <w:rsid w:val="000719B4"/>
    <w:rsid w:val="00071A23"/>
    <w:rsid w:val="00071CB3"/>
    <w:rsid w:val="0007203E"/>
    <w:rsid w:val="0007222A"/>
    <w:rsid w:val="00072259"/>
    <w:rsid w:val="0007249F"/>
    <w:rsid w:val="0007291C"/>
    <w:rsid w:val="00072C60"/>
    <w:rsid w:val="00072E3F"/>
    <w:rsid w:val="0007301D"/>
    <w:rsid w:val="00073139"/>
    <w:rsid w:val="00073197"/>
    <w:rsid w:val="000736CB"/>
    <w:rsid w:val="00073CE1"/>
    <w:rsid w:val="00074420"/>
    <w:rsid w:val="00074508"/>
    <w:rsid w:val="00074537"/>
    <w:rsid w:val="0007456C"/>
    <w:rsid w:val="00074904"/>
    <w:rsid w:val="00074B64"/>
    <w:rsid w:val="00074BD0"/>
    <w:rsid w:val="00075119"/>
    <w:rsid w:val="000757BD"/>
    <w:rsid w:val="00075D65"/>
    <w:rsid w:val="00076430"/>
    <w:rsid w:val="00076438"/>
    <w:rsid w:val="0007649C"/>
    <w:rsid w:val="00076BD2"/>
    <w:rsid w:val="00076D2A"/>
    <w:rsid w:val="0007723F"/>
    <w:rsid w:val="000776D9"/>
    <w:rsid w:val="00077A53"/>
    <w:rsid w:val="00077AC6"/>
    <w:rsid w:val="00077D33"/>
    <w:rsid w:val="00077D90"/>
    <w:rsid w:val="00077E2A"/>
    <w:rsid w:val="00077F8E"/>
    <w:rsid w:val="000803EB"/>
    <w:rsid w:val="00080BD7"/>
    <w:rsid w:val="00080C5F"/>
    <w:rsid w:val="00080E11"/>
    <w:rsid w:val="00081498"/>
    <w:rsid w:val="000814CF"/>
    <w:rsid w:val="0008177A"/>
    <w:rsid w:val="00081B5F"/>
    <w:rsid w:val="00081E51"/>
    <w:rsid w:val="00081F70"/>
    <w:rsid w:val="000825DD"/>
    <w:rsid w:val="000826F5"/>
    <w:rsid w:val="00082778"/>
    <w:rsid w:val="0008294A"/>
    <w:rsid w:val="00082A42"/>
    <w:rsid w:val="00082AA4"/>
    <w:rsid w:val="00082D7B"/>
    <w:rsid w:val="00083AE1"/>
    <w:rsid w:val="000843AD"/>
    <w:rsid w:val="00084815"/>
    <w:rsid w:val="00084AB2"/>
    <w:rsid w:val="00085337"/>
    <w:rsid w:val="0008533E"/>
    <w:rsid w:val="00085585"/>
    <w:rsid w:val="0008573E"/>
    <w:rsid w:val="0008588F"/>
    <w:rsid w:val="00085A62"/>
    <w:rsid w:val="00085B69"/>
    <w:rsid w:val="00085FE6"/>
    <w:rsid w:val="00086060"/>
    <w:rsid w:val="000862C9"/>
    <w:rsid w:val="000864D5"/>
    <w:rsid w:val="00086699"/>
    <w:rsid w:val="00086833"/>
    <w:rsid w:val="00086AD8"/>
    <w:rsid w:val="00086F5E"/>
    <w:rsid w:val="00086FA1"/>
    <w:rsid w:val="00086FDF"/>
    <w:rsid w:val="000872D8"/>
    <w:rsid w:val="00087646"/>
    <w:rsid w:val="00087A00"/>
    <w:rsid w:val="00087A91"/>
    <w:rsid w:val="00087D93"/>
    <w:rsid w:val="0009045C"/>
    <w:rsid w:val="0009079E"/>
    <w:rsid w:val="000909E3"/>
    <w:rsid w:val="00090CE2"/>
    <w:rsid w:val="00090D75"/>
    <w:rsid w:val="00091427"/>
    <w:rsid w:val="00091460"/>
    <w:rsid w:val="000918A0"/>
    <w:rsid w:val="00091B34"/>
    <w:rsid w:val="00091BBE"/>
    <w:rsid w:val="00091CD3"/>
    <w:rsid w:val="00092046"/>
    <w:rsid w:val="00092510"/>
    <w:rsid w:val="0009283E"/>
    <w:rsid w:val="00092FF9"/>
    <w:rsid w:val="00093008"/>
    <w:rsid w:val="00093083"/>
    <w:rsid w:val="000932F8"/>
    <w:rsid w:val="00093448"/>
    <w:rsid w:val="000935F3"/>
    <w:rsid w:val="00093717"/>
    <w:rsid w:val="00093781"/>
    <w:rsid w:val="000938BF"/>
    <w:rsid w:val="0009395D"/>
    <w:rsid w:val="00093A6B"/>
    <w:rsid w:val="00093C38"/>
    <w:rsid w:val="00093D1A"/>
    <w:rsid w:val="00093E26"/>
    <w:rsid w:val="0009413F"/>
    <w:rsid w:val="000941FF"/>
    <w:rsid w:val="00094497"/>
    <w:rsid w:val="00094725"/>
    <w:rsid w:val="00094FE3"/>
    <w:rsid w:val="0009574A"/>
    <w:rsid w:val="00095A35"/>
    <w:rsid w:val="00095C1D"/>
    <w:rsid w:val="00095D11"/>
    <w:rsid w:val="00095FF2"/>
    <w:rsid w:val="00096295"/>
    <w:rsid w:val="0009639B"/>
    <w:rsid w:val="00096924"/>
    <w:rsid w:val="00096A1D"/>
    <w:rsid w:val="00096AB7"/>
    <w:rsid w:val="00096B54"/>
    <w:rsid w:val="0009702B"/>
    <w:rsid w:val="00097088"/>
    <w:rsid w:val="00097125"/>
    <w:rsid w:val="0009722D"/>
    <w:rsid w:val="00097452"/>
    <w:rsid w:val="000A010C"/>
    <w:rsid w:val="000A035F"/>
    <w:rsid w:val="000A0A1D"/>
    <w:rsid w:val="000A0AE3"/>
    <w:rsid w:val="000A0B9E"/>
    <w:rsid w:val="000A0DAC"/>
    <w:rsid w:val="000A1954"/>
    <w:rsid w:val="000A1DEF"/>
    <w:rsid w:val="000A2809"/>
    <w:rsid w:val="000A2D31"/>
    <w:rsid w:val="000A2F8B"/>
    <w:rsid w:val="000A3012"/>
    <w:rsid w:val="000A30CA"/>
    <w:rsid w:val="000A368C"/>
    <w:rsid w:val="000A36D6"/>
    <w:rsid w:val="000A39C2"/>
    <w:rsid w:val="000A3F75"/>
    <w:rsid w:val="000A3F93"/>
    <w:rsid w:val="000A4052"/>
    <w:rsid w:val="000A4123"/>
    <w:rsid w:val="000A4245"/>
    <w:rsid w:val="000A43AE"/>
    <w:rsid w:val="000A44DE"/>
    <w:rsid w:val="000A46E8"/>
    <w:rsid w:val="000A476B"/>
    <w:rsid w:val="000A47CF"/>
    <w:rsid w:val="000A497B"/>
    <w:rsid w:val="000A4D0D"/>
    <w:rsid w:val="000A4E00"/>
    <w:rsid w:val="000A4F55"/>
    <w:rsid w:val="000A5106"/>
    <w:rsid w:val="000A5341"/>
    <w:rsid w:val="000A590D"/>
    <w:rsid w:val="000A59F6"/>
    <w:rsid w:val="000A5A22"/>
    <w:rsid w:val="000A5CEA"/>
    <w:rsid w:val="000A5D08"/>
    <w:rsid w:val="000A69CC"/>
    <w:rsid w:val="000A69DD"/>
    <w:rsid w:val="000A6B9C"/>
    <w:rsid w:val="000A6F5A"/>
    <w:rsid w:val="000A74AA"/>
    <w:rsid w:val="000A761C"/>
    <w:rsid w:val="000A769F"/>
    <w:rsid w:val="000A7B47"/>
    <w:rsid w:val="000A7E4C"/>
    <w:rsid w:val="000A7ED0"/>
    <w:rsid w:val="000B02D9"/>
    <w:rsid w:val="000B05CD"/>
    <w:rsid w:val="000B069B"/>
    <w:rsid w:val="000B09E2"/>
    <w:rsid w:val="000B0C8C"/>
    <w:rsid w:val="000B11A1"/>
    <w:rsid w:val="000B11FF"/>
    <w:rsid w:val="000B1C4D"/>
    <w:rsid w:val="000B21C1"/>
    <w:rsid w:val="000B23EA"/>
    <w:rsid w:val="000B245F"/>
    <w:rsid w:val="000B2857"/>
    <w:rsid w:val="000B2C86"/>
    <w:rsid w:val="000B2DED"/>
    <w:rsid w:val="000B3069"/>
    <w:rsid w:val="000B3308"/>
    <w:rsid w:val="000B336E"/>
    <w:rsid w:val="000B38A7"/>
    <w:rsid w:val="000B3916"/>
    <w:rsid w:val="000B3A82"/>
    <w:rsid w:val="000B44A4"/>
    <w:rsid w:val="000B45C4"/>
    <w:rsid w:val="000B4694"/>
    <w:rsid w:val="000B469E"/>
    <w:rsid w:val="000B4876"/>
    <w:rsid w:val="000B52E4"/>
    <w:rsid w:val="000B55E1"/>
    <w:rsid w:val="000B5D2A"/>
    <w:rsid w:val="000B5D8E"/>
    <w:rsid w:val="000B5E41"/>
    <w:rsid w:val="000B62C4"/>
    <w:rsid w:val="000B6398"/>
    <w:rsid w:val="000B64C2"/>
    <w:rsid w:val="000B6522"/>
    <w:rsid w:val="000B65C2"/>
    <w:rsid w:val="000B7188"/>
    <w:rsid w:val="000B7668"/>
    <w:rsid w:val="000B7AF7"/>
    <w:rsid w:val="000B7D6D"/>
    <w:rsid w:val="000B7FA6"/>
    <w:rsid w:val="000C011E"/>
    <w:rsid w:val="000C0A52"/>
    <w:rsid w:val="000C0CB1"/>
    <w:rsid w:val="000C14B2"/>
    <w:rsid w:val="000C14C6"/>
    <w:rsid w:val="000C1D16"/>
    <w:rsid w:val="000C2064"/>
    <w:rsid w:val="000C20BD"/>
    <w:rsid w:val="000C251B"/>
    <w:rsid w:val="000C2557"/>
    <w:rsid w:val="000C2587"/>
    <w:rsid w:val="000C2B0C"/>
    <w:rsid w:val="000C33A0"/>
    <w:rsid w:val="000C350D"/>
    <w:rsid w:val="000C35B4"/>
    <w:rsid w:val="000C3805"/>
    <w:rsid w:val="000C3CF1"/>
    <w:rsid w:val="000C3F25"/>
    <w:rsid w:val="000C4482"/>
    <w:rsid w:val="000C453E"/>
    <w:rsid w:val="000C454F"/>
    <w:rsid w:val="000C4625"/>
    <w:rsid w:val="000C4EAA"/>
    <w:rsid w:val="000C4F42"/>
    <w:rsid w:val="000C4FA3"/>
    <w:rsid w:val="000C508A"/>
    <w:rsid w:val="000C50D2"/>
    <w:rsid w:val="000C530D"/>
    <w:rsid w:val="000C587F"/>
    <w:rsid w:val="000C63FD"/>
    <w:rsid w:val="000C6678"/>
    <w:rsid w:val="000C6763"/>
    <w:rsid w:val="000C696F"/>
    <w:rsid w:val="000C6E5F"/>
    <w:rsid w:val="000C6ED6"/>
    <w:rsid w:val="000C7008"/>
    <w:rsid w:val="000C718B"/>
    <w:rsid w:val="000C7358"/>
    <w:rsid w:val="000C7700"/>
    <w:rsid w:val="000C7790"/>
    <w:rsid w:val="000C7B42"/>
    <w:rsid w:val="000D020E"/>
    <w:rsid w:val="000D085E"/>
    <w:rsid w:val="000D0DE8"/>
    <w:rsid w:val="000D0EAF"/>
    <w:rsid w:val="000D10F7"/>
    <w:rsid w:val="000D1163"/>
    <w:rsid w:val="000D145D"/>
    <w:rsid w:val="000D162C"/>
    <w:rsid w:val="000D166E"/>
    <w:rsid w:val="000D19F6"/>
    <w:rsid w:val="000D1DEA"/>
    <w:rsid w:val="000D1E92"/>
    <w:rsid w:val="000D234D"/>
    <w:rsid w:val="000D242C"/>
    <w:rsid w:val="000D25B3"/>
    <w:rsid w:val="000D26B4"/>
    <w:rsid w:val="000D29E7"/>
    <w:rsid w:val="000D2EF3"/>
    <w:rsid w:val="000D2FB7"/>
    <w:rsid w:val="000D2FBE"/>
    <w:rsid w:val="000D31D6"/>
    <w:rsid w:val="000D3545"/>
    <w:rsid w:val="000D3660"/>
    <w:rsid w:val="000D3914"/>
    <w:rsid w:val="000D3972"/>
    <w:rsid w:val="000D3E20"/>
    <w:rsid w:val="000D40E6"/>
    <w:rsid w:val="000D40F4"/>
    <w:rsid w:val="000D439E"/>
    <w:rsid w:val="000D456D"/>
    <w:rsid w:val="000D473D"/>
    <w:rsid w:val="000D4948"/>
    <w:rsid w:val="000D4B2F"/>
    <w:rsid w:val="000D4BD4"/>
    <w:rsid w:val="000D4E23"/>
    <w:rsid w:val="000D4FF1"/>
    <w:rsid w:val="000D5175"/>
    <w:rsid w:val="000D51DB"/>
    <w:rsid w:val="000D5545"/>
    <w:rsid w:val="000D59FA"/>
    <w:rsid w:val="000D5A0D"/>
    <w:rsid w:val="000D5A23"/>
    <w:rsid w:val="000D6008"/>
    <w:rsid w:val="000D6159"/>
    <w:rsid w:val="000D62D0"/>
    <w:rsid w:val="000D6942"/>
    <w:rsid w:val="000D6E72"/>
    <w:rsid w:val="000D6EE7"/>
    <w:rsid w:val="000D7458"/>
    <w:rsid w:val="000D752D"/>
    <w:rsid w:val="000D7780"/>
    <w:rsid w:val="000D7881"/>
    <w:rsid w:val="000D7CF1"/>
    <w:rsid w:val="000D7F0A"/>
    <w:rsid w:val="000E01E0"/>
    <w:rsid w:val="000E0B82"/>
    <w:rsid w:val="000E0E08"/>
    <w:rsid w:val="000E0F89"/>
    <w:rsid w:val="000E18D8"/>
    <w:rsid w:val="000E1EC0"/>
    <w:rsid w:val="000E1F90"/>
    <w:rsid w:val="000E22E1"/>
    <w:rsid w:val="000E23BF"/>
    <w:rsid w:val="000E2610"/>
    <w:rsid w:val="000E28A3"/>
    <w:rsid w:val="000E292A"/>
    <w:rsid w:val="000E29F5"/>
    <w:rsid w:val="000E2ABA"/>
    <w:rsid w:val="000E2AC4"/>
    <w:rsid w:val="000E2B83"/>
    <w:rsid w:val="000E2E01"/>
    <w:rsid w:val="000E306E"/>
    <w:rsid w:val="000E3A2D"/>
    <w:rsid w:val="000E3AD4"/>
    <w:rsid w:val="000E3ADC"/>
    <w:rsid w:val="000E3B65"/>
    <w:rsid w:val="000E3C7E"/>
    <w:rsid w:val="000E3E7F"/>
    <w:rsid w:val="000E3FC0"/>
    <w:rsid w:val="000E42AF"/>
    <w:rsid w:val="000E4663"/>
    <w:rsid w:val="000E48E1"/>
    <w:rsid w:val="000E4D47"/>
    <w:rsid w:val="000E4F1E"/>
    <w:rsid w:val="000E4F7D"/>
    <w:rsid w:val="000E514E"/>
    <w:rsid w:val="000E5324"/>
    <w:rsid w:val="000E590D"/>
    <w:rsid w:val="000E5F44"/>
    <w:rsid w:val="000E64B9"/>
    <w:rsid w:val="000E6525"/>
    <w:rsid w:val="000E65A9"/>
    <w:rsid w:val="000E676D"/>
    <w:rsid w:val="000E6924"/>
    <w:rsid w:val="000E6FE7"/>
    <w:rsid w:val="000E73D8"/>
    <w:rsid w:val="000E7CFE"/>
    <w:rsid w:val="000E7EEC"/>
    <w:rsid w:val="000F074B"/>
    <w:rsid w:val="000F0774"/>
    <w:rsid w:val="000F0A87"/>
    <w:rsid w:val="000F0BCE"/>
    <w:rsid w:val="000F0ED2"/>
    <w:rsid w:val="000F123C"/>
    <w:rsid w:val="000F126C"/>
    <w:rsid w:val="000F1374"/>
    <w:rsid w:val="000F13F6"/>
    <w:rsid w:val="000F1462"/>
    <w:rsid w:val="000F14E3"/>
    <w:rsid w:val="000F1D4F"/>
    <w:rsid w:val="000F1DD0"/>
    <w:rsid w:val="000F1F57"/>
    <w:rsid w:val="000F1FCD"/>
    <w:rsid w:val="000F2081"/>
    <w:rsid w:val="000F2385"/>
    <w:rsid w:val="000F23AE"/>
    <w:rsid w:val="000F244F"/>
    <w:rsid w:val="000F268F"/>
    <w:rsid w:val="000F2762"/>
    <w:rsid w:val="000F27E8"/>
    <w:rsid w:val="000F280F"/>
    <w:rsid w:val="000F28B3"/>
    <w:rsid w:val="000F29FC"/>
    <w:rsid w:val="000F2D14"/>
    <w:rsid w:val="000F3123"/>
    <w:rsid w:val="000F3627"/>
    <w:rsid w:val="000F371F"/>
    <w:rsid w:val="000F4326"/>
    <w:rsid w:val="000F4511"/>
    <w:rsid w:val="000F51F5"/>
    <w:rsid w:val="000F5820"/>
    <w:rsid w:val="000F58E3"/>
    <w:rsid w:val="000F5F31"/>
    <w:rsid w:val="000F5F6E"/>
    <w:rsid w:val="000F617C"/>
    <w:rsid w:val="000F63B4"/>
    <w:rsid w:val="000F665B"/>
    <w:rsid w:val="000F67F8"/>
    <w:rsid w:val="000F6C2D"/>
    <w:rsid w:val="000F6C75"/>
    <w:rsid w:val="000F71D4"/>
    <w:rsid w:val="000F7706"/>
    <w:rsid w:val="000F7988"/>
    <w:rsid w:val="000F799D"/>
    <w:rsid w:val="00100236"/>
    <w:rsid w:val="001004D5"/>
    <w:rsid w:val="001005B5"/>
    <w:rsid w:val="001006DA"/>
    <w:rsid w:val="00100E8D"/>
    <w:rsid w:val="0010100A"/>
    <w:rsid w:val="00101323"/>
    <w:rsid w:val="001015C4"/>
    <w:rsid w:val="00101704"/>
    <w:rsid w:val="001018AE"/>
    <w:rsid w:val="00101B9E"/>
    <w:rsid w:val="00101DE1"/>
    <w:rsid w:val="0010200D"/>
    <w:rsid w:val="001023FB"/>
    <w:rsid w:val="00102481"/>
    <w:rsid w:val="00102CB9"/>
    <w:rsid w:val="00102E3C"/>
    <w:rsid w:val="0010312F"/>
    <w:rsid w:val="00103209"/>
    <w:rsid w:val="0010331E"/>
    <w:rsid w:val="00103379"/>
    <w:rsid w:val="001034D7"/>
    <w:rsid w:val="001037AB"/>
    <w:rsid w:val="00104088"/>
    <w:rsid w:val="0010409C"/>
    <w:rsid w:val="0010478C"/>
    <w:rsid w:val="001047AC"/>
    <w:rsid w:val="001049E0"/>
    <w:rsid w:val="00104DB0"/>
    <w:rsid w:val="001051AC"/>
    <w:rsid w:val="00105338"/>
    <w:rsid w:val="00105918"/>
    <w:rsid w:val="00105B3B"/>
    <w:rsid w:val="00105E87"/>
    <w:rsid w:val="001062EC"/>
    <w:rsid w:val="0010667D"/>
    <w:rsid w:val="00106986"/>
    <w:rsid w:val="00107488"/>
    <w:rsid w:val="001074B8"/>
    <w:rsid w:val="001079F9"/>
    <w:rsid w:val="00110080"/>
    <w:rsid w:val="00110200"/>
    <w:rsid w:val="00110605"/>
    <w:rsid w:val="001107E7"/>
    <w:rsid w:val="00110A77"/>
    <w:rsid w:val="001114ED"/>
    <w:rsid w:val="00111561"/>
    <w:rsid w:val="001115F2"/>
    <w:rsid w:val="001117E2"/>
    <w:rsid w:val="00111A4D"/>
    <w:rsid w:val="00111CBE"/>
    <w:rsid w:val="00111D58"/>
    <w:rsid w:val="00111F22"/>
    <w:rsid w:val="001121C6"/>
    <w:rsid w:val="0011249A"/>
    <w:rsid w:val="00112D55"/>
    <w:rsid w:val="00112ED7"/>
    <w:rsid w:val="00112F39"/>
    <w:rsid w:val="00112FF6"/>
    <w:rsid w:val="00113407"/>
    <w:rsid w:val="001137E1"/>
    <w:rsid w:val="00113901"/>
    <w:rsid w:val="00113AEB"/>
    <w:rsid w:val="00114050"/>
    <w:rsid w:val="00114054"/>
    <w:rsid w:val="00114085"/>
    <w:rsid w:val="0011463B"/>
    <w:rsid w:val="00114705"/>
    <w:rsid w:val="00114BFF"/>
    <w:rsid w:val="00114E0E"/>
    <w:rsid w:val="00115280"/>
    <w:rsid w:val="00115550"/>
    <w:rsid w:val="001161F6"/>
    <w:rsid w:val="0011621A"/>
    <w:rsid w:val="00116246"/>
    <w:rsid w:val="00116B5D"/>
    <w:rsid w:val="00116FE5"/>
    <w:rsid w:val="00117188"/>
    <w:rsid w:val="0011787F"/>
    <w:rsid w:val="00117BE1"/>
    <w:rsid w:val="00117C3B"/>
    <w:rsid w:val="00117C57"/>
    <w:rsid w:val="00117DF4"/>
    <w:rsid w:val="0012035A"/>
    <w:rsid w:val="0012050A"/>
    <w:rsid w:val="00120895"/>
    <w:rsid w:val="00120C09"/>
    <w:rsid w:val="00120E05"/>
    <w:rsid w:val="00120FDD"/>
    <w:rsid w:val="00121F83"/>
    <w:rsid w:val="00121FB6"/>
    <w:rsid w:val="001220B0"/>
    <w:rsid w:val="0012215F"/>
    <w:rsid w:val="00122185"/>
    <w:rsid w:val="001221ED"/>
    <w:rsid w:val="00122347"/>
    <w:rsid w:val="001225DD"/>
    <w:rsid w:val="00122AB1"/>
    <w:rsid w:val="00122B4E"/>
    <w:rsid w:val="00122D61"/>
    <w:rsid w:val="001234B2"/>
    <w:rsid w:val="00123816"/>
    <w:rsid w:val="00123949"/>
    <w:rsid w:val="00123C44"/>
    <w:rsid w:val="0012447D"/>
    <w:rsid w:val="00124944"/>
    <w:rsid w:val="00124C36"/>
    <w:rsid w:val="00124C40"/>
    <w:rsid w:val="00124E6B"/>
    <w:rsid w:val="00124ECF"/>
    <w:rsid w:val="0012529F"/>
    <w:rsid w:val="00125401"/>
    <w:rsid w:val="0012568C"/>
    <w:rsid w:val="00125B1D"/>
    <w:rsid w:val="00125E67"/>
    <w:rsid w:val="00126298"/>
    <w:rsid w:val="00126474"/>
    <w:rsid w:val="0012665F"/>
    <w:rsid w:val="00126E8A"/>
    <w:rsid w:val="00126F58"/>
    <w:rsid w:val="00127035"/>
    <w:rsid w:val="00127081"/>
    <w:rsid w:val="0012718E"/>
    <w:rsid w:val="00127503"/>
    <w:rsid w:val="0012772F"/>
    <w:rsid w:val="001277C0"/>
    <w:rsid w:val="00127805"/>
    <w:rsid w:val="00127B84"/>
    <w:rsid w:val="00127E0F"/>
    <w:rsid w:val="00127E80"/>
    <w:rsid w:val="00130033"/>
    <w:rsid w:val="001301E2"/>
    <w:rsid w:val="001301E4"/>
    <w:rsid w:val="001302C4"/>
    <w:rsid w:val="001308FE"/>
    <w:rsid w:val="001309E0"/>
    <w:rsid w:val="00130BB2"/>
    <w:rsid w:val="00130BD7"/>
    <w:rsid w:val="00130C34"/>
    <w:rsid w:val="00130E9B"/>
    <w:rsid w:val="001310BB"/>
    <w:rsid w:val="0013146B"/>
    <w:rsid w:val="0013179A"/>
    <w:rsid w:val="00131D01"/>
    <w:rsid w:val="00132227"/>
    <w:rsid w:val="00132483"/>
    <w:rsid w:val="001324E2"/>
    <w:rsid w:val="00132570"/>
    <w:rsid w:val="00132588"/>
    <w:rsid w:val="00132767"/>
    <w:rsid w:val="00132853"/>
    <w:rsid w:val="00132CAC"/>
    <w:rsid w:val="00133400"/>
    <w:rsid w:val="00133549"/>
    <w:rsid w:val="001341CC"/>
    <w:rsid w:val="00134431"/>
    <w:rsid w:val="00134676"/>
    <w:rsid w:val="001349DB"/>
    <w:rsid w:val="00135214"/>
    <w:rsid w:val="00135276"/>
    <w:rsid w:val="001358D1"/>
    <w:rsid w:val="00135C0A"/>
    <w:rsid w:val="00135C1F"/>
    <w:rsid w:val="00135E61"/>
    <w:rsid w:val="00136209"/>
    <w:rsid w:val="0013664D"/>
    <w:rsid w:val="001367AE"/>
    <w:rsid w:val="00136C76"/>
    <w:rsid w:val="00136DB7"/>
    <w:rsid w:val="00136DCD"/>
    <w:rsid w:val="00136EE8"/>
    <w:rsid w:val="0013783D"/>
    <w:rsid w:val="001379F6"/>
    <w:rsid w:val="00137CED"/>
    <w:rsid w:val="00137D0D"/>
    <w:rsid w:val="00137ECE"/>
    <w:rsid w:val="00137F8C"/>
    <w:rsid w:val="00140053"/>
    <w:rsid w:val="0014060A"/>
    <w:rsid w:val="0014077A"/>
    <w:rsid w:val="00140BD0"/>
    <w:rsid w:val="00140C2B"/>
    <w:rsid w:val="00140D41"/>
    <w:rsid w:val="001410F3"/>
    <w:rsid w:val="0014141C"/>
    <w:rsid w:val="001416FB"/>
    <w:rsid w:val="00141725"/>
    <w:rsid w:val="00141A9E"/>
    <w:rsid w:val="00141ACB"/>
    <w:rsid w:val="00141E46"/>
    <w:rsid w:val="001422BB"/>
    <w:rsid w:val="0014255C"/>
    <w:rsid w:val="0014270B"/>
    <w:rsid w:val="00142920"/>
    <w:rsid w:val="00142CD7"/>
    <w:rsid w:val="00142F21"/>
    <w:rsid w:val="001430E5"/>
    <w:rsid w:val="001430EE"/>
    <w:rsid w:val="001436BD"/>
    <w:rsid w:val="00143BF2"/>
    <w:rsid w:val="00143EB5"/>
    <w:rsid w:val="001440C5"/>
    <w:rsid w:val="0014461A"/>
    <w:rsid w:val="0014468F"/>
    <w:rsid w:val="00144C25"/>
    <w:rsid w:val="00144FF9"/>
    <w:rsid w:val="00145099"/>
    <w:rsid w:val="00145C09"/>
    <w:rsid w:val="00145ECB"/>
    <w:rsid w:val="0014614B"/>
    <w:rsid w:val="001462F3"/>
    <w:rsid w:val="001469CB"/>
    <w:rsid w:val="00146A17"/>
    <w:rsid w:val="00146CB2"/>
    <w:rsid w:val="00146EEB"/>
    <w:rsid w:val="0014760A"/>
    <w:rsid w:val="00147965"/>
    <w:rsid w:val="0015013F"/>
    <w:rsid w:val="0015058A"/>
    <w:rsid w:val="0015062B"/>
    <w:rsid w:val="001506E5"/>
    <w:rsid w:val="0015075C"/>
    <w:rsid w:val="0015083B"/>
    <w:rsid w:val="00150B05"/>
    <w:rsid w:val="00151301"/>
    <w:rsid w:val="0015140B"/>
    <w:rsid w:val="00151728"/>
    <w:rsid w:val="00151A50"/>
    <w:rsid w:val="00151CF4"/>
    <w:rsid w:val="00151EC2"/>
    <w:rsid w:val="00151EE1"/>
    <w:rsid w:val="00151FBC"/>
    <w:rsid w:val="001528A8"/>
    <w:rsid w:val="00152979"/>
    <w:rsid w:val="001529C6"/>
    <w:rsid w:val="00152A8E"/>
    <w:rsid w:val="00152B33"/>
    <w:rsid w:val="00153288"/>
    <w:rsid w:val="0015328B"/>
    <w:rsid w:val="001532AF"/>
    <w:rsid w:val="00153417"/>
    <w:rsid w:val="001536BB"/>
    <w:rsid w:val="001538F7"/>
    <w:rsid w:val="00153C2B"/>
    <w:rsid w:val="001542C4"/>
    <w:rsid w:val="00154626"/>
    <w:rsid w:val="00154766"/>
    <w:rsid w:val="001549B2"/>
    <w:rsid w:val="001549E9"/>
    <w:rsid w:val="00154B27"/>
    <w:rsid w:val="00154F0C"/>
    <w:rsid w:val="00154FD5"/>
    <w:rsid w:val="00155AD7"/>
    <w:rsid w:val="00155AF9"/>
    <w:rsid w:val="00155E7F"/>
    <w:rsid w:val="0015658D"/>
    <w:rsid w:val="001566FC"/>
    <w:rsid w:val="0015671D"/>
    <w:rsid w:val="00156894"/>
    <w:rsid w:val="00156E3D"/>
    <w:rsid w:val="00156EA4"/>
    <w:rsid w:val="00156F9F"/>
    <w:rsid w:val="0015706B"/>
    <w:rsid w:val="00157133"/>
    <w:rsid w:val="00157289"/>
    <w:rsid w:val="001573BD"/>
    <w:rsid w:val="001579F5"/>
    <w:rsid w:val="00157F00"/>
    <w:rsid w:val="0016004D"/>
    <w:rsid w:val="00160091"/>
    <w:rsid w:val="0016009D"/>
    <w:rsid w:val="00160179"/>
    <w:rsid w:val="00160188"/>
    <w:rsid w:val="00160D35"/>
    <w:rsid w:val="00160EC9"/>
    <w:rsid w:val="00161220"/>
    <w:rsid w:val="0016152A"/>
    <w:rsid w:val="00161543"/>
    <w:rsid w:val="00161A2D"/>
    <w:rsid w:val="00161D4F"/>
    <w:rsid w:val="001620D8"/>
    <w:rsid w:val="001620EA"/>
    <w:rsid w:val="001627B5"/>
    <w:rsid w:val="001628FF"/>
    <w:rsid w:val="00162EDD"/>
    <w:rsid w:val="001630EE"/>
    <w:rsid w:val="001634F3"/>
    <w:rsid w:val="001639FD"/>
    <w:rsid w:val="00163C60"/>
    <w:rsid w:val="00163CBE"/>
    <w:rsid w:val="00163D57"/>
    <w:rsid w:val="00163D82"/>
    <w:rsid w:val="001646EC"/>
    <w:rsid w:val="00164B29"/>
    <w:rsid w:val="00164C83"/>
    <w:rsid w:val="00164D81"/>
    <w:rsid w:val="00164E00"/>
    <w:rsid w:val="00165074"/>
    <w:rsid w:val="0016510C"/>
    <w:rsid w:val="00165320"/>
    <w:rsid w:val="00165D0D"/>
    <w:rsid w:val="001661A7"/>
    <w:rsid w:val="001661C7"/>
    <w:rsid w:val="00166438"/>
    <w:rsid w:val="0016645B"/>
    <w:rsid w:val="001664D7"/>
    <w:rsid w:val="001665B5"/>
    <w:rsid w:val="00166A1C"/>
    <w:rsid w:val="00166C0C"/>
    <w:rsid w:val="0016721F"/>
    <w:rsid w:val="0016734F"/>
    <w:rsid w:val="001677DF"/>
    <w:rsid w:val="0016791D"/>
    <w:rsid w:val="0016796C"/>
    <w:rsid w:val="00167A3E"/>
    <w:rsid w:val="00167B42"/>
    <w:rsid w:val="00167D79"/>
    <w:rsid w:val="00167F61"/>
    <w:rsid w:val="00170041"/>
    <w:rsid w:val="00170C76"/>
    <w:rsid w:val="00170C98"/>
    <w:rsid w:val="00171563"/>
    <w:rsid w:val="0017183C"/>
    <w:rsid w:val="00171CA8"/>
    <w:rsid w:val="00171EB5"/>
    <w:rsid w:val="00171F74"/>
    <w:rsid w:val="0017208A"/>
    <w:rsid w:val="00172612"/>
    <w:rsid w:val="00172991"/>
    <w:rsid w:val="00172FFC"/>
    <w:rsid w:val="001737D5"/>
    <w:rsid w:val="00173A89"/>
    <w:rsid w:val="00173C12"/>
    <w:rsid w:val="00173DEE"/>
    <w:rsid w:val="00173EFB"/>
    <w:rsid w:val="00174380"/>
    <w:rsid w:val="00174A4F"/>
    <w:rsid w:val="00174F8A"/>
    <w:rsid w:val="0017542B"/>
    <w:rsid w:val="00175699"/>
    <w:rsid w:val="00175708"/>
    <w:rsid w:val="00175ABB"/>
    <w:rsid w:val="0017611F"/>
    <w:rsid w:val="0017613C"/>
    <w:rsid w:val="00176168"/>
    <w:rsid w:val="00176B63"/>
    <w:rsid w:val="00177588"/>
    <w:rsid w:val="00177628"/>
    <w:rsid w:val="00177758"/>
    <w:rsid w:val="00177915"/>
    <w:rsid w:val="00177D2C"/>
    <w:rsid w:val="00177F36"/>
    <w:rsid w:val="00177FB6"/>
    <w:rsid w:val="00180540"/>
    <w:rsid w:val="0018084F"/>
    <w:rsid w:val="00180D1C"/>
    <w:rsid w:val="00180FEB"/>
    <w:rsid w:val="00181127"/>
    <w:rsid w:val="00181157"/>
    <w:rsid w:val="0018135D"/>
    <w:rsid w:val="0018180C"/>
    <w:rsid w:val="00181963"/>
    <w:rsid w:val="00181CB7"/>
    <w:rsid w:val="0018213C"/>
    <w:rsid w:val="001821BD"/>
    <w:rsid w:val="0018221D"/>
    <w:rsid w:val="001822C0"/>
    <w:rsid w:val="00182652"/>
    <w:rsid w:val="00182658"/>
    <w:rsid w:val="001826C9"/>
    <w:rsid w:val="00182BD7"/>
    <w:rsid w:val="00182D93"/>
    <w:rsid w:val="00183544"/>
    <w:rsid w:val="00183779"/>
    <w:rsid w:val="00183A45"/>
    <w:rsid w:val="00183E72"/>
    <w:rsid w:val="001840A3"/>
    <w:rsid w:val="001840AD"/>
    <w:rsid w:val="0018411B"/>
    <w:rsid w:val="001842FF"/>
    <w:rsid w:val="00184495"/>
    <w:rsid w:val="00184927"/>
    <w:rsid w:val="001851AF"/>
    <w:rsid w:val="00185B00"/>
    <w:rsid w:val="00185B14"/>
    <w:rsid w:val="00185DE3"/>
    <w:rsid w:val="00186155"/>
    <w:rsid w:val="0018637B"/>
    <w:rsid w:val="00186AC4"/>
    <w:rsid w:val="00186B8D"/>
    <w:rsid w:val="00186CF2"/>
    <w:rsid w:val="0018740D"/>
    <w:rsid w:val="0018784D"/>
    <w:rsid w:val="00187A89"/>
    <w:rsid w:val="00187C73"/>
    <w:rsid w:val="00190B44"/>
    <w:rsid w:val="00190BDA"/>
    <w:rsid w:val="00190CA2"/>
    <w:rsid w:val="00190CEC"/>
    <w:rsid w:val="00191008"/>
    <w:rsid w:val="00191378"/>
    <w:rsid w:val="00191844"/>
    <w:rsid w:val="001919F1"/>
    <w:rsid w:val="001923E8"/>
    <w:rsid w:val="00192782"/>
    <w:rsid w:val="00192966"/>
    <w:rsid w:val="00192C29"/>
    <w:rsid w:val="00193603"/>
    <w:rsid w:val="00193AD6"/>
    <w:rsid w:val="0019427C"/>
    <w:rsid w:val="00194804"/>
    <w:rsid w:val="00194A9E"/>
    <w:rsid w:val="00194B39"/>
    <w:rsid w:val="00194F35"/>
    <w:rsid w:val="001951E5"/>
    <w:rsid w:val="00195BBF"/>
    <w:rsid w:val="00195C9A"/>
    <w:rsid w:val="00195EC7"/>
    <w:rsid w:val="00195EED"/>
    <w:rsid w:val="00195F38"/>
    <w:rsid w:val="00196B13"/>
    <w:rsid w:val="00196B86"/>
    <w:rsid w:val="001974C7"/>
    <w:rsid w:val="00197BA0"/>
    <w:rsid w:val="00197D14"/>
    <w:rsid w:val="00197F03"/>
    <w:rsid w:val="00197F0A"/>
    <w:rsid w:val="001A0445"/>
    <w:rsid w:val="001A0873"/>
    <w:rsid w:val="001A0D7F"/>
    <w:rsid w:val="001A159D"/>
    <w:rsid w:val="001A18D7"/>
    <w:rsid w:val="001A1AA9"/>
    <w:rsid w:val="001A201C"/>
    <w:rsid w:val="001A204C"/>
    <w:rsid w:val="001A2204"/>
    <w:rsid w:val="001A2729"/>
    <w:rsid w:val="001A28A9"/>
    <w:rsid w:val="001A2EAA"/>
    <w:rsid w:val="001A32AF"/>
    <w:rsid w:val="001A3390"/>
    <w:rsid w:val="001A3445"/>
    <w:rsid w:val="001A350E"/>
    <w:rsid w:val="001A3ADE"/>
    <w:rsid w:val="001A3EBF"/>
    <w:rsid w:val="001A3F34"/>
    <w:rsid w:val="001A403F"/>
    <w:rsid w:val="001A45DD"/>
    <w:rsid w:val="001A47B1"/>
    <w:rsid w:val="001A49D7"/>
    <w:rsid w:val="001A54F7"/>
    <w:rsid w:val="001A558D"/>
    <w:rsid w:val="001A57C4"/>
    <w:rsid w:val="001A5A64"/>
    <w:rsid w:val="001A6558"/>
    <w:rsid w:val="001A6585"/>
    <w:rsid w:val="001A6A5F"/>
    <w:rsid w:val="001A6A60"/>
    <w:rsid w:val="001A6A7A"/>
    <w:rsid w:val="001A6E7F"/>
    <w:rsid w:val="001A6FEF"/>
    <w:rsid w:val="001A70C1"/>
    <w:rsid w:val="001A745F"/>
    <w:rsid w:val="001A761B"/>
    <w:rsid w:val="001A7EF9"/>
    <w:rsid w:val="001B012E"/>
    <w:rsid w:val="001B0774"/>
    <w:rsid w:val="001B07D9"/>
    <w:rsid w:val="001B08FD"/>
    <w:rsid w:val="001B0967"/>
    <w:rsid w:val="001B0A94"/>
    <w:rsid w:val="001B0B5D"/>
    <w:rsid w:val="001B0B9C"/>
    <w:rsid w:val="001B0CEE"/>
    <w:rsid w:val="001B0EFC"/>
    <w:rsid w:val="001B1175"/>
    <w:rsid w:val="001B1450"/>
    <w:rsid w:val="001B15AD"/>
    <w:rsid w:val="001B15E4"/>
    <w:rsid w:val="001B1B4A"/>
    <w:rsid w:val="001B1CB9"/>
    <w:rsid w:val="001B2479"/>
    <w:rsid w:val="001B25C0"/>
    <w:rsid w:val="001B28AF"/>
    <w:rsid w:val="001B2C37"/>
    <w:rsid w:val="001B2D93"/>
    <w:rsid w:val="001B309C"/>
    <w:rsid w:val="001B3459"/>
    <w:rsid w:val="001B35CB"/>
    <w:rsid w:val="001B37AA"/>
    <w:rsid w:val="001B3BB7"/>
    <w:rsid w:val="001B3FA7"/>
    <w:rsid w:val="001B40D1"/>
    <w:rsid w:val="001B44E5"/>
    <w:rsid w:val="001B4519"/>
    <w:rsid w:val="001B46DF"/>
    <w:rsid w:val="001B489B"/>
    <w:rsid w:val="001B494A"/>
    <w:rsid w:val="001B4DE1"/>
    <w:rsid w:val="001B523A"/>
    <w:rsid w:val="001B57C9"/>
    <w:rsid w:val="001B5861"/>
    <w:rsid w:val="001B5C5E"/>
    <w:rsid w:val="001B5CB5"/>
    <w:rsid w:val="001B5D00"/>
    <w:rsid w:val="001B5E23"/>
    <w:rsid w:val="001B6D59"/>
    <w:rsid w:val="001B6F8D"/>
    <w:rsid w:val="001B70FD"/>
    <w:rsid w:val="001B7407"/>
    <w:rsid w:val="001B753C"/>
    <w:rsid w:val="001B75AC"/>
    <w:rsid w:val="001B776A"/>
    <w:rsid w:val="001B7B89"/>
    <w:rsid w:val="001B7CED"/>
    <w:rsid w:val="001B7F56"/>
    <w:rsid w:val="001B7FD3"/>
    <w:rsid w:val="001C0196"/>
    <w:rsid w:val="001C01DF"/>
    <w:rsid w:val="001C021B"/>
    <w:rsid w:val="001C026A"/>
    <w:rsid w:val="001C0695"/>
    <w:rsid w:val="001C0A70"/>
    <w:rsid w:val="001C0E72"/>
    <w:rsid w:val="001C161F"/>
    <w:rsid w:val="001C1B5E"/>
    <w:rsid w:val="001C1FDB"/>
    <w:rsid w:val="001C1FE6"/>
    <w:rsid w:val="001C24E8"/>
    <w:rsid w:val="001C261B"/>
    <w:rsid w:val="001C2796"/>
    <w:rsid w:val="001C2894"/>
    <w:rsid w:val="001C2901"/>
    <w:rsid w:val="001C297F"/>
    <w:rsid w:val="001C2C5B"/>
    <w:rsid w:val="001C2DB8"/>
    <w:rsid w:val="001C2E1E"/>
    <w:rsid w:val="001C2E74"/>
    <w:rsid w:val="001C301F"/>
    <w:rsid w:val="001C3352"/>
    <w:rsid w:val="001C355A"/>
    <w:rsid w:val="001C3872"/>
    <w:rsid w:val="001C3E26"/>
    <w:rsid w:val="001C4153"/>
    <w:rsid w:val="001C41A5"/>
    <w:rsid w:val="001C41C7"/>
    <w:rsid w:val="001C464A"/>
    <w:rsid w:val="001C4731"/>
    <w:rsid w:val="001C4952"/>
    <w:rsid w:val="001C4AB7"/>
    <w:rsid w:val="001C4BA8"/>
    <w:rsid w:val="001C4F00"/>
    <w:rsid w:val="001C4FFD"/>
    <w:rsid w:val="001C5758"/>
    <w:rsid w:val="001C59A7"/>
    <w:rsid w:val="001C59E4"/>
    <w:rsid w:val="001C5A0E"/>
    <w:rsid w:val="001C5A7E"/>
    <w:rsid w:val="001C5EAA"/>
    <w:rsid w:val="001C6024"/>
    <w:rsid w:val="001C6525"/>
    <w:rsid w:val="001C66B0"/>
    <w:rsid w:val="001C6AF2"/>
    <w:rsid w:val="001C74D0"/>
    <w:rsid w:val="001C7618"/>
    <w:rsid w:val="001C7DC6"/>
    <w:rsid w:val="001C7E2E"/>
    <w:rsid w:val="001D021D"/>
    <w:rsid w:val="001D05C9"/>
    <w:rsid w:val="001D061E"/>
    <w:rsid w:val="001D074E"/>
    <w:rsid w:val="001D0DA3"/>
    <w:rsid w:val="001D0FFC"/>
    <w:rsid w:val="001D10F3"/>
    <w:rsid w:val="001D115C"/>
    <w:rsid w:val="001D1605"/>
    <w:rsid w:val="001D1825"/>
    <w:rsid w:val="001D1B3E"/>
    <w:rsid w:val="001D2011"/>
    <w:rsid w:val="001D2294"/>
    <w:rsid w:val="001D2578"/>
    <w:rsid w:val="001D2862"/>
    <w:rsid w:val="001D3277"/>
    <w:rsid w:val="001D3569"/>
    <w:rsid w:val="001D356B"/>
    <w:rsid w:val="001D3A3B"/>
    <w:rsid w:val="001D3D0D"/>
    <w:rsid w:val="001D4034"/>
    <w:rsid w:val="001D432D"/>
    <w:rsid w:val="001D440D"/>
    <w:rsid w:val="001D4A25"/>
    <w:rsid w:val="001D4D5E"/>
    <w:rsid w:val="001D4FFC"/>
    <w:rsid w:val="001D54C0"/>
    <w:rsid w:val="001D5658"/>
    <w:rsid w:val="001D59CC"/>
    <w:rsid w:val="001D5F58"/>
    <w:rsid w:val="001D60EE"/>
    <w:rsid w:val="001D614B"/>
    <w:rsid w:val="001D654D"/>
    <w:rsid w:val="001D6966"/>
    <w:rsid w:val="001D69F7"/>
    <w:rsid w:val="001D6D58"/>
    <w:rsid w:val="001D6DCD"/>
    <w:rsid w:val="001D7267"/>
    <w:rsid w:val="001D779D"/>
    <w:rsid w:val="001D7948"/>
    <w:rsid w:val="001D7FC1"/>
    <w:rsid w:val="001E02BD"/>
    <w:rsid w:val="001E0310"/>
    <w:rsid w:val="001E051E"/>
    <w:rsid w:val="001E066C"/>
    <w:rsid w:val="001E0679"/>
    <w:rsid w:val="001E075B"/>
    <w:rsid w:val="001E0A34"/>
    <w:rsid w:val="001E0C63"/>
    <w:rsid w:val="001E0F08"/>
    <w:rsid w:val="001E0FC3"/>
    <w:rsid w:val="001E10AD"/>
    <w:rsid w:val="001E125B"/>
    <w:rsid w:val="001E14C4"/>
    <w:rsid w:val="001E178D"/>
    <w:rsid w:val="001E2270"/>
    <w:rsid w:val="001E24F6"/>
    <w:rsid w:val="001E29F2"/>
    <w:rsid w:val="001E2CED"/>
    <w:rsid w:val="001E3386"/>
    <w:rsid w:val="001E36F2"/>
    <w:rsid w:val="001E3EBA"/>
    <w:rsid w:val="001E4118"/>
    <w:rsid w:val="001E42AF"/>
    <w:rsid w:val="001E42C1"/>
    <w:rsid w:val="001E4A9A"/>
    <w:rsid w:val="001E4CD3"/>
    <w:rsid w:val="001E5673"/>
    <w:rsid w:val="001E59DD"/>
    <w:rsid w:val="001E5B4C"/>
    <w:rsid w:val="001E5DB1"/>
    <w:rsid w:val="001E5F22"/>
    <w:rsid w:val="001E600A"/>
    <w:rsid w:val="001E628A"/>
    <w:rsid w:val="001E6538"/>
    <w:rsid w:val="001E6661"/>
    <w:rsid w:val="001E69AA"/>
    <w:rsid w:val="001E6C4C"/>
    <w:rsid w:val="001E6D6B"/>
    <w:rsid w:val="001E73BD"/>
    <w:rsid w:val="001E7437"/>
    <w:rsid w:val="001E7549"/>
    <w:rsid w:val="001E781B"/>
    <w:rsid w:val="001E7937"/>
    <w:rsid w:val="001E79A4"/>
    <w:rsid w:val="001E7FCD"/>
    <w:rsid w:val="001EF62E"/>
    <w:rsid w:val="001F01DC"/>
    <w:rsid w:val="001F0A87"/>
    <w:rsid w:val="001F0B81"/>
    <w:rsid w:val="001F0E1D"/>
    <w:rsid w:val="001F12C6"/>
    <w:rsid w:val="001F12DC"/>
    <w:rsid w:val="001F15DF"/>
    <w:rsid w:val="001F17F6"/>
    <w:rsid w:val="001F1BC5"/>
    <w:rsid w:val="001F1C7F"/>
    <w:rsid w:val="001F1CA1"/>
    <w:rsid w:val="001F1CE9"/>
    <w:rsid w:val="001F20AF"/>
    <w:rsid w:val="001F21B7"/>
    <w:rsid w:val="001F220C"/>
    <w:rsid w:val="001F27E5"/>
    <w:rsid w:val="001F2F5A"/>
    <w:rsid w:val="001F3204"/>
    <w:rsid w:val="001F3265"/>
    <w:rsid w:val="001F3330"/>
    <w:rsid w:val="001F337C"/>
    <w:rsid w:val="001F3428"/>
    <w:rsid w:val="001F347D"/>
    <w:rsid w:val="001F3664"/>
    <w:rsid w:val="001F3BEE"/>
    <w:rsid w:val="001F3CE0"/>
    <w:rsid w:val="001F4056"/>
    <w:rsid w:val="001F4278"/>
    <w:rsid w:val="001F4516"/>
    <w:rsid w:val="001F4541"/>
    <w:rsid w:val="001F4A75"/>
    <w:rsid w:val="001F4B01"/>
    <w:rsid w:val="001F4B02"/>
    <w:rsid w:val="001F4E17"/>
    <w:rsid w:val="001F5203"/>
    <w:rsid w:val="001F52E6"/>
    <w:rsid w:val="001F542E"/>
    <w:rsid w:val="001F5547"/>
    <w:rsid w:val="001F56B4"/>
    <w:rsid w:val="001F5712"/>
    <w:rsid w:val="001F5C79"/>
    <w:rsid w:val="001F5F6C"/>
    <w:rsid w:val="001F66FE"/>
    <w:rsid w:val="001F6EDC"/>
    <w:rsid w:val="001F70B0"/>
    <w:rsid w:val="001F73AC"/>
    <w:rsid w:val="001F77DB"/>
    <w:rsid w:val="00200488"/>
    <w:rsid w:val="002005EA"/>
    <w:rsid w:val="00200679"/>
    <w:rsid w:val="002008A3"/>
    <w:rsid w:val="00200C97"/>
    <w:rsid w:val="00200E1D"/>
    <w:rsid w:val="00200E3F"/>
    <w:rsid w:val="00200FB3"/>
    <w:rsid w:val="002015F9"/>
    <w:rsid w:val="00201606"/>
    <w:rsid w:val="002017F6"/>
    <w:rsid w:val="00201936"/>
    <w:rsid w:val="00201B31"/>
    <w:rsid w:val="00201B96"/>
    <w:rsid w:val="00202D05"/>
    <w:rsid w:val="00202DF7"/>
    <w:rsid w:val="00202F3D"/>
    <w:rsid w:val="00202FBE"/>
    <w:rsid w:val="002030F4"/>
    <w:rsid w:val="00203166"/>
    <w:rsid w:val="0020323B"/>
    <w:rsid w:val="00203438"/>
    <w:rsid w:val="00203467"/>
    <w:rsid w:val="00203613"/>
    <w:rsid w:val="002036BC"/>
    <w:rsid w:val="00203A55"/>
    <w:rsid w:val="00204022"/>
    <w:rsid w:val="002044BA"/>
    <w:rsid w:val="002047E7"/>
    <w:rsid w:val="002048E6"/>
    <w:rsid w:val="00204CA6"/>
    <w:rsid w:val="00204E4A"/>
    <w:rsid w:val="00204F49"/>
    <w:rsid w:val="00204FA1"/>
    <w:rsid w:val="00205081"/>
    <w:rsid w:val="002055F8"/>
    <w:rsid w:val="002057E6"/>
    <w:rsid w:val="002058CB"/>
    <w:rsid w:val="00205C0E"/>
    <w:rsid w:val="00205EE2"/>
    <w:rsid w:val="00205F70"/>
    <w:rsid w:val="002060E3"/>
    <w:rsid w:val="002061F5"/>
    <w:rsid w:val="00206295"/>
    <w:rsid w:val="002062BF"/>
    <w:rsid w:val="002068FA"/>
    <w:rsid w:val="00206DD4"/>
    <w:rsid w:val="00206FA7"/>
    <w:rsid w:val="002071AF"/>
    <w:rsid w:val="0020722F"/>
    <w:rsid w:val="002075A7"/>
    <w:rsid w:val="00207799"/>
    <w:rsid w:val="00207A97"/>
    <w:rsid w:val="00207C83"/>
    <w:rsid w:val="00207F6E"/>
    <w:rsid w:val="002101A8"/>
    <w:rsid w:val="002109D0"/>
    <w:rsid w:val="00210AA4"/>
    <w:rsid w:val="002110EF"/>
    <w:rsid w:val="002111BA"/>
    <w:rsid w:val="00211460"/>
    <w:rsid w:val="002118CE"/>
    <w:rsid w:val="0021201D"/>
    <w:rsid w:val="0021277D"/>
    <w:rsid w:val="002130DB"/>
    <w:rsid w:val="00213128"/>
    <w:rsid w:val="0021332B"/>
    <w:rsid w:val="002140DB"/>
    <w:rsid w:val="002145DF"/>
    <w:rsid w:val="002146C6"/>
    <w:rsid w:val="002147BD"/>
    <w:rsid w:val="00214A83"/>
    <w:rsid w:val="00215244"/>
    <w:rsid w:val="00215304"/>
    <w:rsid w:val="00215422"/>
    <w:rsid w:val="0021552C"/>
    <w:rsid w:val="00215765"/>
    <w:rsid w:val="00215DA2"/>
    <w:rsid w:val="00216777"/>
    <w:rsid w:val="00216F8B"/>
    <w:rsid w:val="0021735F"/>
    <w:rsid w:val="0021739D"/>
    <w:rsid w:val="00217873"/>
    <w:rsid w:val="002178AD"/>
    <w:rsid w:val="00217EC3"/>
    <w:rsid w:val="00217F6E"/>
    <w:rsid w:val="0022048C"/>
    <w:rsid w:val="00220642"/>
    <w:rsid w:val="00220B21"/>
    <w:rsid w:val="00220CDF"/>
    <w:rsid w:val="00220D1D"/>
    <w:rsid w:val="00221034"/>
    <w:rsid w:val="00221615"/>
    <w:rsid w:val="00221770"/>
    <w:rsid w:val="00221D65"/>
    <w:rsid w:val="00221F03"/>
    <w:rsid w:val="002220E1"/>
    <w:rsid w:val="002221B9"/>
    <w:rsid w:val="00222294"/>
    <w:rsid w:val="002228F7"/>
    <w:rsid w:val="00222A5D"/>
    <w:rsid w:val="00222B5D"/>
    <w:rsid w:val="00222CB5"/>
    <w:rsid w:val="00222F0A"/>
    <w:rsid w:val="00223104"/>
    <w:rsid w:val="00223534"/>
    <w:rsid w:val="00223640"/>
    <w:rsid w:val="00223D10"/>
    <w:rsid w:val="0022403B"/>
    <w:rsid w:val="00224275"/>
    <w:rsid w:val="00224478"/>
    <w:rsid w:val="00224681"/>
    <w:rsid w:val="0022481B"/>
    <w:rsid w:val="00224879"/>
    <w:rsid w:val="00224ABE"/>
    <w:rsid w:val="00224B2E"/>
    <w:rsid w:val="00224F79"/>
    <w:rsid w:val="00225209"/>
    <w:rsid w:val="002252C4"/>
    <w:rsid w:val="00225327"/>
    <w:rsid w:val="002253EA"/>
    <w:rsid w:val="002259DE"/>
    <w:rsid w:val="00225B81"/>
    <w:rsid w:val="00226043"/>
    <w:rsid w:val="002260B5"/>
    <w:rsid w:val="002264FC"/>
    <w:rsid w:val="00226BE3"/>
    <w:rsid w:val="00226CB8"/>
    <w:rsid w:val="00226D59"/>
    <w:rsid w:val="00226DBC"/>
    <w:rsid w:val="00227014"/>
    <w:rsid w:val="002272E8"/>
    <w:rsid w:val="002274AE"/>
    <w:rsid w:val="00227542"/>
    <w:rsid w:val="002276DB"/>
    <w:rsid w:val="00227CF0"/>
    <w:rsid w:val="00230807"/>
    <w:rsid w:val="00230D87"/>
    <w:rsid w:val="00230F58"/>
    <w:rsid w:val="00230FC0"/>
    <w:rsid w:val="002313A9"/>
    <w:rsid w:val="00231A37"/>
    <w:rsid w:val="00231B17"/>
    <w:rsid w:val="00231B3F"/>
    <w:rsid w:val="00231C5C"/>
    <w:rsid w:val="00231DA5"/>
    <w:rsid w:val="00231F22"/>
    <w:rsid w:val="0023219D"/>
    <w:rsid w:val="00232281"/>
    <w:rsid w:val="00232440"/>
    <w:rsid w:val="002324B8"/>
    <w:rsid w:val="0023258B"/>
    <w:rsid w:val="002328D4"/>
    <w:rsid w:val="00232FD2"/>
    <w:rsid w:val="0023306C"/>
    <w:rsid w:val="0023308D"/>
    <w:rsid w:val="002330BB"/>
    <w:rsid w:val="002334CD"/>
    <w:rsid w:val="00233C36"/>
    <w:rsid w:val="00233DB3"/>
    <w:rsid w:val="00233FAC"/>
    <w:rsid w:val="00234413"/>
    <w:rsid w:val="00234A3B"/>
    <w:rsid w:val="00234D5F"/>
    <w:rsid w:val="00234E18"/>
    <w:rsid w:val="0023504E"/>
    <w:rsid w:val="00235156"/>
    <w:rsid w:val="00235157"/>
    <w:rsid w:val="0023517C"/>
    <w:rsid w:val="00235483"/>
    <w:rsid w:val="0023560F"/>
    <w:rsid w:val="0023563B"/>
    <w:rsid w:val="00235A81"/>
    <w:rsid w:val="00236772"/>
    <w:rsid w:val="002368CC"/>
    <w:rsid w:val="0023696D"/>
    <w:rsid w:val="00236B56"/>
    <w:rsid w:val="00236E9E"/>
    <w:rsid w:val="00236F83"/>
    <w:rsid w:val="00237351"/>
    <w:rsid w:val="002375C9"/>
    <w:rsid w:val="00237BE7"/>
    <w:rsid w:val="00237D33"/>
    <w:rsid w:val="00237DDC"/>
    <w:rsid w:val="0024052C"/>
    <w:rsid w:val="00240DFB"/>
    <w:rsid w:val="00240E42"/>
    <w:rsid w:val="00241202"/>
    <w:rsid w:val="00241393"/>
    <w:rsid w:val="00241470"/>
    <w:rsid w:val="002417E4"/>
    <w:rsid w:val="00241C7E"/>
    <w:rsid w:val="00241E45"/>
    <w:rsid w:val="00241F99"/>
    <w:rsid w:val="00242275"/>
    <w:rsid w:val="0024258A"/>
    <w:rsid w:val="00242C5C"/>
    <w:rsid w:val="00242D51"/>
    <w:rsid w:val="00242ECB"/>
    <w:rsid w:val="00243A2B"/>
    <w:rsid w:val="00243CF9"/>
    <w:rsid w:val="00243EF8"/>
    <w:rsid w:val="00243F59"/>
    <w:rsid w:val="0024414A"/>
    <w:rsid w:val="002441FE"/>
    <w:rsid w:val="0024445E"/>
    <w:rsid w:val="00244608"/>
    <w:rsid w:val="00244876"/>
    <w:rsid w:val="002449EE"/>
    <w:rsid w:val="00244E03"/>
    <w:rsid w:val="00244EBA"/>
    <w:rsid w:val="00245416"/>
    <w:rsid w:val="0024569D"/>
    <w:rsid w:val="00245702"/>
    <w:rsid w:val="0024585E"/>
    <w:rsid w:val="00245C1D"/>
    <w:rsid w:val="0024613C"/>
    <w:rsid w:val="002463D3"/>
    <w:rsid w:val="00246420"/>
    <w:rsid w:val="00246A85"/>
    <w:rsid w:val="00246B84"/>
    <w:rsid w:val="00246F02"/>
    <w:rsid w:val="00246F96"/>
    <w:rsid w:val="0024729A"/>
    <w:rsid w:val="002474F7"/>
    <w:rsid w:val="002476AA"/>
    <w:rsid w:val="00247836"/>
    <w:rsid w:val="00247869"/>
    <w:rsid w:val="00247A6D"/>
    <w:rsid w:val="00247F76"/>
    <w:rsid w:val="00247FFC"/>
    <w:rsid w:val="00250353"/>
    <w:rsid w:val="002506E9"/>
    <w:rsid w:val="002507BB"/>
    <w:rsid w:val="00250833"/>
    <w:rsid w:val="002508BF"/>
    <w:rsid w:val="0025094F"/>
    <w:rsid w:val="00250B5B"/>
    <w:rsid w:val="00250D41"/>
    <w:rsid w:val="00250F5F"/>
    <w:rsid w:val="00251740"/>
    <w:rsid w:val="002518C4"/>
    <w:rsid w:val="00251B94"/>
    <w:rsid w:val="00251C9C"/>
    <w:rsid w:val="00251CB8"/>
    <w:rsid w:val="00251D1A"/>
    <w:rsid w:val="0025231F"/>
    <w:rsid w:val="002525FA"/>
    <w:rsid w:val="002527EE"/>
    <w:rsid w:val="00252824"/>
    <w:rsid w:val="00252911"/>
    <w:rsid w:val="00252ACE"/>
    <w:rsid w:val="00252C3F"/>
    <w:rsid w:val="00252C77"/>
    <w:rsid w:val="0025308F"/>
    <w:rsid w:val="00253284"/>
    <w:rsid w:val="002533CC"/>
    <w:rsid w:val="0025358E"/>
    <w:rsid w:val="00253A01"/>
    <w:rsid w:val="00253DF5"/>
    <w:rsid w:val="00253F6B"/>
    <w:rsid w:val="002542E4"/>
    <w:rsid w:val="002542F2"/>
    <w:rsid w:val="00254423"/>
    <w:rsid w:val="00254484"/>
    <w:rsid w:val="0025460E"/>
    <w:rsid w:val="00254AFB"/>
    <w:rsid w:val="00255721"/>
    <w:rsid w:val="00255BB5"/>
    <w:rsid w:val="00256403"/>
    <w:rsid w:val="002567AF"/>
    <w:rsid w:val="00256BDD"/>
    <w:rsid w:val="002578E6"/>
    <w:rsid w:val="00257CC4"/>
    <w:rsid w:val="00257D2B"/>
    <w:rsid w:val="00260837"/>
    <w:rsid w:val="002608F5"/>
    <w:rsid w:val="00260A99"/>
    <w:rsid w:val="00260B1E"/>
    <w:rsid w:val="00260C86"/>
    <w:rsid w:val="00260FD1"/>
    <w:rsid w:val="002618A7"/>
    <w:rsid w:val="00261945"/>
    <w:rsid w:val="00262455"/>
    <w:rsid w:val="002627C6"/>
    <w:rsid w:val="00262968"/>
    <w:rsid w:val="00262D39"/>
    <w:rsid w:val="00262EE6"/>
    <w:rsid w:val="002630BA"/>
    <w:rsid w:val="00263317"/>
    <w:rsid w:val="002639F0"/>
    <w:rsid w:val="00263E0C"/>
    <w:rsid w:val="0026417B"/>
    <w:rsid w:val="00264537"/>
    <w:rsid w:val="0026489F"/>
    <w:rsid w:val="00264960"/>
    <w:rsid w:val="00264E90"/>
    <w:rsid w:val="00264F4B"/>
    <w:rsid w:val="00265033"/>
    <w:rsid w:val="0026516F"/>
    <w:rsid w:val="0026546F"/>
    <w:rsid w:val="00265D1B"/>
    <w:rsid w:val="00265ED2"/>
    <w:rsid w:val="0026602A"/>
    <w:rsid w:val="002663D5"/>
    <w:rsid w:val="00266426"/>
    <w:rsid w:val="002664AF"/>
    <w:rsid w:val="0026682A"/>
    <w:rsid w:val="002668AF"/>
    <w:rsid w:val="00266EAD"/>
    <w:rsid w:val="00266F74"/>
    <w:rsid w:val="00267073"/>
    <w:rsid w:val="0026710C"/>
    <w:rsid w:val="0026721A"/>
    <w:rsid w:val="002672AD"/>
    <w:rsid w:val="00267358"/>
    <w:rsid w:val="00267360"/>
    <w:rsid w:val="002674C0"/>
    <w:rsid w:val="00267A46"/>
    <w:rsid w:val="00267BE9"/>
    <w:rsid w:val="00267D9E"/>
    <w:rsid w:val="0027007C"/>
    <w:rsid w:val="00270C13"/>
    <w:rsid w:val="00271035"/>
    <w:rsid w:val="002712E0"/>
    <w:rsid w:val="002713AD"/>
    <w:rsid w:val="0027157D"/>
    <w:rsid w:val="002717CB"/>
    <w:rsid w:val="00271CBA"/>
    <w:rsid w:val="00272067"/>
    <w:rsid w:val="002724BE"/>
    <w:rsid w:val="00272B23"/>
    <w:rsid w:val="00272D7C"/>
    <w:rsid w:val="00272EFA"/>
    <w:rsid w:val="002730C9"/>
    <w:rsid w:val="0027371D"/>
    <w:rsid w:val="002737EF"/>
    <w:rsid w:val="0027396A"/>
    <w:rsid w:val="00273BAA"/>
    <w:rsid w:val="00273BC6"/>
    <w:rsid w:val="00273C58"/>
    <w:rsid w:val="00274011"/>
    <w:rsid w:val="0027447E"/>
    <w:rsid w:val="00274A5E"/>
    <w:rsid w:val="00274E3D"/>
    <w:rsid w:val="00274F28"/>
    <w:rsid w:val="00274F6E"/>
    <w:rsid w:val="002751C2"/>
    <w:rsid w:val="0027525E"/>
    <w:rsid w:val="00275509"/>
    <w:rsid w:val="0027585C"/>
    <w:rsid w:val="0027593A"/>
    <w:rsid w:val="0027594A"/>
    <w:rsid w:val="00275968"/>
    <w:rsid w:val="00275E86"/>
    <w:rsid w:val="00275F8D"/>
    <w:rsid w:val="0027619C"/>
    <w:rsid w:val="002762B9"/>
    <w:rsid w:val="002764C5"/>
    <w:rsid w:val="00276629"/>
    <w:rsid w:val="002767C4"/>
    <w:rsid w:val="00276B15"/>
    <w:rsid w:val="00276C04"/>
    <w:rsid w:val="00276C9F"/>
    <w:rsid w:val="00276CCD"/>
    <w:rsid w:val="002775AA"/>
    <w:rsid w:val="00277997"/>
    <w:rsid w:val="00277A27"/>
    <w:rsid w:val="00277A56"/>
    <w:rsid w:val="00277AE8"/>
    <w:rsid w:val="00277B11"/>
    <w:rsid w:val="00277E6D"/>
    <w:rsid w:val="0028009C"/>
    <w:rsid w:val="0028016E"/>
    <w:rsid w:val="002801A2"/>
    <w:rsid w:val="00280384"/>
    <w:rsid w:val="00280AFB"/>
    <w:rsid w:val="00280B61"/>
    <w:rsid w:val="00280BD6"/>
    <w:rsid w:val="002810F7"/>
    <w:rsid w:val="0028125A"/>
    <w:rsid w:val="00281349"/>
    <w:rsid w:val="002813BB"/>
    <w:rsid w:val="002815B8"/>
    <w:rsid w:val="00281684"/>
    <w:rsid w:val="0028196A"/>
    <w:rsid w:val="00281A06"/>
    <w:rsid w:val="00281CA5"/>
    <w:rsid w:val="00281E1E"/>
    <w:rsid w:val="002824D5"/>
    <w:rsid w:val="00282592"/>
    <w:rsid w:val="0028260B"/>
    <w:rsid w:val="00282921"/>
    <w:rsid w:val="00282A86"/>
    <w:rsid w:val="00283019"/>
    <w:rsid w:val="0028308A"/>
    <w:rsid w:val="002830B2"/>
    <w:rsid w:val="00283334"/>
    <w:rsid w:val="00283547"/>
    <w:rsid w:val="0028376C"/>
    <w:rsid w:val="00283BC9"/>
    <w:rsid w:val="00283D48"/>
    <w:rsid w:val="00283E83"/>
    <w:rsid w:val="00283EB0"/>
    <w:rsid w:val="002846EE"/>
    <w:rsid w:val="00284B25"/>
    <w:rsid w:val="00284EDC"/>
    <w:rsid w:val="00285815"/>
    <w:rsid w:val="00285904"/>
    <w:rsid w:val="00286302"/>
    <w:rsid w:val="002867F1"/>
    <w:rsid w:val="00286842"/>
    <w:rsid w:val="00286848"/>
    <w:rsid w:val="00286AA0"/>
    <w:rsid w:val="00286BF5"/>
    <w:rsid w:val="00286ECA"/>
    <w:rsid w:val="0028738F"/>
    <w:rsid w:val="0028798C"/>
    <w:rsid w:val="00287F01"/>
    <w:rsid w:val="0029001C"/>
    <w:rsid w:val="00290559"/>
    <w:rsid w:val="002905B7"/>
    <w:rsid w:val="002905D7"/>
    <w:rsid w:val="0029091B"/>
    <w:rsid w:val="00290AA4"/>
    <w:rsid w:val="00290DC6"/>
    <w:rsid w:val="002910A0"/>
    <w:rsid w:val="002911B6"/>
    <w:rsid w:val="002911CC"/>
    <w:rsid w:val="002913CF"/>
    <w:rsid w:val="002915D3"/>
    <w:rsid w:val="00291683"/>
    <w:rsid w:val="0029169D"/>
    <w:rsid w:val="002925B7"/>
    <w:rsid w:val="0029263D"/>
    <w:rsid w:val="00292BB0"/>
    <w:rsid w:val="00292D22"/>
    <w:rsid w:val="00292EA7"/>
    <w:rsid w:val="00292F7C"/>
    <w:rsid w:val="0029323F"/>
    <w:rsid w:val="00293787"/>
    <w:rsid w:val="002937C5"/>
    <w:rsid w:val="0029397C"/>
    <w:rsid w:val="00293A3B"/>
    <w:rsid w:val="00293CCB"/>
    <w:rsid w:val="00293F3B"/>
    <w:rsid w:val="00294175"/>
    <w:rsid w:val="00294176"/>
    <w:rsid w:val="002942C6"/>
    <w:rsid w:val="00294A92"/>
    <w:rsid w:val="00294F76"/>
    <w:rsid w:val="0029505C"/>
    <w:rsid w:val="002952D9"/>
    <w:rsid w:val="00295308"/>
    <w:rsid w:val="002955E0"/>
    <w:rsid w:val="002959E8"/>
    <w:rsid w:val="00295A3E"/>
    <w:rsid w:val="00295D46"/>
    <w:rsid w:val="002960C3"/>
    <w:rsid w:val="00296153"/>
    <w:rsid w:val="00296912"/>
    <w:rsid w:val="002974C0"/>
    <w:rsid w:val="00297631"/>
    <w:rsid w:val="0029788E"/>
    <w:rsid w:val="00297A12"/>
    <w:rsid w:val="00297F10"/>
    <w:rsid w:val="002A00DC"/>
    <w:rsid w:val="002A04A9"/>
    <w:rsid w:val="002A055A"/>
    <w:rsid w:val="002A08C8"/>
    <w:rsid w:val="002A0C6F"/>
    <w:rsid w:val="002A0F05"/>
    <w:rsid w:val="002A0F61"/>
    <w:rsid w:val="002A158F"/>
    <w:rsid w:val="002A1A84"/>
    <w:rsid w:val="002A1EA2"/>
    <w:rsid w:val="002A1F08"/>
    <w:rsid w:val="002A23B0"/>
    <w:rsid w:val="002A2650"/>
    <w:rsid w:val="002A2A4C"/>
    <w:rsid w:val="002A2BE5"/>
    <w:rsid w:val="002A2CB3"/>
    <w:rsid w:val="002A2D9F"/>
    <w:rsid w:val="002A3C58"/>
    <w:rsid w:val="002A44C2"/>
    <w:rsid w:val="002A4E9D"/>
    <w:rsid w:val="002A6082"/>
    <w:rsid w:val="002A617A"/>
    <w:rsid w:val="002A6446"/>
    <w:rsid w:val="002A668E"/>
    <w:rsid w:val="002A6759"/>
    <w:rsid w:val="002A67EF"/>
    <w:rsid w:val="002A6DC3"/>
    <w:rsid w:val="002A6E89"/>
    <w:rsid w:val="002A6F58"/>
    <w:rsid w:val="002A7013"/>
    <w:rsid w:val="002A7570"/>
    <w:rsid w:val="002A7951"/>
    <w:rsid w:val="002A7C39"/>
    <w:rsid w:val="002A7EE0"/>
    <w:rsid w:val="002B01BC"/>
    <w:rsid w:val="002B059E"/>
    <w:rsid w:val="002B0613"/>
    <w:rsid w:val="002B062C"/>
    <w:rsid w:val="002B0FA9"/>
    <w:rsid w:val="002B0FC4"/>
    <w:rsid w:val="002B117F"/>
    <w:rsid w:val="002B12DA"/>
    <w:rsid w:val="002B14F7"/>
    <w:rsid w:val="002B168D"/>
    <w:rsid w:val="002B1A77"/>
    <w:rsid w:val="002B2028"/>
    <w:rsid w:val="002B2739"/>
    <w:rsid w:val="002B27F3"/>
    <w:rsid w:val="002B28B4"/>
    <w:rsid w:val="002B2AFC"/>
    <w:rsid w:val="002B2D0D"/>
    <w:rsid w:val="002B2F14"/>
    <w:rsid w:val="002B2FB0"/>
    <w:rsid w:val="002B307A"/>
    <w:rsid w:val="002B318B"/>
    <w:rsid w:val="002B3570"/>
    <w:rsid w:val="002B3629"/>
    <w:rsid w:val="002B375F"/>
    <w:rsid w:val="002B38AB"/>
    <w:rsid w:val="002B3DD0"/>
    <w:rsid w:val="002B3DF5"/>
    <w:rsid w:val="002B3F4D"/>
    <w:rsid w:val="002B4042"/>
    <w:rsid w:val="002B4358"/>
    <w:rsid w:val="002B455B"/>
    <w:rsid w:val="002B466F"/>
    <w:rsid w:val="002B4715"/>
    <w:rsid w:val="002B4A78"/>
    <w:rsid w:val="002B4AE7"/>
    <w:rsid w:val="002B4B13"/>
    <w:rsid w:val="002B4C79"/>
    <w:rsid w:val="002B4F75"/>
    <w:rsid w:val="002B56E7"/>
    <w:rsid w:val="002B58D1"/>
    <w:rsid w:val="002B5C56"/>
    <w:rsid w:val="002B5E6D"/>
    <w:rsid w:val="002B6D16"/>
    <w:rsid w:val="002B70FD"/>
    <w:rsid w:val="002B7434"/>
    <w:rsid w:val="002B74A9"/>
    <w:rsid w:val="002B7AA8"/>
    <w:rsid w:val="002B7B97"/>
    <w:rsid w:val="002C0189"/>
    <w:rsid w:val="002C03DA"/>
    <w:rsid w:val="002C0468"/>
    <w:rsid w:val="002C093B"/>
    <w:rsid w:val="002C0AA1"/>
    <w:rsid w:val="002C0DE8"/>
    <w:rsid w:val="002C0E21"/>
    <w:rsid w:val="002C0F99"/>
    <w:rsid w:val="002C1041"/>
    <w:rsid w:val="002C130F"/>
    <w:rsid w:val="002C16B2"/>
    <w:rsid w:val="002C18CD"/>
    <w:rsid w:val="002C1ABD"/>
    <w:rsid w:val="002C1C81"/>
    <w:rsid w:val="002C1E70"/>
    <w:rsid w:val="002C2294"/>
    <w:rsid w:val="002C22C8"/>
    <w:rsid w:val="002C24BE"/>
    <w:rsid w:val="002C24C0"/>
    <w:rsid w:val="002C25C4"/>
    <w:rsid w:val="002C26B6"/>
    <w:rsid w:val="002C276B"/>
    <w:rsid w:val="002C2C15"/>
    <w:rsid w:val="002C2D03"/>
    <w:rsid w:val="002C2EEB"/>
    <w:rsid w:val="002C3453"/>
    <w:rsid w:val="002C367E"/>
    <w:rsid w:val="002C36D5"/>
    <w:rsid w:val="002C3841"/>
    <w:rsid w:val="002C3A0C"/>
    <w:rsid w:val="002C3CBA"/>
    <w:rsid w:val="002C3CC9"/>
    <w:rsid w:val="002C3F01"/>
    <w:rsid w:val="002C3F31"/>
    <w:rsid w:val="002C492B"/>
    <w:rsid w:val="002C4D3B"/>
    <w:rsid w:val="002C4F3D"/>
    <w:rsid w:val="002C4FFB"/>
    <w:rsid w:val="002C5084"/>
    <w:rsid w:val="002C51AB"/>
    <w:rsid w:val="002C54BC"/>
    <w:rsid w:val="002C55E1"/>
    <w:rsid w:val="002C604C"/>
    <w:rsid w:val="002C607A"/>
    <w:rsid w:val="002C6087"/>
    <w:rsid w:val="002C611E"/>
    <w:rsid w:val="002C6190"/>
    <w:rsid w:val="002C65C0"/>
    <w:rsid w:val="002C6992"/>
    <w:rsid w:val="002C6A8E"/>
    <w:rsid w:val="002C6AAB"/>
    <w:rsid w:val="002C6C49"/>
    <w:rsid w:val="002C6EF0"/>
    <w:rsid w:val="002C7000"/>
    <w:rsid w:val="002C7159"/>
    <w:rsid w:val="002C75E1"/>
    <w:rsid w:val="002C7734"/>
    <w:rsid w:val="002C7D2F"/>
    <w:rsid w:val="002C7EF0"/>
    <w:rsid w:val="002C7F61"/>
    <w:rsid w:val="002D0500"/>
    <w:rsid w:val="002D06F8"/>
    <w:rsid w:val="002D0A1F"/>
    <w:rsid w:val="002D0E61"/>
    <w:rsid w:val="002D11B0"/>
    <w:rsid w:val="002D12D6"/>
    <w:rsid w:val="002D169C"/>
    <w:rsid w:val="002D1790"/>
    <w:rsid w:val="002D1816"/>
    <w:rsid w:val="002D1A9A"/>
    <w:rsid w:val="002D1B7F"/>
    <w:rsid w:val="002D1FFD"/>
    <w:rsid w:val="002D2A95"/>
    <w:rsid w:val="002D337D"/>
    <w:rsid w:val="002D3A31"/>
    <w:rsid w:val="002D3E1A"/>
    <w:rsid w:val="002D3FB3"/>
    <w:rsid w:val="002D4127"/>
    <w:rsid w:val="002D4A73"/>
    <w:rsid w:val="002D4BDB"/>
    <w:rsid w:val="002D4CBC"/>
    <w:rsid w:val="002D4F38"/>
    <w:rsid w:val="002D56A5"/>
    <w:rsid w:val="002D570A"/>
    <w:rsid w:val="002D5997"/>
    <w:rsid w:val="002D5AAB"/>
    <w:rsid w:val="002D5AAF"/>
    <w:rsid w:val="002D5C2F"/>
    <w:rsid w:val="002D5FB2"/>
    <w:rsid w:val="002D603F"/>
    <w:rsid w:val="002D6211"/>
    <w:rsid w:val="002D62EB"/>
    <w:rsid w:val="002D6964"/>
    <w:rsid w:val="002D6B64"/>
    <w:rsid w:val="002D6E41"/>
    <w:rsid w:val="002D74BE"/>
    <w:rsid w:val="002D764E"/>
    <w:rsid w:val="002D768E"/>
    <w:rsid w:val="002D76FC"/>
    <w:rsid w:val="002D7B88"/>
    <w:rsid w:val="002D7C3F"/>
    <w:rsid w:val="002D7D4A"/>
    <w:rsid w:val="002E00CF"/>
    <w:rsid w:val="002E015D"/>
    <w:rsid w:val="002E02AC"/>
    <w:rsid w:val="002E0776"/>
    <w:rsid w:val="002E07DE"/>
    <w:rsid w:val="002E09D4"/>
    <w:rsid w:val="002E0FAF"/>
    <w:rsid w:val="002E1119"/>
    <w:rsid w:val="002E1942"/>
    <w:rsid w:val="002E1DB5"/>
    <w:rsid w:val="002E25C7"/>
    <w:rsid w:val="002E288E"/>
    <w:rsid w:val="002E2BD0"/>
    <w:rsid w:val="002E2E10"/>
    <w:rsid w:val="002E39A9"/>
    <w:rsid w:val="002E3D47"/>
    <w:rsid w:val="002E3E83"/>
    <w:rsid w:val="002E3F5E"/>
    <w:rsid w:val="002E3FED"/>
    <w:rsid w:val="002E4762"/>
    <w:rsid w:val="002E4C78"/>
    <w:rsid w:val="002E5198"/>
    <w:rsid w:val="002E5221"/>
    <w:rsid w:val="002E52B6"/>
    <w:rsid w:val="002E52EB"/>
    <w:rsid w:val="002E572E"/>
    <w:rsid w:val="002E57B9"/>
    <w:rsid w:val="002E5CF2"/>
    <w:rsid w:val="002E5F74"/>
    <w:rsid w:val="002E6910"/>
    <w:rsid w:val="002E6B7A"/>
    <w:rsid w:val="002E6F65"/>
    <w:rsid w:val="002E6FF8"/>
    <w:rsid w:val="002E70B4"/>
    <w:rsid w:val="002E70B8"/>
    <w:rsid w:val="002E76C0"/>
    <w:rsid w:val="002E7782"/>
    <w:rsid w:val="002E78B1"/>
    <w:rsid w:val="002E7BFA"/>
    <w:rsid w:val="002E7C4A"/>
    <w:rsid w:val="002E7F4C"/>
    <w:rsid w:val="002F0273"/>
    <w:rsid w:val="002F0409"/>
    <w:rsid w:val="002F110D"/>
    <w:rsid w:val="002F15B1"/>
    <w:rsid w:val="002F1979"/>
    <w:rsid w:val="002F1D27"/>
    <w:rsid w:val="002F1D95"/>
    <w:rsid w:val="002F1E9C"/>
    <w:rsid w:val="002F1F5A"/>
    <w:rsid w:val="002F2093"/>
    <w:rsid w:val="002F20E4"/>
    <w:rsid w:val="002F26A8"/>
    <w:rsid w:val="002F2769"/>
    <w:rsid w:val="002F2865"/>
    <w:rsid w:val="002F2918"/>
    <w:rsid w:val="002F2A65"/>
    <w:rsid w:val="002F2C5E"/>
    <w:rsid w:val="002F2C8C"/>
    <w:rsid w:val="002F3169"/>
    <w:rsid w:val="002F343B"/>
    <w:rsid w:val="002F387C"/>
    <w:rsid w:val="002F3906"/>
    <w:rsid w:val="002F3AC6"/>
    <w:rsid w:val="002F3B4A"/>
    <w:rsid w:val="002F3B5F"/>
    <w:rsid w:val="002F3DDD"/>
    <w:rsid w:val="002F3E05"/>
    <w:rsid w:val="002F4116"/>
    <w:rsid w:val="002F42C1"/>
    <w:rsid w:val="002F48CC"/>
    <w:rsid w:val="002F4A52"/>
    <w:rsid w:val="002F4B59"/>
    <w:rsid w:val="002F4D0E"/>
    <w:rsid w:val="002F5095"/>
    <w:rsid w:val="002F509A"/>
    <w:rsid w:val="002F5116"/>
    <w:rsid w:val="002F57A4"/>
    <w:rsid w:val="002F5980"/>
    <w:rsid w:val="002F59F5"/>
    <w:rsid w:val="002F5A4E"/>
    <w:rsid w:val="002F5D8C"/>
    <w:rsid w:val="002F67E3"/>
    <w:rsid w:val="002F6A6E"/>
    <w:rsid w:val="002F6BF1"/>
    <w:rsid w:val="002F72C4"/>
    <w:rsid w:val="002F79DA"/>
    <w:rsid w:val="002F7B76"/>
    <w:rsid w:val="002F7C43"/>
    <w:rsid w:val="002F7C73"/>
    <w:rsid w:val="002F7E90"/>
    <w:rsid w:val="002F7FC8"/>
    <w:rsid w:val="0030004B"/>
    <w:rsid w:val="00300383"/>
    <w:rsid w:val="003005D3"/>
    <w:rsid w:val="00300B81"/>
    <w:rsid w:val="00301245"/>
    <w:rsid w:val="0030135B"/>
    <w:rsid w:val="003013BA"/>
    <w:rsid w:val="0030177D"/>
    <w:rsid w:val="003017DC"/>
    <w:rsid w:val="003018D0"/>
    <w:rsid w:val="00301CEA"/>
    <w:rsid w:val="00302021"/>
    <w:rsid w:val="003025F1"/>
    <w:rsid w:val="0030276C"/>
    <w:rsid w:val="00302AF5"/>
    <w:rsid w:val="00302D75"/>
    <w:rsid w:val="00302DED"/>
    <w:rsid w:val="00302E99"/>
    <w:rsid w:val="00303AEC"/>
    <w:rsid w:val="00303E4D"/>
    <w:rsid w:val="00303F01"/>
    <w:rsid w:val="003040DF"/>
    <w:rsid w:val="003043C3"/>
    <w:rsid w:val="00304423"/>
    <w:rsid w:val="00304746"/>
    <w:rsid w:val="00304D2A"/>
    <w:rsid w:val="00304F42"/>
    <w:rsid w:val="00305413"/>
    <w:rsid w:val="00305773"/>
    <w:rsid w:val="00305D5B"/>
    <w:rsid w:val="00305FA8"/>
    <w:rsid w:val="003067F2"/>
    <w:rsid w:val="00307057"/>
    <w:rsid w:val="00307176"/>
    <w:rsid w:val="003077B6"/>
    <w:rsid w:val="003100CD"/>
    <w:rsid w:val="003104D0"/>
    <w:rsid w:val="0031069D"/>
    <w:rsid w:val="003107C5"/>
    <w:rsid w:val="003107C9"/>
    <w:rsid w:val="00310B7C"/>
    <w:rsid w:val="00310FE8"/>
    <w:rsid w:val="003110BA"/>
    <w:rsid w:val="00311225"/>
    <w:rsid w:val="00311263"/>
    <w:rsid w:val="00311273"/>
    <w:rsid w:val="003114A2"/>
    <w:rsid w:val="003118E9"/>
    <w:rsid w:val="003126D9"/>
    <w:rsid w:val="0031275D"/>
    <w:rsid w:val="0031285A"/>
    <w:rsid w:val="0031289B"/>
    <w:rsid w:val="00312931"/>
    <w:rsid w:val="00312C82"/>
    <w:rsid w:val="00312CC0"/>
    <w:rsid w:val="00312F49"/>
    <w:rsid w:val="00312FC9"/>
    <w:rsid w:val="00312FE8"/>
    <w:rsid w:val="00313215"/>
    <w:rsid w:val="00313759"/>
    <w:rsid w:val="00313E5B"/>
    <w:rsid w:val="00313F5D"/>
    <w:rsid w:val="0031434E"/>
    <w:rsid w:val="00314635"/>
    <w:rsid w:val="0031475D"/>
    <w:rsid w:val="0031481B"/>
    <w:rsid w:val="003148F7"/>
    <w:rsid w:val="00314B18"/>
    <w:rsid w:val="00314CB4"/>
    <w:rsid w:val="00315196"/>
    <w:rsid w:val="0031546E"/>
    <w:rsid w:val="0031562D"/>
    <w:rsid w:val="00315726"/>
    <w:rsid w:val="00315736"/>
    <w:rsid w:val="0031592B"/>
    <w:rsid w:val="00315D0C"/>
    <w:rsid w:val="00315FEB"/>
    <w:rsid w:val="003164CE"/>
    <w:rsid w:val="00316E86"/>
    <w:rsid w:val="00316F01"/>
    <w:rsid w:val="00316F56"/>
    <w:rsid w:val="00317095"/>
    <w:rsid w:val="003176D9"/>
    <w:rsid w:val="00317844"/>
    <w:rsid w:val="00317D6F"/>
    <w:rsid w:val="00317DEF"/>
    <w:rsid w:val="00317F2C"/>
    <w:rsid w:val="00317FFA"/>
    <w:rsid w:val="0032021B"/>
    <w:rsid w:val="00320382"/>
    <w:rsid w:val="003207BF"/>
    <w:rsid w:val="00320841"/>
    <w:rsid w:val="00320AF1"/>
    <w:rsid w:val="00320EC0"/>
    <w:rsid w:val="00321251"/>
    <w:rsid w:val="003212DA"/>
    <w:rsid w:val="00321364"/>
    <w:rsid w:val="003214A5"/>
    <w:rsid w:val="00321801"/>
    <w:rsid w:val="003218C1"/>
    <w:rsid w:val="00321952"/>
    <w:rsid w:val="00321C9B"/>
    <w:rsid w:val="00321EE8"/>
    <w:rsid w:val="00322043"/>
    <w:rsid w:val="00322633"/>
    <w:rsid w:val="00322A68"/>
    <w:rsid w:val="00322C15"/>
    <w:rsid w:val="00323217"/>
    <w:rsid w:val="0032332F"/>
    <w:rsid w:val="00323409"/>
    <w:rsid w:val="00323440"/>
    <w:rsid w:val="00323839"/>
    <w:rsid w:val="00323D49"/>
    <w:rsid w:val="0032424B"/>
    <w:rsid w:val="00324854"/>
    <w:rsid w:val="00324DA5"/>
    <w:rsid w:val="00324F5A"/>
    <w:rsid w:val="00325062"/>
    <w:rsid w:val="003251DD"/>
    <w:rsid w:val="003253BD"/>
    <w:rsid w:val="003259A7"/>
    <w:rsid w:val="00325A96"/>
    <w:rsid w:val="00325B0C"/>
    <w:rsid w:val="003260C6"/>
    <w:rsid w:val="003260F7"/>
    <w:rsid w:val="0032610B"/>
    <w:rsid w:val="003265E6"/>
    <w:rsid w:val="00326891"/>
    <w:rsid w:val="00326935"/>
    <w:rsid w:val="00326E79"/>
    <w:rsid w:val="00326FE1"/>
    <w:rsid w:val="0032752D"/>
    <w:rsid w:val="003275AC"/>
    <w:rsid w:val="003275DA"/>
    <w:rsid w:val="00327865"/>
    <w:rsid w:val="003279E3"/>
    <w:rsid w:val="00327A4F"/>
    <w:rsid w:val="0033013C"/>
    <w:rsid w:val="00330261"/>
    <w:rsid w:val="00330319"/>
    <w:rsid w:val="003305A0"/>
    <w:rsid w:val="00330790"/>
    <w:rsid w:val="00330950"/>
    <w:rsid w:val="00330957"/>
    <w:rsid w:val="003309FB"/>
    <w:rsid w:val="00330B0F"/>
    <w:rsid w:val="00331862"/>
    <w:rsid w:val="00331893"/>
    <w:rsid w:val="00331A97"/>
    <w:rsid w:val="00331BE8"/>
    <w:rsid w:val="00331BEF"/>
    <w:rsid w:val="00332821"/>
    <w:rsid w:val="00332BC5"/>
    <w:rsid w:val="003338FE"/>
    <w:rsid w:val="00333C10"/>
    <w:rsid w:val="00333F81"/>
    <w:rsid w:val="003340E1"/>
    <w:rsid w:val="003341C1"/>
    <w:rsid w:val="0033432F"/>
    <w:rsid w:val="003344BA"/>
    <w:rsid w:val="00334D43"/>
    <w:rsid w:val="0033510E"/>
    <w:rsid w:val="00335323"/>
    <w:rsid w:val="00335505"/>
    <w:rsid w:val="0033553C"/>
    <w:rsid w:val="0033585C"/>
    <w:rsid w:val="00335B90"/>
    <w:rsid w:val="00335CE5"/>
    <w:rsid w:val="003360CD"/>
    <w:rsid w:val="003360F9"/>
    <w:rsid w:val="003367F2"/>
    <w:rsid w:val="00336942"/>
    <w:rsid w:val="0033712E"/>
    <w:rsid w:val="00337175"/>
    <w:rsid w:val="00337262"/>
    <w:rsid w:val="00337328"/>
    <w:rsid w:val="0033785B"/>
    <w:rsid w:val="00337E62"/>
    <w:rsid w:val="0034006E"/>
    <w:rsid w:val="003400B4"/>
    <w:rsid w:val="00340468"/>
    <w:rsid w:val="0034058E"/>
    <w:rsid w:val="00340C72"/>
    <w:rsid w:val="00340C79"/>
    <w:rsid w:val="00340EC4"/>
    <w:rsid w:val="00340FA0"/>
    <w:rsid w:val="00341447"/>
    <w:rsid w:val="00341BED"/>
    <w:rsid w:val="00341D65"/>
    <w:rsid w:val="003426A6"/>
    <w:rsid w:val="00342F25"/>
    <w:rsid w:val="0034306E"/>
    <w:rsid w:val="00343111"/>
    <w:rsid w:val="003432B3"/>
    <w:rsid w:val="00343555"/>
    <w:rsid w:val="0034388A"/>
    <w:rsid w:val="00343B71"/>
    <w:rsid w:val="0034405B"/>
    <w:rsid w:val="00344271"/>
    <w:rsid w:val="003444F6"/>
    <w:rsid w:val="00344581"/>
    <w:rsid w:val="00344655"/>
    <w:rsid w:val="00344950"/>
    <w:rsid w:val="00344FB3"/>
    <w:rsid w:val="003452AB"/>
    <w:rsid w:val="003452FD"/>
    <w:rsid w:val="00345618"/>
    <w:rsid w:val="00345783"/>
    <w:rsid w:val="00345F70"/>
    <w:rsid w:val="00345F9C"/>
    <w:rsid w:val="00346192"/>
    <w:rsid w:val="0034785E"/>
    <w:rsid w:val="00347874"/>
    <w:rsid w:val="0034794E"/>
    <w:rsid w:val="00347AEE"/>
    <w:rsid w:val="00347C1A"/>
    <w:rsid w:val="00347E5D"/>
    <w:rsid w:val="003502C0"/>
    <w:rsid w:val="00350312"/>
    <w:rsid w:val="00350452"/>
    <w:rsid w:val="00350C1B"/>
    <w:rsid w:val="00350CCC"/>
    <w:rsid w:val="00350F8B"/>
    <w:rsid w:val="00351084"/>
    <w:rsid w:val="00351645"/>
    <w:rsid w:val="003516DC"/>
    <w:rsid w:val="00351BB4"/>
    <w:rsid w:val="00351DA4"/>
    <w:rsid w:val="00352110"/>
    <w:rsid w:val="003522A4"/>
    <w:rsid w:val="0035256C"/>
    <w:rsid w:val="0035293B"/>
    <w:rsid w:val="003529E3"/>
    <w:rsid w:val="00352D4E"/>
    <w:rsid w:val="00353191"/>
    <w:rsid w:val="0035346A"/>
    <w:rsid w:val="00353533"/>
    <w:rsid w:val="00353636"/>
    <w:rsid w:val="003536B2"/>
    <w:rsid w:val="003537A1"/>
    <w:rsid w:val="00353ABE"/>
    <w:rsid w:val="00353C7B"/>
    <w:rsid w:val="00353E61"/>
    <w:rsid w:val="00354150"/>
    <w:rsid w:val="003545E6"/>
    <w:rsid w:val="0035481D"/>
    <w:rsid w:val="00354FA5"/>
    <w:rsid w:val="00355043"/>
    <w:rsid w:val="00355251"/>
    <w:rsid w:val="003554F8"/>
    <w:rsid w:val="00355AF0"/>
    <w:rsid w:val="00355BEE"/>
    <w:rsid w:val="00355F84"/>
    <w:rsid w:val="003560B1"/>
    <w:rsid w:val="0035641F"/>
    <w:rsid w:val="003567B4"/>
    <w:rsid w:val="003567FB"/>
    <w:rsid w:val="00356D01"/>
    <w:rsid w:val="00356D4F"/>
    <w:rsid w:val="00357226"/>
    <w:rsid w:val="0035725B"/>
    <w:rsid w:val="00357305"/>
    <w:rsid w:val="0035779B"/>
    <w:rsid w:val="00357B44"/>
    <w:rsid w:val="00357E7B"/>
    <w:rsid w:val="00360071"/>
    <w:rsid w:val="0036041A"/>
    <w:rsid w:val="003604DB"/>
    <w:rsid w:val="00360652"/>
    <w:rsid w:val="00360940"/>
    <w:rsid w:val="00360942"/>
    <w:rsid w:val="003609F5"/>
    <w:rsid w:val="00360F5D"/>
    <w:rsid w:val="0036121E"/>
    <w:rsid w:val="0036163C"/>
    <w:rsid w:val="0036174D"/>
    <w:rsid w:val="00361C58"/>
    <w:rsid w:val="00361DD7"/>
    <w:rsid w:val="00361F75"/>
    <w:rsid w:val="00362483"/>
    <w:rsid w:val="003625C1"/>
    <w:rsid w:val="00362840"/>
    <w:rsid w:val="00362888"/>
    <w:rsid w:val="003628F9"/>
    <w:rsid w:val="00362D04"/>
    <w:rsid w:val="00362F4F"/>
    <w:rsid w:val="00362F59"/>
    <w:rsid w:val="003633C0"/>
    <w:rsid w:val="0036346D"/>
    <w:rsid w:val="003635AC"/>
    <w:rsid w:val="003635B7"/>
    <w:rsid w:val="00363B6F"/>
    <w:rsid w:val="00363D74"/>
    <w:rsid w:val="00363E6E"/>
    <w:rsid w:val="00364AF2"/>
    <w:rsid w:val="00364C81"/>
    <w:rsid w:val="0036506A"/>
    <w:rsid w:val="003651FF"/>
    <w:rsid w:val="003652E9"/>
    <w:rsid w:val="003655B9"/>
    <w:rsid w:val="0036577C"/>
    <w:rsid w:val="00365890"/>
    <w:rsid w:val="00365A02"/>
    <w:rsid w:val="00365B78"/>
    <w:rsid w:val="00365BEA"/>
    <w:rsid w:val="00366185"/>
    <w:rsid w:val="003665C2"/>
    <w:rsid w:val="003666CF"/>
    <w:rsid w:val="00366CBD"/>
    <w:rsid w:val="00366DC2"/>
    <w:rsid w:val="00366FB1"/>
    <w:rsid w:val="003672E9"/>
    <w:rsid w:val="00367430"/>
    <w:rsid w:val="003674FB"/>
    <w:rsid w:val="00367521"/>
    <w:rsid w:val="003677FE"/>
    <w:rsid w:val="00367ED1"/>
    <w:rsid w:val="00367F5A"/>
    <w:rsid w:val="0037022B"/>
    <w:rsid w:val="00370A38"/>
    <w:rsid w:val="00370C36"/>
    <w:rsid w:val="00370D9A"/>
    <w:rsid w:val="003710A8"/>
    <w:rsid w:val="0037123A"/>
    <w:rsid w:val="0037165B"/>
    <w:rsid w:val="00371727"/>
    <w:rsid w:val="00371F34"/>
    <w:rsid w:val="003720EA"/>
    <w:rsid w:val="00372672"/>
    <w:rsid w:val="00372EEA"/>
    <w:rsid w:val="00373552"/>
    <w:rsid w:val="003737B7"/>
    <w:rsid w:val="003739C4"/>
    <w:rsid w:val="003739F1"/>
    <w:rsid w:val="00373B50"/>
    <w:rsid w:val="00373C05"/>
    <w:rsid w:val="00373F8D"/>
    <w:rsid w:val="0037423E"/>
    <w:rsid w:val="003742F6"/>
    <w:rsid w:val="00374433"/>
    <w:rsid w:val="00374AF8"/>
    <w:rsid w:val="00374CBD"/>
    <w:rsid w:val="003750DF"/>
    <w:rsid w:val="00375BA0"/>
    <w:rsid w:val="00375CCF"/>
    <w:rsid w:val="00375CFD"/>
    <w:rsid w:val="003763F5"/>
    <w:rsid w:val="00376625"/>
    <w:rsid w:val="00376A63"/>
    <w:rsid w:val="00376C3B"/>
    <w:rsid w:val="0037704E"/>
    <w:rsid w:val="00377188"/>
    <w:rsid w:val="0037722E"/>
    <w:rsid w:val="0037762E"/>
    <w:rsid w:val="0037783A"/>
    <w:rsid w:val="00377884"/>
    <w:rsid w:val="00377982"/>
    <w:rsid w:val="00377E00"/>
    <w:rsid w:val="0038003D"/>
    <w:rsid w:val="00380175"/>
    <w:rsid w:val="003802B2"/>
    <w:rsid w:val="00380C1C"/>
    <w:rsid w:val="00380CCC"/>
    <w:rsid w:val="00380D5C"/>
    <w:rsid w:val="003812B3"/>
    <w:rsid w:val="003817C0"/>
    <w:rsid w:val="00381A2C"/>
    <w:rsid w:val="00381B05"/>
    <w:rsid w:val="00381B82"/>
    <w:rsid w:val="00381FE5"/>
    <w:rsid w:val="0038211E"/>
    <w:rsid w:val="0038238B"/>
    <w:rsid w:val="00382558"/>
    <w:rsid w:val="00382589"/>
    <w:rsid w:val="0038271A"/>
    <w:rsid w:val="00382C9B"/>
    <w:rsid w:val="00382E22"/>
    <w:rsid w:val="00382ED7"/>
    <w:rsid w:val="00382FF4"/>
    <w:rsid w:val="003830DA"/>
    <w:rsid w:val="003832EE"/>
    <w:rsid w:val="003834DD"/>
    <w:rsid w:val="003837FE"/>
    <w:rsid w:val="00383A47"/>
    <w:rsid w:val="00383EDF"/>
    <w:rsid w:val="00383F09"/>
    <w:rsid w:val="0038443F"/>
    <w:rsid w:val="003844BB"/>
    <w:rsid w:val="003844D4"/>
    <w:rsid w:val="00384ADA"/>
    <w:rsid w:val="00384B69"/>
    <w:rsid w:val="00384B87"/>
    <w:rsid w:val="00385465"/>
    <w:rsid w:val="003859C9"/>
    <w:rsid w:val="00385CF4"/>
    <w:rsid w:val="003860D1"/>
    <w:rsid w:val="0038685A"/>
    <w:rsid w:val="00386947"/>
    <w:rsid w:val="003873BB"/>
    <w:rsid w:val="003873EC"/>
    <w:rsid w:val="0038788E"/>
    <w:rsid w:val="00387C22"/>
    <w:rsid w:val="0039003F"/>
    <w:rsid w:val="00390040"/>
    <w:rsid w:val="00390210"/>
    <w:rsid w:val="00390281"/>
    <w:rsid w:val="00390358"/>
    <w:rsid w:val="00390406"/>
    <w:rsid w:val="003905F4"/>
    <w:rsid w:val="00390694"/>
    <w:rsid w:val="00390860"/>
    <w:rsid w:val="00390A89"/>
    <w:rsid w:val="00390C73"/>
    <w:rsid w:val="00390EAD"/>
    <w:rsid w:val="00390F79"/>
    <w:rsid w:val="00391048"/>
    <w:rsid w:val="003915A8"/>
    <w:rsid w:val="00391740"/>
    <w:rsid w:val="00391B1C"/>
    <w:rsid w:val="00391C2F"/>
    <w:rsid w:val="00391D51"/>
    <w:rsid w:val="00391D5A"/>
    <w:rsid w:val="00391DEE"/>
    <w:rsid w:val="00391F59"/>
    <w:rsid w:val="00392167"/>
    <w:rsid w:val="003921EA"/>
    <w:rsid w:val="003925B8"/>
    <w:rsid w:val="00392725"/>
    <w:rsid w:val="00392912"/>
    <w:rsid w:val="00392BB7"/>
    <w:rsid w:val="00393103"/>
    <w:rsid w:val="00393404"/>
    <w:rsid w:val="00393705"/>
    <w:rsid w:val="00393708"/>
    <w:rsid w:val="003938A5"/>
    <w:rsid w:val="003938B6"/>
    <w:rsid w:val="00393A33"/>
    <w:rsid w:val="00394156"/>
    <w:rsid w:val="003941A5"/>
    <w:rsid w:val="003947E2"/>
    <w:rsid w:val="00394BC1"/>
    <w:rsid w:val="00394BEF"/>
    <w:rsid w:val="00394DE5"/>
    <w:rsid w:val="00394F70"/>
    <w:rsid w:val="003951E1"/>
    <w:rsid w:val="0039520B"/>
    <w:rsid w:val="00395260"/>
    <w:rsid w:val="0039541A"/>
    <w:rsid w:val="00395544"/>
    <w:rsid w:val="00395765"/>
    <w:rsid w:val="00395AC9"/>
    <w:rsid w:val="00395AD0"/>
    <w:rsid w:val="00395CC7"/>
    <w:rsid w:val="00395E53"/>
    <w:rsid w:val="00395FA9"/>
    <w:rsid w:val="00395FC6"/>
    <w:rsid w:val="003964CA"/>
    <w:rsid w:val="003964E0"/>
    <w:rsid w:val="00396E01"/>
    <w:rsid w:val="0039747F"/>
    <w:rsid w:val="00397586"/>
    <w:rsid w:val="003976C4"/>
    <w:rsid w:val="003978CF"/>
    <w:rsid w:val="00397A17"/>
    <w:rsid w:val="00397A67"/>
    <w:rsid w:val="00397C68"/>
    <w:rsid w:val="00397DEC"/>
    <w:rsid w:val="00397E9C"/>
    <w:rsid w:val="00397F8B"/>
    <w:rsid w:val="003A020C"/>
    <w:rsid w:val="003A025B"/>
    <w:rsid w:val="003A0DC4"/>
    <w:rsid w:val="003A1166"/>
    <w:rsid w:val="003A192B"/>
    <w:rsid w:val="003A1B35"/>
    <w:rsid w:val="003A1F6C"/>
    <w:rsid w:val="003A220C"/>
    <w:rsid w:val="003A26F7"/>
    <w:rsid w:val="003A2813"/>
    <w:rsid w:val="003A2AE9"/>
    <w:rsid w:val="003A2D25"/>
    <w:rsid w:val="003A2D54"/>
    <w:rsid w:val="003A301B"/>
    <w:rsid w:val="003A3294"/>
    <w:rsid w:val="003A3531"/>
    <w:rsid w:val="003A3688"/>
    <w:rsid w:val="003A3836"/>
    <w:rsid w:val="003A3BD6"/>
    <w:rsid w:val="003A3D0B"/>
    <w:rsid w:val="003A3D0C"/>
    <w:rsid w:val="003A4070"/>
    <w:rsid w:val="003A42FA"/>
    <w:rsid w:val="003A4388"/>
    <w:rsid w:val="003A44B3"/>
    <w:rsid w:val="003A476A"/>
    <w:rsid w:val="003A4821"/>
    <w:rsid w:val="003A4AD3"/>
    <w:rsid w:val="003A4DC2"/>
    <w:rsid w:val="003A506B"/>
    <w:rsid w:val="003A542E"/>
    <w:rsid w:val="003A5FB9"/>
    <w:rsid w:val="003A6267"/>
    <w:rsid w:val="003A66F3"/>
    <w:rsid w:val="003A67A1"/>
    <w:rsid w:val="003A6801"/>
    <w:rsid w:val="003A6C9F"/>
    <w:rsid w:val="003A6D63"/>
    <w:rsid w:val="003A7574"/>
    <w:rsid w:val="003A77C1"/>
    <w:rsid w:val="003B061E"/>
    <w:rsid w:val="003B0798"/>
    <w:rsid w:val="003B085A"/>
    <w:rsid w:val="003B0865"/>
    <w:rsid w:val="003B0FBB"/>
    <w:rsid w:val="003B0FD6"/>
    <w:rsid w:val="003B1E05"/>
    <w:rsid w:val="003B23F0"/>
    <w:rsid w:val="003B2520"/>
    <w:rsid w:val="003B30B0"/>
    <w:rsid w:val="003B3349"/>
    <w:rsid w:val="003B38A2"/>
    <w:rsid w:val="003B38E1"/>
    <w:rsid w:val="003B3C9A"/>
    <w:rsid w:val="003B3D71"/>
    <w:rsid w:val="003B3D98"/>
    <w:rsid w:val="003B4473"/>
    <w:rsid w:val="003B49DC"/>
    <w:rsid w:val="003B4A2E"/>
    <w:rsid w:val="003B4AA1"/>
    <w:rsid w:val="003B4E3C"/>
    <w:rsid w:val="003B503F"/>
    <w:rsid w:val="003B5056"/>
    <w:rsid w:val="003B506C"/>
    <w:rsid w:val="003B52A9"/>
    <w:rsid w:val="003B552C"/>
    <w:rsid w:val="003B5DA6"/>
    <w:rsid w:val="003B5DC8"/>
    <w:rsid w:val="003B6174"/>
    <w:rsid w:val="003B62B7"/>
    <w:rsid w:val="003B6798"/>
    <w:rsid w:val="003B67A5"/>
    <w:rsid w:val="003B6D6F"/>
    <w:rsid w:val="003B6EF6"/>
    <w:rsid w:val="003B7496"/>
    <w:rsid w:val="003B7503"/>
    <w:rsid w:val="003B76BA"/>
    <w:rsid w:val="003B7BAB"/>
    <w:rsid w:val="003B7C8A"/>
    <w:rsid w:val="003B7FE5"/>
    <w:rsid w:val="003C02B2"/>
    <w:rsid w:val="003C055C"/>
    <w:rsid w:val="003C070D"/>
    <w:rsid w:val="003C0811"/>
    <w:rsid w:val="003C0C91"/>
    <w:rsid w:val="003C0D1E"/>
    <w:rsid w:val="003C0E96"/>
    <w:rsid w:val="003C10D4"/>
    <w:rsid w:val="003C18C4"/>
    <w:rsid w:val="003C19DC"/>
    <w:rsid w:val="003C1A44"/>
    <w:rsid w:val="003C1CE4"/>
    <w:rsid w:val="003C1EAB"/>
    <w:rsid w:val="003C1FCE"/>
    <w:rsid w:val="003C2023"/>
    <w:rsid w:val="003C20F1"/>
    <w:rsid w:val="003C234F"/>
    <w:rsid w:val="003C3205"/>
    <w:rsid w:val="003C341C"/>
    <w:rsid w:val="003C35B0"/>
    <w:rsid w:val="003C3609"/>
    <w:rsid w:val="003C3E68"/>
    <w:rsid w:val="003C3FB6"/>
    <w:rsid w:val="003C44E6"/>
    <w:rsid w:val="003C4B74"/>
    <w:rsid w:val="003C5304"/>
    <w:rsid w:val="003C56F7"/>
    <w:rsid w:val="003C5CEE"/>
    <w:rsid w:val="003C61E0"/>
    <w:rsid w:val="003C653B"/>
    <w:rsid w:val="003C66CD"/>
    <w:rsid w:val="003C6E34"/>
    <w:rsid w:val="003C6FE8"/>
    <w:rsid w:val="003C7314"/>
    <w:rsid w:val="003C74DF"/>
    <w:rsid w:val="003C76FB"/>
    <w:rsid w:val="003C7B5C"/>
    <w:rsid w:val="003D038E"/>
    <w:rsid w:val="003D03D2"/>
    <w:rsid w:val="003D0F9A"/>
    <w:rsid w:val="003D12F8"/>
    <w:rsid w:val="003D1504"/>
    <w:rsid w:val="003D190D"/>
    <w:rsid w:val="003D1DE3"/>
    <w:rsid w:val="003D1E04"/>
    <w:rsid w:val="003D2536"/>
    <w:rsid w:val="003D265A"/>
    <w:rsid w:val="003D287B"/>
    <w:rsid w:val="003D29A7"/>
    <w:rsid w:val="003D2E00"/>
    <w:rsid w:val="003D2FB6"/>
    <w:rsid w:val="003D3184"/>
    <w:rsid w:val="003D34B3"/>
    <w:rsid w:val="003D3B06"/>
    <w:rsid w:val="003D3F7E"/>
    <w:rsid w:val="003D3FE9"/>
    <w:rsid w:val="003D4148"/>
    <w:rsid w:val="003D45EB"/>
    <w:rsid w:val="003D4B0E"/>
    <w:rsid w:val="003D4C42"/>
    <w:rsid w:val="003D4D6F"/>
    <w:rsid w:val="003D51AE"/>
    <w:rsid w:val="003D534E"/>
    <w:rsid w:val="003D5477"/>
    <w:rsid w:val="003D548B"/>
    <w:rsid w:val="003D561A"/>
    <w:rsid w:val="003D5828"/>
    <w:rsid w:val="003D5922"/>
    <w:rsid w:val="003D5DAB"/>
    <w:rsid w:val="003D5DFB"/>
    <w:rsid w:val="003D6298"/>
    <w:rsid w:val="003D64C1"/>
    <w:rsid w:val="003D6538"/>
    <w:rsid w:val="003D6715"/>
    <w:rsid w:val="003D6BA0"/>
    <w:rsid w:val="003D6BC8"/>
    <w:rsid w:val="003D7216"/>
    <w:rsid w:val="003D768F"/>
    <w:rsid w:val="003D7706"/>
    <w:rsid w:val="003D785D"/>
    <w:rsid w:val="003D7A10"/>
    <w:rsid w:val="003E00EE"/>
    <w:rsid w:val="003E014C"/>
    <w:rsid w:val="003E0403"/>
    <w:rsid w:val="003E0603"/>
    <w:rsid w:val="003E0624"/>
    <w:rsid w:val="003E0672"/>
    <w:rsid w:val="003E0C64"/>
    <w:rsid w:val="003E122F"/>
    <w:rsid w:val="003E1566"/>
    <w:rsid w:val="003E1576"/>
    <w:rsid w:val="003E162F"/>
    <w:rsid w:val="003E1C35"/>
    <w:rsid w:val="003E1C3C"/>
    <w:rsid w:val="003E24E7"/>
    <w:rsid w:val="003E25BB"/>
    <w:rsid w:val="003E26A4"/>
    <w:rsid w:val="003E2783"/>
    <w:rsid w:val="003E27F5"/>
    <w:rsid w:val="003E29A1"/>
    <w:rsid w:val="003E2BAE"/>
    <w:rsid w:val="003E3585"/>
    <w:rsid w:val="003E3620"/>
    <w:rsid w:val="003E36FC"/>
    <w:rsid w:val="003E39ED"/>
    <w:rsid w:val="003E3F2B"/>
    <w:rsid w:val="003E431F"/>
    <w:rsid w:val="003E4547"/>
    <w:rsid w:val="003E4881"/>
    <w:rsid w:val="003E4F4C"/>
    <w:rsid w:val="003E5573"/>
    <w:rsid w:val="003E5AC7"/>
    <w:rsid w:val="003E5DC3"/>
    <w:rsid w:val="003E5FFC"/>
    <w:rsid w:val="003E601D"/>
    <w:rsid w:val="003E62AF"/>
    <w:rsid w:val="003E6443"/>
    <w:rsid w:val="003E66FA"/>
    <w:rsid w:val="003E6BF4"/>
    <w:rsid w:val="003E6E78"/>
    <w:rsid w:val="003E7041"/>
    <w:rsid w:val="003E7238"/>
    <w:rsid w:val="003E729F"/>
    <w:rsid w:val="003E7462"/>
    <w:rsid w:val="003E7B2C"/>
    <w:rsid w:val="003E7E71"/>
    <w:rsid w:val="003F0FF0"/>
    <w:rsid w:val="003F10AE"/>
    <w:rsid w:val="003F1198"/>
    <w:rsid w:val="003F132E"/>
    <w:rsid w:val="003F1692"/>
    <w:rsid w:val="003F1756"/>
    <w:rsid w:val="003F1A38"/>
    <w:rsid w:val="003F20A3"/>
    <w:rsid w:val="003F222A"/>
    <w:rsid w:val="003F22CE"/>
    <w:rsid w:val="003F257B"/>
    <w:rsid w:val="003F2865"/>
    <w:rsid w:val="003F2D34"/>
    <w:rsid w:val="003F2FBB"/>
    <w:rsid w:val="003F301E"/>
    <w:rsid w:val="003F30E4"/>
    <w:rsid w:val="003F3243"/>
    <w:rsid w:val="003F3884"/>
    <w:rsid w:val="003F3E19"/>
    <w:rsid w:val="003F3EF8"/>
    <w:rsid w:val="003F41B5"/>
    <w:rsid w:val="003F4345"/>
    <w:rsid w:val="003F43C5"/>
    <w:rsid w:val="003F4954"/>
    <w:rsid w:val="003F4E15"/>
    <w:rsid w:val="003F4E61"/>
    <w:rsid w:val="003F4F50"/>
    <w:rsid w:val="003F542F"/>
    <w:rsid w:val="003F54BD"/>
    <w:rsid w:val="003F557C"/>
    <w:rsid w:val="003F5867"/>
    <w:rsid w:val="003F5912"/>
    <w:rsid w:val="003F598A"/>
    <w:rsid w:val="003F616F"/>
    <w:rsid w:val="003F64F9"/>
    <w:rsid w:val="003F68ED"/>
    <w:rsid w:val="003F6930"/>
    <w:rsid w:val="003F6A22"/>
    <w:rsid w:val="003F6ADC"/>
    <w:rsid w:val="003F6F2F"/>
    <w:rsid w:val="003F729A"/>
    <w:rsid w:val="003F72BB"/>
    <w:rsid w:val="003F77DA"/>
    <w:rsid w:val="003F7AC2"/>
    <w:rsid w:val="003F7BD1"/>
    <w:rsid w:val="003F7E3B"/>
    <w:rsid w:val="004000C6"/>
    <w:rsid w:val="0040027C"/>
    <w:rsid w:val="004004C0"/>
    <w:rsid w:val="00400839"/>
    <w:rsid w:val="00400B14"/>
    <w:rsid w:val="00400C6A"/>
    <w:rsid w:val="00400D1A"/>
    <w:rsid w:val="0040115E"/>
    <w:rsid w:val="004013B0"/>
    <w:rsid w:val="0040159F"/>
    <w:rsid w:val="00401737"/>
    <w:rsid w:val="00401ACC"/>
    <w:rsid w:val="00401D77"/>
    <w:rsid w:val="00401EAA"/>
    <w:rsid w:val="00401EB4"/>
    <w:rsid w:val="00401ECF"/>
    <w:rsid w:val="00401F75"/>
    <w:rsid w:val="00402015"/>
    <w:rsid w:val="00402183"/>
    <w:rsid w:val="00402875"/>
    <w:rsid w:val="00402947"/>
    <w:rsid w:val="00402C9C"/>
    <w:rsid w:val="0040344F"/>
    <w:rsid w:val="00403843"/>
    <w:rsid w:val="004038B9"/>
    <w:rsid w:val="00403DE8"/>
    <w:rsid w:val="00403E6E"/>
    <w:rsid w:val="0040427B"/>
    <w:rsid w:val="00404395"/>
    <w:rsid w:val="004044D3"/>
    <w:rsid w:val="004048F7"/>
    <w:rsid w:val="00404977"/>
    <w:rsid w:val="00404CFC"/>
    <w:rsid w:val="00404DB3"/>
    <w:rsid w:val="00405732"/>
    <w:rsid w:val="0040578A"/>
    <w:rsid w:val="00405C41"/>
    <w:rsid w:val="00405E7B"/>
    <w:rsid w:val="00405F32"/>
    <w:rsid w:val="00406029"/>
    <w:rsid w:val="0040622E"/>
    <w:rsid w:val="004063BE"/>
    <w:rsid w:val="00406455"/>
    <w:rsid w:val="00406DBF"/>
    <w:rsid w:val="00407100"/>
    <w:rsid w:val="004072E4"/>
    <w:rsid w:val="0040759C"/>
    <w:rsid w:val="004076C9"/>
    <w:rsid w:val="00407871"/>
    <w:rsid w:val="004079E2"/>
    <w:rsid w:val="00407F64"/>
    <w:rsid w:val="00410391"/>
    <w:rsid w:val="0041059C"/>
    <w:rsid w:val="00410AFD"/>
    <w:rsid w:val="00410CB2"/>
    <w:rsid w:val="00410D2D"/>
    <w:rsid w:val="0041159A"/>
    <w:rsid w:val="004116E1"/>
    <w:rsid w:val="0041177E"/>
    <w:rsid w:val="00411B17"/>
    <w:rsid w:val="004123AF"/>
    <w:rsid w:val="004124AF"/>
    <w:rsid w:val="00412779"/>
    <w:rsid w:val="00412E29"/>
    <w:rsid w:val="0041323D"/>
    <w:rsid w:val="004133B7"/>
    <w:rsid w:val="00413639"/>
    <w:rsid w:val="004136B3"/>
    <w:rsid w:val="004137BD"/>
    <w:rsid w:val="00413EDE"/>
    <w:rsid w:val="00414448"/>
    <w:rsid w:val="00414A1B"/>
    <w:rsid w:val="00414F39"/>
    <w:rsid w:val="00414F6B"/>
    <w:rsid w:val="00415404"/>
    <w:rsid w:val="00415AC9"/>
    <w:rsid w:val="004160F4"/>
    <w:rsid w:val="0041628E"/>
    <w:rsid w:val="00416601"/>
    <w:rsid w:val="00416810"/>
    <w:rsid w:val="00416ADC"/>
    <w:rsid w:val="00416C1B"/>
    <w:rsid w:val="00416ECC"/>
    <w:rsid w:val="00417001"/>
    <w:rsid w:val="004175C2"/>
    <w:rsid w:val="004200D5"/>
    <w:rsid w:val="004201AB"/>
    <w:rsid w:val="004203C9"/>
    <w:rsid w:val="00420611"/>
    <w:rsid w:val="00420624"/>
    <w:rsid w:val="0042099B"/>
    <w:rsid w:val="004209C1"/>
    <w:rsid w:val="00420F77"/>
    <w:rsid w:val="00421217"/>
    <w:rsid w:val="00421482"/>
    <w:rsid w:val="0042198C"/>
    <w:rsid w:val="00421C24"/>
    <w:rsid w:val="00421C5D"/>
    <w:rsid w:val="0042200A"/>
    <w:rsid w:val="00422132"/>
    <w:rsid w:val="004222BF"/>
    <w:rsid w:val="004223E8"/>
    <w:rsid w:val="004223F5"/>
    <w:rsid w:val="004229BC"/>
    <w:rsid w:val="004229D2"/>
    <w:rsid w:val="00422A15"/>
    <w:rsid w:val="00422A8D"/>
    <w:rsid w:val="00422E55"/>
    <w:rsid w:val="00423155"/>
    <w:rsid w:val="0042317E"/>
    <w:rsid w:val="004234B1"/>
    <w:rsid w:val="0042393B"/>
    <w:rsid w:val="00423B8F"/>
    <w:rsid w:val="00423CE8"/>
    <w:rsid w:val="004240DB"/>
    <w:rsid w:val="004243F7"/>
    <w:rsid w:val="00424728"/>
    <w:rsid w:val="00424851"/>
    <w:rsid w:val="00424BF2"/>
    <w:rsid w:val="00425069"/>
    <w:rsid w:val="0042523D"/>
    <w:rsid w:val="00425264"/>
    <w:rsid w:val="00425287"/>
    <w:rsid w:val="004257B1"/>
    <w:rsid w:val="00425D61"/>
    <w:rsid w:val="00425EF2"/>
    <w:rsid w:val="004262A1"/>
    <w:rsid w:val="00426B3F"/>
    <w:rsid w:val="00426C6F"/>
    <w:rsid w:val="00426D29"/>
    <w:rsid w:val="00426E03"/>
    <w:rsid w:val="00426E70"/>
    <w:rsid w:val="00426ED8"/>
    <w:rsid w:val="00426EE0"/>
    <w:rsid w:val="00426F60"/>
    <w:rsid w:val="004274CA"/>
    <w:rsid w:val="00427937"/>
    <w:rsid w:val="00427BA0"/>
    <w:rsid w:val="0043021C"/>
    <w:rsid w:val="004302C7"/>
    <w:rsid w:val="0043045D"/>
    <w:rsid w:val="004304DB"/>
    <w:rsid w:val="0043058A"/>
    <w:rsid w:val="00430600"/>
    <w:rsid w:val="00430BF1"/>
    <w:rsid w:val="00431022"/>
    <w:rsid w:val="00431346"/>
    <w:rsid w:val="00431EA5"/>
    <w:rsid w:val="00431F1C"/>
    <w:rsid w:val="00432154"/>
    <w:rsid w:val="00432230"/>
    <w:rsid w:val="0043240A"/>
    <w:rsid w:val="00432679"/>
    <w:rsid w:val="00432AE4"/>
    <w:rsid w:val="00432C47"/>
    <w:rsid w:val="00432E51"/>
    <w:rsid w:val="004331D3"/>
    <w:rsid w:val="004338D2"/>
    <w:rsid w:val="00433AAA"/>
    <w:rsid w:val="00434CBC"/>
    <w:rsid w:val="00434E29"/>
    <w:rsid w:val="00434E2E"/>
    <w:rsid w:val="0043537A"/>
    <w:rsid w:val="0043539D"/>
    <w:rsid w:val="004356ED"/>
    <w:rsid w:val="0043592A"/>
    <w:rsid w:val="00435EF2"/>
    <w:rsid w:val="00436105"/>
    <w:rsid w:val="004365ED"/>
    <w:rsid w:val="00436762"/>
    <w:rsid w:val="004368CF"/>
    <w:rsid w:val="00436BB0"/>
    <w:rsid w:val="00436C42"/>
    <w:rsid w:val="00436CE6"/>
    <w:rsid w:val="0043717F"/>
    <w:rsid w:val="0043748D"/>
    <w:rsid w:val="004374F6"/>
    <w:rsid w:val="00437615"/>
    <w:rsid w:val="004377D1"/>
    <w:rsid w:val="00437D0A"/>
    <w:rsid w:val="004405A5"/>
    <w:rsid w:val="0044078C"/>
    <w:rsid w:val="00440B0B"/>
    <w:rsid w:val="00440BB6"/>
    <w:rsid w:val="00440BCB"/>
    <w:rsid w:val="00440C26"/>
    <w:rsid w:val="00440CD5"/>
    <w:rsid w:val="00440CF5"/>
    <w:rsid w:val="00440F02"/>
    <w:rsid w:val="004417F8"/>
    <w:rsid w:val="00441C4C"/>
    <w:rsid w:val="00441E58"/>
    <w:rsid w:val="0044220C"/>
    <w:rsid w:val="0044221A"/>
    <w:rsid w:val="00442319"/>
    <w:rsid w:val="00442832"/>
    <w:rsid w:val="004428EA"/>
    <w:rsid w:val="00442A70"/>
    <w:rsid w:val="00442E85"/>
    <w:rsid w:val="004430A5"/>
    <w:rsid w:val="00443111"/>
    <w:rsid w:val="004434E6"/>
    <w:rsid w:val="0044386F"/>
    <w:rsid w:val="00443D47"/>
    <w:rsid w:val="004441E3"/>
    <w:rsid w:val="00444441"/>
    <w:rsid w:val="00444449"/>
    <w:rsid w:val="00444494"/>
    <w:rsid w:val="0044481F"/>
    <w:rsid w:val="00444E88"/>
    <w:rsid w:val="0044515C"/>
    <w:rsid w:val="0044525E"/>
    <w:rsid w:val="0044563A"/>
    <w:rsid w:val="00445A22"/>
    <w:rsid w:val="00445CFD"/>
    <w:rsid w:val="00445F47"/>
    <w:rsid w:val="004466E1"/>
    <w:rsid w:val="00446898"/>
    <w:rsid w:val="00446A92"/>
    <w:rsid w:val="00446E85"/>
    <w:rsid w:val="004470FC"/>
    <w:rsid w:val="00447218"/>
    <w:rsid w:val="004472EC"/>
    <w:rsid w:val="00447674"/>
    <w:rsid w:val="004476BC"/>
    <w:rsid w:val="00447A65"/>
    <w:rsid w:val="00447CDB"/>
    <w:rsid w:val="00447D4F"/>
    <w:rsid w:val="00447D7D"/>
    <w:rsid w:val="00447DC1"/>
    <w:rsid w:val="00447F86"/>
    <w:rsid w:val="00447FA9"/>
    <w:rsid w:val="004501BE"/>
    <w:rsid w:val="00450267"/>
    <w:rsid w:val="0045040C"/>
    <w:rsid w:val="00450778"/>
    <w:rsid w:val="004507D6"/>
    <w:rsid w:val="00450B55"/>
    <w:rsid w:val="00451243"/>
    <w:rsid w:val="004512A2"/>
    <w:rsid w:val="00451406"/>
    <w:rsid w:val="00451840"/>
    <w:rsid w:val="00451C71"/>
    <w:rsid w:val="00451DC3"/>
    <w:rsid w:val="00451E51"/>
    <w:rsid w:val="00452000"/>
    <w:rsid w:val="004523B2"/>
    <w:rsid w:val="004524F8"/>
    <w:rsid w:val="004525DB"/>
    <w:rsid w:val="004526FB"/>
    <w:rsid w:val="00452765"/>
    <w:rsid w:val="00452CEA"/>
    <w:rsid w:val="0045320B"/>
    <w:rsid w:val="00453A15"/>
    <w:rsid w:val="00453AB4"/>
    <w:rsid w:val="004540ED"/>
    <w:rsid w:val="00454A2E"/>
    <w:rsid w:val="00454CC3"/>
    <w:rsid w:val="00455102"/>
    <w:rsid w:val="0045555D"/>
    <w:rsid w:val="00455615"/>
    <w:rsid w:val="00455A7A"/>
    <w:rsid w:val="004565D0"/>
    <w:rsid w:val="004568B9"/>
    <w:rsid w:val="00456D69"/>
    <w:rsid w:val="00456DD2"/>
    <w:rsid w:val="0045716F"/>
    <w:rsid w:val="00457B98"/>
    <w:rsid w:val="00457C3C"/>
    <w:rsid w:val="00457DAD"/>
    <w:rsid w:val="00457DB6"/>
    <w:rsid w:val="00457FBD"/>
    <w:rsid w:val="00460143"/>
    <w:rsid w:val="004602D9"/>
    <w:rsid w:val="00460646"/>
    <w:rsid w:val="0046082D"/>
    <w:rsid w:val="0046088C"/>
    <w:rsid w:val="00460AF6"/>
    <w:rsid w:val="00461039"/>
    <w:rsid w:val="00461095"/>
    <w:rsid w:val="004612C5"/>
    <w:rsid w:val="0046171E"/>
    <w:rsid w:val="00461771"/>
    <w:rsid w:val="00461AAB"/>
    <w:rsid w:val="00462363"/>
    <w:rsid w:val="004623F1"/>
    <w:rsid w:val="0046270C"/>
    <w:rsid w:val="004628B8"/>
    <w:rsid w:val="00462A2C"/>
    <w:rsid w:val="00462CEA"/>
    <w:rsid w:val="004631AF"/>
    <w:rsid w:val="0046331A"/>
    <w:rsid w:val="00463879"/>
    <w:rsid w:val="00463B40"/>
    <w:rsid w:val="00463D2F"/>
    <w:rsid w:val="00464031"/>
    <w:rsid w:val="0046405B"/>
    <w:rsid w:val="0046424C"/>
    <w:rsid w:val="004642A7"/>
    <w:rsid w:val="0046445E"/>
    <w:rsid w:val="0046453E"/>
    <w:rsid w:val="00464839"/>
    <w:rsid w:val="00464A02"/>
    <w:rsid w:val="00464B6E"/>
    <w:rsid w:val="00464CFF"/>
    <w:rsid w:val="00464D6B"/>
    <w:rsid w:val="00464F47"/>
    <w:rsid w:val="00465627"/>
    <w:rsid w:val="0046590E"/>
    <w:rsid w:val="00465BB9"/>
    <w:rsid w:val="004662BB"/>
    <w:rsid w:val="00466634"/>
    <w:rsid w:val="00466A0F"/>
    <w:rsid w:val="00466AD3"/>
    <w:rsid w:val="00466B44"/>
    <w:rsid w:val="00466C43"/>
    <w:rsid w:val="00466E58"/>
    <w:rsid w:val="00466EEA"/>
    <w:rsid w:val="0046727F"/>
    <w:rsid w:val="00467347"/>
    <w:rsid w:val="00467414"/>
    <w:rsid w:val="00467641"/>
    <w:rsid w:val="00467869"/>
    <w:rsid w:val="004678DF"/>
    <w:rsid w:val="00467B47"/>
    <w:rsid w:val="00467C96"/>
    <w:rsid w:val="00467CF2"/>
    <w:rsid w:val="00467EAE"/>
    <w:rsid w:val="00467FA4"/>
    <w:rsid w:val="00470037"/>
    <w:rsid w:val="0047035A"/>
    <w:rsid w:val="004703C9"/>
    <w:rsid w:val="0047040E"/>
    <w:rsid w:val="00470968"/>
    <w:rsid w:val="00470B5F"/>
    <w:rsid w:val="00470D50"/>
    <w:rsid w:val="004710FC"/>
    <w:rsid w:val="004712A8"/>
    <w:rsid w:val="00471425"/>
    <w:rsid w:val="00471629"/>
    <w:rsid w:val="00471B00"/>
    <w:rsid w:val="00471E00"/>
    <w:rsid w:val="00471F28"/>
    <w:rsid w:val="004722A7"/>
    <w:rsid w:val="00472A8E"/>
    <w:rsid w:val="00472ED8"/>
    <w:rsid w:val="00472FF7"/>
    <w:rsid w:val="00473003"/>
    <w:rsid w:val="004732BC"/>
    <w:rsid w:val="00473529"/>
    <w:rsid w:val="00473C96"/>
    <w:rsid w:val="00473E26"/>
    <w:rsid w:val="00473FB6"/>
    <w:rsid w:val="004742DF"/>
    <w:rsid w:val="0047430C"/>
    <w:rsid w:val="00474349"/>
    <w:rsid w:val="004745CC"/>
    <w:rsid w:val="00474BDA"/>
    <w:rsid w:val="00474C7F"/>
    <w:rsid w:val="004750AA"/>
    <w:rsid w:val="004752D4"/>
    <w:rsid w:val="004752DD"/>
    <w:rsid w:val="004755AE"/>
    <w:rsid w:val="0047572D"/>
    <w:rsid w:val="00475BF8"/>
    <w:rsid w:val="00475C0A"/>
    <w:rsid w:val="00475CC2"/>
    <w:rsid w:val="0047639F"/>
    <w:rsid w:val="0047685D"/>
    <w:rsid w:val="004769F5"/>
    <w:rsid w:val="00476A99"/>
    <w:rsid w:val="004772D1"/>
    <w:rsid w:val="00477742"/>
    <w:rsid w:val="00477768"/>
    <w:rsid w:val="004779AF"/>
    <w:rsid w:val="00477B5B"/>
    <w:rsid w:val="00477B68"/>
    <w:rsid w:val="00477CBF"/>
    <w:rsid w:val="00480019"/>
    <w:rsid w:val="00480046"/>
    <w:rsid w:val="00480193"/>
    <w:rsid w:val="004801B9"/>
    <w:rsid w:val="00480281"/>
    <w:rsid w:val="004802F5"/>
    <w:rsid w:val="00481019"/>
    <w:rsid w:val="00481209"/>
    <w:rsid w:val="004814F2"/>
    <w:rsid w:val="004815F8"/>
    <w:rsid w:val="00481783"/>
    <w:rsid w:val="00481896"/>
    <w:rsid w:val="00481983"/>
    <w:rsid w:val="00481E04"/>
    <w:rsid w:val="004821A6"/>
    <w:rsid w:val="004824CB"/>
    <w:rsid w:val="004824EE"/>
    <w:rsid w:val="004826D6"/>
    <w:rsid w:val="0048285B"/>
    <w:rsid w:val="00482B4A"/>
    <w:rsid w:val="00482BE0"/>
    <w:rsid w:val="00482E51"/>
    <w:rsid w:val="004832F1"/>
    <w:rsid w:val="00483705"/>
    <w:rsid w:val="004838A4"/>
    <w:rsid w:val="00483B73"/>
    <w:rsid w:val="00484318"/>
    <w:rsid w:val="0048450C"/>
    <w:rsid w:val="0048515C"/>
    <w:rsid w:val="004851BB"/>
    <w:rsid w:val="0048550D"/>
    <w:rsid w:val="00485C86"/>
    <w:rsid w:val="00485EB0"/>
    <w:rsid w:val="00485F86"/>
    <w:rsid w:val="0048644C"/>
    <w:rsid w:val="00486502"/>
    <w:rsid w:val="0048672F"/>
    <w:rsid w:val="004868D6"/>
    <w:rsid w:val="00486EBF"/>
    <w:rsid w:val="004870DE"/>
    <w:rsid w:val="00487456"/>
    <w:rsid w:val="004874DE"/>
    <w:rsid w:val="00487E4E"/>
    <w:rsid w:val="00487F9A"/>
    <w:rsid w:val="004904CB"/>
    <w:rsid w:val="00490A78"/>
    <w:rsid w:val="00490C5B"/>
    <w:rsid w:val="00490F95"/>
    <w:rsid w:val="0049120C"/>
    <w:rsid w:val="0049135B"/>
    <w:rsid w:val="004913E8"/>
    <w:rsid w:val="00491696"/>
    <w:rsid w:val="00491AD9"/>
    <w:rsid w:val="00491C5E"/>
    <w:rsid w:val="004920E2"/>
    <w:rsid w:val="00492BCD"/>
    <w:rsid w:val="00492EF3"/>
    <w:rsid w:val="004939ED"/>
    <w:rsid w:val="00494011"/>
    <w:rsid w:val="00494165"/>
    <w:rsid w:val="0049494F"/>
    <w:rsid w:val="00494970"/>
    <w:rsid w:val="00494A7E"/>
    <w:rsid w:val="00494D7B"/>
    <w:rsid w:val="00494E1C"/>
    <w:rsid w:val="00494FB8"/>
    <w:rsid w:val="00495188"/>
    <w:rsid w:val="00495263"/>
    <w:rsid w:val="0049556C"/>
    <w:rsid w:val="0049576B"/>
    <w:rsid w:val="0049584D"/>
    <w:rsid w:val="00495978"/>
    <w:rsid w:val="00495AA0"/>
    <w:rsid w:val="00495DA7"/>
    <w:rsid w:val="00495DC5"/>
    <w:rsid w:val="00496167"/>
    <w:rsid w:val="004963CB"/>
    <w:rsid w:val="004966C4"/>
    <w:rsid w:val="004966FD"/>
    <w:rsid w:val="004967B4"/>
    <w:rsid w:val="00496875"/>
    <w:rsid w:val="0049689F"/>
    <w:rsid w:val="004968AD"/>
    <w:rsid w:val="004968F7"/>
    <w:rsid w:val="00496916"/>
    <w:rsid w:val="004969AA"/>
    <w:rsid w:val="00496A53"/>
    <w:rsid w:val="004972D1"/>
    <w:rsid w:val="00497433"/>
    <w:rsid w:val="0049783E"/>
    <w:rsid w:val="004978E7"/>
    <w:rsid w:val="0049794D"/>
    <w:rsid w:val="00497F47"/>
    <w:rsid w:val="004A01E1"/>
    <w:rsid w:val="004A0265"/>
    <w:rsid w:val="004A05D2"/>
    <w:rsid w:val="004A08A8"/>
    <w:rsid w:val="004A0ED6"/>
    <w:rsid w:val="004A1F6C"/>
    <w:rsid w:val="004A2124"/>
    <w:rsid w:val="004A2375"/>
    <w:rsid w:val="004A2517"/>
    <w:rsid w:val="004A251E"/>
    <w:rsid w:val="004A2A28"/>
    <w:rsid w:val="004A2B81"/>
    <w:rsid w:val="004A2CFA"/>
    <w:rsid w:val="004A30EC"/>
    <w:rsid w:val="004A31CC"/>
    <w:rsid w:val="004A339C"/>
    <w:rsid w:val="004A3A99"/>
    <w:rsid w:val="004A3BE2"/>
    <w:rsid w:val="004A3D85"/>
    <w:rsid w:val="004A3E37"/>
    <w:rsid w:val="004A42CA"/>
    <w:rsid w:val="004A4889"/>
    <w:rsid w:val="004A4F8F"/>
    <w:rsid w:val="004A54A5"/>
    <w:rsid w:val="004A5614"/>
    <w:rsid w:val="004A59F3"/>
    <w:rsid w:val="004A63A0"/>
    <w:rsid w:val="004A675D"/>
    <w:rsid w:val="004A6905"/>
    <w:rsid w:val="004A696D"/>
    <w:rsid w:val="004A6CD7"/>
    <w:rsid w:val="004A72A9"/>
    <w:rsid w:val="004A743A"/>
    <w:rsid w:val="004A7B62"/>
    <w:rsid w:val="004A7C03"/>
    <w:rsid w:val="004A7D0A"/>
    <w:rsid w:val="004B011D"/>
    <w:rsid w:val="004B0193"/>
    <w:rsid w:val="004B02F1"/>
    <w:rsid w:val="004B04B3"/>
    <w:rsid w:val="004B052B"/>
    <w:rsid w:val="004B07ED"/>
    <w:rsid w:val="004B103D"/>
    <w:rsid w:val="004B1C0F"/>
    <w:rsid w:val="004B20DD"/>
    <w:rsid w:val="004B2104"/>
    <w:rsid w:val="004B2110"/>
    <w:rsid w:val="004B2399"/>
    <w:rsid w:val="004B2C00"/>
    <w:rsid w:val="004B2E3F"/>
    <w:rsid w:val="004B2E4B"/>
    <w:rsid w:val="004B39FF"/>
    <w:rsid w:val="004B3B96"/>
    <w:rsid w:val="004B3CE6"/>
    <w:rsid w:val="004B3F55"/>
    <w:rsid w:val="004B4139"/>
    <w:rsid w:val="004B4264"/>
    <w:rsid w:val="004B4678"/>
    <w:rsid w:val="004B473E"/>
    <w:rsid w:val="004B4740"/>
    <w:rsid w:val="004B4A59"/>
    <w:rsid w:val="004B5446"/>
    <w:rsid w:val="004B556D"/>
    <w:rsid w:val="004B5878"/>
    <w:rsid w:val="004B5B6F"/>
    <w:rsid w:val="004B5BD9"/>
    <w:rsid w:val="004B634A"/>
    <w:rsid w:val="004B6455"/>
    <w:rsid w:val="004B65C7"/>
    <w:rsid w:val="004B6AC7"/>
    <w:rsid w:val="004B6C47"/>
    <w:rsid w:val="004B6D4D"/>
    <w:rsid w:val="004B6D7A"/>
    <w:rsid w:val="004B7064"/>
    <w:rsid w:val="004B7099"/>
    <w:rsid w:val="004B79F3"/>
    <w:rsid w:val="004B7AA4"/>
    <w:rsid w:val="004B7B6C"/>
    <w:rsid w:val="004C00FA"/>
    <w:rsid w:val="004C023B"/>
    <w:rsid w:val="004C03BF"/>
    <w:rsid w:val="004C06AE"/>
    <w:rsid w:val="004C06CA"/>
    <w:rsid w:val="004C0D22"/>
    <w:rsid w:val="004C1365"/>
    <w:rsid w:val="004C14CE"/>
    <w:rsid w:val="004C170C"/>
    <w:rsid w:val="004C1715"/>
    <w:rsid w:val="004C1C28"/>
    <w:rsid w:val="004C2121"/>
    <w:rsid w:val="004C2CE7"/>
    <w:rsid w:val="004C315E"/>
    <w:rsid w:val="004C3248"/>
    <w:rsid w:val="004C3A4C"/>
    <w:rsid w:val="004C3AC1"/>
    <w:rsid w:val="004C3FC4"/>
    <w:rsid w:val="004C4096"/>
    <w:rsid w:val="004C4340"/>
    <w:rsid w:val="004C4347"/>
    <w:rsid w:val="004C45A3"/>
    <w:rsid w:val="004C474C"/>
    <w:rsid w:val="004C52B2"/>
    <w:rsid w:val="004C577D"/>
    <w:rsid w:val="004C5E68"/>
    <w:rsid w:val="004C61E6"/>
    <w:rsid w:val="004C662F"/>
    <w:rsid w:val="004C6C21"/>
    <w:rsid w:val="004C6D8A"/>
    <w:rsid w:val="004C6DEB"/>
    <w:rsid w:val="004C6FF6"/>
    <w:rsid w:val="004C70D0"/>
    <w:rsid w:val="004C741C"/>
    <w:rsid w:val="004C7498"/>
    <w:rsid w:val="004C75FC"/>
    <w:rsid w:val="004C777A"/>
    <w:rsid w:val="004C7FE6"/>
    <w:rsid w:val="004D15BF"/>
    <w:rsid w:val="004D17C8"/>
    <w:rsid w:val="004D1816"/>
    <w:rsid w:val="004D1DE6"/>
    <w:rsid w:val="004D28F7"/>
    <w:rsid w:val="004D29EF"/>
    <w:rsid w:val="004D317A"/>
    <w:rsid w:val="004D32DC"/>
    <w:rsid w:val="004D3472"/>
    <w:rsid w:val="004D3541"/>
    <w:rsid w:val="004D3B8F"/>
    <w:rsid w:val="004D3BE9"/>
    <w:rsid w:val="004D3E13"/>
    <w:rsid w:val="004D46EB"/>
    <w:rsid w:val="004D4B7D"/>
    <w:rsid w:val="004D4DE5"/>
    <w:rsid w:val="004D5375"/>
    <w:rsid w:val="004D5425"/>
    <w:rsid w:val="004D5478"/>
    <w:rsid w:val="004D5514"/>
    <w:rsid w:val="004D552D"/>
    <w:rsid w:val="004D58BE"/>
    <w:rsid w:val="004D5BD3"/>
    <w:rsid w:val="004D5D4E"/>
    <w:rsid w:val="004D5DCC"/>
    <w:rsid w:val="004D61F0"/>
    <w:rsid w:val="004D630F"/>
    <w:rsid w:val="004D6709"/>
    <w:rsid w:val="004D6AFE"/>
    <w:rsid w:val="004D6B6D"/>
    <w:rsid w:val="004D71A3"/>
    <w:rsid w:val="004D76EB"/>
    <w:rsid w:val="004D7903"/>
    <w:rsid w:val="004D7B85"/>
    <w:rsid w:val="004E0323"/>
    <w:rsid w:val="004E03E5"/>
    <w:rsid w:val="004E07D2"/>
    <w:rsid w:val="004E08C4"/>
    <w:rsid w:val="004E0AE0"/>
    <w:rsid w:val="004E0B4B"/>
    <w:rsid w:val="004E0D7E"/>
    <w:rsid w:val="004E0DE7"/>
    <w:rsid w:val="004E13BD"/>
    <w:rsid w:val="004E1589"/>
    <w:rsid w:val="004E1691"/>
    <w:rsid w:val="004E18D3"/>
    <w:rsid w:val="004E1B14"/>
    <w:rsid w:val="004E1BA5"/>
    <w:rsid w:val="004E1C7D"/>
    <w:rsid w:val="004E1CAA"/>
    <w:rsid w:val="004E1F7C"/>
    <w:rsid w:val="004E20BF"/>
    <w:rsid w:val="004E222E"/>
    <w:rsid w:val="004E25C2"/>
    <w:rsid w:val="004E2762"/>
    <w:rsid w:val="004E2B24"/>
    <w:rsid w:val="004E3047"/>
    <w:rsid w:val="004E3048"/>
    <w:rsid w:val="004E3387"/>
    <w:rsid w:val="004E3690"/>
    <w:rsid w:val="004E444A"/>
    <w:rsid w:val="004E4717"/>
    <w:rsid w:val="004E4CE1"/>
    <w:rsid w:val="004E4D4D"/>
    <w:rsid w:val="004E4EC5"/>
    <w:rsid w:val="004E512C"/>
    <w:rsid w:val="004E5139"/>
    <w:rsid w:val="004E54BA"/>
    <w:rsid w:val="004E5AC5"/>
    <w:rsid w:val="004E5CCF"/>
    <w:rsid w:val="004E610D"/>
    <w:rsid w:val="004E64A1"/>
    <w:rsid w:val="004E6546"/>
    <w:rsid w:val="004E6610"/>
    <w:rsid w:val="004E67DC"/>
    <w:rsid w:val="004E680D"/>
    <w:rsid w:val="004E6815"/>
    <w:rsid w:val="004E68AD"/>
    <w:rsid w:val="004E6D18"/>
    <w:rsid w:val="004E6D25"/>
    <w:rsid w:val="004E6DE8"/>
    <w:rsid w:val="004E6E38"/>
    <w:rsid w:val="004E6F09"/>
    <w:rsid w:val="004E7090"/>
    <w:rsid w:val="004E7498"/>
    <w:rsid w:val="004E762F"/>
    <w:rsid w:val="004E7677"/>
    <w:rsid w:val="004E78B5"/>
    <w:rsid w:val="004E79A6"/>
    <w:rsid w:val="004F09C7"/>
    <w:rsid w:val="004F09FB"/>
    <w:rsid w:val="004F0B96"/>
    <w:rsid w:val="004F0CCE"/>
    <w:rsid w:val="004F0DE3"/>
    <w:rsid w:val="004F1427"/>
    <w:rsid w:val="004F1486"/>
    <w:rsid w:val="004F1572"/>
    <w:rsid w:val="004F1688"/>
    <w:rsid w:val="004F1A87"/>
    <w:rsid w:val="004F1C97"/>
    <w:rsid w:val="004F1CC0"/>
    <w:rsid w:val="004F1CC1"/>
    <w:rsid w:val="004F1D58"/>
    <w:rsid w:val="004F222B"/>
    <w:rsid w:val="004F2928"/>
    <w:rsid w:val="004F2E73"/>
    <w:rsid w:val="004F2FA1"/>
    <w:rsid w:val="004F2FB5"/>
    <w:rsid w:val="004F3056"/>
    <w:rsid w:val="004F30AA"/>
    <w:rsid w:val="004F324C"/>
    <w:rsid w:val="004F340B"/>
    <w:rsid w:val="004F357F"/>
    <w:rsid w:val="004F3BA1"/>
    <w:rsid w:val="004F3DC3"/>
    <w:rsid w:val="004F4016"/>
    <w:rsid w:val="004F485A"/>
    <w:rsid w:val="004F4BEA"/>
    <w:rsid w:val="004F4C15"/>
    <w:rsid w:val="004F4E5C"/>
    <w:rsid w:val="004F51AA"/>
    <w:rsid w:val="004F521C"/>
    <w:rsid w:val="004F535E"/>
    <w:rsid w:val="004F5765"/>
    <w:rsid w:val="004F58A3"/>
    <w:rsid w:val="004F597E"/>
    <w:rsid w:val="004F5B55"/>
    <w:rsid w:val="004F5BCA"/>
    <w:rsid w:val="004F6042"/>
    <w:rsid w:val="004F60C7"/>
    <w:rsid w:val="004F60DD"/>
    <w:rsid w:val="004F61D7"/>
    <w:rsid w:val="004F66BA"/>
    <w:rsid w:val="004F6852"/>
    <w:rsid w:val="004F6D13"/>
    <w:rsid w:val="004F6F0C"/>
    <w:rsid w:val="004F75B2"/>
    <w:rsid w:val="004F7CDD"/>
    <w:rsid w:val="004F7E99"/>
    <w:rsid w:val="005002A2"/>
    <w:rsid w:val="005008E8"/>
    <w:rsid w:val="00500E6D"/>
    <w:rsid w:val="00501024"/>
    <w:rsid w:val="00501211"/>
    <w:rsid w:val="0050193D"/>
    <w:rsid w:val="005019AA"/>
    <w:rsid w:val="00501D7D"/>
    <w:rsid w:val="005021FA"/>
    <w:rsid w:val="005023AD"/>
    <w:rsid w:val="005026F2"/>
    <w:rsid w:val="0050279B"/>
    <w:rsid w:val="00502BDE"/>
    <w:rsid w:val="00502F1D"/>
    <w:rsid w:val="00503120"/>
    <w:rsid w:val="0050324C"/>
    <w:rsid w:val="00503774"/>
    <w:rsid w:val="005038E2"/>
    <w:rsid w:val="0050395F"/>
    <w:rsid w:val="00503EE0"/>
    <w:rsid w:val="00503F02"/>
    <w:rsid w:val="00503F99"/>
    <w:rsid w:val="005040BB"/>
    <w:rsid w:val="00504327"/>
    <w:rsid w:val="0050435E"/>
    <w:rsid w:val="005043B0"/>
    <w:rsid w:val="00504DFB"/>
    <w:rsid w:val="00504F6C"/>
    <w:rsid w:val="005057C8"/>
    <w:rsid w:val="005058F0"/>
    <w:rsid w:val="00505B22"/>
    <w:rsid w:val="00505D9D"/>
    <w:rsid w:val="00505F85"/>
    <w:rsid w:val="00506818"/>
    <w:rsid w:val="00506BDF"/>
    <w:rsid w:val="00506F1D"/>
    <w:rsid w:val="005072AF"/>
    <w:rsid w:val="00507326"/>
    <w:rsid w:val="005074F6"/>
    <w:rsid w:val="005076C2"/>
    <w:rsid w:val="00507725"/>
    <w:rsid w:val="00507767"/>
    <w:rsid w:val="00507B19"/>
    <w:rsid w:val="00507B24"/>
    <w:rsid w:val="00507C3A"/>
    <w:rsid w:val="00507C8B"/>
    <w:rsid w:val="00507D78"/>
    <w:rsid w:val="0051000B"/>
    <w:rsid w:val="00510084"/>
    <w:rsid w:val="00510595"/>
    <w:rsid w:val="005106C8"/>
    <w:rsid w:val="00510C00"/>
    <w:rsid w:val="00510F45"/>
    <w:rsid w:val="00511031"/>
    <w:rsid w:val="0051117F"/>
    <w:rsid w:val="005112F2"/>
    <w:rsid w:val="0051132A"/>
    <w:rsid w:val="00511345"/>
    <w:rsid w:val="00511436"/>
    <w:rsid w:val="00511469"/>
    <w:rsid w:val="005114D9"/>
    <w:rsid w:val="00511533"/>
    <w:rsid w:val="005118E4"/>
    <w:rsid w:val="00511906"/>
    <w:rsid w:val="00511CF8"/>
    <w:rsid w:val="00511E7A"/>
    <w:rsid w:val="00511EFC"/>
    <w:rsid w:val="005122FF"/>
    <w:rsid w:val="0051241C"/>
    <w:rsid w:val="00512499"/>
    <w:rsid w:val="005124DD"/>
    <w:rsid w:val="00512668"/>
    <w:rsid w:val="0051287F"/>
    <w:rsid w:val="00512B11"/>
    <w:rsid w:val="00512EB0"/>
    <w:rsid w:val="00512EDA"/>
    <w:rsid w:val="005132B3"/>
    <w:rsid w:val="00513496"/>
    <w:rsid w:val="00513599"/>
    <w:rsid w:val="00513B49"/>
    <w:rsid w:val="00513B54"/>
    <w:rsid w:val="00513E4B"/>
    <w:rsid w:val="00514117"/>
    <w:rsid w:val="005141CE"/>
    <w:rsid w:val="00514675"/>
    <w:rsid w:val="00514B77"/>
    <w:rsid w:val="00514BFD"/>
    <w:rsid w:val="005154AF"/>
    <w:rsid w:val="00515815"/>
    <w:rsid w:val="00515C8B"/>
    <w:rsid w:val="00515D5B"/>
    <w:rsid w:val="00515DF4"/>
    <w:rsid w:val="00516711"/>
    <w:rsid w:val="00516A44"/>
    <w:rsid w:val="00516C7A"/>
    <w:rsid w:val="005171D9"/>
    <w:rsid w:val="005171E2"/>
    <w:rsid w:val="0051729F"/>
    <w:rsid w:val="005174AF"/>
    <w:rsid w:val="00517538"/>
    <w:rsid w:val="00517629"/>
    <w:rsid w:val="00517680"/>
    <w:rsid w:val="005176B0"/>
    <w:rsid w:val="00517B86"/>
    <w:rsid w:val="00517FC6"/>
    <w:rsid w:val="005200C2"/>
    <w:rsid w:val="005200DB"/>
    <w:rsid w:val="0052019E"/>
    <w:rsid w:val="00520418"/>
    <w:rsid w:val="005204BF"/>
    <w:rsid w:val="00520B0C"/>
    <w:rsid w:val="00520B15"/>
    <w:rsid w:val="00520B6B"/>
    <w:rsid w:val="00520ED3"/>
    <w:rsid w:val="005213A7"/>
    <w:rsid w:val="005214DC"/>
    <w:rsid w:val="00521915"/>
    <w:rsid w:val="00521B6D"/>
    <w:rsid w:val="00521B8B"/>
    <w:rsid w:val="00522094"/>
    <w:rsid w:val="005223CA"/>
    <w:rsid w:val="005224AB"/>
    <w:rsid w:val="005226AD"/>
    <w:rsid w:val="005226CE"/>
    <w:rsid w:val="0052285A"/>
    <w:rsid w:val="00522E33"/>
    <w:rsid w:val="00522EF5"/>
    <w:rsid w:val="00522F5E"/>
    <w:rsid w:val="0052302C"/>
    <w:rsid w:val="00523178"/>
    <w:rsid w:val="00523412"/>
    <w:rsid w:val="0052343B"/>
    <w:rsid w:val="005234CF"/>
    <w:rsid w:val="005236F7"/>
    <w:rsid w:val="00523B01"/>
    <w:rsid w:val="0052411B"/>
    <w:rsid w:val="00524B27"/>
    <w:rsid w:val="00524E4D"/>
    <w:rsid w:val="00525841"/>
    <w:rsid w:val="00525964"/>
    <w:rsid w:val="00525CB5"/>
    <w:rsid w:val="00525D23"/>
    <w:rsid w:val="00525D31"/>
    <w:rsid w:val="00525F89"/>
    <w:rsid w:val="0052600E"/>
    <w:rsid w:val="0052671E"/>
    <w:rsid w:val="00526AA5"/>
    <w:rsid w:val="00526B91"/>
    <w:rsid w:val="00526BD1"/>
    <w:rsid w:val="00526C07"/>
    <w:rsid w:val="00526D41"/>
    <w:rsid w:val="00526F34"/>
    <w:rsid w:val="00527963"/>
    <w:rsid w:val="00527C00"/>
    <w:rsid w:val="00530241"/>
    <w:rsid w:val="005304A0"/>
    <w:rsid w:val="00530AFB"/>
    <w:rsid w:val="00530D75"/>
    <w:rsid w:val="005312E6"/>
    <w:rsid w:val="005313B2"/>
    <w:rsid w:val="00531538"/>
    <w:rsid w:val="0053184F"/>
    <w:rsid w:val="00531D43"/>
    <w:rsid w:val="00531EDA"/>
    <w:rsid w:val="005323F3"/>
    <w:rsid w:val="005326A9"/>
    <w:rsid w:val="00532DAD"/>
    <w:rsid w:val="00532DDC"/>
    <w:rsid w:val="00532FE6"/>
    <w:rsid w:val="005330FD"/>
    <w:rsid w:val="00533249"/>
    <w:rsid w:val="00533718"/>
    <w:rsid w:val="00533937"/>
    <w:rsid w:val="00534018"/>
    <w:rsid w:val="005346DF"/>
    <w:rsid w:val="005346EF"/>
    <w:rsid w:val="005348D5"/>
    <w:rsid w:val="005348E3"/>
    <w:rsid w:val="00534A04"/>
    <w:rsid w:val="00534BBC"/>
    <w:rsid w:val="00534CE2"/>
    <w:rsid w:val="00535077"/>
    <w:rsid w:val="0053575F"/>
    <w:rsid w:val="005357FB"/>
    <w:rsid w:val="0053580E"/>
    <w:rsid w:val="00535DF7"/>
    <w:rsid w:val="00535FA2"/>
    <w:rsid w:val="00536458"/>
    <w:rsid w:val="00536527"/>
    <w:rsid w:val="00536587"/>
    <w:rsid w:val="0053665D"/>
    <w:rsid w:val="00536A00"/>
    <w:rsid w:val="00536A64"/>
    <w:rsid w:val="005371D8"/>
    <w:rsid w:val="00537401"/>
    <w:rsid w:val="005374E9"/>
    <w:rsid w:val="0053755D"/>
    <w:rsid w:val="00537AA6"/>
    <w:rsid w:val="00537B08"/>
    <w:rsid w:val="00537B2C"/>
    <w:rsid w:val="00537E7B"/>
    <w:rsid w:val="00540774"/>
    <w:rsid w:val="00540EA4"/>
    <w:rsid w:val="00541212"/>
    <w:rsid w:val="005413F4"/>
    <w:rsid w:val="00541660"/>
    <w:rsid w:val="005417D6"/>
    <w:rsid w:val="00541913"/>
    <w:rsid w:val="00541993"/>
    <w:rsid w:val="00541B6D"/>
    <w:rsid w:val="00541B77"/>
    <w:rsid w:val="00541CA5"/>
    <w:rsid w:val="00541CAD"/>
    <w:rsid w:val="00541E0F"/>
    <w:rsid w:val="00541F59"/>
    <w:rsid w:val="0054205D"/>
    <w:rsid w:val="00542392"/>
    <w:rsid w:val="00542533"/>
    <w:rsid w:val="00542825"/>
    <w:rsid w:val="005429A9"/>
    <w:rsid w:val="00542AF7"/>
    <w:rsid w:val="00542C2A"/>
    <w:rsid w:val="00542E28"/>
    <w:rsid w:val="005439EF"/>
    <w:rsid w:val="00543C79"/>
    <w:rsid w:val="00543EF3"/>
    <w:rsid w:val="00543F12"/>
    <w:rsid w:val="00543FD6"/>
    <w:rsid w:val="00544266"/>
    <w:rsid w:val="00544273"/>
    <w:rsid w:val="00544283"/>
    <w:rsid w:val="0054441E"/>
    <w:rsid w:val="00544C8F"/>
    <w:rsid w:val="00544CB6"/>
    <w:rsid w:val="00544D4D"/>
    <w:rsid w:val="00544EB1"/>
    <w:rsid w:val="00544F15"/>
    <w:rsid w:val="005453ED"/>
    <w:rsid w:val="00545400"/>
    <w:rsid w:val="00545994"/>
    <w:rsid w:val="005459AE"/>
    <w:rsid w:val="00545FF3"/>
    <w:rsid w:val="005461AC"/>
    <w:rsid w:val="005461D5"/>
    <w:rsid w:val="0054661F"/>
    <w:rsid w:val="00546910"/>
    <w:rsid w:val="00546B28"/>
    <w:rsid w:val="00546CE2"/>
    <w:rsid w:val="00546D3C"/>
    <w:rsid w:val="00546E79"/>
    <w:rsid w:val="00547197"/>
    <w:rsid w:val="00547516"/>
    <w:rsid w:val="00547784"/>
    <w:rsid w:val="0054789B"/>
    <w:rsid w:val="005479B2"/>
    <w:rsid w:val="00547A5E"/>
    <w:rsid w:val="0055005E"/>
    <w:rsid w:val="005504C5"/>
    <w:rsid w:val="00550C7B"/>
    <w:rsid w:val="00550F9E"/>
    <w:rsid w:val="00551473"/>
    <w:rsid w:val="005514C1"/>
    <w:rsid w:val="00551685"/>
    <w:rsid w:val="0055173D"/>
    <w:rsid w:val="005519B2"/>
    <w:rsid w:val="00551B8C"/>
    <w:rsid w:val="00551C10"/>
    <w:rsid w:val="00551F3F"/>
    <w:rsid w:val="00551F5A"/>
    <w:rsid w:val="00552252"/>
    <w:rsid w:val="00552282"/>
    <w:rsid w:val="005526CD"/>
    <w:rsid w:val="005530CA"/>
    <w:rsid w:val="0055331F"/>
    <w:rsid w:val="005533E2"/>
    <w:rsid w:val="005535F9"/>
    <w:rsid w:val="00553E15"/>
    <w:rsid w:val="005540DE"/>
    <w:rsid w:val="005546DA"/>
    <w:rsid w:val="00554AA2"/>
    <w:rsid w:val="005552DA"/>
    <w:rsid w:val="00555535"/>
    <w:rsid w:val="0055563B"/>
    <w:rsid w:val="005557A6"/>
    <w:rsid w:val="0055587F"/>
    <w:rsid w:val="00555A1B"/>
    <w:rsid w:val="00555C93"/>
    <w:rsid w:val="00555E72"/>
    <w:rsid w:val="0055608D"/>
    <w:rsid w:val="0055696A"/>
    <w:rsid w:val="00556C9F"/>
    <w:rsid w:val="00557084"/>
    <w:rsid w:val="00557383"/>
    <w:rsid w:val="00557438"/>
    <w:rsid w:val="005577A4"/>
    <w:rsid w:val="00557A23"/>
    <w:rsid w:val="00557D4D"/>
    <w:rsid w:val="0056001D"/>
    <w:rsid w:val="00560464"/>
    <w:rsid w:val="00560864"/>
    <w:rsid w:val="00560BE5"/>
    <w:rsid w:val="00561425"/>
    <w:rsid w:val="00561576"/>
    <w:rsid w:val="00561DA6"/>
    <w:rsid w:val="005621E6"/>
    <w:rsid w:val="005621F8"/>
    <w:rsid w:val="00562215"/>
    <w:rsid w:val="0056225E"/>
    <w:rsid w:val="00562326"/>
    <w:rsid w:val="0056236F"/>
    <w:rsid w:val="0056244E"/>
    <w:rsid w:val="00562A78"/>
    <w:rsid w:val="00562DE9"/>
    <w:rsid w:val="00562DFE"/>
    <w:rsid w:val="00562F93"/>
    <w:rsid w:val="00563283"/>
    <w:rsid w:val="00563617"/>
    <w:rsid w:val="00563F9A"/>
    <w:rsid w:val="005644E5"/>
    <w:rsid w:val="005645AE"/>
    <w:rsid w:val="00564632"/>
    <w:rsid w:val="0056489E"/>
    <w:rsid w:val="0056495B"/>
    <w:rsid w:val="00564A8E"/>
    <w:rsid w:val="00565264"/>
    <w:rsid w:val="005652A7"/>
    <w:rsid w:val="005654E4"/>
    <w:rsid w:val="00565538"/>
    <w:rsid w:val="00565612"/>
    <w:rsid w:val="00565F73"/>
    <w:rsid w:val="00565F98"/>
    <w:rsid w:val="00566EA8"/>
    <w:rsid w:val="005672F8"/>
    <w:rsid w:val="00567D31"/>
    <w:rsid w:val="00567F5D"/>
    <w:rsid w:val="00567F8C"/>
    <w:rsid w:val="005700D1"/>
    <w:rsid w:val="0057010D"/>
    <w:rsid w:val="0057061C"/>
    <w:rsid w:val="005707D4"/>
    <w:rsid w:val="00570B12"/>
    <w:rsid w:val="005712BC"/>
    <w:rsid w:val="005717C9"/>
    <w:rsid w:val="00571906"/>
    <w:rsid w:val="00571ED0"/>
    <w:rsid w:val="0057205F"/>
    <w:rsid w:val="00572206"/>
    <w:rsid w:val="00572500"/>
    <w:rsid w:val="00572504"/>
    <w:rsid w:val="00572631"/>
    <w:rsid w:val="00572783"/>
    <w:rsid w:val="005729C1"/>
    <w:rsid w:val="00573267"/>
    <w:rsid w:val="0057340E"/>
    <w:rsid w:val="0057360B"/>
    <w:rsid w:val="00573666"/>
    <w:rsid w:val="005738F3"/>
    <w:rsid w:val="00573935"/>
    <w:rsid w:val="00573A67"/>
    <w:rsid w:val="00573BFF"/>
    <w:rsid w:val="00573CB7"/>
    <w:rsid w:val="00573F2F"/>
    <w:rsid w:val="00574208"/>
    <w:rsid w:val="00574587"/>
    <w:rsid w:val="0057475A"/>
    <w:rsid w:val="005747B1"/>
    <w:rsid w:val="00574ECD"/>
    <w:rsid w:val="00575461"/>
    <w:rsid w:val="00575768"/>
    <w:rsid w:val="0057597C"/>
    <w:rsid w:val="00575B0E"/>
    <w:rsid w:val="00575BE3"/>
    <w:rsid w:val="00575FEB"/>
    <w:rsid w:val="005760AB"/>
    <w:rsid w:val="0057619B"/>
    <w:rsid w:val="00576426"/>
    <w:rsid w:val="00576505"/>
    <w:rsid w:val="005766DA"/>
    <w:rsid w:val="00576BCB"/>
    <w:rsid w:val="00576E36"/>
    <w:rsid w:val="00577085"/>
    <w:rsid w:val="005773DF"/>
    <w:rsid w:val="0057742D"/>
    <w:rsid w:val="005776C9"/>
    <w:rsid w:val="00577711"/>
    <w:rsid w:val="0057792E"/>
    <w:rsid w:val="00577A41"/>
    <w:rsid w:val="00577C7A"/>
    <w:rsid w:val="00577E69"/>
    <w:rsid w:val="005802D3"/>
    <w:rsid w:val="005804D5"/>
    <w:rsid w:val="0058069C"/>
    <w:rsid w:val="005808C2"/>
    <w:rsid w:val="005809B9"/>
    <w:rsid w:val="00580F90"/>
    <w:rsid w:val="00581046"/>
    <w:rsid w:val="00581B7A"/>
    <w:rsid w:val="00581CC8"/>
    <w:rsid w:val="00581EF8"/>
    <w:rsid w:val="00582030"/>
    <w:rsid w:val="0058240C"/>
    <w:rsid w:val="005825EA"/>
    <w:rsid w:val="0058286A"/>
    <w:rsid w:val="00582BAE"/>
    <w:rsid w:val="0058331F"/>
    <w:rsid w:val="005833E4"/>
    <w:rsid w:val="00583430"/>
    <w:rsid w:val="0058347D"/>
    <w:rsid w:val="00583F5C"/>
    <w:rsid w:val="0058424C"/>
    <w:rsid w:val="0058426C"/>
    <w:rsid w:val="00584419"/>
    <w:rsid w:val="005844D2"/>
    <w:rsid w:val="005844FB"/>
    <w:rsid w:val="00584618"/>
    <w:rsid w:val="00584651"/>
    <w:rsid w:val="005847C2"/>
    <w:rsid w:val="005849C7"/>
    <w:rsid w:val="00584B19"/>
    <w:rsid w:val="00584FD1"/>
    <w:rsid w:val="005850A9"/>
    <w:rsid w:val="00585231"/>
    <w:rsid w:val="0058534C"/>
    <w:rsid w:val="0058534E"/>
    <w:rsid w:val="0058539A"/>
    <w:rsid w:val="005853E4"/>
    <w:rsid w:val="00585507"/>
    <w:rsid w:val="005856FE"/>
    <w:rsid w:val="00585B36"/>
    <w:rsid w:val="00585DBD"/>
    <w:rsid w:val="00585DCE"/>
    <w:rsid w:val="00585DDA"/>
    <w:rsid w:val="00586566"/>
    <w:rsid w:val="00586675"/>
    <w:rsid w:val="005867FA"/>
    <w:rsid w:val="00586FF2"/>
    <w:rsid w:val="0058751A"/>
    <w:rsid w:val="00587835"/>
    <w:rsid w:val="00587B58"/>
    <w:rsid w:val="00587E8E"/>
    <w:rsid w:val="00587EFC"/>
    <w:rsid w:val="0059012F"/>
    <w:rsid w:val="00590401"/>
    <w:rsid w:val="00590726"/>
    <w:rsid w:val="005907D7"/>
    <w:rsid w:val="00590C21"/>
    <w:rsid w:val="0059127F"/>
    <w:rsid w:val="005913E0"/>
    <w:rsid w:val="0059159B"/>
    <w:rsid w:val="005917FC"/>
    <w:rsid w:val="00591896"/>
    <w:rsid w:val="00591ECC"/>
    <w:rsid w:val="0059206F"/>
    <w:rsid w:val="00592435"/>
    <w:rsid w:val="0059249C"/>
    <w:rsid w:val="00592594"/>
    <w:rsid w:val="0059285D"/>
    <w:rsid w:val="005928E4"/>
    <w:rsid w:val="00592922"/>
    <w:rsid w:val="00593291"/>
    <w:rsid w:val="00593366"/>
    <w:rsid w:val="005934CC"/>
    <w:rsid w:val="00593813"/>
    <w:rsid w:val="00593BB5"/>
    <w:rsid w:val="00593E32"/>
    <w:rsid w:val="00594053"/>
    <w:rsid w:val="0059418F"/>
    <w:rsid w:val="005944D7"/>
    <w:rsid w:val="0059460A"/>
    <w:rsid w:val="005952E6"/>
    <w:rsid w:val="005955BC"/>
    <w:rsid w:val="00595806"/>
    <w:rsid w:val="005958BF"/>
    <w:rsid w:val="0059592F"/>
    <w:rsid w:val="00595B44"/>
    <w:rsid w:val="0059653D"/>
    <w:rsid w:val="005967E5"/>
    <w:rsid w:val="005968B5"/>
    <w:rsid w:val="005969A1"/>
    <w:rsid w:val="00596AC0"/>
    <w:rsid w:val="00596D67"/>
    <w:rsid w:val="005971E1"/>
    <w:rsid w:val="0059726F"/>
    <w:rsid w:val="00597890"/>
    <w:rsid w:val="00597AB0"/>
    <w:rsid w:val="00597AC4"/>
    <w:rsid w:val="00597CA2"/>
    <w:rsid w:val="00597FB0"/>
    <w:rsid w:val="005A0488"/>
    <w:rsid w:val="005A0674"/>
    <w:rsid w:val="005A0B24"/>
    <w:rsid w:val="005A0CB4"/>
    <w:rsid w:val="005A0DFE"/>
    <w:rsid w:val="005A0F2C"/>
    <w:rsid w:val="005A1196"/>
    <w:rsid w:val="005A13B2"/>
    <w:rsid w:val="005A1573"/>
    <w:rsid w:val="005A16F0"/>
    <w:rsid w:val="005A186C"/>
    <w:rsid w:val="005A1BBB"/>
    <w:rsid w:val="005A1BEB"/>
    <w:rsid w:val="005A1EA3"/>
    <w:rsid w:val="005A23DA"/>
    <w:rsid w:val="005A2A4A"/>
    <w:rsid w:val="005A2C4C"/>
    <w:rsid w:val="005A2DE7"/>
    <w:rsid w:val="005A2EA3"/>
    <w:rsid w:val="005A30A4"/>
    <w:rsid w:val="005A350D"/>
    <w:rsid w:val="005A39EA"/>
    <w:rsid w:val="005A3B38"/>
    <w:rsid w:val="005A4238"/>
    <w:rsid w:val="005A4AE8"/>
    <w:rsid w:val="005A4DFD"/>
    <w:rsid w:val="005A4E52"/>
    <w:rsid w:val="005A4E90"/>
    <w:rsid w:val="005A571C"/>
    <w:rsid w:val="005A5829"/>
    <w:rsid w:val="005A5BC6"/>
    <w:rsid w:val="005A5DE9"/>
    <w:rsid w:val="005A5EFB"/>
    <w:rsid w:val="005A603C"/>
    <w:rsid w:val="005A624F"/>
    <w:rsid w:val="005A6362"/>
    <w:rsid w:val="005A661E"/>
    <w:rsid w:val="005A666B"/>
    <w:rsid w:val="005A698B"/>
    <w:rsid w:val="005A6A7B"/>
    <w:rsid w:val="005A6B8F"/>
    <w:rsid w:val="005A6E6F"/>
    <w:rsid w:val="005A70D4"/>
    <w:rsid w:val="005A760A"/>
    <w:rsid w:val="005A7811"/>
    <w:rsid w:val="005A7B0C"/>
    <w:rsid w:val="005B0BFA"/>
    <w:rsid w:val="005B17F0"/>
    <w:rsid w:val="005B21AE"/>
    <w:rsid w:val="005B2485"/>
    <w:rsid w:val="005B29AC"/>
    <w:rsid w:val="005B2B50"/>
    <w:rsid w:val="005B2D1F"/>
    <w:rsid w:val="005B3992"/>
    <w:rsid w:val="005B39C0"/>
    <w:rsid w:val="005B3BE5"/>
    <w:rsid w:val="005B3DBD"/>
    <w:rsid w:val="005B40FE"/>
    <w:rsid w:val="005B4182"/>
    <w:rsid w:val="005B4280"/>
    <w:rsid w:val="005B4376"/>
    <w:rsid w:val="005B46C9"/>
    <w:rsid w:val="005B4F23"/>
    <w:rsid w:val="005B5084"/>
    <w:rsid w:val="005B519B"/>
    <w:rsid w:val="005B529A"/>
    <w:rsid w:val="005B564B"/>
    <w:rsid w:val="005B56D7"/>
    <w:rsid w:val="005B5A74"/>
    <w:rsid w:val="005B5A8C"/>
    <w:rsid w:val="005B5E10"/>
    <w:rsid w:val="005B6161"/>
    <w:rsid w:val="005B65E0"/>
    <w:rsid w:val="005B6666"/>
    <w:rsid w:val="005B6AC4"/>
    <w:rsid w:val="005B7047"/>
    <w:rsid w:val="005B707A"/>
    <w:rsid w:val="005B7415"/>
    <w:rsid w:val="005B7604"/>
    <w:rsid w:val="005B77C4"/>
    <w:rsid w:val="005B79F6"/>
    <w:rsid w:val="005B7A3F"/>
    <w:rsid w:val="005B7F5B"/>
    <w:rsid w:val="005C0178"/>
    <w:rsid w:val="005C018D"/>
    <w:rsid w:val="005C0718"/>
    <w:rsid w:val="005C0911"/>
    <w:rsid w:val="005C0A60"/>
    <w:rsid w:val="005C125A"/>
    <w:rsid w:val="005C1C0A"/>
    <w:rsid w:val="005C1CAA"/>
    <w:rsid w:val="005C1D6A"/>
    <w:rsid w:val="005C21E6"/>
    <w:rsid w:val="005C223B"/>
    <w:rsid w:val="005C2393"/>
    <w:rsid w:val="005C2638"/>
    <w:rsid w:val="005C2BA6"/>
    <w:rsid w:val="005C2D65"/>
    <w:rsid w:val="005C2E9E"/>
    <w:rsid w:val="005C305A"/>
    <w:rsid w:val="005C3086"/>
    <w:rsid w:val="005C30BC"/>
    <w:rsid w:val="005C363E"/>
    <w:rsid w:val="005C37BA"/>
    <w:rsid w:val="005C3F49"/>
    <w:rsid w:val="005C401E"/>
    <w:rsid w:val="005C415B"/>
    <w:rsid w:val="005C4F69"/>
    <w:rsid w:val="005C50AA"/>
    <w:rsid w:val="005C5122"/>
    <w:rsid w:val="005C52E1"/>
    <w:rsid w:val="005C54D5"/>
    <w:rsid w:val="005C581B"/>
    <w:rsid w:val="005C5ED8"/>
    <w:rsid w:val="005C606A"/>
    <w:rsid w:val="005C6211"/>
    <w:rsid w:val="005C6590"/>
    <w:rsid w:val="005C65CE"/>
    <w:rsid w:val="005C6C2C"/>
    <w:rsid w:val="005C6FB2"/>
    <w:rsid w:val="005C715B"/>
    <w:rsid w:val="005C72B5"/>
    <w:rsid w:val="005C7314"/>
    <w:rsid w:val="005C7A46"/>
    <w:rsid w:val="005C7A77"/>
    <w:rsid w:val="005C7AEE"/>
    <w:rsid w:val="005C7F62"/>
    <w:rsid w:val="005D018B"/>
    <w:rsid w:val="005D0198"/>
    <w:rsid w:val="005D01C5"/>
    <w:rsid w:val="005D03EE"/>
    <w:rsid w:val="005D0467"/>
    <w:rsid w:val="005D073B"/>
    <w:rsid w:val="005D0A6C"/>
    <w:rsid w:val="005D12B7"/>
    <w:rsid w:val="005D1698"/>
    <w:rsid w:val="005D16EA"/>
    <w:rsid w:val="005D1B54"/>
    <w:rsid w:val="005D2057"/>
    <w:rsid w:val="005D2DEC"/>
    <w:rsid w:val="005D336F"/>
    <w:rsid w:val="005D34B5"/>
    <w:rsid w:val="005D3801"/>
    <w:rsid w:val="005D39C2"/>
    <w:rsid w:val="005D3C02"/>
    <w:rsid w:val="005D41FF"/>
    <w:rsid w:val="005D4573"/>
    <w:rsid w:val="005D4887"/>
    <w:rsid w:val="005D4A9D"/>
    <w:rsid w:val="005D4AEF"/>
    <w:rsid w:val="005D4C6F"/>
    <w:rsid w:val="005D4F73"/>
    <w:rsid w:val="005D5797"/>
    <w:rsid w:val="005D591D"/>
    <w:rsid w:val="005D59AC"/>
    <w:rsid w:val="005D5C2E"/>
    <w:rsid w:val="005D5C4A"/>
    <w:rsid w:val="005D5D36"/>
    <w:rsid w:val="005D5D99"/>
    <w:rsid w:val="005D6058"/>
    <w:rsid w:val="005D67CF"/>
    <w:rsid w:val="005D6BD6"/>
    <w:rsid w:val="005D6C44"/>
    <w:rsid w:val="005D6D6C"/>
    <w:rsid w:val="005D6E28"/>
    <w:rsid w:val="005D751C"/>
    <w:rsid w:val="005D75D2"/>
    <w:rsid w:val="005D7CD7"/>
    <w:rsid w:val="005E0124"/>
    <w:rsid w:val="005E0372"/>
    <w:rsid w:val="005E0C7E"/>
    <w:rsid w:val="005E0EB7"/>
    <w:rsid w:val="005E1234"/>
    <w:rsid w:val="005E1237"/>
    <w:rsid w:val="005E129D"/>
    <w:rsid w:val="005E14F9"/>
    <w:rsid w:val="005E19FB"/>
    <w:rsid w:val="005E1A6C"/>
    <w:rsid w:val="005E2B6C"/>
    <w:rsid w:val="005E2BA0"/>
    <w:rsid w:val="005E30E7"/>
    <w:rsid w:val="005E35A0"/>
    <w:rsid w:val="005E3B5E"/>
    <w:rsid w:val="005E3FC3"/>
    <w:rsid w:val="005E410E"/>
    <w:rsid w:val="005E426D"/>
    <w:rsid w:val="005E431A"/>
    <w:rsid w:val="005E45FF"/>
    <w:rsid w:val="005E46F7"/>
    <w:rsid w:val="005E47A0"/>
    <w:rsid w:val="005E4BB1"/>
    <w:rsid w:val="005E4D67"/>
    <w:rsid w:val="005E5021"/>
    <w:rsid w:val="005E5168"/>
    <w:rsid w:val="005E5345"/>
    <w:rsid w:val="005E56FF"/>
    <w:rsid w:val="005E57EE"/>
    <w:rsid w:val="005E59EC"/>
    <w:rsid w:val="005E5D4E"/>
    <w:rsid w:val="005E6066"/>
    <w:rsid w:val="005E624A"/>
    <w:rsid w:val="005E6396"/>
    <w:rsid w:val="005E6C3B"/>
    <w:rsid w:val="005E6C70"/>
    <w:rsid w:val="005E6CBC"/>
    <w:rsid w:val="005E6F6D"/>
    <w:rsid w:val="005E6FCD"/>
    <w:rsid w:val="005E7094"/>
    <w:rsid w:val="005E7102"/>
    <w:rsid w:val="005E7199"/>
    <w:rsid w:val="005E729E"/>
    <w:rsid w:val="005E767C"/>
    <w:rsid w:val="005E7917"/>
    <w:rsid w:val="005E7AB2"/>
    <w:rsid w:val="005F044C"/>
    <w:rsid w:val="005F05D4"/>
    <w:rsid w:val="005F09E5"/>
    <w:rsid w:val="005F1267"/>
    <w:rsid w:val="005F13F7"/>
    <w:rsid w:val="005F166A"/>
    <w:rsid w:val="005F1D15"/>
    <w:rsid w:val="005F1DC2"/>
    <w:rsid w:val="005F25E3"/>
    <w:rsid w:val="005F2864"/>
    <w:rsid w:val="005F2EE3"/>
    <w:rsid w:val="005F3121"/>
    <w:rsid w:val="005F32A4"/>
    <w:rsid w:val="005F341B"/>
    <w:rsid w:val="005F3431"/>
    <w:rsid w:val="005F3CEB"/>
    <w:rsid w:val="005F3EB9"/>
    <w:rsid w:val="005F4297"/>
    <w:rsid w:val="005F4716"/>
    <w:rsid w:val="005F48D5"/>
    <w:rsid w:val="005F4B6D"/>
    <w:rsid w:val="005F5388"/>
    <w:rsid w:val="005F5394"/>
    <w:rsid w:val="005F5A5A"/>
    <w:rsid w:val="005F5B1D"/>
    <w:rsid w:val="005F6349"/>
    <w:rsid w:val="005F6794"/>
    <w:rsid w:val="005F69DF"/>
    <w:rsid w:val="005F6AA9"/>
    <w:rsid w:val="005F6B22"/>
    <w:rsid w:val="005F6B31"/>
    <w:rsid w:val="005F6FA5"/>
    <w:rsid w:val="005F6FD6"/>
    <w:rsid w:val="005F6FEA"/>
    <w:rsid w:val="005F70B7"/>
    <w:rsid w:val="005F7437"/>
    <w:rsid w:val="005F79C4"/>
    <w:rsid w:val="006003E4"/>
    <w:rsid w:val="0060046C"/>
    <w:rsid w:val="00600593"/>
    <w:rsid w:val="0060065F"/>
    <w:rsid w:val="00600783"/>
    <w:rsid w:val="0060080D"/>
    <w:rsid w:val="00600C0A"/>
    <w:rsid w:val="00600DC8"/>
    <w:rsid w:val="006018DC"/>
    <w:rsid w:val="006019D7"/>
    <w:rsid w:val="006021CD"/>
    <w:rsid w:val="006022C3"/>
    <w:rsid w:val="00602821"/>
    <w:rsid w:val="00602911"/>
    <w:rsid w:val="00603078"/>
    <w:rsid w:val="00603127"/>
    <w:rsid w:val="006031D7"/>
    <w:rsid w:val="00603417"/>
    <w:rsid w:val="006035F0"/>
    <w:rsid w:val="00603956"/>
    <w:rsid w:val="006039BF"/>
    <w:rsid w:val="00603A3B"/>
    <w:rsid w:val="00603DBA"/>
    <w:rsid w:val="00603E68"/>
    <w:rsid w:val="00603FF0"/>
    <w:rsid w:val="00604025"/>
    <w:rsid w:val="00604480"/>
    <w:rsid w:val="0060454D"/>
    <w:rsid w:val="00604CC1"/>
    <w:rsid w:val="00604E25"/>
    <w:rsid w:val="00604E72"/>
    <w:rsid w:val="00604F3B"/>
    <w:rsid w:val="0060525C"/>
    <w:rsid w:val="00605779"/>
    <w:rsid w:val="00605F87"/>
    <w:rsid w:val="006060A2"/>
    <w:rsid w:val="00606480"/>
    <w:rsid w:val="006069B0"/>
    <w:rsid w:val="00606A2B"/>
    <w:rsid w:val="00607024"/>
    <w:rsid w:val="0060724B"/>
    <w:rsid w:val="006076B9"/>
    <w:rsid w:val="00607983"/>
    <w:rsid w:val="00607F89"/>
    <w:rsid w:val="0061040D"/>
    <w:rsid w:val="00610993"/>
    <w:rsid w:val="00610A5F"/>
    <w:rsid w:val="00610B26"/>
    <w:rsid w:val="0061174E"/>
    <w:rsid w:val="006119B2"/>
    <w:rsid w:val="00611ACB"/>
    <w:rsid w:val="00612076"/>
    <w:rsid w:val="006125F2"/>
    <w:rsid w:val="006126FB"/>
    <w:rsid w:val="006127C4"/>
    <w:rsid w:val="006129A2"/>
    <w:rsid w:val="006129ED"/>
    <w:rsid w:val="006129F7"/>
    <w:rsid w:val="00612B41"/>
    <w:rsid w:val="00612B50"/>
    <w:rsid w:val="00612B87"/>
    <w:rsid w:val="00612BF3"/>
    <w:rsid w:val="00612D15"/>
    <w:rsid w:val="00612E5E"/>
    <w:rsid w:val="00612E9A"/>
    <w:rsid w:val="0061398F"/>
    <w:rsid w:val="00614229"/>
    <w:rsid w:val="00614533"/>
    <w:rsid w:val="006146B7"/>
    <w:rsid w:val="00614A3A"/>
    <w:rsid w:val="00614CBF"/>
    <w:rsid w:val="00614CEF"/>
    <w:rsid w:val="0061508B"/>
    <w:rsid w:val="00615395"/>
    <w:rsid w:val="00615C2A"/>
    <w:rsid w:val="00615D18"/>
    <w:rsid w:val="00615D8F"/>
    <w:rsid w:val="006160C8"/>
    <w:rsid w:val="006161B0"/>
    <w:rsid w:val="00616462"/>
    <w:rsid w:val="00616707"/>
    <w:rsid w:val="006168D5"/>
    <w:rsid w:val="00616E5D"/>
    <w:rsid w:val="006170FA"/>
    <w:rsid w:val="00617539"/>
    <w:rsid w:val="006178D5"/>
    <w:rsid w:val="00617A1A"/>
    <w:rsid w:val="00617C74"/>
    <w:rsid w:val="00617D42"/>
    <w:rsid w:val="00617D67"/>
    <w:rsid w:val="00620296"/>
    <w:rsid w:val="006202A5"/>
    <w:rsid w:val="00620374"/>
    <w:rsid w:val="0062044E"/>
    <w:rsid w:val="00620D77"/>
    <w:rsid w:val="00620D8F"/>
    <w:rsid w:val="00620FC0"/>
    <w:rsid w:val="00621243"/>
    <w:rsid w:val="00621350"/>
    <w:rsid w:val="00621892"/>
    <w:rsid w:val="006218F9"/>
    <w:rsid w:val="00621A38"/>
    <w:rsid w:val="00621AAE"/>
    <w:rsid w:val="00621C95"/>
    <w:rsid w:val="00621CB1"/>
    <w:rsid w:val="00621D84"/>
    <w:rsid w:val="00622573"/>
    <w:rsid w:val="00622689"/>
    <w:rsid w:val="00623260"/>
    <w:rsid w:val="00623812"/>
    <w:rsid w:val="00623ADE"/>
    <w:rsid w:val="00624415"/>
    <w:rsid w:val="0062454F"/>
    <w:rsid w:val="00624884"/>
    <w:rsid w:val="00624897"/>
    <w:rsid w:val="00624A1A"/>
    <w:rsid w:val="00624AEE"/>
    <w:rsid w:val="00624FEA"/>
    <w:rsid w:val="00625005"/>
    <w:rsid w:val="0062525A"/>
    <w:rsid w:val="0062547C"/>
    <w:rsid w:val="00625599"/>
    <w:rsid w:val="006255D9"/>
    <w:rsid w:val="00625FDE"/>
    <w:rsid w:val="00626172"/>
    <w:rsid w:val="006265DD"/>
    <w:rsid w:val="00626742"/>
    <w:rsid w:val="0062695E"/>
    <w:rsid w:val="00626CFE"/>
    <w:rsid w:val="00626E85"/>
    <w:rsid w:val="00627A1C"/>
    <w:rsid w:val="00627B1C"/>
    <w:rsid w:val="00630034"/>
    <w:rsid w:val="00630304"/>
    <w:rsid w:val="00630D0C"/>
    <w:rsid w:val="00630E1D"/>
    <w:rsid w:val="00631172"/>
    <w:rsid w:val="0063134D"/>
    <w:rsid w:val="006314D5"/>
    <w:rsid w:val="00631A32"/>
    <w:rsid w:val="00632203"/>
    <w:rsid w:val="00632E38"/>
    <w:rsid w:val="00632FA4"/>
    <w:rsid w:val="00632FDB"/>
    <w:rsid w:val="00633371"/>
    <w:rsid w:val="00633712"/>
    <w:rsid w:val="00633C53"/>
    <w:rsid w:val="00633DFC"/>
    <w:rsid w:val="00633F6C"/>
    <w:rsid w:val="00634311"/>
    <w:rsid w:val="00634643"/>
    <w:rsid w:val="0063464D"/>
    <w:rsid w:val="00634813"/>
    <w:rsid w:val="006356F1"/>
    <w:rsid w:val="00636060"/>
    <w:rsid w:val="00636442"/>
    <w:rsid w:val="0063693A"/>
    <w:rsid w:val="00636EE6"/>
    <w:rsid w:val="0063701A"/>
    <w:rsid w:val="00637085"/>
    <w:rsid w:val="006372D1"/>
    <w:rsid w:val="00637381"/>
    <w:rsid w:val="00637559"/>
    <w:rsid w:val="006379EC"/>
    <w:rsid w:val="006379FF"/>
    <w:rsid w:val="00637BBF"/>
    <w:rsid w:val="00637D24"/>
    <w:rsid w:val="006402AC"/>
    <w:rsid w:val="006403F5"/>
    <w:rsid w:val="00640414"/>
    <w:rsid w:val="006405BB"/>
    <w:rsid w:val="006409EA"/>
    <w:rsid w:val="00640A3D"/>
    <w:rsid w:val="00640C17"/>
    <w:rsid w:val="00640C65"/>
    <w:rsid w:val="00640CB5"/>
    <w:rsid w:val="00640CC2"/>
    <w:rsid w:val="00640FDE"/>
    <w:rsid w:val="006412E9"/>
    <w:rsid w:val="00641432"/>
    <w:rsid w:val="00641C40"/>
    <w:rsid w:val="00641CB0"/>
    <w:rsid w:val="00642192"/>
    <w:rsid w:val="00642333"/>
    <w:rsid w:val="00642446"/>
    <w:rsid w:val="00642776"/>
    <w:rsid w:val="00642BE8"/>
    <w:rsid w:val="00642E54"/>
    <w:rsid w:val="00643018"/>
    <w:rsid w:val="00643594"/>
    <w:rsid w:val="006437A8"/>
    <w:rsid w:val="006438E6"/>
    <w:rsid w:val="00643C13"/>
    <w:rsid w:val="00643E5A"/>
    <w:rsid w:val="00643FE5"/>
    <w:rsid w:val="006441C1"/>
    <w:rsid w:val="00644387"/>
    <w:rsid w:val="006445C5"/>
    <w:rsid w:val="00644A9E"/>
    <w:rsid w:val="00644B29"/>
    <w:rsid w:val="00644C82"/>
    <w:rsid w:val="00644D46"/>
    <w:rsid w:val="00644F5A"/>
    <w:rsid w:val="0064519D"/>
    <w:rsid w:val="00645BF2"/>
    <w:rsid w:val="00645D73"/>
    <w:rsid w:val="006466FE"/>
    <w:rsid w:val="00646908"/>
    <w:rsid w:val="00646B5A"/>
    <w:rsid w:val="0064729A"/>
    <w:rsid w:val="006473B1"/>
    <w:rsid w:val="0064758A"/>
    <w:rsid w:val="006476D1"/>
    <w:rsid w:val="0064777D"/>
    <w:rsid w:val="006478E1"/>
    <w:rsid w:val="00647DAE"/>
    <w:rsid w:val="00647DE6"/>
    <w:rsid w:val="0065002B"/>
    <w:rsid w:val="0065031F"/>
    <w:rsid w:val="00650AAB"/>
    <w:rsid w:val="00650E6D"/>
    <w:rsid w:val="00650EFF"/>
    <w:rsid w:val="0065120E"/>
    <w:rsid w:val="006512A2"/>
    <w:rsid w:val="00651617"/>
    <w:rsid w:val="00651871"/>
    <w:rsid w:val="006518DC"/>
    <w:rsid w:val="00651B99"/>
    <w:rsid w:val="00651D09"/>
    <w:rsid w:val="00651EDA"/>
    <w:rsid w:val="00652442"/>
    <w:rsid w:val="00652CD5"/>
    <w:rsid w:val="0065356B"/>
    <w:rsid w:val="006535D0"/>
    <w:rsid w:val="006536DF"/>
    <w:rsid w:val="006537DD"/>
    <w:rsid w:val="00653DA4"/>
    <w:rsid w:val="00653DAF"/>
    <w:rsid w:val="00653DE7"/>
    <w:rsid w:val="00654559"/>
    <w:rsid w:val="0065456A"/>
    <w:rsid w:val="006546EC"/>
    <w:rsid w:val="006547B3"/>
    <w:rsid w:val="00654A97"/>
    <w:rsid w:val="00654BE0"/>
    <w:rsid w:val="00654C08"/>
    <w:rsid w:val="0065516D"/>
    <w:rsid w:val="00655401"/>
    <w:rsid w:val="00655489"/>
    <w:rsid w:val="006559BB"/>
    <w:rsid w:val="006562A8"/>
    <w:rsid w:val="006568EB"/>
    <w:rsid w:val="00656B42"/>
    <w:rsid w:val="00656BBD"/>
    <w:rsid w:val="006573DF"/>
    <w:rsid w:val="00657534"/>
    <w:rsid w:val="00657848"/>
    <w:rsid w:val="00657A0B"/>
    <w:rsid w:val="00657BD2"/>
    <w:rsid w:val="00657BD7"/>
    <w:rsid w:val="00657D2E"/>
    <w:rsid w:val="00657DE9"/>
    <w:rsid w:val="00657E0E"/>
    <w:rsid w:val="00660A7D"/>
    <w:rsid w:val="00660F77"/>
    <w:rsid w:val="006610BB"/>
    <w:rsid w:val="0066117B"/>
    <w:rsid w:val="00661706"/>
    <w:rsid w:val="00661782"/>
    <w:rsid w:val="006618F0"/>
    <w:rsid w:val="00661A43"/>
    <w:rsid w:val="00661C39"/>
    <w:rsid w:val="00661E00"/>
    <w:rsid w:val="00661E5D"/>
    <w:rsid w:val="006621BC"/>
    <w:rsid w:val="006625AB"/>
    <w:rsid w:val="00662603"/>
    <w:rsid w:val="00663131"/>
    <w:rsid w:val="00663165"/>
    <w:rsid w:val="00663543"/>
    <w:rsid w:val="00663803"/>
    <w:rsid w:val="006640B9"/>
    <w:rsid w:val="00664283"/>
    <w:rsid w:val="006650B4"/>
    <w:rsid w:val="006651BB"/>
    <w:rsid w:val="0066542B"/>
    <w:rsid w:val="0066563C"/>
    <w:rsid w:val="00665929"/>
    <w:rsid w:val="00665B65"/>
    <w:rsid w:val="00665EEF"/>
    <w:rsid w:val="00666074"/>
    <w:rsid w:val="00666163"/>
    <w:rsid w:val="006661C8"/>
    <w:rsid w:val="00666702"/>
    <w:rsid w:val="00666860"/>
    <w:rsid w:val="00666C3C"/>
    <w:rsid w:val="006679D5"/>
    <w:rsid w:val="00670174"/>
    <w:rsid w:val="006703E3"/>
    <w:rsid w:val="00670790"/>
    <w:rsid w:val="00670D18"/>
    <w:rsid w:val="00670EC3"/>
    <w:rsid w:val="00671034"/>
    <w:rsid w:val="006713B9"/>
    <w:rsid w:val="00671643"/>
    <w:rsid w:val="00671990"/>
    <w:rsid w:val="0067199F"/>
    <w:rsid w:val="00671DA9"/>
    <w:rsid w:val="006724CC"/>
    <w:rsid w:val="00672714"/>
    <w:rsid w:val="00672D1A"/>
    <w:rsid w:val="006739C4"/>
    <w:rsid w:val="00673AF2"/>
    <w:rsid w:val="00673C2E"/>
    <w:rsid w:val="00673F42"/>
    <w:rsid w:val="006741A4"/>
    <w:rsid w:val="006744EF"/>
    <w:rsid w:val="00674814"/>
    <w:rsid w:val="00674B19"/>
    <w:rsid w:val="006752AC"/>
    <w:rsid w:val="006753E7"/>
    <w:rsid w:val="00675524"/>
    <w:rsid w:val="00675E4C"/>
    <w:rsid w:val="00676511"/>
    <w:rsid w:val="00676D74"/>
    <w:rsid w:val="006770ED"/>
    <w:rsid w:val="00677306"/>
    <w:rsid w:val="006776F4"/>
    <w:rsid w:val="00677C42"/>
    <w:rsid w:val="00677C53"/>
    <w:rsid w:val="006801CF"/>
    <w:rsid w:val="006806DE"/>
    <w:rsid w:val="006806E4"/>
    <w:rsid w:val="006807F7"/>
    <w:rsid w:val="00680BFF"/>
    <w:rsid w:val="00680F53"/>
    <w:rsid w:val="0068129B"/>
    <w:rsid w:val="00681633"/>
    <w:rsid w:val="00681795"/>
    <w:rsid w:val="00681914"/>
    <w:rsid w:val="0068196A"/>
    <w:rsid w:val="00681A7C"/>
    <w:rsid w:val="00681CF8"/>
    <w:rsid w:val="00681DF9"/>
    <w:rsid w:val="00681F56"/>
    <w:rsid w:val="006824C3"/>
    <w:rsid w:val="006826B3"/>
    <w:rsid w:val="006826B4"/>
    <w:rsid w:val="00682BF5"/>
    <w:rsid w:val="00682EB2"/>
    <w:rsid w:val="006834D8"/>
    <w:rsid w:val="006835B0"/>
    <w:rsid w:val="0068397D"/>
    <w:rsid w:val="00683A7B"/>
    <w:rsid w:val="00684077"/>
    <w:rsid w:val="00684118"/>
    <w:rsid w:val="00684229"/>
    <w:rsid w:val="0068497F"/>
    <w:rsid w:val="00684E45"/>
    <w:rsid w:val="00685B4D"/>
    <w:rsid w:val="00685DE0"/>
    <w:rsid w:val="00685FA9"/>
    <w:rsid w:val="00686055"/>
    <w:rsid w:val="00686130"/>
    <w:rsid w:val="00686217"/>
    <w:rsid w:val="00686246"/>
    <w:rsid w:val="006863A6"/>
    <w:rsid w:val="00686BF3"/>
    <w:rsid w:val="00687074"/>
    <w:rsid w:val="00687F33"/>
    <w:rsid w:val="0069000B"/>
    <w:rsid w:val="00690119"/>
    <w:rsid w:val="00690142"/>
    <w:rsid w:val="0069072D"/>
    <w:rsid w:val="0069080F"/>
    <w:rsid w:val="00691159"/>
    <w:rsid w:val="00691A48"/>
    <w:rsid w:val="00691BB4"/>
    <w:rsid w:val="00691D73"/>
    <w:rsid w:val="00691DDC"/>
    <w:rsid w:val="00691ED2"/>
    <w:rsid w:val="00691F30"/>
    <w:rsid w:val="006922D8"/>
    <w:rsid w:val="006923AC"/>
    <w:rsid w:val="0069254D"/>
    <w:rsid w:val="006925E6"/>
    <w:rsid w:val="0069272D"/>
    <w:rsid w:val="00692750"/>
    <w:rsid w:val="00692C73"/>
    <w:rsid w:val="0069341B"/>
    <w:rsid w:val="0069348E"/>
    <w:rsid w:val="006937BE"/>
    <w:rsid w:val="00693C93"/>
    <w:rsid w:val="00693FD6"/>
    <w:rsid w:val="006941A8"/>
    <w:rsid w:val="0069433B"/>
    <w:rsid w:val="00694D04"/>
    <w:rsid w:val="00694FFB"/>
    <w:rsid w:val="00695763"/>
    <w:rsid w:val="00695AA5"/>
    <w:rsid w:val="00695C97"/>
    <w:rsid w:val="00695E1B"/>
    <w:rsid w:val="00695EA2"/>
    <w:rsid w:val="0069643D"/>
    <w:rsid w:val="006964F3"/>
    <w:rsid w:val="00696B44"/>
    <w:rsid w:val="00697123"/>
    <w:rsid w:val="00697629"/>
    <w:rsid w:val="00697844"/>
    <w:rsid w:val="006979F4"/>
    <w:rsid w:val="00697ADC"/>
    <w:rsid w:val="00697C62"/>
    <w:rsid w:val="006A019E"/>
    <w:rsid w:val="006A01BB"/>
    <w:rsid w:val="006A0305"/>
    <w:rsid w:val="006A04D3"/>
    <w:rsid w:val="006A05C5"/>
    <w:rsid w:val="006A0903"/>
    <w:rsid w:val="006A0DDF"/>
    <w:rsid w:val="006A1091"/>
    <w:rsid w:val="006A15DC"/>
    <w:rsid w:val="006A190E"/>
    <w:rsid w:val="006A1971"/>
    <w:rsid w:val="006A1A96"/>
    <w:rsid w:val="006A1FC5"/>
    <w:rsid w:val="006A23B0"/>
    <w:rsid w:val="006A23F2"/>
    <w:rsid w:val="006A2529"/>
    <w:rsid w:val="006A273F"/>
    <w:rsid w:val="006A29C7"/>
    <w:rsid w:val="006A2C05"/>
    <w:rsid w:val="006A2F31"/>
    <w:rsid w:val="006A3120"/>
    <w:rsid w:val="006A31A4"/>
    <w:rsid w:val="006A33B7"/>
    <w:rsid w:val="006A34DE"/>
    <w:rsid w:val="006A3509"/>
    <w:rsid w:val="006A3595"/>
    <w:rsid w:val="006A37FE"/>
    <w:rsid w:val="006A39C8"/>
    <w:rsid w:val="006A422E"/>
    <w:rsid w:val="006A4495"/>
    <w:rsid w:val="006A456D"/>
    <w:rsid w:val="006A48E0"/>
    <w:rsid w:val="006A4927"/>
    <w:rsid w:val="006A49F7"/>
    <w:rsid w:val="006A4DD4"/>
    <w:rsid w:val="006A4E9B"/>
    <w:rsid w:val="006A65BB"/>
    <w:rsid w:val="006A6AAF"/>
    <w:rsid w:val="006A7042"/>
    <w:rsid w:val="006A711E"/>
    <w:rsid w:val="006A72B3"/>
    <w:rsid w:val="006A76BD"/>
    <w:rsid w:val="006A7948"/>
    <w:rsid w:val="006A7A42"/>
    <w:rsid w:val="006A7BB0"/>
    <w:rsid w:val="006B020A"/>
    <w:rsid w:val="006B0312"/>
    <w:rsid w:val="006B0B35"/>
    <w:rsid w:val="006B0E0C"/>
    <w:rsid w:val="006B0F4F"/>
    <w:rsid w:val="006B10C7"/>
    <w:rsid w:val="006B1367"/>
    <w:rsid w:val="006B143F"/>
    <w:rsid w:val="006B164D"/>
    <w:rsid w:val="006B1AF7"/>
    <w:rsid w:val="006B1CDB"/>
    <w:rsid w:val="006B1EC6"/>
    <w:rsid w:val="006B20F2"/>
    <w:rsid w:val="006B211B"/>
    <w:rsid w:val="006B214B"/>
    <w:rsid w:val="006B2418"/>
    <w:rsid w:val="006B248F"/>
    <w:rsid w:val="006B2BA0"/>
    <w:rsid w:val="006B300A"/>
    <w:rsid w:val="006B30D1"/>
    <w:rsid w:val="006B324A"/>
    <w:rsid w:val="006B3453"/>
    <w:rsid w:val="006B3C14"/>
    <w:rsid w:val="006B3C59"/>
    <w:rsid w:val="006B44A7"/>
    <w:rsid w:val="006B464B"/>
    <w:rsid w:val="006B4692"/>
    <w:rsid w:val="006B4853"/>
    <w:rsid w:val="006B4EC6"/>
    <w:rsid w:val="006B5008"/>
    <w:rsid w:val="006B519B"/>
    <w:rsid w:val="006B5218"/>
    <w:rsid w:val="006B5468"/>
    <w:rsid w:val="006B56C7"/>
    <w:rsid w:val="006B58EE"/>
    <w:rsid w:val="006B59DE"/>
    <w:rsid w:val="006B5E88"/>
    <w:rsid w:val="006B637A"/>
    <w:rsid w:val="006B653B"/>
    <w:rsid w:val="006B663E"/>
    <w:rsid w:val="006B69BE"/>
    <w:rsid w:val="006B6B41"/>
    <w:rsid w:val="006B6C69"/>
    <w:rsid w:val="006B73D8"/>
    <w:rsid w:val="006B79BA"/>
    <w:rsid w:val="006B7B64"/>
    <w:rsid w:val="006B7B6E"/>
    <w:rsid w:val="006B7B91"/>
    <w:rsid w:val="006B7D19"/>
    <w:rsid w:val="006C08F9"/>
    <w:rsid w:val="006C092E"/>
    <w:rsid w:val="006C0C3E"/>
    <w:rsid w:val="006C0E08"/>
    <w:rsid w:val="006C0E80"/>
    <w:rsid w:val="006C1086"/>
    <w:rsid w:val="006C1C27"/>
    <w:rsid w:val="006C24B1"/>
    <w:rsid w:val="006C2530"/>
    <w:rsid w:val="006C2627"/>
    <w:rsid w:val="006C268C"/>
    <w:rsid w:val="006C271D"/>
    <w:rsid w:val="006C285D"/>
    <w:rsid w:val="006C30CD"/>
    <w:rsid w:val="006C3284"/>
    <w:rsid w:val="006C3966"/>
    <w:rsid w:val="006C3F49"/>
    <w:rsid w:val="006C3FF0"/>
    <w:rsid w:val="006C4601"/>
    <w:rsid w:val="006C4A85"/>
    <w:rsid w:val="006C4D8A"/>
    <w:rsid w:val="006C4F60"/>
    <w:rsid w:val="006C5322"/>
    <w:rsid w:val="006C5690"/>
    <w:rsid w:val="006C5DEF"/>
    <w:rsid w:val="006C5F14"/>
    <w:rsid w:val="006C6052"/>
    <w:rsid w:val="006C6289"/>
    <w:rsid w:val="006C676D"/>
    <w:rsid w:val="006C6901"/>
    <w:rsid w:val="006C69D8"/>
    <w:rsid w:val="006C6A3B"/>
    <w:rsid w:val="006C6E53"/>
    <w:rsid w:val="006C729B"/>
    <w:rsid w:val="006C7465"/>
    <w:rsid w:val="006C7552"/>
    <w:rsid w:val="006C77DA"/>
    <w:rsid w:val="006C77E9"/>
    <w:rsid w:val="006C78AE"/>
    <w:rsid w:val="006C7D3C"/>
    <w:rsid w:val="006D0439"/>
    <w:rsid w:val="006D069E"/>
    <w:rsid w:val="006D06C1"/>
    <w:rsid w:val="006D06EC"/>
    <w:rsid w:val="006D06FC"/>
    <w:rsid w:val="006D0D00"/>
    <w:rsid w:val="006D0DB7"/>
    <w:rsid w:val="006D16A4"/>
    <w:rsid w:val="006D1E53"/>
    <w:rsid w:val="006D233B"/>
    <w:rsid w:val="006D2BA7"/>
    <w:rsid w:val="006D2CB6"/>
    <w:rsid w:val="006D2DD6"/>
    <w:rsid w:val="006D30C4"/>
    <w:rsid w:val="006D3103"/>
    <w:rsid w:val="006D3573"/>
    <w:rsid w:val="006D35D3"/>
    <w:rsid w:val="006D3DFC"/>
    <w:rsid w:val="006D4196"/>
    <w:rsid w:val="006D41AD"/>
    <w:rsid w:val="006D41D2"/>
    <w:rsid w:val="006D42EF"/>
    <w:rsid w:val="006D43B2"/>
    <w:rsid w:val="006D45DC"/>
    <w:rsid w:val="006D5552"/>
    <w:rsid w:val="006D59C8"/>
    <w:rsid w:val="006D5A55"/>
    <w:rsid w:val="006D5A82"/>
    <w:rsid w:val="006D5E9A"/>
    <w:rsid w:val="006D642F"/>
    <w:rsid w:val="006D657E"/>
    <w:rsid w:val="006D6C8B"/>
    <w:rsid w:val="006D6CB8"/>
    <w:rsid w:val="006D6CE5"/>
    <w:rsid w:val="006D6D05"/>
    <w:rsid w:val="006D6E3E"/>
    <w:rsid w:val="006D7073"/>
    <w:rsid w:val="006D7649"/>
    <w:rsid w:val="006D7D94"/>
    <w:rsid w:val="006D7DE5"/>
    <w:rsid w:val="006D7E7B"/>
    <w:rsid w:val="006E01CC"/>
    <w:rsid w:val="006E06D2"/>
    <w:rsid w:val="006E08BF"/>
    <w:rsid w:val="006E09B5"/>
    <w:rsid w:val="006E0AE8"/>
    <w:rsid w:val="006E0F90"/>
    <w:rsid w:val="006E191C"/>
    <w:rsid w:val="006E1A99"/>
    <w:rsid w:val="006E211A"/>
    <w:rsid w:val="006E2580"/>
    <w:rsid w:val="006E263A"/>
    <w:rsid w:val="006E28F7"/>
    <w:rsid w:val="006E2AF0"/>
    <w:rsid w:val="006E2CFE"/>
    <w:rsid w:val="006E2F83"/>
    <w:rsid w:val="006E3393"/>
    <w:rsid w:val="006E3AF9"/>
    <w:rsid w:val="006E3BF4"/>
    <w:rsid w:val="006E3F82"/>
    <w:rsid w:val="006E4007"/>
    <w:rsid w:val="006E411F"/>
    <w:rsid w:val="006E4399"/>
    <w:rsid w:val="006E44D1"/>
    <w:rsid w:val="006E4502"/>
    <w:rsid w:val="006E4523"/>
    <w:rsid w:val="006E49A5"/>
    <w:rsid w:val="006E49A6"/>
    <w:rsid w:val="006E49BB"/>
    <w:rsid w:val="006E4A6B"/>
    <w:rsid w:val="006E50BE"/>
    <w:rsid w:val="006E5539"/>
    <w:rsid w:val="006E5FB0"/>
    <w:rsid w:val="006E5FE3"/>
    <w:rsid w:val="006E6196"/>
    <w:rsid w:val="006E6CBF"/>
    <w:rsid w:val="006E6D3D"/>
    <w:rsid w:val="006E6E54"/>
    <w:rsid w:val="006E7366"/>
    <w:rsid w:val="006E73BF"/>
    <w:rsid w:val="006E74F8"/>
    <w:rsid w:val="006E7A46"/>
    <w:rsid w:val="006E7A53"/>
    <w:rsid w:val="006E7F93"/>
    <w:rsid w:val="006F0307"/>
    <w:rsid w:val="006F0371"/>
    <w:rsid w:val="006F05EE"/>
    <w:rsid w:val="006F05FB"/>
    <w:rsid w:val="006F0603"/>
    <w:rsid w:val="006F07D6"/>
    <w:rsid w:val="006F08E0"/>
    <w:rsid w:val="006F09A5"/>
    <w:rsid w:val="006F0A5B"/>
    <w:rsid w:val="006F0ABE"/>
    <w:rsid w:val="006F0D44"/>
    <w:rsid w:val="006F114A"/>
    <w:rsid w:val="006F1386"/>
    <w:rsid w:val="006F14CC"/>
    <w:rsid w:val="006F15D5"/>
    <w:rsid w:val="006F17A4"/>
    <w:rsid w:val="006F1A22"/>
    <w:rsid w:val="006F206F"/>
    <w:rsid w:val="006F21B0"/>
    <w:rsid w:val="006F22C4"/>
    <w:rsid w:val="006F2323"/>
    <w:rsid w:val="006F2590"/>
    <w:rsid w:val="006F271A"/>
    <w:rsid w:val="006F2844"/>
    <w:rsid w:val="006F28AA"/>
    <w:rsid w:val="006F2DC0"/>
    <w:rsid w:val="006F2E15"/>
    <w:rsid w:val="006F2EBB"/>
    <w:rsid w:val="006F2F64"/>
    <w:rsid w:val="006F3458"/>
    <w:rsid w:val="006F363B"/>
    <w:rsid w:val="006F3916"/>
    <w:rsid w:val="006F3AA1"/>
    <w:rsid w:val="006F3AC2"/>
    <w:rsid w:val="006F4036"/>
    <w:rsid w:val="006F4220"/>
    <w:rsid w:val="006F42D9"/>
    <w:rsid w:val="006F42DA"/>
    <w:rsid w:val="006F4550"/>
    <w:rsid w:val="006F46B9"/>
    <w:rsid w:val="006F4CD5"/>
    <w:rsid w:val="006F553B"/>
    <w:rsid w:val="006F5864"/>
    <w:rsid w:val="006F5D0D"/>
    <w:rsid w:val="006F5E55"/>
    <w:rsid w:val="006F613E"/>
    <w:rsid w:val="006F6223"/>
    <w:rsid w:val="006F6415"/>
    <w:rsid w:val="006F6A77"/>
    <w:rsid w:val="006F6B6E"/>
    <w:rsid w:val="006F6EF8"/>
    <w:rsid w:val="006F78AC"/>
    <w:rsid w:val="006F78C6"/>
    <w:rsid w:val="006F7E01"/>
    <w:rsid w:val="007003F2"/>
    <w:rsid w:val="0070066F"/>
    <w:rsid w:val="007008CA"/>
    <w:rsid w:val="00700B4A"/>
    <w:rsid w:val="00700C77"/>
    <w:rsid w:val="00700DDF"/>
    <w:rsid w:val="00700EE9"/>
    <w:rsid w:val="00700FEE"/>
    <w:rsid w:val="00701038"/>
    <w:rsid w:val="00701128"/>
    <w:rsid w:val="00701748"/>
    <w:rsid w:val="00701D30"/>
    <w:rsid w:val="00701DB9"/>
    <w:rsid w:val="007026DF"/>
    <w:rsid w:val="007028D4"/>
    <w:rsid w:val="0070291C"/>
    <w:rsid w:val="00702AE6"/>
    <w:rsid w:val="00702BDE"/>
    <w:rsid w:val="00702D76"/>
    <w:rsid w:val="00702D82"/>
    <w:rsid w:val="00703474"/>
    <w:rsid w:val="007034E7"/>
    <w:rsid w:val="007038B5"/>
    <w:rsid w:val="00703905"/>
    <w:rsid w:val="007039EA"/>
    <w:rsid w:val="00703FE5"/>
    <w:rsid w:val="00704279"/>
    <w:rsid w:val="00704351"/>
    <w:rsid w:val="007043B7"/>
    <w:rsid w:val="00704FA0"/>
    <w:rsid w:val="00704FF4"/>
    <w:rsid w:val="00705797"/>
    <w:rsid w:val="00705C12"/>
    <w:rsid w:val="00705F02"/>
    <w:rsid w:val="007061A3"/>
    <w:rsid w:val="00706264"/>
    <w:rsid w:val="007062CE"/>
    <w:rsid w:val="00706370"/>
    <w:rsid w:val="00706389"/>
    <w:rsid w:val="00706867"/>
    <w:rsid w:val="007068E6"/>
    <w:rsid w:val="00706A76"/>
    <w:rsid w:val="00706B06"/>
    <w:rsid w:val="00706F14"/>
    <w:rsid w:val="00706F9E"/>
    <w:rsid w:val="0070720F"/>
    <w:rsid w:val="007073FA"/>
    <w:rsid w:val="007077EC"/>
    <w:rsid w:val="00707817"/>
    <w:rsid w:val="0070789D"/>
    <w:rsid w:val="00707B98"/>
    <w:rsid w:val="00707C5C"/>
    <w:rsid w:val="00707CF7"/>
    <w:rsid w:val="00707F7B"/>
    <w:rsid w:val="007101CE"/>
    <w:rsid w:val="0071069B"/>
    <w:rsid w:val="007107B6"/>
    <w:rsid w:val="007108F8"/>
    <w:rsid w:val="00711087"/>
    <w:rsid w:val="00711C8F"/>
    <w:rsid w:val="00711CC4"/>
    <w:rsid w:val="00711CD4"/>
    <w:rsid w:val="0071209D"/>
    <w:rsid w:val="007122A4"/>
    <w:rsid w:val="007125C6"/>
    <w:rsid w:val="00712E4D"/>
    <w:rsid w:val="00712F6B"/>
    <w:rsid w:val="00712FEA"/>
    <w:rsid w:val="007134CE"/>
    <w:rsid w:val="007134E8"/>
    <w:rsid w:val="007134EC"/>
    <w:rsid w:val="007140C1"/>
    <w:rsid w:val="00714746"/>
    <w:rsid w:val="0071489D"/>
    <w:rsid w:val="00714ACB"/>
    <w:rsid w:val="00714CB4"/>
    <w:rsid w:val="00714D3B"/>
    <w:rsid w:val="00714EA9"/>
    <w:rsid w:val="00714F19"/>
    <w:rsid w:val="007151B2"/>
    <w:rsid w:val="00715733"/>
    <w:rsid w:val="00716600"/>
    <w:rsid w:val="00716ACB"/>
    <w:rsid w:val="00716D96"/>
    <w:rsid w:val="0071713C"/>
    <w:rsid w:val="007172A8"/>
    <w:rsid w:val="00717DA7"/>
    <w:rsid w:val="0072092E"/>
    <w:rsid w:val="00720D0B"/>
    <w:rsid w:val="00720ED2"/>
    <w:rsid w:val="0072113E"/>
    <w:rsid w:val="007211AD"/>
    <w:rsid w:val="007213A3"/>
    <w:rsid w:val="00721B95"/>
    <w:rsid w:val="00721CDB"/>
    <w:rsid w:val="00721DA1"/>
    <w:rsid w:val="007221C1"/>
    <w:rsid w:val="0072231A"/>
    <w:rsid w:val="00722C11"/>
    <w:rsid w:val="00722F85"/>
    <w:rsid w:val="00722FA1"/>
    <w:rsid w:val="0072326B"/>
    <w:rsid w:val="007240A4"/>
    <w:rsid w:val="00724862"/>
    <w:rsid w:val="007249EE"/>
    <w:rsid w:val="00724BDF"/>
    <w:rsid w:val="00724C05"/>
    <w:rsid w:val="00724E23"/>
    <w:rsid w:val="007250EF"/>
    <w:rsid w:val="007252BE"/>
    <w:rsid w:val="00725324"/>
    <w:rsid w:val="0072536F"/>
    <w:rsid w:val="007253D9"/>
    <w:rsid w:val="007254FB"/>
    <w:rsid w:val="00725771"/>
    <w:rsid w:val="007258F4"/>
    <w:rsid w:val="007259D2"/>
    <w:rsid w:val="00725CC2"/>
    <w:rsid w:val="007265EC"/>
    <w:rsid w:val="00726795"/>
    <w:rsid w:val="00726903"/>
    <w:rsid w:val="00726B83"/>
    <w:rsid w:val="00726F19"/>
    <w:rsid w:val="007270B1"/>
    <w:rsid w:val="00727149"/>
    <w:rsid w:val="00727761"/>
    <w:rsid w:val="00727B01"/>
    <w:rsid w:val="00727CDA"/>
    <w:rsid w:val="00727E81"/>
    <w:rsid w:val="00730051"/>
    <w:rsid w:val="00730249"/>
    <w:rsid w:val="007302E5"/>
    <w:rsid w:val="00730432"/>
    <w:rsid w:val="00730850"/>
    <w:rsid w:val="007308D5"/>
    <w:rsid w:val="00731308"/>
    <w:rsid w:val="00731723"/>
    <w:rsid w:val="00731AC5"/>
    <w:rsid w:val="00731D55"/>
    <w:rsid w:val="00731F45"/>
    <w:rsid w:val="00732139"/>
    <w:rsid w:val="007321B1"/>
    <w:rsid w:val="007327AC"/>
    <w:rsid w:val="0073281F"/>
    <w:rsid w:val="00732D79"/>
    <w:rsid w:val="007333CC"/>
    <w:rsid w:val="0073380D"/>
    <w:rsid w:val="00733832"/>
    <w:rsid w:val="00733C90"/>
    <w:rsid w:val="00733E2B"/>
    <w:rsid w:val="00734057"/>
    <w:rsid w:val="0073415D"/>
    <w:rsid w:val="00734C8D"/>
    <w:rsid w:val="00734E08"/>
    <w:rsid w:val="00734EDD"/>
    <w:rsid w:val="00735029"/>
    <w:rsid w:val="00735146"/>
    <w:rsid w:val="0073522A"/>
    <w:rsid w:val="00735359"/>
    <w:rsid w:val="007355CC"/>
    <w:rsid w:val="00735725"/>
    <w:rsid w:val="00735CFE"/>
    <w:rsid w:val="00735FA0"/>
    <w:rsid w:val="00736198"/>
    <w:rsid w:val="00736A5A"/>
    <w:rsid w:val="00736ABB"/>
    <w:rsid w:val="00736CFF"/>
    <w:rsid w:val="00736E32"/>
    <w:rsid w:val="007372E0"/>
    <w:rsid w:val="00737497"/>
    <w:rsid w:val="00737566"/>
    <w:rsid w:val="007375E8"/>
    <w:rsid w:val="00737682"/>
    <w:rsid w:val="00737810"/>
    <w:rsid w:val="00737867"/>
    <w:rsid w:val="007378E3"/>
    <w:rsid w:val="0073791F"/>
    <w:rsid w:val="00737B6D"/>
    <w:rsid w:val="0074010C"/>
    <w:rsid w:val="00740192"/>
    <w:rsid w:val="0074026D"/>
    <w:rsid w:val="0074030A"/>
    <w:rsid w:val="00740B99"/>
    <w:rsid w:val="00740D90"/>
    <w:rsid w:val="00740EBA"/>
    <w:rsid w:val="00740ECC"/>
    <w:rsid w:val="0074105D"/>
    <w:rsid w:val="007417F3"/>
    <w:rsid w:val="00741802"/>
    <w:rsid w:val="00741A5A"/>
    <w:rsid w:val="00741B00"/>
    <w:rsid w:val="00741CB9"/>
    <w:rsid w:val="00742873"/>
    <w:rsid w:val="00742993"/>
    <w:rsid w:val="00742AC8"/>
    <w:rsid w:val="00742AFB"/>
    <w:rsid w:val="00742B34"/>
    <w:rsid w:val="00742B7B"/>
    <w:rsid w:val="00743074"/>
    <w:rsid w:val="007437FE"/>
    <w:rsid w:val="007439A1"/>
    <w:rsid w:val="00743FD9"/>
    <w:rsid w:val="00743FF5"/>
    <w:rsid w:val="007445A6"/>
    <w:rsid w:val="00744653"/>
    <w:rsid w:val="00744C10"/>
    <w:rsid w:val="00744CF4"/>
    <w:rsid w:val="00744E1E"/>
    <w:rsid w:val="00744E2F"/>
    <w:rsid w:val="00745031"/>
    <w:rsid w:val="007453C4"/>
    <w:rsid w:val="00745770"/>
    <w:rsid w:val="00745ABB"/>
    <w:rsid w:val="007463D6"/>
    <w:rsid w:val="007463FF"/>
    <w:rsid w:val="0074658D"/>
    <w:rsid w:val="00746654"/>
    <w:rsid w:val="00746942"/>
    <w:rsid w:val="00746AB4"/>
    <w:rsid w:val="00746AFE"/>
    <w:rsid w:val="00747183"/>
    <w:rsid w:val="0074763A"/>
    <w:rsid w:val="0074777D"/>
    <w:rsid w:val="0075004B"/>
    <w:rsid w:val="007502D2"/>
    <w:rsid w:val="00750314"/>
    <w:rsid w:val="00750400"/>
    <w:rsid w:val="00750897"/>
    <w:rsid w:val="00750EC7"/>
    <w:rsid w:val="00751796"/>
    <w:rsid w:val="00751E28"/>
    <w:rsid w:val="00751EBA"/>
    <w:rsid w:val="00752089"/>
    <w:rsid w:val="00752EED"/>
    <w:rsid w:val="00753094"/>
    <w:rsid w:val="00753242"/>
    <w:rsid w:val="007536B6"/>
    <w:rsid w:val="007538D8"/>
    <w:rsid w:val="00753D9C"/>
    <w:rsid w:val="0075422E"/>
    <w:rsid w:val="007543C6"/>
    <w:rsid w:val="007546B0"/>
    <w:rsid w:val="00754816"/>
    <w:rsid w:val="00754A1A"/>
    <w:rsid w:val="0075565E"/>
    <w:rsid w:val="007556FC"/>
    <w:rsid w:val="007558C5"/>
    <w:rsid w:val="007559D1"/>
    <w:rsid w:val="00755AD9"/>
    <w:rsid w:val="00755CF2"/>
    <w:rsid w:val="00755F1D"/>
    <w:rsid w:val="00755F8B"/>
    <w:rsid w:val="007560BE"/>
    <w:rsid w:val="00756483"/>
    <w:rsid w:val="007566C1"/>
    <w:rsid w:val="00756B75"/>
    <w:rsid w:val="00756F18"/>
    <w:rsid w:val="0075725F"/>
    <w:rsid w:val="0075732A"/>
    <w:rsid w:val="00757873"/>
    <w:rsid w:val="00757995"/>
    <w:rsid w:val="007579A6"/>
    <w:rsid w:val="00757ACA"/>
    <w:rsid w:val="00760328"/>
    <w:rsid w:val="00760402"/>
    <w:rsid w:val="00760856"/>
    <w:rsid w:val="00760A49"/>
    <w:rsid w:val="00760B00"/>
    <w:rsid w:val="00760C38"/>
    <w:rsid w:val="00760DF3"/>
    <w:rsid w:val="00760E66"/>
    <w:rsid w:val="00761505"/>
    <w:rsid w:val="00761704"/>
    <w:rsid w:val="00761AA6"/>
    <w:rsid w:val="00761C56"/>
    <w:rsid w:val="00761EC5"/>
    <w:rsid w:val="00761FC7"/>
    <w:rsid w:val="00762D35"/>
    <w:rsid w:val="00763190"/>
    <w:rsid w:val="007633E3"/>
    <w:rsid w:val="00763857"/>
    <w:rsid w:val="00763A95"/>
    <w:rsid w:val="00763C07"/>
    <w:rsid w:val="00763EF2"/>
    <w:rsid w:val="00763F1F"/>
    <w:rsid w:val="00764173"/>
    <w:rsid w:val="007642A3"/>
    <w:rsid w:val="0076454B"/>
    <w:rsid w:val="00764B17"/>
    <w:rsid w:val="007650EF"/>
    <w:rsid w:val="007651EF"/>
    <w:rsid w:val="00765459"/>
    <w:rsid w:val="00765D0F"/>
    <w:rsid w:val="00765F38"/>
    <w:rsid w:val="007663FC"/>
    <w:rsid w:val="00766F61"/>
    <w:rsid w:val="007704F8"/>
    <w:rsid w:val="00770B9F"/>
    <w:rsid w:val="00770F15"/>
    <w:rsid w:val="00771134"/>
    <w:rsid w:val="00771453"/>
    <w:rsid w:val="007715BD"/>
    <w:rsid w:val="00771784"/>
    <w:rsid w:val="007718C6"/>
    <w:rsid w:val="00771B6F"/>
    <w:rsid w:val="00771B99"/>
    <w:rsid w:val="00771BD2"/>
    <w:rsid w:val="00771CEB"/>
    <w:rsid w:val="00771E64"/>
    <w:rsid w:val="00772145"/>
    <w:rsid w:val="007723E4"/>
    <w:rsid w:val="007726DC"/>
    <w:rsid w:val="007729F2"/>
    <w:rsid w:val="00773291"/>
    <w:rsid w:val="00773945"/>
    <w:rsid w:val="00773BB1"/>
    <w:rsid w:val="00773C0F"/>
    <w:rsid w:val="00773D22"/>
    <w:rsid w:val="0077403D"/>
    <w:rsid w:val="007741E0"/>
    <w:rsid w:val="00774589"/>
    <w:rsid w:val="007745CD"/>
    <w:rsid w:val="00774627"/>
    <w:rsid w:val="00775630"/>
    <w:rsid w:val="00775757"/>
    <w:rsid w:val="007758A7"/>
    <w:rsid w:val="007759BA"/>
    <w:rsid w:val="00775D8D"/>
    <w:rsid w:val="00775DF5"/>
    <w:rsid w:val="00776081"/>
    <w:rsid w:val="007763CA"/>
    <w:rsid w:val="00776559"/>
    <w:rsid w:val="0077657E"/>
    <w:rsid w:val="0077719A"/>
    <w:rsid w:val="0077727C"/>
    <w:rsid w:val="007772E4"/>
    <w:rsid w:val="007772E5"/>
    <w:rsid w:val="00777668"/>
    <w:rsid w:val="00777913"/>
    <w:rsid w:val="00777918"/>
    <w:rsid w:val="00777E82"/>
    <w:rsid w:val="00780467"/>
    <w:rsid w:val="00780635"/>
    <w:rsid w:val="007809E5"/>
    <w:rsid w:val="00780D30"/>
    <w:rsid w:val="00780EFB"/>
    <w:rsid w:val="00781245"/>
    <w:rsid w:val="007824CD"/>
    <w:rsid w:val="00782526"/>
    <w:rsid w:val="0078252F"/>
    <w:rsid w:val="00782693"/>
    <w:rsid w:val="00782875"/>
    <w:rsid w:val="00782E50"/>
    <w:rsid w:val="00782E68"/>
    <w:rsid w:val="00782E8C"/>
    <w:rsid w:val="007838FF"/>
    <w:rsid w:val="007847C9"/>
    <w:rsid w:val="00784A39"/>
    <w:rsid w:val="00784A47"/>
    <w:rsid w:val="00784B57"/>
    <w:rsid w:val="00784DD4"/>
    <w:rsid w:val="00784E4B"/>
    <w:rsid w:val="00784E62"/>
    <w:rsid w:val="00785586"/>
    <w:rsid w:val="00785783"/>
    <w:rsid w:val="00785DBD"/>
    <w:rsid w:val="00785E78"/>
    <w:rsid w:val="007860AB"/>
    <w:rsid w:val="00786172"/>
    <w:rsid w:val="007861B5"/>
    <w:rsid w:val="00786269"/>
    <w:rsid w:val="007863E0"/>
    <w:rsid w:val="00786448"/>
    <w:rsid w:val="00786689"/>
    <w:rsid w:val="00786B08"/>
    <w:rsid w:val="00786B41"/>
    <w:rsid w:val="00786BAA"/>
    <w:rsid w:val="00786C52"/>
    <w:rsid w:val="00786C55"/>
    <w:rsid w:val="00786D20"/>
    <w:rsid w:val="00786D4E"/>
    <w:rsid w:val="007871D7"/>
    <w:rsid w:val="007875B3"/>
    <w:rsid w:val="00787794"/>
    <w:rsid w:val="00787872"/>
    <w:rsid w:val="00787A28"/>
    <w:rsid w:val="007900B8"/>
    <w:rsid w:val="00790150"/>
    <w:rsid w:val="0079028B"/>
    <w:rsid w:val="00790403"/>
    <w:rsid w:val="00790467"/>
    <w:rsid w:val="007904E5"/>
    <w:rsid w:val="007905BC"/>
    <w:rsid w:val="0079089F"/>
    <w:rsid w:val="007909F2"/>
    <w:rsid w:val="00790A71"/>
    <w:rsid w:val="00790ADF"/>
    <w:rsid w:val="00790CD3"/>
    <w:rsid w:val="00791356"/>
    <w:rsid w:val="007918E4"/>
    <w:rsid w:val="00791F31"/>
    <w:rsid w:val="007921DD"/>
    <w:rsid w:val="00792361"/>
    <w:rsid w:val="0079241E"/>
    <w:rsid w:val="007929F9"/>
    <w:rsid w:val="00792C9C"/>
    <w:rsid w:val="00793054"/>
    <w:rsid w:val="00793325"/>
    <w:rsid w:val="0079341A"/>
    <w:rsid w:val="007935BA"/>
    <w:rsid w:val="00793759"/>
    <w:rsid w:val="00793C5D"/>
    <w:rsid w:val="00793F17"/>
    <w:rsid w:val="007942D8"/>
    <w:rsid w:val="007949B7"/>
    <w:rsid w:val="00794CA7"/>
    <w:rsid w:val="00794DBC"/>
    <w:rsid w:val="00794F5C"/>
    <w:rsid w:val="00795532"/>
    <w:rsid w:val="00795557"/>
    <w:rsid w:val="00795711"/>
    <w:rsid w:val="0079596B"/>
    <w:rsid w:val="00795A48"/>
    <w:rsid w:val="00795A9D"/>
    <w:rsid w:val="00795AE3"/>
    <w:rsid w:val="00795B95"/>
    <w:rsid w:val="00795D73"/>
    <w:rsid w:val="007961BD"/>
    <w:rsid w:val="00796577"/>
    <w:rsid w:val="007967EB"/>
    <w:rsid w:val="007969BF"/>
    <w:rsid w:val="00796A23"/>
    <w:rsid w:val="00796F54"/>
    <w:rsid w:val="00796FFE"/>
    <w:rsid w:val="0079722D"/>
    <w:rsid w:val="0079775C"/>
    <w:rsid w:val="00797B2C"/>
    <w:rsid w:val="00797F9C"/>
    <w:rsid w:val="007A030F"/>
    <w:rsid w:val="007A03B4"/>
    <w:rsid w:val="007A067A"/>
    <w:rsid w:val="007A07A3"/>
    <w:rsid w:val="007A09E1"/>
    <w:rsid w:val="007A0A6C"/>
    <w:rsid w:val="007A0A83"/>
    <w:rsid w:val="007A1137"/>
    <w:rsid w:val="007A1185"/>
    <w:rsid w:val="007A1194"/>
    <w:rsid w:val="007A14E8"/>
    <w:rsid w:val="007A1D1D"/>
    <w:rsid w:val="007A1EBC"/>
    <w:rsid w:val="007A2EAB"/>
    <w:rsid w:val="007A318F"/>
    <w:rsid w:val="007A3198"/>
    <w:rsid w:val="007A34BE"/>
    <w:rsid w:val="007A366F"/>
    <w:rsid w:val="007A3715"/>
    <w:rsid w:val="007A3991"/>
    <w:rsid w:val="007A3C77"/>
    <w:rsid w:val="007A3E4A"/>
    <w:rsid w:val="007A4B8A"/>
    <w:rsid w:val="007A536E"/>
    <w:rsid w:val="007A5A09"/>
    <w:rsid w:val="007A5A20"/>
    <w:rsid w:val="007A5B4D"/>
    <w:rsid w:val="007A5D69"/>
    <w:rsid w:val="007A60AC"/>
    <w:rsid w:val="007A6160"/>
    <w:rsid w:val="007A627D"/>
    <w:rsid w:val="007A639B"/>
    <w:rsid w:val="007A646A"/>
    <w:rsid w:val="007A65DF"/>
    <w:rsid w:val="007A672D"/>
    <w:rsid w:val="007A6B8E"/>
    <w:rsid w:val="007A7108"/>
    <w:rsid w:val="007A73C3"/>
    <w:rsid w:val="007A7512"/>
    <w:rsid w:val="007A76CB"/>
    <w:rsid w:val="007A7807"/>
    <w:rsid w:val="007B02D9"/>
    <w:rsid w:val="007B0551"/>
    <w:rsid w:val="007B0622"/>
    <w:rsid w:val="007B0B49"/>
    <w:rsid w:val="007B0BC0"/>
    <w:rsid w:val="007B1585"/>
    <w:rsid w:val="007B1614"/>
    <w:rsid w:val="007B1B14"/>
    <w:rsid w:val="007B1B36"/>
    <w:rsid w:val="007B1C27"/>
    <w:rsid w:val="007B1D44"/>
    <w:rsid w:val="007B1FFC"/>
    <w:rsid w:val="007B21D1"/>
    <w:rsid w:val="007B23B8"/>
    <w:rsid w:val="007B2484"/>
    <w:rsid w:val="007B26BF"/>
    <w:rsid w:val="007B27F4"/>
    <w:rsid w:val="007B2C46"/>
    <w:rsid w:val="007B3243"/>
    <w:rsid w:val="007B33A7"/>
    <w:rsid w:val="007B35E3"/>
    <w:rsid w:val="007B3A84"/>
    <w:rsid w:val="007B4803"/>
    <w:rsid w:val="007B4BE6"/>
    <w:rsid w:val="007B4E35"/>
    <w:rsid w:val="007B4EE4"/>
    <w:rsid w:val="007B519F"/>
    <w:rsid w:val="007B55C9"/>
    <w:rsid w:val="007B5E74"/>
    <w:rsid w:val="007B5F2A"/>
    <w:rsid w:val="007B602E"/>
    <w:rsid w:val="007B60C3"/>
    <w:rsid w:val="007B64D6"/>
    <w:rsid w:val="007B64F4"/>
    <w:rsid w:val="007B6722"/>
    <w:rsid w:val="007B68BE"/>
    <w:rsid w:val="007B6AAC"/>
    <w:rsid w:val="007B6C9E"/>
    <w:rsid w:val="007B6D69"/>
    <w:rsid w:val="007B6DBC"/>
    <w:rsid w:val="007B712B"/>
    <w:rsid w:val="007B77D7"/>
    <w:rsid w:val="007B7E66"/>
    <w:rsid w:val="007B7EA4"/>
    <w:rsid w:val="007C01F3"/>
    <w:rsid w:val="007C0213"/>
    <w:rsid w:val="007C0369"/>
    <w:rsid w:val="007C071F"/>
    <w:rsid w:val="007C0C0B"/>
    <w:rsid w:val="007C102B"/>
    <w:rsid w:val="007C1416"/>
    <w:rsid w:val="007C1536"/>
    <w:rsid w:val="007C15D5"/>
    <w:rsid w:val="007C2777"/>
    <w:rsid w:val="007C2981"/>
    <w:rsid w:val="007C2B88"/>
    <w:rsid w:val="007C2BE6"/>
    <w:rsid w:val="007C36F2"/>
    <w:rsid w:val="007C3ABE"/>
    <w:rsid w:val="007C44D4"/>
    <w:rsid w:val="007C4510"/>
    <w:rsid w:val="007C45EC"/>
    <w:rsid w:val="007C4867"/>
    <w:rsid w:val="007C498A"/>
    <w:rsid w:val="007C4AAE"/>
    <w:rsid w:val="007C5060"/>
    <w:rsid w:val="007C5119"/>
    <w:rsid w:val="007C52B7"/>
    <w:rsid w:val="007C5637"/>
    <w:rsid w:val="007C5670"/>
    <w:rsid w:val="007C5816"/>
    <w:rsid w:val="007C5E48"/>
    <w:rsid w:val="007C63F1"/>
    <w:rsid w:val="007C64FD"/>
    <w:rsid w:val="007C6D84"/>
    <w:rsid w:val="007C757D"/>
    <w:rsid w:val="007C7763"/>
    <w:rsid w:val="007C7949"/>
    <w:rsid w:val="007C7D1B"/>
    <w:rsid w:val="007D0425"/>
    <w:rsid w:val="007D0A8A"/>
    <w:rsid w:val="007D0EA7"/>
    <w:rsid w:val="007D13A3"/>
    <w:rsid w:val="007D1492"/>
    <w:rsid w:val="007D183B"/>
    <w:rsid w:val="007D188B"/>
    <w:rsid w:val="007D1AEF"/>
    <w:rsid w:val="007D1D5A"/>
    <w:rsid w:val="007D20E7"/>
    <w:rsid w:val="007D24FE"/>
    <w:rsid w:val="007D2630"/>
    <w:rsid w:val="007D26F6"/>
    <w:rsid w:val="007D270C"/>
    <w:rsid w:val="007D28E2"/>
    <w:rsid w:val="007D3121"/>
    <w:rsid w:val="007D3ACE"/>
    <w:rsid w:val="007D3B97"/>
    <w:rsid w:val="007D3F0D"/>
    <w:rsid w:val="007D41BF"/>
    <w:rsid w:val="007D45F8"/>
    <w:rsid w:val="007D489D"/>
    <w:rsid w:val="007D4C7D"/>
    <w:rsid w:val="007D4F36"/>
    <w:rsid w:val="007D5029"/>
    <w:rsid w:val="007D518A"/>
    <w:rsid w:val="007D5292"/>
    <w:rsid w:val="007D538D"/>
    <w:rsid w:val="007D53BB"/>
    <w:rsid w:val="007D54D8"/>
    <w:rsid w:val="007D54E3"/>
    <w:rsid w:val="007D57BE"/>
    <w:rsid w:val="007D5802"/>
    <w:rsid w:val="007D5952"/>
    <w:rsid w:val="007D5BD3"/>
    <w:rsid w:val="007D5F35"/>
    <w:rsid w:val="007D65BA"/>
    <w:rsid w:val="007D66A8"/>
    <w:rsid w:val="007D6707"/>
    <w:rsid w:val="007D6CE5"/>
    <w:rsid w:val="007D7180"/>
    <w:rsid w:val="007D73DA"/>
    <w:rsid w:val="007D7723"/>
    <w:rsid w:val="007D7A16"/>
    <w:rsid w:val="007D7EA9"/>
    <w:rsid w:val="007E0223"/>
    <w:rsid w:val="007E0BB0"/>
    <w:rsid w:val="007E0E8E"/>
    <w:rsid w:val="007E0F6F"/>
    <w:rsid w:val="007E16BB"/>
    <w:rsid w:val="007E1B88"/>
    <w:rsid w:val="007E1E92"/>
    <w:rsid w:val="007E2270"/>
    <w:rsid w:val="007E22AF"/>
    <w:rsid w:val="007E261B"/>
    <w:rsid w:val="007E298F"/>
    <w:rsid w:val="007E2AEF"/>
    <w:rsid w:val="007E2BDE"/>
    <w:rsid w:val="007E2D0B"/>
    <w:rsid w:val="007E304E"/>
    <w:rsid w:val="007E3195"/>
    <w:rsid w:val="007E337C"/>
    <w:rsid w:val="007E38EF"/>
    <w:rsid w:val="007E3B77"/>
    <w:rsid w:val="007E4568"/>
    <w:rsid w:val="007E470C"/>
    <w:rsid w:val="007E47EF"/>
    <w:rsid w:val="007E48A0"/>
    <w:rsid w:val="007E49CD"/>
    <w:rsid w:val="007E4AD7"/>
    <w:rsid w:val="007E4E86"/>
    <w:rsid w:val="007E5191"/>
    <w:rsid w:val="007E51EF"/>
    <w:rsid w:val="007E55E7"/>
    <w:rsid w:val="007E61EE"/>
    <w:rsid w:val="007E6372"/>
    <w:rsid w:val="007E6A63"/>
    <w:rsid w:val="007E6AA7"/>
    <w:rsid w:val="007E6AB1"/>
    <w:rsid w:val="007E6C5E"/>
    <w:rsid w:val="007E7207"/>
    <w:rsid w:val="007E7BB1"/>
    <w:rsid w:val="007E7DD4"/>
    <w:rsid w:val="007E7DEB"/>
    <w:rsid w:val="007E7E06"/>
    <w:rsid w:val="007F018E"/>
    <w:rsid w:val="007F019A"/>
    <w:rsid w:val="007F07D8"/>
    <w:rsid w:val="007F08A6"/>
    <w:rsid w:val="007F08AB"/>
    <w:rsid w:val="007F0D17"/>
    <w:rsid w:val="007F0D54"/>
    <w:rsid w:val="007F0E32"/>
    <w:rsid w:val="007F1121"/>
    <w:rsid w:val="007F11C8"/>
    <w:rsid w:val="007F1528"/>
    <w:rsid w:val="007F1954"/>
    <w:rsid w:val="007F1A86"/>
    <w:rsid w:val="007F1B4C"/>
    <w:rsid w:val="007F1DBD"/>
    <w:rsid w:val="007F1F99"/>
    <w:rsid w:val="007F238E"/>
    <w:rsid w:val="007F2547"/>
    <w:rsid w:val="007F264F"/>
    <w:rsid w:val="007F28A7"/>
    <w:rsid w:val="007F2FD2"/>
    <w:rsid w:val="007F31E8"/>
    <w:rsid w:val="007F3315"/>
    <w:rsid w:val="007F3821"/>
    <w:rsid w:val="007F38F3"/>
    <w:rsid w:val="007F397E"/>
    <w:rsid w:val="007F3A72"/>
    <w:rsid w:val="007F3C8E"/>
    <w:rsid w:val="007F3D0D"/>
    <w:rsid w:val="007F3DB0"/>
    <w:rsid w:val="007F3E02"/>
    <w:rsid w:val="007F3FC7"/>
    <w:rsid w:val="007F406A"/>
    <w:rsid w:val="007F43C5"/>
    <w:rsid w:val="007F456C"/>
    <w:rsid w:val="007F49B3"/>
    <w:rsid w:val="007F4FA2"/>
    <w:rsid w:val="007F51CF"/>
    <w:rsid w:val="007F527E"/>
    <w:rsid w:val="007F5336"/>
    <w:rsid w:val="007F5B5E"/>
    <w:rsid w:val="007F5CAF"/>
    <w:rsid w:val="007F5D87"/>
    <w:rsid w:val="007F61F7"/>
    <w:rsid w:val="007F632C"/>
    <w:rsid w:val="007F67CD"/>
    <w:rsid w:val="007F6D37"/>
    <w:rsid w:val="007F6E71"/>
    <w:rsid w:val="007F7745"/>
    <w:rsid w:val="007F774D"/>
    <w:rsid w:val="007F7894"/>
    <w:rsid w:val="007F7CBF"/>
    <w:rsid w:val="0080086A"/>
    <w:rsid w:val="008009C2"/>
    <w:rsid w:val="008009DE"/>
    <w:rsid w:val="00800C86"/>
    <w:rsid w:val="00800E1E"/>
    <w:rsid w:val="00800E64"/>
    <w:rsid w:val="00800E8D"/>
    <w:rsid w:val="0080130E"/>
    <w:rsid w:val="008013C0"/>
    <w:rsid w:val="00801531"/>
    <w:rsid w:val="008019AA"/>
    <w:rsid w:val="00801C47"/>
    <w:rsid w:val="008020B5"/>
    <w:rsid w:val="00802615"/>
    <w:rsid w:val="00802A43"/>
    <w:rsid w:val="00802FD7"/>
    <w:rsid w:val="00803635"/>
    <w:rsid w:val="00803696"/>
    <w:rsid w:val="008037A6"/>
    <w:rsid w:val="0080414C"/>
    <w:rsid w:val="00804195"/>
    <w:rsid w:val="0080433E"/>
    <w:rsid w:val="008046C7"/>
    <w:rsid w:val="008046C8"/>
    <w:rsid w:val="00804A47"/>
    <w:rsid w:val="00804C49"/>
    <w:rsid w:val="00804C81"/>
    <w:rsid w:val="00804E79"/>
    <w:rsid w:val="00805146"/>
    <w:rsid w:val="00805449"/>
    <w:rsid w:val="008058B0"/>
    <w:rsid w:val="008060E7"/>
    <w:rsid w:val="00806FE7"/>
    <w:rsid w:val="008071AC"/>
    <w:rsid w:val="00807257"/>
    <w:rsid w:val="008076F8"/>
    <w:rsid w:val="008079A6"/>
    <w:rsid w:val="008079CB"/>
    <w:rsid w:val="00807C31"/>
    <w:rsid w:val="00807DE1"/>
    <w:rsid w:val="00810030"/>
    <w:rsid w:val="00810D79"/>
    <w:rsid w:val="00811437"/>
    <w:rsid w:val="008117A1"/>
    <w:rsid w:val="00811D36"/>
    <w:rsid w:val="00811DA7"/>
    <w:rsid w:val="008121EB"/>
    <w:rsid w:val="00812269"/>
    <w:rsid w:val="00812C63"/>
    <w:rsid w:val="00812CA0"/>
    <w:rsid w:val="00812E5D"/>
    <w:rsid w:val="00813151"/>
    <w:rsid w:val="008137B6"/>
    <w:rsid w:val="00814073"/>
    <w:rsid w:val="008141BA"/>
    <w:rsid w:val="008143CF"/>
    <w:rsid w:val="00814652"/>
    <w:rsid w:val="0081491B"/>
    <w:rsid w:val="00814B09"/>
    <w:rsid w:val="00814BD0"/>
    <w:rsid w:val="00814F5F"/>
    <w:rsid w:val="00815050"/>
    <w:rsid w:val="008151AE"/>
    <w:rsid w:val="00815246"/>
    <w:rsid w:val="008152B4"/>
    <w:rsid w:val="00815385"/>
    <w:rsid w:val="008156CF"/>
    <w:rsid w:val="00815C5D"/>
    <w:rsid w:val="00815E6A"/>
    <w:rsid w:val="0081604A"/>
    <w:rsid w:val="0081694E"/>
    <w:rsid w:val="00816A00"/>
    <w:rsid w:val="00816EAC"/>
    <w:rsid w:val="00816F75"/>
    <w:rsid w:val="008171E3"/>
    <w:rsid w:val="00817449"/>
    <w:rsid w:val="00817606"/>
    <w:rsid w:val="00817C73"/>
    <w:rsid w:val="00817D22"/>
    <w:rsid w:val="00817D82"/>
    <w:rsid w:val="00817DCB"/>
    <w:rsid w:val="00817EF6"/>
    <w:rsid w:val="008202E6"/>
    <w:rsid w:val="0082046B"/>
    <w:rsid w:val="008205C6"/>
    <w:rsid w:val="008206CE"/>
    <w:rsid w:val="00820908"/>
    <w:rsid w:val="00820EF5"/>
    <w:rsid w:val="00820FB2"/>
    <w:rsid w:val="00821169"/>
    <w:rsid w:val="00821392"/>
    <w:rsid w:val="00821498"/>
    <w:rsid w:val="008217F6"/>
    <w:rsid w:val="00821AA3"/>
    <w:rsid w:val="00821B08"/>
    <w:rsid w:val="00821DA1"/>
    <w:rsid w:val="0082216C"/>
    <w:rsid w:val="008221B0"/>
    <w:rsid w:val="0082229F"/>
    <w:rsid w:val="0082234B"/>
    <w:rsid w:val="00822388"/>
    <w:rsid w:val="00822757"/>
    <w:rsid w:val="00822E06"/>
    <w:rsid w:val="00822E72"/>
    <w:rsid w:val="00822E9F"/>
    <w:rsid w:val="0082308C"/>
    <w:rsid w:val="0082312B"/>
    <w:rsid w:val="00823280"/>
    <w:rsid w:val="00823550"/>
    <w:rsid w:val="0082371D"/>
    <w:rsid w:val="008238BC"/>
    <w:rsid w:val="00823F93"/>
    <w:rsid w:val="008243EB"/>
    <w:rsid w:val="008245BE"/>
    <w:rsid w:val="008248A2"/>
    <w:rsid w:val="00824AA6"/>
    <w:rsid w:val="00824E7B"/>
    <w:rsid w:val="00824ED7"/>
    <w:rsid w:val="008251CA"/>
    <w:rsid w:val="0082546D"/>
    <w:rsid w:val="0082547F"/>
    <w:rsid w:val="00825754"/>
    <w:rsid w:val="0082575E"/>
    <w:rsid w:val="00825DFD"/>
    <w:rsid w:val="0082609D"/>
    <w:rsid w:val="00826B3C"/>
    <w:rsid w:val="00826C2D"/>
    <w:rsid w:val="00826F1D"/>
    <w:rsid w:val="008270FE"/>
    <w:rsid w:val="00827237"/>
    <w:rsid w:val="00827289"/>
    <w:rsid w:val="0082729F"/>
    <w:rsid w:val="008273C1"/>
    <w:rsid w:val="008277BD"/>
    <w:rsid w:val="00827932"/>
    <w:rsid w:val="00827BAB"/>
    <w:rsid w:val="00827D03"/>
    <w:rsid w:val="00830208"/>
    <w:rsid w:val="008302FA"/>
    <w:rsid w:val="008306D7"/>
    <w:rsid w:val="00830AE9"/>
    <w:rsid w:val="00830C4D"/>
    <w:rsid w:val="00831248"/>
    <w:rsid w:val="008317F1"/>
    <w:rsid w:val="00831E18"/>
    <w:rsid w:val="0083239B"/>
    <w:rsid w:val="00832836"/>
    <w:rsid w:val="00832B57"/>
    <w:rsid w:val="00832BE0"/>
    <w:rsid w:val="008330C4"/>
    <w:rsid w:val="0083323B"/>
    <w:rsid w:val="008332D3"/>
    <w:rsid w:val="008334E7"/>
    <w:rsid w:val="00833933"/>
    <w:rsid w:val="00833E07"/>
    <w:rsid w:val="0083415A"/>
    <w:rsid w:val="00834C41"/>
    <w:rsid w:val="00835359"/>
    <w:rsid w:val="0083617C"/>
    <w:rsid w:val="0083664F"/>
    <w:rsid w:val="008366A6"/>
    <w:rsid w:val="008368C2"/>
    <w:rsid w:val="00836C06"/>
    <w:rsid w:val="00836D53"/>
    <w:rsid w:val="008379B2"/>
    <w:rsid w:val="00840301"/>
    <w:rsid w:val="00840827"/>
    <w:rsid w:val="00840B51"/>
    <w:rsid w:val="00840BA5"/>
    <w:rsid w:val="00840D24"/>
    <w:rsid w:val="00841116"/>
    <w:rsid w:val="008413EB"/>
    <w:rsid w:val="0084188B"/>
    <w:rsid w:val="00841AA7"/>
    <w:rsid w:val="00841C3B"/>
    <w:rsid w:val="00841C58"/>
    <w:rsid w:val="00841C87"/>
    <w:rsid w:val="00841FE3"/>
    <w:rsid w:val="0084220A"/>
    <w:rsid w:val="008422DF"/>
    <w:rsid w:val="008428C1"/>
    <w:rsid w:val="00842914"/>
    <w:rsid w:val="00842B45"/>
    <w:rsid w:val="00842F0A"/>
    <w:rsid w:val="0084351A"/>
    <w:rsid w:val="0084368F"/>
    <w:rsid w:val="0084388F"/>
    <w:rsid w:val="008438A0"/>
    <w:rsid w:val="00843BB9"/>
    <w:rsid w:val="00843D5D"/>
    <w:rsid w:val="00843E55"/>
    <w:rsid w:val="008441A6"/>
    <w:rsid w:val="008441C3"/>
    <w:rsid w:val="0084474B"/>
    <w:rsid w:val="00844CCD"/>
    <w:rsid w:val="008453B6"/>
    <w:rsid w:val="0084555B"/>
    <w:rsid w:val="00845B4F"/>
    <w:rsid w:val="00845BE8"/>
    <w:rsid w:val="00845CBA"/>
    <w:rsid w:val="00845D8E"/>
    <w:rsid w:val="008465AB"/>
    <w:rsid w:val="008467B5"/>
    <w:rsid w:val="008469D3"/>
    <w:rsid w:val="00846C63"/>
    <w:rsid w:val="00846C69"/>
    <w:rsid w:val="00847073"/>
    <w:rsid w:val="00847080"/>
    <w:rsid w:val="00847558"/>
    <w:rsid w:val="00847586"/>
    <w:rsid w:val="0084761C"/>
    <w:rsid w:val="00847C86"/>
    <w:rsid w:val="00847F4A"/>
    <w:rsid w:val="0085010C"/>
    <w:rsid w:val="008515CC"/>
    <w:rsid w:val="008516C2"/>
    <w:rsid w:val="0085188E"/>
    <w:rsid w:val="00851AC9"/>
    <w:rsid w:val="00851C4F"/>
    <w:rsid w:val="00851C9B"/>
    <w:rsid w:val="0085209F"/>
    <w:rsid w:val="00852246"/>
    <w:rsid w:val="0085236F"/>
    <w:rsid w:val="00852373"/>
    <w:rsid w:val="008526C1"/>
    <w:rsid w:val="00852B91"/>
    <w:rsid w:val="00852BE7"/>
    <w:rsid w:val="0085328F"/>
    <w:rsid w:val="008532AA"/>
    <w:rsid w:val="00853EF2"/>
    <w:rsid w:val="0085428C"/>
    <w:rsid w:val="00854362"/>
    <w:rsid w:val="008543FB"/>
    <w:rsid w:val="008544F6"/>
    <w:rsid w:val="00854A3B"/>
    <w:rsid w:val="00854B76"/>
    <w:rsid w:val="00854CBF"/>
    <w:rsid w:val="008550AA"/>
    <w:rsid w:val="008550E2"/>
    <w:rsid w:val="00855230"/>
    <w:rsid w:val="008553C5"/>
    <w:rsid w:val="0085544A"/>
    <w:rsid w:val="00855A47"/>
    <w:rsid w:val="008562D1"/>
    <w:rsid w:val="00856785"/>
    <w:rsid w:val="0085695C"/>
    <w:rsid w:val="008569D7"/>
    <w:rsid w:val="00856A8B"/>
    <w:rsid w:val="00856AFF"/>
    <w:rsid w:val="00857346"/>
    <w:rsid w:val="00857456"/>
    <w:rsid w:val="0085787D"/>
    <w:rsid w:val="00857E34"/>
    <w:rsid w:val="00857F0A"/>
    <w:rsid w:val="00860129"/>
    <w:rsid w:val="00860280"/>
    <w:rsid w:val="008602EC"/>
    <w:rsid w:val="00860823"/>
    <w:rsid w:val="00860831"/>
    <w:rsid w:val="00860B61"/>
    <w:rsid w:val="00860FEF"/>
    <w:rsid w:val="00861126"/>
    <w:rsid w:val="00861921"/>
    <w:rsid w:val="00861CD8"/>
    <w:rsid w:val="00861D17"/>
    <w:rsid w:val="008623B4"/>
    <w:rsid w:val="00862567"/>
    <w:rsid w:val="0086271F"/>
    <w:rsid w:val="00862B2C"/>
    <w:rsid w:val="00863027"/>
    <w:rsid w:val="008630C0"/>
    <w:rsid w:val="008633C1"/>
    <w:rsid w:val="00863888"/>
    <w:rsid w:val="00863B9B"/>
    <w:rsid w:val="008644EB"/>
    <w:rsid w:val="00864525"/>
    <w:rsid w:val="0086469F"/>
    <w:rsid w:val="00864814"/>
    <w:rsid w:val="00864B64"/>
    <w:rsid w:val="00864F10"/>
    <w:rsid w:val="00864FA0"/>
    <w:rsid w:val="008650E6"/>
    <w:rsid w:val="008652BA"/>
    <w:rsid w:val="008653F6"/>
    <w:rsid w:val="00865539"/>
    <w:rsid w:val="008656D7"/>
    <w:rsid w:val="008657FB"/>
    <w:rsid w:val="008659A5"/>
    <w:rsid w:val="00865E2C"/>
    <w:rsid w:val="00865FE8"/>
    <w:rsid w:val="0086611A"/>
    <w:rsid w:val="008661C7"/>
    <w:rsid w:val="008665A5"/>
    <w:rsid w:val="0086662E"/>
    <w:rsid w:val="00866912"/>
    <w:rsid w:val="00866926"/>
    <w:rsid w:val="008669F1"/>
    <w:rsid w:val="00866AF4"/>
    <w:rsid w:val="00866D35"/>
    <w:rsid w:val="00866D98"/>
    <w:rsid w:val="0086779A"/>
    <w:rsid w:val="0086789F"/>
    <w:rsid w:val="008678E0"/>
    <w:rsid w:val="00867948"/>
    <w:rsid w:val="00867A5F"/>
    <w:rsid w:val="00867FAC"/>
    <w:rsid w:val="00870481"/>
    <w:rsid w:val="008709AF"/>
    <w:rsid w:val="00870CA8"/>
    <w:rsid w:val="0087107A"/>
    <w:rsid w:val="0087108C"/>
    <w:rsid w:val="008714FD"/>
    <w:rsid w:val="008715D6"/>
    <w:rsid w:val="0087167D"/>
    <w:rsid w:val="008716C4"/>
    <w:rsid w:val="0087180E"/>
    <w:rsid w:val="00871B00"/>
    <w:rsid w:val="00871C2B"/>
    <w:rsid w:val="00871CC6"/>
    <w:rsid w:val="00871D76"/>
    <w:rsid w:val="00871FDE"/>
    <w:rsid w:val="00872106"/>
    <w:rsid w:val="008725AB"/>
    <w:rsid w:val="00872768"/>
    <w:rsid w:val="0087286C"/>
    <w:rsid w:val="00872D3D"/>
    <w:rsid w:val="008733C4"/>
    <w:rsid w:val="00873568"/>
    <w:rsid w:val="00873DBE"/>
    <w:rsid w:val="0087431E"/>
    <w:rsid w:val="00874811"/>
    <w:rsid w:val="0087484F"/>
    <w:rsid w:val="008748C4"/>
    <w:rsid w:val="00874924"/>
    <w:rsid w:val="00874BEB"/>
    <w:rsid w:val="00874D64"/>
    <w:rsid w:val="00874FB4"/>
    <w:rsid w:val="00875085"/>
    <w:rsid w:val="008753CC"/>
    <w:rsid w:val="00875678"/>
    <w:rsid w:val="00875965"/>
    <w:rsid w:val="00875BFB"/>
    <w:rsid w:val="00875EC4"/>
    <w:rsid w:val="00875FF0"/>
    <w:rsid w:val="0087634C"/>
    <w:rsid w:val="0087674D"/>
    <w:rsid w:val="00876A62"/>
    <w:rsid w:val="00876EE7"/>
    <w:rsid w:val="0087705C"/>
    <w:rsid w:val="008777A3"/>
    <w:rsid w:val="00877849"/>
    <w:rsid w:val="00877915"/>
    <w:rsid w:val="00877E05"/>
    <w:rsid w:val="008806FC"/>
    <w:rsid w:val="00880963"/>
    <w:rsid w:val="00881112"/>
    <w:rsid w:val="00881199"/>
    <w:rsid w:val="008811B9"/>
    <w:rsid w:val="00881392"/>
    <w:rsid w:val="00881834"/>
    <w:rsid w:val="008818DC"/>
    <w:rsid w:val="00881927"/>
    <w:rsid w:val="00881981"/>
    <w:rsid w:val="00881A2C"/>
    <w:rsid w:val="00881AF0"/>
    <w:rsid w:val="00881B86"/>
    <w:rsid w:val="00882242"/>
    <w:rsid w:val="0088260E"/>
    <w:rsid w:val="00882C99"/>
    <w:rsid w:val="00883168"/>
    <w:rsid w:val="008832B1"/>
    <w:rsid w:val="0088332E"/>
    <w:rsid w:val="00883661"/>
    <w:rsid w:val="008836EE"/>
    <w:rsid w:val="0088389F"/>
    <w:rsid w:val="0088397B"/>
    <w:rsid w:val="00883B49"/>
    <w:rsid w:val="0088416A"/>
    <w:rsid w:val="0088422B"/>
    <w:rsid w:val="0088431B"/>
    <w:rsid w:val="00884A03"/>
    <w:rsid w:val="00884F77"/>
    <w:rsid w:val="008853B5"/>
    <w:rsid w:val="008853E0"/>
    <w:rsid w:val="00885462"/>
    <w:rsid w:val="008854A6"/>
    <w:rsid w:val="00885502"/>
    <w:rsid w:val="00885C3A"/>
    <w:rsid w:val="00885CEB"/>
    <w:rsid w:val="00885E54"/>
    <w:rsid w:val="0088605E"/>
    <w:rsid w:val="008863CC"/>
    <w:rsid w:val="00886A1E"/>
    <w:rsid w:val="00886ABF"/>
    <w:rsid w:val="0088700C"/>
    <w:rsid w:val="00887190"/>
    <w:rsid w:val="008871FD"/>
    <w:rsid w:val="00887552"/>
    <w:rsid w:val="00887AF4"/>
    <w:rsid w:val="00887D69"/>
    <w:rsid w:val="00887F2A"/>
    <w:rsid w:val="00887F7B"/>
    <w:rsid w:val="00887FC2"/>
    <w:rsid w:val="008902BD"/>
    <w:rsid w:val="0089101D"/>
    <w:rsid w:val="008910B5"/>
    <w:rsid w:val="008914F9"/>
    <w:rsid w:val="0089173C"/>
    <w:rsid w:val="00891AB9"/>
    <w:rsid w:val="00891BF3"/>
    <w:rsid w:val="00891D83"/>
    <w:rsid w:val="008920AD"/>
    <w:rsid w:val="00892362"/>
    <w:rsid w:val="0089280C"/>
    <w:rsid w:val="00892854"/>
    <w:rsid w:val="00892953"/>
    <w:rsid w:val="00892D19"/>
    <w:rsid w:val="00892E89"/>
    <w:rsid w:val="00893124"/>
    <w:rsid w:val="00893143"/>
    <w:rsid w:val="0089328F"/>
    <w:rsid w:val="00893681"/>
    <w:rsid w:val="008936AB"/>
    <w:rsid w:val="00893ADD"/>
    <w:rsid w:val="00894219"/>
    <w:rsid w:val="00894C0E"/>
    <w:rsid w:val="00894D5A"/>
    <w:rsid w:val="00895178"/>
    <w:rsid w:val="008955DA"/>
    <w:rsid w:val="00895611"/>
    <w:rsid w:val="00895D07"/>
    <w:rsid w:val="00895ED9"/>
    <w:rsid w:val="00896037"/>
    <w:rsid w:val="0089643A"/>
    <w:rsid w:val="00896C9F"/>
    <w:rsid w:val="008974DB"/>
    <w:rsid w:val="00897856"/>
    <w:rsid w:val="0089794A"/>
    <w:rsid w:val="00897BD6"/>
    <w:rsid w:val="00897F27"/>
    <w:rsid w:val="008A02C3"/>
    <w:rsid w:val="008A02DD"/>
    <w:rsid w:val="008A0698"/>
    <w:rsid w:val="008A07D2"/>
    <w:rsid w:val="008A0CF2"/>
    <w:rsid w:val="008A0E1B"/>
    <w:rsid w:val="008A0F0D"/>
    <w:rsid w:val="008A1027"/>
    <w:rsid w:val="008A1076"/>
    <w:rsid w:val="008A1175"/>
    <w:rsid w:val="008A13AF"/>
    <w:rsid w:val="008A1674"/>
    <w:rsid w:val="008A261D"/>
    <w:rsid w:val="008A289F"/>
    <w:rsid w:val="008A2903"/>
    <w:rsid w:val="008A29F9"/>
    <w:rsid w:val="008A2BE2"/>
    <w:rsid w:val="008A2DDC"/>
    <w:rsid w:val="008A2E15"/>
    <w:rsid w:val="008A30C1"/>
    <w:rsid w:val="008A326C"/>
    <w:rsid w:val="008A334A"/>
    <w:rsid w:val="008A375E"/>
    <w:rsid w:val="008A42CA"/>
    <w:rsid w:val="008A43E3"/>
    <w:rsid w:val="008A4642"/>
    <w:rsid w:val="008A4943"/>
    <w:rsid w:val="008A4CCE"/>
    <w:rsid w:val="008A4CDC"/>
    <w:rsid w:val="008A5171"/>
    <w:rsid w:val="008A5251"/>
    <w:rsid w:val="008A5262"/>
    <w:rsid w:val="008A538B"/>
    <w:rsid w:val="008A597A"/>
    <w:rsid w:val="008A61E5"/>
    <w:rsid w:val="008A63D0"/>
    <w:rsid w:val="008A644B"/>
    <w:rsid w:val="008A68FC"/>
    <w:rsid w:val="008A6C4C"/>
    <w:rsid w:val="008A7594"/>
    <w:rsid w:val="008A75FA"/>
    <w:rsid w:val="008A7715"/>
    <w:rsid w:val="008A7848"/>
    <w:rsid w:val="008A7D2B"/>
    <w:rsid w:val="008A7FC4"/>
    <w:rsid w:val="008B0133"/>
    <w:rsid w:val="008B01FD"/>
    <w:rsid w:val="008B02D8"/>
    <w:rsid w:val="008B0305"/>
    <w:rsid w:val="008B04C1"/>
    <w:rsid w:val="008B06E6"/>
    <w:rsid w:val="008B0739"/>
    <w:rsid w:val="008B085C"/>
    <w:rsid w:val="008B0931"/>
    <w:rsid w:val="008B0A0C"/>
    <w:rsid w:val="008B1391"/>
    <w:rsid w:val="008B1476"/>
    <w:rsid w:val="008B1875"/>
    <w:rsid w:val="008B1BE1"/>
    <w:rsid w:val="008B2063"/>
    <w:rsid w:val="008B2974"/>
    <w:rsid w:val="008B2A1B"/>
    <w:rsid w:val="008B2BB3"/>
    <w:rsid w:val="008B2C2E"/>
    <w:rsid w:val="008B2D6C"/>
    <w:rsid w:val="008B2FAA"/>
    <w:rsid w:val="008B2FB3"/>
    <w:rsid w:val="008B311F"/>
    <w:rsid w:val="008B3124"/>
    <w:rsid w:val="008B35B6"/>
    <w:rsid w:val="008B37CB"/>
    <w:rsid w:val="008B3A10"/>
    <w:rsid w:val="008B3BC3"/>
    <w:rsid w:val="008B3C82"/>
    <w:rsid w:val="008B3D63"/>
    <w:rsid w:val="008B43FD"/>
    <w:rsid w:val="008B44BA"/>
    <w:rsid w:val="008B48D1"/>
    <w:rsid w:val="008B4B98"/>
    <w:rsid w:val="008B4EE6"/>
    <w:rsid w:val="008B536D"/>
    <w:rsid w:val="008B5404"/>
    <w:rsid w:val="008B540F"/>
    <w:rsid w:val="008B5C8D"/>
    <w:rsid w:val="008B5FD2"/>
    <w:rsid w:val="008B65AA"/>
    <w:rsid w:val="008B6A0B"/>
    <w:rsid w:val="008B6DD5"/>
    <w:rsid w:val="008B707B"/>
    <w:rsid w:val="008B7F1B"/>
    <w:rsid w:val="008B7F6E"/>
    <w:rsid w:val="008C016D"/>
    <w:rsid w:val="008C0200"/>
    <w:rsid w:val="008C05F8"/>
    <w:rsid w:val="008C0772"/>
    <w:rsid w:val="008C096D"/>
    <w:rsid w:val="008C0A81"/>
    <w:rsid w:val="008C0DB6"/>
    <w:rsid w:val="008C0E12"/>
    <w:rsid w:val="008C0E5F"/>
    <w:rsid w:val="008C102C"/>
    <w:rsid w:val="008C128F"/>
    <w:rsid w:val="008C1468"/>
    <w:rsid w:val="008C15C0"/>
    <w:rsid w:val="008C166E"/>
    <w:rsid w:val="008C169C"/>
    <w:rsid w:val="008C16DC"/>
    <w:rsid w:val="008C1806"/>
    <w:rsid w:val="008C1812"/>
    <w:rsid w:val="008C1895"/>
    <w:rsid w:val="008C1A92"/>
    <w:rsid w:val="008C1AA1"/>
    <w:rsid w:val="008C2074"/>
    <w:rsid w:val="008C216A"/>
    <w:rsid w:val="008C224A"/>
    <w:rsid w:val="008C22CA"/>
    <w:rsid w:val="008C2611"/>
    <w:rsid w:val="008C269B"/>
    <w:rsid w:val="008C2957"/>
    <w:rsid w:val="008C37EE"/>
    <w:rsid w:val="008C3836"/>
    <w:rsid w:val="008C3882"/>
    <w:rsid w:val="008C3B4A"/>
    <w:rsid w:val="008C4904"/>
    <w:rsid w:val="008C4AA0"/>
    <w:rsid w:val="008C4D10"/>
    <w:rsid w:val="008C4FAD"/>
    <w:rsid w:val="008C5510"/>
    <w:rsid w:val="008C563E"/>
    <w:rsid w:val="008C5703"/>
    <w:rsid w:val="008C577A"/>
    <w:rsid w:val="008C5ABA"/>
    <w:rsid w:val="008C5D69"/>
    <w:rsid w:val="008C642A"/>
    <w:rsid w:val="008C6466"/>
    <w:rsid w:val="008C6601"/>
    <w:rsid w:val="008C67C0"/>
    <w:rsid w:val="008C6C7B"/>
    <w:rsid w:val="008C6D63"/>
    <w:rsid w:val="008C7188"/>
    <w:rsid w:val="008C7556"/>
    <w:rsid w:val="008C7563"/>
    <w:rsid w:val="008C76D9"/>
    <w:rsid w:val="008C7842"/>
    <w:rsid w:val="008C7937"/>
    <w:rsid w:val="008C798E"/>
    <w:rsid w:val="008C7A95"/>
    <w:rsid w:val="008C7CF7"/>
    <w:rsid w:val="008C7FDF"/>
    <w:rsid w:val="008D02F6"/>
    <w:rsid w:val="008D02FF"/>
    <w:rsid w:val="008D042E"/>
    <w:rsid w:val="008D0465"/>
    <w:rsid w:val="008D06A2"/>
    <w:rsid w:val="008D0AAC"/>
    <w:rsid w:val="008D0B32"/>
    <w:rsid w:val="008D1764"/>
    <w:rsid w:val="008D1783"/>
    <w:rsid w:val="008D1D10"/>
    <w:rsid w:val="008D1F55"/>
    <w:rsid w:val="008D1F6A"/>
    <w:rsid w:val="008D2198"/>
    <w:rsid w:val="008D2689"/>
    <w:rsid w:val="008D2D6C"/>
    <w:rsid w:val="008D2F18"/>
    <w:rsid w:val="008D3172"/>
    <w:rsid w:val="008D32D7"/>
    <w:rsid w:val="008D3342"/>
    <w:rsid w:val="008D3591"/>
    <w:rsid w:val="008D3B1D"/>
    <w:rsid w:val="008D3C00"/>
    <w:rsid w:val="008D4098"/>
    <w:rsid w:val="008D41E0"/>
    <w:rsid w:val="008D4389"/>
    <w:rsid w:val="008D4789"/>
    <w:rsid w:val="008D4D76"/>
    <w:rsid w:val="008D542E"/>
    <w:rsid w:val="008D5563"/>
    <w:rsid w:val="008D56F1"/>
    <w:rsid w:val="008D5CE5"/>
    <w:rsid w:val="008D6432"/>
    <w:rsid w:val="008D64D4"/>
    <w:rsid w:val="008D65DF"/>
    <w:rsid w:val="008D6687"/>
    <w:rsid w:val="008D6791"/>
    <w:rsid w:val="008D69CF"/>
    <w:rsid w:val="008D6B79"/>
    <w:rsid w:val="008D6BE0"/>
    <w:rsid w:val="008D6CB0"/>
    <w:rsid w:val="008D6CB4"/>
    <w:rsid w:val="008D6E24"/>
    <w:rsid w:val="008D74CE"/>
    <w:rsid w:val="008D7C57"/>
    <w:rsid w:val="008D7ED5"/>
    <w:rsid w:val="008E031B"/>
    <w:rsid w:val="008E0AAF"/>
    <w:rsid w:val="008E0CB7"/>
    <w:rsid w:val="008E0EB5"/>
    <w:rsid w:val="008E0FA2"/>
    <w:rsid w:val="008E112E"/>
    <w:rsid w:val="008E1462"/>
    <w:rsid w:val="008E1582"/>
    <w:rsid w:val="008E1607"/>
    <w:rsid w:val="008E17D6"/>
    <w:rsid w:val="008E18A7"/>
    <w:rsid w:val="008E1B27"/>
    <w:rsid w:val="008E1DC4"/>
    <w:rsid w:val="008E1DE9"/>
    <w:rsid w:val="008E1E01"/>
    <w:rsid w:val="008E1EAB"/>
    <w:rsid w:val="008E1F37"/>
    <w:rsid w:val="008E218A"/>
    <w:rsid w:val="008E2403"/>
    <w:rsid w:val="008E24C6"/>
    <w:rsid w:val="008E2509"/>
    <w:rsid w:val="008E26F7"/>
    <w:rsid w:val="008E2C5E"/>
    <w:rsid w:val="008E2D6F"/>
    <w:rsid w:val="008E316F"/>
    <w:rsid w:val="008E323E"/>
    <w:rsid w:val="008E334E"/>
    <w:rsid w:val="008E3385"/>
    <w:rsid w:val="008E34AF"/>
    <w:rsid w:val="008E3B37"/>
    <w:rsid w:val="008E3CCB"/>
    <w:rsid w:val="008E3E50"/>
    <w:rsid w:val="008E436A"/>
    <w:rsid w:val="008E4447"/>
    <w:rsid w:val="008E51B8"/>
    <w:rsid w:val="008E529B"/>
    <w:rsid w:val="008E5628"/>
    <w:rsid w:val="008E566F"/>
    <w:rsid w:val="008E5C58"/>
    <w:rsid w:val="008E5D1E"/>
    <w:rsid w:val="008E5ED0"/>
    <w:rsid w:val="008E655D"/>
    <w:rsid w:val="008E6A27"/>
    <w:rsid w:val="008E727C"/>
    <w:rsid w:val="008E76F8"/>
    <w:rsid w:val="008E7B1C"/>
    <w:rsid w:val="008E7B69"/>
    <w:rsid w:val="008E7BD4"/>
    <w:rsid w:val="008E7D37"/>
    <w:rsid w:val="008F0056"/>
    <w:rsid w:val="008F045E"/>
    <w:rsid w:val="008F0495"/>
    <w:rsid w:val="008F04EE"/>
    <w:rsid w:val="008F0895"/>
    <w:rsid w:val="008F0ADD"/>
    <w:rsid w:val="008F0DC5"/>
    <w:rsid w:val="008F1AEF"/>
    <w:rsid w:val="008F1B16"/>
    <w:rsid w:val="008F1B47"/>
    <w:rsid w:val="008F1C28"/>
    <w:rsid w:val="008F1D8E"/>
    <w:rsid w:val="008F2019"/>
    <w:rsid w:val="008F20B1"/>
    <w:rsid w:val="008F21E3"/>
    <w:rsid w:val="008F223C"/>
    <w:rsid w:val="008F23BD"/>
    <w:rsid w:val="008F24ED"/>
    <w:rsid w:val="008F288C"/>
    <w:rsid w:val="008F2A0F"/>
    <w:rsid w:val="008F2ADF"/>
    <w:rsid w:val="008F2FDA"/>
    <w:rsid w:val="008F31F7"/>
    <w:rsid w:val="008F3423"/>
    <w:rsid w:val="008F3814"/>
    <w:rsid w:val="008F398D"/>
    <w:rsid w:val="008F3BCC"/>
    <w:rsid w:val="008F40B4"/>
    <w:rsid w:val="008F44E5"/>
    <w:rsid w:val="008F4A8D"/>
    <w:rsid w:val="008F4C01"/>
    <w:rsid w:val="008F4D56"/>
    <w:rsid w:val="008F504A"/>
    <w:rsid w:val="008F5141"/>
    <w:rsid w:val="008F54D5"/>
    <w:rsid w:val="008F5975"/>
    <w:rsid w:val="008F5B6A"/>
    <w:rsid w:val="008F5B85"/>
    <w:rsid w:val="008F5DE4"/>
    <w:rsid w:val="008F5EA8"/>
    <w:rsid w:val="008F6150"/>
    <w:rsid w:val="008F63AA"/>
    <w:rsid w:val="008F69D8"/>
    <w:rsid w:val="008F69F6"/>
    <w:rsid w:val="008F7527"/>
    <w:rsid w:val="008F75AD"/>
    <w:rsid w:val="008F75F9"/>
    <w:rsid w:val="008F78B2"/>
    <w:rsid w:val="008F78C3"/>
    <w:rsid w:val="008F7A5A"/>
    <w:rsid w:val="00900282"/>
    <w:rsid w:val="00900766"/>
    <w:rsid w:val="0090098C"/>
    <w:rsid w:val="00900A3A"/>
    <w:rsid w:val="00900ABC"/>
    <w:rsid w:val="00900ABE"/>
    <w:rsid w:val="00900AE0"/>
    <w:rsid w:val="00900BAB"/>
    <w:rsid w:val="009011B5"/>
    <w:rsid w:val="0090124F"/>
    <w:rsid w:val="009012B4"/>
    <w:rsid w:val="00901549"/>
    <w:rsid w:val="0090190D"/>
    <w:rsid w:val="009023CA"/>
    <w:rsid w:val="00902501"/>
    <w:rsid w:val="009025CB"/>
    <w:rsid w:val="009029F9"/>
    <w:rsid w:val="00902AB4"/>
    <w:rsid w:val="00902CD4"/>
    <w:rsid w:val="00902F7D"/>
    <w:rsid w:val="0090386D"/>
    <w:rsid w:val="00903D54"/>
    <w:rsid w:val="00903F14"/>
    <w:rsid w:val="00903FFC"/>
    <w:rsid w:val="0090412C"/>
    <w:rsid w:val="00904594"/>
    <w:rsid w:val="00904614"/>
    <w:rsid w:val="0090482A"/>
    <w:rsid w:val="00904DFE"/>
    <w:rsid w:val="00904E6B"/>
    <w:rsid w:val="0090518B"/>
    <w:rsid w:val="00905237"/>
    <w:rsid w:val="00905394"/>
    <w:rsid w:val="00905418"/>
    <w:rsid w:val="0090543B"/>
    <w:rsid w:val="00905817"/>
    <w:rsid w:val="0090589D"/>
    <w:rsid w:val="009059DB"/>
    <w:rsid w:val="00905A59"/>
    <w:rsid w:val="009069A7"/>
    <w:rsid w:val="00906B5F"/>
    <w:rsid w:val="00906D4D"/>
    <w:rsid w:val="00907006"/>
    <w:rsid w:val="00907020"/>
    <w:rsid w:val="009078A8"/>
    <w:rsid w:val="00907CEE"/>
    <w:rsid w:val="00907F44"/>
    <w:rsid w:val="00910114"/>
    <w:rsid w:val="0091014C"/>
    <w:rsid w:val="00910292"/>
    <w:rsid w:val="009102D1"/>
    <w:rsid w:val="009104DF"/>
    <w:rsid w:val="00910773"/>
    <w:rsid w:val="009109DD"/>
    <w:rsid w:val="00910D91"/>
    <w:rsid w:val="0091103A"/>
    <w:rsid w:val="009115DB"/>
    <w:rsid w:val="00911FAE"/>
    <w:rsid w:val="00912282"/>
    <w:rsid w:val="0091274E"/>
    <w:rsid w:val="009127B7"/>
    <w:rsid w:val="00912A69"/>
    <w:rsid w:val="00912BB2"/>
    <w:rsid w:val="00913109"/>
    <w:rsid w:val="00913238"/>
    <w:rsid w:val="00913284"/>
    <w:rsid w:val="00913A12"/>
    <w:rsid w:val="00913F70"/>
    <w:rsid w:val="00914265"/>
    <w:rsid w:val="009143AF"/>
    <w:rsid w:val="0091445E"/>
    <w:rsid w:val="00914E1D"/>
    <w:rsid w:val="00915EC6"/>
    <w:rsid w:val="009160AA"/>
    <w:rsid w:val="00916297"/>
    <w:rsid w:val="009162FB"/>
    <w:rsid w:val="00916495"/>
    <w:rsid w:val="009164B1"/>
    <w:rsid w:val="00916545"/>
    <w:rsid w:val="00916610"/>
    <w:rsid w:val="009173F6"/>
    <w:rsid w:val="0091758E"/>
    <w:rsid w:val="00917980"/>
    <w:rsid w:val="009179E0"/>
    <w:rsid w:val="00917AFE"/>
    <w:rsid w:val="00917C55"/>
    <w:rsid w:val="00917E2A"/>
    <w:rsid w:val="00920335"/>
    <w:rsid w:val="009206D6"/>
    <w:rsid w:val="00920990"/>
    <w:rsid w:val="00920BE4"/>
    <w:rsid w:val="00920BF3"/>
    <w:rsid w:val="0092119D"/>
    <w:rsid w:val="0092240B"/>
    <w:rsid w:val="00922424"/>
    <w:rsid w:val="0092245F"/>
    <w:rsid w:val="0092275C"/>
    <w:rsid w:val="00922B61"/>
    <w:rsid w:val="00922C84"/>
    <w:rsid w:val="0092321E"/>
    <w:rsid w:val="009233FC"/>
    <w:rsid w:val="00923B1F"/>
    <w:rsid w:val="00923BD3"/>
    <w:rsid w:val="00923BE9"/>
    <w:rsid w:val="0092469A"/>
    <w:rsid w:val="00924BC1"/>
    <w:rsid w:val="00924DEE"/>
    <w:rsid w:val="009252E5"/>
    <w:rsid w:val="00925A9A"/>
    <w:rsid w:val="00925AF2"/>
    <w:rsid w:val="00925BA7"/>
    <w:rsid w:val="00925C6F"/>
    <w:rsid w:val="00925DF6"/>
    <w:rsid w:val="00925E73"/>
    <w:rsid w:val="009260B4"/>
    <w:rsid w:val="009266BC"/>
    <w:rsid w:val="009268C8"/>
    <w:rsid w:val="00926A08"/>
    <w:rsid w:val="00926A9F"/>
    <w:rsid w:val="00926AF4"/>
    <w:rsid w:val="00927008"/>
    <w:rsid w:val="0092703A"/>
    <w:rsid w:val="009272DD"/>
    <w:rsid w:val="00927494"/>
    <w:rsid w:val="00927504"/>
    <w:rsid w:val="009275D7"/>
    <w:rsid w:val="00927A5A"/>
    <w:rsid w:val="00927ABC"/>
    <w:rsid w:val="00927ACD"/>
    <w:rsid w:val="00930153"/>
    <w:rsid w:val="00930259"/>
    <w:rsid w:val="00930624"/>
    <w:rsid w:val="00930852"/>
    <w:rsid w:val="00930B20"/>
    <w:rsid w:val="00930E69"/>
    <w:rsid w:val="0093120A"/>
    <w:rsid w:val="009312F1"/>
    <w:rsid w:val="009317DD"/>
    <w:rsid w:val="009319D3"/>
    <w:rsid w:val="00931F7D"/>
    <w:rsid w:val="00932044"/>
    <w:rsid w:val="00932185"/>
    <w:rsid w:val="00932228"/>
    <w:rsid w:val="0093249A"/>
    <w:rsid w:val="0093249F"/>
    <w:rsid w:val="00932963"/>
    <w:rsid w:val="009329E0"/>
    <w:rsid w:val="00932A48"/>
    <w:rsid w:val="00932EA4"/>
    <w:rsid w:val="00932F6E"/>
    <w:rsid w:val="00932F74"/>
    <w:rsid w:val="009332EC"/>
    <w:rsid w:val="009343BE"/>
    <w:rsid w:val="009348AA"/>
    <w:rsid w:val="00934FAB"/>
    <w:rsid w:val="009351D0"/>
    <w:rsid w:val="00935378"/>
    <w:rsid w:val="0093584B"/>
    <w:rsid w:val="00935A11"/>
    <w:rsid w:val="00935B4D"/>
    <w:rsid w:val="009362DA"/>
    <w:rsid w:val="00936582"/>
    <w:rsid w:val="009367B5"/>
    <w:rsid w:val="00936AC3"/>
    <w:rsid w:val="00936DE4"/>
    <w:rsid w:val="00936F8F"/>
    <w:rsid w:val="009376F4"/>
    <w:rsid w:val="0093784E"/>
    <w:rsid w:val="00937D88"/>
    <w:rsid w:val="00937E77"/>
    <w:rsid w:val="00937FBF"/>
    <w:rsid w:val="009401B4"/>
    <w:rsid w:val="009403B2"/>
    <w:rsid w:val="00940474"/>
    <w:rsid w:val="009406F1"/>
    <w:rsid w:val="00940708"/>
    <w:rsid w:val="009407DC"/>
    <w:rsid w:val="00940919"/>
    <w:rsid w:val="00940A06"/>
    <w:rsid w:val="00940AA6"/>
    <w:rsid w:val="00941E23"/>
    <w:rsid w:val="00941EE8"/>
    <w:rsid w:val="009422D5"/>
    <w:rsid w:val="0094238D"/>
    <w:rsid w:val="00942553"/>
    <w:rsid w:val="009425EE"/>
    <w:rsid w:val="00942B69"/>
    <w:rsid w:val="00943166"/>
    <w:rsid w:val="009434BD"/>
    <w:rsid w:val="009436AA"/>
    <w:rsid w:val="00943889"/>
    <w:rsid w:val="00943A2D"/>
    <w:rsid w:val="00943ABE"/>
    <w:rsid w:val="00943CE2"/>
    <w:rsid w:val="00943DC8"/>
    <w:rsid w:val="00943F3C"/>
    <w:rsid w:val="00943F9B"/>
    <w:rsid w:val="00944092"/>
    <w:rsid w:val="00944375"/>
    <w:rsid w:val="00944791"/>
    <w:rsid w:val="009455B7"/>
    <w:rsid w:val="00945B08"/>
    <w:rsid w:val="009464FB"/>
    <w:rsid w:val="00946993"/>
    <w:rsid w:val="00947553"/>
    <w:rsid w:val="009477CC"/>
    <w:rsid w:val="0094783B"/>
    <w:rsid w:val="0094787E"/>
    <w:rsid w:val="009479FF"/>
    <w:rsid w:val="00947C43"/>
    <w:rsid w:val="00947DC7"/>
    <w:rsid w:val="0095018A"/>
    <w:rsid w:val="009506D6"/>
    <w:rsid w:val="00950CA8"/>
    <w:rsid w:val="00950CE4"/>
    <w:rsid w:val="00951019"/>
    <w:rsid w:val="0095103D"/>
    <w:rsid w:val="00951305"/>
    <w:rsid w:val="009515D9"/>
    <w:rsid w:val="009516A2"/>
    <w:rsid w:val="00951ED1"/>
    <w:rsid w:val="00951EEC"/>
    <w:rsid w:val="00952092"/>
    <w:rsid w:val="00952095"/>
    <w:rsid w:val="0095211B"/>
    <w:rsid w:val="00952146"/>
    <w:rsid w:val="0095232A"/>
    <w:rsid w:val="00952582"/>
    <w:rsid w:val="00952CEA"/>
    <w:rsid w:val="00952D31"/>
    <w:rsid w:val="00952FF4"/>
    <w:rsid w:val="009530C2"/>
    <w:rsid w:val="009534E7"/>
    <w:rsid w:val="0095358A"/>
    <w:rsid w:val="009536E7"/>
    <w:rsid w:val="00953929"/>
    <w:rsid w:val="00953B81"/>
    <w:rsid w:val="00953D4C"/>
    <w:rsid w:val="00954066"/>
    <w:rsid w:val="00954324"/>
    <w:rsid w:val="009548AD"/>
    <w:rsid w:val="00954A72"/>
    <w:rsid w:val="00954DA8"/>
    <w:rsid w:val="00954E5D"/>
    <w:rsid w:val="00954F6A"/>
    <w:rsid w:val="00955031"/>
    <w:rsid w:val="00955271"/>
    <w:rsid w:val="00955479"/>
    <w:rsid w:val="00955549"/>
    <w:rsid w:val="00955621"/>
    <w:rsid w:val="00955876"/>
    <w:rsid w:val="00955AE3"/>
    <w:rsid w:val="00955CE1"/>
    <w:rsid w:val="00956564"/>
    <w:rsid w:val="009567E4"/>
    <w:rsid w:val="00956822"/>
    <w:rsid w:val="00956DC3"/>
    <w:rsid w:val="00957084"/>
    <w:rsid w:val="009578D9"/>
    <w:rsid w:val="00957DB8"/>
    <w:rsid w:val="00960308"/>
    <w:rsid w:val="009603D1"/>
    <w:rsid w:val="00960A2C"/>
    <w:rsid w:val="00960D5B"/>
    <w:rsid w:val="00960F10"/>
    <w:rsid w:val="009611B9"/>
    <w:rsid w:val="00961398"/>
    <w:rsid w:val="00961635"/>
    <w:rsid w:val="00961938"/>
    <w:rsid w:val="00961A44"/>
    <w:rsid w:val="00961BEF"/>
    <w:rsid w:val="0096200E"/>
    <w:rsid w:val="0096204D"/>
    <w:rsid w:val="0096207E"/>
    <w:rsid w:val="0096209B"/>
    <w:rsid w:val="0096210B"/>
    <w:rsid w:val="00962316"/>
    <w:rsid w:val="009623FD"/>
    <w:rsid w:val="00962E8E"/>
    <w:rsid w:val="00963904"/>
    <w:rsid w:val="0096407C"/>
    <w:rsid w:val="0096423A"/>
    <w:rsid w:val="009642F3"/>
    <w:rsid w:val="009644EF"/>
    <w:rsid w:val="00964828"/>
    <w:rsid w:val="00964D86"/>
    <w:rsid w:val="00964ECE"/>
    <w:rsid w:val="00965033"/>
    <w:rsid w:val="009653F7"/>
    <w:rsid w:val="009655B2"/>
    <w:rsid w:val="00965846"/>
    <w:rsid w:val="00965E4D"/>
    <w:rsid w:val="00966105"/>
    <w:rsid w:val="0096615E"/>
    <w:rsid w:val="0096624A"/>
    <w:rsid w:val="009663A4"/>
    <w:rsid w:val="009664C0"/>
    <w:rsid w:val="00966509"/>
    <w:rsid w:val="009665B2"/>
    <w:rsid w:val="009665C5"/>
    <w:rsid w:val="00966A00"/>
    <w:rsid w:val="0096707C"/>
    <w:rsid w:val="0096754A"/>
    <w:rsid w:val="00967BBB"/>
    <w:rsid w:val="00967EA0"/>
    <w:rsid w:val="0097013A"/>
    <w:rsid w:val="0097064B"/>
    <w:rsid w:val="009707F1"/>
    <w:rsid w:val="0097080D"/>
    <w:rsid w:val="00970960"/>
    <w:rsid w:val="00970B62"/>
    <w:rsid w:val="0097116E"/>
    <w:rsid w:val="00971339"/>
    <w:rsid w:val="0097136A"/>
    <w:rsid w:val="00971689"/>
    <w:rsid w:val="009716BB"/>
    <w:rsid w:val="009717A8"/>
    <w:rsid w:val="00972131"/>
    <w:rsid w:val="00972FB1"/>
    <w:rsid w:val="00973216"/>
    <w:rsid w:val="0097380C"/>
    <w:rsid w:val="00973EC1"/>
    <w:rsid w:val="00974647"/>
    <w:rsid w:val="009747AE"/>
    <w:rsid w:val="009747BB"/>
    <w:rsid w:val="00974CA3"/>
    <w:rsid w:val="00974EA2"/>
    <w:rsid w:val="00974F4A"/>
    <w:rsid w:val="0097557F"/>
    <w:rsid w:val="00975610"/>
    <w:rsid w:val="0097567B"/>
    <w:rsid w:val="009759B7"/>
    <w:rsid w:val="009760BE"/>
    <w:rsid w:val="009760C2"/>
    <w:rsid w:val="009761AB"/>
    <w:rsid w:val="009761D9"/>
    <w:rsid w:val="009761FA"/>
    <w:rsid w:val="00976296"/>
    <w:rsid w:val="00976603"/>
    <w:rsid w:val="0097674B"/>
    <w:rsid w:val="00976759"/>
    <w:rsid w:val="00976921"/>
    <w:rsid w:val="009769B4"/>
    <w:rsid w:val="00976D51"/>
    <w:rsid w:val="00976E77"/>
    <w:rsid w:val="00977033"/>
    <w:rsid w:val="00977096"/>
    <w:rsid w:val="009770A0"/>
    <w:rsid w:val="009770F9"/>
    <w:rsid w:val="009771FD"/>
    <w:rsid w:val="0097724E"/>
    <w:rsid w:val="0097776D"/>
    <w:rsid w:val="00977903"/>
    <w:rsid w:val="00977B57"/>
    <w:rsid w:val="00977FDE"/>
    <w:rsid w:val="009800A3"/>
    <w:rsid w:val="0098036F"/>
    <w:rsid w:val="009803AC"/>
    <w:rsid w:val="00980562"/>
    <w:rsid w:val="00980581"/>
    <w:rsid w:val="00980790"/>
    <w:rsid w:val="0098084A"/>
    <w:rsid w:val="00980867"/>
    <w:rsid w:val="00980A22"/>
    <w:rsid w:val="00980C2A"/>
    <w:rsid w:val="00980EBA"/>
    <w:rsid w:val="00981940"/>
    <w:rsid w:val="00981AEE"/>
    <w:rsid w:val="00982469"/>
    <w:rsid w:val="009829DC"/>
    <w:rsid w:val="00982C3D"/>
    <w:rsid w:val="00982C76"/>
    <w:rsid w:val="00982EC9"/>
    <w:rsid w:val="009832A5"/>
    <w:rsid w:val="009835B1"/>
    <w:rsid w:val="009835E4"/>
    <w:rsid w:val="00983899"/>
    <w:rsid w:val="00983CA9"/>
    <w:rsid w:val="00983FBD"/>
    <w:rsid w:val="00984244"/>
    <w:rsid w:val="009845DA"/>
    <w:rsid w:val="0098490D"/>
    <w:rsid w:val="00984DC5"/>
    <w:rsid w:val="00984F30"/>
    <w:rsid w:val="00985658"/>
    <w:rsid w:val="00985663"/>
    <w:rsid w:val="00985AFC"/>
    <w:rsid w:val="00986001"/>
    <w:rsid w:val="00986746"/>
    <w:rsid w:val="009867BE"/>
    <w:rsid w:val="009867C0"/>
    <w:rsid w:val="00986B71"/>
    <w:rsid w:val="00986BD6"/>
    <w:rsid w:val="00986F24"/>
    <w:rsid w:val="00987139"/>
    <w:rsid w:val="0098759D"/>
    <w:rsid w:val="009878CD"/>
    <w:rsid w:val="0098791C"/>
    <w:rsid w:val="00987AC7"/>
    <w:rsid w:val="00987B01"/>
    <w:rsid w:val="00990093"/>
    <w:rsid w:val="0099067B"/>
    <w:rsid w:val="00990B1B"/>
    <w:rsid w:val="00990B6F"/>
    <w:rsid w:val="00990C05"/>
    <w:rsid w:val="00990F29"/>
    <w:rsid w:val="00990F5C"/>
    <w:rsid w:val="00990FB7"/>
    <w:rsid w:val="00991099"/>
    <w:rsid w:val="00991112"/>
    <w:rsid w:val="00991120"/>
    <w:rsid w:val="0099120D"/>
    <w:rsid w:val="00991242"/>
    <w:rsid w:val="00991279"/>
    <w:rsid w:val="0099127B"/>
    <w:rsid w:val="00991541"/>
    <w:rsid w:val="009916EB"/>
    <w:rsid w:val="00991960"/>
    <w:rsid w:val="00991B78"/>
    <w:rsid w:val="00991BD5"/>
    <w:rsid w:val="00992B0C"/>
    <w:rsid w:val="00992CCB"/>
    <w:rsid w:val="00992FA4"/>
    <w:rsid w:val="0099318F"/>
    <w:rsid w:val="009931E8"/>
    <w:rsid w:val="0099362F"/>
    <w:rsid w:val="009936E6"/>
    <w:rsid w:val="00993861"/>
    <w:rsid w:val="00993E67"/>
    <w:rsid w:val="00993EF5"/>
    <w:rsid w:val="00994021"/>
    <w:rsid w:val="009940A4"/>
    <w:rsid w:val="009941E2"/>
    <w:rsid w:val="00994652"/>
    <w:rsid w:val="00994A0E"/>
    <w:rsid w:val="00994B33"/>
    <w:rsid w:val="00994BD0"/>
    <w:rsid w:val="00994E46"/>
    <w:rsid w:val="009954EF"/>
    <w:rsid w:val="0099555F"/>
    <w:rsid w:val="009955CC"/>
    <w:rsid w:val="009956CD"/>
    <w:rsid w:val="00995876"/>
    <w:rsid w:val="0099596B"/>
    <w:rsid w:val="00996305"/>
    <w:rsid w:val="009963CD"/>
    <w:rsid w:val="009968C7"/>
    <w:rsid w:val="00996E54"/>
    <w:rsid w:val="00997271"/>
    <w:rsid w:val="00997780"/>
    <w:rsid w:val="009979D8"/>
    <w:rsid w:val="00997A25"/>
    <w:rsid w:val="00997DE3"/>
    <w:rsid w:val="00997FCF"/>
    <w:rsid w:val="009A0161"/>
    <w:rsid w:val="009A03E0"/>
    <w:rsid w:val="009A1137"/>
    <w:rsid w:val="009A157A"/>
    <w:rsid w:val="009A1938"/>
    <w:rsid w:val="009A23A5"/>
    <w:rsid w:val="009A28E9"/>
    <w:rsid w:val="009A2D8A"/>
    <w:rsid w:val="009A2E2D"/>
    <w:rsid w:val="009A3504"/>
    <w:rsid w:val="009A3926"/>
    <w:rsid w:val="009A40F5"/>
    <w:rsid w:val="009A4436"/>
    <w:rsid w:val="009A44A5"/>
    <w:rsid w:val="009A50CB"/>
    <w:rsid w:val="009A5578"/>
    <w:rsid w:val="009A5774"/>
    <w:rsid w:val="009A586E"/>
    <w:rsid w:val="009A5D22"/>
    <w:rsid w:val="009A5FB5"/>
    <w:rsid w:val="009A627B"/>
    <w:rsid w:val="009A62C2"/>
    <w:rsid w:val="009A6366"/>
    <w:rsid w:val="009A67B1"/>
    <w:rsid w:val="009A6C85"/>
    <w:rsid w:val="009A6C9A"/>
    <w:rsid w:val="009A6F4E"/>
    <w:rsid w:val="009A6FDB"/>
    <w:rsid w:val="009A7064"/>
    <w:rsid w:val="009A71C9"/>
    <w:rsid w:val="009A79A4"/>
    <w:rsid w:val="009A7D3F"/>
    <w:rsid w:val="009A7F97"/>
    <w:rsid w:val="009B00E6"/>
    <w:rsid w:val="009B00F8"/>
    <w:rsid w:val="009B0256"/>
    <w:rsid w:val="009B056A"/>
    <w:rsid w:val="009B1233"/>
    <w:rsid w:val="009B172A"/>
    <w:rsid w:val="009B199F"/>
    <w:rsid w:val="009B1CA0"/>
    <w:rsid w:val="009B1F4A"/>
    <w:rsid w:val="009B2114"/>
    <w:rsid w:val="009B268C"/>
    <w:rsid w:val="009B2806"/>
    <w:rsid w:val="009B2E96"/>
    <w:rsid w:val="009B2F52"/>
    <w:rsid w:val="009B31B0"/>
    <w:rsid w:val="009B352F"/>
    <w:rsid w:val="009B3558"/>
    <w:rsid w:val="009B36EE"/>
    <w:rsid w:val="009B37B9"/>
    <w:rsid w:val="009B38E1"/>
    <w:rsid w:val="009B3A35"/>
    <w:rsid w:val="009B3D53"/>
    <w:rsid w:val="009B3E02"/>
    <w:rsid w:val="009B4F73"/>
    <w:rsid w:val="009B535E"/>
    <w:rsid w:val="009B5493"/>
    <w:rsid w:val="009B556C"/>
    <w:rsid w:val="009B5A36"/>
    <w:rsid w:val="009B5BDC"/>
    <w:rsid w:val="009B5EE4"/>
    <w:rsid w:val="009B6041"/>
    <w:rsid w:val="009B60A2"/>
    <w:rsid w:val="009B65B1"/>
    <w:rsid w:val="009B6BAA"/>
    <w:rsid w:val="009B6E9E"/>
    <w:rsid w:val="009B6EC6"/>
    <w:rsid w:val="009B72D9"/>
    <w:rsid w:val="009B74F0"/>
    <w:rsid w:val="009B7A99"/>
    <w:rsid w:val="009C02FC"/>
    <w:rsid w:val="009C0AE6"/>
    <w:rsid w:val="009C18BF"/>
    <w:rsid w:val="009C20E3"/>
    <w:rsid w:val="009C22BC"/>
    <w:rsid w:val="009C23AD"/>
    <w:rsid w:val="009C2B8C"/>
    <w:rsid w:val="009C2D65"/>
    <w:rsid w:val="009C411E"/>
    <w:rsid w:val="009C42DD"/>
    <w:rsid w:val="009C447D"/>
    <w:rsid w:val="009C4720"/>
    <w:rsid w:val="009C4928"/>
    <w:rsid w:val="009C5047"/>
    <w:rsid w:val="009C518B"/>
    <w:rsid w:val="009C5294"/>
    <w:rsid w:val="009C5306"/>
    <w:rsid w:val="009C54ED"/>
    <w:rsid w:val="009C578E"/>
    <w:rsid w:val="009C5C91"/>
    <w:rsid w:val="009C629F"/>
    <w:rsid w:val="009C6567"/>
    <w:rsid w:val="009C66F5"/>
    <w:rsid w:val="009C6984"/>
    <w:rsid w:val="009C6A31"/>
    <w:rsid w:val="009C713B"/>
    <w:rsid w:val="009C7562"/>
    <w:rsid w:val="009D0034"/>
    <w:rsid w:val="009D0294"/>
    <w:rsid w:val="009D03CB"/>
    <w:rsid w:val="009D0ABC"/>
    <w:rsid w:val="009D0D1E"/>
    <w:rsid w:val="009D10FD"/>
    <w:rsid w:val="009D11BF"/>
    <w:rsid w:val="009D1CE7"/>
    <w:rsid w:val="009D1D21"/>
    <w:rsid w:val="009D1F03"/>
    <w:rsid w:val="009D2388"/>
    <w:rsid w:val="009D23A5"/>
    <w:rsid w:val="009D23E4"/>
    <w:rsid w:val="009D24D0"/>
    <w:rsid w:val="009D2BD5"/>
    <w:rsid w:val="009D2E9F"/>
    <w:rsid w:val="009D3863"/>
    <w:rsid w:val="009D3901"/>
    <w:rsid w:val="009D400E"/>
    <w:rsid w:val="009D457E"/>
    <w:rsid w:val="009D4649"/>
    <w:rsid w:val="009D4827"/>
    <w:rsid w:val="009D4B1E"/>
    <w:rsid w:val="009D54C9"/>
    <w:rsid w:val="009D54E0"/>
    <w:rsid w:val="009D555A"/>
    <w:rsid w:val="009D557D"/>
    <w:rsid w:val="009D5715"/>
    <w:rsid w:val="009D592C"/>
    <w:rsid w:val="009D5992"/>
    <w:rsid w:val="009D5A78"/>
    <w:rsid w:val="009D5C91"/>
    <w:rsid w:val="009D5ED1"/>
    <w:rsid w:val="009D668B"/>
    <w:rsid w:val="009D67B2"/>
    <w:rsid w:val="009D6CC8"/>
    <w:rsid w:val="009D6E00"/>
    <w:rsid w:val="009D72AF"/>
    <w:rsid w:val="009D72B3"/>
    <w:rsid w:val="009D747E"/>
    <w:rsid w:val="009D7D1B"/>
    <w:rsid w:val="009D7EE8"/>
    <w:rsid w:val="009E0439"/>
    <w:rsid w:val="009E05EE"/>
    <w:rsid w:val="009E0C54"/>
    <w:rsid w:val="009E12F0"/>
    <w:rsid w:val="009E1349"/>
    <w:rsid w:val="009E13F0"/>
    <w:rsid w:val="009E1432"/>
    <w:rsid w:val="009E1E74"/>
    <w:rsid w:val="009E1F10"/>
    <w:rsid w:val="009E1F42"/>
    <w:rsid w:val="009E2120"/>
    <w:rsid w:val="009E23D8"/>
    <w:rsid w:val="009E2950"/>
    <w:rsid w:val="009E2A15"/>
    <w:rsid w:val="009E2EF1"/>
    <w:rsid w:val="009E3340"/>
    <w:rsid w:val="009E3DE6"/>
    <w:rsid w:val="009E41C8"/>
    <w:rsid w:val="009E4245"/>
    <w:rsid w:val="009E429F"/>
    <w:rsid w:val="009E42EA"/>
    <w:rsid w:val="009E4A21"/>
    <w:rsid w:val="009E4D6A"/>
    <w:rsid w:val="009E4E9F"/>
    <w:rsid w:val="009E5209"/>
    <w:rsid w:val="009E5559"/>
    <w:rsid w:val="009E5563"/>
    <w:rsid w:val="009E577F"/>
    <w:rsid w:val="009E5C31"/>
    <w:rsid w:val="009E60C7"/>
    <w:rsid w:val="009E6334"/>
    <w:rsid w:val="009E636A"/>
    <w:rsid w:val="009E65C6"/>
    <w:rsid w:val="009E6ABF"/>
    <w:rsid w:val="009E6BFE"/>
    <w:rsid w:val="009E752B"/>
    <w:rsid w:val="009E7C94"/>
    <w:rsid w:val="009F047D"/>
    <w:rsid w:val="009F04A0"/>
    <w:rsid w:val="009F086A"/>
    <w:rsid w:val="009F08D4"/>
    <w:rsid w:val="009F0FC4"/>
    <w:rsid w:val="009F1682"/>
    <w:rsid w:val="009F17F0"/>
    <w:rsid w:val="009F189E"/>
    <w:rsid w:val="009F1DD5"/>
    <w:rsid w:val="009F28DF"/>
    <w:rsid w:val="009F2D4C"/>
    <w:rsid w:val="009F2DEB"/>
    <w:rsid w:val="009F2EBE"/>
    <w:rsid w:val="009F3067"/>
    <w:rsid w:val="009F30A9"/>
    <w:rsid w:val="009F3317"/>
    <w:rsid w:val="009F34C3"/>
    <w:rsid w:val="009F3739"/>
    <w:rsid w:val="009F38B8"/>
    <w:rsid w:val="009F3CBB"/>
    <w:rsid w:val="009F45E4"/>
    <w:rsid w:val="009F49C5"/>
    <w:rsid w:val="009F49CF"/>
    <w:rsid w:val="009F4DD0"/>
    <w:rsid w:val="009F4DE6"/>
    <w:rsid w:val="009F4E19"/>
    <w:rsid w:val="009F55F6"/>
    <w:rsid w:val="009F5632"/>
    <w:rsid w:val="009F5A1D"/>
    <w:rsid w:val="009F5CB2"/>
    <w:rsid w:val="009F5D09"/>
    <w:rsid w:val="009F5DB1"/>
    <w:rsid w:val="009F6023"/>
    <w:rsid w:val="009F6085"/>
    <w:rsid w:val="009F65A5"/>
    <w:rsid w:val="009F6669"/>
    <w:rsid w:val="009F6A52"/>
    <w:rsid w:val="009F6CA8"/>
    <w:rsid w:val="009F6DBB"/>
    <w:rsid w:val="009F6EA9"/>
    <w:rsid w:val="009F6EF6"/>
    <w:rsid w:val="009F7166"/>
    <w:rsid w:val="009F7421"/>
    <w:rsid w:val="009F7644"/>
    <w:rsid w:val="009F7FD3"/>
    <w:rsid w:val="00A000B4"/>
    <w:rsid w:val="00A0022B"/>
    <w:rsid w:val="00A00281"/>
    <w:rsid w:val="00A0030B"/>
    <w:rsid w:val="00A00392"/>
    <w:rsid w:val="00A0048B"/>
    <w:rsid w:val="00A00911"/>
    <w:rsid w:val="00A00A71"/>
    <w:rsid w:val="00A00FBA"/>
    <w:rsid w:val="00A010A0"/>
    <w:rsid w:val="00A0136E"/>
    <w:rsid w:val="00A01859"/>
    <w:rsid w:val="00A01A6A"/>
    <w:rsid w:val="00A01AF0"/>
    <w:rsid w:val="00A01E51"/>
    <w:rsid w:val="00A01EAB"/>
    <w:rsid w:val="00A02405"/>
    <w:rsid w:val="00A02497"/>
    <w:rsid w:val="00A0252C"/>
    <w:rsid w:val="00A0298D"/>
    <w:rsid w:val="00A02CF9"/>
    <w:rsid w:val="00A02F87"/>
    <w:rsid w:val="00A0331E"/>
    <w:rsid w:val="00A035F4"/>
    <w:rsid w:val="00A0366B"/>
    <w:rsid w:val="00A03752"/>
    <w:rsid w:val="00A03907"/>
    <w:rsid w:val="00A03CA1"/>
    <w:rsid w:val="00A04155"/>
    <w:rsid w:val="00A04430"/>
    <w:rsid w:val="00A04448"/>
    <w:rsid w:val="00A04AFC"/>
    <w:rsid w:val="00A04B1F"/>
    <w:rsid w:val="00A04C5C"/>
    <w:rsid w:val="00A04D84"/>
    <w:rsid w:val="00A04F5F"/>
    <w:rsid w:val="00A05010"/>
    <w:rsid w:val="00A052FF"/>
    <w:rsid w:val="00A054BB"/>
    <w:rsid w:val="00A059B5"/>
    <w:rsid w:val="00A05B3C"/>
    <w:rsid w:val="00A066A3"/>
    <w:rsid w:val="00A0673A"/>
    <w:rsid w:val="00A06D6F"/>
    <w:rsid w:val="00A0709D"/>
    <w:rsid w:val="00A073BE"/>
    <w:rsid w:val="00A07452"/>
    <w:rsid w:val="00A07682"/>
    <w:rsid w:val="00A076A5"/>
    <w:rsid w:val="00A0799C"/>
    <w:rsid w:val="00A07F0A"/>
    <w:rsid w:val="00A100E6"/>
    <w:rsid w:val="00A1040B"/>
    <w:rsid w:val="00A106AF"/>
    <w:rsid w:val="00A1084A"/>
    <w:rsid w:val="00A10951"/>
    <w:rsid w:val="00A10A7D"/>
    <w:rsid w:val="00A10B5B"/>
    <w:rsid w:val="00A11474"/>
    <w:rsid w:val="00A114BE"/>
    <w:rsid w:val="00A118FC"/>
    <w:rsid w:val="00A11B6B"/>
    <w:rsid w:val="00A11BFF"/>
    <w:rsid w:val="00A1231E"/>
    <w:rsid w:val="00A12422"/>
    <w:rsid w:val="00A126B1"/>
    <w:rsid w:val="00A129BF"/>
    <w:rsid w:val="00A12CD5"/>
    <w:rsid w:val="00A12D8B"/>
    <w:rsid w:val="00A12E3F"/>
    <w:rsid w:val="00A12EE5"/>
    <w:rsid w:val="00A12F72"/>
    <w:rsid w:val="00A13370"/>
    <w:rsid w:val="00A133CB"/>
    <w:rsid w:val="00A13811"/>
    <w:rsid w:val="00A13ABA"/>
    <w:rsid w:val="00A13EE7"/>
    <w:rsid w:val="00A143E1"/>
    <w:rsid w:val="00A14B55"/>
    <w:rsid w:val="00A14E66"/>
    <w:rsid w:val="00A14E70"/>
    <w:rsid w:val="00A153DC"/>
    <w:rsid w:val="00A15500"/>
    <w:rsid w:val="00A1595F"/>
    <w:rsid w:val="00A159C8"/>
    <w:rsid w:val="00A15F04"/>
    <w:rsid w:val="00A16039"/>
    <w:rsid w:val="00A1642C"/>
    <w:rsid w:val="00A1658A"/>
    <w:rsid w:val="00A16941"/>
    <w:rsid w:val="00A16965"/>
    <w:rsid w:val="00A16A21"/>
    <w:rsid w:val="00A16C35"/>
    <w:rsid w:val="00A1735B"/>
    <w:rsid w:val="00A1763F"/>
    <w:rsid w:val="00A178B7"/>
    <w:rsid w:val="00A17AF7"/>
    <w:rsid w:val="00A17ED0"/>
    <w:rsid w:val="00A17F3D"/>
    <w:rsid w:val="00A201D3"/>
    <w:rsid w:val="00A2040F"/>
    <w:rsid w:val="00A206EF"/>
    <w:rsid w:val="00A207AB"/>
    <w:rsid w:val="00A20852"/>
    <w:rsid w:val="00A20E01"/>
    <w:rsid w:val="00A20F29"/>
    <w:rsid w:val="00A2131A"/>
    <w:rsid w:val="00A215E6"/>
    <w:rsid w:val="00A21DA8"/>
    <w:rsid w:val="00A223D1"/>
    <w:rsid w:val="00A226C6"/>
    <w:rsid w:val="00A226E0"/>
    <w:rsid w:val="00A22C05"/>
    <w:rsid w:val="00A22D7E"/>
    <w:rsid w:val="00A23037"/>
    <w:rsid w:val="00A23162"/>
    <w:rsid w:val="00A23356"/>
    <w:rsid w:val="00A233AF"/>
    <w:rsid w:val="00A2372B"/>
    <w:rsid w:val="00A238F5"/>
    <w:rsid w:val="00A23AB3"/>
    <w:rsid w:val="00A2403D"/>
    <w:rsid w:val="00A246A1"/>
    <w:rsid w:val="00A24732"/>
    <w:rsid w:val="00A247F9"/>
    <w:rsid w:val="00A248AD"/>
    <w:rsid w:val="00A24A3E"/>
    <w:rsid w:val="00A24B23"/>
    <w:rsid w:val="00A24D9D"/>
    <w:rsid w:val="00A24F3E"/>
    <w:rsid w:val="00A25247"/>
    <w:rsid w:val="00A25295"/>
    <w:rsid w:val="00A25934"/>
    <w:rsid w:val="00A25A82"/>
    <w:rsid w:val="00A25B60"/>
    <w:rsid w:val="00A25C5E"/>
    <w:rsid w:val="00A25DF5"/>
    <w:rsid w:val="00A26286"/>
    <w:rsid w:val="00A26401"/>
    <w:rsid w:val="00A2645F"/>
    <w:rsid w:val="00A264BA"/>
    <w:rsid w:val="00A267D6"/>
    <w:rsid w:val="00A26B30"/>
    <w:rsid w:val="00A274EC"/>
    <w:rsid w:val="00A27CAE"/>
    <w:rsid w:val="00A27D18"/>
    <w:rsid w:val="00A30254"/>
    <w:rsid w:val="00A304B8"/>
    <w:rsid w:val="00A30633"/>
    <w:rsid w:val="00A3096B"/>
    <w:rsid w:val="00A30DCA"/>
    <w:rsid w:val="00A3119E"/>
    <w:rsid w:val="00A3156C"/>
    <w:rsid w:val="00A318B6"/>
    <w:rsid w:val="00A319B0"/>
    <w:rsid w:val="00A319B1"/>
    <w:rsid w:val="00A319B7"/>
    <w:rsid w:val="00A32094"/>
    <w:rsid w:val="00A3212B"/>
    <w:rsid w:val="00A321A5"/>
    <w:rsid w:val="00A32805"/>
    <w:rsid w:val="00A3299A"/>
    <w:rsid w:val="00A329DB"/>
    <w:rsid w:val="00A32A4A"/>
    <w:rsid w:val="00A32E81"/>
    <w:rsid w:val="00A32FB9"/>
    <w:rsid w:val="00A3316A"/>
    <w:rsid w:val="00A335D2"/>
    <w:rsid w:val="00A33695"/>
    <w:rsid w:val="00A33761"/>
    <w:rsid w:val="00A33818"/>
    <w:rsid w:val="00A33B31"/>
    <w:rsid w:val="00A33BD0"/>
    <w:rsid w:val="00A344F0"/>
    <w:rsid w:val="00A34847"/>
    <w:rsid w:val="00A34950"/>
    <w:rsid w:val="00A35047"/>
    <w:rsid w:val="00A3508A"/>
    <w:rsid w:val="00A350D1"/>
    <w:rsid w:val="00A35229"/>
    <w:rsid w:val="00A3539F"/>
    <w:rsid w:val="00A35573"/>
    <w:rsid w:val="00A356A7"/>
    <w:rsid w:val="00A35D30"/>
    <w:rsid w:val="00A3639D"/>
    <w:rsid w:val="00A36820"/>
    <w:rsid w:val="00A36B48"/>
    <w:rsid w:val="00A36B9F"/>
    <w:rsid w:val="00A36EF5"/>
    <w:rsid w:val="00A3712C"/>
    <w:rsid w:val="00A37135"/>
    <w:rsid w:val="00A3716D"/>
    <w:rsid w:val="00A37181"/>
    <w:rsid w:val="00A371C4"/>
    <w:rsid w:val="00A373BB"/>
    <w:rsid w:val="00A374B4"/>
    <w:rsid w:val="00A375AB"/>
    <w:rsid w:val="00A37753"/>
    <w:rsid w:val="00A37A7B"/>
    <w:rsid w:val="00A37CE9"/>
    <w:rsid w:val="00A37DED"/>
    <w:rsid w:val="00A40595"/>
    <w:rsid w:val="00A40A38"/>
    <w:rsid w:val="00A40CA1"/>
    <w:rsid w:val="00A41368"/>
    <w:rsid w:val="00A41410"/>
    <w:rsid w:val="00A41473"/>
    <w:rsid w:val="00A418EA"/>
    <w:rsid w:val="00A41BAE"/>
    <w:rsid w:val="00A41D42"/>
    <w:rsid w:val="00A4211E"/>
    <w:rsid w:val="00A42353"/>
    <w:rsid w:val="00A42384"/>
    <w:rsid w:val="00A42704"/>
    <w:rsid w:val="00A42BB7"/>
    <w:rsid w:val="00A430A0"/>
    <w:rsid w:val="00A433B5"/>
    <w:rsid w:val="00A43436"/>
    <w:rsid w:val="00A4381C"/>
    <w:rsid w:val="00A43FD1"/>
    <w:rsid w:val="00A43FF2"/>
    <w:rsid w:val="00A44383"/>
    <w:rsid w:val="00A44AB6"/>
    <w:rsid w:val="00A44EAB"/>
    <w:rsid w:val="00A45619"/>
    <w:rsid w:val="00A4574A"/>
    <w:rsid w:val="00A458C7"/>
    <w:rsid w:val="00A4601E"/>
    <w:rsid w:val="00A4638B"/>
    <w:rsid w:val="00A463D0"/>
    <w:rsid w:val="00A46A0E"/>
    <w:rsid w:val="00A46C91"/>
    <w:rsid w:val="00A46D63"/>
    <w:rsid w:val="00A46E3D"/>
    <w:rsid w:val="00A475E7"/>
    <w:rsid w:val="00A47833"/>
    <w:rsid w:val="00A478F4"/>
    <w:rsid w:val="00A47C91"/>
    <w:rsid w:val="00A47CE5"/>
    <w:rsid w:val="00A502EE"/>
    <w:rsid w:val="00A50AAD"/>
    <w:rsid w:val="00A50F9F"/>
    <w:rsid w:val="00A518CA"/>
    <w:rsid w:val="00A51AA7"/>
    <w:rsid w:val="00A51CF6"/>
    <w:rsid w:val="00A520E3"/>
    <w:rsid w:val="00A527E2"/>
    <w:rsid w:val="00A52B04"/>
    <w:rsid w:val="00A52E55"/>
    <w:rsid w:val="00A52E7B"/>
    <w:rsid w:val="00A53585"/>
    <w:rsid w:val="00A53999"/>
    <w:rsid w:val="00A53A40"/>
    <w:rsid w:val="00A53A6B"/>
    <w:rsid w:val="00A53F29"/>
    <w:rsid w:val="00A542B2"/>
    <w:rsid w:val="00A542FF"/>
    <w:rsid w:val="00A5495E"/>
    <w:rsid w:val="00A5495F"/>
    <w:rsid w:val="00A54DED"/>
    <w:rsid w:val="00A54E4E"/>
    <w:rsid w:val="00A5529B"/>
    <w:rsid w:val="00A555CE"/>
    <w:rsid w:val="00A55605"/>
    <w:rsid w:val="00A5602C"/>
    <w:rsid w:val="00A57600"/>
    <w:rsid w:val="00A57784"/>
    <w:rsid w:val="00A57862"/>
    <w:rsid w:val="00A57A06"/>
    <w:rsid w:val="00A57B4B"/>
    <w:rsid w:val="00A60094"/>
    <w:rsid w:val="00A600C8"/>
    <w:rsid w:val="00A60625"/>
    <w:rsid w:val="00A6067F"/>
    <w:rsid w:val="00A606C9"/>
    <w:rsid w:val="00A60CBE"/>
    <w:rsid w:val="00A6151D"/>
    <w:rsid w:val="00A617FE"/>
    <w:rsid w:val="00A61EE8"/>
    <w:rsid w:val="00A62278"/>
    <w:rsid w:val="00A6244E"/>
    <w:rsid w:val="00A62D87"/>
    <w:rsid w:val="00A62F80"/>
    <w:rsid w:val="00A631AB"/>
    <w:rsid w:val="00A63345"/>
    <w:rsid w:val="00A634C2"/>
    <w:rsid w:val="00A63D83"/>
    <w:rsid w:val="00A64258"/>
    <w:rsid w:val="00A642B2"/>
    <w:rsid w:val="00A6464B"/>
    <w:rsid w:val="00A64F6A"/>
    <w:rsid w:val="00A65222"/>
    <w:rsid w:val="00A6564C"/>
    <w:rsid w:val="00A65712"/>
    <w:rsid w:val="00A6588A"/>
    <w:rsid w:val="00A65E06"/>
    <w:rsid w:val="00A66337"/>
    <w:rsid w:val="00A66717"/>
    <w:rsid w:val="00A669AD"/>
    <w:rsid w:val="00A669BD"/>
    <w:rsid w:val="00A66C67"/>
    <w:rsid w:val="00A6724B"/>
    <w:rsid w:val="00A67449"/>
    <w:rsid w:val="00A6762E"/>
    <w:rsid w:val="00A67944"/>
    <w:rsid w:val="00A67CC6"/>
    <w:rsid w:val="00A67FE9"/>
    <w:rsid w:val="00A7017A"/>
    <w:rsid w:val="00A7025C"/>
    <w:rsid w:val="00A704C3"/>
    <w:rsid w:val="00A70560"/>
    <w:rsid w:val="00A705C2"/>
    <w:rsid w:val="00A70D56"/>
    <w:rsid w:val="00A70FF9"/>
    <w:rsid w:val="00A7171B"/>
    <w:rsid w:val="00A717D1"/>
    <w:rsid w:val="00A71A3D"/>
    <w:rsid w:val="00A71BE5"/>
    <w:rsid w:val="00A723F8"/>
    <w:rsid w:val="00A7248E"/>
    <w:rsid w:val="00A72492"/>
    <w:rsid w:val="00A7256A"/>
    <w:rsid w:val="00A725D4"/>
    <w:rsid w:val="00A729DA"/>
    <w:rsid w:val="00A72F2D"/>
    <w:rsid w:val="00A72F80"/>
    <w:rsid w:val="00A72FD5"/>
    <w:rsid w:val="00A7309C"/>
    <w:rsid w:val="00A7336B"/>
    <w:rsid w:val="00A73745"/>
    <w:rsid w:val="00A73B50"/>
    <w:rsid w:val="00A73C48"/>
    <w:rsid w:val="00A73EA8"/>
    <w:rsid w:val="00A74190"/>
    <w:rsid w:val="00A742D6"/>
    <w:rsid w:val="00A7450D"/>
    <w:rsid w:val="00A74625"/>
    <w:rsid w:val="00A74915"/>
    <w:rsid w:val="00A74F27"/>
    <w:rsid w:val="00A752ED"/>
    <w:rsid w:val="00A7542D"/>
    <w:rsid w:val="00A755EA"/>
    <w:rsid w:val="00A75820"/>
    <w:rsid w:val="00A75974"/>
    <w:rsid w:val="00A75AF3"/>
    <w:rsid w:val="00A75C12"/>
    <w:rsid w:val="00A76065"/>
    <w:rsid w:val="00A76352"/>
    <w:rsid w:val="00A76367"/>
    <w:rsid w:val="00A766D2"/>
    <w:rsid w:val="00A76849"/>
    <w:rsid w:val="00A76DDA"/>
    <w:rsid w:val="00A76E06"/>
    <w:rsid w:val="00A773A9"/>
    <w:rsid w:val="00A773DF"/>
    <w:rsid w:val="00A779C4"/>
    <w:rsid w:val="00A77ED5"/>
    <w:rsid w:val="00A77FEB"/>
    <w:rsid w:val="00A803C3"/>
    <w:rsid w:val="00A80486"/>
    <w:rsid w:val="00A80721"/>
    <w:rsid w:val="00A80CBD"/>
    <w:rsid w:val="00A811CE"/>
    <w:rsid w:val="00A81962"/>
    <w:rsid w:val="00A81AA2"/>
    <w:rsid w:val="00A81B54"/>
    <w:rsid w:val="00A8202B"/>
    <w:rsid w:val="00A828A1"/>
    <w:rsid w:val="00A828C7"/>
    <w:rsid w:val="00A82DA1"/>
    <w:rsid w:val="00A82FFE"/>
    <w:rsid w:val="00A83262"/>
    <w:rsid w:val="00A836F4"/>
    <w:rsid w:val="00A837A7"/>
    <w:rsid w:val="00A83849"/>
    <w:rsid w:val="00A8410C"/>
    <w:rsid w:val="00A84BAE"/>
    <w:rsid w:val="00A84C25"/>
    <w:rsid w:val="00A84CD0"/>
    <w:rsid w:val="00A84F27"/>
    <w:rsid w:val="00A850D7"/>
    <w:rsid w:val="00A853FE"/>
    <w:rsid w:val="00A85529"/>
    <w:rsid w:val="00A855A4"/>
    <w:rsid w:val="00A856EB"/>
    <w:rsid w:val="00A85876"/>
    <w:rsid w:val="00A85C95"/>
    <w:rsid w:val="00A85D07"/>
    <w:rsid w:val="00A85D2A"/>
    <w:rsid w:val="00A85D5E"/>
    <w:rsid w:val="00A85DB5"/>
    <w:rsid w:val="00A8608D"/>
    <w:rsid w:val="00A86135"/>
    <w:rsid w:val="00A8617A"/>
    <w:rsid w:val="00A862C0"/>
    <w:rsid w:val="00A86416"/>
    <w:rsid w:val="00A86780"/>
    <w:rsid w:val="00A86910"/>
    <w:rsid w:val="00A86978"/>
    <w:rsid w:val="00A869DB"/>
    <w:rsid w:val="00A86CB4"/>
    <w:rsid w:val="00A86D5F"/>
    <w:rsid w:val="00A86EBA"/>
    <w:rsid w:val="00A87094"/>
    <w:rsid w:val="00A871BB"/>
    <w:rsid w:val="00A87936"/>
    <w:rsid w:val="00A87D29"/>
    <w:rsid w:val="00A87DBF"/>
    <w:rsid w:val="00A900E5"/>
    <w:rsid w:val="00A904A4"/>
    <w:rsid w:val="00A90514"/>
    <w:rsid w:val="00A905DC"/>
    <w:rsid w:val="00A90859"/>
    <w:rsid w:val="00A9086D"/>
    <w:rsid w:val="00A908F3"/>
    <w:rsid w:val="00A90C08"/>
    <w:rsid w:val="00A910C9"/>
    <w:rsid w:val="00A916D6"/>
    <w:rsid w:val="00A91704"/>
    <w:rsid w:val="00A91CCB"/>
    <w:rsid w:val="00A91F96"/>
    <w:rsid w:val="00A9233C"/>
    <w:rsid w:val="00A92777"/>
    <w:rsid w:val="00A92945"/>
    <w:rsid w:val="00A92AB9"/>
    <w:rsid w:val="00A92BB5"/>
    <w:rsid w:val="00A931D4"/>
    <w:rsid w:val="00A9326F"/>
    <w:rsid w:val="00A9337B"/>
    <w:rsid w:val="00A9338B"/>
    <w:rsid w:val="00A933DA"/>
    <w:rsid w:val="00A93820"/>
    <w:rsid w:val="00A93D72"/>
    <w:rsid w:val="00A9424B"/>
    <w:rsid w:val="00A94430"/>
    <w:rsid w:val="00A9489A"/>
    <w:rsid w:val="00A94C31"/>
    <w:rsid w:val="00A94FFA"/>
    <w:rsid w:val="00A95101"/>
    <w:rsid w:val="00A95412"/>
    <w:rsid w:val="00A95569"/>
    <w:rsid w:val="00A957F0"/>
    <w:rsid w:val="00A9580C"/>
    <w:rsid w:val="00A9590F"/>
    <w:rsid w:val="00A95C39"/>
    <w:rsid w:val="00A95D5E"/>
    <w:rsid w:val="00A95D8D"/>
    <w:rsid w:val="00A95FA8"/>
    <w:rsid w:val="00A962E9"/>
    <w:rsid w:val="00A9644B"/>
    <w:rsid w:val="00A9644E"/>
    <w:rsid w:val="00A96561"/>
    <w:rsid w:val="00A96943"/>
    <w:rsid w:val="00A96BA5"/>
    <w:rsid w:val="00A96C95"/>
    <w:rsid w:val="00A970DF"/>
    <w:rsid w:val="00A97183"/>
    <w:rsid w:val="00A974DD"/>
    <w:rsid w:val="00A97556"/>
    <w:rsid w:val="00A97754"/>
    <w:rsid w:val="00A97CB1"/>
    <w:rsid w:val="00A97D23"/>
    <w:rsid w:val="00A97E51"/>
    <w:rsid w:val="00AA013D"/>
    <w:rsid w:val="00AA0509"/>
    <w:rsid w:val="00AA0755"/>
    <w:rsid w:val="00AA0984"/>
    <w:rsid w:val="00AA0AF8"/>
    <w:rsid w:val="00AA0F1F"/>
    <w:rsid w:val="00AA10CD"/>
    <w:rsid w:val="00AA12D8"/>
    <w:rsid w:val="00AA13BB"/>
    <w:rsid w:val="00AA1EAD"/>
    <w:rsid w:val="00AA1F43"/>
    <w:rsid w:val="00AA2693"/>
    <w:rsid w:val="00AA26A1"/>
    <w:rsid w:val="00AA27E8"/>
    <w:rsid w:val="00AA29A3"/>
    <w:rsid w:val="00AA2D97"/>
    <w:rsid w:val="00AA3218"/>
    <w:rsid w:val="00AA363A"/>
    <w:rsid w:val="00AA3978"/>
    <w:rsid w:val="00AA397A"/>
    <w:rsid w:val="00AA42D6"/>
    <w:rsid w:val="00AA49BD"/>
    <w:rsid w:val="00AA4B2B"/>
    <w:rsid w:val="00AA5184"/>
    <w:rsid w:val="00AA5443"/>
    <w:rsid w:val="00AA5521"/>
    <w:rsid w:val="00AA5584"/>
    <w:rsid w:val="00AA5A2B"/>
    <w:rsid w:val="00AA5BC8"/>
    <w:rsid w:val="00AA6257"/>
    <w:rsid w:val="00AA6327"/>
    <w:rsid w:val="00AA64A8"/>
    <w:rsid w:val="00AA654E"/>
    <w:rsid w:val="00AA655A"/>
    <w:rsid w:val="00AA69F7"/>
    <w:rsid w:val="00AA6B54"/>
    <w:rsid w:val="00AA6C6B"/>
    <w:rsid w:val="00AA6C9A"/>
    <w:rsid w:val="00AA6DCF"/>
    <w:rsid w:val="00AA6FA0"/>
    <w:rsid w:val="00AA7860"/>
    <w:rsid w:val="00AA798B"/>
    <w:rsid w:val="00AA79E5"/>
    <w:rsid w:val="00AA7ADA"/>
    <w:rsid w:val="00AA7D3A"/>
    <w:rsid w:val="00AA7F09"/>
    <w:rsid w:val="00AB02C7"/>
    <w:rsid w:val="00AB04CF"/>
    <w:rsid w:val="00AB05F4"/>
    <w:rsid w:val="00AB0856"/>
    <w:rsid w:val="00AB095C"/>
    <w:rsid w:val="00AB0A96"/>
    <w:rsid w:val="00AB0B03"/>
    <w:rsid w:val="00AB0C17"/>
    <w:rsid w:val="00AB0E5E"/>
    <w:rsid w:val="00AB1322"/>
    <w:rsid w:val="00AB17AC"/>
    <w:rsid w:val="00AB1C91"/>
    <w:rsid w:val="00AB1DC4"/>
    <w:rsid w:val="00AB20F7"/>
    <w:rsid w:val="00AB22B2"/>
    <w:rsid w:val="00AB231E"/>
    <w:rsid w:val="00AB2553"/>
    <w:rsid w:val="00AB268E"/>
    <w:rsid w:val="00AB27A8"/>
    <w:rsid w:val="00AB2A31"/>
    <w:rsid w:val="00AB2B12"/>
    <w:rsid w:val="00AB2C30"/>
    <w:rsid w:val="00AB2E2D"/>
    <w:rsid w:val="00AB2F39"/>
    <w:rsid w:val="00AB2FBD"/>
    <w:rsid w:val="00AB320D"/>
    <w:rsid w:val="00AB335D"/>
    <w:rsid w:val="00AB39EF"/>
    <w:rsid w:val="00AB4156"/>
    <w:rsid w:val="00AB4247"/>
    <w:rsid w:val="00AB43D0"/>
    <w:rsid w:val="00AB4A0D"/>
    <w:rsid w:val="00AB4C2F"/>
    <w:rsid w:val="00AB4CF0"/>
    <w:rsid w:val="00AB4D47"/>
    <w:rsid w:val="00AB4D56"/>
    <w:rsid w:val="00AB5022"/>
    <w:rsid w:val="00AB51F0"/>
    <w:rsid w:val="00AB5448"/>
    <w:rsid w:val="00AB5582"/>
    <w:rsid w:val="00AB5864"/>
    <w:rsid w:val="00AB59D2"/>
    <w:rsid w:val="00AB5A57"/>
    <w:rsid w:val="00AB5DC1"/>
    <w:rsid w:val="00AB60A9"/>
    <w:rsid w:val="00AB62C8"/>
    <w:rsid w:val="00AB63B2"/>
    <w:rsid w:val="00AB6585"/>
    <w:rsid w:val="00AB6A2B"/>
    <w:rsid w:val="00AB6BF7"/>
    <w:rsid w:val="00AB71B1"/>
    <w:rsid w:val="00AB7377"/>
    <w:rsid w:val="00AB7513"/>
    <w:rsid w:val="00AB78BA"/>
    <w:rsid w:val="00AB7905"/>
    <w:rsid w:val="00AB7A96"/>
    <w:rsid w:val="00AB7DD2"/>
    <w:rsid w:val="00AB7EEA"/>
    <w:rsid w:val="00AB7F22"/>
    <w:rsid w:val="00AC0250"/>
    <w:rsid w:val="00AC0267"/>
    <w:rsid w:val="00AC0BF8"/>
    <w:rsid w:val="00AC0CC2"/>
    <w:rsid w:val="00AC0E73"/>
    <w:rsid w:val="00AC10E8"/>
    <w:rsid w:val="00AC1165"/>
    <w:rsid w:val="00AC12F7"/>
    <w:rsid w:val="00AC142A"/>
    <w:rsid w:val="00AC1528"/>
    <w:rsid w:val="00AC1875"/>
    <w:rsid w:val="00AC19E2"/>
    <w:rsid w:val="00AC1A7D"/>
    <w:rsid w:val="00AC1E47"/>
    <w:rsid w:val="00AC29A7"/>
    <w:rsid w:val="00AC2A22"/>
    <w:rsid w:val="00AC2DD3"/>
    <w:rsid w:val="00AC2F3C"/>
    <w:rsid w:val="00AC3437"/>
    <w:rsid w:val="00AC3915"/>
    <w:rsid w:val="00AC3B94"/>
    <w:rsid w:val="00AC3C68"/>
    <w:rsid w:val="00AC485D"/>
    <w:rsid w:val="00AC4BEF"/>
    <w:rsid w:val="00AC4E51"/>
    <w:rsid w:val="00AC4E89"/>
    <w:rsid w:val="00AC5725"/>
    <w:rsid w:val="00AC5CBB"/>
    <w:rsid w:val="00AC5D0C"/>
    <w:rsid w:val="00AC5EC1"/>
    <w:rsid w:val="00AC6085"/>
    <w:rsid w:val="00AC6182"/>
    <w:rsid w:val="00AC627D"/>
    <w:rsid w:val="00AC641A"/>
    <w:rsid w:val="00AC6AEE"/>
    <w:rsid w:val="00AC70B7"/>
    <w:rsid w:val="00AC71AD"/>
    <w:rsid w:val="00AC7565"/>
    <w:rsid w:val="00AC7D4D"/>
    <w:rsid w:val="00AC7E3F"/>
    <w:rsid w:val="00AC7ECF"/>
    <w:rsid w:val="00AD001A"/>
    <w:rsid w:val="00AD062E"/>
    <w:rsid w:val="00AD0F10"/>
    <w:rsid w:val="00AD10FD"/>
    <w:rsid w:val="00AD1A1A"/>
    <w:rsid w:val="00AD1A71"/>
    <w:rsid w:val="00AD1F7C"/>
    <w:rsid w:val="00AD23C7"/>
    <w:rsid w:val="00AD23FC"/>
    <w:rsid w:val="00AD2429"/>
    <w:rsid w:val="00AD25C3"/>
    <w:rsid w:val="00AD28A7"/>
    <w:rsid w:val="00AD2B48"/>
    <w:rsid w:val="00AD2CB3"/>
    <w:rsid w:val="00AD3840"/>
    <w:rsid w:val="00AD3C1A"/>
    <w:rsid w:val="00AD4182"/>
    <w:rsid w:val="00AD4658"/>
    <w:rsid w:val="00AD4BE3"/>
    <w:rsid w:val="00AD5205"/>
    <w:rsid w:val="00AD56F0"/>
    <w:rsid w:val="00AD5A0A"/>
    <w:rsid w:val="00AD60A8"/>
    <w:rsid w:val="00AD6680"/>
    <w:rsid w:val="00AD6C9B"/>
    <w:rsid w:val="00AD709F"/>
    <w:rsid w:val="00AD71E2"/>
    <w:rsid w:val="00AD72AF"/>
    <w:rsid w:val="00AD7B28"/>
    <w:rsid w:val="00AD7DBB"/>
    <w:rsid w:val="00AE0160"/>
    <w:rsid w:val="00AE027A"/>
    <w:rsid w:val="00AE02CD"/>
    <w:rsid w:val="00AE035E"/>
    <w:rsid w:val="00AE045E"/>
    <w:rsid w:val="00AE0978"/>
    <w:rsid w:val="00AE117A"/>
    <w:rsid w:val="00AE156E"/>
    <w:rsid w:val="00AE17C0"/>
    <w:rsid w:val="00AE1893"/>
    <w:rsid w:val="00AE1950"/>
    <w:rsid w:val="00AE1B7A"/>
    <w:rsid w:val="00AE2028"/>
    <w:rsid w:val="00AE225B"/>
    <w:rsid w:val="00AE2466"/>
    <w:rsid w:val="00AE2B70"/>
    <w:rsid w:val="00AE2C83"/>
    <w:rsid w:val="00AE31CC"/>
    <w:rsid w:val="00AE34D8"/>
    <w:rsid w:val="00AE3610"/>
    <w:rsid w:val="00AE3D41"/>
    <w:rsid w:val="00AE3E6B"/>
    <w:rsid w:val="00AE3E9B"/>
    <w:rsid w:val="00AE4288"/>
    <w:rsid w:val="00AE456E"/>
    <w:rsid w:val="00AE4670"/>
    <w:rsid w:val="00AE46A9"/>
    <w:rsid w:val="00AE4A7D"/>
    <w:rsid w:val="00AE4A94"/>
    <w:rsid w:val="00AE54E3"/>
    <w:rsid w:val="00AE558A"/>
    <w:rsid w:val="00AE5706"/>
    <w:rsid w:val="00AE5762"/>
    <w:rsid w:val="00AE5839"/>
    <w:rsid w:val="00AE5857"/>
    <w:rsid w:val="00AE5ABA"/>
    <w:rsid w:val="00AE5B71"/>
    <w:rsid w:val="00AE5CE3"/>
    <w:rsid w:val="00AE73DE"/>
    <w:rsid w:val="00AE7539"/>
    <w:rsid w:val="00AE7598"/>
    <w:rsid w:val="00AE75C4"/>
    <w:rsid w:val="00AE78A5"/>
    <w:rsid w:val="00AE7A6A"/>
    <w:rsid w:val="00AE7A8F"/>
    <w:rsid w:val="00AE7D11"/>
    <w:rsid w:val="00AE7F0A"/>
    <w:rsid w:val="00AF02A6"/>
    <w:rsid w:val="00AF036B"/>
    <w:rsid w:val="00AF0466"/>
    <w:rsid w:val="00AF0D06"/>
    <w:rsid w:val="00AF1464"/>
    <w:rsid w:val="00AF14AA"/>
    <w:rsid w:val="00AF16CE"/>
    <w:rsid w:val="00AF18EE"/>
    <w:rsid w:val="00AF19CC"/>
    <w:rsid w:val="00AF1C4B"/>
    <w:rsid w:val="00AF2099"/>
    <w:rsid w:val="00AF21A3"/>
    <w:rsid w:val="00AF243B"/>
    <w:rsid w:val="00AF2602"/>
    <w:rsid w:val="00AF2A28"/>
    <w:rsid w:val="00AF2A9F"/>
    <w:rsid w:val="00AF372A"/>
    <w:rsid w:val="00AF3916"/>
    <w:rsid w:val="00AF41DF"/>
    <w:rsid w:val="00AF448A"/>
    <w:rsid w:val="00AF44B9"/>
    <w:rsid w:val="00AF4CEB"/>
    <w:rsid w:val="00AF53D9"/>
    <w:rsid w:val="00AF55E8"/>
    <w:rsid w:val="00AF70F4"/>
    <w:rsid w:val="00AF7376"/>
    <w:rsid w:val="00B000AF"/>
    <w:rsid w:val="00B0021F"/>
    <w:rsid w:val="00B00666"/>
    <w:rsid w:val="00B006E8"/>
    <w:rsid w:val="00B00C6B"/>
    <w:rsid w:val="00B0142F"/>
    <w:rsid w:val="00B017D3"/>
    <w:rsid w:val="00B018AB"/>
    <w:rsid w:val="00B019D5"/>
    <w:rsid w:val="00B01A9F"/>
    <w:rsid w:val="00B01AFD"/>
    <w:rsid w:val="00B01E97"/>
    <w:rsid w:val="00B020DD"/>
    <w:rsid w:val="00B02848"/>
    <w:rsid w:val="00B02889"/>
    <w:rsid w:val="00B03038"/>
    <w:rsid w:val="00B03235"/>
    <w:rsid w:val="00B03339"/>
    <w:rsid w:val="00B038FE"/>
    <w:rsid w:val="00B03A1D"/>
    <w:rsid w:val="00B03AD7"/>
    <w:rsid w:val="00B03FC9"/>
    <w:rsid w:val="00B0449A"/>
    <w:rsid w:val="00B04A22"/>
    <w:rsid w:val="00B04B25"/>
    <w:rsid w:val="00B04E82"/>
    <w:rsid w:val="00B05515"/>
    <w:rsid w:val="00B0570E"/>
    <w:rsid w:val="00B0583C"/>
    <w:rsid w:val="00B0644B"/>
    <w:rsid w:val="00B066CB"/>
    <w:rsid w:val="00B066F5"/>
    <w:rsid w:val="00B06719"/>
    <w:rsid w:val="00B06767"/>
    <w:rsid w:val="00B0678D"/>
    <w:rsid w:val="00B06879"/>
    <w:rsid w:val="00B0763C"/>
    <w:rsid w:val="00B0769E"/>
    <w:rsid w:val="00B077D5"/>
    <w:rsid w:val="00B078CD"/>
    <w:rsid w:val="00B079AF"/>
    <w:rsid w:val="00B07D2C"/>
    <w:rsid w:val="00B109F7"/>
    <w:rsid w:val="00B10C6B"/>
    <w:rsid w:val="00B10E62"/>
    <w:rsid w:val="00B11164"/>
    <w:rsid w:val="00B114EF"/>
    <w:rsid w:val="00B116AA"/>
    <w:rsid w:val="00B1174B"/>
    <w:rsid w:val="00B11B62"/>
    <w:rsid w:val="00B12410"/>
    <w:rsid w:val="00B124F4"/>
    <w:rsid w:val="00B1262F"/>
    <w:rsid w:val="00B12779"/>
    <w:rsid w:val="00B128C2"/>
    <w:rsid w:val="00B12F25"/>
    <w:rsid w:val="00B135E9"/>
    <w:rsid w:val="00B1368F"/>
    <w:rsid w:val="00B137EB"/>
    <w:rsid w:val="00B13D10"/>
    <w:rsid w:val="00B14489"/>
    <w:rsid w:val="00B147D5"/>
    <w:rsid w:val="00B14BAC"/>
    <w:rsid w:val="00B14E18"/>
    <w:rsid w:val="00B14EC6"/>
    <w:rsid w:val="00B15B81"/>
    <w:rsid w:val="00B15E63"/>
    <w:rsid w:val="00B16318"/>
    <w:rsid w:val="00B1635F"/>
    <w:rsid w:val="00B16555"/>
    <w:rsid w:val="00B16606"/>
    <w:rsid w:val="00B169AF"/>
    <w:rsid w:val="00B16EFB"/>
    <w:rsid w:val="00B1766E"/>
    <w:rsid w:val="00B17FD8"/>
    <w:rsid w:val="00B201B8"/>
    <w:rsid w:val="00B20387"/>
    <w:rsid w:val="00B20510"/>
    <w:rsid w:val="00B20BFF"/>
    <w:rsid w:val="00B20CF3"/>
    <w:rsid w:val="00B21114"/>
    <w:rsid w:val="00B2142C"/>
    <w:rsid w:val="00B214D8"/>
    <w:rsid w:val="00B21509"/>
    <w:rsid w:val="00B2181A"/>
    <w:rsid w:val="00B2185C"/>
    <w:rsid w:val="00B21BE4"/>
    <w:rsid w:val="00B21E1B"/>
    <w:rsid w:val="00B2210F"/>
    <w:rsid w:val="00B2231C"/>
    <w:rsid w:val="00B2233B"/>
    <w:rsid w:val="00B22A2D"/>
    <w:rsid w:val="00B22CF8"/>
    <w:rsid w:val="00B22D81"/>
    <w:rsid w:val="00B22DA8"/>
    <w:rsid w:val="00B22EE5"/>
    <w:rsid w:val="00B22FDC"/>
    <w:rsid w:val="00B23250"/>
    <w:rsid w:val="00B233D2"/>
    <w:rsid w:val="00B234C4"/>
    <w:rsid w:val="00B23A3F"/>
    <w:rsid w:val="00B23E78"/>
    <w:rsid w:val="00B2421D"/>
    <w:rsid w:val="00B24547"/>
    <w:rsid w:val="00B246EA"/>
    <w:rsid w:val="00B246FD"/>
    <w:rsid w:val="00B24D1A"/>
    <w:rsid w:val="00B25582"/>
    <w:rsid w:val="00B255B9"/>
    <w:rsid w:val="00B256A5"/>
    <w:rsid w:val="00B258BC"/>
    <w:rsid w:val="00B25FF8"/>
    <w:rsid w:val="00B25FFC"/>
    <w:rsid w:val="00B264EE"/>
    <w:rsid w:val="00B265D2"/>
    <w:rsid w:val="00B26864"/>
    <w:rsid w:val="00B26B2C"/>
    <w:rsid w:val="00B26B9F"/>
    <w:rsid w:val="00B27049"/>
    <w:rsid w:val="00B270AD"/>
    <w:rsid w:val="00B270BC"/>
    <w:rsid w:val="00B27385"/>
    <w:rsid w:val="00B27616"/>
    <w:rsid w:val="00B279CF"/>
    <w:rsid w:val="00B27AE3"/>
    <w:rsid w:val="00B303BD"/>
    <w:rsid w:val="00B306AE"/>
    <w:rsid w:val="00B307AC"/>
    <w:rsid w:val="00B30CE5"/>
    <w:rsid w:val="00B30CF6"/>
    <w:rsid w:val="00B30E46"/>
    <w:rsid w:val="00B3105C"/>
    <w:rsid w:val="00B31063"/>
    <w:rsid w:val="00B31386"/>
    <w:rsid w:val="00B31743"/>
    <w:rsid w:val="00B317F1"/>
    <w:rsid w:val="00B31A2B"/>
    <w:rsid w:val="00B31AF1"/>
    <w:rsid w:val="00B31BE9"/>
    <w:rsid w:val="00B31FE5"/>
    <w:rsid w:val="00B321C1"/>
    <w:rsid w:val="00B325EF"/>
    <w:rsid w:val="00B32D49"/>
    <w:rsid w:val="00B32D6D"/>
    <w:rsid w:val="00B32EDB"/>
    <w:rsid w:val="00B330D5"/>
    <w:rsid w:val="00B33321"/>
    <w:rsid w:val="00B33AE5"/>
    <w:rsid w:val="00B33B46"/>
    <w:rsid w:val="00B33C2F"/>
    <w:rsid w:val="00B33E24"/>
    <w:rsid w:val="00B33F07"/>
    <w:rsid w:val="00B342F8"/>
    <w:rsid w:val="00B343D3"/>
    <w:rsid w:val="00B34721"/>
    <w:rsid w:val="00B34761"/>
    <w:rsid w:val="00B34B8E"/>
    <w:rsid w:val="00B3519B"/>
    <w:rsid w:val="00B351B7"/>
    <w:rsid w:val="00B3580E"/>
    <w:rsid w:val="00B35D86"/>
    <w:rsid w:val="00B35DCC"/>
    <w:rsid w:val="00B36EFD"/>
    <w:rsid w:val="00B36F1D"/>
    <w:rsid w:val="00B37130"/>
    <w:rsid w:val="00B3718E"/>
    <w:rsid w:val="00B373D3"/>
    <w:rsid w:val="00B37990"/>
    <w:rsid w:val="00B37C45"/>
    <w:rsid w:val="00B37C93"/>
    <w:rsid w:val="00B37DF1"/>
    <w:rsid w:val="00B37DFA"/>
    <w:rsid w:val="00B400CC"/>
    <w:rsid w:val="00B403F0"/>
    <w:rsid w:val="00B40701"/>
    <w:rsid w:val="00B40760"/>
    <w:rsid w:val="00B40816"/>
    <w:rsid w:val="00B40A1F"/>
    <w:rsid w:val="00B40EE4"/>
    <w:rsid w:val="00B40F9C"/>
    <w:rsid w:val="00B41235"/>
    <w:rsid w:val="00B414F5"/>
    <w:rsid w:val="00B41697"/>
    <w:rsid w:val="00B41995"/>
    <w:rsid w:val="00B419B2"/>
    <w:rsid w:val="00B41AA3"/>
    <w:rsid w:val="00B41F12"/>
    <w:rsid w:val="00B4281B"/>
    <w:rsid w:val="00B42A96"/>
    <w:rsid w:val="00B42BAE"/>
    <w:rsid w:val="00B42E86"/>
    <w:rsid w:val="00B435FC"/>
    <w:rsid w:val="00B43C96"/>
    <w:rsid w:val="00B44216"/>
    <w:rsid w:val="00B44264"/>
    <w:rsid w:val="00B448A9"/>
    <w:rsid w:val="00B44BA8"/>
    <w:rsid w:val="00B44ED8"/>
    <w:rsid w:val="00B4521E"/>
    <w:rsid w:val="00B45226"/>
    <w:rsid w:val="00B454B3"/>
    <w:rsid w:val="00B4588A"/>
    <w:rsid w:val="00B45909"/>
    <w:rsid w:val="00B45B6E"/>
    <w:rsid w:val="00B45BB1"/>
    <w:rsid w:val="00B45E96"/>
    <w:rsid w:val="00B45EFD"/>
    <w:rsid w:val="00B4617A"/>
    <w:rsid w:val="00B46369"/>
    <w:rsid w:val="00B46378"/>
    <w:rsid w:val="00B46965"/>
    <w:rsid w:val="00B46968"/>
    <w:rsid w:val="00B46ABE"/>
    <w:rsid w:val="00B46E9B"/>
    <w:rsid w:val="00B46ECB"/>
    <w:rsid w:val="00B46EF8"/>
    <w:rsid w:val="00B470B0"/>
    <w:rsid w:val="00B4730D"/>
    <w:rsid w:val="00B473CA"/>
    <w:rsid w:val="00B4748C"/>
    <w:rsid w:val="00B475D1"/>
    <w:rsid w:val="00B4776A"/>
    <w:rsid w:val="00B47F0A"/>
    <w:rsid w:val="00B50898"/>
    <w:rsid w:val="00B508B0"/>
    <w:rsid w:val="00B5111B"/>
    <w:rsid w:val="00B51183"/>
    <w:rsid w:val="00B51414"/>
    <w:rsid w:val="00B51614"/>
    <w:rsid w:val="00B518A5"/>
    <w:rsid w:val="00B5191F"/>
    <w:rsid w:val="00B51C27"/>
    <w:rsid w:val="00B521B6"/>
    <w:rsid w:val="00B52757"/>
    <w:rsid w:val="00B530FF"/>
    <w:rsid w:val="00B53239"/>
    <w:rsid w:val="00B533A5"/>
    <w:rsid w:val="00B53815"/>
    <w:rsid w:val="00B544FA"/>
    <w:rsid w:val="00B54FA0"/>
    <w:rsid w:val="00B5545B"/>
    <w:rsid w:val="00B5566A"/>
    <w:rsid w:val="00B55A84"/>
    <w:rsid w:val="00B55EEC"/>
    <w:rsid w:val="00B56658"/>
    <w:rsid w:val="00B567BA"/>
    <w:rsid w:val="00B56C2A"/>
    <w:rsid w:val="00B57492"/>
    <w:rsid w:val="00B57811"/>
    <w:rsid w:val="00B57B2D"/>
    <w:rsid w:val="00B57E16"/>
    <w:rsid w:val="00B57F9C"/>
    <w:rsid w:val="00B60084"/>
    <w:rsid w:val="00B60098"/>
    <w:rsid w:val="00B600CB"/>
    <w:rsid w:val="00B60243"/>
    <w:rsid w:val="00B6032A"/>
    <w:rsid w:val="00B609AA"/>
    <w:rsid w:val="00B613F8"/>
    <w:rsid w:val="00B613FD"/>
    <w:rsid w:val="00B6156C"/>
    <w:rsid w:val="00B61EA7"/>
    <w:rsid w:val="00B61FC3"/>
    <w:rsid w:val="00B6202C"/>
    <w:rsid w:val="00B621A9"/>
    <w:rsid w:val="00B6284D"/>
    <w:rsid w:val="00B629AB"/>
    <w:rsid w:val="00B62A50"/>
    <w:rsid w:val="00B62F15"/>
    <w:rsid w:val="00B6336D"/>
    <w:rsid w:val="00B6392D"/>
    <w:rsid w:val="00B63AF5"/>
    <w:rsid w:val="00B63EEE"/>
    <w:rsid w:val="00B6429F"/>
    <w:rsid w:val="00B648E7"/>
    <w:rsid w:val="00B649D7"/>
    <w:rsid w:val="00B64D65"/>
    <w:rsid w:val="00B64F73"/>
    <w:rsid w:val="00B64FE1"/>
    <w:rsid w:val="00B65163"/>
    <w:rsid w:val="00B652A7"/>
    <w:rsid w:val="00B652CE"/>
    <w:rsid w:val="00B6551B"/>
    <w:rsid w:val="00B65E4F"/>
    <w:rsid w:val="00B661A5"/>
    <w:rsid w:val="00B66379"/>
    <w:rsid w:val="00B66407"/>
    <w:rsid w:val="00B6670C"/>
    <w:rsid w:val="00B669DD"/>
    <w:rsid w:val="00B66B99"/>
    <w:rsid w:val="00B66C2F"/>
    <w:rsid w:val="00B66D3D"/>
    <w:rsid w:val="00B66D81"/>
    <w:rsid w:val="00B67164"/>
    <w:rsid w:val="00B67600"/>
    <w:rsid w:val="00B67620"/>
    <w:rsid w:val="00B67A4D"/>
    <w:rsid w:val="00B67C75"/>
    <w:rsid w:val="00B67DC8"/>
    <w:rsid w:val="00B70455"/>
    <w:rsid w:val="00B704FF"/>
    <w:rsid w:val="00B705B7"/>
    <w:rsid w:val="00B70678"/>
    <w:rsid w:val="00B706CA"/>
    <w:rsid w:val="00B707F4"/>
    <w:rsid w:val="00B70C4A"/>
    <w:rsid w:val="00B70CAB"/>
    <w:rsid w:val="00B719BF"/>
    <w:rsid w:val="00B71D68"/>
    <w:rsid w:val="00B72014"/>
    <w:rsid w:val="00B724BA"/>
    <w:rsid w:val="00B72591"/>
    <w:rsid w:val="00B72A46"/>
    <w:rsid w:val="00B72B58"/>
    <w:rsid w:val="00B72BA2"/>
    <w:rsid w:val="00B72BF7"/>
    <w:rsid w:val="00B72DBF"/>
    <w:rsid w:val="00B7328A"/>
    <w:rsid w:val="00B735A3"/>
    <w:rsid w:val="00B7388A"/>
    <w:rsid w:val="00B739EF"/>
    <w:rsid w:val="00B73ABE"/>
    <w:rsid w:val="00B73D8E"/>
    <w:rsid w:val="00B73EF6"/>
    <w:rsid w:val="00B73F05"/>
    <w:rsid w:val="00B74114"/>
    <w:rsid w:val="00B742FE"/>
    <w:rsid w:val="00B74497"/>
    <w:rsid w:val="00B744CE"/>
    <w:rsid w:val="00B747FD"/>
    <w:rsid w:val="00B74F85"/>
    <w:rsid w:val="00B7529D"/>
    <w:rsid w:val="00B75C4C"/>
    <w:rsid w:val="00B75F9A"/>
    <w:rsid w:val="00B76330"/>
    <w:rsid w:val="00B766BC"/>
    <w:rsid w:val="00B76A52"/>
    <w:rsid w:val="00B7721A"/>
    <w:rsid w:val="00B773E2"/>
    <w:rsid w:val="00B7746C"/>
    <w:rsid w:val="00B775D8"/>
    <w:rsid w:val="00B777D9"/>
    <w:rsid w:val="00B77822"/>
    <w:rsid w:val="00B77A26"/>
    <w:rsid w:val="00B77BBD"/>
    <w:rsid w:val="00B80062"/>
    <w:rsid w:val="00B80519"/>
    <w:rsid w:val="00B8068A"/>
    <w:rsid w:val="00B80701"/>
    <w:rsid w:val="00B80FDA"/>
    <w:rsid w:val="00B81272"/>
    <w:rsid w:val="00B81756"/>
    <w:rsid w:val="00B8181B"/>
    <w:rsid w:val="00B81846"/>
    <w:rsid w:val="00B81891"/>
    <w:rsid w:val="00B81AB1"/>
    <w:rsid w:val="00B81AC4"/>
    <w:rsid w:val="00B81CD9"/>
    <w:rsid w:val="00B82491"/>
    <w:rsid w:val="00B82882"/>
    <w:rsid w:val="00B82AA1"/>
    <w:rsid w:val="00B82B2A"/>
    <w:rsid w:val="00B82F07"/>
    <w:rsid w:val="00B83BE6"/>
    <w:rsid w:val="00B83C8E"/>
    <w:rsid w:val="00B84193"/>
    <w:rsid w:val="00B84BCB"/>
    <w:rsid w:val="00B84D1E"/>
    <w:rsid w:val="00B84EA1"/>
    <w:rsid w:val="00B851DF"/>
    <w:rsid w:val="00B8537B"/>
    <w:rsid w:val="00B8541E"/>
    <w:rsid w:val="00B85534"/>
    <w:rsid w:val="00B859E6"/>
    <w:rsid w:val="00B85C37"/>
    <w:rsid w:val="00B85E86"/>
    <w:rsid w:val="00B86247"/>
    <w:rsid w:val="00B86348"/>
    <w:rsid w:val="00B865CF"/>
    <w:rsid w:val="00B868A5"/>
    <w:rsid w:val="00B868E3"/>
    <w:rsid w:val="00B86B12"/>
    <w:rsid w:val="00B86DDB"/>
    <w:rsid w:val="00B8747E"/>
    <w:rsid w:val="00B8799B"/>
    <w:rsid w:val="00B87BEA"/>
    <w:rsid w:val="00B90786"/>
    <w:rsid w:val="00B91328"/>
    <w:rsid w:val="00B9133F"/>
    <w:rsid w:val="00B91990"/>
    <w:rsid w:val="00B91CA5"/>
    <w:rsid w:val="00B921A6"/>
    <w:rsid w:val="00B9248A"/>
    <w:rsid w:val="00B92780"/>
    <w:rsid w:val="00B9291E"/>
    <w:rsid w:val="00B92BBD"/>
    <w:rsid w:val="00B92F36"/>
    <w:rsid w:val="00B93550"/>
    <w:rsid w:val="00B93645"/>
    <w:rsid w:val="00B93698"/>
    <w:rsid w:val="00B94187"/>
    <w:rsid w:val="00B947FA"/>
    <w:rsid w:val="00B94BCC"/>
    <w:rsid w:val="00B954D1"/>
    <w:rsid w:val="00B956C1"/>
    <w:rsid w:val="00B957EF"/>
    <w:rsid w:val="00B9582B"/>
    <w:rsid w:val="00B958E6"/>
    <w:rsid w:val="00B95AB7"/>
    <w:rsid w:val="00B9631E"/>
    <w:rsid w:val="00B96324"/>
    <w:rsid w:val="00B96544"/>
    <w:rsid w:val="00B966CC"/>
    <w:rsid w:val="00B97015"/>
    <w:rsid w:val="00B9713F"/>
    <w:rsid w:val="00B971F6"/>
    <w:rsid w:val="00B976DF"/>
    <w:rsid w:val="00B9784A"/>
    <w:rsid w:val="00B97F62"/>
    <w:rsid w:val="00BA0414"/>
    <w:rsid w:val="00BA0465"/>
    <w:rsid w:val="00BA04F2"/>
    <w:rsid w:val="00BA09DA"/>
    <w:rsid w:val="00BA0DF0"/>
    <w:rsid w:val="00BA1867"/>
    <w:rsid w:val="00BA1CCD"/>
    <w:rsid w:val="00BA1DBC"/>
    <w:rsid w:val="00BA1FAC"/>
    <w:rsid w:val="00BA22C3"/>
    <w:rsid w:val="00BA2570"/>
    <w:rsid w:val="00BA25DD"/>
    <w:rsid w:val="00BA294B"/>
    <w:rsid w:val="00BA2B98"/>
    <w:rsid w:val="00BA2FC3"/>
    <w:rsid w:val="00BA3134"/>
    <w:rsid w:val="00BA36F5"/>
    <w:rsid w:val="00BA3C27"/>
    <w:rsid w:val="00BA3DD3"/>
    <w:rsid w:val="00BA431C"/>
    <w:rsid w:val="00BA43FD"/>
    <w:rsid w:val="00BA4738"/>
    <w:rsid w:val="00BA4EE3"/>
    <w:rsid w:val="00BA543E"/>
    <w:rsid w:val="00BA5476"/>
    <w:rsid w:val="00BA555F"/>
    <w:rsid w:val="00BA58EE"/>
    <w:rsid w:val="00BA59E5"/>
    <w:rsid w:val="00BA5B7A"/>
    <w:rsid w:val="00BA5C3B"/>
    <w:rsid w:val="00BA5E46"/>
    <w:rsid w:val="00BA62A4"/>
    <w:rsid w:val="00BA6455"/>
    <w:rsid w:val="00BA64F5"/>
    <w:rsid w:val="00BA65E6"/>
    <w:rsid w:val="00BA6641"/>
    <w:rsid w:val="00BA678A"/>
    <w:rsid w:val="00BA687D"/>
    <w:rsid w:val="00BA6A0A"/>
    <w:rsid w:val="00BA6A51"/>
    <w:rsid w:val="00BA6AA9"/>
    <w:rsid w:val="00BA7349"/>
    <w:rsid w:val="00BA7443"/>
    <w:rsid w:val="00BA74A4"/>
    <w:rsid w:val="00BA7508"/>
    <w:rsid w:val="00BA787D"/>
    <w:rsid w:val="00BA7B45"/>
    <w:rsid w:val="00BA7B67"/>
    <w:rsid w:val="00BA7F44"/>
    <w:rsid w:val="00BB0076"/>
    <w:rsid w:val="00BB0115"/>
    <w:rsid w:val="00BB0299"/>
    <w:rsid w:val="00BB0C7A"/>
    <w:rsid w:val="00BB0D29"/>
    <w:rsid w:val="00BB0E12"/>
    <w:rsid w:val="00BB106F"/>
    <w:rsid w:val="00BB1148"/>
    <w:rsid w:val="00BB14D8"/>
    <w:rsid w:val="00BB150F"/>
    <w:rsid w:val="00BB15BA"/>
    <w:rsid w:val="00BB1649"/>
    <w:rsid w:val="00BB1670"/>
    <w:rsid w:val="00BB17E1"/>
    <w:rsid w:val="00BB192F"/>
    <w:rsid w:val="00BB1A8D"/>
    <w:rsid w:val="00BB1CBC"/>
    <w:rsid w:val="00BB1EA7"/>
    <w:rsid w:val="00BB1FD7"/>
    <w:rsid w:val="00BB2214"/>
    <w:rsid w:val="00BB28F4"/>
    <w:rsid w:val="00BB2C51"/>
    <w:rsid w:val="00BB2EB5"/>
    <w:rsid w:val="00BB2FBF"/>
    <w:rsid w:val="00BB31C2"/>
    <w:rsid w:val="00BB3327"/>
    <w:rsid w:val="00BB3480"/>
    <w:rsid w:val="00BB34EB"/>
    <w:rsid w:val="00BB3710"/>
    <w:rsid w:val="00BB3958"/>
    <w:rsid w:val="00BB4065"/>
    <w:rsid w:val="00BB4482"/>
    <w:rsid w:val="00BB4673"/>
    <w:rsid w:val="00BB4D9B"/>
    <w:rsid w:val="00BB51A0"/>
    <w:rsid w:val="00BB5483"/>
    <w:rsid w:val="00BB5792"/>
    <w:rsid w:val="00BB6208"/>
    <w:rsid w:val="00BB6772"/>
    <w:rsid w:val="00BB6DCE"/>
    <w:rsid w:val="00BB6E72"/>
    <w:rsid w:val="00BB7255"/>
    <w:rsid w:val="00BB73B5"/>
    <w:rsid w:val="00BB770A"/>
    <w:rsid w:val="00BB79EA"/>
    <w:rsid w:val="00BB7CD0"/>
    <w:rsid w:val="00BB7DFB"/>
    <w:rsid w:val="00BC034B"/>
    <w:rsid w:val="00BC058E"/>
    <w:rsid w:val="00BC075A"/>
    <w:rsid w:val="00BC082B"/>
    <w:rsid w:val="00BC0A16"/>
    <w:rsid w:val="00BC0A5D"/>
    <w:rsid w:val="00BC0ED5"/>
    <w:rsid w:val="00BC12C1"/>
    <w:rsid w:val="00BC1707"/>
    <w:rsid w:val="00BC1E63"/>
    <w:rsid w:val="00BC2362"/>
    <w:rsid w:val="00BC2483"/>
    <w:rsid w:val="00BC2698"/>
    <w:rsid w:val="00BC2A15"/>
    <w:rsid w:val="00BC2C30"/>
    <w:rsid w:val="00BC2F3F"/>
    <w:rsid w:val="00BC364E"/>
    <w:rsid w:val="00BC36A9"/>
    <w:rsid w:val="00BC37C4"/>
    <w:rsid w:val="00BC37DC"/>
    <w:rsid w:val="00BC3E33"/>
    <w:rsid w:val="00BC3F80"/>
    <w:rsid w:val="00BC43ED"/>
    <w:rsid w:val="00BC4552"/>
    <w:rsid w:val="00BC4799"/>
    <w:rsid w:val="00BC480E"/>
    <w:rsid w:val="00BC4942"/>
    <w:rsid w:val="00BC4A4A"/>
    <w:rsid w:val="00BC4A90"/>
    <w:rsid w:val="00BC4FC1"/>
    <w:rsid w:val="00BC55F6"/>
    <w:rsid w:val="00BC575F"/>
    <w:rsid w:val="00BC595E"/>
    <w:rsid w:val="00BC5C16"/>
    <w:rsid w:val="00BC5EF9"/>
    <w:rsid w:val="00BC61AA"/>
    <w:rsid w:val="00BC66B5"/>
    <w:rsid w:val="00BC703F"/>
    <w:rsid w:val="00BC7341"/>
    <w:rsid w:val="00BC757B"/>
    <w:rsid w:val="00BC7BA3"/>
    <w:rsid w:val="00BC7BFC"/>
    <w:rsid w:val="00BD093B"/>
    <w:rsid w:val="00BD0A4C"/>
    <w:rsid w:val="00BD0C16"/>
    <w:rsid w:val="00BD0D84"/>
    <w:rsid w:val="00BD11D3"/>
    <w:rsid w:val="00BD12D5"/>
    <w:rsid w:val="00BD18F1"/>
    <w:rsid w:val="00BD1F0B"/>
    <w:rsid w:val="00BD1FA3"/>
    <w:rsid w:val="00BD264A"/>
    <w:rsid w:val="00BD2A2E"/>
    <w:rsid w:val="00BD3001"/>
    <w:rsid w:val="00BD31B6"/>
    <w:rsid w:val="00BD332B"/>
    <w:rsid w:val="00BD33D9"/>
    <w:rsid w:val="00BD347E"/>
    <w:rsid w:val="00BD37F2"/>
    <w:rsid w:val="00BD3823"/>
    <w:rsid w:val="00BD4015"/>
    <w:rsid w:val="00BD41E4"/>
    <w:rsid w:val="00BD46D3"/>
    <w:rsid w:val="00BD48A2"/>
    <w:rsid w:val="00BD4955"/>
    <w:rsid w:val="00BD535E"/>
    <w:rsid w:val="00BD536F"/>
    <w:rsid w:val="00BD54A7"/>
    <w:rsid w:val="00BD56C4"/>
    <w:rsid w:val="00BD5727"/>
    <w:rsid w:val="00BD5B15"/>
    <w:rsid w:val="00BD5B45"/>
    <w:rsid w:val="00BD5D66"/>
    <w:rsid w:val="00BD6160"/>
    <w:rsid w:val="00BD631D"/>
    <w:rsid w:val="00BD6691"/>
    <w:rsid w:val="00BD66F6"/>
    <w:rsid w:val="00BD69D9"/>
    <w:rsid w:val="00BD6AA4"/>
    <w:rsid w:val="00BD6CB8"/>
    <w:rsid w:val="00BD6EA1"/>
    <w:rsid w:val="00BD6EAA"/>
    <w:rsid w:val="00BD71CF"/>
    <w:rsid w:val="00BD74B1"/>
    <w:rsid w:val="00BD7572"/>
    <w:rsid w:val="00BD7620"/>
    <w:rsid w:val="00BD79BB"/>
    <w:rsid w:val="00BD7B28"/>
    <w:rsid w:val="00BE023F"/>
    <w:rsid w:val="00BE02EA"/>
    <w:rsid w:val="00BE03F9"/>
    <w:rsid w:val="00BE09C9"/>
    <w:rsid w:val="00BE1075"/>
    <w:rsid w:val="00BE114C"/>
    <w:rsid w:val="00BE1346"/>
    <w:rsid w:val="00BE14B8"/>
    <w:rsid w:val="00BE14EF"/>
    <w:rsid w:val="00BE169E"/>
    <w:rsid w:val="00BE18F4"/>
    <w:rsid w:val="00BE1FFF"/>
    <w:rsid w:val="00BE2104"/>
    <w:rsid w:val="00BE2243"/>
    <w:rsid w:val="00BE2456"/>
    <w:rsid w:val="00BE2477"/>
    <w:rsid w:val="00BE2727"/>
    <w:rsid w:val="00BE2C58"/>
    <w:rsid w:val="00BE2EA8"/>
    <w:rsid w:val="00BE2F5F"/>
    <w:rsid w:val="00BE3329"/>
    <w:rsid w:val="00BE375D"/>
    <w:rsid w:val="00BE3F34"/>
    <w:rsid w:val="00BE4046"/>
    <w:rsid w:val="00BE4081"/>
    <w:rsid w:val="00BE430C"/>
    <w:rsid w:val="00BE4862"/>
    <w:rsid w:val="00BE4898"/>
    <w:rsid w:val="00BE4F2F"/>
    <w:rsid w:val="00BE4FD7"/>
    <w:rsid w:val="00BE572B"/>
    <w:rsid w:val="00BE5770"/>
    <w:rsid w:val="00BE5B1C"/>
    <w:rsid w:val="00BE5C8F"/>
    <w:rsid w:val="00BE5FBB"/>
    <w:rsid w:val="00BE6739"/>
    <w:rsid w:val="00BE6F56"/>
    <w:rsid w:val="00BE6FAB"/>
    <w:rsid w:val="00BE736B"/>
    <w:rsid w:val="00BE740E"/>
    <w:rsid w:val="00BE748E"/>
    <w:rsid w:val="00BE7546"/>
    <w:rsid w:val="00BE7555"/>
    <w:rsid w:val="00BE767E"/>
    <w:rsid w:val="00BE7817"/>
    <w:rsid w:val="00BE7B32"/>
    <w:rsid w:val="00BE7D8B"/>
    <w:rsid w:val="00BE7EA5"/>
    <w:rsid w:val="00BE7EC1"/>
    <w:rsid w:val="00BF009F"/>
    <w:rsid w:val="00BF0223"/>
    <w:rsid w:val="00BF022D"/>
    <w:rsid w:val="00BF0995"/>
    <w:rsid w:val="00BF09F5"/>
    <w:rsid w:val="00BF09F9"/>
    <w:rsid w:val="00BF0B12"/>
    <w:rsid w:val="00BF0D2C"/>
    <w:rsid w:val="00BF0F96"/>
    <w:rsid w:val="00BF120A"/>
    <w:rsid w:val="00BF12E1"/>
    <w:rsid w:val="00BF167B"/>
    <w:rsid w:val="00BF1A15"/>
    <w:rsid w:val="00BF1AD9"/>
    <w:rsid w:val="00BF28F5"/>
    <w:rsid w:val="00BF2CFF"/>
    <w:rsid w:val="00BF2DC1"/>
    <w:rsid w:val="00BF31E2"/>
    <w:rsid w:val="00BF3281"/>
    <w:rsid w:val="00BF3291"/>
    <w:rsid w:val="00BF3295"/>
    <w:rsid w:val="00BF381B"/>
    <w:rsid w:val="00BF3904"/>
    <w:rsid w:val="00BF39F5"/>
    <w:rsid w:val="00BF3C37"/>
    <w:rsid w:val="00BF3DE4"/>
    <w:rsid w:val="00BF3E36"/>
    <w:rsid w:val="00BF408C"/>
    <w:rsid w:val="00BF45FB"/>
    <w:rsid w:val="00BF4803"/>
    <w:rsid w:val="00BF4856"/>
    <w:rsid w:val="00BF4952"/>
    <w:rsid w:val="00BF4AC3"/>
    <w:rsid w:val="00BF4E27"/>
    <w:rsid w:val="00BF57C7"/>
    <w:rsid w:val="00BF60CA"/>
    <w:rsid w:val="00BF61E1"/>
    <w:rsid w:val="00BF6287"/>
    <w:rsid w:val="00BF634F"/>
    <w:rsid w:val="00BF661F"/>
    <w:rsid w:val="00BF6DB7"/>
    <w:rsid w:val="00BF6E2D"/>
    <w:rsid w:val="00BF6F50"/>
    <w:rsid w:val="00BF7091"/>
    <w:rsid w:val="00BF7197"/>
    <w:rsid w:val="00BF73C7"/>
    <w:rsid w:val="00BF73FD"/>
    <w:rsid w:val="00BF76F8"/>
    <w:rsid w:val="00BF7871"/>
    <w:rsid w:val="00C00A0A"/>
    <w:rsid w:val="00C00B74"/>
    <w:rsid w:val="00C010CB"/>
    <w:rsid w:val="00C0128B"/>
    <w:rsid w:val="00C0141D"/>
    <w:rsid w:val="00C01AD4"/>
    <w:rsid w:val="00C01AFD"/>
    <w:rsid w:val="00C01B85"/>
    <w:rsid w:val="00C01C10"/>
    <w:rsid w:val="00C01EF2"/>
    <w:rsid w:val="00C0217F"/>
    <w:rsid w:val="00C02872"/>
    <w:rsid w:val="00C0288D"/>
    <w:rsid w:val="00C02DA3"/>
    <w:rsid w:val="00C0324C"/>
    <w:rsid w:val="00C03298"/>
    <w:rsid w:val="00C037C1"/>
    <w:rsid w:val="00C0387E"/>
    <w:rsid w:val="00C03A1B"/>
    <w:rsid w:val="00C03A5E"/>
    <w:rsid w:val="00C03C1B"/>
    <w:rsid w:val="00C03EDC"/>
    <w:rsid w:val="00C04001"/>
    <w:rsid w:val="00C0400C"/>
    <w:rsid w:val="00C04074"/>
    <w:rsid w:val="00C04105"/>
    <w:rsid w:val="00C0470D"/>
    <w:rsid w:val="00C048CD"/>
    <w:rsid w:val="00C04D00"/>
    <w:rsid w:val="00C04EED"/>
    <w:rsid w:val="00C052D0"/>
    <w:rsid w:val="00C05387"/>
    <w:rsid w:val="00C0573E"/>
    <w:rsid w:val="00C05979"/>
    <w:rsid w:val="00C059EC"/>
    <w:rsid w:val="00C05B38"/>
    <w:rsid w:val="00C05E8A"/>
    <w:rsid w:val="00C062D3"/>
    <w:rsid w:val="00C066E4"/>
    <w:rsid w:val="00C06F5E"/>
    <w:rsid w:val="00C075A0"/>
    <w:rsid w:val="00C07678"/>
    <w:rsid w:val="00C07815"/>
    <w:rsid w:val="00C0781A"/>
    <w:rsid w:val="00C07927"/>
    <w:rsid w:val="00C07AB5"/>
    <w:rsid w:val="00C102C9"/>
    <w:rsid w:val="00C10900"/>
    <w:rsid w:val="00C10AA2"/>
    <w:rsid w:val="00C10D4F"/>
    <w:rsid w:val="00C10F44"/>
    <w:rsid w:val="00C10F76"/>
    <w:rsid w:val="00C11A78"/>
    <w:rsid w:val="00C11A9C"/>
    <w:rsid w:val="00C11E49"/>
    <w:rsid w:val="00C1201B"/>
    <w:rsid w:val="00C1233B"/>
    <w:rsid w:val="00C1240B"/>
    <w:rsid w:val="00C124C4"/>
    <w:rsid w:val="00C12BF1"/>
    <w:rsid w:val="00C12E55"/>
    <w:rsid w:val="00C12ED2"/>
    <w:rsid w:val="00C1308E"/>
    <w:rsid w:val="00C130C5"/>
    <w:rsid w:val="00C1320F"/>
    <w:rsid w:val="00C13397"/>
    <w:rsid w:val="00C1352D"/>
    <w:rsid w:val="00C13656"/>
    <w:rsid w:val="00C136D9"/>
    <w:rsid w:val="00C1388F"/>
    <w:rsid w:val="00C142A2"/>
    <w:rsid w:val="00C14B25"/>
    <w:rsid w:val="00C14D4F"/>
    <w:rsid w:val="00C14F55"/>
    <w:rsid w:val="00C14F5D"/>
    <w:rsid w:val="00C15DFD"/>
    <w:rsid w:val="00C15F0A"/>
    <w:rsid w:val="00C16029"/>
    <w:rsid w:val="00C16461"/>
    <w:rsid w:val="00C16A3F"/>
    <w:rsid w:val="00C16A7D"/>
    <w:rsid w:val="00C16ABF"/>
    <w:rsid w:val="00C16BB0"/>
    <w:rsid w:val="00C1711D"/>
    <w:rsid w:val="00C1737B"/>
    <w:rsid w:val="00C17580"/>
    <w:rsid w:val="00C177E5"/>
    <w:rsid w:val="00C17B53"/>
    <w:rsid w:val="00C17C2C"/>
    <w:rsid w:val="00C17C78"/>
    <w:rsid w:val="00C17DDF"/>
    <w:rsid w:val="00C20261"/>
    <w:rsid w:val="00C20414"/>
    <w:rsid w:val="00C2065B"/>
    <w:rsid w:val="00C20E04"/>
    <w:rsid w:val="00C20F70"/>
    <w:rsid w:val="00C215D2"/>
    <w:rsid w:val="00C21604"/>
    <w:rsid w:val="00C2165B"/>
    <w:rsid w:val="00C21802"/>
    <w:rsid w:val="00C219A2"/>
    <w:rsid w:val="00C21D51"/>
    <w:rsid w:val="00C22141"/>
    <w:rsid w:val="00C221DD"/>
    <w:rsid w:val="00C22951"/>
    <w:rsid w:val="00C22A66"/>
    <w:rsid w:val="00C22AF1"/>
    <w:rsid w:val="00C22BC2"/>
    <w:rsid w:val="00C2332C"/>
    <w:rsid w:val="00C23564"/>
    <w:rsid w:val="00C236AB"/>
    <w:rsid w:val="00C23E09"/>
    <w:rsid w:val="00C24003"/>
    <w:rsid w:val="00C24189"/>
    <w:rsid w:val="00C24632"/>
    <w:rsid w:val="00C24885"/>
    <w:rsid w:val="00C2507E"/>
    <w:rsid w:val="00C25220"/>
    <w:rsid w:val="00C25462"/>
    <w:rsid w:val="00C255C8"/>
    <w:rsid w:val="00C25FD1"/>
    <w:rsid w:val="00C26660"/>
    <w:rsid w:val="00C2685A"/>
    <w:rsid w:val="00C269DE"/>
    <w:rsid w:val="00C26E65"/>
    <w:rsid w:val="00C27115"/>
    <w:rsid w:val="00C27123"/>
    <w:rsid w:val="00C27236"/>
    <w:rsid w:val="00C2753D"/>
    <w:rsid w:val="00C276E6"/>
    <w:rsid w:val="00C27B06"/>
    <w:rsid w:val="00C27E6D"/>
    <w:rsid w:val="00C27F73"/>
    <w:rsid w:val="00C300EB"/>
    <w:rsid w:val="00C3029B"/>
    <w:rsid w:val="00C30300"/>
    <w:rsid w:val="00C30364"/>
    <w:rsid w:val="00C3044F"/>
    <w:rsid w:val="00C30626"/>
    <w:rsid w:val="00C30876"/>
    <w:rsid w:val="00C30B7C"/>
    <w:rsid w:val="00C30DFB"/>
    <w:rsid w:val="00C3110B"/>
    <w:rsid w:val="00C315BA"/>
    <w:rsid w:val="00C315CE"/>
    <w:rsid w:val="00C31674"/>
    <w:rsid w:val="00C3181F"/>
    <w:rsid w:val="00C31AC5"/>
    <w:rsid w:val="00C32025"/>
    <w:rsid w:val="00C3261E"/>
    <w:rsid w:val="00C32698"/>
    <w:rsid w:val="00C32710"/>
    <w:rsid w:val="00C32C32"/>
    <w:rsid w:val="00C32CB6"/>
    <w:rsid w:val="00C32F66"/>
    <w:rsid w:val="00C331B5"/>
    <w:rsid w:val="00C33D48"/>
    <w:rsid w:val="00C3405B"/>
    <w:rsid w:val="00C340E1"/>
    <w:rsid w:val="00C34341"/>
    <w:rsid w:val="00C34625"/>
    <w:rsid w:val="00C34868"/>
    <w:rsid w:val="00C34917"/>
    <w:rsid w:val="00C34AC0"/>
    <w:rsid w:val="00C34E1E"/>
    <w:rsid w:val="00C34E2B"/>
    <w:rsid w:val="00C3539D"/>
    <w:rsid w:val="00C35A4C"/>
    <w:rsid w:val="00C35B4D"/>
    <w:rsid w:val="00C35BE1"/>
    <w:rsid w:val="00C35CFF"/>
    <w:rsid w:val="00C3611F"/>
    <w:rsid w:val="00C36620"/>
    <w:rsid w:val="00C36A4D"/>
    <w:rsid w:val="00C36B16"/>
    <w:rsid w:val="00C36D6B"/>
    <w:rsid w:val="00C36F7C"/>
    <w:rsid w:val="00C3712D"/>
    <w:rsid w:val="00C37312"/>
    <w:rsid w:val="00C40102"/>
    <w:rsid w:val="00C40284"/>
    <w:rsid w:val="00C407A9"/>
    <w:rsid w:val="00C4086D"/>
    <w:rsid w:val="00C40D7D"/>
    <w:rsid w:val="00C41529"/>
    <w:rsid w:val="00C41843"/>
    <w:rsid w:val="00C41C0E"/>
    <w:rsid w:val="00C42155"/>
    <w:rsid w:val="00C42218"/>
    <w:rsid w:val="00C424FB"/>
    <w:rsid w:val="00C424FE"/>
    <w:rsid w:val="00C42E4A"/>
    <w:rsid w:val="00C430F7"/>
    <w:rsid w:val="00C43131"/>
    <w:rsid w:val="00C4325D"/>
    <w:rsid w:val="00C43791"/>
    <w:rsid w:val="00C43F2A"/>
    <w:rsid w:val="00C449F6"/>
    <w:rsid w:val="00C44A76"/>
    <w:rsid w:val="00C44D09"/>
    <w:rsid w:val="00C45074"/>
    <w:rsid w:val="00C450F5"/>
    <w:rsid w:val="00C451E8"/>
    <w:rsid w:val="00C455A9"/>
    <w:rsid w:val="00C4578F"/>
    <w:rsid w:val="00C457CE"/>
    <w:rsid w:val="00C457E2"/>
    <w:rsid w:val="00C45EA8"/>
    <w:rsid w:val="00C4644A"/>
    <w:rsid w:val="00C46781"/>
    <w:rsid w:val="00C46973"/>
    <w:rsid w:val="00C46BD7"/>
    <w:rsid w:val="00C46F1A"/>
    <w:rsid w:val="00C470E4"/>
    <w:rsid w:val="00C4745F"/>
    <w:rsid w:val="00C47980"/>
    <w:rsid w:val="00C47CB8"/>
    <w:rsid w:val="00C5042B"/>
    <w:rsid w:val="00C5059D"/>
    <w:rsid w:val="00C5068F"/>
    <w:rsid w:val="00C50B46"/>
    <w:rsid w:val="00C50D70"/>
    <w:rsid w:val="00C50DB3"/>
    <w:rsid w:val="00C515CF"/>
    <w:rsid w:val="00C51798"/>
    <w:rsid w:val="00C51ADC"/>
    <w:rsid w:val="00C51B81"/>
    <w:rsid w:val="00C51BA5"/>
    <w:rsid w:val="00C51D92"/>
    <w:rsid w:val="00C5220A"/>
    <w:rsid w:val="00C52A15"/>
    <w:rsid w:val="00C52AAC"/>
    <w:rsid w:val="00C531E3"/>
    <w:rsid w:val="00C5321C"/>
    <w:rsid w:val="00C533DA"/>
    <w:rsid w:val="00C535FD"/>
    <w:rsid w:val="00C5382A"/>
    <w:rsid w:val="00C53890"/>
    <w:rsid w:val="00C53EE8"/>
    <w:rsid w:val="00C54529"/>
    <w:rsid w:val="00C54B18"/>
    <w:rsid w:val="00C54DA1"/>
    <w:rsid w:val="00C54DC7"/>
    <w:rsid w:val="00C54FAE"/>
    <w:rsid w:val="00C550F0"/>
    <w:rsid w:val="00C55389"/>
    <w:rsid w:val="00C553A8"/>
    <w:rsid w:val="00C556B0"/>
    <w:rsid w:val="00C557E0"/>
    <w:rsid w:val="00C55809"/>
    <w:rsid w:val="00C55A65"/>
    <w:rsid w:val="00C55A68"/>
    <w:rsid w:val="00C55B93"/>
    <w:rsid w:val="00C55B94"/>
    <w:rsid w:val="00C55ED7"/>
    <w:rsid w:val="00C5609B"/>
    <w:rsid w:val="00C5623B"/>
    <w:rsid w:val="00C56ABB"/>
    <w:rsid w:val="00C56DAF"/>
    <w:rsid w:val="00C56F22"/>
    <w:rsid w:val="00C578B4"/>
    <w:rsid w:val="00C57CD9"/>
    <w:rsid w:val="00C57E62"/>
    <w:rsid w:val="00C57EA6"/>
    <w:rsid w:val="00C60053"/>
    <w:rsid w:val="00C602F1"/>
    <w:rsid w:val="00C60391"/>
    <w:rsid w:val="00C6053F"/>
    <w:rsid w:val="00C607FD"/>
    <w:rsid w:val="00C609A0"/>
    <w:rsid w:val="00C60BB7"/>
    <w:rsid w:val="00C60DFF"/>
    <w:rsid w:val="00C614CC"/>
    <w:rsid w:val="00C615B8"/>
    <w:rsid w:val="00C6162C"/>
    <w:rsid w:val="00C61696"/>
    <w:rsid w:val="00C61E31"/>
    <w:rsid w:val="00C62354"/>
    <w:rsid w:val="00C62829"/>
    <w:rsid w:val="00C62B08"/>
    <w:rsid w:val="00C62CFD"/>
    <w:rsid w:val="00C62D34"/>
    <w:rsid w:val="00C6486E"/>
    <w:rsid w:val="00C64B6B"/>
    <w:rsid w:val="00C64C14"/>
    <w:rsid w:val="00C64FFB"/>
    <w:rsid w:val="00C658B2"/>
    <w:rsid w:val="00C65A37"/>
    <w:rsid w:val="00C65BCF"/>
    <w:rsid w:val="00C65DBC"/>
    <w:rsid w:val="00C66117"/>
    <w:rsid w:val="00C66572"/>
    <w:rsid w:val="00C666A2"/>
    <w:rsid w:val="00C669A0"/>
    <w:rsid w:val="00C66D4E"/>
    <w:rsid w:val="00C66EB9"/>
    <w:rsid w:val="00C67098"/>
    <w:rsid w:val="00C671BD"/>
    <w:rsid w:val="00C67B4D"/>
    <w:rsid w:val="00C67D02"/>
    <w:rsid w:val="00C67D91"/>
    <w:rsid w:val="00C67E71"/>
    <w:rsid w:val="00C7071B"/>
    <w:rsid w:val="00C708DA"/>
    <w:rsid w:val="00C70AAA"/>
    <w:rsid w:val="00C70FDD"/>
    <w:rsid w:val="00C7129D"/>
    <w:rsid w:val="00C713E7"/>
    <w:rsid w:val="00C716B2"/>
    <w:rsid w:val="00C716F8"/>
    <w:rsid w:val="00C71A27"/>
    <w:rsid w:val="00C72010"/>
    <w:rsid w:val="00C727EA"/>
    <w:rsid w:val="00C727FD"/>
    <w:rsid w:val="00C72839"/>
    <w:rsid w:val="00C72D95"/>
    <w:rsid w:val="00C72E10"/>
    <w:rsid w:val="00C73201"/>
    <w:rsid w:val="00C7324A"/>
    <w:rsid w:val="00C73349"/>
    <w:rsid w:val="00C7350D"/>
    <w:rsid w:val="00C73604"/>
    <w:rsid w:val="00C73789"/>
    <w:rsid w:val="00C73AEF"/>
    <w:rsid w:val="00C73B05"/>
    <w:rsid w:val="00C73D51"/>
    <w:rsid w:val="00C7464C"/>
    <w:rsid w:val="00C7490E"/>
    <w:rsid w:val="00C74DBA"/>
    <w:rsid w:val="00C74EE3"/>
    <w:rsid w:val="00C75297"/>
    <w:rsid w:val="00C75788"/>
    <w:rsid w:val="00C75824"/>
    <w:rsid w:val="00C75912"/>
    <w:rsid w:val="00C75A24"/>
    <w:rsid w:val="00C75DC9"/>
    <w:rsid w:val="00C76045"/>
    <w:rsid w:val="00C761D0"/>
    <w:rsid w:val="00C76586"/>
    <w:rsid w:val="00C76588"/>
    <w:rsid w:val="00C7661D"/>
    <w:rsid w:val="00C76BA3"/>
    <w:rsid w:val="00C76D1A"/>
    <w:rsid w:val="00C76D20"/>
    <w:rsid w:val="00C76EA9"/>
    <w:rsid w:val="00C7709D"/>
    <w:rsid w:val="00C7711C"/>
    <w:rsid w:val="00C7722E"/>
    <w:rsid w:val="00C77289"/>
    <w:rsid w:val="00C77298"/>
    <w:rsid w:val="00C77393"/>
    <w:rsid w:val="00C77423"/>
    <w:rsid w:val="00C775FD"/>
    <w:rsid w:val="00C777E0"/>
    <w:rsid w:val="00C7791B"/>
    <w:rsid w:val="00C801AF"/>
    <w:rsid w:val="00C80526"/>
    <w:rsid w:val="00C807F6"/>
    <w:rsid w:val="00C808DC"/>
    <w:rsid w:val="00C80B4E"/>
    <w:rsid w:val="00C80DFF"/>
    <w:rsid w:val="00C810E1"/>
    <w:rsid w:val="00C81707"/>
    <w:rsid w:val="00C819A8"/>
    <w:rsid w:val="00C81A5D"/>
    <w:rsid w:val="00C81FB8"/>
    <w:rsid w:val="00C81FC2"/>
    <w:rsid w:val="00C820FD"/>
    <w:rsid w:val="00C822EB"/>
    <w:rsid w:val="00C8292E"/>
    <w:rsid w:val="00C82A12"/>
    <w:rsid w:val="00C82BFF"/>
    <w:rsid w:val="00C82C62"/>
    <w:rsid w:val="00C82D0D"/>
    <w:rsid w:val="00C82F9E"/>
    <w:rsid w:val="00C83211"/>
    <w:rsid w:val="00C8350A"/>
    <w:rsid w:val="00C83C7D"/>
    <w:rsid w:val="00C83CC6"/>
    <w:rsid w:val="00C83FE8"/>
    <w:rsid w:val="00C84012"/>
    <w:rsid w:val="00C8405F"/>
    <w:rsid w:val="00C840D9"/>
    <w:rsid w:val="00C842A3"/>
    <w:rsid w:val="00C84A8B"/>
    <w:rsid w:val="00C84B2F"/>
    <w:rsid w:val="00C84C85"/>
    <w:rsid w:val="00C84E38"/>
    <w:rsid w:val="00C84F4F"/>
    <w:rsid w:val="00C850BB"/>
    <w:rsid w:val="00C85961"/>
    <w:rsid w:val="00C85A2A"/>
    <w:rsid w:val="00C85AA3"/>
    <w:rsid w:val="00C85BAD"/>
    <w:rsid w:val="00C85D29"/>
    <w:rsid w:val="00C85E70"/>
    <w:rsid w:val="00C8635B"/>
    <w:rsid w:val="00C866BD"/>
    <w:rsid w:val="00C868A2"/>
    <w:rsid w:val="00C86A79"/>
    <w:rsid w:val="00C86BCC"/>
    <w:rsid w:val="00C87058"/>
    <w:rsid w:val="00C87147"/>
    <w:rsid w:val="00C87612"/>
    <w:rsid w:val="00C8778A"/>
    <w:rsid w:val="00C87965"/>
    <w:rsid w:val="00C87C36"/>
    <w:rsid w:val="00C87FED"/>
    <w:rsid w:val="00C9020F"/>
    <w:rsid w:val="00C90B9F"/>
    <w:rsid w:val="00C90D42"/>
    <w:rsid w:val="00C90E48"/>
    <w:rsid w:val="00C90E90"/>
    <w:rsid w:val="00C9103F"/>
    <w:rsid w:val="00C91069"/>
    <w:rsid w:val="00C91180"/>
    <w:rsid w:val="00C911FE"/>
    <w:rsid w:val="00C913B2"/>
    <w:rsid w:val="00C91A63"/>
    <w:rsid w:val="00C924C0"/>
    <w:rsid w:val="00C92857"/>
    <w:rsid w:val="00C9295D"/>
    <w:rsid w:val="00C92F96"/>
    <w:rsid w:val="00C932F0"/>
    <w:rsid w:val="00C9345C"/>
    <w:rsid w:val="00C93748"/>
    <w:rsid w:val="00C93AB3"/>
    <w:rsid w:val="00C93B3E"/>
    <w:rsid w:val="00C93C22"/>
    <w:rsid w:val="00C93C73"/>
    <w:rsid w:val="00C941F6"/>
    <w:rsid w:val="00C944EB"/>
    <w:rsid w:val="00C9450E"/>
    <w:rsid w:val="00C9454B"/>
    <w:rsid w:val="00C9471E"/>
    <w:rsid w:val="00C9486E"/>
    <w:rsid w:val="00C948A2"/>
    <w:rsid w:val="00C952A6"/>
    <w:rsid w:val="00C95706"/>
    <w:rsid w:val="00C95993"/>
    <w:rsid w:val="00C95F04"/>
    <w:rsid w:val="00C96717"/>
    <w:rsid w:val="00C96AFD"/>
    <w:rsid w:val="00C96FF7"/>
    <w:rsid w:val="00C970EA"/>
    <w:rsid w:val="00C9739D"/>
    <w:rsid w:val="00C973AD"/>
    <w:rsid w:val="00C97B96"/>
    <w:rsid w:val="00C97C79"/>
    <w:rsid w:val="00C97D4C"/>
    <w:rsid w:val="00C97E9C"/>
    <w:rsid w:val="00C97FAF"/>
    <w:rsid w:val="00CA028D"/>
    <w:rsid w:val="00CA05D7"/>
    <w:rsid w:val="00CA06EC"/>
    <w:rsid w:val="00CA07A5"/>
    <w:rsid w:val="00CA0894"/>
    <w:rsid w:val="00CA0D07"/>
    <w:rsid w:val="00CA18A9"/>
    <w:rsid w:val="00CA18F1"/>
    <w:rsid w:val="00CA19A7"/>
    <w:rsid w:val="00CA1EA6"/>
    <w:rsid w:val="00CA2166"/>
    <w:rsid w:val="00CA2748"/>
    <w:rsid w:val="00CA2930"/>
    <w:rsid w:val="00CA29E4"/>
    <w:rsid w:val="00CA2C2C"/>
    <w:rsid w:val="00CA2EC2"/>
    <w:rsid w:val="00CA31DE"/>
    <w:rsid w:val="00CA35A5"/>
    <w:rsid w:val="00CA3A2D"/>
    <w:rsid w:val="00CA4268"/>
    <w:rsid w:val="00CA4567"/>
    <w:rsid w:val="00CA47E5"/>
    <w:rsid w:val="00CA4B53"/>
    <w:rsid w:val="00CA4E50"/>
    <w:rsid w:val="00CA4F61"/>
    <w:rsid w:val="00CA517D"/>
    <w:rsid w:val="00CA576A"/>
    <w:rsid w:val="00CA5947"/>
    <w:rsid w:val="00CA5B52"/>
    <w:rsid w:val="00CA5E39"/>
    <w:rsid w:val="00CA5FF6"/>
    <w:rsid w:val="00CA602A"/>
    <w:rsid w:val="00CA635C"/>
    <w:rsid w:val="00CA6374"/>
    <w:rsid w:val="00CA65E9"/>
    <w:rsid w:val="00CA70A3"/>
    <w:rsid w:val="00CA7688"/>
    <w:rsid w:val="00CA7697"/>
    <w:rsid w:val="00CA78A9"/>
    <w:rsid w:val="00CA793F"/>
    <w:rsid w:val="00CA7A79"/>
    <w:rsid w:val="00CA7A7C"/>
    <w:rsid w:val="00CA7D00"/>
    <w:rsid w:val="00CA7E63"/>
    <w:rsid w:val="00CA7EE5"/>
    <w:rsid w:val="00CB0093"/>
    <w:rsid w:val="00CB0184"/>
    <w:rsid w:val="00CB01EE"/>
    <w:rsid w:val="00CB07F9"/>
    <w:rsid w:val="00CB08F5"/>
    <w:rsid w:val="00CB0B17"/>
    <w:rsid w:val="00CB0CA0"/>
    <w:rsid w:val="00CB0E7E"/>
    <w:rsid w:val="00CB0F55"/>
    <w:rsid w:val="00CB1174"/>
    <w:rsid w:val="00CB117E"/>
    <w:rsid w:val="00CB12D1"/>
    <w:rsid w:val="00CB1967"/>
    <w:rsid w:val="00CB1A4D"/>
    <w:rsid w:val="00CB1B6C"/>
    <w:rsid w:val="00CB1D96"/>
    <w:rsid w:val="00CB1FB9"/>
    <w:rsid w:val="00CB2199"/>
    <w:rsid w:val="00CB221D"/>
    <w:rsid w:val="00CB23D1"/>
    <w:rsid w:val="00CB2725"/>
    <w:rsid w:val="00CB2AF2"/>
    <w:rsid w:val="00CB2D12"/>
    <w:rsid w:val="00CB30F8"/>
    <w:rsid w:val="00CB367A"/>
    <w:rsid w:val="00CB37D4"/>
    <w:rsid w:val="00CB3D2E"/>
    <w:rsid w:val="00CB3D3E"/>
    <w:rsid w:val="00CB3DF6"/>
    <w:rsid w:val="00CB4E53"/>
    <w:rsid w:val="00CB4FC5"/>
    <w:rsid w:val="00CB51AF"/>
    <w:rsid w:val="00CB52E1"/>
    <w:rsid w:val="00CB53BC"/>
    <w:rsid w:val="00CB541F"/>
    <w:rsid w:val="00CB5468"/>
    <w:rsid w:val="00CB5487"/>
    <w:rsid w:val="00CB567B"/>
    <w:rsid w:val="00CB5B6C"/>
    <w:rsid w:val="00CB5D52"/>
    <w:rsid w:val="00CB6354"/>
    <w:rsid w:val="00CB6656"/>
    <w:rsid w:val="00CB671D"/>
    <w:rsid w:val="00CB6724"/>
    <w:rsid w:val="00CB6882"/>
    <w:rsid w:val="00CB698C"/>
    <w:rsid w:val="00CB6E90"/>
    <w:rsid w:val="00CB70AF"/>
    <w:rsid w:val="00CB7370"/>
    <w:rsid w:val="00CB7629"/>
    <w:rsid w:val="00CB76C1"/>
    <w:rsid w:val="00CB76D2"/>
    <w:rsid w:val="00CB7784"/>
    <w:rsid w:val="00CB7B60"/>
    <w:rsid w:val="00CB7CF6"/>
    <w:rsid w:val="00CB7D46"/>
    <w:rsid w:val="00CC027C"/>
    <w:rsid w:val="00CC049B"/>
    <w:rsid w:val="00CC0520"/>
    <w:rsid w:val="00CC05DA"/>
    <w:rsid w:val="00CC06EA"/>
    <w:rsid w:val="00CC09BB"/>
    <w:rsid w:val="00CC10C3"/>
    <w:rsid w:val="00CC1800"/>
    <w:rsid w:val="00CC18E3"/>
    <w:rsid w:val="00CC1B47"/>
    <w:rsid w:val="00CC2156"/>
    <w:rsid w:val="00CC2345"/>
    <w:rsid w:val="00CC26CB"/>
    <w:rsid w:val="00CC2B20"/>
    <w:rsid w:val="00CC3043"/>
    <w:rsid w:val="00CC35D3"/>
    <w:rsid w:val="00CC3D1A"/>
    <w:rsid w:val="00CC416E"/>
    <w:rsid w:val="00CC42CA"/>
    <w:rsid w:val="00CC45A6"/>
    <w:rsid w:val="00CC4AC4"/>
    <w:rsid w:val="00CC4ED3"/>
    <w:rsid w:val="00CC551A"/>
    <w:rsid w:val="00CC5779"/>
    <w:rsid w:val="00CC5EA3"/>
    <w:rsid w:val="00CC62A9"/>
    <w:rsid w:val="00CC6797"/>
    <w:rsid w:val="00CC695E"/>
    <w:rsid w:val="00CC6DBB"/>
    <w:rsid w:val="00CC6E07"/>
    <w:rsid w:val="00CC765F"/>
    <w:rsid w:val="00CC7689"/>
    <w:rsid w:val="00CC7C75"/>
    <w:rsid w:val="00CC7EE5"/>
    <w:rsid w:val="00CD036D"/>
    <w:rsid w:val="00CD0877"/>
    <w:rsid w:val="00CD0E2C"/>
    <w:rsid w:val="00CD0F56"/>
    <w:rsid w:val="00CD175C"/>
    <w:rsid w:val="00CD188E"/>
    <w:rsid w:val="00CD19D2"/>
    <w:rsid w:val="00CD1B2C"/>
    <w:rsid w:val="00CD1D10"/>
    <w:rsid w:val="00CD1D5F"/>
    <w:rsid w:val="00CD2341"/>
    <w:rsid w:val="00CD248B"/>
    <w:rsid w:val="00CD24DE"/>
    <w:rsid w:val="00CD25B2"/>
    <w:rsid w:val="00CD264F"/>
    <w:rsid w:val="00CD2AC6"/>
    <w:rsid w:val="00CD2E87"/>
    <w:rsid w:val="00CD2EF6"/>
    <w:rsid w:val="00CD3057"/>
    <w:rsid w:val="00CD32E7"/>
    <w:rsid w:val="00CD3362"/>
    <w:rsid w:val="00CD3762"/>
    <w:rsid w:val="00CD38FB"/>
    <w:rsid w:val="00CD3991"/>
    <w:rsid w:val="00CD3B89"/>
    <w:rsid w:val="00CD3BFD"/>
    <w:rsid w:val="00CD3D57"/>
    <w:rsid w:val="00CD444F"/>
    <w:rsid w:val="00CD4B35"/>
    <w:rsid w:val="00CD4F4A"/>
    <w:rsid w:val="00CD5201"/>
    <w:rsid w:val="00CD550F"/>
    <w:rsid w:val="00CD5602"/>
    <w:rsid w:val="00CD5CF3"/>
    <w:rsid w:val="00CD5E8D"/>
    <w:rsid w:val="00CD625C"/>
    <w:rsid w:val="00CD63C8"/>
    <w:rsid w:val="00CD6424"/>
    <w:rsid w:val="00CD65C0"/>
    <w:rsid w:val="00CD661E"/>
    <w:rsid w:val="00CD683D"/>
    <w:rsid w:val="00CD688C"/>
    <w:rsid w:val="00CD69B7"/>
    <w:rsid w:val="00CD6AF9"/>
    <w:rsid w:val="00CD6C08"/>
    <w:rsid w:val="00CD6C1E"/>
    <w:rsid w:val="00CD6C34"/>
    <w:rsid w:val="00CD6FAB"/>
    <w:rsid w:val="00CD7350"/>
    <w:rsid w:val="00CD7448"/>
    <w:rsid w:val="00CD7598"/>
    <w:rsid w:val="00CD761E"/>
    <w:rsid w:val="00CD768B"/>
    <w:rsid w:val="00CD7931"/>
    <w:rsid w:val="00CD7A44"/>
    <w:rsid w:val="00CD7BFB"/>
    <w:rsid w:val="00CD7C4B"/>
    <w:rsid w:val="00CD7E14"/>
    <w:rsid w:val="00CE0055"/>
    <w:rsid w:val="00CE044C"/>
    <w:rsid w:val="00CE0A49"/>
    <w:rsid w:val="00CE0BA6"/>
    <w:rsid w:val="00CE10BA"/>
    <w:rsid w:val="00CE112B"/>
    <w:rsid w:val="00CE1323"/>
    <w:rsid w:val="00CE156D"/>
    <w:rsid w:val="00CE1698"/>
    <w:rsid w:val="00CE19E8"/>
    <w:rsid w:val="00CE1EF9"/>
    <w:rsid w:val="00CE22E5"/>
    <w:rsid w:val="00CE26F2"/>
    <w:rsid w:val="00CE29D7"/>
    <w:rsid w:val="00CE2AA8"/>
    <w:rsid w:val="00CE35B4"/>
    <w:rsid w:val="00CE36A4"/>
    <w:rsid w:val="00CE3A14"/>
    <w:rsid w:val="00CE3D86"/>
    <w:rsid w:val="00CE4798"/>
    <w:rsid w:val="00CE48ED"/>
    <w:rsid w:val="00CE4EC5"/>
    <w:rsid w:val="00CE5252"/>
    <w:rsid w:val="00CE5327"/>
    <w:rsid w:val="00CE53F4"/>
    <w:rsid w:val="00CE5D7E"/>
    <w:rsid w:val="00CE6319"/>
    <w:rsid w:val="00CE6402"/>
    <w:rsid w:val="00CE64FC"/>
    <w:rsid w:val="00CE6DFF"/>
    <w:rsid w:val="00CE6E89"/>
    <w:rsid w:val="00CE7BF6"/>
    <w:rsid w:val="00CF0119"/>
    <w:rsid w:val="00CF0A98"/>
    <w:rsid w:val="00CF0F4E"/>
    <w:rsid w:val="00CF1B10"/>
    <w:rsid w:val="00CF1F6C"/>
    <w:rsid w:val="00CF1FB1"/>
    <w:rsid w:val="00CF20F4"/>
    <w:rsid w:val="00CF2838"/>
    <w:rsid w:val="00CF28D6"/>
    <w:rsid w:val="00CF3415"/>
    <w:rsid w:val="00CF364F"/>
    <w:rsid w:val="00CF382D"/>
    <w:rsid w:val="00CF397B"/>
    <w:rsid w:val="00CF3AEF"/>
    <w:rsid w:val="00CF3B6F"/>
    <w:rsid w:val="00CF3BD1"/>
    <w:rsid w:val="00CF3C1F"/>
    <w:rsid w:val="00CF3F23"/>
    <w:rsid w:val="00CF4D00"/>
    <w:rsid w:val="00CF54AA"/>
    <w:rsid w:val="00CF5516"/>
    <w:rsid w:val="00CF56C2"/>
    <w:rsid w:val="00CF5702"/>
    <w:rsid w:val="00CF5723"/>
    <w:rsid w:val="00CF60D0"/>
    <w:rsid w:val="00CF625B"/>
    <w:rsid w:val="00CF6669"/>
    <w:rsid w:val="00CF668F"/>
    <w:rsid w:val="00CF6A25"/>
    <w:rsid w:val="00CF702B"/>
    <w:rsid w:val="00CF7184"/>
    <w:rsid w:val="00CF71C9"/>
    <w:rsid w:val="00CF72F5"/>
    <w:rsid w:val="00CF7A2B"/>
    <w:rsid w:val="00CF7BC3"/>
    <w:rsid w:val="00D001DB"/>
    <w:rsid w:val="00D002A1"/>
    <w:rsid w:val="00D00434"/>
    <w:rsid w:val="00D00507"/>
    <w:rsid w:val="00D00635"/>
    <w:rsid w:val="00D0072D"/>
    <w:rsid w:val="00D0081D"/>
    <w:rsid w:val="00D00A09"/>
    <w:rsid w:val="00D00B3A"/>
    <w:rsid w:val="00D00CF0"/>
    <w:rsid w:val="00D00DAF"/>
    <w:rsid w:val="00D00EEE"/>
    <w:rsid w:val="00D00F33"/>
    <w:rsid w:val="00D00F71"/>
    <w:rsid w:val="00D010B5"/>
    <w:rsid w:val="00D012AD"/>
    <w:rsid w:val="00D01A69"/>
    <w:rsid w:val="00D01BBE"/>
    <w:rsid w:val="00D01C81"/>
    <w:rsid w:val="00D02181"/>
    <w:rsid w:val="00D02498"/>
    <w:rsid w:val="00D02540"/>
    <w:rsid w:val="00D02573"/>
    <w:rsid w:val="00D02942"/>
    <w:rsid w:val="00D02F6C"/>
    <w:rsid w:val="00D033CC"/>
    <w:rsid w:val="00D036D4"/>
    <w:rsid w:val="00D03AAD"/>
    <w:rsid w:val="00D03B24"/>
    <w:rsid w:val="00D03C76"/>
    <w:rsid w:val="00D03D08"/>
    <w:rsid w:val="00D03E79"/>
    <w:rsid w:val="00D03FF2"/>
    <w:rsid w:val="00D046E5"/>
    <w:rsid w:val="00D0471F"/>
    <w:rsid w:val="00D0493E"/>
    <w:rsid w:val="00D04A0F"/>
    <w:rsid w:val="00D04BA2"/>
    <w:rsid w:val="00D04C83"/>
    <w:rsid w:val="00D04C9B"/>
    <w:rsid w:val="00D04CFB"/>
    <w:rsid w:val="00D04FB8"/>
    <w:rsid w:val="00D04FCE"/>
    <w:rsid w:val="00D055E0"/>
    <w:rsid w:val="00D05644"/>
    <w:rsid w:val="00D05F0F"/>
    <w:rsid w:val="00D05F32"/>
    <w:rsid w:val="00D06A9A"/>
    <w:rsid w:val="00D10DCA"/>
    <w:rsid w:val="00D117AE"/>
    <w:rsid w:val="00D11892"/>
    <w:rsid w:val="00D1202E"/>
    <w:rsid w:val="00D12606"/>
    <w:rsid w:val="00D12AA8"/>
    <w:rsid w:val="00D12F2E"/>
    <w:rsid w:val="00D1303D"/>
    <w:rsid w:val="00D132DA"/>
    <w:rsid w:val="00D13387"/>
    <w:rsid w:val="00D134BD"/>
    <w:rsid w:val="00D1370F"/>
    <w:rsid w:val="00D139CD"/>
    <w:rsid w:val="00D13CB8"/>
    <w:rsid w:val="00D14162"/>
    <w:rsid w:val="00D14221"/>
    <w:rsid w:val="00D14368"/>
    <w:rsid w:val="00D144D8"/>
    <w:rsid w:val="00D14B92"/>
    <w:rsid w:val="00D14E1F"/>
    <w:rsid w:val="00D155C2"/>
    <w:rsid w:val="00D1560B"/>
    <w:rsid w:val="00D15780"/>
    <w:rsid w:val="00D15861"/>
    <w:rsid w:val="00D15894"/>
    <w:rsid w:val="00D15C05"/>
    <w:rsid w:val="00D16049"/>
    <w:rsid w:val="00D16ABD"/>
    <w:rsid w:val="00D16B75"/>
    <w:rsid w:val="00D16C2C"/>
    <w:rsid w:val="00D16E09"/>
    <w:rsid w:val="00D17213"/>
    <w:rsid w:val="00D17610"/>
    <w:rsid w:val="00D178E1"/>
    <w:rsid w:val="00D17F1B"/>
    <w:rsid w:val="00D17F96"/>
    <w:rsid w:val="00D2022A"/>
    <w:rsid w:val="00D20CCF"/>
    <w:rsid w:val="00D20FEB"/>
    <w:rsid w:val="00D21600"/>
    <w:rsid w:val="00D2184A"/>
    <w:rsid w:val="00D21CC8"/>
    <w:rsid w:val="00D21E0A"/>
    <w:rsid w:val="00D22352"/>
    <w:rsid w:val="00D227E4"/>
    <w:rsid w:val="00D229EC"/>
    <w:rsid w:val="00D22C8E"/>
    <w:rsid w:val="00D2316D"/>
    <w:rsid w:val="00D23BCD"/>
    <w:rsid w:val="00D23EB3"/>
    <w:rsid w:val="00D240B5"/>
    <w:rsid w:val="00D2413B"/>
    <w:rsid w:val="00D24477"/>
    <w:rsid w:val="00D24EB7"/>
    <w:rsid w:val="00D24F46"/>
    <w:rsid w:val="00D25219"/>
    <w:rsid w:val="00D25472"/>
    <w:rsid w:val="00D2548E"/>
    <w:rsid w:val="00D257D4"/>
    <w:rsid w:val="00D257FA"/>
    <w:rsid w:val="00D25C7D"/>
    <w:rsid w:val="00D25E43"/>
    <w:rsid w:val="00D261A0"/>
    <w:rsid w:val="00D262C6"/>
    <w:rsid w:val="00D263AA"/>
    <w:rsid w:val="00D26568"/>
    <w:rsid w:val="00D27116"/>
    <w:rsid w:val="00D27166"/>
    <w:rsid w:val="00D271FA"/>
    <w:rsid w:val="00D2725A"/>
    <w:rsid w:val="00D27446"/>
    <w:rsid w:val="00D2750A"/>
    <w:rsid w:val="00D276DA"/>
    <w:rsid w:val="00D27A4A"/>
    <w:rsid w:val="00D27E9E"/>
    <w:rsid w:val="00D27FDA"/>
    <w:rsid w:val="00D30E45"/>
    <w:rsid w:val="00D30FE7"/>
    <w:rsid w:val="00D3130D"/>
    <w:rsid w:val="00D316CD"/>
    <w:rsid w:val="00D31938"/>
    <w:rsid w:val="00D31984"/>
    <w:rsid w:val="00D31A1D"/>
    <w:rsid w:val="00D31BEC"/>
    <w:rsid w:val="00D32768"/>
    <w:rsid w:val="00D32874"/>
    <w:rsid w:val="00D3299A"/>
    <w:rsid w:val="00D32AF7"/>
    <w:rsid w:val="00D32D9E"/>
    <w:rsid w:val="00D330E7"/>
    <w:rsid w:val="00D33193"/>
    <w:rsid w:val="00D331D5"/>
    <w:rsid w:val="00D33619"/>
    <w:rsid w:val="00D338AD"/>
    <w:rsid w:val="00D33FA0"/>
    <w:rsid w:val="00D344D1"/>
    <w:rsid w:val="00D345D1"/>
    <w:rsid w:val="00D34AFA"/>
    <w:rsid w:val="00D34B09"/>
    <w:rsid w:val="00D34B4F"/>
    <w:rsid w:val="00D34BF0"/>
    <w:rsid w:val="00D34CC3"/>
    <w:rsid w:val="00D34D6C"/>
    <w:rsid w:val="00D3516F"/>
    <w:rsid w:val="00D352BD"/>
    <w:rsid w:val="00D3530C"/>
    <w:rsid w:val="00D35988"/>
    <w:rsid w:val="00D35B16"/>
    <w:rsid w:val="00D367BD"/>
    <w:rsid w:val="00D3696B"/>
    <w:rsid w:val="00D36C2E"/>
    <w:rsid w:val="00D36F3A"/>
    <w:rsid w:val="00D36F92"/>
    <w:rsid w:val="00D3748F"/>
    <w:rsid w:val="00D375E9"/>
    <w:rsid w:val="00D37780"/>
    <w:rsid w:val="00D378EF"/>
    <w:rsid w:val="00D37A04"/>
    <w:rsid w:val="00D37AB0"/>
    <w:rsid w:val="00D400F8"/>
    <w:rsid w:val="00D40312"/>
    <w:rsid w:val="00D4061C"/>
    <w:rsid w:val="00D413C0"/>
    <w:rsid w:val="00D416BB"/>
    <w:rsid w:val="00D41999"/>
    <w:rsid w:val="00D41C16"/>
    <w:rsid w:val="00D41C2B"/>
    <w:rsid w:val="00D42276"/>
    <w:rsid w:val="00D42934"/>
    <w:rsid w:val="00D42EB9"/>
    <w:rsid w:val="00D433E7"/>
    <w:rsid w:val="00D43425"/>
    <w:rsid w:val="00D436B7"/>
    <w:rsid w:val="00D436D6"/>
    <w:rsid w:val="00D43714"/>
    <w:rsid w:val="00D43727"/>
    <w:rsid w:val="00D43758"/>
    <w:rsid w:val="00D43BE3"/>
    <w:rsid w:val="00D446AD"/>
    <w:rsid w:val="00D44A92"/>
    <w:rsid w:val="00D44AAE"/>
    <w:rsid w:val="00D44C45"/>
    <w:rsid w:val="00D44D91"/>
    <w:rsid w:val="00D44FC6"/>
    <w:rsid w:val="00D45C05"/>
    <w:rsid w:val="00D46385"/>
    <w:rsid w:val="00D463C4"/>
    <w:rsid w:val="00D4640F"/>
    <w:rsid w:val="00D466D4"/>
    <w:rsid w:val="00D4716C"/>
    <w:rsid w:val="00D474EB"/>
    <w:rsid w:val="00D4753C"/>
    <w:rsid w:val="00D47603"/>
    <w:rsid w:val="00D47985"/>
    <w:rsid w:val="00D47987"/>
    <w:rsid w:val="00D479AC"/>
    <w:rsid w:val="00D5026C"/>
    <w:rsid w:val="00D5091F"/>
    <w:rsid w:val="00D50E28"/>
    <w:rsid w:val="00D51156"/>
    <w:rsid w:val="00D514AB"/>
    <w:rsid w:val="00D515B7"/>
    <w:rsid w:val="00D51840"/>
    <w:rsid w:val="00D51D85"/>
    <w:rsid w:val="00D51DEF"/>
    <w:rsid w:val="00D52018"/>
    <w:rsid w:val="00D522E1"/>
    <w:rsid w:val="00D52337"/>
    <w:rsid w:val="00D52400"/>
    <w:rsid w:val="00D5276B"/>
    <w:rsid w:val="00D5278B"/>
    <w:rsid w:val="00D52924"/>
    <w:rsid w:val="00D52C4B"/>
    <w:rsid w:val="00D52F1C"/>
    <w:rsid w:val="00D52FAF"/>
    <w:rsid w:val="00D53354"/>
    <w:rsid w:val="00D53559"/>
    <w:rsid w:val="00D5357A"/>
    <w:rsid w:val="00D5361F"/>
    <w:rsid w:val="00D53A1E"/>
    <w:rsid w:val="00D53AF6"/>
    <w:rsid w:val="00D53EED"/>
    <w:rsid w:val="00D543EF"/>
    <w:rsid w:val="00D54543"/>
    <w:rsid w:val="00D54608"/>
    <w:rsid w:val="00D54842"/>
    <w:rsid w:val="00D54A50"/>
    <w:rsid w:val="00D54A53"/>
    <w:rsid w:val="00D54E46"/>
    <w:rsid w:val="00D54ECB"/>
    <w:rsid w:val="00D54FAF"/>
    <w:rsid w:val="00D55201"/>
    <w:rsid w:val="00D55234"/>
    <w:rsid w:val="00D55A6A"/>
    <w:rsid w:val="00D55E1A"/>
    <w:rsid w:val="00D55EA3"/>
    <w:rsid w:val="00D56347"/>
    <w:rsid w:val="00D564A4"/>
    <w:rsid w:val="00D56540"/>
    <w:rsid w:val="00D568F8"/>
    <w:rsid w:val="00D56A11"/>
    <w:rsid w:val="00D56A27"/>
    <w:rsid w:val="00D56F7B"/>
    <w:rsid w:val="00D57010"/>
    <w:rsid w:val="00D57041"/>
    <w:rsid w:val="00D57164"/>
    <w:rsid w:val="00D57AB4"/>
    <w:rsid w:val="00D57C4C"/>
    <w:rsid w:val="00D6029A"/>
    <w:rsid w:val="00D603A1"/>
    <w:rsid w:val="00D605DD"/>
    <w:rsid w:val="00D60670"/>
    <w:rsid w:val="00D60A8E"/>
    <w:rsid w:val="00D60C7C"/>
    <w:rsid w:val="00D61134"/>
    <w:rsid w:val="00D61217"/>
    <w:rsid w:val="00D61494"/>
    <w:rsid w:val="00D618AE"/>
    <w:rsid w:val="00D619D9"/>
    <w:rsid w:val="00D61AE6"/>
    <w:rsid w:val="00D61F3B"/>
    <w:rsid w:val="00D61FC2"/>
    <w:rsid w:val="00D625DF"/>
    <w:rsid w:val="00D6271C"/>
    <w:rsid w:val="00D62CE5"/>
    <w:rsid w:val="00D63094"/>
    <w:rsid w:val="00D63154"/>
    <w:rsid w:val="00D6329C"/>
    <w:rsid w:val="00D63391"/>
    <w:rsid w:val="00D634E5"/>
    <w:rsid w:val="00D63570"/>
    <w:rsid w:val="00D64296"/>
    <w:rsid w:val="00D644CB"/>
    <w:rsid w:val="00D64527"/>
    <w:rsid w:val="00D6492B"/>
    <w:rsid w:val="00D64BD4"/>
    <w:rsid w:val="00D64DD4"/>
    <w:rsid w:val="00D651DD"/>
    <w:rsid w:val="00D654CC"/>
    <w:rsid w:val="00D65AA7"/>
    <w:rsid w:val="00D65C07"/>
    <w:rsid w:val="00D65F39"/>
    <w:rsid w:val="00D65F5D"/>
    <w:rsid w:val="00D660FE"/>
    <w:rsid w:val="00D6610C"/>
    <w:rsid w:val="00D666F1"/>
    <w:rsid w:val="00D66A88"/>
    <w:rsid w:val="00D66E81"/>
    <w:rsid w:val="00D6705D"/>
    <w:rsid w:val="00D6782A"/>
    <w:rsid w:val="00D67A00"/>
    <w:rsid w:val="00D70027"/>
    <w:rsid w:val="00D70353"/>
    <w:rsid w:val="00D7036D"/>
    <w:rsid w:val="00D706A6"/>
    <w:rsid w:val="00D709AC"/>
    <w:rsid w:val="00D70A95"/>
    <w:rsid w:val="00D70BF2"/>
    <w:rsid w:val="00D70F33"/>
    <w:rsid w:val="00D71286"/>
    <w:rsid w:val="00D71A1D"/>
    <w:rsid w:val="00D72072"/>
    <w:rsid w:val="00D723F5"/>
    <w:rsid w:val="00D728EE"/>
    <w:rsid w:val="00D7290F"/>
    <w:rsid w:val="00D72CA8"/>
    <w:rsid w:val="00D72D67"/>
    <w:rsid w:val="00D730B9"/>
    <w:rsid w:val="00D732B7"/>
    <w:rsid w:val="00D73EE4"/>
    <w:rsid w:val="00D73EE6"/>
    <w:rsid w:val="00D73F0B"/>
    <w:rsid w:val="00D73F30"/>
    <w:rsid w:val="00D73F6D"/>
    <w:rsid w:val="00D73F76"/>
    <w:rsid w:val="00D73F90"/>
    <w:rsid w:val="00D740B5"/>
    <w:rsid w:val="00D747A2"/>
    <w:rsid w:val="00D74B24"/>
    <w:rsid w:val="00D74DBD"/>
    <w:rsid w:val="00D7542E"/>
    <w:rsid w:val="00D75435"/>
    <w:rsid w:val="00D757DA"/>
    <w:rsid w:val="00D759C8"/>
    <w:rsid w:val="00D759FF"/>
    <w:rsid w:val="00D75B06"/>
    <w:rsid w:val="00D75C05"/>
    <w:rsid w:val="00D75ED2"/>
    <w:rsid w:val="00D75F04"/>
    <w:rsid w:val="00D761A8"/>
    <w:rsid w:val="00D7637D"/>
    <w:rsid w:val="00D76751"/>
    <w:rsid w:val="00D76979"/>
    <w:rsid w:val="00D76B46"/>
    <w:rsid w:val="00D76E99"/>
    <w:rsid w:val="00D76ED3"/>
    <w:rsid w:val="00D77723"/>
    <w:rsid w:val="00D77D71"/>
    <w:rsid w:val="00D77E5C"/>
    <w:rsid w:val="00D80047"/>
    <w:rsid w:val="00D803E9"/>
    <w:rsid w:val="00D80542"/>
    <w:rsid w:val="00D8068E"/>
    <w:rsid w:val="00D80753"/>
    <w:rsid w:val="00D80855"/>
    <w:rsid w:val="00D80996"/>
    <w:rsid w:val="00D809DD"/>
    <w:rsid w:val="00D80C87"/>
    <w:rsid w:val="00D80CEC"/>
    <w:rsid w:val="00D80E06"/>
    <w:rsid w:val="00D81502"/>
    <w:rsid w:val="00D8164D"/>
    <w:rsid w:val="00D816CD"/>
    <w:rsid w:val="00D817B2"/>
    <w:rsid w:val="00D818D6"/>
    <w:rsid w:val="00D81FA9"/>
    <w:rsid w:val="00D81FE3"/>
    <w:rsid w:val="00D82070"/>
    <w:rsid w:val="00D8230A"/>
    <w:rsid w:val="00D82618"/>
    <w:rsid w:val="00D826F4"/>
    <w:rsid w:val="00D82901"/>
    <w:rsid w:val="00D82DE3"/>
    <w:rsid w:val="00D831CA"/>
    <w:rsid w:val="00D835AE"/>
    <w:rsid w:val="00D83952"/>
    <w:rsid w:val="00D83EB4"/>
    <w:rsid w:val="00D83F99"/>
    <w:rsid w:val="00D84256"/>
    <w:rsid w:val="00D842AF"/>
    <w:rsid w:val="00D845D0"/>
    <w:rsid w:val="00D84874"/>
    <w:rsid w:val="00D84AF4"/>
    <w:rsid w:val="00D84CB6"/>
    <w:rsid w:val="00D85276"/>
    <w:rsid w:val="00D8535E"/>
    <w:rsid w:val="00D853A2"/>
    <w:rsid w:val="00D8547F"/>
    <w:rsid w:val="00D856F1"/>
    <w:rsid w:val="00D85C48"/>
    <w:rsid w:val="00D85D07"/>
    <w:rsid w:val="00D86147"/>
    <w:rsid w:val="00D866F6"/>
    <w:rsid w:val="00D86738"/>
    <w:rsid w:val="00D86ABF"/>
    <w:rsid w:val="00D874D7"/>
    <w:rsid w:val="00D876AB"/>
    <w:rsid w:val="00D8798B"/>
    <w:rsid w:val="00D87A96"/>
    <w:rsid w:val="00D87B8E"/>
    <w:rsid w:val="00D87F8C"/>
    <w:rsid w:val="00D9011B"/>
    <w:rsid w:val="00D90203"/>
    <w:rsid w:val="00D90622"/>
    <w:rsid w:val="00D9073E"/>
    <w:rsid w:val="00D90A3C"/>
    <w:rsid w:val="00D90C0A"/>
    <w:rsid w:val="00D90F41"/>
    <w:rsid w:val="00D90F78"/>
    <w:rsid w:val="00D90FA3"/>
    <w:rsid w:val="00D916C6"/>
    <w:rsid w:val="00D91797"/>
    <w:rsid w:val="00D9181C"/>
    <w:rsid w:val="00D91C63"/>
    <w:rsid w:val="00D91CE5"/>
    <w:rsid w:val="00D91E35"/>
    <w:rsid w:val="00D91FCD"/>
    <w:rsid w:val="00D9204C"/>
    <w:rsid w:val="00D929CE"/>
    <w:rsid w:val="00D92A35"/>
    <w:rsid w:val="00D92B41"/>
    <w:rsid w:val="00D93616"/>
    <w:rsid w:val="00D9367F"/>
    <w:rsid w:val="00D93BD7"/>
    <w:rsid w:val="00D93FAC"/>
    <w:rsid w:val="00D943C1"/>
    <w:rsid w:val="00D94583"/>
    <w:rsid w:val="00D94749"/>
    <w:rsid w:val="00D947CC"/>
    <w:rsid w:val="00D94A85"/>
    <w:rsid w:val="00D94A8E"/>
    <w:rsid w:val="00D95149"/>
    <w:rsid w:val="00D952BC"/>
    <w:rsid w:val="00D952E6"/>
    <w:rsid w:val="00D95752"/>
    <w:rsid w:val="00D95934"/>
    <w:rsid w:val="00D959BD"/>
    <w:rsid w:val="00D95A36"/>
    <w:rsid w:val="00D95B3B"/>
    <w:rsid w:val="00D95F9B"/>
    <w:rsid w:val="00D95FAF"/>
    <w:rsid w:val="00D9626C"/>
    <w:rsid w:val="00D9646F"/>
    <w:rsid w:val="00D96CDB"/>
    <w:rsid w:val="00D96CFD"/>
    <w:rsid w:val="00D96D43"/>
    <w:rsid w:val="00D970CC"/>
    <w:rsid w:val="00D972B3"/>
    <w:rsid w:val="00D975C1"/>
    <w:rsid w:val="00D976E6"/>
    <w:rsid w:val="00D978BC"/>
    <w:rsid w:val="00D97AF0"/>
    <w:rsid w:val="00D97EAB"/>
    <w:rsid w:val="00D97FB8"/>
    <w:rsid w:val="00DA0235"/>
    <w:rsid w:val="00DA0585"/>
    <w:rsid w:val="00DA0765"/>
    <w:rsid w:val="00DA09BF"/>
    <w:rsid w:val="00DA0B9B"/>
    <w:rsid w:val="00DA0CFA"/>
    <w:rsid w:val="00DA0E60"/>
    <w:rsid w:val="00DA0ED4"/>
    <w:rsid w:val="00DA1E26"/>
    <w:rsid w:val="00DA23D9"/>
    <w:rsid w:val="00DA2500"/>
    <w:rsid w:val="00DA2627"/>
    <w:rsid w:val="00DA2680"/>
    <w:rsid w:val="00DA271B"/>
    <w:rsid w:val="00DA29EB"/>
    <w:rsid w:val="00DA2A94"/>
    <w:rsid w:val="00DA2BD6"/>
    <w:rsid w:val="00DA3140"/>
    <w:rsid w:val="00DA3372"/>
    <w:rsid w:val="00DA3BA3"/>
    <w:rsid w:val="00DA3D85"/>
    <w:rsid w:val="00DA45EC"/>
    <w:rsid w:val="00DA4B20"/>
    <w:rsid w:val="00DA4C78"/>
    <w:rsid w:val="00DA4DC4"/>
    <w:rsid w:val="00DA5007"/>
    <w:rsid w:val="00DA50E8"/>
    <w:rsid w:val="00DA5253"/>
    <w:rsid w:val="00DA540F"/>
    <w:rsid w:val="00DA5410"/>
    <w:rsid w:val="00DA567E"/>
    <w:rsid w:val="00DA57D1"/>
    <w:rsid w:val="00DA5986"/>
    <w:rsid w:val="00DA6406"/>
    <w:rsid w:val="00DA7134"/>
    <w:rsid w:val="00DA71BA"/>
    <w:rsid w:val="00DA7273"/>
    <w:rsid w:val="00DA75B9"/>
    <w:rsid w:val="00DA79C2"/>
    <w:rsid w:val="00DA7C82"/>
    <w:rsid w:val="00DA7E28"/>
    <w:rsid w:val="00DB01F6"/>
    <w:rsid w:val="00DB0445"/>
    <w:rsid w:val="00DB0A69"/>
    <w:rsid w:val="00DB0E58"/>
    <w:rsid w:val="00DB1221"/>
    <w:rsid w:val="00DB126B"/>
    <w:rsid w:val="00DB13D0"/>
    <w:rsid w:val="00DB14F4"/>
    <w:rsid w:val="00DB151B"/>
    <w:rsid w:val="00DB1585"/>
    <w:rsid w:val="00DB21D8"/>
    <w:rsid w:val="00DB26C5"/>
    <w:rsid w:val="00DB2779"/>
    <w:rsid w:val="00DB36CA"/>
    <w:rsid w:val="00DB3A7A"/>
    <w:rsid w:val="00DB3BAA"/>
    <w:rsid w:val="00DB3BD9"/>
    <w:rsid w:val="00DB3D4D"/>
    <w:rsid w:val="00DB3F32"/>
    <w:rsid w:val="00DB40FE"/>
    <w:rsid w:val="00DB430B"/>
    <w:rsid w:val="00DB4481"/>
    <w:rsid w:val="00DB51F4"/>
    <w:rsid w:val="00DB5667"/>
    <w:rsid w:val="00DB569F"/>
    <w:rsid w:val="00DB58B6"/>
    <w:rsid w:val="00DB59F1"/>
    <w:rsid w:val="00DB5D17"/>
    <w:rsid w:val="00DB5F16"/>
    <w:rsid w:val="00DB6284"/>
    <w:rsid w:val="00DB62C9"/>
    <w:rsid w:val="00DB6341"/>
    <w:rsid w:val="00DB6537"/>
    <w:rsid w:val="00DB6826"/>
    <w:rsid w:val="00DB6FE2"/>
    <w:rsid w:val="00DB6FF4"/>
    <w:rsid w:val="00DB7086"/>
    <w:rsid w:val="00DB712A"/>
    <w:rsid w:val="00DB72E0"/>
    <w:rsid w:val="00DB73FA"/>
    <w:rsid w:val="00DB757F"/>
    <w:rsid w:val="00DB7B80"/>
    <w:rsid w:val="00DB7D94"/>
    <w:rsid w:val="00DB7E92"/>
    <w:rsid w:val="00DC00E6"/>
    <w:rsid w:val="00DC0150"/>
    <w:rsid w:val="00DC0295"/>
    <w:rsid w:val="00DC05E5"/>
    <w:rsid w:val="00DC091D"/>
    <w:rsid w:val="00DC09C8"/>
    <w:rsid w:val="00DC0B8C"/>
    <w:rsid w:val="00DC0E7C"/>
    <w:rsid w:val="00DC0F8A"/>
    <w:rsid w:val="00DC0FA5"/>
    <w:rsid w:val="00DC1007"/>
    <w:rsid w:val="00DC180B"/>
    <w:rsid w:val="00DC1A56"/>
    <w:rsid w:val="00DC1B6F"/>
    <w:rsid w:val="00DC1D5B"/>
    <w:rsid w:val="00DC2336"/>
    <w:rsid w:val="00DC2543"/>
    <w:rsid w:val="00DC27CD"/>
    <w:rsid w:val="00DC2870"/>
    <w:rsid w:val="00DC2C5F"/>
    <w:rsid w:val="00DC3280"/>
    <w:rsid w:val="00DC342B"/>
    <w:rsid w:val="00DC3473"/>
    <w:rsid w:val="00DC350C"/>
    <w:rsid w:val="00DC3B11"/>
    <w:rsid w:val="00DC41A5"/>
    <w:rsid w:val="00DC44D4"/>
    <w:rsid w:val="00DC4927"/>
    <w:rsid w:val="00DC50E1"/>
    <w:rsid w:val="00DC553D"/>
    <w:rsid w:val="00DC59C2"/>
    <w:rsid w:val="00DC5A55"/>
    <w:rsid w:val="00DC5D61"/>
    <w:rsid w:val="00DC5E38"/>
    <w:rsid w:val="00DC5EFB"/>
    <w:rsid w:val="00DC5FB9"/>
    <w:rsid w:val="00DC5FC4"/>
    <w:rsid w:val="00DC6488"/>
    <w:rsid w:val="00DC66BD"/>
    <w:rsid w:val="00DC6710"/>
    <w:rsid w:val="00DC68FF"/>
    <w:rsid w:val="00DC6C74"/>
    <w:rsid w:val="00DC7038"/>
    <w:rsid w:val="00DC70E1"/>
    <w:rsid w:val="00DC7273"/>
    <w:rsid w:val="00DC7276"/>
    <w:rsid w:val="00DC7417"/>
    <w:rsid w:val="00DC74A7"/>
    <w:rsid w:val="00DC77D1"/>
    <w:rsid w:val="00DC7ABB"/>
    <w:rsid w:val="00DC7ABD"/>
    <w:rsid w:val="00DC7BCD"/>
    <w:rsid w:val="00DC7CD0"/>
    <w:rsid w:val="00DC7DB3"/>
    <w:rsid w:val="00DC7F04"/>
    <w:rsid w:val="00DD02AC"/>
    <w:rsid w:val="00DD05E4"/>
    <w:rsid w:val="00DD12A4"/>
    <w:rsid w:val="00DD12AB"/>
    <w:rsid w:val="00DD1349"/>
    <w:rsid w:val="00DD1421"/>
    <w:rsid w:val="00DD180B"/>
    <w:rsid w:val="00DD186A"/>
    <w:rsid w:val="00DD1B88"/>
    <w:rsid w:val="00DD22BA"/>
    <w:rsid w:val="00DD259E"/>
    <w:rsid w:val="00DD26D4"/>
    <w:rsid w:val="00DD2BD7"/>
    <w:rsid w:val="00DD2ED3"/>
    <w:rsid w:val="00DD2FEA"/>
    <w:rsid w:val="00DD3012"/>
    <w:rsid w:val="00DD364F"/>
    <w:rsid w:val="00DD3E90"/>
    <w:rsid w:val="00DD4228"/>
    <w:rsid w:val="00DD4287"/>
    <w:rsid w:val="00DD43B7"/>
    <w:rsid w:val="00DD47D6"/>
    <w:rsid w:val="00DD47EB"/>
    <w:rsid w:val="00DD4852"/>
    <w:rsid w:val="00DD4ADA"/>
    <w:rsid w:val="00DD4B35"/>
    <w:rsid w:val="00DD4BD3"/>
    <w:rsid w:val="00DD4C05"/>
    <w:rsid w:val="00DD4C47"/>
    <w:rsid w:val="00DD4D2A"/>
    <w:rsid w:val="00DD4DAF"/>
    <w:rsid w:val="00DD4F1D"/>
    <w:rsid w:val="00DD5042"/>
    <w:rsid w:val="00DD51E8"/>
    <w:rsid w:val="00DD5B2A"/>
    <w:rsid w:val="00DD5E7E"/>
    <w:rsid w:val="00DD64EA"/>
    <w:rsid w:val="00DD6685"/>
    <w:rsid w:val="00DD6706"/>
    <w:rsid w:val="00DD6740"/>
    <w:rsid w:val="00DD69DB"/>
    <w:rsid w:val="00DD6AB8"/>
    <w:rsid w:val="00DD6EE4"/>
    <w:rsid w:val="00DD7086"/>
    <w:rsid w:val="00DD710C"/>
    <w:rsid w:val="00DD721B"/>
    <w:rsid w:val="00DD7271"/>
    <w:rsid w:val="00DD759A"/>
    <w:rsid w:val="00DD7658"/>
    <w:rsid w:val="00DD76C1"/>
    <w:rsid w:val="00DD780F"/>
    <w:rsid w:val="00DD7A56"/>
    <w:rsid w:val="00DD7BFA"/>
    <w:rsid w:val="00DD7E67"/>
    <w:rsid w:val="00DD7F8F"/>
    <w:rsid w:val="00DE092D"/>
    <w:rsid w:val="00DE0E35"/>
    <w:rsid w:val="00DE0EFA"/>
    <w:rsid w:val="00DE10C4"/>
    <w:rsid w:val="00DE1779"/>
    <w:rsid w:val="00DE1796"/>
    <w:rsid w:val="00DE2447"/>
    <w:rsid w:val="00DE25AE"/>
    <w:rsid w:val="00DE27D5"/>
    <w:rsid w:val="00DE283B"/>
    <w:rsid w:val="00DE2859"/>
    <w:rsid w:val="00DE2985"/>
    <w:rsid w:val="00DE2C5D"/>
    <w:rsid w:val="00DE2F5A"/>
    <w:rsid w:val="00DE2FE8"/>
    <w:rsid w:val="00DE32BE"/>
    <w:rsid w:val="00DE3568"/>
    <w:rsid w:val="00DE3D2B"/>
    <w:rsid w:val="00DE3F43"/>
    <w:rsid w:val="00DE418D"/>
    <w:rsid w:val="00DE4682"/>
    <w:rsid w:val="00DE4CA5"/>
    <w:rsid w:val="00DE4CD7"/>
    <w:rsid w:val="00DE4E30"/>
    <w:rsid w:val="00DE4F27"/>
    <w:rsid w:val="00DE4F6E"/>
    <w:rsid w:val="00DE52CB"/>
    <w:rsid w:val="00DE5458"/>
    <w:rsid w:val="00DE55DC"/>
    <w:rsid w:val="00DE593B"/>
    <w:rsid w:val="00DE5E31"/>
    <w:rsid w:val="00DE6032"/>
    <w:rsid w:val="00DE62DE"/>
    <w:rsid w:val="00DE62E5"/>
    <w:rsid w:val="00DE65B8"/>
    <w:rsid w:val="00DE674E"/>
    <w:rsid w:val="00DE69EA"/>
    <w:rsid w:val="00DE7318"/>
    <w:rsid w:val="00DE7322"/>
    <w:rsid w:val="00DE755D"/>
    <w:rsid w:val="00DE7584"/>
    <w:rsid w:val="00DE7DBB"/>
    <w:rsid w:val="00DE7E0D"/>
    <w:rsid w:val="00DF0760"/>
    <w:rsid w:val="00DF07E7"/>
    <w:rsid w:val="00DF0819"/>
    <w:rsid w:val="00DF0860"/>
    <w:rsid w:val="00DF0AD3"/>
    <w:rsid w:val="00DF0B78"/>
    <w:rsid w:val="00DF0FC7"/>
    <w:rsid w:val="00DF130A"/>
    <w:rsid w:val="00DF139D"/>
    <w:rsid w:val="00DF163B"/>
    <w:rsid w:val="00DF18C7"/>
    <w:rsid w:val="00DF1A4F"/>
    <w:rsid w:val="00DF1D66"/>
    <w:rsid w:val="00DF222B"/>
    <w:rsid w:val="00DF228D"/>
    <w:rsid w:val="00DF271E"/>
    <w:rsid w:val="00DF2AC8"/>
    <w:rsid w:val="00DF2D88"/>
    <w:rsid w:val="00DF2E7E"/>
    <w:rsid w:val="00DF301A"/>
    <w:rsid w:val="00DF33D2"/>
    <w:rsid w:val="00DF33D6"/>
    <w:rsid w:val="00DF3A75"/>
    <w:rsid w:val="00DF41B9"/>
    <w:rsid w:val="00DF4680"/>
    <w:rsid w:val="00DF4795"/>
    <w:rsid w:val="00DF4D19"/>
    <w:rsid w:val="00DF4D23"/>
    <w:rsid w:val="00DF4DC6"/>
    <w:rsid w:val="00DF5180"/>
    <w:rsid w:val="00DF5872"/>
    <w:rsid w:val="00DF5C81"/>
    <w:rsid w:val="00DF5F64"/>
    <w:rsid w:val="00DF6363"/>
    <w:rsid w:val="00DF6DD2"/>
    <w:rsid w:val="00DF6F12"/>
    <w:rsid w:val="00DF6F21"/>
    <w:rsid w:val="00DF70E0"/>
    <w:rsid w:val="00DF74BF"/>
    <w:rsid w:val="00DF7864"/>
    <w:rsid w:val="00DF7D5F"/>
    <w:rsid w:val="00DF7E2D"/>
    <w:rsid w:val="00DF7ECE"/>
    <w:rsid w:val="00DF7FAD"/>
    <w:rsid w:val="00E00219"/>
    <w:rsid w:val="00E00243"/>
    <w:rsid w:val="00E005B4"/>
    <w:rsid w:val="00E00981"/>
    <w:rsid w:val="00E00BFF"/>
    <w:rsid w:val="00E00DE2"/>
    <w:rsid w:val="00E00E43"/>
    <w:rsid w:val="00E0119D"/>
    <w:rsid w:val="00E01253"/>
    <w:rsid w:val="00E0137D"/>
    <w:rsid w:val="00E0153E"/>
    <w:rsid w:val="00E0186B"/>
    <w:rsid w:val="00E01DBE"/>
    <w:rsid w:val="00E01F9B"/>
    <w:rsid w:val="00E02429"/>
    <w:rsid w:val="00E02EE4"/>
    <w:rsid w:val="00E02FDC"/>
    <w:rsid w:val="00E031D7"/>
    <w:rsid w:val="00E032A3"/>
    <w:rsid w:val="00E037CE"/>
    <w:rsid w:val="00E03BA9"/>
    <w:rsid w:val="00E04242"/>
    <w:rsid w:val="00E0459F"/>
    <w:rsid w:val="00E04805"/>
    <w:rsid w:val="00E04877"/>
    <w:rsid w:val="00E0488D"/>
    <w:rsid w:val="00E04E9B"/>
    <w:rsid w:val="00E052DF"/>
    <w:rsid w:val="00E0559B"/>
    <w:rsid w:val="00E05A95"/>
    <w:rsid w:val="00E061EC"/>
    <w:rsid w:val="00E064AB"/>
    <w:rsid w:val="00E06617"/>
    <w:rsid w:val="00E066EF"/>
    <w:rsid w:val="00E068A1"/>
    <w:rsid w:val="00E069B0"/>
    <w:rsid w:val="00E06AD1"/>
    <w:rsid w:val="00E06FF8"/>
    <w:rsid w:val="00E071B0"/>
    <w:rsid w:val="00E07479"/>
    <w:rsid w:val="00E074DD"/>
    <w:rsid w:val="00E07519"/>
    <w:rsid w:val="00E07689"/>
    <w:rsid w:val="00E076DC"/>
    <w:rsid w:val="00E079D5"/>
    <w:rsid w:val="00E07AA5"/>
    <w:rsid w:val="00E07BF0"/>
    <w:rsid w:val="00E07D8B"/>
    <w:rsid w:val="00E103FC"/>
    <w:rsid w:val="00E106EA"/>
    <w:rsid w:val="00E10AFB"/>
    <w:rsid w:val="00E10DC4"/>
    <w:rsid w:val="00E10FB6"/>
    <w:rsid w:val="00E110F4"/>
    <w:rsid w:val="00E11222"/>
    <w:rsid w:val="00E112A7"/>
    <w:rsid w:val="00E11319"/>
    <w:rsid w:val="00E113A5"/>
    <w:rsid w:val="00E11429"/>
    <w:rsid w:val="00E11F49"/>
    <w:rsid w:val="00E121D2"/>
    <w:rsid w:val="00E124D9"/>
    <w:rsid w:val="00E126BF"/>
    <w:rsid w:val="00E126DF"/>
    <w:rsid w:val="00E127FD"/>
    <w:rsid w:val="00E1282A"/>
    <w:rsid w:val="00E129E5"/>
    <w:rsid w:val="00E13019"/>
    <w:rsid w:val="00E132A3"/>
    <w:rsid w:val="00E133B4"/>
    <w:rsid w:val="00E1360E"/>
    <w:rsid w:val="00E13BF7"/>
    <w:rsid w:val="00E13EAC"/>
    <w:rsid w:val="00E13F3C"/>
    <w:rsid w:val="00E146EC"/>
    <w:rsid w:val="00E14F38"/>
    <w:rsid w:val="00E15190"/>
    <w:rsid w:val="00E15459"/>
    <w:rsid w:val="00E1553D"/>
    <w:rsid w:val="00E15977"/>
    <w:rsid w:val="00E15AAE"/>
    <w:rsid w:val="00E15E09"/>
    <w:rsid w:val="00E16AC9"/>
    <w:rsid w:val="00E16AFE"/>
    <w:rsid w:val="00E16BAF"/>
    <w:rsid w:val="00E16C91"/>
    <w:rsid w:val="00E1725D"/>
    <w:rsid w:val="00E17B41"/>
    <w:rsid w:val="00E17E0E"/>
    <w:rsid w:val="00E20686"/>
    <w:rsid w:val="00E207BD"/>
    <w:rsid w:val="00E207C3"/>
    <w:rsid w:val="00E208B6"/>
    <w:rsid w:val="00E20A77"/>
    <w:rsid w:val="00E20A99"/>
    <w:rsid w:val="00E210FE"/>
    <w:rsid w:val="00E214E9"/>
    <w:rsid w:val="00E220F8"/>
    <w:rsid w:val="00E22808"/>
    <w:rsid w:val="00E229E2"/>
    <w:rsid w:val="00E23464"/>
    <w:rsid w:val="00E238D9"/>
    <w:rsid w:val="00E23981"/>
    <w:rsid w:val="00E23A44"/>
    <w:rsid w:val="00E23ED1"/>
    <w:rsid w:val="00E245A4"/>
    <w:rsid w:val="00E245E6"/>
    <w:rsid w:val="00E248B7"/>
    <w:rsid w:val="00E24BD2"/>
    <w:rsid w:val="00E24E2A"/>
    <w:rsid w:val="00E2538B"/>
    <w:rsid w:val="00E253BD"/>
    <w:rsid w:val="00E25D5F"/>
    <w:rsid w:val="00E26038"/>
    <w:rsid w:val="00E26141"/>
    <w:rsid w:val="00E26645"/>
    <w:rsid w:val="00E267C2"/>
    <w:rsid w:val="00E2698C"/>
    <w:rsid w:val="00E26A14"/>
    <w:rsid w:val="00E26DAD"/>
    <w:rsid w:val="00E27004"/>
    <w:rsid w:val="00E27064"/>
    <w:rsid w:val="00E2713A"/>
    <w:rsid w:val="00E27533"/>
    <w:rsid w:val="00E27667"/>
    <w:rsid w:val="00E2779F"/>
    <w:rsid w:val="00E27861"/>
    <w:rsid w:val="00E278ED"/>
    <w:rsid w:val="00E27D0B"/>
    <w:rsid w:val="00E27F16"/>
    <w:rsid w:val="00E27F2F"/>
    <w:rsid w:val="00E30193"/>
    <w:rsid w:val="00E302CB"/>
    <w:rsid w:val="00E302F4"/>
    <w:rsid w:val="00E30423"/>
    <w:rsid w:val="00E30473"/>
    <w:rsid w:val="00E306EA"/>
    <w:rsid w:val="00E30989"/>
    <w:rsid w:val="00E30CEB"/>
    <w:rsid w:val="00E3104E"/>
    <w:rsid w:val="00E318D3"/>
    <w:rsid w:val="00E318D7"/>
    <w:rsid w:val="00E31C8E"/>
    <w:rsid w:val="00E31CBF"/>
    <w:rsid w:val="00E31DAC"/>
    <w:rsid w:val="00E3201D"/>
    <w:rsid w:val="00E32047"/>
    <w:rsid w:val="00E3252D"/>
    <w:rsid w:val="00E32A1E"/>
    <w:rsid w:val="00E32B89"/>
    <w:rsid w:val="00E32BED"/>
    <w:rsid w:val="00E32CD8"/>
    <w:rsid w:val="00E32D0C"/>
    <w:rsid w:val="00E32E7E"/>
    <w:rsid w:val="00E32FA4"/>
    <w:rsid w:val="00E331D9"/>
    <w:rsid w:val="00E333A3"/>
    <w:rsid w:val="00E3348B"/>
    <w:rsid w:val="00E33A02"/>
    <w:rsid w:val="00E34180"/>
    <w:rsid w:val="00E34DB1"/>
    <w:rsid w:val="00E34EA5"/>
    <w:rsid w:val="00E35033"/>
    <w:rsid w:val="00E351F5"/>
    <w:rsid w:val="00E35765"/>
    <w:rsid w:val="00E35D65"/>
    <w:rsid w:val="00E36163"/>
    <w:rsid w:val="00E3634D"/>
    <w:rsid w:val="00E3654C"/>
    <w:rsid w:val="00E36E35"/>
    <w:rsid w:val="00E36E67"/>
    <w:rsid w:val="00E3712E"/>
    <w:rsid w:val="00E37696"/>
    <w:rsid w:val="00E37974"/>
    <w:rsid w:val="00E37C82"/>
    <w:rsid w:val="00E37CCE"/>
    <w:rsid w:val="00E37F7D"/>
    <w:rsid w:val="00E40555"/>
    <w:rsid w:val="00E406B0"/>
    <w:rsid w:val="00E40DCA"/>
    <w:rsid w:val="00E41031"/>
    <w:rsid w:val="00E411D6"/>
    <w:rsid w:val="00E41CF2"/>
    <w:rsid w:val="00E41E63"/>
    <w:rsid w:val="00E41E66"/>
    <w:rsid w:val="00E425C3"/>
    <w:rsid w:val="00E42841"/>
    <w:rsid w:val="00E42A8E"/>
    <w:rsid w:val="00E42B27"/>
    <w:rsid w:val="00E42B82"/>
    <w:rsid w:val="00E42B8F"/>
    <w:rsid w:val="00E4311C"/>
    <w:rsid w:val="00E433FD"/>
    <w:rsid w:val="00E438A5"/>
    <w:rsid w:val="00E439A2"/>
    <w:rsid w:val="00E43C52"/>
    <w:rsid w:val="00E43CCB"/>
    <w:rsid w:val="00E43EF5"/>
    <w:rsid w:val="00E44A68"/>
    <w:rsid w:val="00E44BCC"/>
    <w:rsid w:val="00E44F2E"/>
    <w:rsid w:val="00E452ED"/>
    <w:rsid w:val="00E454B3"/>
    <w:rsid w:val="00E455BC"/>
    <w:rsid w:val="00E45801"/>
    <w:rsid w:val="00E45C09"/>
    <w:rsid w:val="00E45C0B"/>
    <w:rsid w:val="00E45D6A"/>
    <w:rsid w:val="00E45E42"/>
    <w:rsid w:val="00E45E59"/>
    <w:rsid w:val="00E45E6C"/>
    <w:rsid w:val="00E45F14"/>
    <w:rsid w:val="00E463D2"/>
    <w:rsid w:val="00E46CAB"/>
    <w:rsid w:val="00E47181"/>
    <w:rsid w:val="00E47420"/>
    <w:rsid w:val="00E47737"/>
    <w:rsid w:val="00E47864"/>
    <w:rsid w:val="00E479F6"/>
    <w:rsid w:val="00E47DB8"/>
    <w:rsid w:val="00E50549"/>
    <w:rsid w:val="00E50ED7"/>
    <w:rsid w:val="00E517B9"/>
    <w:rsid w:val="00E51991"/>
    <w:rsid w:val="00E51D22"/>
    <w:rsid w:val="00E5215E"/>
    <w:rsid w:val="00E523FA"/>
    <w:rsid w:val="00E5295E"/>
    <w:rsid w:val="00E52DC1"/>
    <w:rsid w:val="00E535E9"/>
    <w:rsid w:val="00E539A6"/>
    <w:rsid w:val="00E53A40"/>
    <w:rsid w:val="00E53A4E"/>
    <w:rsid w:val="00E53A5D"/>
    <w:rsid w:val="00E53EB9"/>
    <w:rsid w:val="00E53FF2"/>
    <w:rsid w:val="00E54381"/>
    <w:rsid w:val="00E54717"/>
    <w:rsid w:val="00E54A9E"/>
    <w:rsid w:val="00E54C85"/>
    <w:rsid w:val="00E54F1C"/>
    <w:rsid w:val="00E55415"/>
    <w:rsid w:val="00E55447"/>
    <w:rsid w:val="00E55B4C"/>
    <w:rsid w:val="00E56A86"/>
    <w:rsid w:val="00E56D19"/>
    <w:rsid w:val="00E5710B"/>
    <w:rsid w:val="00E57123"/>
    <w:rsid w:val="00E5727F"/>
    <w:rsid w:val="00E57825"/>
    <w:rsid w:val="00E5791B"/>
    <w:rsid w:val="00E60416"/>
    <w:rsid w:val="00E605D1"/>
    <w:rsid w:val="00E60745"/>
    <w:rsid w:val="00E60FD6"/>
    <w:rsid w:val="00E612CB"/>
    <w:rsid w:val="00E6138C"/>
    <w:rsid w:val="00E618AB"/>
    <w:rsid w:val="00E61A18"/>
    <w:rsid w:val="00E61C82"/>
    <w:rsid w:val="00E61EF9"/>
    <w:rsid w:val="00E61F63"/>
    <w:rsid w:val="00E61FCC"/>
    <w:rsid w:val="00E62315"/>
    <w:rsid w:val="00E626ED"/>
    <w:rsid w:val="00E6296A"/>
    <w:rsid w:val="00E62A5B"/>
    <w:rsid w:val="00E62AD3"/>
    <w:rsid w:val="00E6328A"/>
    <w:rsid w:val="00E63A12"/>
    <w:rsid w:val="00E63A47"/>
    <w:rsid w:val="00E63B16"/>
    <w:rsid w:val="00E63BCE"/>
    <w:rsid w:val="00E63CD4"/>
    <w:rsid w:val="00E63F67"/>
    <w:rsid w:val="00E63FC6"/>
    <w:rsid w:val="00E6406B"/>
    <w:rsid w:val="00E642D6"/>
    <w:rsid w:val="00E642EE"/>
    <w:rsid w:val="00E6452C"/>
    <w:rsid w:val="00E64BAE"/>
    <w:rsid w:val="00E64C4E"/>
    <w:rsid w:val="00E6509C"/>
    <w:rsid w:val="00E6597A"/>
    <w:rsid w:val="00E65F0D"/>
    <w:rsid w:val="00E66A92"/>
    <w:rsid w:val="00E66AF3"/>
    <w:rsid w:val="00E66BC2"/>
    <w:rsid w:val="00E67079"/>
    <w:rsid w:val="00E6714C"/>
    <w:rsid w:val="00E67398"/>
    <w:rsid w:val="00E6778E"/>
    <w:rsid w:val="00E67859"/>
    <w:rsid w:val="00E67B2B"/>
    <w:rsid w:val="00E67CC6"/>
    <w:rsid w:val="00E70101"/>
    <w:rsid w:val="00E70775"/>
    <w:rsid w:val="00E70832"/>
    <w:rsid w:val="00E71104"/>
    <w:rsid w:val="00E718D7"/>
    <w:rsid w:val="00E71994"/>
    <w:rsid w:val="00E71AC1"/>
    <w:rsid w:val="00E71E34"/>
    <w:rsid w:val="00E721C4"/>
    <w:rsid w:val="00E7237F"/>
    <w:rsid w:val="00E725BA"/>
    <w:rsid w:val="00E72993"/>
    <w:rsid w:val="00E72B99"/>
    <w:rsid w:val="00E72BE0"/>
    <w:rsid w:val="00E72C4F"/>
    <w:rsid w:val="00E73777"/>
    <w:rsid w:val="00E73B9C"/>
    <w:rsid w:val="00E73C54"/>
    <w:rsid w:val="00E73DF3"/>
    <w:rsid w:val="00E74171"/>
    <w:rsid w:val="00E743E0"/>
    <w:rsid w:val="00E746BD"/>
    <w:rsid w:val="00E74B3E"/>
    <w:rsid w:val="00E74ED7"/>
    <w:rsid w:val="00E75044"/>
    <w:rsid w:val="00E750B3"/>
    <w:rsid w:val="00E7533C"/>
    <w:rsid w:val="00E756B7"/>
    <w:rsid w:val="00E75904"/>
    <w:rsid w:val="00E75C8E"/>
    <w:rsid w:val="00E75CE9"/>
    <w:rsid w:val="00E7600C"/>
    <w:rsid w:val="00E76050"/>
    <w:rsid w:val="00E76306"/>
    <w:rsid w:val="00E76638"/>
    <w:rsid w:val="00E7671A"/>
    <w:rsid w:val="00E7687E"/>
    <w:rsid w:val="00E76C39"/>
    <w:rsid w:val="00E77083"/>
    <w:rsid w:val="00E77250"/>
    <w:rsid w:val="00E77518"/>
    <w:rsid w:val="00E77827"/>
    <w:rsid w:val="00E778FA"/>
    <w:rsid w:val="00E77D08"/>
    <w:rsid w:val="00E80042"/>
    <w:rsid w:val="00E800F4"/>
    <w:rsid w:val="00E80328"/>
    <w:rsid w:val="00E803DF"/>
    <w:rsid w:val="00E807AF"/>
    <w:rsid w:val="00E80EA4"/>
    <w:rsid w:val="00E80F71"/>
    <w:rsid w:val="00E810FC"/>
    <w:rsid w:val="00E81711"/>
    <w:rsid w:val="00E8181C"/>
    <w:rsid w:val="00E818CE"/>
    <w:rsid w:val="00E81C32"/>
    <w:rsid w:val="00E81D31"/>
    <w:rsid w:val="00E81E90"/>
    <w:rsid w:val="00E822D5"/>
    <w:rsid w:val="00E8259D"/>
    <w:rsid w:val="00E826E3"/>
    <w:rsid w:val="00E8282A"/>
    <w:rsid w:val="00E82FAA"/>
    <w:rsid w:val="00E82FEE"/>
    <w:rsid w:val="00E830EE"/>
    <w:rsid w:val="00E83B31"/>
    <w:rsid w:val="00E83CA4"/>
    <w:rsid w:val="00E83E35"/>
    <w:rsid w:val="00E83FAA"/>
    <w:rsid w:val="00E84213"/>
    <w:rsid w:val="00E8459A"/>
    <w:rsid w:val="00E846EA"/>
    <w:rsid w:val="00E8494F"/>
    <w:rsid w:val="00E84C61"/>
    <w:rsid w:val="00E84E96"/>
    <w:rsid w:val="00E84EE8"/>
    <w:rsid w:val="00E854C1"/>
    <w:rsid w:val="00E855F4"/>
    <w:rsid w:val="00E858A7"/>
    <w:rsid w:val="00E8592C"/>
    <w:rsid w:val="00E85B35"/>
    <w:rsid w:val="00E860A1"/>
    <w:rsid w:val="00E86149"/>
    <w:rsid w:val="00E8626C"/>
    <w:rsid w:val="00E86282"/>
    <w:rsid w:val="00E86951"/>
    <w:rsid w:val="00E86A98"/>
    <w:rsid w:val="00E86C5A"/>
    <w:rsid w:val="00E87D64"/>
    <w:rsid w:val="00E87DD5"/>
    <w:rsid w:val="00E90230"/>
    <w:rsid w:val="00E90A27"/>
    <w:rsid w:val="00E90B51"/>
    <w:rsid w:val="00E9106F"/>
    <w:rsid w:val="00E91451"/>
    <w:rsid w:val="00E9188B"/>
    <w:rsid w:val="00E91A50"/>
    <w:rsid w:val="00E91BCE"/>
    <w:rsid w:val="00E91DD2"/>
    <w:rsid w:val="00E92076"/>
    <w:rsid w:val="00E920CD"/>
    <w:rsid w:val="00E925FA"/>
    <w:rsid w:val="00E927C9"/>
    <w:rsid w:val="00E9291F"/>
    <w:rsid w:val="00E92DB6"/>
    <w:rsid w:val="00E92E72"/>
    <w:rsid w:val="00E92ECE"/>
    <w:rsid w:val="00E931A9"/>
    <w:rsid w:val="00E936FA"/>
    <w:rsid w:val="00E93708"/>
    <w:rsid w:val="00E93AC9"/>
    <w:rsid w:val="00E93E61"/>
    <w:rsid w:val="00E93FB9"/>
    <w:rsid w:val="00E940EE"/>
    <w:rsid w:val="00E94790"/>
    <w:rsid w:val="00E94933"/>
    <w:rsid w:val="00E94C17"/>
    <w:rsid w:val="00E94D45"/>
    <w:rsid w:val="00E94F49"/>
    <w:rsid w:val="00E94F4E"/>
    <w:rsid w:val="00E9502A"/>
    <w:rsid w:val="00E950E4"/>
    <w:rsid w:val="00E955A3"/>
    <w:rsid w:val="00E955EE"/>
    <w:rsid w:val="00E9587A"/>
    <w:rsid w:val="00E962F6"/>
    <w:rsid w:val="00E9632F"/>
    <w:rsid w:val="00E96338"/>
    <w:rsid w:val="00E96470"/>
    <w:rsid w:val="00E965ED"/>
    <w:rsid w:val="00E9666D"/>
    <w:rsid w:val="00E96690"/>
    <w:rsid w:val="00E966AA"/>
    <w:rsid w:val="00E966DE"/>
    <w:rsid w:val="00E96C5C"/>
    <w:rsid w:val="00E96E51"/>
    <w:rsid w:val="00E96E5E"/>
    <w:rsid w:val="00E96E87"/>
    <w:rsid w:val="00E97297"/>
    <w:rsid w:val="00E974D9"/>
    <w:rsid w:val="00E97589"/>
    <w:rsid w:val="00E9780F"/>
    <w:rsid w:val="00E979A9"/>
    <w:rsid w:val="00E97A39"/>
    <w:rsid w:val="00E97A79"/>
    <w:rsid w:val="00EA0800"/>
    <w:rsid w:val="00EA0E36"/>
    <w:rsid w:val="00EA0E53"/>
    <w:rsid w:val="00EA114E"/>
    <w:rsid w:val="00EA121A"/>
    <w:rsid w:val="00EA124C"/>
    <w:rsid w:val="00EA17A7"/>
    <w:rsid w:val="00EA1C6D"/>
    <w:rsid w:val="00EA1FEC"/>
    <w:rsid w:val="00EA223A"/>
    <w:rsid w:val="00EA22B5"/>
    <w:rsid w:val="00EA244A"/>
    <w:rsid w:val="00EA2542"/>
    <w:rsid w:val="00EA25D3"/>
    <w:rsid w:val="00EA262D"/>
    <w:rsid w:val="00EA2756"/>
    <w:rsid w:val="00EA2C11"/>
    <w:rsid w:val="00EA2D13"/>
    <w:rsid w:val="00EA2DF1"/>
    <w:rsid w:val="00EA2F61"/>
    <w:rsid w:val="00EA30F6"/>
    <w:rsid w:val="00EA3748"/>
    <w:rsid w:val="00EA39C7"/>
    <w:rsid w:val="00EA3B76"/>
    <w:rsid w:val="00EA3B86"/>
    <w:rsid w:val="00EA3D0A"/>
    <w:rsid w:val="00EA3D6A"/>
    <w:rsid w:val="00EA42C3"/>
    <w:rsid w:val="00EA4D97"/>
    <w:rsid w:val="00EA50A9"/>
    <w:rsid w:val="00EA58DA"/>
    <w:rsid w:val="00EA5CF7"/>
    <w:rsid w:val="00EA5E04"/>
    <w:rsid w:val="00EA646E"/>
    <w:rsid w:val="00EA6C1A"/>
    <w:rsid w:val="00EA6FC8"/>
    <w:rsid w:val="00EA7295"/>
    <w:rsid w:val="00EA739F"/>
    <w:rsid w:val="00EA7990"/>
    <w:rsid w:val="00EA7BE6"/>
    <w:rsid w:val="00EA7FF7"/>
    <w:rsid w:val="00EB00E2"/>
    <w:rsid w:val="00EB0134"/>
    <w:rsid w:val="00EB0DD2"/>
    <w:rsid w:val="00EB107A"/>
    <w:rsid w:val="00EB1650"/>
    <w:rsid w:val="00EB1704"/>
    <w:rsid w:val="00EB2755"/>
    <w:rsid w:val="00EB290C"/>
    <w:rsid w:val="00EB2BDB"/>
    <w:rsid w:val="00EB2F9B"/>
    <w:rsid w:val="00EB3045"/>
    <w:rsid w:val="00EB32EB"/>
    <w:rsid w:val="00EB352F"/>
    <w:rsid w:val="00EB3906"/>
    <w:rsid w:val="00EB3C03"/>
    <w:rsid w:val="00EB3E25"/>
    <w:rsid w:val="00EB4093"/>
    <w:rsid w:val="00EB44A8"/>
    <w:rsid w:val="00EB44E4"/>
    <w:rsid w:val="00EB45A1"/>
    <w:rsid w:val="00EB47CA"/>
    <w:rsid w:val="00EB4877"/>
    <w:rsid w:val="00EB5052"/>
    <w:rsid w:val="00EB5681"/>
    <w:rsid w:val="00EB5CF8"/>
    <w:rsid w:val="00EB5EFD"/>
    <w:rsid w:val="00EB5F66"/>
    <w:rsid w:val="00EB6459"/>
    <w:rsid w:val="00EB66FD"/>
    <w:rsid w:val="00EB6701"/>
    <w:rsid w:val="00EB6831"/>
    <w:rsid w:val="00EB6FA5"/>
    <w:rsid w:val="00EB754B"/>
    <w:rsid w:val="00EB7728"/>
    <w:rsid w:val="00EB786F"/>
    <w:rsid w:val="00EB7C54"/>
    <w:rsid w:val="00EB7D70"/>
    <w:rsid w:val="00EB7ECF"/>
    <w:rsid w:val="00EC0AF6"/>
    <w:rsid w:val="00EC10E7"/>
    <w:rsid w:val="00EC11ED"/>
    <w:rsid w:val="00EC14D9"/>
    <w:rsid w:val="00EC16C8"/>
    <w:rsid w:val="00EC17DC"/>
    <w:rsid w:val="00EC183C"/>
    <w:rsid w:val="00EC18F5"/>
    <w:rsid w:val="00EC233E"/>
    <w:rsid w:val="00EC26B0"/>
    <w:rsid w:val="00EC29B8"/>
    <w:rsid w:val="00EC2AE8"/>
    <w:rsid w:val="00EC2C45"/>
    <w:rsid w:val="00EC2D81"/>
    <w:rsid w:val="00EC2FFD"/>
    <w:rsid w:val="00EC333E"/>
    <w:rsid w:val="00EC3579"/>
    <w:rsid w:val="00EC37A6"/>
    <w:rsid w:val="00EC38A3"/>
    <w:rsid w:val="00EC3D10"/>
    <w:rsid w:val="00EC3E09"/>
    <w:rsid w:val="00EC4B19"/>
    <w:rsid w:val="00EC4C66"/>
    <w:rsid w:val="00EC4CC9"/>
    <w:rsid w:val="00EC5999"/>
    <w:rsid w:val="00EC5BC7"/>
    <w:rsid w:val="00EC659D"/>
    <w:rsid w:val="00EC67A2"/>
    <w:rsid w:val="00EC67F6"/>
    <w:rsid w:val="00EC6BF0"/>
    <w:rsid w:val="00EC7144"/>
    <w:rsid w:val="00EC77D5"/>
    <w:rsid w:val="00EC793A"/>
    <w:rsid w:val="00EC7985"/>
    <w:rsid w:val="00EC7BF1"/>
    <w:rsid w:val="00EC7E59"/>
    <w:rsid w:val="00EC7F96"/>
    <w:rsid w:val="00ED0665"/>
    <w:rsid w:val="00ED06ED"/>
    <w:rsid w:val="00ED0829"/>
    <w:rsid w:val="00ED0A71"/>
    <w:rsid w:val="00ED0C45"/>
    <w:rsid w:val="00ED0D2E"/>
    <w:rsid w:val="00ED11A4"/>
    <w:rsid w:val="00ED1608"/>
    <w:rsid w:val="00ED1702"/>
    <w:rsid w:val="00ED182F"/>
    <w:rsid w:val="00ED198D"/>
    <w:rsid w:val="00ED1EC4"/>
    <w:rsid w:val="00ED1F2B"/>
    <w:rsid w:val="00ED204D"/>
    <w:rsid w:val="00ED222A"/>
    <w:rsid w:val="00ED25E0"/>
    <w:rsid w:val="00ED25F5"/>
    <w:rsid w:val="00ED26AB"/>
    <w:rsid w:val="00ED2A68"/>
    <w:rsid w:val="00ED2C90"/>
    <w:rsid w:val="00ED2EE5"/>
    <w:rsid w:val="00ED2F07"/>
    <w:rsid w:val="00ED31B4"/>
    <w:rsid w:val="00ED3317"/>
    <w:rsid w:val="00ED3534"/>
    <w:rsid w:val="00ED3704"/>
    <w:rsid w:val="00ED37AF"/>
    <w:rsid w:val="00ED39EB"/>
    <w:rsid w:val="00ED43B7"/>
    <w:rsid w:val="00ED45F5"/>
    <w:rsid w:val="00ED4858"/>
    <w:rsid w:val="00ED48E0"/>
    <w:rsid w:val="00ED490C"/>
    <w:rsid w:val="00ED4B8F"/>
    <w:rsid w:val="00ED4BD0"/>
    <w:rsid w:val="00ED4C23"/>
    <w:rsid w:val="00ED4C4B"/>
    <w:rsid w:val="00ED4E4B"/>
    <w:rsid w:val="00ED4E77"/>
    <w:rsid w:val="00ED52B0"/>
    <w:rsid w:val="00ED563F"/>
    <w:rsid w:val="00ED5A9B"/>
    <w:rsid w:val="00ED6048"/>
    <w:rsid w:val="00ED634A"/>
    <w:rsid w:val="00ED64D1"/>
    <w:rsid w:val="00ED6597"/>
    <w:rsid w:val="00ED6C36"/>
    <w:rsid w:val="00ED6DBA"/>
    <w:rsid w:val="00ED6E95"/>
    <w:rsid w:val="00ED700C"/>
    <w:rsid w:val="00ED72CE"/>
    <w:rsid w:val="00ED7592"/>
    <w:rsid w:val="00ED76B4"/>
    <w:rsid w:val="00ED770F"/>
    <w:rsid w:val="00ED78D4"/>
    <w:rsid w:val="00ED7B4D"/>
    <w:rsid w:val="00EE045D"/>
    <w:rsid w:val="00EE0775"/>
    <w:rsid w:val="00EE0BBF"/>
    <w:rsid w:val="00EE0C1B"/>
    <w:rsid w:val="00EE1518"/>
    <w:rsid w:val="00EE155E"/>
    <w:rsid w:val="00EE1633"/>
    <w:rsid w:val="00EE178A"/>
    <w:rsid w:val="00EE1841"/>
    <w:rsid w:val="00EE1D53"/>
    <w:rsid w:val="00EE1FD0"/>
    <w:rsid w:val="00EE204B"/>
    <w:rsid w:val="00EE2246"/>
    <w:rsid w:val="00EE2596"/>
    <w:rsid w:val="00EE263B"/>
    <w:rsid w:val="00EE29B9"/>
    <w:rsid w:val="00EE2AB8"/>
    <w:rsid w:val="00EE2BFC"/>
    <w:rsid w:val="00EE2DA5"/>
    <w:rsid w:val="00EE2E4A"/>
    <w:rsid w:val="00EE32A3"/>
    <w:rsid w:val="00EE352E"/>
    <w:rsid w:val="00EE398B"/>
    <w:rsid w:val="00EE4494"/>
    <w:rsid w:val="00EE45D8"/>
    <w:rsid w:val="00EE4A37"/>
    <w:rsid w:val="00EE4AA0"/>
    <w:rsid w:val="00EE4ED0"/>
    <w:rsid w:val="00EE5123"/>
    <w:rsid w:val="00EE55FE"/>
    <w:rsid w:val="00EE5673"/>
    <w:rsid w:val="00EE5A5D"/>
    <w:rsid w:val="00EE5D60"/>
    <w:rsid w:val="00EE5F9B"/>
    <w:rsid w:val="00EE603F"/>
    <w:rsid w:val="00EE63DE"/>
    <w:rsid w:val="00EE643E"/>
    <w:rsid w:val="00EE64BD"/>
    <w:rsid w:val="00EE67CC"/>
    <w:rsid w:val="00EE67ED"/>
    <w:rsid w:val="00EE6885"/>
    <w:rsid w:val="00EE6918"/>
    <w:rsid w:val="00EE7056"/>
    <w:rsid w:val="00EE734E"/>
    <w:rsid w:val="00EE7568"/>
    <w:rsid w:val="00EE7CE8"/>
    <w:rsid w:val="00EE7E4D"/>
    <w:rsid w:val="00EF0225"/>
    <w:rsid w:val="00EF030F"/>
    <w:rsid w:val="00EF04F2"/>
    <w:rsid w:val="00EF0545"/>
    <w:rsid w:val="00EF084F"/>
    <w:rsid w:val="00EF0881"/>
    <w:rsid w:val="00EF0912"/>
    <w:rsid w:val="00EF0932"/>
    <w:rsid w:val="00EF0A7A"/>
    <w:rsid w:val="00EF0C15"/>
    <w:rsid w:val="00EF0D40"/>
    <w:rsid w:val="00EF0F80"/>
    <w:rsid w:val="00EF14FD"/>
    <w:rsid w:val="00EF179F"/>
    <w:rsid w:val="00EF1941"/>
    <w:rsid w:val="00EF1A30"/>
    <w:rsid w:val="00EF1AB3"/>
    <w:rsid w:val="00EF1AD7"/>
    <w:rsid w:val="00EF1C8C"/>
    <w:rsid w:val="00EF1D2F"/>
    <w:rsid w:val="00EF1F42"/>
    <w:rsid w:val="00EF26A2"/>
    <w:rsid w:val="00EF26D7"/>
    <w:rsid w:val="00EF2748"/>
    <w:rsid w:val="00EF296D"/>
    <w:rsid w:val="00EF2983"/>
    <w:rsid w:val="00EF2E1C"/>
    <w:rsid w:val="00EF2E69"/>
    <w:rsid w:val="00EF310C"/>
    <w:rsid w:val="00EF35FF"/>
    <w:rsid w:val="00EF3676"/>
    <w:rsid w:val="00EF3683"/>
    <w:rsid w:val="00EF375A"/>
    <w:rsid w:val="00EF39FF"/>
    <w:rsid w:val="00EF3A1F"/>
    <w:rsid w:val="00EF3A54"/>
    <w:rsid w:val="00EF3BC3"/>
    <w:rsid w:val="00EF3D41"/>
    <w:rsid w:val="00EF3E1B"/>
    <w:rsid w:val="00EF411D"/>
    <w:rsid w:val="00EF4173"/>
    <w:rsid w:val="00EF4420"/>
    <w:rsid w:val="00EF48EB"/>
    <w:rsid w:val="00EF4950"/>
    <w:rsid w:val="00EF498B"/>
    <w:rsid w:val="00EF4A48"/>
    <w:rsid w:val="00EF4A72"/>
    <w:rsid w:val="00EF57CB"/>
    <w:rsid w:val="00EF5CCF"/>
    <w:rsid w:val="00EF5F4F"/>
    <w:rsid w:val="00EF5FEA"/>
    <w:rsid w:val="00EF623D"/>
    <w:rsid w:val="00EF6429"/>
    <w:rsid w:val="00EF680E"/>
    <w:rsid w:val="00EF684B"/>
    <w:rsid w:val="00EF687B"/>
    <w:rsid w:val="00EF6A67"/>
    <w:rsid w:val="00EF6AC9"/>
    <w:rsid w:val="00EF6C84"/>
    <w:rsid w:val="00EF6DD5"/>
    <w:rsid w:val="00EF6E31"/>
    <w:rsid w:val="00EF7172"/>
    <w:rsid w:val="00EF72C1"/>
    <w:rsid w:val="00EF7883"/>
    <w:rsid w:val="00EF7934"/>
    <w:rsid w:val="00EF7B47"/>
    <w:rsid w:val="00EF7DB4"/>
    <w:rsid w:val="00EF7DD1"/>
    <w:rsid w:val="00F0074D"/>
    <w:rsid w:val="00F00815"/>
    <w:rsid w:val="00F00827"/>
    <w:rsid w:val="00F00CB2"/>
    <w:rsid w:val="00F01682"/>
    <w:rsid w:val="00F018F9"/>
    <w:rsid w:val="00F01D3D"/>
    <w:rsid w:val="00F01E89"/>
    <w:rsid w:val="00F02071"/>
    <w:rsid w:val="00F020C5"/>
    <w:rsid w:val="00F02239"/>
    <w:rsid w:val="00F022C2"/>
    <w:rsid w:val="00F02331"/>
    <w:rsid w:val="00F027DA"/>
    <w:rsid w:val="00F02B27"/>
    <w:rsid w:val="00F0319A"/>
    <w:rsid w:val="00F0343E"/>
    <w:rsid w:val="00F0361F"/>
    <w:rsid w:val="00F038C1"/>
    <w:rsid w:val="00F03C02"/>
    <w:rsid w:val="00F03C72"/>
    <w:rsid w:val="00F0410F"/>
    <w:rsid w:val="00F0422B"/>
    <w:rsid w:val="00F042FC"/>
    <w:rsid w:val="00F04597"/>
    <w:rsid w:val="00F047C5"/>
    <w:rsid w:val="00F0514A"/>
    <w:rsid w:val="00F054AD"/>
    <w:rsid w:val="00F0677E"/>
    <w:rsid w:val="00F06D8F"/>
    <w:rsid w:val="00F06F35"/>
    <w:rsid w:val="00F07034"/>
    <w:rsid w:val="00F0704C"/>
    <w:rsid w:val="00F07309"/>
    <w:rsid w:val="00F074AE"/>
    <w:rsid w:val="00F07C98"/>
    <w:rsid w:val="00F10041"/>
    <w:rsid w:val="00F100BD"/>
    <w:rsid w:val="00F1138C"/>
    <w:rsid w:val="00F11582"/>
    <w:rsid w:val="00F116DC"/>
    <w:rsid w:val="00F1186C"/>
    <w:rsid w:val="00F11C19"/>
    <w:rsid w:val="00F11D87"/>
    <w:rsid w:val="00F11DA6"/>
    <w:rsid w:val="00F1206A"/>
    <w:rsid w:val="00F12078"/>
    <w:rsid w:val="00F1280C"/>
    <w:rsid w:val="00F12A38"/>
    <w:rsid w:val="00F12AF0"/>
    <w:rsid w:val="00F12B7C"/>
    <w:rsid w:val="00F12E1E"/>
    <w:rsid w:val="00F12F2B"/>
    <w:rsid w:val="00F13157"/>
    <w:rsid w:val="00F1396D"/>
    <w:rsid w:val="00F1427A"/>
    <w:rsid w:val="00F143F8"/>
    <w:rsid w:val="00F144DD"/>
    <w:rsid w:val="00F1471E"/>
    <w:rsid w:val="00F14AD3"/>
    <w:rsid w:val="00F14C5C"/>
    <w:rsid w:val="00F152BF"/>
    <w:rsid w:val="00F152E0"/>
    <w:rsid w:val="00F1541D"/>
    <w:rsid w:val="00F15662"/>
    <w:rsid w:val="00F157BF"/>
    <w:rsid w:val="00F157F4"/>
    <w:rsid w:val="00F15ABD"/>
    <w:rsid w:val="00F15C23"/>
    <w:rsid w:val="00F15C48"/>
    <w:rsid w:val="00F15C7B"/>
    <w:rsid w:val="00F15C85"/>
    <w:rsid w:val="00F16277"/>
    <w:rsid w:val="00F16361"/>
    <w:rsid w:val="00F163A3"/>
    <w:rsid w:val="00F163C8"/>
    <w:rsid w:val="00F165AC"/>
    <w:rsid w:val="00F168BB"/>
    <w:rsid w:val="00F16D34"/>
    <w:rsid w:val="00F171CC"/>
    <w:rsid w:val="00F1780F"/>
    <w:rsid w:val="00F1798C"/>
    <w:rsid w:val="00F17F9C"/>
    <w:rsid w:val="00F20C7D"/>
    <w:rsid w:val="00F20E27"/>
    <w:rsid w:val="00F213F5"/>
    <w:rsid w:val="00F21704"/>
    <w:rsid w:val="00F21A66"/>
    <w:rsid w:val="00F21B7B"/>
    <w:rsid w:val="00F21D1D"/>
    <w:rsid w:val="00F22389"/>
    <w:rsid w:val="00F22E60"/>
    <w:rsid w:val="00F22F62"/>
    <w:rsid w:val="00F23106"/>
    <w:rsid w:val="00F23599"/>
    <w:rsid w:val="00F23820"/>
    <w:rsid w:val="00F23BFA"/>
    <w:rsid w:val="00F2409E"/>
    <w:rsid w:val="00F24506"/>
    <w:rsid w:val="00F247F2"/>
    <w:rsid w:val="00F24FF8"/>
    <w:rsid w:val="00F25597"/>
    <w:rsid w:val="00F255A4"/>
    <w:rsid w:val="00F256B1"/>
    <w:rsid w:val="00F258BC"/>
    <w:rsid w:val="00F258C1"/>
    <w:rsid w:val="00F26138"/>
    <w:rsid w:val="00F26611"/>
    <w:rsid w:val="00F26687"/>
    <w:rsid w:val="00F26CE5"/>
    <w:rsid w:val="00F26ED0"/>
    <w:rsid w:val="00F26F43"/>
    <w:rsid w:val="00F27142"/>
    <w:rsid w:val="00F27169"/>
    <w:rsid w:val="00F277B3"/>
    <w:rsid w:val="00F27AC4"/>
    <w:rsid w:val="00F27B2F"/>
    <w:rsid w:val="00F27C7F"/>
    <w:rsid w:val="00F305A0"/>
    <w:rsid w:val="00F3067A"/>
    <w:rsid w:val="00F30A6B"/>
    <w:rsid w:val="00F30F52"/>
    <w:rsid w:val="00F317CB"/>
    <w:rsid w:val="00F31862"/>
    <w:rsid w:val="00F31BE6"/>
    <w:rsid w:val="00F31C33"/>
    <w:rsid w:val="00F31E67"/>
    <w:rsid w:val="00F31F18"/>
    <w:rsid w:val="00F321AC"/>
    <w:rsid w:val="00F3236E"/>
    <w:rsid w:val="00F323A7"/>
    <w:rsid w:val="00F325E1"/>
    <w:rsid w:val="00F32823"/>
    <w:rsid w:val="00F32CAB"/>
    <w:rsid w:val="00F32D80"/>
    <w:rsid w:val="00F32E17"/>
    <w:rsid w:val="00F33028"/>
    <w:rsid w:val="00F33056"/>
    <w:rsid w:val="00F33234"/>
    <w:rsid w:val="00F33303"/>
    <w:rsid w:val="00F3338E"/>
    <w:rsid w:val="00F33590"/>
    <w:rsid w:val="00F337BC"/>
    <w:rsid w:val="00F3383F"/>
    <w:rsid w:val="00F33C4A"/>
    <w:rsid w:val="00F340A6"/>
    <w:rsid w:val="00F346FA"/>
    <w:rsid w:val="00F34A23"/>
    <w:rsid w:val="00F34B0E"/>
    <w:rsid w:val="00F34D11"/>
    <w:rsid w:val="00F35462"/>
    <w:rsid w:val="00F35711"/>
    <w:rsid w:val="00F35846"/>
    <w:rsid w:val="00F35897"/>
    <w:rsid w:val="00F35EA1"/>
    <w:rsid w:val="00F360F3"/>
    <w:rsid w:val="00F361DB"/>
    <w:rsid w:val="00F36293"/>
    <w:rsid w:val="00F36328"/>
    <w:rsid w:val="00F367E9"/>
    <w:rsid w:val="00F368D6"/>
    <w:rsid w:val="00F36961"/>
    <w:rsid w:val="00F369F8"/>
    <w:rsid w:val="00F36B29"/>
    <w:rsid w:val="00F3710E"/>
    <w:rsid w:val="00F37353"/>
    <w:rsid w:val="00F373C1"/>
    <w:rsid w:val="00F3780B"/>
    <w:rsid w:val="00F379B9"/>
    <w:rsid w:val="00F37DA9"/>
    <w:rsid w:val="00F37F69"/>
    <w:rsid w:val="00F40103"/>
    <w:rsid w:val="00F4037E"/>
    <w:rsid w:val="00F40477"/>
    <w:rsid w:val="00F408A3"/>
    <w:rsid w:val="00F40A1C"/>
    <w:rsid w:val="00F40C51"/>
    <w:rsid w:val="00F40F64"/>
    <w:rsid w:val="00F41010"/>
    <w:rsid w:val="00F41352"/>
    <w:rsid w:val="00F4149B"/>
    <w:rsid w:val="00F41BC2"/>
    <w:rsid w:val="00F41C0A"/>
    <w:rsid w:val="00F41C47"/>
    <w:rsid w:val="00F41F2D"/>
    <w:rsid w:val="00F4218E"/>
    <w:rsid w:val="00F422D1"/>
    <w:rsid w:val="00F42712"/>
    <w:rsid w:val="00F42B65"/>
    <w:rsid w:val="00F42C37"/>
    <w:rsid w:val="00F42C9E"/>
    <w:rsid w:val="00F433C4"/>
    <w:rsid w:val="00F43559"/>
    <w:rsid w:val="00F43A20"/>
    <w:rsid w:val="00F43CCF"/>
    <w:rsid w:val="00F43DBD"/>
    <w:rsid w:val="00F43EF0"/>
    <w:rsid w:val="00F442C9"/>
    <w:rsid w:val="00F44306"/>
    <w:rsid w:val="00F44A1D"/>
    <w:rsid w:val="00F44BD6"/>
    <w:rsid w:val="00F44C8C"/>
    <w:rsid w:val="00F44CB2"/>
    <w:rsid w:val="00F44CFC"/>
    <w:rsid w:val="00F44D83"/>
    <w:rsid w:val="00F44DF6"/>
    <w:rsid w:val="00F45088"/>
    <w:rsid w:val="00F454F1"/>
    <w:rsid w:val="00F45AD2"/>
    <w:rsid w:val="00F45EF9"/>
    <w:rsid w:val="00F461BB"/>
    <w:rsid w:val="00F46249"/>
    <w:rsid w:val="00F46408"/>
    <w:rsid w:val="00F466D4"/>
    <w:rsid w:val="00F46AA1"/>
    <w:rsid w:val="00F4739C"/>
    <w:rsid w:val="00F47517"/>
    <w:rsid w:val="00F4770C"/>
    <w:rsid w:val="00F47C2F"/>
    <w:rsid w:val="00F47E0C"/>
    <w:rsid w:val="00F50018"/>
    <w:rsid w:val="00F505D5"/>
    <w:rsid w:val="00F50769"/>
    <w:rsid w:val="00F50D2B"/>
    <w:rsid w:val="00F51923"/>
    <w:rsid w:val="00F51938"/>
    <w:rsid w:val="00F51C0C"/>
    <w:rsid w:val="00F51FF3"/>
    <w:rsid w:val="00F52189"/>
    <w:rsid w:val="00F521A3"/>
    <w:rsid w:val="00F5229D"/>
    <w:rsid w:val="00F52330"/>
    <w:rsid w:val="00F523BC"/>
    <w:rsid w:val="00F52A12"/>
    <w:rsid w:val="00F52B9B"/>
    <w:rsid w:val="00F52C06"/>
    <w:rsid w:val="00F530E2"/>
    <w:rsid w:val="00F53147"/>
    <w:rsid w:val="00F53175"/>
    <w:rsid w:val="00F53344"/>
    <w:rsid w:val="00F5375B"/>
    <w:rsid w:val="00F53B46"/>
    <w:rsid w:val="00F53CAF"/>
    <w:rsid w:val="00F541A5"/>
    <w:rsid w:val="00F541C0"/>
    <w:rsid w:val="00F542DC"/>
    <w:rsid w:val="00F549CB"/>
    <w:rsid w:val="00F54D9B"/>
    <w:rsid w:val="00F550A3"/>
    <w:rsid w:val="00F55485"/>
    <w:rsid w:val="00F5552C"/>
    <w:rsid w:val="00F55AA5"/>
    <w:rsid w:val="00F55B03"/>
    <w:rsid w:val="00F55BEB"/>
    <w:rsid w:val="00F56151"/>
    <w:rsid w:val="00F5637D"/>
    <w:rsid w:val="00F56521"/>
    <w:rsid w:val="00F5697A"/>
    <w:rsid w:val="00F570CF"/>
    <w:rsid w:val="00F576A5"/>
    <w:rsid w:val="00F57988"/>
    <w:rsid w:val="00F57CC3"/>
    <w:rsid w:val="00F57F65"/>
    <w:rsid w:val="00F60195"/>
    <w:rsid w:val="00F601C5"/>
    <w:rsid w:val="00F604CE"/>
    <w:rsid w:val="00F607EB"/>
    <w:rsid w:val="00F60921"/>
    <w:rsid w:val="00F6099C"/>
    <w:rsid w:val="00F60C9B"/>
    <w:rsid w:val="00F60F61"/>
    <w:rsid w:val="00F610CB"/>
    <w:rsid w:val="00F614B6"/>
    <w:rsid w:val="00F6185F"/>
    <w:rsid w:val="00F61946"/>
    <w:rsid w:val="00F61F84"/>
    <w:rsid w:val="00F621E4"/>
    <w:rsid w:val="00F6227D"/>
    <w:rsid w:val="00F62375"/>
    <w:rsid w:val="00F6241C"/>
    <w:rsid w:val="00F62839"/>
    <w:rsid w:val="00F6296A"/>
    <w:rsid w:val="00F631EB"/>
    <w:rsid w:val="00F631F2"/>
    <w:rsid w:val="00F63929"/>
    <w:rsid w:val="00F639DA"/>
    <w:rsid w:val="00F63AA7"/>
    <w:rsid w:val="00F63C40"/>
    <w:rsid w:val="00F63DBE"/>
    <w:rsid w:val="00F64560"/>
    <w:rsid w:val="00F646B6"/>
    <w:rsid w:val="00F64C2C"/>
    <w:rsid w:val="00F64E3E"/>
    <w:rsid w:val="00F64FB6"/>
    <w:rsid w:val="00F65000"/>
    <w:rsid w:val="00F6553F"/>
    <w:rsid w:val="00F65D07"/>
    <w:rsid w:val="00F66095"/>
    <w:rsid w:val="00F66193"/>
    <w:rsid w:val="00F66257"/>
    <w:rsid w:val="00F6666B"/>
    <w:rsid w:val="00F6680A"/>
    <w:rsid w:val="00F66C4D"/>
    <w:rsid w:val="00F67052"/>
    <w:rsid w:val="00F673A4"/>
    <w:rsid w:val="00F673C1"/>
    <w:rsid w:val="00F679F8"/>
    <w:rsid w:val="00F67BFB"/>
    <w:rsid w:val="00F70330"/>
    <w:rsid w:val="00F70549"/>
    <w:rsid w:val="00F706F9"/>
    <w:rsid w:val="00F706FB"/>
    <w:rsid w:val="00F70BE1"/>
    <w:rsid w:val="00F70C02"/>
    <w:rsid w:val="00F70D01"/>
    <w:rsid w:val="00F70DEB"/>
    <w:rsid w:val="00F711A6"/>
    <w:rsid w:val="00F713CE"/>
    <w:rsid w:val="00F71690"/>
    <w:rsid w:val="00F71BB0"/>
    <w:rsid w:val="00F71C6D"/>
    <w:rsid w:val="00F71C8D"/>
    <w:rsid w:val="00F72228"/>
    <w:rsid w:val="00F72260"/>
    <w:rsid w:val="00F72358"/>
    <w:rsid w:val="00F72365"/>
    <w:rsid w:val="00F723C7"/>
    <w:rsid w:val="00F72426"/>
    <w:rsid w:val="00F7254B"/>
    <w:rsid w:val="00F727D5"/>
    <w:rsid w:val="00F72E10"/>
    <w:rsid w:val="00F72EDB"/>
    <w:rsid w:val="00F736C2"/>
    <w:rsid w:val="00F73737"/>
    <w:rsid w:val="00F73FC4"/>
    <w:rsid w:val="00F743EA"/>
    <w:rsid w:val="00F744AC"/>
    <w:rsid w:val="00F747F1"/>
    <w:rsid w:val="00F7515B"/>
    <w:rsid w:val="00F75733"/>
    <w:rsid w:val="00F7588C"/>
    <w:rsid w:val="00F75C88"/>
    <w:rsid w:val="00F75CC2"/>
    <w:rsid w:val="00F75FE0"/>
    <w:rsid w:val="00F7666C"/>
    <w:rsid w:val="00F76A0E"/>
    <w:rsid w:val="00F76AC2"/>
    <w:rsid w:val="00F76E47"/>
    <w:rsid w:val="00F76F2C"/>
    <w:rsid w:val="00F77127"/>
    <w:rsid w:val="00F771BC"/>
    <w:rsid w:val="00F773B0"/>
    <w:rsid w:val="00F77A72"/>
    <w:rsid w:val="00F77ADE"/>
    <w:rsid w:val="00F77B28"/>
    <w:rsid w:val="00F77EAC"/>
    <w:rsid w:val="00F800D7"/>
    <w:rsid w:val="00F8078F"/>
    <w:rsid w:val="00F81058"/>
    <w:rsid w:val="00F81178"/>
    <w:rsid w:val="00F817B3"/>
    <w:rsid w:val="00F8197C"/>
    <w:rsid w:val="00F81BD6"/>
    <w:rsid w:val="00F81BF2"/>
    <w:rsid w:val="00F81D45"/>
    <w:rsid w:val="00F82425"/>
    <w:rsid w:val="00F82474"/>
    <w:rsid w:val="00F824EE"/>
    <w:rsid w:val="00F82A5D"/>
    <w:rsid w:val="00F82EEE"/>
    <w:rsid w:val="00F832C6"/>
    <w:rsid w:val="00F8369C"/>
    <w:rsid w:val="00F836FC"/>
    <w:rsid w:val="00F839E7"/>
    <w:rsid w:val="00F83F3B"/>
    <w:rsid w:val="00F8402C"/>
    <w:rsid w:val="00F846A9"/>
    <w:rsid w:val="00F847A0"/>
    <w:rsid w:val="00F84C14"/>
    <w:rsid w:val="00F84F7C"/>
    <w:rsid w:val="00F850EB"/>
    <w:rsid w:val="00F850F9"/>
    <w:rsid w:val="00F85112"/>
    <w:rsid w:val="00F85402"/>
    <w:rsid w:val="00F85843"/>
    <w:rsid w:val="00F85A58"/>
    <w:rsid w:val="00F8612E"/>
    <w:rsid w:val="00F86697"/>
    <w:rsid w:val="00F86948"/>
    <w:rsid w:val="00F869BA"/>
    <w:rsid w:val="00F86D63"/>
    <w:rsid w:val="00F87223"/>
    <w:rsid w:val="00F8727A"/>
    <w:rsid w:val="00F877DF"/>
    <w:rsid w:val="00F87957"/>
    <w:rsid w:val="00F879B5"/>
    <w:rsid w:val="00F903C1"/>
    <w:rsid w:val="00F9079C"/>
    <w:rsid w:val="00F90A88"/>
    <w:rsid w:val="00F9208B"/>
    <w:rsid w:val="00F920D9"/>
    <w:rsid w:val="00F92428"/>
    <w:rsid w:val="00F92463"/>
    <w:rsid w:val="00F92B61"/>
    <w:rsid w:val="00F92C2A"/>
    <w:rsid w:val="00F92E96"/>
    <w:rsid w:val="00F93353"/>
    <w:rsid w:val="00F9353B"/>
    <w:rsid w:val="00F937BC"/>
    <w:rsid w:val="00F93984"/>
    <w:rsid w:val="00F93C96"/>
    <w:rsid w:val="00F944AC"/>
    <w:rsid w:val="00F94CB1"/>
    <w:rsid w:val="00F94D41"/>
    <w:rsid w:val="00F94FB7"/>
    <w:rsid w:val="00F94FD4"/>
    <w:rsid w:val="00F95077"/>
    <w:rsid w:val="00F9510F"/>
    <w:rsid w:val="00F95942"/>
    <w:rsid w:val="00F95EB7"/>
    <w:rsid w:val="00F95F34"/>
    <w:rsid w:val="00F962C6"/>
    <w:rsid w:val="00F96366"/>
    <w:rsid w:val="00F96540"/>
    <w:rsid w:val="00F965DF"/>
    <w:rsid w:val="00F96938"/>
    <w:rsid w:val="00F96944"/>
    <w:rsid w:val="00F96A33"/>
    <w:rsid w:val="00F96EEE"/>
    <w:rsid w:val="00F97990"/>
    <w:rsid w:val="00F97D39"/>
    <w:rsid w:val="00FA0453"/>
    <w:rsid w:val="00FA0608"/>
    <w:rsid w:val="00FA0681"/>
    <w:rsid w:val="00FA0A28"/>
    <w:rsid w:val="00FA0AF3"/>
    <w:rsid w:val="00FA0B7D"/>
    <w:rsid w:val="00FA1034"/>
    <w:rsid w:val="00FA10EE"/>
    <w:rsid w:val="00FA2592"/>
    <w:rsid w:val="00FA2F62"/>
    <w:rsid w:val="00FA308B"/>
    <w:rsid w:val="00FA30BA"/>
    <w:rsid w:val="00FA31DC"/>
    <w:rsid w:val="00FA32D0"/>
    <w:rsid w:val="00FA3431"/>
    <w:rsid w:val="00FA3753"/>
    <w:rsid w:val="00FA39BF"/>
    <w:rsid w:val="00FA3B47"/>
    <w:rsid w:val="00FA3C64"/>
    <w:rsid w:val="00FA3E47"/>
    <w:rsid w:val="00FA40BC"/>
    <w:rsid w:val="00FA44A0"/>
    <w:rsid w:val="00FA4647"/>
    <w:rsid w:val="00FA48B5"/>
    <w:rsid w:val="00FA4C2B"/>
    <w:rsid w:val="00FA4CDC"/>
    <w:rsid w:val="00FA4DDD"/>
    <w:rsid w:val="00FA4FDB"/>
    <w:rsid w:val="00FA503B"/>
    <w:rsid w:val="00FA568D"/>
    <w:rsid w:val="00FA56B5"/>
    <w:rsid w:val="00FA573B"/>
    <w:rsid w:val="00FA5F2E"/>
    <w:rsid w:val="00FA6009"/>
    <w:rsid w:val="00FA656E"/>
    <w:rsid w:val="00FA65A8"/>
    <w:rsid w:val="00FA68A6"/>
    <w:rsid w:val="00FA6A59"/>
    <w:rsid w:val="00FA6FA5"/>
    <w:rsid w:val="00FA75A7"/>
    <w:rsid w:val="00FB00BE"/>
    <w:rsid w:val="00FB023E"/>
    <w:rsid w:val="00FB0342"/>
    <w:rsid w:val="00FB03AE"/>
    <w:rsid w:val="00FB0570"/>
    <w:rsid w:val="00FB084E"/>
    <w:rsid w:val="00FB0EB7"/>
    <w:rsid w:val="00FB152D"/>
    <w:rsid w:val="00FB1FF0"/>
    <w:rsid w:val="00FB20E5"/>
    <w:rsid w:val="00FB2375"/>
    <w:rsid w:val="00FB2492"/>
    <w:rsid w:val="00FB252F"/>
    <w:rsid w:val="00FB25BD"/>
    <w:rsid w:val="00FB2703"/>
    <w:rsid w:val="00FB2A81"/>
    <w:rsid w:val="00FB2C09"/>
    <w:rsid w:val="00FB2C91"/>
    <w:rsid w:val="00FB2F52"/>
    <w:rsid w:val="00FB31A9"/>
    <w:rsid w:val="00FB348E"/>
    <w:rsid w:val="00FB3626"/>
    <w:rsid w:val="00FB362C"/>
    <w:rsid w:val="00FB385C"/>
    <w:rsid w:val="00FB3D5D"/>
    <w:rsid w:val="00FB4108"/>
    <w:rsid w:val="00FB4131"/>
    <w:rsid w:val="00FB41A5"/>
    <w:rsid w:val="00FB4364"/>
    <w:rsid w:val="00FB4537"/>
    <w:rsid w:val="00FB4761"/>
    <w:rsid w:val="00FB496B"/>
    <w:rsid w:val="00FB4A0A"/>
    <w:rsid w:val="00FB5298"/>
    <w:rsid w:val="00FB541C"/>
    <w:rsid w:val="00FB5501"/>
    <w:rsid w:val="00FB5698"/>
    <w:rsid w:val="00FB589F"/>
    <w:rsid w:val="00FB5956"/>
    <w:rsid w:val="00FB59FC"/>
    <w:rsid w:val="00FB5ED7"/>
    <w:rsid w:val="00FB60D4"/>
    <w:rsid w:val="00FB6113"/>
    <w:rsid w:val="00FB7018"/>
    <w:rsid w:val="00FB7067"/>
    <w:rsid w:val="00FB70A9"/>
    <w:rsid w:val="00FB71A3"/>
    <w:rsid w:val="00FB7243"/>
    <w:rsid w:val="00FB7320"/>
    <w:rsid w:val="00FB7429"/>
    <w:rsid w:val="00FB7CF5"/>
    <w:rsid w:val="00FB7F2B"/>
    <w:rsid w:val="00FC0337"/>
    <w:rsid w:val="00FC095C"/>
    <w:rsid w:val="00FC0968"/>
    <w:rsid w:val="00FC09DC"/>
    <w:rsid w:val="00FC0CCB"/>
    <w:rsid w:val="00FC0E85"/>
    <w:rsid w:val="00FC16D4"/>
    <w:rsid w:val="00FC1899"/>
    <w:rsid w:val="00FC1CF6"/>
    <w:rsid w:val="00FC1E04"/>
    <w:rsid w:val="00FC1E43"/>
    <w:rsid w:val="00FC1F4D"/>
    <w:rsid w:val="00FC2258"/>
    <w:rsid w:val="00FC225C"/>
    <w:rsid w:val="00FC22CC"/>
    <w:rsid w:val="00FC255B"/>
    <w:rsid w:val="00FC26DB"/>
    <w:rsid w:val="00FC2AA7"/>
    <w:rsid w:val="00FC355D"/>
    <w:rsid w:val="00FC36BF"/>
    <w:rsid w:val="00FC3866"/>
    <w:rsid w:val="00FC3989"/>
    <w:rsid w:val="00FC3CD9"/>
    <w:rsid w:val="00FC3F9F"/>
    <w:rsid w:val="00FC4702"/>
    <w:rsid w:val="00FC4761"/>
    <w:rsid w:val="00FC47D2"/>
    <w:rsid w:val="00FC49DA"/>
    <w:rsid w:val="00FC52BB"/>
    <w:rsid w:val="00FC5540"/>
    <w:rsid w:val="00FC55E6"/>
    <w:rsid w:val="00FC609C"/>
    <w:rsid w:val="00FC6241"/>
    <w:rsid w:val="00FC69BE"/>
    <w:rsid w:val="00FC69CB"/>
    <w:rsid w:val="00FC6BEE"/>
    <w:rsid w:val="00FC6D9E"/>
    <w:rsid w:val="00FC716A"/>
    <w:rsid w:val="00FC74A2"/>
    <w:rsid w:val="00FC75A7"/>
    <w:rsid w:val="00FC7606"/>
    <w:rsid w:val="00FC7727"/>
    <w:rsid w:val="00FC78C2"/>
    <w:rsid w:val="00FC7C06"/>
    <w:rsid w:val="00FC7D9C"/>
    <w:rsid w:val="00FC7E9E"/>
    <w:rsid w:val="00FD021E"/>
    <w:rsid w:val="00FD062B"/>
    <w:rsid w:val="00FD0C3E"/>
    <w:rsid w:val="00FD0DDF"/>
    <w:rsid w:val="00FD0F50"/>
    <w:rsid w:val="00FD1372"/>
    <w:rsid w:val="00FD1448"/>
    <w:rsid w:val="00FD14B2"/>
    <w:rsid w:val="00FD1852"/>
    <w:rsid w:val="00FD1B93"/>
    <w:rsid w:val="00FD1BBD"/>
    <w:rsid w:val="00FD1E67"/>
    <w:rsid w:val="00FD1FAE"/>
    <w:rsid w:val="00FD2520"/>
    <w:rsid w:val="00FD266D"/>
    <w:rsid w:val="00FD2835"/>
    <w:rsid w:val="00FD2EBE"/>
    <w:rsid w:val="00FD2FE5"/>
    <w:rsid w:val="00FD31FA"/>
    <w:rsid w:val="00FD3502"/>
    <w:rsid w:val="00FD3855"/>
    <w:rsid w:val="00FD38CE"/>
    <w:rsid w:val="00FD39AC"/>
    <w:rsid w:val="00FD3B01"/>
    <w:rsid w:val="00FD3BFE"/>
    <w:rsid w:val="00FD422C"/>
    <w:rsid w:val="00FD439B"/>
    <w:rsid w:val="00FD4A00"/>
    <w:rsid w:val="00FD4AA6"/>
    <w:rsid w:val="00FD4ED3"/>
    <w:rsid w:val="00FD4F24"/>
    <w:rsid w:val="00FD4FA5"/>
    <w:rsid w:val="00FD5093"/>
    <w:rsid w:val="00FD50A3"/>
    <w:rsid w:val="00FD5635"/>
    <w:rsid w:val="00FD56C6"/>
    <w:rsid w:val="00FD5B05"/>
    <w:rsid w:val="00FD5D55"/>
    <w:rsid w:val="00FD5DC4"/>
    <w:rsid w:val="00FD5E54"/>
    <w:rsid w:val="00FD6093"/>
    <w:rsid w:val="00FD6163"/>
    <w:rsid w:val="00FD6181"/>
    <w:rsid w:val="00FD6268"/>
    <w:rsid w:val="00FD6575"/>
    <w:rsid w:val="00FD6594"/>
    <w:rsid w:val="00FD6F39"/>
    <w:rsid w:val="00FD7058"/>
    <w:rsid w:val="00FD712A"/>
    <w:rsid w:val="00FD7304"/>
    <w:rsid w:val="00FD74B1"/>
    <w:rsid w:val="00FD7871"/>
    <w:rsid w:val="00FD7F95"/>
    <w:rsid w:val="00FE00C5"/>
    <w:rsid w:val="00FE0B4C"/>
    <w:rsid w:val="00FE0E9F"/>
    <w:rsid w:val="00FE106B"/>
    <w:rsid w:val="00FE108C"/>
    <w:rsid w:val="00FE16FA"/>
    <w:rsid w:val="00FE18FF"/>
    <w:rsid w:val="00FE1ADA"/>
    <w:rsid w:val="00FE1B0F"/>
    <w:rsid w:val="00FE1B7E"/>
    <w:rsid w:val="00FE1BCE"/>
    <w:rsid w:val="00FE1BF1"/>
    <w:rsid w:val="00FE1C06"/>
    <w:rsid w:val="00FE1C21"/>
    <w:rsid w:val="00FE1C25"/>
    <w:rsid w:val="00FE1C3D"/>
    <w:rsid w:val="00FE1F0A"/>
    <w:rsid w:val="00FE1FEE"/>
    <w:rsid w:val="00FE245C"/>
    <w:rsid w:val="00FE2904"/>
    <w:rsid w:val="00FE39EA"/>
    <w:rsid w:val="00FE3D0B"/>
    <w:rsid w:val="00FE3DFF"/>
    <w:rsid w:val="00FE3E8F"/>
    <w:rsid w:val="00FE3FC6"/>
    <w:rsid w:val="00FE4534"/>
    <w:rsid w:val="00FE47CA"/>
    <w:rsid w:val="00FE4CB0"/>
    <w:rsid w:val="00FE50FE"/>
    <w:rsid w:val="00FE549B"/>
    <w:rsid w:val="00FE5504"/>
    <w:rsid w:val="00FE569E"/>
    <w:rsid w:val="00FE5910"/>
    <w:rsid w:val="00FE5AE6"/>
    <w:rsid w:val="00FE635F"/>
    <w:rsid w:val="00FE6433"/>
    <w:rsid w:val="00FE679C"/>
    <w:rsid w:val="00FE6AEE"/>
    <w:rsid w:val="00FE6F02"/>
    <w:rsid w:val="00FE71F2"/>
    <w:rsid w:val="00FE79C4"/>
    <w:rsid w:val="00FE7BBA"/>
    <w:rsid w:val="00FE7C08"/>
    <w:rsid w:val="00FE7F2D"/>
    <w:rsid w:val="00FF0098"/>
    <w:rsid w:val="00FF0333"/>
    <w:rsid w:val="00FF0B90"/>
    <w:rsid w:val="00FF0C2F"/>
    <w:rsid w:val="00FF0F29"/>
    <w:rsid w:val="00FF0FFA"/>
    <w:rsid w:val="00FF1096"/>
    <w:rsid w:val="00FF1459"/>
    <w:rsid w:val="00FF16AA"/>
    <w:rsid w:val="00FF1DF3"/>
    <w:rsid w:val="00FF20E6"/>
    <w:rsid w:val="00FF2277"/>
    <w:rsid w:val="00FF2528"/>
    <w:rsid w:val="00FF2602"/>
    <w:rsid w:val="00FF2697"/>
    <w:rsid w:val="00FF2731"/>
    <w:rsid w:val="00FF2FCE"/>
    <w:rsid w:val="00FF31C7"/>
    <w:rsid w:val="00FF3457"/>
    <w:rsid w:val="00FF3B6C"/>
    <w:rsid w:val="00FF3D09"/>
    <w:rsid w:val="00FF3EC1"/>
    <w:rsid w:val="00FF40DC"/>
    <w:rsid w:val="00FF4259"/>
    <w:rsid w:val="00FF4437"/>
    <w:rsid w:val="00FF4478"/>
    <w:rsid w:val="00FF46B8"/>
    <w:rsid w:val="00FF4B3D"/>
    <w:rsid w:val="00FF4B98"/>
    <w:rsid w:val="00FF51A1"/>
    <w:rsid w:val="00FF527C"/>
    <w:rsid w:val="00FF551E"/>
    <w:rsid w:val="00FF556A"/>
    <w:rsid w:val="00FF57A2"/>
    <w:rsid w:val="00FF5CA5"/>
    <w:rsid w:val="00FF5F46"/>
    <w:rsid w:val="00FF649E"/>
    <w:rsid w:val="00FF660D"/>
    <w:rsid w:val="00FF6E0F"/>
    <w:rsid w:val="00FF7154"/>
    <w:rsid w:val="00FF7AE1"/>
    <w:rsid w:val="00FF7E86"/>
    <w:rsid w:val="017E0840"/>
    <w:rsid w:val="01AC4A44"/>
    <w:rsid w:val="01DEB647"/>
    <w:rsid w:val="01EF1867"/>
    <w:rsid w:val="02AD4A14"/>
    <w:rsid w:val="02C6D63B"/>
    <w:rsid w:val="02EBD267"/>
    <w:rsid w:val="030AF726"/>
    <w:rsid w:val="038DC509"/>
    <w:rsid w:val="03C324E6"/>
    <w:rsid w:val="03DAF152"/>
    <w:rsid w:val="044931F4"/>
    <w:rsid w:val="04B484B5"/>
    <w:rsid w:val="050525CC"/>
    <w:rsid w:val="05AFE972"/>
    <w:rsid w:val="06231565"/>
    <w:rsid w:val="065A0D32"/>
    <w:rsid w:val="06622607"/>
    <w:rsid w:val="06790721"/>
    <w:rsid w:val="0685822F"/>
    <w:rsid w:val="07859345"/>
    <w:rsid w:val="07EB3F75"/>
    <w:rsid w:val="07F227C4"/>
    <w:rsid w:val="07F707CE"/>
    <w:rsid w:val="080184EF"/>
    <w:rsid w:val="082B941C"/>
    <w:rsid w:val="082FFDC5"/>
    <w:rsid w:val="0893232D"/>
    <w:rsid w:val="08A2F63C"/>
    <w:rsid w:val="08CEED96"/>
    <w:rsid w:val="08F5F7B4"/>
    <w:rsid w:val="099F2A6F"/>
    <w:rsid w:val="09AA4FDE"/>
    <w:rsid w:val="09C6B99F"/>
    <w:rsid w:val="09D3510F"/>
    <w:rsid w:val="09F68FE1"/>
    <w:rsid w:val="09FC54F5"/>
    <w:rsid w:val="0A30F227"/>
    <w:rsid w:val="0A7B55BF"/>
    <w:rsid w:val="0A81DCDF"/>
    <w:rsid w:val="0AA90047"/>
    <w:rsid w:val="0ACB7484"/>
    <w:rsid w:val="0AFAD70D"/>
    <w:rsid w:val="0B13CAC7"/>
    <w:rsid w:val="0B5FE11D"/>
    <w:rsid w:val="0B826F0E"/>
    <w:rsid w:val="0BA81E66"/>
    <w:rsid w:val="0BC1BF44"/>
    <w:rsid w:val="0C27D381"/>
    <w:rsid w:val="0C28A4C1"/>
    <w:rsid w:val="0C4BFDE8"/>
    <w:rsid w:val="0C95C0D9"/>
    <w:rsid w:val="0D14F24D"/>
    <w:rsid w:val="0D226CA1"/>
    <w:rsid w:val="0D429986"/>
    <w:rsid w:val="0D4885D8"/>
    <w:rsid w:val="0D682997"/>
    <w:rsid w:val="0D75BD51"/>
    <w:rsid w:val="0DDFC989"/>
    <w:rsid w:val="0DE20527"/>
    <w:rsid w:val="0DE93ABF"/>
    <w:rsid w:val="0ECCA353"/>
    <w:rsid w:val="0F57355E"/>
    <w:rsid w:val="0F60AA94"/>
    <w:rsid w:val="0F6977C5"/>
    <w:rsid w:val="0F992DB3"/>
    <w:rsid w:val="0FBF6227"/>
    <w:rsid w:val="10194980"/>
    <w:rsid w:val="1059F620"/>
    <w:rsid w:val="1071EAAA"/>
    <w:rsid w:val="1093DC94"/>
    <w:rsid w:val="10A1D262"/>
    <w:rsid w:val="10F501E4"/>
    <w:rsid w:val="11D6CC20"/>
    <w:rsid w:val="11E95CFE"/>
    <w:rsid w:val="1270D4FE"/>
    <w:rsid w:val="133FA6E9"/>
    <w:rsid w:val="136C804C"/>
    <w:rsid w:val="13AA7D22"/>
    <w:rsid w:val="13C6B46E"/>
    <w:rsid w:val="141669F1"/>
    <w:rsid w:val="14405ED6"/>
    <w:rsid w:val="151A872F"/>
    <w:rsid w:val="152FF652"/>
    <w:rsid w:val="1550ED6F"/>
    <w:rsid w:val="1570AE13"/>
    <w:rsid w:val="157A8814"/>
    <w:rsid w:val="15D463BD"/>
    <w:rsid w:val="1655CF48"/>
    <w:rsid w:val="16D73BFF"/>
    <w:rsid w:val="16FDF78D"/>
    <w:rsid w:val="172F4AE1"/>
    <w:rsid w:val="17C4B6E1"/>
    <w:rsid w:val="17F55CA7"/>
    <w:rsid w:val="1874FB38"/>
    <w:rsid w:val="18919FC8"/>
    <w:rsid w:val="18A2EDD6"/>
    <w:rsid w:val="18BBB623"/>
    <w:rsid w:val="1952A4C8"/>
    <w:rsid w:val="195B22B9"/>
    <w:rsid w:val="196A062E"/>
    <w:rsid w:val="19AE94DA"/>
    <w:rsid w:val="19D06E24"/>
    <w:rsid w:val="19FC153E"/>
    <w:rsid w:val="1A06B704"/>
    <w:rsid w:val="1A2ADF82"/>
    <w:rsid w:val="1A3FD53E"/>
    <w:rsid w:val="1A75B265"/>
    <w:rsid w:val="1A9FA395"/>
    <w:rsid w:val="1B2227D9"/>
    <w:rsid w:val="1BC69299"/>
    <w:rsid w:val="1BF0F1C1"/>
    <w:rsid w:val="1C61FDC0"/>
    <w:rsid w:val="1D58E67F"/>
    <w:rsid w:val="1D81ED2F"/>
    <w:rsid w:val="1DDB80B8"/>
    <w:rsid w:val="1DF3D877"/>
    <w:rsid w:val="1E641CDD"/>
    <w:rsid w:val="1E654F40"/>
    <w:rsid w:val="1E75D52C"/>
    <w:rsid w:val="1EA314F6"/>
    <w:rsid w:val="1EA9CC7C"/>
    <w:rsid w:val="1EBAB73E"/>
    <w:rsid w:val="1EE6C9D1"/>
    <w:rsid w:val="1F145C4C"/>
    <w:rsid w:val="1F9571C4"/>
    <w:rsid w:val="1F97CAF8"/>
    <w:rsid w:val="1FB64081"/>
    <w:rsid w:val="1FEF67C3"/>
    <w:rsid w:val="1FFDCEA7"/>
    <w:rsid w:val="2020ADDD"/>
    <w:rsid w:val="20251E87"/>
    <w:rsid w:val="2052E0EC"/>
    <w:rsid w:val="20F10C41"/>
    <w:rsid w:val="21041C76"/>
    <w:rsid w:val="21124423"/>
    <w:rsid w:val="2145672C"/>
    <w:rsid w:val="2152DF11"/>
    <w:rsid w:val="2184F994"/>
    <w:rsid w:val="21E1AD60"/>
    <w:rsid w:val="2202DBFA"/>
    <w:rsid w:val="2219CC21"/>
    <w:rsid w:val="22854133"/>
    <w:rsid w:val="228980FC"/>
    <w:rsid w:val="22ACB275"/>
    <w:rsid w:val="22CD189F"/>
    <w:rsid w:val="230512C6"/>
    <w:rsid w:val="232922A4"/>
    <w:rsid w:val="234C8FE5"/>
    <w:rsid w:val="236467A1"/>
    <w:rsid w:val="24143481"/>
    <w:rsid w:val="244CD847"/>
    <w:rsid w:val="246F2E95"/>
    <w:rsid w:val="2486401F"/>
    <w:rsid w:val="248E5541"/>
    <w:rsid w:val="24A8621A"/>
    <w:rsid w:val="24AE4B83"/>
    <w:rsid w:val="24E2A011"/>
    <w:rsid w:val="25289E9B"/>
    <w:rsid w:val="253EEF70"/>
    <w:rsid w:val="259D7761"/>
    <w:rsid w:val="26136391"/>
    <w:rsid w:val="2656375A"/>
    <w:rsid w:val="26A51A65"/>
    <w:rsid w:val="277DB771"/>
    <w:rsid w:val="27932D30"/>
    <w:rsid w:val="28517E05"/>
    <w:rsid w:val="288181B4"/>
    <w:rsid w:val="28C2D2F4"/>
    <w:rsid w:val="294221AF"/>
    <w:rsid w:val="2948356B"/>
    <w:rsid w:val="296897F0"/>
    <w:rsid w:val="29B8C813"/>
    <w:rsid w:val="29F25E05"/>
    <w:rsid w:val="2A4AF245"/>
    <w:rsid w:val="2A9934DE"/>
    <w:rsid w:val="2AA76386"/>
    <w:rsid w:val="2BE64D2E"/>
    <w:rsid w:val="2BE6A467"/>
    <w:rsid w:val="2BEC2EFB"/>
    <w:rsid w:val="2BECB919"/>
    <w:rsid w:val="2BF769EC"/>
    <w:rsid w:val="2C1E2BCE"/>
    <w:rsid w:val="2C2DAD1A"/>
    <w:rsid w:val="2CA6B1E2"/>
    <w:rsid w:val="2CAED7F5"/>
    <w:rsid w:val="2CC134D1"/>
    <w:rsid w:val="2CE0514A"/>
    <w:rsid w:val="2D516BF9"/>
    <w:rsid w:val="2D56FA75"/>
    <w:rsid w:val="2DEC42A3"/>
    <w:rsid w:val="2E0B6FBF"/>
    <w:rsid w:val="2E694242"/>
    <w:rsid w:val="2E8D8D03"/>
    <w:rsid w:val="2EBE9AD5"/>
    <w:rsid w:val="2EDE6BFB"/>
    <w:rsid w:val="2EE04FC9"/>
    <w:rsid w:val="2EFF8F0B"/>
    <w:rsid w:val="2F2F8F67"/>
    <w:rsid w:val="2F302360"/>
    <w:rsid w:val="2F4982BF"/>
    <w:rsid w:val="2F4DF672"/>
    <w:rsid w:val="2F8BAF05"/>
    <w:rsid w:val="2F9C2A18"/>
    <w:rsid w:val="2FD6F9F9"/>
    <w:rsid w:val="2FE61023"/>
    <w:rsid w:val="2FF504B2"/>
    <w:rsid w:val="3037358D"/>
    <w:rsid w:val="30B9D9F5"/>
    <w:rsid w:val="30BC82EB"/>
    <w:rsid w:val="30E828AA"/>
    <w:rsid w:val="30EB03A5"/>
    <w:rsid w:val="31358023"/>
    <w:rsid w:val="3137990E"/>
    <w:rsid w:val="314F3670"/>
    <w:rsid w:val="3158A16A"/>
    <w:rsid w:val="31EA3EBC"/>
    <w:rsid w:val="32740510"/>
    <w:rsid w:val="32771861"/>
    <w:rsid w:val="32CD9B2A"/>
    <w:rsid w:val="33126478"/>
    <w:rsid w:val="333546D8"/>
    <w:rsid w:val="3337DC5F"/>
    <w:rsid w:val="3425D3C5"/>
    <w:rsid w:val="352D8644"/>
    <w:rsid w:val="3536E9CC"/>
    <w:rsid w:val="35468E14"/>
    <w:rsid w:val="3589CBBF"/>
    <w:rsid w:val="35B41660"/>
    <w:rsid w:val="35E9E29E"/>
    <w:rsid w:val="35FA94A3"/>
    <w:rsid w:val="362CFA4D"/>
    <w:rsid w:val="3640ED13"/>
    <w:rsid w:val="367C46E0"/>
    <w:rsid w:val="368E8DF0"/>
    <w:rsid w:val="36B87644"/>
    <w:rsid w:val="36C38EFF"/>
    <w:rsid w:val="36D50F61"/>
    <w:rsid w:val="36DF3A3C"/>
    <w:rsid w:val="3713590C"/>
    <w:rsid w:val="372DF867"/>
    <w:rsid w:val="37652235"/>
    <w:rsid w:val="37ACA997"/>
    <w:rsid w:val="37AD93BD"/>
    <w:rsid w:val="38453B20"/>
    <w:rsid w:val="38A2CB22"/>
    <w:rsid w:val="38A9DB26"/>
    <w:rsid w:val="3914D3D0"/>
    <w:rsid w:val="3A2E8875"/>
    <w:rsid w:val="3B27999C"/>
    <w:rsid w:val="3B2EEC1B"/>
    <w:rsid w:val="3BF69443"/>
    <w:rsid w:val="3D417BCD"/>
    <w:rsid w:val="3D7B308E"/>
    <w:rsid w:val="3DB10225"/>
    <w:rsid w:val="3DD81B3B"/>
    <w:rsid w:val="3DE331F0"/>
    <w:rsid w:val="3DED9EA6"/>
    <w:rsid w:val="3E004537"/>
    <w:rsid w:val="3E07ED87"/>
    <w:rsid w:val="3E67F6A4"/>
    <w:rsid w:val="3F14A28C"/>
    <w:rsid w:val="3F1E8C2F"/>
    <w:rsid w:val="3F871007"/>
    <w:rsid w:val="3F906ABE"/>
    <w:rsid w:val="3F9E71A2"/>
    <w:rsid w:val="3FC29FF8"/>
    <w:rsid w:val="40072303"/>
    <w:rsid w:val="4016FF75"/>
    <w:rsid w:val="402CBC4A"/>
    <w:rsid w:val="409070C6"/>
    <w:rsid w:val="409A6428"/>
    <w:rsid w:val="40A2332F"/>
    <w:rsid w:val="40D74EF4"/>
    <w:rsid w:val="40D7F882"/>
    <w:rsid w:val="41151254"/>
    <w:rsid w:val="411E2D9D"/>
    <w:rsid w:val="41228A59"/>
    <w:rsid w:val="4148C77E"/>
    <w:rsid w:val="41BA225A"/>
    <w:rsid w:val="421DE009"/>
    <w:rsid w:val="425D9D58"/>
    <w:rsid w:val="42CABEDD"/>
    <w:rsid w:val="42D0D0A0"/>
    <w:rsid w:val="42E65060"/>
    <w:rsid w:val="42EFD13B"/>
    <w:rsid w:val="43654487"/>
    <w:rsid w:val="447CEDC0"/>
    <w:rsid w:val="449D01FF"/>
    <w:rsid w:val="44CBE92E"/>
    <w:rsid w:val="44F08EA7"/>
    <w:rsid w:val="45537B8D"/>
    <w:rsid w:val="459AAF97"/>
    <w:rsid w:val="45EC6CCB"/>
    <w:rsid w:val="4617B037"/>
    <w:rsid w:val="463ABFC9"/>
    <w:rsid w:val="4640F144"/>
    <w:rsid w:val="4658DEF8"/>
    <w:rsid w:val="467E8D9C"/>
    <w:rsid w:val="46B8BBCC"/>
    <w:rsid w:val="46E748F7"/>
    <w:rsid w:val="4709F124"/>
    <w:rsid w:val="4742B2F2"/>
    <w:rsid w:val="476AFC98"/>
    <w:rsid w:val="47C3C0E6"/>
    <w:rsid w:val="47E0BBC6"/>
    <w:rsid w:val="47E36FE4"/>
    <w:rsid w:val="47E4BE67"/>
    <w:rsid w:val="48326771"/>
    <w:rsid w:val="486398D6"/>
    <w:rsid w:val="48CD8F25"/>
    <w:rsid w:val="491154DB"/>
    <w:rsid w:val="49130166"/>
    <w:rsid w:val="492BF4CB"/>
    <w:rsid w:val="49360284"/>
    <w:rsid w:val="49D8BDCD"/>
    <w:rsid w:val="4A12663D"/>
    <w:rsid w:val="4A16128F"/>
    <w:rsid w:val="4A1E85B1"/>
    <w:rsid w:val="4A40612F"/>
    <w:rsid w:val="4A7C068A"/>
    <w:rsid w:val="4A92CBBB"/>
    <w:rsid w:val="4A96971F"/>
    <w:rsid w:val="4AFEFBE0"/>
    <w:rsid w:val="4B345842"/>
    <w:rsid w:val="4B5B39F3"/>
    <w:rsid w:val="4BD3D2B1"/>
    <w:rsid w:val="4C034F6C"/>
    <w:rsid w:val="4C1F2C80"/>
    <w:rsid w:val="4C53641E"/>
    <w:rsid w:val="4C85C779"/>
    <w:rsid w:val="4CFD3480"/>
    <w:rsid w:val="4D8DF340"/>
    <w:rsid w:val="4DB56BA7"/>
    <w:rsid w:val="4DF17872"/>
    <w:rsid w:val="4E042416"/>
    <w:rsid w:val="4E5522AC"/>
    <w:rsid w:val="4E5A53FC"/>
    <w:rsid w:val="4E5BCE32"/>
    <w:rsid w:val="4E856ABD"/>
    <w:rsid w:val="4EAC2732"/>
    <w:rsid w:val="4ED98D1F"/>
    <w:rsid w:val="4EFF113D"/>
    <w:rsid w:val="4F15B0F2"/>
    <w:rsid w:val="4F486308"/>
    <w:rsid w:val="4F5FFCBC"/>
    <w:rsid w:val="4F67DBCC"/>
    <w:rsid w:val="4F7D3A56"/>
    <w:rsid w:val="503793B2"/>
    <w:rsid w:val="503E62F6"/>
    <w:rsid w:val="5048E1ED"/>
    <w:rsid w:val="505CF0BA"/>
    <w:rsid w:val="5072D2D7"/>
    <w:rsid w:val="50B0A6AD"/>
    <w:rsid w:val="50BD201B"/>
    <w:rsid w:val="512BD131"/>
    <w:rsid w:val="514380DE"/>
    <w:rsid w:val="516C45C7"/>
    <w:rsid w:val="51CBFF02"/>
    <w:rsid w:val="51FED9B6"/>
    <w:rsid w:val="52603CE6"/>
    <w:rsid w:val="527ACF15"/>
    <w:rsid w:val="52A2B034"/>
    <w:rsid w:val="52CCA18B"/>
    <w:rsid w:val="52E2F17A"/>
    <w:rsid w:val="53DBE6A0"/>
    <w:rsid w:val="541F8880"/>
    <w:rsid w:val="548A8F11"/>
    <w:rsid w:val="54CA598B"/>
    <w:rsid w:val="551E0270"/>
    <w:rsid w:val="5578D964"/>
    <w:rsid w:val="559C9EBF"/>
    <w:rsid w:val="559E4794"/>
    <w:rsid w:val="563072B1"/>
    <w:rsid w:val="56632D1B"/>
    <w:rsid w:val="568D71B9"/>
    <w:rsid w:val="56952B55"/>
    <w:rsid w:val="56AC1DC6"/>
    <w:rsid w:val="56B82779"/>
    <w:rsid w:val="570E90CD"/>
    <w:rsid w:val="571CF79D"/>
    <w:rsid w:val="5735BDC4"/>
    <w:rsid w:val="574A7850"/>
    <w:rsid w:val="57C5748B"/>
    <w:rsid w:val="57DF2C1E"/>
    <w:rsid w:val="587052A6"/>
    <w:rsid w:val="58A69501"/>
    <w:rsid w:val="58D35329"/>
    <w:rsid w:val="58FC918B"/>
    <w:rsid w:val="59048EC4"/>
    <w:rsid w:val="590A5287"/>
    <w:rsid w:val="59B3DC69"/>
    <w:rsid w:val="5A159AED"/>
    <w:rsid w:val="5A38078B"/>
    <w:rsid w:val="5A3C9F36"/>
    <w:rsid w:val="5A9B57F6"/>
    <w:rsid w:val="5AD459D2"/>
    <w:rsid w:val="5B0A38A1"/>
    <w:rsid w:val="5B0DCB58"/>
    <w:rsid w:val="5B375DFE"/>
    <w:rsid w:val="5B46CFB5"/>
    <w:rsid w:val="5B4AA9C0"/>
    <w:rsid w:val="5BDEA65B"/>
    <w:rsid w:val="5BDFE223"/>
    <w:rsid w:val="5C0021EA"/>
    <w:rsid w:val="5C6D0FB2"/>
    <w:rsid w:val="5C9BF856"/>
    <w:rsid w:val="5CE1D5C6"/>
    <w:rsid w:val="5CEAA624"/>
    <w:rsid w:val="5D5880CD"/>
    <w:rsid w:val="5D655C0E"/>
    <w:rsid w:val="5D65F52C"/>
    <w:rsid w:val="5DAEA834"/>
    <w:rsid w:val="5E2D0210"/>
    <w:rsid w:val="5E30CC4E"/>
    <w:rsid w:val="5E5C9CFE"/>
    <w:rsid w:val="5EB77958"/>
    <w:rsid w:val="5EDED3E0"/>
    <w:rsid w:val="5F4D8D97"/>
    <w:rsid w:val="5F919362"/>
    <w:rsid w:val="5FC43FBB"/>
    <w:rsid w:val="5FEB88F0"/>
    <w:rsid w:val="5FF40826"/>
    <w:rsid w:val="60467C7D"/>
    <w:rsid w:val="605A0D1B"/>
    <w:rsid w:val="6147F868"/>
    <w:rsid w:val="614D7086"/>
    <w:rsid w:val="6158E158"/>
    <w:rsid w:val="616D3FD0"/>
    <w:rsid w:val="6178817C"/>
    <w:rsid w:val="619F992C"/>
    <w:rsid w:val="61D207D1"/>
    <w:rsid w:val="626002D9"/>
    <w:rsid w:val="626EC288"/>
    <w:rsid w:val="62941F91"/>
    <w:rsid w:val="62B2FABC"/>
    <w:rsid w:val="62C21BF1"/>
    <w:rsid w:val="6345BC30"/>
    <w:rsid w:val="63A60F52"/>
    <w:rsid w:val="642CBC46"/>
    <w:rsid w:val="642E8D6C"/>
    <w:rsid w:val="646B3013"/>
    <w:rsid w:val="64C766F0"/>
    <w:rsid w:val="64F3F810"/>
    <w:rsid w:val="655CCF2B"/>
    <w:rsid w:val="656C62BF"/>
    <w:rsid w:val="657D055F"/>
    <w:rsid w:val="662600BB"/>
    <w:rsid w:val="6635F784"/>
    <w:rsid w:val="66402012"/>
    <w:rsid w:val="6662D1B4"/>
    <w:rsid w:val="66670303"/>
    <w:rsid w:val="66A33B04"/>
    <w:rsid w:val="66D3E0AA"/>
    <w:rsid w:val="670E8709"/>
    <w:rsid w:val="676F7975"/>
    <w:rsid w:val="67772274"/>
    <w:rsid w:val="677A4E80"/>
    <w:rsid w:val="67A12383"/>
    <w:rsid w:val="67BC2F01"/>
    <w:rsid w:val="68453BA9"/>
    <w:rsid w:val="68471B5D"/>
    <w:rsid w:val="688541E7"/>
    <w:rsid w:val="68B6C508"/>
    <w:rsid w:val="68C42E7A"/>
    <w:rsid w:val="68D2F831"/>
    <w:rsid w:val="6900AE55"/>
    <w:rsid w:val="692C0EBB"/>
    <w:rsid w:val="6945C58B"/>
    <w:rsid w:val="69568980"/>
    <w:rsid w:val="695FBD3B"/>
    <w:rsid w:val="698040E0"/>
    <w:rsid w:val="6A482FA3"/>
    <w:rsid w:val="6A5F87CF"/>
    <w:rsid w:val="6AC5D458"/>
    <w:rsid w:val="6AFB26AC"/>
    <w:rsid w:val="6B1F9F35"/>
    <w:rsid w:val="6B6322F6"/>
    <w:rsid w:val="6BB34359"/>
    <w:rsid w:val="6BEC62AE"/>
    <w:rsid w:val="6C334F98"/>
    <w:rsid w:val="6C6E207F"/>
    <w:rsid w:val="6C93B479"/>
    <w:rsid w:val="6CE684B9"/>
    <w:rsid w:val="6CEF6E07"/>
    <w:rsid w:val="6D28A3CC"/>
    <w:rsid w:val="6D88B715"/>
    <w:rsid w:val="6D9D7AEC"/>
    <w:rsid w:val="6DEF4892"/>
    <w:rsid w:val="6E49C6A6"/>
    <w:rsid w:val="6E536289"/>
    <w:rsid w:val="6E9DEB72"/>
    <w:rsid w:val="6E9F10B1"/>
    <w:rsid w:val="6EA00CEF"/>
    <w:rsid w:val="6ED7BFF3"/>
    <w:rsid w:val="6F91D165"/>
    <w:rsid w:val="6FBD960F"/>
    <w:rsid w:val="7011D47E"/>
    <w:rsid w:val="7076A33B"/>
    <w:rsid w:val="70960D0F"/>
    <w:rsid w:val="718A2345"/>
    <w:rsid w:val="7193E11F"/>
    <w:rsid w:val="71C1FE31"/>
    <w:rsid w:val="7259E1B9"/>
    <w:rsid w:val="725BA8DE"/>
    <w:rsid w:val="72BA4FEF"/>
    <w:rsid w:val="7332C479"/>
    <w:rsid w:val="7332C881"/>
    <w:rsid w:val="737D0607"/>
    <w:rsid w:val="73A57582"/>
    <w:rsid w:val="73BC85A4"/>
    <w:rsid w:val="73DA3F1D"/>
    <w:rsid w:val="73DF5FED"/>
    <w:rsid w:val="753AB090"/>
    <w:rsid w:val="7556C93A"/>
    <w:rsid w:val="75B6F885"/>
    <w:rsid w:val="75E6EE17"/>
    <w:rsid w:val="76602E2B"/>
    <w:rsid w:val="7673DB30"/>
    <w:rsid w:val="76E845D6"/>
    <w:rsid w:val="77A8CF40"/>
    <w:rsid w:val="78147DD7"/>
    <w:rsid w:val="78C74A3D"/>
    <w:rsid w:val="78CBEDC9"/>
    <w:rsid w:val="78F18223"/>
    <w:rsid w:val="79036D8E"/>
    <w:rsid w:val="792ECEC0"/>
    <w:rsid w:val="795E90E9"/>
    <w:rsid w:val="7999BE4A"/>
    <w:rsid w:val="79BFA19F"/>
    <w:rsid w:val="7A4DA936"/>
    <w:rsid w:val="7A51DFEE"/>
    <w:rsid w:val="7AFAE3E2"/>
    <w:rsid w:val="7B63EFD3"/>
    <w:rsid w:val="7BA0B80B"/>
    <w:rsid w:val="7BA7594D"/>
    <w:rsid w:val="7BA81492"/>
    <w:rsid w:val="7BAF8EAC"/>
    <w:rsid w:val="7BAFEDE9"/>
    <w:rsid w:val="7C719E80"/>
    <w:rsid w:val="7D00AA1A"/>
    <w:rsid w:val="7D0C647F"/>
    <w:rsid w:val="7D28CC54"/>
    <w:rsid w:val="7DD976AC"/>
    <w:rsid w:val="7E0499D2"/>
    <w:rsid w:val="7E2BAFBC"/>
    <w:rsid w:val="7E757432"/>
    <w:rsid w:val="7F2DEDD4"/>
    <w:rsid w:val="7F8AD0EA"/>
    <w:rsid w:val="7FB76D14"/>
    <w:rsid w:val="7FD73532"/>
    <w:rsid w:val="7FD9EF34"/>
    <w:rsid w:val="7FE8F02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6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C4B"/>
    <w:pPr>
      <w:suppressAutoHyphens/>
      <w:spacing w:before="100" w:beforeAutospacing="1" w:after="100" w:afterAutospacing="1" w:line="276" w:lineRule="auto"/>
    </w:pPr>
    <w:rPr>
      <w:rFonts w:ascii="Arial" w:eastAsia="Arial" w:hAnsi="Arial" w:cs="Arial"/>
      <w:color w:val="000000"/>
      <w:sz w:val="24"/>
      <w:lang w:eastAsia="en-GB"/>
    </w:rPr>
  </w:style>
  <w:style w:type="paragraph" w:styleId="Heading1">
    <w:name w:val="heading 1"/>
    <w:next w:val="Normal"/>
    <w:uiPriority w:val="9"/>
    <w:qFormat/>
    <w:rsid w:val="0096209B"/>
    <w:pPr>
      <w:keepNext/>
      <w:keepLines/>
      <w:suppressAutoHyphens/>
      <w:spacing w:before="100" w:beforeAutospacing="1" w:after="100" w:afterAutospacing="1" w:line="240" w:lineRule="auto"/>
      <w:outlineLvl w:val="0"/>
    </w:pPr>
    <w:rPr>
      <w:rFonts w:ascii="Arial" w:eastAsia="Arial" w:hAnsi="Arial" w:cs="Arial"/>
      <w:b/>
      <w:color w:val="008938"/>
      <w:sz w:val="44"/>
      <w:lang w:eastAsia="en-GB"/>
    </w:rPr>
  </w:style>
  <w:style w:type="paragraph" w:styleId="Heading2">
    <w:name w:val="heading 2"/>
    <w:next w:val="Normal"/>
    <w:uiPriority w:val="9"/>
    <w:unhideWhenUsed/>
    <w:qFormat/>
    <w:rsid w:val="0096209B"/>
    <w:pPr>
      <w:keepNext/>
      <w:keepLines/>
      <w:suppressAutoHyphens/>
      <w:spacing w:before="100" w:beforeAutospacing="1" w:after="100" w:afterAutospacing="1" w:line="240" w:lineRule="auto"/>
      <w:outlineLvl w:val="1"/>
    </w:pPr>
    <w:rPr>
      <w:rFonts w:ascii="Arial" w:eastAsia="Arial" w:hAnsi="Arial" w:cs="Arial"/>
      <w:b/>
      <w:color w:val="008938"/>
      <w:sz w:val="36"/>
      <w:lang w:eastAsia="en-GB"/>
    </w:rPr>
  </w:style>
  <w:style w:type="paragraph" w:styleId="Heading3">
    <w:name w:val="heading 3"/>
    <w:next w:val="Normal"/>
    <w:uiPriority w:val="9"/>
    <w:unhideWhenUsed/>
    <w:qFormat/>
    <w:rsid w:val="00DD721B"/>
    <w:pPr>
      <w:keepNext/>
      <w:keepLines/>
      <w:suppressAutoHyphens/>
      <w:spacing w:before="100" w:beforeAutospacing="1" w:after="100" w:afterAutospacing="1" w:line="240" w:lineRule="auto"/>
      <w:outlineLvl w:val="2"/>
    </w:pPr>
    <w:rPr>
      <w:rFonts w:ascii="Arial" w:eastAsia="Arial" w:hAnsi="Arial" w:cs="Arial"/>
      <w:b/>
      <w:sz w:val="28"/>
      <w:lang w:eastAsia="en-GB"/>
    </w:rPr>
  </w:style>
  <w:style w:type="paragraph" w:styleId="Heading4">
    <w:name w:val="heading 4"/>
    <w:next w:val="Normal"/>
    <w:uiPriority w:val="9"/>
    <w:unhideWhenUsed/>
    <w:qFormat/>
    <w:rsid w:val="0096209B"/>
    <w:pPr>
      <w:keepNext/>
      <w:keepLines/>
      <w:suppressAutoHyphens/>
      <w:spacing w:after="116" w:line="257" w:lineRule="auto"/>
      <w:outlineLvl w:val="3"/>
    </w:pPr>
    <w:rPr>
      <w:rFonts w:ascii="Arial" w:eastAsia="Arial" w:hAnsi="Arial" w:cs="Arial"/>
      <w:b/>
      <w:color w:val="000000"/>
      <w:sz w:val="26"/>
      <w:lang w:eastAsia="en-GB"/>
    </w:rPr>
  </w:style>
  <w:style w:type="paragraph" w:styleId="Heading5">
    <w:name w:val="heading 5"/>
    <w:next w:val="Normal"/>
    <w:uiPriority w:val="9"/>
    <w:unhideWhenUsed/>
    <w:qFormat/>
    <w:rsid w:val="00E931A9"/>
    <w:pPr>
      <w:keepNext/>
      <w:keepLines/>
      <w:suppressAutoHyphens/>
      <w:spacing w:after="5" w:line="247" w:lineRule="auto"/>
      <w:outlineLvl w:val="4"/>
    </w:pPr>
    <w:rPr>
      <w:rFonts w:ascii="Arial" w:eastAsia="Arial" w:hAnsi="Arial" w:cs="Arial"/>
      <w:b/>
      <w:sz w:val="24"/>
      <w:lang w:eastAsia="en-GB"/>
    </w:rPr>
  </w:style>
  <w:style w:type="paragraph" w:styleId="Heading6">
    <w:name w:val="heading 6"/>
    <w:next w:val="Normal"/>
    <w:uiPriority w:val="9"/>
    <w:unhideWhenUsed/>
    <w:qFormat/>
    <w:pPr>
      <w:keepNext/>
      <w:keepLines/>
      <w:suppressAutoHyphens/>
      <w:spacing w:after="148" w:line="247" w:lineRule="auto"/>
      <w:ind w:left="202" w:hanging="10"/>
      <w:outlineLvl w:val="5"/>
    </w:pPr>
    <w:rPr>
      <w:rFonts w:ascii="Arial" w:eastAsia="Arial" w:hAnsi="Arial" w:cs="Arial"/>
      <w:i/>
      <w:color w:val="455A20"/>
      <w:sz w:val="26"/>
      <w:lang w:eastAsia="en-GB"/>
    </w:rPr>
  </w:style>
  <w:style w:type="paragraph" w:styleId="Heading7">
    <w:name w:val="heading 7"/>
    <w:next w:val="Normal"/>
    <w:pPr>
      <w:keepNext/>
      <w:keepLines/>
      <w:pBdr>
        <w:top w:val="single" w:sz="6" w:space="0" w:color="000000"/>
        <w:left w:val="single" w:sz="6" w:space="0" w:color="000000"/>
        <w:bottom w:val="single" w:sz="6" w:space="0" w:color="000000"/>
        <w:right w:val="single" w:sz="6" w:space="0" w:color="000000"/>
      </w:pBdr>
      <w:suppressAutoHyphens/>
      <w:spacing w:after="116"/>
      <w:ind w:left="790" w:hanging="10"/>
      <w:outlineLvl w:val="6"/>
    </w:pPr>
    <w:rPr>
      <w:rFonts w:ascii="Arial" w:eastAsia="Arial" w:hAnsi="Arial" w:cs="Arial"/>
      <w:b/>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rial" w:eastAsia="Arial" w:hAnsi="Arial" w:cs="Arial"/>
      <w:color w:val="455A20"/>
      <w:sz w:val="56"/>
      <w:lang w:eastAsia="en-GB"/>
    </w:rPr>
  </w:style>
  <w:style w:type="character" w:customStyle="1" w:styleId="Heading2Char">
    <w:name w:val="Heading 2 Char"/>
    <w:basedOn w:val="DefaultParagraphFont"/>
    <w:uiPriority w:val="9"/>
    <w:rPr>
      <w:rFonts w:ascii="Arial" w:eastAsia="Arial" w:hAnsi="Arial" w:cs="Arial"/>
      <w:color w:val="455A20"/>
      <w:sz w:val="32"/>
      <w:lang w:eastAsia="en-GB"/>
    </w:rPr>
  </w:style>
  <w:style w:type="character" w:customStyle="1" w:styleId="Heading3Char">
    <w:name w:val="Heading 3 Char"/>
    <w:basedOn w:val="DefaultParagraphFont"/>
    <w:uiPriority w:val="9"/>
    <w:rPr>
      <w:rFonts w:ascii="Arial" w:eastAsia="Arial" w:hAnsi="Arial" w:cs="Arial"/>
      <w:sz w:val="32"/>
      <w:lang w:eastAsia="en-GB"/>
    </w:rPr>
  </w:style>
  <w:style w:type="character" w:customStyle="1" w:styleId="Heading4Char">
    <w:name w:val="Heading 4 Char"/>
    <w:basedOn w:val="DefaultParagraphFont"/>
    <w:uiPriority w:val="9"/>
    <w:rPr>
      <w:rFonts w:ascii="Arial" w:eastAsia="Arial" w:hAnsi="Arial" w:cs="Arial"/>
      <w:b/>
      <w:color w:val="000000"/>
      <w:lang w:eastAsia="en-GB"/>
    </w:rPr>
  </w:style>
  <w:style w:type="character" w:customStyle="1" w:styleId="Heading5Char">
    <w:name w:val="Heading 5 Char"/>
    <w:basedOn w:val="DefaultParagraphFont"/>
    <w:rPr>
      <w:rFonts w:ascii="Arial" w:eastAsia="Arial" w:hAnsi="Arial" w:cs="Arial"/>
      <w:b/>
      <w:color w:val="455A20"/>
      <w:lang w:eastAsia="en-GB"/>
    </w:rPr>
  </w:style>
  <w:style w:type="character" w:customStyle="1" w:styleId="Heading6Char">
    <w:name w:val="Heading 6 Char"/>
    <w:basedOn w:val="DefaultParagraphFont"/>
    <w:rPr>
      <w:rFonts w:ascii="Arial" w:eastAsia="Arial" w:hAnsi="Arial" w:cs="Arial"/>
      <w:i/>
      <w:color w:val="455A20"/>
      <w:sz w:val="26"/>
      <w:lang w:eastAsia="en-GB"/>
    </w:rPr>
  </w:style>
  <w:style w:type="character" w:customStyle="1" w:styleId="Heading7Char">
    <w:name w:val="Heading 7 Char"/>
    <w:basedOn w:val="DefaultParagraphFont"/>
    <w:rPr>
      <w:rFonts w:ascii="Arial" w:eastAsia="Arial" w:hAnsi="Arial" w:cs="Arial"/>
      <w:b/>
      <w:color w:val="000000"/>
      <w:lang w:eastAsia="en-GB"/>
    </w:rPr>
  </w:style>
  <w:style w:type="paragraph" w:customStyle="1" w:styleId="footnotedescription">
    <w:name w:val="footnote description"/>
    <w:next w:val="Normal"/>
    <w:pPr>
      <w:suppressAutoHyphens/>
      <w:spacing w:after="0" w:line="242" w:lineRule="auto"/>
      <w:ind w:left="653" w:right="90"/>
      <w:jc w:val="both"/>
    </w:pPr>
    <w:rPr>
      <w:rFonts w:ascii="Arial" w:eastAsia="Arial" w:hAnsi="Arial" w:cs="Arial"/>
      <w:color w:val="455A20"/>
      <w:lang w:eastAsia="en-GB"/>
    </w:rPr>
  </w:style>
  <w:style w:type="character" w:customStyle="1" w:styleId="footnotedescriptionChar">
    <w:name w:val="footnote description Char"/>
    <w:rPr>
      <w:rFonts w:ascii="Arial" w:eastAsia="Arial" w:hAnsi="Arial" w:cs="Arial"/>
      <w:color w:val="455A20"/>
      <w:lang w:eastAsia="en-GB"/>
    </w:rPr>
  </w:style>
  <w:style w:type="paragraph" w:styleId="TOC1">
    <w:name w:val="toc 1"/>
    <w:uiPriority w:val="39"/>
    <w:pPr>
      <w:suppressAutoHyphens/>
      <w:spacing w:after="93" w:line="333" w:lineRule="auto"/>
      <w:ind w:left="217" w:right="23" w:hanging="10"/>
      <w:jc w:val="both"/>
    </w:pPr>
    <w:rPr>
      <w:rFonts w:ascii="Arial" w:eastAsia="Arial" w:hAnsi="Arial" w:cs="Arial"/>
      <w:b/>
      <w:color w:val="000000"/>
      <w:lang w:eastAsia="en-GB"/>
    </w:rPr>
  </w:style>
  <w:style w:type="paragraph" w:styleId="TOC2">
    <w:name w:val="toc 2"/>
    <w:uiPriority w:val="39"/>
    <w:pPr>
      <w:suppressAutoHyphens/>
      <w:spacing w:after="90" w:line="244" w:lineRule="auto"/>
      <w:ind w:left="428" w:right="15"/>
    </w:pPr>
    <w:rPr>
      <w:rFonts w:ascii="Arial" w:eastAsia="Arial" w:hAnsi="Arial" w:cs="Arial"/>
      <w:color w:val="000000"/>
      <w:lang w:eastAsia="en-GB"/>
    </w:rPr>
  </w:style>
  <w:style w:type="character" w:customStyle="1" w:styleId="footnotemark">
    <w:name w:val="footnote mark"/>
    <w:rPr>
      <w:rFonts w:ascii="Arial" w:eastAsia="Arial" w:hAnsi="Arial" w:cs="Arial"/>
      <w:color w:val="455A20"/>
      <w:position w:val="0"/>
      <w:sz w:val="22"/>
      <w:vertAlign w:val="superscript"/>
    </w:rPr>
  </w:style>
  <w:style w:type="character" w:styleId="Hyperlink">
    <w:name w:val="Hyperlink"/>
    <w:basedOn w:val="DefaultParagraphFont"/>
    <w:uiPriority w:val="99"/>
    <w:rPr>
      <w:color w:val="0563C1"/>
      <w:u w:val="single"/>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Arial" w:eastAsia="Arial" w:hAnsi="Arial" w:cs="Arial"/>
      <w:color w:val="000000"/>
      <w:sz w:val="20"/>
      <w:szCs w:val="20"/>
      <w:lang w:eastAsia="en-GB"/>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Arial" w:eastAsia="Arial" w:hAnsi="Arial" w:cs="Arial"/>
      <w:b/>
      <w:bCs/>
      <w:color w:val="000000"/>
      <w:sz w:val="20"/>
      <w:szCs w:val="20"/>
      <w:lang w:eastAsia="en-GB"/>
    </w:rPr>
  </w:style>
  <w:style w:type="paragraph" w:styleId="BalloonText">
    <w:name w:val="Balloon Text"/>
    <w:basedOn w:val="Normal"/>
    <w:pPr>
      <w:spacing w:after="0"/>
    </w:pPr>
    <w:rPr>
      <w:rFonts w:ascii="Segoe UI" w:hAnsi="Segoe UI" w:cs="Segoe UI"/>
      <w:sz w:val="18"/>
      <w:szCs w:val="18"/>
    </w:rPr>
  </w:style>
  <w:style w:type="character" w:customStyle="1" w:styleId="BalloonTextChar">
    <w:name w:val="Balloon Text Char"/>
    <w:basedOn w:val="DefaultParagraphFont"/>
    <w:rPr>
      <w:rFonts w:ascii="Segoe UI" w:eastAsia="Arial" w:hAnsi="Segoe UI" w:cs="Segoe UI"/>
      <w:color w:val="000000"/>
      <w:sz w:val="18"/>
      <w:szCs w:val="18"/>
      <w:lang w:eastAsia="en-GB"/>
    </w:rPr>
  </w:style>
  <w:style w:type="paragraph" w:styleId="ListParagraph">
    <w:name w:val="List Paragraph"/>
    <w:basedOn w:val="Normal"/>
    <w:qFormat/>
    <w:rsid w:val="007A7512"/>
    <w:pPr>
      <w:ind w:left="567"/>
    </w:pPr>
    <w:rPr>
      <w:rFonts w:eastAsia="Calibri" w:cs="Times New Roman"/>
      <w:color w:val="auto"/>
      <w:lang w:eastAsia="en-US"/>
    </w:rPr>
  </w:style>
  <w:style w:type="paragraph" w:styleId="BodyText">
    <w:name w:val="Body Text"/>
    <w:basedOn w:val="Normal"/>
    <w:pPr>
      <w:spacing w:line="240" w:lineRule="atLeast"/>
    </w:pPr>
    <w:rPr>
      <w:rFonts w:eastAsia="Times New Roman" w:cs="Times New Roman"/>
      <w:color w:val="auto"/>
      <w:szCs w:val="24"/>
      <w:lang w:eastAsia="en-US"/>
    </w:rPr>
  </w:style>
  <w:style w:type="character" w:customStyle="1" w:styleId="BodyTextChar">
    <w:name w:val="Body Text Char"/>
    <w:basedOn w:val="DefaultParagraphFont"/>
    <w:rPr>
      <w:rFonts w:ascii="Arial" w:eastAsia="Times New Roman" w:hAnsi="Arial" w:cs="Times New Roman"/>
      <w:sz w:val="24"/>
      <w:szCs w:val="24"/>
    </w:rPr>
  </w:style>
  <w:style w:type="paragraph" w:styleId="FootnoteText">
    <w:name w:val="footnote text"/>
    <w:basedOn w:val="Normal"/>
    <w:pPr>
      <w:spacing w:after="0" w:line="240" w:lineRule="atLeast"/>
    </w:pPr>
    <w:rPr>
      <w:rFonts w:eastAsia="Calibri" w:cs="Times New Roman"/>
      <w:color w:val="auto"/>
      <w:sz w:val="20"/>
      <w:szCs w:val="20"/>
      <w:lang w:eastAsia="en-US"/>
    </w:rPr>
  </w:style>
  <w:style w:type="character" w:customStyle="1" w:styleId="FootnoteTextChar">
    <w:name w:val="Footnote Text Char"/>
    <w:basedOn w:val="DefaultParagraphFont"/>
    <w:rPr>
      <w:rFonts w:ascii="Arial" w:hAnsi="Arial"/>
      <w:sz w:val="20"/>
      <w:szCs w:val="20"/>
    </w:rPr>
  </w:style>
  <w:style w:type="character" w:styleId="FootnoteReference">
    <w:name w:val="footnote reference"/>
    <w:basedOn w:val="DefaultParagraphFont"/>
    <w:rPr>
      <w:position w:val="0"/>
      <w:vertAlign w:val="superscript"/>
    </w:rPr>
  </w:style>
  <w:style w:type="paragraph" w:customStyle="1" w:styleId="Default">
    <w:name w:val="Default"/>
    <w:pPr>
      <w:suppressAutoHyphens/>
      <w:autoSpaceDE w:val="0"/>
      <w:spacing w:after="0" w:line="240" w:lineRule="auto"/>
    </w:pPr>
    <w:rPr>
      <w:rFonts w:ascii="Times New Roman" w:hAnsi="Times New Roman"/>
      <w:color w:val="000000"/>
      <w:sz w:val="24"/>
      <w:szCs w:val="24"/>
    </w:rPr>
  </w:style>
  <w:style w:type="paragraph" w:styleId="Header">
    <w:name w:val="header"/>
    <w:basedOn w:val="Normal"/>
    <w:uiPriority w:val="99"/>
    <w:pPr>
      <w:tabs>
        <w:tab w:val="center" w:pos="4513"/>
        <w:tab w:val="right" w:pos="9026"/>
      </w:tabs>
      <w:spacing w:after="0"/>
    </w:pPr>
  </w:style>
  <w:style w:type="character" w:customStyle="1" w:styleId="HeaderChar">
    <w:name w:val="Header Char"/>
    <w:basedOn w:val="DefaultParagraphFont"/>
    <w:uiPriority w:val="99"/>
    <w:rPr>
      <w:rFonts w:ascii="Arial" w:eastAsia="Arial" w:hAnsi="Arial" w:cs="Arial"/>
      <w:color w:val="000000"/>
      <w:sz w:val="24"/>
      <w:lang w:eastAsia="en-GB"/>
    </w:rPr>
  </w:style>
  <w:style w:type="paragraph" w:styleId="Footer">
    <w:name w:val="footer"/>
    <w:basedOn w:val="Normal"/>
    <w:uiPriority w:val="99"/>
    <w:pPr>
      <w:tabs>
        <w:tab w:val="center" w:pos="4513"/>
        <w:tab w:val="right" w:pos="9026"/>
      </w:tabs>
      <w:spacing w:after="0"/>
    </w:pPr>
  </w:style>
  <w:style w:type="character" w:customStyle="1" w:styleId="FooterChar">
    <w:name w:val="Footer Char"/>
    <w:basedOn w:val="DefaultParagraphFont"/>
    <w:uiPriority w:val="99"/>
    <w:rPr>
      <w:rFonts w:ascii="Arial" w:eastAsia="Arial" w:hAnsi="Arial" w:cs="Arial"/>
      <w:color w:val="000000"/>
      <w:sz w:val="24"/>
      <w:lang w:eastAsia="en-GB"/>
    </w:rPr>
  </w:style>
  <w:style w:type="paragraph" w:styleId="NormalWeb">
    <w:name w:val="Normal (Web)"/>
    <w:basedOn w:val="Normal"/>
    <w:rPr>
      <w:rFonts w:ascii="Times New Roman" w:eastAsia="Times New Roman" w:hAnsi="Times New Roman" w:cs="Times New Roman"/>
      <w:color w:val="auto"/>
      <w:szCs w:val="24"/>
    </w:rPr>
  </w:style>
  <w:style w:type="paragraph" w:styleId="Revision">
    <w:name w:val="Revision"/>
    <w:pPr>
      <w:suppressAutoHyphens/>
      <w:spacing w:after="0" w:line="240" w:lineRule="auto"/>
    </w:pPr>
    <w:rPr>
      <w:rFonts w:ascii="Arial" w:eastAsia="Arial" w:hAnsi="Arial" w:cs="Arial"/>
      <w:color w:val="000000"/>
      <w:lang w:eastAsia="en-GB"/>
    </w:rPr>
  </w:style>
  <w:style w:type="character" w:styleId="PlaceholderText">
    <w:name w:val="Placeholder Text"/>
    <w:basedOn w:val="DefaultParagraphFont"/>
    <w:rPr>
      <w:color w:val="808080"/>
    </w:rPr>
  </w:style>
  <w:style w:type="character" w:styleId="UnresolvedMention">
    <w:name w:val="Unresolved Mention"/>
    <w:basedOn w:val="DefaultParagraphFont"/>
    <w:uiPriority w:val="99"/>
    <w:rPr>
      <w:color w:val="605E5C"/>
      <w:shd w:val="clear" w:color="auto" w:fill="E1DFDD"/>
    </w:rPr>
  </w:style>
  <w:style w:type="character" w:styleId="FollowedHyperlink">
    <w:name w:val="FollowedHyperlink"/>
    <w:basedOn w:val="DefaultParagraphFont"/>
    <w:rPr>
      <w:color w:val="954F72"/>
      <w:u w:val="single"/>
    </w:rPr>
  </w:style>
  <w:style w:type="paragraph" w:customStyle="1" w:styleId="Maintextblack">
    <w:name w:val="Main text black"/>
    <w:basedOn w:val="Normal"/>
    <w:rPr>
      <w:rFonts w:cs="Times New Roman"/>
      <w:lang w:eastAsia="en-US"/>
    </w:rPr>
  </w:style>
  <w:style w:type="table" w:customStyle="1" w:styleId="TableGrid">
    <w:name w:val="TableGrid"/>
    <w:rsid w:val="00AB1DC4"/>
    <w:pPr>
      <w:autoSpaceDN/>
      <w:spacing w:after="0" w:line="240" w:lineRule="auto"/>
    </w:pPr>
    <w:rPr>
      <w:rFonts w:asciiTheme="minorHAnsi" w:eastAsiaTheme="minorEastAsia" w:hAnsiTheme="minorHAnsi" w:cstheme="minorBidi"/>
      <w:lang w:eastAsia="en-GB"/>
    </w:rPr>
    <w:tblPr>
      <w:tblCellMar>
        <w:top w:w="0" w:type="dxa"/>
        <w:left w:w="0" w:type="dxa"/>
        <w:bottom w:w="0" w:type="dxa"/>
        <w:right w:w="0" w:type="dxa"/>
      </w:tblCellMar>
    </w:tblPr>
  </w:style>
  <w:style w:type="paragraph" w:styleId="TOCHeading">
    <w:name w:val="TOC Heading"/>
    <w:basedOn w:val="Heading1"/>
    <w:next w:val="Normal"/>
    <w:uiPriority w:val="39"/>
    <w:unhideWhenUsed/>
    <w:qFormat/>
    <w:rsid w:val="002737EF"/>
    <w:pPr>
      <w:suppressAutoHyphens w:val="0"/>
      <w:autoSpaceDN/>
      <w:spacing w:before="240" w:after="0" w:line="259" w:lineRule="auto"/>
      <w:outlineLvl w:val="9"/>
    </w:pPr>
    <w:rPr>
      <w:rFonts w:asciiTheme="majorHAnsi" w:eastAsiaTheme="majorEastAsia" w:hAnsiTheme="majorHAnsi" w:cstheme="majorBidi"/>
      <w:color w:val="2F5496" w:themeColor="accent1" w:themeShade="BF"/>
      <w:sz w:val="32"/>
      <w:szCs w:val="32"/>
      <w:lang w:val="en-US" w:eastAsia="en-US"/>
    </w:rPr>
  </w:style>
  <w:style w:type="paragraph" w:styleId="TOC3">
    <w:name w:val="toc 3"/>
    <w:basedOn w:val="Normal"/>
    <w:next w:val="Normal"/>
    <w:autoRedefine/>
    <w:uiPriority w:val="39"/>
    <w:unhideWhenUsed/>
    <w:rsid w:val="00FF0098"/>
    <w:pPr>
      <w:tabs>
        <w:tab w:val="left" w:pos="0"/>
        <w:tab w:val="right" w:leader="dot" w:pos="9639"/>
      </w:tabs>
    </w:pPr>
  </w:style>
  <w:style w:type="paragraph" w:styleId="TOC4">
    <w:name w:val="toc 4"/>
    <w:basedOn w:val="Normal"/>
    <w:next w:val="Normal"/>
    <w:autoRedefine/>
    <w:uiPriority w:val="39"/>
    <w:unhideWhenUsed/>
    <w:rsid w:val="002737EF"/>
    <w:pPr>
      <w:suppressAutoHyphens w:val="0"/>
      <w:autoSpaceDN/>
      <w:spacing w:line="259" w:lineRule="auto"/>
      <w:ind w:left="660"/>
    </w:pPr>
    <w:rPr>
      <w:rFonts w:asciiTheme="minorHAnsi" w:eastAsiaTheme="minorEastAsia" w:hAnsiTheme="minorHAnsi" w:cstheme="minorBidi"/>
      <w:color w:val="auto"/>
      <w:sz w:val="22"/>
    </w:rPr>
  </w:style>
  <w:style w:type="paragraph" w:styleId="TOC5">
    <w:name w:val="toc 5"/>
    <w:basedOn w:val="Normal"/>
    <w:next w:val="Normal"/>
    <w:autoRedefine/>
    <w:uiPriority w:val="39"/>
    <w:unhideWhenUsed/>
    <w:rsid w:val="002737EF"/>
    <w:pPr>
      <w:suppressAutoHyphens w:val="0"/>
      <w:autoSpaceDN/>
      <w:spacing w:line="259" w:lineRule="auto"/>
      <w:ind w:left="880"/>
    </w:pPr>
    <w:rPr>
      <w:rFonts w:asciiTheme="minorHAnsi" w:eastAsiaTheme="minorEastAsia" w:hAnsiTheme="minorHAnsi" w:cstheme="minorBidi"/>
      <w:color w:val="auto"/>
      <w:sz w:val="22"/>
    </w:rPr>
  </w:style>
  <w:style w:type="paragraph" w:styleId="TOC6">
    <w:name w:val="toc 6"/>
    <w:basedOn w:val="Normal"/>
    <w:next w:val="Normal"/>
    <w:autoRedefine/>
    <w:uiPriority w:val="39"/>
    <w:unhideWhenUsed/>
    <w:rsid w:val="002737EF"/>
    <w:pPr>
      <w:suppressAutoHyphens w:val="0"/>
      <w:autoSpaceDN/>
      <w:spacing w:line="259" w:lineRule="auto"/>
      <w:ind w:left="1100"/>
    </w:pPr>
    <w:rPr>
      <w:rFonts w:asciiTheme="minorHAnsi" w:eastAsiaTheme="minorEastAsia" w:hAnsiTheme="minorHAnsi" w:cstheme="minorBidi"/>
      <w:color w:val="auto"/>
      <w:sz w:val="22"/>
    </w:rPr>
  </w:style>
  <w:style w:type="paragraph" w:styleId="TOC7">
    <w:name w:val="toc 7"/>
    <w:basedOn w:val="Normal"/>
    <w:next w:val="Normal"/>
    <w:autoRedefine/>
    <w:uiPriority w:val="39"/>
    <w:unhideWhenUsed/>
    <w:rsid w:val="002737EF"/>
    <w:pPr>
      <w:suppressAutoHyphens w:val="0"/>
      <w:autoSpaceDN/>
      <w:spacing w:line="259" w:lineRule="auto"/>
      <w:ind w:left="1320"/>
    </w:pPr>
    <w:rPr>
      <w:rFonts w:asciiTheme="minorHAnsi" w:eastAsiaTheme="minorEastAsia" w:hAnsiTheme="minorHAnsi" w:cstheme="minorBidi"/>
      <w:color w:val="auto"/>
      <w:sz w:val="22"/>
    </w:rPr>
  </w:style>
  <w:style w:type="paragraph" w:styleId="TOC8">
    <w:name w:val="toc 8"/>
    <w:basedOn w:val="Normal"/>
    <w:next w:val="Normal"/>
    <w:autoRedefine/>
    <w:uiPriority w:val="39"/>
    <w:unhideWhenUsed/>
    <w:rsid w:val="002737EF"/>
    <w:pPr>
      <w:suppressAutoHyphens w:val="0"/>
      <w:autoSpaceDN/>
      <w:spacing w:line="259" w:lineRule="auto"/>
      <w:ind w:left="1540"/>
    </w:pPr>
    <w:rPr>
      <w:rFonts w:asciiTheme="minorHAnsi" w:eastAsiaTheme="minorEastAsia" w:hAnsiTheme="minorHAnsi" w:cstheme="minorBidi"/>
      <w:color w:val="auto"/>
      <w:sz w:val="22"/>
    </w:rPr>
  </w:style>
  <w:style w:type="paragraph" w:styleId="TOC9">
    <w:name w:val="toc 9"/>
    <w:basedOn w:val="Normal"/>
    <w:next w:val="Normal"/>
    <w:autoRedefine/>
    <w:uiPriority w:val="39"/>
    <w:unhideWhenUsed/>
    <w:rsid w:val="002737EF"/>
    <w:pPr>
      <w:suppressAutoHyphens w:val="0"/>
      <w:autoSpaceDN/>
      <w:spacing w:line="259" w:lineRule="auto"/>
      <w:ind w:left="1760"/>
    </w:pPr>
    <w:rPr>
      <w:rFonts w:asciiTheme="minorHAnsi" w:eastAsiaTheme="minorEastAsia" w:hAnsiTheme="minorHAnsi" w:cstheme="minorBidi"/>
      <w:color w:val="auto"/>
      <w:sz w:val="22"/>
    </w:rPr>
  </w:style>
  <w:style w:type="table" w:styleId="TableGrid0">
    <w:name w:val="Table Grid"/>
    <w:basedOn w:val="TableNormal"/>
    <w:uiPriority w:val="39"/>
    <w:rsid w:val="00771B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771B6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semiHidden/>
    <w:unhideWhenUsed/>
    <w:rsid w:val="00827D03"/>
    <w:pPr>
      <w:spacing w:before="0" w:after="0"/>
    </w:pPr>
    <w:rPr>
      <w:sz w:val="20"/>
      <w:szCs w:val="20"/>
    </w:rPr>
  </w:style>
  <w:style w:type="character" w:customStyle="1" w:styleId="EndnoteTextChar">
    <w:name w:val="Endnote Text Char"/>
    <w:basedOn w:val="DefaultParagraphFont"/>
    <w:link w:val="EndnoteText"/>
    <w:uiPriority w:val="99"/>
    <w:semiHidden/>
    <w:rsid w:val="00827D03"/>
    <w:rPr>
      <w:rFonts w:ascii="Arial" w:eastAsia="Arial" w:hAnsi="Arial" w:cs="Arial"/>
      <w:color w:val="000000"/>
      <w:sz w:val="20"/>
      <w:szCs w:val="20"/>
      <w:lang w:eastAsia="en-GB"/>
    </w:rPr>
  </w:style>
  <w:style w:type="character" w:styleId="EndnoteReference">
    <w:name w:val="endnote reference"/>
    <w:basedOn w:val="DefaultParagraphFont"/>
    <w:uiPriority w:val="99"/>
    <w:semiHidden/>
    <w:unhideWhenUsed/>
    <w:rsid w:val="00827D03"/>
    <w:rPr>
      <w:vertAlign w:val="superscript"/>
    </w:rPr>
  </w:style>
  <w:style w:type="paragraph" w:customStyle="1" w:styleId="TableParagraph">
    <w:name w:val="Table Paragraph"/>
    <w:basedOn w:val="Normal"/>
    <w:uiPriority w:val="1"/>
    <w:qFormat/>
    <w:rsid w:val="008C7563"/>
    <w:pPr>
      <w:widowControl w:val="0"/>
      <w:suppressAutoHyphens w:val="0"/>
      <w:autoSpaceDE w:val="0"/>
      <w:spacing w:before="0" w:beforeAutospacing="0" w:after="0" w:afterAutospacing="0" w:line="240" w:lineRule="auto"/>
      <w:ind w:left="117"/>
    </w:pPr>
    <w:rPr>
      <w:color w:val="auto"/>
      <w:sz w:val="22"/>
      <w:lang w:val="en-US" w:eastAsia="en-US"/>
    </w:rPr>
  </w:style>
  <w:style w:type="character" w:styleId="Mention">
    <w:name w:val="Mention"/>
    <w:basedOn w:val="DefaultParagraphFont"/>
    <w:uiPriority w:val="99"/>
    <w:unhideWhenUsed/>
    <w:rsid w:val="00AA6327"/>
    <w:rPr>
      <w:color w:val="2B579A"/>
      <w:shd w:val="clear" w:color="auto" w:fill="E1DFDD"/>
    </w:rPr>
  </w:style>
  <w:style w:type="paragraph" w:customStyle="1" w:styleId="legclearfix">
    <w:name w:val="legclearfix"/>
    <w:basedOn w:val="Normal"/>
    <w:rsid w:val="004E444A"/>
    <w:pPr>
      <w:suppressAutoHyphens w:val="0"/>
      <w:autoSpaceDN/>
      <w:spacing w:line="240" w:lineRule="auto"/>
    </w:pPr>
    <w:rPr>
      <w:rFonts w:ascii="Times New Roman" w:eastAsia="Times New Roman" w:hAnsi="Times New Roman" w:cs="Times New Roman"/>
      <w:color w:val="auto"/>
      <w:szCs w:val="24"/>
    </w:rPr>
  </w:style>
  <w:style w:type="character" w:customStyle="1" w:styleId="legamendingtext">
    <w:name w:val="legamendingtext"/>
    <w:basedOn w:val="DefaultParagraphFont"/>
    <w:rsid w:val="004E444A"/>
  </w:style>
  <w:style w:type="character" w:customStyle="1" w:styleId="legamendquote">
    <w:name w:val="legamendquote"/>
    <w:basedOn w:val="DefaultParagraphFont"/>
    <w:rsid w:val="004E444A"/>
  </w:style>
  <w:style w:type="paragraph" w:styleId="NoSpacing">
    <w:name w:val="No Spacing"/>
    <w:uiPriority w:val="1"/>
    <w:qFormat/>
    <w:rsid w:val="00DB7E92"/>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climate-change-agreements-technical-guidance" TargetMode="External"/><Relationship Id="rId21" Type="http://schemas.openxmlformats.org/officeDocument/2006/relationships/hyperlink" Target="https://www.gov.uk/government/publications/climate-change-agreements-technical-guidance" TargetMode="External"/><Relationship Id="rId42" Type="http://schemas.openxmlformats.org/officeDocument/2006/relationships/hyperlink" Target="https://assets.publishing.service.gov.uk/media/670e33203b919067bb48315c/CCA-government-response-2024.pdf" TargetMode="External"/><Relationship Id="rId47" Type="http://schemas.openxmlformats.org/officeDocument/2006/relationships/hyperlink" Target="mailto:ccapayments@environment-agency.gov.uk" TargetMode="External"/><Relationship Id="rId63" Type="http://schemas.openxmlformats.org/officeDocument/2006/relationships/hyperlink" Target="https://www.gov.uk/government/organisations/hm-courts-and-tribunals-service/about" TargetMode="External"/><Relationship Id="rId68" Type="http://schemas.openxmlformats.org/officeDocument/2006/relationships/hyperlink" Target="https://www.gov.uk/government/organisations/hm-courts-and-tribunals-service/about" TargetMode="External"/><Relationship Id="rId84" Type="http://schemas.openxmlformats.org/officeDocument/2006/relationships/hyperlink" Target="https://www.gov.uk/government/publications/climate-change-agreements-technical-guidance" TargetMode="External"/><Relationship Id="rId89" Type="http://schemas.openxmlformats.org/officeDocument/2006/relationships/hyperlink" Target="https://www.gov.uk/government/publications/climate-change-agreements-technical-guidance" TargetMode="External"/><Relationship Id="rId112" Type="http://schemas.openxmlformats.org/officeDocument/2006/relationships/footer" Target="footer4.xml"/><Relationship Id="rId16" Type="http://schemas.openxmlformats.org/officeDocument/2006/relationships/hyperlink" Target="http://www.gov.uk/environment-agency" TargetMode="External"/><Relationship Id="rId107" Type="http://schemas.openxmlformats.org/officeDocument/2006/relationships/hyperlink" Target="https://www.gov.uk/government/uploads/system/uploads/attachment_data/file/401050/LIT_10086.xlsx" TargetMode="External"/><Relationship Id="rId11" Type="http://schemas.openxmlformats.org/officeDocument/2006/relationships/image" Target="media/image1.jpeg"/><Relationship Id="rId32" Type="http://schemas.openxmlformats.org/officeDocument/2006/relationships/hyperlink" Target="https://www.gov.uk/government/publications/climate-change-agreements-technical-guidance" TargetMode="External"/><Relationship Id="rId37" Type="http://schemas.openxmlformats.org/officeDocument/2006/relationships/hyperlink" Target="https://www.gov.uk/government/publications/climate-change-agreements-technical-guidance" TargetMode="External"/><Relationship Id="rId53" Type="http://schemas.openxmlformats.org/officeDocument/2006/relationships/hyperlink" Target="https://www.gov.uk/guidance/climate-change-levy-rates" TargetMode="External"/><Relationship Id="rId58" Type="http://schemas.openxmlformats.org/officeDocument/2006/relationships/hyperlink" Target="https://www.gov.uk/government/publications/uk-subsidy-control-statutory-guidance" TargetMode="External"/><Relationship Id="rId74" Type="http://schemas.openxmlformats.org/officeDocument/2006/relationships/hyperlink" Target="https://www.gov.uk/government/organisations/ministry-of-justice" TargetMode="External"/><Relationship Id="rId79" Type="http://schemas.openxmlformats.org/officeDocument/2006/relationships/hyperlink" Target="https://www.gov.uk/government/organisations/environment-agency/about/complaints-procedure" TargetMode="External"/><Relationship Id="rId102" Type="http://schemas.openxmlformats.org/officeDocument/2006/relationships/hyperlink" Target="https://www.gov.uk/government/uploads/system/uploads/attachment_data/file/401046/LIT_10083.xlsx" TargetMode="External"/><Relationship Id="rId5" Type="http://schemas.openxmlformats.org/officeDocument/2006/relationships/numbering" Target="numbering.xml"/><Relationship Id="rId90" Type="http://schemas.openxmlformats.org/officeDocument/2006/relationships/hyperlink" Target="https://www.gov.uk/government/publications/climate-change-agreements-technical-guidance" TargetMode="External"/><Relationship Id="rId95" Type="http://schemas.openxmlformats.org/officeDocument/2006/relationships/hyperlink" Target="https://www.gov.uk/government/publications/rgn-2-understanding-the-meaning-of-regulated-facility" TargetMode="External"/><Relationship Id="rId22" Type="http://schemas.openxmlformats.org/officeDocument/2006/relationships/hyperlink" Target="https://www.gov.uk/guidance/legal-operator-and-competence-requirements-environmental-permits" TargetMode="External"/><Relationship Id="rId27" Type="http://schemas.openxmlformats.org/officeDocument/2006/relationships/hyperlink" Target="https://www.gov.uk/government/publications/greenhouse-gas-reporting-conversion-factors-2022" TargetMode="External"/><Relationship Id="rId43" Type="http://schemas.openxmlformats.org/officeDocument/2006/relationships/hyperlink" Target="mailto:cca-help@environment-agency.gov.uk" TargetMode="External"/><Relationship Id="rId48" Type="http://schemas.openxmlformats.org/officeDocument/2006/relationships/hyperlink" Target="mailto:cca-help@environment-agency.gov.uk" TargetMode="External"/><Relationship Id="rId64" Type="http://schemas.openxmlformats.org/officeDocument/2006/relationships/hyperlink" Target="https://www.gov.uk/government/organisations/hm-courts-and-tribunals-service/about" TargetMode="External"/><Relationship Id="rId69" Type="http://schemas.openxmlformats.org/officeDocument/2006/relationships/hyperlink" Target="https://www.gov.uk/government/organisations/hm-courts-and-tribunals-service/about" TargetMode="External"/><Relationship Id="rId113" Type="http://schemas.openxmlformats.org/officeDocument/2006/relationships/fontTable" Target="fontTable.xml"/><Relationship Id="rId80" Type="http://schemas.openxmlformats.org/officeDocument/2006/relationships/hyperlink" Target="https://www.gov.uk/government/publications/climate-change-agreements-technical-guidance" TargetMode="External"/><Relationship Id="rId85" Type="http://schemas.openxmlformats.org/officeDocument/2006/relationships/hyperlink" Target="https://www.gov.uk/government/publications/climate-change-agreements-technical-guidance" TargetMode="External"/><Relationship Id="rId12" Type="http://schemas.openxmlformats.org/officeDocument/2006/relationships/header" Target="header1.xml"/><Relationship Id="rId17" Type="http://schemas.openxmlformats.org/officeDocument/2006/relationships/hyperlink" Target="http://www.gov.uk/government/publications" TargetMode="External"/><Relationship Id="rId33" Type="http://schemas.openxmlformats.org/officeDocument/2006/relationships/hyperlink" Target="https://www.gov.uk/government/publications/greenhouse-gas-reporting-conversion-factors-2022" TargetMode="External"/><Relationship Id="rId38" Type="http://schemas.openxmlformats.org/officeDocument/2006/relationships/hyperlink" Target="https://www.gov.uk/government/publications/climate-change-agreements-technical-guidance" TargetMode="External"/><Relationship Id="rId59" Type="http://schemas.openxmlformats.org/officeDocument/2006/relationships/hyperlink" Target="https://www.gov.uk/government/organisations/hm-courts-and-tribunals-service/about" TargetMode="External"/><Relationship Id="rId103" Type="http://schemas.openxmlformats.org/officeDocument/2006/relationships/hyperlink" Target="https://www.gov.uk/government/uploads/system/uploads/attachment_data/file/401046/LIT_10083.xlsx" TargetMode="External"/><Relationship Id="rId108" Type="http://schemas.openxmlformats.org/officeDocument/2006/relationships/hyperlink" Target="https://www.gov.uk/government/uploads/system/uploads/attachment_data/file/401050/LIT_10086.xlsx" TargetMode="External"/><Relationship Id="rId54" Type="http://schemas.openxmlformats.org/officeDocument/2006/relationships/hyperlink" Target="https://www.gov.uk/guidance/climate-change-levy-application-rates-and-exemptions" TargetMode="External"/><Relationship Id="rId70" Type="http://schemas.openxmlformats.org/officeDocument/2006/relationships/hyperlink" Target="https://www.gov.uk/government/organisations/ministry-of-justice" TargetMode="External"/><Relationship Id="rId75" Type="http://schemas.openxmlformats.org/officeDocument/2006/relationships/hyperlink" Target="https://www.gov.uk/government/organisations/ministry-of-justice" TargetMode="External"/><Relationship Id="rId91" Type="http://schemas.openxmlformats.org/officeDocument/2006/relationships/hyperlink" Target="https://www.gov.uk/government/publications/climate-change-agreements-technical-guidance" TargetMode="External"/><Relationship Id="rId96" Type="http://schemas.openxmlformats.org/officeDocument/2006/relationships/hyperlink" Target="http://www.nationalgrid.com/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gov.uk/government/publications/excise-notice-ccl13-climate-change-levy-reliefs-and-special-treatments-for-taxable-commodities/excise-notice-ccl13-climate-change-levy-reliefs-and-special-treatments-for-taxable-commodities" TargetMode="External"/><Relationship Id="rId28" Type="http://schemas.openxmlformats.org/officeDocument/2006/relationships/hyperlink" Target="mailto:cca-help@environment-agency.gov.uk" TargetMode="External"/><Relationship Id="rId36" Type="http://schemas.openxmlformats.org/officeDocument/2006/relationships/hyperlink" Target="mailto:cca-help@environment-agency.gov.uk" TargetMode="External"/><Relationship Id="rId49" Type="http://schemas.openxmlformats.org/officeDocument/2006/relationships/hyperlink" Target="https://www.gov.uk/government/publications/climate-change-agreements-technical-guidance" TargetMode="External"/><Relationship Id="rId57" Type="http://schemas.openxmlformats.org/officeDocument/2006/relationships/hyperlink" Target="https://www.gov.uk/government/publications/climate-change-agreements-technical-guidance" TargetMode="External"/><Relationship Id="rId106" Type="http://schemas.openxmlformats.org/officeDocument/2006/relationships/hyperlink" Target="https://www.gov.uk/government/uploads/system/uploads/attachment_data/file/401050/LIT_10086.xlsx" TargetMode="External"/><Relationship Id="rId114"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gov.uk/government/publications/climate-change-agreements-technical-guidance" TargetMode="External"/><Relationship Id="rId44" Type="http://schemas.openxmlformats.org/officeDocument/2006/relationships/hyperlink" Target="https://www.gov.uk/government/collections/climate-change-agreements-umbrella-agreements" TargetMode="External"/><Relationship Id="rId52" Type="http://schemas.openxmlformats.org/officeDocument/2006/relationships/hyperlink" Target="https://www.gov.uk/guidance/climate-change-levy-application-rates-and-exemptions" TargetMode="External"/><Relationship Id="rId60" Type="http://schemas.openxmlformats.org/officeDocument/2006/relationships/hyperlink" Target="https://www.gov.uk/government/organisations/hm-courts-and-tribunals-service/about" TargetMode="External"/><Relationship Id="rId65" Type="http://schemas.openxmlformats.org/officeDocument/2006/relationships/hyperlink" Target="https://www.gov.uk/government/organisations/hm-courts-and-tribunals-service/about" TargetMode="External"/><Relationship Id="rId73" Type="http://schemas.openxmlformats.org/officeDocument/2006/relationships/hyperlink" Target="https://www.gov.uk/government/organisations/ministry-of-justice" TargetMode="External"/><Relationship Id="rId78" Type="http://schemas.openxmlformats.org/officeDocument/2006/relationships/hyperlink" Target="https://www.gov.uk/guidance/appeal-a-regulatory-decision-from-the-environment-agency" TargetMode="External"/><Relationship Id="rId81" Type="http://schemas.openxmlformats.org/officeDocument/2006/relationships/hyperlink" Target="https://www.gov.uk/government/publications/climate-change-agreements-technical-guidance" TargetMode="External"/><Relationship Id="rId86" Type="http://schemas.openxmlformats.org/officeDocument/2006/relationships/hyperlink" Target="https://www.gov.uk/government/publications/climate-change-agreements-technical-guidance" TargetMode="External"/><Relationship Id="rId94" Type="http://schemas.openxmlformats.org/officeDocument/2006/relationships/hyperlink" Target="https://www.gov.uk/government/publications/climate-change-agreements-technical-guidance" TargetMode="External"/><Relationship Id="rId99" Type="http://schemas.openxmlformats.org/officeDocument/2006/relationships/hyperlink" Target="https://www.gov.uk/government/uploads/system/uploads/attachment_data/file/350366/LIT_7914.xlsx" TargetMode="External"/><Relationship Id="rId101" Type="http://schemas.openxmlformats.org/officeDocument/2006/relationships/hyperlink" Target="https://www.gov.uk/government/uploads/system/uploads/attachment_data/file/401046/LIT_10083.xlsx"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mailto:enquiries@environment-agency.gov.uk" TargetMode="External"/><Relationship Id="rId39" Type="http://schemas.openxmlformats.org/officeDocument/2006/relationships/hyperlink" Target="https://www.gov.uk/government/publications/climate-change-agreements-technical-guidance" TargetMode="External"/><Relationship Id="rId109" Type="http://schemas.openxmlformats.org/officeDocument/2006/relationships/header" Target="header3.xml"/><Relationship Id="rId34" Type="http://schemas.openxmlformats.org/officeDocument/2006/relationships/hyperlink" Target="https://www.gov.uk/government/publications/climate-change-agreements-technical-guidance" TargetMode="External"/><Relationship Id="rId50" Type="http://schemas.openxmlformats.org/officeDocument/2006/relationships/hyperlink" Target="https://www.gov.uk/government/publications/climate-change-agreements-technical-guidance" TargetMode="External"/><Relationship Id="rId55" Type="http://schemas.openxmlformats.org/officeDocument/2006/relationships/hyperlink" Target="https://www.gov.uk/government/publications/environment-agency-enforcement-and-sanctions-policy/annex-2-climate-change-schemes-the-environment-agencys-approach-to-applying-civil-penalties" TargetMode="External"/><Relationship Id="rId76" Type="http://schemas.openxmlformats.org/officeDocument/2006/relationships/hyperlink" Target="https://www.gov.uk/government/organisations/ministry-of-justice" TargetMode="External"/><Relationship Id="rId97" Type="http://schemas.openxmlformats.org/officeDocument/2006/relationships/hyperlink" Target="https://www.gov.uk/government/uploads/system/uploads/attachment_data/file/350366/LIT_7914.xlsx" TargetMode="External"/><Relationship Id="rId104" Type="http://schemas.openxmlformats.org/officeDocument/2006/relationships/hyperlink" Target="https://www.gov.uk/government/uploads/system/uploads/attachment_data/file/401046/LIT_10083.xlsx" TargetMode="External"/><Relationship Id="rId7" Type="http://schemas.openxmlformats.org/officeDocument/2006/relationships/settings" Target="settings.xml"/><Relationship Id="rId71" Type="http://schemas.openxmlformats.org/officeDocument/2006/relationships/hyperlink" Target="https://www.gov.uk/government/organisations/ministry-of-justice" TargetMode="External"/><Relationship Id="rId92" Type="http://schemas.openxmlformats.org/officeDocument/2006/relationships/hyperlink" Target="https://www.gov.uk/government/publications/climate-change-agreements-technical-guidance" TargetMode="External"/><Relationship Id="rId2" Type="http://schemas.openxmlformats.org/officeDocument/2006/relationships/customXml" Target="../customXml/item2.xml"/><Relationship Id="rId29" Type="http://schemas.openxmlformats.org/officeDocument/2006/relationships/hyperlink" Target="https://www.gov.uk/government/publications/climate-change-agreements-technical-guidance" TargetMode="External"/><Relationship Id="rId24" Type="http://schemas.openxmlformats.org/officeDocument/2006/relationships/hyperlink" Target="https://www.gov.uk/guidance/energy-efficiency-standards-for-industrial-plants-to-get-environmental-permits" TargetMode="External"/><Relationship Id="rId40" Type="http://schemas.openxmlformats.org/officeDocument/2006/relationships/hyperlink" Target="https://www.gov.uk/government/publications/climate-change-agreements-technical-guidance" TargetMode="External"/><Relationship Id="rId45" Type="http://schemas.openxmlformats.org/officeDocument/2006/relationships/hyperlink" Target="https://www.gov.uk/government/publications/climate-change-agreements-charging-scheme-april-2013" TargetMode="External"/><Relationship Id="rId66" Type="http://schemas.openxmlformats.org/officeDocument/2006/relationships/hyperlink" Target="https://www.gov.uk/government/organisations/hm-courts-and-tribunals-service/about" TargetMode="External"/><Relationship Id="rId87" Type="http://schemas.openxmlformats.org/officeDocument/2006/relationships/hyperlink" Target="https://www.gov.uk/government/publications/climate-change-agreements-technical-guidance" TargetMode="External"/><Relationship Id="rId110" Type="http://schemas.openxmlformats.org/officeDocument/2006/relationships/footer" Target="footer3.xml"/><Relationship Id="rId61" Type="http://schemas.openxmlformats.org/officeDocument/2006/relationships/hyperlink" Target="https://www.gov.uk/government/organisations/hm-courts-and-tribunals-service/about" TargetMode="External"/><Relationship Id="rId82" Type="http://schemas.openxmlformats.org/officeDocument/2006/relationships/hyperlink" Target="mailto:CCAPayments@environment-agency.gov.uk" TargetMode="External"/><Relationship Id="rId19" Type="http://schemas.openxmlformats.org/officeDocument/2006/relationships/hyperlink" Target="https://www.gov.uk/government/publications/climate-change-agreements-operations-manual--2" TargetMode="External"/><Relationship Id="rId14" Type="http://schemas.openxmlformats.org/officeDocument/2006/relationships/footer" Target="footer2.xml"/><Relationship Id="rId30" Type="http://schemas.openxmlformats.org/officeDocument/2006/relationships/hyperlink" Target="https://www.gov.uk/government/publications/climate-change-agreements-technical-guidance" TargetMode="External"/><Relationship Id="rId35" Type="http://schemas.openxmlformats.org/officeDocument/2006/relationships/hyperlink" Target="https://www.gov.uk/government/publications/climate-change-agreements-technical-guidance" TargetMode="External"/><Relationship Id="rId56" Type="http://schemas.openxmlformats.org/officeDocument/2006/relationships/hyperlink" Target="https://www.gov.uk/government/publications/environment-agency-enforcement-and-sanctions-policy/annex-2-climate-change-schemes-the-environment-agencys-approach-to-applying-civil-penalties" TargetMode="External"/><Relationship Id="rId77" Type="http://schemas.openxmlformats.org/officeDocument/2006/relationships/hyperlink" Target="mailto:grc@justice.gov.uk" TargetMode="External"/><Relationship Id="rId100" Type="http://schemas.openxmlformats.org/officeDocument/2006/relationships/hyperlink" Target="https://assets.publishing.service.gov.uk/media/6ac3a6061ef3e896de979373/CCA3_facility_base_year_and_target_data_template.xlsx" TargetMode="External"/><Relationship Id="rId105" Type="http://schemas.openxmlformats.org/officeDocument/2006/relationships/hyperlink" Target="https://www.gov.uk/government/uploads/system/uploads/attachment_data/file/401050/LIT_10086.xlsx" TargetMode="External"/><Relationship Id="rId8" Type="http://schemas.openxmlformats.org/officeDocument/2006/relationships/webSettings" Target="webSettings.xml"/><Relationship Id="rId51" Type="http://schemas.openxmlformats.org/officeDocument/2006/relationships/hyperlink" Target="https://www.gov.uk/government/publications/environment-agency-enforcement-and-sanctions-policy" TargetMode="External"/><Relationship Id="rId72" Type="http://schemas.openxmlformats.org/officeDocument/2006/relationships/hyperlink" Target="https://www.gov.uk/government/organisations/ministry-of-justice" TargetMode="External"/><Relationship Id="rId93" Type="http://schemas.openxmlformats.org/officeDocument/2006/relationships/hyperlink" Target="https://www.gov.uk/government/publications/climate-change-agreements-technical-guidance" TargetMode="External"/><Relationship Id="rId98" Type="http://schemas.openxmlformats.org/officeDocument/2006/relationships/hyperlink" Target="https://www.gov.uk/government/uploads/system/uploads/attachment_data/file/350366/LIT_7914.xlsx" TargetMode="External"/><Relationship Id="rId3" Type="http://schemas.openxmlformats.org/officeDocument/2006/relationships/customXml" Target="../customXml/item3.xml"/><Relationship Id="rId25" Type="http://schemas.openxmlformats.org/officeDocument/2006/relationships/hyperlink" Target="https://www.gov.uk/government/publications/climate-change-agreements-technical-guidance" TargetMode="External"/><Relationship Id="rId46" Type="http://schemas.openxmlformats.org/officeDocument/2006/relationships/hyperlink" Target="https://www.gov.uk/government/publications/climate-change-agreements-charging-scheme-april-2013" TargetMode="External"/><Relationship Id="rId67" Type="http://schemas.openxmlformats.org/officeDocument/2006/relationships/hyperlink" Target="https://www.gov.uk/government/organisations/hm-courts-and-tribunals-service/about" TargetMode="External"/><Relationship Id="rId20" Type="http://schemas.openxmlformats.org/officeDocument/2006/relationships/hyperlink" Target="https://manage-your-climate-change-agreements.service.gov.uk/landing" TargetMode="External"/><Relationship Id="rId41" Type="http://schemas.openxmlformats.org/officeDocument/2006/relationships/hyperlink" Target="https://www.gov.uk/government/publications/climate-change-agreements-technical-guidance" TargetMode="External"/><Relationship Id="rId62" Type="http://schemas.openxmlformats.org/officeDocument/2006/relationships/hyperlink" Target="https://www.gov.uk/government/organisations/hm-courts-and-tribunals-service/about" TargetMode="External"/><Relationship Id="rId83" Type="http://schemas.openxmlformats.org/officeDocument/2006/relationships/hyperlink" Target="mailto:CCAPayments@environment-agency.gov.uk" TargetMode="External"/><Relationship Id="rId88" Type="http://schemas.openxmlformats.org/officeDocument/2006/relationships/hyperlink" Target="https://www.gov.uk/government/publications/climate-change-agreements-statutory-guidance/climate-change-agreements-statutory-guidance-2026-accessible-webpage" TargetMode="External"/><Relationship Id="rId111"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FE5F54692E514CB2AEA097AE037329" ma:contentTypeVersion="14" ma:contentTypeDescription="Create a new document." ma:contentTypeScope="" ma:versionID="dfda370ace1072ed37b88ec227f85d91">
  <xsd:schema xmlns:xsd="http://www.w3.org/2001/XMLSchema" xmlns:xs="http://www.w3.org/2001/XMLSchema" xmlns:p="http://schemas.microsoft.com/office/2006/metadata/properties" xmlns:ns2="10b270c1-eef4-4c01-b2a6-f58cdd2b8ede" xmlns:ns3="662745e8-e224-48e8-a2e3-254862b8c2f5" xmlns:ns4="a419be38-4df6-424f-97b0-bdabc0d49042" targetNamespace="http://schemas.microsoft.com/office/2006/metadata/properties" ma:root="true" ma:fieldsID="4118e64ef635a8a25aa4a17c646efcd5" ns2:_="" ns3:_="" ns4:_="">
    <xsd:import namespace="10b270c1-eef4-4c01-b2a6-f58cdd2b8ede"/>
    <xsd:import namespace="662745e8-e224-48e8-a2e3-254862b8c2f5"/>
    <xsd:import namespace="a419be38-4df6-424f-97b0-bdabc0d490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4:SharedWithUsers" minOccurs="0"/>
                <xsd:element ref="ns4: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b270c1-eef4-4c01-b2a6-f58cdd2b8e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15f3799-e3ff-4dfb-a2c0-a6dc2dea0a0f}" ma:internalName="TaxCatchAll" ma:showField="CatchAllData" ma:web="a419be38-4df6-424f-97b0-bdabc0d4904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19be38-4df6-424f-97b0-bdabc0d4904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0b270c1-eef4-4c01-b2a6-f58cdd2b8ede">
      <Terms xmlns="http://schemas.microsoft.com/office/infopath/2007/PartnerControls"/>
    </lcf76f155ced4ddcb4097134ff3c332f>
    <TaxCatchAll xmlns="662745e8-e224-48e8-a2e3-254862b8c2f5" xsi:nil="true"/>
  </documentManagement>
</p:properties>
</file>

<file path=customXml/itemProps1.xml><?xml version="1.0" encoding="utf-8"?>
<ds:datastoreItem xmlns:ds="http://schemas.openxmlformats.org/officeDocument/2006/customXml" ds:itemID="{3D3D5E05-CAAC-450E-8105-582B6AD30D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b270c1-eef4-4c01-b2a6-f58cdd2b8ede"/>
    <ds:schemaRef ds:uri="662745e8-e224-48e8-a2e3-254862b8c2f5"/>
    <ds:schemaRef ds:uri="a419be38-4df6-424f-97b0-bdabc0d49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53CD96-7D95-4101-AB0A-839B54B3B8AB}">
  <ds:schemaRefs>
    <ds:schemaRef ds:uri="http://schemas.microsoft.com/sharepoint/v3/contenttype/forms"/>
  </ds:schemaRefs>
</ds:datastoreItem>
</file>

<file path=customXml/itemProps3.xml><?xml version="1.0" encoding="utf-8"?>
<ds:datastoreItem xmlns:ds="http://schemas.openxmlformats.org/officeDocument/2006/customXml" ds:itemID="{F5E9551B-5A34-4A13-B4E9-8F1C57C63018}">
  <ds:schemaRefs>
    <ds:schemaRef ds:uri="http://schemas.openxmlformats.org/officeDocument/2006/bibliography"/>
  </ds:schemaRefs>
</ds:datastoreItem>
</file>

<file path=customXml/itemProps4.xml><?xml version="1.0" encoding="utf-8"?>
<ds:datastoreItem xmlns:ds="http://schemas.openxmlformats.org/officeDocument/2006/customXml" ds:itemID="{AA478C0F-B5F1-4C03-8767-7A4577A7F826}">
  <ds:schemaRefs>
    <ds:schemaRef ds:uri="http://schemas.microsoft.com/office/2006/metadata/properties"/>
    <ds:schemaRef ds:uri="http://schemas.microsoft.com/office/infopath/2007/PartnerControls"/>
    <ds:schemaRef ds:uri="10b270c1-eef4-4c01-b2a6-f58cdd2b8ede"/>
    <ds:schemaRef ds:uri="662745e8-e224-48e8-a2e3-254862b8c2f5"/>
  </ds:schemaRefs>
</ds:datastoreItem>
</file>

<file path=docMetadata/LabelInfo.xml><?xml version="1.0" encoding="utf-8"?>
<clbl:labelList xmlns:clbl="http://schemas.microsoft.com/office/2020/mipLabelMetadata">
  <clbl:label id="{59096ad9-8b60-446a-90b7-017dbb9421a3}" enabled="1" method="Standard" siteId="{3d234255-e20f-4205-88a5-9658a402999b}" removed="0"/>
  <clbl:label id="{c602cab8-3946-432a-85f1-8b9b29477bb4}" enabled="1" method="Privileged" siteId="{cbac7005-02c1-43eb-b497-e6492d1b2dd8}" removed="0"/>
</clbl:labelList>
</file>

<file path=docProps/app.xml><?xml version="1.0" encoding="utf-8"?>
<Properties xmlns="http://schemas.openxmlformats.org/officeDocument/2006/extended-properties" xmlns:vt="http://schemas.openxmlformats.org/officeDocument/2006/docPropsVTypes">
  <Template>Normal</Template>
  <TotalTime>0</TotalTime>
  <Pages>148</Pages>
  <Words>48570</Words>
  <Characters>276854</Characters>
  <Application>Microsoft Office Word</Application>
  <DocSecurity>0</DocSecurity>
  <Lines>2307</Lines>
  <Paragraphs>649</Paragraphs>
  <ScaleCrop>false</ScaleCrop>
  <HeadingPairs>
    <vt:vector size="2" baseType="variant">
      <vt:variant>
        <vt:lpstr>Title</vt:lpstr>
      </vt:variant>
      <vt:variant>
        <vt:i4>1</vt:i4>
      </vt:variant>
    </vt:vector>
  </HeadingPairs>
  <TitlesOfParts>
    <vt:vector size="1" baseType="lpstr">
      <vt:lpstr>Climate Change Agreements Operations Manual</vt:lpstr>
    </vt:vector>
  </TitlesOfParts>
  <Company/>
  <LinksUpToDate>false</LinksUpToDate>
  <CharactersWithSpaces>324775</CharactersWithSpaces>
  <SharedDoc>false</SharedDoc>
  <HLinks>
    <vt:vector size="3360" baseType="variant">
      <vt:variant>
        <vt:i4>589911</vt:i4>
      </vt:variant>
      <vt:variant>
        <vt:i4>1935</vt:i4>
      </vt:variant>
      <vt:variant>
        <vt:i4>0</vt:i4>
      </vt:variant>
      <vt:variant>
        <vt:i4>5</vt:i4>
      </vt:variant>
      <vt:variant>
        <vt:lpwstr>https://www.gov.uk/government/uploads/system/uploads/attachment_data/file/401050/LIT_10086.xlsx</vt:lpwstr>
      </vt:variant>
      <vt:variant>
        <vt:lpwstr/>
      </vt:variant>
      <vt:variant>
        <vt:i4>589911</vt:i4>
      </vt:variant>
      <vt:variant>
        <vt:i4>1932</vt:i4>
      </vt:variant>
      <vt:variant>
        <vt:i4>0</vt:i4>
      </vt:variant>
      <vt:variant>
        <vt:i4>5</vt:i4>
      </vt:variant>
      <vt:variant>
        <vt:lpwstr>https://www.gov.uk/government/uploads/system/uploads/attachment_data/file/401050/LIT_10086.xlsx</vt:lpwstr>
      </vt:variant>
      <vt:variant>
        <vt:lpwstr/>
      </vt:variant>
      <vt:variant>
        <vt:i4>589911</vt:i4>
      </vt:variant>
      <vt:variant>
        <vt:i4>1929</vt:i4>
      </vt:variant>
      <vt:variant>
        <vt:i4>0</vt:i4>
      </vt:variant>
      <vt:variant>
        <vt:i4>5</vt:i4>
      </vt:variant>
      <vt:variant>
        <vt:lpwstr>https://www.gov.uk/government/uploads/system/uploads/attachment_data/file/401050/LIT_10086.xlsx</vt:lpwstr>
      </vt:variant>
      <vt:variant>
        <vt:lpwstr/>
      </vt:variant>
      <vt:variant>
        <vt:i4>589911</vt:i4>
      </vt:variant>
      <vt:variant>
        <vt:i4>1926</vt:i4>
      </vt:variant>
      <vt:variant>
        <vt:i4>0</vt:i4>
      </vt:variant>
      <vt:variant>
        <vt:i4>5</vt:i4>
      </vt:variant>
      <vt:variant>
        <vt:lpwstr>https://www.gov.uk/government/uploads/system/uploads/attachment_data/file/401050/LIT_10086.xlsx</vt:lpwstr>
      </vt:variant>
      <vt:variant>
        <vt:lpwstr/>
      </vt:variant>
      <vt:variant>
        <vt:i4>655446</vt:i4>
      </vt:variant>
      <vt:variant>
        <vt:i4>1923</vt:i4>
      </vt:variant>
      <vt:variant>
        <vt:i4>0</vt:i4>
      </vt:variant>
      <vt:variant>
        <vt:i4>5</vt:i4>
      </vt:variant>
      <vt:variant>
        <vt:lpwstr>https://www.gov.uk/government/uploads/system/uploads/attachment_data/file/401046/LIT_10083.xlsx</vt:lpwstr>
      </vt:variant>
      <vt:variant>
        <vt:lpwstr/>
      </vt:variant>
      <vt:variant>
        <vt:i4>655446</vt:i4>
      </vt:variant>
      <vt:variant>
        <vt:i4>1920</vt:i4>
      </vt:variant>
      <vt:variant>
        <vt:i4>0</vt:i4>
      </vt:variant>
      <vt:variant>
        <vt:i4>5</vt:i4>
      </vt:variant>
      <vt:variant>
        <vt:lpwstr>https://www.gov.uk/government/uploads/system/uploads/attachment_data/file/401046/LIT_10083.xlsx</vt:lpwstr>
      </vt:variant>
      <vt:variant>
        <vt:lpwstr/>
      </vt:variant>
      <vt:variant>
        <vt:i4>655446</vt:i4>
      </vt:variant>
      <vt:variant>
        <vt:i4>1917</vt:i4>
      </vt:variant>
      <vt:variant>
        <vt:i4>0</vt:i4>
      </vt:variant>
      <vt:variant>
        <vt:i4>5</vt:i4>
      </vt:variant>
      <vt:variant>
        <vt:lpwstr>https://www.gov.uk/government/uploads/system/uploads/attachment_data/file/401046/LIT_10083.xlsx</vt:lpwstr>
      </vt:variant>
      <vt:variant>
        <vt:lpwstr/>
      </vt:variant>
      <vt:variant>
        <vt:i4>655446</vt:i4>
      </vt:variant>
      <vt:variant>
        <vt:i4>1914</vt:i4>
      </vt:variant>
      <vt:variant>
        <vt:i4>0</vt:i4>
      </vt:variant>
      <vt:variant>
        <vt:i4>5</vt:i4>
      </vt:variant>
      <vt:variant>
        <vt:lpwstr>https://www.gov.uk/government/uploads/system/uploads/attachment_data/file/401046/LIT_10083.xlsx</vt:lpwstr>
      </vt:variant>
      <vt:variant>
        <vt:lpwstr/>
      </vt:variant>
      <vt:variant>
        <vt:i4>983095</vt:i4>
      </vt:variant>
      <vt:variant>
        <vt:i4>1911</vt:i4>
      </vt:variant>
      <vt:variant>
        <vt:i4>0</vt:i4>
      </vt:variant>
      <vt:variant>
        <vt:i4>5</vt:i4>
      </vt:variant>
      <vt:variant>
        <vt:lpwstr>https://assets.publishing.service.gov.uk/media/6ac3a6061ef3e896de979373/CCA3_facility_base_year_and_target_data_template.xlsx</vt:lpwstr>
      </vt:variant>
      <vt:variant>
        <vt:lpwstr/>
      </vt:variant>
      <vt:variant>
        <vt:i4>589854</vt:i4>
      </vt:variant>
      <vt:variant>
        <vt:i4>1908</vt:i4>
      </vt:variant>
      <vt:variant>
        <vt:i4>0</vt:i4>
      </vt:variant>
      <vt:variant>
        <vt:i4>5</vt:i4>
      </vt:variant>
      <vt:variant>
        <vt:lpwstr>https://www.gov.uk/government/uploads/system/uploads/attachment_data/file/350366/LIT_7914.xlsx</vt:lpwstr>
      </vt:variant>
      <vt:variant>
        <vt:lpwstr/>
      </vt:variant>
      <vt:variant>
        <vt:i4>589854</vt:i4>
      </vt:variant>
      <vt:variant>
        <vt:i4>1905</vt:i4>
      </vt:variant>
      <vt:variant>
        <vt:i4>0</vt:i4>
      </vt:variant>
      <vt:variant>
        <vt:i4>5</vt:i4>
      </vt:variant>
      <vt:variant>
        <vt:lpwstr>https://www.gov.uk/government/uploads/system/uploads/attachment_data/file/350366/LIT_7914.xlsx</vt:lpwstr>
      </vt:variant>
      <vt:variant>
        <vt:lpwstr/>
      </vt:variant>
      <vt:variant>
        <vt:i4>589854</vt:i4>
      </vt:variant>
      <vt:variant>
        <vt:i4>1902</vt:i4>
      </vt:variant>
      <vt:variant>
        <vt:i4>0</vt:i4>
      </vt:variant>
      <vt:variant>
        <vt:i4>5</vt:i4>
      </vt:variant>
      <vt:variant>
        <vt:lpwstr>https://www.gov.uk/government/uploads/system/uploads/attachment_data/file/350366/LIT_7914.xlsx</vt:lpwstr>
      </vt:variant>
      <vt:variant>
        <vt:lpwstr/>
      </vt:variant>
      <vt:variant>
        <vt:i4>3407927</vt:i4>
      </vt:variant>
      <vt:variant>
        <vt:i4>1899</vt:i4>
      </vt:variant>
      <vt:variant>
        <vt:i4>0</vt:i4>
      </vt:variant>
      <vt:variant>
        <vt:i4>5</vt:i4>
      </vt:variant>
      <vt:variant>
        <vt:lpwstr>http://www.nationalgrid.com/uk</vt:lpwstr>
      </vt:variant>
      <vt:variant>
        <vt:lpwstr/>
      </vt:variant>
      <vt:variant>
        <vt:i4>1441802</vt:i4>
      </vt:variant>
      <vt:variant>
        <vt:i4>1896</vt:i4>
      </vt:variant>
      <vt:variant>
        <vt:i4>0</vt:i4>
      </vt:variant>
      <vt:variant>
        <vt:i4>5</vt:i4>
      </vt:variant>
      <vt:variant>
        <vt:lpwstr>https://www.gov.uk/government/publications/rgn-2-understanding-the-meaning-of-regulated-facility</vt:lpwstr>
      </vt:variant>
      <vt:variant>
        <vt:lpwstr/>
      </vt:variant>
      <vt:variant>
        <vt:i4>7405674</vt:i4>
      </vt:variant>
      <vt:variant>
        <vt:i4>1893</vt:i4>
      </vt:variant>
      <vt:variant>
        <vt:i4>0</vt:i4>
      </vt:variant>
      <vt:variant>
        <vt:i4>5</vt:i4>
      </vt:variant>
      <vt:variant>
        <vt:lpwstr>https://www.gov.uk/government/publications/climate-change-agreements-technical-guidance</vt:lpwstr>
      </vt:variant>
      <vt:variant>
        <vt:lpwstr/>
      </vt:variant>
      <vt:variant>
        <vt:i4>7405674</vt:i4>
      </vt:variant>
      <vt:variant>
        <vt:i4>1890</vt:i4>
      </vt:variant>
      <vt:variant>
        <vt:i4>0</vt:i4>
      </vt:variant>
      <vt:variant>
        <vt:i4>5</vt:i4>
      </vt:variant>
      <vt:variant>
        <vt:lpwstr>https://www.gov.uk/government/publications/climate-change-agreements-technical-guidance</vt:lpwstr>
      </vt:variant>
      <vt:variant>
        <vt:lpwstr/>
      </vt:variant>
      <vt:variant>
        <vt:i4>7405674</vt:i4>
      </vt:variant>
      <vt:variant>
        <vt:i4>1887</vt:i4>
      </vt:variant>
      <vt:variant>
        <vt:i4>0</vt:i4>
      </vt:variant>
      <vt:variant>
        <vt:i4>5</vt:i4>
      </vt:variant>
      <vt:variant>
        <vt:lpwstr>https://www.gov.uk/government/publications/climate-change-agreements-technical-guidance</vt:lpwstr>
      </vt:variant>
      <vt:variant>
        <vt:lpwstr/>
      </vt:variant>
      <vt:variant>
        <vt:i4>7405674</vt:i4>
      </vt:variant>
      <vt:variant>
        <vt:i4>1884</vt:i4>
      </vt:variant>
      <vt:variant>
        <vt:i4>0</vt:i4>
      </vt:variant>
      <vt:variant>
        <vt:i4>5</vt:i4>
      </vt:variant>
      <vt:variant>
        <vt:lpwstr>https://www.gov.uk/government/publications/climate-change-agreements-technical-guidance</vt:lpwstr>
      </vt:variant>
      <vt:variant>
        <vt:lpwstr/>
      </vt:variant>
      <vt:variant>
        <vt:i4>7405674</vt:i4>
      </vt:variant>
      <vt:variant>
        <vt:i4>1881</vt:i4>
      </vt:variant>
      <vt:variant>
        <vt:i4>0</vt:i4>
      </vt:variant>
      <vt:variant>
        <vt:i4>5</vt:i4>
      </vt:variant>
      <vt:variant>
        <vt:lpwstr>https://www.gov.uk/government/publications/climate-change-agreements-technical-guidance</vt:lpwstr>
      </vt:variant>
      <vt:variant>
        <vt:lpwstr/>
      </vt:variant>
      <vt:variant>
        <vt:i4>7405674</vt:i4>
      </vt:variant>
      <vt:variant>
        <vt:i4>1878</vt:i4>
      </vt:variant>
      <vt:variant>
        <vt:i4>0</vt:i4>
      </vt:variant>
      <vt:variant>
        <vt:i4>5</vt:i4>
      </vt:variant>
      <vt:variant>
        <vt:lpwstr>https://www.gov.uk/government/publications/climate-change-agreements-technical-guidance</vt:lpwstr>
      </vt:variant>
      <vt:variant>
        <vt:lpwstr/>
      </vt:variant>
      <vt:variant>
        <vt:i4>8192114</vt:i4>
      </vt:variant>
      <vt:variant>
        <vt:i4>1875</vt:i4>
      </vt:variant>
      <vt:variant>
        <vt:i4>0</vt:i4>
      </vt:variant>
      <vt:variant>
        <vt:i4>5</vt:i4>
      </vt:variant>
      <vt:variant>
        <vt:lpwstr/>
      </vt:variant>
      <vt:variant>
        <vt:lpwstr>Reportingperiod</vt:lpwstr>
      </vt:variant>
      <vt:variant>
        <vt:i4>1441811</vt:i4>
      </vt:variant>
      <vt:variant>
        <vt:i4>1872</vt:i4>
      </vt:variant>
      <vt:variant>
        <vt:i4>0</vt:i4>
      </vt:variant>
      <vt:variant>
        <vt:i4>5</vt:i4>
      </vt:variant>
      <vt:variant>
        <vt:lpwstr/>
      </vt:variant>
      <vt:variant>
        <vt:lpwstr>Schedule2</vt:lpwstr>
      </vt:variant>
      <vt:variant>
        <vt:i4>4784225</vt:i4>
      </vt:variant>
      <vt:variant>
        <vt:i4>1869</vt:i4>
      </vt:variant>
      <vt:variant>
        <vt:i4>0</vt:i4>
      </vt:variant>
      <vt:variant>
        <vt:i4>5</vt:i4>
      </vt:variant>
      <vt:variant>
        <vt:lpwstr/>
      </vt:variant>
      <vt:variant>
        <vt:lpwstr>_7.5._Review_of</vt:lpwstr>
      </vt:variant>
      <vt:variant>
        <vt:i4>5963832</vt:i4>
      </vt:variant>
      <vt:variant>
        <vt:i4>1866</vt:i4>
      </vt:variant>
      <vt:variant>
        <vt:i4>0</vt:i4>
      </vt:variant>
      <vt:variant>
        <vt:i4>5</vt:i4>
      </vt:variant>
      <vt:variant>
        <vt:lpwstr/>
      </vt:variant>
      <vt:variant>
        <vt:lpwstr>_3.3.3._Step_3:</vt:lpwstr>
      </vt:variant>
      <vt:variant>
        <vt:i4>7340051</vt:i4>
      </vt:variant>
      <vt:variant>
        <vt:i4>1863</vt:i4>
      </vt:variant>
      <vt:variant>
        <vt:i4>0</vt:i4>
      </vt:variant>
      <vt:variant>
        <vt:i4>5</vt:i4>
      </vt:variant>
      <vt:variant>
        <vt:lpwstr/>
      </vt:variant>
      <vt:variant>
        <vt:lpwstr>_Appendix_B:_Register</vt:lpwstr>
      </vt:variant>
      <vt:variant>
        <vt:i4>852091</vt:i4>
      </vt:variant>
      <vt:variant>
        <vt:i4>1860</vt:i4>
      </vt:variant>
      <vt:variant>
        <vt:i4>0</vt:i4>
      </vt:variant>
      <vt:variant>
        <vt:i4>5</vt:i4>
      </vt:variant>
      <vt:variant>
        <vt:lpwstr/>
      </vt:variant>
      <vt:variant>
        <vt:lpwstr>_Appendix_B:_Reporting</vt:lpwstr>
      </vt:variant>
      <vt:variant>
        <vt:i4>1703950</vt:i4>
      </vt:variant>
      <vt:variant>
        <vt:i4>1857</vt:i4>
      </vt:variant>
      <vt:variant>
        <vt:i4>0</vt:i4>
      </vt:variant>
      <vt:variant>
        <vt:i4>5</vt:i4>
      </vt:variant>
      <vt:variant>
        <vt:lpwstr/>
      </vt:variant>
      <vt:variant>
        <vt:lpwstr>Targetperiod</vt:lpwstr>
      </vt:variant>
      <vt:variant>
        <vt:i4>5701701</vt:i4>
      </vt:variant>
      <vt:variant>
        <vt:i4>1854</vt:i4>
      </vt:variant>
      <vt:variant>
        <vt:i4>0</vt:i4>
      </vt:variant>
      <vt:variant>
        <vt:i4>5</vt:i4>
      </vt:variant>
      <vt:variant>
        <vt:lpwstr>https://www.gov.uk/government/publications/climate-change-agreements-statutory-guidance/climate-change-agreements-statutory-guidance-2026-accessible-webpage</vt:lpwstr>
      </vt:variant>
      <vt:variant>
        <vt:lpwstr/>
      </vt:variant>
      <vt:variant>
        <vt:i4>6488163</vt:i4>
      </vt:variant>
      <vt:variant>
        <vt:i4>1851</vt:i4>
      </vt:variant>
      <vt:variant>
        <vt:i4>0</vt:i4>
      </vt:variant>
      <vt:variant>
        <vt:i4>5</vt:i4>
      </vt:variant>
      <vt:variant>
        <vt:lpwstr/>
      </vt:variant>
      <vt:variant>
        <vt:lpwstr>CCL</vt:lpwstr>
      </vt:variant>
      <vt:variant>
        <vt:i4>7274605</vt:i4>
      </vt:variant>
      <vt:variant>
        <vt:i4>1848</vt:i4>
      </vt:variant>
      <vt:variant>
        <vt:i4>0</vt:i4>
      </vt:variant>
      <vt:variant>
        <vt:i4>5</vt:i4>
      </vt:variant>
      <vt:variant>
        <vt:lpwstr/>
      </vt:variant>
      <vt:variant>
        <vt:lpwstr>MOA</vt:lpwstr>
      </vt:variant>
      <vt:variant>
        <vt:i4>6422646</vt:i4>
      </vt:variant>
      <vt:variant>
        <vt:i4>1845</vt:i4>
      </vt:variant>
      <vt:variant>
        <vt:i4>0</vt:i4>
      </vt:variant>
      <vt:variant>
        <vt:i4>5</vt:i4>
      </vt:variant>
      <vt:variant>
        <vt:lpwstr/>
      </vt:variant>
      <vt:variant>
        <vt:lpwstr>Secondaryreporting</vt:lpwstr>
      </vt:variant>
      <vt:variant>
        <vt:i4>65573</vt:i4>
      </vt:variant>
      <vt:variant>
        <vt:i4>1842</vt:i4>
      </vt:variant>
      <vt:variant>
        <vt:i4>0</vt:i4>
      </vt:variant>
      <vt:variant>
        <vt:i4>5</vt:i4>
      </vt:variant>
      <vt:variant>
        <vt:lpwstr/>
      </vt:variant>
      <vt:variant>
        <vt:lpwstr>_7._Changing_an</vt:lpwstr>
      </vt:variant>
      <vt:variant>
        <vt:i4>3801088</vt:i4>
      </vt:variant>
      <vt:variant>
        <vt:i4>1839</vt:i4>
      </vt:variant>
      <vt:variant>
        <vt:i4>0</vt:i4>
      </vt:variant>
      <vt:variant>
        <vt:i4>5</vt:i4>
      </vt:variant>
      <vt:variant>
        <vt:lpwstr/>
      </vt:variant>
      <vt:variant>
        <vt:lpwstr>_8._Application_of</vt:lpwstr>
      </vt:variant>
      <vt:variant>
        <vt:i4>1245193</vt:i4>
      </vt:variant>
      <vt:variant>
        <vt:i4>1836</vt:i4>
      </vt:variant>
      <vt:variant>
        <vt:i4>0</vt:i4>
      </vt:variant>
      <vt:variant>
        <vt:i4>5</vt:i4>
      </vt:variant>
      <vt:variant>
        <vt:lpwstr/>
      </vt:variant>
      <vt:variant>
        <vt:lpwstr>baseyear</vt:lpwstr>
      </vt:variant>
      <vt:variant>
        <vt:i4>6422622</vt:i4>
      </vt:variant>
      <vt:variant>
        <vt:i4>1833</vt:i4>
      </vt:variant>
      <vt:variant>
        <vt:i4>0</vt:i4>
      </vt:variant>
      <vt:variant>
        <vt:i4>5</vt:i4>
      </vt:variant>
      <vt:variant>
        <vt:lpwstr/>
      </vt:variant>
      <vt:variant>
        <vt:lpwstr>_7.5.1._Structural_change</vt:lpwstr>
      </vt:variant>
      <vt:variant>
        <vt:i4>1310845</vt:i4>
      </vt:variant>
      <vt:variant>
        <vt:i4>1830</vt:i4>
      </vt:variant>
      <vt:variant>
        <vt:i4>0</vt:i4>
      </vt:variant>
      <vt:variant>
        <vt:i4>5</vt:i4>
      </vt:variant>
      <vt:variant>
        <vt:lpwstr/>
      </vt:variant>
      <vt:variant>
        <vt:lpwstr>_Appendix_F:_Estimation</vt:lpwstr>
      </vt:variant>
      <vt:variant>
        <vt:i4>6946942</vt:i4>
      </vt:variant>
      <vt:variant>
        <vt:i4>1827</vt:i4>
      </vt:variant>
      <vt:variant>
        <vt:i4>0</vt:i4>
      </vt:variant>
      <vt:variant>
        <vt:i4>5</vt:i4>
      </vt:variant>
      <vt:variant>
        <vt:lpwstr/>
      </vt:variant>
      <vt:variant>
        <vt:lpwstr>Targetfacility</vt:lpwstr>
      </vt:variant>
      <vt:variant>
        <vt:i4>851974</vt:i4>
      </vt:variant>
      <vt:variant>
        <vt:i4>1824</vt:i4>
      </vt:variant>
      <vt:variant>
        <vt:i4>0</vt:i4>
      </vt:variant>
      <vt:variant>
        <vt:i4>5</vt:i4>
      </vt:variant>
      <vt:variant>
        <vt:lpwstr/>
      </vt:variant>
      <vt:variant>
        <vt:lpwstr>Sectorassociation</vt:lpwstr>
      </vt:variant>
      <vt:variant>
        <vt:i4>7405674</vt:i4>
      </vt:variant>
      <vt:variant>
        <vt:i4>1821</vt:i4>
      </vt:variant>
      <vt:variant>
        <vt:i4>0</vt:i4>
      </vt:variant>
      <vt:variant>
        <vt:i4>5</vt:i4>
      </vt:variant>
      <vt:variant>
        <vt:lpwstr>https://www.gov.uk/government/publications/climate-change-agreements-technical-guidance</vt:lpwstr>
      </vt:variant>
      <vt:variant>
        <vt:lpwstr/>
      </vt:variant>
      <vt:variant>
        <vt:i4>7405674</vt:i4>
      </vt:variant>
      <vt:variant>
        <vt:i4>1818</vt:i4>
      </vt:variant>
      <vt:variant>
        <vt:i4>0</vt:i4>
      </vt:variant>
      <vt:variant>
        <vt:i4>5</vt:i4>
      </vt:variant>
      <vt:variant>
        <vt:lpwstr>https://www.gov.uk/government/publications/climate-change-agreements-technical-guidance</vt:lpwstr>
      </vt:variant>
      <vt:variant>
        <vt:lpwstr/>
      </vt:variant>
      <vt:variant>
        <vt:i4>7405674</vt:i4>
      </vt:variant>
      <vt:variant>
        <vt:i4>1815</vt:i4>
      </vt:variant>
      <vt:variant>
        <vt:i4>0</vt:i4>
      </vt:variant>
      <vt:variant>
        <vt:i4>5</vt:i4>
      </vt:variant>
      <vt:variant>
        <vt:lpwstr>https://www.gov.uk/government/publications/climate-change-agreements-technical-guidance</vt:lpwstr>
      </vt:variant>
      <vt:variant>
        <vt:lpwstr/>
      </vt:variant>
      <vt:variant>
        <vt:i4>7405674</vt:i4>
      </vt:variant>
      <vt:variant>
        <vt:i4>1812</vt:i4>
      </vt:variant>
      <vt:variant>
        <vt:i4>0</vt:i4>
      </vt:variant>
      <vt:variant>
        <vt:i4>5</vt:i4>
      </vt:variant>
      <vt:variant>
        <vt:lpwstr>https://www.gov.uk/government/publications/climate-change-agreements-technical-guidance</vt:lpwstr>
      </vt:variant>
      <vt:variant>
        <vt:lpwstr/>
      </vt:variant>
      <vt:variant>
        <vt:i4>8323173</vt:i4>
      </vt:variant>
      <vt:variant>
        <vt:i4>1809</vt:i4>
      </vt:variant>
      <vt:variant>
        <vt:i4>0</vt:i4>
      </vt:variant>
      <vt:variant>
        <vt:i4>5</vt:i4>
      </vt:variant>
      <vt:variant>
        <vt:lpwstr/>
      </vt:variant>
      <vt:variant>
        <vt:lpwstr>Charges</vt:lpwstr>
      </vt:variant>
      <vt:variant>
        <vt:i4>6422651</vt:i4>
      </vt:variant>
      <vt:variant>
        <vt:i4>1806</vt:i4>
      </vt:variant>
      <vt:variant>
        <vt:i4>0</vt:i4>
      </vt:variant>
      <vt:variant>
        <vt:i4>5</vt:i4>
      </vt:variant>
      <vt:variant>
        <vt:lpwstr/>
      </vt:variant>
      <vt:variant>
        <vt:lpwstr>Certificationperiod</vt:lpwstr>
      </vt:variant>
      <vt:variant>
        <vt:i4>6422651</vt:i4>
      </vt:variant>
      <vt:variant>
        <vt:i4>1803</vt:i4>
      </vt:variant>
      <vt:variant>
        <vt:i4>0</vt:i4>
      </vt:variant>
      <vt:variant>
        <vt:i4>5</vt:i4>
      </vt:variant>
      <vt:variant>
        <vt:lpwstr/>
      </vt:variant>
      <vt:variant>
        <vt:lpwstr>Certificationperiod</vt:lpwstr>
      </vt:variant>
      <vt:variant>
        <vt:i4>1704028</vt:i4>
      </vt:variant>
      <vt:variant>
        <vt:i4>1800</vt:i4>
      </vt:variant>
      <vt:variant>
        <vt:i4>0</vt:i4>
      </vt:variant>
      <vt:variant>
        <vt:i4>5</vt:i4>
      </vt:variant>
      <vt:variant>
        <vt:lpwstr/>
      </vt:variant>
      <vt:variant>
        <vt:lpwstr>_10.5.3._Recertification</vt:lpwstr>
      </vt:variant>
      <vt:variant>
        <vt:i4>1835013</vt:i4>
      </vt:variant>
      <vt:variant>
        <vt:i4>1797</vt:i4>
      </vt:variant>
      <vt:variant>
        <vt:i4>0</vt:i4>
      </vt:variant>
      <vt:variant>
        <vt:i4>5</vt:i4>
      </vt:variant>
      <vt:variant>
        <vt:lpwstr/>
      </vt:variant>
      <vt:variant>
        <vt:lpwstr>Audit</vt:lpwstr>
      </vt:variant>
      <vt:variant>
        <vt:i4>8192114</vt:i4>
      </vt:variant>
      <vt:variant>
        <vt:i4>1794</vt:i4>
      </vt:variant>
      <vt:variant>
        <vt:i4>0</vt:i4>
      </vt:variant>
      <vt:variant>
        <vt:i4>5</vt:i4>
      </vt:variant>
      <vt:variant>
        <vt:lpwstr/>
      </vt:variant>
      <vt:variant>
        <vt:lpwstr>Reportingperiod</vt:lpwstr>
      </vt:variant>
      <vt:variant>
        <vt:i4>7471228</vt:i4>
      </vt:variant>
      <vt:variant>
        <vt:i4>1791</vt:i4>
      </vt:variant>
      <vt:variant>
        <vt:i4>0</vt:i4>
      </vt:variant>
      <vt:variant>
        <vt:i4>5</vt:i4>
      </vt:variant>
      <vt:variant>
        <vt:lpwstr/>
      </vt:variant>
      <vt:variant>
        <vt:lpwstr>Secondarybuyout</vt:lpwstr>
      </vt:variant>
      <vt:variant>
        <vt:i4>786467</vt:i4>
      </vt:variant>
      <vt:variant>
        <vt:i4>1788</vt:i4>
      </vt:variant>
      <vt:variant>
        <vt:i4>0</vt:i4>
      </vt:variant>
      <vt:variant>
        <vt:i4>5</vt:i4>
      </vt:variant>
      <vt:variant>
        <vt:lpwstr>mailto:CCAPayments@environment-agency.gov.uk</vt:lpwstr>
      </vt:variant>
      <vt:variant>
        <vt:lpwstr/>
      </vt:variant>
      <vt:variant>
        <vt:i4>6422651</vt:i4>
      </vt:variant>
      <vt:variant>
        <vt:i4>1785</vt:i4>
      </vt:variant>
      <vt:variant>
        <vt:i4>0</vt:i4>
      </vt:variant>
      <vt:variant>
        <vt:i4>5</vt:i4>
      </vt:variant>
      <vt:variant>
        <vt:lpwstr/>
      </vt:variant>
      <vt:variant>
        <vt:lpwstr>Certificationperiod</vt:lpwstr>
      </vt:variant>
      <vt:variant>
        <vt:i4>786467</vt:i4>
      </vt:variant>
      <vt:variant>
        <vt:i4>1782</vt:i4>
      </vt:variant>
      <vt:variant>
        <vt:i4>0</vt:i4>
      </vt:variant>
      <vt:variant>
        <vt:i4>5</vt:i4>
      </vt:variant>
      <vt:variant>
        <vt:lpwstr>mailto:CCAPayments@environment-agency.gov.uk</vt:lpwstr>
      </vt:variant>
      <vt:variant>
        <vt:lpwstr/>
      </vt:variant>
      <vt:variant>
        <vt:i4>7274605</vt:i4>
      </vt:variant>
      <vt:variant>
        <vt:i4>1779</vt:i4>
      </vt:variant>
      <vt:variant>
        <vt:i4>0</vt:i4>
      </vt:variant>
      <vt:variant>
        <vt:i4>5</vt:i4>
      </vt:variant>
      <vt:variant>
        <vt:lpwstr/>
      </vt:variant>
      <vt:variant>
        <vt:lpwstr>MOA</vt:lpwstr>
      </vt:variant>
      <vt:variant>
        <vt:i4>6488163</vt:i4>
      </vt:variant>
      <vt:variant>
        <vt:i4>1776</vt:i4>
      </vt:variant>
      <vt:variant>
        <vt:i4>0</vt:i4>
      </vt:variant>
      <vt:variant>
        <vt:i4>5</vt:i4>
      </vt:variant>
      <vt:variant>
        <vt:lpwstr/>
      </vt:variant>
      <vt:variant>
        <vt:lpwstr>CCL</vt:lpwstr>
      </vt:variant>
      <vt:variant>
        <vt:i4>7340141</vt:i4>
      </vt:variant>
      <vt:variant>
        <vt:i4>1773</vt:i4>
      </vt:variant>
      <vt:variant>
        <vt:i4>0</vt:i4>
      </vt:variant>
      <vt:variant>
        <vt:i4>5</vt:i4>
      </vt:variant>
      <vt:variant>
        <vt:lpwstr/>
      </vt:variant>
      <vt:variant>
        <vt:lpwstr>Surplus</vt:lpwstr>
      </vt:variant>
      <vt:variant>
        <vt:i4>7209070</vt:i4>
      </vt:variant>
      <vt:variant>
        <vt:i4>1770</vt:i4>
      </vt:variant>
      <vt:variant>
        <vt:i4>0</vt:i4>
      </vt:variant>
      <vt:variant>
        <vt:i4>5</vt:i4>
      </vt:variant>
      <vt:variant>
        <vt:lpwstr/>
      </vt:variant>
      <vt:variant>
        <vt:lpwstr>Buyout</vt:lpwstr>
      </vt:variant>
      <vt:variant>
        <vt:i4>6684787</vt:i4>
      </vt:variant>
      <vt:variant>
        <vt:i4>1767</vt:i4>
      </vt:variant>
      <vt:variant>
        <vt:i4>0</vt:i4>
      </vt:variant>
      <vt:variant>
        <vt:i4>5</vt:i4>
      </vt:variant>
      <vt:variant>
        <vt:lpwstr/>
      </vt:variant>
      <vt:variant>
        <vt:lpwstr>Reportingwindow</vt:lpwstr>
      </vt:variant>
      <vt:variant>
        <vt:i4>2359393</vt:i4>
      </vt:variant>
      <vt:variant>
        <vt:i4>1764</vt:i4>
      </vt:variant>
      <vt:variant>
        <vt:i4>0</vt:i4>
      </vt:variant>
      <vt:variant>
        <vt:i4>5</vt:i4>
      </vt:variant>
      <vt:variant>
        <vt:lpwstr/>
      </vt:variant>
      <vt:variant>
        <vt:lpwstr>_Appendix_H:_Workbook_1</vt:lpwstr>
      </vt:variant>
      <vt:variant>
        <vt:i4>655389</vt:i4>
      </vt:variant>
      <vt:variant>
        <vt:i4>1761</vt:i4>
      </vt:variant>
      <vt:variant>
        <vt:i4>0</vt:i4>
      </vt:variant>
      <vt:variant>
        <vt:i4>5</vt:i4>
      </vt:variant>
      <vt:variant>
        <vt:lpwstr/>
      </vt:variant>
      <vt:variant>
        <vt:lpwstr>Primaryenergy</vt:lpwstr>
      </vt:variant>
      <vt:variant>
        <vt:i4>1966103</vt:i4>
      </vt:variant>
      <vt:variant>
        <vt:i4>1758</vt:i4>
      </vt:variant>
      <vt:variant>
        <vt:i4>0</vt:i4>
      </vt:variant>
      <vt:variant>
        <vt:i4>5</vt:i4>
      </vt:variant>
      <vt:variant>
        <vt:lpwstr/>
      </vt:variant>
      <vt:variant>
        <vt:lpwstr>Administrator</vt:lpwstr>
      </vt:variant>
      <vt:variant>
        <vt:i4>7405674</vt:i4>
      </vt:variant>
      <vt:variant>
        <vt:i4>1755</vt:i4>
      </vt:variant>
      <vt:variant>
        <vt:i4>0</vt:i4>
      </vt:variant>
      <vt:variant>
        <vt:i4>5</vt:i4>
      </vt:variant>
      <vt:variant>
        <vt:lpwstr>https://www.gov.uk/government/publications/climate-change-agreements-technical-guidance</vt:lpwstr>
      </vt:variant>
      <vt:variant>
        <vt:lpwstr/>
      </vt:variant>
      <vt:variant>
        <vt:i4>1966103</vt:i4>
      </vt:variant>
      <vt:variant>
        <vt:i4>1752</vt:i4>
      </vt:variant>
      <vt:variant>
        <vt:i4>0</vt:i4>
      </vt:variant>
      <vt:variant>
        <vt:i4>5</vt:i4>
      </vt:variant>
      <vt:variant>
        <vt:lpwstr/>
      </vt:variant>
      <vt:variant>
        <vt:lpwstr>Administrator</vt:lpwstr>
      </vt:variant>
      <vt:variant>
        <vt:i4>1966103</vt:i4>
      </vt:variant>
      <vt:variant>
        <vt:i4>1749</vt:i4>
      </vt:variant>
      <vt:variant>
        <vt:i4>0</vt:i4>
      </vt:variant>
      <vt:variant>
        <vt:i4>5</vt:i4>
      </vt:variant>
      <vt:variant>
        <vt:lpwstr/>
      </vt:variant>
      <vt:variant>
        <vt:lpwstr>Administrator</vt:lpwstr>
      </vt:variant>
      <vt:variant>
        <vt:i4>1507332</vt:i4>
      </vt:variant>
      <vt:variant>
        <vt:i4>1746</vt:i4>
      </vt:variant>
      <vt:variant>
        <vt:i4>0</vt:i4>
      </vt:variant>
      <vt:variant>
        <vt:i4>5</vt:i4>
      </vt:variant>
      <vt:variant>
        <vt:lpwstr/>
      </vt:variant>
      <vt:variant>
        <vt:lpwstr>Energytarget</vt:lpwstr>
      </vt:variant>
      <vt:variant>
        <vt:i4>1966103</vt:i4>
      </vt:variant>
      <vt:variant>
        <vt:i4>1743</vt:i4>
      </vt:variant>
      <vt:variant>
        <vt:i4>0</vt:i4>
      </vt:variant>
      <vt:variant>
        <vt:i4>5</vt:i4>
      </vt:variant>
      <vt:variant>
        <vt:lpwstr/>
      </vt:variant>
      <vt:variant>
        <vt:lpwstr>Administrator</vt:lpwstr>
      </vt:variant>
      <vt:variant>
        <vt:i4>1966103</vt:i4>
      </vt:variant>
      <vt:variant>
        <vt:i4>1740</vt:i4>
      </vt:variant>
      <vt:variant>
        <vt:i4>0</vt:i4>
      </vt:variant>
      <vt:variant>
        <vt:i4>5</vt:i4>
      </vt:variant>
      <vt:variant>
        <vt:lpwstr/>
      </vt:variant>
      <vt:variant>
        <vt:lpwstr>Administrator</vt:lpwstr>
      </vt:variant>
      <vt:variant>
        <vt:i4>7405674</vt:i4>
      </vt:variant>
      <vt:variant>
        <vt:i4>1737</vt:i4>
      </vt:variant>
      <vt:variant>
        <vt:i4>0</vt:i4>
      </vt:variant>
      <vt:variant>
        <vt:i4>5</vt:i4>
      </vt:variant>
      <vt:variant>
        <vt:lpwstr>https://www.gov.uk/government/publications/climate-change-agreements-technical-guidance</vt:lpwstr>
      </vt:variant>
      <vt:variant>
        <vt:lpwstr/>
      </vt:variant>
      <vt:variant>
        <vt:i4>6619238</vt:i4>
      </vt:variant>
      <vt:variant>
        <vt:i4>1734</vt:i4>
      </vt:variant>
      <vt:variant>
        <vt:i4>0</vt:i4>
      </vt:variant>
      <vt:variant>
        <vt:i4>5</vt:i4>
      </vt:variant>
      <vt:variant>
        <vt:lpwstr/>
      </vt:variant>
      <vt:variant>
        <vt:lpwstr>FEC</vt:lpwstr>
      </vt:variant>
      <vt:variant>
        <vt:i4>6946942</vt:i4>
      </vt:variant>
      <vt:variant>
        <vt:i4>1731</vt:i4>
      </vt:variant>
      <vt:variant>
        <vt:i4>0</vt:i4>
      </vt:variant>
      <vt:variant>
        <vt:i4>5</vt:i4>
      </vt:variant>
      <vt:variant>
        <vt:lpwstr/>
      </vt:variant>
      <vt:variant>
        <vt:lpwstr>Targetfacility</vt:lpwstr>
      </vt:variant>
      <vt:variant>
        <vt:i4>1245193</vt:i4>
      </vt:variant>
      <vt:variant>
        <vt:i4>1728</vt:i4>
      </vt:variant>
      <vt:variant>
        <vt:i4>0</vt:i4>
      </vt:variant>
      <vt:variant>
        <vt:i4>5</vt:i4>
      </vt:variant>
      <vt:variant>
        <vt:lpwstr/>
      </vt:variant>
      <vt:variant>
        <vt:lpwstr>baseyear</vt:lpwstr>
      </vt:variant>
      <vt:variant>
        <vt:i4>6422651</vt:i4>
      </vt:variant>
      <vt:variant>
        <vt:i4>1725</vt:i4>
      </vt:variant>
      <vt:variant>
        <vt:i4>0</vt:i4>
      </vt:variant>
      <vt:variant>
        <vt:i4>5</vt:i4>
      </vt:variant>
      <vt:variant>
        <vt:lpwstr/>
      </vt:variant>
      <vt:variant>
        <vt:lpwstr>Certificationperiod</vt:lpwstr>
      </vt:variant>
      <vt:variant>
        <vt:i4>6422651</vt:i4>
      </vt:variant>
      <vt:variant>
        <vt:i4>1722</vt:i4>
      </vt:variant>
      <vt:variant>
        <vt:i4>0</vt:i4>
      </vt:variant>
      <vt:variant>
        <vt:i4>5</vt:i4>
      </vt:variant>
      <vt:variant>
        <vt:lpwstr/>
      </vt:variant>
      <vt:variant>
        <vt:lpwstr>Certificationperiod</vt:lpwstr>
      </vt:variant>
      <vt:variant>
        <vt:i4>3801088</vt:i4>
      </vt:variant>
      <vt:variant>
        <vt:i4>1719</vt:i4>
      </vt:variant>
      <vt:variant>
        <vt:i4>0</vt:i4>
      </vt:variant>
      <vt:variant>
        <vt:i4>5</vt:i4>
      </vt:variant>
      <vt:variant>
        <vt:lpwstr/>
      </vt:variant>
      <vt:variant>
        <vt:lpwstr>_8._Application_of</vt:lpwstr>
      </vt:variant>
      <vt:variant>
        <vt:i4>7274605</vt:i4>
      </vt:variant>
      <vt:variant>
        <vt:i4>1716</vt:i4>
      </vt:variant>
      <vt:variant>
        <vt:i4>0</vt:i4>
      </vt:variant>
      <vt:variant>
        <vt:i4>5</vt:i4>
      </vt:variant>
      <vt:variant>
        <vt:lpwstr/>
      </vt:variant>
      <vt:variant>
        <vt:lpwstr>MOA</vt:lpwstr>
      </vt:variant>
      <vt:variant>
        <vt:i4>7209070</vt:i4>
      </vt:variant>
      <vt:variant>
        <vt:i4>1713</vt:i4>
      </vt:variant>
      <vt:variant>
        <vt:i4>0</vt:i4>
      </vt:variant>
      <vt:variant>
        <vt:i4>5</vt:i4>
      </vt:variant>
      <vt:variant>
        <vt:lpwstr/>
      </vt:variant>
      <vt:variant>
        <vt:lpwstr>Buyout</vt:lpwstr>
      </vt:variant>
      <vt:variant>
        <vt:i4>851974</vt:i4>
      </vt:variant>
      <vt:variant>
        <vt:i4>1710</vt:i4>
      </vt:variant>
      <vt:variant>
        <vt:i4>0</vt:i4>
      </vt:variant>
      <vt:variant>
        <vt:i4>5</vt:i4>
      </vt:variant>
      <vt:variant>
        <vt:lpwstr/>
      </vt:variant>
      <vt:variant>
        <vt:lpwstr>Sectorassociation</vt:lpwstr>
      </vt:variant>
      <vt:variant>
        <vt:i4>2424842</vt:i4>
      </vt:variant>
      <vt:variant>
        <vt:i4>1707</vt:i4>
      </vt:variant>
      <vt:variant>
        <vt:i4>0</vt:i4>
      </vt:variant>
      <vt:variant>
        <vt:i4>5</vt:i4>
      </vt:variant>
      <vt:variant>
        <vt:lpwstr/>
      </vt:variant>
      <vt:variant>
        <vt:lpwstr>_3.2._What_energy</vt:lpwstr>
      </vt:variant>
      <vt:variant>
        <vt:i4>3407889</vt:i4>
      </vt:variant>
      <vt:variant>
        <vt:i4>1704</vt:i4>
      </vt:variant>
      <vt:variant>
        <vt:i4>0</vt:i4>
      </vt:variant>
      <vt:variant>
        <vt:i4>5</vt:i4>
      </vt:variant>
      <vt:variant>
        <vt:lpwstr/>
      </vt:variant>
      <vt:variant>
        <vt:lpwstr>_11.2_Confirmation_if</vt:lpwstr>
      </vt:variant>
      <vt:variant>
        <vt:i4>6226037</vt:i4>
      </vt:variant>
      <vt:variant>
        <vt:i4>1701</vt:i4>
      </vt:variant>
      <vt:variant>
        <vt:i4>0</vt:i4>
      </vt:variant>
      <vt:variant>
        <vt:i4>5</vt:i4>
      </vt:variant>
      <vt:variant>
        <vt:lpwstr/>
      </vt:variant>
      <vt:variant>
        <vt:lpwstr>_10.5_Buy-out,_surplus</vt:lpwstr>
      </vt:variant>
      <vt:variant>
        <vt:i4>458811</vt:i4>
      </vt:variant>
      <vt:variant>
        <vt:i4>1698</vt:i4>
      </vt:variant>
      <vt:variant>
        <vt:i4>0</vt:i4>
      </vt:variant>
      <vt:variant>
        <vt:i4>5</vt:i4>
      </vt:variant>
      <vt:variant>
        <vt:lpwstr/>
      </vt:variant>
      <vt:variant>
        <vt:lpwstr>_3._Eligible_energy</vt:lpwstr>
      </vt:variant>
      <vt:variant>
        <vt:i4>6946942</vt:i4>
      </vt:variant>
      <vt:variant>
        <vt:i4>1695</vt:i4>
      </vt:variant>
      <vt:variant>
        <vt:i4>0</vt:i4>
      </vt:variant>
      <vt:variant>
        <vt:i4>5</vt:i4>
      </vt:variant>
      <vt:variant>
        <vt:lpwstr/>
      </vt:variant>
      <vt:variant>
        <vt:lpwstr>Targetfacility</vt:lpwstr>
      </vt:variant>
      <vt:variant>
        <vt:i4>7209070</vt:i4>
      </vt:variant>
      <vt:variant>
        <vt:i4>1692</vt:i4>
      </vt:variant>
      <vt:variant>
        <vt:i4>0</vt:i4>
      </vt:variant>
      <vt:variant>
        <vt:i4>5</vt:i4>
      </vt:variant>
      <vt:variant>
        <vt:lpwstr/>
      </vt:variant>
      <vt:variant>
        <vt:lpwstr>Buyout</vt:lpwstr>
      </vt:variant>
      <vt:variant>
        <vt:i4>2031632</vt:i4>
      </vt:variant>
      <vt:variant>
        <vt:i4>1689</vt:i4>
      </vt:variant>
      <vt:variant>
        <vt:i4>0</vt:i4>
      </vt:variant>
      <vt:variant>
        <vt:i4>5</vt:i4>
      </vt:variant>
      <vt:variant>
        <vt:lpwstr/>
      </vt:variant>
      <vt:variant>
        <vt:lpwstr>UKETS</vt:lpwstr>
      </vt:variant>
      <vt:variant>
        <vt:i4>7471218</vt:i4>
      </vt:variant>
      <vt:variant>
        <vt:i4>1686</vt:i4>
      </vt:variant>
      <vt:variant>
        <vt:i4>0</vt:i4>
      </vt:variant>
      <vt:variant>
        <vt:i4>5</vt:i4>
      </vt:variant>
      <vt:variant>
        <vt:lpwstr/>
      </vt:variant>
      <vt:variant>
        <vt:lpwstr>RRC</vt:lpwstr>
      </vt:variant>
      <vt:variant>
        <vt:i4>7209070</vt:i4>
      </vt:variant>
      <vt:variant>
        <vt:i4>1683</vt:i4>
      </vt:variant>
      <vt:variant>
        <vt:i4>0</vt:i4>
      </vt:variant>
      <vt:variant>
        <vt:i4>5</vt:i4>
      </vt:variant>
      <vt:variant>
        <vt:lpwstr/>
      </vt:variant>
      <vt:variant>
        <vt:lpwstr>Buyout</vt:lpwstr>
      </vt:variant>
      <vt:variant>
        <vt:i4>6422651</vt:i4>
      </vt:variant>
      <vt:variant>
        <vt:i4>1680</vt:i4>
      </vt:variant>
      <vt:variant>
        <vt:i4>0</vt:i4>
      </vt:variant>
      <vt:variant>
        <vt:i4>5</vt:i4>
      </vt:variant>
      <vt:variant>
        <vt:lpwstr/>
      </vt:variant>
      <vt:variant>
        <vt:lpwstr>Certificationperiod</vt:lpwstr>
      </vt:variant>
      <vt:variant>
        <vt:i4>1703950</vt:i4>
      </vt:variant>
      <vt:variant>
        <vt:i4>1677</vt:i4>
      </vt:variant>
      <vt:variant>
        <vt:i4>0</vt:i4>
      </vt:variant>
      <vt:variant>
        <vt:i4>5</vt:i4>
      </vt:variant>
      <vt:variant>
        <vt:lpwstr/>
      </vt:variant>
      <vt:variant>
        <vt:lpwstr>Targetperiod</vt:lpwstr>
      </vt:variant>
      <vt:variant>
        <vt:i4>6815847</vt:i4>
      </vt:variant>
      <vt:variant>
        <vt:i4>1674</vt:i4>
      </vt:variant>
      <vt:variant>
        <vt:i4>0</vt:i4>
      </vt:variant>
      <vt:variant>
        <vt:i4>5</vt:i4>
      </vt:variant>
      <vt:variant>
        <vt:lpwstr/>
      </vt:variant>
      <vt:variant>
        <vt:lpwstr>Underlyingagreement</vt:lpwstr>
      </vt:variant>
      <vt:variant>
        <vt:i4>7340141</vt:i4>
      </vt:variant>
      <vt:variant>
        <vt:i4>1671</vt:i4>
      </vt:variant>
      <vt:variant>
        <vt:i4>0</vt:i4>
      </vt:variant>
      <vt:variant>
        <vt:i4>5</vt:i4>
      </vt:variant>
      <vt:variant>
        <vt:lpwstr/>
      </vt:variant>
      <vt:variant>
        <vt:lpwstr>Surplus</vt:lpwstr>
      </vt:variant>
      <vt:variant>
        <vt:i4>6422651</vt:i4>
      </vt:variant>
      <vt:variant>
        <vt:i4>1668</vt:i4>
      </vt:variant>
      <vt:variant>
        <vt:i4>0</vt:i4>
      </vt:variant>
      <vt:variant>
        <vt:i4>5</vt:i4>
      </vt:variant>
      <vt:variant>
        <vt:lpwstr/>
      </vt:variant>
      <vt:variant>
        <vt:lpwstr>Certificationperiod</vt:lpwstr>
      </vt:variant>
      <vt:variant>
        <vt:i4>6553710</vt:i4>
      </vt:variant>
      <vt:variant>
        <vt:i4>1665</vt:i4>
      </vt:variant>
      <vt:variant>
        <vt:i4>0</vt:i4>
      </vt:variant>
      <vt:variant>
        <vt:i4>5</vt:i4>
      </vt:variant>
      <vt:variant>
        <vt:lpwstr/>
      </vt:variant>
      <vt:variant>
        <vt:lpwstr>Throughput</vt:lpwstr>
      </vt:variant>
      <vt:variant>
        <vt:i4>1769533</vt:i4>
      </vt:variant>
      <vt:variant>
        <vt:i4>1662</vt:i4>
      </vt:variant>
      <vt:variant>
        <vt:i4>0</vt:i4>
      </vt:variant>
      <vt:variant>
        <vt:i4>5</vt:i4>
      </vt:variant>
      <vt:variant>
        <vt:lpwstr/>
      </vt:variant>
      <vt:variant>
        <vt:lpwstr>_8.4._Appeals_and</vt:lpwstr>
      </vt:variant>
      <vt:variant>
        <vt:i4>6619234</vt:i4>
      </vt:variant>
      <vt:variant>
        <vt:i4>1659</vt:i4>
      </vt:variant>
      <vt:variant>
        <vt:i4>0</vt:i4>
      </vt:variant>
      <vt:variant>
        <vt:i4>5</vt:i4>
      </vt:variant>
      <vt:variant>
        <vt:lpwstr/>
      </vt:variant>
      <vt:variant>
        <vt:lpwstr>Consultant</vt:lpwstr>
      </vt:variant>
      <vt:variant>
        <vt:i4>7798884</vt:i4>
      </vt:variant>
      <vt:variant>
        <vt:i4>1656</vt:i4>
      </vt:variant>
      <vt:variant>
        <vt:i4>0</vt:i4>
      </vt:variant>
      <vt:variant>
        <vt:i4>5</vt:i4>
      </vt:variant>
      <vt:variant>
        <vt:lpwstr/>
      </vt:variant>
      <vt:variant>
        <vt:lpwstr>seventypercentrule</vt:lpwstr>
      </vt:variant>
      <vt:variant>
        <vt:i4>7340133</vt:i4>
      </vt:variant>
      <vt:variant>
        <vt:i4>1653</vt:i4>
      </vt:variant>
      <vt:variant>
        <vt:i4>0</vt:i4>
      </vt:variant>
      <vt:variant>
        <vt:i4>5</vt:i4>
      </vt:variant>
      <vt:variant>
        <vt:lpwstr/>
      </vt:variant>
      <vt:variant>
        <vt:lpwstr>EPR</vt:lpwstr>
      </vt:variant>
      <vt:variant>
        <vt:i4>2424932</vt:i4>
      </vt:variant>
      <vt:variant>
        <vt:i4>1650</vt:i4>
      </vt:variant>
      <vt:variant>
        <vt:i4>0</vt:i4>
      </vt:variant>
      <vt:variant>
        <vt:i4>5</vt:i4>
      </vt:variant>
      <vt:variant>
        <vt:lpwstr/>
      </vt:variant>
      <vt:variant>
        <vt:lpwstr>_Appendix_A:_Eligible_1</vt:lpwstr>
      </vt:variant>
      <vt:variant>
        <vt:i4>6357092</vt:i4>
      </vt:variant>
      <vt:variant>
        <vt:i4>1647</vt:i4>
      </vt:variant>
      <vt:variant>
        <vt:i4>0</vt:i4>
      </vt:variant>
      <vt:variant>
        <vt:i4>5</vt:i4>
      </vt:variant>
      <vt:variant>
        <vt:lpwstr/>
      </vt:variant>
      <vt:variant>
        <vt:lpwstr>DAA</vt:lpwstr>
      </vt:variant>
      <vt:variant>
        <vt:i4>7209075</vt:i4>
      </vt:variant>
      <vt:variant>
        <vt:i4>1644</vt:i4>
      </vt:variant>
      <vt:variant>
        <vt:i4>0</vt:i4>
      </vt:variant>
      <vt:variant>
        <vt:i4>5</vt:i4>
      </vt:variant>
      <vt:variant>
        <vt:lpwstr/>
      </vt:variant>
      <vt:variant>
        <vt:lpwstr>Eligibleprocess</vt:lpwstr>
      </vt:variant>
      <vt:variant>
        <vt:i4>3932248</vt:i4>
      </vt:variant>
      <vt:variant>
        <vt:i4>1641</vt:i4>
      </vt:variant>
      <vt:variant>
        <vt:i4>0</vt:i4>
      </vt:variant>
      <vt:variant>
        <vt:i4>5</vt:i4>
      </vt:variant>
      <vt:variant>
        <vt:lpwstr/>
      </vt:variant>
      <vt:variant>
        <vt:lpwstr>_8.1.2._Method_1</vt:lpwstr>
      </vt:variant>
      <vt:variant>
        <vt:i4>6815847</vt:i4>
      </vt:variant>
      <vt:variant>
        <vt:i4>1638</vt:i4>
      </vt:variant>
      <vt:variant>
        <vt:i4>0</vt:i4>
      </vt:variant>
      <vt:variant>
        <vt:i4>5</vt:i4>
      </vt:variant>
      <vt:variant>
        <vt:lpwstr/>
      </vt:variant>
      <vt:variant>
        <vt:lpwstr>Underlyingagreement</vt:lpwstr>
      </vt:variant>
      <vt:variant>
        <vt:i4>1835013</vt:i4>
      </vt:variant>
      <vt:variant>
        <vt:i4>1635</vt:i4>
      </vt:variant>
      <vt:variant>
        <vt:i4>0</vt:i4>
      </vt:variant>
      <vt:variant>
        <vt:i4>5</vt:i4>
      </vt:variant>
      <vt:variant>
        <vt:lpwstr/>
      </vt:variant>
      <vt:variant>
        <vt:lpwstr>Audit</vt:lpwstr>
      </vt:variant>
      <vt:variant>
        <vt:i4>6488163</vt:i4>
      </vt:variant>
      <vt:variant>
        <vt:i4>1632</vt:i4>
      </vt:variant>
      <vt:variant>
        <vt:i4>0</vt:i4>
      </vt:variant>
      <vt:variant>
        <vt:i4>5</vt:i4>
      </vt:variant>
      <vt:variant>
        <vt:lpwstr/>
      </vt:variant>
      <vt:variant>
        <vt:lpwstr>CCL</vt:lpwstr>
      </vt:variant>
      <vt:variant>
        <vt:i4>1245197</vt:i4>
      </vt:variant>
      <vt:variant>
        <vt:i4>1629</vt:i4>
      </vt:variant>
      <vt:variant>
        <vt:i4>0</vt:i4>
      </vt:variant>
      <vt:variant>
        <vt:i4>5</vt:i4>
      </vt:variant>
      <vt:variant>
        <vt:lpwstr/>
      </vt:variant>
      <vt:variant>
        <vt:lpwstr>Umbrellaagreement</vt:lpwstr>
      </vt:variant>
      <vt:variant>
        <vt:i4>1835013</vt:i4>
      </vt:variant>
      <vt:variant>
        <vt:i4>1626</vt:i4>
      </vt:variant>
      <vt:variant>
        <vt:i4>0</vt:i4>
      </vt:variant>
      <vt:variant>
        <vt:i4>5</vt:i4>
      </vt:variant>
      <vt:variant>
        <vt:lpwstr/>
      </vt:variant>
      <vt:variant>
        <vt:lpwstr>Audit</vt:lpwstr>
      </vt:variant>
      <vt:variant>
        <vt:i4>1376308</vt:i4>
      </vt:variant>
      <vt:variant>
        <vt:i4>1623</vt:i4>
      </vt:variant>
      <vt:variant>
        <vt:i4>0</vt:i4>
      </vt:variant>
      <vt:variant>
        <vt:i4>5</vt:i4>
      </vt:variant>
      <vt:variant>
        <vt:lpwstr/>
      </vt:variant>
      <vt:variant>
        <vt:lpwstr>_7.9.3._Changing_sector</vt:lpwstr>
      </vt:variant>
      <vt:variant>
        <vt:i4>7340146</vt:i4>
      </vt:variant>
      <vt:variant>
        <vt:i4>1620</vt:i4>
      </vt:variant>
      <vt:variant>
        <vt:i4>0</vt:i4>
      </vt:variant>
      <vt:variant>
        <vt:i4>5</vt:i4>
      </vt:variant>
      <vt:variant>
        <vt:lpwstr/>
      </vt:variant>
      <vt:variant>
        <vt:lpwstr>Penalty</vt:lpwstr>
      </vt:variant>
      <vt:variant>
        <vt:i4>851974</vt:i4>
      </vt:variant>
      <vt:variant>
        <vt:i4>1617</vt:i4>
      </vt:variant>
      <vt:variant>
        <vt:i4>0</vt:i4>
      </vt:variant>
      <vt:variant>
        <vt:i4>5</vt:i4>
      </vt:variant>
      <vt:variant>
        <vt:lpwstr/>
      </vt:variant>
      <vt:variant>
        <vt:lpwstr>Sectorassociation</vt:lpwstr>
      </vt:variant>
      <vt:variant>
        <vt:i4>2031632</vt:i4>
      </vt:variant>
      <vt:variant>
        <vt:i4>1614</vt:i4>
      </vt:variant>
      <vt:variant>
        <vt:i4>0</vt:i4>
      </vt:variant>
      <vt:variant>
        <vt:i4>5</vt:i4>
      </vt:variant>
      <vt:variant>
        <vt:lpwstr/>
      </vt:variant>
      <vt:variant>
        <vt:lpwstr>UKETS</vt:lpwstr>
      </vt:variant>
      <vt:variant>
        <vt:i4>7471219</vt:i4>
      </vt:variant>
      <vt:variant>
        <vt:i4>1611</vt:i4>
      </vt:variant>
      <vt:variant>
        <vt:i4>0</vt:i4>
      </vt:variant>
      <vt:variant>
        <vt:i4>5</vt:i4>
      </vt:variant>
      <vt:variant>
        <vt:lpwstr/>
      </vt:variant>
      <vt:variant>
        <vt:lpwstr>SRM</vt:lpwstr>
      </vt:variant>
      <vt:variant>
        <vt:i4>7209070</vt:i4>
      </vt:variant>
      <vt:variant>
        <vt:i4>1608</vt:i4>
      </vt:variant>
      <vt:variant>
        <vt:i4>0</vt:i4>
      </vt:variant>
      <vt:variant>
        <vt:i4>5</vt:i4>
      </vt:variant>
      <vt:variant>
        <vt:lpwstr/>
      </vt:variant>
      <vt:variant>
        <vt:lpwstr>Buyout</vt:lpwstr>
      </vt:variant>
      <vt:variant>
        <vt:i4>1441811</vt:i4>
      </vt:variant>
      <vt:variant>
        <vt:i4>1605</vt:i4>
      </vt:variant>
      <vt:variant>
        <vt:i4>0</vt:i4>
      </vt:variant>
      <vt:variant>
        <vt:i4>5</vt:i4>
      </vt:variant>
      <vt:variant>
        <vt:lpwstr/>
      </vt:variant>
      <vt:variant>
        <vt:lpwstr>Schedule2</vt:lpwstr>
      </vt:variant>
      <vt:variant>
        <vt:i4>6553710</vt:i4>
      </vt:variant>
      <vt:variant>
        <vt:i4>1602</vt:i4>
      </vt:variant>
      <vt:variant>
        <vt:i4>0</vt:i4>
      </vt:variant>
      <vt:variant>
        <vt:i4>5</vt:i4>
      </vt:variant>
      <vt:variant>
        <vt:lpwstr/>
      </vt:variant>
      <vt:variant>
        <vt:lpwstr>Throughput</vt:lpwstr>
      </vt:variant>
      <vt:variant>
        <vt:i4>8192114</vt:i4>
      </vt:variant>
      <vt:variant>
        <vt:i4>1599</vt:i4>
      </vt:variant>
      <vt:variant>
        <vt:i4>0</vt:i4>
      </vt:variant>
      <vt:variant>
        <vt:i4>5</vt:i4>
      </vt:variant>
      <vt:variant>
        <vt:lpwstr/>
      </vt:variant>
      <vt:variant>
        <vt:lpwstr>Reportingperiod</vt:lpwstr>
      </vt:variant>
      <vt:variant>
        <vt:i4>7798884</vt:i4>
      </vt:variant>
      <vt:variant>
        <vt:i4>1596</vt:i4>
      </vt:variant>
      <vt:variant>
        <vt:i4>0</vt:i4>
      </vt:variant>
      <vt:variant>
        <vt:i4>5</vt:i4>
      </vt:variant>
      <vt:variant>
        <vt:lpwstr/>
      </vt:variant>
      <vt:variant>
        <vt:lpwstr>seventypercentrule</vt:lpwstr>
      </vt:variant>
      <vt:variant>
        <vt:i4>7798884</vt:i4>
      </vt:variant>
      <vt:variant>
        <vt:i4>1593</vt:i4>
      </vt:variant>
      <vt:variant>
        <vt:i4>0</vt:i4>
      </vt:variant>
      <vt:variant>
        <vt:i4>5</vt:i4>
      </vt:variant>
      <vt:variant>
        <vt:lpwstr/>
      </vt:variant>
      <vt:variant>
        <vt:lpwstr>seventypercentrule</vt:lpwstr>
      </vt:variant>
      <vt:variant>
        <vt:i4>6488163</vt:i4>
      </vt:variant>
      <vt:variant>
        <vt:i4>1590</vt:i4>
      </vt:variant>
      <vt:variant>
        <vt:i4>0</vt:i4>
      </vt:variant>
      <vt:variant>
        <vt:i4>5</vt:i4>
      </vt:variant>
      <vt:variant>
        <vt:lpwstr/>
      </vt:variant>
      <vt:variant>
        <vt:lpwstr>CCL</vt:lpwstr>
      </vt:variant>
      <vt:variant>
        <vt:i4>6357092</vt:i4>
      </vt:variant>
      <vt:variant>
        <vt:i4>1587</vt:i4>
      </vt:variant>
      <vt:variant>
        <vt:i4>0</vt:i4>
      </vt:variant>
      <vt:variant>
        <vt:i4>5</vt:i4>
      </vt:variant>
      <vt:variant>
        <vt:lpwstr/>
      </vt:variant>
      <vt:variant>
        <vt:lpwstr>DAA</vt:lpwstr>
      </vt:variant>
      <vt:variant>
        <vt:i4>7602291</vt:i4>
      </vt:variant>
      <vt:variant>
        <vt:i4>1584</vt:i4>
      </vt:variant>
      <vt:variant>
        <vt:i4>0</vt:i4>
      </vt:variant>
      <vt:variant>
        <vt:i4>5</vt:i4>
      </vt:variant>
      <vt:variant>
        <vt:lpwstr/>
      </vt:variant>
      <vt:variant>
        <vt:lpwstr>STU</vt:lpwstr>
      </vt:variant>
      <vt:variant>
        <vt:i4>7340146</vt:i4>
      </vt:variant>
      <vt:variant>
        <vt:i4>1581</vt:i4>
      </vt:variant>
      <vt:variant>
        <vt:i4>0</vt:i4>
      </vt:variant>
      <vt:variant>
        <vt:i4>5</vt:i4>
      </vt:variant>
      <vt:variant>
        <vt:lpwstr/>
      </vt:variant>
      <vt:variant>
        <vt:lpwstr>Penalty</vt:lpwstr>
      </vt:variant>
      <vt:variant>
        <vt:i4>1245196</vt:i4>
      </vt:variant>
      <vt:variant>
        <vt:i4>1578</vt:i4>
      </vt:variant>
      <vt:variant>
        <vt:i4>0</vt:i4>
      </vt:variant>
      <vt:variant>
        <vt:i4>5</vt:i4>
      </vt:variant>
      <vt:variant>
        <vt:lpwstr/>
      </vt:variant>
      <vt:variant>
        <vt:lpwstr>Responsibleperson</vt:lpwstr>
      </vt:variant>
      <vt:variant>
        <vt:i4>7798884</vt:i4>
      </vt:variant>
      <vt:variant>
        <vt:i4>1575</vt:i4>
      </vt:variant>
      <vt:variant>
        <vt:i4>0</vt:i4>
      </vt:variant>
      <vt:variant>
        <vt:i4>5</vt:i4>
      </vt:variant>
      <vt:variant>
        <vt:lpwstr/>
      </vt:variant>
      <vt:variant>
        <vt:lpwstr>seventypercentrule</vt:lpwstr>
      </vt:variant>
      <vt:variant>
        <vt:i4>851974</vt:i4>
      </vt:variant>
      <vt:variant>
        <vt:i4>1572</vt:i4>
      </vt:variant>
      <vt:variant>
        <vt:i4>0</vt:i4>
      </vt:variant>
      <vt:variant>
        <vt:i4>5</vt:i4>
      </vt:variant>
      <vt:variant>
        <vt:lpwstr/>
      </vt:variant>
      <vt:variant>
        <vt:lpwstr>Sectorassociation</vt:lpwstr>
      </vt:variant>
      <vt:variant>
        <vt:i4>1835013</vt:i4>
      </vt:variant>
      <vt:variant>
        <vt:i4>1569</vt:i4>
      </vt:variant>
      <vt:variant>
        <vt:i4>0</vt:i4>
      </vt:variant>
      <vt:variant>
        <vt:i4>5</vt:i4>
      </vt:variant>
      <vt:variant>
        <vt:lpwstr/>
      </vt:variant>
      <vt:variant>
        <vt:lpwstr>Audit</vt:lpwstr>
      </vt:variant>
      <vt:variant>
        <vt:i4>458753</vt:i4>
      </vt:variant>
      <vt:variant>
        <vt:i4>1566</vt:i4>
      </vt:variant>
      <vt:variant>
        <vt:i4>0</vt:i4>
      </vt:variant>
      <vt:variant>
        <vt:i4>5</vt:i4>
      </vt:variant>
      <vt:variant>
        <vt:lpwstr>https://www.gov.uk/government/organisations/environment-agency/about/complaints-procedure</vt:lpwstr>
      </vt:variant>
      <vt:variant>
        <vt:lpwstr/>
      </vt:variant>
      <vt:variant>
        <vt:i4>5701703</vt:i4>
      </vt:variant>
      <vt:variant>
        <vt:i4>1563</vt:i4>
      </vt:variant>
      <vt:variant>
        <vt:i4>0</vt:i4>
      </vt:variant>
      <vt:variant>
        <vt:i4>5</vt:i4>
      </vt:variant>
      <vt:variant>
        <vt:lpwstr>https://www.gov.uk/guidance/appeal-a-regulatory-decision-from-the-environment-agency</vt:lpwstr>
      </vt:variant>
      <vt:variant>
        <vt:lpwstr/>
      </vt:variant>
      <vt:variant>
        <vt:i4>7274590</vt:i4>
      </vt:variant>
      <vt:variant>
        <vt:i4>1560</vt:i4>
      </vt:variant>
      <vt:variant>
        <vt:i4>0</vt:i4>
      </vt:variant>
      <vt:variant>
        <vt:i4>5</vt:i4>
      </vt:variant>
      <vt:variant>
        <vt:lpwstr/>
      </vt:variant>
      <vt:variant>
        <vt:lpwstr>_8.4.1._Appeal_to</vt:lpwstr>
      </vt:variant>
      <vt:variant>
        <vt:i4>1507445</vt:i4>
      </vt:variant>
      <vt:variant>
        <vt:i4>1557</vt:i4>
      </vt:variant>
      <vt:variant>
        <vt:i4>0</vt:i4>
      </vt:variant>
      <vt:variant>
        <vt:i4>5</vt:i4>
      </vt:variant>
      <vt:variant>
        <vt:lpwstr>mailto:grc@justice.gov.uk</vt:lpwstr>
      </vt:variant>
      <vt:variant>
        <vt:lpwstr/>
      </vt:variant>
      <vt:variant>
        <vt:i4>3342394</vt:i4>
      </vt:variant>
      <vt:variant>
        <vt:i4>1554</vt:i4>
      </vt:variant>
      <vt:variant>
        <vt:i4>0</vt:i4>
      </vt:variant>
      <vt:variant>
        <vt:i4>5</vt:i4>
      </vt:variant>
      <vt:variant>
        <vt:lpwstr>https://www.gov.uk/government/organisations/ministry-of-justice</vt:lpwstr>
      </vt:variant>
      <vt:variant>
        <vt:lpwstr/>
      </vt:variant>
      <vt:variant>
        <vt:i4>3342394</vt:i4>
      </vt:variant>
      <vt:variant>
        <vt:i4>1551</vt:i4>
      </vt:variant>
      <vt:variant>
        <vt:i4>0</vt:i4>
      </vt:variant>
      <vt:variant>
        <vt:i4>5</vt:i4>
      </vt:variant>
      <vt:variant>
        <vt:lpwstr>https://www.gov.uk/government/organisations/ministry-of-justice</vt:lpwstr>
      </vt:variant>
      <vt:variant>
        <vt:lpwstr/>
      </vt:variant>
      <vt:variant>
        <vt:i4>3342394</vt:i4>
      </vt:variant>
      <vt:variant>
        <vt:i4>1548</vt:i4>
      </vt:variant>
      <vt:variant>
        <vt:i4>0</vt:i4>
      </vt:variant>
      <vt:variant>
        <vt:i4>5</vt:i4>
      </vt:variant>
      <vt:variant>
        <vt:lpwstr>https://www.gov.uk/government/organisations/ministry-of-justice</vt:lpwstr>
      </vt:variant>
      <vt:variant>
        <vt:lpwstr/>
      </vt:variant>
      <vt:variant>
        <vt:i4>3342394</vt:i4>
      </vt:variant>
      <vt:variant>
        <vt:i4>1545</vt:i4>
      </vt:variant>
      <vt:variant>
        <vt:i4>0</vt:i4>
      </vt:variant>
      <vt:variant>
        <vt:i4>5</vt:i4>
      </vt:variant>
      <vt:variant>
        <vt:lpwstr>https://www.gov.uk/government/organisations/ministry-of-justice</vt:lpwstr>
      </vt:variant>
      <vt:variant>
        <vt:lpwstr/>
      </vt:variant>
      <vt:variant>
        <vt:i4>3342394</vt:i4>
      </vt:variant>
      <vt:variant>
        <vt:i4>1542</vt:i4>
      </vt:variant>
      <vt:variant>
        <vt:i4>0</vt:i4>
      </vt:variant>
      <vt:variant>
        <vt:i4>5</vt:i4>
      </vt:variant>
      <vt:variant>
        <vt:lpwstr>https://www.gov.uk/government/organisations/ministry-of-justice</vt:lpwstr>
      </vt:variant>
      <vt:variant>
        <vt:lpwstr/>
      </vt:variant>
      <vt:variant>
        <vt:i4>3342394</vt:i4>
      </vt:variant>
      <vt:variant>
        <vt:i4>1539</vt:i4>
      </vt:variant>
      <vt:variant>
        <vt:i4>0</vt:i4>
      </vt:variant>
      <vt:variant>
        <vt:i4>5</vt:i4>
      </vt:variant>
      <vt:variant>
        <vt:lpwstr>https://www.gov.uk/government/organisations/ministry-of-justice</vt:lpwstr>
      </vt:variant>
      <vt:variant>
        <vt:lpwstr/>
      </vt:variant>
      <vt:variant>
        <vt:i4>3342394</vt:i4>
      </vt:variant>
      <vt:variant>
        <vt:i4>1536</vt:i4>
      </vt:variant>
      <vt:variant>
        <vt:i4>0</vt:i4>
      </vt:variant>
      <vt:variant>
        <vt:i4>5</vt:i4>
      </vt:variant>
      <vt:variant>
        <vt:lpwstr>https://www.gov.uk/government/organisations/ministry-of-justice</vt:lpwstr>
      </vt:variant>
      <vt:variant>
        <vt:lpwstr/>
      </vt:variant>
      <vt:variant>
        <vt:i4>2359324</vt:i4>
      </vt:variant>
      <vt:variant>
        <vt:i4>1533</vt:i4>
      </vt:variant>
      <vt:variant>
        <vt:i4>0</vt:i4>
      </vt:variant>
      <vt:variant>
        <vt:i4>5</vt:i4>
      </vt:variant>
      <vt:variant>
        <vt:lpwstr/>
      </vt:variant>
      <vt:variant>
        <vt:lpwstr>_4.4._Target_setting</vt:lpwstr>
      </vt:variant>
      <vt:variant>
        <vt:i4>1245193</vt:i4>
      </vt:variant>
      <vt:variant>
        <vt:i4>1530</vt:i4>
      </vt:variant>
      <vt:variant>
        <vt:i4>0</vt:i4>
      </vt:variant>
      <vt:variant>
        <vt:i4>5</vt:i4>
      </vt:variant>
      <vt:variant>
        <vt:lpwstr/>
      </vt:variant>
      <vt:variant>
        <vt:lpwstr>baseyear</vt:lpwstr>
      </vt:variant>
      <vt:variant>
        <vt:i4>3145749</vt:i4>
      </vt:variant>
      <vt:variant>
        <vt:i4>1527</vt:i4>
      </vt:variant>
      <vt:variant>
        <vt:i4>0</vt:i4>
      </vt:variant>
      <vt:variant>
        <vt:i4>5</vt:i4>
      </vt:variant>
      <vt:variant>
        <vt:lpwstr/>
      </vt:variant>
      <vt:variant>
        <vt:lpwstr>_6._Application_process</vt:lpwstr>
      </vt:variant>
      <vt:variant>
        <vt:i4>3866637</vt:i4>
      </vt:variant>
      <vt:variant>
        <vt:i4>1524</vt:i4>
      </vt:variant>
      <vt:variant>
        <vt:i4>0</vt:i4>
      </vt:variant>
      <vt:variant>
        <vt:i4>5</vt:i4>
      </vt:variant>
      <vt:variant>
        <vt:lpwstr/>
      </vt:variant>
      <vt:variant>
        <vt:lpwstr>_4._Setting_up</vt:lpwstr>
      </vt:variant>
      <vt:variant>
        <vt:i4>6422651</vt:i4>
      </vt:variant>
      <vt:variant>
        <vt:i4>1521</vt:i4>
      </vt:variant>
      <vt:variant>
        <vt:i4>0</vt:i4>
      </vt:variant>
      <vt:variant>
        <vt:i4>5</vt:i4>
      </vt:variant>
      <vt:variant>
        <vt:lpwstr/>
      </vt:variant>
      <vt:variant>
        <vt:lpwstr>Certificationperiod</vt:lpwstr>
      </vt:variant>
      <vt:variant>
        <vt:i4>7209070</vt:i4>
      </vt:variant>
      <vt:variant>
        <vt:i4>1518</vt:i4>
      </vt:variant>
      <vt:variant>
        <vt:i4>0</vt:i4>
      </vt:variant>
      <vt:variant>
        <vt:i4>5</vt:i4>
      </vt:variant>
      <vt:variant>
        <vt:lpwstr/>
      </vt:variant>
      <vt:variant>
        <vt:lpwstr>Buyout</vt:lpwstr>
      </vt:variant>
      <vt:variant>
        <vt:i4>524372</vt:i4>
      </vt:variant>
      <vt:variant>
        <vt:i4>1515</vt:i4>
      </vt:variant>
      <vt:variant>
        <vt:i4>0</vt:i4>
      </vt:variant>
      <vt:variant>
        <vt:i4>5</vt:i4>
      </vt:variant>
      <vt:variant>
        <vt:lpwstr>https://www.gov.uk/government/organisations/hm-courts-and-tribunals-service/about</vt:lpwstr>
      </vt:variant>
      <vt:variant>
        <vt:lpwstr/>
      </vt:variant>
      <vt:variant>
        <vt:i4>524372</vt:i4>
      </vt:variant>
      <vt:variant>
        <vt:i4>1512</vt:i4>
      </vt:variant>
      <vt:variant>
        <vt:i4>0</vt:i4>
      </vt:variant>
      <vt:variant>
        <vt:i4>5</vt:i4>
      </vt:variant>
      <vt:variant>
        <vt:lpwstr>https://www.gov.uk/government/organisations/hm-courts-and-tribunals-service/about</vt:lpwstr>
      </vt:variant>
      <vt:variant>
        <vt:lpwstr/>
      </vt:variant>
      <vt:variant>
        <vt:i4>524372</vt:i4>
      </vt:variant>
      <vt:variant>
        <vt:i4>1509</vt:i4>
      </vt:variant>
      <vt:variant>
        <vt:i4>0</vt:i4>
      </vt:variant>
      <vt:variant>
        <vt:i4>5</vt:i4>
      </vt:variant>
      <vt:variant>
        <vt:lpwstr>https://www.gov.uk/government/organisations/hm-courts-and-tribunals-service/about</vt:lpwstr>
      </vt:variant>
      <vt:variant>
        <vt:lpwstr/>
      </vt:variant>
      <vt:variant>
        <vt:i4>524372</vt:i4>
      </vt:variant>
      <vt:variant>
        <vt:i4>1506</vt:i4>
      </vt:variant>
      <vt:variant>
        <vt:i4>0</vt:i4>
      </vt:variant>
      <vt:variant>
        <vt:i4>5</vt:i4>
      </vt:variant>
      <vt:variant>
        <vt:lpwstr>https://www.gov.uk/government/organisations/hm-courts-and-tribunals-service/about</vt:lpwstr>
      </vt:variant>
      <vt:variant>
        <vt:lpwstr/>
      </vt:variant>
      <vt:variant>
        <vt:i4>524372</vt:i4>
      </vt:variant>
      <vt:variant>
        <vt:i4>1503</vt:i4>
      </vt:variant>
      <vt:variant>
        <vt:i4>0</vt:i4>
      </vt:variant>
      <vt:variant>
        <vt:i4>5</vt:i4>
      </vt:variant>
      <vt:variant>
        <vt:lpwstr>https://www.gov.uk/government/organisations/hm-courts-and-tribunals-service/about</vt:lpwstr>
      </vt:variant>
      <vt:variant>
        <vt:lpwstr/>
      </vt:variant>
      <vt:variant>
        <vt:i4>524372</vt:i4>
      </vt:variant>
      <vt:variant>
        <vt:i4>1500</vt:i4>
      </vt:variant>
      <vt:variant>
        <vt:i4>0</vt:i4>
      </vt:variant>
      <vt:variant>
        <vt:i4>5</vt:i4>
      </vt:variant>
      <vt:variant>
        <vt:lpwstr>https://www.gov.uk/government/organisations/hm-courts-and-tribunals-service/about</vt:lpwstr>
      </vt:variant>
      <vt:variant>
        <vt:lpwstr/>
      </vt:variant>
      <vt:variant>
        <vt:i4>524372</vt:i4>
      </vt:variant>
      <vt:variant>
        <vt:i4>1497</vt:i4>
      </vt:variant>
      <vt:variant>
        <vt:i4>0</vt:i4>
      </vt:variant>
      <vt:variant>
        <vt:i4>5</vt:i4>
      </vt:variant>
      <vt:variant>
        <vt:lpwstr>https://www.gov.uk/government/organisations/hm-courts-and-tribunals-service/about</vt:lpwstr>
      </vt:variant>
      <vt:variant>
        <vt:lpwstr/>
      </vt:variant>
      <vt:variant>
        <vt:i4>524372</vt:i4>
      </vt:variant>
      <vt:variant>
        <vt:i4>1494</vt:i4>
      </vt:variant>
      <vt:variant>
        <vt:i4>0</vt:i4>
      </vt:variant>
      <vt:variant>
        <vt:i4>5</vt:i4>
      </vt:variant>
      <vt:variant>
        <vt:lpwstr>https://www.gov.uk/government/organisations/hm-courts-and-tribunals-service/about</vt:lpwstr>
      </vt:variant>
      <vt:variant>
        <vt:lpwstr/>
      </vt:variant>
      <vt:variant>
        <vt:i4>524372</vt:i4>
      </vt:variant>
      <vt:variant>
        <vt:i4>1491</vt:i4>
      </vt:variant>
      <vt:variant>
        <vt:i4>0</vt:i4>
      </vt:variant>
      <vt:variant>
        <vt:i4>5</vt:i4>
      </vt:variant>
      <vt:variant>
        <vt:lpwstr>https://www.gov.uk/government/organisations/hm-courts-and-tribunals-service/about</vt:lpwstr>
      </vt:variant>
      <vt:variant>
        <vt:lpwstr/>
      </vt:variant>
      <vt:variant>
        <vt:i4>524372</vt:i4>
      </vt:variant>
      <vt:variant>
        <vt:i4>1488</vt:i4>
      </vt:variant>
      <vt:variant>
        <vt:i4>0</vt:i4>
      </vt:variant>
      <vt:variant>
        <vt:i4>5</vt:i4>
      </vt:variant>
      <vt:variant>
        <vt:lpwstr>https://www.gov.uk/government/organisations/hm-courts-and-tribunals-service/about</vt:lpwstr>
      </vt:variant>
      <vt:variant>
        <vt:lpwstr/>
      </vt:variant>
      <vt:variant>
        <vt:i4>524372</vt:i4>
      </vt:variant>
      <vt:variant>
        <vt:i4>1485</vt:i4>
      </vt:variant>
      <vt:variant>
        <vt:i4>0</vt:i4>
      </vt:variant>
      <vt:variant>
        <vt:i4>5</vt:i4>
      </vt:variant>
      <vt:variant>
        <vt:lpwstr>https://www.gov.uk/government/organisations/hm-courts-and-tribunals-service/about</vt:lpwstr>
      </vt:variant>
      <vt:variant>
        <vt:lpwstr/>
      </vt:variant>
      <vt:variant>
        <vt:i4>1245193</vt:i4>
      </vt:variant>
      <vt:variant>
        <vt:i4>1482</vt:i4>
      </vt:variant>
      <vt:variant>
        <vt:i4>0</vt:i4>
      </vt:variant>
      <vt:variant>
        <vt:i4>5</vt:i4>
      </vt:variant>
      <vt:variant>
        <vt:lpwstr/>
      </vt:variant>
      <vt:variant>
        <vt:lpwstr>baseyear</vt:lpwstr>
      </vt:variant>
      <vt:variant>
        <vt:i4>8323173</vt:i4>
      </vt:variant>
      <vt:variant>
        <vt:i4>1479</vt:i4>
      </vt:variant>
      <vt:variant>
        <vt:i4>0</vt:i4>
      </vt:variant>
      <vt:variant>
        <vt:i4>5</vt:i4>
      </vt:variant>
      <vt:variant>
        <vt:lpwstr/>
      </vt:variant>
      <vt:variant>
        <vt:lpwstr>Charges</vt:lpwstr>
      </vt:variant>
      <vt:variant>
        <vt:i4>7798909</vt:i4>
      </vt:variant>
      <vt:variant>
        <vt:i4>1476</vt:i4>
      </vt:variant>
      <vt:variant>
        <vt:i4>0</vt:i4>
      </vt:variant>
      <vt:variant>
        <vt:i4>5</vt:i4>
      </vt:variant>
      <vt:variant>
        <vt:lpwstr/>
      </vt:variant>
      <vt:variant>
        <vt:lpwstr>Chargingscheme</vt:lpwstr>
      </vt:variant>
      <vt:variant>
        <vt:i4>1245197</vt:i4>
      </vt:variant>
      <vt:variant>
        <vt:i4>1473</vt:i4>
      </vt:variant>
      <vt:variant>
        <vt:i4>0</vt:i4>
      </vt:variant>
      <vt:variant>
        <vt:i4>5</vt:i4>
      </vt:variant>
      <vt:variant>
        <vt:lpwstr/>
      </vt:variant>
      <vt:variant>
        <vt:lpwstr>Umbrellaagreement</vt:lpwstr>
      </vt:variant>
      <vt:variant>
        <vt:i4>262171</vt:i4>
      </vt:variant>
      <vt:variant>
        <vt:i4>1470</vt:i4>
      </vt:variant>
      <vt:variant>
        <vt:i4>0</vt:i4>
      </vt:variant>
      <vt:variant>
        <vt:i4>5</vt:i4>
      </vt:variant>
      <vt:variant>
        <vt:lpwstr/>
      </vt:variant>
      <vt:variant>
        <vt:lpwstr>Sectorcommitment</vt:lpwstr>
      </vt:variant>
      <vt:variant>
        <vt:i4>4194376</vt:i4>
      </vt:variant>
      <vt:variant>
        <vt:i4>1467</vt:i4>
      </vt:variant>
      <vt:variant>
        <vt:i4>0</vt:i4>
      </vt:variant>
      <vt:variant>
        <vt:i4>5</vt:i4>
      </vt:variant>
      <vt:variant>
        <vt:lpwstr>https://www.gov.uk/government/publications/uk-subsidy-control-statutory-guidance</vt:lpwstr>
      </vt:variant>
      <vt:variant>
        <vt:lpwstr/>
      </vt:variant>
      <vt:variant>
        <vt:i4>1966103</vt:i4>
      </vt:variant>
      <vt:variant>
        <vt:i4>1464</vt:i4>
      </vt:variant>
      <vt:variant>
        <vt:i4>0</vt:i4>
      </vt:variant>
      <vt:variant>
        <vt:i4>5</vt:i4>
      </vt:variant>
      <vt:variant>
        <vt:lpwstr/>
      </vt:variant>
      <vt:variant>
        <vt:lpwstr>Administrator</vt:lpwstr>
      </vt:variant>
      <vt:variant>
        <vt:i4>7405674</vt:i4>
      </vt:variant>
      <vt:variant>
        <vt:i4>1461</vt:i4>
      </vt:variant>
      <vt:variant>
        <vt:i4>0</vt:i4>
      </vt:variant>
      <vt:variant>
        <vt:i4>5</vt:i4>
      </vt:variant>
      <vt:variant>
        <vt:lpwstr>https://www.gov.uk/government/publications/climate-change-agreements-technical-guidance</vt:lpwstr>
      </vt:variant>
      <vt:variant>
        <vt:lpwstr/>
      </vt:variant>
      <vt:variant>
        <vt:i4>3670099</vt:i4>
      </vt:variant>
      <vt:variant>
        <vt:i4>1458</vt:i4>
      </vt:variant>
      <vt:variant>
        <vt:i4>0</vt:i4>
      </vt:variant>
      <vt:variant>
        <vt:i4>5</vt:i4>
      </vt:variant>
      <vt:variant>
        <vt:lpwstr/>
      </vt:variant>
      <vt:variant>
        <vt:lpwstr>_4.5._Including/Excluding_a</vt:lpwstr>
      </vt:variant>
      <vt:variant>
        <vt:i4>1769533</vt:i4>
      </vt:variant>
      <vt:variant>
        <vt:i4>1455</vt:i4>
      </vt:variant>
      <vt:variant>
        <vt:i4>0</vt:i4>
      </vt:variant>
      <vt:variant>
        <vt:i4>5</vt:i4>
      </vt:variant>
      <vt:variant>
        <vt:lpwstr/>
      </vt:variant>
      <vt:variant>
        <vt:lpwstr>_8.4._Appeals_and</vt:lpwstr>
      </vt:variant>
      <vt:variant>
        <vt:i4>8192103</vt:i4>
      </vt:variant>
      <vt:variant>
        <vt:i4>1452</vt:i4>
      </vt:variant>
      <vt:variant>
        <vt:i4>0</vt:i4>
      </vt:variant>
      <vt:variant>
        <vt:i4>5</vt:i4>
      </vt:variant>
      <vt:variant>
        <vt:lpwstr/>
      </vt:variant>
      <vt:variant>
        <vt:lpwstr>Termination</vt:lpwstr>
      </vt:variant>
      <vt:variant>
        <vt:i4>6750303</vt:i4>
      </vt:variant>
      <vt:variant>
        <vt:i4>1449</vt:i4>
      </vt:variant>
      <vt:variant>
        <vt:i4>0</vt:i4>
      </vt:variant>
      <vt:variant>
        <vt:i4>5</vt:i4>
      </vt:variant>
      <vt:variant>
        <vt:lpwstr/>
      </vt:variant>
      <vt:variant>
        <vt:lpwstr>_10.8.3._Re-assessing_performance</vt:lpwstr>
      </vt:variant>
      <vt:variant>
        <vt:i4>7471228</vt:i4>
      </vt:variant>
      <vt:variant>
        <vt:i4>1446</vt:i4>
      </vt:variant>
      <vt:variant>
        <vt:i4>0</vt:i4>
      </vt:variant>
      <vt:variant>
        <vt:i4>5</vt:i4>
      </vt:variant>
      <vt:variant>
        <vt:lpwstr/>
      </vt:variant>
      <vt:variant>
        <vt:lpwstr>Secondarybuyout</vt:lpwstr>
      </vt:variant>
      <vt:variant>
        <vt:i4>7340141</vt:i4>
      </vt:variant>
      <vt:variant>
        <vt:i4>1443</vt:i4>
      </vt:variant>
      <vt:variant>
        <vt:i4>0</vt:i4>
      </vt:variant>
      <vt:variant>
        <vt:i4>5</vt:i4>
      </vt:variant>
      <vt:variant>
        <vt:lpwstr/>
      </vt:variant>
      <vt:variant>
        <vt:lpwstr>Surplus</vt:lpwstr>
      </vt:variant>
      <vt:variant>
        <vt:i4>7209070</vt:i4>
      </vt:variant>
      <vt:variant>
        <vt:i4>1440</vt:i4>
      </vt:variant>
      <vt:variant>
        <vt:i4>0</vt:i4>
      </vt:variant>
      <vt:variant>
        <vt:i4>5</vt:i4>
      </vt:variant>
      <vt:variant>
        <vt:lpwstr/>
      </vt:variant>
      <vt:variant>
        <vt:lpwstr>Buyout</vt:lpwstr>
      </vt:variant>
      <vt:variant>
        <vt:i4>7405629</vt:i4>
      </vt:variant>
      <vt:variant>
        <vt:i4>1437</vt:i4>
      </vt:variant>
      <vt:variant>
        <vt:i4>0</vt:i4>
      </vt:variant>
      <vt:variant>
        <vt:i4>5</vt:i4>
      </vt:variant>
      <vt:variant>
        <vt:lpwstr>https://www.gov.uk/government/publications/environment-agency-enforcement-and-sanctions-policy/annex-2-climate-change-schemes-the-environment-agencys-approach-to-applying-civil-penalties</vt:lpwstr>
      </vt:variant>
      <vt:variant>
        <vt:lpwstr/>
      </vt:variant>
      <vt:variant>
        <vt:i4>2031642</vt:i4>
      </vt:variant>
      <vt:variant>
        <vt:i4>1434</vt:i4>
      </vt:variant>
      <vt:variant>
        <vt:i4>0</vt:i4>
      </vt:variant>
      <vt:variant>
        <vt:i4>5</vt:i4>
      </vt:variant>
      <vt:variant>
        <vt:lpwstr/>
      </vt:variant>
      <vt:variant>
        <vt:lpwstr>_10.5.2._Buy-out</vt:lpwstr>
      </vt:variant>
      <vt:variant>
        <vt:i4>7405629</vt:i4>
      </vt:variant>
      <vt:variant>
        <vt:i4>1431</vt:i4>
      </vt:variant>
      <vt:variant>
        <vt:i4>0</vt:i4>
      </vt:variant>
      <vt:variant>
        <vt:i4>5</vt:i4>
      </vt:variant>
      <vt:variant>
        <vt:lpwstr>https://www.gov.uk/government/publications/environment-agency-enforcement-and-sanctions-policy/annex-2-climate-change-schemes-the-environment-agencys-approach-to-applying-civil-penalties</vt:lpwstr>
      </vt:variant>
      <vt:variant>
        <vt:lpwstr/>
      </vt:variant>
      <vt:variant>
        <vt:i4>1245266</vt:i4>
      </vt:variant>
      <vt:variant>
        <vt:i4>1428</vt:i4>
      </vt:variant>
      <vt:variant>
        <vt:i4>0</vt:i4>
      </vt:variant>
      <vt:variant>
        <vt:i4>5</vt:i4>
      </vt:variant>
      <vt:variant>
        <vt:lpwstr>https://www.gov.uk/guidance/climate-change-levy-application-rates-and-exemptions</vt:lpwstr>
      </vt:variant>
      <vt:variant>
        <vt:lpwstr/>
      </vt:variant>
      <vt:variant>
        <vt:i4>4784205</vt:i4>
      </vt:variant>
      <vt:variant>
        <vt:i4>1425</vt:i4>
      </vt:variant>
      <vt:variant>
        <vt:i4>0</vt:i4>
      </vt:variant>
      <vt:variant>
        <vt:i4>5</vt:i4>
      </vt:variant>
      <vt:variant>
        <vt:lpwstr>https://www.gov.uk/guidance/climate-change-levy-rates</vt:lpwstr>
      </vt:variant>
      <vt:variant>
        <vt:lpwstr/>
      </vt:variant>
      <vt:variant>
        <vt:i4>1245266</vt:i4>
      </vt:variant>
      <vt:variant>
        <vt:i4>1422</vt:i4>
      </vt:variant>
      <vt:variant>
        <vt:i4>0</vt:i4>
      </vt:variant>
      <vt:variant>
        <vt:i4>5</vt:i4>
      </vt:variant>
      <vt:variant>
        <vt:lpwstr>https://www.gov.uk/guidance/climate-change-levy-application-rates-and-exemptions</vt:lpwstr>
      </vt:variant>
      <vt:variant>
        <vt:lpwstr/>
      </vt:variant>
      <vt:variant>
        <vt:i4>1441811</vt:i4>
      </vt:variant>
      <vt:variant>
        <vt:i4>1419</vt:i4>
      </vt:variant>
      <vt:variant>
        <vt:i4>0</vt:i4>
      </vt:variant>
      <vt:variant>
        <vt:i4>5</vt:i4>
      </vt:variant>
      <vt:variant>
        <vt:lpwstr/>
      </vt:variant>
      <vt:variant>
        <vt:lpwstr>Schedule2</vt:lpwstr>
      </vt:variant>
      <vt:variant>
        <vt:i4>1245193</vt:i4>
      </vt:variant>
      <vt:variant>
        <vt:i4>1416</vt:i4>
      </vt:variant>
      <vt:variant>
        <vt:i4>0</vt:i4>
      </vt:variant>
      <vt:variant>
        <vt:i4>5</vt:i4>
      </vt:variant>
      <vt:variant>
        <vt:lpwstr/>
      </vt:variant>
      <vt:variant>
        <vt:lpwstr>baseyear</vt:lpwstr>
      </vt:variant>
      <vt:variant>
        <vt:i4>6488163</vt:i4>
      </vt:variant>
      <vt:variant>
        <vt:i4>1413</vt:i4>
      </vt:variant>
      <vt:variant>
        <vt:i4>0</vt:i4>
      </vt:variant>
      <vt:variant>
        <vt:i4>5</vt:i4>
      </vt:variant>
      <vt:variant>
        <vt:lpwstr/>
      </vt:variant>
      <vt:variant>
        <vt:lpwstr>CCL</vt:lpwstr>
      </vt:variant>
      <vt:variant>
        <vt:i4>7340137</vt:i4>
      </vt:variant>
      <vt:variant>
        <vt:i4>1410</vt:i4>
      </vt:variant>
      <vt:variant>
        <vt:i4>0</vt:i4>
      </vt:variant>
      <vt:variant>
        <vt:i4>5</vt:i4>
      </vt:variant>
      <vt:variant>
        <vt:lpwstr/>
      </vt:variant>
      <vt:variant>
        <vt:lpwstr>greenfield</vt:lpwstr>
      </vt:variant>
      <vt:variant>
        <vt:i4>1245193</vt:i4>
      </vt:variant>
      <vt:variant>
        <vt:i4>1407</vt:i4>
      </vt:variant>
      <vt:variant>
        <vt:i4>0</vt:i4>
      </vt:variant>
      <vt:variant>
        <vt:i4>5</vt:i4>
      </vt:variant>
      <vt:variant>
        <vt:lpwstr/>
      </vt:variant>
      <vt:variant>
        <vt:lpwstr>baseyear</vt:lpwstr>
      </vt:variant>
      <vt:variant>
        <vt:i4>7340146</vt:i4>
      </vt:variant>
      <vt:variant>
        <vt:i4>1404</vt:i4>
      </vt:variant>
      <vt:variant>
        <vt:i4>0</vt:i4>
      </vt:variant>
      <vt:variant>
        <vt:i4>5</vt:i4>
      </vt:variant>
      <vt:variant>
        <vt:lpwstr/>
      </vt:variant>
      <vt:variant>
        <vt:lpwstr>Penalty</vt:lpwstr>
      </vt:variant>
      <vt:variant>
        <vt:i4>2031632</vt:i4>
      </vt:variant>
      <vt:variant>
        <vt:i4>1401</vt:i4>
      </vt:variant>
      <vt:variant>
        <vt:i4>0</vt:i4>
      </vt:variant>
      <vt:variant>
        <vt:i4>5</vt:i4>
      </vt:variant>
      <vt:variant>
        <vt:lpwstr/>
      </vt:variant>
      <vt:variant>
        <vt:lpwstr>UKETS</vt:lpwstr>
      </vt:variant>
      <vt:variant>
        <vt:i4>1507427</vt:i4>
      </vt:variant>
      <vt:variant>
        <vt:i4>1398</vt:i4>
      </vt:variant>
      <vt:variant>
        <vt:i4>0</vt:i4>
      </vt:variant>
      <vt:variant>
        <vt:i4>5</vt:i4>
      </vt:variant>
      <vt:variant>
        <vt:lpwstr/>
      </vt:variant>
      <vt:variant>
        <vt:lpwstr>_11._Performance_Reports</vt:lpwstr>
      </vt:variant>
      <vt:variant>
        <vt:i4>8257545</vt:i4>
      </vt:variant>
      <vt:variant>
        <vt:i4>1395</vt:i4>
      </vt:variant>
      <vt:variant>
        <vt:i4>0</vt:i4>
      </vt:variant>
      <vt:variant>
        <vt:i4>5</vt:i4>
      </vt:variant>
      <vt:variant>
        <vt:lpwstr/>
      </vt:variant>
      <vt:variant>
        <vt:lpwstr>_10._Final_and</vt:lpwstr>
      </vt:variant>
      <vt:variant>
        <vt:i4>7340146</vt:i4>
      </vt:variant>
      <vt:variant>
        <vt:i4>1392</vt:i4>
      </vt:variant>
      <vt:variant>
        <vt:i4>0</vt:i4>
      </vt:variant>
      <vt:variant>
        <vt:i4>5</vt:i4>
      </vt:variant>
      <vt:variant>
        <vt:lpwstr/>
      </vt:variant>
      <vt:variant>
        <vt:lpwstr>Penalty</vt:lpwstr>
      </vt:variant>
      <vt:variant>
        <vt:i4>3342448</vt:i4>
      </vt:variant>
      <vt:variant>
        <vt:i4>1389</vt:i4>
      </vt:variant>
      <vt:variant>
        <vt:i4>0</vt:i4>
      </vt:variant>
      <vt:variant>
        <vt:i4>5</vt:i4>
      </vt:variant>
      <vt:variant>
        <vt:lpwstr>https://www.gov.uk/government/publications/environment-agency-enforcement-and-sanctions-policy</vt:lpwstr>
      </vt:variant>
      <vt:variant>
        <vt:lpwstr/>
      </vt:variant>
      <vt:variant>
        <vt:i4>7995393</vt:i4>
      </vt:variant>
      <vt:variant>
        <vt:i4>1386</vt:i4>
      </vt:variant>
      <vt:variant>
        <vt:i4>0</vt:i4>
      </vt:variant>
      <vt:variant>
        <vt:i4>5</vt:i4>
      </vt:variant>
      <vt:variant>
        <vt:lpwstr/>
      </vt:variant>
      <vt:variant>
        <vt:lpwstr>_Appendix_A:_Eligible</vt:lpwstr>
      </vt:variant>
      <vt:variant>
        <vt:i4>6422630</vt:i4>
      </vt:variant>
      <vt:variant>
        <vt:i4>1383</vt:i4>
      </vt:variant>
      <vt:variant>
        <vt:i4>0</vt:i4>
      </vt:variant>
      <vt:variant>
        <vt:i4>5</vt:i4>
      </vt:variant>
      <vt:variant>
        <vt:lpwstr/>
      </vt:variant>
      <vt:variant>
        <vt:lpwstr>Brownfield</vt:lpwstr>
      </vt:variant>
      <vt:variant>
        <vt:i4>3801088</vt:i4>
      </vt:variant>
      <vt:variant>
        <vt:i4>1380</vt:i4>
      </vt:variant>
      <vt:variant>
        <vt:i4>0</vt:i4>
      </vt:variant>
      <vt:variant>
        <vt:i4>5</vt:i4>
      </vt:variant>
      <vt:variant>
        <vt:lpwstr/>
      </vt:variant>
      <vt:variant>
        <vt:lpwstr>_8._Application_of</vt:lpwstr>
      </vt:variant>
      <vt:variant>
        <vt:i4>7340146</vt:i4>
      </vt:variant>
      <vt:variant>
        <vt:i4>1377</vt:i4>
      </vt:variant>
      <vt:variant>
        <vt:i4>0</vt:i4>
      </vt:variant>
      <vt:variant>
        <vt:i4>5</vt:i4>
      </vt:variant>
      <vt:variant>
        <vt:lpwstr/>
      </vt:variant>
      <vt:variant>
        <vt:lpwstr>Penalty</vt:lpwstr>
      </vt:variant>
      <vt:variant>
        <vt:i4>6619225</vt:i4>
      </vt:variant>
      <vt:variant>
        <vt:i4>1374</vt:i4>
      </vt:variant>
      <vt:variant>
        <vt:i4>0</vt:i4>
      </vt:variant>
      <vt:variant>
        <vt:i4>5</vt:i4>
      </vt:variant>
      <vt:variant>
        <vt:lpwstr/>
      </vt:variant>
      <vt:variant>
        <vt:lpwstr>_9._Auditing_the</vt:lpwstr>
      </vt:variant>
      <vt:variant>
        <vt:i4>1835013</vt:i4>
      </vt:variant>
      <vt:variant>
        <vt:i4>1371</vt:i4>
      </vt:variant>
      <vt:variant>
        <vt:i4>0</vt:i4>
      </vt:variant>
      <vt:variant>
        <vt:i4>5</vt:i4>
      </vt:variant>
      <vt:variant>
        <vt:lpwstr/>
      </vt:variant>
      <vt:variant>
        <vt:lpwstr>Audit</vt:lpwstr>
      </vt:variant>
      <vt:variant>
        <vt:i4>6946942</vt:i4>
      </vt:variant>
      <vt:variant>
        <vt:i4>1368</vt:i4>
      </vt:variant>
      <vt:variant>
        <vt:i4>0</vt:i4>
      </vt:variant>
      <vt:variant>
        <vt:i4>5</vt:i4>
      </vt:variant>
      <vt:variant>
        <vt:lpwstr/>
      </vt:variant>
      <vt:variant>
        <vt:lpwstr>facilitytarget</vt:lpwstr>
      </vt:variant>
      <vt:variant>
        <vt:i4>6553710</vt:i4>
      </vt:variant>
      <vt:variant>
        <vt:i4>1365</vt:i4>
      </vt:variant>
      <vt:variant>
        <vt:i4>0</vt:i4>
      </vt:variant>
      <vt:variant>
        <vt:i4>5</vt:i4>
      </vt:variant>
      <vt:variant>
        <vt:lpwstr/>
      </vt:variant>
      <vt:variant>
        <vt:lpwstr>Throughput</vt:lpwstr>
      </vt:variant>
      <vt:variant>
        <vt:i4>7929869</vt:i4>
      </vt:variant>
      <vt:variant>
        <vt:i4>1362</vt:i4>
      </vt:variant>
      <vt:variant>
        <vt:i4>0</vt:i4>
      </vt:variant>
      <vt:variant>
        <vt:i4>5</vt:i4>
      </vt:variant>
      <vt:variant>
        <vt:lpwstr/>
      </vt:variant>
      <vt:variant>
        <vt:lpwstr>_10.4._Target_adjustments</vt:lpwstr>
      </vt:variant>
      <vt:variant>
        <vt:i4>1245193</vt:i4>
      </vt:variant>
      <vt:variant>
        <vt:i4>1359</vt:i4>
      </vt:variant>
      <vt:variant>
        <vt:i4>0</vt:i4>
      </vt:variant>
      <vt:variant>
        <vt:i4>5</vt:i4>
      </vt:variant>
      <vt:variant>
        <vt:lpwstr/>
      </vt:variant>
      <vt:variant>
        <vt:lpwstr>baseyear</vt:lpwstr>
      </vt:variant>
      <vt:variant>
        <vt:i4>7340137</vt:i4>
      </vt:variant>
      <vt:variant>
        <vt:i4>1356</vt:i4>
      </vt:variant>
      <vt:variant>
        <vt:i4>0</vt:i4>
      </vt:variant>
      <vt:variant>
        <vt:i4>5</vt:i4>
      </vt:variant>
      <vt:variant>
        <vt:lpwstr/>
      </vt:variant>
      <vt:variant>
        <vt:lpwstr>greenfield</vt:lpwstr>
      </vt:variant>
      <vt:variant>
        <vt:i4>3801088</vt:i4>
      </vt:variant>
      <vt:variant>
        <vt:i4>1353</vt:i4>
      </vt:variant>
      <vt:variant>
        <vt:i4>0</vt:i4>
      </vt:variant>
      <vt:variant>
        <vt:i4>5</vt:i4>
      </vt:variant>
      <vt:variant>
        <vt:lpwstr/>
      </vt:variant>
      <vt:variant>
        <vt:lpwstr>_8._Application_of</vt:lpwstr>
      </vt:variant>
      <vt:variant>
        <vt:i4>8060938</vt:i4>
      </vt:variant>
      <vt:variant>
        <vt:i4>1350</vt:i4>
      </vt:variant>
      <vt:variant>
        <vt:i4>0</vt:i4>
      </vt:variant>
      <vt:variant>
        <vt:i4>5</vt:i4>
      </vt:variant>
      <vt:variant>
        <vt:lpwstr/>
      </vt:variant>
      <vt:variant>
        <vt:lpwstr>_Appendix_H:_Workbook</vt:lpwstr>
      </vt:variant>
      <vt:variant>
        <vt:i4>1835013</vt:i4>
      </vt:variant>
      <vt:variant>
        <vt:i4>1347</vt:i4>
      </vt:variant>
      <vt:variant>
        <vt:i4>0</vt:i4>
      </vt:variant>
      <vt:variant>
        <vt:i4>5</vt:i4>
      </vt:variant>
      <vt:variant>
        <vt:lpwstr/>
      </vt:variant>
      <vt:variant>
        <vt:lpwstr>Audit</vt:lpwstr>
      </vt:variant>
      <vt:variant>
        <vt:i4>6815847</vt:i4>
      </vt:variant>
      <vt:variant>
        <vt:i4>1344</vt:i4>
      </vt:variant>
      <vt:variant>
        <vt:i4>0</vt:i4>
      </vt:variant>
      <vt:variant>
        <vt:i4>5</vt:i4>
      </vt:variant>
      <vt:variant>
        <vt:lpwstr/>
      </vt:variant>
      <vt:variant>
        <vt:lpwstr>Underlyingagreement</vt:lpwstr>
      </vt:variant>
      <vt:variant>
        <vt:i4>2359393</vt:i4>
      </vt:variant>
      <vt:variant>
        <vt:i4>1341</vt:i4>
      </vt:variant>
      <vt:variant>
        <vt:i4>0</vt:i4>
      </vt:variant>
      <vt:variant>
        <vt:i4>5</vt:i4>
      </vt:variant>
      <vt:variant>
        <vt:lpwstr/>
      </vt:variant>
      <vt:variant>
        <vt:lpwstr>_Appendix_H:_Workbook_1</vt:lpwstr>
      </vt:variant>
      <vt:variant>
        <vt:i4>1245193</vt:i4>
      </vt:variant>
      <vt:variant>
        <vt:i4>1338</vt:i4>
      </vt:variant>
      <vt:variant>
        <vt:i4>0</vt:i4>
      </vt:variant>
      <vt:variant>
        <vt:i4>5</vt:i4>
      </vt:variant>
      <vt:variant>
        <vt:lpwstr/>
      </vt:variant>
      <vt:variant>
        <vt:lpwstr>baseyear</vt:lpwstr>
      </vt:variant>
      <vt:variant>
        <vt:i4>1703950</vt:i4>
      </vt:variant>
      <vt:variant>
        <vt:i4>1335</vt:i4>
      </vt:variant>
      <vt:variant>
        <vt:i4>0</vt:i4>
      </vt:variant>
      <vt:variant>
        <vt:i4>5</vt:i4>
      </vt:variant>
      <vt:variant>
        <vt:lpwstr/>
      </vt:variant>
      <vt:variant>
        <vt:lpwstr>Targetperiod</vt:lpwstr>
      </vt:variant>
      <vt:variant>
        <vt:i4>6160420</vt:i4>
      </vt:variant>
      <vt:variant>
        <vt:i4>1332</vt:i4>
      </vt:variant>
      <vt:variant>
        <vt:i4>0</vt:i4>
      </vt:variant>
      <vt:variant>
        <vt:i4>5</vt:i4>
      </vt:variant>
      <vt:variant>
        <vt:lpwstr/>
      </vt:variant>
      <vt:variant>
        <vt:lpwstr>_10.3._The_reporting</vt:lpwstr>
      </vt:variant>
      <vt:variant>
        <vt:i4>2359393</vt:i4>
      </vt:variant>
      <vt:variant>
        <vt:i4>1329</vt:i4>
      </vt:variant>
      <vt:variant>
        <vt:i4>0</vt:i4>
      </vt:variant>
      <vt:variant>
        <vt:i4>5</vt:i4>
      </vt:variant>
      <vt:variant>
        <vt:lpwstr/>
      </vt:variant>
      <vt:variant>
        <vt:lpwstr>_Appendix_H:_Workbook_1</vt:lpwstr>
      </vt:variant>
      <vt:variant>
        <vt:i4>2359393</vt:i4>
      </vt:variant>
      <vt:variant>
        <vt:i4>1326</vt:i4>
      </vt:variant>
      <vt:variant>
        <vt:i4>0</vt:i4>
      </vt:variant>
      <vt:variant>
        <vt:i4>5</vt:i4>
      </vt:variant>
      <vt:variant>
        <vt:lpwstr/>
      </vt:variant>
      <vt:variant>
        <vt:lpwstr>_Appendix_H:_Workbook_1</vt:lpwstr>
      </vt:variant>
      <vt:variant>
        <vt:i4>1245193</vt:i4>
      </vt:variant>
      <vt:variant>
        <vt:i4>1323</vt:i4>
      </vt:variant>
      <vt:variant>
        <vt:i4>0</vt:i4>
      </vt:variant>
      <vt:variant>
        <vt:i4>5</vt:i4>
      </vt:variant>
      <vt:variant>
        <vt:lpwstr/>
      </vt:variant>
      <vt:variant>
        <vt:lpwstr>baseyear</vt:lpwstr>
      </vt:variant>
      <vt:variant>
        <vt:i4>1835013</vt:i4>
      </vt:variant>
      <vt:variant>
        <vt:i4>1320</vt:i4>
      </vt:variant>
      <vt:variant>
        <vt:i4>0</vt:i4>
      </vt:variant>
      <vt:variant>
        <vt:i4>5</vt:i4>
      </vt:variant>
      <vt:variant>
        <vt:lpwstr/>
      </vt:variant>
      <vt:variant>
        <vt:lpwstr>Audit</vt:lpwstr>
      </vt:variant>
      <vt:variant>
        <vt:i4>5963832</vt:i4>
      </vt:variant>
      <vt:variant>
        <vt:i4>1317</vt:i4>
      </vt:variant>
      <vt:variant>
        <vt:i4>0</vt:i4>
      </vt:variant>
      <vt:variant>
        <vt:i4>5</vt:i4>
      </vt:variant>
      <vt:variant>
        <vt:lpwstr/>
      </vt:variant>
      <vt:variant>
        <vt:lpwstr>_3.3.3._Step_3:</vt:lpwstr>
      </vt:variant>
      <vt:variant>
        <vt:i4>7405674</vt:i4>
      </vt:variant>
      <vt:variant>
        <vt:i4>1314</vt:i4>
      </vt:variant>
      <vt:variant>
        <vt:i4>0</vt:i4>
      </vt:variant>
      <vt:variant>
        <vt:i4>5</vt:i4>
      </vt:variant>
      <vt:variant>
        <vt:lpwstr>https://www.gov.uk/government/publications/climate-change-agreements-technical-guidance</vt:lpwstr>
      </vt:variant>
      <vt:variant>
        <vt:lpwstr/>
      </vt:variant>
      <vt:variant>
        <vt:i4>2359393</vt:i4>
      </vt:variant>
      <vt:variant>
        <vt:i4>1311</vt:i4>
      </vt:variant>
      <vt:variant>
        <vt:i4>0</vt:i4>
      </vt:variant>
      <vt:variant>
        <vt:i4>5</vt:i4>
      </vt:variant>
      <vt:variant>
        <vt:lpwstr/>
      </vt:variant>
      <vt:variant>
        <vt:lpwstr>_Appendix_H:_Workbook_1</vt:lpwstr>
      </vt:variant>
      <vt:variant>
        <vt:i4>5963832</vt:i4>
      </vt:variant>
      <vt:variant>
        <vt:i4>1308</vt:i4>
      </vt:variant>
      <vt:variant>
        <vt:i4>0</vt:i4>
      </vt:variant>
      <vt:variant>
        <vt:i4>5</vt:i4>
      </vt:variant>
      <vt:variant>
        <vt:lpwstr/>
      </vt:variant>
      <vt:variant>
        <vt:lpwstr>_3.3.4._Step_4:</vt:lpwstr>
      </vt:variant>
      <vt:variant>
        <vt:i4>6946942</vt:i4>
      </vt:variant>
      <vt:variant>
        <vt:i4>1305</vt:i4>
      </vt:variant>
      <vt:variant>
        <vt:i4>0</vt:i4>
      </vt:variant>
      <vt:variant>
        <vt:i4>5</vt:i4>
      </vt:variant>
      <vt:variant>
        <vt:lpwstr/>
      </vt:variant>
      <vt:variant>
        <vt:lpwstr>Targetfacility</vt:lpwstr>
      </vt:variant>
      <vt:variant>
        <vt:i4>2031632</vt:i4>
      </vt:variant>
      <vt:variant>
        <vt:i4>1302</vt:i4>
      </vt:variant>
      <vt:variant>
        <vt:i4>0</vt:i4>
      </vt:variant>
      <vt:variant>
        <vt:i4>5</vt:i4>
      </vt:variant>
      <vt:variant>
        <vt:lpwstr/>
      </vt:variant>
      <vt:variant>
        <vt:lpwstr>UKETS</vt:lpwstr>
      </vt:variant>
      <vt:variant>
        <vt:i4>7798884</vt:i4>
      </vt:variant>
      <vt:variant>
        <vt:i4>1299</vt:i4>
      </vt:variant>
      <vt:variant>
        <vt:i4>0</vt:i4>
      </vt:variant>
      <vt:variant>
        <vt:i4>5</vt:i4>
      </vt:variant>
      <vt:variant>
        <vt:lpwstr/>
      </vt:variant>
      <vt:variant>
        <vt:lpwstr>seventypercentrule</vt:lpwstr>
      </vt:variant>
      <vt:variant>
        <vt:i4>6357092</vt:i4>
      </vt:variant>
      <vt:variant>
        <vt:i4>1296</vt:i4>
      </vt:variant>
      <vt:variant>
        <vt:i4>0</vt:i4>
      </vt:variant>
      <vt:variant>
        <vt:i4>5</vt:i4>
      </vt:variant>
      <vt:variant>
        <vt:lpwstr/>
      </vt:variant>
      <vt:variant>
        <vt:lpwstr>DAA</vt:lpwstr>
      </vt:variant>
      <vt:variant>
        <vt:i4>7602291</vt:i4>
      </vt:variant>
      <vt:variant>
        <vt:i4>1293</vt:i4>
      </vt:variant>
      <vt:variant>
        <vt:i4>0</vt:i4>
      </vt:variant>
      <vt:variant>
        <vt:i4>5</vt:i4>
      </vt:variant>
      <vt:variant>
        <vt:lpwstr/>
      </vt:variant>
      <vt:variant>
        <vt:lpwstr>STU</vt:lpwstr>
      </vt:variant>
      <vt:variant>
        <vt:i4>6357092</vt:i4>
      </vt:variant>
      <vt:variant>
        <vt:i4>1290</vt:i4>
      </vt:variant>
      <vt:variant>
        <vt:i4>0</vt:i4>
      </vt:variant>
      <vt:variant>
        <vt:i4>5</vt:i4>
      </vt:variant>
      <vt:variant>
        <vt:lpwstr/>
      </vt:variant>
      <vt:variant>
        <vt:lpwstr>DAA</vt:lpwstr>
      </vt:variant>
      <vt:variant>
        <vt:i4>7536757</vt:i4>
      </vt:variant>
      <vt:variant>
        <vt:i4>1287</vt:i4>
      </vt:variant>
      <vt:variant>
        <vt:i4>0</vt:i4>
      </vt:variant>
      <vt:variant>
        <vt:i4>5</vt:i4>
      </vt:variant>
      <vt:variant>
        <vt:lpwstr/>
      </vt:variant>
      <vt:variant>
        <vt:lpwstr>Ancilliary</vt:lpwstr>
      </vt:variant>
      <vt:variant>
        <vt:i4>1245197</vt:i4>
      </vt:variant>
      <vt:variant>
        <vt:i4>1284</vt:i4>
      </vt:variant>
      <vt:variant>
        <vt:i4>0</vt:i4>
      </vt:variant>
      <vt:variant>
        <vt:i4>5</vt:i4>
      </vt:variant>
      <vt:variant>
        <vt:lpwstr/>
      </vt:variant>
      <vt:variant>
        <vt:lpwstr>Umbrellaagreement</vt:lpwstr>
      </vt:variant>
      <vt:variant>
        <vt:i4>7602291</vt:i4>
      </vt:variant>
      <vt:variant>
        <vt:i4>1281</vt:i4>
      </vt:variant>
      <vt:variant>
        <vt:i4>0</vt:i4>
      </vt:variant>
      <vt:variant>
        <vt:i4>5</vt:i4>
      </vt:variant>
      <vt:variant>
        <vt:lpwstr/>
      </vt:variant>
      <vt:variant>
        <vt:lpwstr>STU</vt:lpwstr>
      </vt:variant>
      <vt:variant>
        <vt:i4>1441811</vt:i4>
      </vt:variant>
      <vt:variant>
        <vt:i4>1278</vt:i4>
      </vt:variant>
      <vt:variant>
        <vt:i4>0</vt:i4>
      </vt:variant>
      <vt:variant>
        <vt:i4>5</vt:i4>
      </vt:variant>
      <vt:variant>
        <vt:lpwstr/>
      </vt:variant>
      <vt:variant>
        <vt:lpwstr>Schedule2</vt:lpwstr>
      </vt:variant>
      <vt:variant>
        <vt:i4>6946942</vt:i4>
      </vt:variant>
      <vt:variant>
        <vt:i4>1275</vt:i4>
      </vt:variant>
      <vt:variant>
        <vt:i4>0</vt:i4>
      </vt:variant>
      <vt:variant>
        <vt:i4>5</vt:i4>
      </vt:variant>
      <vt:variant>
        <vt:lpwstr/>
      </vt:variant>
      <vt:variant>
        <vt:lpwstr>Targetfacility</vt:lpwstr>
      </vt:variant>
      <vt:variant>
        <vt:i4>7798884</vt:i4>
      </vt:variant>
      <vt:variant>
        <vt:i4>1272</vt:i4>
      </vt:variant>
      <vt:variant>
        <vt:i4>0</vt:i4>
      </vt:variant>
      <vt:variant>
        <vt:i4>5</vt:i4>
      </vt:variant>
      <vt:variant>
        <vt:lpwstr/>
      </vt:variant>
      <vt:variant>
        <vt:lpwstr>seventypercentrule</vt:lpwstr>
      </vt:variant>
      <vt:variant>
        <vt:i4>7536757</vt:i4>
      </vt:variant>
      <vt:variant>
        <vt:i4>1269</vt:i4>
      </vt:variant>
      <vt:variant>
        <vt:i4>0</vt:i4>
      </vt:variant>
      <vt:variant>
        <vt:i4>5</vt:i4>
      </vt:variant>
      <vt:variant>
        <vt:lpwstr/>
      </vt:variant>
      <vt:variant>
        <vt:lpwstr>Ancilliary</vt:lpwstr>
      </vt:variant>
      <vt:variant>
        <vt:i4>7995490</vt:i4>
      </vt:variant>
      <vt:variant>
        <vt:i4>1266</vt:i4>
      </vt:variant>
      <vt:variant>
        <vt:i4>0</vt:i4>
      </vt:variant>
      <vt:variant>
        <vt:i4>5</vt:i4>
      </vt:variant>
      <vt:variant>
        <vt:lpwstr/>
      </vt:variant>
      <vt:variant>
        <vt:lpwstr>Primaryactivity</vt:lpwstr>
      </vt:variant>
      <vt:variant>
        <vt:i4>7405674</vt:i4>
      </vt:variant>
      <vt:variant>
        <vt:i4>1263</vt:i4>
      </vt:variant>
      <vt:variant>
        <vt:i4>0</vt:i4>
      </vt:variant>
      <vt:variant>
        <vt:i4>5</vt:i4>
      </vt:variant>
      <vt:variant>
        <vt:lpwstr>https://www.gov.uk/government/publications/climate-change-agreements-technical-guidance</vt:lpwstr>
      </vt:variant>
      <vt:variant>
        <vt:lpwstr/>
      </vt:variant>
      <vt:variant>
        <vt:i4>524307</vt:i4>
      </vt:variant>
      <vt:variant>
        <vt:i4>1260</vt:i4>
      </vt:variant>
      <vt:variant>
        <vt:i4>0</vt:i4>
      </vt:variant>
      <vt:variant>
        <vt:i4>5</vt:i4>
      </vt:variant>
      <vt:variant>
        <vt:lpwstr/>
      </vt:variant>
      <vt:variant>
        <vt:lpwstr>Structuralchange</vt:lpwstr>
      </vt:variant>
      <vt:variant>
        <vt:i4>6422647</vt:i4>
      </vt:variant>
      <vt:variant>
        <vt:i4>1257</vt:i4>
      </vt:variant>
      <vt:variant>
        <vt:i4>0</vt:i4>
      </vt:variant>
      <vt:variant>
        <vt:i4>5</vt:i4>
      </vt:variant>
      <vt:variant>
        <vt:lpwstr/>
      </vt:variant>
      <vt:variant>
        <vt:lpwstr>Account</vt:lpwstr>
      </vt:variant>
      <vt:variant>
        <vt:i4>6029412</vt:i4>
      </vt:variant>
      <vt:variant>
        <vt:i4>1254</vt:i4>
      </vt:variant>
      <vt:variant>
        <vt:i4>0</vt:i4>
      </vt:variant>
      <vt:variant>
        <vt:i4>5</vt:i4>
      </vt:variant>
      <vt:variant>
        <vt:lpwstr/>
      </vt:variant>
      <vt:variant>
        <vt:lpwstr>_2.3.1._The_operator</vt:lpwstr>
      </vt:variant>
      <vt:variant>
        <vt:i4>3145749</vt:i4>
      </vt:variant>
      <vt:variant>
        <vt:i4>1251</vt:i4>
      </vt:variant>
      <vt:variant>
        <vt:i4>0</vt:i4>
      </vt:variant>
      <vt:variant>
        <vt:i4>5</vt:i4>
      </vt:variant>
      <vt:variant>
        <vt:lpwstr/>
      </vt:variant>
      <vt:variant>
        <vt:lpwstr>_6._Application_process</vt:lpwstr>
      </vt:variant>
      <vt:variant>
        <vt:i4>196654</vt:i4>
      </vt:variant>
      <vt:variant>
        <vt:i4>1248</vt:i4>
      </vt:variant>
      <vt:variant>
        <vt:i4>0</vt:i4>
      </vt:variant>
      <vt:variant>
        <vt:i4>5</vt:i4>
      </vt:variant>
      <vt:variant>
        <vt:lpwstr/>
      </vt:variant>
      <vt:variant>
        <vt:lpwstr>_7.9._Other_types</vt:lpwstr>
      </vt:variant>
      <vt:variant>
        <vt:i4>2818061</vt:i4>
      </vt:variant>
      <vt:variant>
        <vt:i4>1245</vt:i4>
      </vt:variant>
      <vt:variant>
        <vt:i4>0</vt:i4>
      </vt:variant>
      <vt:variant>
        <vt:i4>5</vt:i4>
      </vt:variant>
      <vt:variant>
        <vt:lpwstr/>
      </vt:variant>
      <vt:variant>
        <vt:lpwstr>_7.7._Variations_for</vt:lpwstr>
      </vt:variant>
      <vt:variant>
        <vt:i4>5242979</vt:i4>
      </vt:variant>
      <vt:variant>
        <vt:i4>1242</vt:i4>
      </vt:variant>
      <vt:variant>
        <vt:i4>0</vt:i4>
      </vt:variant>
      <vt:variant>
        <vt:i4>5</vt:i4>
      </vt:variant>
      <vt:variant>
        <vt:lpwstr/>
      </vt:variant>
      <vt:variant>
        <vt:lpwstr>_7.6._Updating_the</vt:lpwstr>
      </vt:variant>
      <vt:variant>
        <vt:i4>8061007</vt:i4>
      </vt:variant>
      <vt:variant>
        <vt:i4>1239</vt:i4>
      </vt:variant>
      <vt:variant>
        <vt:i4>0</vt:i4>
      </vt:variant>
      <vt:variant>
        <vt:i4>5</vt:i4>
      </vt:variant>
      <vt:variant>
        <vt:lpwstr/>
      </vt:variant>
      <vt:variant>
        <vt:lpwstr>_7.5.2._Review_of</vt:lpwstr>
      </vt:variant>
      <vt:variant>
        <vt:i4>6422622</vt:i4>
      </vt:variant>
      <vt:variant>
        <vt:i4>1236</vt:i4>
      </vt:variant>
      <vt:variant>
        <vt:i4>0</vt:i4>
      </vt:variant>
      <vt:variant>
        <vt:i4>5</vt:i4>
      </vt:variant>
      <vt:variant>
        <vt:lpwstr/>
      </vt:variant>
      <vt:variant>
        <vt:lpwstr>_7.5.1._Structural_change</vt:lpwstr>
      </vt:variant>
      <vt:variant>
        <vt:i4>4784225</vt:i4>
      </vt:variant>
      <vt:variant>
        <vt:i4>1233</vt:i4>
      </vt:variant>
      <vt:variant>
        <vt:i4>0</vt:i4>
      </vt:variant>
      <vt:variant>
        <vt:i4>5</vt:i4>
      </vt:variant>
      <vt:variant>
        <vt:lpwstr/>
      </vt:variant>
      <vt:variant>
        <vt:lpwstr>_7.5._Review_of</vt:lpwstr>
      </vt:variant>
      <vt:variant>
        <vt:i4>7798884</vt:i4>
      </vt:variant>
      <vt:variant>
        <vt:i4>1230</vt:i4>
      </vt:variant>
      <vt:variant>
        <vt:i4>0</vt:i4>
      </vt:variant>
      <vt:variant>
        <vt:i4>5</vt:i4>
      </vt:variant>
      <vt:variant>
        <vt:lpwstr/>
      </vt:variant>
      <vt:variant>
        <vt:lpwstr>seventypercentrule</vt:lpwstr>
      </vt:variant>
      <vt:variant>
        <vt:i4>524307</vt:i4>
      </vt:variant>
      <vt:variant>
        <vt:i4>1227</vt:i4>
      </vt:variant>
      <vt:variant>
        <vt:i4>0</vt:i4>
      </vt:variant>
      <vt:variant>
        <vt:i4>5</vt:i4>
      </vt:variant>
      <vt:variant>
        <vt:lpwstr/>
      </vt:variant>
      <vt:variant>
        <vt:lpwstr>Structuralchange</vt:lpwstr>
      </vt:variant>
      <vt:variant>
        <vt:i4>917550</vt:i4>
      </vt:variant>
      <vt:variant>
        <vt:i4>1224</vt:i4>
      </vt:variant>
      <vt:variant>
        <vt:i4>0</vt:i4>
      </vt:variant>
      <vt:variant>
        <vt:i4>5</vt:i4>
      </vt:variant>
      <vt:variant>
        <vt:lpwstr/>
      </vt:variant>
      <vt:variant>
        <vt:lpwstr>_7.4._The_address</vt:lpwstr>
      </vt:variant>
      <vt:variant>
        <vt:i4>6488147</vt:i4>
      </vt:variant>
      <vt:variant>
        <vt:i4>1221</vt:i4>
      </vt:variant>
      <vt:variant>
        <vt:i4>0</vt:i4>
      </vt:variant>
      <vt:variant>
        <vt:i4>5</vt:i4>
      </vt:variant>
      <vt:variant>
        <vt:lpwstr/>
      </vt:variant>
      <vt:variant>
        <vt:lpwstr>_7.3.2._When_you</vt:lpwstr>
      </vt:variant>
      <vt:variant>
        <vt:i4>4980747</vt:i4>
      </vt:variant>
      <vt:variant>
        <vt:i4>1218</vt:i4>
      </vt:variant>
      <vt:variant>
        <vt:i4>0</vt:i4>
      </vt:variant>
      <vt:variant>
        <vt:i4>5</vt:i4>
      </vt:variant>
      <vt:variant>
        <vt:lpwstr/>
      </vt:variant>
      <vt:variant>
        <vt:lpwstr>_7.3.1._When_the_1</vt:lpwstr>
      </vt:variant>
      <vt:variant>
        <vt:i4>1900577</vt:i4>
      </vt:variant>
      <vt:variant>
        <vt:i4>1215</vt:i4>
      </vt:variant>
      <vt:variant>
        <vt:i4>0</vt:i4>
      </vt:variant>
      <vt:variant>
        <vt:i4>5</vt:i4>
      </vt:variant>
      <vt:variant>
        <vt:lpwstr/>
      </vt:variant>
      <vt:variant>
        <vt:lpwstr>_7.3._The_company</vt:lpwstr>
      </vt:variant>
      <vt:variant>
        <vt:i4>7798856</vt:i4>
      </vt:variant>
      <vt:variant>
        <vt:i4>1212</vt:i4>
      </vt:variant>
      <vt:variant>
        <vt:i4>0</vt:i4>
      </vt:variant>
      <vt:variant>
        <vt:i4>5</vt:i4>
      </vt:variant>
      <vt:variant>
        <vt:lpwstr/>
      </vt:variant>
      <vt:variant>
        <vt:lpwstr>_7.1.2._Amending_the</vt:lpwstr>
      </vt:variant>
      <vt:variant>
        <vt:i4>7733255</vt:i4>
      </vt:variant>
      <vt:variant>
        <vt:i4>1209</vt:i4>
      </vt:variant>
      <vt:variant>
        <vt:i4>0</vt:i4>
      </vt:variant>
      <vt:variant>
        <vt:i4>5</vt:i4>
      </vt:variant>
      <vt:variant>
        <vt:lpwstr>mailto:cca-help@environment-agency.gov.uk</vt:lpwstr>
      </vt:variant>
      <vt:variant>
        <vt:lpwstr/>
      </vt:variant>
      <vt:variant>
        <vt:i4>5373997</vt:i4>
      </vt:variant>
      <vt:variant>
        <vt:i4>1206</vt:i4>
      </vt:variant>
      <vt:variant>
        <vt:i4>0</vt:i4>
      </vt:variant>
      <vt:variant>
        <vt:i4>5</vt:i4>
      </vt:variant>
      <vt:variant>
        <vt:lpwstr/>
      </vt:variant>
      <vt:variant>
        <vt:lpwstr>_7.10._Timescale_for</vt:lpwstr>
      </vt:variant>
      <vt:variant>
        <vt:i4>3080217</vt:i4>
      </vt:variant>
      <vt:variant>
        <vt:i4>1203</vt:i4>
      </vt:variant>
      <vt:variant>
        <vt:i4>0</vt:i4>
      </vt:variant>
      <vt:variant>
        <vt:i4>5</vt:i4>
      </vt:variant>
      <vt:variant>
        <vt:lpwstr/>
      </vt:variant>
      <vt:variant>
        <vt:lpwstr>_7.9._What_cannot</vt:lpwstr>
      </vt:variant>
      <vt:variant>
        <vt:i4>131118</vt:i4>
      </vt:variant>
      <vt:variant>
        <vt:i4>1200</vt:i4>
      </vt:variant>
      <vt:variant>
        <vt:i4>0</vt:i4>
      </vt:variant>
      <vt:variant>
        <vt:i4>5</vt:i4>
      </vt:variant>
      <vt:variant>
        <vt:lpwstr/>
      </vt:variant>
      <vt:variant>
        <vt:lpwstr>_7.8._Other_types</vt:lpwstr>
      </vt:variant>
      <vt:variant>
        <vt:i4>3342359</vt:i4>
      </vt:variant>
      <vt:variant>
        <vt:i4>1197</vt:i4>
      </vt:variant>
      <vt:variant>
        <vt:i4>0</vt:i4>
      </vt:variant>
      <vt:variant>
        <vt:i4>5</vt:i4>
      </vt:variant>
      <vt:variant>
        <vt:lpwstr/>
      </vt:variant>
      <vt:variant>
        <vt:lpwstr>_7.1._An_operator</vt:lpwstr>
      </vt:variant>
      <vt:variant>
        <vt:i4>4784225</vt:i4>
      </vt:variant>
      <vt:variant>
        <vt:i4>1194</vt:i4>
      </vt:variant>
      <vt:variant>
        <vt:i4>0</vt:i4>
      </vt:variant>
      <vt:variant>
        <vt:i4>5</vt:i4>
      </vt:variant>
      <vt:variant>
        <vt:lpwstr/>
      </vt:variant>
      <vt:variant>
        <vt:lpwstr>_7.5._Review_of</vt:lpwstr>
      </vt:variant>
      <vt:variant>
        <vt:i4>6946942</vt:i4>
      </vt:variant>
      <vt:variant>
        <vt:i4>1191</vt:i4>
      </vt:variant>
      <vt:variant>
        <vt:i4>0</vt:i4>
      </vt:variant>
      <vt:variant>
        <vt:i4>5</vt:i4>
      </vt:variant>
      <vt:variant>
        <vt:lpwstr/>
      </vt:variant>
      <vt:variant>
        <vt:lpwstr>facilitytarget</vt:lpwstr>
      </vt:variant>
      <vt:variant>
        <vt:i4>1245193</vt:i4>
      </vt:variant>
      <vt:variant>
        <vt:i4>1188</vt:i4>
      </vt:variant>
      <vt:variant>
        <vt:i4>0</vt:i4>
      </vt:variant>
      <vt:variant>
        <vt:i4>5</vt:i4>
      </vt:variant>
      <vt:variant>
        <vt:lpwstr/>
      </vt:variant>
      <vt:variant>
        <vt:lpwstr>baseyear</vt:lpwstr>
      </vt:variant>
      <vt:variant>
        <vt:i4>7798884</vt:i4>
      </vt:variant>
      <vt:variant>
        <vt:i4>1185</vt:i4>
      </vt:variant>
      <vt:variant>
        <vt:i4>0</vt:i4>
      </vt:variant>
      <vt:variant>
        <vt:i4>5</vt:i4>
      </vt:variant>
      <vt:variant>
        <vt:lpwstr/>
      </vt:variant>
      <vt:variant>
        <vt:lpwstr>seventypercentrule</vt:lpwstr>
      </vt:variant>
      <vt:variant>
        <vt:i4>7471218</vt:i4>
      </vt:variant>
      <vt:variant>
        <vt:i4>1182</vt:i4>
      </vt:variant>
      <vt:variant>
        <vt:i4>0</vt:i4>
      </vt:variant>
      <vt:variant>
        <vt:i4>5</vt:i4>
      </vt:variant>
      <vt:variant>
        <vt:lpwstr/>
      </vt:variant>
      <vt:variant>
        <vt:lpwstr>RRC</vt:lpwstr>
      </vt:variant>
      <vt:variant>
        <vt:i4>6488163</vt:i4>
      </vt:variant>
      <vt:variant>
        <vt:i4>1179</vt:i4>
      </vt:variant>
      <vt:variant>
        <vt:i4>0</vt:i4>
      </vt:variant>
      <vt:variant>
        <vt:i4>5</vt:i4>
      </vt:variant>
      <vt:variant>
        <vt:lpwstr/>
      </vt:variant>
      <vt:variant>
        <vt:lpwstr>CCL</vt:lpwstr>
      </vt:variant>
      <vt:variant>
        <vt:i4>6619234</vt:i4>
      </vt:variant>
      <vt:variant>
        <vt:i4>1176</vt:i4>
      </vt:variant>
      <vt:variant>
        <vt:i4>0</vt:i4>
      </vt:variant>
      <vt:variant>
        <vt:i4>5</vt:i4>
      </vt:variant>
      <vt:variant>
        <vt:lpwstr/>
      </vt:variant>
      <vt:variant>
        <vt:lpwstr>Consultant</vt:lpwstr>
      </vt:variant>
      <vt:variant>
        <vt:i4>262171</vt:i4>
      </vt:variant>
      <vt:variant>
        <vt:i4>1173</vt:i4>
      </vt:variant>
      <vt:variant>
        <vt:i4>0</vt:i4>
      </vt:variant>
      <vt:variant>
        <vt:i4>5</vt:i4>
      </vt:variant>
      <vt:variant>
        <vt:lpwstr/>
      </vt:variant>
      <vt:variant>
        <vt:lpwstr>Sectorcommitment</vt:lpwstr>
      </vt:variant>
      <vt:variant>
        <vt:i4>6553710</vt:i4>
      </vt:variant>
      <vt:variant>
        <vt:i4>1170</vt:i4>
      </vt:variant>
      <vt:variant>
        <vt:i4>0</vt:i4>
      </vt:variant>
      <vt:variant>
        <vt:i4>5</vt:i4>
      </vt:variant>
      <vt:variant>
        <vt:lpwstr/>
      </vt:variant>
      <vt:variant>
        <vt:lpwstr>Throughput</vt:lpwstr>
      </vt:variant>
      <vt:variant>
        <vt:i4>7208975</vt:i4>
      </vt:variant>
      <vt:variant>
        <vt:i4>1167</vt:i4>
      </vt:variant>
      <vt:variant>
        <vt:i4>0</vt:i4>
      </vt:variant>
      <vt:variant>
        <vt:i4>5</vt:i4>
      </vt:variant>
      <vt:variant>
        <vt:lpwstr/>
      </vt:variant>
      <vt:variant>
        <vt:lpwstr>_Appendix_G:_Facility</vt:lpwstr>
      </vt:variant>
      <vt:variant>
        <vt:i4>7798884</vt:i4>
      </vt:variant>
      <vt:variant>
        <vt:i4>1164</vt:i4>
      </vt:variant>
      <vt:variant>
        <vt:i4>0</vt:i4>
      </vt:variant>
      <vt:variant>
        <vt:i4>5</vt:i4>
      </vt:variant>
      <vt:variant>
        <vt:lpwstr/>
      </vt:variant>
      <vt:variant>
        <vt:lpwstr>seventypercentrule</vt:lpwstr>
      </vt:variant>
      <vt:variant>
        <vt:i4>7340133</vt:i4>
      </vt:variant>
      <vt:variant>
        <vt:i4>1161</vt:i4>
      </vt:variant>
      <vt:variant>
        <vt:i4>0</vt:i4>
      </vt:variant>
      <vt:variant>
        <vt:i4>5</vt:i4>
      </vt:variant>
      <vt:variant>
        <vt:lpwstr/>
      </vt:variant>
      <vt:variant>
        <vt:lpwstr>EPR</vt:lpwstr>
      </vt:variant>
      <vt:variant>
        <vt:i4>6357092</vt:i4>
      </vt:variant>
      <vt:variant>
        <vt:i4>1158</vt:i4>
      </vt:variant>
      <vt:variant>
        <vt:i4>0</vt:i4>
      </vt:variant>
      <vt:variant>
        <vt:i4>5</vt:i4>
      </vt:variant>
      <vt:variant>
        <vt:lpwstr/>
      </vt:variant>
      <vt:variant>
        <vt:lpwstr>DAA</vt:lpwstr>
      </vt:variant>
      <vt:variant>
        <vt:i4>2424932</vt:i4>
      </vt:variant>
      <vt:variant>
        <vt:i4>1155</vt:i4>
      </vt:variant>
      <vt:variant>
        <vt:i4>0</vt:i4>
      </vt:variant>
      <vt:variant>
        <vt:i4>5</vt:i4>
      </vt:variant>
      <vt:variant>
        <vt:lpwstr/>
      </vt:variant>
      <vt:variant>
        <vt:lpwstr>_Appendix_A:_Eligible_1</vt:lpwstr>
      </vt:variant>
      <vt:variant>
        <vt:i4>7209075</vt:i4>
      </vt:variant>
      <vt:variant>
        <vt:i4>1152</vt:i4>
      </vt:variant>
      <vt:variant>
        <vt:i4>0</vt:i4>
      </vt:variant>
      <vt:variant>
        <vt:i4>5</vt:i4>
      </vt:variant>
      <vt:variant>
        <vt:lpwstr/>
      </vt:variant>
      <vt:variant>
        <vt:lpwstr>Eligibleprocess</vt:lpwstr>
      </vt:variant>
      <vt:variant>
        <vt:i4>2424932</vt:i4>
      </vt:variant>
      <vt:variant>
        <vt:i4>1149</vt:i4>
      </vt:variant>
      <vt:variant>
        <vt:i4>0</vt:i4>
      </vt:variant>
      <vt:variant>
        <vt:i4>5</vt:i4>
      </vt:variant>
      <vt:variant>
        <vt:lpwstr/>
      </vt:variant>
      <vt:variant>
        <vt:lpwstr>_Appendix_A:_Eligible_1</vt:lpwstr>
      </vt:variant>
      <vt:variant>
        <vt:i4>6357092</vt:i4>
      </vt:variant>
      <vt:variant>
        <vt:i4>1146</vt:i4>
      </vt:variant>
      <vt:variant>
        <vt:i4>0</vt:i4>
      </vt:variant>
      <vt:variant>
        <vt:i4>5</vt:i4>
      </vt:variant>
      <vt:variant>
        <vt:lpwstr/>
      </vt:variant>
      <vt:variant>
        <vt:lpwstr>DAA</vt:lpwstr>
      </vt:variant>
      <vt:variant>
        <vt:i4>2424932</vt:i4>
      </vt:variant>
      <vt:variant>
        <vt:i4>1143</vt:i4>
      </vt:variant>
      <vt:variant>
        <vt:i4>0</vt:i4>
      </vt:variant>
      <vt:variant>
        <vt:i4>5</vt:i4>
      </vt:variant>
      <vt:variant>
        <vt:lpwstr/>
      </vt:variant>
      <vt:variant>
        <vt:lpwstr>_Appendix_A:_Eligible_1</vt:lpwstr>
      </vt:variant>
      <vt:variant>
        <vt:i4>7209075</vt:i4>
      </vt:variant>
      <vt:variant>
        <vt:i4>1140</vt:i4>
      </vt:variant>
      <vt:variant>
        <vt:i4>0</vt:i4>
      </vt:variant>
      <vt:variant>
        <vt:i4>5</vt:i4>
      </vt:variant>
      <vt:variant>
        <vt:lpwstr/>
      </vt:variant>
      <vt:variant>
        <vt:lpwstr>Eligibleprocess</vt:lpwstr>
      </vt:variant>
      <vt:variant>
        <vt:i4>6488163</vt:i4>
      </vt:variant>
      <vt:variant>
        <vt:i4>1137</vt:i4>
      </vt:variant>
      <vt:variant>
        <vt:i4>0</vt:i4>
      </vt:variant>
      <vt:variant>
        <vt:i4>5</vt:i4>
      </vt:variant>
      <vt:variant>
        <vt:lpwstr/>
      </vt:variant>
      <vt:variant>
        <vt:lpwstr>CCL</vt:lpwstr>
      </vt:variant>
      <vt:variant>
        <vt:i4>6815847</vt:i4>
      </vt:variant>
      <vt:variant>
        <vt:i4>1134</vt:i4>
      </vt:variant>
      <vt:variant>
        <vt:i4>0</vt:i4>
      </vt:variant>
      <vt:variant>
        <vt:i4>5</vt:i4>
      </vt:variant>
      <vt:variant>
        <vt:lpwstr/>
      </vt:variant>
      <vt:variant>
        <vt:lpwstr>Underlyingagreement</vt:lpwstr>
      </vt:variant>
      <vt:variant>
        <vt:i4>720959</vt:i4>
      </vt:variant>
      <vt:variant>
        <vt:i4>1131</vt:i4>
      </vt:variant>
      <vt:variant>
        <vt:i4>0</vt:i4>
      </vt:variant>
      <vt:variant>
        <vt:i4>5</vt:i4>
      </vt:variant>
      <vt:variant>
        <vt:lpwstr/>
      </vt:variant>
      <vt:variant>
        <vt:lpwstr>_5._Annual_charges</vt:lpwstr>
      </vt:variant>
      <vt:variant>
        <vt:i4>3014666</vt:i4>
      </vt:variant>
      <vt:variant>
        <vt:i4>1128</vt:i4>
      </vt:variant>
      <vt:variant>
        <vt:i4>0</vt:i4>
      </vt:variant>
      <vt:variant>
        <vt:i4>5</vt:i4>
      </vt:variant>
      <vt:variant>
        <vt:lpwstr/>
      </vt:variant>
      <vt:variant>
        <vt:lpwstr>_2._Getting_started</vt:lpwstr>
      </vt:variant>
      <vt:variant>
        <vt:i4>786467</vt:i4>
      </vt:variant>
      <vt:variant>
        <vt:i4>1125</vt:i4>
      </vt:variant>
      <vt:variant>
        <vt:i4>0</vt:i4>
      </vt:variant>
      <vt:variant>
        <vt:i4>5</vt:i4>
      </vt:variant>
      <vt:variant>
        <vt:lpwstr>mailto:ccapayments@environment-agency.gov.uk</vt:lpwstr>
      </vt:variant>
      <vt:variant>
        <vt:lpwstr/>
      </vt:variant>
      <vt:variant>
        <vt:i4>8192103</vt:i4>
      </vt:variant>
      <vt:variant>
        <vt:i4>1122</vt:i4>
      </vt:variant>
      <vt:variant>
        <vt:i4>0</vt:i4>
      </vt:variant>
      <vt:variant>
        <vt:i4>5</vt:i4>
      </vt:variant>
      <vt:variant>
        <vt:lpwstr/>
      </vt:variant>
      <vt:variant>
        <vt:lpwstr>Termination</vt:lpwstr>
      </vt:variant>
      <vt:variant>
        <vt:i4>7340146</vt:i4>
      </vt:variant>
      <vt:variant>
        <vt:i4>1119</vt:i4>
      </vt:variant>
      <vt:variant>
        <vt:i4>0</vt:i4>
      </vt:variant>
      <vt:variant>
        <vt:i4>5</vt:i4>
      </vt:variant>
      <vt:variant>
        <vt:lpwstr/>
      </vt:variant>
      <vt:variant>
        <vt:lpwstr>Penalty</vt:lpwstr>
      </vt:variant>
      <vt:variant>
        <vt:i4>7274605</vt:i4>
      </vt:variant>
      <vt:variant>
        <vt:i4>1116</vt:i4>
      </vt:variant>
      <vt:variant>
        <vt:i4>0</vt:i4>
      </vt:variant>
      <vt:variant>
        <vt:i4>5</vt:i4>
      </vt:variant>
      <vt:variant>
        <vt:lpwstr/>
      </vt:variant>
      <vt:variant>
        <vt:lpwstr>MOA</vt:lpwstr>
      </vt:variant>
      <vt:variant>
        <vt:i4>3276918</vt:i4>
      </vt:variant>
      <vt:variant>
        <vt:i4>1113</vt:i4>
      </vt:variant>
      <vt:variant>
        <vt:i4>0</vt:i4>
      </vt:variant>
      <vt:variant>
        <vt:i4>5</vt:i4>
      </vt:variant>
      <vt:variant>
        <vt:lpwstr>https://www.gov.uk/government/publications/climate-change-agreements-charging-scheme-april-2013</vt:lpwstr>
      </vt:variant>
      <vt:variant>
        <vt:lpwstr/>
      </vt:variant>
      <vt:variant>
        <vt:i4>3276918</vt:i4>
      </vt:variant>
      <vt:variant>
        <vt:i4>1110</vt:i4>
      </vt:variant>
      <vt:variant>
        <vt:i4>0</vt:i4>
      </vt:variant>
      <vt:variant>
        <vt:i4>5</vt:i4>
      </vt:variant>
      <vt:variant>
        <vt:lpwstr>https://www.gov.uk/government/publications/climate-change-agreements-charging-scheme-april-2013</vt:lpwstr>
      </vt:variant>
      <vt:variant>
        <vt:lpwstr/>
      </vt:variant>
      <vt:variant>
        <vt:i4>851974</vt:i4>
      </vt:variant>
      <vt:variant>
        <vt:i4>1107</vt:i4>
      </vt:variant>
      <vt:variant>
        <vt:i4>0</vt:i4>
      </vt:variant>
      <vt:variant>
        <vt:i4>5</vt:i4>
      </vt:variant>
      <vt:variant>
        <vt:lpwstr/>
      </vt:variant>
      <vt:variant>
        <vt:lpwstr>Sectorassociation</vt:lpwstr>
      </vt:variant>
      <vt:variant>
        <vt:i4>8323173</vt:i4>
      </vt:variant>
      <vt:variant>
        <vt:i4>1104</vt:i4>
      </vt:variant>
      <vt:variant>
        <vt:i4>0</vt:i4>
      </vt:variant>
      <vt:variant>
        <vt:i4>5</vt:i4>
      </vt:variant>
      <vt:variant>
        <vt:lpwstr/>
      </vt:variant>
      <vt:variant>
        <vt:lpwstr>Charges</vt:lpwstr>
      </vt:variant>
      <vt:variant>
        <vt:i4>8257634</vt:i4>
      </vt:variant>
      <vt:variant>
        <vt:i4>1101</vt:i4>
      </vt:variant>
      <vt:variant>
        <vt:i4>0</vt:i4>
      </vt:variant>
      <vt:variant>
        <vt:i4>5</vt:i4>
      </vt:variant>
      <vt:variant>
        <vt:lpwstr/>
      </vt:variant>
      <vt:variant>
        <vt:lpwstr>FinanceAct2000</vt:lpwstr>
      </vt:variant>
      <vt:variant>
        <vt:i4>1245196</vt:i4>
      </vt:variant>
      <vt:variant>
        <vt:i4>1098</vt:i4>
      </vt:variant>
      <vt:variant>
        <vt:i4>0</vt:i4>
      </vt:variant>
      <vt:variant>
        <vt:i4>5</vt:i4>
      </vt:variant>
      <vt:variant>
        <vt:lpwstr/>
      </vt:variant>
      <vt:variant>
        <vt:lpwstr>Responsibleperson</vt:lpwstr>
      </vt:variant>
      <vt:variant>
        <vt:i4>6029412</vt:i4>
      </vt:variant>
      <vt:variant>
        <vt:i4>1095</vt:i4>
      </vt:variant>
      <vt:variant>
        <vt:i4>0</vt:i4>
      </vt:variant>
      <vt:variant>
        <vt:i4>5</vt:i4>
      </vt:variant>
      <vt:variant>
        <vt:lpwstr/>
      </vt:variant>
      <vt:variant>
        <vt:lpwstr>_2.3.1._The_operator</vt:lpwstr>
      </vt:variant>
      <vt:variant>
        <vt:i4>7340137</vt:i4>
      </vt:variant>
      <vt:variant>
        <vt:i4>1092</vt:i4>
      </vt:variant>
      <vt:variant>
        <vt:i4>0</vt:i4>
      </vt:variant>
      <vt:variant>
        <vt:i4>5</vt:i4>
      </vt:variant>
      <vt:variant>
        <vt:lpwstr/>
      </vt:variant>
      <vt:variant>
        <vt:lpwstr>greenfield</vt:lpwstr>
      </vt:variant>
      <vt:variant>
        <vt:i4>1703970</vt:i4>
      </vt:variant>
      <vt:variant>
        <vt:i4>1089</vt:i4>
      </vt:variant>
      <vt:variant>
        <vt:i4>0</vt:i4>
      </vt:variant>
      <vt:variant>
        <vt:i4>5</vt:i4>
      </vt:variant>
      <vt:variant>
        <vt:lpwstr/>
      </vt:variant>
      <vt:variant>
        <vt:lpwstr>_4.5.3._Conditions_for</vt:lpwstr>
      </vt:variant>
      <vt:variant>
        <vt:i4>7340141</vt:i4>
      </vt:variant>
      <vt:variant>
        <vt:i4>1086</vt:i4>
      </vt:variant>
      <vt:variant>
        <vt:i4>0</vt:i4>
      </vt:variant>
      <vt:variant>
        <vt:i4>5</vt:i4>
      </vt:variant>
      <vt:variant>
        <vt:lpwstr/>
      </vt:variant>
      <vt:variant>
        <vt:lpwstr>Surplus</vt:lpwstr>
      </vt:variant>
      <vt:variant>
        <vt:i4>7209070</vt:i4>
      </vt:variant>
      <vt:variant>
        <vt:i4>1083</vt:i4>
      </vt:variant>
      <vt:variant>
        <vt:i4>0</vt:i4>
      </vt:variant>
      <vt:variant>
        <vt:i4>5</vt:i4>
      </vt:variant>
      <vt:variant>
        <vt:lpwstr/>
      </vt:variant>
      <vt:variant>
        <vt:lpwstr>Buyout</vt:lpwstr>
      </vt:variant>
      <vt:variant>
        <vt:i4>2359393</vt:i4>
      </vt:variant>
      <vt:variant>
        <vt:i4>1080</vt:i4>
      </vt:variant>
      <vt:variant>
        <vt:i4>0</vt:i4>
      </vt:variant>
      <vt:variant>
        <vt:i4>5</vt:i4>
      </vt:variant>
      <vt:variant>
        <vt:lpwstr/>
      </vt:variant>
      <vt:variant>
        <vt:lpwstr>_Appendix_H:_Workbook_1</vt:lpwstr>
      </vt:variant>
      <vt:variant>
        <vt:i4>6619252</vt:i4>
      </vt:variant>
      <vt:variant>
        <vt:i4>1077</vt:i4>
      </vt:variant>
      <vt:variant>
        <vt:i4>0</vt:i4>
      </vt:variant>
      <vt:variant>
        <vt:i4>5</vt:i4>
      </vt:variant>
      <vt:variant>
        <vt:lpwstr/>
      </vt:variant>
      <vt:variant>
        <vt:lpwstr>TEC</vt:lpwstr>
      </vt:variant>
      <vt:variant>
        <vt:i4>6619254</vt:i4>
      </vt:variant>
      <vt:variant>
        <vt:i4>1074</vt:i4>
      </vt:variant>
      <vt:variant>
        <vt:i4>0</vt:i4>
      </vt:variant>
      <vt:variant>
        <vt:i4>5</vt:i4>
      </vt:variant>
      <vt:variant>
        <vt:lpwstr/>
      </vt:variant>
      <vt:variant>
        <vt:lpwstr>VEC</vt:lpwstr>
      </vt:variant>
      <vt:variant>
        <vt:i4>6619238</vt:i4>
      </vt:variant>
      <vt:variant>
        <vt:i4>1071</vt:i4>
      </vt:variant>
      <vt:variant>
        <vt:i4>0</vt:i4>
      </vt:variant>
      <vt:variant>
        <vt:i4>5</vt:i4>
      </vt:variant>
      <vt:variant>
        <vt:lpwstr/>
      </vt:variant>
      <vt:variant>
        <vt:lpwstr>FEC</vt:lpwstr>
      </vt:variant>
      <vt:variant>
        <vt:i4>1245193</vt:i4>
      </vt:variant>
      <vt:variant>
        <vt:i4>1068</vt:i4>
      </vt:variant>
      <vt:variant>
        <vt:i4>0</vt:i4>
      </vt:variant>
      <vt:variant>
        <vt:i4>5</vt:i4>
      </vt:variant>
      <vt:variant>
        <vt:lpwstr/>
      </vt:variant>
      <vt:variant>
        <vt:lpwstr>baseyear</vt:lpwstr>
      </vt:variant>
      <vt:variant>
        <vt:i4>8060938</vt:i4>
      </vt:variant>
      <vt:variant>
        <vt:i4>1065</vt:i4>
      </vt:variant>
      <vt:variant>
        <vt:i4>0</vt:i4>
      </vt:variant>
      <vt:variant>
        <vt:i4>5</vt:i4>
      </vt:variant>
      <vt:variant>
        <vt:lpwstr/>
      </vt:variant>
      <vt:variant>
        <vt:lpwstr>_Appendix_H:_Workbook</vt:lpwstr>
      </vt:variant>
      <vt:variant>
        <vt:i4>851974</vt:i4>
      </vt:variant>
      <vt:variant>
        <vt:i4>1062</vt:i4>
      </vt:variant>
      <vt:variant>
        <vt:i4>0</vt:i4>
      </vt:variant>
      <vt:variant>
        <vt:i4>5</vt:i4>
      </vt:variant>
      <vt:variant>
        <vt:lpwstr/>
      </vt:variant>
      <vt:variant>
        <vt:lpwstr>Sectorassociation</vt:lpwstr>
      </vt:variant>
      <vt:variant>
        <vt:i4>1245193</vt:i4>
      </vt:variant>
      <vt:variant>
        <vt:i4>1059</vt:i4>
      </vt:variant>
      <vt:variant>
        <vt:i4>0</vt:i4>
      </vt:variant>
      <vt:variant>
        <vt:i4>5</vt:i4>
      </vt:variant>
      <vt:variant>
        <vt:lpwstr/>
      </vt:variant>
      <vt:variant>
        <vt:lpwstr>baseyear</vt:lpwstr>
      </vt:variant>
      <vt:variant>
        <vt:i4>5046392</vt:i4>
      </vt:variant>
      <vt:variant>
        <vt:i4>1056</vt:i4>
      </vt:variant>
      <vt:variant>
        <vt:i4>0</vt:i4>
      </vt:variant>
      <vt:variant>
        <vt:i4>5</vt:i4>
      </vt:variant>
      <vt:variant>
        <vt:lpwstr/>
      </vt:variant>
      <vt:variant>
        <vt:lpwstr>_4.4.2._Setting_a</vt:lpwstr>
      </vt:variant>
      <vt:variant>
        <vt:i4>1245197</vt:i4>
      </vt:variant>
      <vt:variant>
        <vt:i4>1053</vt:i4>
      </vt:variant>
      <vt:variant>
        <vt:i4>0</vt:i4>
      </vt:variant>
      <vt:variant>
        <vt:i4>5</vt:i4>
      </vt:variant>
      <vt:variant>
        <vt:lpwstr/>
      </vt:variant>
      <vt:variant>
        <vt:lpwstr>Umbrellaagreement</vt:lpwstr>
      </vt:variant>
      <vt:variant>
        <vt:i4>655360</vt:i4>
      </vt:variant>
      <vt:variant>
        <vt:i4>1050</vt:i4>
      </vt:variant>
      <vt:variant>
        <vt:i4>0</vt:i4>
      </vt:variant>
      <vt:variant>
        <vt:i4>5</vt:i4>
      </vt:variant>
      <vt:variant>
        <vt:lpwstr/>
      </vt:variant>
      <vt:variant>
        <vt:lpwstr>Subsector</vt:lpwstr>
      </vt:variant>
      <vt:variant>
        <vt:i4>1245193</vt:i4>
      </vt:variant>
      <vt:variant>
        <vt:i4>1047</vt:i4>
      </vt:variant>
      <vt:variant>
        <vt:i4>0</vt:i4>
      </vt:variant>
      <vt:variant>
        <vt:i4>5</vt:i4>
      </vt:variant>
      <vt:variant>
        <vt:lpwstr/>
      </vt:variant>
      <vt:variant>
        <vt:lpwstr>baseyear</vt:lpwstr>
      </vt:variant>
      <vt:variant>
        <vt:i4>6815847</vt:i4>
      </vt:variant>
      <vt:variant>
        <vt:i4>1044</vt:i4>
      </vt:variant>
      <vt:variant>
        <vt:i4>0</vt:i4>
      </vt:variant>
      <vt:variant>
        <vt:i4>5</vt:i4>
      </vt:variant>
      <vt:variant>
        <vt:lpwstr/>
      </vt:variant>
      <vt:variant>
        <vt:lpwstr>Underlyingagreement</vt:lpwstr>
      </vt:variant>
      <vt:variant>
        <vt:i4>1245193</vt:i4>
      </vt:variant>
      <vt:variant>
        <vt:i4>1041</vt:i4>
      </vt:variant>
      <vt:variant>
        <vt:i4>0</vt:i4>
      </vt:variant>
      <vt:variant>
        <vt:i4>5</vt:i4>
      </vt:variant>
      <vt:variant>
        <vt:lpwstr/>
      </vt:variant>
      <vt:variant>
        <vt:lpwstr>baseyear</vt:lpwstr>
      </vt:variant>
      <vt:variant>
        <vt:i4>7340137</vt:i4>
      </vt:variant>
      <vt:variant>
        <vt:i4>1038</vt:i4>
      </vt:variant>
      <vt:variant>
        <vt:i4>0</vt:i4>
      </vt:variant>
      <vt:variant>
        <vt:i4>5</vt:i4>
      </vt:variant>
      <vt:variant>
        <vt:lpwstr/>
      </vt:variant>
      <vt:variant>
        <vt:lpwstr>greenfield</vt:lpwstr>
      </vt:variant>
      <vt:variant>
        <vt:i4>2359324</vt:i4>
      </vt:variant>
      <vt:variant>
        <vt:i4>1035</vt:i4>
      </vt:variant>
      <vt:variant>
        <vt:i4>0</vt:i4>
      </vt:variant>
      <vt:variant>
        <vt:i4>5</vt:i4>
      </vt:variant>
      <vt:variant>
        <vt:lpwstr/>
      </vt:variant>
      <vt:variant>
        <vt:lpwstr>_4.4._Target_setting</vt:lpwstr>
      </vt:variant>
      <vt:variant>
        <vt:i4>524307</vt:i4>
      </vt:variant>
      <vt:variant>
        <vt:i4>1032</vt:i4>
      </vt:variant>
      <vt:variant>
        <vt:i4>0</vt:i4>
      </vt:variant>
      <vt:variant>
        <vt:i4>5</vt:i4>
      </vt:variant>
      <vt:variant>
        <vt:lpwstr/>
      </vt:variant>
      <vt:variant>
        <vt:lpwstr>Structuralchange</vt:lpwstr>
      </vt:variant>
      <vt:variant>
        <vt:i4>1245193</vt:i4>
      </vt:variant>
      <vt:variant>
        <vt:i4>1029</vt:i4>
      </vt:variant>
      <vt:variant>
        <vt:i4>0</vt:i4>
      </vt:variant>
      <vt:variant>
        <vt:i4>5</vt:i4>
      </vt:variant>
      <vt:variant>
        <vt:lpwstr/>
      </vt:variant>
      <vt:variant>
        <vt:lpwstr>baseyear</vt:lpwstr>
      </vt:variant>
      <vt:variant>
        <vt:i4>7340137</vt:i4>
      </vt:variant>
      <vt:variant>
        <vt:i4>1026</vt:i4>
      </vt:variant>
      <vt:variant>
        <vt:i4>0</vt:i4>
      </vt:variant>
      <vt:variant>
        <vt:i4>5</vt:i4>
      </vt:variant>
      <vt:variant>
        <vt:lpwstr/>
      </vt:variant>
      <vt:variant>
        <vt:lpwstr>greenfield</vt:lpwstr>
      </vt:variant>
      <vt:variant>
        <vt:i4>6422630</vt:i4>
      </vt:variant>
      <vt:variant>
        <vt:i4>1023</vt:i4>
      </vt:variant>
      <vt:variant>
        <vt:i4>0</vt:i4>
      </vt:variant>
      <vt:variant>
        <vt:i4>5</vt:i4>
      </vt:variant>
      <vt:variant>
        <vt:lpwstr/>
      </vt:variant>
      <vt:variant>
        <vt:lpwstr>Brownfield</vt:lpwstr>
      </vt:variant>
      <vt:variant>
        <vt:i4>1245193</vt:i4>
      </vt:variant>
      <vt:variant>
        <vt:i4>1020</vt:i4>
      </vt:variant>
      <vt:variant>
        <vt:i4>0</vt:i4>
      </vt:variant>
      <vt:variant>
        <vt:i4>5</vt:i4>
      </vt:variant>
      <vt:variant>
        <vt:lpwstr/>
      </vt:variant>
      <vt:variant>
        <vt:lpwstr>baseyear</vt:lpwstr>
      </vt:variant>
      <vt:variant>
        <vt:i4>655360</vt:i4>
      </vt:variant>
      <vt:variant>
        <vt:i4>1017</vt:i4>
      </vt:variant>
      <vt:variant>
        <vt:i4>0</vt:i4>
      </vt:variant>
      <vt:variant>
        <vt:i4>5</vt:i4>
      </vt:variant>
      <vt:variant>
        <vt:lpwstr/>
      </vt:variant>
      <vt:variant>
        <vt:lpwstr>Subsector</vt:lpwstr>
      </vt:variant>
      <vt:variant>
        <vt:i4>6946942</vt:i4>
      </vt:variant>
      <vt:variant>
        <vt:i4>1014</vt:i4>
      </vt:variant>
      <vt:variant>
        <vt:i4>0</vt:i4>
      </vt:variant>
      <vt:variant>
        <vt:i4>5</vt:i4>
      </vt:variant>
      <vt:variant>
        <vt:lpwstr/>
      </vt:variant>
      <vt:variant>
        <vt:lpwstr>facilitytarget</vt:lpwstr>
      </vt:variant>
      <vt:variant>
        <vt:i4>1507332</vt:i4>
      </vt:variant>
      <vt:variant>
        <vt:i4>1011</vt:i4>
      </vt:variant>
      <vt:variant>
        <vt:i4>0</vt:i4>
      </vt:variant>
      <vt:variant>
        <vt:i4>5</vt:i4>
      </vt:variant>
      <vt:variant>
        <vt:lpwstr/>
      </vt:variant>
      <vt:variant>
        <vt:lpwstr>Energytarget</vt:lpwstr>
      </vt:variant>
      <vt:variant>
        <vt:i4>6553710</vt:i4>
      </vt:variant>
      <vt:variant>
        <vt:i4>1008</vt:i4>
      </vt:variant>
      <vt:variant>
        <vt:i4>0</vt:i4>
      </vt:variant>
      <vt:variant>
        <vt:i4>5</vt:i4>
      </vt:variant>
      <vt:variant>
        <vt:lpwstr/>
      </vt:variant>
      <vt:variant>
        <vt:lpwstr>Throughput</vt:lpwstr>
      </vt:variant>
      <vt:variant>
        <vt:i4>2359324</vt:i4>
      </vt:variant>
      <vt:variant>
        <vt:i4>1005</vt:i4>
      </vt:variant>
      <vt:variant>
        <vt:i4>0</vt:i4>
      </vt:variant>
      <vt:variant>
        <vt:i4>5</vt:i4>
      </vt:variant>
      <vt:variant>
        <vt:lpwstr/>
      </vt:variant>
      <vt:variant>
        <vt:lpwstr>_4.4._Target_setting</vt:lpwstr>
      </vt:variant>
      <vt:variant>
        <vt:i4>6357114</vt:i4>
      </vt:variant>
      <vt:variant>
        <vt:i4>999</vt:i4>
      </vt:variant>
      <vt:variant>
        <vt:i4>0</vt:i4>
      </vt:variant>
      <vt:variant>
        <vt:i4>5</vt:i4>
      </vt:variant>
      <vt:variant>
        <vt:lpwstr>https://www.gov.uk/government/collections/climate-change-agreements-umbrella-agreements</vt:lpwstr>
      </vt:variant>
      <vt:variant>
        <vt:lpwstr/>
      </vt:variant>
      <vt:variant>
        <vt:i4>1245197</vt:i4>
      </vt:variant>
      <vt:variant>
        <vt:i4>996</vt:i4>
      </vt:variant>
      <vt:variant>
        <vt:i4>0</vt:i4>
      </vt:variant>
      <vt:variant>
        <vt:i4>5</vt:i4>
      </vt:variant>
      <vt:variant>
        <vt:lpwstr/>
      </vt:variant>
      <vt:variant>
        <vt:lpwstr>Umbrellaagreement</vt:lpwstr>
      </vt:variant>
      <vt:variant>
        <vt:i4>851974</vt:i4>
      </vt:variant>
      <vt:variant>
        <vt:i4>993</vt:i4>
      </vt:variant>
      <vt:variant>
        <vt:i4>0</vt:i4>
      </vt:variant>
      <vt:variant>
        <vt:i4>5</vt:i4>
      </vt:variant>
      <vt:variant>
        <vt:lpwstr/>
      </vt:variant>
      <vt:variant>
        <vt:lpwstr>Sectorassociation</vt:lpwstr>
      </vt:variant>
      <vt:variant>
        <vt:i4>6946942</vt:i4>
      </vt:variant>
      <vt:variant>
        <vt:i4>990</vt:i4>
      </vt:variant>
      <vt:variant>
        <vt:i4>0</vt:i4>
      </vt:variant>
      <vt:variant>
        <vt:i4>5</vt:i4>
      </vt:variant>
      <vt:variant>
        <vt:lpwstr/>
      </vt:variant>
      <vt:variant>
        <vt:lpwstr>facilitytarget</vt:lpwstr>
      </vt:variant>
      <vt:variant>
        <vt:i4>262171</vt:i4>
      </vt:variant>
      <vt:variant>
        <vt:i4>987</vt:i4>
      </vt:variant>
      <vt:variant>
        <vt:i4>0</vt:i4>
      </vt:variant>
      <vt:variant>
        <vt:i4>5</vt:i4>
      </vt:variant>
      <vt:variant>
        <vt:lpwstr/>
      </vt:variant>
      <vt:variant>
        <vt:lpwstr>Sectorcommitment</vt:lpwstr>
      </vt:variant>
      <vt:variant>
        <vt:i4>7209070</vt:i4>
      </vt:variant>
      <vt:variant>
        <vt:i4>984</vt:i4>
      </vt:variant>
      <vt:variant>
        <vt:i4>0</vt:i4>
      </vt:variant>
      <vt:variant>
        <vt:i4>5</vt:i4>
      </vt:variant>
      <vt:variant>
        <vt:lpwstr/>
      </vt:variant>
      <vt:variant>
        <vt:lpwstr>Buyout</vt:lpwstr>
      </vt:variant>
      <vt:variant>
        <vt:i4>6488163</vt:i4>
      </vt:variant>
      <vt:variant>
        <vt:i4>981</vt:i4>
      </vt:variant>
      <vt:variant>
        <vt:i4>0</vt:i4>
      </vt:variant>
      <vt:variant>
        <vt:i4>5</vt:i4>
      </vt:variant>
      <vt:variant>
        <vt:lpwstr/>
      </vt:variant>
      <vt:variant>
        <vt:lpwstr>CCL</vt:lpwstr>
      </vt:variant>
      <vt:variant>
        <vt:i4>6422651</vt:i4>
      </vt:variant>
      <vt:variant>
        <vt:i4>978</vt:i4>
      </vt:variant>
      <vt:variant>
        <vt:i4>0</vt:i4>
      </vt:variant>
      <vt:variant>
        <vt:i4>5</vt:i4>
      </vt:variant>
      <vt:variant>
        <vt:lpwstr/>
      </vt:variant>
      <vt:variant>
        <vt:lpwstr>Certificationperiod</vt:lpwstr>
      </vt:variant>
      <vt:variant>
        <vt:i4>262171</vt:i4>
      </vt:variant>
      <vt:variant>
        <vt:i4>975</vt:i4>
      </vt:variant>
      <vt:variant>
        <vt:i4>0</vt:i4>
      </vt:variant>
      <vt:variant>
        <vt:i4>5</vt:i4>
      </vt:variant>
      <vt:variant>
        <vt:lpwstr/>
      </vt:variant>
      <vt:variant>
        <vt:lpwstr>Sectorcommitment</vt:lpwstr>
      </vt:variant>
      <vt:variant>
        <vt:i4>1245193</vt:i4>
      </vt:variant>
      <vt:variant>
        <vt:i4>972</vt:i4>
      </vt:variant>
      <vt:variant>
        <vt:i4>0</vt:i4>
      </vt:variant>
      <vt:variant>
        <vt:i4>5</vt:i4>
      </vt:variant>
      <vt:variant>
        <vt:lpwstr/>
      </vt:variant>
      <vt:variant>
        <vt:lpwstr>baseyear</vt:lpwstr>
      </vt:variant>
      <vt:variant>
        <vt:i4>3670099</vt:i4>
      </vt:variant>
      <vt:variant>
        <vt:i4>969</vt:i4>
      </vt:variant>
      <vt:variant>
        <vt:i4>0</vt:i4>
      </vt:variant>
      <vt:variant>
        <vt:i4>5</vt:i4>
      </vt:variant>
      <vt:variant>
        <vt:lpwstr/>
      </vt:variant>
      <vt:variant>
        <vt:lpwstr>_4.5._Including/Excluding_a</vt:lpwstr>
      </vt:variant>
      <vt:variant>
        <vt:i4>4128776</vt:i4>
      </vt:variant>
      <vt:variant>
        <vt:i4>966</vt:i4>
      </vt:variant>
      <vt:variant>
        <vt:i4>0</vt:i4>
      </vt:variant>
      <vt:variant>
        <vt:i4>5</vt:i4>
      </vt:variant>
      <vt:variant>
        <vt:lpwstr/>
      </vt:variant>
      <vt:variant>
        <vt:lpwstr>_4.3._Brownfield_and</vt:lpwstr>
      </vt:variant>
      <vt:variant>
        <vt:i4>1703950</vt:i4>
      </vt:variant>
      <vt:variant>
        <vt:i4>963</vt:i4>
      </vt:variant>
      <vt:variant>
        <vt:i4>0</vt:i4>
      </vt:variant>
      <vt:variant>
        <vt:i4>5</vt:i4>
      </vt:variant>
      <vt:variant>
        <vt:lpwstr/>
      </vt:variant>
      <vt:variant>
        <vt:lpwstr>Targetperiod</vt:lpwstr>
      </vt:variant>
      <vt:variant>
        <vt:i4>1310845</vt:i4>
      </vt:variant>
      <vt:variant>
        <vt:i4>960</vt:i4>
      </vt:variant>
      <vt:variant>
        <vt:i4>0</vt:i4>
      </vt:variant>
      <vt:variant>
        <vt:i4>5</vt:i4>
      </vt:variant>
      <vt:variant>
        <vt:lpwstr/>
      </vt:variant>
      <vt:variant>
        <vt:lpwstr>_Appendix_F:_Estimation</vt:lpwstr>
      </vt:variant>
      <vt:variant>
        <vt:i4>7733255</vt:i4>
      </vt:variant>
      <vt:variant>
        <vt:i4>957</vt:i4>
      </vt:variant>
      <vt:variant>
        <vt:i4>0</vt:i4>
      </vt:variant>
      <vt:variant>
        <vt:i4>5</vt:i4>
      </vt:variant>
      <vt:variant>
        <vt:lpwstr>mailto:cca-help@environment-agency.gov.uk</vt:lpwstr>
      </vt:variant>
      <vt:variant>
        <vt:lpwstr/>
      </vt:variant>
      <vt:variant>
        <vt:i4>2097248</vt:i4>
      </vt:variant>
      <vt:variant>
        <vt:i4>954</vt:i4>
      </vt:variant>
      <vt:variant>
        <vt:i4>0</vt:i4>
      </vt:variant>
      <vt:variant>
        <vt:i4>5</vt:i4>
      </vt:variant>
      <vt:variant>
        <vt:lpwstr/>
      </vt:variant>
      <vt:variant>
        <vt:lpwstr>Annex1activity</vt:lpwstr>
      </vt:variant>
      <vt:variant>
        <vt:i4>5767276</vt:i4>
      </vt:variant>
      <vt:variant>
        <vt:i4>951</vt:i4>
      </vt:variant>
      <vt:variant>
        <vt:i4>0</vt:i4>
      </vt:variant>
      <vt:variant>
        <vt:i4>5</vt:i4>
      </vt:variant>
      <vt:variant>
        <vt:lpwstr/>
      </vt:variant>
      <vt:variant>
        <vt:lpwstr>_3.3._Defining_and</vt:lpwstr>
      </vt:variant>
      <vt:variant>
        <vt:i4>131124</vt:i4>
      </vt:variant>
      <vt:variant>
        <vt:i4>948</vt:i4>
      </vt:variant>
      <vt:variant>
        <vt:i4>0</vt:i4>
      </vt:variant>
      <vt:variant>
        <vt:i4>5</vt:i4>
      </vt:variant>
      <vt:variant>
        <vt:lpwstr/>
      </vt:variant>
      <vt:variant>
        <vt:lpwstr>_3.1._How_to</vt:lpwstr>
      </vt:variant>
      <vt:variant>
        <vt:i4>4128776</vt:i4>
      </vt:variant>
      <vt:variant>
        <vt:i4>945</vt:i4>
      </vt:variant>
      <vt:variant>
        <vt:i4>0</vt:i4>
      </vt:variant>
      <vt:variant>
        <vt:i4>5</vt:i4>
      </vt:variant>
      <vt:variant>
        <vt:lpwstr/>
      </vt:variant>
      <vt:variant>
        <vt:lpwstr>_4.3._Brownfield_and</vt:lpwstr>
      </vt:variant>
      <vt:variant>
        <vt:i4>7340137</vt:i4>
      </vt:variant>
      <vt:variant>
        <vt:i4>942</vt:i4>
      </vt:variant>
      <vt:variant>
        <vt:i4>0</vt:i4>
      </vt:variant>
      <vt:variant>
        <vt:i4>5</vt:i4>
      </vt:variant>
      <vt:variant>
        <vt:lpwstr/>
      </vt:variant>
      <vt:variant>
        <vt:lpwstr>greenfield</vt:lpwstr>
      </vt:variant>
      <vt:variant>
        <vt:i4>6422622</vt:i4>
      </vt:variant>
      <vt:variant>
        <vt:i4>939</vt:i4>
      </vt:variant>
      <vt:variant>
        <vt:i4>0</vt:i4>
      </vt:variant>
      <vt:variant>
        <vt:i4>5</vt:i4>
      </vt:variant>
      <vt:variant>
        <vt:lpwstr/>
      </vt:variant>
      <vt:variant>
        <vt:lpwstr>_7.5.1._Structural_change</vt:lpwstr>
      </vt:variant>
      <vt:variant>
        <vt:i4>524307</vt:i4>
      </vt:variant>
      <vt:variant>
        <vt:i4>936</vt:i4>
      </vt:variant>
      <vt:variant>
        <vt:i4>0</vt:i4>
      </vt:variant>
      <vt:variant>
        <vt:i4>5</vt:i4>
      </vt:variant>
      <vt:variant>
        <vt:lpwstr/>
      </vt:variant>
      <vt:variant>
        <vt:lpwstr>Structuralchange</vt:lpwstr>
      </vt:variant>
      <vt:variant>
        <vt:i4>2359393</vt:i4>
      </vt:variant>
      <vt:variant>
        <vt:i4>933</vt:i4>
      </vt:variant>
      <vt:variant>
        <vt:i4>0</vt:i4>
      </vt:variant>
      <vt:variant>
        <vt:i4>5</vt:i4>
      </vt:variant>
      <vt:variant>
        <vt:lpwstr/>
      </vt:variant>
      <vt:variant>
        <vt:lpwstr>_Appendix_H:_Workbook_1</vt:lpwstr>
      </vt:variant>
      <vt:variant>
        <vt:i4>6225951</vt:i4>
      </vt:variant>
      <vt:variant>
        <vt:i4>930</vt:i4>
      </vt:variant>
      <vt:variant>
        <vt:i4>0</vt:i4>
      </vt:variant>
      <vt:variant>
        <vt:i4>5</vt:i4>
      </vt:variant>
      <vt:variant>
        <vt:lpwstr>https://assets.publishing.service.gov.uk/media/670e33203b919067bb48315c/CCA-government-response-2024.pdf</vt:lpwstr>
      </vt:variant>
      <vt:variant>
        <vt:lpwstr/>
      </vt:variant>
      <vt:variant>
        <vt:i4>6619254</vt:i4>
      </vt:variant>
      <vt:variant>
        <vt:i4>927</vt:i4>
      </vt:variant>
      <vt:variant>
        <vt:i4>0</vt:i4>
      </vt:variant>
      <vt:variant>
        <vt:i4>5</vt:i4>
      </vt:variant>
      <vt:variant>
        <vt:lpwstr/>
      </vt:variant>
      <vt:variant>
        <vt:lpwstr>VEC</vt:lpwstr>
      </vt:variant>
      <vt:variant>
        <vt:i4>7798884</vt:i4>
      </vt:variant>
      <vt:variant>
        <vt:i4>924</vt:i4>
      </vt:variant>
      <vt:variant>
        <vt:i4>0</vt:i4>
      </vt:variant>
      <vt:variant>
        <vt:i4>5</vt:i4>
      </vt:variant>
      <vt:variant>
        <vt:lpwstr/>
      </vt:variant>
      <vt:variant>
        <vt:lpwstr>seventypercentrule</vt:lpwstr>
      </vt:variant>
      <vt:variant>
        <vt:i4>6619238</vt:i4>
      </vt:variant>
      <vt:variant>
        <vt:i4>921</vt:i4>
      </vt:variant>
      <vt:variant>
        <vt:i4>0</vt:i4>
      </vt:variant>
      <vt:variant>
        <vt:i4>5</vt:i4>
      </vt:variant>
      <vt:variant>
        <vt:lpwstr/>
      </vt:variant>
      <vt:variant>
        <vt:lpwstr>FEC</vt:lpwstr>
      </vt:variant>
      <vt:variant>
        <vt:i4>7077914</vt:i4>
      </vt:variant>
      <vt:variant>
        <vt:i4>918</vt:i4>
      </vt:variant>
      <vt:variant>
        <vt:i4>0</vt:i4>
      </vt:variant>
      <vt:variant>
        <vt:i4>5</vt:i4>
      </vt:variant>
      <vt:variant>
        <vt:lpwstr/>
      </vt:variant>
      <vt:variant>
        <vt:lpwstr>_10.4.4._Calculation_of</vt:lpwstr>
      </vt:variant>
      <vt:variant>
        <vt:i4>6553710</vt:i4>
      </vt:variant>
      <vt:variant>
        <vt:i4>915</vt:i4>
      </vt:variant>
      <vt:variant>
        <vt:i4>0</vt:i4>
      </vt:variant>
      <vt:variant>
        <vt:i4>5</vt:i4>
      </vt:variant>
      <vt:variant>
        <vt:lpwstr/>
      </vt:variant>
      <vt:variant>
        <vt:lpwstr>Throughput</vt:lpwstr>
      </vt:variant>
      <vt:variant>
        <vt:i4>2097248</vt:i4>
      </vt:variant>
      <vt:variant>
        <vt:i4>912</vt:i4>
      </vt:variant>
      <vt:variant>
        <vt:i4>0</vt:i4>
      </vt:variant>
      <vt:variant>
        <vt:i4>5</vt:i4>
      </vt:variant>
      <vt:variant>
        <vt:lpwstr/>
      </vt:variant>
      <vt:variant>
        <vt:lpwstr>Annex1activity</vt:lpwstr>
      </vt:variant>
      <vt:variant>
        <vt:i4>5963832</vt:i4>
      </vt:variant>
      <vt:variant>
        <vt:i4>909</vt:i4>
      </vt:variant>
      <vt:variant>
        <vt:i4>0</vt:i4>
      </vt:variant>
      <vt:variant>
        <vt:i4>5</vt:i4>
      </vt:variant>
      <vt:variant>
        <vt:lpwstr/>
      </vt:variant>
      <vt:variant>
        <vt:lpwstr>_3.3.1._Step_1:</vt:lpwstr>
      </vt:variant>
      <vt:variant>
        <vt:i4>1245193</vt:i4>
      </vt:variant>
      <vt:variant>
        <vt:i4>906</vt:i4>
      </vt:variant>
      <vt:variant>
        <vt:i4>0</vt:i4>
      </vt:variant>
      <vt:variant>
        <vt:i4>5</vt:i4>
      </vt:variant>
      <vt:variant>
        <vt:lpwstr/>
      </vt:variant>
      <vt:variant>
        <vt:lpwstr>baseyear</vt:lpwstr>
      </vt:variant>
      <vt:variant>
        <vt:i4>6946942</vt:i4>
      </vt:variant>
      <vt:variant>
        <vt:i4>903</vt:i4>
      </vt:variant>
      <vt:variant>
        <vt:i4>0</vt:i4>
      </vt:variant>
      <vt:variant>
        <vt:i4>5</vt:i4>
      </vt:variant>
      <vt:variant>
        <vt:lpwstr/>
      </vt:variant>
      <vt:variant>
        <vt:lpwstr>Targetfacility</vt:lpwstr>
      </vt:variant>
      <vt:variant>
        <vt:i4>1441811</vt:i4>
      </vt:variant>
      <vt:variant>
        <vt:i4>900</vt:i4>
      </vt:variant>
      <vt:variant>
        <vt:i4>0</vt:i4>
      </vt:variant>
      <vt:variant>
        <vt:i4>5</vt:i4>
      </vt:variant>
      <vt:variant>
        <vt:lpwstr/>
      </vt:variant>
      <vt:variant>
        <vt:lpwstr>Schedule2</vt:lpwstr>
      </vt:variant>
      <vt:variant>
        <vt:i4>1441811</vt:i4>
      </vt:variant>
      <vt:variant>
        <vt:i4>897</vt:i4>
      </vt:variant>
      <vt:variant>
        <vt:i4>0</vt:i4>
      </vt:variant>
      <vt:variant>
        <vt:i4>5</vt:i4>
      </vt:variant>
      <vt:variant>
        <vt:lpwstr/>
      </vt:variant>
      <vt:variant>
        <vt:lpwstr>Schedule2</vt:lpwstr>
      </vt:variant>
      <vt:variant>
        <vt:i4>1441811</vt:i4>
      </vt:variant>
      <vt:variant>
        <vt:i4>894</vt:i4>
      </vt:variant>
      <vt:variant>
        <vt:i4>0</vt:i4>
      </vt:variant>
      <vt:variant>
        <vt:i4>5</vt:i4>
      </vt:variant>
      <vt:variant>
        <vt:lpwstr/>
      </vt:variant>
      <vt:variant>
        <vt:lpwstr>Schedule2</vt:lpwstr>
      </vt:variant>
      <vt:variant>
        <vt:i4>6422622</vt:i4>
      </vt:variant>
      <vt:variant>
        <vt:i4>891</vt:i4>
      </vt:variant>
      <vt:variant>
        <vt:i4>0</vt:i4>
      </vt:variant>
      <vt:variant>
        <vt:i4>5</vt:i4>
      </vt:variant>
      <vt:variant>
        <vt:lpwstr/>
      </vt:variant>
      <vt:variant>
        <vt:lpwstr>_7.5.1._Structural_change</vt:lpwstr>
      </vt:variant>
      <vt:variant>
        <vt:i4>6815847</vt:i4>
      </vt:variant>
      <vt:variant>
        <vt:i4>888</vt:i4>
      </vt:variant>
      <vt:variant>
        <vt:i4>0</vt:i4>
      </vt:variant>
      <vt:variant>
        <vt:i4>5</vt:i4>
      </vt:variant>
      <vt:variant>
        <vt:lpwstr/>
      </vt:variant>
      <vt:variant>
        <vt:lpwstr>Underlyingagreement</vt:lpwstr>
      </vt:variant>
      <vt:variant>
        <vt:i4>7798884</vt:i4>
      </vt:variant>
      <vt:variant>
        <vt:i4>885</vt:i4>
      </vt:variant>
      <vt:variant>
        <vt:i4>0</vt:i4>
      </vt:variant>
      <vt:variant>
        <vt:i4>5</vt:i4>
      </vt:variant>
      <vt:variant>
        <vt:lpwstr/>
      </vt:variant>
      <vt:variant>
        <vt:lpwstr>seventypercentrule</vt:lpwstr>
      </vt:variant>
      <vt:variant>
        <vt:i4>4128776</vt:i4>
      </vt:variant>
      <vt:variant>
        <vt:i4>882</vt:i4>
      </vt:variant>
      <vt:variant>
        <vt:i4>0</vt:i4>
      </vt:variant>
      <vt:variant>
        <vt:i4>5</vt:i4>
      </vt:variant>
      <vt:variant>
        <vt:lpwstr/>
      </vt:variant>
      <vt:variant>
        <vt:lpwstr>_4.3._Brownfield_and</vt:lpwstr>
      </vt:variant>
      <vt:variant>
        <vt:i4>7340137</vt:i4>
      </vt:variant>
      <vt:variant>
        <vt:i4>879</vt:i4>
      </vt:variant>
      <vt:variant>
        <vt:i4>0</vt:i4>
      </vt:variant>
      <vt:variant>
        <vt:i4>5</vt:i4>
      </vt:variant>
      <vt:variant>
        <vt:lpwstr/>
      </vt:variant>
      <vt:variant>
        <vt:lpwstr>greenfield</vt:lpwstr>
      </vt:variant>
      <vt:variant>
        <vt:i4>6619225</vt:i4>
      </vt:variant>
      <vt:variant>
        <vt:i4>876</vt:i4>
      </vt:variant>
      <vt:variant>
        <vt:i4>0</vt:i4>
      </vt:variant>
      <vt:variant>
        <vt:i4>5</vt:i4>
      </vt:variant>
      <vt:variant>
        <vt:lpwstr/>
      </vt:variant>
      <vt:variant>
        <vt:lpwstr>_9._Auditing_the</vt:lpwstr>
      </vt:variant>
      <vt:variant>
        <vt:i4>1835013</vt:i4>
      </vt:variant>
      <vt:variant>
        <vt:i4>873</vt:i4>
      </vt:variant>
      <vt:variant>
        <vt:i4>0</vt:i4>
      </vt:variant>
      <vt:variant>
        <vt:i4>5</vt:i4>
      </vt:variant>
      <vt:variant>
        <vt:lpwstr/>
      </vt:variant>
      <vt:variant>
        <vt:lpwstr>Audit</vt:lpwstr>
      </vt:variant>
      <vt:variant>
        <vt:i4>7798884</vt:i4>
      </vt:variant>
      <vt:variant>
        <vt:i4>870</vt:i4>
      </vt:variant>
      <vt:variant>
        <vt:i4>0</vt:i4>
      </vt:variant>
      <vt:variant>
        <vt:i4>5</vt:i4>
      </vt:variant>
      <vt:variant>
        <vt:lpwstr/>
      </vt:variant>
      <vt:variant>
        <vt:lpwstr>seventypercentrule</vt:lpwstr>
      </vt:variant>
      <vt:variant>
        <vt:i4>1048588</vt:i4>
      </vt:variant>
      <vt:variant>
        <vt:i4>867</vt:i4>
      </vt:variant>
      <vt:variant>
        <vt:i4>0</vt:i4>
      </vt:variant>
      <vt:variant>
        <vt:i4>5</vt:i4>
      </vt:variant>
      <vt:variant>
        <vt:lpwstr/>
      </vt:variant>
      <vt:variant>
        <vt:lpwstr>installation</vt:lpwstr>
      </vt:variant>
      <vt:variant>
        <vt:i4>7798884</vt:i4>
      </vt:variant>
      <vt:variant>
        <vt:i4>864</vt:i4>
      </vt:variant>
      <vt:variant>
        <vt:i4>0</vt:i4>
      </vt:variant>
      <vt:variant>
        <vt:i4>5</vt:i4>
      </vt:variant>
      <vt:variant>
        <vt:lpwstr/>
      </vt:variant>
      <vt:variant>
        <vt:lpwstr>seventypercentrule</vt:lpwstr>
      </vt:variant>
      <vt:variant>
        <vt:i4>6488163</vt:i4>
      </vt:variant>
      <vt:variant>
        <vt:i4>861</vt:i4>
      </vt:variant>
      <vt:variant>
        <vt:i4>0</vt:i4>
      </vt:variant>
      <vt:variant>
        <vt:i4>5</vt:i4>
      </vt:variant>
      <vt:variant>
        <vt:lpwstr/>
      </vt:variant>
      <vt:variant>
        <vt:lpwstr>CCL</vt:lpwstr>
      </vt:variant>
      <vt:variant>
        <vt:i4>5963832</vt:i4>
      </vt:variant>
      <vt:variant>
        <vt:i4>858</vt:i4>
      </vt:variant>
      <vt:variant>
        <vt:i4>0</vt:i4>
      </vt:variant>
      <vt:variant>
        <vt:i4>5</vt:i4>
      </vt:variant>
      <vt:variant>
        <vt:lpwstr/>
      </vt:variant>
      <vt:variant>
        <vt:lpwstr>_3.3.3._Step_3:</vt:lpwstr>
      </vt:variant>
      <vt:variant>
        <vt:i4>851974</vt:i4>
      </vt:variant>
      <vt:variant>
        <vt:i4>855</vt:i4>
      </vt:variant>
      <vt:variant>
        <vt:i4>0</vt:i4>
      </vt:variant>
      <vt:variant>
        <vt:i4>5</vt:i4>
      </vt:variant>
      <vt:variant>
        <vt:lpwstr/>
      </vt:variant>
      <vt:variant>
        <vt:lpwstr>Sectorassociation</vt:lpwstr>
      </vt:variant>
      <vt:variant>
        <vt:i4>3997699</vt:i4>
      </vt:variant>
      <vt:variant>
        <vt:i4>852</vt:i4>
      </vt:variant>
      <vt:variant>
        <vt:i4>0</vt:i4>
      </vt:variant>
      <vt:variant>
        <vt:i4>5</vt:i4>
      </vt:variant>
      <vt:variant>
        <vt:lpwstr/>
      </vt:variant>
      <vt:variant>
        <vt:lpwstr>_11.3_UK_ETS</vt:lpwstr>
      </vt:variant>
      <vt:variant>
        <vt:i4>2031632</vt:i4>
      </vt:variant>
      <vt:variant>
        <vt:i4>849</vt:i4>
      </vt:variant>
      <vt:variant>
        <vt:i4>0</vt:i4>
      </vt:variant>
      <vt:variant>
        <vt:i4>5</vt:i4>
      </vt:variant>
      <vt:variant>
        <vt:lpwstr/>
      </vt:variant>
      <vt:variant>
        <vt:lpwstr>UKETS</vt:lpwstr>
      </vt:variant>
      <vt:variant>
        <vt:i4>7405674</vt:i4>
      </vt:variant>
      <vt:variant>
        <vt:i4>846</vt:i4>
      </vt:variant>
      <vt:variant>
        <vt:i4>0</vt:i4>
      </vt:variant>
      <vt:variant>
        <vt:i4>5</vt:i4>
      </vt:variant>
      <vt:variant>
        <vt:lpwstr>https://www.gov.uk/government/publications/climate-change-agreements-technical-guidance</vt:lpwstr>
      </vt:variant>
      <vt:variant>
        <vt:lpwstr/>
      </vt:variant>
      <vt:variant>
        <vt:i4>1441811</vt:i4>
      </vt:variant>
      <vt:variant>
        <vt:i4>843</vt:i4>
      </vt:variant>
      <vt:variant>
        <vt:i4>0</vt:i4>
      </vt:variant>
      <vt:variant>
        <vt:i4>5</vt:i4>
      </vt:variant>
      <vt:variant>
        <vt:lpwstr/>
      </vt:variant>
      <vt:variant>
        <vt:lpwstr>Schedule2</vt:lpwstr>
      </vt:variant>
      <vt:variant>
        <vt:i4>6357085</vt:i4>
      </vt:variant>
      <vt:variant>
        <vt:i4>840</vt:i4>
      </vt:variant>
      <vt:variant>
        <vt:i4>0</vt:i4>
      </vt:variant>
      <vt:variant>
        <vt:i4>5</vt:i4>
      </vt:variant>
      <vt:variant>
        <vt:lpwstr/>
      </vt:variant>
      <vt:variant>
        <vt:lpwstr>_9._Monitoring_compliance</vt:lpwstr>
      </vt:variant>
      <vt:variant>
        <vt:i4>1441811</vt:i4>
      </vt:variant>
      <vt:variant>
        <vt:i4>837</vt:i4>
      </vt:variant>
      <vt:variant>
        <vt:i4>0</vt:i4>
      </vt:variant>
      <vt:variant>
        <vt:i4>5</vt:i4>
      </vt:variant>
      <vt:variant>
        <vt:lpwstr/>
      </vt:variant>
      <vt:variant>
        <vt:lpwstr>Schedule2</vt:lpwstr>
      </vt:variant>
      <vt:variant>
        <vt:i4>131124</vt:i4>
      </vt:variant>
      <vt:variant>
        <vt:i4>834</vt:i4>
      </vt:variant>
      <vt:variant>
        <vt:i4>0</vt:i4>
      </vt:variant>
      <vt:variant>
        <vt:i4>5</vt:i4>
      </vt:variant>
      <vt:variant>
        <vt:lpwstr/>
      </vt:variant>
      <vt:variant>
        <vt:lpwstr>_3.1._How_to</vt:lpwstr>
      </vt:variant>
      <vt:variant>
        <vt:i4>2424842</vt:i4>
      </vt:variant>
      <vt:variant>
        <vt:i4>831</vt:i4>
      </vt:variant>
      <vt:variant>
        <vt:i4>0</vt:i4>
      </vt:variant>
      <vt:variant>
        <vt:i4>5</vt:i4>
      </vt:variant>
      <vt:variant>
        <vt:lpwstr/>
      </vt:variant>
      <vt:variant>
        <vt:lpwstr>_3.2._What_energy</vt:lpwstr>
      </vt:variant>
      <vt:variant>
        <vt:i4>131124</vt:i4>
      </vt:variant>
      <vt:variant>
        <vt:i4>828</vt:i4>
      </vt:variant>
      <vt:variant>
        <vt:i4>0</vt:i4>
      </vt:variant>
      <vt:variant>
        <vt:i4>5</vt:i4>
      </vt:variant>
      <vt:variant>
        <vt:lpwstr/>
      </vt:variant>
      <vt:variant>
        <vt:lpwstr>_3.1._How_to</vt:lpwstr>
      </vt:variant>
      <vt:variant>
        <vt:i4>1245193</vt:i4>
      </vt:variant>
      <vt:variant>
        <vt:i4>825</vt:i4>
      </vt:variant>
      <vt:variant>
        <vt:i4>0</vt:i4>
      </vt:variant>
      <vt:variant>
        <vt:i4>5</vt:i4>
      </vt:variant>
      <vt:variant>
        <vt:lpwstr/>
      </vt:variant>
      <vt:variant>
        <vt:lpwstr>baseyear</vt:lpwstr>
      </vt:variant>
      <vt:variant>
        <vt:i4>5963832</vt:i4>
      </vt:variant>
      <vt:variant>
        <vt:i4>822</vt:i4>
      </vt:variant>
      <vt:variant>
        <vt:i4>0</vt:i4>
      </vt:variant>
      <vt:variant>
        <vt:i4>5</vt:i4>
      </vt:variant>
      <vt:variant>
        <vt:lpwstr/>
      </vt:variant>
      <vt:variant>
        <vt:lpwstr>_3.3.1._Step_1:</vt:lpwstr>
      </vt:variant>
      <vt:variant>
        <vt:i4>7209075</vt:i4>
      </vt:variant>
      <vt:variant>
        <vt:i4>819</vt:i4>
      </vt:variant>
      <vt:variant>
        <vt:i4>0</vt:i4>
      </vt:variant>
      <vt:variant>
        <vt:i4>5</vt:i4>
      </vt:variant>
      <vt:variant>
        <vt:lpwstr/>
      </vt:variant>
      <vt:variant>
        <vt:lpwstr>Eligibleprocess</vt:lpwstr>
      </vt:variant>
      <vt:variant>
        <vt:i4>262240</vt:i4>
      </vt:variant>
      <vt:variant>
        <vt:i4>816</vt:i4>
      </vt:variant>
      <vt:variant>
        <vt:i4>0</vt:i4>
      </vt:variant>
      <vt:variant>
        <vt:i4>5</vt:i4>
      </vt:variant>
      <vt:variant>
        <vt:lpwstr/>
      </vt:variant>
      <vt:variant>
        <vt:lpwstr>_Appendix_E:_Definition</vt:lpwstr>
      </vt:variant>
      <vt:variant>
        <vt:i4>4194362</vt:i4>
      </vt:variant>
      <vt:variant>
        <vt:i4>813</vt:i4>
      </vt:variant>
      <vt:variant>
        <vt:i4>0</vt:i4>
      </vt:variant>
      <vt:variant>
        <vt:i4>5</vt:i4>
      </vt:variant>
      <vt:variant>
        <vt:lpwstr/>
      </vt:variant>
      <vt:variant>
        <vt:lpwstr>_3.1.10._Accounting_for</vt:lpwstr>
      </vt:variant>
      <vt:variant>
        <vt:i4>1048588</vt:i4>
      </vt:variant>
      <vt:variant>
        <vt:i4>810</vt:i4>
      </vt:variant>
      <vt:variant>
        <vt:i4>0</vt:i4>
      </vt:variant>
      <vt:variant>
        <vt:i4>5</vt:i4>
      </vt:variant>
      <vt:variant>
        <vt:lpwstr/>
      </vt:variant>
      <vt:variant>
        <vt:lpwstr>installation</vt:lpwstr>
      </vt:variant>
      <vt:variant>
        <vt:i4>6357092</vt:i4>
      </vt:variant>
      <vt:variant>
        <vt:i4>807</vt:i4>
      </vt:variant>
      <vt:variant>
        <vt:i4>0</vt:i4>
      </vt:variant>
      <vt:variant>
        <vt:i4>5</vt:i4>
      </vt:variant>
      <vt:variant>
        <vt:lpwstr/>
      </vt:variant>
      <vt:variant>
        <vt:lpwstr>DAA</vt:lpwstr>
      </vt:variant>
      <vt:variant>
        <vt:i4>7602291</vt:i4>
      </vt:variant>
      <vt:variant>
        <vt:i4>804</vt:i4>
      </vt:variant>
      <vt:variant>
        <vt:i4>0</vt:i4>
      </vt:variant>
      <vt:variant>
        <vt:i4>5</vt:i4>
      </vt:variant>
      <vt:variant>
        <vt:lpwstr/>
      </vt:variant>
      <vt:variant>
        <vt:lpwstr>STU</vt:lpwstr>
      </vt:variant>
      <vt:variant>
        <vt:i4>131124</vt:i4>
      </vt:variant>
      <vt:variant>
        <vt:i4>801</vt:i4>
      </vt:variant>
      <vt:variant>
        <vt:i4>0</vt:i4>
      </vt:variant>
      <vt:variant>
        <vt:i4>5</vt:i4>
      </vt:variant>
      <vt:variant>
        <vt:lpwstr/>
      </vt:variant>
      <vt:variant>
        <vt:lpwstr>_3.1._How_to</vt:lpwstr>
      </vt:variant>
      <vt:variant>
        <vt:i4>655389</vt:i4>
      </vt:variant>
      <vt:variant>
        <vt:i4>798</vt:i4>
      </vt:variant>
      <vt:variant>
        <vt:i4>0</vt:i4>
      </vt:variant>
      <vt:variant>
        <vt:i4>5</vt:i4>
      </vt:variant>
      <vt:variant>
        <vt:lpwstr/>
      </vt:variant>
      <vt:variant>
        <vt:lpwstr>Primaryenergy</vt:lpwstr>
      </vt:variant>
      <vt:variant>
        <vt:i4>7405674</vt:i4>
      </vt:variant>
      <vt:variant>
        <vt:i4>795</vt:i4>
      </vt:variant>
      <vt:variant>
        <vt:i4>0</vt:i4>
      </vt:variant>
      <vt:variant>
        <vt:i4>5</vt:i4>
      </vt:variant>
      <vt:variant>
        <vt:lpwstr>https://www.gov.uk/government/publications/climate-change-agreements-technical-guidance</vt:lpwstr>
      </vt:variant>
      <vt:variant>
        <vt:lpwstr/>
      </vt:variant>
      <vt:variant>
        <vt:i4>4587569</vt:i4>
      </vt:variant>
      <vt:variant>
        <vt:i4>792</vt:i4>
      </vt:variant>
      <vt:variant>
        <vt:i4>0</vt:i4>
      </vt:variant>
      <vt:variant>
        <vt:i4>5</vt:i4>
      </vt:variant>
      <vt:variant>
        <vt:lpwstr/>
      </vt:variant>
      <vt:variant>
        <vt:lpwstr>_3.3.5_Step_5:</vt:lpwstr>
      </vt:variant>
      <vt:variant>
        <vt:i4>1245193</vt:i4>
      </vt:variant>
      <vt:variant>
        <vt:i4>789</vt:i4>
      </vt:variant>
      <vt:variant>
        <vt:i4>0</vt:i4>
      </vt:variant>
      <vt:variant>
        <vt:i4>5</vt:i4>
      </vt:variant>
      <vt:variant>
        <vt:lpwstr/>
      </vt:variant>
      <vt:variant>
        <vt:lpwstr>baseyear</vt:lpwstr>
      </vt:variant>
      <vt:variant>
        <vt:i4>2031632</vt:i4>
      </vt:variant>
      <vt:variant>
        <vt:i4>786</vt:i4>
      </vt:variant>
      <vt:variant>
        <vt:i4>0</vt:i4>
      </vt:variant>
      <vt:variant>
        <vt:i4>5</vt:i4>
      </vt:variant>
      <vt:variant>
        <vt:lpwstr/>
      </vt:variant>
      <vt:variant>
        <vt:lpwstr>UKETS</vt:lpwstr>
      </vt:variant>
      <vt:variant>
        <vt:i4>5963832</vt:i4>
      </vt:variant>
      <vt:variant>
        <vt:i4>783</vt:i4>
      </vt:variant>
      <vt:variant>
        <vt:i4>0</vt:i4>
      </vt:variant>
      <vt:variant>
        <vt:i4>5</vt:i4>
      </vt:variant>
      <vt:variant>
        <vt:lpwstr/>
      </vt:variant>
      <vt:variant>
        <vt:lpwstr>_3.3.4._Step_4:</vt:lpwstr>
      </vt:variant>
      <vt:variant>
        <vt:i4>5963832</vt:i4>
      </vt:variant>
      <vt:variant>
        <vt:i4>780</vt:i4>
      </vt:variant>
      <vt:variant>
        <vt:i4>0</vt:i4>
      </vt:variant>
      <vt:variant>
        <vt:i4>5</vt:i4>
      </vt:variant>
      <vt:variant>
        <vt:lpwstr/>
      </vt:variant>
      <vt:variant>
        <vt:lpwstr>_3.3.3._Step_3:</vt:lpwstr>
      </vt:variant>
      <vt:variant>
        <vt:i4>7798884</vt:i4>
      </vt:variant>
      <vt:variant>
        <vt:i4>777</vt:i4>
      </vt:variant>
      <vt:variant>
        <vt:i4>0</vt:i4>
      </vt:variant>
      <vt:variant>
        <vt:i4>5</vt:i4>
      </vt:variant>
      <vt:variant>
        <vt:lpwstr/>
      </vt:variant>
      <vt:variant>
        <vt:lpwstr>seventypercentrule</vt:lpwstr>
      </vt:variant>
      <vt:variant>
        <vt:i4>5963832</vt:i4>
      </vt:variant>
      <vt:variant>
        <vt:i4>774</vt:i4>
      </vt:variant>
      <vt:variant>
        <vt:i4>0</vt:i4>
      </vt:variant>
      <vt:variant>
        <vt:i4>5</vt:i4>
      </vt:variant>
      <vt:variant>
        <vt:lpwstr/>
      </vt:variant>
      <vt:variant>
        <vt:lpwstr>_3.3.2._Step_2:</vt:lpwstr>
      </vt:variant>
      <vt:variant>
        <vt:i4>5963832</vt:i4>
      </vt:variant>
      <vt:variant>
        <vt:i4>771</vt:i4>
      </vt:variant>
      <vt:variant>
        <vt:i4>0</vt:i4>
      </vt:variant>
      <vt:variant>
        <vt:i4>5</vt:i4>
      </vt:variant>
      <vt:variant>
        <vt:lpwstr/>
      </vt:variant>
      <vt:variant>
        <vt:lpwstr>_3.3.1._Step_1:</vt:lpwstr>
      </vt:variant>
      <vt:variant>
        <vt:i4>2424842</vt:i4>
      </vt:variant>
      <vt:variant>
        <vt:i4>768</vt:i4>
      </vt:variant>
      <vt:variant>
        <vt:i4>0</vt:i4>
      </vt:variant>
      <vt:variant>
        <vt:i4>5</vt:i4>
      </vt:variant>
      <vt:variant>
        <vt:lpwstr/>
      </vt:variant>
      <vt:variant>
        <vt:lpwstr>_3.2._What_energy</vt:lpwstr>
      </vt:variant>
      <vt:variant>
        <vt:i4>131124</vt:i4>
      </vt:variant>
      <vt:variant>
        <vt:i4>765</vt:i4>
      </vt:variant>
      <vt:variant>
        <vt:i4>0</vt:i4>
      </vt:variant>
      <vt:variant>
        <vt:i4>5</vt:i4>
      </vt:variant>
      <vt:variant>
        <vt:lpwstr/>
      </vt:variant>
      <vt:variant>
        <vt:lpwstr>_3.1._How_to</vt:lpwstr>
      </vt:variant>
      <vt:variant>
        <vt:i4>7405674</vt:i4>
      </vt:variant>
      <vt:variant>
        <vt:i4>762</vt:i4>
      </vt:variant>
      <vt:variant>
        <vt:i4>0</vt:i4>
      </vt:variant>
      <vt:variant>
        <vt:i4>5</vt:i4>
      </vt:variant>
      <vt:variant>
        <vt:lpwstr>https://www.gov.uk/government/publications/climate-change-agreements-technical-guidance</vt:lpwstr>
      </vt:variant>
      <vt:variant>
        <vt:lpwstr/>
      </vt:variant>
      <vt:variant>
        <vt:i4>6946942</vt:i4>
      </vt:variant>
      <vt:variant>
        <vt:i4>759</vt:i4>
      </vt:variant>
      <vt:variant>
        <vt:i4>0</vt:i4>
      </vt:variant>
      <vt:variant>
        <vt:i4>5</vt:i4>
      </vt:variant>
      <vt:variant>
        <vt:lpwstr/>
      </vt:variant>
      <vt:variant>
        <vt:lpwstr>Targetfacility</vt:lpwstr>
      </vt:variant>
      <vt:variant>
        <vt:i4>7405674</vt:i4>
      </vt:variant>
      <vt:variant>
        <vt:i4>756</vt:i4>
      </vt:variant>
      <vt:variant>
        <vt:i4>0</vt:i4>
      </vt:variant>
      <vt:variant>
        <vt:i4>5</vt:i4>
      </vt:variant>
      <vt:variant>
        <vt:lpwstr>https://www.gov.uk/government/publications/climate-change-agreements-technical-guidance</vt:lpwstr>
      </vt:variant>
      <vt:variant>
        <vt:lpwstr/>
      </vt:variant>
      <vt:variant>
        <vt:i4>7405674</vt:i4>
      </vt:variant>
      <vt:variant>
        <vt:i4>753</vt:i4>
      </vt:variant>
      <vt:variant>
        <vt:i4>0</vt:i4>
      </vt:variant>
      <vt:variant>
        <vt:i4>5</vt:i4>
      </vt:variant>
      <vt:variant>
        <vt:lpwstr>https://www.gov.uk/government/publications/climate-change-agreements-technical-guidance</vt:lpwstr>
      </vt:variant>
      <vt:variant>
        <vt:lpwstr/>
      </vt:variant>
      <vt:variant>
        <vt:i4>1245193</vt:i4>
      </vt:variant>
      <vt:variant>
        <vt:i4>750</vt:i4>
      </vt:variant>
      <vt:variant>
        <vt:i4>0</vt:i4>
      </vt:variant>
      <vt:variant>
        <vt:i4>5</vt:i4>
      </vt:variant>
      <vt:variant>
        <vt:lpwstr/>
      </vt:variant>
      <vt:variant>
        <vt:lpwstr>baseyear</vt:lpwstr>
      </vt:variant>
      <vt:variant>
        <vt:i4>7798884</vt:i4>
      </vt:variant>
      <vt:variant>
        <vt:i4>747</vt:i4>
      </vt:variant>
      <vt:variant>
        <vt:i4>0</vt:i4>
      </vt:variant>
      <vt:variant>
        <vt:i4>5</vt:i4>
      </vt:variant>
      <vt:variant>
        <vt:lpwstr/>
      </vt:variant>
      <vt:variant>
        <vt:lpwstr>seventypercentrule</vt:lpwstr>
      </vt:variant>
      <vt:variant>
        <vt:i4>7733255</vt:i4>
      </vt:variant>
      <vt:variant>
        <vt:i4>744</vt:i4>
      </vt:variant>
      <vt:variant>
        <vt:i4>0</vt:i4>
      </vt:variant>
      <vt:variant>
        <vt:i4>5</vt:i4>
      </vt:variant>
      <vt:variant>
        <vt:lpwstr>mailto:cca-help@environment-agency.gov.uk</vt:lpwstr>
      </vt:variant>
      <vt:variant>
        <vt:lpwstr/>
      </vt:variant>
      <vt:variant>
        <vt:i4>7405674</vt:i4>
      </vt:variant>
      <vt:variant>
        <vt:i4>741</vt:i4>
      </vt:variant>
      <vt:variant>
        <vt:i4>0</vt:i4>
      </vt:variant>
      <vt:variant>
        <vt:i4>5</vt:i4>
      </vt:variant>
      <vt:variant>
        <vt:lpwstr>https://www.gov.uk/government/publications/climate-change-agreements-technical-guidance</vt:lpwstr>
      </vt:variant>
      <vt:variant>
        <vt:lpwstr/>
      </vt:variant>
      <vt:variant>
        <vt:i4>655389</vt:i4>
      </vt:variant>
      <vt:variant>
        <vt:i4>738</vt:i4>
      </vt:variant>
      <vt:variant>
        <vt:i4>0</vt:i4>
      </vt:variant>
      <vt:variant>
        <vt:i4>5</vt:i4>
      </vt:variant>
      <vt:variant>
        <vt:lpwstr/>
      </vt:variant>
      <vt:variant>
        <vt:lpwstr>Primaryenergy</vt:lpwstr>
      </vt:variant>
      <vt:variant>
        <vt:i4>7274520</vt:i4>
      </vt:variant>
      <vt:variant>
        <vt:i4>735</vt:i4>
      </vt:variant>
      <vt:variant>
        <vt:i4>0</vt:i4>
      </vt:variant>
      <vt:variant>
        <vt:i4>5</vt:i4>
      </vt:variant>
      <vt:variant>
        <vt:lpwstr/>
      </vt:variant>
      <vt:variant>
        <vt:lpwstr>_Appendix_D:_Calculation</vt:lpwstr>
      </vt:variant>
      <vt:variant>
        <vt:i4>1703950</vt:i4>
      </vt:variant>
      <vt:variant>
        <vt:i4>732</vt:i4>
      </vt:variant>
      <vt:variant>
        <vt:i4>0</vt:i4>
      </vt:variant>
      <vt:variant>
        <vt:i4>5</vt:i4>
      </vt:variant>
      <vt:variant>
        <vt:lpwstr/>
      </vt:variant>
      <vt:variant>
        <vt:lpwstr>Targetperiod</vt:lpwstr>
      </vt:variant>
      <vt:variant>
        <vt:i4>1245193</vt:i4>
      </vt:variant>
      <vt:variant>
        <vt:i4>729</vt:i4>
      </vt:variant>
      <vt:variant>
        <vt:i4>0</vt:i4>
      </vt:variant>
      <vt:variant>
        <vt:i4>5</vt:i4>
      </vt:variant>
      <vt:variant>
        <vt:lpwstr/>
      </vt:variant>
      <vt:variant>
        <vt:lpwstr>baseyear</vt:lpwstr>
      </vt:variant>
      <vt:variant>
        <vt:i4>2031632</vt:i4>
      </vt:variant>
      <vt:variant>
        <vt:i4>726</vt:i4>
      </vt:variant>
      <vt:variant>
        <vt:i4>0</vt:i4>
      </vt:variant>
      <vt:variant>
        <vt:i4>5</vt:i4>
      </vt:variant>
      <vt:variant>
        <vt:lpwstr/>
      </vt:variant>
      <vt:variant>
        <vt:lpwstr>UKETS</vt:lpwstr>
      </vt:variant>
      <vt:variant>
        <vt:i4>7471219</vt:i4>
      </vt:variant>
      <vt:variant>
        <vt:i4>723</vt:i4>
      </vt:variant>
      <vt:variant>
        <vt:i4>0</vt:i4>
      </vt:variant>
      <vt:variant>
        <vt:i4>5</vt:i4>
      </vt:variant>
      <vt:variant>
        <vt:lpwstr/>
      </vt:variant>
      <vt:variant>
        <vt:lpwstr>SRM</vt:lpwstr>
      </vt:variant>
      <vt:variant>
        <vt:i4>7405674</vt:i4>
      </vt:variant>
      <vt:variant>
        <vt:i4>720</vt:i4>
      </vt:variant>
      <vt:variant>
        <vt:i4>0</vt:i4>
      </vt:variant>
      <vt:variant>
        <vt:i4>5</vt:i4>
      </vt:variant>
      <vt:variant>
        <vt:lpwstr>https://www.gov.uk/government/publications/climate-change-agreements-technical-guidance</vt:lpwstr>
      </vt:variant>
      <vt:variant>
        <vt:lpwstr/>
      </vt:variant>
      <vt:variant>
        <vt:i4>7274520</vt:i4>
      </vt:variant>
      <vt:variant>
        <vt:i4>717</vt:i4>
      </vt:variant>
      <vt:variant>
        <vt:i4>0</vt:i4>
      </vt:variant>
      <vt:variant>
        <vt:i4>5</vt:i4>
      </vt:variant>
      <vt:variant>
        <vt:lpwstr/>
      </vt:variant>
      <vt:variant>
        <vt:lpwstr>_Appendix_D:_Calculation</vt:lpwstr>
      </vt:variant>
      <vt:variant>
        <vt:i4>6684778</vt:i4>
      </vt:variant>
      <vt:variant>
        <vt:i4>714</vt:i4>
      </vt:variant>
      <vt:variant>
        <vt:i4>0</vt:i4>
      </vt:variant>
      <vt:variant>
        <vt:i4>5</vt:i4>
      </vt:variant>
      <vt:variant>
        <vt:lpwstr>https://www.gov.uk/government/publications/greenhouse-gas-reporting-conversion-factors-2022</vt:lpwstr>
      </vt:variant>
      <vt:variant>
        <vt:lpwstr/>
      </vt:variant>
      <vt:variant>
        <vt:i4>524324</vt:i4>
      </vt:variant>
      <vt:variant>
        <vt:i4>711</vt:i4>
      </vt:variant>
      <vt:variant>
        <vt:i4>0</vt:i4>
      </vt:variant>
      <vt:variant>
        <vt:i4>5</vt:i4>
      </vt:variant>
      <vt:variant>
        <vt:lpwstr/>
      </vt:variant>
      <vt:variant>
        <vt:lpwstr>_D.1_Accounting_for</vt:lpwstr>
      </vt:variant>
      <vt:variant>
        <vt:i4>7405674</vt:i4>
      </vt:variant>
      <vt:variant>
        <vt:i4>708</vt:i4>
      </vt:variant>
      <vt:variant>
        <vt:i4>0</vt:i4>
      </vt:variant>
      <vt:variant>
        <vt:i4>5</vt:i4>
      </vt:variant>
      <vt:variant>
        <vt:lpwstr>https://www.gov.uk/government/publications/climate-change-agreements-technical-guidance</vt:lpwstr>
      </vt:variant>
      <vt:variant>
        <vt:lpwstr/>
      </vt:variant>
      <vt:variant>
        <vt:i4>1507332</vt:i4>
      </vt:variant>
      <vt:variant>
        <vt:i4>705</vt:i4>
      </vt:variant>
      <vt:variant>
        <vt:i4>0</vt:i4>
      </vt:variant>
      <vt:variant>
        <vt:i4>5</vt:i4>
      </vt:variant>
      <vt:variant>
        <vt:lpwstr/>
      </vt:variant>
      <vt:variant>
        <vt:lpwstr>Energytarget</vt:lpwstr>
      </vt:variant>
      <vt:variant>
        <vt:i4>7405674</vt:i4>
      </vt:variant>
      <vt:variant>
        <vt:i4>702</vt:i4>
      </vt:variant>
      <vt:variant>
        <vt:i4>0</vt:i4>
      </vt:variant>
      <vt:variant>
        <vt:i4>5</vt:i4>
      </vt:variant>
      <vt:variant>
        <vt:lpwstr>https://www.gov.uk/government/publications/climate-change-agreements-technical-guidance</vt:lpwstr>
      </vt:variant>
      <vt:variant>
        <vt:lpwstr/>
      </vt:variant>
      <vt:variant>
        <vt:i4>6553707</vt:i4>
      </vt:variant>
      <vt:variant>
        <vt:i4>699</vt:i4>
      </vt:variant>
      <vt:variant>
        <vt:i4>0</vt:i4>
      </vt:variant>
      <vt:variant>
        <vt:i4>5</vt:i4>
      </vt:variant>
      <vt:variant>
        <vt:lpwstr/>
      </vt:variant>
      <vt:variant>
        <vt:lpwstr>_3.1.2._General_electricity_1</vt:lpwstr>
      </vt:variant>
      <vt:variant>
        <vt:i4>6488163</vt:i4>
      </vt:variant>
      <vt:variant>
        <vt:i4>696</vt:i4>
      </vt:variant>
      <vt:variant>
        <vt:i4>0</vt:i4>
      </vt:variant>
      <vt:variant>
        <vt:i4>5</vt:i4>
      </vt:variant>
      <vt:variant>
        <vt:lpwstr/>
      </vt:variant>
      <vt:variant>
        <vt:lpwstr>CCL</vt:lpwstr>
      </vt:variant>
      <vt:variant>
        <vt:i4>1703942</vt:i4>
      </vt:variant>
      <vt:variant>
        <vt:i4>693</vt:i4>
      </vt:variant>
      <vt:variant>
        <vt:i4>0</vt:i4>
      </vt:variant>
      <vt:variant>
        <vt:i4>5</vt:i4>
      </vt:variant>
      <vt:variant>
        <vt:lpwstr/>
      </vt:variant>
      <vt:variant>
        <vt:lpwstr>Greenelectricity</vt:lpwstr>
      </vt:variant>
      <vt:variant>
        <vt:i4>7405674</vt:i4>
      </vt:variant>
      <vt:variant>
        <vt:i4>690</vt:i4>
      </vt:variant>
      <vt:variant>
        <vt:i4>0</vt:i4>
      </vt:variant>
      <vt:variant>
        <vt:i4>5</vt:i4>
      </vt:variant>
      <vt:variant>
        <vt:lpwstr>https://www.gov.uk/government/publications/climate-change-agreements-technical-guidance</vt:lpwstr>
      </vt:variant>
      <vt:variant>
        <vt:lpwstr/>
      </vt:variant>
      <vt:variant>
        <vt:i4>6619209</vt:i4>
      </vt:variant>
      <vt:variant>
        <vt:i4>687</vt:i4>
      </vt:variant>
      <vt:variant>
        <vt:i4>0</vt:i4>
      </vt:variant>
      <vt:variant>
        <vt:i4>5</vt:i4>
      </vt:variant>
      <vt:variant>
        <vt:lpwstr/>
      </vt:variant>
      <vt:variant>
        <vt:lpwstr>_3.1.6._Combined_heat</vt:lpwstr>
      </vt:variant>
      <vt:variant>
        <vt:i4>7405674</vt:i4>
      </vt:variant>
      <vt:variant>
        <vt:i4>684</vt:i4>
      </vt:variant>
      <vt:variant>
        <vt:i4>0</vt:i4>
      </vt:variant>
      <vt:variant>
        <vt:i4>5</vt:i4>
      </vt:variant>
      <vt:variant>
        <vt:lpwstr>https://www.gov.uk/government/publications/climate-change-agreements-technical-guidance</vt:lpwstr>
      </vt:variant>
      <vt:variant>
        <vt:lpwstr/>
      </vt:variant>
      <vt:variant>
        <vt:i4>7733255</vt:i4>
      </vt:variant>
      <vt:variant>
        <vt:i4>681</vt:i4>
      </vt:variant>
      <vt:variant>
        <vt:i4>0</vt:i4>
      </vt:variant>
      <vt:variant>
        <vt:i4>5</vt:i4>
      </vt:variant>
      <vt:variant>
        <vt:lpwstr>mailto:cca-help@environment-agency.gov.uk</vt:lpwstr>
      </vt:variant>
      <vt:variant>
        <vt:lpwstr/>
      </vt:variant>
      <vt:variant>
        <vt:i4>851974</vt:i4>
      </vt:variant>
      <vt:variant>
        <vt:i4>678</vt:i4>
      </vt:variant>
      <vt:variant>
        <vt:i4>0</vt:i4>
      </vt:variant>
      <vt:variant>
        <vt:i4>5</vt:i4>
      </vt:variant>
      <vt:variant>
        <vt:lpwstr/>
      </vt:variant>
      <vt:variant>
        <vt:lpwstr>Sectorassociation</vt:lpwstr>
      </vt:variant>
      <vt:variant>
        <vt:i4>6684778</vt:i4>
      </vt:variant>
      <vt:variant>
        <vt:i4>675</vt:i4>
      </vt:variant>
      <vt:variant>
        <vt:i4>0</vt:i4>
      </vt:variant>
      <vt:variant>
        <vt:i4>5</vt:i4>
      </vt:variant>
      <vt:variant>
        <vt:lpwstr>https://www.gov.uk/government/publications/greenhouse-gas-reporting-conversion-factors-2022</vt:lpwstr>
      </vt:variant>
      <vt:variant>
        <vt:lpwstr/>
      </vt:variant>
      <vt:variant>
        <vt:i4>7405674</vt:i4>
      </vt:variant>
      <vt:variant>
        <vt:i4>672</vt:i4>
      </vt:variant>
      <vt:variant>
        <vt:i4>0</vt:i4>
      </vt:variant>
      <vt:variant>
        <vt:i4>5</vt:i4>
      </vt:variant>
      <vt:variant>
        <vt:lpwstr>https://www.gov.uk/government/publications/climate-change-agreements-technical-guidance</vt:lpwstr>
      </vt:variant>
      <vt:variant>
        <vt:lpwstr/>
      </vt:variant>
      <vt:variant>
        <vt:i4>7405674</vt:i4>
      </vt:variant>
      <vt:variant>
        <vt:i4>669</vt:i4>
      </vt:variant>
      <vt:variant>
        <vt:i4>0</vt:i4>
      </vt:variant>
      <vt:variant>
        <vt:i4>5</vt:i4>
      </vt:variant>
      <vt:variant>
        <vt:lpwstr>https://www.gov.uk/government/publications/climate-change-agreements-technical-guidance</vt:lpwstr>
      </vt:variant>
      <vt:variant>
        <vt:lpwstr/>
      </vt:variant>
      <vt:variant>
        <vt:i4>8257634</vt:i4>
      </vt:variant>
      <vt:variant>
        <vt:i4>666</vt:i4>
      </vt:variant>
      <vt:variant>
        <vt:i4>0</vt:i4>
      </vt:variant>
      <vt:variant>
        <vt:i4>5</vt:i4>
      </vt:variant>
      <vt:variant>
        <vt:lpwstr/>
      </vt:variant>
      <vt:variant>
        <vt:lpwstr>FinanceAct2000</vt:lpwstr>
      </vt:variant>
      <vt:variant>
        <vt:i4>1245193</vt:i4>
      </vt:variant>
      <vt:variant>
        <vt:i4>663</vt:i4>
      </vt:variant>
      <vt:variant>
        <vt:i4>0</vt:i4>
      </vt:variant>
      <vt:variant>
        <vt:i4>5</vt:i4>
      </vt:variant>
      <vt:variant>
        <vt:lpwstr/>
      </vt:variant>
      <vt:variant>
        <vt:lpwstr>baseyear</vt:lpwstr>
      </vt:variant>
      <vt:variant>
        <vt:i4>655389</vt:i4>
      </vt:variant>
      <vt:variant>
        <vt:i4>660</vt:i4>
      </vt:variant>
      <vt:variant>
        <vt:i4>0</vt:i4>
      </vt:variant>
      <vt:variant>
        <vt:i4>5</vt:i4>
      </vt:variant>
      <vt:variant>
        <vt:lpwstr/>
      </vt:variant>
      <vt:variant>
        <vt:lpwstr>Primaryenergy</vt:lpwstr>
      </vt:variant>
      <vt:variant>
        <vt:i4>2031632</vt:i4>
      </vt:variant>
      <vt:variant>
        <vt:i4>657</vt:i4>
      </vt:variant>
      <vt:variant>
        <vt:i4>0</vt:i4>
      </vt:variant>
      <vt:variant>
        <vt:i4>5</vt:i4>
      </vt:variant>
      <vt:variant>
        <vt:lpwstr/>
      </vt:variant>
      <vt:variant>
        <vt:lpwstr>UKETS</vt:lpwstr>
      </vt:variant>
      <vt:variant>
        <vt:i4>6946942</vt:i4>
      </vt:variant>
      <vt:variant>
        <vt:i4>654</vt:i4>
      </vt:variant>
      <vt:variant>
        <vt:i4>0</vt:i4>
      </vt:variant>
      <vt:variant>
        <vt:i4>5</vt:i4>
      </vt:variant>
      <vt:variant>
        <vt:lpwstr/>
      </vt:variant>
      <vt:variant>
        <vt:lpwstr>Targetfacility</vt:lpwstr>
      </vt:variant>
      <vt:variant>
        <vt:i4>2818098</vt:i4>
      </vt:variant>
      <vt:variant>
        <vt:i4>651</vt:i4>
      </vt:variant>
      <vt:variant>
        <vt:i4>0</vt:i4>
      </vt:variant>
      <vt:variant>
        <vt:i4>5</vt:i4>
      </vt:variant>
      <vt:variant>
        <vt:lpwstr>https://www.gov.uk/guidance/energy-efficiency-standards-for-industrial-plants-to-get-environmental-permits</vt:lpwstr>
      </vt:variant>
      <vt:variant>
        <vt:lpwstr/>
      </vt:variant>
      <vt:variant>
        <vt:i4>7340133</vt:i4>
      </vt:variant>
      <vt:variant>
        <vt:i4>648</vt:i4>
      </vt:variant>
      <vt:variant>
        <vt:i4>0</vt:i4>
      </vt:variant>
      <vt:variant>
        <vt:i4>5</vt:i4>
      </vt:variant>
      <vt:variant>
        <vt:lpwstr/>
      </vt:variant>
      <vt:variant>
        <vt:lpwstr>EPR</vt:lpwstr>
      </vt:variant>
      <vt:variant>
        <vt:i4>5963898</vt:i4>
      </vt:variant>
      <vt:variant>
        <vt:i4>645</vt:i4>
      </vt:variant>
      <vt:variant>
        <vt:i4>0</vt:i4>
      </vt:variant>
      <vt:variant>
        <vt:i4>5</vt:i4>
      </vt:variant>
      <vt:variant>
        <vt:lpwstr/>
      </vt:variant>
      <vt:variant>
        <vt:lpwstr>_8.3.1._Voluntary_termination</vt:lpwstr>
      </vt:variant>
      <vt:variant>
        <vt:i4>6488163</vt:i4>
      </vt:variant>
      <vt:variant>
        <vt:i4>642</vt:i4>
      </vt:variant>
      <vt:variant>
        <vt:i4>0</vt:i4>
      </vt:variant>
      <vt:variant>
        <vt:i4>5</vt:i4>
      </vt:variant>
      <vt:variant>
        <vt:lpwstr/>
      </vt:variant>
      <vt:variant>
        <vt:lpwstr>CCL</vt:lpwstr>
      </vt:variant>
      <vt:variant>
        <vt:i4>1572932</vt:i4>
      </vt:variant>
      <vt:variant>
        <vt:i4>639</vt:i4>
      </vt:variant>
      <vt:variant>
        <vt:i4>0</vt:i4>
      </vt:variant>
      <vt:variant>
        <vt:i4>5</vt:i4>
      </vt:variant>
      <vt:variant>
        <vt:lpwstr>https://www.gov.uk/government/publications/excise-notice-ccl13-climate-change-levy-reliefs-and-special-treatments-for-taxable-commodities/excise-notice-ccl13-climate-change-levy-reliefs-and-special-treatments-for-taxable-commodities</vt:lpwstr>
      </vt:variant>
      <vt:variant>
        <vt:lpwstr/>
      </vt:variant>
      <vt:variant>
        <vt:i4>2424932</vt:i4>
      </vt:variant>
      <vt:variant>
        <vt:i4>636</vt:i4>
      </vt:variant>
      <vt:variant>
        <vt:i4>0</vt:i4>
      </vt:variant>
      <vt:variant>
        <vt:i4>5</vt:i4>
      </vt:variant>
      <vt:variant>
        <vt:lpwstr/>
      </vt:variant>
      <vt:variant>
        <vt:lpwstr>_Appendix_A:_Eligible_1</vt:lpwstr>
      </vt:variant>
      <vt:variant>
        <vt:i4>3145749</vt:i4>
      </vt:variant>
      <vt:variant>
        <vt:i4>633</vt:i4>
      </vt:variant>
      <vt:variant>
        <vt:i4>0</vt:i4>
      </vt:variant>
      <vt:variant>
        <vt:i4>5</vt:i4>
      </vt:variant>
      <vt:variant>
        <vt:lpwstr/>
      </vt:variant>
      <vt:variant>
        <vt:lpwstr>_6._Application_process</vt:lpwstr>
      </vt:variant>
      <vt:variant>
        <vt:i4>7209075</vt:i4>
      </vt:variant>
      <vt:variant>
        <vt:i4>630</vt:i4>
      </vt:variant>
      <vt:variant>
        <vt:i4>0</vt:i4>
      </vt:variant>
      <vt:variant>
        <vt:i4>5</vt:i4>
      </vt:variant>
      <vt:variant>
        <vt:lpwstr/>
      </vt:variant>
      <vt:variant>
        <vt:lpwstr>Eligibleprocess</vt:lpwstr>
      </vt:variant>
      <vt:variant>
        <vt:i4>1245197</vt:i4>
      </vt:variant>
      <vt:variant>
        <vt:i4>627</vt:i4>
      </vt:variant>
      <vt:variant>
        <vt:i4>0</vt:i4>
      </vt:variant>
      <vt:variant>
        <vt:i4>5</vt:i4>
      </vt:variant>
      <vt:variant>
        <vt:lpwstr/>
      </vt:variant>
      <vt:variant>
        <vt:lpwstr>Umbrellaagreement</vt:lpwstr>
      </vt:variant>
      <vt:variant>
        <vt:i4>131072</vt:i4>
      </vt:variant>
      <vt:variant>
        <vt:i4>624</vt:i4>
      </vt:variant>
      <vt:variant>
        <vt:i4>0</vt:i4>
      </vt:variant>
      <vt:variant>
        <vt:i4>5</vt:i4>
      </vt:variant>
      <vt:variant>
        <vt:lpwstr/>
      </vt:variant>
      <vt:variant>
        <vt:lpwstr>PartAactivity</vt:lpwstr>
      </vt:variant>
      <vt:variant>
        <vt:i4>7340133</vt:i4>
      </vt:variant>
      <vt:variant>
        <vt:i4>621</vt:i4>
      </vt:variant>
      <vt:variant>
        <vt:i4>0</vt:i4>
      </vt:variant>
      <vt:variant>
        <vt:i4>5</vt:i4>
      </vt:variant>
      <vt:variant>
        <vt:lpwstr/>
      </vt:variant>
      <vt:variant>
        <vt:lpwstr>EPR</vt:lpwstr>
      </vt:variant>
      <vt:variant>
        <vt:i4>8257634</vt:i4>
      </vt:variant>
      <vt:variant>
        <vt:i4>618</vt:i4>
      </vt:variant>
      <vt:variant>
        <vt:i4>0</vt:i4>
      </vt:variant>
      <vt:variant>
        <vt:i4>5</vt:i4>
      </vt:variant>
      <vt:variant>
        <vt:lpwstr/>
      </vt:variant>
      <vt:variant>
        <vt:lpwstr>FinanceAct2000</vt:lpwstr>
      </vt:variant>
      <vt:variant>
        <vt:i4>2424932</vt:i4>
      </vt:variant>
      <vt:variant>
        <vt:i4>615</vt:i4>
      </vt:variant>
      <vt:variant>
        <vt:i4>0</vt:i4>
      </vt:variant>
      <vt:variant>
        <vt:i4>5</vt:i4>
      </vt:variant>
      <vt:variant>
        <vt:lpwstr/>
      </vt:variant>
      <vt:variant>
        <vt:lpwstr>_Appendix_A:_Eligible_1</vt:lpwstr>
      </vt:variant>
      <vt:variant>
        <vt:i4>7209075</vt:i4>
      </vt:variant>
      <vt:variant>
        <vt:i4>612</vt:i4>
      </vt:variant>
      <vt:variant>
        <vt:i4>0</vt:i4>
      </vt:variant>
      <vt:variant>
        <vt:i4>5</vt:i4>
      </vt:variant>
      <vt:variant>
        <vt:lpwstr/>
      </vt:variant>
      <vt:variant>
        <vt:lpwstr>Eligibleprocess</vt:lpwstr>
      </vt:variant>
      <vt:variant>
        <vt:i4>6619234</vt:i4>
      </vt:variant>
      <vt:variant>
        <vt:i4>609</vt:i4>
      </vt:variant>
      <vt:variant>
        <vt:i4>0</vt:i4>
      </vt:variant>
      <vt:variant>
        <vt:i4>5</vt:i4>
      </vt:variant>
      <vt:variant>
        <vt:lpwstr/>
      </vt:variant>
      <vt:variant>
        <vt:lpwstr>Consultant</vt:lpwstr>
      </vt:variant>
      <vt:variant>
        <vt:i4>7340146</vt:i4>
      </vt:variant>
      <vt:variant>
        <vt:i4>606</vt:i4>
      </vt:variant>
      <vt:variant>
        <vt:i4>0</vt:i4>
      </vt:variant>
      <vt:variant>
        <vt:i4>5</vt:i4>
      </vt:variant>
      <vt:variant>
        <vt:lpwstr/>
      </vt:variant>
      <vt:variant>
        <vt:lpwstr>Penalty</vt:lpwstr>
      </vt:variant>
      <vt:variant>
        <vt:i4>1703970</vt:i4>
      </vt:variant>
      <vt:variant>
        <vt:i4>603</vt:i4>
      </vt:variant>
      <vt:variant>
        <vt:i4>0</vt:i4>
      </vt:variant>
      <vt:variant>
        <vt:i4>5</vt:i4>
      </vt:variant>
      <vt:variant>
        <vt:lpwstr/>
      </vt:variant>
      <vt:variant>
        <vt:lpwstr>_4.5.3._Conditions_for</vt:lpwstr>
      </vt:variant>
      <vt:variant>
        <vt:i4>1572877</vt:i4>
      </vt:variant>
      <vt:variant>
        <vt:i4>600</vt:i4>
      </vt:variant>
      <vt:variant>
        <vt:i4>0</vt:i4>
      </vt:variant>
      <vt:variant>
        <vt:i4>5</vt:i4>
      </vt:variant>
      <vt:variant>
        <vt:lpwstr/>
      </vt:variant>
      <vt:variant>
        <vt:lpwstr>Multioperatorfacility</vt:lpwstr>
      </vt:variant>
      <vt:variant>
        <vt:i4>2555905</vt:i4>
      </vt:variant>
      <vt:variant>
        <vt:i4>597</vt:i4>
      </vt:variant>
      <vt:variant>
        <vt:i4>0</vt:i4>
      </vt:variant>
      <vt:variant>
        <vt:i4>5</vt:i4>
      </vt:variant>
      <vt:variant>
        <vt:lpwstr/>
      </vt:variant>
      <vt:variant>
        <vt:lpwstr>_2.3.3._The_administrative</vt:lpwstr>
      </vt:variant>
      <vt:variant>
        <vt:i4>2424863</vt:i4>
      </vt:variant>
      <vt:variant>
        <vt:i4>594</vt:i4>
      </vt:variant>
      <vt:variant>
        <vt:i4>0</vt:i4>
      </vt:variant>
      <vt:variant>
        <vt:i4>5</vt:i4>
      </vt:variant>
      <vt:variant>
        <vt:lpwstr/>
      </vt:variant>
      <vt:variant>
        <vt:lpwstr>_2.3.2._The_responsible</vt:lpwstr>
      </vt:variant>
      <vt:variant>
        <vt:i4>1245196</vt:i4>
      </vt:variant>
      <vt:variant>
        <vt:i4>591</vt:i4>
      </vt:variant>
      <vt:variant>
        <vt:i4>0</vt:i4>
      </vt:variant>
      <vt:variant>
        <vt:i4>5</vt:i4>
      </vt:variant>
      <vt:variant>
        <vt:lpwstr/>
      </vt:variant>
      <vt:variant>
        <vt:lpwstr>Responsibleperson</vt:lpwstr>
      </vt:variant>
      <vt:variant>
        <vt:i4>1703970</vt:i4>
      </vt:variant>
      <vt:variant>
        <vt:i4>588</vt:i4>
      </vt:variant>
      <vt:variant>
        <vt:i4>0</vt:i4>
      </vt:variant>
      <vt:variant>
        <vt:i4>5</vt:i4>
      </vt:variant>
      <vt:variant>
        <vt:lpwstr/>
      </vt:variant>
      <vt:variant>
        <vt:lpwstr>_4.5.3._Conditions_for</vt:lpwstr>
      </vt:variant>
      <vt:variant>
        <vt:i4>5308436</vt:i4>
      </vt:variant>
      <vt:variant>
        <vt:i4>585</vt:i4>
      </vt:variant>
      <vt:variant>
        <vt:i4>0</vt:i4>
      </vt:variant>
      <vt:variant>
        <vt:i4>5</vt:i4>
      </vt:variant>
      <vt:variant>
        <vt:lpwstr>https://www.gov.uk/guidance/legal-operator-and-competence-requirements-environmental-permits</vt:lpwstr>
      </vt:variant>
      <vt:variant>
        <vt:lpwstr/>
      </vt:variant>
      <vt:variant>
        <vt:i4>7405674</vt:i4>
      </vt:variant>
      <vt:variant>
        <vt:i4>582</vt:i4>
      </vt:variant>
      <vt:variant>
        <vt:i4>0</vt:i4>
      </vt:variant>
      <vt:variant>
        <vt:i4>5</vt:i4>
      </vt:variant>
      <vt:variant>
        <vt:lpwstr>https://www.gov.uk/government/publications/climate-change-agreements-technical-guidance</vt:lpwstr>
      </vt:variant>
      <vt:variant>
        <vt:lpwstr/>
      </vt:variant>
      <vt:variant>
        <vt:i4>851974</vt:i4>
      </vt:variant>
      <vt:variant>
        <vt:i4>579</vt:i4>
      </vt:variant>
      <vt:variant>
        <vt:i4>0</vt:i4>
      </vt:variant>
      <vt:variant>
        <vt:i4>5</vt:i4>
      </vt:variant>
      <vt:variant>
        <vt:lpwstr/>
      </vt:variant>
      <vt:variant>
        <vt:lpwstr>Sectorassociation</vt:lpwstr>
      </vt:variant>
      <vt:variant>
        <vt:i4>7209070</vt:i4>
      </vt:variant>
      <vt:variant>
        <vt:i4>576</vt:i4>
      </vt:variant>
      <vt:variant>
        <vt:i4>0</vt:i4>
      </vt:variant>
      <vt:variant>
        <vt:i4>5</vt:i4>
      </vt:variant>
      <vt:variant>
        <vt:lpwstr/>
      </vt:variant>
      <vt:variant>
        <vt:lpwstr>Buyout</vt:lpwstr>
      </vt:variant>
      <vt:variant>
        <vt:i4>7340141</vt:i4>
      </vt:variant>
      <vt:variant>
        <vt:i4>573</vt:i4>
      </vt:variant>
      <vt:variant>
        <vt:i4>0</vt:i4>
      </vt:variant>
      <vt:variant>
        <vt:i4>5</vt:i4>
      </vt:variant>
      <vt:variant>
        <vt:lpwstr/>
      </vt:variant>
      <vt:variant>
        <vt:lpwstr>Surplus</vt:lpwstr>
      </vt:variant>
      <vt:variant>
        <vt:i4>6225933</vt:i4>
      </vt:variant>
      <vt:variant>
        <vt:i4>570</vt:i4>
      </vt:variant>
      <vt:variant>
        <vt:i4>0</vt:i4>
      </vt:variant>
      <vt:variant>
        <vt:i4>5</vt:i4>
      </vt:variant>
      <vt:variant>
        <vt:lpwstr>https://manage-your-climate-change-agreements.service.gov.uk/landing</vt:lpwstr>
      </vt:variant>
      <vt:variant>
        <vt:lpwstr/>
      </vt:variant>
      <vt:variant>
        <vt:i4>8323173</vt:i4>
      </vt:variant>
      <vt:variant>
        <vt:i4>567</vt:i4>
      </vt:variant>
      <vt:variant>
        <vt:i4>0</vt:i4>
      </vt:variant>
      <vt:variant>
        <vt:i4>5</vt:i4>
      </vt:variant>
      <vt:variant>
        <vt:lpwstr/>
      </vt:variant>
      <vt:variant>
        <vt:lpwstr>Charges</vt:lpwstr>
      </vt:variant>
      <vt:variant>
        <vt:i4>720959</vt:i4>
      </vt:variant>
      <vt:variant>
        <vt:i4>564</vt:i4>
      </vt:variant>
      <vt:variant>
        <vt:i4>0</vt:i4>
      </vt:variant>
      <vt:variant>
        <vt:i4>5</vt:i4>
      </vt:variant>
      <vt:variant>
        <vt:lpwstr/>
      </vt:variant>
      <vt:variant>
        <vt:lpwstr>_5._Annual_charges</vt:lpwstr>
      </vt:variant>
      <vt:variant>
        <vt:i4>3866637</vt:i4>
      </vt:variant>
      <vt:variant>
        <vt:i4>561</vt:i4>
      </vt:variant>
      <vt:variant>
        <vt:i4>0</vt:i4>
      </vt:variant>
      <vt:variant>
        <vt:i4>5</vt:i4>
      </vt:variant>
      <vt:variant>
        <vt:lpwstr/>
      </vt:variant>
      <vt:variant>
        <vt:lpwstr>_4._Setting_up</vt:lpwstr>
      </vt:variant>
      <vt:variant>
        <vt:i4>1245193</vt:i4>
      </vt:variant>
      <vt:variant>
        <vt:i4>558</vt:i4>
      </vt:variant>
      <vt:variant>
        <vt:i4>0</vt:i4>
      </vt:variant>
      <vt:variant>
        <vt:i4>5</vt:i4>
      </vt:variant>
      <vt:variant>
        <vt:lpwstr/>
      </vt:variant>
      <vt:variant>
        <vt:lpwstr>baseyear</vt:lpwstr>
      </vt:variant>
      <vt:variant>
        <vt:i4>458811</vt:i4>
      </vt:variant>
      <vt:variant>
        <vt:i4>555</vt:i4>
      </vt:variant>
      <vt:variant>
        <vt:i4>0</vt:i4>
      </vt:variant>
      <vt:variant>
        <vt:i4>5</vt:i4>
      </vt:variant>
      <vt:variant>
        <vt:lpwstr/>
      </vt:variant>
      <vt:variant>
        <vt:lpwstr>_3._Eligible_energy</vt:lpwstr>
      </vt:variant>
      <vt:variant>
        <vt:i4>3014666</vt:i4>
      </vt:variant>
      <vt:variant>
        <vt:i4>552</vt:i4>
      </vt:variant>
      <vt:variant>
        <vt:i4>0</vt:i4>
      </vt:variant>
      <vt:variant>
        <vt:i4>5</vt:i4>
      </vt:variant>
      <vt:variant>
        <vt:lpwstr/>
      </vt:variant>
      <vt:variant>
        <vt:lpwstr>_2._Getting_started</vt:lpwstr>
      </vt:variant>
      <vt:variant>
        <vt:i4>6225933</vt:i4>
      </vt:variant>
      <vt:variant>
        <vt:i4>549</vt:i4>
      </vt:variant>
      <vt:variant>
        <vt:i4>0</vt:i4>
      </vt:variant>
      <vt:variant>
        <vt:i4>5</vt:i4>
      </vt:variant>
      <vt:variant>
        <vt:lpwstr>https://manage-your-climate-change-agreements.service.gov.uk/landing</vt:lpwstr>
      </vt:variant>
      <vt:variant>
        <vt:lpwstr/>
      </vt:variant>
      <vt:variant>
        <vt:i4>6291578</vt:i4>
      </vt:variant>
      <vt:variant>
        <vt:i4>546</vt:i4>
      </vt:variant>
      <vt:variant>
        <vt:i4>0</vt:i4>
      </vt:variant>
      <vt:variant>
        <vt:i4>5</vt:i4>
      </vt:variant>
      <vt:variant>
        <vt:lpwstr/>
      </vt:variant>
      <vt:variant>
        <vt:lpwstr>CCAregister</vt:lpwstr>
      </vt:variant>
      <vt:variant>
        <vt:i4>2031640</vt:i4>
      </vt:variant>
      <vt:variant>
        <vt:i4>543</vt:i4>
      </vt:variant>
      <vt:variant>
        <vt:i4>0</vt:i4>
      </vt:variant>
      <vt:variant>
        <vt:i4>5</vt:i4>
      </vt:variant>
      <vt:variant>
        <vt:lpwstr>https://www.gov.uk/government/publications/climate-change-agreements-operations-manual--2</vt:lpwstr>
      </vt:variant>
      <vt:variant>
        <vt:lpwstr/>
      </vt:variant>
      <vt:variant>
        <vt:i4>65573</vt:i4>
      </vt:variant>
      <vt:variant>
        <vt:i4>540</vt:i4>
      </vt:variant>
      <vt:variant>
        <vt:i4>0</vt:i4>
      </vt:variant>
      <vt:variant>
        <vt:i4>5</vt:i4>
      </vt:variant>
      <vt:variant>
        <vt:lpwstr/>
      </vt:variant>
      <vt:variant>
        <vt:lpwstr>_7._Changing_an</vt:lpwstr>
      </vt:variant>
      <vt:variant>
        <vt:i4>3866637</vt:i4>
      </vt:variant>
      <vt:variant>
        <vt:i4>537</vt:i4>
      </vt:variant>
      <vt:variant>
        <vt:i4>0</vt:i4>
      </vt:variant>
      <vt:variant>
        <vt:i4>5</vt:i4>
      </vt:variant>
      <vt:variant>
        <vt:lpwstr/>
      </vt:variant>
      <vt:variant>
        <vt:lpwstr>_4._Setting_up</vt:lpwstr>
      </vt:variant>
      <vt:variant>
        <vt:i4>3014666</vt:i4>
      </vt:variant>
      <vt:variant>
        <vt:i4>534</vt:i4>
      </vt:variant>
      <vt:variant>
        <vt:i4>0</vt:i4>
      </vt:variant>
      <vt:variant>
        <vt:i4>5</vt:i4>
      </vt:variant>
      <vt:variant>
        <vt:lpwstr/>
      </vt:variant>
      <vt:variant>
        <vt:lpwstr>_2._Getting_started</vt:lpwstr>
      </vt:variant>
      <vt:variant>
        <vt:i4>8192114</vt:i4>
      </vt:variant>
      <vt:variant>
        <vt:i4>531</vt:i4>
      </vt:variant>
      <vt:variant>
        <vt:i4>0</vt:i4>
      </vt:variant>
      <vt:variant>
        <vt:i4>5</vt:i4>
      </vt:variant>
      <vt:variant>
        <vt:lpwstr/>
      </vt:variant>
      <vt:variant>
        <vt:lpwstr>Reportingperiod</vt:lpwstr>
      </vt:variant>
      <vt:variant>
        <vt:i4>6815847</vt:i4>
      </vt:variant>
      <vt:variant>
        <vt:i4>528</vt:i4>
      </vt:variant>
      <vt:variant>
        <vt:i4>0</vt:i4>
      </vt:variant>
      <vt:variant>
        <vt:i4>5</vt:i4>
      </vt:variant>
      <vt:variant>
        <vt:lpwstr/>
      </vt:variant>
      <vt:variant>
        <vt:lpwstr>Underlyingagreement</vt:lpwstr>
      </vt:variant>
      <vt:variant>
        <vt:i4>6422651</vt:i4>
      </vt:variant>
      <vt:variant>
        <vt:i4>525</vt:i4>
      </vt:variant>
      <vt:variant>
        <vt:i4>0</vt:i4>
      </vt:variant>
      <vt:variant>
        <vt:i4>5</vt:i4>
      </vt:variant>
      <vt:variant>
        <vt:lpwstr/>
      </vt:variant>
      <vt:variant>
        <vt:lpwstr>Certificationperiod</vt:lpwstr>
      </vt:variant>
      <vt:variant>
        <vt:i4>1703950</vt:i4>
      </vt:variant>
      <vt:variant>
        <vt:i4>522</vt:i4>
      </vt:variant>
      <vt:variant>
        <vt:i4>0</vt:i4>
      </vt:variant>
      <vt:variant>
        <vt:i4>5</vt:i4>
      </vt:variant>
      <vt:variant>
        <vt:lpwstr/>
      </vt:variant>
      <vt:variant>
        <vt:lpwstr>Targetperiod</vt:lpwstr>
      </vt:variant>
      <vt:variant>
        <vt:i4>851974</vt:i4>
      </vt:variant>
      <vt:variant>
        <vt:i4>519</vt:i4>
      </vt:variant>
      <vt:variant>
        <vt:i4>0</vt:i4>
      </vt:variant>
      <vt:variant>
        <vt:i4>5</vt:i4>
      </vt:variant>
      <vt:variant>
        <vt:lpwstr/>
      </vt:variant>
      <vt:variant>
        <vt:lpwstr>Sectorassociation</vt:lpwstr>
      </vt:variant>
      <vt:variant>
        <vt:i4>6488163</vt:i4>
      </vt:variant>
      <vt:variant>
        <vt:i4>516</vt:i4>
      </vt:variant>
      <vt:variant>
        <vt:i4>0</vt:i4>
      </vt:variant>
      <vt:variant>
        <vt:i4>5</vt:i4>
      </vt:variant>
      <vt:variant>
        <vt:lpwstr/>
      </vt:variant>
      <vt:variant>
        <vt:lpwstr>CCL</vt:lpwstr>
      </vt:variant>
      <vt:variant>
        <vt:i4>1048624</vt:i4>
      </vt:variant>
      <vt:variant>
        <vt:i4>509</vt:i4>
      </vt:variant>
      <vt:variant>
        <vt:i4>0</vt:i4>
      </vt:variant>
      <vt:variant>
        <vt:i4>5</vt:i4>
      </vt:variant>
      <vt:variant>
        <vt:lpwstr/>
      </vt:variant>
      <vt:variant>
        <vt:lpwstr>_Toc242352520</vt:lpwstr>
      </vt:variant>
      <vt:variant>
        <vt:i4>1245232</vt:i4>
      </vt:variant>
      <vt:variant>
        <vt:i4>503</vt:i4>
      </vt:variant>
      <vt:variant>
        <vt:i4>0</vt:i4>
      </vt:variant>
      <vt:variant>
        <vt:i4>5</vt:i4>
      </vt:variant>
      <vt:variant>
        <vt:lpwstr/>
      </vt:variant>
      <vt:variant>
        <vt:lpwstr>_Toc242352519</vt:lpwstr>
      </vt:variant>
      <vt:variant>
        <vt:i4>1245232</vt:i4>
      </vt:variant>
      <vt:variant>
        <vt:i4>497</vt:i4>
      </vt:variant>
      <vt:variant>
        <vt:i4>0</vt:i4>
      </vt:variant>
      <vt:variant>
        <vt:i4>5</vt:i4>
      </vt:variant>
      <vt:variant>
        <vt:lpwstr/>
      </vt:variant>
      <vt:variant>
        <vt:lpwstr>_Toc242352518</vt:lpwstr>
      </vt:variant>
      <vt:variant>
        <vt:i4>1245232</vt:i4>
      </vt:variant>
      <vt:variant>
        <vt:i4>491</vt:i4>
      </vt:variant>
      <vt:variant>
        <vt:i4>0</vt:i4>
      </vt:variant>
      <vt:variant>
        <vt:i4>5</vt:i4>
      </vt:variant>
      <vt:variant>
        <vt:lpwstr/>
      </vt:variant>
      <vt:variant>
        <vt:lpwstr>_Toc242352517</vt:lpwstr>
      </vt:variant>
      <vt:variant>
        <vt:i4>1245232</vt:i4>
      </vt:variant>
      <vt:variant>
        <vt:i4>485</vt:i4>
      </vt:variant>
      <vt:variant>
        <vt:i4>0</vt:i4>
      </vt:variant>
      <vt:variant>
        <vt:i4>5</vt:i4>
      </vt:variant>
      <vt:variant>
        <vt:lpwstr/>
      </vt:variant>
      <vt:variant>
        <vt:lpwstr>_Toc242352516</vt:lpwstr>
      </vt:variant>
      <vt:variant>
        <vt:i4>1245232</vt:i4>
      </vt:variant>
      <vt:variant>
        <vt:i4>479</vt:i4>
      </vt:variant>
      <vt:variant>
        <vt:i4>0</vt:i4>
      </vt:variant>
      <vt:variant>
        <vt:i4>5</vt:i4>
      </vt:variant>
      <vt:variant>
        <vt:lpwstr/>
      </vt:variant>
      <vt:variant>
        <vt:lpwstr>_Toc242352515</vt:lpwstr>
      </vt:variant>
      <vt:variant>
        <vt:i4>1245232</vt:i4>
      </vt:variant>
      <vt:variant>
        <vt:i4>473</vt:i4>
      </vt:variant>
      <vt:variant>
        <vt:i4>0</vt:i4>
      </vt:variant>
      <vt:variant>
        <vt:i4>5</vt:i4>
      </vt:variant>
      <vt:variant>
        <vt:lpwstr/>
      </vt:variant>
      <vt:variant>
        <vt:lpwstr>_Toc242352514</vt:lpwstr>
      </vt:variant>
      <vt:variant>
        <vt:i4>1245232</vt:i4>
      </vt:variant>
      <vt:variant>
        <vt:i4>467</vt:i4>
      </vt:variant>
      <vt:variant>
        <vt:i4>0</vt:i4>
      </vt:variant>
      <vt:variant>
        <vt:i4>5</vt:i4>
      </vt:variant>
      <vt:variant>
        <vt:lpwstr/>
      </vt:variant>
      <vt:variant>
        <vt:lpwstr>_Toc242352513</vt:lpwstr>
      </vt:variant>
      <vt:variant>
        <vt:i4>1245232</vt:i4>
      </vt:variant>
      <vt:variant>
        <vt:i4>461</vt:i4>
      </vt:variant>
      <vt:variant>
        <vt:i4>0</vt:i4>
      </vt:variant>
      <vt:variant>
        <vt:i4>5</vt:i4>
      </vt:variant>
      <vt:variant>
        <vt:lpwstr/>
      </vt:variant>
      <vt:variant>
        <vt:lpwstr>_Toc242352512</vt:lpwstr>
      </vt:variant>
      <vt:variant>
        <vt:i4>1245232</vt:i4>
      </vt:variant>
      <vt:variant>
        <vt:i4>455</vt:i4>
      </vt:variant>
      <vt:variant>
        <vt:i4>0</vt:i4>
      </vt:variant>
      <vt:variant>
        <vt:i4>5</vt:i4>
      </vt:variant>
      <vt:variant>
        <vt:lpwstr/>
      </vt:variant>
      <vt:variant>
        <vt:lpwstr>_Toc242352511</vt:lpwstr>
      </vt:variant>
      <vt:variant>
        <vt:i4>1245232</vt:i4>
      </vt:variant>
      <vt:variant>
        <vt:i4>449</vt:i4>
      </vt:variant>
      <vt:variant>
        <vt:i4>0</vt:i4>
      </vt:variant>
      <vt:variant>
        <vt:i4>5</vt:i4>
      </vt:variant>
      <vt:variant>
        <vt:lpwstr/>
      </vt:variant>
      <vt:variant>
        <vt:lpwstr>_Toc242352510</vt:lpwstr>
      </vt:variant>
      <vt:variant>
        <vt:i4>1179696</vt:i4>
      </vt:variant>
      <vt:variant>
        <vt:i4>443</vt:i4>
      </vt:variant>
      <vt:variant>
        <vt:i4>0</vt:i4>
      </vt:variant>
      <vt:variant>
        <vt:i4>5</vt:i4>
      </vt:variant>
      <vt:variant>
        <vt:lpwstr/>
      </vt:variant>
      <vt:variant>
        <vt:lpwstr>_Toc242352509</vt:lpwstr>
      </vt:variant>
      <vt:variant>
        <vt:i4>1179696</vt:i4>
      </vt:variant>
      <vt:variant>
        <vt:i4>437</vt:i4>
      </vt:variant>
      <vt:variant>
        <vt:i4>0</vt:i4>
      </vt:variant>
      <vt:variant>
        <vt:i4>5</vt:i4>
      </vt:variant>
      <vt:variant>
        <vt:lpwstr/>
      </vt:variant>
      <vt:variant>
        <vt:lpwstr>_Toc242352508</vt:lpwstr>
      </vt:variant>
      <vt:variant>
        <vt:i4>1179696</vt:i4>
      </vt:variant>
      <vt:variant>
        <vt:i4>431</vt:i4>
      </vt:variant>
      <vt:variant>
        <vt:i4>0</vt:i4>
      </vt:variant>
      <vt:variant>
        <vt:i4>5</vt:i4>
      </vt:variant>
      <vt:variant>
        <vt:lpwstr/>
      </vt:variant>
      <vt:variant>
        <vt:lpwstr>_Toc242352507</vt:lpwstr>
      </vt:variant>
      <vt:variant>
        <vt:i4>1179696</vt:i4>
      </vt:variant>
      <vt:variant>
        <vt:i4>425</vt:i4>
      </vt:variant>
      <vt:variant>
        <vt:i4>0</vt:i4>
      </vt:variant>
      <vt:variant>
        <vt:i4>5</vt:i4>
      </vt:variant>
      <vt:variant>
        <vt:lpwstr/>
      </vt:variant>
      <vt:variant>
        <vt:lpwstr>_Toc242352506</vt:lpwstr>
      </vt:variant>
      <vt:variant>
        <vt:i4>1179696</vt:i4>
      </vt:variant>
      <vt:variant>
        <vt:i4>419</vt:i4>
      </vt:variant>
      <vt:variant>
        <vt:i4>0</vt:i4>
      </vt:variant>
      <vt:variant>
        <vt:i4>5</vt:i4>
      </vt:variant>
      <vt:variant>
        <vt:lpwstr/>
      </vt:variant>
      <vt:variant>
        <vt:lpwstr>_Toc242352505</vt:lpwstr>
      </vt:variant>
      <vt:variant>
        <vt:i4>1179696</vt:i4>
      </vt:variant>
      <vt:variant>
        <vt:i4>413</vt:i4>
      </vt:variant>
      <vt:variant>
        <vt:i4>0</vt:i4>
      </vt:variant>
      <vt:variant>
        <vt:i4>5</vt:i4>
      </vt:variant>
      <vt:variant>
        <vt:lpwstr/>
      </vt:variant>
      <vt:variant>
        <vt:lpwstr>_Toc242352504</vt:lpwstr>
      </vt:variant>
      <vt:variant>
        <vt:i4>1179696</vt:i4>
      </vt:variant>
      <vt:variant>
        <vt:i4>407</vt:i4>
      </vt:variant>
      <vt:variant>
        <vt:i4>0</vt:i4>
      </vt:variant>
      <vt:variant>
        <vt:i4>5</vt:i4>
      </vt:variant>
      <vt:variant>
        <vt:lpwstr/>
      </vt:variant>
      <vt:variant>
        <vt:lpwstr>_Toc242352503</vt:lpwstr>
      </vt:variant>
      <vt:variant>
        <vt:i4>1179696</vt:i4>
      </vt:variant>
      <vt:variant>
        <vt:i4>401</vt:i4>
      </vt:variant>
      <vt:variant>
        <vt:i4>0</vt:i4>
      </vt:variant>
      <vt:variant>
        <vt:i4>5</vt:i4>
      </vt:variant>
      <vt:variant>
        <vt:lpwstr/>
      </vt:variant>
      <vt:variant>
        <vt:lpwstr>_Toc242352502</vt:lpwstr>
      </vt:variant>
      <vt:variant>
        <vt:i4>1179696</vt:i4>
      </vt:variant>
      <vt:variant>
        <vt:i4>395</vt:i4>
      </vt:variant>
      <vt:variant>
        <vt:i4>0</vt:i4>
      </vt:variant>
      <vt:variant>
        <vt:i4>5</vt:i4>
      </vt:variant>
      <vt:variant>
        <vt:lpwstr/>
      </vt:variant>
      <vt:variant>
        <vt:lpwstr>_Toc242352501</vt:lpwstr>
      </vt:variant>
      <vt:variant>
        <vt:i4>1179696</vt:i4>
      </vt:variant>
      <vt:variant>
        <vt:i4>389</vt:i4>
      </vt:variant>
      <vt:variant>
        <vt:i4>0</vt:i4>
      </vt:variant>
      <vt:variant>
        <vt:i4>5</vt:i4>
      </vt:variant>
      <vt:variant>
        <vt:lpwstr/>
      </vt:variant>
      <vt:variant>
        <vt:lpwstr>_Toc242352500</vt:lpwstr>
      </vt:variant>
      <vt:variant>
        <vt:i4>1769521</vt:i4>
      </vt:variant>
      <vt:variant>
        <vt:i4>383</vt:i4>
      </vt:variant>
      <vt:variant>
        <vt:i4>0</vt:i4>
      </vt:variant>
      <vt:variant>
        <vt:i4>5</vt:i4>
      </vt:variant>
      <vt:variant>
        <vt:lpwstr/>
      </vt:variant>
      <vt:variant>
        <vt:lpwstr>_Toc242352499</vt:lpwstr>
      </vt:variant>
      <vt:variant>
        <vt:i4>1769521</vt:i4>
      </vt:variant>
      <vt:variant>
        <vt:i4>377</vt:i4>
      </vt:variant>
      <vt:variant>
        <vt:i4>0</vt:i4>
      </vt:variant>
      <vt:variant>
        <vt:i4>5</vt:i4>
      </vt:variant>
      <vt:variant>
        <vt:lpwstr/>
      </vt:variant>
      <vt:variant>
        <vt:lpwstr>_Toc242352498</vt:lpwstr>
      </vt:variant>
      <vt:variant>
        <vt:i4>1769521</vt:i4>
      </vt:variant>
      <vt:variant>
        <vt:i4>371</vt:i4>
      </vt:variant>
      <vt:variant>
        <vt:i4>0</vt:i4>
      </vt:variant>
      <vt:variant>
        <vt:i4>5</vt:i4>
      </vt:variant>
      <vt:variant>
        <vt:lpwstr/>
      </vt:variant>
      <vt:variant>
        <vt:lpwstr>_Toc242352497</vt:lpwstr>
      </vt:variant>
      <vt:variant>
        <vt:i4>1769521</vt:i4>
      </vt:variant>
      <vt:variant>
        <vt:i4>365</vt:i4>
      </vt:variant>
      <vt:variant>
        <vt:i4>0</vt:i4>
      </vt:variant>
      <vt:variant>
        <vt:i4>5</vt:i4>
      </vt:variant>
      <vt:variant>
        <vt:lpwstr/>
      </vt:variant>
      <vt:variant>
        <vt:lpwstr>_Toc242352496</vt:lpwstr>
      </vt:variant>
      <vt:variant>
        <vt:i4>1769521</vt:i4>
      </vt:variant>
      <vt:variant>
        <vt:i4>359</vt:i4>
      </vt:variant>
      <vt:variant>
        <vt:i4>0</vt:i4>
      </vt:variant>
      <vt:variant>
        <vt:i4>5</vt:i4>
      </vt:variant>
      <vt:variant>
        <vt:lpwstr/>
      </vt:variant>
      <vt:variant>
        <vt:lpwstr>_Toc242352495</vt:lpwstr>
      </vt:variant>
      <vt:variant>
        <vt:i4>1769521</vt:i4>
      </vt:variant>
      <vt:variant>
        <vt:i4>353</vt:i4>
      </vt:variant>
      <vt:variant>
        <vt:i4>0</vt:i4>
      </vt:variant>
      <vt:variant>
        <vt:i4>5</vt:i4>
      </vt:variant>
      <vt:variant>
        <vt:lpwstr/>
      </vt:variant>
      <vt:variant>
        <vt:lpwstr>_Toc242352494</vt:lpwstr>
      </vt:variant>
      <vt:variant>
        <vt:i4>1769521</vt:i4>
      </vt:variant>
      <vt:variant>
        <vt:i4>347</vt:i4>
      </vt:variant>
      <vt:variant>
        <vt:i4>0</vt:i4>
      </vt:variant>
      <vt:variant>
        <vt:i4>5</vt:i4>
      </vt:variant>
      <vt:variant>
        <vt:lpwstr/>
      </vt:variant>
      <vt:variant>
        <vt:lpwstr>_Toc242352493</vt:lpwstr>
      </vt:variant>
      <vt:variant>
        <vt:i4>1769521</vt:i4>
      </vt:variant>
      <vt:variant>
        <vt:i4>341</vt:i4>
      </vt:variant>
      <vt:variant>
        <vt:i4>0</vt:i4>
      </vt:variant>
      <vt:variant>
        <vt:i4>5</vt:i4>
      </vt:variant>
      <vt:variant>
        <vt:lpwstr/>
      </vt:variant>
      <vt:variant>
        <vt:lpwstr>_Toc242352492</vt:lpwstr>
      </vt:variant>
      <vt:variant>
        <vt:i4>1769521</vt:i4>
      </vt:variant>
      <vt:variant>
        <vt:i4>335</vt:i4>
      </vt:variant>
      <vt:variant>
        <vt:i4>0</vt:i4>
      </vt:variant>
      <vt:variant>
        <vt:i4>5</vt:i4>
      </vt:variant>
      <vt:variant>
        <vt:lpwstr/>
      </vt:variant>
      <vt:variant>
        <vt:lpwstr>_Toc242352491</vt:lpwstr>
      </vt:variant>
      <vt:variant>
        <vt:i4>1769521</vt:i4>
      </vt:variant>
      <vt:variant>
        <vt:i4>329</vt:i4>
      </vt:variant>
      <vt:variant>
        <vt:i4>0</vt:i4>
      </vt:variant>
      <vt:variant>
        <vt:i4>5</vt:i4>
      </vt:variant>
      <vt:variant>
        <vt:lpwstr/>
      </vt:variant>
      <vt:variant>
        <vt:lpwstr>_Toc242352490</vt:lpwstr>
      </vt:variant>
      <vt:variant>
        <vt:i4>1703985</vt:i4>
      </vt:variant>
      <vt:variant>
        <vt:i4>323</vt:i4>
      </vt:variant>
      <vt:variant>
        <vt:i4>0</vt:i4>
      </vt:variant>
      <vt:variant>
        <vt:i4>5</vt:i4>
      </vt:variant>
      <vt:variant>
        <vt:lpwstr/>
      </vt:variant>
      <vt:variant>
        <vt:lpwstr>_Toc242352489</vt:lpwstr>
      </vt:variant>
      <vt:variant>
        <vt:i4>1703985</vt:i4>
      </vt:variant>
      <vt:variant>
        <vt:i4>317</vt:i4>
      </vt:variant>
      <vt:variant>
        <vt:i4>0</vt:i4>
      </vt:variant>
      <vt:variant>
        <vt:i4>5</vt:i4>
      </vt:variant>
      <vt:variant>
        <vt:lpwstr/>
      </vt:variant>
      <vt:variant>
        <vt:lpwstr>_Toc242352488</vt:lpwstr>
      </vt:variant>
      <vt:variant>
        <vt:i4>1703985</vt:i4>
      </vt:variant>
      <vt:variant>
        <vt:i4>311</vt:i4>
      </vt:variant>
      <vt:variant>
        <vt:i4>0</vt:i4>
      </vt:variant>
      <vt:variant>
        <vt:i4>5</vt:i4>
      </vt:variant>
      <vt:variant>
        <vt:lpwstr/>
      </vt:variant>
      <vt:variant>
        <vt:lpwstr>_Toc242352487</vt:lpwstr>
      </vt:variant>
      <vt:variant>
        <vt:i4>1703985</vt:i4>
      </vt:variant>
      <vt:variant>
        <vt:i4>305</vt:i4>
      </vt:variant>
      <vt:variant>
        <vt:i4>0</vt:i4>
      </vt:variant>
      <vt:variant>
        <vt:i4>5</vt:i4>
      </vt:variant>
      <vt:variant>
        <vt:lpwstr/>
      </vt:variant>
      <vt:variant>
        <vt:lpwstr>_Toc242352486</vt:lpwstr>
      </vt:variant>
      <vt:variant>
        <vt:i4>1703985</vt:i4>
      </vt:variant>
      <vt:variant>
        <vt:i4>299</vt:i4>
      </vt:variant>
      <vt:variant>
        <vt:i4>0</vt:i4>
      </vt:variant>
      <vt:variant>
        <vt:i4>5</vt:i4>
      </vt:variant>
      <vt:variant>
        <vt:lpwstr/>
      </vt:variant>
      <vt:variant>
        <vt:lpwstr>_Toc242352485</vt:lpwstr>
      </vt:variant>
      <vt:variant>
        <vt:i4>1703985</vt:i4>
      </vt:variant>
      <vt:variant>
        <vt:i4>293</vt:i4>
      </vt:variant>
      <vt:variant>
        <vt:i4>0</vt:i4>
      </vt:variant>
      <vt:variant>
        <vt:i4>5</vt:i4>
      </vt:variant>
      <vt:variant>
        <vt:lpwstr/>
      </vt:variant>
      <vt:variant>
        <vt:lpwstr>_Toc242352484</vt:lpwstr>
      </vt:variant>
      <vt:variant>
        <vt:i4>1703985</vt:i4>
      </vt:variant>
      <vt:variant>
        <vt:i4>287</vt:i4>
      </vt:variant>
      <vt:variant>
        <vt:i4>0</vt:i4>
      </vt:variant>
      <vt:variant>
        <vt:i4>5</vt:i4>
      </vt:variant>
      <vt:variant>
        <vt:lpwstr/>
      </vt:variant>
      <vt:variant>
        <vt:lpwstr>_Toc242352483</vt:lpwstr>
      </vt:variant>
      <vt:variant>
        <vt:i4>1703985</vt:i4>
      </vt:variant>
      <vt:variant>
        <vt:i4>281</vt:i4>
      </vt:variant>
      <vt:variant>
        <vt:i4>0</vt:i4>
      </vt:variant>
      <vt:variant>
        <vt:i4>5</vt:i4>
      </vt:variant>
      <vt:variant>
        <vt:lpwstr/>
      </vt:variant>
      <vt:variant>
        <vt:lpwstr>_Toc242352482</vt:lpwstr>
      </vt:variant>
      <vt:variant>
        <vt:i4>1703985</vt:i4>
      </vt:variant>
      <vt:variant>
        <vt:i4>275</vt:i4>
      </vt:variant>
      <vt:variant>
        <vt:i4>0</vt:i4>
      </vt:variant>
      <vt:variant>
        <vt:i4>5</vt:i4>
      </vt:variant>
      <vt:variant>
        <vt:lpwstr/>
      </vt:variant>
      <vt:variant>
        <vt:lpwstr>_Toc242352481</vt:lpwstr>
      </vt:variant>
      <vt:variant>
        <vt:i4>1703985</vt:i4>
      </vt:variant>
      <vt:variant>
        <vt:i4>269</vt:i4>
      </vt:variant>
      <vt:variant>
        <vt:i4>0</vt:i4>
      </vt:variant>
      <vt:variant>
        <vt:i4>5</vt:i4>
      </vt:variant>
      <vt:variant>
        <vt:lpwstr/>
      </vt:variant>
      <vt:variant>
        <vt:lpwstr>_Toc242352480</vt:lpwstr>
      </vt:variant>
      <vt:variant>
        <vt:i4>1376305</vt:i4>
      </vt:variant>
      <vt:variant>
        <vt:i4>263</vt:i4>
      </vt:variant>
      <vt:variant>
        <vt:i4>0</vt:i4>
      </vt:variant>
      <vt:variant>
        <vt:i4>5</vt:i4>
      </vt:variant>
      <vt:variant>
        <vt:lpwstr/>
      </vt:variant>
      <vt:variant>
        <vt:lpwstr>_Toc242352479</vt:lpwstr>
      </vt:variant>
      <vt:variant>
        <vt:i4>1376305</vt:i4>
      </vt:variant>
      <vt:variant>
        <vt:i4>257</vt:i4>
      </vt:variant>
      <vt:variant>
        <vt:i4>0</vt:i4>
      </vt:variant>
      <vt:variant>
        <vt:i4>5</vt:i4>
      </vt:variant>
      <vt:variant>
        <vt:lpwstr/>
      </vt:variant>
      <vt:variant>
        <vt:lpwstr>_Toc242352478</vt:lpwstr>
      </vt:variant>
      <vt:variant>
        <vt:i4>1376305</vt:i4>
      </vt:variant>
      <vt:variant>
        <vt:i4>251</vt:i4>
      </vt:variant>
      <vt:variant>
        <vt:i4>0</vt:i4>
      </vt:variant>
      <vt:variant>
        <vt:i4>5</vt:i4>
      </vt:variant>
      <vt:variant>
        <vt:lpwstr/>
      </vt:variant>
      <vt:variant>
        <vt:lpwstr>_Toc242352477</vt:lpwstr>
      </vt:variant>
      <vt:variant>
        <vt:i4>1376305</vt:i4>
      </vt:variant>
      <vt:variant>
        <vt:i4>245</vt:i4>
      </vt:variant>
      <vt:variant>
        <vt:i4>0</vt:i4>
      </vt:variant>
      <vt:variant>
        <vt:i4>5</vt:i4>
      </vt:variant>
      <vt:variant>
        <vt:lpwstr/>
      </vt:variant>
      <vt:variant>
        <vt:lpwstr>_Toc242352476</vt:lpwstr>
      </vt:variant>
      <vt:variant>
        <vt:i4>1376305</vt:i4>
      </vt:variant>
      <vt:variant>
        <vt:i4>239</vt:i4>
      </vt:variant>
      <vt:variant>
        <vt:i4>0</vt:i4>
      </vt:variant>
      <vt:variant>
        <vt:i4>5</vt:i4>
      </vt:variant>
      <vt:variant>
        <vt:lpwstr/>
      </vt:variant>
      <vt:variant>
        <vt:lpwstr>_Toc242352475</vt:lpwstr>
      </vt:variant>
      <vt:variant>
        <vt:i4>1376305</vt:i4>
      </vt:variant>
      <vt:variant>
        <vt:i4>233</vt:i4>
      </vt:variant>
      <vt:variant>
        <vt:i4>0</vt:i4>
      </vt:variant>
      <vt:variant>
        <vt:i4>5</vt:i4>
      </vt:variant>
      <vt:variant>
        <vt:lpwstr/>
      </vt:variant>
      <vt:variant>
        <vt:lpwstr>_Toc242352474</vt:lpwstr>
      </vt:variant>
      <vt:variant>
        <vt:i4>1376305</vt:i4>
      </vt:variant>
      <vt:variant>
        <vt:i4>227</vt:i4>
      </vt:variant>
      <vt:variant>
        <vt:i4>0</vt:i4>
      </vt:variant>
      <vt:variant>
        <vt:i4>5</vt:i4>
      </vt:variant>
      <vt:variant>
        <vt:lpwstr/>
      </vt:variant>
      <vt:variant>
        <vt:lpwstr>_Toc242352473</vt:lpwstr>
      </vt:variant>
      <vt:variant>
        <vt:i4>1376305</vt:i4>
      </vt:variant>
      <vt:variant>
        <vt:i4>221</vt:i4>
      </vt:variant>
      <vt:variant>
        <vt:i4>0</vt:i4>
      </vt:variant>
      <vt:variant>
        <vt:i4>5</vt:i4>
      </vt:variant>
      <vt:variant>
        <vt:lpwstr/>
      </vt:variant>
      <vt:variant>
        <vt:lpwstr>_Toc242352472</vt:lpwstr>
      </vt:variant>
      <vt:variant>
        <vt:i4>1376305</vt:i4>
      </vt:variant>
      <vt:variant>
        <vt:i4>215</vt:i4>
      </vt:variant>
      <vt:variant>
        <vt:i4>0</vt:i4>
      </vt:variant>
      <vt:variant>
        <vt:i4>5</vt:i4>
      </vt:variant>
      <vt:variant>
        <vt:lpwstr/>
      </vt:variant>
      <vt:variant>
        <vt:lpwstr>_Toc242352471</vt:lpwstr>
      </vt:variant>
      <vt:variant>
        <vt:i4>1376305</vt:i4>
      </vt:variant>
      <vt:variant>
        <vt:i4>209</vt:i4>
      </vt:variant>
      <vt:variant>
        <vt:i4>0</vt:i4>
      </vt:variant>
      <vt:variant>
        <vt:i4>5</vt:i4>
      </vt:variant>
      <vt:variant>
        <vt:lpwstr/>
      </vt:variant>
      <vt:variant>
        <vt:lpwstr>_Toc242352470</vt:lpwstr>
      </vt:variant>
      <vt:variant>
        <vt:i4>1310769</vt:i4>
      </vt:variant>
      <vt:variant>
        <vt:i4>203</vt:i4>
      </vt:variant>
      <vt:variant>
        <vt:i4>0</vt:i4>
      </vt:variant>
      <vt:variant>
        <vt:i4>5</vt:i4>
      </vt:variant>
      <vt:variant>
        <vt:lpwstr/>
      </vt:variant>
      <vt:variant>
        <vt:lpwstr>_Toc242352469</vt:lpwstr>
      </vt:variant>
      <vt:variant>
        <vt:i4>1310769</vt:i4>
      </vt:variant>
      <vt:variant>
        <vt:i4>197</vt:i4>
      </vt:variant>
      <vt:variant>
        <vt:i4>0</vt:i4>
      </vt:variant>
      <vt:variant>
        <vt:i4>5</vt:i4>
      </vt:variant>
      <vt:variant>
        <vt:lpwstr/>
      </vt:variant>
      <vt:variant>
        <vt:lpwstr>_Toc242352468</vt:lpwstr>
      </vt:variant>
      <vt:variant>
        <vt:i4>1310769</vt:i4>
      </vt:variant>
      <vt:variant>
        <vt:i4>191</vt:i4>
      </vt:variant>
      <vt:variant>
        <vt:i4>0</vt:i4>
      </vt:variant>
      <vt:variant>
        <vt:i4>5</vt:i4>
      </vt:variant>
      <vt:variant>
        <vt:lpwstr/>
      </vt:variant>
      <vt:variant>
        <vt:lpwstr>_Toc242352467</vt:lpwstr>
      </vt:variant>
      <vt:variant>
        <vt:i4>1310769</vt:i4>
      </vt:variant>
      <vt:variant>
        <vt:i4>185</vt:i4>
      </vt:variant>
      <vt:variant>
        <vt:i4>0</vt:i4>
      </vt:variant>
      <vt:variant>
        <vt:i4>5</vt:i4>
      </vt:variant>
      <vt:variant>
        <vt:lpwstr/>
      </vt:variant>
      <vt:variant>
        <vt:lpwstr>_Toc242352466</vt:lpwstr>
      </vt:variant>
      <vt:variant>
        <vt:i4>1310769</vt:i4>
      </vt:variant>
      <vt:variant>
        <vt:i4>179</vt:i4>
      </vt:variant>
      <vt:variant>
        <vt:i4>0</vt:i4>
      </vt:variant>
      <vt:variant>
        <vt:i4>5</vt:i4>
      </vt:variant>
      <vt:variant>
        <vt:lpwstr/>
      </vt:variant>
      <vt:variant>
        <vt:lpwstr>_Toc242352465</vt:lpwstr>
      </vt:variant>
      <vt:variant>
        <vt:i4>1310769</vt:i4>
      </vt:variant>
      <vt:variant>
        <vt:i4>173</vt:i4>
      </vt:variant>
      <vt:variant>
        <vt:i4>0</vt:i4>
      </vt:variant>
      <vt:variant>
        <vt:i4>5</vt:i4>
      </vt:variant>
      <vt:variant>
        <vt:lpwstr/>
      </vt:variant>
      <vt:variant>
        <vt:lpwstr>_Toc242352464</vt:lpwstr>
      </vt:variant>
      <vt:variant>
        <vt:i4>1310769</vt:i4>
      </vt:variant>
      <vt:variant>
        <vt:i4>167</vt:i4>
      </vt:variant>
      <vt:variant>
        <vt:i4>0</vt:i4>
      </vt:variant>
      <vt:variant>
        <vt:i4>5</vt:i4>
      </vt:variant>
      <vt:variant>
        <vt:lpwstr/>
      </vt:variant>
      <vt:variant>
        <vt:lpwstr>_Toc242352463</vt:lpwstr>
      </vt:variant>
      <vt:variant>
        <vt:i4>1310769</vt:i4>
      </vt:variant>
      <vt:variant>
        <vt:i4>161</vt:i4>
      </vt:variant>
      <vt:variant>
        <vt:i4>0</vt:i4>
      </vt:variant>
      <vt:variant>
        <vt:i4>5</vt:i4>
      </vt:variant>
      <vt:variant>
        <vt:lpwstr/>
      </vt:variant>
      <vt:variant>
        <vt:lpwstr>_Toc242352462</vt:lpwstr>
      </vt:variant>
      <vt:variant>
        <vt:i4>1310769</vt:i4>
      </vt:variant>
      <vt:variant>
        <vt:i4>155</vt:i4>
      </vt:variant>
      <vt:variant>
        <vt:i4>0</vt:i4>
      </vt:variant>
      <vt:variant>
        <vt:i4>5</vt:i4>
      </vt:variant>
      <vt:variant>
        <vt:lpwstr/>
      </vt:variant>
      <vt:variant>
        <vt:lpwstr>_Toc242352461</vt:lpwstr>
      </vt:variant>
      <vt:variant>
        <vt:i4>1310769</vt:i4>
      </vt:variant>
      <vt:variant>
        <vt:i4>149</vt:i4>
      </vt:variant>
      <vt:variant>
        <vt:i4>0</vt:i4>
      </vt:variant>
      <vt:variant>
        <vt:i4>5</vt:i4>
      </vt:variant>
      <vt:variant>
        <vt:lpwstr/>
      </vt:variant>
      <vt:variant>
        <vt:lpwstr>_Toc242352460</vt:lpwstr>
      </vt:variant>
      <vt:variant>
        <vt:i4>1507377</vt:i4>
      </vt:variant>
      <vt:variant>
        <vt:i4>143</vt:i4>
      </vt:variant>
      <vt:variant>
        <vt:i4>0</vt:i4>
      </vt:variant>
      <vt:variant>
        <vt:i4>5</vt:i4>
      </vt:variant>
      <vt:variant>
        <vt:lpwstr/>
      </vt:variant>
      <vt:variant>
        <vt:lpwstr>_Toc242352459</vt:lpwstr>
      </vt:variant>
      <vt:variant>
        <vt:i4>1507377</vt:i4>
      </vt:variant>
      <vt:variant>
        <vt:i4>137</vt:i4>
      </vt:variant>
      <vt:variant>
        <vt:i4>0</vt:i4>
      </vt:variant>
      <vt:variant>
        <vt:i4>5</vt:i4>
      </vt:variant>
      <vt:variant>
        <vt:lpwstr/>
      </vt:variant>
      <vt:variant>
        <vt:lpwstr>_Toc242352458</vt:lpwstr>
      </vt:variant>
      <vt:variant>
        <vt:i4>1507377</vt:i4>
      </vt:variant>
      <vt:variant>
        <vt:i4>131</vt:i4>
      </vt:variant>
      <vt:variant>
        <vt:i4>0</vt:i4>
      </vt:variant>
      <vt:variant>
        <vt:i4>5</vt:i4>
      </vt:variant>
      <vt:variant>
        <vt:lpwstr/>
      </vt:variant>
      <vt:variant>
        <vt:lpwstr>_Toc242352457</vt:lpwstr>
      </vt:variant>
      <vt:variant>
        <vt:i4>1507377</vt:i4>
      </vt:variant>
      <vt:variant>
        <vt:i4>125</vt:i4>
      </vt:variant>
      <vt:variant>
        <vt:i4>0</vt:i4>
      </vt:variant>
      <vt:variant>
        <vt:i4>5</vt:i4>
      </vt:variant>
      <vt:variant>
        <vt:lpwstr/>
      </vt:variant>
      <vt:variant>
        <vt:lpwstr>_Toc242352456</vt:lpwstr>
      </vt:variant>
      <vt:variant>
        <vt:i4>1507377</vt:i4>
      </vt:variant>
      <vt:variant>
        <vt:i4>119</vt:i4>
      </vt:variant>
      <vt:variant>
        <vt:i4>0</vt:i4>
      </vt:variant>
      <vt:variant>
        <vt:i4>5</vt:i4>
      </vt:variant>
      <vt:variant>
        <vt:lpwstr/>
      </vt:variant>
      <vt:variant>
        <vt:lpwstr>_Toc242352455</vt:lpwstr>
      </vt:variant>
      <vt:variant>
        <vt:i4>1507377</vt:i4>
      </vt:variant>
      <vt:variant>
        <vt:i4>113</vt:i4>
      </vt:variant>
      <vt:variant>
        <vt:i4>0</vt:i4>
      </vt:variant>
      <vt:variant>
        <vt:i4>5</vt:i4>
      </vt:variant>
      <vt:variant>
        <vt:lpwstr/>
      </vt:variant>
      <vt:variant>
        <vt:lpwstr>_Toc242352454</vt:lpwstr>
      </vt:variant>
      <vt:variant>
        <vt:i4>1507377</vt:i4>
      </vt:variant>
      <vt:variant>
        <vt:i4>107</vt:i4>
      </vt:variant>
      <vt:variant>
        <vt:i4>0</vt:i4>
      </vt:variant>
      <vt:variant>
        <vt:i4>5</vt:i4>
      </vt:variant>
      <vt:variant>
        <vt:lpwstr/>
      </vt:variant>
      <vt:variant>
        <vt:lpwstr>_Toc242352453</vt:lpwstr>
      </vt:variant>
      <vt:variant>
        <vt:i4>1507377</vt:i4>
      </vt:variant>
      <vt:variant>
        <vt:i4>101</vt:i4>
      </vt:variant>
      <vt:variant>
        <vt:i4>0</vt:i4>
      </vt:variant>
      <vt:variant>
        <vt:i4>5</vt:i4>
      </vt:variant>
      <vt:variant>
        <vt:lpwstr/>
      </vt:variant>
      <vt:variant>
        <vt:lpwstr>_Toc242352452</vt:lpwstr>
      </vt:variant>
      <vt:variant>
        <vt:i4>1507377</vt:i4>
      </vt:variant>
      <vt:variant>
        <vt:i4>95</vt:i4>
      </vt:variant>
      <vt:variant>
        <vt:i4>0</vt:i4>
      </vt:variant>
      <vt:variant>
        <vt:i4>5</vt:i4>
      </vt:variant>
      <vt:variant>
        <vt:lpwstr/>
      </vt:variant>
      <vt:variant>
        <vt:lpwstr>_Toc242352451</vt:lpwstr>
      </vt:variant>
      <vt:variant>
        <vt:i4>1507377</vt:i4>
      </vt:variant>
      <vt:variant>
        <vt:i4>89</vt:i4>
      </vt:variant>
      <vt:variant>
        <vt:i4>0</vt:i4>
      </vt:variant>
      <vt:variant>
        <vt:i4>5</vt:i4>
      </vt:variant>
      <vt:variant>
        <vt:lpwstr/>
      </vt:variant>
      <vt:variant>
        <vt:lpwstr>_Toc242352450</vt:lpwstr>
      </vt:variant>
      <vt:variant>
        <vt:i4>1441841</vt:i4>
      </vt:variant>
      <vt:variant>
        <vt:i4>83</vt:i4>
      </vt:variant>
      <vt:variant>
        <vt:i4>0</vt:i4>
      </vt:variant>
      <vt:variant>
        <vt:i4>5</vt:i4>
      </vt:variant>
      <vt:variant>
        <vt:lpwstr/>
      </vt:variant>
      <vt:variant>
        <vt:lpwstr>_Toc242352449</vt:lpwstr>
      </vt:variant>
      <vt:variant>
        <vt:i4>1441841</vt:i4>
      </vt:variant>
      <vt:variant>
        <vt:i4>77</vt:i4>
      </vt:variant>
      <vt:variant>
        <vt:i4>0</vt:i4>
      </vt:variant>
      <vt:variant>
        <vt:i4>5</vt:i4>
      </vt:variant>
      <vt:variant>
        <vt:lpwstr/>
      </vt:variant>
      <vt:variant>
        <vt:lpwstr>_Toc242352448</vt:lpwstr>
      </vt:variant>
      <vt:variant>
        <vt:i4>1441841</vt:i4>
      </vt:variant>
      <vt:variant>
        <vt:i4>71</vt:i4>
      </vt:variant>
      <vt:variant>
        <vt:i4>0</vt:i4>
      </vt:variant>
      <vt:variant>
        <vt:i4>5</vt:i4>
      </vt:variant>
      <vt:variant>
        <vt:lpwstr/>
      </vt:variant>
      <vt:variant>
        <vt:lpwstr>_Toc242352447</vt:lpwstr>
      </vt:variant>
      <vt:variant>
        <vt:i4>1441841</vt:i4>
      </vt:variant>
      <vt:variant>
        <vt:i4>65</vt:i4>
      </vt:variant>
      <vt:variant>
        <vt:i4>0</vt:i4>
      </vt:variant>
      <vt:variant>
        <vt:i4>5</vt:i4>
      </vt:variant>
      <vt:variant>
        <vt:lpwstr/>
      </vt:variant>
      <vt:variant>
        <vt:lpwstr>_Toc242352446</vt:lpwstr>
      </vt:variant>
      <vt:variant>
        <vt:i4>1441841</vt:i4>
      </vt:variant>
      <vt:variant>
        <vt:i4>59</vt:i4>
      </vt:variant>
      <vt:variant>
        <vt:i4>0</vt:i4>
      </vt:variant>
      <vt:variant>
        <vt:i4>5</vt:i4>
      </vt:variant>
      <vt:variant>
        <vt:lpwstr/>
      </vt:variant>
      <vt:variant>
        <vt:lpwstr>_Toc242352445</vt:lpwstr>
      </vt:variant>
      <vt:variant>
        <vt:i4>1441841</vt:i4>
      </vt:variant>
      <vt:variant>
        <vt:i4>53</vt:i4>
      </vt:variant>
      <vt:variant>
        <vt:i4>0</vt:i4>
      </vt:variant>
      <vt:variant>
        <vt:i4>5</vt:i4>
      </vt:variant>
      <vt:variant>
        <vt:lpwstr/>
      </vt:variant>
      <vt:variant>
        <vt:lpwstr>_Toc242352444</vt:lpwstr>
      </vt:variant>
      <vt:variant>
        <vt:i4>1441841</vt:i4>
      </vt:variant>
      <vt:variant>
        <vt:i4>47</vt:i4>
      </vt:variant>
      <vt:variant>
        <vt:i4>0</vt:i4>
      </vt:variant>
      <vt:variant>
        <vt:i4>5</vt:i4>
      </vt:variant>
      <vt:variant>
        <vt:lpwstr/>
      </vt:variant>
      <vt:variant>
        <vt:lpwstr>_Toc242352443</vt:lpwstr>
      </vt:variant>
      <vt:variant>
        <vt:i4>1441841</vt:i4>
      </vt:variant>
      <vt:variant>
        <vt:i4>41</vt:i4>
      </vt:variant>
      <vt:variant>
        <vt:i4>0</vt:i4>
      </vt:variant>
      <vt:variant>
        <vt:i4>5</vt:i4>
      </vt:variant>
      <vt:variant>
        <vt:lpwstr/>
      </vt:variant>
      <vt:variant>
        <vt:lpwstr>_Toc242352442</vt:lpwstr>
      </vt:variant>
      <vt:variant>
        <vt:i4>1441841</vt:i4>
      </vt:variant>
      <vt:variant>
        <vt:i4>35</vt:i4>
      </vt:variant>
      <vt:variant>
        <vt:i4>0</vt:i4>
      </vt:variant>
      <vt:variant>
        <vt:i4>5</vt:i4>
      </vt:variant>
      <vt:variant>
        <vt:lpwstr/>
      </vt:variant>
      <vt:variant>
        <vt:lpwstr>_Toc242352441</vt:lpwstr>
      </vt:variant>
      <vt:variant>
        <vt:i4>1441841</vt:i4>
      </vt:variant>
      <vt:variant>
        <vt:i4>29</vt:i4>
      </vt:variant>
      <vt:variant>
        <vt:i4>0</vt:i4>
      </vt:variant>
      <vt:variant>
        <vt:i4>5</vt:i4>
      </vt:variant>
      <vt:variant>
        <vt:lpwstr/>
      </vt:variant>
      <vt:variant>
        <vt:lpwstr>_Toc242352440</vt:lpwstr>
      </vt:variant>
      <vt:variant>
        <vt:i4>1114161</vt:i4>
      </vt:variant>
      <vt:variant>
        <vt:i4>23</vt:i4>
      </vt:variant>
      <vt:variant>
        <vt:i4>0</vt:i4>
      </vt:variant>
      <vt:variant>
        <vt:i4>5</vt:i4>
      </vt:variant>
      <vt:variant>
        <vt:lpwstr/>
      </vt:variant>
      <vt:variant>
        <vt:lpwstr>_Toc242352439</vt:lpwstr>
      </vt:variant>
      <vt:variant>
        <vt:i4>1114161</vt:i4>
      </vt:variant>
      <vt:variant>
        <vt:i4>17</vt:i4>
      </vt:variant>
      <vt:variant>
        <vt:i4>0</vt:i4>
      </vt:variant>
      <vt:variant>
        <vt:i4>5</vt:i4>
      </vt:variant>
      <vt:variant>
        <vt:lpwstr/>
      </vt:variant>
      <vt:variant>
        <vt:lpwstr>_Toc242352438</vt:lpwstr>
      </vt:variant>
      <vt:variant>
        <vt:i4>1114161</vt:i4>
      </vt:variant>
      <vt:variant>
        <vt:i4>11</vt:i4>
      </vt:variant>
      <vt:variant>
        <vt:i4>0</vt:i4>
      </vt:variant>
      <vt:variant>
        <vt:i4>5</vt:i4>
      </vt:variant>
      <vt:variant>
        <vt:lpwstr/>
      </vt:variant>
      <vt:variant>
        <vt:lpwstr>_Toc242352437</vt:lpwstr>
      </vt:variant>
      <vt:variant>
        <vt:i4>7864404</vt:i4>
      </vt:variant>
      <vt:variant>
        <vt:i4>6</vt:i4>
      </vt:variant>
      <vt:variant>
        <vt:i4>0</vt:i4>
      </vt:variant>
      <vt:variant>
        <vt:i4>5</vt:i4>
      </vt:variant>
      <vt:variant>
        <vt:lpwstr>mailto:enquiries@environment-agency.gov.uk</vt:lpwstr>
      </vt:variant>
      <vt:variant>
        <vt:lpwstr/>
      </vt:variant>
      <vt:variant>
        <vt:i4>524372</vt:i4>
      </vt:variant>
      <vt:variant>
        <vt:i4>3</vt:i4>
      </vt:variant>
      <vt:variant>
        <vt:i4>0</vt:i4>
      </vt:variant>
      <vt:variant>
        <vt:i4>5</vt:i4>
      </vt:variant>
      <vt:variant>
        <vt:lpwstr>http://www.gov.uk/government/publications</vt:lpwstr>
      </vt:variant>
      <vt:variant>
        <vt:lpwstr/>
      </vt:variant>
      <vt:variant>
        <vt:i4>5636099</vt:i4>
      </vt:variant>
      <vt:variant>
        <vt:i4>0</vt:i4>
      </vt:variant>
      <vt:variant>
        <vt:i4>0</vt:i4>
      </vt:variant>
      <vt:variant>
        <vt:i4>5</vt:i4>
      </vt:variant>
      <vt:variant>
        <vt:lpwstr>http://www.gov.uk/environment-agency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Climate Change Agreements Operations Manual</dc:title>
  <dc:subject/>
  <dc:creator/>
  <cp:keywords/>
  <dc:description/>
  <cp:lastModifiedBy/>
  <cp:revision>1</cp:revision>
  <dcterms:created xsi:type="dcterms:W3CDTF">2026-10-08T12:41:00Z</dcterms:created>
  <dcterms:modified xsi:type="dcterms:W3CDTF">2026-10-14T14:51:00Z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rmationType">
    <vt:lpwstr/>
  </property>
  <property fmtid="{D5CDD505-2E9C-101B-9397-08002B2CF9AE}" pid="3" name="ClassificationContentMarkingFooterText">
    <vt:lpwstr>OFFICIAL-SENSITIVE</vt:lpwstr>
  </property>
  <property fmtid="{D5CDD505-2E9C-101B-9397-08002B2CF9AE}" pid="4" name="KIM_Activity">
    <vt:lpwstr>4;#Heat and Energy Efficiency|977cb9da-adc7-2e0c-7490-e5400fe3b81b</vt:lpwstr>
  </property>
  <property fmtid="{D5CDD505-2E9C-101B-9397-08002B2CF9AE}" pid="5" name="ClassificationContentMarkingHeaderText">
    <vt:lpwstr>OFFICIAL-SENSITIVE</vt:lpwstr>
  </property>
  <property fmtid="{D5CDD505-2E9C-101B-9397-08002B2CF9AE}" pid="6" name="Distribution">
    <vt:lpwstr>9;#Internal EA|b77da37e-7166-4741-8c12-4679faab22d9</vt:lpwstr>
  </property>
  <property fmtid="{D5CDD505-2E9C-101B-9397-08002B2CF9AE}" pid="7" name="MediaServiceImageTags">
    <vt:lpwstr/>
  </property>
  <property fmtid="{D5CDD505-2E9C-101B-9397-08002B2CF9AE}" pid="8" name="ContentTypeId">
    <vt:lpwstr>0x010100FEFE5F54692E514CB2AEA097AE037329</vt:lpwstr>
  </property>
  <property fmtid="{D5CDD505-2E9C-101B-9397-08002B2CF9AE}" pid="9" name="HOCopyrightLevel">
    <vt:lpwstr>1;#Crown|69589897-2828-4761-976e-717fd8e631c9</vt:lpwstr>
  </property>
  <property fmtid="{D5CDD505-2E9C-101B-9397-08002B2CF9AE}" pid="10" name="HOGovernmentSecurityClassification">
    <vt:lpwstr>2;#Official|14c80daa-741b-422c-9722-f71693c9ede4</vt:lpwstr>
  </property>
  <property fmtid="{D5CDD505-2E9C-101B-9397-08002B2CF9AE}" pid="11" name="ClassificationContentMarkingHeaderFontProps">
    <vt:lpwstr>#000000,10,Aptos</vt:lpwstr>
  </property>
  <property fmtid="{D5CDD505-2E9C-101B-9397-08002B2CF9AE}" pid="12" name="_dlc_DocIdItemGuid">
    <vt:lpwstr>6a9de51d-e107-4a8d-b6e2-f220d2caf74e</vt:lpwstr>
  </property>
  <property fmtid="{D5CDD505-2E9C-101B-9397-08002B2CF9AE}" pid="13" name="OrganisationalUnit">
    <vt:lpwstr>3;#EA|d5f78ddb-b1b6-4328-9877-d7e3ed06fdac</vt:lpwstr>
  </property>
  <property fmtid="{D5CDD505-2E9C-101B-9397-08002B2CF9AE}" pid="14" name="docLang">
    <vt:lpwstr>en</vt:lpwstr>
  </property>
  <property fmtid="{D5CDD505-2E9C-101B-9397-08002B2CF9AE}" pid="15" name="KIM_GovernmentBody">
    <vt:lpwstr>3;#DESNZ|bb335eaf-f697-16af-0755-aa8d4628e736</vt:lpwstr>
  </property>
  <property fmtid="{D5CDD505-2E9C-101B-9397-08002B2CF9AE}" pid="16" name="ClassificationContentMarkingFooterShapeIds">
    <vt:lpwstr>41f31061,4ab9969b,790c471f,6c2e7a28,33c2cb78</vt:lpwstr>
  </property>
  <property fmtid="{D5CDD505-2E9C-101B-9397-08002B2CF9AE}" pid="17" name="ClassificationContentMarkingHeaderShapeIds">
    <vt:lpwstr>d9c18c2,2bb46999,2d2f71a9,706d52a1,33682b78</vt:lpwstr>
  </property>
  <property fmtid="{D5CDD505-2E9C-101B-9397-08002B2CF9AE}" pid="18" name="ClassificationContentMarkingFooterFontProps">
    <vt:lpwstr>#000000,10,Aptos</vt:lpwstr>
  </property>
  <property fmtid="{D5CDD505-2E9C-101B-9397-08002B2CF9AE}" pid="19" name="KIM_Function">
    <vt:lpwstr>1;#Climate and energy|1bedeac7-37cb-1c32-91b0-ff1f772bc125</vt:lpwstr>
  </property>
  <property fmtid="{D5CDD505-2E9C-101B-9397-08002B2CF9AE}" pid="20" name="HOSiteType">
    <vt:lpwstr>10;#Team|ff0485df-0575-416f-802f-e999165821b7</vt:lpwstr>
  </property>
</Properties>
</file>