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17"/>
        <w:gridCol w:w="700"/>
        <w:gridCol w:w="5209"/>
      </w:tblGrid>
      <w:tr w:rsidR="00724F05" w14:paraId="5DCE22AE" w14:textId="77777777" w:rsidTr="00651FC8">
        <w:trPr>
          <w:trHeight w:val="1008"/>
        </w:trPr>
        <w:tc>
          <w:tcPr>
            <w:tcW w:w="3117" w:type="dxa"/>
            <w:vAlign w:val="center"/>
          </w:tcPr>
          <w:p w14:paraId="1BCA7ED6" w14:textId="7EA8FE64" w:rsidR="00724F05" w:rsidRPr="006C01F7" w:rsidRDefault="00340653" w:rsidP="005A327A">
            <w:pPr>
              <w:tabs>
                <w:tab w:val="left" w:pos="2880"/>
              </w:tabs>
              <w:spacing w:before="240" w:after="240"/>
              <w:rPr>
                <w:rFonts w:ascii="Georgia" w:hAnsi="Georgia" w:cs="Arial"/>
                <w:b/>
                <w:bCs/>
              </w:rPr>
            </w:pPr>
            <w:r w:rsidRPr="006C01F7">
              <w:rPr>
                <w:rFonts w:ascii="Georgia" w:hAnsi="Georgia"/>
                <w:noProof/>
              </w:rPr>
              <w:drawing>
                <wp:inline distT="0" distB="0" distL="0" distR="0" wp14:anchorId="34343904" wp14:editId="527C1D80">
                  <wp:extent cx="914400" cy="770255"/>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770255"/>
                          </a:xfrm>
                          <a:prstGeom prst="rect">
                            <a:avLst/>
                          </a:prstGeom>
                          <a:noFill/>
                          <a:ln>
                            <a:noFill/>
                          </a:ln>
                        </pic:spPr>
                      </pic:pic>
                    </a:graphicData>
                  </a:graphic>
                </wp:inline>
              </w:drawing>
            </w:r>
          </w:p>
        </w:tc>
        <w:tc>
          <w:tcPr>
            <w:tcW w:w="700" w:type="dxa"/>
            <w:vAlign w:val="center"/>
          </w:tcPr>
          <w:p w14:paraId="42708AD8" w14:textId="77777777" w:rsidR="00724F05" w:rsidRDefault="00724F05" w:rsidP="005A327A">
            <w:pPr>
              <w:tabs>
                <w:tab w:val="left" w:pos="2880"/>
              </w:tabs>
              <w:spacing w:before="240" w:after="240"/>
              <w:rPr>
                <w:rFonts w:ascii="Georgia" w:hAnsi="Georgia" w:cs="Arial"/>
                <w:b/>
                <w:bCs/>
              </w:rPr>
            </w:pPr>
          </w:p>
        </w:tc>
        <w:tc>
          <w:tcPr>
            <w:tcW w:w="5209" w:type="dxa"/>
            <w:vAlign w:val="center"/>
          </w:tcPr>
          <w:p w14:paraId="728B55A9" w14:textId="77777777" w:rsidR="00724F05" w:rsidRPr="001A28FC" w:rsidRDefault="00724F05" w:rsidP="005A327A">
            <w:pPr>
              <w:pStyle w:val="Title"/>
              <w:ind w:left="3600" w:hanging="3600"/>
              <w:jc w:val="left"/>
              <w:rPr>
                <w:rFonts w:ascii="Georgia" w:hAnsi="Georgia"/>
              </w:rPr>
            </w:pPr>
            <w:r w:rsidRPr="00BB027F">
              <w:rPr>
                <w:rFonts w:ascii="Georgia" w:hAnsi="Georgia"/>
                <w:sz w:val="24"/>
              </w:rPr>
              <w:t>FIRST-TIER TRIBUNAL</w:t>
            </w:r>
          </w:p>
          <w:p w14:paraId="66622263" w14:textId="77777777" w:rsidR="00724F05" w:rsidRDefault="00724F05" w:rsidP="005A327A">
            <w:pPr>
              <w:tabs>
                <w:tab w:val="left" w:pos="2880"/>
              </w:tabs>
              <w:rPr>
                <w:rFonts w:ascii="Georgia" w:hAnsi="Georgia" w:cs="Arial"/>
                <w:b/>
                <w:bCs/>
              </w:rPr>
            </w:pPr>
            <w:r w:rsidRPr="00BB027F">
              <w:rPr>
                <w:rFonts w:ascii="Georgia" w:hAnsi="Georgia"/>
                <w:b/>
              </w:rPr>
              <w:t>PROPERTY CHAMBER (RESIDENTIAL PROPERTY)</w:t>
            </w:r>
          </w:p>
        </w:tc>
      </w:tr>
      <w:tr w:rsidR="00724F05" w14:paraId="24D38063" w14:textId="77777777" w:rsidTr="00651FC8">
        <w:tc>
          <w:tcPr>
            <w:tcW w:w="3117" w:type="dxa"/>
            <w:vAlign w:val="center"/>
          </w:tcPr>
          <w:p w14:paraId="48154A92" w14:textId="1CAFEDC7" w:rsidR="00724F05" w:rsidRDefault="00724F05" w:rsidP="005A327A">
            <w:pPr>
              <w:tabs>
                <w:tab w:val="left" w:pos="2880"/>
              </w:tabs>
              <w:rPr>
                <w:rFonts w:ascii="Georgia" w:hAnsi="Georgia" w:cs="Arial"/>
                <w:b/>
                <w:bCs/>
              </w:rPr>
            </w:pPr>
            <w:r w:rsidRPr="006C01F7">
              <w:rPr>
                <w:rFonts w:ascii="Georgia" w:hAnsi="Georgia" w:cs="Arial"/>
                <w:b/>
                <w:bCs/>
              </w:rPr>
              <w:t>Case Reference</w:t>
            </w:r>
            <w:r w:rsidR="00F47CD5">
              <w:rPr>
                <w:rFonts w:ascii="Georgia" w:hAnsi="Georgia" w:cs="Arial"/>
                <w:b/>
                <w:bCs/>
              </w:rPr>
              <w:t>s</w:t>
            </w:r>
          </w:p>
        </w:tc>
        <w:tc>
          <w:tcPr>
            <w:tcW w:w="700" w:type="dxa"/>
            <w:vAlign w:val="center"/>
          </w:tcPr>
          <w:p w14:paraId="73DAA950"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269E5FF2" w14:textId="45739879" w:rsidR="00724F05" w:rsidRDefault="00340653" w:rsidP="00887539">
            <w:pPr>
              <w:tabs>
                <w:tab w:val="left" w:pos="2880"/>
              </w:tabs>
              <w:rPr>
                <w:rFonts w:ascii="Georgia" w:hAnsi="Georgia" w:cs="Arial"/>
                <w:b/>
                <w:bCs/>
              </w:rPr>
            </w:pPr>
            <w:r>
              <w:rPr>
                <w:rFonts w:ascii="Georgia" w:hAnsi="Georgia" w:cs="Arial"/>
                <w:b/>
                <w:bCs/>
              </w:rPr>
              <w:t>LON/00</w:t>
            </w:r>
            <w:r w:rsidR="007D0513">
              <w:rPr>
                <w:rFonts w:ascii="Georgia" w:hAnsi="Georgia" w:cs="Arial"/>
                <w:b/>
                <w:bCs/>
              </w:rPr>
              <w:t>A</w:t>
            </w:r>
            <w:r w:rsidR="00B2058B">
              <w:rPr>
                <w:rFonts w:ascii="Georgia" w:hAnsi="Georgia" w:cs="Arial"/>
                <w:b/>
                <w:bCs/>
              </w:rPr>
              <w:t>E</w:t>
            </w:r>
            <w:r>
              <w:rPr>
                <w:rFonts w:ascii="Georgia" w:hAnsi="Georgia" w:cs="Arial"/>
                <w:b/>
                <w:bCs/>
              </w:rPr>
              <w:t>/LSC/202</w:t>
            </w:r>
            <w:r w:rsidR="00B2058B">
              <w:rPr>
                <w:rFonts w:ascii="Georgia" w:hAnsi="Georgia" w:cs="Arial"/>
                <w:b/>
                <w:bCs/>
              </w:rPr>
              <w:t>6</w:t>
            </w:r>
            <w:r>
              <w:rPr>
                <w:rFonts w:ascii="Georgia" w:hAnsi="Georgia" w:cs="Arial"/>
                <w:b/>
                <w:bCs/>
              </w:rPr>
              <w:t>/</w:t>
            </w:r>
            <w:r w:rsidR="007D0513">
              <w:rPr>
                <w:rFonts w:ascii="Georgia" w:hAnsi="Georgia" w:cs="Arial"/>
                <w:b/>
                <w:bCs/>
              </w:rPr>
              <w:t>0</w:t>
            </w:r>
            <w:r w:rsidR="00B2058B">
              <w:rPr>
                <w:rFonts w:ascii="Georgia" w:hAnsi="Georgia" w:cs="Arial"/>
                <w:b/>
                <w:bCs/>
              </w:rPr>
              <w:t>169</w:t>
            </w:r>
          </w:p>
        </w:tc>
      </w:tr>
      <w:tr w:rsidR="00724F05" w14:paraId="37FCC3DC" w14:textId="77777777" w:rsidTr="00651FC8">
        <w:tc>
          <w:tcPr>
            <w:tcW w:w="3117" w:type="dxa"/>
            <w:vAlign w:val="center"/>
          </w:tcPr>
          <w:p w14:paraId="60F115A7" w14:textId="216F2909" w:rsidR="00724F05" w:rsidRDefault="00724F05" w:rsidP="005A327A">
            <w:pPr>
              <w:tabs>
                <w:tab w:val="left" w:pos="2880"/>
              </w:tabs>
              <w:rPr>
                <w:rFonts w:ascii="Georgia" w:hAnsi="Georgia" w:cs="Arial"/>
                <w:b/>
                <w:bCs/>
              </w:rPr>
            </w:pPr>
            <w:r w:rsidRPr="006C01F7">
              <w:rPr>
                <w:rFonts w:ascii="Georgia" w:hAnsi="Georgia" w:cs="Arial"/>
                <w:b/>
                <w:bCs/>
              </w:rPr>
              <w:t>Property</w:t>
            </w:r>
          </w:p>
        </w:tc>
        <w:tc>
          <w:tcPr>
            <w:tcW w:w="700" w:type="dxa"/>
            <w:vAlign w:val="center"/>
          </w:tcPr>
          <w:p w14:paraId="1BD890A5"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5E31CFC6" w14:textId="55109D0B" w:rsidR="00724F05" w:rsidRDefault="00B2058B" w:rsidP="00312A6A">
            <w:pPr>
              <w:tabs>
                <w:tab w:val="left" w:pos="2880"/>
              </w:tabs>
              <w:rPr>
                <w:rFonts w:ascii="Georgia" w:hAnsi="Georgia" w:cs="Arial"/>
                <w:b/>
                <w:bCs/>
              </w:rPr>
            </w:pPr>
            <w:r>
              <w:rPr>
                <w:rFonts w:ascii="Georgia" w:hAnsi="Georgia" w:cs="Arial"/>
                <w:b/>
                <w:bCs/>
              </w:rPr>
              <w:t>Flat 64, Marquess House, 7, Lakeside Drive, London NW10 7GZ</w:t>
            </w:r>
          </w:p>
        </w:tc>
      </w:tr>
      <w:tr w:rsidR="00724F05" w14:paraId="4C1DCD03" w14:textId="77777777" w:rsidTr="00651FC8">
        <w:tc>
          <w:tcPr>
            <w:tcW w:w="3117" w:type="dxa"/>
            <w:vAlign w:val="center"/>
          </w:tcPr>
          <w:p w14:paraId="76F29C18" w14:textId="20F222F8" w:rsidR="00724F05" w:rsidRDefault="00724F05" w:rsidP="005A327A">
            <w:pPr>
              <w:tabs>
                <w:tab w:val="left" w:pos="2880"/>
              </w:tabs>
              <w:rPr>
                <w:rFonts w:ascii="Georgia" w:hAnsi="Georgia" w:cs="Arial"/>
                <w:b/>
                <w:bCs/>
              </w:rPr>
            </w:pPr>
            <w:r w:rsidRPr="006C01F7">
              <w:rPr>
                <w:rFonts w:ascii="Georgia" w:hAnsi="Georgia" w:cs="Arial"/>
                <w:b/>
                <w:bCs/>
              </w:rPr>
              <w:t>Applicant</w:t>
            </w:r>
          </w:p>
        </w:tc>
        <w:tc>
          <w:tcPr>
            <w:tcW w:w="700" w:type="dxa"/>
            <w:vAlign w:val="center"/>
          </w:tcPr>
          <w:p w14:paraId="545B485E"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4CF41D88" w14:textId="08167E77" w:rsidR="00BE18B9" w:rsidRPr="007D0513" w:rsidRDefault="0087675B" w:rsidP="005A327A">
            <w:pPr>
              <w:tabs>
                <w:tab w:val="left" w:pos="2880"/>
              </w:tabs>
              <w:rPr>
                <w:rFonts w:ascii="Georgia" w:hAnsi="Georgia"/>
                <w:b/>
                <w:bCs/>
              </w:rPr>
            </w:pPr>
            <w:r>
              <w:rPr>
                <w:rFonts w:ascii="Georgia" w:hAnsi="Georgia"/>
                <w:b/>
                <w:bCs/>
              </w:rPr>
              <w:t>Jay Ali</w:t>
            </w:r>
          </w:p>
        </w:tc>
      </w:tr>
      <w:tr w:rsidR="00724F05" w14:paraId="55794D4E" w14:textId="77777777" w:rsidTr="00651FC8">
        <w:tc>
          <w:tcPr>
            <w:tcW w:w="3117" w:type="dxa"/>
            <w:vAlign w:val="center"/>
          </w:tcPr>
          <w:p w14:paraId="2E4EC76E" w14:textId="77777777" w:rsidR="00724F05" w:rsidRDefault="00724F05" w:rsidP="005A327A">
            <w:pPr>
              <w:tabs>
                <w:tab w:val="left" w:pos="2880"/>
              </w:tabs>
              <w:rPr>
                <w:rFonts w:ascii="Georgia" w:hAnsi="Georgia" w:cs="Arial"/>
                <w:b/>
                <w:bCs/>
              </w:rPr>
            </w:pPr>
            <w:r>
              <w:rPr>
                <w:rFonts w:ascii="Georgia" w:hAnsi="Georgia" w:cs="Arial"/>
                <w:b/>
                <w:bCs/>
              </w:rPr>
              <w:t>Representative</w:t>
            </w:r>
          </w:p>
        </w:tc>
        <w:tc>
          <w:tcPr>
            <w:tcW w:w="700" w:type="dxa"/>
            <w:vAlign w:val="center"/>
          </w:tcPr>
          <w:p w14:paraId="1F458A8C"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49E0F08E" w14:textId="2E0B1E2B" w:rsidR="00724F05" w:rsidRDefault="0087675B" w:rsidP="005A327A">
            <w:pPr>
              <w:tabs>
                <w:tab w:val="left" w:pos="2880"/>
              </w:tabs>
              <w:rPr>
                <w:rFonts w:ascii="Georgia" w:hAnsi="Georgia" w:cs="Arial"/>
                <w:b/>
                <w:bCs/>
              </w:rPr>
            </w:pPr>
            <w:r>
              <w:rPr>
                <w:rFonts w:ascii="Georgia" w:hAnsi="Georgia" w:cs="Arial"/>
                <w:b/>
                <w:bCs/>
              </w:rPr>
              <w:t>Not represented</w:t>
            </w:r>
          </w:p>
        </w:tc>
      </w:tr>
      <w:tr w:rsidR="00724F05" w14:paraId="67B45E64" w14:textId="77777777" w:rsidTr="00651FC8">
        <w:tc>
          <w:tcPr>
            <w:tcW w:w="3117" w:type="dxa"/>
            <w:vAlign w:val="center"/>
          </w:tcPr>
          <w:p w14:paraId="29977B62" w14:textId="0ACD8856" w:rsidR="00724F05" w:rsidRDefault="00724F05" w:rsidP="005A327A">
            <w:pPr>
              <w:tabs>
                <w:tab w:val="left" w:pos="2880"/>
              </w:tabs>
              <w:rPr>
                <w:rFonts w:ascii="Georgia" w:hAnsi="Georgia" w:cs="Arial"/>
                <w:b/>
                <w:bCs/>
              </w:rPr>
            </w:pPr>
            <w:r w:rsidRPr="006C01F7">
              <w:rPr>
                <w:rFonts w:ascii="Georgia" w:hAnsi="Georgia" w:cs="Arial"/>
                <w:b/>
                <w:bCs/>
              </w:rPr>
              <w:t>Respondent</w:t>
            </w:r>
            <w:r w:rsidR="0087675B">
              <w:rPr>
                <w:rFonts w:ascii="Georgia" w:hAnsi="Georgia" w:cs="Arial"/>
                <w:b/>
                <w:bCs/>
              </w:rPr>
              <w:t>s</w:t>
            </w:r>
          </w:p>
        </w:tc>
        <w:tc>
          <w:tcPr>
            <w:tcW w:w="700" w:type="dxa"/>
            <w:vAlign w:val="center"/>
          </w:tcPr>
          <w:p w14:paraId="33653478"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4C9ABF94" w14:textId="6852BA98" w:rsidR="00724F05" w:rsidRDefault="0087675B" w:rsidP="00EF62DC">
            <w:pPr>
              <w:tabs>
                <w:tab w:val="left" w:pos="2880"/>
              </w:tabs>
              <w:rPr>
                <w:rFonts w:ascii="Georgia" w:hAnsi="Georgia" w:cs="Arial"/>
                <w:b/>
                <w:bCs/>
              </w:rPr>
            </w:pPr>
            <w:r>
              <w:rPr>
                <w:rFonts w:ascii="Georgia" w:hAnsi="Georgia" w:cs="Arial"/>
                <w:b/>
                <w:bCs/>
              </w:rPr>
              <w:t>Regency Heights (First Central) Management Company Limited</w:t>
            </w:r>
          </w:p>
        </w:tc>
      </w:tr>
      <w:tr w:rsidR="00724F05" w14:paraId="51FA9318" w14:textId="77777777" w:rsidTr="00651FC8">
        <w:tc>
          <w:tcPr>
            <w:tcW w:w="3117" w:type="dxa"/>
            <w:vAlign w:val="center"/>
          </w:tcPr>
          <w:p w14:paraId="0D960310" w14:textId="77777777" w:rsidR="00724F05" w:rsidRDefault="00724F05" w:rsidP="005A327A">
            <w:pPr>
              <w:tabs>
                <w:tab w:val="left" w:pos="2880"/>
              </w:tabs>
              <w:rPr>
                <w:rFonts w:ascii="Georgia" w:hAnsi="Georgia" w:cs="Arial"/>
                <w:b/>
                <w:bCs/>
              </w:rPr>
            </w:pPr>
            <w:r>
              <w:rPr>
                <w:rFonts w:ascii="Georgia" w:hAnsi="Georgia" w:cs="Arial"/>
                <w:b/>
                <w:bCs/>
              </w:rPr>
              <w:t>Representative</w:t>
            </w:r>
          </w:p>
        </w:tc>
        <w:tc>
          <w:tcPr>
            <w:tcW w:w="700" w:type="dxa"/>
            <w:vAlign w:val="center"/>
          </w:tcPr>
          <w:p w14:paraId="4F004365"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58265793" w14:textId="48A7303C" w:rsidR="00340653" w:rsidRDefault="0087675B" w:rsidP="007D0513">
            <w:pPr>
              <w:tabs>
                <w:tab w:val="left" w:pos="2880"/>
              </w:tabs>
              <w:rPr>
                <w:rFonts w:ascii="Georgia" w:hAnsi="Georgia" w:cs="Arial"/>
                <w:b/>
                <w:bCs/>
              </w:rPr>
            </w:pPr>
            <w:r>
              <w:rPr>
                <w:rFonts w:ascii="Georgia" w:hAnsi="Georgia" w:cs="Arial"/>
                <w:b/>
                <w:bCs/>
              </w:rPr>
              <w:t>Ms. S. Gyonova from Altus Property Management</w:t>
            </w:r>
          </w:p>
        </w:tc>
      </w:tr>
      <w:tr w:rsidR="00724F05" w14:paraId="323146EF" w14:textId="77777777" w:rsidTr="00651FC8">
        <w:tc>
          <w:tcPr>
            <w:tcW w:w="3117" w:type="dxa"/>
            <w:vAlign w:val="center"/>
          </w:tcPr>
          <w:p w14:paraId="14E9E0C1" w14:textId="6030FAE0" w:rsidR="00724F05" w:rsidRDefault="00724F05" w:rsidP="005A327A">
            <w:pPr>
              <w:tabs>
                <w:tab w:val="left" w:pos="2880"/>
              </w:tabs>
              <w:rPr>
                <w:rFonts w:ascii="Georgia" w:hAnsi="Georgia" w:cs="Arial"/>
                <w:b/>
                <w:bCs/>
              </w:rPr>
            </w:pPr>
            <w:r w:rsidRPr="006C01F7">
              <w:rPr>
                <w:rFonts w:ascii="Georgia" w:hAnsi="Georgia" w:cs="Arial"/>
                <w:b/>
                <w:bCs/>
              </w:rPr>
              <w:t>Type of Application</w:t>
            </w:r>
          </w:p>
        </w:tc>
        <w:tc>
          <w:tcPr>
            <w:tcW w:w="700" w:type="dxa"/>
            <w:vAlign w:val="center"/>
          </w:tcPr>
          <w:p w14:paraId="6B600834" w14:textId="77777777" w:rsidR="00724F05" w:rsidRDefault="00724F05" w:rsidP="005A327A">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5E27A6A7" w14:textId="4C50518F" w:rsidR="00724F05" w:rsidRDefault="000927B4" w:rsidP="005A327A">
            <w:pPr>
              <w:tabs>
                <w:tab w:val="left" w:pos="2880"/>
              </w:tabs>
              <w:rPr>
                <w:rFonts w:ascii="Georgia" w:hAnsi="Georgia" w:cs="Arial"/>
                <w:b/>
                <w:bCs/>
              </w:rPr>
            </w:pPr>
            <w:r w:rsidRPr="007548FA">
              <w:rPr>
                <w:rFonts w:ascii="Georgia" w:hAnsi="Georgia" w:cs="Arial"/>
                <w:b/>
                <w:bCs/>
              </w:rPr>
              <w:t xml:space="preserve">For the determination of </w:t>
            </w:r>
            <w:r>
              <w:rPr>
                <w:rFonts w:ascii="Georgia" w:hAnsi="Georgia" w:cs="Arial"/>
                <w:b/>
                <w:bCs/>
              </w:rPr>
              <w:t xml:space="preserve">the </w:t>
            </w:r>
            <w:r w:rsidRPr="007548FA">
              <w:rPr>
                <w:rFonts w:ascii="Georgia" w:hAnsi="Georgia" w:cs="Arial"/>
                <w:b/>
                <w:bCs/>
              </w:rPr>
              <w:t xml:space="preserve">reasonableness of and </w:t>
            </w:r>
            <w:r>
              <w:rPr>
                <w:rFonts w:ascii="Georgia" w:hAnsi="Georgia" w:cs="Arial"/>
                <w:b/>
                <w:bCs/>
              </w:rPr>
              <w:t xml:space="preserve">the </w:t>
            </w:r>
            <w:r w:rsidRPr="007548FA">
              <w:rPr>
                <w:rFonts w:ascii="Georgia" w:hAnsi="Georgia" w:cs="Arial"/>
                <w:b/>
                <w:bCs/>
              </w:rPr>
              <w:t xml:space="preserve">liability to pay </w:t>
            </w:r>
            <w:r w:rsidR="00DC6F40">
              <w:rPr>
                <w:rFonts w:ascii="Georgia" w:hAnsi="Georgia" w:cs="Arial"/>
                <w:b/>
                <w:bCs/>
              </w:rPr>
              <w:t>service charges</w:t>
            </w:r>
          </w:p>
        </w:tc>
      </w:tr>
      <w:tr w:rsidR="00651FC8" w14:paraId="0660E54C" w14:textId="77777777" w:rsidTr="00714C0A">
        <w:trPr>
          <w:trHeight w:val="1021"/>
        </w:trPr>
        <w:tc>
          <w:tcPr>
            <w:tcW w:w="3117" w:type="dxa"/>
            <w:vAlign w:val="center"/>
          </w:tcPr>
          <w:p w14:paraId="277B18BD" w14:textId="5E571321" w:rsidR="00651FC8" w:rsidRDefault="00651FC8" w:rsidP="00651FC8">
            <w:pPr>
              <w:tabs>
                <w:tab w:val="left" w:pos="2880"/>
              </w:tabs>
              <w:rPr>
                <w:rFonts w:ascii="Georgia" w:hAnsi="Georgia" w:cs="Arial"/>
                <w:b/>
                <w:bCs/>
              </w:rPr>
            </w:pPr>
            <w:r w:rsidRPr="006C01F7">
              <w:rPr>
                <w:rFonts w:ascii="Georgia" w:hAnsi="Georgia" w:cs="Arial"/>
                <w:b/>
                <w:bCs/>
              </w:rPr>
              <w:t>Tribunal Member</w:t>
            </w:r>
            <w:r w:rsidR="00714C0A">
              <w:rPr>
                <w:rFonts w:ascii="Georgia" w:hAnsi="Georgia" w:cs="Arial"/>
                <w:b/>
                <w:bCs/>
              </w:rPr>
              <w:t>s</w:t>
            </w:r>
          </w:p>
        </w:tc>
        <w:tc>
          <w:tcPr>
            <w:tcW w:w="700" w:type="dxa"/>
            <w:vAlign w:val="center"/>
          </w:tcPr>
          <w:p w14:paraId="3870E34D" w14:textId="77777777" w:rsidR="00651FC8" w:rsidRDefault="00651FC8" w:rsidP="00651FC8">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22A8510D" w14:textId="60E893A7" w:rsidR="00714C0A" w:rsidRDefault="00651FC8" w:rsidP="008A2F11">
            <w:pPr>
              <w:tabs>
                <w:tab w:val="left" w:pos="2880"/>
              </w:tabs>
              <w:rPr>
                <w:rFonts w:ascii="Georgia" w:hAnsi="Georgia" w:cs="Arial"/>
                <w:b/>
                <w:bCs/>
              </w:rPr>
            </w:pPr>
            <w:r>
              <w:rPr>
                <w:rFonts w:ascii="Georgia" w:hAnsi="Georgia" w:cs="Arial"/>
                <w:b/>
                <w:bCs/>
              </w:rPr>
              <w:t>Judge S</w:t>
            </w:r>
            <w:r w:rsidR="00613FD9">
              <w:rPr>
                <w:rFonts w:ascii="Georgia" w:hAnsi="Georgia" w:cs="Arial"/>
                <w:b/>
                <w:bCs/>
              </w:rPr>
              <w:t>. J.</w:t>
            </w:r>
            <w:r>
              <w:rPr>
                <w:rFonts w:ascii="Georgia" w:hAnsi="Georgia" w:cs="Arial"/>
                <w:b/>
                <w:bCs/>
              </w:rPr>
              <w:t>Walker</w:t>
            </w:r>
          </w:p>
          <w:p w14:paraId="43A0AEDB" w14:textId="3C7CED74" w:rsidR="00651FC8" w:rsidRDefault="00714C0A" w:rsidP="008A2F11">
            <w:pPr>
              <w:tabs>
                <w:tab w:val="left" w:pos="2880"/>
              </w:tabs>
              <w:rPr>
                <w:rFonts w:ascii="Georgia" w:hAnsi="Georgia" w:cs="Arial"/>
                <w:b/>
                <w:bCs/>
              </w:rPr>
            </w:pPr>
            <w:r>
              <w:rPr>
                <w:rFonts w:ascii="Georgia" w:hAnsi="Georgia" w:cs="Arial"/>
                <w:b/>
                <w:bCs/>
              </w:rPr>
              <w:t xml:space="preserve">Tribunal Member </w:t>
            </w:r>
            <w:r w:rsidR="008D65CF">
              <w:rPr>
                <w:rFonts w:ascii="Georgia" w:hAnsi="Georgia" w:cs="Arial"/>
                <w:b/>
                <w:bCs/>
              </w:rPr>
              <w:t>M</w:t>
            </w:r>
            <w:r w:rsidR="007D0513">
              <w:rPr>
                <w:rFonts w:ascii="Georgia" w:hAnsi="Georgia" w:cs="Arial"/>
                <w:b/>
                <w:bCs/>
              </w:rPr>
              <w:t xml:space="preserve">. </w:t>
            </w:r>
            <w:r w:rsidR="0087675B">
              <w:rPr>
                <w:rFonts w:ascii="Georgia" w:hAnsi="Georgia" w:cs="Arial"/>
                <w:b/>
                <w:bCs/>
              </w:rPr>
              <w:t>Bygrave</w:t>
            </w:r>
            <w:r w:rsidR="008D65CF">
              <w:rPr>
                <w:rFonts w:ascii="Georgia" w:hAnsi="Georgia" w:cs="Arial"/>
                <w:b/>
                <w:bCs/>
              </w:rPr>
              <w:t xml:space="preserve"> MRICS</w:t>
            </w:r>
          </w:p>
        </w:tc>
      </w:tr>
      <w:tr w:rsidR="00714C0A" w14:paraId="3DBC362C" w14:textId="77777777" w:rsidTr="00651FC8">
        <w:tc>
          <w:tcPr>
            <w:tcW w:w="3117" w:type="dxa"/>
            <w:vAlign w:val="center"/>
          </w:tcPr>
          <w:p w14:paraId="2367F4F2" w14:textId="75D3DA58" w:rsidR="00714C0A" w:rsidRPr="006C01F7" w:rsidRDefault="00714C0A" w:rsidP="00651FC8">
            <w:pPr>
              <w:tabs>
                <w:tab w:val="left" w:pos="2880"/>
              </w:tabs>
              <w:rPr>
                <w:rFonts w:ascii="Georgia" w:hAnsi="Georgia" w:cs="Arial"/>
                <w:b/>
                <w:bCs/>
              </w:rPr>
            </w:pPr>
            <w:r>
              <w:rPr>
                <w:rFonts w:ascii="Georgia" w:hAnsi="Georgia" w:cs="Arial"/>
                <w:b/>
                <w:bCs/>
              </w:rPr>
              <w:t>Date and Venue of Hearing</w:t>
            </w:r>
          </w:p>
        </w:tc>
        <w:tc>
          <w:tcPr>
            <w:tcW w:w="700" w:type="dxa"/>
            <w:vAlign w:val="center"/>
          </w:tcPr>
          <w:p w14:paraId="662C9B8A" w14:textId="5B6C58A7" w:rsidR="00714C0A" w:rsidRDefault="00714C0A" w:rsidP="00651FC8">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5857DCBD" w14:textId="371FAA33" w:rsidR="00714C0A" w:rsidRDefault="0087675B" w:rsidP="00651FC8">
            <w:pPr>
              <w:tabs>
                <w:tab w:val="left" w:pos="2880"/>
              </w:tabs>
              <w:rPr>
                <w:rFonts w:ascii="Georgia" w:hAnsi="Georgia" w:cs="Arial"/>
                <w:b/>
                <w:bCs/>
              </w:rPr>
            </w:pPr>
            <w:r>
              <w:rPr>
                <w:rFonts w:ascii="Georgia" w:hAnsi="Georgia" w:cs="Arial"/>
                <w:b/>
                <w:bCs/>
              </w:rPr>
              <w:t>4</w:t>
            </w:r>
            <w:r w:rsidR="007D0513">
              <w:rPr>
                <w:rFonts w:ascii="Georgia" w:hAnsi="Georgia" w:cs="Arial"/>
                <w:b/>
                <w:bCs/>
              </w:rPr>
              <w:t xml:space="preserve"> August </w:t>
            </w:r>
            <w:r w:rsidR="00340653">
              <w:rPr>
                <w:rFonts w:ascii="Georgia" w:hAnsi="Georgia" w:cs="Arial"/>
                <w:b/>
                <w:bCs/>
              </w:rPr>
              <w:t>2026 – Alfred Place</w:t>
            </w:r>
          </w:p>
        </w:tc>
      </w:tr>
      <w:tr w:rsidR="00651FC8" w14:paraId="0BC87C35" w14:textId="77777777" w:rsidTr="00651FC8">
        <w:tc>
          <w:tcPr>
            <w:tcW w:w="3117" w:type="dxa"/>
            <w:vAlign w:val="center"/>
          </w:tcPr>
          <w:p w14:paraId="64A0F33D" w14:textId="77777777" w:rsidR="00651FC8" w:rsidRDefault="00651FC8" w:rsidP="00651FC8">
            <w:pPr>
              <w:tabs>
                <w:tab w:val="left" w:pos="2880"/>
              </w:tabs>
              <w:rPr>
                <w:rFonts w:ascii="Georgia" w:hAnsi="Georgia" w:cs="Arial"/>
                <w:b/>
                <w:bCs/>
              </w:rPr>
            </w:pPr>
            <w:r w:rsidRPr="006C01F7">
              <w:rPr>
                <w:rFonts w:ascii="Georgia" w:hAnsi="Georgia" w:cs="Arial"/>
                <w:b/>
                <w:bCs/>
              </w:rPr>
              <w:t xml:space="preserve">Date of </w:t>
            </w:r>
            <w:r>
              <w:rPr>
                <w:rFonts w:ascii="Georgia" w:hAnsi="Georgia" w:cs="Arial"/>
                <w:b/>
                <w:bCs/>
              </w:rPr>
              <w:t>Decision</w:t>
            </w:r>
          </w:p>
        </w:tc>
        <w:tc>
          <w:tcPr>
            <w:tcW w:w="700" w:type="dxa"/>
            <w:vAlign w:val="center"/>
          </w:tcPr>
          <w:p w14:paraId="0DA044C7" w14:textId="77777777" w:rsidR="00651FC8" w:rsidRDefault="00651FC8" w:rsidP="00651FC8">
            <w:pPr>
              <w:tabs>
                <w:tab w:val="left" w:pos="2880"/>
              </w:tabs>
              <w:spacing w:before="240" w:after="240"/>
              <w:rPr>
                <w:rFonts w:ascii="Georgia" w:hAnsi="Georgia" w:cs="Arial"/>
                <w:b/>
                <w:bCs/>
              </w:rPr>
            </w:pPr>
            <w:r>
              <w:rPr>
                <w:rFonts w:ascii="Georgia" w:hAnsi="Georgia" w:cs="Arial"/>
                <w:b/>
                <w:bCs/>
              </w:rPr>
              <w:t>:</w:t>
            </w:r>
          </w:p>
        </w:tc>
        <w:tc>
          <w:tcPr>
            <w:tcW w:w="5209" w:type="dxa"/>
            <w:vAlign w:val="center"/>
          </w:tcPr>
          <w:p w14:paraId="587B430F" w14:textId="1C5E8904" w:rsidR="00651FC8" w:rsidRDefault="0087675B" w:rsidP="00651FC8">
            <w:pPr>
              <w:tabs>
                <w:tab w:val="left" w:pos="2880"/>
              </w:tabs>
              <w:rPr>
                <w:rFonts w:ascii="Georgia" w:hAnsi="Georgia" w:cs="Arial"/>
                <w:b/>
                <w:bCs/>
              </w:rPr>
            </w:pPr>
            <w:r>
              <w:rPr>
                <w:rFonts w:ascii="Georgia" w:hAnsi="Georgia" w:cs="Arial"/>
                <w:b/>
                <w:bCs/>
              </w:rPr>
              <w:t>31</w:t>
            </w:r>
            <w:r w:rsidR="007D0513">
              <w:rPr>
                <w:rFonts w:ascii="Georgia" w:hAnsi="Georgia" w:cs="Arial"/>
                <w:b/>
                <w:bCs/>
              </w:rPr>
              <w:t xml:space="preserve"> August</w:t>
            </w:r>
            <w:r w:rsidR="00714C0A">
              <w:rPr>
                <w:rFonts w:ascii="Georgia" w:hAnsi="Georgia" w:cs="Arial"/>
                <w:b/>
                <w:bCs/>
              </w:rPr>
              <w:t xml:space="preserve"> </w:t>
            </w:r>
            <w:r w:rsidR="00295C37">
              <w:rPr>
                <w:rFonts w:ascii="Georgia" w:hAnsi="Georgia" w:cs="Arial"/>
                <w:b/>
                <w:bCs/>
              </w:rPr>
              <w:t>202</w:t>
            </w:r>
            <w:r w:rsidR="00340653">
              <w:rPr>
                <w:rFonts w:ascii="Georgia" w:hAnsi="Georgia" w:cs="Arial"/>
                <w:b/>
                <w:bCs/>
              </w:rPr>
              <w:t>6</w:t>
            </w:r>
            <w:r w:rsidR="003C523C">
              <w:rPr>
                <w:rFonts w:ascii="Georgia" w:hAnsi="Georgia" w:cs="Arial"/>
                <w:b/>
                <w:bCs/>
              </w:rPr>
              <w:t xml:space="preserve">                                                                                                                                                                                                                                                                                                                                                                                                                       </w:t>
            </w:r>
          </w:p>
        </w:tc>
      </w:tr>
    </w:tbl>
    <w:p w14:paraId="2551A3FE" w14:textId="77777777" w:rsidR="00C27ECE" w:rsidRDefault="00C27ECE" w:rsidP="00724F05">
      <w:pPr>
        <w:jc w:val="both"/>
        <w:rPr>
          <w:szCs w:val="20"/>
        </w:rPr>
      </w:pPr>
    </w:p>
    <w:tbl>
      <w:tblPr>
        <w:tblStyle w:val="TableGrid"/>
        <w:tblW w:w="0" w:type="auto"/>
        <w:tblLook w:val="01E0" w:firstRow="1" w:lastRow="1" w:firstColumn="1" w:lastColumn="1" w:noHBand="0" w:noVBand="0"/>
      </w:tblPr>
      <w:tblGrid>
        <w:gridCol w:w="8522"/>
      </w:tblGrid>
      <w:tr w:rsidR="00C27ECE" w14:paraId="3A350D49" w14:textId="77777777" w:rsidTr="00C27ECE">
        <w:trPr>
          <w:trHeight w:val="811"/>
        </w:trPr>
        <w:tc>
          <w:tcPr>
            <w:tcW w:w="8522" w:type="dxa"/>
            <w:tcBorders>
              <w:left w:val="nil"/>
              <w:right w:val="nil"/>
            </w:tcBorders>
            <w:vAlign w:val="center"/>
          </w:tcPr>
          <w:p w14:paraId="480D1D97" w14:textId="77777777" w:rsidR="00C27ECE" w:rsidRDefault="00C27ECE" w:rsidP="00C27ECE">
            <w:pPr>
              <w:jc w:val="center"/>
              <w:rPr>
                <w:szCs w:val="20"/>
              </w:rPr>
            </w:pPr>
            <w:r w:rsidRPr="001D4F05">
              <w:rPr>
                <w:rFonts w:ascii="Georgia" w:hAnsi="Georgia" w:cs="Arial"/>
                <w:b/>
                <w:bCs/>
              </w:rPr>
              <w:t>D</w:t>
            </w:r>
            <w:r>
              <w:rPr>
                <w:rFonts w:ascii="Georgia" w:hAnsi="Georgia" w:cs="Arial"/>
                <w:b/>
                <w:bCs/>
              </w:rPr>
              <w:t>ECISION</w:t>
            </w:r>
          </w:p>
        </w:tc>
      </w:tr>
    </w:tbl>
    <w:p w14:paraId="204B84C9" w14:textId="77777777" w:rsidR="00C27ECE" w:rsidRPr="00092C14" w:rsidRDefault="00C27ECE" w:rsidP="00724F05">
      <w:pPr>
        <w:jc w:val="both"/>
        <w:rPr>
          <w:rFonts w:ascii="Georgia" w:hAnsi="Georgia"/>
          <w:szCs w:val="20"/>
        </w:rPr>
      </w:pPr>
    </w:p>
    <w:p w14:paraId="0C31CFA4" w14:textId="58C12368" w:rsidR="00C27ECE" w:rsidRDefault="00C27ECE" w:rsidP="00724F05">
      <w:pPr>
        <w:jc w:val="both"/>
        <w:rPr>
          <w:rFonts w:ascii="Georgia" w:hAnsi="Georgia"/>
          <w:szCs w:val="20"/>
        </w:rPr>
      </w:pPr>
    </w:p>
    <w:p w14:paraId="04784173" w14:textId="77777777" w:rsidR="003113D3" w:rsidRDefault="003113D3" w:rsidP="00724F05">
      <w:pPr>
        <w:jc w:val="both"/>
        <w:rPr>
          <w:rFonts w:ascii="Georgia" w:hAnsi="Georgia"/>
          <w:szCs w:val="20"/>
        </w:rPr>
      </w:pPr>
    </w:p>
    <w:p w14:paraId="6DF77807" w14:textId="080B969E" w:rsidR="000927B4" w:rsidRPr="007548FA" w:rsidRDefault="000927B4" w:rsidP="00B6245D">
      <w:pPr>
        <w:autoSpaceDE w:val="0"/>
        <w:autoSpaceDN w:val="0"/>
        <w:adjustRightInd w:val="0"/>
        <w:spacing w:after="360"/>
        <w:jc w:val="center"/>
        <w:rPr>
          <w:rFonts w:ascii="Georgia" w:hAnsi="Georgia" w:cs="Arial"/>
        </w:rPr>
      </w:pPr>
      <w:r w:rsidRPr="007548FA">
        <w:rPr>
          <w:rFonts w:ascii="Georgia" w:hAnsi="Georgia" w:cs="Arial"/>
          <w:b/>
          <w:u w:val="single"/>
        </w:rPr>
        <w:t>Decision</w:t>
      </w:r>
      <w:r w:rsidR="000F3A94">
        <w:rPr>
          <w:rFonts w:ascii="Georgia" w:hAnsi="Georgia" w:cs="Arial"/>
          <w:b/>
          <w:u w:val="single"/>
        </w:rPr>
        <w:t>s</w:t>
      </w:r>
      <w:r w:rsidRPr="007548FA">
        <w:rPr>
          <w:rFonts w:ascii="Georgia" w:hAnsi="Georgia" w:cs="Arial"/>
          <w:b/>
          <w:u w:val="single"/>
        </w:rPr>
        <w:t xml:space="preserve"> of the </w:t>
      </w:r>
      <w:r w:rsidR="002A1A0F">
        <w:rPr>
          <w:rFonts w:ascii="Georgia" w:hAnsi="Georgia" w:cs="Arial"/>
          <w:b/>
          <w:u w:val="single"/>
        </w:rPr>
        <w:t>Tribunal</w:t>
      </w:r>
    </w:p>
    <w:p w14:paraId="45742ED8" w14:textId="77777777" w:rsidR="00831B4B" w:rsidRDefault="00901757" w:rsidP="00831B4B">
      <w:pPr>
        <w:numPr>
          <w:ilvl w:val="0"/>
          <w:numId w:val="9"/>
        </w:numPr>
        <w:tabs>
          <w:tab w:val="clear" w:pos="170"/>
          <w:tab w:val="num" w:pos="851"/>
        </w:tabs>
        <w:autoSpaceDE w:val="0"/>
        <w:autoSpaceDN w:val="0"/>
        <w:adjustRightInd w:val="0"/>
        <w:ind w:left="851" w:hanging="851"/>
        <w:jc w:val="both"/>
        <w:rPr>
          <w:rFonts w:ascii="Georgia" w:hAnsi="Georgia" w:cs="Arial"/>
          <w:b/>
          <w:bCs/>
        </w:rPr>
      </w:pPr>
      <w:r w:rsidRPr="008852E9">
        <w:rPr>
          <w:rFonts w:ascii="Georgia" w:hAnsi="Georgia" w:cs="Arial"/>
          <w:b/>
          <w:bCs/>
        </w:rPr>
        <w:t>The Tribunal determines that</w:t>
      </w:r>
      <w:r w:rsidR="00CF3BB2" w:rsidRPr="008852E9">
        <w:rPr>
          <w:rFonts w:ascii="Georgia" w:hAnsi="Georgia" w:cs="Arial"/>
          <w:b/>
          <w:bCs/>
        </w:rPr>
        <w:t xml:space="preserve"> </w:t>
      </w:r>
      <w:r w:rsidRPr="008852E9">
        <w:rPr>
          <w:rFonts w:ascii="Georgia" w:hAnsi="Georgia" w:cs="Arial"/>
          <w:b/>
          <w:bCs/>
        </w:rPr>
        <w:t xml:space="preserve">the </w:t>
      </w:r>
      <w:r w:rsidR="009D1B31">
        <w:rPr>
          <w:rFonts w:ascii="Georgia" w:hAnsi="Georgia" w:cs="Arial"/>
          <w:b/>
          <w:bCs/>
        </w:rPr>
        <w:t>following sums are payable by way of service charges for each of the service charge years in issue</w:t>
      </w:r>
      <w:r w:rsidR="00831B4B">
        <w:rPr>
          <w:rFonts w:ascii="Georgia" w:hAnsi="Georgia" w:cs="Arial"/>
          <w:b/>
          <w:bCs/>
        </w:rPr>
        <w:t xml:space="preserve"> as follows</w:t>
      </w:r>
      <w:r w:rsidR="009D1B31">
        <w:rPr>
          <w:rFonts w:ascii="Georgia" w:hAnsi="Georgia" w:cs="Arial"/>
          <w:b/>
          <w:bCs/>
        </w:rPr>
        <w:t>;</w:t>
      </w:r>
    </w:p>
    <w:p w14:paraId="5DFA272C" w14:textId="77777777" w:rsidR="00831B4B" w:rsidRPr="00831B4B" w:rsidRDefault="009D1B31" w:rsidP="00831B4B">
      <w:pPr>
        <w:autoSpaceDE w:val="0"/>
        <w:autoSpaceDN w:val="0"/>
        <w:adjustRightInd w:val="0"/>
        <w:ind w:left="851"/>
        <w:jc w:val="both"/>
        <w:rPr>
          <w:rFonts w:ascii="Georgia" w:hAnsi="Georgia" w:cs="Arial"/>
          <w:b/>
          <w:bCs/>
        </w:rPr>
      </w:pPr>
      <w:r w:rsidRPr="00831B4B">
        <w:rPr>
          <w:rFonts w:ascii="Georgia" w:hAnsi="Georgia" w:cs="Arial"/>
          <w:b/>
          <w:bCs/>
        </w:rPr>
        <w:t>202</w:t>
      </w:r>
      <w:r w:rsidR="00831B4B" w:rsidRPr="00831B4B">
        <w:rPr>
          <w:rFonts w:ascii="Georgia" w:hAnsi="Georgia" w:cs="Arial"/>
          <w:b/>
          <w:bCs/>
        </w:rPr>
        <w:t>1/2022 -  £1,474.95</w:t>
      </w:r>
    </w:p>
    <w:p w14:paraId="7DC288B8" w14:textId="77777777" w:rsidR="00831B4B" w:rsidRPr="00831B4B" w:rsidRDefault="00831B4B" w:rsidP="00831B4B">
      <w:pPr>
        <w:autoSpaceDE w:val="0"/>
        <w:autoSpaceDN w:val="0"/>
        <w:adjustRightInd w:val="0"/>
        <w:ind w:left="851"/>
        <w:jc w:val="both"/>
        <w:rPr>
          <w:rFonts w:ascii="Georgia" w:hAnsi="Georgia" w:cs="Arial"/>
          <w:b/>
          <w:bCs/>
        </w:rPr>
      </w:pPr>
      <w:r w:rsidRPr="00831B4B">
        <w:rPr>
          <w:rFonts w:ascii="Georgia" w:hAnsi="Georgia" w:cs="Arial"/>
          <w:b/>
          <w:bCs/>
        </w:rPr>
        <w:t xml:space="preserve">2022/2023 - £2,199.35 </w:t>
      </w:r>
    </w:p>
    <w:p w14:paraId="7E41FCAC" w14:textId="77777777" w:rsidR="00831B4B" w:rsidRPr="00831B4B" w:rsidRDefault="00831B4B" w:rsidP="00831B4B">
      <w:pPr>
        <w:autoSpaceDE w:val="0"/>
        <w:autoSpaceDN w:val="0"/>
        <w:adjustRightInd w:val="0"/>
        <w:ind w:left="851"/>
        <w:jc w:val="both"/>
        <w:rPr>
          <w:rFonts w:ascii="Georgia" w:hAnsi="Georgia" w:cs="Arial"/>
          <w:b/>
          <w:bCs/>
        </w:rPr>
      </w:pPr>
      <w:r w:rsidRPr="00831B4B">
        <w:rPr>
          <w:rFonts w:ascii="Georgia" w:hAnsi="Georgia" w:cs="Arial"/>
          <w:b/>
          <w:bCs/>
        </w:rPr>
        <w:t>2023/2024 - £2,845.20</w:t>
      </w:r>
    </w:p>
    <w:p w14:paraId="0AEC3B3C" w14:textId="77777777" w:rsidR="00831B4B" w:rsidRPr="00831B4B" w:rsidRDefault="00831B4B" w:rsidP="00831B4B">
      <w:pPr>
        <w:autoSpaceDE w:val="0"/>
        <w:autoSpaceDN w:val="0"/>
        <w:adjustRightInd w:val="0"/>
        <w:ind w:left="851"/>
        <w:jc w:val="both"/>
        <w:rPr>
          <w:rFonts w:ascii="Georgia" w:hAnsi="Georgia" w:cs="Arial"/>
          <w:b/>
          <w:bCs/>
        </w:rPr>
      </w:pPr>
      <w:r w:rsidRPr="00831B4B">
        <w:rPr>
          <w:rFonts w:ascii="Georgia" w:hAnsi="Georgia" w:cs="Arial"/>
          <w:b/>
          <w:bCs/>
        </w:rPr>
        <w:lastRenderedPageBreak/>
        <w:t xml:space="preserve">2024/2025 - £3,051.53 </w:t>
      </w:r>
    </w:p>
    <w:p w14:paraId="6FB0446F" w14:textId="30175A34" w:rsidR="00831B4B" w:rsidRPr="00831B4B" w:rsidRDefault="00831B4B" w:rsidP="00831B4B">
      <w:pPr>
        <w:autoSpaceDE w:val="0"/>
        <w:autoSpaceDN w:val="0"/>
        <w:adjustRightInd w:val="0"/>
        <w:ind w:left="851"/>
        <w:jc w:val="both"/>
        <w:rPr>
          <w:rFonts w:ascii="Georgia" w:hAnsi="Georgia" w:cs="Arial"/>
          <w:b/>
          <w:bCs/>
        </w:rPr>
      </w:pPr>
      <w:r w:rsidRPr="00831B4B">
        <w:rPr>
          <w:rFonts w:ascii="Georgia" w:hAnsi="Georgia" w:cs="Arial"/>
          <w:b/>
          <w:bCs/>
        </w:rPr>
        <w:t>2025/2026 - £3,300.04</w:t>
      </w:r>
    </w:p>
    <w:p w14:paraId="5CEED2AC" w14:textId="583E5819" w:rsidR="009D1B31" w:rsidRDefault="00831B4B" w:rsidP="009D1B31">
      <w:pPr>
        <w:tabs>
          <w:tab w:val="num" w:pos="851"/>
        </w:tabs>
        <w:autoSpaceDE w:val="0"/>
        <w:autoSpaceDN w:val="0"/>
        <w:adjustRightInd w:val="0"/>
        <w:ind w:left="851"/>
        <w:jc w:val="both"/>
        <w:rPr>
          <w:rFonts w:ascii="Georgia" w:hAnsi="Georgia" w:cs="Arial"/>
          <w:b/>
          <w:bCs/>
        </w:rPr>
      </w:pPr>
      <w:r>
        <w:rPr>
          <w:rFonts w:ascii="Georgia" w:hAnsi="Georgia" w:cs="Arial"/>
          <w:b/>
          <w:bCs/>
        </w:rPr>
        <w:tab/>
      </w:r>
    </w:p>
    <w:p w14:paraId="010376FD" w14:textId="77777777" w:rsidR="009D1B31" w:rsidRPr="0094305C" w:rsidRDefault="009D1B31" w:rsidP="009D1B31">
      <w:pPr>
        <w:numPr>
          <w:ilvl w:val="0"/>
          <w:numId w:val="9"/>
        </w:numPr>
        <w:tabs>
          <w:tab w:val="clear" w:pos="170"/>
          <w:tab w:val="num" w:pos="851"/>
        </w:tabs>
        <w:autoSpaceDE w:val="0"/>
        <w:autoSpaceDN w:val="0"/>
        <w:adjustRightInd w:val="0"/>
        <w:spacing w:after="240"/>
        <w:ind w:left="851" w:hanging="851"/>
        <w:jc w:val="both"/>
        <w:rPr>
          <w:rFonts w:ascii="Georgia" w:hAnsi="Georgia" w:cs="Arial"/>
          <w:b/>
          <w:bCs/>
        </w:rPr>
      </w:pPr>
      <w:r w:rsidRPr="0094305C">
        <w:rPr>
          <w:rFonts w:ascii="Georgia" w:hAnsi="Georgia" w:cs="Arial"/>
          <w:b/>
          <w:bCs/>
        </w:rPr>
        <w:t>The application for an order under section 20C of the Landlord and Tenant Act 1985 so that none of the landlord’s costs of the Tribunal proceedings may be passed to the lessee through any service charge is granted.</w:t>
      </w:r>
    </w:p>
    <w:p w14:paraId="7CF8837A" w14:textId="77777777" w:rsidR="009D1B31" w:rsidRPr="002C1B4C" w:rsidRDefault="009D1B31" w:rsidP="009D1B31">
      <w:pPr>
        <w:numPr>
          <w:ilvl w:val="0"/>
          <w:numId w:val="9"/>
        </w:numPr>
        <w:tabs>
          <w:tab w:val="clear" w:pos="170"/>
          <w:tab w:val="num" w:pos="851"/>
        </w:tabs>
        <w:autoSpaceDE w:val="0"/>
        <w:autoSpaceDN w:val="0"/>
        <w:adjustRightInd w:val="0"/>
        <w:spacing w:after="240"/>
        <w:ind w:left="851" w:hanging="851"/>
        <w:jc w:val="both"/>
        <w:rPr>
          <w:rFonts w:ascii="Georgia" w:hAnsi="Georgia" w:cs="Arial"/>
          <w:b/>
          <w:bCs/>
        </w:rPr>
      </w:pPr>
      <w:r w:rsidRPr="002C1B4C">
        <w:rPr>
          <w:rFonts w:ascii="Georgia" w:hAnsi="Georgia" w:cs="Arial"/>
          <w:b/>
          <w:bCs/>
        </w:rPr>
        <w:t xml:space="preserve">The application for an order under paragraph 5A of Schedule 11 to the Commonhold and Leasehold Reform Act 2002, so that none of the landlord’s litigation costs can be recovered as an administration fee is granted. </w:t>
      </w:r>
    </w:p>
    <w:p w14:paraId="64D8C8AB" w14:textId="7F65B931" w:rsidR="009D1B31" w:rsidRPr="0094305C" w:rsidRDefault="009D1B31" w:rsidP="009D1B31">
      <w:pPr>
        <w:numPr>
          <w:ilvl w:val="0"/>
          <w:numId w:val="9"/>
        </w:numPr>
        <w:tabs>
          <w:tab w:val="clear" w:pos="170"/>
          <w:tab w:val="num" w:pos="851"/>
        </w:tabs>
        <w:autoSpaceDE w:val="0"/>
        <w:autoSpaceDN w:val="0"/>
        <w:adjustRightInd w:val="0"/>
        <w:spacing w:after="360"/>
        <w:ind w:left="851" w:hanging="851"/>
        <w:jc w:val="both"/>
        <w:rPr>
          <w:rFonts w:ascii="Georgia" w:hAnsi="Georgia" w:cs="Arial"/>
          <w:b/>
          <w:bCs/>
        </w:rPr>
      </w:pPr>
      <w:r w:rsidRPr="0094305C">
        <w:rPr>
          <w:rFonts w:ascii="Georgia" w:hAnsi="Georgia" w:cs="Arial"/>
          <w:b/>
          <w:bCs/>
        </w:rPr>
        <w:t>The Tribunal makes an order under rule 13(2) of the Tribunal procedure (First-tier Tribunal) (Property Chamber) Rules 2013 for the re-imbursement by the Respondent of the fees of £</w:t>
      </w:r>
      <w:r w:rsidR="00831B4B">
        <w:rPr>
          <w:rFonts w:ascii="Georgia" w:hAnsi="Georgia" w:cs="Arial"/>
          <w:b/>
          <w:bCs/>
        </w:rPr>
        <w:t>341</w:t>
      </w:r>
      <w:r w:rsidR="0020473B">
        <w:rPr>
          <w:rFonts w:ascii="Georgia" w:hAnsi="Georgia" w:cs="Arial"/>
          <w:b/>
          <w:bCs/>
        </w:rPr>
        <w:t xml:space="preserve"> </w:t>
      </w:r>
      <w:r w:rsidRPr="0094305C">
        <w:rPr>
          <w:rFonts w:ascii="Georgia" w:hAnsi="Georgia" w:cs="Arial"/>
          <w:b/>
          <w:bCs/>
        </w:rPr>
        <w:t xml:space="preserve"> paid by the Applicant in bringing this application.  Payment is to be made within 28 days.</w:t>
      </w:r>
    </w:p>
    <w:p w14:paraId="18DFE6D0" w14:textId="77777777" w:rsidR="00B6245D" w:rsidRPr="00B6245D" w:rsidRDefault="00B6245D" w:rsidP="00B6245D">
      <w:pPr>
        <w:autoSpaceDE w:val="0"/>
        <w:autoSpaceDN w:val="0"/>
        <w:adjustRightInd w:val="0"/>
        <w:spacing w:after="360"/>
        <w:jc w:val="center"/>
        <w:rPr>
          <w:rFonts w:ascii="Georgia" w:hAnsi="Georgia" w:cs="Arial"/>
          <w:b/>
          <w:u w:val="single"/>
        </w:rPr>
      </w:pPr>
      <w:r w:rsidRPr="00B6245D">
        <w:rPr>
          <w:rFonts w:ascii="Georgia" w:hAnsi="Georgia" w:cs="Arial"/>
          <w:b/>
          <w:u w:val="single"/>
        </w:rPr>
        <w:t>Reasons</w:t>
      </w:r>
    </w:p>
    <w:p w14:paraId="60A68889" w14:textId="6EA004A4" w:rsidR="000927B4" w:rsidRPr="007548FA" w:rsidRDefault="000927B4" w:rsidP="00796498">
      <w:pPr>
        <w:autoSpaceDE w:val="0"/>
        <w:autoSpaceDN w:val="0"/>
        <w:adjustRightInd w:val="0"/>
        <w:jc w:val="both"/>
        <w:rPr>
          <w:rFonts w:ascii="Georgia" w:hAnsi="Georgia" w:cs="Arial"/>
          <w:b/>
          <w:u w:val="single"/>
        </w:rPr>
      </w:pPr>
      <w:r w:rsidRPr="007548FA">
        <w:rPr>
          <w:rFonts w:ascii="Georgia" w:hAnsi="Georgia" w:cs="Arial"/>
          <w:b/>
          <w:u w:val="single"/>
        </w:rPr>
        <w:t xml:space="preserve">The </w:t>
      </w:r>
      <w:r w:rsidR="00DA732B">
        <w:rPr>
          <w:rFonts w:ascii="Georgia" w:hAnsi="Georgia" w:cs="Arial"/>
          <w:b/>
          <w:u w:val="single"/>
        </w:rPr>
        <w:t>A</w:t>
      </w:r>
      <w:r w:rsidRPr="007548FA">
        <w:rPr>
          <w:rFonts w:ascii="Georgia" w:hAnsi="Georgia" w:cs="Arial"/>
          <w:b/>
          <w:u w:val="single"/>
        </w:rPr>
        <w:t>pplication</w:t>
      </w:r>
    </w:p>
    <w:p w14:paraId="31FC0A6F" w14:textId="7ED43031" w:rsidR="00034E80" w:rsidRDefault="00034E80" w:rsidP="00034E80">
      <w:pPr>
        <w:numPr>
          <w:ilvl w:val="0"/>
          <w:numId w:val="8"/>
        </w:numPr>
        <w:tabs>
          <w:tab w:val="num" w:pos="709"/>
        </w:tabs>
        <w:autoSpaceDE w:val="0"/>
        <w:autoSpaceDN w:val="0"/>
        <w:adjustRightInd w:val="0"/>
        <w:spacing w:after="360"/>
        <w:ind w:left="709" w:hanging="709"/>
        <w:jc w:val="both"/>
        <w:rPr>
          <w:rFonts w:ascii="Georgia" w:hAnsi="Georgia" w:cs="Arial"/>
        </w:rPr>
      </w:pPr>
      <w:r w:rsidRPr="007548FA">
        <w:rPr>
          <w:rFonts w:ascii="Georgia" w:hAnsi="Georgia" w:cs="Arial"/>
        </w:rPr>
        <w:t>The Applicant seek</w:t>
      </w:r>
      <w:r w:rsidR="007D0513">
        <w:rPr>
          <w:rFonts w:ascii="Georgia" w:hAnsi="Georgia" w:cs="Arial"/>
        </w:rPr>
        <w:t>s</w:t>
      </w:r>
      <w:r w:rsidRPr="007548FA">
        <w:rPr>
          <w:rFonts w:ascii="Georgia" w:hAnsi="Georgia" w:cs="Arial"/>
        </w:rPr>
        <w:t xml:space="preserve"> a determination pursuant to s.27A of the Landlord and Tenant Act 1985 (“the 1985 Act”) as to the amount of service charges payable by </w:t>
      </w:r>
      <w:r>
        <w:rPr>
          <w:rFonts w:ascii="Georgia" w:hAnsi="Georgia" w:cs="Arial"/>
        </w:rPr>
        <w:t xml:space="preserve">them </w:t>
      </w:r>
      <w:r w:rsidRPr="007548FA">
        <w:rPr>
          <w:rFonts w:ascii="Georgia" w:hAnsi="Georgia" w:cs="Arial"/>
        </w:rPr>
        <w:t xml:space="preserve">in respect of the </w:t>
      </w:r>
      <w:r w:rsidR="00340653">
        <w:rPr>
          <w:rFonts w:ascii="Georgia" w:hAnsi="Georgia" w:cs="Arial"/>
        </w:rPr>
        <w:t>service charge years</w:t>
      </w:r>
      <w:r w:rsidR="004521BB">
        <w:rPr>
          <w:rFonts w:ascii="Georgia" w:hAnsi="Georgia" w:cs="Arial"/>
        </w:rPr>
        <w:t xml:space="preserve"> </w:t>
      </w:r>
      <w:r w:rsidR="007D0513">
        <w:rPr>
          <w:rFonts w:ascii="Georgia" w:hAnsi="Georgia" w:cs="Arial"/>
        </w:rPr>
        <w:t>from 202</w:t>
      </w:r>
      <w:r w:rsidR="0087675B">
        <w:rPr>
          <w:rFonts w:ascii="Georgia" w:hAnsi="Georgia" w:cs="Arial"/>
        </w:rPr>
        <w:t>1/2022 to 202</w:t>
      </w:r>
      <w:r w:rsidR="0002422F">
        <w:rPr>
          <w:rFonts w:ascii="Georgia" w:hAnsi="Georgia" w:cs="Arial"/>
        </w:rPr>
        <w:t>5</w:t>
      </w:r>
      <w:r w:rsidR="0087675B">
        <w:rPr>
          <w:rFonts w:ascii="Georgia" w:hAnsi="Georgia" w:cs="Arial"/>
        </w:rPr>
        <w:t>/202</w:t>
      </w:r>
      <w:r w:rsidR="0002422F">
        <w:rPr>
          <w:rFonts w:ascii="Georgia" w:hAnsi="Georgia" w:cs="Arial"/>
        </w:rPr>
        <w:t>6</w:t>
      </w:r>
      <w:r w:rsidR="0087675B">
        <w:rPr>
          <w:rFonts w:ascii="Georgia" w:hAnsi="Georgia" w:cs="Arial"/>
        </w:rPr>
        <w:t xml:space="preserve"> </w:t>
      </w:r>
      <w:r w:rsidR="002B7AE2">
        <w:rPr>
          <w:rFonts w:ascii="Georgia" w:hAnsi="Georgia" w:cs="Arial"/>
        </w:rPr>
        <w:t>inclusive</w:t>
      </w:r>
      <w:r w:rsidR="0087675B">
        <w:rPr>
          <w:rFonts w:ascii="Georgia" w:hAnsi="Georgia" w:cs="Arial"/>
        </w:rPr>
        <w:t>.</w:t>
      </w:r>
    </w:p>
    <w:p w14:paraId="2D290883" w14:textId="68CEE5C0" w:rsidR="00034E80" w:rsidRDefault="001637C9" w:rsidP="00034E80">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The Applicant also seek</w:t>
      </w:r>
      <w:r w:rsidR="002B7AE2">
        <w:rPr>
          <w:rFonts w:ascii="Georgia" w:hAnsi="Georgia" w:cs="Arial"/>
        </w:rPr>
        <w:t>s</w:t>
      </w:r>
      <w:r w:rsidR="00034E80">
        <w:rPr>
          <w:rFonts w:ascii="Georgia" w:hAnsi="Georgia" w:cs="Arial"/>
        </w:rPr>
        <w:t xml:space="preserve"> an order for the limitation of the landlord’s costs in the proceedings under section 20C of the 1985 Act and an order to reduce or extinguish </w:t>
      </w:r>
      <w:r>
        <w:rPr>
          <w:rFonts w:ascii="Georgia" w:hAnsi="Georgia" w:cs="Arial"/>
        </w:rPr>
        <w:t>their</w:t>
      </w:r>
      <w:r w:rsidR="00034E80">
        <w:rPr>
          <w:rFonts w:ascii="Georgia" w:hAnsi="Georgia" w:cs="Arial"/>
        </w:rPr>
        <w:t xml:space="preserve"> liability to pay an administration charge in respect of litigation costs under paragraph 5A of Schedule 11 of the Commonhold and Leasehold Reform Act 2002</w:t>
      </w:r>
      <w:r w:rsidR="002B7AE2">
        <w:rPr>
          <w:rFonts w:ascii="Georgia" w:hAnsi="Georgia" w:cs="Arial"/>
        </w:rPr>
        <w:t>, and the re-imbursement of their application fees.</w:t>
      </w:r>
    </w:p>
    <w:p w14:paraId="27950782" w14:textId="0BAEA3CB" w:rsidR="000006FA" w:rsidRDefault="004F534F" w:rsidP="004F534F">
      <w:pPr>
        <w:numPr>
          <w:ilvl w:val="0"/>
          <w:numId w:val="8"/>
        </w:numPr>
        <w:tabs>
          <w:tab w:val="num" w:pos="709"/>
        </w:tabs>
        <w:autoSpaceDE w:val="0"/>
        <w:autoSpaceDN w:val="0"/>
        <w:adjustRightInd w:val="0"/>
        <w:spacing w:after="360"/>
        <w:ind w:left="709" w:hanging="709"/>
        <w:jc w:val="both"/>
        <w:rPr>
          <w:rFonts w:ascii="Georgia" w:hAnsi="Georgia" w:cs="Arial"/>
        </w:rPr>
      </w:pPr>
      <w:r w:rsidRPr="002C7BF3">
        <w:rPr>
          <w:rFonts w:ascii="Georgia" w:hAnsi="Georgia" w:cs="Arial"/>
        </w:rPr>
        <w:t>The application was made</w:t>
      </w:r>
      <w:r w:rsidR="002B7AE2">
        <w:rPr>
          <w:rFonts w:ascii="Georgia" w:hAnsi="Georgia" w:cs="Arial"/>
        </w:rPr>
        <w:t xml:space="preserve"> when it was received by the Tribunal 0n </w:t>
      </w:r>
      <w:r w:rsidR="0087675B">
        <w:rPr>
          <w:rFonts w:ascii="Georgia" w:hAnsi="Georgia" w:cs="Arial"/>
        </w:rPr>
        <w:t>18 February 2026</w:t>
      </w:r>
      <w:r w:rsidR="00DC458A">
        <w:rPr>
          <w:rFonts w:ascii="Georgia" w:hAnsi="Georgia" w:cs="Arial"/>
        </w:rPr>
        <w:t xml:space="preserve">. </w:t>
      </w:r>
    </w:p>
    <w:p w14:paraId="546E2FDA" w14:textId="06C504C7" w:rsidR="008A4135" w:rsidRDefault="000006FA" w:rsidP="00F858DC">
      <w:pPr>
        <w:numPr>
          <w:ilvl w:val="0"/>
          <w:numId w:val="8"/>
        </w:numPr>
        <w:tabs>
          <w:tab w:val="num" w:pos="709"/>
        </w:tabs>
        <w:autoSpaceDE w:val="0"/>
        <w:autoSpaceDN w:val="0"/>
        <w:adjustRightInd w:val="0"/>
        <w:spacing w:after="360"/>
        <w:ind w:left="709" w:hanging="709"/>
        <w:jc w:val="both"/>
        <w:rPr>
          <w:rFonts w:ascii="Georgia" w:hAnsi="Georgia" w:cs="Arial"/>
        </w:rPr>
      </w:pPr>
      <w:r w:rsidRPr="00A90129">
        <w:rPr>
          <w:rFonts w:ascii="Georgia" w:hAnsi="Georgia" w:cs="Arial"/>
        </w:rPr>
        <w:t xml:space="preserve">Directions were issued on </w:t>
      </w:r>
      <w:r w:rsidR="0053462C">
        <w:rPr>
          <w:rFonts w:ascii="Georgia" w:hAnsi="Georgia" w:cs="Arial"/>
        </w:rPr>
        <w:t>2</w:t>
      </w:r>
      <w:r w:rsidR="008A4135">
        <w:rPr>
          <w:rFonts w:ascii="Georgia" w:hAnsi="Georgia" w:cs="Arial"/>
        </w:rPr>
        <w:t>0 March 2026, at which time the Respondent’</w:t>
      </w:r>
      <w:r w:rsidR="000A74B7">
        <w:rPr>
          <w:rFonts w:ascii="Georgia" w:hAnsi="Georgia" w:cs="Arial"/>
        </w:rPr>
        <w:t>s</w:t>
      </w:r>
      <w:r w:rsidR="008A4135">
        <w:rPr>
          <w:rFonts w:ascii="Georgia" w:hAnsi="Georgia" w:cs="Arial"/>
        </w:rPr>
        <w:t xml:space="preserve"> representative was stated to be Kinleigh Folkard &amp; Hayward Property Management Ltd.  However, notice was given to the Tribunal on 25 March 2026 that the Respondent’s representative was now Altus Property Management.</w:t>
      </w:r>
    </w:p>
    <w:p w14:paraId="7C231C3D" w14:textId="0A4988E1" w:rsidR="00F67449" w:rsidRDefault="008A4135" w:rsidP="00F858DC">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The directions required the Respondent to send a  statement of case to the Applicant by 22 May 2026.  This was not done.  On 1 July 2026 the Applicant submitted an Order 1 application form to the Tribunal.  This stated that the Respondent had still not provided a statement of case.  It requested an order dire</w:t>
      </w:r>
      <w:r w:rsidR="00F67449">
        <w:rPr>
          <w:rFonts w:ascii="Georgia" w:hAnsi="Georgia" w:cs="Arial"/>
        </w:rPr>
        <w:t>c</w:t>
      </w:r>
      <w:r>
        <w:rPr>
          <w:rFonts w:ascii="Georgia" w:hAnsi="Georgia" w:cs="Arial"/>
        </w:rPr>
        <w:t>ting the Respondent to serve</w:t>
      </w:r>
      <w:r w:rsidR="00F67449">
        <w:rPr>
          <w:rFonts w:ascii="Georgia" w:hAnsi="Georgia" w:cs="Arial"/>
        </w:rPr>
        <w:t xml:space="preserve"> its statement of case.  The Applicant further stated that he did not seek any strike out or other sanction and that he remained ready to proceed with the hearing as listed.  The hearing date was 4 August 2026.</w:t>
      </w:r>
    </w:p>
    <w:p w14:paraId="7E240D46" w14:textId="77777777" w:rsidR="00F67449" w:rsidRDefault="00F67449" w:rsidP="00F858DC">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lastRenderedPageBreak/>
        <w:t>It appears that the Tribunal took no action in relation to this application.  Meanwhile, on 30 July 2026 the Applicant sent his bundle of documents to the Tribunal.  In his covering letter he explained that he had still received nothing from the Respondent in response to his application.</w:t>
      </w:r>
    </w:p>
    <w:p w14:paraId="7CC9650D" w14:textId="41F23057" w:rsidR="004521BB" w:rsidRDefault="00F67449" w:rsidP="00F858DC">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 xml:space="preserve">The bundle provided by the Applicant comprised 144 pages. </w:t>
      </w:r>
      <w:r w:rsidR="004521BB">
        <w:rPr>
          <w:rFonts w:ascii="Georgia" w:hAnsi="Georgia" w:cs="Arial"/>
        </w:rPr>
        <w:t xml:space="preserve"> References to page numbers in this decision are to the numbers printed on this bundle.</w:t>
      </w:r>
    </w:p>
    <w:p w14:paraId="30A0E4A5" w14:textId="4E5E14E0" w:rsidR="00F67449" w:rsidRDefault="00F67449" w:rsidP="00F858DC">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In the course of the hearing the Tribunal received a number of additional documents from the Respondent.</w:t>
      </w:r>
    </w:p>
    <w:p w14:paraId="033E1A9B" w14:textId="2F27EA83" w:rsidR="00A339B1" w:rsidRDefault="00A339B1" w:rsidP="00F858DC">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 xml:space="preserve">In advance of the hearing I arranged for copies of the decisions in the cases of </w:t>
      </w:r>
      <w:r>
        <w:rPr>
          <w:rFonts w:ascii="Georgia" w:hAnsi="Georgia" w:cs="Arial"/>
          <w:u w:val="single"/>
        </w:rPr>
        <w:t>Aviva Investors Ground Rent GP Ltd -v- Williams and others</w:t>
      </w:r>
      <w:r>
        <w:rPr>
          <w:rFonts w:ascii="Georgia" w:hAnsi="Georgia" w:cs="Arial"/>
        </w:rPr>
        <w:t xml:space="preserve"> [2023] UKSC 6 and </w:t>
      </w:r>
      <w:r>
        <w:rPr>
          <w:rFonts w:ascii="Georgia" w:hAnsi="Georgia" w:cs="Arial"/>
          <w:u w:val="single"/>
        </w:rPr>
        <w:t>Bradley and Rhodes -v- Abacus Land 4 Ltd.</w:t>
      </w:r>
      <w:r>
        <w:rPr>
          <w:rFonts w:ascii="Georgia" w:hAnsi="Georgia" w:cs="Arial"/>
        </w:rPr>
        <w:t xml:space="preserve"> [2025] EWCA Civ 1308 to be sent to the parties.</w:t>
      </w:r>
    </w:p>
    <w:p w14:paraId="01B5D2D4" w14:textId="26D917E0" w:rsidR="004A72F5" w:rsidRPr="007548FA" w:rsidRDefault="004A72F5" w:rsidP="00250F36">
      <w:pPr>
        <w:autoSpaceDE w:val="0"/>
        <w:autoSpaceDN w:val="0"/>
        <w:adjustRightInd w:val="0"/>
        <w:jc w:val="both"/>
        <w:rPr>
          <w:rFonts w:ascii="Georgia" w:hAnsi="Georgia" w:cs="Arial"/>
          <w:b/>
          <w:u w:val="single"/>
        </w:rPr>
      </w:pPr>
      <w:r w:rsidRPr="007548FA">
        <w:rPr>
          <w:rFonts w:ascii="Georgia" w:hAnsi="Georgia" w:cs="Arial"/>
          <w:b/>
          <w:u w:val="single"/>
        </w:rPr>
        <w:t xml:space="preserve">The </w:t>
      </w:r>
      <w:r w:rsidR="00017432">
        <w:rPr>
          <w:rFonts w:ascii="Georgia" w:hAnsi="Georgia" w:cs="Arial"/>
          <w:b/>
          <w:u w:val="single"/>
        </w:rPr>
        <w:t>B</w:t>
      </w:r>
      <w:r w:rsidRPr="007548FA">
        <w:rPr>
          <w:rFonts w:ascii="Georgia" w:hAnsi="Georgia" w:cs="Arial"/>
          <w:b/>
          <w:u w:val="single"/>
        </w:rPr>
        <w:t>ackground</w:t>
      </w:r>
    </w:p>
    <w:p w14:paraId="1D3E158E" w14:textId="71CD9CF5" w:rsidR="00F67449" w:rsidRDefault="00F34744" w:rsidP="00F34744">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 xml:space="preserve">The property is stated in the application to be a </w:t>
      </w:r>
      <w:r w:rsidR="00F67449">
        <w:rPr>
          <w:rFonts w:ascii="Georgia" w:hAnsi="Georgia" w:cs="Arial"/>
        </w:rPr>
        <w:t>one-bedroom flat within a residential block comprising flats of varying sizes, including some larger flats and some with allocated parking services (see page 11).</w:t>
      </w:r>
    </w:p>
    <w:p w14:paraId="7819D205" w14:textId="78940892" w:rsidR="00A339B1" w:rsidRDefault="00F67449" w:rsidP="00F67449">
      <w:pPr>
        <w:numPr>
          <w:ilvl w:val="0"/>
          <w:numId w:val="8"/>
        </w:numPr>
        <w:tabs>
          <w:tab w:val="num" w:pos="709"/>
        </w:tabs>
        <w:autoSpaceDE w:val="0"/>
        <w:autoSpaceDN w:val="0"/>
        <w:adjustRightInd w:val="0"/>
        <w:spacing w:after="360"/>
        <w:ind w:left="709" w:hanging="709"/>
        <w:jc w:val="both"/>
        <w:rPr>
          <w:rFonts w:ascii="Georgia" w:hAnsi="Georgia" w:cs="Arial"/>
        </w:rPr>
      </w:pPr>
      <w:r>
        <w:rPr>
          <w:rFonts w:ascii="Georgia" w:hAnsi="Georgia" w:cs="Arial"/>
        </w:rPr>
        <w:t xml:space="preserve">Although no evidence of title was produced by either party, there was no dispute that the </w:t>
      </w:r>
      <w:r w:rsidR="00A339B1">
        <w:rPr>
          <w:rFonts w:ascii="Georgia" w:hAnsi="Georgia" w:cs="Arial"/>
        </w:rPr>
        <w:t xml:space="preserve">Applicant holds the property under the terms of a tri-partite lease originally made on 13 December 2019 between </w:t>
      </w:r>
      <w:r w:rsidR="000A74B7">
        <w:rPr>
          <w:rFonts w:ascii="Georgia" w:hAnsi="Georgia" w:cs="Arial"/>
        </w:rPr>
        <w:t>Fairview L &amp; Q PR LLP</w:t>
      </w:r>
      <w:r w:rsidR="00A339B1">
        <w:rPr>
          <w:rFonts w:ascii="Georgia" w:hAnsi="Georgia" w:cs="Arial"/>
        </w:rPr>
        <w:t xml:space="preserve"> as freeholder, the Respondent as the management company and the Applicant.  The lease is at pages 46 to 88.</w:t>
      </w:r>
    </w:p>
    <w:p w14:paraId="6C2CCC20" w14:textId="77777777" w:rsidR="00DE6EB1" w:rsidRPr="007548FA" w:rsidRDefault="00DE6EB1" w:rsidP="00DE6EB1">
      <w:pPr>
        <w:autoSpaceDE w:val="0"/>
        <w:autoSpaceDN w:val="0"/>
        <w:adjustRightInd w:val="0"/>
        <w:jc w:val="both"/>
        <w:rPr>
          <w:rFonts w:ascii="Georgia" w:hAnsi="Georgia" w:cs="Arial"/>
          <w:b/>
          <w:u w:val="single"/>
        </w:rPr>
      </w:pPr>
      <w:r w:rsidRPr="007548FA">
        <w:rPr>
          <w:rFonts w:ascii="Georgia" w:hAnsi="Georgia" w:cs="Arial"/>
          <w:b/>
          <w:u w:val="single"/>
        </w:rPr>
        <w:t xml:space="preserve">The </w:t>
      </w:r>
      <w:r>
        <w:rPr>
          <w:rFonts w:ascii="Georgia" w:hAnsi="Georgia" w:cs="Arial"/>
          <w:b/>
          <w:u w:val="single"/>
        </w:rPr>
        <w:t>H</w:t>
      </w:r>
      <w:r w:rsidRPr="007548FA">
        <w:rPr>
          <w:rFonts w:ascii="Georgia" w:hAnsi="Georgia" w:cs="Arial"/>
          <w:b/>
          <w:u w:val="single"/>
        </w:rPr>
        <w:t>earing</w:t>
      </w:r>
    </w:p>
    <w:p w14:paraId="0D9FE9DB" w14:textId="27CFE659" w:rsidR="00DE6EB1" w:rsidRDefault="00DE6EB1" w:rsidP="00DE6EB1">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The Applicant attended the hearing and was not represented.  The Respondent was represented by Ms Svetla Gyonova from Altus Property Management. In the course of the hearing it became necessary for the Respondent to provide a number of additional documents including details of the service charge amounts for each year and the service charge proportions which were applied.</w:t>
      </w:r>
    </w:p>
    <w:p w14:paraId="4ADB1E58" w14:textId="77777777" w:rsidR="00DE6EB1" w:rsidRDefault="00DE6EB1" w:rsidP="00DE6EB1">
      <w:pPr>
        <w:autoSpaceDE w:val="0"/>
        <w:autoSpaceDN w:val="0"/>
        <w:adjustRightInd w:val="0"/>
        <w:jc w:val="both"/>
        <w:rPr>
          <w:rFonts w:ascii="Georgia" w:hAnsi="Georgia" w:cs="Arial"/>
        </w:rPr>
      </w:pPr>
    </w:p>
    <w:p w14:paraId="5B47C203" w14:textId="404B8E6A" w:rsidR="00A339B1" w:rsidRPr="00A339B1" w:rsidRDefault="00A339B1" w:rsidP="00A339B1">
      <w:pPr>
        <w:tabs>
          <w:tab w:val="num" w:pos="709"/>
        </w:tabs>
        <w:autoSpaceDE w:val="0"/>
        <w:autoSpaceDN w:val="0"/>
        <w:adjustRightInd w:val="0"/>
        <w:jc w:val="both"/>
        <w:rPr>
          <w:rFonts w:ascii="Georgia" w:hAnsi="Georgia" w:cs="Arial"/>
          <w:b/>
          <w:bCs/>
          <w:u w:val="single"/>
        </w:rPr>
      </w:pPr>
      <w:r>
        <w:rPr>
          <w:rFonts w:ascii="Georgia" w:hAnsi="Georgia" w:cs="Arial"/>
          <w:b/>
          <w:bCs/>
          <w:u w:val="single"/>
        </w:rPr>
        <w:t>The Issue</w:t>
      </w:r>
    </w:p>
    <w:p w14:paraId="1B0C2F5A" w14:textId="77777777" w:rsidR="00A339B1" w:rsidRDefault="00A339B1" w:rsidP="00125ED2">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The only issue raised by the Applicant in this case is what is the proportion of the service charge costs he is required to pay.  In his application he makes it clear that he does not dispute any individual costs but merely challenges the apportionment methodology (see page 18).</w:t>
      </w:r>
    </w:p>
    <w:p w14:paraId="266D38F4" w14:textId="77777777" w:rsidR="00A339B1" w:rsidRDefault="00A339B1" w:rsidP="00A339B1">
      <w:pPr>
        <w:tabs>
          <w:tab w:val="num" w:pos="709"/>
        </w:tabs>
        <w:autoSpaceDE w:val="0"/>
        <w:autoSpaceDN w:val="0"/>
        <w:adjustRightInd w:val="0"/>
        <w:jc w:val="both"/>
        <w:rPr>
          <w:rFonts w:ascii="Georgia" w:hAnsi="Georgia" w:cs="Arial"/>
        </w:rPr>
      </w:pPr>
    </w:p>
    <w:p w14:paraId="67F619B5" w14:textId="6B69101A" w:rsidR="00A339B1" w:rsidRPr="00512490" w:rsidRDefault="00512490" w:rsidP="00A339B1">
      <w:pPr>
        <w:tabs>
          <w:tab w:val="num" w:pos="709"/>
        </w:tabs>
        <w:autoSpaceDE w:val="0"/>
        <w:autoSpaceDN w:val="0"/>
        <w:adjustRightInd w:val="0"/>
        <w:jc w:val="both"/>
        <w:rPr>
          <w:rFonts w:ascii="Georgia" w:hAnsi="Georgia" w:cs="Arial"/>
          <w:b/>
          <w:bCs/>
          <w:u w:val="single"/>
        </w:rPr>
      </w:pPr>
      <w:r>
        <w:rPr>
          <w:rFonts w:ascii="Georgia" w:hAnsi="Georgia" w:cs="Arial"/>
          <w:b/>
          <w:bCs/>
          <w:u w:val="single"/>
        </w:rPr>
        <w:t>The Lease</w:t>
      </w:r>
    </w:p>
    <w:p w14:paraId="156850EE" w14:textId="26F25475" w:rsidR="00512490" w:rsidRDefault="00512490" w:rsidP="00125ED2">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T</w:t>
      </w:r>
      <w:r w:rsidR="00125ED2">
        <w:rPr>
          <w:rFonts w:ascii="Georgia" w:hAnsi="Georgia" w:cs="Arial"/>
        </w:rPr>
        <w:t>he relevant provision in the lease</w:t>
      </w:r>
      <w:r>
        <w:rPr>
          <w:rFonts w:ascii="Georgia" w:hAnsi="Georgia" w:cs="Arial"/>
        </w:rPr>
        <w:t>, which the Applicant relies on, is the definition of the term “service charge”.  This defines the service charge as;</w:t>
      </w:r>
    </w:p>
    <w:p w14:paraId="3B31A2FA" w14:textId="59ED3743" w:rsidR="00512490" w:rsidRDefault="00512490" w:rsidP="00512490">
      <w:pPr>
        <w:tabs>
          <w:tab w:val="num" w:pos="709"/>
        </w:tabs>
        <w:autoSpaceDE w:val="0"/>
        <w:autoSpaceDN w:val="0"/>
        <w:adjustRightInd w:val="0"/>
        <w:ind w:left="1440" w:hanging="731"/>
        <w:jc w:val="both"/>
        <w:rPr>
          <w:rFonts w:ascii="Georgia" w:hAnsi="Georgia" w:cs="Arial"/>
        </w:rPr>
      </w:pPr>
      <w:r>
        <w:rPr>
          <w:rFonts w:ascii="Georgia" w:hAnsi="Georgia" w:cs="Arial"/>
        </w:rPr>
        <w:tab/>
        <w:t>“</w:t>
      </w:r>
      <w:r>
        <w:rPr>
          <w:rFonts w:ascii="Georgia" w:hAnsi="Georgia" w:cs="Arial"/>
          <w:i/>
          <w:iCs/>
        </w:rPr>
        <w:t>a fair and reasonable proportion or proportions determined from time to time by the Management Company of the Service Costs (provided that such proportions may differ in relation to Service Costs attributable to the Block and Estate</w:t>
      </w:r>
      <w:r w:rsidR="0002422F">
        <w:rPr>
          <w:rFonts w:ascii="Georgia" w:hAnsi="Georgia" w:cs="Arial"/>
          <w:i/>
          <w:iCs/>
        </w:rPr>
        <w:t>)</w:t>
      </w:r>
      <w:r>
        <w:rPr>
          <w:rFonts w:ascii="Georgia" w:hAnsi="Georgia" w:cs="Arial"/>
        </w:rPr>
        <w:t>” (page 57).</w:t>
      </w:r>
    </w:p>
    <w:p w14:paraId="5831FBCC" w14:textId="77777777" w:rsidR="00DE6EB1" w:rsidRDefault="00DE6EB1" w:rsidP="00DE6EB1">
      <w:pPr>
        <w:rPr>
          <w:rFonts w:ascii="Georgia" w:hAnsi="Georgia" w:cs="Arial"/>
          <w:b/>
          <w:bCs/>
          <w:u w:val="single"/>
        </w:rPr>
      </w:pPr>
    </w:p>
    <w:p w14:paraId="1F033AA3" w14:textId="77777777" w:rsidR="0002422F" w:rsidRDefault="0002422F" w:rsidP="00DE6EB1">
      <w:pPr>
        <w:rPr>
          <w:rFonts w:ascii="Georgia" w:hAnsi="Georgia" w:cs="Arial"/>
          <w:b/>
          <w:bCs/>
          <w:u w:val="single"/>
        </w:rPr>
      </w:pPr>
    </w:p>
    <w:p w14:paraId="07F0BA77" w14:textId="399EDFFA" w:rsidR="00DE6EB1" w:rsidRPr="002E04F0" w:rsidRDefault="00DE6EB1" w:rsidP="00DE6EB1">
      <w:pPr>
        <w:rPr>
          <w:rFonts w:ascii="Georgia" w:hAnsi="Georgia" w:cs="Arial"/>
          <w:b/>
          <w:bCs/>
          <w:u w:val="single"/>
        </w:rPr>
      </w:pPr>
      <w:r w:rsidRPr="002E04F0">
        <w:rPr>
          <w:rFonts w:ascii="Georgia" w:hAnsi="Georgia" w:cs="Arial"/>
          <w:b/>
          <w:bCs/>
          <w:u w:val="single"/>
        </w:rPr>
        <w:lastRenderedPageBreak/>
        <w:t>The Law</w:t>
      </w:r>
    </w:p>
    <w:p w14:paraId="392E1E87" w14:textId="77777777" w:rsidR="00DE6EB1" w:rsidRDefault="00DE6EB1" w:rsidP="00DE6EB1">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It is not necessary in this case to set out the basic statutory provisions which deal with the reasonableness and payability of service charges.  In this case the key legal principles are to be derived from the cases of  </w:t>
      </w:r>
      <w:r>
        <w:rPr>
          <w:rFonts w:ascii="Georgia" w:hAnsi="Georgia" w:cs="Arial"/>
          <w:u w:val="single"/>
        </w:rPr>
        <w:t>Aviva Investors</w:t>
      </w:r>
      <w:r>
        <w:rPr>
          <w:rFonts w:ascii="Georgia" w:hAnsi="Georgia" w:cs="Arial"/>
        </w:rPr>
        <w:t xml:space="preserve"> and </w:t>
      </w:r>
      <w:r>
        <w:rPr>
          <w:rFonts w:ascii="Georgia" w:hAnsi="Georgia" w:cs="Arial"/>
          <w:u w:val="single"/>
        </w:rPr>
        <w:t>Bradley</w:t>
      </w:r>
      <w:r>
        <w:rPr>
          <w:rFonts w:ascii="Georgia" w:hAnsi="Georgia" w:cs="Arial"/>
        </w:rPr>
        <w:t xml:space="preserve"> which are referred to above and which are binding on the Tribunal.</w:t>
      </w:r>
    </w:p>
    <w:p w14:paraId="3955FCD5" w14:textId="77777777" w:rsidR="00DE6EB1" w:rsidRDefault="00DE6EB1" w:rsidP="00DE6EB1">
      <w:pPr>
        <w:tabs>
          <w:tab w:val="num" w:pos="709"/>
        </w:tabs>
        <w:autoSpaceDE w:val="0"/>
        <w:autoSpaceDN w:val="0"/>
        <w:adjustRightInd w:val="0"/>
        <w:ind w:left="709"/>
        <w:jc w:val="both"/>
        <w:rPr>
          <w:rFonts w:ascii="Georgia" w:hAnsi="Georgia" w:cs="Arial"/>
        </w:rPr>
      </w:pPr>
    </w:p>
    <w:p w14:paraId="32D13E69" w14:textId="7C6DDA15" w:rsidR="00DE6EB1" w:rsidRDefault="00DE6EB1" w:rsidP="00DE6EB1">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It is not necessary to set out the details of those cases here.  In summary, they deal with the question of how the Tribunal is to approach cases where the lease confers a discretion on the landlord.  The cases make it clear that in such cases it is not the role of the Tribunal to itself decide how that discretion should be exercised. So, where a lease confers on a landlord the discretion of determining a reasonable proportion of service charge costs, it is not for the Tribunal itself to make a decision about what is a reasonable proportion.  Rather, the role of the Tribunal is to consider whether or not the landlord’s exercise of discretion falls outside the range of permissible decisions.  Only if the landlord has done that will the Tribunal be able to intervene.  As Nugee LJ said in </w:t>
      </w:r>
      <w:r>
        <w:rPr>
          <w:rFonts w:ascii="Georgia" w:hAnsi="Georgia" w:cs="Arial"/>
          <w:u w:val="single"/>
        </w:rPr>
        <w:t>Bradley</w:t>
      </w:r>
      <w:r>
        <w:rPr>
          <w:rFonts w:ascii="Georgia" w:hAnsi="Georgia" w:cs="Arial"/>
        </w:rPr>
        <w:t xml:space="preserve"> (at para 73) “</w:t>
      </w:r>
      <w:r>
        <w:rPr>
          <w:rFonts w:ascii="Georgia" w:hAnsi="Georgia" w:cs="Arial"/>
          <w:i/>
          <w:iCs/>
        </w:rPr>
        <w:t>the landlord’s decision will be flawed only if it is one that no reasonable landlord could have reached</w:t>
      </w:r>
      <w:r>
        <w:rPr>
          <w:rFonts w:ascii="Georgia" w:hAnsi="Georgia" w:cs="Arial"/>
        </w:rPr>
        <w:t>”</w:t>
      </w:r>
      <w:r w:rsidR="0002422F">
        <w:rPr>
          <w:rFonts w:ascii="Georgia" w:hAnsi="Georgia" w:cs="Arial"/>
        </w:rPr>
        <w:t>.</w:t>
      </w:r>
    </w:p>
    <w:p w14:paraId="2054237B" w14:textId="77777777" w:rsidR="00DE6EB1" w:rsidRDefault="00DE6EB1" w:rsidP="00DE6EB1">
      <w:pPr>
        <w:tabs>
          <w:tab w:val="num" w:pos="709"/>
        </w:tabs>
        <w:autoSpaceDE w:val="0"/>
        <w:autoSpaceDN w:val="0"/>
        <w:adjustRightInd w:val="0"/>
        <w:ind w:left="709"/>
        <w:jc w:val="both"/>
        <w:rPr>
          <w:rFonts w:ascii="Georgia" w:hAnsi="Georgia" w:cs="Arial"/>
        </w:rPr>
      </w:pPr>
    </w:p>
    <w:p w14:paraId="56E1D749" w14:textId="77777777" w:rsidR="00DE6EB1" w:rsidRDefault="00DE6EB1" w:rsidP="00DE6EB1">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So, in this case, it is for the Applicant to show that the Respondent’s decision to split the service charge costs equally between the various properties was one which no reasonable landlord could make.  That is a high bar to overcome, not least because in </w:t>
      </w:r>
      <w:r>
        <w:rPr>
          <w:rFonts w:ascii="Georgia" w:hAnsi="Georgia" w:cs="Arial"/>
          <w:u w:val="single"/>
        </w:rPr>
        <w:t>Bradley</w:t>
      </w:r>
      <w:r>
        <w:rPr>
          <w:rFonts w:ascii="Georgia" w:hAnsi="Georgia" w:cs="Arial"/>
        </w:rPr>
        <w:t xml:space="preserve"> itself the Court of Appeal decided that a decision by the landlord to pass on the entirety of the costs of providing a gym at the property was one which a reasonable landlord could take notwithstanding that the landlord had granted a separate lease for use of the gym by a third party.</w:t>
      </w:r>
    </w:p>
    <w:p w14:paraId="33DF7E70" w14:textId="0D6D9D2E" w:rsidR="00125ED2" w:rsidRDefault="00125ED2" w:rsidP="00512490">
      <w:pPr>
        <w:tabs>
          <w:tab w:val="num" w:pos="709"/>
        </w:tabs>
        <w:autoSpaceDE w:val="0"/>
        <w:autoSpaceDN w:val="0"/>
        <w:adjustRightInd w:val="0"/>
        <w:jc w:val="both"/>
        <w:rPr>
          <w:rFonts w:ascii="Georgia" w:hAnsi="Georgia" w:cs="Arial"/>
        </w:rPr>
      </w:pPr>
    </w:p>
    <w:p w14:paraId="75793792" w14:textId="512421A5" w:rsidR="00512490" w:rsidRPr="00512490" w:rsidRDefault="00512490" w:rsidP="00512490">
      <w:pPr>
        <w:tabs>
          <w:tab w:val="num" w:pos="709"/>
        </w:tabs>
        <w:autoSpaceDE w:val="0"/>
        <w:autoSpaceDN w:val="0"/>
        <w:adjustRightInd w:val="0"/>
        <w:ind w:left="709" w:hanging="709"/>
        <w:jc w:val="both"/>
        <w:rPr>
          <w:rFonts w:ascii="Georgia" w:hAnsi="Georgia" w:cs="Arial"/>
          <w:b/>
          <w:bCs/>
          <w:u w:val="single"/>
        </w:rPr>
      </w:pPr>
      <w:r>
        <w:rPr>
          <w:rFonts w:ascii="Georgia" w:hAnsi="Georgia" w:cs="Arial"/>
          <w:b/>
          <w:bCs/>
          <w:u w:val="single"/>
        </w:rPr>
        <w:t>The Applicant’s Case</w:t>
      </w:r>
    </w:p>
    <w:p w14:paraId="7946C86A" w14:textId="28BA3023" w:rsidR="005156C2" w:rsidRDefault="001A2EEF" w:rsidP="00125ED2">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The </w:t>
      </w:r>
      <w:r w:rsidR="00512490">
        <w:rPr>
          <w:rFonts w:ascii="Georgia" w:hAnsi="Georgia" w:cs="Arial"/>
        </w:rPr>
        <w:t xml:space="preserve">Applicant’s case is set out at pages </w:t>
      </w:r>
      <w:r w:rsidR="005156C2">
        <w:rPr>
          <w:rFonts w:ascii="Georgia" w:hAnsi="Georgia" w:cs="Arial"/>
        </w:rPr>
        <w:t>39</w:t>
      </w:r>
      <w:r w:rsidR="00512490">
        <w:rPr>
          <w:rFonts w:ascii="Georgia" w:hAnsi="Georgia" w:cs="Arial"/>
        </w:rPr>
        <w:t xml:space="preserve"> to 43.  He argues that </w:t>
      </w:r>
      <w:r w:rsidR="005156C2">
        <w:rPr>
          <w:rFonts w:ascii="Georgia" w:hAnsi="Georgia" w:cs="Arial"/>
        </w:rPr>
        <w:t>the current apportionment applied by the Respondent was an equal division across all flats in the block regardless of size, number of bedrooms, and presence or absence of parking spaces.  He argued that the Respondent had not provided any methodology for its apportionment nor any assessment of whether that assessment was fair and reasonable.  Indeed, he argued that in correspondence the Respondent had indicated that the proportion was that originally set by the developer, that no methodology existed for reviewing or assessing that apportionment, and that  no review or apportionment had been undertaken.</w:t>
      </w:r>
    </w:p>
    <w:p w14:paraId="6CEC6236" w14:textId="77777777" w:rsidR="005156C2" w:rsidRDefault="005156C2" w:rsidP="005156C2">
      <w:pPr>
        <w:tabs>
          <w:tab w:val="num" w:pos="709"/>
        </w:tabs>
        <w:autoSpaceDE w:val="0"/>
        <w:autoSpaceDN w:val="0"/>
        <w:adjustRightInd w:val="0"/>
        <w:ind w:left="709"/>
        <w:jc w:val="both"/>
        <w:rPr>
          <w:rFonts w:ascii="Georgia" w:hAnsi="Georgia" w:cs="Arial"/>
        </w:rPr>
      </w:pPr>
    </w:p>
    <w:p w14:paraId="5A159D08" w14:textId="2D9867DA" w:rsidR="005156C2" w:rsidRDefault="005156C2" w:rsidP="00125ED2">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The Applicant went on to argue that the lease required an active determination process to be undertaken and that the Respondent had not demonstrated when the apportionment was last determined and nor had it shown that that determination was fair and reasonable.  He argued that equal apportionment across materially different units was not inherently reasonable and that a fair and reasonable proportion must be supported by a rational and identifiable basis.</w:t>
      </w:r>
    </w:p>
    <w:p w14:paraId="5B318C6C" w14:textId="77777777" w:rsidR="005156C2" w:rsidRDefault="005156C2" w:rsidP="005156C2">
      <w:pPr>
        <w:tabs>
          <w:tab w:val="num" w:pos="709"/>
        </w:tabs>
        <w:autoSpaceDE w:val="0"/>
        <w:autoSpaceDN w:val="0"/>
        <w:adjustRightInd w:val="0"/>
        <w:jc w:val="both"/>
        <w:rPr>
          <w:rFonts w:ascii="Georgia" w:hAnsi="Georgia" w:cs="Arial"/>
        </w:rPr>
      </w:pPr>
    </w:p>
    <w:p w14:paraId="21F28E04" w14:textId="36DE20E7" w:rsidR="005F556F" w:rsidRPr="005F556F" w:rsidRDefault="00DE6EB1" w:rsidP="00223DD4">
      <w:pPr>
        <w:autoSpaceDE w:val="0"/>
        <w:autoSpaceDN w:val="0"/>
        <w:adjustRightInd w:val="0"/>
        <w:jc w:val="both"/>
        <w:rPr>
          <w:rFonts w:ascii="Georgia" w:hAnsi="Georgia" w:cs="Arial"/>
          <w:b/>
          <w:bCs/>
          <w:u w:val="single"/>
        </w:rPr>
      </w:pPr>
      <w:r>
        <w:rPr>
          <w:rFonts w:ascii="Georgia" w:hAnsi="Georgia" w:cs="Arial"/>
          <w:b/>
          <w:bCs/>
          <w:u w:val="single"/>
        </w:rPr>
        <w:t>The Respondent’s Case</w:t>
      </w:r>
    </w:p>
    <w:p w14:paraId="2F4EAA02" w14:textId="77777777" w:rsidR="00DE6EB1" w:rsidRDefault="0051528B" w:rsidP="00223DD4">
      <w:pPr>
        <w:numPr>
          <w:ilvl w:val="0"/>
          <w:numId w:val="8"/>
        </w:numPr>
        <w:tabs>
          <w:tab w:val="num" w:pos="709"/>
        </w:tabs>
        <w:autoSpaceDE w:val="0"/>
        <w:autoSpaceDN w:val="0"/>
        <w:adjustRightInd w:val="0"/>
        <w:ind w:left="709" w:hanging="709"/>
        <w:jc w:val="both"/>
        <w:rPr>
          <w:rFonts w:ascii="Georgia" w:hAnsi="Georgia" w:cs="Arial"/>
        </w:rPr>
      </w:pPr>
      <w:r w:rsidRPr="002B6392">
        <w:rPr>
          <w:rFonts w:ascii="Georgia" w:hAnsi="Georgia" w:cs="Arial"/>
        </w:rPr>
        <w:t>T</w:t>
      </w:r>
      <w:r w:rsidR="00DE6EB1">
        <w:rPr>
          <w:rFonts w:ascii="Georgia" w:hAnsi="Georgia" w:cs="Arial"/>
        </w:rPr>
        <w:t>o the extent that the Respondent had engaged with the Applicant’s case at all, its position was that service charges were divided equally amongst all units within the development and that this was reasonable.</w:t>
      </w:r>
    </w:p>
    <w:p w14:paraId="708DD773" w14:textId="77777777" w:rsidR="00DE6EB1" w:rsidRDefault="00DE6EB1" w:rsidP="00DE6EB1">
      <w:pPr>
        <w:tabs>
          <w:tab w:val="num" w:pos="709"/>
        </w:tabs>
        <w:autoSpaceDE w:val="0"/>
        <w:autoSpaceDN w:val="0"/>
        <w:adjustRightInd w:val="0"/>
        <w:ind w:left="709"/>
        <w:jc w:val="both"/>
        <w:rPr>
          <w:rFonts w:ascii="Georgia" w:hAnsi="Georgia" w:cs="Arial"/>
        </w:rPr>
      </w:pPr>
    </w:p>
    <w:p w14:paraId="09721D8A" w14:textId="77777777" w:rsidR="00DE6EB1" w:rsidRDefault="00DE6EB1"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lastRenderedPageBreak/>
        <w:t>As the Respondent had not provided any statement of case it was necessary for the Tribunal to ask Ms. Gyonova a number of questions about what service charge proportions were applied.  In the course of the hearing she was able to provide a number of additional documents.</w:t>
      </w:r>
    </w:p>
    <w:p w14:paraId="37A0B4DD" w14:textId="77777777" w:rsidR="00DE6EB1" w:rsidRDefault="00DE6EB1" w:rsidP="00DE6EB1">
      <w:pPr>
        <w:tabs>
          <w:tab w:val="num" w:pos="709"/>
        </w:tabs>
        <w:autoSpaceDE w:val="0"/>
        <w:autoSpaceDN w:val="0"/>
        <w:adjustRightInd w:val="0"/>
        <w:ind w:left="709"/>
        <w:jc w:val="both"/>
        <w:rPr>
          <w:rFonts w:ascii="Georgia" w:hAnsi="Georgia" w:cs="Arial"/>
        </w:rPr>
      </w:pPr>
    </w:p>
    <w:p w14:paraId="5281A1A7" w14:textId="77777777" w:rsidR="00FA2C3A" w:rsidRDefault="00FA2C3A"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Once those documents had been provided the situation became clearer.  These showed that the Applicant’s service charges were comprised of a number of different elements.  Firstly, there was an estate charge, then there was a charge for external works to block C, in which the Applicants’ property is situated, a charge for internal works to block C, and a heating maintenance charge.</w:t>
      </w:r>
    </w:p>
    <w:p w14:paraId="31D85520" w14:textId="77777777" w:rsidR="00FA2C3A" w:rsidRDefault="00FA2C3A" w:rsidP="00FA2C3A">
      <w:pPr>
        <w:tabs>
          <w:tab w:val="num" w:pos="709"/>
        </w:tabs>
        <w:autoSpaceDE w:val="0"/>
        <w:autoSpaceDN w:val="0"/>
        <w:adjustRightInd w:val="0"/>
        <w:ind w:left="709"/>
        <w:jc w:val="both"/>
        <w:rPr>
          <w:rFonts w:ascii="Georgia" w:hAnsi="Georgia" w:cs="Arial"/>
        </w:rPr>
      </w:pPr>
    </w:p>
    <w:p w14:paraId="1D28C34D" w14:textId="77777777" w:rsidR="00A222B4" w:rsidRDefault="00FA2C3A"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From the documents it was possible to ascertain that all residential properties in the estate are charged 0.121102% of the total estate charges (these are the Schedule 1 charges),  that all the residential flats in Marquess House are charged 0.467290% of the </w:t>
      </w:r>
      <w:r w:rsidR="00A222B4">
        <w:rPr>
          <w:rFonts w:ascii="Georgia" w:hAnsi="Georgia" w:cs="Arial"/>
        </w:rPr>
        <w:t>Block C external costs (these are the Schedule 6 charges), that all residential flats in Marquess House apart from those with their own separate entrances, are charged 0.490196% of the Block C internal costs (these are the Schedule 7 charges), and that all the residential flats in the estate are charged 0.123916% of the heating costs (the Schedule 11 charges).</w:t>
      </w:r>
    </w:p>
    <w:p w14:paraId="0706450A" w14:textId="77777777" w:rsidR="00A222B4" w:rsidRDefault="00A222B4" w:rsidP="00A222B4">
      <w:pPr>
        <w:tabs>
          <w:tab w:val="num" w:pos="709"/>
        </w:tabs>
        <w:autoSpaceDE w:val="0"/>
        <w:autoSpaceDN w:val="0"/>
        <w:adjustRightInd w:val="0"/>
        <w:ind w:left="709"/>
        <w:jc w:val="both"/>
        <w:rPr>
          <w:rFonts w:ascii="Georgia" w:hAnsi="Georgia" w:cs="Arial"/>
        </w:rPr>
      </w:pPr>
    </w:p>
    <w:p w14:paraId="72E38D5D" w14:textId="27E43B89" w:rsidR="00A222B4" w:rsidRDefault="00A222B4" w:rsidP="00A222B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After the hearing, and at the request of the Tribunal, the Respondent provided the figures for the total sums charged by way of service charges to the Applicant</w:t>
      </w:r>
      <w:r w:rsidR="006C7054">
        <w:rPr>
          <w:rFonts w:ascii="Georgia" w:hAnsi="Georgia" w:cs="Arial"/>
        </w:rPr>
        <w:t>, including balancing charges (or credits) for each year</w:t>
      </w:r>
      <w:r>
        <w:rPr>
          <w:rFonts w:ascii="Georgia" w:hAnsi="Georgia" w:cs="Arial"/>
        </w:rPr>
        <w:t xml:space="preserve"> as follows;</w:t>
      </w:r>
    </w:p>
    <w:p w14:paraId="03C641B9" w14:textId="67D402A3" w:rsidR="006C7054" w:rsidRDefault="00A222B4" w:rsidP="00A222B4">
      <w:pPr>
        <w:tabs>
          <w:tab w:val="num" w:pos="709"/>
        </w:tabs>
        <w:autoSpaceDE w:val="0"/>
        <w:autoSpaceDN w:val="0"/>
        <w:adjustRightInd w:val="0"/>
        <w:ind w:left="709"/>
        <w:jc w:val="both"/>
        <w:rPr>
          <w:rFonts w:ascii="Georgia" w:hAnsi="Georgia" w:cs="Arial"/>
        </w:rPr>
      </w:pPr>
      <w:r>
        <w:rPr>
          <w:rFonts w:ascii="Georgia" w:hAnsi="Georgia" w:cs="Arial"/>
        </w:rPr>
        <w:t xml:space="preserve">2021/2022 - </w:t>
      </w:r>
      <w:r w:rsidRPr="00A222B4">
        <w:rPr>
          <w:rFonts w:ascii="Georgia" w:hAnsi="Georgia" w:cs="Arial"/>
        </w:rPr>
        <w:t xml:space="preserve"> </w:t>
      </w:r>
      <w:r w:rsidR="006C7054">
        <w:rPr>
          <w:rFonts w:ascii="Georgia" w:hAnsi="Georgia" w:cs="Arial"/>
        </w:rPr>
        <w:t>£1,474.95 - this includes a balancing credit of £205.94</w:t>
      </w:r>
    </w:p>
    <w:p w14:paraId="4717B9CE" w14:textId="436BCF9C" w:rsidR="006C7054" w:rsidRDefault="006C7054" w:rsidP="00A222B4">
      <w:pPr>
        <w:tabs>
          <w:tab w:val="num" w:pos="709"/>
        </w:tabs>
        <w:autoSpaceDE w:val="0"/>
        <w:autoSpaceDN w:val="0"/>
        <w:adjustRightInd w:val="0"/>
        <w:ind w:left="709"/>
        <w:jc w:val="both"/>
        <w:rPr>
          <w:rFonts w:ascii="Georgia" w:hAnsi="Georgia" w:cs="Arial"/>
        </w:rPr>
      </w:pPr>
      <w:r>
        <w:rPr>
          <w:rFonts w:ascii="Georgia" w:hAnsi="Georgia" w:cs="Arial"/>
        </w:rPr>
        <w:t>2022/2023 - £2,199.35 – this includes a balancing charge of £286</w:t>
      </w:r>
    </w:p>
    <w:p w14:paraId="4D86CCFB" w14:textId="0601BDAE" w:rsidR="006C7054" w:rsidRDefault="006C7054" w:rsidP="00A222B4">
      <w:pPr>
        <w:tabs>
          <w:tab w:val="num" w:pos="709"/>
        </w:tabs>
        <w:autoSpaceDE w:val="0"/>
        <w:autoSpaceDN w:val="0"/>
        <w:adjustRightInd w:val="0"/>
        <w:ind w:left="709"/>
        <w:jc w:val="both"/>
        <w:rPr>
          <w:rFonts w:ascii="Georgia" w:hAnsi="Georgia" w:cs="Arial"/>
        </w:rPr>
      </w:pPr>
      <w:r>
        <w:rPr>
          <w:rFonts w:ascii="Georgia" w:hAnsi="Georgia" w:cs="Arial"/>
        </w:rPr>
        <w:t>2023/2024 - £2,845.20 – this includes a balancing charge of £324.40</w:t>
      </w:r>
    </w:p>
    <w:p w14:paraId="39F2625B" w14:textId="7B75107C" w:rsidR="006C7054" w:rsidRDefault="006C7054" w:rsidP="00A222B4">
      <w:pPr>
        <w:tabs>
          <w:tab w:val="num" w:pos="709"/>
        </w:tabs>
        <w:autoSpaceDE w:val="0"/>
        <w:autoSpaceDN w:val="0"/>
        <w:adjustRightInd w:val="0"/>
        <w:ind w:left="709"/>
        <w:jc w:val="both"/>
        <w:rPr>
          <w:rFonts w:ascii="Georgia" w:hAnsi="Georgia" w:cs="Arial"/>
        </w:rPr>
      </w:pPr>
      <w:r>
        <w:rPr>
          <w:rFonts w:ascii="Georgia" w:hAnsi="Georgia" w:cs="Arial"/>
        </w:rPr>
        <w:t>2024/2025 - £3,051.53 – this includes a balancing charge of £20.74</w:t>
      </w:r>
    </w:p>
    <w:p w14:paraId="6F4AB24F" w14:textId="316F3630" w:rsidR="006C7054" w:rsidRDefault="006C7054" w:rsidP="00A222B4">
      <w:pPr>
        <w:tabs>
          <w:tab w:val="num" w:pos="709"/>
        </w:tabs>
        <w:autoSpaceDE w:val="0"/>
        <w:autoSpaceDN w:val="0"/>
        <w:adjustRightInd w:val="0"/>
        <w:ind w:left="709"/>
        <w:jc w:val="both"/>
        <w:rPr>
          <w:rFonts w:ascii="Georgia" w:hAnsi="Georgia" w:cs="Arial"/>
        </w:rPr>
      </w:pPr>
      <w:r>
        <w:rPr>
          <w:rFonts w:ascii="Georgia" w:hAnsi="Georgia" w:cs="Arial"/>
        </w:rPr>
        <w:t>2025/2026 - £3,300.04</w:t>
      </w:r>
    </w:p>
    <w:p w14:paraId="1C68260D" w14:textId="77777777" w:rsidR="006C7054" w:rsidRDefault="006C7054" w:rsidP="00A222B4">
      <w:pPr>
        <w:tabs>
          <w:tab w:val="num" w:pos="709"/>
        </w:tabs>
        <w:autoSpaceDE w:val="0"/>
        <w:autoSpaceDN w:val="0"/>
        <w:adjustRightInd w:val="0"/>
        <w:ind w:left="709"/>
        <w:jc w:val="both"/>
        <w:rPr>
          <w:rFonts w:ascii="Georgia" w:hAnsi="Georgia" w:cs="Arial"/>
        </w:rPr>
      </w:pPr>
    </w:p>
    <w:p w14:paraId="591B6E44" w14:textId="0BD62646" w:rsidR="00C07065" w:rsidRPr="00C07065" w:rsidRDefault="006C7054" w:rsidP="00C07065">
      <w:pPr>
        <w:tabs>
          <w:tab w:val="num" w:pos="709"/>
        </w:tabs>
        <w:autoSpaceDE w:val="0"/>
        <w:autoSpaceDN w:val="0"/>
        <w:adjustRightInd w:val="0"/>
        <w:jc w:val="both"/>
        <w:rPr>
          <w:rFonts w:ascii="Georgia" w:hAnsi="Georgia" w:cs="Arial"/>
          <w:b/>
          <w:bCs/>
          <w:u w:val="single"/>
        </w:rPr>
      </w:pPr>
      <w:r>
        <w:rPr>
          <w:rFonts w:ascii="Georgia" w:hAnsi="Georgia" w:cs="Arial"/>
          <w:b/>
          <w:bCs/>
          <w:u w:val="single"/>
        </w:rPr>
        <w:t>The Tribunal’s Decision</w:t>
      </w:r>
    </w:p>
    <w:p w14:paraId="2688153D" w14:textId="77777777" w:rsidR="00E40F79" w:rsidRDefault="006C7054"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Bearing in mind the approach which the Tribunal must take in cases such as this, as explained above, the Tribunal invited the Applicant to identify in what ways, if any, he considered that the landlord’s decision to divide the service charges equally amongst the various properties on the estate was a decision which no reasonable landlord could make.  He was unable to do so.  Indeed, in the course of argument he said that he was not saying that a decision to split the costs equally was not a reasonable one</w:t>
      </w:r>
      <w:r w:rsidR="00E40F79">
        <w:rPr>
          <w:rFonts w:ascii="Georgia" w:hAnsi="Georgia" w:cs="Arial"/>
        </w:rPr>
        <w:t>.</w:t>
      </w:r>
    </w:p>
    <w:p w14:paraId="14746A16" w14:textId="77777777" w:rsidR="00E40F79" w:rsidRDefault="00E40F79" w:rsidP="00E40F79">
      <w:pPr>
        <w:tabs>
          <w:tab w:val="num" w:pos="709"/>
        </w:tabs>
        <w:autoSpaceDE w:val="0"/>
        <w:autoSpaceDN w:val="0"/>
        <w:adjustRightInd w:val="0"/>
        <w:ind w:left="709"/>
        <w:jc w:val="both"/>
        <w:rPr>
          <w:rFonts w:ascii="Georgia" w:hAnsi="Georgia" w:cs="Arial"/>
        </w:rPr>
      </w:pPr>
    </w:p>
    <w:p w14:paraId="114B9C3B" w14:textId="77777777" w:rsidR="00E40F79" w:rsidRDefault="00E40F79"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The Tribunal itself also considered the scope of the services which the landlord may charge for – which are set out in Schedule 7 of the lease.  It could not identify anything in this schedule which it considered it would be manifestly unreasonable for the landlord to split equally amongst all residential properties.</w:t>
      </w:r>
    </w:p>
    <w:p w14:paraId="6F3C17FC" w14:textId="77777777" w:rsidR="00E40F79" w:rsidRDefault="00E40F79" w:rsidP="00E40F79">
      <w:pPr>
        <w:tabs>
          <w:tab w:val="num" w:pos="709"/>
        </w:tabs>
        <w:autoSpaceDE w:val="0"/>
        <w:autoSpaceDN w:val="0"/>
        <w:adjustRightInd w:val="0"/>
        <w:ind w:left="709"/>
        <w:jc w:val="both"/>
        <w:rPr>
          <w:rFonts w:ascii="Georgia" w:hAnsi="Georgia" w:cs="Arial"/>
        </w:rPr>
      </w:pPr>
    </w:p>
    <w:p w14:paraId="288A7055" w14:textId="77777777" w:rsidR="00DC09A6" w:rsidRDefault="00E40F79"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The Tribunal also bore in mind the Applicant’s arguments that the Respondent had failed to show that it had actively considered how to apportion the service charges and had not shown any subsequent review of that decision.  However, in its view this did not change the situation as far as the validity of the apportionment was concerned.  The fact that it could not be shown that the Respondent’s decision to apportion service charges equally was one which no reasonable landlord could take was determinative of the application.  Whilst the definition of the term “service charge” in the lease enabled the </w:t>
      </w:r>
      <w:r w:rsidR="00DC09A6">
        <w:rPr>
          <w:rFonts w:ascii="Georgia" w:hAnsi="Georgia" w:cs="Arial"/>
        </w:rPr>
        <w:t xml:space="preserve">Respondent to </w:t>
      </w:r>
      <w:r w:rsidR="00DC09A6">
        <w:rPr>
          <w:rFonts w:ascii="Georgia" w:hAnsi="Georgia" w:cs="Arial"/>
        </w:rPr>
        <w:lastRenderedPageBreak/>
        <w:t>determine the proper proportion “from time to time”, this did not impose any obligation to make a determination at any particular time.  The provision is permissive only and is clearly designed to enable the Respondent to deal with possible future changes in circumstances.  The current apportionment cannot be challenged simply because it has not been changed, or even considered, since the lease was first entered into.  Similarly, it is not necessary for the Respondent to show why it has decided to adopt the apportionment it has if that apportionment is itself within the scope of reasonable apportionments which a landlord could make.</w:t>
      </w:r>
    </w:p>
    <w:p w14:paraId="568A7000" w14:textId="77777777" w:rsidR="00DC09A6" w:rsidRDefault="00DC09A6" w:rsidP="00DC09A6">
      <w:pPr>
        <w:tabs>
          <w:tab w:val="num" w:pos="709"/>
        </w:tabs>
        <w:autoSpaceDE w:val="0"/>
        <w:autoSpaceDN w:val="0"/>
        <w:adjustRightInd w:val="0"/>
        <w:ind w:left="709"/>
        <w:jc w:val="both"/>
        <w:rPr>
          <w:rFonts w:ascii="Georgia" w:hAnsi="Georgia" w:cs="Arial"/>
        </w:rPr>
      </w:pPr>
    </w:p>
    <w:p w14:paraId="7E513378" w14:textId="77777777" w:rsidR="00DC09A6" w:rsidRDefault="00DC09A6"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It follows from all this, and the Applicant’s own concession that he was not challenging any particular item of expenditure, that the Tribunal was satisfied that the service charges as demanded were payable by the Applicant.</w:t>
      </w:r>
    </w:p>
    <w:p w14:paraId="3BF6FF34" w14:textId="77777777" w:rsidR="00DC09A6" w:rsidRDefault="00DC09A6" w:rsidP="00DC09A6">
      <w:pPr>
        <w:tabs>
          <w:tab w:val="num" w:pos="709"/>
        </w:tabs>
        <w:autoSpaceDE w:val="0"/>
        <w:autoSpaceDN w:val="0"/>
        <w:adjustRightInd w:val="0"/>
        <w:ind w:left="709"/>
        <w:jc w:val="both"/>
        <w:rPr>
          <w:rFonts w:ascii="Georgia" w:hAnsi="Georgia" w:cs="Arial"/>
        </w:rPr>
      </w:pPr>
    </w:p>
    <w:p w14:paraId="3B132D5A" w14:textId="04481512" w:rsidR="002C586D" w:rsidRPr="002D33C8" w:rsidRDefault="002C586D" w:rsidP="00223DD4">
      <w:pPr>
        <w:autoSpaceDE w:val="0"/>
        <w:autoSpaceDN w:val="0"/>
        <w:adjustRightInd w:val="0"/>
        <w:jc w:val="both"/>
        <w:rPr>
          <w:rFonts w:ascii="Georgia" w:hAnsi="Georgia" w:cs="Arial"/>
          <w:b/>
          <w:u w:val="single"/>
        </w:rPr>
      </w:pPr>
      <w:r w:rsidRPr="002D33C8">
        <w:rPr>
          <w:rFonts w:ascii="Georgia" w:hAnsi="Georgia" w:cs="Arial"/>
          <w:b/>
          <w:u w:val="single"/>
        </w:rPr>
        <w:t>Application</w:t>
      </w:r>
      <w:r>
        <w:rPr>
          <w:rFonts w:ascii="Georgia" w:hAnsi="Georgia" w:cs="Arial"/>
          <w:b/>
          <w:u w:val="single"/>
        </w:rPr>
        <w:t>s</w:t>
      </w:r>
      <w:r w:rsidRPr="002D33C8">
        <w:rPr>
          <w:rFonts w:ascii="Georgia" w:hAnsi="Georgia" w:cs="Arial"/>
          <w:b/>
          <w:u w:val="single"/>
        </w:rPr>
        <w:t xml:space="preserve"> under s.20C </w:t>
      </w:r>
      <w:r>
        <w:rPr>
          <w:rFonts w:ascii="Georgia" w:hAnsi="Georgia" w:cs="Arial"/>
          <w:b/>
          <w:u w:val="single"/>
        </w:rPr>
        <w:t xml:space="preserve">of the 1985 Act </w:t>
      </w:r>
      <w:r w:rsidRPr="002D33C8">
        <w:rPr>
          <w:rFonts w:ascii="Georgia" w:hAnsi="Georgia" w:cs="Arial"/>
          <w:b/>
          <w:u w:val="single"/>
        </w:rPr>
        <w:t xml:space="preserve">and </w:t>
      </w:r>
      <w:r>
        <w:rPr>
          <w:rFonts w:ascii="Georgia" w:hAnsi="Georgia" w:cs="Arial"/>
          <w:b/>
          <w:u w:val="single"/>
        </w:rPr>
        <w:t>Para 5A of Schedule 11 of the 2002 Act</w:t>
      </w:r>
    </w:p>
    <w:p w14:paraId="7A78C408" w14:textId="08C99490" w:rsidR="002C586D" w:rsidRPr="003567D0" w:rsidRDefault="002C586D" w:rsidP="00223DD4">
      <w:pPr>
        <w:numPr>
          <w:ilvl w:val="0"/>
          <w:numId w:val="8"/>
        </w:numPr>
        <w:tabs>
          <w:tab w:val="num" w:pos="709"/>
        </w:tabs>
        <w:autoSpaceDE w:val="0"/>
        <w:autoSpaceDN w:val="0"/>
        <w:adjustRightInd w:val="0"/>
        <w:ind w:left="709" w:hanging="709"/>
        <w:jc w:val="both"/>
        <w:rPr>
          <w:rFonts w:ascii="Georgia" w:hAnsi="Georgia" w:cs="Arial"/>
          <w:u w:val="single"/>
        </w:rPr>
      </w:pPr>
      <w:r w:rsidRPr="003567D0">
        <w:rPr>
          <w:rFonts w:ascii="Georgia" w:hAnsi="Georgia" w:cs="Arial"/>
        </w:rPr>
        <w:t xml:space="preserve">In </w:t>
      </w:r>
      <w:r w:rsidR="00DC09A6">
        <w:rPr>
          <w:rFonts w:ascii="Georgia" w:hAnsi="Georgia" w:cs="Arial"/>
        </w:rPr>
        <w:t>his</w:t>
      </w:r>
      <w:r w:rsidR="003567D0" w:rsidRPr="003567D0">
        <w:rPr>
          <w:rFonts w:ascii="Georgia" w:hAnsi="Georgia" w:cs="Arial"/>
        </w:rPr>
        <w:t xml:space="preserve"> app</w:t>
      </w:r>
      <w:r w:rsidRPr="003567D0">
        <w:rPr>
          <w:rFonts w:ascii="Georgia" w:hAnsi="Georgia" w:cs="Arial"/>
        </w:rPr>
        <w:t xml:space="preserve">lication the Applicant applied for an order under section 20C of the 1985 Act and for an order under para 5A of Schedule 11 of the Commonhold and Leasehold Reform Act 2002. </w:t>
      </w:r>
    </w:p>
    <w:p w14:paraId="4C69A92C" w14:textId="77777777" w:rsidR="003567D0" w:rsidRPr="003567D0" w:rsidRDefault="003567D0" w:rsidP="00223DD4">
      <w:pPr>
        <w:autoSpaceDE w:val="0"/>
        <w:autoSpaceDN w:val="0"/>
        <w:adjustRightInd w:val="0"/>
        <w:ind w:left="709"/>
        <w:jc w:val="both"/>
        <w:rPr>
          <w:rFonts w:ascii="Georgia" w:hAnsi="Georgia" w:cs="Arial"/>
          <w:u w:val="single"/>
        </w:rPr>
      </w:pPr>
    </w:p>
    <w:p w14:paraId="4B507F78" w14:textId="77777777" w:rsidR="00DC09A6" w:rsidRDefault="00DC09A6"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Normally the Tribunal would not consider making such orders in a case in which the Applicant has not been successful.  However, in this case there were exceptional circumstances which led the Tribunal to take a different course.</w:t>
      </w:r>
    </w:p>
    <w:p w14:paraId="66CC3605" w14:textId="77777777" w:rsidR="0002422F" w:rsidRDefault="0002422F" w:rsidP="0002422F">
      <w:pPr>
        <w:tabs>
          <w:tab w:val="num" w:pos="709"/>
        </w:tabs>
        <w:autoSpaceDE w:val="0"/>
        <w:autoSpaceDN w:val="0"/>
        <w:adjustRightInd w:val="0"/>
        <w:ind w:left="709"/>
        <w:jc w:val="both"/>
        <w:rPr>
          <w:rFonts w:ascii="Georgia" w:hAnsi="Georgia" w:cs="Arial"/>
        </w:rPr>
      </w:pPr>
    </w:p>
    <w:p w14:paraId="2DD02E37" w14:textId="4341490A" w:rsidR="00DC09A6" w:rsidRDefault="00DC09A6"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It was obvious to the Tribunal that the Respondent had failed to engage meaningfully with both the Applicant and the Tribunal since the application was made.  No statement of case was provided and it was only after specific requests made by the Tribunal in the course of the hearing that the actual percentage apportionments were disclosed to the Applicant.  Throughout the hearing </w:t>
      </w:r>
      <w:r w:rsidR="0002422F">
        <w:rPr>
          <w:rFonts w:ascii="Georgia" w:hAnsi="Georgia" w:cs="Arial"/>
        </w:rPr>
        <w:t>t</w:t>
      </w:r>
      <w:r>
        <w:rPr>
          <w:rFonts w:ascii="Georgia" w:hAnsi="Georgia" w:cs="Arial"/>
        </w:rPr>
        <w:t>he Applicant observed that much of what was being produced and said by the Respondent had not been provided previously.</w:t>
      </w:r>
    </w:p>
    <w:p w14:paraId="0D457E83" w14:textId="7D419582" w:rsidR="00DC09A6" w:rsidRDefault="00DC09A6" w:rsidP="00DC09A6">
      <w:pPr>
        <w:tabs>
          <w:tab w:val="num" w:pos="709"/>
        </w:tabs>
        <w:autoSpaceDE w:val="0"/>
        <w:autoSpaceDN w:val="0"/>
        <w:adjustRightInd w:val="0"/>
        <w:ind w:left="709"/>
        <w:jc w:val="both"/>
        <w:rPr>
          <w:rFonts w:ascii="Georgia" w:hAnsi="Georgia" w:cs="Arial"/>
        </w:rPr>
      </w:pPr>
    </w:p>
    <w:p w14:paraId="0EB2BA39" w14:textId="77777777" w:rsidR="003A62F4" w:rsidRDefault="00DC09A6"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The Tribunal took the view that had the Respondent co-operated more in the process this hearing may well have been unnecessary and the Applicant may well </w:t>
      </w:r>
      <w:r w:rsidR="003A62F4">
        <w:rPr>
          <w:rFonts w:ascii="Georgia" w:hAnsi="Georgia" w:cs="Arial"/>
        </w:rPr>
        <w:t>not have pursued his case.</w:t>
      </w:r>
    </w:p>
    <w:p w14:paraId="5ABCC2BB" w14:textId="77777777" w:rsidR="003A62F4" w:rsidRDefault="003A62F4" w:rsidP="003A62F4">
      <w:pPr>
        <w:tabs>
          <w:tab w:val="num" w:pos="709"/>
        </w:tabs>
        <w:autoSpaceDE w:val="0"/>
        <w:autoSpaceDN w:val="0"/>
        <w:adjustRightInd w:val="0"/>
        <w:ind w:left="709"/>
        <w:jc w:val="both"/>
        <w:rPr>
          <w:rFonts w:ascii="Georgia" w:hAnsi="Georgia" w:cs="Arial"/>
        </w:rPr>
      </w:pPr>
    </w:p>
    <w:p w14:paraId="0901E38C" w14:textId="20B209F3" w:rsidR="004C1B1C" w:rsidRDefault="003A62F4" w:rsidP="004F052D">
      <w:pPr>
        <w:numPr>
          <w:ilvl w:val="0"/>
          <w:numId w:val="8"/>
        </w:numPr>
        <w:tabs>
          <w:tab w:val="num" w:pos="709"/>
        </w:tabs>
        <w:autoSpaceDE w:val="0"/>
        <w:autoSpaceDN w:val="0"/>
        <w:adjustRightInd w:val="0"/>
        <w:ind w:left="709" w:hanging="709"/>
        <w:jc w:val="both"/>
        <w:rPr>
          <w:rFonts w:ascii="Georgia" w:hAnsi="Georgia" w:cs="Arial"/>
        </w:rPr>
      </w:pPr>
      <w:r w:rsidRPr="003A62F4">
        <w:rPr>
          <w:rFonts w:ascii="Georgia" w:hAnsi="Georgia" w:cs="Arial"/>
        </w:rPr>
        <w:t xml:space="preserve">In the particular circumstances of the case </w:t>
      </w:r>
      <w:r w:rsidR="00114E94" w:rsidRPr="003A62F4">
        <w:rPr>
          <w:rFonts w:ascii="Georgia" w:hAnsi="Georgia" w:cs="Arial"/>
        </w:rPr>
        <w:t>the Tribunal concluded that it was just and equitable to make such orders</w:t>
      </w:r>
      <w:r w:rsidRPr="003A62F4">
        <w:rPr>
          <w:rFonts w:ascii="Georgia" w:hAnsi="Georgia" w:cs="Arial"/>
        </w:rPr>
        <w:t xml:space="preserve">. </w:t>
      </w:r>
      <w:r w:rsidR="00114E94" w:rsidRPr="003A62F4">
        <w:rPr>
          <w:rFonts w:ascii="Georgia" w:hAnsi="Georgia" w:cs="Arial"/>
        </w:rPr>
        <w:t xml:space="preserve"> </w:t>
      </w:r>
    </w:p>
    <w:p w14:paraId="1C77D85D" w14:textId="77777777" w:rsidR="003A62F4" w:rsidRPr="003A62F4" w:rsidRDefault="003A62F4" w:rsidP="003A62F4">
      <w:pPr>
        <w:tabs>
          <w:tab w:val="num" w:pos="709"/>
        </w:tabs>
        <w:autoSpaceDE w:val="0"/>
        <w:autoSpaceDN w:val="0"/>
        <w:adjustRightInd w:val="0"/>
        <w:ind w:left="709"/>
        <w:jc w:val="both"/>
        <w:rPr>
          <w:rFonts w:ascii="Georgia" w:hAnsi="Georgia" w:cs="Arial"/>
        </w:rPr>
      </w:pPr>
    </w:p>
    <w:p w14:paraId="0C11ED01" w14:textId="61022CCB" w:rsidR="00742C2E" w:rsidRPr="00A354B9" w:rsidRDefault="004C1B1C" w:rsidP="00223DD4">
      <w:pPr>
        <w:numPr>
          <w:ilvl w:val="0"/>
          <w:numId w:val="8"/>
        </w:numPr>
        <w:tabs>
          <w:tab w:val="num" w:pos="709"/>
        </w:tabs>
        <w:autoSpaceDE w:val="0"/>
        <w:autoSpaceDN w:val="0"/>
        <w:adjustRightInd w:val="0"/>
        <w:ind w:left="709" w:hanging="709"/>
        <w:jc w:val="both"/>
        <w:rPr>
          <w:rFonts w:ascii="Georgia" w:hAnsi="Georgia" w:cs="Arial"/>
        </w:rPr>
      </w:pPr>
      <w:r>
        <w:rPr>
          <w:rFonts w:ascii="Georgia" w:hAnsi="Georgia" w:cs="Arial"/>
        </w:rPr>
        <w:t xml:space="preserve">For similar reasons the Tribunal was satisfied that it should make an order </w:t>
      </w:r>
      <w:r w:rsidR="00742C2E" w:rsidRPr="00A354B9">
        <w:rPr>
          <w:rFonts w:ascii="Georgia" w:hAnsi="Georgia" w:cs="Arial"/>
        </w:rPr>
        <w:t xml:space="preserve">under rule </w:t>
      </w:r>
      <w:r w:rsidR="008345B2" w:rsidRPr="00A354B9">
        <w:rPr>
          <w:rFonts w:ascii="Georgia" w:hAnsi="Georgia" w:cs="Arial"/>
        </w:rPr>
        <w:t xml:space="preserve">13(2) of the Tribunal Procedure (First-tier Tribunal) (Property Chamber) Rules 2013 for the re-imbursement of the fees paid for bringing the Application.  </w:t>
      </w:r>
    </w:p>
    <w:p w14:paraId="62B1F5E7" w14:textId="77777777" w:rsidR="00742C2E" w:rsidRPr="00742C2E" w:rsidRDefault="00742C2E" w:rsidP="00223DD4">
      <w:pPr>
        <w:autoSpaceDE w:val="0"/>
        <w:autoSpaceDN w:val="0"/>
        <w:adjustRightInd w:val="0"/>
        <w:jc w:val="both"/>
        <w:rPr>
          <w:rFonts w:ascii="Georgia" w:hAnsi="Georgia" w:cs="Arial"/>
          <w:b/>
          <w:bCs/>
        </w:rPr>
      </w:pPr>
    </w:p>
    <w:tbl>
      <w:tblPr>
        <w:tblStyle w:val="TableGrid"/>
        <w:tblW w:w="8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2"/>
        <w:gridCol w:w="2944"/>
        <w:gridCol w:w="1341"/>
        <w:gridCol w:w="2948"/>
      </w:tblGrid>
      <w:tr w:rsidR="004A72F5" w:rsidRPr="00D274B6" w14:paraId="73FEA7A1" w14:textId="77777777" w:rsidTr="00CF0D0D">
        <w:trPr>
          <w:trHeight w:val="587"/>
        </w:trPr>
        <w:tc>
          <w:tcPr>
            <w:tcW w:w="1362" w:type="dxa"/>
            <w:vAlign w:val="center"/>
          </w:tcPr>
          <w:p w14:paraId="1D41A9F3" w14:textId="77777777" w:rsidR="004A72F5" w:rsidRPr="00D274B6" w:rsidRDefault="004A72F5" w:rsidP="00CF0D0D">
            <w:pPr>
              <w:rPr>
                <w:rFonts w:ascii="Georgia" w:hAnsi="Georgia" w:cs="Arial"/>
                <w:b/>
              </w:rPr>
            </w:pPr>
            <w:r w:rsidRPr="00D274B6">
              <w:rPr>
                <w:rFonts w:ascii="Georgia" w:hAnsi="Georgia" w:cs="Arial"/>
                <w:b/>
              </w:rPr>
              <w:t>Name:</w:t>
            </w:r>
          </w:p>
        </w:tc>
        <w:tc>
          <w:tcPr>
            <w:tcW w:w="2944" w:type="dxa"/>
            <w:vAlign w:val="center"/>
          </w:tcPr>
          <w:p w14:paraId="4029629E" w14:textId="47B34ACE" w:rsidR="004C3998" w:rsidRDefault="004C3998" w:rsidP="00CF0D0D">
            <w:pPr>
              <w:rPr>
                <w:rFonts w:ascii="Georgia" w:hAnsi="Georgia" w:cs="Arial"/>
              </w:rPr>
            </w:pPr>
            <w:r>
              <w:rPr>
                <w:rFonts w:ascii="Georgia" w:hAnsi="Georgia" w:cs="Arial"/>
              </w:rPr>
              <w:t xml:space="preserve">Judge </w:t>
            </w:r>
          </w:p>
          <w:p w14:paraId="7B218EF7" w14:textId="124A1C39" w:rsidR="004A72F5" w:rsidRPr="00D274B6" w:rsidRDefault="004C3998" w:rsidP="00CF0D0D">
            <w:pPr>
              <w:rPr>
                <w:rFonts w:ascii="Georgia" w:hAnsi="Georgia" w:cs="Arial"/>
              </w:rPr>
            </w:pPr>
            <w:r>
              <w:rPr>
                <w:rFonts w:ascii="Georgia" w:hAnsi="Georgia" w:cs="Arial"/>
              </w:rPr>
              <w:t>S.J. Walker</w:t>
            </w:r>
          </w:p>
        </w:tc>
        <w:tc>
          <w:tcPr>
            <w:tcW w:w="1341" w:type="dxa"/>
            <w:vAlign w:val="center"/>
          </w:tcPr>
          <w:p w14:paraId="517682B4" w14:textId="77777777" w:rsidR="004A72F5" w:rsidRPr="00D274B6" w:rsidRDefault="004A72F5" w:rsidP="00CF0D0D">
            <w:pPr>
              <w:rPr>
                <w:rFonts w:ascii="Georgia" w:hAnsi="Georgia" w:cs="Arial"/>
                <w:b/>
              </w:rPr>
            </w:pPr>
            <w:r w:rsidRPr="00D274B6">
              <w:rPr>
                <w:rFonts w:ascii="Georgia" w:hAnsi="Georgia" w:cs="Arial"/>
                <w:b/>
              </w:rPr>
              <w:t>Date:</w:t>
            </w:r>
            <w:r>
              <w:rPr>
                <w:rFonts w:ascii="Georgia" w:hAnsi="Georgia" w:cs="Arial"/>
              </w:rPr>
              <w:t xml:space="preserve"> </w:t>
            </w:r>
          </w:p>
        </w:tc>
        <w:tc>
          <w:tcPr>
            <w:tcW w:w="2948" w:type="dxa"/>
            <w:vAlign w:val="center"/>
          </w:tcPr>
          <w:p w14:paraId="4A811FA9" w14:textId="77777777" w:rsidR="004A72F5" w:rsidRDefault="004A72F5" w:rsidP="00CF0D0D">
            <w:pPr>
              <w:rPr>
                <w:rFonts w:ascii="Georgia" w:hAnsi="Georgia" w:cs="Arial"/>
              </w:rPr>
            </w:pPr>
          </w:p>
          <w:p w14:paraId="56A8824A" w14:textId="14A09FF3" w:rsidR="004A72F5" w:rsidRDefault="003A62F4" w:rsidP="00CF0D0D">
            <w:pPr>
              <w:rPr>
                <w:rFonts w:ascii="Georgia" w:hAnsi="Georgia" w:cs="Arial"/>
              </w:rPr>
            </w:pPr>
            <w:r>
              <w:rPr>
                <w:rFonts w:ascii="Georgia" w:hAnsi="Georgia" w:cs="Arial"/>
              </w:rPr>
              <w:t>31</w:t>
            </w:r>
            <w:r w:rsidR="004C1B1C">
              <w:rPr>
                <w:rFonts w:ascii="Georgia" w:hAnsi="Georgia" w:cs="Arial"/>
              </w:rPr>
              <w:t xml:space="preserve"> August</w:t>
            </w:r>
            <w:r w:rsidR="00FF1381">
              <w:rPr>
                <w:rFonts w:ascii="Georgia" w:hAnsi="Georgia" w:cs="Arial"/>
              </w:rPr>
              <w:t xml:space="preserve"> 202</w:t>
            </w:r>
            <w:r w:rsidR="00A354B9">
              <w:rPr>
                <w:rFonts w:ascii="Georgia" w:hAnsi="Georgia" w:cs="Arial"/>
              </w:rPr>
              <w:t>6</w:t>
            </w:r>
          </w:p>
          <w:p w14:paraId="199B404E" w14:textId="77777777" w:rsidR="004A72F5" w:rsidRPr="00D274B6" w:rsidRDefault="004A72F5" w:rsidP="00CF0D0D">
            <w:pPr>
              <w:rPr>
                <w:rFonts w:ascii="Georgia" w:hAnsi="Georgia" w:cs="Arial"/>
              </w:rPr>
            </w:pPr>
          </w:p>
        </w:tc>
      </w:tr>
    </w:tbl>
    <w:p w14:paraId="43DBECD7" w14:textId="3C7D9E89" w:rsidR="000927B4" w:rsidRDefault="000927B4" w:rsidP="000927B4">
      <w:pPr>
        <w:rPr>
          <w:rFonts w:ascii="Georgia" w:hAnsi="Georgia"/>
        </w:rPr>
      </w:pPr>
    </w:p>
    <w:p w14:paraId="3A37B3E7" w14:textId="5A089FAA" w:rsidR="004124B1" w:rsidRDefault="004124B1" w:rsidP="000927B4">
      <w:pPr>
        <w:rPr>
          <w:rFonts w:ascii="Georgia" w:hAnsi="Georgia"/>
        </w:rPr>
      </w:pPr>
    </w:p>
    <w:p w14:paraId="17E21181" w14:textId="77777777" w:rsidR="00FF1381" w:rsidRDefault="00FF1381" w:rsidP="000927B4">
      <w:pPr>
        <w:rPr>
          <w:rFonts w:ascii="Georgia" w:hAnsi="Georgia"/>
        </w:rPr>
      </w:pPr>
    </w:p>
    <w:p w14:paraId="690BA91D" w14:textId="77777777" w:rsidR="004124B1" w:rsidRPr="00D274B6" w:rsidRDefault="004124B1" w:rsidP="000927B4">
      <w:pPr>
        <w:rPr>
          <w:rFonts w:ascii="Georgia" w:hAnsi="Georgia"/>
        </w:rPr>
      </w:pPr>
    </w:p>
    <w:p w14:paraId="6719BB0F" w14:textId="77777777" w:rsidR="00B6245D" w:rsidRDefault="00B6245D" w:rsidP="00B6245D">
      <w:pPr>
        <w:autoSpaceDE w:val="0"/>
        <w:autoSpaceDN w:val="0"/>
        <w:adjustRightInd w:val="0"/>
        <w:jc w:val="center"/>
        <w:rPr>
          <w:rFonts w:ascii="Georgia" w:hAnsi="Georgia" w:cs="Georgia"/>
          <w:b/>
          <w:bCs/>
          <w:u w:val="single"/>
        </w:rPr>
      </w:pPr>
      <w:r>
        <w:rPr>
          <w:rFonts w:ascii="Georgia" w:hAnsi="Georgia" w:cs="Georgia"/>
          <w:b/>
          <w:bCs/>
          <w:u w:val="single"/>
        </w:rPr>
        <w:lastRenderedPageBreak/>
        <w:t>ANNEX - RIGHTS OF APPEAL</w:t>
      </w:r>
    </w:p>
    <w:p w14:paraId="612A2F2D" w14:textId="77777777" w:rsidR="00B6245D" w:rsidRDefault="00B6245D" w:rsidP="00B6245D">
      <w:pPr>
        <w:autoSpaceDE w:val="0"/>
        <w:autoSpaceDN w:val="0"/>
        <w:adjustRightInd w:val="0"/>
        <w:jc w:val="both"/>
        <w:rPr>
          <w:rFonts w:ascii="Georgia" w:hAnsi="Georgia" w:cs="Georgia"/>
          <w:b/>
          <w:bCs/>
          <w:u w:val="single"/>
        </w:rPr>
      </w:pPr>
    </w:p>
    <w:p w14:paraId="2A60AD70" w14:textId="77777777" w:rsidR="00B6245D" w:rsidRPr="00545473" w:rsidRDefault="00B6245D" w:rsidP="00B6245D">
      <w:pPr>
        <w:numPr>
          <w:ilvl w:val="0"/>
          <w:numId w:val="11"/>
        </w:numPr>
        <w:tabs>
          <w:tab w:val="left" w:pos="720"/>
        </w:tabs>
        <w:autoSpaceDE w:val="0"/>
        <w:autoSpaceDN w:val="0"/>
        <w:adjustRightInd w:val="0"/>
        <w:ind w:left="720" w:hanging="360"/>
        <w:jc w:val="both"/>
        <w:rPr>
          <w:rFonts w:ascii="Georgia" w:hAnsi="Georgia" w:cs="Georgia"/>
        </w:rPr>
      </w:pPr>
      <w:r w:rsidRPr="00545473">
        <w:rPr>
          <w:rFonts w:ascii="Georgia" w:hAnsi="Georgia" w:cs="Georgia"/>
        </w:rPr>
        <w:t xml:space="preserve">The Tribunal is required to set out rights of appeal against its decisions by virtue of the </w:t>
      </w:r>
      <w:r>
        <w:rPr>
          <w:rFonts w:ascii="Georgia" w:hAnsi="Georgia" w:cs="Georgia"/>
        </w:rPr>
        <w:t xml:space="preserve">rule 36 (2)(c) of the </w:t>
      </w:r>
      <w:r w:rsidRPr="00545473">
        <w:rPr>
          <w:rFonts w:ascii="Georgia" w:hAnsi="Georgia" w:cs="Georgia"/>
        </w:rPr>
        <w:t xml:space="preserve">Tribunal </w:t>
      </w:r>
      <w:r>
        <w:rPr>
          <w:rFonts w:ascii="Georgia" w:hAnsi="Georgia" w:cs="Georgia"/>
        </w:rPr>
        <w:t xml:space="preserve">Procedure (First-tier Tribunal)(Property Chamber) </w:t>
      </w:r>
      <w:r w:rsidRPr="00545473">
        <w:rPr>
          <w:rFonts w:ascii="Georgia" w:hAnsi="Georgia" w:cs="Georgia"/>
        </w:rPr>
        <w:t xml:space="preserve">Rules </w:t>
      </w:r>
      <w:r>
        <w:rPr>
          <w:rFonts w:ascii="Georgia" w:hAnsi="Georgia" w:cs="Georgia"/>
        </w:rPr>
        <w:t xml:space="preserve">2013 </w:t>
      </w:r>
      <w:r w:rsidRPr="00545473">
        <w:rPr>
          <w:rFonts w:ascii="Georgia" w:hAnsi="Georgia" w:cs="Georgia"/>
        </w:rPr>
        <w:t xml:space="preserve">and these are set out below. </w:t>
      </w:r>
    </w:p>
    <w:p w14:paraId="59EA5E3A" w14:textId="77777777" w:rsidR="00B6245D" w:rsidRDefault="00B6245D" w:rsidP="00B6245D">
      <w:pPr>
        <w:tabs>
          <w:tab w:val="left" w:pos="720"/>
        </w:tabs>
        <w:autoSpaceDE w:val="0"/>
        <w:autoSpaceDN w:val="0"/>
        <w:adjustRightInd w:val="0"/>
        <w:ind w:left="360"/>
        <w:jc w:val="both"/>
        <w:rPr>
          <w:rFonts w:ascii="Georgia" w:hAnsi="Georgia" w:cs="Georgia"/>
        </w:rPr>
      </w:pPr>
    </w:p>
    <w:p w14:paraId="0F2DCE49" w14:textId="77777777" w:rsidR="00B6245D" w:rsidRDefault="00B6245D" w:rsidP="00B6245D">
      <w:pPr>
        <w:numPr>
          <w:ilvl w:val="0"/>
          <w:numId w:val="11"/>
        </w:numPr>
        <w:tabs>
          <w:tab w:val="left" w:pos="720"/>
        </w:tabs>
        <w:autoSpaceDE w:val="0"/>
        <w:autoSpaceDN w:val="0"/>
        <w:adjustRightInd w:val="0"/>
        <w:ind w:left="720" w:hanging="360"/>
        <w:jc w:val="both"/>
        <w:rPr>
          <w:rFonts w:ascii="Georgia" w:hAnsi="Georgia" w:cs="Georgia"/>
        </w:rPr>
      </w:pPr>
      <w:r>
        <w:rPr>
          <w:rFonts w:ascii="Georgia" w:hAnsi="Georgia" w:cs="Georgia"/>
        </w:rPr>
        <w:t>If a party wishes to appeal against this decision to the Upper Tribunal (Lands Chamber) then a written application for permission must be made to the First-tier Tribunal at the Regional office which has been dealing with the case.</w:t>
      </w:r>
    </w:p>
    <w:p w14:paraId="6B4F799E" w14:textId="77777777" w:rsidR="00B6245D" w:rsidRDefault="00B6245D" w:rsidP="00B6245D">
      <w:pPr>
        <w:autoSpaceDE w:val="0"/>
        <w:autoSpaceDN w:val="0"/>
        <w:adjustRightInd w:val="0"/>
        <w:jc w:val="both"/>
        <w:rPr>
          <w:rFonts w:ascii="Georgia" w:hAnsi="Georgia" w:cs="Georgia"/>
        </w:rPr>
      </w:pPr>
    </w:p>
    <w:p w14:paraId="62F99DF4" w14:textId="77777777" w:rsidR="00B6245D" w:rsidRPr="008E74B3" w:rsidRDefault="00B6245D" w:rsidP="008E74B3">
      <w:pPr>
        <w:numPr>
          <w:ilvl w:val="0"/>
          <w:numId w:val="11"/>
        </w:numPr>
        <w:tabs>
          <w:tab w:val="left" w:pos="720"/>
        </w:tabs>
        <w:autoSpaceDE w:val="0"/>
        <w:autoSpaceDN w:val="0"/>
        <w:adjustRightInd w:val="0"/>
        <w:ind w:left="720" w:hanging="360"/>
        <w:jc w:val="both"/>
        <w:rPr>
          <w:rFonts w:ascii="Georgia" w:hAnsi="Georgia" w:cs="Georgia"/>
        </w:rPr>
      </w:pPr>
      <w:r w:rsidRPr="008E74B3">
        <w:rPr>
          <w:rFonts w:ascii="Georgia" w:hAnsi="Georgia" w:cs="Georgia"/>
        </w:rPr>
        <w:t>The application for permission to appeal must arrive at the Regional office within 28 days after the Tribunal sends written reasons for the decision to the person making the application.</w:t>
      </w:r>
    </w:p>
    <w:p w14:paraId="1D2D87B6" w14:textId="77777777" w:rsidR="00B6245D" w:rsidRDefault="00B6245D" w:rsidP="00B6245D">
      <w:pPr>
        <w:autoSpaceDE w:val="0"/>
        <w:autoSpaceDN w:val="0"/>
        <w:adjustRightInd w:val="0"/>
        <w:jc w:val="both"/>
        <w:rPr>
          <w:rFonts w:ascii="Georgia" w:hAnsi="Georgia" w:cs="Georgia"/>
        </w:rPr>
      </w:pPr>
    </w:p>
    <w:p w14:paraId="76BC246F" w14:textId="77777777" w:rsidR="00B6245D" w:rsidRDefault="00B6245D" w:rsidP="00B6245D">
      <w:pPr>
        <w:numPr>
          <w:ilvl w:val="0"/>
          <w:numId w:val="11"/>
        </w:numPr>
        <w:tabs>
          <w:tab w:val="left" w:pos="720"/>
        </w:tabs>
        <w:autoSpaceDE w:val="0"/>
        <w:autoSpaceDN w:val="0"/>
        <w:adjustRightInd w:val="0"/>
        <w:ind w:left="720" w:hanging="360"/>
        <w:jc w:val="both"/>
        <w:rPr>
          <w:rFonts w:ascii="Georgia" w:hAnsi="Georgia" w:cs="Georgia"/>
        </w:rPr>
      </w:pPr>
      <w:r>
        <w:rPr>
          <w:rFonts w:ascii="Georgia" w:hAnsi="Georgia" w:cs="Georgia"/>
        </w:rPr>
        <w:t>If the application is not made within the 28-day time limit, such application must include a request for an extension of time and the reason for not complying with the 28-day time limit; the Tribunal will then look at such reason(s) and decide whether to allow the application for permission to appeal to proceed despite not being within the time limit.</w:t>
      </w:r>
    </w:p>
    <w:p w14:paraId="2ACEB5EE" w14:textId="77777777" w:rsidR="00B6245D" w:rsidRDefault="00B6245D" w:rsidP="00B6245D">
      <w:pPr>
        <w:autoSpaceDE w:val="0"/>
        <w:autoSpaceDN w:val="0"/>
        <w:adjustRightInd w:val="0"/>
        <w:jc w:val="both"/>
        <w:rPr>
          <w:rFonts w:ascii="Georgia" w:hAnsi="Georgia" w:cs="Georgia"/>
        </w:rPr>
      </w:pPr>
    </w:p>
    <w:p w14:paraId="57262BD3" w14:textId="77777777" w:rsidR="00B6245D" w:rsidRPr="00B6245D" w:rsidRDefault="00B6245D" w:rsidP="00E64681">
      <w:pPr>
        <w:numPr>
          <w:ilvl w:val="0"/>
          <w:numId w:val="11"/>
        </w:numPr>
        <w:tabs>
          <w:tab w:val="left" w:pos="709"/>
        </w:tabs>
        <w:autoSpaceDE w:val="0"/>
        <w:autoSpaceDN w:val="0"/>
        <w:adjustRightInd w:val="0"/>
        <w:spacing w:after="120"/>
        <w:ind w:left="720" w:hanging="360"/>
        <w:jc w:val="both"/>
        <w:rPr>
          <w:rFonts w:ascii="Georgia" w:hAnsi="Georgia" w:cs="Arial"/>
          <w:b/>
          <w:u w:val="single"/>
        </w:rPr>
      </w:pPr>
      <w:r w:rsidRPr="00B6245D">
        <w:rPr>
          <w:rFonts w:ascii="Georgia" w:hAnsi="Georgia" w:cs="Georgia"/>
        </w:rPr>
        <w:t>The application for permission to appeal must identify the decision of the Tribunal to which it relates (i.e. give the date, the property and the case number), state the grounds of appeal, and state the result the party making the application is seeking.</w:t>
      </w:r>
    </w:p>
    <w:p w14:paraId="6E6C189D" w14:textId="76BCF961" w:rsidR="00B6245D" w:rsidRDefault="00B6245D" w:rsidP="00B6245D">
      <w:pPr>
        <w:pStyle w:val="ListParagraph"/>
        <w:rPr>
          <w:rFonts w:ascii="Georgia" w:hAnsi="Georgia" w:cs="Arial"/>
          <w:b/>
          <w:u w:val="single"/>
        </w:rPr>
      </w:pPr>
    </w:p>
    <w:p w14:paraId="2E63C634" w14:textId="77777777" w:rsidR="00092C14" w:rsidRPr="00092C14" w:rsidRDefault="00092C14" w:rsidP="006240B7">
      <w:pPr>
        <w:rPr>
          <w:rFonts w:ascii="Georgia" w:hAnsi="Georgia"/>
          <w:szCs w:val="20"/>
        </w:rPr>
      </w:pPr>
    </w:p>
    <w:sectPr w:rsidR="00092C14" w:rsidRPr="00092C14" w:rsidSect="00231CF6">
      <w:headerReference w:type="even" r:id="rId12"/>
      <w:footerReference w:type="even" r:id="rId13"/>
      <w:footerReference w:type="default" r:id="rId14"/>
      <w:foot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3D905" w14:textId="77777777" w:rsidR="007F4405" w:rsidRDefault="007F4405">
      <w:r>
        <w:separator/>
      </w:r>
    </w:p>
  </w:endnote>
  <w:endnote w:type="continuationSeparator" w:id="0">
    <w:p w14:paraId="49030DB8" w14:textId="77777777" w:rsidR="007F4405" w:rsidRDefault="007F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ZapfHumnst B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92CB" w14:textId="77777777" w:rsidR="00494C7D" w:rsidRDefault="00494C7D" w:rsidP="00A50057">
    <w:pPr>
      <w:pStyle w:val="Footer"/>
      <w:framePr w:wrap="around" w:vAnchor="text" w:hAnchor="margin" w:xAlign="center" w:y="1"/>
      <w:rPr>
        <w:rStyle w:val="PageNumber"/>
      </w:rPr>
    </w:pPr>
  </w:p>
  <w:p w14:paraId="17F540D4" w14:textId="77777777" w:rsidR="00494C7D" w:rsidRDefault="00494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212795"/>
      <w:docPartObj>
        <w:docPartGallery w:val="Page Numbers (Bottom of Page)"/>
        <w:docPartUnique/>
      </w:docPartObj>
    </w:sdtPr>
    <w:sdtEndPr>
      <w:rPr>
        <w:noProof/>
      </w:rPr>
    </w:sdtEndPr>
    <w:sdtContent>
      <w:p w14:paraId="62AAE4BB" w14:textId="4E16659F" w:rsidR="00494C7D" w:rsidRDefault="00494C7D">
        <w:pPr>
          <w:pStyle w:val="Footer"/>
          <w:jc w:val="center"/>
        </w:pPr>
        <w:r>
          <w:rPr>
            <w:noProof/>
          </w:rPr>
          <w:t>2</w:t>
        </w:r>
      </w:p>
    </w:sdtContent>
  </w:sdt>
  <w:p w14:paraId="33EC4B30" w14:textId="55B02C93" w:rsidR="00494C7D" w:rsidRPr="005A327A" w:rsidRDefault="00494C7D" w:rsidP="00C27ECE">
    <w:pPr>
      <w:pStyle w:val="Footer"/>
      <w:jc w:val="center"/>
      <w:rPr>
        <w:rFonts w:ascii="Georgia" w:hAnsi="Georg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E678" w14:textId="58412E56" w:rsidR="00494C7D" w:rsidRPr="005A327A" w:rsidRDefault="00494C7D" w:rsidP="005A327A">
    <w:pPr>
      <w:jc w:val="center"/>
      <w:rPr>
        <w:rFonts w:ascii="Georgia" w:hAnsi="Georgia"/>
        <w:szCs w:val="20"/>
      </w:rPr>
    </w:pPr>
    <w:r w:rsidRPr="005A327A">
      <w:rPr>
        <w:rFonts w:ascii="Georgia" w:hAnsi="Georgia"/>
      </w:rPr>
      <w:t xml:space="preserve">© CROWN COPYRIGHT </w:t>
    </w:r>
    <w:r>
      <w:rPr>
        <w:rFonts w:ascii="Georgia" w:hAnsi="Georgia"/>
      </w:rPr>
      <w:t xml:space="preserve"> 202</w:t>
    </w:r>
    <w:r w:rsidR="00340653">
      <w:rPr>
        <w:rFonts w:ascii="Georgia" w:hAnsi="Georg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EA54" w14:textId="77777777" w:rsidR="007F4405" w:rsidRDefault="007F4405">
      <w:r>
        <w:separator/>
      </w:r>
    </w:p>
  </w:footnote>
  <w:footnote w:type="continuationSeparator" w:id="0">
    <w:p w14:paraId="133F6B9C" w14:textId="77777777" w:rsidR="007F4405" w:rsidRDefault="007F4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A0D0" w14:textId="77777777" w:rsidR="00494C7D" w:rsidRDefault="00494C7D" w:rsidP="00A50057">
    <w:pPr>
      <w:pStyle w:val="Header"/>
      <w:framePr w:wrap="around" w:vAnchor="text" w:hAnchor="margin" w:xAlign="center" w:y="1"/>
      <w:rPr>
        <w:rStyle w:val="PageNumber"/>
      </w:rPr>
    </w:pPr>
  </w:p>
  <w:p w14:paraId="743749BD" w14:textId="77777777" w:rsidR="00494C7D" w:rsidRDefault="00494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C644838"/>
    <w:lvl w:ilvl="0">
      <w:numFmt w:val="bullet"/>
      <w:lvlText w:val="*"/>
      <w:lvlJc w:val="left"/>
    </w:lvl>
  </w:abstractNum>
  <w:abstractNum w:abstractNumId="1" w15:restartNumberingAfterBreak="0">
    <w:nsid w:val="077842ED"/>
    <w:multiLevelType w:val="hybridMultilevel"/>
    <w:tmpl w:val="3070910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159394A"/>
    <w:multiLevelType w:val="hybridMultilevel"/>
    <w:tmpl w:val="839457A8"/>
    <w:lvl w:ilvl="0" w:tplc="761800B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767167"/>
    <w:multiLevelType w:val="hybridMultilevel"/>
    <w:tmpl w:val="781EA456"/>
    <w:lvl w:ilvl="0" w:tplc="CED8B392">
      <w:start w:val="1"/>
      <w:numFmt w:val="lowerRoman"/>
      <w:lvlText w:val="(%1)"/>
      <w:lvlJc w:val="left"/>
      <w:pPr>
        <w:tabs>
          <w:tab w:val="num" w:pos="1140"/>
        </w:tabs>
        <w:ind w:left="1140" w:hanging="720"/>
      </w:pPr>
      <w:rPr>
        <w:rFonts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4" w15:restartNumberingAfterBreak="0">
    <w:nsid w:val="276457E9"/>
    <w:multiLevelType w:val="hybridMultilevel"/>
    <w:tmpl w:val="8EB6807A"/>
    <w:lvl w:ilvl="0" w:tplc="048822FA">
      <w:start w:val="1"/>
      <w:numFmt w:val="lowerRoman"/>
      <w:lvlText w:val="(%1)"/>
      <w:lvlJc w:val="left"/>
      <w:pPr>
        <w:tabs>
          <w:tab w:val="num" w:pos="1493"/>
        </w:tabs>
        <w:ind w:left="1493" w:hanging="360"/>
      </w:pPr>
      <w:rPr>
        <w:rFonts w:hint="default"/>
      </w:rPr>
    </w:lvl>
    <w:lvl w:ilvl="1" w:tplc="08090001">
      <w:start w:val="1"/>
      <w:numFmt w:val="bullet"/>
      <w:lvlText w:val=""/>
      <w:lvlJc w:val="left"/>
      <w:pPr>
        <w:tabs>
          <w:tab w:val="num" w:pos="2149"/>
        </w:tabs>
        <w:ind w:left="2149" w:hanging="360"/>
      </w:pPr>
      <w:rPr>
        <w:rFonts w:ascii="Symbol" w:hAnsi="Symbol"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B6C1BD8"/>
    <w:multiLevelType w:val="multilevel"/>
    <w:tmpl w:val="948A1624"/>
    <w:lvl w:ilvl="0">
      <w:start w:val="1"/>
      <w:numFmt w:val="decimal"/>
      <w:lvlText w:val="%1."/>
      <w:lvlJc w:val="left"/>
      <w:pPr>
        <w:tabs>
          <w:tab w:val="num" w:pos="1778"/>
        </w:tabs>
        <w:ind w:left="1778" w:hanging="360"/>
      </w:pPr>
      <w:rPr>
        <w:rFonts w:hint="default"/>
        <w:b w:val="0"/>
        <w:bCs/>
      </w:rPr>
    </w:lvl>
    <w:lvl w:ilvl="1">
      <w:start w:val="1"/>
      <w:numFmt w:val="lowerRoman"/>
      <w:lvlText w:val="(%2)"/>
      <w:lvlJc w:val="left"/>
      <w:pPr>
        <w:tabs>
          <w:tab w:val="num" w:pos="2722"/>
        </w:tabs>
        <w:ind w:left="2722" w:hanging="944"/>
      </w:pPr>
      <w:rPr>
        <w:rFonts w:hint="default"/>
      </w:rPr>
    </w:lvl>
    <w:lvl w:ilvl="2">
      <w:start w:val="1"/>
      <w:numFmt w:val="lowerLetter"/>
      <w:lvlText w:val="(%3)"/>
      <w:lvlJc w:val="left"/>
      <w:pPr>
        <w:tabs>
          <w:tab w:val="num" w:pos="3403"/>
        </w:tabs>
        <w:ind w:left="3403" w:hanging="1265"/>
      </w:pPr>
      <w:rPr>
        <w:rFonts w:hint="default"/>
      </w:rPr>
    </w:lvl>
    <w:lvl w:ilvl="3">
      <w:start w:val="1"/>
      <w:numFmt w:val="decimal"/>
      <w:lvlText w:val="(%4)"/>
      <w:lvlJc w:val="left"/>
      <w:pPr>
        <w:tabs>
          <w:tab w:val="num" w:pos="2858"/>
        </w:tabs>
        <w:ind w:left="2858" w:hanging="360"/>
      </w:pPr>
      <w:rPr>
        <w:rFonts w:hint="default"/>
      </w:rPr>
    </w:lvl>
    <w:lvl w:ilvl="4">
      <w:start w:val="1"/>
      <w:numFmt w:val="lowerLetter"/>
      <w:lvlText w:val="(%5)"/>
      <w:lvlJc w:val="left"/>
      <w:pPr>
        <w:tabs>
          <w:tab w:val="num" w:pos="3218"/>
        </w:tabs>
        <w:ind w:left="3218" w:hanging="360"/>
      </w:pPr>
      <w:rPr>
        <w:rFonts w:hint="default"/>
      </w:rPr>
    </w:lvl>
    <w:lvl w:ilvl="5">
      <w:start w:val="1"/>
      <w:numFmt w:val="lowerRoman"/>
      <w:lvlText w:val="(%6)"/>
      <w:lvlJc w:val="left"/>
      <w:pPr>
        <w:tabs>
          <w:tab w:val="num" w:pos="3578"/>
        </w:tabs>
        <w:ind w:left="3578" w:hanging="360"/>
      </w:pPr>
      <w:rPr>
        <w:rFonts w:hint="default"/>
      </w:rPr>
    </w:lvl>
    <w:lvl w:ilvl="6">
      <w:start w:val="1"/>
      <w:numFmt w:val="decimal"/>
      <w:lvlText w:val="%7."/>
      <w:lvlJc w:val="left"/>
      <w:pPr>
        <w:tabs>
          <w:tab w:val="num" w:pos="3938"/>
        </w:tabs>
        <w:ind w:left="3938" w:hanging="360"/>
      </w:pPr>
      <w:rPr>
        <w:rFonts w:hint="default"/>
      </w:rPr>
    </w:lvl>
    <w:lvl w:ilvl="7">
      <w:start w:val="1"/>
      <w:numFmt w:val="lowerLetter"/>
      <w:lvlText w:val="%8."/>
      <w:lvlJc w:val="left"/>
      <w:pPr>
        <w:tabs>
          <w:tab w:val="num" w:pos="4298"/>
        </w:tabs>
        <w:ind w:left="4298" w:hanging="360"/>
      </w:pPr>
      <w:rPr>
        <w:rFonts w:hint="default"/>
      </w:rPr>
    </w:lvl>
    <w:lvl w:ilvl="8">
      <w:start w:val="1"/>
      <w:numFmt w:val="lowerRoman"/>
      <w:lvlText w:val="%9."/>
      <w:lvlJc w:val="left"/>
      <w:pPr>
        <w:tabs>
          <w:tab w:val="num" w:pos="4658"/>
        </w:tabs>
        <w:ind w:left="4658" w:hanging="360"/>
      </w:pPr>
      <w:rPr>
        <w:rFonts w:hint="default"/>
      </w:rPr>
    </w:lvl>
  </w:abstractNum>
  <w:abstractNum w:abstractNumId="6" w15:restartNumberingAfterBreak="0">
    <w:nsid w:val="3B6C63B2"/>
    <w:multiLevelType w:val="hybridMultilevel"/>
    <w:tmpl w:val="A8066726"/>
    <w:lvl w:ilvl="0" w:tplc="41CEEEB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BA86A08"/>
    <w:multiLevelType w:val="hybridMultilevel"/>
    <w:tmpl w:val="222E8CD0"/>
    <w:lvl w:ilvl="0" w:tplc="FFFFFFFF">
      <w:start w:val="1"/>
      <w:numFmt w:val="decimal"/>
      <w:lvlText w:val="(%1)"/>
      <w:lvlJc w:val="left"/>
      <w:pPr>
        <w:tabs>
          <w:tab w:val="num" w:pos="170"/>
        </w:tabs>
        <w:ind w:left="170" w:hanging="17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413B2E26"/>
    <w:multiLevelType w:val="hybridMultilevel"/>
    <w:tmpl w:val="27E27B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43CF230D"/>
    <w:multiLevelType w:val="hybridMultilevel"/>
    <w:tmpl w:val="EECC8652"/>
    <w:lvl w:ilvl="0" w:tplc="0409000F">
      <w:start w:val="1"/>
      <w:numFmt w:val="decimal"/>
      <w:lvlText w:val="%1."/>
      <w:lvlJc w:val="left"/>
      <w:pPr>
        <w:tabs>
          <w:tab w:val="num" w:pos="720"/>
        </w:tabs>
        <w:ind w:left="720" w:hanging="360"/>
      </w:pPr>
    </w:lvl>
    <w:lvl w:ilvl="1" w:tplc="7EEA7E9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6C0C33"/>
    <w:multiLevelType w:val="hybridMultilevel"/>
    <w:tmpl w:val="F386EEF8"/>
    <w:lvl w:ilvl="0" w:tplc="00C27690">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0F228C7"/>
    <w:multiLevelType w:val="hybridMultilevel"/>
    <w:tmpl w:val="2A4E6E72"/>
    <w:lvl w:ilvl="0" w:tplc="79DC4D1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1583DEC"/>
    <w:multiLevelType w:val="hybridMultilevel"/>
    <w:tmpl w:val="AACE42CE"/>
    <w:lvl w:ilvl="0" w:tplc="048822FA">
      <w:start w:val="1"/>
      <w:numFmt w:val="lowerRoman"/>
      <w:lvlText w:val="(%1)"/>
      <w:lvlJc w:val="left"/>
      <w:pPr>
        <w:tabs>
          <w:tab w:val="num" w:pos="1493"/>
        </w:tabs>
        <w:ind w:left="1493" w:hanging="360"/>
      </w:pPr>
      <w:rPr>
        <w:rFonts w:hint="default"/>
      </w:rPr>
    </w:lvl>
    <w:lvl w:ilvl="1" w:tplc="08090019">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3" w15:restartNumberingAfterBreak="0">
    <w:nsid w:val="694E2D6E"/>
    <w:multiLevelType w:val="hybridMultilevel"/>
    <w:tmpl w:val="963874B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65545820">
    <w:abstractNumId w:val="1"/>
  </w:num>
  <w:num w:numId="2" w16cid:durableId="258753196">
    <w:abstractNumId w:val="13"/>
  </w:num>
  <w:num w:numId="3" w16cid:durableId="220751576">
    <w:abstractNumId w:val="6"/>
  </w:num>
  <w:num w:numId="4" w16cid:durableId="612521388">
    <w:abstractNumId w:val="10"/>
  </w:num>
  <w:num w:numId="5" w16cid:durableId="287780675">
    <w:abstractNumId w:val="3"/>
  </w:num>
  <w:num w:numId="6" w16cid:durableId="984311129">
    <w:abstractNumId w:val="11"/>
  </w:num>
  <w:num w:numId="7" w16cid:durableId="467673262">
    <w:abstractNumId w:val="2"/>
  </w:num>
  <w:num w:numId="8" w16cid:durableId="553585756">
    <w:abstractNumId w:val="5"/>
  </w:num>
  <w:num w:numId="9" w16cid:durableId="1589385408">
    <w:abstractNumId w:val="7"/>
  </w:num>
  <w:num w:numId="10" w16cid:durableId="539247815">
    <w:abstractNumId w:val="12"/>
  </w:num>
  <w:num w:numId="11" w16cid:durableId="933319064">
    <w:abstractNumId w:val="0"/>
    <w:lvlOverride w:ilvl="0">
      <w:lvl w:ilvl="0">
        <w:numFmt w:val="bullet"/>
        <w:lvlText w:val=""/>
        <w:legacy w:legacy="1" w:legacySpace="0" w:legacyIndent="360"/>
        <w:lvlJc w:val="left"/>
        <w:rPr>
          <w:rFonts w:ascii="Symbol" w:hAnsi="Symbol" w:hint="default"/>
        </w:rPr>
      </w:lvl>
    </w:lvlOverride>
  </w:num>
  <w:num w:numId="12" w16cid:durableId="181670384">
    <w:abstractNumId w:val="4"/>
  </w:num>
  <w:num w:numId="13" w16cid:durableId="1181622299">
    <w:abstractNumId w:val="8"/>
  </w:num>
  <w:num w:numId="14" w16cid:durableId="179854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3EE6C30-4362-473C-A024-18C426CF6A0B}"/>
    <w:docVar w:name="dgnword-eventsink" w:val="364984168"/>
  </w:docVars>
  <w:rsids>
    <w:rsidRoot w:val="00CD3CD2"/>
    <w:rsid w:val="0000054C"/>
    <w:rsid w:val="000006FA"/>
    <w:rsid w:val="00000816"/>
    <w:rsid w:val="000026AF"/>
    <w:rsid w:val="00004496"/>
    <w:rsid w:val="0000712B"/>
    <w:rsid w:val="0001370B"/>
    <w:rsid w:val="0001434E"/>
    <w:rsid w:val="0001523F"/>
    <w:rsid w:val="00017432"/>
    <w:rsid w:val="000214D0"/>
    <w:rsid w:val="00023C71"/>
    <w:rsid w:val="0002422F"/>
    <w:rsid w:val="00025D56"/>
    <w:rsid w:val="00027D74"/>
    <w:rsid w:val="00027F6A"/>
    <w:rsid w:val="00030D12"/>
    <w:rsid w:val="00030DB1"/>
    <w:rsid w:val="00031574"/>
    <w:rsid w:val="000326E4"/>
    <w:rsid w:val="00034E80"/>
    <w:rsid w:val="0003599B"/>
    <w:rsid w:val="00042772"/>
    <w:rsid w:val="00043091"/>
    <w:rsid w:val="000474B1"/>
    <w:rsid w:val="000504FC"/>
    <w:rsid w:val="000506B6"/>
    <w:rsid w:val="00050D9E"/>
    <w:rsid w:val="00053B58"/>
    <w:rsid w:val="00054445"/>
    <w:rsid w:val="00054739"/>
    <w:rsid w:val="00057C5F"/>
    <w:rsid w:val="000601B4"/>
    <w:rsid w:val="0006030A"/>
    <w:rsid w:val="00060715"/>
    <w:rsid w:val="00061442"/>
    <w:rsid w:val="00065F8F"/>
    <w:rsid w:val="0007113B"/>
    <w:rsid w:val="000723D2"/>
    <w:rsid w:val="0007408D"/>
    <w:rsid w:val="0007474D"/>
    <w:rsid w:val="000767FB"/>
    <w:rsid w:val="0007685C"/>
    <w:rsid w:val="00076E4F"/>
    <w:rsid w:val="000807DD"/>
    <w:rsid w:val="000813FC"/>
    <w:rsid w:val="00090818"/>
    <w:rsid w:val="00090D06"/>
    <w:rsid w:val="000927B4"/>
    <w:rsid w:val="00092C14"/>
    <w:rsid w:val="00093EA4"/>
    <w:rsid w:val="000957C7"/>
    <w:rsid w:val="00095DB7"/>
    <w:rsid w:val="00096E88"/>
    <w:rsid w:val="00097BF7"/>
    <w:rsid w:val="000A02B3"/>
    <w:rsid w:val="000A5113"/>
    <w:rsid w:val="000A74B7"/>
    <w:rsid w:val="000B003C"/>
    <w:rsid w:val="000B4439"/>
    <w:rsid w:val="000B711A"/>
    <w:rsid w:val="000B78C0"/>
    <w:rsid w:val="000C0146"/>
    <w:rsid w:val="000C1693"/>
    <w:rsid w:val="000C2BA6"/>
    <w:rsid w:val="000C2F8A"/>
    <w:rsid w:val="000C58C3"/>
    <w:rsid w:val="000C5F88"/>
    <w:rsid w:val="000C611F"/>
    <w:rsid w:val="000C67A4"/>
    <w:rsid w:val="000D122B"/>
    <w:rsid w:val="000D33A8"/>
    <w:rsid w:val="000E0424"/>
    <w:rsid w:val="000E16CE"/>
    <w:rsid w:val="000E26C8"/>
    <w:rsid w:val="000E33E7"/>
    <w:rsid w:val="000E4E40"/>
    <w:rsid w:val="000E5B72"/>
    <w:rsid w:val="000E7F0F"/>
    <w:rsid w:val="000F0E2A"/>
    <w:rsid w:val="000F3A94"/>
    <w:rsid w:val="000F5241"/>
    <w:rsid w:val="000F5D49"/>
    <w:rsid w:val="000F77CE"/>
    <w:rsid w:val="001028E2"/>
    <w:rsid w:val="001050D1"/>
    <w:rsid w:val="001055FF"/>
    <w:rsid w:val="00110FEA"/>
    <w:rsid w:val="00111FB1"/>
    <w:rsid w:val="001130CC"/>
    <w:rsid w:val="0011334A"/>
    <w:rsid w:val="00114E94"/>
    <w:rsid w:val="0011612A"/>
    <w:rsid w:val="00124EA8"/>
    <w:rsid w:val="00125ED2"/>
    <w:rsid w:val="0012602D"/>
    <w:rsid w:val="00127880"/>
    <w:rsid w:val="001318D5"/>
    <w:rsid w:val="001377D0"/>
    <w:rsid w:val="0014230A"/>
    <w:rsid w:val="00143FC4"/>
    <w:rsid w:val="001441A8"/>
    <w:rsid w:val="00145470"/>
    <w:rsid w:val="0014554A"/>
    <w:rsid w:val="00146D47"/>
    <w:rsid w:val="001470B4"/>
    <w:rsid w:val="00150B75"/>
    <w:rsid w:val="00151BD3"/>
    <w:rsid w:val="00152D08"/>
    <w:rsid w:val="00154BE4"/>
    <w:rsid w:val="00155690"/>
    <w:rsid w:val="00155828"/>
    <w:rsid w:val="00155E0B"/>
    <w:rsid w:val="00156312"/>
    <w:rsid w:val="001600C8"/>
    <w:rsid w:val="001607D9"/>
    <w:rsid w:val="001615C4"/>
    <w:rsid w:val="001623B9"/>
    <w:rsid w:val="001636B8"/>
    <w:rsid w:val="001637C9"/>
    <w:rsid w:val="00164A0C"/>
    <w:rsid w:val="00170757"/>
    <w:rsid w:val="00173974"/>
    <w:rsid w:val="00174097"/>
    <w:rsid w:val="00176A66"/>
    <w:rsid w:val="0017708E"/>
    <w:rsid w:val="0017734B"/>
    <w:rsid w:val="001812CF"/>
    <w:rsid w:val="00182FF9"/>
    <w:rsid w:val="0018398F"/>
    <w:rsid w:val="00185DE1"/>
    <w:rsid w:val="00191131"/>
    <w:rsid w:val="00193054"/>
    <w:rsid w:val="00193A18"/>
    <w:rsid w:val="00193D0F"/>
    <w:rsid w:val="0019416C"/>
    <w:rsid w:val="00194473"/>
    <w:rsid w:val="00194F8A"/>
    <w:rsid w:val="0019753F"/>
    <w:rsid w:val="00197C62"/>
    <w:rsid w:val="001A0402"/>
    <w:rsid w:val="001A1113"/>
    <w:rsid w:val="001A1A50"/>
    <w:rsid w:val="001A2EEF"/>
    <w:rsid w:val="001A3586"/>
    <w:rsid w:val="001A4B34"/>
    <w:rsid w:val="001A53EF"/>
    <w:rsid w:val="001A5BB1"/>
    <w:rsid w:val="001A6AE8"/>
    <w:rsid w:val="001A6B34"/>
    <w:rsid w:val="001A6E3D"/>
    <w:rsid w:val="001A7546"/>
    <w:rsid w:val="001B2475"/>
    <w:rsid w:val="001B2702"/>
    <w:rsid w:val="001B324A"/>
    <w:rsid w:val="001B4F01"/>
    <w:rsid w:val="001B6FF6"/>
    <w:rsid w:val="001B79A7"/>
    <w:rsid w:val="001C02A4"/>
    <w:rsid w:val="001C46A4"/>
    <w:rsid w:val="001C5776"/>
    <w:rsid w:val="001C76DE"/>
    <w:rsid w:val="001D0AA4"/>
    <w:rsid w:val="001D3E4E"/>
    <w:rsid w:val="001D4711"/>
    <w:rsid w:val="001D4E04"/>
    <w:rsid w:val="001D6A98"/>
    <w:rsid w:val="001D74C0"/>
    <w:rsid w:val="001E0B28"/>
    <w:rsid w:val="001E1B9F"/>
    <w:rsid w:val="001E5E13"/>
    <w:rsid w:val="001E6504"/>
    <w:rsid w:val="001E7304"/>
    <w:rsid w:val="001F363C"/>
    <w:rsid w:val="001F53E7"/>
    <w:rsid w:val="00200C8C"/>
    <w:rsid w:val="002027EC"/>
    <w:rsid w:val="0020285B"/>
    <w:rsid w:val="002034A5"/>
    <w:rsid w:val="00203D21"/>
    <w:rsid w:val="0020473B"/>
    <w:rsid w:val="00206FD8"/>
    <w:rsid w:val="002104A8"/>
    <w:rsid w:val="002107A6"/>
    <w:rsid w:val="002128CA"/>
    <w:rsid w:val="00216427"/>
    <w:rsid w:val="002168DC"/>
    <w:rsid w:val="00217148"/>
    <w:rsid w:val="00217ED0"/>
    <w:rsid w:val="002208B6"/>
    <w:rsid w:val="002215BE"/>
    <w:rsid w:val="00223186"/>
    <w:rsid w:val="00223DD4"/>
    <w:rsid w:val="0022662B"/>
    <w:rsid w:val="00230E78"/>
    <w:rsid w:val="00230EAB"/>
    <w:rsid w:val="00231CF6"/>
    <w:rsid w:val="00231F1D"/>
    <w:rsid w:val="00233DC3"/>
    <w:rsid w:val="00234EE3"/>
    <w:rsid w:val="00236EEC"/>
    <w:rsid w:val="00241B3C"/>
    <w:rsid w:val="00244BFA"/>
    <w:rsid w:val="002459C3"/>
    <w:rsid w:val="00250F36"/>
    <w:rsid w:val="002521D9"/>
    <w:rsid w:val="00252EB8"/>
    <w:rsid w:val="00255A87"/>
    <w:rsid w:val="00255B2E"/>
    <w:rsid w:val="00262F15"/>
    <w:rsid w:val="00263AF8"/>
    <w:rsid w:val="00263EC2"/>
    <w:rsid w:val="002660B8"/>
    <w:rsid w:val="00272BB0"/>
    <w:rsid w:val="00274B6A"/>
    <w:rsid w:val="00281732"/>
    <w:rsid w:val="0028620B"/>
    <w:rsid w:val="0028671D"/>
    <w:rsid w:val="00287967"/>
    <w:rsid w:val="00292009"/>
    <w:rsid w:val="0029358F"/>
    <w:rsid w:val="002936E6"/>
    <w:rsid w:val="00293787"/>
    <w:rsid w:val="00294D99"/>
    <w:rsid w:val="00295C37"/>
    <w:rsid w:val="002A1A0F"/>
    <w:rsid w:val="002A2344"/>
    <w:rsid w:val="002A4653"/>
    <w:rsid w:val="002A6B6F"/>
    <w:rsid w:val="002B2B3F"/>
    <w:rsid w:val="002B6392"/>
    <w:rsid w:val="002B7AE2"/>
    <w:rsid w:val="002C12A7"/>
    <w:rsid w:val="002C23CD"/>
    <w:rsid w:val="002C305C"/>
    <w:rsid w:val="002C41C0"/>
    <w:rsid w:val="002C586D"/>
    <w:rsid w:val="002C6E72"/>
    <w:rsid w:val="002C7BF3"/>
    <w:rsid w:val="002D1088"/>
    <w:rsid w:val="002D33C8"/>
    <w:rsid w:val="002D33CB"/>
    <w:rsid w:val="002D4AEA"/>
    <w:rsid w:val="002D6500"/>
    <w:rsid w:val="002D7436"/>
    <w:rsid w:val="002E0C83"/>
    <w:rsid w:val="002E18E5"/>
    <w:rsid w:val="002E1BBB"/>
    <w:rsid w:val="002E2780"/>
    <w:rsid w:val="002E2CCB"/>
    <w:rsid w:val="002E32B2"/>
    <w:rsid w:val="002E4A05"/>
    <w:rsid w:val="002F0226"/>
    <w:rsid w:val="002F2057"/>
    <w:rsid w:val="002F2D29"/>
    <w:rsid w:val="0030143F"/>
    <w:rsid w:val="00302A92"/>
    <w:rsid w:val="00303B88"/>
    <w:rsid w:val="003060B6"/>
    <w:rsid w:val="00306156"/>
    <w:rsid w:val="0030704F"/>
    <w:rsid w:val="003113D3"/>
    <w:rsid w:val="0031233D"/>
    <w:rsid w:val="00312915"/>
    <w:rsid w:val="00312A6A"/>
    <w:rsid w:val="00313A34"/>
    <w:rsid w:val="003147D5"/>
    <w:rsid w:val="00314AF9"/>
    <w:rsid w:val="00314BAE"/>
    <w:rsid w:val="003202D5"/>
    <w:rsid w:val="0032229A"/>
    <w:rsid w:val="00322DBB"/>
    <w:rsid w:val="00322F45"/>
    <w:rsid w:val="003262E5"/>
    <w:rsid w:val="00326E19"/>
    <w:rsid w:val="00334CFF"/>
    <w:rsid w:val="003363A7"/>
    <w:rsid w:val="0033741F"/>
    <w:rsid w:val="00340653"/>
    <w:rsid w:val="003406E9"/>
    <w:rsid w:val="00342EB4"/>
    <w:rsid w:val="003433D7"/>
    <w:rsid w:val="00343D5D"/>
    <w:rsid w:val="00344425"/>
    <w:rsid w:val="003449DC"/>
    <w:rsid w:val="00344DC8"/>
    <w:rsid w:val="00344E39"/>
    <w:rsid w:val="003476D2"/>
    <w:rsid w:val="00352026"/>
    <w:rsid w:val="0035288E"/>
    <w:rsid w:val="00353A55"/>
    <w:rsid w:val="003546A9"/>
    <w:rsid w:val="003567D0"/>
    <w:rsid w:val="00356AA4"/>
    <w:rsid w:val="003614A4"/>
    <w:rsid w:val="00363CAD"/>
    <w:rsid w:val="00374EB2"/>
    <w:rsid w:val="00375ED0"/>
    <w:rsid w:val="00376E0E"/>
    <w:rsid w:val="00376EDF"/>
    <w:rsid w:val="00376FC2"/>
    <w:rsid w:val="003918E3"/>
    <w:rsid w:val="0039402D"/>
    <w:rsid w:val="0039469A"/>
    <w:rsid w:val="00394EDC"/>
    <w:rsid w:val="00396054"/>
    <w:rsid w:val="003963FA"/>
    <w:rsid w:val="00396A21"/>
    <w:rsid w:val="003A3BA4"/>
    <w:rsid w:val="003A4E56"/>
    <w:rsid w:val="003A619E"/>
    <w:rsid w:val="003A62F4"/>
    <w:rsid w:val="003A6933"/>
    <w:rsid w:val="003A7400"/>
    <w:rsid w:val="003C279A"/>
    <w:rsid w:val="003C336E"/>
    <w:rsid w:val="003C36B8"/>
    <w:rsid w:val="003C523C"/>
    <w:rsid w:val="003D0903"/>
    <w:rsid w:val="003D0A34"/>
    <w:rsid w:val="003D12B8"/>
    <w:rsid w:val="003D2DFA"/>
    <w:rsid w:val="003D3AE2"/>
    <w:rsid w:val="003D3D5A"/>
    <w:rsid w:val="003D646E"/>
    <w:rsid w:val="003D6C77"/>
    <w:rsid w:val="003E0B69"/>
    <w:rsid w:val="003F1661"/>
    <w:rsid w:val="003F182E"/>
    <w:rsid w:val="003F22BD"/>
    <w:rsid w:val="003F2EB0"/>
    <w:rsid w:val="004018AD"/>
    <w:rsid w:val="00403A2B"/>
    <w:rsid w:val="004041A2"/>
    <w:rsid w:val="00405A53"/>
    <w:rsid w:val="0041052B"/>
    <w:rsid w:val="00410CAF"/>
    <w:rsid w:val="00411E7C"/>
    <w:rsid w:val="004124B1"/>
    <w:rsid w:val="00412E9E"/>
    <w:rsid w:val="00413968"/>
    <w:rsid w:val="004147E6"/>
    <w:rsid w:val="00415324"/>
    <w:rsid w:val="00416F2B"/>
    <w:rsid w:val="00417092"/>
    <w:rsid w:val="004206D0"/>
    <w:rsid w:val="004235BB"/>
    <w:rsid w:val="0042429C"/>
    <w:rsid w:val="0042638A"/>
    <w:rsid w:val="004306A7"/>
    <w:rsid w:val="00430BC3"/>
    <w:rsid w:val="00431835"/>
    <w:rsid w:val="004338C9"/>
    <w:rsid w:val="00433A74"/>
    <w:rsid w:val="00434245"/>
    <w:rsid w:val="004355D8"/>
    <w:rsid w:val="00440298"/>
    <w:rsid w:val="00443883"/>
    <w:rsid w:val="004457BA"/>
    <w:rsid w:val="00450CA7"/>
    <w:rsid w:val="00451A44"/>
    <w:rsid w:val="004521BB"/>
    <w:rsid w:val="00453BB3"/>
    <w:rsid w:val="00453C3D"/>
    <w:rsid w:val="00454152"/>
    <w:rsid w:val="004561A2"/>
    <w:rsid w:val="00456474"/>
    <w:rsid w:val="0045693F"/>
    <w:rsid w:val="004571F9"/>
    <w:rsid w:val="00461D5D"/>
    <w:rsid w:val="00463E6C"/>
    <w:rsid w:val="00465DD3"/>
    <w:rsid w:val="00470831"/>
    <w:rsid w:val="0047187F"/>
    <w:rsid w:val="004721F1"/>
    <w:rsid w:val="0047255F"/>
    <w:rsid w:val="004732B8"/>
    <w:rsid w:val="0047461E"/>
    <w:rsid w:val="00475580"/>
    <w:rsid w:val="00476B1A"/>
    <w:rsid w:val="00476DA4"/>
    <w:rsid w:val="004829E0"/>
    <w:rsid w:val="0048348E"/>
    <w:rsid w:val="00483A66"/>
    <w:rsid w:val="00486102"/>
    <w:rsid w:val="00487547"/>
    <w:rsid w:val="004901EE"/>
    <w:rsid w:val="0049444E"/>
    <w:rsid w:val="00494C7D"/>
    <w:rsid w:val="004969CF"/>
    <w:rsid w:val="00496FF3"/>
    <w:rsid w:val="00497703"/>
    <w:rsid w:val="004A0FB6"/>
    <w:rsid w:val="004A13FF"/>
    <w:rsid w:val="004A1AA4"/>
    <w:rsid w:val="004A4D3C"/>
    <w:rsid w:val="004A72F5"/>
    <w:rsid w:val="004B67BB"/>
    <w:rsid w:val="004C162B"/>
    <w:rsid w:val="004C1B1C"/>
    <w:rsid w:val="004C3998"/>
    <w:rsid w:val="004C3B5C"/>
    <w:rsid w:val="004D19F8"/>
    <w:rsid w:val="004D1ECE"/>
    <w:rsid w:val="004D1EE7"/>
    <w:rsid w:val="004D3614"/>
    <w:rsid w:val="004D5967"/>
    <w:rsid w:val="004D6100"/>
    <w:rsid w:val="004E00DB"/>
    <w:rsid w:val="004E4985"/>
    <w:rsid w:val="004E5F84"/>
    <w:rsid w:val="004E68AD"/>
    <w:rsid w:val="004E690E"/>
    <w:rsid w:val="004E6D48"/>
    <w:rsid w:val="004F047B"/>
    <w:rsid w:val="004F0C97"/>
    <w:rsid w:val="004F2EF7"/>
    <w:rsid w:val="004F42C3"/>
    <w:rsid w:val="004F4A85"/>
    <w:rsid w:val="004F4D84"/>
    <w:rsid w:val="004F534F"/>
    <w:rsid w:val="00501503"/>
    <w:rsid w:val="00502A78"/>
    <w:rsid w:val="00504034"/>
    <w:rsid w:val="0050661D"/>
    <w:rsid w:val="00506637"/>
    <w:rsid w:val="0050683A"/>
    <w:rsid w:val="00507632"/>
    <w:rsid w:val="00507D3D"/>
    <w:rsid w:val="00511380"/>
    <w:rsid w:val="00511B88"/>
    <w:rsid w:val="00512490"/>
    <w:rsid w:val="0051528B"/>
    <w:rsid w:val="005156C2"/>
    <w:rsid w:val="0052289F"/>
    <w:rsid w:val="00523A18"/>
    <w:rsid w:val="00524357"/>
    <w:rsid w:val="00526921"/>
    <w:rsid w:val="005271A8"/>
    <w:rsid w:val="00533F4D"/>
    <w:rsid w:val="0053462C"/>
    <w:rsid w:val="00534745"/>
    <w:rsid w:val="00542A49"/>
    <w:rsid w:val="00545A41"/>
    <w:rsid w:val="00546FB3"/>
    <w:rsid w:val="005474C1"/>
    <w:rsid w:val="00547926"/>
    <w:rsid w:val="005503DA"/>
    <w:rsid w:val="00552925"/>
    <w:rsid w:val="00554255"/>
    <w:rsid w:val="005563C9"/>
    <w:rsid w:val="00556E0D"/>
    <w:rsid w:val="00557B06"/>
    <w:rsid w:val="005625D8"/>
    <w:rsid w:val="00564B10"/>
    <w:rsid w:val="00565467"/>
    <w:rsid w:val="00565505"/>
    <w:rsid w:val="00566738"/>
    <w:rsid w:val="0056684D"/>
    <w:rsid w:val="00566F2F"/>
    <w:rsid w:val="005670C1"/>
    <w:rsid w:val="005718B7"/>
    <w:rsid w:val="00572023"/>
    <w:rsid w:val="00572A6C"/>
    <w:rsid w:val="00573004"/>
    <w:rsid w:val="00573856"/>
    <w:rsid w:val="00573C66"/>
    <w:rsid w:val="00584DB0"/>
    <w:rsid w:val="0059148B"/>
    <w:rsid w:val="00591DDC"/>
    <w:rsid w:val="00592F1F"/>
    <w:rsid w:val="0059511B"/>
    <w:rsid w:val="00595893"/>
    <w:rsid w:val="005A0D7B"/>
    <w:rsid w:val="005A219B"/>
    <w:rsid w:val="005A327A"/>
    <w:rsid w:val="005A4BBB"/>
    <w:rsid w:val="005A5BB9"/>
    <w:rsid w:val="005A7AE0"/>
    <w:rsid w:val="005B249F"/>
    <w:rsid w:val="005B2BDA"/>
    <w:rsid w:val="005B50FE"/>
    <w:rsid w:val="005B5FA0"/>
    <w:rsid w:val="005C1A22"/>
    <w:rsid w:val="005C369F"/>
    <w:rsid w:val="005C4AE6"/>
    <w:rsid w:val="005D1B08"/>
    <w:rsid w:val="005D50B1"/>
    <w:rsid w:val="005D7718"/>
    <w:rsid w:val="005E273B"/>
    <w:rsid w:val="005E2F38"/>
    <w:rsid w:val="005E4902"/>
    <w:rsid w:val="005E4E36"/>
    <w:rsid w:val="005E6816"/>
    <w:rsid w:val="005F087F"/>
    <w:rsid w:val="005F3E0E"/>
    <w:rsid w:val="005F556F"/>
    <w:rsid w:val="0060034C"/>
    <w:rsid w:val="00600744"/>
    <w:rsid w:val="00600AA2"/>
    <w:rsid w:val="006015A8"/>
    <w:rsid w:val="00602454"/>
    <w:rsid w:val="00602CAC"/>
    <w:rsid w:val="0060550D"/>
    <w:rsid w:val="00606FC2"/>
    <w:rsid w:val="006109E1"/>
    <w:rsid w:val="00610C95"/>
    <w:rsid w:val="00613C72"/>
    <w:rsid w:val="00613FD9"/>
    <w:rsid w:val="0061576A"/>
    <w:rsid w:val="00616177"/>
    <w:rsid w:val="00616BFB"/>
    <w:rsid w:val="00617940"/>
    <w:rsid w:val="00621DA1"/>
    <w:rsid w:val="00621EA8"/>
    <w:rsid w:val="00623580"/>
    <w:rsid w:val="006240B7"/>
    <w:rsid w:val="0062477C"/>
    <w:rsid w:val="00625E46"/>
    <w:rsid w:val="00625FEC"/>
    <w:rsid w:val="00626181"/>
    <w:rsid w:val="006274BF"/>
    <w:rsid w:val="00633814"/>
    <w:rsid w:val="006339C9"/>
    <w:rsid w:val="00633B18"/>
    <w:rsid w:val="00634296"/>
    <w:rsid w:val="006350D5"/>
    <w:rsid w:val="00636179"/>
    <w:rsid w:val="006411D1"/>
    <w:rsid w:val="00642623"/>
    <w:rsid w:val="00644388"/>
    <w:rsid w:val="00646062"/>
    <w:rsid w:val="00646099"/>
    <w:rsid w:val="00646DB0"/>
    <w:rsid w:val="00650724"/>
    <w:rsid w:val="00651297"/>
    <w:rsid w:val="00651FC8"/>
    <w:rsid w:val="00653589"/>
    <w:rsid w:val="00653674"/>
    <w:rsid w:val="00657238"/>
    <w:rsid w:val="0066032E"/>
    <w:rsid w:val="006604A4"/>
    <w:rsid w:val="00664702"/>
    <w:rsid w:val="00664EA7"/>
    <w:rsid w:val="00666521"/>
    <w:rsid w:val="006715D2"/>
    <w:rsid w:val="006730B0"/>
    <w:rsid w:val="00674C76"/>
    <w:rsid w:val="0067563E"/>
    <w:rsid w:val="00680633"/>
    <w:rsid w:val="0068229C"/>
    <w:rsid w:val="006825DA"/>
    <w:rsid w:val="00683387"/>
    <w:rsid w:val="00684459"/>
    <w:rsid w:val="006867FC"/>
    <w:rsid w:val="00687E07"/>
    <w:rsid w:val="00690A36"/>
    <w:rsid w:val="0069285D"/>
    <w:rsid w:val="00694C56"/>
    <w:rsid w:val="006A01F4"/>
    <w:rsid w:val="006A1C5F"/>
    <w:rsid w:val="006A1F1D"/>
    <w:rsid w:val="006A312D"/>
    <w:rsid w:val="006A3245"/>
    <w:rsid w:val="006A3FA4"/>
    <w:rsid w:val="006A4DF2"/>
    <w:rsid w:val="006A665B"/>
    <w:rsid w:val="006A732C"/>
    <w:rsid w:val="006A74F8"/>
    <w:rsid w:val="006A76BD"/>
    <w:rsid w:val="006A7F90"/>
    <w:rsid w:val="006B05FC"/>
    <w:rsid w:val="006B176A"/>
    <w:rsid w:val="006B1A6E"/>
    <w:rsid w:val="006B60D5"/>
    <w:rsid w:val="006C0728"/>
    <w:rsid w:val="006C0A9D"/>
    <w:rsid w:val="006C1DC2"/>
    <w:rsid w:val="006C2A53"/>
    <w:rsid w:val="006C3F5D"/>
    <w:rsid w:val="006C4242"/>
    <w:rsid w:val="006C4287"/>
    <w:rsid w:val="006C6F6F"/>
    <w:rsid w:val="006C7054"/>
    <w:rsid w:val="006D1000"/>
    <w:rsid w:val="006D12F1"/>
    <w:rsid w:val="006D46FC"/>
    <w:rsid w:val="006D5626"/>
    <w:rsid w:val="006D7672"/>
    <w:rsid w:val="006E0E1A"/>
    <w:rsid w:val="006E41A6"/>
    <w:rsid w:val="006E53F8"/>
    <w:rsid w:val="006F04C6"/>
    <w:rsid w:val="006F3B26"/>
    <w:rsid w:val="006F4A0E"/>
    <w:rsid w:val="006F50BE"/>
    <w:rsid w:val="006F50D7"/>
    <w:rsid w:val="00703AB9"/>
    <w:rsid w:val="00704E1B"/>
    <w:rsid w:val="00705E82"/>
    <w:rsid w:val="00706982"/>
    <w:rsid w:val="00707B71"/>
    <w:rsid w:val="00714C0A"/>
    <w:rsid w:val="0071595A"/>
    <w:rsid w:val="007159CF"/>
    <w:rsid w:val="0072354D"/>
    <w:rsid w:val="00724F05"/>
    <w:rsid w:val="00725C6F"/>
    <w:rsid w:val="00725DE1"/>
    <w:rsid w:val="00726074"/>
    <w:rsid w:val="00727C7B"/>
    <w:rsid w:val="00731186"/>
    <w:rsid w:val="00731FE7"/>
    <w:rsid w:val="00732D07"/>
    <w:rsid w:val="00733E24"/>
    <w:rsid w:val="00736896"/>
    <w:rsid w:val="00736CEF"/>
    <w:rsid w:val="0074019B"/>
    <w:rsid w:val="00742C2E"/>
    <w:rsid w:val="00743D54"/>
    <w:rsid w:val="00746A2B"/>
    <w:rsid w:val="00747412"/>
    <w:rsid w:val="00752745"/>
    <w:rsid w:val="00754C93"/>
    <w:rsid w:val="0075702B"/>
    <w:rsid w:val="0076028E"/>
    <w:rsid w:val="0076054B"/>
    <w:rsid w:val="00760B2E"/>
    <w:rsid w:val="0076418A"/>
    <w:rsid w:val="0076495D"/>
    <w:rsid w:val="0076567A"/>
    <w:rsid w:val="00771549"/>
    <w:rsid w:val="0077167F"/>
    <w:rsid w:val="00773948"/>
    <w:rsid w:val="00780B43"/>
    <w:rsid w:val="00783E31"/>
    <w:rsid w:val="00785CA6"/>
    <w:rsid w:val="00785E1A"/>
    <w:rsid w:val="00786AB0"/>
    <w:rsid w:val="00787EBD"/>
    <w:rsid w:val="00790367"/>
    <w:rsid w:val="007912B7"/>
    <w:rsid w:val="007916C5"/>
    <w:rsid w:val="00791D6D"/>
    <w:rsid w:val="00792289"/>
    <w:rsid w:val="0079368F"/>
    <w:rsid w:val="00794235"/>
    <w:rsid w:val="00795418"/>
    <w:rsid w:val="00796498"/>
    <w:rsid w:val="007972D6"/>
    <w:rsid w:val="007A1FCC"/>
    <w:rsid w:val="007A3CD8"/>
    <w:rsid w:val="007A57C3"/>
    <w:rsid w:val="007A66A5"/>
    <w:rsid w:val="007A67AA"/>
    <w:rsid w:val="007B1946"/>
    <w:rsid w:val="007B19D5"/>
    <w:rsid w:val="007B3944"/>
    <w:rsid w:val="007B54C4"/>
    <w:rsid w:val="007B5775"/>
    <w:rsid w:val="007C1C20"/>
    <w:rsid w:val="007C5A1A"/>
    <w:rsid w:val="007C6235"/>
    <w:rsid w:val="007C7638"/>
    <w:rsid w:val="007D0513"/>
    <w:rsid w:val="007D3B53"/>
    <w:rsid w:val="007D4E27"/>
    <w:rsid w:val="007D65BE"/>
    <w:rsid w:val="007D7312"/>
    <w:rsid w:val="007E169D"/>
    <w:rsid w:val="007E293D"/>
    <w:rsid w:val="007E34F9"/>
    <w:rsid w:val="007E6267"/>
    <w:rsid w:val="007F12DE"/>
    <w:rsid w:val="007F22EC"/>
    <w:rsid w:val="007F2522"/>
    <w:rsid w:val="007F42FD"/>
    <w:rsid w:val="007F43CA"/>
    <w:rsid w:val="007F4405"/>
    <w:rsid w:val="007F4CD0"/>
    <w:rsid w:val="007F525D"/>
    <w:rsid w:val="007F555A"/>
    <w:rsid w:val="007F7DAB"/>
    <w:rsid w:val="00800C31"/>
    <w:rsid w:val="008046C7"/>
    <w:rsid w:val="00812C2F"/>
    <w:rsid w:val="008201CC"/>
    <w:rsid w:val="0082172A"/>
    <w:rsid w:val="008223DF"/>
    <w:rsid w:val="00823A3F"/>
    <w:rsid w:val="00826C6A"/>
    <w:rsid w:val="00826CB3"/>
    <w:rsid w:val="00830298"/>
    <w:rsid w:val="008302A6"/>
    <w:rsid w:val="00831702"/>
    <w:rsid w:val="00831B4B"/>
    <w:rsid w:val="00832F6C"/>
    <w:rsid w:val="00832FF0"/>
    <w:rsid w:val="008345B2"/>
    <w:rsid w:val="00836AA6"/>
    <w:rsid w:val="008371BC"/>
    <w:rsid w:val="008371E7"/>
    <w:rsid w:val="0083749C"/>
    <w:rsid w:val="00837C71"/>
    <w:rsid w:val="00840749"/>
    <w:rsid w:val="00844E15"/>
    <w:rsid w:val="008461AC"/>
    <w:rsid w:val="008474B4"/>
    <w:rsid w:val="00851F42"/>
    <w:rsid w:val="00853645"/>
    <w:rsid w:val="00853BF1"/>
    <w:rsid w:val="00854027"/>
    <w:rsid w:val="00855199"/>
    <w:rsid w:val="00856BD8"/>
    <w:rsid w:val="008574F3"/>
    <w:rsid w:val="008608B5"/>
    <w:rsid w:val="00860F3A"/>
    <w:rsid w:val="00863EF0"/>
    <w:rsid w:val="00865C5C"/>
    <w:rsid w:val="00866449"/>
    <w:rsid w:val="00867960"/>
    <w:rsid w:val="008707F1"/>
    <w:rsid w:val="00873F71"/>
    <w:rsid w:val="008758F8"/>
    <w:rsid w:val="008760E7"/>
    <w:rsid w:val="0087675B"/>
    <w:rsid w:val="00876C74"/>
    <w:rsid w:val="008775C5"/>
    <w:rsid w:val="0088233B"/>
    <w:rsid w:val="00883DE1"/>
    <w:rsid w:val="008852E9"/>
    <w:rsid w:val="008859B6"/>
    <w:rsid w:val="0088629B"/>
    <w:rsid w:val="00887148"/>
    <w:rsid w:val="00887539"/>
    <w:rsid w:val="0089082F"/>
    <w:rsid w:val="008908B5"/>
    <w:rsid w:val="00890BAF"/>
    <w:rsid w:val="00891C79"/>
    <w:rsid w:val="00892380"/>
    <w:rsid w:val="00892CF7"/>
    <w:rsid w:val="008931C3"/>
    <w:rsid w:val="008940BC"/>
    <w:rsid w:val="00895A36"/>
    <w:rsid w:val="00895E03"/>
    <w:rsid w:val="00896B10"/>
    <w:rsid w:val="008A245C"/>
    <w:rsid w:val="008A2F11"/>
    <w:rsid w:val="008A4135"/>
    <w:rsid w:val="008A6AFB"/>
    <w:rsid w:val="008B12CE"/>
    <w:rsid w:val="008B21A1"/>
    <w:rsid w:val="008B23B7"/>
    <w:rsid w:val="008B3D19"/>
    <w:rsid w:val="008B4702"/>
    <w:rsid w:val="008B5C4D"/>
    <w:rsid w:val="008B6201"/>
    <w:rsid w:val="008B6446"/>
    <w:rsid w:val="008C0CD0"/>
    <w:rsid w:val="008C1487"/>
    <w:rsid w:val="008C2ACA"/>
    <w:rsid w:val="008C2BA7"/>
    <w:rsid w:val="008C3A2A"/>
    <w:rsid w:val="008C46CC"/>
    <w:rsid w:val="008C60C8"/>
    <w:rsid w:val="008C6233"/>
    <w:rsid w:val="008D0B7C"/>
    <w:rsid w:val="008D1A24"/>
    <w:rsid w:val="008D4CCA"/>
    <w:rsid w:val="008D4E2D"/>
    <w:rsid w:val="008D4F5F"/>
    <w:rsid w:val="008D65CF"/>
    <w:rsid w:val="008E1F2F"/>
    <w:rsid w:val="008E2C9F"/>
    <w:rsid w:val="008E2ECB"/>
    <w:rsid w:val="008E3036"/>
    <w:rsid w:val="008E33FE"/>
    <w:rsid w:val="008E348B"/>
    <w:rsid w:val="008E4BCE"/>
    <w:rsid w:val="008E54B1"/>
    <w:rsid w:val="008E5BB0"/>
    <w:rsid w:val="008E7478"/>
    <w:rsid w:val="008E74B3"/>
    <w:rsid w:val="008F2536"/>
    <w:rsid w:val="008F2584"/>
    <w:rsid w:val="008F3528"/>
    <w:rsid w:val="008F57A8"/>
    <w:rsid w:val="00900421"/>
    <w:rsid w:val="00900B83"/>
    <w:rsid w:val="009012FD"/>
    <w:rsid w:val="00901757"/>
    <w:rsid w:val="0090245D"/>
    <w:rsid w:val="009031C3"/>
    <w:rsid w:val="009033A9"/>
    <w:rsid w:val="00903B04"/>
    <w:rsid w:val="00914C8F"/>
    <w:rsid w:val="00915466"/>
    <w:rsid w:val="0091603D"/>
    <w:rsid w:val="0093418D"/>
    <w:rsid w:val="0093493D"/>
    <w:rsid w:val="00940FF1"/>
    <w:rsid w:val="00946230"/>
    <w:rsid w:val="009543D9"/>
    <w:rsid w:val="0095710C"/>
    <w:rsid w:val="0095719E"/>
    <w:rsid w:val="00961625"/>
    <w:rsid w:val="0096356B"/>
    <w:rsid w:val="00964838"/>
    <w:rsid w:val="009652E1"/>
    <w:rsid w:val="00971145"/>
    <w:rsid w:val="00974BAD"/>
    <w:rsid w:val="00974BDD"/>
    <w:rsid w:val="00975110"/>
    <w:rsid w:val="009766D3"/>
    <w:rsid w:val="00976AAD"/>
    <w:rsid w:val="00977365"/>
    <w:rsid w:val="0098219F"/>
    <w:rsid w:val="0098222F"/>
    <w:rsid w:val="009828BD"/>
    <w:rsid w:val="00983395"/>
    <w:rsid w:val="009849F1"/>
    <w:rsid w:val="00985B5B"/>
    <w:rsid w:val="00986AD5"/>
    <w:rsid w:val="00986DBD"/>
    <w:rsid w:val="009917A3"/>
    <w:rsid w:val="009B205A"/>
    <w:rsid w:val="009B226D"/>
    <w:rsid w:val="009B64F9"/>
    <w:rsid w:val="009C36E9"/>
    <w:rsid w:val="009C4B04"/>
    <w:rsid w:val="009C4D5A"/>
    <w:rsid w:val="009C56DC"/>
    <w:rsid w:val="009C615D"/>
    <w:rsid w:val="009D0807"/>
    <w:rsid w:val="009D0D68"/>
    <w:rsid w:val="009D1B31"/>
    <w:rsid w:val="009D2C69"/>
    <w:rsid w:val="009D2F43"/>
    <w:rsid w:val="009D31C5"/>
    <w:rsid w:val="009D72B7"/>
    <w:rsid w:val="009E05AF"/>
    <w:rsid w:val="009E0B51"/>
    <w:rsid w:val="009E5F38"/>
    <w:rsid w:val="009E7C3F"/>
    <w:rsid w:val="009F7FD3"/>
    <w:rsid w:val="00A00576"/>
    <w:rsid w:val="00A00BEE"/>
    <w:rsid w:val="00A06CF5"/>
    <w:rsid w:val="00A07270"/>
    <w:rsid w:val="00A11080"/>
    <w:rsid w:val="00A13A75"/>
    <w:rsid w:val="00A13FFB"/>
    <w:rsid w:val="00A141F1"/>
    <w:rsid w:val="00A17589"/>
    <w:rsid w:val="00A17C77"/>
    <w:rsid w:val="00A204FF"/>
    <w:rsid w:val="00A22131"/>
    <w:rsid w:val="00A222B4"/>
    <w:rsid w:val="00A2249C"/>
    <w:rsid w:val="00A2391D"/>
    <w:rsid w:val="00A259D2"/>
    <w:rsid w:val="00A26A67"/>
    <w:rsid w:val="00A312A9"/>
    <w:rsid w:val="00A32CF8"/>
    <w:rsid w:val="00A339B1"/>
    <w:rsid w:val="00A34179"/>
    <w:rsid w:val="00A3514F"/>
    <w:rsid w:val="00A354B9"/>
    <w:rsid w:val="00A37DC4"/>
    <w:rsid w:val="00A411E1"/>
    <w:rsid w:val="00A416F2"/>
    <w:rsid w:val="00A41967"/>
    <w:rsid w:val="00A445D9"/>
    <w:rsid w:val="00A464C2"/>
    <w:rsid w:val="00A46D40"/>
    <w:rsid w:val="00A50057"/>
    <w:rsid w:val="00A5360C"/>
    <w:rsid w:val="00A5414F"/>
    <w:rsid w:val="00A54346"/>
    <w:rsid w:val="00A619CA"/>
    <w:rsid w:val="00A63F71"/>
    <w:rsid w:val="00A65E40"/>
    <w:rsid w:val="00A6600B"/>
    <w:rsid w:val="00A710A1"/>
    <w:rsid w:val="00A7408F"/>
    <w:rsid w:val="00A74CA3"/>
    <w:rsid w:val="00A74EBE"/>
    <w:rsid w:val="00A81463"/>
    <w:rsid w:val="00A816F7"/>
    <w:rsid w:val="00A81E55"/>
    <w:rsid w:val="00A82367"/>
    <w:rsid w:val="00A82AC2"/>
    <w:rsid w:val="00A82C5F"/>
    <w:rsid w:val="00A8402A"/>
    <w:rsid w:val="00A847E2"/>
    <w:rsid w:val="00A85B43"/>
    <w:rsid w:val="00A86FA0"/>
    <w:rsid w:val="00A90129"/>
    <w:rsid w:val="00A912E9"/>
    <w:rsid w:val="00A92D88"/>
    <w:rsid w:val="00A93868"/>
    <w:rsid w:val="00A94F7F"/>
    <w:rsid w:val="00A96B26"/>
    <w:rsid w:val="00A97439"/>
    <w:rsid w:val="00AA2A2C"/>
    <w:rsid w:val="00AA2EF9"/>
    <w:rsid w:val="00AA354E"/>
    <w:rsid w:val="00AA3BCF"/>
    <w:rsid w:val="00AA4726"/>
    <w:rsid w:val="00AA51C6"/>
    <w:rsid w:val="00AA5B5F"/>
    <w:rsid w:val="00AA779A"/>
    <w:rsid w:val="00AB074C"/>
    <w:rsid w:val="00AB0817"/>
    <w:rsid w:val="00AB301A"/>
    <w:rsid w:val="00AB5092"/>
    <w:rsid w:val="00AB7CC2"/>
    <w:rsid w:val="00AC0F57"/>
    <w:rsid w:val="00AC28E1"/>
    <w:rsid w:val="00AC30E9"/>
    <w:rsid w:val="00AC3BB0"/>
    <w:rsid w:val="00AC3DBC"/>
    <w:rsid w:val="00AC46B5"/>
    <w:rsid w:val="00AC732F"/>
    <w:rsid w:val="00AC7B72"/>
    <w:rsid w:val="00AD032F"/>
    <w:rsid w:val="00AD05FC"/>
    <w:rsid w:val="00AD2EC7"/>
    <w:rsid w:val="00AD4CF3"/>
    <w:rsid w:val="00AE1524"/>
    <w:rsid w:val="00AE1557"/>
    <w:rsid w:val="00AE3056"/>
    <w:rsid w:val="00AE366E"/>
    <w:rsid w:val="00AE40CA"/>
    <w:rsid w:val="00AE7748"/>
    <w:rsid w:val="00AF14DD"/>
    <w:rsid w:val="00AF332D"/>
    <w:rsid w:val="00AF3E27"/>
    <w:rsid w:val="00AF58DA"/>
    <w:rsid w:val="00B01CC8"/>
    <w:rsid w:val="00B03156"/>
    <w:rsid w:val="00B05135"/>
    <w:rsid w:val="00B06ABC"/>
    <w:rsid w:val="00B10FCF"/>
    <w:rsid w:val="00B12C6F"/>
    <w:rsid w:val="00B201C9"/>
    <w:rsid w:val="00B2058B"/>
    <w:rsid w:val="00B21BA0"/>
    <w:rsid w:val="00B2378C"/>
    <w:rsid w:val="00B23E13"/>
    <w:rsid w:val="00B25633"/>
    <w:rsid w:val="00B256AD"/>
    <w:rsid w:val="00B25FF9"/>
    <w:rsid w:val="00B303B4"/>
    <w:rsid w:val="00B31116"/>
    <w:rsid w:val="00B3207F"/>
    <w:rsid w:val="00B332F7"/>
    <w:rsid w:val="00B362F2"/>
    <w:rsid w:val="00B372D4"/>
    <w:rsid w:val="00B37C0B"/>
    <w:rsid w:val="00B41C7C"/>
    <w:rsid w:val="00B43108"/>
    <w:rsid w:val="00B45E12"/>
    <w:rsid w:val="00B46C76"/>
    <w:rsid w:val="00B47F35"/>
    <w:rsid w:val="00B502C2"/>
    <w:rsid w:val="00B55AD9"/>
    <w:rsid w:val="00B57484"/>
    <w:rsid w:val="00B57637"/>
    <w:rsid w:val="00B60F05"/>
    <w:rsid w:val="00B6211D"/>
    <w:rsid w:val="00B6245D"/>
    <w:rsid w:val="00B630EE"/>
    <w:rsid w:val="00B66025"/>
    <w:rsid w:val="00B6649C"/>
    <w:rsid w:val="00B708FD"/>
    <w:rsid w:val="00B7171B"/>
    <w:rsid w:val="00B72C98"/>
    <w:rsid w:val="00B7319E"/>
    <w:rsid w:val="00B73904"/>
    <w:rsid w:val="00B74BAA"/>
    <w:rsid w:val="00B74CC1"/>
    <w:rsid w:val="00B76C3F"/>
    <w:rsid w:val="00B7735F"/>
    <w:rsid w:val="00B77A46"/>
    <w:rsid w:val="00B82049"/>
    <w:rsid w:val="00B8298B"/>
    <w:rsid w:val="00B83A2B"/>
    <w:rsid w:val="00B86575"/>
    <w:rsid w:val="00B9078F"/>
    <w:rsid w:val="00B9479B"/>
    <w:rsid w:val="00BA0B5B"/>
    <w:rsid w:val="00BA1E23"/>
    <w:rsid w:val="00BA2931"/>
    <w:rsid w:val="00BA4056"/>
    <w:rsid w:val="00BA4F7C"/>
    <w:rsid w:val="00BB32DC"/>
    <w:rsid w:val="00BB3420"/>
    <w:rsid w:val="00BB4953"/>
    <w:rsid w:val="00BB4FD3"/>
    <w:rsid w:val="00BC03C6"/>
    <w:rsid w:val="00BC1F93"/>
    <w:rsid w:val="00BC2338"/>
    <w:rsid w:val="00BC34B8"/>
    <w:rsid w:val="00BC4606"/>
    <w:rsid w:val="00BC46E3"/>
    <w:rsid w:val="00BC53E6"/>
    <w:rsid w:val="00BC793A"/>
    <w:rsid w:val="00BD3A97"/>
    <w:rsid w:val="00BD54F2"/>
    <w:rsid w:val="00BD66C9"/>
    <w:rsid w:val="00BD69EA"/>
    <w:rsid w:val="00BE18B9"/>
    <w:rsid w:val="00BE3827"/>
    <w:rsid w:val="00BE3E9D"/>
    <w:rsid w:val="00BE7A60"/>
    <w:rsid w:val="00BF0CED"/>
    <w:rsid w:val="00BF208A"/>
    <w:rsid w:val="00BF3F70"/>
    <w:rsid w:val="00BF5A2E"/>
    <w:rsid w:val="00BF7910"/>
    <w:rsid w:val="00C00383"/>
    <w:rsid w:val="00C00CD9"/>
    <w:rsid w:val="00C00DFC"/>
    <w:rsid w:val="00C01FDC"/>
    <w:rsid w:val="00C0212F"/>
    <w:rsid w:val="00C03033"/>
    <w:rsid w:val="00C03602"/>
    <w:rsid w:val="00C07065"/>
    <w:rsid w:val="00C1000E"/>
    <w:rsid w:val="00C11DE4"/>
    <w:rsid w:val="00C126FA"/>
    <w:rsid w:val="00C16137"/>
    <w:rsid w:val="00C16D4F"/>
    <w:rsid w:val="00C16F7E"/>
    <w:rsid w:val="00C2552B"/>
    <w:rsid w:val="00C25632"/>
    <w:rsid w:val="00C25EC2"/>
    <w:rsid w:val="00C27ECE"/>
    <w:rsid w:val="00C3031B"/>
    <w:rsid w:val="00C304AC"/>
    <w:rsid w:val="00C3153B"/>
    <w:rsid w:val="00C335E6"/>
    <w:rsid w:val="00C37723"/>
    <w:rsid w:val="00C401EF"/>
    <w:rsid w:val="00C45092"/>
    <w:rsid w:val="00C504F4"/>
    <w:rsid w:val="00C5058A"/>
    <w:rsid w:val="00C513D2"/>
    <w:rsid w:val="00C52392"/>
    <w:rsid w:val="00C53C37"/>
    <w:rsid w:val="00C55E63"/>
    <w:rsid w:val="00C6244A"/>
    <w:rsid w:val="00C65295"/>
    <w:rsid w:val="00C65AA6"/>
    <w:rsid w:val="00C667FB"/>
    <w:rsid w:val="00C70AAD"/>
    <w:rsid w:val="00C7148C"/>
    <w:rsid w:val="00C72278"/>
    <w:rsid w:val="00C738F5"/>
    <w:rsid w:val="00C73C8B"/>
    <w:rsid w:val="00C7733B"/>
    <w:rsid w:val="00C805F3"/>
    <w:rsid w:val="00C80689"/>
    <w:rsid w:val="00C83D9F"/>
    <w:rsid w:val="00C8602E"/>
    <w:rsid w:val="00C86067"/>
    <w:rsid w:val="00C90B05"/>
    <w:rsid w:val="00C90DFE"/>
    <w:rsid w:val="00C93769"/>
    <w:rsid w:val="00C962F0"/>
    <w:rsid w:val="00CA067D"/>
    <w:rsid w:val="00CA3245"/>
    <w:rsid w:val="00CA4058"/>
    <w:rsid w:val="00CA4192"/>
    <w:rsid w:val="00CB1A5B"/>
    <w:rsid w:val="00CB2246"/>
    <w:rsid w:val="00CB242F"/>
    <w:rsid w:val="00CB2465"/>
    <w:rsid w:val="00CB372D"/>
    <w:rsid w:val="00CB37E7"/>
    <w:rsid w:val="00CB46F8"/>
    <w:rsid w:val="00CC5CAA"/>
    <w:rsid w:val="00CC7499"/>
    <w:rsid w:val="00CD03FC"/>
    <w:rsid w:val="00CD06AE"/>
    <w:rsid w:val="00CD146F"/>
    <w:rsid w:val="00CD1E55"/>
    <w:rsid w:val="00CD2211"/>
    <w:rsid w:val="00CD3CD2"/>
    <w:rsid w:val="00CD4D4B"/>
    <w:rsid w:val="00CD6433"/>
    <w:rsid w:val="00CD73E9"/>
    <w:rsid w:val="00CE09AD"/>
    <w:rsid w:val="00CE15DA"/>
    <w:rsid w:val="00CE1AFD"/>
    <w:rsid w:val="00CE1E7A"/>
    <w:rsid w:val="00CE600C"/>
    <w:rsid w:val="00CE72C4"/>
    <w:rsid w:val="00CF0146"/>
    <w:rsid w:val="00CF0C25"/>
    <w:rsid w:val="00CF0D0D"/>
    <w:rsid w:val="00CF11B3"/>
    <w:rsid w:val="00CF287C"/>
    <w:rsid w:val="00CF3BB2"/>
    <w:rsid w:val="00CF4BEE"/>
    <w:rsid w:val="00CF6276"/>
    <w:rsid w:val="00CF6FA7"/>
    <w:rsid w:val="00D01737"/>
    <w:rsid w:val="00D0192D"/>
    <w:rsid w:val="00D02AA0"/>
    <w:rsid w:val="00D05360"/>
    <w:rsid w:val="00D05513"/>
    <w:rsid w:val="00D05835"/>
    <w:rsid w:val="00D11C1A"/>
    <w:rsid w:val="00D16EC5"/>
    <w:rsid w:val="00D1755A"/>
    <w:rsid w:val="00D20E3C"/>
    <w:rsid w:val="00D248F4"/>
    <w:rsid w:val="00D24D5C"/>
    <w:rsid w:val="00D24E2D"/>
    <w:rsid w:val="00D25A3F"/>
    <w:rsid w:val="00D35B7E"/>
    <w:rsid w:val="00D35EA3"/>
    <w:rsid w:val="00D4321E"/>
    <w:rsid w:val="00D43464"/>
    <w:rsid w:val="00D43EAA"/>
    <w:rsid w:val="00D516C2"/>
    <w:rsid w:val="00D52319"/>
    <w:rsid w:val="00D52BA3"/>
    <w:rsid w:val="00D5402A"/>
    <w:rsid w:val="00D57E3D"/>
    <w:rsid w:val="00D600BA"/>
    <w:rsid w:val="00D6275F"/>
    <w:rsid w:val="00D636D7"/>
    <w:rsid w:val="00D64602"/>
    <w:rsid w:val="00D64A7F"/>
    <w:rsid w:val="00D65295"/>
    <w:rsid w:val="00D73BEC"/>
    <w:rsid w:val="00D73F2A"/>
    <w:rsid w:val="00D74C5D"/>
    <w:rsid w:val="00D766ED"/>
    <w:rsid w:val="00D770EF"/>
    <w:rsid w:val="00D7717B"/>
    <w:rsid w:val="00D77F1D"/>
    <w:rsid w:val="00D813A3"/>
    <w:rsid w:val="00D81A0D"/>
    <w:rsid w:val="00D91101"/>
    <w:rsid w:val="00D91CA7"/>
    <w:rsid w:val="00D93254"/>
    <w:rsid w:val="00D93458"/>
    <w:rsid w:val="00D959E1"/>
    <w:rsid w:val="00D967C8"/>
    <w:rsid w:val="00DA1BC8"/>
    <w:rsid w:val="00DA38C8"/>
    <w:rsid w:val="00DA5FBF"/>
    <w:rsid w:val="00DA732B"/>
    <w:rsid w:val="00DA7698"/>
    <w:rsid w:val="00DA76FD"/>
    <w:rsid w:val="00DB044F"/>
    <w:rsid w:val="00DB19C5"/>
    <w:rsid w:val="00DB3539"/>
    <w:rsid w:val="00DB3914"/>
    <w:rsid w:val="00DB4691"/>
    <w:rsid w:val="00DB5AE1"/>
    <w:rsid w:val="00DB5AEC"/>
    <w:rsid w:val="00DB5C14"/>
    <w:rsid w:val="00DB731B"/>
    <w:rsid w:val="00DC097A"/>
    <w:rsid w:val="00DC09A6"/>
    <w:rsid w:val="00DC09D4"/>
    <w:rsid w:val="00DC3308"/>
    <w:rsid w:val="00DC38F4"/>
    <w:rsid w:val="00DC4465"/>
    <w:rsid w:val="00DC458A"/>
    <w:rsid w:val="00DC5426"/>
    <w:rsid w:val="00DC6F40"/>
    <w:rsid w:val="00DD385B"/>
    <w:rsid w:val="00DD5FEE"/>
    <w:rsid w:val="00DD6BEB"/>
    <w:rsid w:val="00DE076F"/>
    <w:rsid w:val="00DE4283"/>
    <w:rsid w:val="00DE6603"/>
    <w:rsid w:val="00DE6C3D"/>
    <w:rsid w:val="00DE6EB1"/>
    <w:rsid w:val="00DF056F"/>
    <w:rsid w:val="00DF0910"/>
    <w:rsid w:val="00DF1BD3"/>
    <w:rsid w:val="00DF2086"/>
    <w:rsid w:val="00DF35C4"/>
    <w:rsid w:val="00DF3AFD"/>
    <w:rsid w:val="00DF4946"/>
    <w:rsid w:val="00DF62E5"/>
    <w:rsid w:val="00E016A5"/>
    <w:rsid w:val="00E05E98"/>
    <w:rsid w:val="00E07E2B"/>
    <w:rsid w:val="00E10BFF"/>
    <w:rsid w:val="00E1162E"/>
    <w:rsid w:val="00E120AC"/>
    <w:rsid w:val="00E16C5E"/>
    <w:rsid w:val="00E21125"/>
    <w:rsid w:val="00E22B1A"/>
    <w:rsid w:val="00E23318"/>
    <w:rsid w:val="00E30A61"/>
    <w:rsid w:val="00E32418"/>
    <w:rsid w:val="00E3349D"/>
    <w:rsid w:val="00E347AD"/>
    <w:rsid w:val="00E40A07"/>
    <w:rsid w:val="00E40F79"/>
    <w:rsid w:val="00E418D9"/>
    <w:rsid w:val="00E42583"/>
    <w:rsid w:val="00E50A4B"/>
    <w:rsid w:val="00E5709B"/>
    <w:rsid w:val="00E57DF1"/>
    <w:rsid w:val="00E636EB"/>
    <w:rsid w:val="00E64681"/>
    <w:rsid w:val="00E667AB"/>
    <w:rsid w:val="00E71432"/>
    <w:rsid w:val="00E717E1"/>
    <w:rsid w:val="00E718DE"/>
    <w:rsid w:val="00E71EF9"/>
    <w:rsid w:val="00E77A9C"/>
    <w:rsid w:val="00E77BBB"/>
    <w:rsid w:val="00E8036D"/>
    <w:rsid w:val="00E8141F"/>
    <w:rsid w:val="00E817FB"/>
    <w:rsid w:val="00E82F0D"/>
    <w:rsid w:val="00E84F8F"/>
    <w:rsid w:val="00E85263"/>
    <w:rsid w:val="00E8602D"/>
    <w:rsid w:val="00E86D27"/>
    <w:rsid w:val="00E87FC0"/>
    <w:rsid w:val="00E9057C"/>
    <w:rsid w:val="00E90A16"/>
    <w:rsid w:val="00E935D2"/>
    <w:rsid w:val="00E95EE8"/>
    <w:rsid w:val="00E96E90"/>
    <w:rsid w:val="00E96EC2"/>
    <w:rsid w:val="00EA03A0"/>
    <w:rsid w:val="00EA1C80"/>
    <w:rsid w:val="00EA23BA"/>
    <w:rsid w:val="00EA289C"/>
    <w:rsid w:val="00EB0F8C"/>
    <w:rsid w:val="00EB11F3"/>
    <w:rsid w:val="00EB19ED"/>
    <w:rsid w:val="00EB29B4"/>
    <w:rsid w:val="00EC1F55"/>
    <w:rsid w:val="00EC62B0"/>
    <w:rsid w:val="00EC7F63"/>
    <w:rsid w:val="00ED1533"/>
    <w:rsid w:val="00ED240D"/>
    <w:rsid w:val="00ED2BD8"/>
    <w:rsid w:val="00ED4248"/>
    <w:rsid w:val="00ED521D"/>
    <w:rsid w:val="00ED640F"/>
    <w:rsid w:val="00ED79D0"/>
    <w:rsid w:val="00EE2223"/>
    <w:rsid w:val="00EE2810"/>
    <w:rsid w:val="00EE34CB"/>
    <w:rsid w:val="00EE369B"/>
    <w:rsid w:val="00EE445B"/>
    <w:rsid w:val="00EE59AE"/>
    <w:rsid w:val="00EE6A81"/>
    <w:rsid w:val="00EF0E30"/>
    <w:rsid w:val="00EF2862"/>
    <w:rsid w:val="00EF62DC"/>
    <w:rsid w:val="00F0040B"/>
    <w:rsid w:val="00F0272F"/>
    <w:rsid w:val="00F03878"/>
    <w:rsid w:val="00F03BA7"/>
    <w:rsid w:val="00F11E74"/>
    <w:rsid w:val="00F14B8E"/>
    <w:rsid w:val="00F20D70"/>
    <w:rsid w:val="00F21A49"/>
    <w:rsid w:val="00F22AAB"/>
    <w:rsid w:val="00F23461"/>
    <w:rsid w:val="00F25928"/>
    <w:rsid w:val="00F25FA6"/>
    <w:rsid w:val="00F2625C"/>
    <w:rsid w:val="00F27D56"/>
    <w:rsid w:val="00F3185F"/>
    <w:rsid w:val="00F32C56"/>
    <w:rsid w:val="00F331E0"/>
    <w:rsid w:val="00F3367D"/>
    <w:rsid w:val="00F34744"/>
    <w:rsid w:val="00F348AD"/>
    <w:rsid w:val="00F35078"/>
    <w:rsid w:val="00F4064B"/>
    <w:rsid w:val="00F40718"/>
    <w:rsid w:val="00F40A3B"/>
    <w:rsid w:val="00F42B75"/>
    <w:rsid w:val="00F45F44"/>
    <w:rsid w:val="00F47CD5"/>
    <w:rsid w:val="00F52E8D"/>
    <w:rsid w:val="00F53F28"/>
    <w:rsid w:val="00F541C1"/>
    <w:rsid w:val="00F54464"/>
    <w:rsid w:val="00F56747"/>
    <w:rsid w:val="00F57270"/>
    <w:rsid w:val="00F578B2"/>
    <w:rsid w:val="00F60223"/>
    <w:rsid w:val="00F62C66"/>
    <w:rsid w:val="00F66777"/>
    <w:rsid w:val="00F67449"/>
    <w:rsid w:val="00F67564"/>
    <w:rsid w:val="00F717FC"/>
    <w:rsid w:val="00F71B41"/>
    <w:rsid w:val="00F82ABB"/>
    <w:rsid w:val="00F833A8"/>
    <w:rsid w:val="00F8748A"/>
    <w:rsid w:val="00F906F8"/>
    <w:rsid w:val="00F91284"/>
    <w:rsid w:val="00F91BE0"/>
    <w:rsid w:val="00F91C7F"/>
    <w:rsid w:val="00F9316E"/>
    <w:rsid w:val="00F9399B"/>
    <w:rsid w:val="00F97386"/>
    <w:rsid w:val="00FA069C"/>
    <w:rsid w:val="00FA083C"/>
    <w:rsid w:val="00FA188F"/>
    <w:rsid w:val="00FA261B"/>
    <w:rsid w:val="00FA2C3A"/>
    <w:rsid w:val="00FA47E2"/>
    <w:rsid w:val="00FA5761"/>
    <w:rsid w:val="00FA6D2B"/>
    <w:rsid w:val="00FA721F"/>
    <w:rsid w:val="00FB00CA"/>
    <w:rsid w:val="00FB11FB"/>
    <w:rsid w:val="00FB1379"/>
    <w:rsid w:val="00FB27FC"/>
    <w:rsid w:val="00FB3549"/>
    <w:rsid w:val="00FB567A"/>
    <w:rsid w:val="00FB65E1"/>
    <w:rsid w:val="00FB7678"/>
    <w:rsid w:val="00FB7817"/>
    <w:rsid w:val="00FC07E6"/>
    <w:rsid w:val="00FC133A"/>
    <w:rsid w:val="00FC1F5D"/>
    <w:rsid w:val="00FC2763"/>
    <w:rsid w:val="00FC3642"/>
    <w:rsid w:val="00FC6AC5"/>
    <w:rsid w:val="00FD1155"/>
    <w:rsid w:val="00FD2B05"/>
    <w:rsid w:val="00FD4801"/>
    <w:rsid w:val="00FE0966"/>
    <w:rsid w:val="00FE26F2"/>
    <w:rsid w:val="00FE7E98"/>
    <w:rsid w:val="00FF018A"/>
    <w:rsid w:val="00FF0B17"/>
    <w:rsid w:val="00FF0E99"/>
    <w:rsid w:val="00FF1381"/>
    <w:rsid w:val="00FF49B0"/>
    <w:rsid w:val="00FF6D68"/>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18BAB"/>
  <w14:defaultImageDpi w14:val="32767"/>
  <w15:docId w15:val="{63BDCA02-1A6F-43D0-89D4-D24EB2C6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249C"/>
    <w:rPr>
      <w:sz w:val="24"/>
      <w:szCs w:val="24"/>
    </w:rPr>
  </w:style>
  <w:style w:type="paragraph" w:styleId="Heading1">
    <w:name w:val="heading 1"/>
    <w:basedOn w:val="Normal"/>
    <w:next w:val="Normal"/>
    <w:qFormat/>
    <w:rsid w:val="00D43EAA"/>
    <w:pPr>
      <w:keepNext/>
      <w:jc w:val="center"/>
      <w:outlineLvl w:val="0"/>
    </w:pPr>
    <w:rPr>
      <w:rFonts w:ascii="Arial" w:hAnsi="Arial"/>
      <w:b/>
      <w:bCs/>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43EAA"/>
    <w:pPr>
      <w:jc w:val="center"/>
    </w:pPr>
    <w:rPr>
      <w:rFonts w:ascii="Arial" w:hAnsi="Arial"/>
      <w:b/>
      <w:bCs/>
      <w:sz w:val="32"/>
      <w:lang w:eastAsia="en-US"/>
    </w:rPr>
  </w:style>
  <w:style w:type="paragraph" w:styleId="Footer">
    <w:name w:val="footer"/>
    <w:basedOn w:val="Normal"/>
    <w:link w:val="FooterChar"/>
    <w:uiPriority w:val="99"/>
    <w:rsid w:val="00D43EAA"/>
    <w:pPr>
      <w:tabs>
        <w:tab w:val="center" w:pos="4153"/>
        <w:tab w:val="right" w:pos="8306"/>
      </w:tabs>
    </w:pPr>
    <w:rPr>
      <w:spacing w:val="-3"/>
      <w:szCs w:val="20"/>
      <w:lang w:eastAsia="en-US"/>
    </w:rPr>
  </w:style>
  <w:style w:type="paragraph" w:styleId="Header">
    <w:name w:val="header"/>
    <w:basedOn w:val="Normal"/>
    <w:rsid w:val="00D43EAA"/>
    <w:pPr>
      <w:tabs>
        <w:tab w:val="center" w:pos="4153"/>
        <w:tab w:val="right" w:pos="8306"/>
      </w:tabs>
    </w:pPr>
  </w:style>
  <w:style w:type="character" w:styleId="PageNumber">
    <w:name w:val="page number"/>
    <w:basedOn w:val="DefaultParagraphFont"/>
    <w:rsid w:val="00D43EAA"/>
  </w:style>
  <w:style w:type="table" w:styleId="TableGrid">
    <w:name w:val="Table Grid"/>
    <w:basedOn w:val="TableNormal"/>
    <w:rsid w:val="00724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next w:val="Normal"/>
    <w:rsid w:val="000927B4"/>
    <w:pPr>
      <w:autoSpaceDE w:val="0"/>
      <w:autoSpaceDN w:val="0"/>
      <w:adjustRightInd w:val="0"/>
    </w:pPr>
    <w:rPr>
      <w:rFonts w:ascii="Verdana" w:hAnsi="Verdana"/>
      <w:lang w:val="en-US" w:eastAsia="en-US"/>
    </w:rPr>
  </w:style>
  <w:style w:type="paragraph" w:styleId="FootnoteText">
    <w:name w:val="footnote text"/>
    <w:basedOn w:val="Normal"/>
    <w:semiHidden/>
    <w:rsid w:val="000927B4"/>
    <w:rPr>
      <w:rFonts w:ascii="ZapfHumnst BT" w:hAnsi="ZapfHumnst BT"/>
      <w:sz w:val="20"/>
      <w:szCs w:val="20"/>
      <w:lang w:eastAsia="en-US"/>
    </w:rPr>
  </w:style>
  <w:style w:type="character" w:styleId="FootnoteReference">
    <w:name w:val="footnote reference"/>
    <w:basedOn w:val="DefaultParagraphFont"/>
    <w:semiHidden/>
    <w:rsid w:val="000927B4"/>
    <w:rPr>
      <w:vertAlign w:val="superscript"/>
    </w:rPr>
  </w:style>
  <w:style w:type="paragraph" w:styleId="ListParagraph">
    <w:name w:val="List Paragraph"/>
    <w:basedOn w:val="Normal"/>
    <w:uiPriority w:val="34"/>
    <w:qFormat/>
    <w:rsid w:val="00B6245D"/>
    <w:pPr>
      <w:ind w:left="720"/>
      <w:contextualSpacing/>
    </w:pPr>
  </w:style>
  <w:style w:type="paragraph" w:styleId="BalloonText">
    <w:name w:val="Balloon Text"/>
    <w:basedOn w:val="Normal"/>
    <w:link w:val="BalloonTextChar"/>
    <w:rsid w:val="008E74B3"/>
    <w:rPr>
      <w:rFonts w:ascii="Tahoma" w:hAnsi="Tahoma" w:cs="Tahoma"/>
      <w:sz w:val="16"/>
      <w:szCs w:val="16"/>
    </w:rPr>
  </w:style>
  <w:style w:type="character" w:customStyle="1" w:styleId="BalloonTextChar">
    <w:name w:val="Balloon Text Char"/>
    <w:basedOn w:val="DefaultParagraphFont"/>
    <w:link w:val="BalloonText"/>
    <w:rsid w:val="008E74B3"/>
    <w:rPr>
      <w:rFonts w:ascii="Tahoma" w:hAnsi="Tahoma" w:cs="Tahoma"/>
      <w:sz w:val="16"/>
      <w:szCs w:val="16"/>
    </w:rPr>
  </w:style>
  <w:style w:type="paragraph" w:styleId="NormalWeb">
    <w:name w:val="Normal (Web)"/>
    <w:basedOn w:val="Normal"/>
    <w:uiPriority w:val="99"/>
    <w:unhideWhenUsed/>
    <w:rsid w:val="003113D3"/>
    <w:pPr>
      <w:spacing w:before="100" w:beforeAutospacing="1" w:after="100" w:afterAutospacing="1"/>
    </w:pPr>
  </w:style>
  <w:style w:type="paragraph" w:styleId="Revision">
    <w:name w:val="Revision"/>
    <w:hidden/>
    <w:uiPriority w:val="99"/>
    <w:semiHidden/>
    <w:rsid w:val="000C67A4"/>
    <w:rPr>
      <w:sz w:val="24"/>
      <w:szCs w:val="24"/>
    </w:rPr>
  </w:style>
  <w:style w:type="character" w:customStyle="1" w:styleId="FooterChar">
    <w:name w:val="Footer Char"/>
    <w:basedOn w:val="DefaultParagraphFont"/>
    <w:link w:val="Footer"/>
    <w:uiPriority w:val="99"/>
    <w:rsid w:val="00F717FC"/>
    <w:rPr>
      <w:spacing w:val="-3"/>
      <w:sz w:val="24"/>
      <w:lang w:eastAsia="en-US"/>
    </w:rPr>
  </w:style>
  <w:style w:type="character" w:customStyle="1" w:styleId="TitleChar">
    <w:name w:val="Title Char"/>
    <w:basedOn w:val="DefaultParagraphFont"/>
    <w:link w:val="Title"/>
    <w:rsid w:val="00CB46F8"/>
    <w:rPr>
      <w:rFonts w:ascii="Arial" w:hAnsi="Arial"/>
      <w:b/>
      <w:bCs/>
      <w:sz w:val="32"/>
      <w:szCs w:val="24"/>
      <w:lang w:eastAsia="en-US"/>
    </w:rPr>
  </w:style>
  <w:style w:type="character" w:styleId="Emphasis">
    <w:name w:val="Emphasis"/>
    <w:basedOn w:val="DefaultParagraphFont"/>
    <w:uiPriority w:val="20"/>
    <w:qFormat/>
    <w:rsid w:val="00E05E98"/>
    <w:rPr>
      <w:i/>
      <w:iCs/>
    </w:rPr>
  </w:style>
  <w:style w:type="character" w:styleId="CommentReference">
    <w:name w:val="annotation reference"/>
    <w:basedOn w:val="DefaultParagraphFont"/>
    <w:semiHidden/>
    <w:unhideWhenUsed/>
    <w:rsid w:val="00DB3539"/>
    <w:rPr>
      <w:sz w:val="16"/>
      <w:szCs w:val="16"/>
    </w:rPr>
  </w:style>
  <w:style w:type="paragraph" w:styleId="CommentText">
    <w:name w:val="annotation text"/>
    <w:basedOn w:val="Normal"/>
    <w:link w:val="CommentTextChar"/>
    <w:semiHidden/>
    <w:unhideWhenUsed/>
    <w:rsid w:val="00DB3539"/>
    <w:rPr>
      <w:sz w:val="20"/>
      <w:szCs w:val="20"/>
    </w:rPr>
  </w:style>
  <w:style w:type="character" w:customStyle="1" w:styleId="CommentTextChar">
    <w:name w:val="Comment Text Char"/>
    <w:basedOn w:val="DefaultParagraphFont"/>
    <w:link w:val="CommentText"/>
    <w:semiHidden/>
    <w:rsid w:val="00DB3539"/>
  </w:style>
  <w:style w:type="paragraph" w:styleId="CommentSubject">
    <w:name w:val="annotation subject"/>
    <w:basedOn w:val="CommentText"/>
    <w:next w:val="CommentText"/>
    <w:link w:val="CommentSubjectChar"/>
    <w:semiHidden/>
    <w:unhideWhenUsed/>
    <w:rsid w:val="00DB3539"/>
    <w:rPr>
      <w:b/>
      <w:bCs/>
    </w:rPr>
  </w:style>
  <w:style w:type="character" w:customStyle="1" w:styleId="CommentSubjectChar">
    <w:name w:val="Comment Subject Char"/>
    <w:basedOn w:val="CommentTextChar"/>
    <w:link w:val="CommentSubject"/>
    <w:semiHidden/>
    <w:rsid w:val="00DB35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210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57B4AF99DB0942B713A35E41D106AE" ma:contentTypeVersion="7" ma:contentTypeDescription="Create a new document." ma:contentTypeScope="" ma:versionID="a7c84eb0f1c7b2bb0e9c81a296e18d0d">
  <xsd:schema xmlns:xsd="http://www.w3.org/2001/XMLSchema" xmlns:xs="http://www.w3.org/2001/XMLSchema" xmlns:p="http://schemas.microsoft.com/office/2006/metadata/properties" xmlns:ns3="077fc601-16d7-40e5-bd47-afeb4f84a194" xmlns:ns4="99bdf527-5e1f-4744-8e3e-fb3d6b6d3fca" targetNamespace="http://schemas.microsoft.com/office/2006/metadata/properties" ma:root="true" ma:fieldsID="916ab37185dc6e6dae1f59561acf8f29" ns3:_="" ns4:_="">
    <xsd:import namespace="077fc601-16d7-40e5-bd47-afeb4f84a194"/>
    <xsd:import namespace="99bdf527-5e1f-4744-8e3e-fb3d6b6d3fc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fc601-16d7-40e5-bd47-afeb4f84a19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bdf527-5e1f-4744-8e3e-fb3d6b6d3fc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CA4D19-194D-4F9B-90E2-2145E24685DC}">
  <ds:schemaRefs>
    <ds:schemaRef ds:uri="http://schemas.openxmlformats.org/officeDocument/2006/bibliography"/>
  </ds:schemaRefs>
</ds:datastoreItem>
</file>

<file path=customXml/itemProps2.xml><?xml version="1.0" encoding="utf-8"?>
<ds:datastoreItem xmlns:ds="http://schemas.openxmlformats.org/officeDocument/2006/customXml" ds:itemID="{C18EB91D-3607-4BE0-B263-D5BFEBCD86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E39489-399A-43F1-9C32-AC8B2691872E}">
  <ds:schemaRefs>
    <ds:schemaRef ds:uri="http://schemas.microsoft.com/sharepoint/v3/contenttype/forms"/>
  </ds:schemaRefs>
</ds:datastoreItem>
</file>

<file path=customXml/itemProps4.xml><?xml version="1.0" encoding="utf-8"?>
<ds:datastoreItem xmlns:ds="http://schemas.openxmlformats.org/officeDocument/2006/customXml" ds:itemID="{785360D9-E466-4B30-B732-6D84480DD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fc601-16d7-40e5-bd47-afeb4f84a194"/>
    <ds:schemaRef ds:uri="99bdf527-5e1f-4744-8e3e-fb3d6b6d3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7</Pages>
  <Words>2429</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COMPOSITION OF TRIBUNALS</vt:lpstr>
    </vt:vector>
  </TitlesOfParts>
  <Company>Ministry of Justice</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COMPOSITION OF TRIBUNALS</dc:title>
  <dc:creator>phu95p</dc:creator>
  <cp:lastModifiedBy>Stuart Walker</cp:lastModifiedBy>
  <cp:revision>9</cp:revision>
  <cp:lastPrinted>2019-02-26T18:51:00Z</cp:lastPrinted>
  <dcterms:created xsi:type="dcterms:W3CDTF">2026-08-31T11:02:00Z</dcterms:created>
  <dcterms:modified xsi:type="dcterms:W3CDTF">2026-09-08T12:18:00Z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0x0101003857B4AF99DB0942B713A35E41D106AE</vt:lpwstr>
  </property>
</Properties>
</file>