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6DBD" w14:textId="32373CFC" w:rsidR="009A79A4" w:rsidRDefault="009A79A4" w:rsidP="009A79A4">
      <w:pPr>
        <w:tabs>
          <w:tab w:val="left" w:pos="0"/>
        </w:tabs>
        <w:spacing w:after="0" w:line="256" w:lineRule="auto"/>
        <w:ind w:right="374"/>
      </w:pPr>
      <w:r w:rsidRPr="00F6274F">
        <w:rPr>
          <w:noProof/>
        </w:rPr>
        <w:drawing>
          <wp:inline distT="0" distB="0" distL="0" distR="0" wp14:anchorId="7B176200" wp14:editId="7A1FC501">
            <wp:extent cx="5748020" cy="4324350"/>
            <wp:effectExtent l="0" t="0" r="5080" b="0"/>
            <wp:docPr id="1" name="Picture 2" descr="A close up view of the Environment Agency logo." title="Front 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P_Large_logo_Green.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48020" cy="4324350"/>
                    </a:xfrm>
                    <a:prstGeom prst="rect">
                      <a:avLst/>
                    </a:prstGeom>
                    <a:noFill/>
                    <a:ln w="9525">
                      <a:noFill/>
                      <a:miter lim="800000"/>
                      <a:headEnd/>
                      <a:tailEnd/>
                    </a:ln>
                  </pic:spPr>
                </pic:pic>
              </a:graphicData>
            </a:graphic>
          </wp:inline>
        </w:drawing>
      </w:r>
    </w:p>
    <w:p w14:paraId="1188FC4A" w14:textId="77777777" w:rsidR="003A74E9" w:rsidRDefault="002737EF" w:rsidP="00FF0098">
      <w:pPr>
        <w:tabs>
          <w:tab w:val="left" w:pos="0"/>
        </w:tabs>
        <w:spacing w:after="23" w:line="247" w:lineRule="auto"/>
        <w:ind w:right="43"/>
        <w:rPr>
          <w:color w:val="008631"/>
          <w:sz w:val="56"/>
        </w:rPr>
      </w:pPr>
      <w:r w:rsidRPr="0096209B">
        <w:rPr>
          <w:color w:val="008631"/>
          <w:sz w:val="56"/>
        </w:rPr>
        <w:t>Climate Change Agreements Operations Manual</w:t>
      </w:r>
      <w:r w:rsidR="003A74E9">
        <w:rPr>
          <w:color w:val="008631"/>
          <w:sz w:val="56"/>
        </w:rPr>
        <w:t xml:space="preserve"> </w:t>
      </w:r>
    </w:p>
    <w:p w14:paraId="157571C0" w14:textId="04A977F2" w:rsidR="00026E66" w:rsidRPr="003A74E9" w:rsidRDefault="003A74E9" w:rsidP="00FF0098">
      <w:pPr>
        <w:tabs>
          <w:tab w:val="left" w:pos="0"/>
        </w:tabs>
        <w:spacing w:after="23" w:line="247" w:lineRule="auto"/>
        <w:ind w:right="43"/>
        <w:rPr>
          <w:color w:val="008631"/>
          <w:sz w:val="16"/>
          <w:szCs w:val="14"/>
        </w:rPr>
      </w:pPr>
      <w:r w:rsidRPr="003A74E9">
        <w:rPr>
          <w:color w:val="008631"/>
          <w:sz w:val="40"/>
          <w:szCs w:val="14"/>
        </w:rPr>
        <w:t>Target Periods 1 to 6</w:t>
      </w:r>
    </w:p>
    <w:p w14:paraId="644F7301" w14:textId="2D007AA8" w:rsidR="009A79A4" w:rsidRPr="009A79A4" w:rsidRDefault="009A79A4" w:rsidP="00FF0098">
      <w:pPr>
        <w:tabs>
          <w:tab w:val="left" w:pos="0"/>
        </w:tabs>
        <w:spacing w:after="11"/>
        <w:ind w:right="182"/>
        <w:rPr>
          <w:sz w:val="28"/>
          <w:szCs w:val="24"/>
        </w:rPr>
      </w:pPr>
      <w:r w:rsidRPr="009A79A4">
        <w:rPr>
          <w:sz w:val="28"/>
          <w:szCs w:val="24"/>
        </w:rPr>
        <w:t>February 2022</w:t>
      </w:r>
    </w:p>
    <w:p w14:paraId="04D82491" w14:textId="39A5907D" w:rsidR="004B7AA4" w:rsidRPr="00A26401" w:rsidRDefault="002737EF" w:rsidP="00A26401">
      <w:pPr>
        <w:tabs>
          <w:tab w:val="left" w:pos="0"/>
        </w:tabs>
        <w:spacing w:after="11"/>
        <w:ind w:right="182"/>
        <w:rPr>
          <w:sz w:val="28"/>
          <w:szCs w:val="24"/>
        </w:rPr>
        <w:sectPr w:rsidR="004B7AA4" w:rsidRPr="00A26401" w:rsidSect="004B7AA4">
          <w:headerReference w:type="even" r:id="rId9"/>
          <w:headerReference w:type="default" r:id="rId10"/>
          <w:footerReference w:type="even" r:id="rId11"/>
          <w:footerReference w:type="default" r:id="rId12"/>
          <w:headerReference w:type="first" r:id="rId13"/>
          <w:footerReference w:type="first" r:id="rId14"/>
          <w:pgSz w:w="11899" w:h="16838" w:code="9"/>
          <w:pgMar w:top="2526" w:right="1134" w:bottom="1134" w:left="1134" w:header="340" w:footer="340" w:gutter="0"/>
          <w:cols w:space="708"/>
          <w:titlePg/>
        </w:sectPr>
      </w:pPr>
      <w:r w:rsidRPr="009A79A4">
        <w:rPr>
          <w:sz w:val="28"/>
          <w:szCs w:val="24"/>
        </w:rPr>
        <w:t xml:space="preserve">LIT7911 </w:t>
      </w:r>
    </w:p>
    <w:p w14:paraId="39C20463" w14:textId="1AD1FCB3" w:rsidR="00FF0098" w:rsidRDefault="00FF0098">
      <w:pPr>
        <w:suppressAutoHyphens w:val="0"/>
        <w:spacing w:before="0" w:beforeAutospacing="0" w:after="160" w:afterAutospacing="0" w:line="256" w:lineRule="auto"/>
      </w:pPr>
      <w:r>
        <w:br w:type="page"/>
      </w:r>
    </w:p>
    <w:p w14:paraId="4FBB2991" w14:textId="77777777" w:rsidR="00026E66" w:rsidRDefault="002737EF" w:rsidP="004B7AA4">
      <w:pPr>
        <w:tabs>
          <w:tab w:val="left" w:pos="0"/>
        </w:tabs>
        <w:ind w:right="182"/>
      </w:pPr>
      <w:r>
        <w:lastRenderedPageBreak/>
        <w:t xml:space="preserve">We are the Environment Agency. We protect and improve the environment. </w:t>
      </w:r>
    </w:p>
    <w:p w14:paraId="5A367A1D" w14:textId="77777777" w:rsidR="00026E66" w:rsidRDefault="002737EF" w:rsidP="00FF0098">
      <w:pPr>
        <w:tabs>
          <w:tab w:val="left" w:pos="0"/>
        </w:tabs>
        <w:spacing w:after="0"/>
        <w:ind w:right="182"/>
      </w:pPr>
      <w:r>
        <w:t xml:space="preserve">Acting to reduce the impacts of a changing climate on people and wildlife is at the heart of everything we do. </w:t>
      </w:r>
    </w:p>
    <w:p w14:paraId="76F78D96" w14:textId="77777777" w:rsidR="00026E66" w:rsidRDefault="002737EF" w:rsidP="00FF0098">
      <w:pPr>
        <w:tabs>
          <w:tab w:val="left" w:pos="0"/>
        </w:tabs>
        <w:spacing w:after="0"/>
        <w:ind w:right="-8"/>
      </w:pPr>
      <w:r>
        <w:t xml:space="preserve">We reduce the risks to people, properties and businesses from flooding and coastal erosion. We protect and improve the quality of water, making sure there is enough for people, businesses, agriculture and the environment. Our work helps to ensure people can enjoy the water environment through angling and navigation. </w:t>
      </w:r>
    </w:p>
    <w:p w14:paraId="11FFB8A5" w14:textId="77777777" w:rsidR="00026E66" w:rsidRDefault="002737EF" w:rsidP="00FF0098">
      <w:pPr>
        <w:tabs>
          <w:tab w:val="left" w:pos="0"/>
        </w:tabs>
        <w:spacing w:after="0"/>
        <w:ind w:right="182"/>
      </w:pPr>
      <w:r>
        <w:t xml:space="preserve">We look after land quality, promote sustainable land management and help protect and enhance wildlife habitats. And we work closely with businesses to help them comply with environmental regulations. </w:t>
      </w:r>
    </w:p>
    <w:p w14:paraId="4CDE5F69" w14:textId="28FA59A9" w:rsidR="00FF0098" w:rsidRDefault="002737EF" w:rsidP="00FF0098">
      <w:pPr>
        <w:tabs>
          <w:tab w:val="left" w:pos="0"/>
        </w:tabs>
        <w:spacing w:after="0"/>
        <w:ind w:right="182"/>
      </w:pPr>
      <w:r>
        <w:t>We can’t do this alone. We work with government, local councils, businesses, civil society groups and communities to make our environment a better place for people and wildlife.</w:t>
      </w:r>
    </w:p>
    <w:p w14:paraId="4D7D4649" w14:textId="77777777" w:rsidR="00FF0098" w:rsidRDefault="00FF0098" w:rsidP="00FF0098"/>
    <w:p w14:paraId="59FE3FB3" w14:textId="77777777" w:rsidR="00FF0098" w:rsidRDefault="00FF0098" w:rsidP="00FF0098">
      <w:pPr>
        <w:sectPr w:rsidR="00FF0098" w:rsidSect="004B7AA4">
          <w:type w:val="continuous"/>
          <w:pgSz w:w="11899" w:h="16838" w:code="9"/>
          <w:pgMar w:top="1560" w:right="1134" w:bottom="1134" w:left="1134" w:header="340" w:footer="340" w:gutter="0"/>
          <w:cols w:space="708"/>
          <w:titlePg/>
        </w:sectPr>
      </w:pPr>
    </w:p>
    <w:p w14:paraId="09DEA66C" w14:textId="77777777" w:rsidR="00FF0098" w:rsidRDefault="00FF0098" w:rsidP="00FF0098">
      <w:r w:rsidRPr="008203B7">
        <w:t>Published by:</w:t>
      </w:r>
    </w:p>
    <w:p w14:paraId="3DA34265" w14:textId="77777777" w:rsidR="00FF0098" w:rsidRDefault="00FF0098" w:rsidP="00FF0098">
      <w:r>
        <w:t>Environment Agency</w:t>
      </w:r>
      <w:r>
        <w:br/>
        <w:t>Horizon H</w:t>
      </w:r>
      <w:r w:rsidRPr="00F6274F">
        <w:t>ouse</w:t>
      </w:r>
      <w:r>
        <w:t>, Deanery Road,</w:t>
      </w:r>
      <w:r>
        <w:br/>
        <w:t>Bristol BS1 5AH</w:t>
      </w:r>
    </w:p>
    <w:p w14:paraId="3B36E945" w14:textId="77777777" w:rsidR="00FF0098" w:rsidRDefault="00FF0098" w:rsidP="00FF0098">
      <w:pPr>
        <w:rPr>
          <w:rStyle w:val="Hyperlink"/>
        </w:rPr>
      </w:pPr>
      <w:hyperlink r:id="rId15" w:tooltip="URL for Environment Agency website" w:history="1">
        <w:r w:rsidRPr="00F6274F">
          <w:rPr>
            <w:rStyle w:val="Hyperlink"/>
          </w:rPr>
          <w:t>www.gov.uk/environment-agency</w:t>
        </w:r>
      </w:hyperlink>
    </w:p>
    <w:p w14:paraId="449FC7F8" w14:textId="77777777" w:rsidR="00FF0098" w:rsidRDefault="00FF0098" w:rsidP="00FF0098">
      <w:pPr>
        <w:pStyle w:val="Maintextblack"/>
      </w:pPr>
      <w:r>
        <w:br w:type="column"/>
      </w:r>
      <w:r>
        <w:t xml:space="preserve">© Environment Agency 2022 </w:t>
      </w:r>
    </w:p>
    <w:p w14:paraId="40C74F02" w14:textId="77777777" w:rsidR="00FF0098" w:rsidRPr="00A1296C" w:rsidRDefault="00FF0098" w:rsidP="00FF0098">
      <w:r w:rsidRPr="008203B7">
        <w:t>All rights reserved. This document may b</w:t>
      </w:r>
      <w:r>
        <w:t>e</w:t>
      </w:r>
      <w:r w:rsidRPr="008203B7">
        <w:t xml:space="preserve"> reproduced with prior </w:t>
      </w:r>
      <w:r>
        <w:t xml:space="preserve">permission of </w:t>
      </w:r>
      <w:r w:rsidRPr="00F6274F">
        <w:t>the Environment Agency.</w:t>
      </w:r>
    </w:p>
    <w:p w14:paraId="392ED85E" w14:textId="77777777" w:rsidR="00FF0098" w:rsidRDefault="00FF0098" w:rsidP="00FF0098">
      <w:r w:rsidRPr="008203B7">
        <w:t>Further copie</w:t>
      </w:r>
      <w:r>
        <w:t xml:space="preserve">s of this report are available </w:t>
      </w:r>
      <w:r w:rsidRPr="008203B7">
        <w:t xml:space="preserve">from our publications catalogue: </w:t>
      </w:r>
      <w:hyperlink r:id="rId16" w:history="1">
        <w:r w:rsidRPr="00570C58">
          <w:rPr>
            <w:rStyle w:val="Hyperlink"/>
          </w:rPr>
          <w:t>www.gov.uk/government/publications</w:t>
        </w:r>
      </w:hyperlink>
      <w:r>
        <w:t xml:space="preserve"> </w:t>
      </w:r>
      <w:r w:rsidRPr="00F6274F">
        <w:t>or our Nat</w:t>
      </w:r>
      <w:r>
        <w:t xml:space="preserve">ional Customer Contact Centre: </w:t>
      </w:r>
      <w:r w:rsidRPr="00F6274F">
        <w:t>03708 506</w:t>
      </w:r>
      <w:r>
        <w:t xml:space="preserve"> </w:t>
      </w:r>
      <w:r w:rsidRPr="00F6274F">
        <w:t>506</w:t>
      </w:r>
    </w:p>
    <w:p w14:paraId="552F636A" w14:textId="77777777" w:rsidR="00FF0098" w:rsidRDefault="00FF0098" w:rsidP="00FF0098">
      <w:pPr>
        <w:sectPr w:rsidR="00FF0098" w:rsidSect="00A1296C">
          <w:type w:val="continuous"/>
          <w:pgSz w:w="11899" w:h="16838" w:code="9"/>
          <w:pgMar w:top="1134" w:right="1134" w:bottom="1134" w:left="1134" w:header="340" w:footer="340" w:gutter="0"/>
          <w:cols w:num="2" w:space="275"/>
          <w:titlePg/>
        </w:sectPr>
      </w:pPr>
      <w:r w:rsidRPr="008203B7">
        <w:t xml:space="preserve">Email: </w:t>
      </w:r>
      <w:hyperlink r:id="rId17" w:history="1">
        <w:r w:rsidRPr="00F6274F">
          <w:rPr>
            <w:rStyle w:val="Hyperlink"/>
          </w:rPr>
          <w:t>enquiries@environment-agency.gov.uk</w:t>
        </w:r>
      </w:hyperlink>
    </w:p>
    <w:sdt>
      <w:sdtPr>
        <w:rPr>
          <w:rFonts w:ascii="Arial" w:eastAsia="Arial" w:hAnsi="Arial" w:cs="Arial"/>
          <w:b w:val="0"/>
          <w:color w:val="000000"/>
          <w:sz w:val="24"/>
          <w:szCs w:val="22"/>
          <w:lang w:val="en-GB" w:eastAsia="en-GB"/>
        </w:rPr>
        <w:id w:val="-1971589967"/>
        <w:docPartObj>
          <w:docPartGallery w:val="Table of Contents"/>
          <w:docPartUnique/>
        </w:docPartObj>
      </w:sdtPr>
      <w:sdtEndPr>
        <w:rPr>
          <w:bCs/>
          <w:noProof/>
          <w:sz w:val="22"/>
        </w:rPr>
      </w:sdtEndPr>
      <w:sdtContent>
        <w:p w14:paraId="7D757DF5" w14:textId="69F9BDAA" w:rsidR="002737EF" w:rsidRPr="0096209B" w:rsidRDefault="002737EF" w:rsidP="00FC355D">
          <w:pPr>
            <w:pStyle w:val="TOCHeading"/>
            <w:tabs>
              <w:tab w:val="left" w:pos="0"/>
            </w:tabs>
            <w:spacing w:before="0" w:beforeAutospacing="0" w:afterAutospacing="0" w:line="360" w:lineRule="auto"/>
            <w:rPr>
              <w:rFonts w:ascii="Arial" w:hAnsi="Arial" w:cs="Arial"/>
              <w:color w:val="008938"/>
            </w:rPr>
          </w:pPr>
          <w:r w:rsidRPr="0096209B">
            <w:rPr>
              <w:rFonts w:ascii="Arial" w:hAnsi="Arial" w:cs="Arial"/>
              <w:color w:val="008938"/>
            </w:rPr>
            <w:t>Contents</w:t>
          </w:r>
        </w:p>
        <w:p w14:paraId="67F86937" w14:textId="20557D0A" w:rsidR="002737EF" w:rsidRPr="00FF0098" w:rsidRDefault="002737EF" w:rsidP="00FC355D">
          <w:pPr>
            <w:pStyle w:val="TOC1"/>
            <w:tabs>
              <w:tab w:val="left" w:pos="0"/>
              <w:tab w:val="right" w:leader="dot" w:pos="9639"/>
            </w:tabs>
            <w:spacing w:after="0" w:line="360" w:lineRule="auto"/>
            <w:ind w:left="0" w:right="0" w:firstLine="0"/>
            <w:rPr>
              <w:rFonts w:eastAsiaTheme="minorEastAsia"/>
              <w:b w:val="0"/>
              <w:noProof/>
              <w:color w:val="auto"/>
              <w:sz w:val="24"/>
              <w:szCs w:val="24"/>
            </w:rPr>
          </w:pPr>
          <w:r w:rsidRPr="00FF0098">
            <w:rPr>
              <w:sz w:val="24"/>
              <w:szCs w:val="24"/>
            </w:rPr>
            <w:fldChar w:fldCharType="begin"/>
          </w:r>
          <w:r w:rsidRPr="00FF0098">
            <w:rPr>
              <w:sz w:val="24"/>
              <w:szCs w:val="24"/>
            </w:rPr>
            <w:instrText xml:space="preserve"> TOC \o "1-3" \h \z \u </w:instrText>
          </w:r>
          <w:r w:rsidRPr="00FF0098">
            <w:rPr>
              <w:sz w:val="24"/>
              <w:szCs w:val="24"/>
            </w:rPr>
            <w:fldChar w:fldCharType="separate"/>
          </w:r>
          <w:hyperlink w:anchor="_Toc95211758" w:history="1">
            <w:r w:rsidRPr="00FF0098">
              <w:rPr>
                <w:rStyle w:val="Hyperlink"/>
                <w:noProof/>
                <w:sz w:val="24"/>
                <w:szCs w:val="24"/>
              </w:rPr>
              <w:t>1. Introduction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_Toc95211758 \h </w:instrText>
            </w:r>
            <w:r w:rsidRPr="00FF0098">
              <w:rPr>
                <w:noProof/>
                <w:webHidden/>
                <w:sz w:val="24"/>
                <w:szCs w:val="24"/>
              </w:rPr>
            </w:r>
            <w:r w:rsidRPr="00FF0098">
              <w:rPr>
                <w:noProof/>
                <w:webHidden/>
                <w:sz w:val="24"/>
                <w:szCs w:val="24"/>
              </w:rPr>
              <w:fldChar w:fldCharType="separate"/>
            </w:r>
            <w:r w:rsidR="00457B98">
              <w:rPr>
                <w:noProof/>
                <w:webHidden/>
                <w:sz w:val="24"/>
                <w:szCs w:val="24"/>
              </w:rPr>
              <w:t>8</w:t>
            </w:r>
            <w:r w:rsidRPr="00FF0098">
              <w:rPr>
                <w:noProof/>
                <w:webHidden/>
                <w:sz w:val="24"/>
                <w:szCs w:val="24"/>
              </w:rPr>
              <w:fldChar w:fldCharType="end"/>
            </w:r>
          </w:hyperlink>
        </w:p>
        <w:p w14:paraId="3FE954B9" w14:textId="54CB66B6"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59" w:history="1">
            <w:r w:rsidRPr="00FF0098">
              <w:rPr>
                <w:rStyle w:val="Hyperlink"/>
                <w:noProof/>
                <w:sz w:val="24"/>
                <w:szCs w:val="24"/>
              </w:rPr>
              <w:t>1.1. Using the manual</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_Toc95211759 \h </w:instrText>
            </w:r>
            <w:r w:rsidRPr="00FF0098">
              <w:rPr>
                <w:noProof/>
                <w:webHidden/>
                <w:sz w:val="24"/>
                <w:szCs w:val="24"/>
              </w:rPr>
            </w:r>
            <w:r w:rsidRPr="00FF0098">
              <w:rPr>
                <w:noProof/>
                <w:webHidden/>
                <w:sz w:val="24"/>
                <w:szCs w:val="24"/>
              </w:rPr>
              <w:fldChar w:fldCharType="separate"/>
            </w:r>
            <w:r w:rsidR="00457B98">
              <w:rPr>
                <w:noProof/>
                <w:webHidden/>
                <w:sz w:val="24"/>
                <w:szCs w:val="24"/>
              </w:rPr>
              <w:t>8</w:t>
            </w:r>
            <w:r w:rsidRPr="00FF0098">
              <w:rPr>
                <w:noProof/>
                <w:webHidden/>
                <w:sz w:val="24"/>
                <w:szCs w:val="24"/>
              </w:rPr>
              <w:fldChar w:fldCharType="end"/>
            </w:r>
          </w:hyperlink>
        </w:p>
        <w:p w14:paraId="75640CB4" w14:textId="646BE16B"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760" w:history="1">
            <w:r w:rsidRPr="00FF0098">
              <w:rPr>
                <w:rStyle w:val="Hyperlink"/>
                <w:noProof/>
                <w:sz w:val="24"/>
                <w:szCs w:val="24"/>
              </w:rPr>
              <w:t>2. Getting started – important information for all operators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_Toc95211760 \h </w:instrText>
            </w:r>
            <w:r w:rsidRPr="00FF0098">
              <w:rPr>
                <w:noProof/>
                <w:webHidden/>
                <w:sz w:val="24"/>
                <w:szCs w:val="24"/>
              </w:rPr>
            </w:r>
            <w:r w:rsidRPr="00FF0098">
              <w:rPr>
                <w:noProof/>
                <w:webHidden/>
                <w:sz w:val="24"/>
                <w:szCs w:val="24"/>
              </w:rPr>
              <w:fldChar w:fldCharType="separate"/>
            </w:r>
            <w:r w:rsidR="00457B98">
              <w:rPr>
                <w:noProof/>
                <w:webHidden/>
                <w:sz w:val="24"/>
                <w:szCs w:val="24"/>
              </w:rPr>
              <w:t>9</w:t>
            </w:r>
            <w:r w:rsidRPr="00FF0098">
              <w:rPr>
                <w:noProof/>
                <w:webHidden/>
                <w:sz w:val="24"/>
                <w:szCs w:val="24"/>
              </w:rPr>
              <w:fldChar w:fldCharType="end"/>
            </w:r>
          </w:hyperlink>
        </w:p>
        <w:p w14:paraId="1A484AE1" w14:textId="3B7A7A99"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61" w:history="1">
            <w:r w:rsidRPr="00FF0098">
              <w:rPr>
                <w:rStyle w:val="Hyperlink"/>
                <w:noProof/>
                <w:sz w:val="24"/>
                <w:szCs w:val="24"/>
              </w:rPr>
              <w:t>2.1. Overview of the application process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_Toc95211761 \h </w:instrText>
            </w:r>
            <w:r w:rsidRPr="00FF0098">
              <w:rPr>
                <w:noProof/>
                <w:webHidden/>
                <w:sz w:val="24"/>
                <w:szCs w:val="24"/>
              </w:rPr>
            </w:r>
            <w:r w:rsidRPr="00FF0098">
              <w:rPr>
                <w:noProof/>
                <w:webHidden/>
                <w:sz w:val="24"/>
                <w:szCs w:val="24"/>
              </w:rPr>
              <w:fldChar w:fldCharType="separate"/>
            </w:r>
            <w:r w:rsidR="00457B98">
              <w:rPr>
                <w:noProof/>
                <w:webHidden/>
                <w:sz w:val="24"/>
                <w:szCs w:val="24"/>
              </w:rPr>
              <w:t>9</w:t>
            </w:r>
            <w:r w:rsidRPr="00FF0098">
              <w:rPr>
                <w:noProof/>
                <w:webHidden/>
                <w:sz w:val="24"/>
                <w:szCs w:val="24"/>
              </w:rPr>
              <w:fldChar w:fldCharType="end"/>
            </w:r>
          </w:hyperlink>
        </w:p>
        <w:p w14:paraId="626D6C62" w14:textId="63E49AAC"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62" w:history="1">
            <w:r w:rsidRPr="00FF0098">
              <w:rPr>
                <w:rStyle w:val="Hyperlink"/>
                <w:noProof/>
                <w:sz w:val="24"/>
                <w:szCs w:val="24"/>
              </w:rPr>
              <w:t>2.2. CCA register</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_Toc95211762 \h </w:instrText>
            </w:r>
            <w:r w:rsidRPr="00FF0098">
              <w:rPr>
                <w:noProof/>
                <w:webHidden/>
                <w:sz w:val="24"/>
                <w:szCs w:val="24"/>
              </w:rPr>
            </w:r>
            <w:r w:rsidRPr="00FF0098">
              <w:rPr>
                <w:noProof/>
                <w:webHidden/>
                <w:sz w:val="24"/>
                <w:szCs w:val="24"/>
              </w:rPr>
              <w:fldChar w:fldCharType="separate"/>
            </w:r>
            <w:r w:rsidR="00457B98">
              <w:rPr>
                <w:noProof/>
                <w:webHidden/>
                <w:sz w:val="24"/>
                <w:szCs w:val="24"/>
              </w:rPr>
              <w:t>9</w:t>
            </w:r>
            <w:r w:rsidRPr="00FF0098">
              <w:rPr>
                <w:noProof/>
                <w:webHidden/>
                <w:sz w:val="24"/>
                <w:szCs w:val="24"/>
              </w:rPr>
              <w:fldChar w:fldCharType="end"/>
            </w:r>
          </w:hyperlink>
        </w:p>
        <w:p w14:paraId="1AE3D2DB" w14:textId="7B31861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63" w:history="1">
            <w:r w:rsidRPr="00FF0098">
              <w:rPr>
                <w:rStyle w:val="Hyperlink"/>
                <w:noProof/>
                <w:sz w:val="24"/>
                <w:szCs w:val="24"/>
              </w:rPr>
              <w:t>2.3. Key roles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_Toc95211763 \h </w:instrText>
            </w:r>
            <w:r w:rsidRPr="00FF0098">
              <w:rPr>
                <w:noProof/>
                <w:webHidden/>
                <w:sz w:val="24"/>
                <w:szCs w:val="24"/>
              </w:rPr>
            </w:r>
            <w:r w:rsidRPr="00FF0098">
              <w:rPr>
                <w:noProof/>
                <w:webHidden/>
                <w:sz w:val="24"/>
                <w:szCs w:val="24"/>
              </w:rPr>
              <w:fldChar w:fldCharType="separate"/>
            </w:r>
            <w:r w:rsidR="00457B98">
              <w:rPr>
                <w:noProof/>
                <w:webHidden/>
                <w:sz w:val="24"/>
                <w:szCs w:val="24"/>
              </w:rPr>
              <w:t>10</w:t>
            </w:r>
            <w:r w:rsidRPr="00FF0098">
              <w:rPr>
                <w:noProof/>
                <w:webHidden/>
                <w:sz w:val="24"/>
                <w:szCs w:val="24"/>
              </w:rPr>
              <w:fldChar w:fldCharType="end"/>
            </w:r>
          </w:hyperlink>
        </w:p>
        <w:p w14:paraId="311CDA93" w14:textId="00C275F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64" w:history="1">
            <w:r w:rsidRPr="00FF0098">
              <w:rPr>
                <w:rStyle w:val="Hyperlink"/>
                <w:noProof/>
                <w:szCs w:val="24"/>
              </w:rPr>
              <w:t>2.3.1. The operator</w:t>
            </w:r>
            <w:r w:rsidRPr="00FF0098">
              <w:rPr>
                <w:noProof/>
                <w:webHidden/>
              </w:rPr>
              <w:tab/>
            </w:r>
            <w:r w:rsidRPr="00FF0098">
              <w:rPr>
                <w:noProof/>
                <w:webHidden/>
              </w:rPr>
              <w:fldChar w:fldCharType="begin"/>
            </w:r>
            <w:r w:rsidRPr="00FF0098">
              <w:rPr>
                <w:noProof/>
                <w:webHidden/>
              </w:rPr>
              <w:instrText xml:space="preserve"> PAGEREF _Toc95211764 \h </w:instrText>
            </w:r>
            <w:r w:rsidRPr="00FF0098">
              <w:rPr>
                <w:noProof/>
                <w:webHidden/>
              </w:rPr>
            </w:r>
            <w:r w:rsidRPr="00FF0098">
              <w:rPr>
                <w:noProof/>
                <w:webHidden/>
              </w:rPr>
              <w:fldChar w:fldCharType="separate"/>
            </w:r>
            <w:r w:rsidR="00457B98">
              <w:rPr>
                <w:noProof/>
                <w:webHidden/>
              </w:rPr>
              <w:t>10</w:t>
            </w:r>
            <w:r w:rsidRPr="00FF0098">
              <w:rPr>
                <w:noProof/>
                <w:webHidden/>
              </w:rPr>
              <w:fldChar w:fldCharType="end"/>
            </w:r>
          </w:hyperlink>
        </w:p>
        <w:p w14:paraId="3AFA0A07" w14:textId="3A6EF47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65" w:history="1">
            <w:r w:rsidRPr="00FF0098">
              <w:rPr>
                <w:rStyle w:val="Hyperlink"/>
                <w:noProof/>
                <w:szCs w:val="24"/>
              </w:rPr>
              <w:t>2.3.2. The responsible person</w:t>
            </w:r>
            <w:r w:rsidRPr="00FF0098">
              <w:rPr>
                <w:noProof/>
                <w:webHidden/>
              </w:rPr>
              <w:tab/>
            </w:r>
            <w:r w:rsidRPr="00FF0098">
              <w:rPr>
                <w:noProof/>
                <w:webHidden/>
              </w:rPr>
              <w:fldChar w:fldCharType="begin"/>
            </w:r>
            <w:r w:rsidRPr="00FF0098">
              <w:rPr>
                <w:noProof/>
                <w:webHidden/>
              </w:rPr>
              <w:instrText xml:space="preserve"> PAGEREF _Toc95211765 \h </w:instrText>
            </w:r>
            <w:r w:rsidRPr="00FF0098">
              <w:rPr>
                <w:noProof/>
                <w:webHidden/>
              </w:rPr>
            </w:r>
            <w:r w:rsidRPr="00FF0098">
              <w:rPr>
                <w:noProof/>
                <w:webHidden/>
              </w:rPr>
              <w:fldChar w:fldCharType="separate"/>
            </w:r>
            <w:r w:rsidR="00457B98">
              <w:rPr>
                <w:noProof/>
                <w:webHidden/>
              </w:rPr>
              <w:t>11</w:t>
            </w:r>
            <w:r w:rsidRPr="00FF0098">
              <w:rPr>
                <w:noProof/>
                <w:webHidden/>
              </w:rPr>
              <w:fldChar w:fldCharType="end"/>
            </w:r>
          </w:hyperlink>
        </w:p>
        <w:p w14:paraId="255F731B" w14:textId="4C48187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66" w:history="1">
            <w:r w:rsidRPr="00FF0098">
              <w:rPr>
                <w:rStyle w:val="Hyperlink"/>
                <w:noProof/>
                <w:szCs w:val="24"/>
              </w:rPr>
              <w:t>2.3.3. The administrative contact</w:t>
            </w:r>
            <w:r w:rsidRPr="00FF0098">
              <w:rPr>
                <w:noProof/>
                <w:webHidden/>
              </w:rPr>
              <w:tab/>
            </w:r>
            <w:r w:rsidRPr="00FF0098">
              <w:rPr>
                <w:noProof/>
                <w:webHidden/>
              </w:rPr>
              <w:fldChar w:fldCharType="begin"/>
            </w:r>
            <w:r w:rsidRPr="00FF0098">
              <w:rPr>
                <w:noProof/>
                <w:webHidden/>
              </w:rPr>
              <w:instrText xml:space="preserve"> PAGEREF _Toc95211766 \h </w:instrText>
            </w:r>
            <w:r w:rsidRPr="00FF0098">
              <w:rPr>
                <w:noProof/>
                <w:webHidden/>
              </w:rPr>
            </w:r>
            <w:r w:rsidRPr="00FF0098">
              <w:rPr>
                <w:noProof/>
                <w:webHidden/>
              </w:rPr>
              <w:fldChar w:fldCharType="separate"/>
            </w:r>
            <w:r w:rsidR="00457B98">
              <w:rPr>
                <w:noProof/>
                <w:webHidden/>
              </w:rPr>
              <w:t>12</w:t>
            </w:r>
            <w:r w:rsidRPr="00FF0098">
              <w:rPr>
                <w:noProof/>
                <w:webHidden/>
              </w:rPr>
              <w:fldChar w:fldCharType="end"/>
            </w:r>
          </w:hyperlink>
        </w:p>
        <w:p w14:paraId="59CF8E00" w14:textId="4D6660C2"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67" w:history="1">
            <w:r w:rsidRPr="00FF0098">
              <w:rPr>
                <w:rStyle w:val="Hyperlink"/>
                <w:noProof/>
                <w:sz w:val="24"/>
                <w:szCs w:val="24"/>
              </w:rPr>
              <w:t>2.4. Which processes and products are eligible for a climate change agreement?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_Toc95211767 \h </w:instrText>
            </w:r>
            <w:r w:rsidRPr="00FF0098">
              <w:rPr>
                <w:noProof/>
                <w:webHidden/>
                <w:sz w:val="24"/>
                <w:szCs w:val="24"/>
              </w:rPr>
            </w:r>
            <w:r w:rsidRPr="00FF0098">
              <w:rPr>
                <w:noProof/>
                <w:webHidden/>
                <w:sz w:val="24"/>
                <w:szCs w:val="24"/>
              </w:rPr>
              <w:fldChar w:fldCharType="separate"/>
            </w:r>
            <w:r w:rsidR="00457B98">
              <w:rPr>
                <w:noProof/>
                <w:webHidden/>
                <w:sz w:val="24"/>
                <w:szCs w:val="24"/>
              </w:rPr>
              <w:t>12</w:t>
            </w:r>
            <w:r w:rsidRPr="00FF0098">
              <w:rPr>
                <w:noProof/>
                <w:webHidden/>
                <w:sz w:val="24"/>
                <w:szCs w:val="24"/>
              </w:rPr>
              <w:fldChar w:fldCharType="end"/>
            </w:r>
          </w:hyperlink>
        </w:p>
        <w:p w14:paraId="0A8782E0" w14:textId="0A82D5B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68" w:history="1">
            <w:r w:rsidRPr="00FF0098">
              <w:rPr>
                <w:rStyle w:val="Hyperlink"/>
                <w:noProof/>
                <w:szCs w:val="24"/>
              </w:rPr>
              <w:t>2.4.1. What makes a site eligible for a CCA?</w:t>
            </w:r>
            <w:r w:rsidRPr="00FF0098">
              <w:rPr>
                <w:noProof/>
                <w:webHidden/>
              </w:rPr>
              <w:tab/>
            </w:r>
            <w:r w:rsidRPr="00FF0098">
              <w:rPr>
                <w:noProof/>
                <w:webHidden/>
              </w:rPr>
              <w:fldChar w:fldCharType="begin"/>
            </w:r>
            <w:r w:rsidRPr="00FF0098">
              <w:rPr>
                <w:noProof/>
                <w:webHidden/>
              </w:rPr>
              <w:instrText xml:space="preserve"> PAGEREF _Toc95211768 \h </w:instrText>
            </w:r>
            <w:r w:rsidRPr="00FF0098">
              <w:rPr>
                <w:noProof/>
                <w:webHidden/>
              </w:rPr>
            </w:r>
            <w:r w:rsidRPr="00FF0098">
              <w:rPr>
                <w:noProof/>
                <w:webHidden/>
              </w:rPr>
              <w:fldChar w:fldCharType="separate"/>
            </w:r>
            <w:r w:rsidR="00457B98">
              <w:rPr>
                <w:noProof/>
                <w:webHidden/>
              </w:rPr>
              <w:t>12</w:t>
            </w:r>
            <w:r w:rsidRPr="00FF0098">
              <w:rPr>
                <w:noProof/>
                <w:webHidden/>
              </w:rPr>
              <w:fldChar w:fldCharType="end"/>
            </w:r>
          </w:hyperlink>
        </w:p>
        <w:p w14:paraId="0BB47BEF" w14:textId="6F3AFA3A"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69" w:history="1">
            <w:r w:rsidRPr="00FF0098">
              <w:rPr>
                <w:rStyle w:val="Hyperlink"/>
                <w:noProof/>
                <w:szCs w:val="24"/>
              </w:rPr>
              <w:t>2.4.2. Changes to eligibility and tax exemptions</w:t>
            </w:r>
            <w:r w:rsidRPr="00FF0098">
              <w:rPr>
                <w:noProof/>
                <w:webHidden/>
              </w:rPr>
              <w:tab/>
            </w:r>
            <w:r w:rsidRPr="00FF0098">
              <w:rPr>
                <w:noProof/>
                <w:webHidden/>
              </w:rPr>
              <w:fldChar w:fldCharType="begin"/>
            </w:r>
            <w:r w:rsidRPr="00FF0098">
              <w:rPr>
                <w:noProof/>
                <w:webHidden/>
              </w:rPr>
              <w:instrText xml:space="preserve"> PAGEREF _Toc95211769 \h </w:instrText>
            </w:r>
            <w:r w:rsidRPr="00FF0098">
              <w:rPr>
                <w:noProof/>
                <w:webHidden/>
              </w:rPr>
            </w:r>
            <w:r w:rsidRPr="00FF0098">
              <w:rPr>
                <w:noProof/>
                <w:webHidden/>
              </w:rPr>
              <w:fldChar w:fldCharType="separate"/>
            </w:r>
            <w:r w:rsidR="00457B98">
              <w:rPr>
                <w:noProof/>
                <w:webHidden/>
              </w:rPr>
              <w:t>13</w:t>
            </w:r>
            <w:r w:rsidRPr="00FF0098">
              <w:rPr>
                <w:noProof/>
                <w:webHidden/>
              </w:rPr>
              <w:fldChar w:fldCharType="end"/>
            </w:r>
          </w:hyperlink>
        </w:p>
        <w:p w14:paraId="260327EA" w14:textId="3A217BE3"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770" w:history="1">
            <w:r w:rsidRPr="00FF0098">
              <w:rPr>
                <w:rStyle w:val="Hyperlink"/>
                <w:noProof/>
                <w:sz w:val="24"/>
                <w:szCs w:val="24"/>
              </w:rPr>
              <w:t>3. Eligible energy in the CCA scheme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_Toc95211770 \h </w:instrText>
            </w:r>
            <w:r w:rsidRPr="00FF0098">
              <w:rPr>
                <w:noProof/>
                <w:webHidden/>
                <w:sz w:val="24"/>
                <w:szCs w:val="24"/>
              </w:rPr>
            </w:r>
            <w:r w:rsidRPr="00FF0098">
              <w:rPr>
                <w:noProof/>
                <w:webHidden/>
                <w:sz w:val="24"/>
                <w:szCs w:val="24"/>
              </w:rPr>
              <w:fldChar w:fldCharType="separate"/>
            </w:r>
            <w:r w:rsidR="00457B98">
              <w:rPr>
                <w:noProof/>
                <w:webHidden/>
                <w:sz w:val="24"/>
                <w:szCs w:val="24"/>
              </w:rPr>
              <w:t>14</w:t>
            </w:r>
            <w:r w:rsidRPr="00FF0098">
              <w:rPr>
                <w:noProof/>
                <w:webHidden/>
                <w:sz w:val="24"/>
                <w:szCs w:val="24"/>
              </w:rPr>
              <w:fldChar w:fldCharType="end"/>
            </w:r>
          </w:hyperlink>
        </w:p>
        <w:p w14:paraId="621EF64D" w14:textId="5E085403"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71" w:history="1">
            <w:r w:rsidRPr="00FF0098">
              <w:rPr>
                <w:rStyle w:val="Hyperlink"/>
                <w:noProof/>
                <w:sz w:val="24"/>
                <w:szCs w:val="24"/>
              </w:rPr>
              <w:t>3.1. How to account for energy use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_Toc95211771 \h </w:instrText>
            </w:r>
            <w:r w:rsidRPr="00FF0098">
              <w:rPr>
                <w:noProof/>
                <w:webHidden/>
                <w:sz w:val="24"/>
                <w:szCs w:val="24"/>
              </w:rPr>
            </w:r>
            <w:r w:rsidRPr="00FF0098">
              <w:rPr>
                <w:noProof/>
                <w:webHidden/>
                <w:sz w:val="24"/>
                <w:szCs w:val="24"/>
              </w:rPr>
              <w:fldChar w:fldCharType="separate"/>
            </w:r>
            <w:r w:rsidR="00457B98">
              <w:rPr>
                <w:noProof/>
                <w:webHidden/>
                <w:sz w:val="24"/>
                <w:szCs w:val="24"/>
              </w:rPr>
              <w:t>14</w:t>
            </w:r>
            <w:r w:rsidRPr="00FF0098">
              <w:rPr>
                <w:noProof/>
                <w:webHidden/>
                <w:sz w:val="24"/>
                <w:szCs w:val="24"/>
              </w:rPr>
              <w:fldChar w:fldCharType="end"/>
            </w:r>
          </w:hyperlink>
        </w:p>
        <w:p w14:paraId="58DBCDF3" w14:textId="0FF5C33C"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2" w:history="1">
            <w:r w:rsidRPr="00FF0098">
              <w:rPr>
                <w:rStyle w:val="Hyperlink"/>
                <w:noProof/>
                <w:szCs w:val="24"/>
              </w:rPr>
              <w:t>3.1.1. Fossil fuels</w:t>
            </w:r>
            <w:r w:rsidRPr="00FF0098">
              <w:rPr>
                <w:noProof/>
                <w:webHidden/>
              </w:rPr>
              <w:tab/>
            </w:r>
            <w:r w:rsidRPr="00FF0098">
              <w:rPr>
                <w:noProof/>
                <w:webHidden/>
              </w:rPr>
              <w:fldChar w:fldCharType="begin"/>
            </w:r>
            <w:r w:rsidRPr="00FF0098">
              <w:rPr>
                <w:noProof/>
                <w:webHidden/>
              </w:rPr>
              <w:instrText xml:space="preserve"> PAGEREF _Toc95211772 \h </w:instrText>
            </w:r>
            <w:r w:rsidRPr="00FF0098">
              <w:rPr>
                <w:noProof/>
                <w:webHidden/>
              </w:rPr>
            </w:r>
            <w:r w:rsidRPr="00FF0098">
              <w:rPr>
                <w:noProof/>
                <w:webHidden/>
              </w:rPr>
              <w:fldChar w:fldCharType="separate"/>
            </w:r>
            <w:r w:rsidR="00457B98">
              <w:rPr>
                <w:noProof/>
                <w:webHidden/>
              </w:rPr>
              <w:t>14</w:t>
            </w:r>
            <w:r w:rsidRPr="00FF0098">
              <w:rPr>
                <w:noProof/>
                <w:webHidden/>
              </w:rPr>
              <w:fldChar w:fldCharType="end"/>
            </w:r>
          </w:hyperlink>
        </w:p>
        <w:p w14:paraId="0378C54A" w14:textId="4F891E6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3" w:history="1">
            <w:r w:rsidRPr="00FF0098">
              <w:rPr>
                <w:rStyle w:val="Hyperlink"/>
                <w:noProof/>
                <w:szCs w:val="24"/>
              </w:rPr>
              <w:t>3.1.2. General electricity imports</w:t>
            </w:r>
            <w:r w:rsidRPr="00FF0098">
              <w:rPr>
                <w:noProof/>
                <w:webHidden/>
              </w:rPr>
              <w:tab/>
            </w:r>
            <w:r w:rsidRPr="00FF0098">
              <w:rPr>
                <w:noProof/>
                <w:webHidden/>
              </w:rPr>
              <w:fldChar w:fldCharType="begin"/>
            </w:r>
            <w:r w:rsidRPr="00FF0098">
              <w:rPr>
                <w:noProof/>
                <w:webHidden/>
              </w:rPr>
              <w:instrText xml:space="preserve"> PAGEREF _Toc95211773 \h </w:instrText>
            </w:r>
            <w:r w:rsidRPr="00FF0098">
              <w:rPr>
                <w:noProof/>
                <w:webHidden/>
              </w:rPr>
            </w:r>
            <w:r w:rsidRPr="00FF0098">
              <w:rPr>
                <w:noProof/>
                <w:webHidden/>
              </w:rPr>
              <w:fldChar w:fldCharType="separate"/>
            </w:r>
            <w:r w:rsidR="00457B98">
              <w:rPr>
                <w:noProof/>
                <w:webHidden/>
              </w:rPr>
              <w:t>15</w:t>
            </w:r>
            <w:r w:rsidRPr="00FF0098">
              <w:rPr>
                <w:noProof/>
                <w:webHidden/>
              </w:rPr>
              <w:fldChar w:fldCharType="end"/>
            </w:r>
          </w:hyperlink>
        </w:p>
        <w:p w14:paraId="4B354B79" w14:textId="39767B9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4" w:history="1">
            <w:r w:rsidRPr="00FF0098">
              <w:rPr>
                <w:rStyle w:val="Hyperlink"/>
                <w:noProof/>
                <w:szCs w:val="24"/>
              </w:rPr>
              <w:t>3.1.3. Green electricity tariffs</w:t>
            </w:r>
            <w:r w:rsidRPr="00FF0098">
              <w:rPr>
                <w:noProof/>
                <w:webHidden/>
              </w:rPr>
              <w:tab/>
            </w:r>
            <w:r w:rsidRPr="00FF0098">
              <w:rPr>
                <w:noProof/>
                <w:webHidden/>
              </w:rPr>
              <w:fldChar w:fldCharType="begin"/>
            </w:r>
            <w:r w:rsidRPr="00FF0098">
              <w:rPr>
                <w:noProof/>
                <w:webHidden/>
              </w:rPr>
              <w:instrText xml:space="preserve"> PAGEREF _Toc95211774 \h </w:instrText>
            </w:r>
            <w:r w:rsidRPr="00FF0098">
              <w:rPr>
                <w:noProof/>
                <w:webHidden/>
              </w:rPr>
            </w:r>
            <w:r w:rsidRPr="00FF0098">
              <w:rPr>
                <w:noProof/>
                <w:webHidden/>
              </w:rPr>
              <w:fldChar w:fldCharType="separate"/>
            </w:r>
            <w:r w:rsidR="00457B98">
              <w:rPr>
                <w:noProof/>
                <w:webHidden/>
              </w:rPr>
              <w:t>15</w:t>
            </w:r>
            <w:r w:rsidRPr="00FF0098">
              <w:rPr>
                <w:noProof/>
                <w:webHidden/>
              </w:rPr>
              <w:fldChar w:fldCharType="end"/>
            </w:r>
          </w:hyperlink>
        </w:p>
        <w:p w14:paraId="569D4582" w14:textId="7578F08B"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5" w:history="1">
            <w:r w:rsidRPr="00FF0098">
              <w:rPr>
                <w:rStyle w:val="Hyperlink"/>
                <w:noProof/>
                <w:szCs w:val="24"/>
              </w:rPr>
              <w:t>3.1.4. Renewable electricity</w:t>
            </w:r>
            <w:r w:rsidRPr="00FF0098">
              <w:rPr>
                <w:noProof/>
                <w:webHidden/>
              </w:rPr>
              <w:tab/>
            </w:r>
            <w:r w:rsidRPr="00FF0098">
              <w:rPr>
                <w:noProof/>
                <w:webHidden/>
              </w:rPr>
              <w:fldChar w:fldCharType="begin"/>
            </w:r>
            <w:r w:rsidRPr="00FF0098">
              <w:rPr>
                <w:noProof/>
                <w:webHidden/>
              </w:rPr>
              <w:instrText xml:space="preserve"> PAGEREF _Toc95211775 \h </w:instrText>
            </w:r>
            <w:r w:rsidRPr="00FF0098">
              <w:rPr>
                <w:noProof/>
                <w:webHidden/>
              </w:rPr>
            </w:r>
            <w:r w:rsidRPr="00FF0098">
              <w:rPr>
                <w:noProof/>
                <w:webHidden/>
              </w:rPr>
              <w:fldChar w:fldCharType="separate"/>
            </w:r>
            <w:r w:rsidR="00457B98">
              <w:rPr>
                <w:noProof/>
                <w:webHidden/>
              </w:rPr>
              <w:t>15</w:t>
            </w:r>
            <w:r w:rsidRPr="00FF0098">
              <w:rPr>
                <w:noProof/>
                <w:webHidden/>
              </w:rPr>
              <w:fldChar w:fldCharType="end"/>
            </w:r>
          </w:hyperlink>
        </w:p>
        <w:p w14:paraId="6A808349" w14:textId="5157E73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6" w:history="1">
            <w:r w:rsidRPr="00FF0098">
              <w:rPr>
                <w:rStyle w:val="Hyperlink"/>
                <w:noProof/>
                <w:szCs w:val="24"/>
              </w:rPr>
              <w:t>3.1.5. Renewable or waste fuels</w:t>
            </w:r>
            <w:r w:rsidRPr="00FF0098">
              <w:rPr>
                <w:noProof/>
                <w:webHidden/>
              </w:rPr>
              <w:tab/>
            </w:r>
            <w:r w:rsidRPr="00FF0098">
              <w:rPr>
                <w:noProof/>
                <w:webHidden/>
              </w:rPr>
              <w:fldChar w:fldCharType="begin"/>
            </w:r>
            <w:r w:rsidRPr="00FF0098">
              <w:rPr>
                <w:noProof/>
                <w:webHidden/>
              </w:rPr>
              <w:instrText xml:space="preserve"> PAGEREF _Toc95211776 \h </w:instrText>
            </w:r>
            <w:r w:rsidRPr="00FF0098">
              <w:rPr>
                <w:noProof/>
                <w:webHidden/>
              </w:rPr>
            </w:r>
            <w:r w:rsidRPr="00FF0098">
              <w:rPr>
                <w:noProof/>
                <w:webHidden/>
              </w:rPr>
              <w:fldChar w:fldCharType="separate"/>
            </w:r>
            <w:r w:rsidR="00457B98">
              <w:rPr>
                <w:noProof/>
                <w:webHidden/>
              </w:rPr>
              <w:t>16</w:t>
            </w:r>
            <w:r w:rsidRPr="00FF0098">
              <w:rPr>
                <w:noProof/>
                <w:webHidden/>
              </w:rPr>
              <w:fldChar w:fldCharType="end"/>
            </w:r>
          </w:hyperlink>
        </w:p>
        <w:p w14:paraId="5F397969" w14:textId="0309777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7" w:history="1">
            <w:r w:rsidRPr="00FF0098">
              <w:rPr>
                <w:rStyle w:val="Hyperlink"/>
                <w:noProof/>
                <w:szCs w:val="24"/>
              </w:rPr>
              <w:t>3.1.6. Combined heat and power</w:t>
            </w:r>
            <w:r w:rsidRPr="00FF0098">
              <w:rPr>
                <w:noProof/>
                <w:webHidden/>
              </w:rPr>
              <w:tab/>
            </w:r>
            <w:r w:rsidRPr="00FF0098">
              <w:rPr>
                <w:noProof/>
                <w:webHidden/>
              </w:rPr>
              <w:fldChar w:fldCharType="begin"/>
            </w:r>
            <w:r w:rsidRPr="00FF0098">
              <w:rPr>
                <w:noProof/>
                <w:webHidden/>
              </w:rPr>
              <w:instrText xml:space="preserve"> PAGEREF _Toc95211777 \h </w:instrText>
            </w:r>
            <w:r w:rsidRPr="00FF0098">
              <w:rPr>
                <w:noProof/>
                <w:webHidden/>
              </w:rPr>
            </w:r>
            <w:r w:rsidRPr="00FF0098">
              <w:rPr>
                <w:noProof/>
                <w:webHidden/>
              </w:rPr>
              <w:fldChar w:fldCharType="separate"/>
            </w:r>
            <w:r w:rsidR="00457B98">
              <w:rPr>
                <w:noProof/>
                <w:webHidden/>
              </w:rPr>
              <w:t>17</w:t>
            </w:r>
            <w:r w:rsidRPr="00FF0098">
              <w:rPr>
                <w:noProof/>
                <w:webHidden/>
              </w:rPr>
              <w:fldChar w:fldCharType="end"/>
            </w:r>
          </w:hyperlink>
        </w:p>
        <w:p w14:paraId="3AF38E95" w14:textId="6A56C12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8" w:history="1">
            <w:r w:rsidRPr="00FF0098">
              <w:rPr>
                <w:rStyle w:val="Hyperlink"/>
                <w:noProof/>
                <w:szCs w:val="24"/>
              </w:rPr>
              <w:t>3.1.7. Steam</w:t>
            </w:r>
            <w:r w:rsidRPr="00FF0098">
              <w:rPr>
                <w:noProof/>
                <w:webHidden/>
              </w:rPr>
              <w:tab/>
            </w:r>
            <w:r w:rsidRPr="00FF0098">
              <w:rPr>
                <w:noProof/>
                <w:webHidden/>
              </w:rPr>
              <w:fldChar w:fldCharType="begin"/>
            </w:r>
            <w:r w:rsidRPr="00FF0098">
              <w:rPr>
                <w:noProof/>
                <w:webHidden/>
              </w:rPr>
              <w:instrText xml:space="preserve"> PAGEREF _Toc95211778 \h </w:instrText>
            </w:r>
            <w:r w:rsidRPr="00FF0098">
              <w:rPr>
                <w:noProof/>
                <w:webHidden/>
              </w:rPr>
            </w:r>
            <w:r w:rsidRPr="00FF0098">
              <w:rPr>
                <w:noProof/>
                <w:webHidden/>
              </w:rPr>
              <w:fldChar w:fldCharType="separate"/>
            </w:r>
            <w:r w:rsidR="00457B98">
              <w:rPr>
                <w:noProof/>
                <w:webHidden/>
              </w:rPr>
              <w:t>18</w:t>
            </w:r>
            <w:r w:rsidRPr="00FF0098">
              <w:rPr>
                <w:noProof/>
                <w:webHidden/>
              </w:rPr>
              <w:fldChar w:fldCharType="end"/>
            </w:r>
          </w:hyperlink>
        </w:p>
        <w:p w14:paraId="2CB1B103" w14:textId="1EBF5DC1"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79" w:history="1">
            <w:r w:rsidRPr="00FF0098">
              <w:rPr>
                <w:rStyle w:val="Hyperlink"/>
                <w:noProof/>
                <w:szCs w:val="24"/>
              </w:rPr>
              <w:t>3.1.8. Accounting for oxygen imports</w:t>
            </w:r>
            <w:r w:rsidRPr="00FF0098">
              <w:rPr>
                <w:noProof/>
                <w:webHidden/>
              </w:rPr>
              <w:tab/>
            </w:r>
            <w:r w:rsidRPr="00FF0098">
              <w:rPr>
                <w:noProof/>
                <w:webHidden/>
              </w:rPr>
              <w:fldChar w:fldCharType="begin"/>
            </w:r>
            <w:r w:rsidRPr="00FF0098">
              <w:rPr>
                <w:noProof/>
                <w:webHidden/>
              </w:rPr>
              <w:instrText xml:space="preserve"> PAGEREF _Toc95211779 \h </w:instrText>
            </w:r>
            <w:r w:rsidRPr="00FF0098">
              <w:rPr>
                <w:noProof/>
                <w:webHidden/>
              </w:rPr>
            </w:r>
            <w:r w:rsidRPr="00FF0098">
              <w:rPr>
                <w:noProof/>
                <w:webHidden/>
              </w:rPr>
              <w:fldChar w:fldCharType="separate"/>
            </w:r>
            <w:r w:rsidR="00457B98">
              <w:rPr>
                <w:noProof/>
                <w:webHidden/>
              </w:rPr>
              <w:t>18</w:t>
            </w:r>
            <w:r w:rsidRPr="00FF0098">
              <w:rPr>
                <w:noProof/>
                <w:webHidden/>
              </w:rPr>
              <w:fldChar w:fldCharType="end"/>
            </w:r>
          </w:hyperlink>
        </w:p>
        <w:p w14:paraId="37E0937C" w14:textId="5797012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0" w:history="1">
            <w:r w:rsidRPr="00FF0098">
              <w:rPr>
                <w:rStyle w:val="Hyperlink"/>
                <w:noProof/>
                <w:szCs w:val="24"/>
              </w:rPr>
              <w:t>3.1.9. Accounting for liquid nitrogen or solid carbon dioxide used for cooling</w:t>
            </w:r>
            <w:r w:rsidRPr="00FF0098">
              <w:rPr>
                <w:noProof/>
                <w:webHidden/>
              </w:rPr>
              <w:tab/>
            </w:r>
            <w:r w:rsidRPr="00FF0098">
              <w:rPr>
                <w:noProof/>
                <w:webHidden/>
              </w:rPr>
              <w:fldChar w:fldCharType="begin"/>
            </w:r>
            <w:r w:rsidRPr="00FF0098">
              <w:rPr>
                <w:noProof/>
                <w:webHidden/>
              </w:rPr>
              <w:instrText xml:space="preserve"> PAGEREF _Toc95211780 \h </w:instrText>
            </w:r>
            <w:r w:rsidRPr="00FF0098">
              <w:rPr>
                <w:noProof/>
                <w:webHidden/>
              </w:rPr>
            </w:r>
            <w:r w:rsidRPr="00FF0098">
              <w:rPr>
                <w:noProof/>
                <w:webHidden/>
              </w:rPr>
              <w:fldChar w:fldCharType="separate"/>
            </w:r>
            <w:r w:rsidR="00457B98">
              <w:rPr>
                <w:noProof/>
                <w:webHidden/>
              </w:rPr>
              <w:t>18</w:t>
            </w:r>
            <w:r w:rsidRPr="00FF0098">
              <w:rPr>
                <w:noProof/>
                <w:webHidden/>
              </w:rPr>
              <w:fldChar w:fldCharType="end"/>
            </w:r>
          </w:hyperlink>
        </w:p>
        <w:p w14:paraId="3D86DC41" w14:textId="326CA23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1" w:history="1">
            <w:r w:rsidRPr="00FF0098">
              <w:rPr>
                <w:rStyle w:val="Hyperlink"/>
                <w:noProof/>
                <w:szCs w:val="24"/>
              </w:rPr>
              <w:t>3.1.10. Accounting for transport fuel</w:t>
            </w:r>
            <w:r w:rsidRPr="00FF0098">
              <w:rPr>
                <w:noProof/>
                <w:webHidden/>
              </w:rPr>
              <w:tab/>
            </w:r>
            <w:r w:rsidRPr="00FF0098">
              <w:rPr>
                <w:noProof/>
                <w:webHidden/>
              </w:rPr>
              <w:fldChar w:fldCharType="begin"/>
            </w:r>
            <w:r w:rsidRPr="00FF0098">
              <w:rPr>
                <w:noProof/>
                <w:webHidden/>
              </w:rPr>
              <w:instrText xml:space="preserve"> PAGEREF _Toc95211781 \h </w:instrText>
            </w:r>
            <w:r w:rsidRPr="00FF0098">
              <w:rPr>
                <w:noProof/>
                <w:webHidden/>
              </w:rPr>
            </w:r>
            <w:r w:rsidRPr="00FF0098">
              <w:rPr>
                <w:noProof/>
                <w:webHidden/>
              </w:rPr>
              <w:fldChar w:fldCharType="separate"/>
            </w:r>
            <w:r w:rsidR="00457B98">
              <w:rPr>
                <w:noProof/>
                <w:webHidden/>
              </w:rPr>
              <w:t>19</w:t>
            </w:r>
            <w:r w:rsidRPr="00FF0098">
              <w:rPr>
                <w:noProof/>
                <w:webHidden/>
              </w:rPr>
              <w:fldChar w:fldCharType="end"/>
            </w:r>
          </w:hyperlink>
        </w:p>
        <w:p w14:paraId="79BC8C24" w14:textId="21D84C98"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82" w:history="1">
            <w:r w:rsidRPr="00FF0098">
              <w:rPr>
                <w:rStyle w:val="Hyperlink"/>
                <w:noProof/>
                <w:sz w:val="24"/>
                <w:szCs w:val="24"/>
              </w:rPr>
              <w:t>3.2. What energy can't be counted in CCAs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_Toc95211782 \h </w:instrText>
            </w:r>
            <w:r w:rsidRPr="00FF0098">
              <w:rPr>
                <w:noProof/>
                <w:webHidden/>
                <w:sz w:val="24"/>
                <w:szCs w:val="24"/>
              </w:rPr>
            </w:r>
            <w:r w:rsidRPr="00FF0098">
              <w:rPr>
                <w:noProof/>
                <w:webHidden/>
                <w:sz w:val="24"/>
                <w:szCs w:val="24"/>
              </w:rPr>
              <w:fldChar w:fldCharType="separate"/>
            </w:r>
            <w:r w:rsidR="00457B98">
              <w:rPr>
                <w:noProof/>
                <w:webHidden/>
                <w:sz w:val="24"/>
                <w:szCs w:val="24"/>
              </w:rPr>
              <w:t>19</w:t>
            </w:r>
            <w:r w:rsidRPr="00FF0098">
              <w:rPr>
                <w:noProof/>
                <w:webHidden/>
                <w:sz w:val="24"/>
                <w:szCs w:val="24"/>
              </w:rPr>
              <w:fldChar w:fldCharType="end"/>
            </w:r>
          </w:hyperlink>
        </w:p>
        <w:p w14:paraId="51593BCF" w14:textId="1195DB3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3" w:history="1">
            <w:r w:rsidRPr="00FF0098">
              <w:rPr>
                <w:rStyle w:val="Hyperlink"/>
                <w:noProof/>
                <w:szCs w:val="24"/>
              </w:rPr>
              <w:t>3.2.1. Fuel used as a chemical feedstock</w:t>
            </w:r>
            <w:r w:rsidRPr="00FF0098">
              <w:rPr>
                <w:noProof/>
                <w:webHidden/>
              </w:rPr>
              <w:tab/>
            </w:r>
            <w:r w:rsidRPr="00FF0098">
              <w:rPr>
                <w:noProof/>
                <w:webHidden/>
              </w:rPr>
              <w:fldChar w:fldCharType="begin"/>
            </w:r>
            <w:r w:rsidRPr="00FF0098">
              <w:rPr>
                <w:noProof/>
                <w:webHidden/>
              </w:rPr>
              <w:instrText xml:space="preserve"> PAGEREF _Toc95211783 \h </w:instrText>
            </w:r>
            <w:r w:rsidRPr="00FF0098">
              <w:rPr>
                <w:noProof/>
                <w:webHidden/>
              </w:rPr>
            </w:r>
            <w:r w:rsidRPr="00FF0098">
              <w:rPr>
                <w:noProof/>
                <w:webHidden/>
              </w:rPr>
              <w:fldChar w:fldCharType="separate"/>
            </w:r>
            <w:r w:rsidR="00457B98">
              <w:rPr>
                <w:noProof/>
                <w:webHidden/>
              </w:rPr>
              <w:t>19</w:t>
            </w:r>
            <w:r w:rsidRPr="00FF0098">
              <w:rPr>
                <w:noProof/>
                <w:webHidden/>
              </w:rPr>
              <w:fldChar w:fldCharType="end"/>
            </w:r>
          </w:hyperlink>
        </w:p>
        <w:p w14:paraId="6758626B" w14:textId="56E6E5E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4" w:history="1">
            <w:r w:rsidRPr="00FF0098">
              <w:rPr>
                <w:rStyle w:val="Hyperlink"/>
                <w:noProof/>
                <w:szCs w:val="24"/>
              </w:rPr>
              <w:t>3.2.2. Heat recovered from exothermic reactions</w:t>
            </w:r>
            <w:r w:rsidRPr="00FF0098">
              <w:rPr>
                <w:noProof/>
                <w:webHidden/>
              </w:rPr>
              <w:tab/>
            </w:r>
            <w:r w:rsidRPr="00FF0098">
              <w:rPr>
                <w:noProof/>
                <w:webHidden/>
              </w:rPr>
              <w:fldChar w:fldCharType="begin"/>
            </w:r>
            <w:r w:rsidRPr="00FF0098">
              <w:rPr>
                <w:noProof/>
                <w:webHidden/>
              </w:rPr>
              <w:instrText xml:space="preserve"> PAGEREF _Toc95211784 \h </w:instrText>
            </w:r>
            <w:r w:rsidRPr="00FF0098">
              <w:rPr>
                <w:noProof/>
                <w:webHidden/>
              </w:rPr>
            </w:r>
            <w:r w:rsidRPr="00FF0098">
              <w:rPr>
                <w:noProof/>
                <w:webHidden/>
              </w:rPr>
              <w:fldChar w:fldCharType="separate"/>
            </w:r>
            <w:r w:rsidR="00457B98">
              <w:rPr>
                <w:noProof/>
                <w:webHidden/>
              </w:rPr>
              <w:t>19</w:t>
            </w:r>
            <w:r w:rsidRPr="00FF0098">
              <w:rPr>
                <w:noProof/>
                <w:webHidden/>
              </w:rPr>
              <w:fldChar w:fldCharType="end"/>
            </w:r>
          </w:hyperlink>
        </w:p>
        <w:p w14:paraId="44C48421" w14:textId="5642671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5" w:history="1">
            <w:r w:rsidRPr="00FF0098">
              <w:rPr>
                <w:rStyle w:val="Hyperlink"/>
                <w:noProof/>
                <w:szCs w:val="24"/>
              </w:rPr>
              <w:t>3.2.3. Electricity generated from recovered heat</w:t>
            </w:r>
            <w:r w:rsidRPr="00FF0098">
              <w:rPr>
                <w:noProof/>
                <w:webHidden/>
              </w:rPr>
              <w:tab/>
            </w:r>
            <w:r w:rsidRPr="00FF0098">
              <w:rPr>
                <w:noProof/>
                <w:webHidden/>
              </w:rPr>
              <w:fldChar w:fldCharType="begin"/>
            </w:r>
            <w:r w:rsidRPr="00FF0098">
              <w:rPr>
                <w:noProof/>
                <w:webHidden/>
              </w:rPr>
              <w:instrText xml:space="preserve"> PAGEREF _Toc95211785 \h </w:instrText>
            </w:r>
            <w:r w:rsidRPr="00FF0098">
              <w:rPr>
                <w:noProof/>
                <w:webHidden/>
              </w:rPr>
            </w:r>
            <w:r w:rsidRPr="00FF0098">
              <w:rPr>
                <w:noProof/>
                <w:webHidden/>
              </w:rPr>
              <w:fldChar w:fldCharType="separate"/>
            </w:r>
            <w:r w:rsidR="00457B98">
              <w:rPr>
                <w:noProof/>
                <w:webHidden/>
              </w:rPr>
              <w:t>20</w:t>
            </w:r>
            <w:r w:rsidRPr="00FF0098">
              <w:rPr>
                <w:noProof/>
                <w:webHidden/>
              </w:rPr>
              <w:fldChar w:fldCharType="end"/>
            </w:r>
          </w:hyperlink>
        </w:p>
        <w:p w14:paraId="420DB6FC" w14:textId="522ACFB2"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86" w:history="1">
            <w:r w:rsidRPr="00FF0098">
              <w:rPr>
                <w:rStyle w:val="Hyperlink"/>
                <w:noProof/>
                <w:sz w:val="24"/>
                <w:szCs w:val="24"/>
              </w:rPr>
              <w:t>3.3. Defining and calculating the energy consumption of the eligible facility and target facility on a site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_Toc95211786 \h </w:instrText>
            </w:r>
            <w:r w:rsidRPr="00FF0098">
              <w:rPr>
                <w:noProof/>
                <w:webHidden/>
                <w:sz w:val="24"/>
                <w:szCs w:val="24"/>
              </w:rPr>
            </w:r>
            <w:r w:rsidRPr="00FF0098">
              <w:rPr>
                <w:noProof/>
                <w:webHidden/>
                <w:sz w:val="24"/>
                <w:szCs w:val="24"/>
              </w:rPr>
              <w:fldChar w:fldCharType="separate"/>
            </w:r>
            <w:r w:rsidR="00457B98">
              <w:rPr>
                <w:noProof/>
                <w:webHidden/>
                <w:sz w:val="24"/>
                <w:szCs w:val="24"/>
              </w:rPr>
              <w:t>20</w:t>
            </w:r>
            <w:r w:rsidRPr="00FF0098">
              <w:rPr>
                <w:noProof/>
                <w:webHidden/>
                <w:sz w:val="24"/>
                <w:szCs w:val="24"/>
              </w:rPr>
              <w:fldChar w:fldCharType="end"/>
            </w:r>
          </w:hyperlink>
        </w:p>
        <w:p w14:paraId="2331C8F3" w14:textId="6ADD3CF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7" w:history="1">
            <w:r w:rsidRPr="00FF0098">
              <w:rPr>
                <w:rStyle w:val="Hyperlink"/>
                <w:noProof/>
                <w:szCs w:val="24"/>
              </w:rPr>
              <w:t>3.3.1. Step 1: Define the site</w:t>
            </w:r>
            <w:r w:rsidRPr="00FF0098">
              <w:rPr>
                <w:noProof/>
                <w:webHidden/>
              </w:rPr>
              <w:tab/>
            </w:r>
            <w:r w:rsidRPr="00FF0098">
              <w:rPr>
                <w:noProof/>
                <w:webHidden/>
              </w:rPr>
              <w:fldChar w:fldCharType="begin"/>
            </w:r>
            <w:r w:rsidRPr="00FF0098">
              <w:rPr>
                <w:noProof/>
                <w:webHidden/>
              </w:rPr>
              <w:instrText xml:space="preserve"> PAGEREF _Toc95211787 \h </w:instrText>
            </w:r>
            <w:r w:rsidRPr="00FF0098">
              <w:rPr>
                <w:noProof/>
                <w:webHidden/>
              </w:rPr>
            </w:r>
            <w:r w:rsidRPr="00FF0098">
              <w:rPr>
                <w:noProof/>
                <w:webHidden/>
              </w:rPr>
              <w:fldChar w:fldCharType="separate"/>
            </w:r>
            <w:r w:rsidR="00457B98">
              <w:rPr>
                <w:noProof/>
                <w:webHidden/>
              </w:rPr>
              <w:t>20</w:t>
            </w:r>
            <w:r w:rsidRPr="00FF0098">
              <w:rPr>
                <w:noProof/>
                <w:webHidden/>
              </w:rPr>
              <w:fldChar w:fldCharType="end"/>
            </w:r>
          </w:hyperlink>
        </w:p>
        <w:p w14:paraId="47F6DF3B" w14:textId="1C32ED8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8" w:history="1">
            <w:r w:rsidRPr="00FF0098">
              <w:rPr>
                <w:rStyle w:val="Hyperlink"/>
                <w:noProof/>
                <w:szCs w:val="24"/>
              </w:rPr>
              <w:t>3.3.2. Step 2: Calculate energy consumed by different categories of activity</w:t>
            </w:r>
            <w:r w:rsidRPr="00FF0098">
              <w:rPr>
                <w:noProof/>
                <w:webHidden/>
              </w:rPr>
              <w:tab/>
            </w:r>
            <w:r w:rsidRPr="00FF0098">
              <w:rPr>
                <w:noProof/>
                <w:webHidden/>
              </w:rPr>
              <w:fldChar w:fldCharType="begin"/>
            </w:r>
            <w:r w:rsidRPr="00FF0098">
              <w:rPr>
                <w:noProof/>
                <w:webHidden/>
              </w:rPr>
              <w:instrText xml:space="preserve"> PAGEREF _Toc95211788 \h </w:instrText>
            </w:r>
            <w:r w:rsidRPr="00FF0098">
              <w:rPr>
                <w:noProof/>
                <w:webHidden/>
              </w:rPr>
            </w:r>
            <w:r w:rsidRPr="00FF0098">
              <w:rPr>
                <w:noProof/>
                <w:webHidden/>
              </w:rPr>
              <w:fldChar w:fldCharType="separate"/>
            </w:r>
            <w:r w:rsidR="00457B98">
              <w:rPr>
                <w:noProof/>
                <w:webHidden/>
              </w:rPr>
              <w:t>21</w:t>
            </w:r>
            <w:r w:rsidRPr="00FF0098">
              <w:rPr>
                <w:noProof/>
                <w:webHidden/>
              </w:rPr>
              <w:fldChar w:fldCharType="end"/>
            </w:r>
          </w:hyperlink>
        </w:p>
        <w:p w14:paraId="64DEA2D0" w14:textId="18A09B3C"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89" w:history="1">
            <w:r w:rsidRPr="00FF0098">
              <w:rPr>
                <w:rStyle w:val="Hyperlink"/>
                <w:noProof/>
                <w:szCs w:val="24"/>
              </w:rPr>
              <w:t>3.3.3. Step 3: Apply the 70% rule</w:t>
            </w:r>
            <w:r w:rsidRPr="00FF0098">
              <w:rPr>
                <w:noProof/>
                <w:webHidden/>
              </w:rPr>
              <w:tab/>
            </w:r>
            <w:r w:rsidRPr="00FF0098">
              <w:rPr>
                <w:noProof/>
                <w:webHidden/>
              </w:rPr>
              <w:fldChar w:fldCharType="begin"/>
            </w:r>
            <w:r w:rsidRPr="00FF0098">
              <w:rPr>
                <w:noProof/>
                <w:webHidden/>
              </w:rPr>
              <w:instrText xml:space="preserve"> PAGEREF _Toc95211789 \h </w:instrText>
            </w:r>
            <w:r w:rsidRPr="00FF0098">
              <w:rPr>
                <w:noProof/>
                <w:webHidden/>
              </w:rPr>
            </w:r>
            <w:r w:rsidRPr="00FF0098">
              <w:rPr>
                <w:noProof/>
                <w:webHidden/>
              </w:rPr>
              <w:fldChar w:fldCharType="separate"/>
            </w:r>
            <w:r w:rsidR="00457B98">
              <w:rPr>
                <w:noProof/>
                <w:webHidden/>
              </w:rPr>
              <w:t>23</w:t>
            </w:r>
            <w:r w:rsidRPr="00FF0098">
              <w:rPr>
                <w:noProof/>
                <w:webHidden/>
              </w:rPr>
              <w:fldChar w:fldCharType="end"/>
            </w:r>
          </w:hyperlink>
        </w:p>
        <w:p w14:paraId="4C18F13C" w14:textId="4311B1D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0" w:history="1">
            <w:r w:rsidRPr="00FF0098">
              <w:rPr>
                <w:rStyle w:val="Hyperlink"/>
                <w:noProof/>
                <w:szCs w:val="24"/>
              </w:rPr>
              <w:t>3.3.4. Step 4: Calculate the energy consumption relevant for CCA target setting and performance reporting (defining the target facility)</w:t>
            </w:r>
            <w:r w:rsidRPr="00FF0098">
              <w:rPr>
                <w:noProof/>
                <w:webHidden/>
              </w:rPr>
              <w:tab/>
            </w:r>
            <w:r w:rsidRPr="00FF0098">
              <w:rPr>
                <w:noProof/>
                <w:webHidden/>
              </w:rPr>
              <w:fldChar w:fldCharType="begin"/>
            </w:r>
            <w:r w:rsidRPr="00FF0098">
              <w:rPr>
                <w:noProof/>
                <w:webHidden/>
              </w:rPr>
              <w:instrText xml:space="preserve"> PAGEREF _Toc95211790 \h </w:instrText>
            </w:r>
            <w:r w:rsidRPr="00FF0098">
              <w:rPr>
                <w:noProof/>
                <w:webHidden/>
              </w:rPr>
            </w:r>
            <w:r w:rsidRPr="00FF0098">
              <w:rPr>
                <w:noProof/>
                <w:webHidden/>
              </w:rPr>
              <w:fldChar w:fldCharType="separate"/>
            </w:r>
            <w:r w:rsidR="00457B98">
              <w:rPr>
                <w:noProof/>
                <w:webHidden/>
              </w:rPr>
              <w:t>24</w:t>
            </w:r>
            <w:r w:rsidRPr="00FF0098">
              <w:rPr>
                <w:noProof/>
                <w:webHidden/>
              </w:rPr>
              <w:fldChar w:fldCharType="end"/>
            </w:r>
          </w:hyperlink>
        </w:p>
        <w:p w14:paraId="73EB654F" w14:textId="00DB3DF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1" w:history="1">
            <w:r w:rsidRPr="00FF0098">
              <w:rPr>
                <w:rStyle w:val="Hyperlink"/>
                <w:noProof/>
                <w:szCs w:val="24"/>
              </w:rPr>
              <w:t>3.3.5 Step 5: Calculate base year performance</w:t>
            </w:r>
            <w:r w:rsidRPr="00FF0098">
              <w:rPr>
                <w:noProof/>
                <w:webHidden/>
              </w:rPr>
              <w:tab/>
            </w:r>
            <w:r w:rsidRPr="00FF0098">
              <w:rPr>
                <w:noProof/>
                <w:webHidden/>
              </w:rPr>
              <w:fldChar w:fldCharType="begin"/>
            </w:r>
            <w:r w:rsidRPr="00FF0098">
              <w:rPr>
                <w:noProof/>
                <w:webHidden/>
              </w:rPr>
              <w:instrText xml:space="preserve"> PAGEREF _Toc95211791 \h </w:instrText>
            </w:r>
            <w:r w:rsidRPr="00FF0098">
              <w:rPr>
                <w:noProof/>
                <w:webHidden/>
              </w:rPr>
            </w:r>
            <w:r w:rsidRPr="00FF0098">
              <w:rPr>
                <w:noProof/>
                <w:webHidden/>
              </w:rPr>
              <w:fldChar w:fldCharType="separate"/>
            </w:r>
            <w:r w:rsidR="00457B98">
              <w:rPr>
                <w:noProof/>
                <w:webHidden/>
              </w:rPr>
              <w:t>25</w:t>
            </w:r>
            <w:r w:rsidRPr="00FF0098">
              <w:rPr>
                <w:noProof/>
                <w:webHidden/>
              </w:rPr>
              <w:fldChar w:fldCharType="end"/>
            </w:r>
          </w:hyperlink>
        </w:p>
        <w:p w14:paraId="289A71B9" w14:textId="5D5D16F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2" w:history="1">
            <w:r w:rsidRPr="00FF0098">
              <w:rPr>
                <w:rStyle w:val="Hyperlink"/>
                <w:noProof/>
                <w:szCs w:val="24"/>
              </w:rPr>
              <w:t>3.4. How to manage energy recording and reporting when a meter fails</w:t>
            </w:r>
            <w:r w:rsidRPr="00FF0098">
              <w:rPr>
                <w:noProof/>
                <w:webHidden/>
              </w:rPr>
              <w:tab/>
            </w:r>
            <w:r w:rsidRPr="00FF0098">
              <w:rPr>
                <w:noProof/>
                <w:webHidden/>
              </w:rPr>
              <w:fldChar w:fldCharType="begin"/>
            </w:r>
            <w:r w:rsidRPr="00FF0098">
              <w:rPr>
                <w:noProof/>
                <w:webHidden/>
              </w:rPr>
              <w:instrText xml:space="preserve"> PAGEREF _Toc95211792 \h </w:instrText>
            </w:r>
            <w:r w:rsidRPr="00FF0098">
              <w:rPr>
                <w:noProof/>
                <w:webHidden/>
              </w:rPr>
            </w:r>
            <w:r w:rsidRPr="00FF0098">
              <w:rPr>
                <w:noProof/>
                <w:webHidden/>
              </w:rPr>
              <w:fldChar w:fldCharType="separate"/>
            </w:r>
            <w:r w:rsidR="00457B98">
              <w:rPr>
                <w:noProof/>
                <w:webHidden/>
              </w:rPr>
              <w:t>26</w:t>
            </w:r>
            <w:r w:rsidRPr="00FF0098">
              <w:rPr>
                <w:noProof/>
                <w:webHidden/>
              </w:rPr>
              <w:fldChar w:fldCharType="end"/>
            </w:r>
          </w:hyperlink>
        </w:p>
        <w:p w14:paraId="4809A0F2" w14:textId="390BF927"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793" w:history="1">
            <w:r w:rsidRPr="00FF0098">
              <w:rPr>
                <w:rStyle w:val="Hyperlink"/>
                <w:noProof/>
                <w:sz w:val="24"/>
                <w:szCs w:val="24"/>
              </w:rPr>
              <w:t>4. Setting up a target unit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_Toc95211793 \h </w:instrText>
            </w:r>
            <w:r w:rsidRPr="00FF0098">
              <w:rPr>
                <w:noProof/>
                <w:webHidden/>
                <w:sz w:val="24"/>
                <w:szCs w:val="24"/>
              </w:rPr>
            </w:r>
            <w:r w:rsidRPr="00FF0098">
              <w:rPr>
                <w:noProof/>
                <w:webHidden/>
                <w:sz w:val="24"/>
                <w:szCs w:val="24"/>
              </w:rPr>
              <w:fldChar w:fldCharType="separate"/>
            </w:r>
            <w:r w:rsidR="00457B98">
              <w:rPr>
                <w:noProof/>
                <w:webHidden/>
                <w:sz w:val="24"/>
                <w:szCs w:val="24"/>
              </w:rPr>
              <w:t>28</w:t>
            </w:r>
            <w:r w:rsidRPr="00FF0098">
              <w:rPr>
                <w:noProof/>
                <w:webHidden/>
                <w:sz w:val="24"/>
                <w:szCs w:val="24"/>
              </w:rPr>
              <w:fldChar w:fldCharType="end"/>
            </w:r>
          </w:hyperlink>
        </w:p>
        <w:p w14:paraId="34703C7B" w14:textId="015FB0D0"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94" w:history="1">
            <w:r w:rsidRPr="00FF0098">
              <w:rPr>
                <w:rStyle w:val="Hyperlink"/>
                <w:noProof/>
                <w:sz w:val="24"/>
                <w:szCs w:val="24"/>
              </w:rPr>
              <w:t>4.1. Target and certification periods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_Toc95211794 \h </w:instrText>
            </w:r>
            <w:r w:rsidRPr="00FF0098">
              <w:rPr>
                <w:noProof/>
                <w:webHidden/>
                <w:sz w:val="24"/>
                <w:szCs w:val="24"/>
              </w:rPr>
            </w:r>
            <w:r w:rsidRPr="00FF0098">
              <w:rPr>
                <w:noProof/>
                <w:webHidden/>
                <w:sz w:val="24"/>
                <w:szCs w:val="24"/>
              </w:rPr>
              <w:fldChar w:fldCharType="separate"/>
            </w:r>
            <w:r w:rsidR="00457B98">
              <w:rPr>
                <w:noProof/>
                <w:webHidden/>
                <w:sz w:val="24"/>
                <w:szCs w:val="24"/>
              </w:rPr>
              <w:t>28</w:t>
            </w:r>
            <w:r w:rsidRPr="00FF0098">
              <w:rPr>
                <w:noProof/>
                <w:webHidden/>
                <w:sz w:val="24"/>
                <w:szCs w:val="24"/>
              </w:rPr>
              <w:fldChar w:fldCharType="end"/>
            </w:r>
          </w:hyperlink>
        </w:p>
        <w:p w14:paraId="50CD08FC" w14:textId="348EF30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95" w:history="1">
            <w:r w:rsidRPr="00FF0098">
              <w:rPr>
                <w:rStyle w:val="Hyperlink"/>
                <w:noProof/>
                <w:sz w:val="24"/>
                <w:szCs w:val="24"/>
              </w:rPr>
              <w:t>4.2. Sector commitments and target unit targets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_Toc95211795 \h </w:instrText>
            </w:r>
            <w:r w:rsidRPr="00FF0098">
              <w:rPr>
                <w:noProof/>
                <w:webHidden/>
                <w:sz w:val="24"/>
                <w:szCs w:val="24"/>
              </w:rPr>
            </w:r>
            <w:r w:rsidRPr="00FF0098">
              <w:rPr>
                <w:noProof/>
                <w:webHidden/>
                <w:sz w:val="24"/>
                <w:szCs w:val="24"/>
              </w:rPr>
              <w:fldChar w:fldCharType="separate"/>
            </w:r>
            <w:r w:rsidR="00457B98">
              <w:rPr>
                <w:noProof/>
                <w:webHidden/>
                <w:sz w:val="24"/>
                <w:szCs w:val="24"/>
              </w:rPr>
              <w:t>28</w:t>
            </w:r>
            <w:r w:rsidRPr="00FF0098">
              <w:rPr>
                <w:noProof/>
                <w:webHidden/>
                <w:sz w:val="24"/>
                <w:szCs w:val="24"/>
              </w:rPr>
              <w:fldChar w:fldCharType="end"/>
            </w:r>
          </w:hyperlink>
        </w:p>
        <w:p w14:paraId="64DE7E44" w14:textId="29CCAAB0"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6" w:history="1">
            <w:r w:rsidRPr="00FF0098">
              <w:rPr>
                <w:rStyle w:val="Hyperlink"/>
                <w:noProof/>
                <w:szCs w:val="24"/>
              </w:rPr>
              <w:t>4.2.1. Sector commitment</w:t>
            </w:r>
            <w:r w:rsidRPr="00FF0098">
              <w:rPr>
                <w:noProof/>
                <w:webHidden/>
              </w:rPr>
              <w:tab/>
            </w:r>
            <w:r w:rsidRPr="00FF0098">
              <w:rPr>
                <w:noProof/>
                <w:webHidden/>
              </w:rPr>
              <w:fldChar w:fldCharType="begin"/>
            </w:r>
            <w:r w:rsidRPr="00FF0098">
              <w:rPr>
                <w:noProof/>
                <w:webHidden/>
              </w:rPr>
              <w:instrText xml:space="preserve"> PAGEREF _Toc95211796 \h </w:instrText>
            </w:r>
            <w:r w:rsidRPr="00FF0098">
              <w:rPr>
                <w:noProof/>
                <w:webHidden/>
              </w:rPr>
            </w:r>
            <w:r w:rsidRPr="00FF0098">
              <w:rPr>
                <w:noProof/>
                <w:webHidden/>
              </w:rPr>
              <w:fldChar w:fldCharType="separate"/>
            </w:r>
            <w:r w:rsidR="00457B98">
              <w:rPr>
                <w:noProof/>
                <w:webHidden/>
              </w:rPr>
              <w:t>29</w:t>
            </w:r>
            <w:r w:rsidRPr="00FF0098">
              <w:rPr>
                <w:noProof/>
                <w:webHidden/>
              </w:rPr>
              <w:fldChar w:fldCharType="end"/>
            </w:r>
          </w:hyperlink>
        </w:p>
        <w:p w14:paraId="469EE4EC" w14:textId="706AF2D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7" w:history="1">
            <w:r w:rsidRPr="00FF0098">
              <w:rPr>
                <w:rStyle w:val="Hyperlink"/>
                <w:noProof/>
                <w:szCs w:val="24"/>
              </w:rPr>
              <w:t>4.2.2. Target unit targets</w:t>
            </w:r>
            <w:r w:rsidRPr="00FF0098">
              <w:rPr>
                <w:noProof/>
                <w:webHidden/>
              </w:rPr>
              <w:tab/>
            </w:r>
            <w:r w:rsidRPr="00FF0098">
              <w:rPr>
                <w:noProof/>
                <w:webHidden/>
              </w:rPr>
              <w:fldChar w:fldCharType="begin"/>
            </w:r>
            <w:r w:rsidRPr="00FF0098">
              <w:rPr>
                <w:noProof/>
                <w:webHidden/>
              </w:rPr>
              <w:instrText xml:space="preserve"> PAGEREF _Toc95211797 \h </w:instrText>
            </w:r>
            <w:r w:rsidRPr="00FF0098">
              <w:rPr>
                <w:noProof/>
                <w:webHidden/>
              </w:rPr>
            </w:r>
            <w:r w:rsidRPr="00FF0098">
              <w:rPr>
                <w:noProof/>
                <w:webHidden/>
              </w:rPr>
              <w:fldChar w:fldCharType="separate"/>
            </w:r>
            <w:r w:rsidR="00457B98">
              <w:rPr>
                <w:noProof/>
                <w:webHidden/>
              </w:rPr>
              <w:t>29</w:t>
            </w:r>
            <w:r w:rsidRPr="00FF0098">
              <w:rPr>
                <w:noProof/>
                <w:webHidden/>
              </w:rPr>
              <w:fldChar w:fldCharType="end"/>
            </w:r>
          </w:hyperlink>
        </w:p>
        <w:p w14:paraId="58C112FD" w14:textId="1EBB25AD"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798" w:history="1">
            <w:r w:rsidRPr="00FF0098">
              <w:rPr>
                <w:rStyle w:val="Hyperlink"/>
                <w:noProof/>
                <w:sz w:val="24"/>
                <w:szCs w:val="24"/>
              </w:rPr>
              <w:t>4.3. Brownfield and greenfield facilities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_Toc95211798 \h </w:instrText>
            </w:r>
            <w:r w:rsidRPr="00FF0098">
              <w:rPr>
                <w:noProof/>
                <w:webHidden/>
                <w:sz w:val="24"/>
                <w:szCs w:val="24"/>
              </w:rPr>
            </w:r>
            <w:r w:rsidRPr="00FF0098">
              <w:rPr>
                <w:noProof/>
                <w:webHidden/>
                <w:sz w:val="24"/>
                <w:szCs w:val="24"/>
              </w:rPr>
              <w:fldChar w:fldCharType="separate"/>
            </w:r>
            <w:r w:rsidR="00457B98">
              <w:rPr>
                <w:noProof/>
                <w:webHidden/>
                <w:sz w:val="24"/>
                <w:szCs w:val="24"/>
              </w:rPr>
              <w:t>32</w:t>
            </w:r>
            <w:r w:rsidRPr="00FF0098">
              <w:rPr>
                <w:noProof/>
                <w:webHidden/>
                <w:sz w:val="24"/>
                <w:szCs w:val="24"/>
              </w:rPr>
              <w:fldChar w:fldCharType="end"/>
            </w:r>
          </w:hyperlink>
        </w:p>
        <w:p w14:paraId="02026B46" w14:textId="3F086DE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799" w:history="1">
            <w:r w:rsidRPr="00FF0098">
              <w:rPr>
                <w:rStyle w:val="Hyperlink"/>
                <w:noProof/>
                <w:szCs w:val="24"/>
              </w:rPr>
              <w:t>4.3.1. Brownfield facilities</w:t>
            </w:r>
            <w:r w:rsidRPr="00FF0098">
              <w:rPr>
                <w:noProof/>
                <w:webHidden/>
              </w:rPr>
              <w:tab/>
            </w:r>
            <w:r w:rsidRPr="00FF0098">
              <w:rPr>
                <w:noProof/>
                <w:webHidden/>
              </w:rPr>
              <w:fldChar w:fldCharType="begin"/>
            </w:r>
            <w:r w:rsidRPr="00FF0098">
              <w:rPr>
                <w:noProof/>
                <w:webHidden/>
              </w:rPr>
              <w:instrText xml:space="preserve"> PAGEREF _Toc95211799 \h </w:instrText>
            </w:r>
            <w:r w:rsidRPr="00FF0098">
              <w:rPr>
                <w:noProof/>
                <w:webHidden/>
              </w:rPr>
            </w:r>
            <w:r w:rsidRPr="00FF0098">
              <w:rPr>
                <w:noProof/>
                <w:webHidden/>
              </w:rPr>
              <w:fldChar w:fldCharType="separate"/>
            </w:r>
            <w:r w:rsidR="00457B98">
              <w:rPr>
                <w:noProof/>
                <w:webHidden/>
              </w:rPr>
              <w:t>33</w:t>
            </w:r>
            <w:r w:rsidRPr="00FF0098">
              <w:rPr>
                <w:noProof/>
                <w:webHidden/>
              </w:rPr>
              <w:fldChar w:fldCharType="end"/>
            </w:r>
          </w:hyperlink>
        </w:p>
        <w:p w14:paraId="31DA1D78" w14:textId="205EF1A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0" w:history="1">
            <w:r w:rsidRPr="00FF0098">
              <w:rPr>
                <w:rStyle w:val="Hyperlink"/>
                <w:noProof/>
                <w:szCs w:val="24"/>
              </w:rPr>
              <w:t>4.3.2. Greenfield facilities</w:t>
            </w:r>
            <w:r w:rsidRPr="00FF0098">
              <w:rPr>
                <w:noProof/>
                <w:webHidden/>
              </w:rPr>
              <w:tab/>
            </w:r>
            <w:r w:rsidRPr="00FF0098">
              <w:rPr>
                <w:noProof/>
                <w:webHidden/>
              </w:rPr>
              <w:fldChar w:fldCharType="begin"/>
            </w:r>
            <w:r w:rsidRPr="00FF0098">
              <w:rPr>
                <w:noProof/>
                <w:webHidden/>
              </w:rPr>
              <w:instrText xml:space="preserve"> PAGEREF _Toc95211800 \h </w:instrText>
            </w:r>
            <w:r w:rsidRPr="00FF0098">
              <w:rPr>
                <w:noProof/>
                <w:webHidden/>
              </w:rPr>
            </w:r>
            <w:r w:rsidRPr="00FF0098">
              <w:rPr>
                <w:noProof/>
                <w:webHidden/>
              </w:rPr>
              <w:fldChar w:fldCharType="separate"/>
            </w:r>
            <w:r w:rsidR="00457B98">
              <w:rPr>
                <w:noProof/>
                <w:webHidden/>
              </w:rPr>
              <w:t>33</w:t>
            </w:r>
            <w:r w:rsidRPr="00FF0098">
              <w:rPr>
                <w:noProof/>
                <w:webHidden/>
              </w:rPr>
              <w:fldChar w:fldCharType="end"/>
            </w:r>
          </w:hyperlink>
        </w:p>
        <w:p w14:paraId="17A9518D" w14:textId="387AA8AB"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01" w:history="1">
            <w:r w:rsidRPr="00FF0098">
              <w:rPr>
                <w:rStyle w:val="Hyperlink"/>
                <w:noProof/>
                <w:sz w:val="24"/>
                <w:szCs w:val="24"/>
              </w:rPr>
              <w:t>4.4. Target setting for new entrants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_Toc95211801 \h </w:instrText>
            </w:r>
            <w:r w:rsidRPr="00FF0098">
              <w:rPr>
                <w:noProof/>
                <w:webHidden/>
                <w:sz w:val="24"/>
                <w:szCs w:val="24"/>
              </w:rPr>
            </w:r>
            <w:r w:rsidRPr="00FF0098">
              <w:rPr>
                <w:noProof/>
                <w:webHidden/>
                <w:sz w:val="24"/>
                <w:szCs w:val="24"/>
              </w:rPr>
              <w:fldChar w:fldCharType="separate"/>
            </w:r>
            <w:r w:rsidR="00457B98">
              <w:rPr>
                <w:noProof/>
                <w:webHidden/>
                <w:sz w:val="24"/>
                <w:szCs w:val="24"/>
              </w:rPr>
              <w:t>34</w:t>
            </w:r>
            <w:r w:rsidRPr="00FF0098">
              <w:rPr>
                <w:noProof/>
                <w:webHidden/>
                <w:sz w:val="24"/>
                <w:szCs w:val="24"/>
              </w:rPr>
              <w:fldChar w:fldCharType="end"/>
            </w:r>
          </w:hyperlink>
        </w:p>
        <w:p w14:paraId="55AA473E" w14:textId="707E10F1"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2" w:history="1">
            <w:r w:rsidRPr="00FF0098">
              <w:rPr>
                <w:rStyle w:val="Hyperlink"/>
                <w:noProof/>
                <w:szCs w:val="24"/>
              </w:rPr>
              <w:t>4.4.1. Calculating a target for a new scheme entrant</w:t>
            </w:r>
            <w:r w:rsidRPr="00FF0098">
              <w:rPr>
                <w:noProof/>
                <w:webHidden/>
              </w:rPr>
              <w:tab/>
            </w:r>
            <w:r w:rsidRPr="00FF0098">
              <w:rPr>
                <w:noProof/>
                <w:webHidden/>
              </w:rPr>
              <w:fldChar w:fldCharType="begin"/>
            </w:r>
            <w:r w:rsidRPr="00FF0098">
              <w:rPr>
                <w:noProof/>
                <w:webHidden/>
              </w:rPr>
              <w:instrText xml:space="preserve"> PAGEREF _Toc95211802 \h </w:instrText>
            </w:r>
            <w:r w:rsidRPr="00FF0098">
              <w:rPr>
                <w:noProof/>
                <w:webHidden/>
              </w:rPr>
            </w:r>
            <w:r w:rsidRPr="00FF0098">
              <w:rPr>
                <w:noProof/>
                <w:webHidden/>
              </w:rPr>
              <w:fldChar w:fldCharType="separate"/>
            </w:r>
            <w:r w:rsidR="00457B98">
              <w:rPr>
                <w:noProof/>
                <w:webHidden/>
              </w:rPr>
              <w:t>34</w:t>
            </w:r>
            <w:r w:rsidRPr="00FF0098">
              <w:rPr>
                <w:noProof/>
                <w:webHidden/>
              </w:rPr>
              <w:fldChar w:fldCharType="end"/>
            </w:r>
          </w:hyperlink>
        </w:p>
        <w:p w14:paraId="007BF822" w14:textId="70D3C4D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3" w:history="1">
            <w:r w:rsidRPr="00FF0098">
              <w:rPr>
                <w:rStyle w:val="Hyperlink"/>
                <w:noProof/>
                <w:szCs w:val="24"/>
              </w:rPr>
              <w:t>4.4.2. Setting a target profile for new entrants</w:t>
            </w:r>
            <w:r w:rsidRPr="00FF0098">
              <w:rPr>
                <w:noProof/>
                <w:webHidden/>
              </w:rPr>
              <w:tab/>
            </w:r>
            <w:r w:rsidRPr="00FF0098">
              <w:rPr>
                <w:noProof/>
                <w:webHidden/>
              </w:rPr>
              <w:fldChar w:fldCharType="begin"/>
            </w:r>
            <w:r w:rsidRPr="00FF0098">
              <w:rPr>
                <w:noProof/>
                <w:webHidden/>
              </w:rPr>
              <w:instrText xml:space="preserve"> PAGEREF _Toc95211803 \h </w:instrText>
            </w:r>
            <w:r w:rsidRPr="00FF0098">
              <w:rPr>
                <w:noProof/>
                <w:webHidden/>
              </w:rPr>
            </w:r>
            <w:r w:rsidRPr="00FF0098">
              <w:rPr>
                <w:noProof/>
                <w:webHidden/>
              </w:rPr>
              <w:fldChar w:fldCharType="separate"/>
            </w:r>
            <w:r w:rsidR="00457B98">
              <w:rPr>
                <w:noProof/>
                <w:webHidden/>
              </w:rPr>
              <w:t>35</w:t>
            </w:r>
            <w:r w:rsidRPr="00FF0098">
              <w:rPr>
                <w:noProof/>
                <w:webHidden/>
              </w:rPr>
              <w:fldChar w:fldCharType="end"/>
            </w:r>
          </w:hyperlink>
        </w:p>
        <w:p w14:paraId="2EEAE554" w14:textId="1DD7D58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4" w:history="1">
            <w:r w:rsidRPr="00FF0098">
              <w:rPr>
                <w:rStyle w:val="Hyperlink"/>
                <w:noProof/>
                <w:szCs w:val="24"/>
              </w:rPr>
              <w:t>4.4.3. How to calculate a Novem target</w:t>
            </w:r>
            <w:r w:rsidRPr="00FF0098">
              <w:rPr>
                <w:noProof/>
                <w:webHidden/>
              </w:rPr>
              <w:tab/>
            </w:r>
            <w:r w:rsidRPr="00FF0098">
              <w:rPr>
                <w:noProof/>
                <w:webHidden/>
              </w:rPr>
              <w:fldChar w:fldCharType="begin"/>
            </w:r>
            <w:r w:rsidRPr="00FF0098">
              <w:rPr>
                <w:noProof/>
                <w:webHidden/>
              </w:rPr>
              <w:instrText xml:space="preserve"> PAGEREF _Toc95211804 \h </w:instrText>
            </w:r>
            <w:r w:rsidRPr="00FF0098">
              <w:rPr>
                <w:noProof/>
                <w:webHidden/>
              </w:rPr>
            </w:r>
            <w:r w:rsidRPr="00FF0098">
              <w:rPr>
                <w:noProof/>
                <w:webHidden/>
              </w:rPr>
              <w:fldChar w:fldCharType="separate"/>
            </w:r>
            <w:r w:rsidR="00457B98">
              <w:rPr>
                <w:noProof/>
                <w:webHidden/>
              </w:rPr>
              <w:t>36</w:t>
            </w:r>
            <w:r w:rsidRPr="00FF0098">
              <w:rPr>
                <w:noProof/>
                <w:webHidden/>
              </w:rPr>
              <w:fldChar w:fldCharType="end"/>
            </w:r>
          </w:hyperlink>
        </w:p>
        <w:p w14:paraId="046C8B1B" w14:textId="431ACB60"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05" w:history="1">
            <w:r w:rsidRPr="00FF0098">
              <w:rPr>
                <w:rStyle w:val="Hyperlink"/>
                <w:noProof/>
                <w:sz w:val="24"/>
                <w:szCs w:val="24"/>
              </w:rPr>
              <w:t>4.5. Deciding how to structure a target unit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_Toc95211805 \h </w:instrText>
            </w:r>
            <w:r w:rsidRPr="00FF0098">
              <w:rPr>
                <w:noProof/>
                <w:webHidden/>
                <w:sz w:val="24"/>
                <w:szCs w:val="24"/>
              </w:rPr>
            </w:r>
            <w:r w:rsidRPr="00FF0098">
              <w:rPr>
                <w:noProof/>
                <w:webHidden/>
                <w:sz w:val="24"/>
                <w:szCs w:val="24"/>
              </w:rPr>
              <w:fldChar w:fldCharType="separate"/>
            </w:r>
            <w:r w:rsidR="00457B98">
              <w:rPr>
                <w:noProof/>
                <w:webHidden/>
                <w:sz w:val="24"/>
                <w:szCs w:val="24"/>
              </w:rPr>
              <w:t>41</w:t>
            </w:r>
            <w:r w:rsidRPr="00FF0098">
              <w:rPr>
                <w:noProof/>
                <w:webHidden/>
                <w:sz w:val="24"/>
                <w:szCs w:val="24"/>
              </w:rPr>
              <w:fldChar w:fldCharType="end"/>
            </w:r>
          </w:hyperlink>
        </w:p>
        <w:p w14:paraId="532143A4" w14:textId="59D20A9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6" w:history="1">
            <w:r w:rsidRPr="00FF0098">
              <w:rPr>
                <w:rStyle w:val="Hyperlink"/>
                <w:noProof/>
                <w:szCs w:val="24"/>
              </w:rPr>
              <w:t>4.5.1. Including a facility in a target unit</w:t>
            </w:r>
            <w:r w:rsidRPr="00FF0098">
              <w:rPr>
                <w:noProof/>
                <w:webHidden/>
              </w:rPr>
              <w:tab/>
            </w:r>
            <w:r w:rsidRPr="00FF0098">
              <w:rPr>
                <w:noProof/>
                <w:webHidden/>
              </w:rPr>
              <w:fldChar w:fldCharType="begin"/>
            </w:r>
            <w:r w:rsidRPr="00FF0098">
              <w:rPr>
                <w:noProof/>
                <w:webHidden/>
              </w:rPr>
              <w:instrText xml:space="preserve"> PAGEREF _Toc95211806 \h </w:instrText>
            </w:r>
            <w:r w:rsidRPr="00FF0098">
              <w:rPr>
                <w:noProof/>
                <w:webHidden/>
              </w:rPr>
            </w:r>
            <w:r w:rsidRPr="00FF0098">
              <w:rPr>
                <w:noProof/>
                <w:webHidden/>
              </w:rPr>
              <w:fldChar w:fldCharType="separate"/>
            </w:r>
            <w:r w:rsidR="00457B98">
              <w:rPr>
                <w:noProof/>
                <w:webHidden/>
              </w:rPr>
              <w:t>41</w:t>
            </w:r>
            <w:r w:rsidRPr="00FF0098">
              <w:rPr>
                <w:noProof/>
                <w:webHidden/>
              </w:rPr>
              <w:fldChar w:fldCharType="end"/>
            </w:r>
          </w:hyperlink>
        </w:p>
        <w:p w14:paraId="3E2CCEF2" w14:textId="7AA47B5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7" w:history="1">
            <w:r w:rsidRPr="00FF0098">
              <w:rPr>
                <w:rStyle w:val="Hyperlink"/>
                <w:noProof/>
                <w:szCs w:val="24"/>
              </w:rPr>
              <w:t>4.5.2. Excluding a facility from a target unit</w:t>
            </w:r>
            <w:r w:rsidRPr="00FF0098">
              <w:rPr>
                <w:noProof/>
                <w:webHidden/>
              </w:rPr>
              <w:tab/>
            </w:r>
            <w:r w:rsidRPr="00FF0098">
              <w:rPr>
                <w:noProof/>
                <w:webHidden/>
              </w:rPr>
              <w:fldChar w:fldCharType="begin"/>
            </w:r>
            <w:r w:rsidRPr="00FF0098">
              <w:rPr>
                <w:noProof/>
                <w:webHidden/>
              </w:rPr>
              <w:instrText xml:space="preserve"> PAGEREF _Toc95211807 \h </w:instrText>
            </w:r>
            <w:r w:rsidRPr="00FF0098">
              <w:rPr>
                <w:noProof/>
                <w:webHidden/>
              </w:rPr>
            </w:r>
            <w:r w:rsidRPr="00FF0098">
              <w:rPr>
                <w:noProof/>
                <w:webHidden/>
              </w:rPr>
              <w:fldChar w:fldCharType="separate"/>
            </w:r>
            <w:r w:rsidR="00457B98">
              <w:rPr>
                <w:noProof/>
                <w:webHidden/>
              </w:rPr>
              <w:t>41</w:t>
            </w:r>
            <w:r w:rsidRPr="00FF0098">
              <w:rPr>
                <w:noProof/>
                <w:webHidden/>
              </w:rPr>
              <w:fldChar w:fldCharType="end"/>
            </w:r>
          </w:hyperlink>
        </w:p>
        <w:p w14:paraId="580BEC56" w14:textId="4D5C2637"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8" w:history="1">
            <w:r w:rsidRPr="00FF0098">
              <w:rPr>
                <w:rStyle w:val="Hyperlink"/>
                <w:noProof/>
                <w:szCs w:val="24"/>
              </w:rPr>
              <w:t>4.5.3. Conditions for including and excluding facilities</w:t>
            </w:r>
            <w:r w:rsidRPr="00FF0098">
              <w:rPr>
                <w:noProof/>
                <w:webHidden/>
              </w:rPr>
              <w:tab/>
            </w:r>
            <w:r w:rsidRPr="00FF0098">
              <w:rPr>
                <w:noProof/>
                <w:webHidden/>
              </w:rPr>
              <w:fldChar w:fldCharType="begin"/>
            </w:r>
            <w:r w:rsidRPr="00FF0098">
              <w:rPr>
                <w:noProof/>
                <w:webHidden/>
              </w:rPr>
              <w:instrText xml:space="preserve"> PAGEREF _Toc95211808 \h </w:instrText>
            </w:r>
            <w:r w:rsidRPr="00FF0098">
              <w:rPr>
                <w:noProof/>
                <w:webHidden/>
              </w:rPr>
            </w:r>
            <w:r w:rsidRPr="00FF0098">
              <w:rPr>
                <w:noProof/>
                <w:webHidden/>
              </w:rPr>
              <w:fldChar w:fldCharType="separate"/>
            </w:r>
            <w:r w:rsidR="00457B98">
              <w:rPr>
                <w:noProof/>
                <w:webHidden/>
              </w:rPr>
              <w:t>41</w:t>
            </w:r>
            <w:r w:rsidRPr="00FF0098">
              <w:rPr>
                <w:noProof/>
                <w:webHidden/>
              </w:rPr>
              <w:fldChar w:fldCharType="end"/>
            </w:r>
          </w:hyperlink>
        </w:p>
        <w:p w14:paraId="5C767196" w14:textId="420F329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09" w:history="1">
            <w:r w:rsidRPr="00FF0098">
              <w:rPr>
                <w:rStyle w:val="Hyperlink"/>
                <w:noProof/>
                <w:szCs w:val="24"/>
              </w:rPr>
              <w:t>4.5.4. How to calculate a target for a target unit when including and excluding facilities</w:t>
            </w:r>
            <w:r w:rsidRPr="00FF0098">
              <w:rPr>
                <w:noProof/>
                <w:webHidden/>
              </w:rPr>
              <w:tab/>
            </w:r>
            <w:r w:rsidRPr="00FF0098">
              <w:rPr>
                <w:noProof/>
                <w:webHidden/>
              </w:rPr>
              <w:fldChar w:fldCharType="begin"/>
            </w:r>
            <w:r w:rsidRPr="00FF0098">
              <w:rPr>
                <w:noProof/>
                <w:webHidden/>
              </w:rPr>
              <w:instrText xml:space="preserve"> PAGEREF _Toc95211809 \h </w:instrText>
            </w:r>
            <w:r w:rsidRPr="00FF0098">
              <w:rPr>
                <w:noProof/>
                <w:webHidden/>
              </w:rPr>
            </w:r>
            <w:r w:rsidRPr="00FF0098">
              <w:rPr>
                <w:noProof/>
                <w:webHidden/>
              </w:rPr>
              <w:fldChar w:fldCharType="separate"/>
            </w:r>
            <w:r w:rsidR="00457B98">
              <w:rPr>
                <w:noProof/>
                <w:webHidden/>
              </w:rPr>
              <w:t>42</w:t>
            </w:r>
            <w:r w:rsidRPr="00FF0098">
              <w:rPr>
                <w:noProof/>
                <w:webHidden/>
              </w:rPr>
              <w:fldChar w:fldCharType="end"/>
            </w:r>
          </w:hyperlink>
        </w:p>
        <w:p w14:paraId="46F0793C" w14:textId="293D1299"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10" w:history="1">
            <w:r w:rsidRPr="00FF0098">
              <w:rPr>
                <w:rStyle w:val="Hyperlink"/>
                <w:noProof/>
                <w:sz w:val="24"/>
                <w:szCs w:val="24"/>
              </w:rPr>
              <w:t>5. Annual charges and billing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_Toc95211810 \h </w:instrText>
            </w:r>
            <w:r w:rsidRPr="00FF0098">
              <w:rPr>
                <w:noProof/>
                <w:webHidden/>
                <w:sz w:val="24"/>
                <w:szCs w:val="24"/>
              </w:rPr>
            </w:r>
            <w:r w:rsidRPr="00FF0098">
              <w:rPr>
                <w:noProof/>
                <w:webHidden/>
                <w:sz w:val="24"/>
                <w:szCs w:val="24"/>
              </w:rPr>
              <w:fldChar w:fldCharType="separate"/>
            </w:r>
            <w:r w:rsidR="00457B98">
              <w:rPr>
                <w:noProof/>
                <w:webHidden/>
                <w:sz w:val="24"/>
                <w:szCs w:val="24"/>
              </w:rPr>
              <w:t>44</w:t>
            </w:r>
            <w:r w:rsidRPr="00FF0098">
              <w:rPr>
                <w:noProof/>
                <w:webHidden/>
                <w:sz w:val="24"/>
                <w:szCs w:val="24"/>
              </w:rPr>
              <w:fldChar w:fldCharType="end"/>
            </w:r>
          </w:hyperlink>
        </w:p>
        <w:p w14:paraId="1267C24D" w14:textId="5B203DB2"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11" w:history="1">
            <w:r w:rsidRPr="00FF0098">
              <w:rPr>
                <w:rStyle w:val="Hyperlink"/>
                <w:noProof/>
                <w:sz w:val="24"/>
                <w:szCs w:val="24"/>
              </w:rPr>
              <w:t>5.1. Annual charges for holding a CCA</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_Toc95211811 \h </w:instrText>
            </w:r>
            <w:r w:rsidRPr="00FF0098">
              <w:rPr>
                <w:noProof/>
                <w:webHidden/>
                <w:sz w:val="24"/>
                <w:szCs w:val="24"/>
              </w:rPr>
            </w:r>
            <w:r w:rsidRPr="00FF0098">
              <w:rPr>
                <w:noProof/>
                <w:webHidden/>
                <w:sz w:val="24"/>
                <w:szCs w:val="24"/>
              </w:rPr>
              <w:fldChar w:fldCharType="separate"/>
            </w:r>
            <w:r w:rsidR="00457B98">
              <w:rPr>
                <w:noProof/>
                <w:webHidden/>
                <w:sz w:val="24"/>
                <w:szCs w:val="24"/>
              </w:rPr>
              <w:t>44</w:t>
            </w:r>
            <w:r w:rsidRPr="00FF0098">
              <w:rPr>
                <w:noProof/>
                <w:webHidden/>
                <w:sz w:val="24"/>
                <w:szCs w:val="24"/>
              </w:rPr>
              <w:fldChar w:fldCharType="end"/>
            </w:r>
          </w:hyperlink>
        </w:p>
        <w:p w14:paraId="3195ACBC" w14:textId="056C2C5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12" w:history="1">
            <w:r w:rsidRPr="00FF0098">
              <w:rPr>
                <w:rStyle w:val="Hyperlink"/>
                <w:noProof/>
                <w:szCs w:val="24"/>
              </w:rPr>
              <w:t>5.1.1. How have charges been made?</w:t>
            </w:r>
            <w:r w:rsidRPr="00FF0098">
              <w:rPr>
                <w:noProof/>
                <w:webHidden/>
              </w:rPr>
              <w:tab/>
            </w:r>
            <w:r w:rsidRPr="00FF0098">
              <w:rPr>
                <w:noProof/>
                <w:webHidden/>
              </w:rPr>
              <w:fldChar w:fldCharType="begin"/>
            </w:r>
            <w:r w:rsidRPr="00FF0098">
              <w:rPr>
                <w:noProof/>
                <w:webHidden/>
              </w:rPr>
              <w:instrText xml:space="preserve"> PAGEREF _Toc95211812 \h </w:instrText>
            </w:r>
            <w:r w:rsidRPr="00FF0098">
              <w:rPr>
                <w:noProof/>
                <w:webHidden/>
              </w:rPr>
            </w:r>
            <w:r w:rsidRPr="00FF0098">
              <w:rPr>
                <w:noProof/>
                <w:webHidden/>
              </w:rPr>
              <w:fldChar w:fldCharType="separate"/>
            </w:r>
            <w:r w:rsidR="00457B98">
              <w:rPr>
                <w:noProof/>
                <w:webHidden/>
              </w:rPr>
              <w:t>44</w:t>
            </w:r>
            <w:r w:rsidRPr="00FF0098">
              <w:rPr>
                <w:noProof/>
                <w:webHidden/>
              </w:rPr>
              <w:fldChar w:fldCharType="end"/>
            </w:r>
          </w:hyperlink>
        </w:p>
        <w:p w14:paraId="56107AF1" w14:textId="380438BA"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13" w:history="1">
            <w:r w:rsidRPr="00FF0098">
              <w:rPr>
                <w:rStyle w:val="Hyperlink"/>
                <w:noProof/>
                <w:szCs w:val="24"/>
              </w:rPr>
              <w:t>5.1.3. Paying the charges</w:t>
            </w:r>
            <w:r w:rsidRPr="00FF0098">
              <w:rPr>
                <w:noProof/>
                <w:webHidden/>
              </w:rPr>
              <w:tab/>
            </w:r>
            <w:r w:rsidRPr="00FF0098">
              <w:rPr>
                <w:noProof/>
                <w:webHidden/>
              </w:rPr>
              <w:fldChar w:fldCharType="begin"/>
            </w:r>
            <w:r w:rsidRPr="00FF0098">
              <w:rPr>
                <w:noProof/>
                <w:webHidden/>
              </w:rPr>
              <w:instrText xml:space="preserve"> PAGEREF _Toc95211813 \h </w:instrText>
            </w:r>
            <w:r w:rsidRPr="00FF0098">
              <w:rPr>
                <w:noProof/>
                <w:webHidden/>
              </w:rPr>
            </w:r>
            <w:r w:rsidRPr="00FF0098">
              <w:rPr>
                <w:noProof/>
                <w:webHidden/>
              </w:rPr>
              <w:fldChar w:fldCharType="separate"/>
            </w:r>
            <w:r w:rsidR="00457B98">
              <w:rPr>
                <w:noProof/>
                <w:webHidden/>
              </w:rPr>
              <w:t>44</w:t>
            </w:r>
            <w:r w:rsidRPr="00FF0098">
              <w:rPr>
                <w:noProof/>
                <w:webHidden/>
              </w:rPr>
              <w:fldChar w:fldCharType="end"/>
            </w:r>
          </w:hyperlink>
        </w:p>
        <w:p w14:paraId="514956CD" w14:textId="21E9D6E9"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14" w:history="1">
            <w:r w:rsidRPr="00FF0098">
              <w:rPr>
                <w:rStyle w:val="Hyperlink"/>
                <w:noProof/>
                <w:sz w:val="24"/>
                <w:szCs w:val="24"/>
              </w:rPr>
              <w:t>5.2. Collection of charges by sector associations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_Toc95211814 \h </w:instrText>
            </w:r>
            <w:r w:rsidRPr="00FF0098">
              <w:rPr>
                <w:noProof/>
                <w:webHidden/>
                <w:sz w:val="24"/>
                <w:szCs w:val="24"/>
              </w:rPr>
            </w:r>
            <w:r w:rsidRPr="00FF0098">
              <w:rPr>
                <w:noProof/>
                <w:webHidden/>
                <w:sz w:val="24"/>
                <w:szCs w:val="24"/>
              </w:rPr>
              <w:fldChar w:fldCharType="separate"/>
            </w:r>
            <w:r w:rsidR="00457B98">
              <w:rPr>
                <w:noProof/>
                <w:webHidden/>
                <w:sz w:val="24"/>
                <w:szCs w:val="24"/>
              </w:rPr>
              <w:t>45</w:t>
            </w:r>
            <w:r w:rsidRPr="00FF0098">
              <w:rPr>
                <w:noProof/>
                <w:webHidden/>
                <w:sz w:val="24"/>
                <w:szCs w:val="24"/>
              </w:rPr>
              <w:fldChar w:fldCharType="end"/>
            </w:r>
          </w:hyperlink>
        </w:p>
        <w:p w14:paraId="0593DBDB" w14:textId="4F49EF2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15" w:history="1">
            <w:r w:rsidRPr="00FF0098">
              <w:rPr>
                <w:rStyle w:val="Hyperlink"/>
                <w:noProof/>
                <w:sz w:val="24"/>
                <w:szCs w:val="24"/>
              </w:rPr>
              <w:t>5.3. What action will we take if charges are not paid?</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_Toc95211815 \h </w:instrText>
            </w:r>
            <w:r w:rsidRPr="00FF0098">
              <w:rPr>
                <w:noProof/>
                <w:webHidden/>
                <w:sz w:val="24"/>
                <w:szCs w:val="24"/>
              </w:rPr>
            </w:r>
            <w:r w:rsidRPr="00FF0098">
              <w:rPr>
                <w:noProof/>
                <w:webHidden/>
                <w:sz w:val="24"/>
                <w:szCs w:val="24"/>
              </w:rPr>
              <w:fldChar w:fldCharType="separate"/>
            </w:r>
            <w:r w:rsidR="00457B98">
              <w:rPr>
                <w:noProof/>
                <w:webHidden/>
                <w:sz w:val="24"/>
                <w:szCs w:val="24"/>
              </w:rPr>
              <w:t>46</w:t>
            </w:r>
            <w:r w:rsidRPr="00FF0098">
              <w:rPr>
                <w:noProof/>
                <w:webHidden/>
                <w:sz w:val="24"/>
                <w:szCs w:val="24"/>
              </w:rPr>
              <w:fldChar w:fldCharType="end"/>
            </w:r>
          </w:hyperlink>
        </w:p>
        <w:p w14:paraId="14660AD2" w14:textId="66E40F02"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16" w:history="1">
            <w:r w:rsidRPr="00FF0098">
              <w:rPr>
                <w:rStyle w:val="Hyperlink"/>
                <w:noProof/>
                <w:sz w:val="24"/>
                <w:szCs w:val="24"/>
              </w:rPr>
              <w:t>6. Application process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_Toc95211816 \h </w:instrText>
            </w:r>
            <w:r w:rsidRPr="00FF0098">
              <w:rPr>
                <w:noProof/>
                <w:webHidden/>
                <w:sz w:val="24"/>
                <w:szCs w:val="24"/>
              </w:rPr>
            </w:r>
            <w:r w:rsidRPr="00FF0098">
              <w:rPr>
                <w:noProof/>
                <w:webHidden/>
                <w:sz w:val="24"/>
                <w:szCs w:val="24"/>
              </w:rPr>
              <w:fldChar w:fldCharType="separate"/>
            </w:r>
            <w:r w:rsidR="00457B98">
              <w:rPr>
                <w:noProof/>
                <w:webHidden/>
                <w:sz w:val="24"/>
                <w:szCs w:val="24"/>
              </w:rPr>
              <w:t>47</w:t>
            </w:r>
            <w:r w:rsidRPr="00FF0098">
              <w:rPr>
                <w:noProof/>
                <w:webHidden/>
                <w:sz w:val="24"/>
                <w:szCs w:val="24"/>
              </w:rPr>
              <w:fldChar w:fldCharType="end"/>
            </w:r>
          </w:hyperlink>
        </w:p>
        <w:p w14:paraId="29B9DEDA" w14:textId="77E30F81"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17" w:history="1">
            <w:r w:rsidRPr="00FF0098">
              <w:rPr>
                <w:rStyle w:val="Hyperlink"/>
                <w:noProof/>
                <w:sz w:val="24"/>
                <w:szCs w:val="24"/>
              </w:rPr>
              <w:t>6.1. What should operators do next?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_Toc95211817 \h </w:instrText>
            </w:r>
            <w:r w:rsidRPr="00FF0098">
              <w:rPr>
                <w:noProof/>
                <w:webHidden/>
                <w:sz w:val="24"/>
                <w:szCs w:val="24"/>
              </w:rPr>
            </w:r>
            <w:r w:rsidRPr="00FF0098">
              <w:rPr>
                <w:noProof/>
                <w:webHidden/>
                <w:sz w:val="24"/>
                <w:szCs w:val="24"/>
              </w:rPr>
              <w:fldChar w:fldCharType="separate"/>
            </w:r>
            <w:r w:rsidR="00457B98">
              <w:rPr>
                <w:noProof/>
                <w:webHidden/>
                <w:sz w:val="24"/>
                <w:szCs w:val="24"/>
              </w:rPr>
              <w:t>47</w:t>
            </w:r>
            <w:r w:rsidRPr="00FF0098">
              <w:rPr>
                <w:noProof/>
                <w:webHidden/>
                <w:sz w:val="24"/>
                <w:szCs w:val="24"/>
              </w:rPr>
              <w:fldChar w:fldCharType="end"/>
            </w:r>
          </w:hyperlink>
        </w:p>
        <w:p w14:paraId="5AA70C63" w14:textId="0D9B77D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18" w:history="1">
            <w:r w:rsidRPr="00FF0098">
              <w:rPr>
                <w:rStyle w:val="Hyperlink"/>
                <w:noProof/>
                <w:szCs w:val="24"/>
              </w:rPr>
              <w:t>6.1.1. Evidence required for submission to the register during application</w:t>
            </w:r>
            <w:r w:rsidRPr="00FF0098">
              <w:rPr>
                <w:noProof/>
                <w:webHidden/>
              </w:rPr>
              <w:tab/>
            </w:r>
            <w:r w:rsidRPr="00FF0098">
              <w:rPr>
                <w:noProof/>
                <w:webHidden/>
              </w:rPr>
              <w:fldChar w:fldCharType="begin"/>
            </w:r>
            <w:r w:rsidRPr="00FF0098">
              <w:rPr>
                <w:noProof/>
                <w:webHidden/>
              </w:rPr>
              <w:instrText xml:space="preserve"> PAGEREF _Toc95211818 \h </w:instrText>
            </w:r>
            <w:r w:rsidRPr="00FF0098">
              <w:rPr>
                <w:noProof/>
                <w:webHidden/>
              </w:rPr>
            </w:r>
            <w:r w:rsidRPr="00FF0098">
              <w:rPr>
                <w:noProof/>
                <w:webHidden/>
              </w:rPr>
              <w:fldChar w:fldCharType="separate"/>
            </w:r>
            <w:r w:rsidR="00457B98">
              <w:rPr>
                <w:noProof/>
                <w:webHidden/>
              </w:rPr>
              <w:t>47</w:t>
            </w:r>
            <w:r w:rsidRPr="00FF0098">
              <w:rPr>
                <w:noProof/>
                <w:webHidden/>
              </w:rPr>
              <w:fldChar w:fldCharType="end"/>
            </w:r>
          </w:hyperlink>
        </w:p>
        <w:p w14:paraId="55931ED6" w14:textId="2268D7E4"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19" w:history="1">
            <w:r w:rsidRPr="00FF0098">
              <w:rPr>
                <w:rStyle w:val="Hyperlink"/>
                <w:noProof/>
                <w:szCs w:val="24"/>
              </w:rPr>
              <w:t>Facility eligibility information</w:t>
            </w:r>
            <w:r w:rsidRPr="00FF0098">
              <w:rPr>
                <w:noProof/>
                <w:webHidden/>
              </w:rPr>
              <w:tab/>
            </w:r>
            <w:r w:rsidRPr="00FF0098">
              <w:rPr>
                <w:noProof/>
                <w:webHidden/>
              </w:rPr>
              <w:fldChar w:fldCharType="begin"/>
            </w:r>
            <w:r w:rsidRPr="00FF0098">
              <w:rPr>
                <w:noProof/>
                <w:webHidden/>
              </w:rPr>
              <w:instrText xml:space="preserve"> PAGEREF _Toc95211819 \h </w:instrText>
            </w:r>
            <w:r w:rsidRPr="00FF0098">
              <w:rPr>
                <w:noProof/>
                <w:webHidden/>
              </w:rPr>
            </w:r>
            <w:r w:rsidRPr="00FF0098">
              <w:rPr>
                <w:noProof/>
                <w:webHidden/>
              </w:rPr>
              <w:fldChar w:fldCharType="separate"/>
            </w:r>
            <w:r w:rsidR="00457B98">
              <w:rPr>
                <w:noProof/>
                <w:webHidden/>
              </w:rPr>
              <w:t>47</w:t>
            </w:r>
            <w:r w:rsidRPr="00FF0098">
              <w:rPr>
                <w:noProof/>
                <w:webHidden/>
              </w:rPr>
              <w:fldChar w:fldCharType="end"/>
            </w:r>
          </w:hyperlink>
        </w:p>
        <w:p w14:paraId="0812CEAA" w14:textId="5CF30E7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0" w:history="1">
            <w:r w:rsidRPr="00FF0098">
              <w:rPr>
                <w:rStyle w:val="Hyperlink"/>
                <w:noProof/>
                <w:szCs w:val="24"/>
              </w:rPr>
              <w:t>Energy information</w:t>
            </w:r>
            <w:r w:rsidRPr="00FF0098">
              <w:rPr>
                <w:noProof/>
                <w:webHidden/>
              </w:rPr>
              <w:tab/>
            </w:r>
            <w:r w:rsidRPr="00FF0098">
              <w:rPr>
                <w:noProof/>
                <w:webHidden/>
              </w:rPr>
              <w:fldChar w:fldCharType="begin"/>
            </w:r>
            <w:r w:rsidRPr="00FF0098">
              <w:rPr>
                <w:noProof/>
                <w:webHidden/>
              </w:rPr>
              <w:instrText xml:space="preserve"> PAGEREF _Toc95211820 \h </w:instrText>
            </w:r>
            <w:r w:rsidRPr="00FF0098">
              <w:rPr>
                <w:noProof/>
                <w:webHidden/>
              </w:rPr>
            </w:r>
            <w:r w:rsidRPr="00FF0098">
              <w:rPr>
                <w:noProof/>
                <w:webHidden/>
              </w:rPr>
              <w:fldChar w:fldCharType="separate"/>
            </w:r>
            <w:r w:rsidR="00457B98">
              <w:rPr>
                <w:noProof/>
                <w:webHidden/>
              </w:rPr>
              <w:t>48</w:t>
            </w:r>
            <w:r w:rsidRPr="00FF0098">
              <w:rPr>
                <w:noProof/>
                <w:webHidden/>
              </w:rPr>
              <w:fldChar w:fldCharType="end"/>
            </w:r>
          </w:hyperlink>
        </w:p>
        <w:p w14:paraId="548EF7D8" w14:textId="0B716F8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1" w:history="1">
            <w:r w:rsidRPr="00FF0098">
              <w:rPr>
                <w:rStyle w:val="Hyperlink"/>
                <w:noProof/>
                <w:szCs w:val="24"/>
              </w:rPr>
              <w:t>6.1.2. Application process</w:t>
            </w:r>
            <w:r w:rsidRPr="00FF0098">
              <w:rPr>
                <w:noProof/>
                <w:webHidden/>
              </w:rPr>
              <w:tab/>
            </w:r>
            <w:r w:rsidRPr="00FF0098">
              <w:rPr>
                <w:noProof/>
                <w:webHidden/>
              </w:rPr>
              <w:fldChar w:fldCharType="begin"/>
            </w:r>
            <w:r w:rsidRPr="00FF0098">
              <w:rPr>
                <w:noProof/>
                <w:webHidden/>
              </w:rPr>
              <w:instrText xml:space="preserve"> PAGEREF _Toc95211821 \h </w:instrText>
            </w:r>
            <w:r w:rsidRPr="00FF0098">
              <w:rPr>
                <w:noProof/>
                <w:webHidden/>
              </w:rPr>
            </w:r>
            <w:r w:rsidRPr="00FF0098">
              <w:rPr>
                <w:noProof/>
                <w:webHidden/>
              </w:rPr>
              <w:fldChar w:fldCharType="separate"/>
            </w:r>
            <w:r w:rsidR="00457B98">
              <w:rPr>
                <w:noProof/>
                <w:webHidden/>
              </w:rPr>
              <w:t>48</w:t>
            </w:r>
            <w:r w:rsidRPr="00FF0098">
              <w:rPr>
                <w:noProof/>
                <w:webHidden/>
              </w:rPr>
              <w:fldChar w:fldCharType="end"/>
            </w:r>
          </w:hyperlink>
        </w:p>
        <w:p w14:paraId="0BC6FA21" w14:textId="53A3064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22" w:history="1">
            <w:r w:rsidRPr="00FF0098">
              <w:rPr>
                <w:rStyle w:val="Hyperlink"/>
                <w:noProof/>
                <w:sz w:val="24"/>
                <w:szCs w:val="24"/>
              </w:rPr>
              <w:t>6.2. Email assent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_Toc95211822 \h </w:instrText>
            </w:r>
            <w:r w:rsidRPr="00FF0098">
              <w:rPr>
                <w:noProof/>
                <w:webHidden/>
                <w:sz w:val="24"/>
                <w:szCs w:val="24"/>
              </w:rPr>
            </w:r>
            <w:r w:rsidRPr="00FF0098">
              <w:rPr>
                <w:noProof/>
                <w:webHidden/>
                <w:sz w:val="24"/>
                <w:szCs w:val="24"/>
              </w:rPr>
              <w:fldChar w:fldCharType="separate"/>
            </w:r>
            <w:r w:rsidR="00457B98">
              <w:rPr>
                <w:noProof/>
                <w:webHidden/>
                <w:sz w:val="24"/>
                <w:szCs w:val="24"/>
              </w:rPr>
              <w:t>49</w:t>
            </w:r>
            <w:r w:rsidRPr="00FF0098">
              <w:rPr>
                <w:noProof/>
                <w:webHidden/>
                <w:sz w:val="24"/>
                <w:szCs w:val="24"/>
              </w:rPr>
              <w:fldChar w:fldCharType="end"/>
            </w:r>
          </w:hyperlink>
        </w:p>
        <w:p w14:paraId="6B76839A" w14:textId="46010E9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3" w:history="1">
            <w:r w:rsidRPr="00FF0098">
              <w:rPr>
                <w:rStyle w:val="Hyperlink"/>
                <w:noProof/>
                <w:szCs w:val="24"/>
              </w:rPr>
              <w:t>6.2.1. Can anyone else give the email assent?</w:t>
            </w:r>
            <w:r w:rsidRPr="00FF0098">
              <w:rPr>
                <w:noProof/>
                <w:webHidden/>
              </w:rPr>
              <w:tab/>
            </w:r>
            <w:r w:rsidRPr="00FF0098">
              <w:rPr>
                <w:noProof/>
                <w:webHidden/>
              </w:rPr>
              <w:fldChar w:fldCharType="begin"/>
            </w:r>
            <w:r w:rsidRPr="00FF0098">
              <w:rPr>
                <w:noProof/>
                <w:webHidden/>
              </w:rPr>
              <w:instrText xml:space="preserve"> PAGEREF _Toc95211823 \h </w:instrText>
            </w:r>
            <w:r w:rsidRPr="00FF0098">
              <w:rPr>
                <w:noProof/>
                <w:webHidden/>
              </w:rPr>
            </w:r>
            <w:r w:rsidRPr="00FF0098">
              <w:rPr>
                <w:noProof/>
                <w:webHidden/>
              </w:rPr>
              <w:fldChar w:fldCharType="separate"/>
            </w:r>
            <w:r w:rsidR="00457B98">
              <w:rPr>
                <w:noProof/>
                <w:webHidden/>
              </w:rPr>
              <w:t>50</w:t>
            </w:r>
            <w:r w:rsidRPr="00FF0098">
              <w:rPr>
                <w:noProof/>
                <w:webHidden/>
              </w:rPr>
              <w:fldChar w:fldCharType="end"/>
            </w:r>
          </w:hyperlink>
        </w:p>
        <w:p w14:paraId="3CA38CF4" w14:textId="4BB1C963" w:rsidR="002737EF" w:rsidRPr="00FF0098" w:rsidRDefault="002737EF" w:rsidP="00FC355D">
          <w:pPr>
            <w:pStyle w:val="TOC1"/>
            <w:tabs>
              <w:tab w:val="left" w:pos="0"/>
              <w:tab w:val="left" w:pos="660"/>
              <w:tab w:val="right" w:leader="dot" w:pos="10372"/>
            </w:tabs>
            <w:spacing w:after="0" w:line="360" w:lineRule="auto"/>
            <w:ind w:left="0" w:firstLine="0"/>
            <w:rPr>
              <w:rFonts w:eastAsiaTheme="minorEastAsia"/>
              <w:b w:val="0"/>
              <w:noProof/>
              <w:color w:val="auto"/>
              <w:sz w:val="24"/>
              <w:szCs w:val="24"/>
            </w:rPr>
          </w:pPr>
          <w:hyperlink w:anchor="_Toc95211824" w:history="1">
            <w:r w:rsidRPr="00FF0098">
              <w:rPr>
                <w:rStyle w:val="Hyperlink"/>
                <w:noProof/>
                <w:sz w:val="24"/>
                <w:szCs w:val="24"/>
              </w:rPr>
              <w:t>7.</w:t>
            </w:r>
            <w:r w:rsidR="00FC355D">
              <w:rPr>
                <w:rFonts w:eastAsiaTheme="minorEastAsia"/>
                <w:b w:val="0"/>
                <w:noProof/>
                <w:color w:val="auto"/>
                <w:sz w:val="24"/>
                <w:szCs w:val="24"/>
              </w:rPr>
              <w:t xml:space="preserve"> </w:t>
            </w:r>
            <w:r w:rsidRPr="00FF0098">
              <w:rPr>
                <w:rStyle w:val="Hyperlink"/>
                <w:noProof/>
                <w:sz w:val="24"/>
                <w:szCs w:val="24"/>
              </w:rPr>
              <w:t>Changing an agreement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_Toc95211824 \h </w:instrText>
            </w:r>
            <w:r w:rsidRPr="00FF0098">
              <w:rPr>
                <w:noProof/>
                <w:webHidden/>
                <w:sz w:val="24"/>
                <w:szCs w:val="24"/>
              </w:rPr>
            </w:r>
            <w:r w:rsidRPr="00FF0098">
              <w:rPr>
                <w:noProof/>
                <w:webHidden/>
                <w:sz w:val="24"/>
                <w:szCs w:val="24"/>
              </w:rPr>
              <w:fldChar w:fldCharType="separate"/>
            </w:r>
            <w:r w:rsidR="00457B98">
              <w:rPr>
                <w:noProof/>
                <w:webHidden/>
                <w:sz w:val="24"/>
                <w:szCs w:val="24"/>
              </w:rPr>
              <w:t>51</w:t>
            </w:r>
            <w:r w:rsidRPr="00FF0098">
              <w:rPr>
                <w:noProof/>
                <w:webHidden/>
                <w:sz w:val="24"/>
                <w:szCs w:val="24"/>
              </w:rPr>
              <w:fldChar w:fldCharType="end"/>
            </w:r>
          </w:hyperlink>
        </w:p>
        <w:p w14:paraId="69633698" w14:textId="38B6E56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25" w:history="1">
            <w:r w:rsidRPr="00FF0098">
              <w:rPr>
                <w:rStyle w:val="Hyperlink"/>
                <w:noProof/>
                <w:sz w:val="24"/>
                <w:szCs w:val="24"/>
              </w:rPr>
              <w:t>7.1. An operator takes over a facility from another operator</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_Toc95211825 \h </w:instrText>
            </w:r>
            <w:r w:rsidRPr="00FF0098">
              <w:rPr>
                <w:noProof/>
                <w:webHidden/>
                <w:sz w:val="24"/>
                <w:szCs w:val="24"/>
              </w:rPr>
            </w:r>
            <w:r w:rsidRPr="00FF0098">
              <w:rPr>
                <w:noProof/>
                <w:webHidden/>
                <w:sz w:val="24"/>
                <w:szCs w:val="24"/>
              </w:rPr>
              <w:fldChar w:fldCharType="separate"/>
            </w:r>
            <w:r w:rsidR="00457B98">
              <w:rPr>
                <w:noProof/>
                <w:webHidden/>
                <w:sz w:val="24"/>
                <w:szCs w:val="24"/>
              </w:rPr>
              <w:t>52</w:t>
            </w:r>
            <w:r w:rsidRPr="00FF0098">
              <w:rPr>
                <w:noProof/>
                <w:webHidden/>
                <w:sz w:val="24"/>
                <w:szCs w:val="24"/>
              </w:rPr>
              <w:fldChar w:fldCharType="end"/>
            </w:r>
          </w:hyperlink>
        </w:p>
        <w:p w14:paraId="1E3249C6" w14:textId="0626DF8B"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6" w:history="1">
            <w:r w:rsidRPr="00FF0098">
              <w:rPr>
                <w:rStyle w:val="Hyperlink"/>
                <w:noProof/>
                <w:szCs w:val="24"/>
              </w:rPr>
              <w:t>7.1.1. Revising the target when including/excluding a new facility to an existing TU</w:t>
            </w:r>
            <w:r w:rsidRPr="00FF0098">
              <w:rPr>
                <w:noProof/>
                <w:webHidden/>
              </w:rPr>
              <w:tab/>
            </w:r>
            <w:r w:rsidRPr="00FF0098">
              <w:rPr>
                <w:noProof/>
                <w:webHidden/>
              </w:rPr>
              <w:fldChar w:fldCharType="begin"/>
            </w:r>
            <w:r w:rsidRPr="00FF0098">
              <w:rPr>
                <w:noProof/>
                <w:webHidden/>
              </w:rPr>
              <w:instrText xml:space="preserve"> PAGEREF _Toc95211826 \h </w:instrText>
            </w:r>
            <w:r w:rsidRPr="00FF0098">
              <w:rPr>
                <w:noProof/>
                <w:webHidden/>
              </w:rPr>
            </w:r>
            <w:r w:rsidRPr="00FF0098">
              <w:rPr>
                <w:noProof/>
                <w:webHidden/>
              </w:rPr>
              <w:fldChar w:fldCharType="separate"/>
            </w:r>
            <w:r w:rsidR="00457B98">
              <w:rPr>
                <w:noProof/>
                <w:webHidden/>
              </w:rPr>
              <w:t>53</w:t>
            </w:r>
            <w:r w:rsidRPr="00FF0098">
              <w:rPr>
                <w:noProof/>
                <w:webHidden/>
              </w:rPr>
              <w:fldChar w:fldCharType="end"/>
            </w:r>
          </w:hyperlink>
        </w:p>
        <w:p w14:paraId="0A4501A2" w14:textId="178288A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7" w:history="1">
            <w:r w:rsidRPr="00FF0098">
              <w:rPr>
                <w:rStyle w:val="Hyperlink"/>
                <w:noProof/>
                <w:szCs w:val="24"/>
              </w:rPr>
              <w:t>7.1.2. Amending the target when a facility leaves the scheme but remains operating</w:t>
            </w:r>
            <w:r w:rsidRPr="00FF0098">
              <w:rPr>
                <w:noProof/>
                <w:webHidden/>
              </w:rPr>
              <w:tab/>
            </w:r>
            <w:r w:rsidRPr="00FF0098">
              <w:rPr>
                <w:noProof/>
                <w:webHidden/>
              </w:rPr>
              <w:fldChar w:fldCharType="begin"/>
            </w:r>
            <w:r w:rsidRPr="00FF0098">
              <w:rPr>
                <w:noProof/>
                <w:webHidden/>
              </w:rPr>
              <w:instrText xml:space="preserve"> PAGEREF _Toc95211827 \h </w:instrText>
            </w:r>
            <w:r w:rsidRPr="00FF0098">
              <w:rPr>
                <w:noProof/>
                <w:webHidden/>
              </w:rPr>
            </w:r>
            <w:r w:rsidRPr="00FF0098">
              <w:rPr>
                <w:noProof/>
                <w:webHidden/>
              </w:rPr>
              <w:fldChar w:fldCharType="separate"/>
            </w:r>
            <w:r w:rsidR="00457B98">
              <w:rPr>
                <w:noProof/>
                <w:webHidden/>
              </w:rPr>
              <w:t>54</w:t>
            </w:r>
            <w:r w:rsidRPr="00FF0098">
              <w:rPr>
                <w:noProof/>
                <w:webHidden/>
              </w:rPr>
              <w:fldChar w:fldCharType="end"/>
            </w:r>
          </w:hyperlink>
        </w:p>
        <w:p w14:paraId="145C4905" w14:textId="1C91D611"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28" w:history="1">
            <w:r w:rsidRPr="00FF0098">
              <w:rPr>
                <w:rStyle w:val="Hyperlink"/>
                <w:noProof/>
                <w:szCs w:val="24"/>
              </w:rPr>
              <w:t>7.1.3. When the operator should not revise the baseline</w:t>
            </w:r>
            <w:r w:rsidRPr="00FF0098">
              <w:rPr>
                <w:noProof/>
                <w:webHidden/>
              </w:rPr>
              <w:tab/>
            </w:r>
            <w:r w:rsidRPr="00FF0098">
              <w:rPr>
                <w:noProof/>
                <w:webHidden/>
              </w:rPr>
              <w:fldChar w:fldCharType="begin"/>
            </w:r>
            <w:r w:rsidRPr="00FF0098">
              <w:rPr>
                <w:noProof/>
                <w:webHidden/>
              </w:rPr>
              <w:instrText xml:space="preserve"> PAGEREF _Toc95211828 \h </w:instrText>
            </w:r>
            <w:r w:rsidRPr="00FF0098">
              <w:rPr>
                <w:noProof/>
                <w:webHidden/>
              </w:rPr>
            </w:r>
            <w:r w:rsidRPr="00FF0098">
              <w:rPr>
                <w:noProof/>
                <w:webHidden/>
              </w:rPr>
              <w:fldChar w:fldCharType="separate"/>
            </w:r>
            <w:r w:rsidR="00457B98">
              <w:rPr>
                <w:noProof/>
                <w:webHidden/>
              </w:rPr>
              <w:t>54</w:t>
            </w:r>
            <w:r w:rsidRPr="00FF0098">
              <w:rPr>
                <w:noProof/>
                <w:webHidden/>
              </w:rPr>
              <w:fldChar w:fldCharType="end"/>
            </w:r>
          </w:hyperlink>
        </w:p>
        <w:p w14:paraId="3369FBE4" w14:textId="6B49F8F8"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29" w:history="1">
            <w:r w:rsidRPr="00FF0098">
              <w:rPr>
                <w:rStyle w:val="Hyperlink"/>
                <w:noProof/>
                <w:sz w:val="24"/>
                <w:szCs w:val="24"/>
              </w:rPr>
              <w:t>7.2. An operator changes ownership and includes all its facilities within one agreement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_Toc95211829 \h </w:instrText>
            </w:r>
            <w:r w:rsidRPr="00FF0098">
              <w:rPr>
                <w:noProof/>
                <w:webHidden/>
                <w:sz w:val="24"/>
                <w:szCs w:val="24"/>
              </w:rPr>
            </w:r>
            <w:r w:rsidRPr="00FF0098">
              <w:rPr>
                <w:noProof/>
                <w:webHidden/>
                <w:sz w:val="24"/>
                <w:szCs w:val="24"/>
              </w:rPr>
              <w:fldChar w:fldCharType="separate"/>
            </w:r>
            <w:r w:rsidR="00457B98">
              <w:rPr>
                <w:noProof/>
                <w:webHidden/>
                <w:sz w:val="24"/>
                <w:szCs w:val="24"/>
              </w:rPr>
              <w:t>54</w:t>
            </w:r>
            <w:r w:rsidRPr="00FF0098">
              <w:rPr>
                <w:noProof/>
                <w:webHidden/>
                <w:sz w:val="24"/>
                <w:szCs w:val="24"/>
              </w:rPr>
              <w:fldChar w:fldCharType="end"/>
            </w:r>
          </w:hyperlink>
        </w:p>
        <w:p w14:paraId="03F120B7" w14:textId="61A3301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0" w:history="1">
            <w:r w:rsidRPr="00FF0098">
              <w:rPr>
                <w:rStyle w:val="Hyperlink"/>
                <w:noProof/>
                <w:sz w:val="24"/>
                <w:szCs w:val="24"/>
              </w:rPr>
              <w:t>7.3. The company name of an operator changes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_Toc95211830 \h </w:instrText>
            </w:r>
            <w:r w:rsidRPr="00FF0098">
              <w:rPr>
                <w:noProof/>
                <w:webHidden/>
                <w:sz w:val="24"/>
                <w:szCs w:val="24"/>
              </w:rPr>
            </w:r>
            <w:r w:rsidRPr="00FF0098">
              <w:rPr>
                <w:noProof/>
                <w:webHidden/>
                <w:sz w:val="24"/>
                <w:szCs w:val="24"/>
              </w:rPr>
              <w:fldChar w:fldCharType="separate"/>
            </w:r>
            <w:r w:rsidR="00457B98">
              <w:rPr>
                <w:noProof/>
                <w:webHidden/>
                <w:sz w:val="24"/>
                <w:szCs w:val="24"/>
              </w:rPr>
              <w:t>55</w:t>
            </w:r>
            <w:r w:rsidRPr="00FF0098">
              <w:rPr>
                <w:noProof/>
                <w:webHidden/>
                <w:sz w:val="24"/>
                <w:szCs w:val="24"/>
              </w:rPr>
              <w:fldChar w:fldCharType="end"/>
            </w:r>
          </w:hyperlink>
        </w:p>
        <w:p w14:paraId="5480B983" w14:textId="44D67D8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31" w:history="1">
            <w:r w:rsidRPr="00FF0098">
              <w:rPr>
                <w:rStyle w:val="Hyperlink"/>
                <w:noProof/>
                <w:szCs w:val="24"/>
              </w:rPr>
              <w:t>7.3.1. When the legal entity has changed for the operator</w:t>
            </w:r>
            <w:r w:rsidRPr="00FF0098">
              <w:rPr>
                <w:noProof/>
                <w:webHidden/>
              </w:rPr>
              <w:tab/>
            </w:r>
            <w:r w:rsidRPr="00FF0098">
              <w:rPr>
                <w:noProof/>
                <w:webHidden/>
              </w:rPr>
              <w:fldChar w:fldCharType="begin"/>
            </w:r>
            <w:r w:rsidRPr="00FF0098">
              <w:rPr>
                <w:noProof/>
                <w:webHidden/>
              </w:rPr>
              <w:instrText xml:space="preserve"> PAGEREF _Toc95211831 \h </w:instrText>
            </w:r>
            <w:r w:rsidRPr="00FF0098">
              <w:rPr>
                <w:noProof/>
                <w:webHidden/>
              </w:rPr>
            </w:r>
            <w:r w:rsidRPr="00FF0098">
              <w:rPr>
                <w:noProof/>
                <w:webHidden/>
              </w:rPr>
              <w:fldChar w:fldCharType="separate"/>
            </w:r>
            <w:r w:rsidR="00457B98">
              <w:rPr>
                <w:noProof/>
                <w:webHidden/>
              </w:rPr>
              <w:t>55</w:t>
            </w:r>
            <w:r w:rsidRPr="00FF0098">
              <w:rPr>
                <w:noProof/>
                <w:webHidden/>
              </w:rPr>
              <w:fldChar w:fldCharType="end"/>
            </w:r>
          </w:hyperlink>
        </w:p>
        <w:p w14:paraId="6959B6CC" w14:textId="365CC97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32" w:history="1">
            <w:r w:rsidRPr="00FF0098">
              <w:rPr>
                <w:rStyle w:val="Hyperlink"/>
                <w:noProof/>
                <w:szCs w:val="24"/>
              </w:rPr>
              <w:t>7.3.2. When you need to change the operator/facility name</w:t>
            </w:r>
            <w:r w:rsidRPr="00FF0098">
              <w:rPr>
                <w:noProof/>
                <w:webHidden/>
              </w:rPr>
              <w:tab/>
            </w:r>
            <w:r w:rsidRPr="00FF0098">
              <w:rPr>
                <w:noProof/>
                <w:webHidden/>
              </w:rPr>
              <w:fldChar w:fldCharType="begin"/>
            </w:r>
            <w:r w:rsidRPr="00FF0098">
              <w:rPr>
                <w:noProof/>
                <w:webHidden/>
              </w:rPr>
              <w:instrText xml:space="preserve"> PAGEREF _Toc95211832 \h </w:instrText>
            </w:r>
            <w:r w:rsidRPr="00FF0098">
              <w:rPr>
                <w:noProof/>
                <w:webHidden/>
              </w:rPr>
            </w:r>
            <w:r w:rsidRPr="00FF0098">
              <w:rPr>
                <w:noProof/>
                <w:webHidden/>
              </w:rPr>
              <w:fldChar w:fldCharType="separate"/>
            </w:r>
            <w:r w:rsidR="00457B98">
              <w:rPr>
                <w:noProof/>
                <w:webHidden/>
              </w:rPr>
              <w:t>55</w:t>
            </w:r>
            <w:r w:rsidRPr="00FF0098">
              <w:rPr>
                <w:noProof/>
                <w:webHidden/>
              </w:rPr>
              <w:fldChar w:fldCharType="end"/>
            </w:r>
          </w:hyperlink>
        </w:p>
        <w:p w14:paraId="31C692A4" w14:textId="3F951FD3"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3" w:history="1">
            <w:r w:rsidRPr="00FF0098">
              <w:rPr>
                <w:rStyle w:val="Hyperlink"/>
                <w:noProof/>
                <w:sz w:val="24"/>
                <w:szCs w:val="24"/>
              </w:rPr>
              <w:t>7.4. The address of the responsible person for the target unit changes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_Toc95211833 \h </w:instrText>
            </w:r>
            <w:r w:rsidRPr="00FF0098">
              <w:rPr>
                <w:noProof/>
                <w:webHidden/>
                <w:sz w:val="24"/>
                <w:szCs w:val="24"/>
              </w:rPr>
            </w:r>
            <w:r w:rsidRPr="00FF0098">
              <w:rPr>
                <w:noProof/>
                <w:webHidden/>
                <w:sz w:val="24"/>
                <w:szCs w:val="24"/>
              </w:rPr>
              <w:fldChar w:fldCharType="separate"/>
            </w:r>
            <w:r w:rsidR="00457B98">
              <w:rPr>
                <w:noProof/>
                <w:webHidden/>
                <w:sz w:val="24"/>
                <w:szCs w:val="24"/>
              </w:rPr>
              <w:t>56</w:t>
            </w:r>
            <w:r w:rsidRPr="00FF0098">
              <w:rPr>
                <w:noProof/>
                <w:webHidden/>
                <w:sz w:val="24"/>
                <w:szCs w:val="24"/>
              </w:rPr>
              <w:fldChar w:fldCharType="end"/>
            </w:r>
          </w:hyperlink>
        </w:p>
        <w:p w14:paraId="29F471F3" w14:textId="52E6854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4" w:history="1">
            <w:r w:rsidRPr="00FF0098">
              <w:rPr>
                <w:rStyle w:val="Hyperlink"/>
                <w:noProof/>
                <w:sz w:val="24"/>
                <w:szCs w:val="24"/>
              </w:rPr>
              <w:t>7.5. Review of the baseline due to structural change, or review of the 70% provision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_Toc95211834 \h </w:instrText>
            </w:r>
            <w:r w:rsidRPr="00FF0098">
              <w:rPr>
                <w:noProof/>
                <w:webHidden/>
                <w:sz w:val="24"/>
                <w:szCs w:val="24"/>
              </w:rPr>
            </w:r>
            <w:r w:rsidRPr="00FF0098">
              <w:rPr>
                <w:noProof/>
                <w:webHidden/>
                <w:sz w:val="24"/>
                <w:szCs w:val="24"/>
              </w:rPr>
              <w:fldChar w:fldCharType="separate"/>
            </w:r>
            <w:r w:rsidR="00457B98">
              <w:rPr>
                <w:noProof/>
                <w:webHidden/>
                <w:sz w:val="24"/>
                <w:szCs w:val="24"/>
              </w:rPr>
              <w:t>56</w:t>
            </w:r>
            <w:r w:rsidRPr="00FF0098">
              <w:rPr>
                <w:noProof/>
                <w:webHidden/>
                <w:sz w:val="24"/>
                <w:szCs w:val="24"/>
              </w:rPr>
              <w:fldChar w:fldCharType="end"/>
            </w:r>
          </w:hyperlink>
        </w:p>
        <w:p w14:paraId="21C43EFC" w14:textId="34212D72"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35" w:history="1">
            <w:r w:rsidRPr="00FF0098">
              <w:rPr>
                <w:rStyle w:val="Hyperlink"/>
                <w:noProof/>
                <w:szCs w:val="24"/>
              </w:rPr>
              <w:t>7.5.1. Structural change</w:t>
            </w:r>
            <w:r w:rsidRPr="00FF0098">
              <w:rPr>
                <w:noProof/>
                <w:webHidden/>
              </w:rPr>
              <w:tab/>
            </w:r>
            <w:r w:rsidRPr="00FF0098">
              <w:rPr>
                <w:noProof/>
                <w:webHidden/>
              </w:rPr>
              <w:fldChar w:fldCharType="begin"/>
            </w:r>
            <w:r w:rsidRPr="00FF0098">
              <w:rPr>
                <w:noProof/>
                <w:webHidden/>
              </w:rPr>
              <w:instrText xml:space="preserve"> PAGEREF _Toc95211835 \h </w:instrText>
            </w:r>
            <w:r w:rsidRPr="00FF0098">
              <w:rPr>
                <w:noProof/>
                <w:webHidden/>
              </w:rPr>
            </w:r>
            <w:r w:rsidRPr="00FF0098">
              <w:rPr>
                <w:noProof/>
                <w:webHidden/>
              </w:rPr>
              <w:fldChar w:fldCharType="separate"/>
            </w:r>
            <w:r w:rsidR="00457B98">
              <w:rPr>
                <w:noProof/>
                <w:webHidden/>
              </w:rPr>
              <w:t>56</w:t>
            </w:r>
            <w:r w:rsidRPr="00FF0098">
              <w:rPr>
                <w:noProof/>
                <w:webHidden/>
              </w:rPr>
              <w:fldChar w:fldCharType="end"/>
            </w:r>
          </w:hyperlink>
        </w:p>
        <w:p w14:paraId="00B11CDF" w14:textId="50CD300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36" w:history="1">
            <w:r w:rsidRPr="00FF0098">
              <w:rPr>
                <w:rStyle w:val="Hyperlink"/>
                <w:noProof/>
                <w:szCs w:val="24"/>
              </w:rPr>
              <w:t>7.5.2. Review of the baseline following the discovery of an error</w:t>
            </w:r>
            <w:r w:rsidRPr="00FF0098">
              <w:rPr>
                <w:noProof/>
                <w:webHidden/>
              </w:rPr>
              <w:tab/>
            </w:r>
            <w:r w:rsidRPr="00FF0098">
              <w:rPr>
                <w:noProof/>
                <w:webHidden/>
              </w:rPr>
              <w:fldChar w:fldCharType="begin"/>
            </w:r>
            <w:r w:rsidRPr="00FF0098">
              <w:rPr>
                <w:noProof/>
                <w:webHidden/>
              </w:rPr>
              <w:instrText xml:space="preserve"> PAGEREF _Toc95211836 \h </w:instrText>
            </w:r>
            <w:r w:rsidRPr="00FF0098">
              <w:rPr>
                <w:noProof/>
                <w:webHidden/>
              </w:rPr>
            </w:r>
            <w:r w:rsidRPr="00FF0098">
              <w:rPr>
                <w:noProof/>
                <w:webHidden/>
              </w:rPr>
              <w:fldChar w:fldCharType="separate"/>
            </w:r>
            <w:r w:rsidR="00457B98">
              <w:rPr>
                <w:noProof/>
                <w:webHidden/>
              </w:rPr>
              <w:t>61</w:t>
            </w:r>
            <w:r w:rsidRPr="00FF0098">
              <w:rPr>
                <w:noProof/>
                <w:webHidden/>
              </w:rPr>
              <w:fldChar w:fldCharType="end"/>
            </w:r>
          </w:hyperlink>
        </w:p>
        <w:p w14:paraId="25AD49E4" w14:textId="40C004AD"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7" w:history="1">
            <w:r w:rsidRPr="00FF0098">
              <w:rPr>
                <w:rStyle w:val="Hyperlink"/>
                <w:noProof/>
                <w:sz w:val="24"/>
                <w:szCs w:val="24"/>
              </w:rPr>
              <w:t>7.6. Updating the baseline from estimated to actual values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_Toc95211837 \h </w:instrText>
            </w:r>
            <w:r w:rsidRPr="00FF0098">
              <w:rPr>
                <w:noProof/>
                <w:webHidden/>
                <w:sz w:val="24"/>
                <w:szCs w:val="24"/>
              </w:rPr>
            </w:r>
            <w:r w:rsidRPr="00FF0098">
              <w:rPr>
                <w:noProof/>
                <w:webHidden/>
                <w:sz w:val="24"/>
                <w:szCs w:val="24"/>
              </w:rPr>
              <w:fldChar w:fldCharType="separate"/>
            </w:r>
            <w:r w:rsidR="00457B98">
              <w:rPr>
                <w:noProof/>
                <w:webHidden/>
                <w:sz w:val="24"/>
                <w:szCs w:val="24"/>
              </w:rPr>
              <w:t>61</w:t>
            </w:r>
            <w:r w:rsidRPr="00FF0098">
              <w:rPr>
                <w:noProof/>
                <w:webHidden/>
                <w:sz w:val="24"/>
                <w:szCs w:val="24"/>
              </w:rPr>
              <w:fldChar w:fldCharType="end"/>
            </w:r>
          </w:hyperlink>
        </w:p>
        <w:p w14:paraId="03F8701F" w14:textId="0E57B1AF"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8" w:history="1">
            <w:r w:rsidRPr="00FF0098">
              <w:rPr>
                <w:rStyle w:val="Hyperlink"/>
                <w:noProof/>
                <w:sz w:val="24"/>
                <w:szCs w:val="24"/>
              </w:rPr>
              <w:t>7.7. Changing the target currency (Novem to relative)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_Toc95211838 \h </w:instrText>
            </w:r>
            <w:r w:rsidRPr="00FF0098">
              <w:rPr>
                <w:noProof/>
                <w:webHidden/>
                <w:sz w:val="24"/>
                <w:szCs w:val="24"/>
              </w:rPr>
            </w:r>
            <w:r w:rsidRPr="00FF0098">
              <w:rPr>
                <w:noProof/>
                <w:webHidden/>
                <w:sz w:val="24"/>
                <w:szCs w:val="24"/>
              </w:rPr>
              <w:fldChar w:fldCharType="separate"/>
            </w:r>
            <w:r w:rsidR="00457B98">
              <w:rPr>
                <w:noProof/>
                <w:webHidden/>
                <w:sz w:val="24"/>
                <w:szCs w:val="24"/>
              </w:rPr>
              <w:t>61</w:t>
            </w:r>
            <w:r w:rsidRPr="00FF0098">
              <w:rPr>
                <w:noProof/>
                <w:webHidden/>
                <w:sz w:val="24"/>
                <w:szCs w:val="24"/>
              </w:rPr>
              <w:fldChar w:fldCharType="end"/>
            </w:r>
          </w:hyperlink>
        </w:p>
        <w:p w14:paraId="6CF20E64" w14:textId="2313D02A"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39" w:history="1">
            <w:r w:rsidRPr="00FF0098">
              <w:rPr>
                <w:rStyle w:val="Hyperlink"/>
                <w:noProof/>
                <w:sz w:val="24"/>
                <w:szCs w:val="24"/>
              </w:rPr>
              <w:t>7.8. Variations for reporting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_Toc95211839 \h </w:instrText>
            </w:r>
            <w:r w:rsidRPr="00FF0098">
              <w:rPr>
                <w:noProof/>
                <w:webHidden/>
                <w:sz w:val="24"/>
                <w:szCs w:val="24"/>
              </w:rPr>
            </w:r>
            <w:r w:rsidRPr="00FF0098">
              <w:rPr>
                <w:noProof/>
                <w:webHidden/>
                <w:sz w:val="24"/>
                <w:szCs w:val="24"/>
              </w:rPr>
              <w:fldChar w:fldCharType="separate"/>
            </w:r>
            <w:r w:rsidR="00457B98">
              <w:rPr>
                <w:noProof/>
                <w:webHidden/>
                <w:sz w:val="24"/>
                <w:szCs w:val="24"/>
              </w:rPr>
              <w:t>62</w:t>
            </w:r>
            <w:r w:rsidRPr="00FF0098">
              <w:rPr>
                <w:noProof/>
                <w:webHidden/>
                <w:sz w:val="24"/>
                <w:szCs w:val="24"/>
              </w:rPr>
              <w:fldChar w:fldCharType="end"/>
            </w:r>
          </w:hyperlink>
        </w:p>
        <w:p w14:paraId="1D1F1292" w14:textId="713BBBD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40" w:history="1">
            <w:r w:rsidRPr="00FF0098">
              <w:rPr>
                <w:rStyle w:val="Hyperlink"/>
                <w:noProof/>
                <w:sz w:val="24"/>
                <w:szCs w:val="24"/>
              </w:rPr>
              <w:t>7.9. Other types of variation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_Toc95211840 \h </w:instrText>
            </w:r>
            <w:r w:rsidRPr="00FF0098">
              <w:rPr>
                <w:noProof/>
                <w:webHidden/>
                <w:sz w:val="24"/>
                <w:szCs w:val="24"/>
              </w:rPr>
            </w:r>
            <w:r w:rsidRPr="00FF0098">
              <w:rPr>
                <w:noProof/>
                <w:webHidden/>
                <w:sz w:val="24"/>
                <w:szCs w:val="24"/>
              </w:rPr>
              <w:fldChar w:fldCharType="separate"/>
            </w:r>
            <w:r w:rsidR="00457B98">
              <w:rPr>
                <w:noProof/>
                <w:webHidden/>
                <w:sz w:val="24"/>
                <w:szCs w:val="24"/>
              </w:rPr>
              <w:t>62</w:t>
            </w:r>
            <w:r w:rsidRPr="00FF0098">
              <w:rPr>
                <w:noProof/>
                <w:webHidden/>
                <w:sz w:val="24"/>
                <w:szCs w:val="24"/>
              </w:rPr>
              <w:fldChar w:fldCharType="end"/>
            </w:r>
          </w:hyperlink>
        </w:p>
        <w:p w14:paraId="4C182D0D" w14:textId="228AD64F"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41" w:history="1">
            <w:r w:rsidRPr="00FF0098">
              <w:rPr>
                <w:rStyle w:val="Hyperlink"/>
                <w:noProof/>
                <w:sz w:val="24"/>
                <w:szCs w:val="24"/>
              </w:rPr>
              <w:t>7.10. What cannot be changed by a variation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_Toc95211841 \h </w:instrText>
            </w:r>
            <w:r w:rsidRPr="00FF0098">
              <w:rPr>
                <w:noProof/>
                <w:webHidden/>
                <w:sz w:val="24"/>
                <w:szCs w:val="24"/>
              </w:rPr>
            </w:r>
            <w:r w:rsidRPr="00FF0098">
              <w:rPr>
                <w:noProof/>
                <w:webHidden/>
                <w:sz w:val="24"/>
                <w:szCs w:val="24"/>
              </w:rPr>
              <w:fldChar w:fldCharType="separate"/>
            </w:r>
            <w:r w:rsidR="00457B98">
              <w:rPr>
                <w:noProof/>
                <w:webHidden/>
                <w:sz w:val="24"/>
                <w:szCs w:val="24"/>
              </w:rPr>
              <w:t>62</w:t>
            </w:r>
            <w:r w:rsidRPr="00FF0098">
              <w:rPr>
                <w:noProof/>
                <w:webHidden/>
                <w:sz w:val="24"/>
                <w:szCs w:val="24"/>
              </w:rPr>
              <w:fldChar w:fldCharType="end"/>
            </w:r>
          </w:hyperlink>
        </w:p>
        <w:p w14:paraId="56852689" w14:textId="4E3BEC8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42" w:history="1">
            <w:r w:rsidRPr="00FF0098">
              <w:rPr>
                <w:rStyle w:val="Hyperlink"/>
                <w:noProof/>
                <w:szCs w:val="24"/>
              </w:rPr>
              <w:t>7.10.1. Target currency (absolute to relative)</w:t>
            </w:r>
            <w:r w:rsidRPr="00FF0098">
              <w:rPr>
                <w:noProof/>
                <w:webHidden/>
              </w:rPr>
              <w:tab/>
            </w:r>
            <w:r w:rsidRPr="00FF0098">
              <w:rPr>
                <w:noProof/>
                <w:webHidden/>
              </w:rPr>
              <w:fldChar w:fldCharType="begin"/>
            </w:r>
            <w:r w:rsidRPr="00FF0098">
              <w:rPr>
                <w:noProof/>
                <w:webHidden/>
              </w:rPr>
              <w:instrText xml:space="preserve"> PAGEREF _Toc95211842 \h </w:instrText>
            </w:r>
            <w:r w:rsidRPr="00FF0098">
              <w:rPr>
                <w:noProof/>
                <w:webHidden/>
              </w:rPr>
            </w:r>
            <w:r w:rsidRPr="00FF0098">
              <w:rPr>
                <w:noProof/>
                <w:webHidden/>
              </w:rPr>
              <w:fldChar w:fldCharType="separate"/>
            </w:r>
            <w:r w:rsidR="00457B98">
              <w:rPr>
                <w:noProof/>
                <w:webHidden/>
              </w:rPr>
              <w:t>62</w:t>
            </w:r>
            <w:r w:rsidRPr="00FF0098">
              <w:rPr>
                <w:noProof/>
                <w:webHidden/>
              </w:rPr>
              <w:fldChar w:fldCharType="end"/>
            </w:r>
          </w:hyperlink>
        </w:p>
        <w:p w14:paraId="4D24354D" w14:textId="5DF7642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43" w:history="1">
            <w:r w:rsidRPr="00FF0098">
              <w:rPr>
                <w:rStyle w:val="Hyperlink"/>
                <w:noProof/>
                <w:szCs w:val="24"/>
              </w:rPr>
              <w:t>7.10.2. Throughput currency</w:t>
            </w:r>
            <w:r w:rsidRPr="00FF0098">
              <w:rPr>
                <w:noProof/>
                <w:webHidden/>
              </w:rPr>
              <w:tab/>
            </w:r>
            <w:r w:rsidRPr="00FF0098">
              <w:rPr>
                <w:noProof/>
                <w:webHidden/>
              </w:rPr>
              <w:fldChar w:fldCharType="begin"/>
            </w:r>
            <w:r w:rsidRPr="00FF0098">
              <w:rPr>
                <w:noProof/>
                <w:webHidden/>
              </w:rPr>
              <w:instrText xml:space="preserve"> PAGEREF _Toc95211843 \h </w:instrText>
            </w:r>
            <w:r w:rsidRPr="00FF0098">
              <w:rPr>
                <w:noProof/>
                <w:webHidden/>
              </w:rPr>
            </w:r>
            <w:r w:rsidRPr="00FF0098">
              <w:rPr>
                <w:noProof/>
                <w:webHidden/>
              </w:rPr>
              <w:fldChar w:fldCharType="separate"/>
            </w:r>
            <w:r w:rsidR="00457B98">
              <w:rPr>
                <w:noProof/>
                <w:webHidden/>
              </w:rPr>
              <w:t>63</w:t>
            </w:r>
            <w:r w:rsidRPr="00FF0098">
              <w:rPr>
                <w:noProof/>
                <w:webHidden/>
              </w:rPr>
              <w:fldChar w:fldCharType="end"/>
            </w:r>
          </w:hyperlink>
        </w:p>
        <w:p w14:paraId="011DBB85" w14:textId="3E08D3CA"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44" w:history="1">
            <w:r w:rsidRPr="00FF0098">
              <w:rPr>
                <w:rStyle w:val="Hyperlink"/>
                <w:noProof/>
                <w:szCs w:val="24"/>
              </w:rPr>
              <w:t>7.10.3. The 12-month base year period</w:t>
            </w:r>
            <w:r w:rsidRPr="00FF0098">
              <w:rPr>
                <w:noProof/>
                <w:webHidden/>
              </w:rPr>
              <w:tab/>
            </w:r>
            <w:r w:rsidRPr="00FF0098">
              <w:rPr>
                <w:noProof/>
                <w:webHidden/>
              </w:rPr>
              <w:fldChar w:fldCharType="begin"/>
            </w:r>
            <w:r w:rsidRPr="00FF0098">
              <w:rPr>
                <w:noProof/>
                <w:webHidden/>
              </w:rPr>
              <w:instrText xml:space="preserve"> PAGEREF _Toc95211844 \h </w:instrText>
            </w:r>
            <w:r w:rsidRPr="00FF0098">
              <w:rPr>
                <w:noProof/>
                <w:webHidden/>
              </w:rPr>
            </w:r>
            <w:r w:rsidRPr="00FF0098">
              <w:rPr>
                <w:noProof/>
                <w:webHidden/>
              </w:rPr>
              <w:fldChar w:fldCharType="separate"/>
            </w:r>
            <w:r w:rsidR="00457B98">
              <w:rPr>
                <w:noProof/>
                <w:webHidden/>
              </w:rPr>
              <w:t>63</w:t>
            </w:r>
            <w:r w:rsidRPr="00FF0098">
              <w:rPr>
                <w:noProof/>
                <w:webHidden/>
              </w:rPr>
              <w:fldChar w:fldCharType="end"/>
            </w:r>
          </w:hyperlink>
        </w:p>
        <w:p w14:paraId="6CAF8A0C" w14:textId="67364130"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45" w:history="1">
            <w:r w:rsidRPr="00FF0098">
              <w:rPr>
                <w:rStyle w:val="Hyperlink"/>
                <w:noProof/>
                <w:szCs w:val="24"/>
              </w:rPr>
              <w:t>7.10.4. Changing sector</w:t>
            </w:r>
            <w:r w:rsidRPr="00FF0098">
              <w:rPr>
                <w:noProof/>
                <w:webHidden/>
              </w:rPr>
              <w:tab/>
            </w:r>
            <w:r w:rsidRPr="00FF0098">
              <w:rPr>
                <w:noProof/>
                <w:webHidden/>
              </w:rPr>
              <w:fldChar w:fldCharType="begin"/>
            </w:r>
            <w:r w:rsidRPr="00FF0098">
              <w:rPr>
                <w:noProof/>
                <w:webHidden/>
              </w:rPr>
              <w:instrText xml:space="preserve"> PAGEREF _Toc95211845 \h </w:instrText>
            </w:r>
            <w:r w:rsidRPr="00FF0098">
              <w:rPr>
                <w:noProof/>
                <w:webHidden/>
              </w:rPr>
            </w:r>
            <w:r w:rsidRPr="00FF0098">
              <w:rPr>
                <w:noProof/>
                <w:webHidden/>
              </w:rPr>
              <w:fldChar w:fldCharType="separate"/>
            </w:r>
            <w:r w:rsidR="00457B98">
              <w:rPr>
                <w:noProof/>
                <w:webHidden/>
              </w:rPr>
              <w:t>63</w:t>
            </w:r>
            <w:r w:rsidRPr="00FF0098">
              <w:rPr>
                <w:noProof/>
                <w:webHidden/>
              </w:rPr>
              <w:fldChar w:fldCharType="end"/>
            </w:r>
          </w:hyperlink>
        </w:p>
        <w:p w14:paraId="254FD90F" w14:textId="584D60D6"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46" w:history="1">
            <w:r w:rsidRPr="00FF0098">
              <w:rPr>
                <w:rStyle w:val="Hyperlink"/>
                <w:noProof/>
                <w:sz w:val="24"/>
                <w:szCs w:val="24"/>
              </w:rPr>
              <w:t>7.11. Timescale for notifying us of a change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_Toc95211846 \h </w:instrText>
            </w:r>
            <w:r w:rsidRPr="00FF0098">
              <w:rPr>
                <w:noProof/>
                <w:webHidden/>
                <w:sz w:val="24"/>
                <w:szCs w:val="24"/>
              </w:rPr>
            </w:r>
            <w:r w:rsidRPr="00FF0098">
              <w:rPr>
                <w:noProof/>
                <w:webHidden/>
                <w:sz w:val="24"/>
                <w:szCs w:val="24"/>
              </w:rPr>
              <w:fldChar w:fldCharType="separate"/>
            </w:r>
            <w:r w:rsidR="00457B98">
              <w:rPr>
                <w:noProof/>
                <w:webHidden/>
                <w:sz w:val="24"/>
                <w:szCs w:val="24"/>
              </w:rPr>
              <w:t>63</w:t>
            </w:r>
            <w:r w:rsidRPr="00FF0098">
              <w:rPr>
                <w:noProof/>
                <w:webHidden/>
                <w:sz w:val="24"/>
                <w:szCs w:val="24"/>
              </w:rPr>
              <w:fldChar w:fldCharType="end"/>
            </w:r>
          </w:hyperlink>
        </w:p>
        <w:p w14:paraId="0346ECA5" w14:textId="43905ED6"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47" w:history="1">
            <w:r w:rsidRPr="00FF0098">
              <w:rPr>
                <w:rStyle w:val="Hyperlink"/>
                <w:noProof/>
                <w:sz w:val="24"/>
                <w:szCs w:val="24"/>
              </w:rPr>
              <w:t>8. Application of financial penalties and termination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_Toc95211847 \h </w:instrText>
            </w:r>
            <w:r w:rsidRPr="00FF0098">
              <w:rPr>
                <w:noProof/>
                <w:webHidden/>
                <w:sz w:val="24"/>
                <w:szCs w:val="24"/>
              </w:rPr>
            </w:r>
            <w:r w:rsidRPr="00FF0098">
              <w:rPr>
                <w:noProof/>
                <w:webHidden/>
                <w:sz w:val="24"/>
                <w:szCs w:val="24"/>
              </w:rPr>
              <w:fldChar w:fldCharType="separate"/>
            </w:r>
            <w:r w:rsidR="00457B98">
              <w:rPr>
                <w:noProof/>
                <w:webHidden/>
                <w:sz w:val="24"/>
                <w:szCs w:val="24"/>
              </w:rPr>
              <w:t>65</w:t>
            </w:r>
            <w:r w:rsidRPr="00FF0098">
              <w:rPr>
                <w:noProof/>
                <w:webHidden/>
                <w:sz w:val="24"/>
                <w:szCs w:val="24"/>
              </w:rPr>
              <w:fldChar w:fldCharType="end"/>
            </w:r>
          </w:hyperlink>
        </w:p>
        <w:p w14:paraId="52F12166" w14:textId="0A4953AC"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48" w:history="1">
            <w:r w:rsidRPr="00FF0098">
              <w:rPr>
                <w:rStyle w:val="Hyperlink"/>
                <w:noProof/>
                <w:sz w:val="24"/>
                <w:szCs w:val="24"/>
              </w:rPr>
              <w:t>8.1. CCA penalties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_Toc95211848 \h </w:instrText>
            </w:r>
            <w:r w:rsidRPr="00FF0098">
              <w:rPr>
                <w:noProof/>
                <w:webHidden/>
                <w:sz w:val="24"/>
                <w:szCs w:val="24"/>
              </w:rPr>
            </w:r>
            <w:r w:rsidRPr="00FF0098">
              <w:rPr>
                <w:noProof/>
                <w:webHidden/>
                <w:sz w:val="24"/>
                <w:szCs w:val="24"/>
              </w:rPr>
              <w:fldChar w:fldCharType="separate"/>
            </w:r>
            <w:r w:rsidR="00457B98">
              <w:rPr>
                <w:noProof/>
                <w:webHidden/>
                <w:sz w:val="24"/>
                <w:szCs w:val="24"/>
              </w:rPr>
              <w:t>65</w:t>
            </w:r>
            <w:r w:rsidRPr="00FF0098">
              <w:rPr>
                <w:noProof/>
                <w:webHidden/>
                <w:sz w:val="24"/>
                <w:szCs w:val="24"/>
              </w:rPr>
              <w:fldChar w:fldCharType="end"/>
            </w:r>
          </w:hyperlink>
        </w:p>
        <w:p w14:paraId="079B2D63" w14:textId="1BC9B5F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49" w:history="1">
            <w:r w:rsidRPr="00FF0098">
              <w:rPr>
                <w:rStyle w:val="Hyperlink"/>
                <w:noProof/>
                <w:szCs w:val="24"/>
              </w:rPr>
              <w:t>8.1.1. What are the penalties in the CCA scheme?</w:t>
            </w:r>
            <w:r w:rsidRPr="00FF0098">
              <w:rPr>
                <w:noProof/>
                <w:webHidden/>
              </w:rPr>
              <w:tab/>
            </w:r>
            <w:r w:rsidRPr="00FF0098">
              <w:rPr>
                <w:noProof/>
                <w:webHidden/>
              </w:rPr>
              <w:fldChar w:fldCharType="begin"/>
            </w:r>
            <w:r w:rsidRPr="00FF0098">
              <w:rPr>
                <w:noProof/>
                <w:webHidden/>
              </w:rPr>
              <w:instrText xml:space="preserve"> PAGEREF _Toc95211849 \h </w:instrText>
            </w:r>
            <w:r w:rsidRPr="00FF0098">
              <w:rPr>
                <w:noProof/>
                <w:webHidden/>
              </w:rPr>
            </w:r>
            <w:r w:rsidRPr="00FF0098">
              <w:rPr>
                <w:noProof/>
                <w:webHidden/>
              </w:rPr>
              <w:fldChar w:fldCharType="separate"/>
            </w:r>
            <w:r w:rsidR="00457B98">
              <w:rPr>
                <w:noProof/>
                <w:webHidden/>
              </w:rPr>
              <w:t>65</w:t>
            </w:r>
            <w:r w:rsidRPr="00FF0098">
              <w:rPr>
                <w:noProof/>
                <w:webHidden/>
              </w:rPr>
              <w:fldChar w:fldCharType="end"/>
            </w:r>
          </w:hyperlink>
        </w:p>
        <w:p w14:paraId="6728E596" w14:textId="6ED5C417"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0" w:history="1">
            <w:r w:rsidRPr="00FF0098">
              <w:rPr>
                <w:rStyle w:val="Hyperlink"/>
                <w:noProof/>
                <w:szCs w:val="24"/>
              </w:rPr>
              <w:t>8.1.2. Method 1 – specific to regulation 15(1)(a), (c) and (d)</w:t>
            </w:r>
            <w:r w:rsidRPr="00FF0098">
              <w:rPr>
                <w:noProof/>
                <w:webHidden/>
              </w:rPr>
              <w:tab/>
            </w:r>
            <w:r w:rsidRPr="00FF0098">
              <w:rPr>
                <w:noProof/>
                <w:webHidden/>
              </w:rPr>
              <w:fldChar w:fldCharType="begin"/>
            </w:r>
            <w:r w:rsidRPr="00FF0098">
              <w:rPr>
                <w:noProof/>
                <w:webHidden/>
              </w:rPr>
              <w:instrText xml:space="preserve"> PAGEREF _Toc95211850 \h </w:instrText>
            </w:r>
            <w:r w:rsidRPr="00FF0098">
              <w:rPr>
                <w:noProof/>
                <w:webHidden/>
              </w:rPr>
            </w:r>
            <w:r w:rsidRPr="00FF0098">
              <w:rPr>
                <w:noProof/>
                <w:webHidden/>
              </w:rPr>
              <w:fldChar w:fldCharType="separate"/>
            </w:r>
            <w:r w:rsidR="00457B98">
              <w:rPr>
                <w:noProof/>
                <w:webHidden/>
              </w:rPr>
              <w:t>65</w:t>
            </w:r>
            <w:r w:rsidRPr="00FF0098">
              <w:rPr>
                <w:noProof/>
                <w:webHidden/>
              </w:rPr>
              <w:fldChar w:fldCharType="end"/>
            </w:r>
          </w:hyperlink>
        </w:p>
        <w:p w14:paraId="26FC954B" w14:textId="6D40382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1" w:history="1">
            <w:r w:rsidRPr="00FF0098">
              <w:rPr>
                <w:rStyle w:val="Hyperlink"/>
                <w:noProof/>
                <w:szCs w:val="24"/>
              </w:rPr>
              <w:t>8.1.3. Method 2 – specific to regulation 15(1)(b)</w:t>
            </w:r>
            <w:r w:rsidRPr="00FF0098">
              <w:rPr>
                <w:noProof/>
                <w:webHidden/>
              </w:rPr>
              <w:tab/>
            </w:r>
            <w:r w:rsidRPr="00FF0098">
              <w:rPr>
                <w:noProof/>
                <w:webHidden/>
              </w:rPr>
              <w:fldChar w:fldCharType="begin"/>
            </w:r>
            <w:r w:rsidRPr="00FF0098">
              <w:rPr>
                <w:noProof/>
                <w:webHidden/>
              </w:rPr>
              <w:instrText xml:space="preserve"> PAGEREF _Toc95211851 \h </w:instrText>
            </w:r>
            <w:r w:rsidRPr="00FF0098">
              <w:rPr>
                <w:noProof/>
                <w:webHidden/>
              </w:rPr>
            </w:r>
            <w:r w:rsidRPr="00FF0098">
              <w:rPr>
                <w:noProof/>
                <w:webHidden/>
              </w:rPr>
              <w:fldChar w:fldCharType="separate"/>
            </w:r>
            <w:r w:rsidR="00457B98">
              <w:rPr>
                <w:noProof/>
                <w:webHidden/>
              </w:rPr>
              <w:t>66</w:t>
            </w:r>
            <w:r w:rsidRPr="00FF0098">
              <w:rPr>
                <w:noProof/>
                <w:webHidden/>
              </w:rPr>
              <w:fldChar w:fldCharType="end"/>
            </w:r>
          </w:hyperlink>
        </w:p>
        <w:p w14:paraId="42F82401" w14:textId="301A981D"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52" w:history="1">
            <w:r w:rsidRPr="00FF0098">
              <w:rPr>
                <w:rStyle w:val="Hyperlink"/>
                <w:noProof/>
                <w:sz w:val="24"/>
                <w:szCs w:val="24"/>
              </w:rPr>
              <w:t>8.2. Issuing penalties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_Toc95211852 \h </w:instrText>
            </w:r>
            <w:r w:rsidRPr="00FF0098">
              <w:rPr>
                <w:noProof/>
                <w:webHidden/>
                <w:sz w:val="24"/>
                <w:szCs w:val="24"/>
              </w:rPr>
            </w:r>
            <w:r w:rsidRPr="00FF0098">
              <w:rPr>
                <w:noProof/>
                <w:webHidden/>
                <w:sz w:val="24"/>
                <w:szCs w:val="24"/>
              </w:rPr>
              <w:fldChar w:fldCharType="separate"/>
            </w:r>
            <w:r w:rsidR="00457B98">
              <w:rPr>
                <w:noProof/>
                <w:webHidden/>
                <w:sz w:val="24"/>
                <w:szCs w:val="24"/>
              </w:rPr>
              <w:t>66</w:t>
            </w:r>
            <w:r w:rsidRPr="00FF0098">
              <w:rPr>
                <w:noProof/>
                <w:webHidden/>
                <w:sz w:val="24"/>
                <w:szCs w:val="24"/>
              </w:rPr>
              <w:fldChar w:fldCharType="end"/>
            </w:r>
          </w:hyperlink>
        </w:p>
        <w:p w14:paraId="448A1853" w14:textId="1810E1F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3" w:history="1">
            <w:r w:rsidRPr="00FF0098">
              <w:rPr>
                <w:rStyle w:val="Hyperlink"/>
                <w:noProof/>
                <w:szCs w:val="24"/>
              </w:rPr>
              <w:t>8.2.1. Notice of a financial penalty</w:t>
            </w:r>
            <w:r w:rsidRPr="00FF0098">
              <w:rPr>
                <w:noProof/>
                <w:webHidden/>
              </w:rPr>
              <w:tab/>
            </w:r>
            <w:r w:rsidRPr="00FF0098">
              <w:rPr>
                <w:noProof/>
                <w:webHidden/>
              </w:rPr>
              <w:fldChar w:fldCharType="begin"/>
            </w:r>
            <w:r w:rsidRPr="00FF0098">
              <w:rPr>
                <w:noProof/>
                <w:webHidden/>
              </w:rPr>
              <w:instrText xml:space="preserve"> PAGEREF _Toc95211853 \h </w:instrText>
            </w:r>
            <w:r w:rsidRPr="00FF0098">
              <w:rPr>
                <w:noProof/>
                <w:webHidden/>
              </w:rPr>
            </w:r>
            <w:r w:rsidRPr="00FF0098">
              <w:rPr>
                <w:noProof/>
                <w:webHidden/>
              </w:rPr>
              <w:fldChar w:fldCharType="separate"/>
            </w:r>
            <w:r w:rsidR="00457B98">
              <w:rPr>
                <w:noProof/>
                <w:webHidden/>
              </w:rPr>
              <w:t>66</w:t>
            </w:r>
            <w:r w:rsidRPr="00FF0098">
              <w:rPr>
                <w:noProof/>
                <w:webHidden/>
              </w:rPr>
              <w:fldChar w:fldCharType="end"/>
            </w:r>
          </w:hyperlink>
        </w:p>
        <w:p w14:paraId="00D3F974" w14:textId="530A0D0F"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54" w:history="1">
            <w:r w:rsidRPr="00FF0098">
              <w:rPr>
                <w:rStyle w:val="Hyperlink"/>
                <w:noProof/>
                <w:sz w:val="24"/>
                <w:szCs w:val="24"/>
              </w:rPr>
              <w:t>8.3. Termination of agreements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_Toc95211854 \h </w:instrText>
            </w:r>
            <w:r w:rsidRPr="00FF0098">
              <w:rPr>
                <w:noProof/>
                <w:webHidden/>
                <w:sz w:val="24"/>
                <w:szCs w:val="24"/>
              </w:rPr>
            </w:r>
            <w:r w:rsidRPr="00FF0098">
              <w:rPr>
                <w:noProof/>
                <w:webHidden/>
                <w:sz w:val="24"/>
                <w:szCs w:val="24"/>
              </w:rPr>
              <w:fldChar w:fldCharType="separate"/>
            </w:r>
            <w:r w:rsidR="00457B98">
              <w:rPr>
                <w:noProof/>
                <w:webHidden/>
                <w:sz w:val="24"/>
                <w:szCs w:val="24"/>
              </w:rPr>
              <w:t>67</w:t>
            </w:r>
            <w:r w:rsidRPr="00FF0098">
              <w:rPr>
                <w:noProof/>
                <w:webHidden/>
                <w:sz w:val="24"/>
                <w:szCs w:val="24"/>
              </w:rPr>
              <w:fldChar w:fldCharType="end"/>
            </w:r>
          </w:hyperlink>
        </w:p>
        <w:p w14:paraId="5F158DB0" w14:textId="2CA225A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5" w:history="1">
            <w:r w:rsidRPr="00FF0098">
              <w:rPr>
                <w:rStyle w:val="Hyperlink"/>
                <w:noProof/>
                <w:szCs w:val="24"/>
              </w:rPr>
              <w:t>8.3.1. Voluntary termination – when a facility leaves the scheme or closes</w:t>
            </w:r>
            <w:r w:rsidRPr="00FF0098">
              <w:rPr>
                <w:noProof/>
                <w:webHidden/>
              </w:rPr>
              <w:tab/>
            </w:r>
            <w:r w:rsidRPr="00FF0098">
              <w:rPr>
                <w:noProof/>
                <w:webHidden/>
              </w:rPr>
              <w:fldChar w:fldCharType="begin"/>
            </w:r>
            <w:r w:rsidRPr="00FF0098">
              <w:rPr>
                <w:noProof/>
                <w:webHidden/>
              </w:rPr>
              <w:instrText xml:space="preserve"> PAGEREF _Toc95211855 \h </w:instrText>
            </w:r>
            <w:r w:rsidRPr="00FF0098">
              <w:rPr>
                <w:noProof/>
                <w:webHidden/>
              </w:rPr>
            </w:r>
            <w:r w:rsidRPr="00FF0098">
              <w:rPr>
                <w:noProof/>
                <w:webHidden/>
              </w:rPr>
              <w:fldChar w:fldCharType="separate"/>
            </w:r>
            <w:r w:rsidR="00457B98">
              <w:rPr>
                <w:noProof/>
                <w:webHidden/>
              </w:rPr>
              <w:t>67</w:t>
            </w:r>
            <w:r w:rsidRPr="00FF0098">
              <w:rPr>
                <w:noProof/>
                <w:webHidden/>
              </w:rPr>
              <w:fldChar w:fldCharType="end"/>
            </w:r>
          </w:hyperlink>
        </w:p>
        <w:p w14:paraId="58E97BC5" w14:textId="51407EBC"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6" w:history="1">
            <w:r w:rsidRPr="00FF0098">
              <w:rPr>
                <w:rStyle w:val="Hyperlink"/>
                <w:noProof/>
                <w:szCs w:val="24"/>
              </w:rPr>
              <w:t>8.3.2. Termination by the Environment Agency</w:t>
            </w:r>
            <w:r w:rsidRPr="00FF0098">
              <w:rPr>
                <w:noProof/>
                <w:webHidden/>
              </w:rPr>
              <w:tab/>
            </w:r>
            <w:r w:rsidRPr="00FF0098">
              <w:rPr>
                <w:noProof/>
                <w:webHidden/>
              </w:rPr>
              <w:fldChar w:fldCharType="begin"/>
            </w:r>
            <w:r w:rsidRPr="00FF0098">
              <w:rPr>
                <w:noProof/>
                <w:webHidden/>
              </w:rPr>
              <w:instrText xml:space="preserve"> PAGEREF _Toc95211856 \h </w:instrText>
            </w:r>
            <w:r w:rsidRPr="00FF0098">
              <w:rPr>
                <w:noProof/>
                <w:webHidden/>
              </w:rPr>
            </w:r>
            <w:r w:rsidRPr="00FF0098">
              <w:rPr>
                <w:noProof/>
                <w:webHidden/>
              </w:rPr>
              <w:fldChar w:fldCharType="separate"/>
            </w:r>
            <w:r w:rsidR="00457B98">
              <w:rPr>
                <w:noProof/>
                <w:webHidden/>
              </w:rPr>
              <w:t>68</w:t>
            </w:r>
            <w:r w:rsidRPr="00FF0098">
              <w:rPr>
                <w:noProof/>
                <w:webHidden/>
              </w:rPr>
              <w:fldChar w:fldCharType="end"/>
            </w:r>
          </w:hyperlink>
        </w:p>
        <w:p w14:paraId="103E09EA" w14:textId="375D4D10"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7" w:history="1">
            <w:r w:rsidRPr="00FF0098">
              <w:rPr>
                <w:rStyle w:val="Hyperlink"/>
                <w:noProof/>
                <w:szCs w:val="24"/>
              </w:rPr>
              <w:t>8.3.3. Re-entry following termination</w:t>
            </w:r>
            <w:r w:rsidRPr="00FF0098">
              <w:rPr>
                <w:noProof/>
                <w:webHidden/>
              </w:rPr>
              <w:tab/>
            </w:r>
            <w:r w:rsidRPr="00FF0098">
              <w:rPr>
                <w:noProof/>
                <w:webHidden/>
              </w:rPr>
              <w:fldChar w:fldCharType="begin"/>
            </w:r>
            <w:r w:rsidRPr="00FF0098">
              <w:rPr>
                <w:noProof/>
                <w:webHidden/>
              </w:rPr>
              <w:instrText xml:space="preserve"> PAGEREF _Toc95211857 \h </w:instrText>
            </w:r>
            <w:r w:rsidRPr="00FF0098">
              <w:rPr>
                <w:noProof/>
                <w:webHidden/>
              </w:rPr>
            </w:r>
            <w:r w:rsidRPr="00FF0098">
              <w:rPr>
                <w:noProof/>
                <w:webHidden/>
              </w:rPr>
              <w:fldChar w:fldCharType="separate"/>
            </w:r>
            <w:r w:rsidR="00457B98">
              <w:rPr>
                <w:noProof/>
                <w:webHidden/>
              </w:rPr>
              <w:t>69</w:t>
            </w:r>
            <w:r w:rsidRPr="00FF0098">
              <w:rPr>
                <w:noProof/>
                <w:webHidden/>
              </w:rPr>
              <w:fldChar w:fldCharType="end"/>
            </w:r>
          </w:hyperlink>
        </w:p>
        <w:p w14:paraId="370F0537" w14:textId="7D606A3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58" w:history="1">
            <w:r w:rsidRPr="00FF0098">
              <w:rPr>
                <w:rStyle w:val="Hyperlink"/>
                <w:noProof/>
                <w:szCs w:val="24"/>
              </w:rPr>
              <w:t>8.3.4. New operator for a previously terminated facility</w:t>
            </w:r>
            <w:r w:rsidRPr="00FF0098">
              <w:rPr>
                <w:noProof/>
                <w:webHidden/>
              </w:rPr>
              <w:tab/>
            </w:r>
            <w:r w:rsidRPr="00FF0098">
              <w:rPr>
                <w:noProof/>
                <w:webHidden/>
              </w:rPr>
              <w:fldChar w:fldCharType="begin"/>
            </w:r>
            <w:r w:rsidRPr="00FF0098">
              <w:rPr>
                <w:noProof/>
                <w:webHidden/>
              </w:rPr>
              <w:instrText xml:space="preserve"> PAGEREF _Toc95211858 \h </w:instrText>
            </w:r>
            <w:r w:rsidRPr="00FF0098">
              <w:rPr>
                <w:noProof/>
                <w:webHidden/>
              </w:rPr>
            </w:r>
            <w:r w:rsidRPr="00FF0098">
              <w:rPr>
                <w:noProof/>
                <w:webHidden/>
              </w:rPr>
              <w:fldChar w:fldCharType="separate"/>
            </w:r>
            <w:r w:rsidR="00457B98">
              <w:rPr>
                <w:noProof/>
                <w:webHidden/>
              </w:rPr>
              <w:t>70</w:t>
            </w:r>
            <w:r w:rsidRPr="00FF0098">
              <w:rPr>
                <w:noProof/>
                <w:webHidden/>
              </w:rPr>
              <w:fldChar w:fldCharType="end"/>
            </w:r>
          </w:hyperlink>
        </w:p>
        <w:p w14:paraId="5647D317" w14:textId="2116A049"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59" w:history="1">
            <w:r w:rsidRPr="00FF0098">
              <w:rPr>
                <w:rStyle w:val="Hyperlink"/>
                <w:noProof/>
                <w:sz w:val="24"/>
                <w:szCs w:val="24"/>
              </w:rPr>
              <w:t>8.4. Appeals Process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_Toc95211859 \h </w:instrText>
            </w:r>
            <w:r w:rsidRPr="00FF0098">
              <w:rPr>
                <w:noProof/>
                <w:webHidden/>
                <w:sz w:val="24"/>
                <w:szCs w:val="24"/>
              </w:rPr>
            </w:r>
            <w:r w:rsidRPr="00FF0098">
              <w:rPr>
                <w:noProof/>
                <w:webHidden/>
                <w:sz w:val="24"/>
                <w:szCs w:val="24"/>
              </w:rPr>
              <w:fldChar w:fldCharType="separate"/>
            </w:r>
            <w:r w:rsidR="00457B98">
              <w:rPr>
                <w:noProof/>
                <w:webHidden/>
                <w:sz w:val="24"/>
                <w:szCs w:val="24"/>
              </w:rPr>
              <w:t>70</w:t>
            </w:r>
            <w:r w:rsidRPr="00FF0098">
              <w:rPr>
                <w:noProof/>
                <w:webHidden/>
                <w:sz w:val="24"/>
                <w:szCs w:val="24"/>
              </w:rPr>
              <w:fldChar w:fldCharType="end"/>
            </w:r>
          </w:hyperlink>
        </w:p>
        <w:p w14:paraId="1C79F778" w14:textId="33086633" w:rsidR="002737EF" w:rsidRPr="00FC355D" w:rsidRDefault="002737EF" w:rsidP="00FC355D">
          <w:pPr>
            <w:pStyle w:val="TOC2"/>
            <w:tabs>
              <w:tab w:val="left" w:pos="0"/>
              <w:tab w:val="right" w:leader="dot" w:pos="10372"/>
            </w:tabs>
            <w:spacing w:after="0" w:line="360" w:lineRule="auto"/>
            <w:ind w:left="0"/>
            <w:rPr>
              <w:rFonts w:eastAsiaTheme="minorEastAsia"/>
              <w:b/>
              <w:bCs/>
              <w:noProof/>
              <w:color w:val="auto"/>
              <w:sz w:val="24"/>
              <w:szCs w:val="24"/>
            </w:rPr>
          </w:pPr>
          <w:hyperlink w:anchor="_Toc95211860" w:history="1">
            <w:r w:rsidRPr="00FC355D">
              <w:rPr>
                <w:rStyle w:val="Hyperlink"/>
                <w:b/>
                <w:bCs/>
                <w:noProof/>
                <w:sz w:val="24"/>
                <w:szCs w:val="24"/>
              </w:rPr>
              <w:t>9. Auditing the CCA scheme9.1. What is a CCA audit?</w:t>
            </w:r>
            <w:r w:rsidRPr="00FC355D">
              <w:rPr>
                <w:b/>
                <w:bCs/>
                <w:noProof/>
                <w:webHidden/>
                <w:sz w:val="24"/>
                <w:szCs w:val="24"/>
              </w:rPr>
              <w:tab/>
            </w:r>
            <w:r w:rsidRPr="00FC355D">
              <w:rPr>
                <w:b/>
                <w:bCs/>
                <w:noProof/>
                <w:webHidden/>
                <w:sz w:val="24"/>
                <w:szCs w:val="24"/>
              </w:rPr>
              <w:fldChar w:fldCharType="begin"/>
            </w:r>
            <w:r w:rsidRPr="00FC355D">
              <w:rPr>
                <w:b/>
                <w:bCs/>
                <w:noProof/>
                <w:webHidden/>
                <w:sz w:val="24"/>
                <w:szCs w:val="24"/>
              </w:rPr>
              <w:instrText xml:space="preserve"> PAGEREF _Toc95211860 \h </w:instrText>
            </w:r>
            <w:r w:rsidRPr="00FC355D">
              <w:rPr>
                <w:b/>
                <w:bCs/>
                <w:noProof/>
                <w:webHidden/>
                <w:sz w:val="24"/>
                <w:szCs w:val="24"/>
              </w:rPr>
            </w:r>
            <w:r w:rsidRPr="00FC355D">
              <w:rPr>
                <w:b/>
                <w:bCs/>
                <w:noProof/>
                <w:webHidden/>
                <w:sz w:val="24"/>
                <w:szCs w:val="24"/>
              </w:rPr>
              <w:fldChar w:fldCharType="separate"/>
            </w:r>
            <w:r w:rsidR="00457B98">
              <w:rPr>
                <w:b/>
                <w:bCs/>
                <w:noProof/>
                <w:webHidden/>
                <w:sz w:val="24"/>
                <w:szCs w:val="24"/>
              </w:rPr>
              <w:t>71</w:t>
            </w:r>
            <w:r w:rsidRPr="00FC355D">
              <w:rPr>
                <w:b/>
                <w:bCs/>
                <w:noProof/>
                <w:webHidden/>
                <w:sz w:val="24"/>
                <w:szCs w:val="24"/>
              </w:rPr>
              <w:fldChar w:fldCharType="end"/>
            </w:r>
          </w:hyperlink>
        </w:p>
        <w:p w14:paraId="0E176F78" w14:textId="079B6B1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61" w:history="1">
            <w:r w:rsidRPr="00FF0098">
              <w:rPr>
                <w:rStyle w:val="Hyperlink"/>
                <w:noProof/>
                <w:sz w:val="24"/>
                <w:szCs w:val="24"/>
              </w:rPr>
              <w:t>9.2. How we select a facility for audit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_Toc95211861 \h </w:instrText>
            </w:r>
            <w:r w:rsidRPr="00FF0098">
              <w:rPr>
                <w:noProof/>
                <w:webHidden/>
                <w:sz w:val="24"/>
                <w:szCs w:val="24"/>
              </w:rPr>
            </w:r>
            <w:r w:rsidRPr="00FF0098">
              <w:rPr>
                <w:noProof/>
                <w:webHidden/>
                <w:sz w:val="24"/>
                <w:szCs w:val="24"/>
              </w:rPr>
              <w:fldChar w:fldCharType="separate"/>
            </w:r>
            <w:r w:rsidR="00457B98">
              <w:rPr>
                <w:noProof/>
                <w:webHidden/>
                <w:sz w:val="24"/>
                <w:szCs w:val="24"/>
              </w:rPr>
              <w:t>71</w:t>
            </w:r>
            <w:r w:rsidRPr="00FF0098">
              <w:rPr>
                <w:noProof/>
                <w:webHidden/>
                <w:sz w:val="24"/>
                <w:szCs w:val="24"/>
              </w:rPr>
              <w:fldChar w:fldCharType="end"/>
            </w:r>
          </w:hyperlink>
        </w:p>
        <w:p w14:paraId="341BFCE7" w14:textId="5DB2E85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2" w:history="1">
            <w:r w:rsidRPr="00FF0098">
              <w:rPr>
                <w:rStyle w:val="Hyperlink"/>
                <w:noProof/>
                <w:szCs w:val="24"/>
              </w:rPr>
              <w:t>9.2.1. Risk-based selection</w:t>
            </w:r>
            <w:r w:rsidRPr="00FF0098">
              <w:rPr>
                <w:noProof/>
                <w:webHidden/>
              </w:rPr>
              <w:tab/>
            </w:r>
            <w:r w:rsidRPr="00FF0098">
              <w:rPr>
                <w:noProof/>
                <w:webHidden/>
              </w:rPr>
              <w:fldChar w:fldCharType="begin"/>
            </w:r>
            <w:r w:rsidRPr="00FF0098">
              <w:rPr>
                <w:noProof/>
                <w:webHidden/>
              </w:rPr>
              <w:instrText xml:space="preserve"> PAGEREF _Toc95211862 \h </w:instrText>
            </w:r>
            <w:r w:rsidRPr="00FF0098">
              <w:rPr>
                <w:noProof/>
                <w:webHidden/>
              </w:rPr>
            </w:r>
            <w:r w:rsidRPr="00FF0098">
              <w:rPr>
                <w:noProof/>
                <w:webHidden/>
              </w:rPr>
              <w:fldChar w:fldCharType="separate"/>
            </w:r>
            <w:r w:rsidR="00457B98">
              <w:rPr>
                <w:noProof/>
                <w:webHidden/>
              </w:rPr>
              <w:t>71</w:t>
            </w:r>
            <w:r w:rsidRPr="00FF0098">
              <w:rPr>
                <w:noProof/>
                <w:webHidden/>
              </w:rPr>
              <w:fldChar w:fldCharType="end"/>
            </w:r>
          </w:hyperlink>
        </w:p>
        <w:p w14:paraId="30C1E723" w14:textId="30A7114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3" w:history="1">
            <w:r w:rsidRPr="00FF0098">
              <w:rPr>
                <w:rStyle w:val="Hyperlink"/>
                <w:noProof/>
                <w:szCs w:val="24"/>
              </w:rPr>
              <w:t>9.2.2. Random selection</w:t>
            </w:r>
            <w:r w:rsidRPr="00FF0098">
              <w:rPr>
                <w:noProof/>
                <w:webHidden/>
              </w:rPr>
              <w:tab/>
            </w:r>
            <w:r w:rsidRPr="00FF0098">
              <w:rPr>
                <w:noProof/>
                <w:webHidden/>
              </w:rPr>
              <w:fldChar w:fldCharType="begin"/>
            </w:r>
            <w:r w:rsidRPr="00FF0098">
              <w:rPr>
                <w:noProof/>
                <w:webHidden/>
              </w:rPr>
              <w:instrText xml:space="preserve"> PAGEREF _Toc95211863 \h </w:instrText>
            </w:r>
            <w:r w:rsidRPr="00FF0098">
              <w:rPr>
                <w:noProof/>
                <w:webHidden/>
              </w:rPr>
            </w:r>
            <w:r w:rsidRPr="00FF0098">
              <w:rPr>
                <w:noProof/>
                <w:webHidden/>
              </w:rPr>
              <w:fldChar w:fldCharType="separate"/>
            </w:r>
            <w:r w:rsidR="00457B98">
              <w:rPr>
                <w:noProof/>
                <w:webHidden/>
              </w:rPr>
              <w:t>71</w:t>
            </w:r>
            <w:r w:rsidRPr="00FF0098">
              <w:rPr>
                <w:noProof/>
                <w:webHidden/>
              </w:rPr>
              <w:fldChar w:fldCharType="end"/>
            </w:r>
          </w:hyperlink>
        </w:p>
        <w:p w14:paraId="19CCEC8E" w14:textId="07A497C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64" w:history="1">
            <w:r w:rsidRPr="00FF0098">
              <w:rPr>
                <w:rStyle w:val="Hyperlink"/>
                <w:noProof/>
                <w:sz w:val="24"/>
                <w:szCs w:val="24"/>
              </w:rPr>
              <w:t>9.3. How we carry out audits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_Toc95211864 \h </w:instrText>
            </w:r>
            <w:r w:rsidRPr="00FF0098">
              <w:rPr>
                <w:noProof/>
                <w:webHidden/>
                <w:sz w:val="24"/>
                <w:szCs w:val="24"/>
              </w:rPr>
            </w:r>
            <w:r w:rsidRPr="00FF0098">
              <w:rPr>
                <w:noProof/>
                <w:webHidden/>
                <w:sz w:val="24"/>
                <w:szCs w:val="24"/>
              </w:rPr>
              <w:fldChar w:fldCharType="separate"/>
            </w:r>
            <w:r w:rsidR="00457B98">
              <w:rPr>
                <w:noProof/>
                <w:webHidden/>
                <w:sz w:val="24"/>
                <w:szCs w:val="24"/>
              </w:rPr>
              <w:t>72</w:t>
            </w:r>
            <w:r w:rsidRPr="00FF0098">
              <w:rPr>
                <w:noProof/>
                <w:webHidden/>
                <w:sz w:val="24"/>
                <w:szCs w:val="24"/>
              </w:rPr>
              <w:fldChar w:fldCharType="end"/>
            </w:r>
          </w:hyperlink>
        </w:p>
        <w:p w14:paraId="659BB7F5" w14:textId="265A914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5" w:history="1">
            <w:r w:rsidRPr="00FF0098">
              <w:rPr>
                <w:rStyle w:val="Hyperlink"/>
                <w:noProof/>
                <w:szCs w:val="24"/>
              </w:rPr>
              <w:t>9.3.1. Desktop audits</w:t>
            </w:r>
            <w:r w:rsidRPr="00FF0098">
              <w:rPr>
                <w:noProof/>
                <w:webHidden/>
              </w:rPr>
              <w:tab/>
            </w:r>
            <w:r w:rsidRPr="00FF0098">
              <w:rPr>
                <w:noProof/>
                <w:webHidden/>
              </w:rPr>
              <w:fldChar w:fldCharType="begin"/>
            </w:r>
            <w:r w:rsidRPr="00FF0098">
              <w:rPr>
                <w:noProof/>
                <w:webHidden/>
              </w:rPr>
              <w:instrText xml:space="preserve"> PAGEREF _Toc95211865 \h </w:instrText>
            </w:r>
            <w:r w:rsidRPr="00FF0098">
              <w:rPr>
                <w:noProof/>
                <w:webHidden/>
              </w:rPr>
            </w:r>
            <w:r w:rsidRPr="00FF0098">
              <w:rPr>
                <w:noProof/>
                <w:webHidden/>
              </w:rPr>
              <w:fldChar w:fldCharType="separate"/>
            </w:r>
            <w:r w:rsidR="00457B98">
              <w:rPr>
                <w:noProof/>
                <w:webHidden/>
              </w:rPr>
              <w:t>72</w:t>
            </w:r>
            <w:r w:rsidRPr="00FF0098">
              <w:rPr>
                <w:noProof/>
                <w:webHidden/>
              </w:rPr>
              <w:fldChar w:fldCharType="end"/>
            </w:r>
          </w:hyperlink>
        </w:p>
        <w:p w14:paraId="21ED30EF" w14:textId="54A64ED1"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6" w:history="1">
            <w:r w:rsidRPr="00FF0098">
              <w:rPr>
                <w:rStyle w:val="Hyperlink"/>
                <w:noProof/>
                <w:szCs w:val="24"/>
              </w:rPr>
              <w:t>9.3.2. Full site audits</w:t>
            </w:r>
            <w:r w:rsidRPr="00FF0098">
              <w:rPr>
                <w:noProof/>
                <w:webHidden/>
              </w:rPr>
              <w:tab/>
            </w:r>
            <w:r w:rsidRPr="00FF0098">
              <w:rPr>
                <w:noProof/>
                <w:webHidden/>
              </w:rPr>
              <w:fldChar w:fldCharType="begin"/>
            </w:r>
            <w:r w:rsidRPr="00FF0098">
              <w:rPr>
                <w:noProof/>
                <w:webHidden/>
              </w:rPr>
              <w:instrText xml:space="preserve"> PAGEREF _Toc95211866 \h </w:instrText>
            </w:r>
            <w:r w:rsidRPr="00FF0098">
              <w:rPr>
                <w:noProof/>
                <w:webHidden/>
              </w:rPr>
            </w:r>
            <w:r w:rsidRPr="00FF0098">
              <w:rPr>
                <w:noProof/>
                <w:webHidden/>
              </w:rPr>
              <w:fldChar w:fldCharType="separate"/>
            </w:r>
            <w:r w:rsidR="00457B98">
              <w:rPr>
                <w:noProof/>
                <w:webHidden/>
              </w:rPr>
              <w:t>72</w:t>
            </w:r>
            <w:r w:rsidRPr="00FF0098">
              <w:rPr>
                <w:noProof/>
                <w:webHidden/>
              </w:rPr>
              <w:fldChar w:fldCharType="end"/>
            </w:r>
          </w:hyperlink>
        </w:p>
        <w:p w14:paraId="237B0F20" w14:textId="269578A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7" w:history="1">
            <w:r w:rsidRPr="00FF0098">
              <w:rPr>
                <w:rStyle w:val="Hyperlink"/>
                <w:noProof/>
                <w:szCs w:val="24"/>
              </w:rPr>
              <w:t>9.3.3. Questions we will ask in a CCA facility audit</w:t>
            </w:r>
            <w:r w:rsidRPr="00FF0098">
              <w:rPr>
                <w:noProof/>
                <w:webHidden/>
              </w:rPr>
              <w:tab/>
            </w:r>
            <w:r w:rsidRPr="00FF0098">
              <w:rPr>
                <w:noProof/>
                <w:webHidden/>
              </w:rPr>
              <w:fldChar w:fldCharType="begin"/>
            </w:r>
            <w:r w:rsidRPr="00FF0098">
              <w:rPr>
                <w:noProof/>
                <w:webHidden/>
              </w:rPr>
              <w:instrText xml:space="preserve"> PAGEREF _Toc95211867 \h </w:instrText>
            </w:r>
            <w:r w:rsidRPr="00FF0098">
              <w:rPr>
                <w:noProof/>
                <w:webHidden/>
              </w:rPr>
            </w:r>
            <w:r w:rsidRPr="00FF0098">
              <w:rPr>
                <w:noProof/>
                <w:webHidden/>
              </w:rPr>
              <w:fldChar w:fldCharType="separate"/>
            </w:r>
            <w:r w:rsidR="00457B98">
              <w:rPr>
                <w:noProof/>
                <w:webHidden/>
              </w:rPr>
              <w:t>73</w:t>
            </w:r>
            <w:r w:rsidRPr="00FF0098">
              <w:rPr>
                <w:noProof/>
                <w:webHidden/>
              </w:rPr>
              <w:fldChar w:fldCharType="end"/>
            </w:r>
          </w:hyperlink>
        </w:p>
        <w:p w14:paraId="43001159" w14:textId="1343381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68" w:history="1">
            <w:r w:rsidRPr="00FF0098">
              <w:rPr>
                <w:rStyle w:val="Hyperlink"/>
                <w:noProof/>
                <w:szCs w:val="24"/>
              </w:rPr>
              <w:t>9.3.4. What we look for in a CCA Sector Audit</w:t>
            </w:r>
            <w:r w:rsidRPr="00FF0098">
              <w:rPr>
                <w:noProof/>
                <w:webHidden/>
              </w:rPr>
              <w:tab/>
            </w:r>
            <w:r w:rsidRPr="00FF0098">
              <w:rPr>
                <w:noProof/>
                <w:webHidden/>
              </w:rPr>
              <w:fldChar w:fldCharType="begin"/>
            </w:r>
            <w:r w:rsidRPr="00FF0098">
              <w:rPr>
                <w:noProof/>
                <w:webHidden/>
              </w:rPr>
              <w:instrText xml:space="preserve"> PAGEREF _Toc95211868 \h </w:instrText>
            </w:r>
            <w:r w:rsidRPr="00FF0098">
              <w:rPr>
                <w:noProof/>
                <w:webHidden/>
              </w:rPr>
            </w:r>
            <w:r w:rsidRPr="00FF0098">
              <w:rPr>
                <w:noProof/>
                <w:webHidden/>
              </w:rPr>
              <w:fldChar w:fldCharType="separate"/>
            </w:r>
            <w:r w:rsidR="00457B98">
              <w:rPr>
                <w:noProof/>
                <w:webHidden/>
              </w:rPr>
              <w:t>75</w:t>
            </w:r>
            <w:r w:rsidRPr="00FF0098">
              <w:rPr>
                <w:noProof/>
                <w:webHidden/>
              </w:rPr>
              <w:fldChar w:fldCharType="end"/>
            </w:r>
          </w:hyperlink>
        </w:p>
        <w:p w14:paraId="74A64B2F" w14:textId="005BBD70"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69" w:history="1">
            <w:r w:rsidRPr="00FF0098">
              <w:rPr>
                <w:rStyle w:val="Hyperlink"/>
                <w:noProof/>
                <w:sz w:val="24"/>
                <w:szCs w:val="24"/>
              </w:rPr>
              <w:t>9.4. Possible audit outcomes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_Toc95211869 \h </w:instrText>
            </w:r>
            <w:r w:rsidRPr="00FF0098">
              <w:rPr>
                <w:noProof/>
                <w:webHidden/>
                <w:sz w:val="24"/>
                <w:szCs w:val="24"/>
              </w:rPr>
            </w:r>
            <w:r w:rsidRPr="00FF0098">
              <w:rPr>
                <w:noProof/>
                <w:webHidden/>
                <w:sz w:val="24"/>
                <w:szCs w:val="24"/>
              </w:rPr>
              <w:fldChar w:fldCharType="separate"/>
            </w:r>
            <w:r w:rsidR="00457B98">
              <w:rPr>
                <w:noProof/>
                <w:webHidden/>
                <w:sz w:val="24"/>
                <w:szCs w:val="24"/>
              </w:rPr>
              <w:t>76</w:t>
            </w:r>
            <w:r w:rsidRPr="00FF0098">
              <w:rPr>
                <w:noProof/>
                <w:webHidden/>
                <w:sz w:val="24"/>
                <w:szCs w:val="24"/>
              </w:rPr>
              <w:fldChar w:fldCharType="end"/>
            </w:r>
          </w:hyperlink>
        </w:p>
        <w:p w14:paraId="2A9F51B2" w14:textId="5AB7BD60"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0" w:history="1">
            <w:r w:rsidRPr="00FF0098">
              <w:rPr>
                <w:rStyle w:val="Hyperlink"/>
                <w:noProof/>
                <w:szCs w:val="24"/>
              </w:rPr>
              <w:t>9.4.1. What happens next</w:t>
            </w:r>
            <w:r w:rsidRPr="00FF0098">
              <w:rPr>
                <w:noProof/>
                <w:webHidden/>
              </w:rPr>
              <w:tab/>
            </w:r>
            <w:r w:rsidRPr="00FF0098">
              <w:rPr>
                <w:noProof/>
                <w:webHidden/>
              </w:rPr>
              <w:fldChar w:fldCharType="begin"/>
            </w:r>
            <w:r w:rsidRPr="00FF0098">
              <w:rPr>
                <w:noProof/>
                <w:webHidden/>
              </w:rPr>
              <w:instrText xml:space="preserve"> PAGEREF _Toc95211870 \h </w:instrText>
            </w:r>
            <w:r w:rsidRPr="00FF0098">
              <w:rPr>
                <w:noProof/>
                <w:webHidden/>
              </w:rPr>
            </w:r>
            <w:r w:rsidRPr="00FF0098">
              <w:rPr>
                <w:noProof/>
                <w:webHidden/>
              </w:rPr>
              <w:fldChar w:fldCharType="separate"/>
            </w:r>
            <w:r w:rsidR="00457B98">
              <w:rPr>
                <w:noProof/>
                <w:webHidden/>
              </w:rPr>
              <w:t>77</w:t>
            </w:r>
            <w:r w:rsidRPr="00FF0098">
              <w:rPr>
                <w:noProof/>
                <w:webHidden/>
              </w:rPr>
              <w:fldChar w:fldCharType="end"/>
            </w:r>
          </w:hyperlink>
        </w:p>
        <w:p w14:paraId="3D0DEAD0" w14:textId="66DFA9C7"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71" w:history="1">
            <w:r w:rsidRPr="00FF0098">
              <w:rPr>
                <w:rStyle w:val="Hyperlink"/>
                <w:noProof/>
                <w:sz w:val="24"/>
                <w:szCs w:val="24"/>
              </w:rPr>
              <w:t>10. Target period reporting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_Toc95211871 \h </w:instrText>
            </w:r>
            <w:r w:rsidRPr="00FF0098">
              <w:rPr>
                <w:noProof/>
                <w:webHidden/>
                <w:sz w:val="24"/>
                <w:szCs w:val="24"/>
              </w:rPr>
            </w:r>
            <w:r w:rsidRPr="00FF0098">
              <w:rPr>
                <w:noProof/>
                <w:webHidden/>
                <w:sz w:val="24"/>
                <w:szCs w:val="24"/>
              </w:rPr>
              <w:fldChar w:fldCharType="separate"/>
            </w:r>
            <w:r w:rsidR="00457B98">
              <w:rPr>
                <w:noProof/>
                <w:webHidden/>
                <w:sz w:val="24"/>
                <w:szCs w:val="24"/>
              </w:rPr>
              <w:t>78</w:t>
            </w:r>
            <w:r w:rsidRPr="00FF0098">
              <w:rPr>
                <w:noProof/>
                <w:webHidden/>
                <w:sz w:val="24"/>
                <w:szCs w:val="24"/>
              </w:rPr>
              <w:fldChar w:fldCharType="end"/>
            </w:r>
          </w:hyperlink>
        </w:p>
        <w:p w14:paraId="59F5FC89" w14:textId="10D137A0"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72" w:history="1">
            <w:r w:rsidRPr="00FF0098">
              <w:rPr>
                <w:rStyle w:val="Hyperlink"/>
                <w:noProof/>
                <w:sz w:val="24"/>
                <w:szCs w:val="24"/>
              </w:rPr>
              <w:t>10.1. Introduction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_Toc95211872 \h </w:instrText>
            </w:r>
            <w:r w:rsidRPr="00FF0098">
              <w:rPr>
                <w:noProof/>
                <w:webHidden/>
                <w:sz w:val="24"/>
                <w:szCs w:val="24"/>
              </w:rPr>
            </w:r>
            <w:r w:rsidRPr="00FF0098">
              <w:rPr>
                <w:noProof/>
                <w:webHidden/>
                <w:sz w:val="24"/>
                <w:szCs w:val="24"/>
              </w:rPr>
              <w:fldChar w:fldCharType="separate"/>
            </w:r>
            <w:r w:rsidR="00457B98">
              <w:rPr>
                <w:noProof/>
                <w:webHidden/>
                <w:sz w:val="24"/>
                <w:szCs w:val="24"/>
              </w:rPr>
              <w:t>78</w:t>
            </w:r>
            <w:r w:rsidRPr="00FF0098">
              <w:rPr>
                <w:noProof/>
                <w:webHidden/>
                <w:sz w:val="24"/>
                <w:szCs w:val="24"/>
              </w:rPr>
              <w:fldChar w:fldCharType="end"/>
            </w:r>
          </w:hyperlink>
        </w:p>
        <w:p w14:paraId="4CE5FED7" w14:textId="63744BFA"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73" w:history="1">
            <w:r w:rsidRPr="00FF0098">
              <w:rPr>
                <w:rStyle w:val="Hyperlink"/>
                <w:noProof/>
                <w:sz w:val="24"/>
                <w:szCs w:val="24"/>
              </w:rPr>
              <w:t>10.2. What is target period reporting?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_Toc95211873 \h </w:instrText>
            </w:r>
            <w:r w:rsidRPr="00FF0098">
              <w:rPr>
                <w:noProof/>
                <w:webHidden/>
                <w:sz w:val="24"/>
                <w:szCs w:val="24"/>
              </w:rPr>
            </w:r>
            <w:r w:rsidRPr="00FF0098">
              <w:rPr>
                <w:noProof/>
                <w:webHidden/>
                <w:sz w:val="24"/>
                <w:szCs w:val="24"/>
              </w:rPr>
              <w:fldChar w:fldCharType="separate"/>
            </w:r>
            <w:r w:rsidR="00457B98">
              <w:rPr>
                <w:noProof/>
                <w:webHidden/>
                <w:sz w:val="24"/>
                <w:szCs w:val="24"/>
              </w:rPr>
              <w:t>78</w:t>
            </w:r>
            <w:r w:rsidRPr="00FF0098">
              <w:rPr>
                <w:noProof/>
                <w:webHidden/>
                <w:sz w:val="24"/>
                <w:szCs w:val="24"/>
              </w:rPr>
              <w:fldChar w:fldCharType="end"/>
            </w:r>
          </w:hyperlink>
        </w:p>
        <w:p w14:paraId="2E6E6D9A" w14:textId="45BC5D8C"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74" w:history="1">
            <w:r w:rsidRPr="00FF0098">
              <w:rPr>
                <w:rStyle w:val="Hyperlink"/>
                <w:noProof/>
                <w:sz w:val="24"/>
                <w:szCs w:val="24"/>
              </w:rPr>
              <w:t>10.3. The reporting process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_Toc95211874 \h </w:instrText>
            </w:r>
            <w:r w:rsidRPr="00FF0098">
              <w:rPr>
                <w:noProof/>
                <w:webHidden/>
                <w:sz w:val="24"/>
                <w:szCs w:val="24"/>
              </w:rPr>
            </w:r>
            <w:r w:rsidRPr="00FF0098">
              <w:rPr>
                <w:noProof/>
                <w:webHidden/>
                <w:sz w:val="24"/>
                <w:szCs w:val="24"/>
              </w:rPr>
              <w:fldChar w:fldCharType="separate"/>
            </w:r>
            <w:r w:rsidR="00457B98">
              <w:rPr>
                <w:noProof/>
                <w:webHidden/>
                <w:sz w:val="24"/>
                <w:szCs w:val="24"/>
              </w:rPr>
              <w:t>78</w:t>
            </w:r>
            <w:r w:rsidRPr="00FF0098">
              <w:rPr>
                <w:noProof/>
                <w:webHidden/>
                <w:sz w:val="24"/>
                <w:szCs w:val="24"/>
              </w:rPr>
              <w:fldChar w:fldCharType="end"/>
            </w:r>
          </w:hyperlink>
        </w:p>
        <w:p w14:paraId="5D6F6B36" w14:textId="496CFFA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5" w:history="1">
            <w:r w:rsidRPr="00FF0098">
              <w:rPr>
                <w:rStyle w:val="Hyperlink"/>
                <w:noProof/>
                <w:szCs w:val="24"/>
              </w:rPr>
              <w:t>10.3.1. What to report</w:t>
            </w:r>
            <w:r w:rsidRPr="00FF0098">
              <w:rPr>
                <w:noProof/>
                <w:webHidden/>
              </w:rPr>
              <w:tab/>
            </w:r>
            <w:r w:rsidRPr="00FF0098">
              <w:rPr>
                <w:noProof/>
                <w:webHidden/>
              </w:rPr>
              <w:fldChar w:fldCharType="begin"/>
            </w:r>
            <w:r w:rsidRPr="00FF0098">
              <w:rPr>
                <w:noProof/>
                <w:webHidden/>
              </w:rPr>
              <w:instrText xml:space="preserve"> PAGEREF _Toc95211875 \h </w:instrText>
            </w:r>
            <w:r w:rsidRPr="00FF0098">
              <w:rPr>
                <w:noProof/>
                <w:webHidden/>
              </w:rPr>
            </w:r>
            <w:r w:rsidRPr="00FF0098">
              <w:rPr>
                <w:noProof/>
                <w:webHidden/>
              </w:rPr>
              <w:fldChar w:fldCharType="separate"/>
            </w:r>
            <w:r w:rsidR="00457B98">
              <w:rPr>
                <w:noProof/>
                <w:webHidden/>
              </w:rPr>
              <w:t>79</w:t>
            </w:r>
            <w:r w:rsidRPr="00FF0098">
              <w:rPr>
                <w:noProof/>
                <w:webHidden/>
              </w:rPr>
              <w:fldChar w:fldCharType="end"/>
            </w:r>
          </w:hyperlink>
        </w:p>
        <w:p w14:paraId="1670CE49" w14:textId="329A0E2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6" w:history="1">
            <w:r w:rsidRPr="00FF0098">
              <w:rPr>
                <w:rStyle w:val="Hyperlink"/>
                <w:noProof/>
                <w:szCs w:val="24"/>
              </w:rPr>
              <w:t>10.3.2. What not to report</w:t>
            </w:r>
            <w:r w:rsidRPr="00FF0098">
              <w:rPr>
                <w:noProof/>
                <w:webHidden/>
              </w:rPr>
              <w:tab/>
            </w:r>
            <w:r w:rsidRPr="00FF0098">
              <w:rPr>
                <w:noProof/>
                <w:webHidden/>
              </w:rPr>
              <w:fldChar w:fldCharType="begin"/>
            </w:r>
            <w:r w:rsidRPr="00FF0098">
              <w:rPr>
                <w:noProof/>
                <w:webHidden/>
              </w:rPr>
              <w:instrText xml:space="preserve"> PAGEREF _Toc95211876 \h </w:instrText>
            </w:r>
            <w:r w:rsidRPr="00FF0098">
              <w:rPr>
                <w:noProof/>
                <w:webHidden/>
              </w:rPr>
            </w:r>
            <w:r w:rsidRPr="00FF0098">
              <w:rPr>
                <w:noProof/>
                <w:webHidden/>
              </w:rPr>
              <w:fldChar w:fldCharType="separate"/>
            </w:r>
            <w:r w:rsidR="00457B98">
              <w:rPr>
                <w:noProof/>
                <w:webHidden/>
              </w:rPr>
              <w:t>80</w:t>
            </w:r>
            <w:r w:rsidRPr="00FF0098">
              <w:rPr>
                <w:noProof/>
                <w:webHidden/>
              </w:rPr>
              <w:fldChar w:fldCharType="end"/>
            </w:r>
          </w:hyperlink>
        </w:p>
        <w:p w14:paraId="00A68DEE" w14:textId="25F1F3B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7" w:history="1">
            <w:r w:rsidRPr="00FF0098">
              <w:rPr>
                <w:rStyle w:val="Hyperlink"/>
                <w:noProof/>
                <w:szCs w:val="24"/>
              </w:rPr>
              <w:t>10.3.3. Format for reporting</w:t>
            </w:r>
            <w:r w:rsidRPr="00FF0098">
              <w:rPr>
                <w:noProof/>
                <w:webHidden/>
              </w:rPr>
              <w:tab/>
            </w:r>
            <w:r w:rsidRPr="00FF0098">
              <w:rPr>
                <w:noProof/>
                <w:webHidden/>
              </w:rPr>
              <w:fldChar w:fldCharType="begin"/>
            </w:r>
            <w:r w:rsidRPr="00FF0098">
              <w:rPr>
                <w:noProof/>
                <w:webHidden/>
              </w:rPr>
              <w:instrText xml:space="preserve"> PAGEREF _Toc95211877 \h </w:instrText>
            </w:r>
            <w:r w:rsidRPr="00FF0098">
              <w:rPr>
                <w:noProof/>
                <w:webHidden/>
              </w:rPr>
            </w:r>
            <w:r w:rsidRPr="00FF0098">
              <w:rPr>
                <w:noProof/>
                <w:webHidden/>
              </w:rPr>
              <w:fldChar w:fldCharType="separate"/>
            </w:r>
            <w:r w:rsidR="00457B98">
              <w:rPr>
                <w:noProof/>
                <w:webHidden/>
              </w:rPr>
              <w:t>80</w:t>
            </w:r>
            <w:r w:rsidRPr="00FF0098">
              <w:rPr>
                <w:noProof/>
                <w:webHidden/>
              </w:rPr>
              <w:fldChar w:fldCharType="end"/>
            </w:r>
          </w:hyperlink>
        </w:p>
        <w:p w14:paraId="109F9AE9" w14:textId="7EC376B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8" w:history="1">
            <w:r w:rsidRPr="00FF0098">
              <w:rPr>
                <w:rStyle w:val="Hyperlink"/>
                <w:noProof/>
                <w:szCs w:val="24"/>
              </w:rPr>
              <w:t>10.3.4. Who is responsible for reporting?</w:t>
            </w:r>
            <w:r w:rsidRPr="00FF0098">
              <w:rPr>
                <w:noProof/>
                <w:webHidden/>
              </w:rPr>
              <w:tab/>
            </w:r>
            <w:r w:rsidRPr="00FF0098">
              <w:rPr>
                <w:noProof/>
                <w:webHidden/>
              </w:rPr>
              <w:fldChar w:fldCharType="begin"/>
            </w:r>
            <w:r w:rsidRPr="00FF0098">
              <w:rPr>
                <w:noProof/>
                <w:webHidden/>
              </w:rPr>
              <w:instrText xml:space="preserve"> PAGEREF _Toc95211878 \h </w:instrText>
            </w:r>
            <w:r w:rsidRPr="00FF0098">
              <w:rPr>
                <w:noProof/>
                <w:webHidden/>
              </w:rPr>
            </w:r>
            <w:r w:rsidRPr="00FF0098">
              <w:rPr>
                <w:noProof/>
                <w:webHidden/>
              </w:rPr>
              <w:fldChar w:fldCharType="separate"/>
            </w:r>
            <w:r w:rsidR="00457B98">
              <w:rPr>
                <w:noProof/>
                <w:webHidden/>
              </w:rPr>
              <w:t>80</w:t>
            </w:r>
            <w:r w:rsidRPr="00FF0098">
              <w:rPr>
                <w:noProof/>
                <w:webHidden/>
              </w:rPr>
              <w:fldChar w:fldCharType="end"/>
            </w:r>
          </w:hyperlink>
        </w:p>
        <w:p w14:paraId="5606A001" w14:textId="1DCEAB1D"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79" w:history="1">
            <w:r w:rsidRPr="00FF0098">
              <w:rPr>
                <w:rStyle w:val="Hyperlink"/>
                <w:noProof/>
                <w:szCs w:val="24"/>
              </w:rPr>
              <w:t>10.3.5. Timeframes for reporting</w:t>
            </w:r>
            <w:r w:rsidRPr="00FF0098">
              <w:rPr>
                <w:noProof/>
                <w:webHidden/>
              </w:rPr>
              <w:tab/>
            </w:r>
            <w:r w:rsidRPr="00FF0098">
              <w:rPr>
                <w:noProof/>
                <w:webHidden/>
              </w:rPr>
              <w:fldChar w:fldCharType="begin"/>
            </w:r>
            <w:r w:rsidRPr="00FF0098">
              <w:rPr>
                <w:noProof/>
                <w:webHidden/>
              </w:rPr>
              <w:instrText xml:space="preserve"> PAGEREF _Toc95211879 \h </w:instrText>
            </w:r>
            <w:r w:rsidRPr="00FF0098">
              <w:rPr>
                <w:noProof/>
                <w:webHidden/>
              </w:rPr>
            </w:r>
            <w:r w:rsidRPr="00FF0098">
              <w:rPr>
                <w:noProof/>
                <w:webHidden/>
              </w:rPr>
              <w:fldChar w:fldCharType="separate"/>
            </w:r>
            <w:r w:rsidR="00457B98">
              <w:rPr>
                <w:noProof/>
                <w:webHidden/>
              </w:rPr>
              <w:t>81</w:t>
            </w:r>
            <w:r w:rsidRPr="00FF0098">
              <w:rPr>
                <w:noProof/>
                <w:webHidden/>
              </w:rPr>
              <w:fldChar w:fldCharType="end"/>
            </w:r>
          </w:hyperlink>
        </w:p>
        <w:p w14:paraId="57353704" w14:textId="0F73436B"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80" w:history="1">
            <w:r w:rsidRPr="00FF0098">
              <w:rPr>
                <w:rStyle w:val="Hyperlink"/>
                <w:noProof/>
                <w:sz w:val="24"/>
                <w:szCs w:val="24"/>
              </w:rPr>
              <w:t>10.4. Target adjustments for previous target periods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_Toc95211880 \h </w:instrText>
            </w:r>
            <w:r w:rsidRPr="00FF0098">
              <w:rPr>
                <w:noProof/>
                <w:webHidden/>
                <w:sz w:val="24"/>
                <w:szCs w:val="24"/>
              </w:rPr>
            </w:r>
            <w:r w:rsidRPr="00FF0098">
              <w:rPr>
                <w:noProof/>
                <w:webHidden/>
                <w:sz w:val="24"/>
                <w:szCs w:val="24"/>
              </w:rPr>
              <w:fldChar w:fldCharType="separate"/>
            </w:r>
            <w:r w:rsidR="00457B98">
              <w:rPr>
                <w:noProof/>
                <w:webHidden/>
                <w:sz w:val="24"/>
                <w:szCs w:val="24"/>
              </w:rPr>
              <w:t>81</w:t>
            </w:r>
            <w:r w:rsidRPr="00FF0098">
              <w:rPr>
                <w:noProof/>
                <w:webHidden/>
                <w:sz w:val="24"/>
                <w:szCs w:val="24"/>
              </w:rPr>
              <w:fldChar w:fldCharType="end"/>
            </w:r>
          </w:hyperlink>
        </w:p>
        <w:p w14:paraId="2F8C8526" w14:textId="6121C0A7"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1" w:history="1">
            <w:r w:rsidRPr="00FF0098">
              <w:rPr>
                <w:rStyle w:val="Hyperlink"/>
                <w:noProof/>
                <w:szCs w:val="24"/>
              </w:rPr>
              <w:t>10.4.2. Buy-out and surplus mechanisms</w:t>
            </w:r>
            <w:r w:rsidRPr="00FF0098">
              <w:rPr>
                <w:noProof/>
                <w:webHidden/>
              </w:rPr>
              <w:tab/>
            </w:r>
            <w:r w:rsidRPr="00FF0098">
              <w:rPr>
                <w:noProof/>
                <w:webHidden/>
              </w:rPr>
              <w:fldChar w:fldCharType="begin"/>
            </w:r>
            <w:r w:rsidRPr="00FF0098">
              <w:rPr>
                <w:noProof/>
                <w:webHidden/>
              </w:rPr>
              <w:instrText xml:space="preserve"> PAGEREF _Toc95211881 \h </w:instrText>
            </w:r>
            <w:r w:rsidRPr="00FF0098">
              <w:rPr>
                <w:noProof/>
                <w:webHidden/>
              </w:rPr>
            </w:r>
            <w:r w:rsidRPr="00FF0098">
              <w:rPr>
                <w:noProof/>
                <w:webHidden/>
              </w:rPr>
              <w:fldChar w:fldCharType="separate"/>
            </w:r>
            <w:r w:rsidR="00457B98">
              <w:rPr>
                <w:noProof/>
                <w:webHidden/>
              </w:rPr>
              <w:t>85</w:t>
            </w:r>
            <w:r w:rsidRPr="00FF0098">
              <w:rPr>
                <w:noProof/>
                <w:webHidden/>
              </w:rPr>
              <w:fldChar w:fldCharType="end"/>
            </w:r>
          </w:hyperlink>
        </w:p>
        <w:p w14:paraId="3CDCBD79" w14:textId="31AD3923"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2" w:history="1">
            <w:r w:rsidRPr="00FF0098">
              <w:rPr>
                <w:rStyle w:val="Hyperlink"/>
                <w:noProof/>
                <w:szCs w:val="24"/>
              </w:rPr>
              <w:t>10.4.3.</w:t>
            </w:r>
            <w:r w:rsidR="00FC355D">
              <w:rPr>
                <w:rStyle w:val="Hyperlink"/>
                <w:noProof/>
                <w:szCs w:val="24"/>
              </w:rPr>
              <w:t xml:space="preserve"> </w:t>
            </w:r>
            <w:r w:rsidRPr="00FF0098">
              <w:rPr>
                <w:rStyle w:val="Hyperlink"/>
                <w:noProof/>
                <w:szCs w:val="24"/>
              </w:rPr>
              <w:t>Recertification</w:t>
            </w:r>
            <w:r w:rsidRPr="00FF0098">
              <w:rPr>
                <w:noProof/>
                <w:webHidden/>
              </w:rPr>
              <w:tab/>
            </w:r>
            <w:r w:rsidRPr="00FF0098">
              <w:rPr>
                <w:noProof/>
                <w:webHidden/>
              </w:rPr>
              <w:fldChar w:fldCharType="begin"/>
            </w:r>
            <w:r w:rsidRPr="00FF0098">
              <w:rPr>
                <w:noProof/>
                <w:webHidden/>
              </w:rPr>
              <w:instrText xml:space="preserve"> PAGEREF _Toc95211882 \h </w:instrText>
            </w:r>
            <w:r w:rsidRPr="00FF0098">
              <w:rPr>
                <w:noProof/>
                <w:webHidden/>
              </w:rPr>
            </w:r>
            <w:r w:rsidRPr="00FF0098">
              <w:rPr>
                <w:noProof/>
                <w:webHidden/>
              </w:rPr>
              <w:fldChar w:fldCharType="separate"/>
            </w:r>
            <w:r w:rsidR="00457B98">
              <w:rPr>
                <w:noProof/>
                <w:webHidden/>
              </w:rPr>
              <w:t>86</w:t>
            </w:r>
            <w:r w:rsidRPr="00FF0098">
              <w:rPr>
                <w:noProof/>
                <w:webHidden/>
              </w:rPr>
              <w:fldChar w:fldCharType="end"/>
            </w:r>
          </w:hyperlink>
        </w:p>
        <w:p w14:paraId="7B5DAD69" w14:textId="1E183F41"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3" w:history="1">
            <w:r w:rsidRPr="00FF0098">
              <w:rPr>
                <w:rStyle w:val="Hyperlink"/>
                <w:noProof/>
                <w:szCs w:val="24"/>
              </w:rPr>
              <w:t>10.4.5. Calculation of surplus and buy-out for relative target units</w:t>
            </w:r>
            <w:r w:rsidRPr="00FF0098">
              <w:rPr>
                <w:noProof/>
                <w:webHidden/>
              </w:rPr>
              <w:tab/>
            </w:r>
            <w:r w:rsidRPr="00FF0098">
              <w:rPr>
                <w:noProof/>
                <w:webHidden/>
              </w:rPr>
              <w:fldChar w:fldCharType="begin"/>
            </w:r>
            <w:r w:rsidRPr="00FF0098">
              <w:rPr>
                <w:noProof/>
                <w:webHidden/>
              </w:rPr>
              <w:instrText xml:space="preserve"> PAGEREF _Toc95211883 \h </w:instrText>
            </w:r>
            <w:r w:rsidRPr="00FF0098">
              <w:rPr>
                <w:noProof/>
                <w:webHidden/>
              </w:rPr>
            </w:r>
            <w:r w:rsidRPr="00FF0098">
              <w:rPr>
                <w:noProof/>
                <w:webHidden/>
              </w:rPr>
              <w:fldChar w:fldCharType="separate"/>
            </w:r>
            <w:r w:rsidR="00457B98">
              <w:rPr>
                <w:noProof/>
                <w:webHidden/>
              </w:rPr>
              <w:t>89</w:t>
            </w:r>
            <w:r w:rsidRPr="00FF0098">
              <w:rPr>
                <w:noProof/>
                <w:webHidden/>
              </w:rPr>
              <w:fldChar w:fldCharType="end"/>
            </w:r>
          </w:hyperlink>
        </w:p>
        <w:p w14:paraId="53D288E8" w14:textId="40285859"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4" w:history="1">
            <w:r w:rsidRPr="00FF0098">
              <w:rPr>
                <w:rStyle w:val="Hyperlink"/>
                <w:noProof/>
                <w:szCs w:val="24"/>
              </w:rPr>
              <w:t>10.4.6. How to report</w:t>
            </w:r>
            <w:r w:rsidRPr="00FF0098">
              <w:rPr>
                <w:noProof/>
                <w:webHidden/>
              </w:rPr>
              <w:tab/>
            </w:r>
            <w:r w:rsidRPr="00FF0098">
              <w:rPr>
                <w:noProof/>
                <w:webHidden/>
              </w:rPr>
              <w:fldChar w:fldCharType="begin"/>
            </w:r>
            <w:r w:rsidRPr="00FF0098">
              <w:rPr>
                <w:noProof/>
                <w:webHidden/>
              </w:rPr>
              <w:instrText xml:space="preserve"> PAGEREF _Toc95211884 \h </w:instrText>
            </w:r>
            <w:r w:rsidRPr="00FF0098">
              <w:rPr>
                <w:noProof/>
                <w:webHidden/>
              </w:rPr>
            </w:r>
            <w:r w:rsidRPr="00FF0098">
              <w:rPr>
                <w:noProof/>
                <w:webHidden/>
              </w:rPr>
              <w:fldChar w:fldCharType="separate"/>
            </w:r>
            <w:r w:rsidR="00457B98">
              <w:rPr>
                <w:noProof/>
                <w:webHidden/>
              </w:rPr>
              <w:t>92</w:t>
            </w:r>
            <w:r w:rsidRPr="00FF0098">
              <w:rPr>
                <w:noProof/>
                <w:webHidden/>
              </w:rPr>
              <w:fldChar w:fldCharType="end"/>
            </w:r>
          </w:hyperlink>
        </w:p>
        <w:p w14:paraId="4EDB1E8C" w14:textId="2CD8DA6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5" w:history="1">
            <w:r w:rsidRPr="00FF0098">
              <w:rPr>
                <w:rStyle w:val="Hyperlink"/>
                <w:noProof/>
                <w:szCs w:val="24"/>
              </w:rPr>
              <w:t>10.4.7. Reporting requirements for non-standard circumstances</w:t>
            </w:r>
            <w:r w:rsidRPr="00FF0098">
              <w:rPr>
                <w:noProof/>
                <w:webHidden/>
              </w:rPr>
              <w:tab/>
            </w:r>
            <w:r w:rsidRPr="00FF0098">
              <w:rPr>
                <w:noProof/>
                <w:webHidden/>
              </w:rPr>
              <w:fldChar w:fldCharType="begin"/>
            </w:r>
            <w:r w:rsidRPr="00FF0098">
              <w:rPr>
                <w:noProof/>
                <w:webHidden/>
              </w:rPr>
              <w:instrText xml:space="preserve"> PAGEREF _Toc95211885 \h </w:instrText>
            </w:r>
            <w:r w:rsidRPr="00FF0098">
              <w:rPr>
                <w:noProof/>
                <w:webHidden/>
              </w:rPr>
            </w:r>
            <w:r w:rsidRPr="00FF0098">
              <w:rPr>
                <w:noProof/>
                <w:webHidden/>
              </w:rPr>
              <w:fldChar w:fldCharType="separate"/>
            </w:r>
            <w:r w:rsidR="00457B98">
              <w:rPr>
                <w:noProof/>
                <w:webHidden/>
              </w:rPr>
              <w:t>93</w:t>
            </w:r>
            <w:r w:rsidRPr="00FF0098">
              <w:rPr>
                <w:noProof/>
                <w:webHidden/>
              </w:rPr>
              <w:fldChar w:fldCharType="end"/>
            </w:r>
          </w:hyperlink>
        </w:p>
        <w:p w14:paraId="472FBAC6" w14:textId="51BB1B9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86" w:history="1">
            <w:r w:rsidRPr="00FF0098">
              <w:rPr>
                <w:rStyle w:val="Hyperlink"/>
                <w:noProof/>
                <w:sz w:val="24"/>
                <w:szCs w:val="24"/>
              </w:rPr>
              <w:t>10.5. Treatment of errors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_Toc95211886 \h </w:instrText>
            </w:r>
            <w:r w:rsidRPr="00FF0098">
              <w:rPr>
                <w:noProof/>
                <w:webHidden/>
                <w:sz w:val="24"/>
                <w:szCs w:val="24"/>
              </w:rPr>
            </w:r>
            <w:r w:rsidRPr="00FF0098">
              <w:rPr>
                <w:noProof/>
                <w:webHidden/>
                <w:sz w:val="24"/>
                <w:szCs w:val="24"/>
              </w:rPr>
              <w:fldChar w:fldCharType="separate"/>
            </w:r>
            <w:r w:rsidR="00457B98">
              <w:rPr>
                <w:noProof/>
                <w:webHidden/>
                <w:sz w:val="24"/>
                <w:szCs w:val="24"/>
              </w:rPr>
              <w:t>97</w:t>
            </w:r>
            <w:r w:rsidRPr="00FF0098">
              <w:rPr>
                <w:noProof/>
                <w:webHidden/>
                <w:sz w:val="24"/>
                <w:szCs w:val="24"/>
              </w:rPr>
              <w:fldChar w:fldCharType="end"/>
            </w:r>
          </w:hyperlink>
        </w:p>
        <w:p w14:paraId="0D1D1693" w14:textId="5A2313EA"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7" w:history="1">
            <w:r w:rsidRPr="00FF0098">
              <w:rPr>
                <w:rStyle w:val="Hyperlink"/>
                <w:noProof/>
                <w:szCs w:val="24"/>
              </w:rPr>
              <w:t>10.5.1. Resubmissions prior to 1 May reporting deadline</w:t>
            </w:r>
            <w:r w:rsidRPr="00FF0098">
              <w:rPr>
                <w:noProof/>
                <w:webHidden/>
              </w:rPr>
              <w:tab/>
            </w:r>
            <w:r w:rsidRPr="00FF0098">
              <w:rPr>
                <w:noProof/>
                <w:webHidden/>
              </w:rPr>
              <w:fldChar w:fldCharType="begin"/>
            </w:r>
            <w:r w:rsidRPr="00FF0098">
              <w:rPr>
                <w:noProof/>
                <w:webHidden/>
              </w:rPr>
              <w:instrText xml:space="preserve"> PAGEREF _Toc95211887 \h </w:instrText>
            </w:r>
            <w:r w:rsidRPr="00FF0098">
              <w:rPr>
                <w:noProof/>
                <w:webHidden/>
              </w:rPr>
            </w:r>
            <w:r w:rsidRPr="00FF0098">
              <w:rPr>
                <w:noProof/>
                <w:webHidden/>
              </w:rPr>
              <w:fldChar w:fldCharType="separate"/>
            </w:r>
            <w:r w:rsidR="00457B98">
              <w:rPr>
                <w:noProof/>
                <w:webHidden/>
              </w:rPr>
              <w:t>97</w:t>
            </w:r>
            <w:r w:rsidRPr="00FF0098">
              <w:rPr>
                <w:noProof/>
                <w:webHidden/>
              </w:rPr>
              <w:fldChar w:fldCharType="end"/>
            </w:r>
          </w:hyperlink>
        </w:p>
        <w:p w14:paraId="2FF7B44F" w14:textId="052109DC"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8" w:history="1">
            <w:r w:rsidRPr="00FF0098">
              <w:rPr>
                <w:rStyle w:val="Hyperlink"/>
                <w:noProof/>
                <w:szCs w:val="24"/>
              </w:rPr>
              <w:t>10.5.2. Resubmissions through secondary reporting</w:t>
            </w:r>
            <w:r w:rsidRPr="00FF0098">
              <w:rPr>
                <w:noProof/>
                <w:webHidden/>
              </w:rPr>
              <w:tab/>
            </w:r>
            <w:r w:rsidRPr="00FF0098">
              <w:rPr>
                <w:noProof/>
                <w:webHidden/>
              </w:rPr>
              <w:fldChar w:fldCharType="begin"/>
            </w:r>
            <w:r w:rsidRPr="00FF0098">
              <w:rPr>
                <w:noProof/>
                <w:webHidden/>
              </w:rPr>
              <w:instrText xml:space="preserve"> PAGEREF _Toc95211888 \h </w:instrText>
            </w:r>
            <w:r w:rsidRPr="00FF0098">
              <w:rPr>
                <w:noProof/>
                <w:webHidden/>
              </w:rPr>
            </w:r>
            <w:r w:rsidRPr="00FF0098">
              <w:rPr>
                <w:noProof/>
                <w:webHidden/>
              </w:rPr>
              <w:fldChar w:fldCharType="separate"/>
            </w:r>
            <w:r w:rsidR="00457B98">
              <w:rPr>
                <w:noProof/>
                <w:webHidden/>
              </w:rPr>
              <w:t>97</w:t>
            </w:r>
            <w:r w:rsidRPr="00FF0098">
              <w:rPr>
                <w:noProof/>
                <w:webHidden/>
              </w:rPr>
              <w:fldChar w:fldCharType="end"/>
            </w:r>
          </w:hyperlink>
        </w:p>
        <w:p w14:paraId="4CCD094C" w14:textId="114CEEC5"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89" w:history="1">
            <w:r w:rsidRPr="00FF0098">
              <w:rPr>
                <w:rStyle w:val="Hyperlink"/>
                <w:noProof/>
                <w:szCs w:val="24"/>
              </w:rPr>
              <w:t>10.5.3. Re-assessing performance against the target and changes to surplus or buy-out following secondary reporting</w:t>
            </w:r>
            <w:r w:rsidRPr="00FF0098">
              <w:rPr>
                <w:noProof/>
                <w:webHidden/>
              </w:rPr>
              <w:tab/>
            </w:r>
            <w:r w:rsidRPr="00FF0098">
              <w:rPr>
                <w:noProof/>
                <w:webHidden/>
              </w:rPr>
              <w:fldChar w:fldCharType="begin"/>
            </w:r>
            <w:r w:rsidRPr="00FF0098">
              <w:rPr>
                <w:noProof/>
                <w:webHidden/>
              </w:rPr>
              <w:instrText xml:space="preserve"> PAGEREF _Toc95211889 \h </w:instrText>
            </w:r>
            <w:r w:rsidRPr="00FF0098">
              <w:rPr>
                <w:noProof/>
                <w:webHidden/>
              </w:rPr>
            </w:r>
            <w:r w:rsidRPr="00FF0098">
              <w:rPr>
                <w:noProof/>
                <w:webHidden/>
              </w:rPr>
              <w:fldChar w:fldCharType="separate"/>
            </w:r>
            <w:r w:rsidR="00457B98">
              <w:rPr>
                <w:noProof/>
                <w:webHidden/>
              </w:rPr>
              <w:t>98</w:t>
            </w:r>
            <w:r w:rsidRPr="00FF0098">
              <w:rPr>
                <w:noProof/>
                <w:webHidden/>
              </w:rPr>
              <w:fldChar w:fldCharType="end"/>
            </w:r>
          </w:hyperlink>
        </w:p>
        <w:p w14:paraId="70EA9733" w14:textId="6F3C3189"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0" w:history="1">
            <w:r w:rsidRPr="00FF0098">
              <w:rPr>
                <w:rStyle w:val="Hyperlink"/>
                <w:noProof/>
                <w:sz w:val="24"/>
                <w:szCs w:val="24"/>
              </w:rPr>
              <w:t>11. List of abbreviations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_Toc95211890 \h </w:instrText>
            </w:r>
            <w:r w:rsidRPr="00FF0098">
              <w:rPr>
                <w:noProof/>
                <w:webHidden/>
                <w:sz w:val="24"/>
                <w:szCs w:val="24"/>
              </w:rPr>
            </w:r>
            <w:r w:rsidRPr="00FF0098">
              <w:rPr>
                <w:noProof/>
                <w:webHidden/>
                <w:sz w:val="24"/>
                <w:szCs w:val="24"/>
              </w:rPr>
              <w:fldChar w:fldCharType="separate"/>
            </w:r>
            <w:r w:rsidR="00457B98">
              <w:rPr>
                <w:noProof/>
                <w:webHidden/>
                <w:sz w:val="24"/>
                <w:szCs w:val="24"/>
              </w:rPr>
              <w:t>99</w:t>
            </w:r>
            <w:r w:rsidRPr="00FF0098">
              <w:rPr>
                <w:noProof/>
                <w:webHidden/>
                <w:sz w:val="24"/>
                <w:szCs w:val="24"/>
              </w:rPr>
              <w:fldChar w:fldCharType="end"/>
            </w:r>
          </w:hyperlink>
        </w:p>
        <w:p w14:paraId="72B783A0" w14:textId="7922F25A"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1" w:history="1">
            <w:r w:rsidRPr="00FF0098">
              <w:rPr>
                <w:rStyle w:val="Hyperlink"/>
                <w:noProof/>
                <w:sz w:val="24"/>
                <w:szCs w:val="24"/>
              </w:rPr>
              <w:t>12. Glossary</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_Toc95211891 \h </w:instrText>
            </w:r>
            <w:r w:rsidRPr="00FF0098">
              <w:rPr>
                <w:noProof/>
                <w:webHidden/>
                <w:sz w:val="24"/>
                <w:szCs w:val="24"/>
              </w:rPr>
            </w:r>
            <w:r w:rsidRPr="00FF0098">
              <w:rPr>
                <w:noProof/>
                <w:webHidden/>
                <w:sz w:val="24"/>
                <w:szCs w:val="24"/>
              </w:rPr>
              <w:fldChar w:fldCharType="separate"/>
            </w:r>
            <w:r w:rsidR="00457B98">
              <w:rPr>
                <w:noProof/>
                <w:webHidden/>
                <w:sz w:val="24"/>
                <w:szCs w:val="24"/>
              </w:rPr>
              <w:t>100</w:t>
            </w:r>
            <w:r w:rsidRPr="00FF0098">
              <w:rPr>
                <w:noProof/>
                <w:webHidden/>
                <w:sz w:val="24"/>
                <w:szCs w:val="24"/>
              </w:rPr>
              <w:fldChar w:fldCharType="end"/>
            </w:r>
          </w:hyperlink>
        </w:p>
        <w:p w14:paraId="054173F6" w14:textId="00BD9D67"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2" w:history="1">
            <w:r w:rsidRPr="00FF0098">
              <w:rPr>
                <w:rStyle w:val="Hyperlink"/>
                <w:noProof/>
                <w:sz w:val="24"/>
                <w:szCs w:val="24"/>
              </w:rPr>
              <w:t>Appendix A: Eligible processes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_Toc95211892 \h </w:instrText>
            </w:r>
            <w:r w:rsidRPr="00FF0098">
              <w:rPr>
                <w:noProof/>
                <w:webHidden/>
                <w:sz w:val="24"/>
                <w:szCs w:val="24"/>
              </w:rPr>
            </w:r>
            <w:r w:rsidRPr="00FF0098">
              <w:rPr>
                <w:noProof/>
                <w:webHidden/>
                <w:sz w:val="24"/>
                <w:szCs w:val="24"/>
              </w:rPr>
              <w:fldChar w:fldCharType="separate"/>
            </w:r>
            <w:r w:rsidR="00457B98">
              <w:rPr>
                <w:noProof/>
                <w:webHidden/>
                <w:sz w:val="24"/>
                <w:szCs w:val="24"/>
              </w:rPr>
              <w:t>111</w:t>
            </w:r>
            <w:r w:rsidRPr="00FF0098">
              <w:rPr>
                <w:noProof/>
                <w:webHidden/>
                <w:sz w:val="24"/>
                <w:szCs w:val="24"/>
              </w:rPr>
              <w:fldChar w:fldCharType="end"/>
            </w:r>
          </w:hyperlink>
        </w:p>
        <w:p w14:paraId="3B0A47F5" w14:textId="035B7AE6"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3" w:history="1">
            <w:r w:rsidRPr="00FF0098">
              <w:rPr>
                <w:rStyle w:val="Hyperlink"/>
                <w:noProof/>
                <w:sz w:val="24"/>
                <w:szCs w:val="24"/>
              </w:rPr>
              <w:t>Appendix B: Register user guide for operators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_Toc95211893 \h </w:instrText>
            </w:r>
            <w:r w:rsidRPr="00FF0098">
              <w:rPr>
                <w:noProof/>
                <w:webHidden/>
                <w:sz w:val="24"/>
                <w:szCs w:val="24"/>
              </w:rPr>
            </w:r>
            <w:r w:rsidRPr="00FF0098">
              <w:rPr>
                <w:noProof/>
                <w:webHidden/>
                <w:sz w:val="24"/>
                <w:szCs w:val="24"/>
              </w:rPr>
              <w:fldChar w:fldCharType="separate"/>
            </w:r>
            <w:r w:rsidR="00457B98">
              <w:rPr>
                <w:noProof/>
                <w:webHidden/>
                <w:sz w:val="24"/>
                <w:szCs w:val="24"/>
              </w:rPr>
              <w:t>123</w:t>
            </w:r>
            <w:r w:rsidRPr="00FF0098">
              <w:rPr>
                <w:noProof/>
                <w:webHidden/>
                <w:sz w:val="24"/>
                <w:szCs w:val="24"/>
              </w:rPr>
              <w:fldChar w:fldCharType="end"/>
            </w:r>
          </w:hyperlink>
        </w:p>
        <w:p w14:paraId="14776690" w14:textId="5363626E"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94" w:history="1">
            <w:r w:rsidRPr="00FF0098">
              <w:rPr>
                <w:rStyle w:val="Hyperlink"/>
                <w:noProof/>
                <w:sz w:val="24"/>
                <w:szCs w:val="24"/>
              </w:rPr>
              <w:t>B.1 Requesting access to the register</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_Toc95211894 \h </w:instrText>
            </w:r>
            <w:r w:rsidRPr="00FF0098">
              <w:rPr>
                <w:noProof/>
                <w:webHidden/>
                <w:sz w:val="24"/>
                <w:szCs w:val="24"/>
              </w:rPr>
            </w:r>
            <w:r w:rsidRPr="00FF0098">
              <w:rPr>
                <w:noProof/>
                <w:webHidden/>
                <w:sz w:val="24"/>
                <w:szCs w:val="24"/>
              </w:rPr>
              <w:fldChar w:fldCharType="separate"/>
            </w:r>
            <w:r w:rsidR="00457B98">
              <w:rPr>
                <w:noProof/>
                <w:webHidden/>
                <w:sz w:val="24"/>
                <w:szCs w:val="24"/>
              </w:rPr>
              <w:t>123</w:t>
            </w:r>
            <w:r w:rsidRPr="00FF0098">
              <w:rPr>
                <w:noProof/>
                <w:webHidden/>
                <w:sz w:val="24"/>
                <w:szCs w:val="24"/>
              </w:rPr>
              <w:fldChar w:fldCharType="end"/>
            </w:r>
          </w:hyperlink>
        </w:p>
        <w:p w14:paraId="43A64CA6" w14:textId="5ACE4C1B"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895" w:history="1">
            <w:r w:rsidRPr="00FF0098">
              <w:rPr>
                <w:rStyle w:val="Hyperlink"/>
                <w:noProof/>
                <w:sz w:val="24"/>
                <w:szCs w:val="24"/>
              </w:rPr>
              <w:t>B.2 Logging in to the register</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_Toc95211895 \h </w:instrText>
            </w:r>
            <w:r w:rsidRPr="00FF0098">
              <w:rPr>
                <w:noProof/>
                <w:webHidden/>
                <w:sz w:val="24"/>
                <w:szCs w:val="24"/>
              </w:rPr>
            </w:r>
            <w:r w:rsidRPr="00FF0098">
              <w:rPr>
                <w:noProof/>
                <w:webHidden/>
                <w:sz w:val="24"/>
                <w:szCs w:val="24"/>
              </w:rPr>
              <w:fldChar w:fldCharType="separate"/>
            </w:r>
            <w:r w:rsidR="00457B98">
              <w:rPr>
                <w:noProof/>
                <w:webHidden/>
                <w:sz w:val="24"/>
                <w:szCs w:val="24"/>
              </w:rPr>
              <w:t>123</w:t>
            </w:r>
            <w:r w:rsidRPr="00FF0098">
              <w:rPr>
                <w:noProof/>
                <w:webHidden/>
                <w:sz w:val="24"/>
                <w:szCs w:val="24"/>
              </w:rPr>
              <w:fldChar w:fldCharType="end"/>
            </w:r>
          </w:hyperlink>
        </w:p>
        <w:p w14:paraId="5DD747D5" w14:textId="19A4F09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96" w:history="1">
            <w:r w:rsidRPr="00FF0098">
              <w:rPr>
                <w:rStyle w:val="Hyperlink"/>
                <w:noProof/>
                <w:szCs w:val="24"/>
              </w:rPr>
              <w:t>B.3 Navigating around the register</w:t>
            </w:r>
            <w:r w:rsidRPr="00FF0098">
              <w:rPr>
                <w:noProof/>
                <w:webHidden/>
              </w:rPr>
              <w:tab/>
            </w:r>
            <w:r w:rsidRPr="00FF0098">
              <w:rPr>
                <w:noProof/>
                <w:webHidden/>
              </w:rPr>
              <w:fldChar w:fldCharType="begin"/>
            </w:r>
            <w:r w:rsidRPr="00FF0098">
              <w:rPr>
                <w:noProof/>
                <w:webHidden/>
              </w:rPr>
              <w:instrText xml:space="preserve"> PAGEREF _Toc95211896 \h </w:instrText>
            </w:r>
            <w:r w:rsidRPr="00FF0098">
              <w:rPr>
                <w:noProof/>
                <w:webHidden/>
              </w:rPr>
            </w:r>
            <w:r w:rsidRPr="00FF0098">
              <w:rPr>
                <w:noProof/>
                <w:webHidden/>
              </w:rPr>
              <w:fldChar w:fldCharType="separate"/>
            </w:r>
            <w:r w:rsidR="00457B98">
              <w:rPr>
                <w:noProof/>
                <w:webHidden/>
              </w:rPr>
              <w:t>124</w:t>
            </w:r>
            <w:r w:rsidRPr="00FF0098">
              <w:rPr>
                <w:noProof/>
                <w:webHidden/>
              </w:rPr>
              <w:fldChar w:fldCharType="end"/>
            </w:r>
          </w:hyperlink>
        </w:p>
        <w:p w14:paraId="26EB93D1" w14:textId="60C22B5A"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7" w:history="1">
            <w:r w:rsidRPr="00FF0098">
              <w:rPr>
                <w:rStyle w:val="Hyperlink"/>
                <w:noProof/>
                <w:sz w:val="24"/>
                <w:szCs w:val="24"/>
              </w:rPr>
              <w:t>Appendix C: Qualifying renewable fuels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_Toc95211897 \h </w:instrText>
            </w:r>
            <w:r w:rsidRPr="00FF0098">
              <w:rPr>
                <w:noProof/>
                <w:webHidden/>
                <w:sz w:val="24"/>
                <w:szCs w:val="24"/>
              </w:rPr>
            </w:r>
            <w:r w:rsidRPr="00FF0098">
              <w:rPr>
                <w:noProof/>
                <w:webHidden/>
                <w:sz w:val="24"/>
                <w:szCs w:val="24"/>
              </w:rPr>
              <w:fldChar w:fldCharType="separate"/>
            </w:r>
            <w:r w:rsidR="00457B98">
              <w:rPr>
                <w:noProof/>
                <w:webHidden/>
                <w:sz w:val="24"/>
                <w:szCs w:val="24"/>
              </w:rPr>
              <w:t>126</w:t>
            </w:r>
            <w:r w:rsidRPr="00FF0098">
              <w:rPr>
                <w:noProof/>
                <w:webHidden/>
                <w:sz w:val="24"/>
                <w:szCs w:val="24"/>
              </w:rPr>
              <w:fldChar w:fldCharType="end"/>
            </w:r>
          </w:hyperlink>
        </w:p>
        <w:p w14:paraId="36927FCF" w14:textId="36CA8728"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898" w:history="1">
            <w:r w:rsidRPr="00FF0098">
              <w:rPr>
                <w:rStyle w:val="Hyperlink"/>
                <w:b/>
                <w:noProof/>
                <w:szCs w:val="24"/>
              </w:rPr>
              <w:t>Table D.1: Qualifying renewable fuels</w:t>
            </w:r>
            <w:r w:rsidRPr="00FF0098">
              <w:rPr>
                <w:noProof/>
                <w:webHidden/>
              </w:rPr>
              <w:tab/>
            </w:r>
            <w:r w:rsidRPr="00FF0098">
              <w:rPr>
                <w:noProof/>
                <w:webHidden/>
              </w:rPr>
              <w:fldChar w:fldCharType="begin"/>
            </w:r>
            <w:r w:rsidRPr="00FF0098">
              <w:rPr>
                <w:noProof/>
                <w:webHidden/>
              </w:rPr>
              <w:instrText xml:space="preserve"> PAGEREF _Toc95211898 \h </w:instrText>
            </w:r>
            <w:r w:rsidRPr="00FF0098">
              <w:rPr>
                <w:noProof/>
                <w:webHidden/>
              </w:rPr>
            </w:r>
            <w:r w:rsidRPr="00FF0098">
              <w:rPr>
                <w:noProof/>
                <w:webHidden/>
              </w:rPr>
              <w:fldChar w:fldCharType="separate"/>
            </w:r>
            <w:r w:rsidR="00457B98">
              <w:rPr>
                <w:noProof/>
                <w:webHidden/>
              </w:rPr>
              <w:t>126</w:t>
            </w:r>
            <w:r w:rsidRPr="00FF0098">
              <w:rPr>
                <w:noProof/>
                <w:webHidden/>
              </w:rPr>
              <w:fldChar w:fldCharType="end"/>
            </w:r>
          </w:hyperlink>
        </w:p>
        <w:p w14:paraId="2D3DFB99" w14:textId="6385FFEE"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899" w:history="1">
            <w:r w:rsidRPr="00FF0098">
              <w:rPr>
                <w:rStyle w:val="Hyperlink"/>
                <w:noProof/>
                <w:sz w:val="24"/>
                <w:szCs w:val="24"/>
              </w:rPr>
              <w:t>Appendix D: Calculation methods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_Toc95211899 \h </w:instrText>
            </w:r>
            <w:r w:rsidRPr="00FF0098">
              <w:rPr>
                <w:noProof/>
                <w:webHidden/>
                <w:sz w:val="24"/>
                <w:szCs w:val="24"/>
              </w:rPr>
            </w:r>
            <w:r w:rsidRPr="00FF0098">
              <w:rPr>
                <w:noProof/>
                <w:webHidden/>
                <w:sz w:val="24"/>
                <w:szCs w:val="24"/>
              </w:rPr>
              <w:fldChar w:fldCharType="separate"/>
            </w:r>
            <w:r w:rsidR="00457B98">
              <w:rPr>
                <w:noProof/>
                <w:webHidden/>
                <w:sz w:val="24"/>
                <w:szCs w:val="24"/>
              </w:rPr>
              <w:t>127</w:t>
            </w:r>
            <w:r w:rsidRPr="00FF0098">
              <w:rPr>
                <w:noProof/>
                <w:webHidden/>
                <w:sz w:val="24"/>
                <w:szCs w:val="24"/>
              </w:rPr>
              <w:fldChar w:fldCharType="end"/>
            </w:r>
          </w:hyperlink>
        </w:p>
        <w:p w14:paraId="3DE9D66D" w14:textId="760CACDB"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0" w:history="1">
            <w:r w:rsidRPr="00FF0098">
              <w:rPr>
                <w:rStyle w:val="Hyperlink"/>
                <w:noProof/>
                <w:sz w:val="24"/>
                <w:szCs w:val="24"/>
              </w:rPr>
              <w:t>D.1 Accounting for CHP in the CCA scheme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_Toc95211900 \h </w:instrText>
            </w:r>
            <w:r w:rsidRPr="00FF0098">
              <w:rPr>
                <w:noProof/>
                <w:webHidden/>
                <w:sz w:val="24"/>
                <w:szCs w:val="24"/>
              </w:rPr>
            </w:r>
            <w:r w:rsidRPr="00FF0098">
              <w:rPr>
                <w:noProof/>
                <w:webHidden/>
                <w:sz w:val="24"/>
                <w:szCs w:val="24"/>
              </w:rPr>
              <w:fldChar w:fldCharType="separate"/>
            </w:r>
            <w:r w:rsidR="00457B98">
              <w:rPr>
                <w:noProof/>
                <w:webHidden/>
                <w:sz w:val="24"/>
                <w:szCs w:val="24"/>
              </w:rPr>
              <w:t>127</w:t>
            </w:r>
            <w:r w:rsidRPr="00FF0098">
              <w:rPr>
                <w:noProof/>
                <w:webHidden/>
                <w:sz w:val="24"/>
                <w:szCs w:val="24"/>
              </w:rPr>
              <w:fldChar w:fldCharType="end"/>
            </w:r>
          </w:hyperlink>
        </w:p>
        <w:p w14:paraId="4ED3F621" w14:textId="6EBD33CB"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1" w:history="1">
            <w:r w:rsidRPr="00FF0098">
              <w:rPr>
                <w:rStyle w:val="Hyperlink"/>
                <w:noProof/>
                <w:sz w:val="24"/>
                <w:szCs w:val="24"/>
              </w:rPr>
              <w:t>D.2 CHP special reporting methodology</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_Toc95211901 \h </w:instrText>
            </w:r>
            <w:r w:rsidRPr="00FF0098">
              <w:rPr>
                <w:noProof/>
                <w:webHidden/>
                <w:sz w:val="24"/>
                <w:szCs w:val="24"/>
              </w:rPr>
            </w:r>
            <w:r w:rsidRPr="00FF0098">
              <w:rPr>
                <w:noProof/>
                <w:webHidden/>
                <w:sz w:val="24"/>
                <w:szCs w:val="24"/>
              </w:rPr>
              <w:fldChar w:fldCharType="separate"/>
            </w:r>
            <w:r w:rsidR="00457B98">
              <w:rPr>
                <w:noProof/>
                <w:webHidden/>
                <w:sz w:val="24"/>
                <w:szCs w:val="24"/>
              </w:rPr>
              <w:t>137</w:t>
            </w:r>
            <w:r w:rsidRPr="00FF0098">
              <w:rPr>
                <w:noProof/>
                <w:webHidden/>
                <w:sz w:val="24"/>
                <w:szCs w:val="24"/>
              </w:rPr>
              <w:fldChar w:fldCharType="end"/>
            </w:r>
          </w:hyperlink>
        </w:p>
        <w:p w14:paraId="3496245C" w14:textId="251DF8B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2" w:history="1">
            <w:r w:rsidRPr="00FF0098">
              <w:rPr>
                <w:rStyle w:val="Hyperlink"/>
                <w:noProof/>
                <w:sz w:val="24"/>
                <w:szCs w:val="24"/>
              </w:rPr>
              <w:t>D.3 Inclusion and exclusion of facilities in a target unit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_Toc95211902 \h </w:instrText>
            </w:r>
            <w:r w:rsidRPr="00FF0098">
              <w:rPr>
                <w:noProof/>
                <w:webHidden/>
                <w:sz w:val="24"/>
                <w:szCs w:val="24"/>
              </w:rPr>
            </w:r>
            <w:r w:rsidRPr="00FF0098">
              <w:rPr>
                <w:noProof/>
                <w:webHidden/>
                <w:sz w:val="24"/>
                <w:szCs w:val="24"/>
              </w:rPr>
              <w:fldChar w:fldCharType="separate"/>
            </w:r>
            <w:r w:rsidR="00457B98">
              <w:rPr>
                <w:noProof/>
                <w:webHidden/>
                <w:sz w:val="24"/>
                <w:szCs w:val="24"/>
              </w:rPr>
              <w:t>138</w:t>
            </w:r>
            <w:r w:rsidRPr="00FF0098">
              <w:rPr>
                <w:noProof/>
                <w:webHidden/>
                <w:sz w:val="24"/>
                <w:szCs w:val="24"/>
              </w:rPr>
              <w:fldChar w:fldCharType="end"/>
            </w:r>
          </w:hyperlink>
        </w:p>
        <w:p w14:paraId="7EFDA520" w14:textId="1F472478"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3" w:history="1">
            <w:r w:rsidRPr="00FF0098">
              <w:rPr>
                <w:rStyle w:val="Hyperlink"/>
                <w:noProof/>
                <w:sz w:val="24"/>
                <w:szCs w:val="24"/>
              </w:rPr>
              <w:t>D.4 How to vary the target when including and excluding a facility</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_Toc95211903 \h </w:instrText>
            </w:r>
            <w:r w:rsidRPr="00FF0098">
              <w:rPr>
                <w:noProof/>
                <w:webHidden/>
                <w:sz w:val="24"/>
                <w:szCs w:val="24"/>
              </w:rPr>
            </w:r>
            <w:r w:rsidRPr="00FF0098">
              <w:rPr>
                <w:noProof/>
                <w:webHidden/>
                <w:sz w:val="24"/>
                <w:szCs w:val="24"/>
              </w:rPr>
              <w:fldChar w:fldCharType="separate"/>
            </w:r>
            <w:r w:rsidR="00457B98">
              <w:rPr>
                <w:noProof/>
                <w:webHidden/>
                <w:sz w:val="24"/>
                <w:szCs w:val="24"/>
              </w:rPr>
              <w:t>140</w:t>
            </w:r>
            <w:r w:rsidRPr="00FF0098">
              <w:rPr>
                <w:noProof/>
                <w:webHidden/>
                <w:sz w:val="24"/>
                <w:szCs w:val="24"/>
              </w:rPr>
              <w:fldChar w:fldCharType="end"/>
            </w:r>
          </w:hyperlink>
        </w:p>
        <w:p w14:paraId="63B4B64F" w14:textId="30DD974A"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904" w:history="1">
            <w:r w:rsidRPr="00FF0098">
              <w:rPr>
                <w:rStyle w:val="Hyperlink"/>
                <w:noProof/>
                <w:sz w:val="24"/>
                <w:szCs w:val="24"/>
              </w:rPr>
              <w:t>Appendix E: Definition of an installation in the CCA scheme</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_Toc95211904 \h </w:instrText>
            </w:r>
            <w:r w:rsidRPr="00FF0098">
              <w:rPr>
                <w:noProof/>
                <w:webHidden/>
                <w:sz w:val="24"/>
                <w:szCs w:val="24"/>
              </w:rPr>
            </w:r>
            <w:r w:rsidRPr="00FF0098">
              <w:rPr>
                <w:noProof/>
                <w:webHidden/>
                <w:sz w:val="24"/>
                <w:szCs w:val="24"/>
              </w:rPr>
              <w:fldChar w:fldCharType="separate"/>
            </w:r>
            <w:r w:rsidR="00457B98">
              <w:rPr>
                <w:noProof/>
                <w:webHidden/>
                <w:sz w:val="24"/>
                <w:szCs w:val="24"/>
              </w:rPr>
              <w:t>142</w:t>
            </w:r>
            <w:r w:rsidRPr="00FF0098">
              <w:rPr>
                <w:noProof/>
                <w:webHidden/>
                <w:sz w:val="24"/>
                <w:szCs w:val="24"/>
              </w:rPr>
              <w:fldChar w:fldCharType="end"/>
            </w:r>
          </w:hyperlink>
        </w:p>
        <w:p w14:paraId="26C2CDF1" w14:textId="130E575F"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905" w:history="1">
            <w:r w:rsidRPr="00FF0098">
              <w:rPr>
                <w:rStyle w:val="Hyperlink"/>
                <w:b/>
                <w:noProof/>
                <w:szCs w:val="24"/>
              </w:rPr>
              <w:t>Limb (i) of the definition</w:t>
            </w:r>
            <w:r w:rsidRPr="00FF0098">
              <w:rPr>
                <w:noProof/>
                <w:webHidden/>
              </w:rPr>
              <w:tab/>
            </w:r>
            <w:r w:rsidRPr="00FF0098">
              <w:rPr>
                <w:noProof/>
                <w:webHidden/>
              </w:rPr>
              <w:fldChar w:fldCharType="begin"/>
            </w:r>
            <w:r w:rsidRPr="00FF0098">
              <w:rPr>
                <w:noProof/>
                <w:webHidden/>
              </w:rPr>
              <w:instrText xml:space="preserve"> PAGEREF _Toc95211905 \h </w:instrText>
            </w:r>
            <w:r w:rsidRPr="00FF0098">
              <w:rPr>
                <w:noProof/>
                <w:webHidden/>
              </w:rPr>
            </w:r>
            <w:r w:rsidRPr="00FF0098">
              <w:rPr>
                <w:noProof/>
                <w:webHidden/>
              </w:rPr>
              <w:fldChar w:fldCharType="separate"/>
            </w:r>
            <w:r w:rsidR="00457B98">
              <w:rPr>
                <w:noProof/>
                <w:webHidden/>
              </w:rPr>
              <w:t>142</w:t>
            </w:r>
            <w:r w:rsidRPr="00FF0098">
              <w:rPr>
                <w:noProof/>
                <w:webHidden/>
              </w:rPr>
              <w:fldChar w:fldCharType="end"/>
            </w:r>
          </w:hyperlink>
        </w:p>
        <w:p w14:paraId="1A6356D8" w14:textId="67EFF7B7"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906" w:history="1">
            <w:r w:rsidRPr="00FF0098">
              <w:rPr>
                <w:rStyle w:val="Hyperlink"/>
                <w:b/>
                <w:noProof/>
                <w:szCs w:val="24"/>
              </w:rPr>
              <w:t>Limb (ii) of the definition</w:t>
            </w:r>
            <w:r w:rsidRPr="00FF0098">
              <w:rPr>
                <w:noProof/>
                <w:webHidden/>
              </w:rPr>
              <w:tab/>
            </w:r>
            <w:r w:rsidRPr="00FF0098">
              <w:rPr>
                <w:noProof/>
                <w:webHidden/>
              </w:rPr>
              <w:fldChar w:fldCharType="begin"/>
            </w:r>
            <w:r w:rsidRPr="00FF0098">
              <w:rPr>
                <w:noProof/>
                <w:webHidden/>
              </w:rPr>
              <w:instrText xml:space="preserve"> PAGEREF _Toc95211906 \h </w:instrText>
            </w:r>
            <w:r w:rsidRPr="00FF0098">
              <w:rPr>
                <w:noProof/>
                <w:webHidden/>
              </w:rPr>
            </w:r>
            <w:r w:rsidRPr="00FF0098">
              <w:rPr>
                <w:noProof/>
                <w:webHidden/>
              </w:rPr>
              <w:fldChar w:fldCharType="separate"/>
            </w:r>
            <w:r w:rsidR="00457B98">
              <w:rPr>
                <w:noProof/>
                <w:webHidden/>
              </w:rPr>
              <w:t>142</w:t>
            </w:r>
            <w:r w:rsidRPr="00FF0098">
              <w:rPr>
                <w:noProof/>
                <w:webHidden/>
              </w:rPr>
              <w:fldChar w:fldCharType="end"/>
            </w:r>
          </w:hyperlink>
        </w:p>
        <w:p w14:paraId="70074A19" w14:textId="7F10193A"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907" w:history="1">
            <w:r w:rsidRPr="00FF0098">
              <w:rPr>
                <w:rStyle w:val="Hyperlink"/>
                <w:noProof/>
                <w:sz w:val="24"/>
                <w:szCs w:val="24"/>
              </w:rPr>
              <w:t>Appendix F: Estimation techniques for meter failure or fault</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_Toc95211907 \h </w:instrText>
            </w:r>
            <w:r w:rsidRPr="00FF0098">
              <w:rPr>
                <w:noProof/>
                <w:webHidden/>
                <w:sz w:val="24"/>
                <w:szCs w:val="24"/>
              </w:rPr>
            </w:r>
            <w:r w:rsidRPr="00FF0098">
              <w:rPr>
                <w:noProof/>
                <w:webHidden/>
                <w:sz w:val="24"/>
                <w:szCs w:val="24"/>
              </w:rPr>
              <w:fldChar w:fldCharType="separate"/>
            </w:r>
            <w:r w:rsidR="00457B98">
              <w:rPr>
                <w:noProof/>
                <w:webHidden/>
                <w:sz w:val="24"/>
                <w:szCs w:val="24"/>
              </w:rPr>
              <w:t>144</w:t>
            </w:r>
            <w:r w:rsidRPr="00FF0098">
              <w:rPr>
                <w:noProof/>
                <w:webHidden/>
                <w:sz w:val="24"/>
                <w:szCs w:val="24"/>
              </w:rPr>
              <w:fldChar w:fldCharType="end"/>
            </w:r>
          </w:hyperlink>
        </w:p>
        <w:p w14:paraId="62B292AC" w14:textId="5E1B37CE"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8" w:history="1">
            <w:r w:rsidRPr="00FF0098">
              <w:rPr>
                <w:rStyle w:val="Hyperlink"/>
                <w:noProof/>
                <w:sz w:val="24"/>
                <w:szCs w:val="24"/>
              </w:rPr>
              <w:t>F.1 Introduction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_Toc95211908 \h </w:instrText>
            </w:r>
            <w:r w:rsidRPr="00FF0098">
              <w:rPr>
                <w:noProof/>
                <w:webHidden/>
                <w:sz w:val="24"/>
                <w:szCs w:val="24"/>
              </w:rPr>
            </w:r>
            <w:r w:rsidRPr="00FF0098">
              <w:rPr>
                <w:noProof/>
                <w:webHidden/>
                <w:sz w:val="24"/>
                <w:szCs w:val="24"/>
              </w:rPr>
              <w:fldChar w:fldCharType="separate"/>
            </w:r>
            <w:r w:rsidR="00457B98">
              <w:rPr>
                <w:noProof/>
                <w:webHidden/>
                <w:sz w:val="24"/>
                <w:szCs w:val="24"/>
              </w:rPr>
              <w:t>144</w:t>
            </w:r>
            <w:r w:rsidRPr="00FF0098">
              <w:rPr>
                <w:noProof/>
                <w:webHidden/>
                <w:sz w:val="24"/>
                <w:szCs w:val="24"/>
              </w:rPr>
              <w:fldChar w:fldCharType="end"/>
            </w:r>
          </w:hyperlink>
        </w:p>
        <w:p w14:paraId="77B1B868" w14:textId="7EB11777"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09" w:history="1">
            <w:r w:rsidRPr="00FF0098">
              <w:rPr>
                <w:rStyle w:val="Hyperlink"/>
                <w:noProof/>
                <w:sz w:val="24"/>
                <w:szCs w:val="24"/>
              </w:rPr>
              <w:t>F.2 What are the estimation techniques?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_Toc95211909 \h </w:instrText>
            </w:r>
            <w:r w:rsidRPr="00FF0098">
              <w:rPr>
                <w:noProof/>
                <w:webHidden/>
                <w:sz w:val="24"/>
                <w:szCs w:val="24"/>
              </w:rPr>
            </w:r>
            <w:r w:rsidRPr="00FF0098">
              <w:rPr>
                <w:noProof/>
                <w:webHidden/>
                <w:sz w:val="24"/>
                <w:szCs w:val="24"/>
              </w:rPr>
              <w:fldChar w:fldCharType="separate"/>
            </w:r>
            <w:r w:rsidR="00457B98">
              <w:rPr>
                <w:noProof/>
                <w:webHidden/>
                <w:sz w:val="24"/>
                <w:szCs w:val="24"/>
              </w:rPr>
              <w:t>144</w:t>
            </w:r>
            <w:r w:rsidRPr="00FF0098">
              <w:rPr>
                <w:noProof/>
                <w:webHidden/>
                <w:sz w:val="24"/>
                <w:szCs w:val="24"/>
              </w:rPr>
              <w:fldChar w:fldCharType="end"/>
            </w:r>
          </w:hyperlink>
        </w:p>
        <w:p w14:paraId="77FC6B82" w14:textId="5B1C158F"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910" w:history="1">
            <w:r w:rsidRPr="00FF0098">
              <w:rPr>
                <w:rStyle w:val="Hyperlink"/>
                <w:noProof/>
                <w:sz w:val="24"/>
                <w:szCs w:val="24"/>
              </w:rPr>
              <w:t xml:space="preserve">Appendix G: Facility </w:t>
            </w:r>
            <w:r w:rsidR="00E75C8E">
              <w:rPr>
                <w:rStyle w:val="Hyperlink"/>
                <w:noProof/>
                <w:sz w:val="24"/>
                <w:szCs w:val="24"/>
              </w:rPr>
              <w:t>e</w:t>
            </w:r>
            <w:r w:rsidRPr="00FF0098">
              <w:rPr>
                <w:rStyle w:val="Hyperlink"/>
                <w:noProof/>
                <w:sz w:val="24"/>
                <w:szCs w:val="24"/>
              </w:rPr>
              <w:t xml:space="preserve">ligibility </w:t>
            </w:r>
            <w:r w:rsidR="00E75C8E">
              <w:rPr>
                <w:rStyle w:val="Hyperlink"/>
                <w:noProof/>
                <w:sz w:val="24"/>
                <w:szCs w:val="24"/>
              </w:rPr>
              <w:t>f</w:t>
            </w:r>
            <w:r w:rsidRPr="00FF0098">
              <w:rPr>
                <w:rStyle w:val="Hyperlink"/>
                <w:noProof/>
                <w:sz w:val="24"/>
                <w:szCs w:val="24"/>
              </w:rPr>
              <w:t>orm</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_Toc95211910 \h </w:instrText>
            </w:r>
            <w:r w:rsidRPr="00FF0098">
              <w:rPr>
                <w:noProof/>
                <w:webHidden/>
                <w:sz w:val="24"/>
                <w:szCs w:val="24"/>
              </w:rPr>
            </w:r>
            <w:r w:rsidRPr="00FF0098">
              <w:rPr>
                <w:noProof/>
                <w:webHidden/>
                <w:sz w:val="24"/>
                <w:szCs w:val="24"/>
              </w:rPr>
              <w:fldChar w:fldCharType="separate"/>
            </w:r>
            <w:r w:rsidR="00457B98">
              <w:rPr>
                <w:noProof/>
                <w:webHidden/>
                <w:sz w:val="24"/>
                <w:szCs w:val="24"/>
              </w:rPr>
              <w:t>150</w:t>
            </w:r>
            <w:r w:rsidRPr="00FF0098">
              <w:rPr>
                <w:noProof/>
                <w:webHidden/>
                <w:sz w:val="24"/>
                <w:szCs w:val="24"/>
              </w:rPr>
              <w:fldChar w:fldCharType="end"/>
            </w:r>
          </w:hyperlink>
        </w:p>
        <w:p w14:paraId="29B552A3" w14:textId="0917093F"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911" w:history="1">
            <w:r w:rsidRPr="00FF0098">
              <w:rPr>
                <w:rStyle w:val="Hyperlink"/>
                <w:noProof/>
                <w:sz w:val="24"/>
                <w:szCs w:val="24"/>
              </w:rPr>
              <w:t>Appendix H: Workbook tools</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_Toc95211911 \h </w:instrText>
            </w:r>
            <w:r w:rsidRPr="00FF0098">
              <w:rPr>
                <w:noProof/>
                <w:webHidden/>
                <w:sz w:val="24"/>
                <w:szCs w:val="24"/>
              </w:rPr>
            </w:r>
            <w:r w:rsidRPr="00FF0098">
              <w:rPr>
                <w:noProof/>
                <w:webHidden/>
                <w:sz w:val="24"/>
                <w:szCs w:val="24"/>
              </w:rPr>
              <w:fldChar w:fldCharType="separate"/>
            </w:r>
            <w:r w:rsidR="00457B98">
              <w:rPr>
                <w:noProof/>
                <w:webHidden/>
                <w:sz w:val="24"/>
                <w:szCs w:val="24"/>
              </w:rPr>
              <w:t>155</w:t>
            </w:r>
            <w:r w:rsidRPr="00FF0098">
              <w:rPr>
                <w:noProof/>
                <w:webHidden/>
                <w:sz w:val="24"/>
                <w:szCs w:val="24"/>
              </w:rPr>
              <w:fldChar w:fldCharType="end"/>
            </w:r>
          </w:hyperlink>
        </w:p>
        <w:p w14:paraId="2C300D29" w14:textId="593C8976"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912" w:history="1">
            <w:r w:rsidRPr="00FF0098">
              <w:rPr>
                <w:rStyle w:val="Hyperlink"/>
                <w:b/>
                <w:noProof/>
                <w:szCs w:val="24"/>
              </w:rPr>
              <w:t xml:space="preserve">New </w:t>
            </w:r>
            <w:r w:rsidR="00E75C8E">
              <w:rPr>
                <w:rStyle w:val="Hyperlink"/>
                <w:b/>
                <w:noProof/>
                <w:szCs w:val="24"/>
              </w:rPr>
              <w:t>e</w:t>
            </w:r>
            <w:r w:rsidRPr="00FF0098">
              <w:rPr>
                <w:rStyle w:val="Hyperlink"/>
                <w:b/>
                <w:noProof/>
                <w:szCs w:val="24"/>
              </w:rPr>
              <w:t>ntrant and variation target calculators</w:t>
            </w:r>
            <w:r w:rsidRPr="00FF0098">
              <w:rPr>
                <w:noProof/>
                <w:webHidden/>
              </w:rPr>
              <w:tab/>
            </w:r>
            <w:r w:rsidRPr="00FF0098">
              <w:rPr>
                <w:noProof/>
                <w:webHidden/>
              </w:rPr>
              <w:fldChar w:fldCharType="begin"/>
            </w:r>
            <w:r w:rsidRPr="00FF0098">
              <w:rPr>
                <w:noProof/>
                <w:webHidden/>
              </w:rPr>
              <w:instrText xml:space="preserve"> PAGEREF _Toc95211912 \h </w:instrText>
            </w:r>
            <w:r w:rsidRPr="00FF0098">
              <w:rPr>
                <w:noProof/>
                <w:webHidden/>
              </w:rPr>
            </w:r>
            <w:r w:rsidRPr="00FF0098">
              <w:rPr>
                <w:noProof/>
                <w:webHidden/>
              </w:rPr>
              <w:fldChar w:fldCharType="separate"/>
            </w:r>
            <w:r w:rsidR="00457B98">
              <w:rPr>
                <w:noProof/>
                <w:webHidden/>
              </w:rPr>
              <w:t>155</w:t>
            </w:r>
            <w:r w:rsidRPr="00FF0098">
              <w:rPr>
                <w:noProof/>
                <w:webHidden/>
              </w:rPr>
              <w:fldChar w:fldCharType="end"/>
            </w:r>
          </w:hyperlink>
        </w:p>
        <w:p w14:paraId="4A759E7B" w14:textId="24104BC2"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913" w:history="1">
            <w:r w:rsidRPr="00FF0098">
              <w:rPr>
                <w:rStyle w:val="Hyperlink"/>
                <w:b/>
                <w:noProof/>
                <w:szCs w:val="24"/>
              </w:rPr>
              <w:t xml:space="preserve">Reporting </w:t>
            </w:r>
            <w:r w:rsidR="00E75C8E">
              <w:rPr>
                <w:rStyle w:val="Hyperlink"/>
                <w:b/>
                <w:noProof/>
                <w:szCs w:val="24"/>
              </w:rPr>
              <w:t>v</w:t>
            </w:r>
            <w:r w:rsidRPr="00FF0098">
              <w:rPr>
                <w:rStyle w:val="Hyperlink"/>
                <w:b/>
                <w:noProof/>
                <w:szCs w:val="24"/>
              </w:rPr>
              <w:t xml:space="preserve">ariation </w:t>
            </w:r>
            <w:r w:rsidR="00E75C8E">
              <w:rPr>
                <w:rStyle w:val="Hyperlink"/>
                <w:b/>
                <w:noProof/>
                <w:szCs w:val="24"/>
              </w:rPr>
              <w:t>t</w:t>
            </w:r>
            <w:r w:rsidRPr="00FF0098">
              <w:rPr>
                <w:rStyle w:val="Hyperlink"/>
                <w:b/>
                <w:noProof/>
                <w:szCs w:val="24"/>
              </w:rPr>
              <w:t>arget calculators</w:t>
            </w:r>
            <w:r w:rsidRPr="00FF0098">
              <w:rPr>
                <w:noProof/>
                <w:webHidden/>
              </w:rPr>
              <w:tab/>
            </w:r>
            <w:r w:rsidRPr="00FF0098">
              <w:rPr>
                <w:noProof/>
                <w:webHidden/>
              </w:rPr>
              <w:fldChar w:fldCharType="begin"/>
            </w:r>
            <w:r w:rsidRPr="00FF0098">
              <w:rPr>
                <w:noProof/>
                <w:webHidden/>
              </w:rPr>
              <w:instrText xml:space="preserve"> PAGEREF _Toc95211913 \h </w:instrText>
            </w:r>
            <w:r w:rsidRPr="00FF0098">
              <w:rPr>
                <w:noProof/>
                <w:webHidden/>
              </w:rPr>
            </w:r>
            <w:r w:rsidRPr="00FF0098">
              <w:rPr>
                <w:noProof/>
                <w:webHidden/>
              </w:rPr>
              <w:fldChar w:fldCharType="separate"/>
            </w:r>
            <w:r w:rsidR="00457B98">
              <w:rPr>
                <w:noProof/>
                <w:webHidden/>
              </w:rPr>
              <w:t>156</w:t>
            </w:r>
            <w:r w:rsidRPr="00FF0098">
              <w:rPr>
                <w:noProof/>
                <w:webHidden/>
              </w:rPr>
              <w:fldChar w:fldCharType="end"/>
            </w:r>
          </w:hyperlink>
        </w:p>
        <w:p w14:paraId="1D4DC48E" w14:textId="0A30638E" w:rsidR="002737EF" w:rsidRPr="00FF0098" w:rsidRDefault="002737EF" w:rsidP="00FC355D">
          <w:pPr>
            <w:pStyle w:val="TOC3"/>
            <w:spacing w:before="0" w:beforeAutospacing="0" w:after="0" w:afterAutospacing="0" w:line="360" w:lineRule="auto"/>
            <w:rPr>
              <w:rFonts w:eastAsiaTheme="minorEastAsia"/>
              <w:noProof/>
              <w:color w:val="auto"/>
            </w:rPr>
          </w:pPr>
          <w:hyperlink w:anchor="_Toc95211914" w:history="1">
            <w:r w:rsidRPr="00FF0098">
              <w:rPr>
                <w:rStyle w:val="Hyperlink"/>
                <w:b/>
                <w:noProof/>
                <w:szCs w:val="24"/>
              </w:rPr>
              <w:t>Reporting spreadsheet templates</w:t>
            </w:r>
            <w:r w:rsidRPr="00FF0098">
              <w:rPr>
                <w:noProof/>
                <w:webHidden/>
              </w:rPr>
              <w:tab/>
            </w:r>
            <w:r w:rsidRPr="00FF0098">
              <w:rPr>
                <w:noProof/>
                <w:webHidden/>
              </w:rPr>
              <w:fldChar w:fldCharType="begin"/>
            </w:r>
            <w:r w:rsidRPr="00FF0098">
              <w:rPr>
                <w:noProof/>
                <w:webHidden/>
              </w:rPr>
              <w:instrText xml:space="preserve"> PAGEREF _Toc95211914 \h </w:instrText>
            </w:r>
            <w:r w:rsidRPr="00FF0098">
              <w:rPr>
                <w:noProof/>
                <w:webHidden/>
              </w:rPr>
            </w:r>
            <w:r w:rsidRPr="00FF0098">
              <w:rPr>
                <w:noProof/>
                <w:webHidden/>
              </w:rPr>
              <w:fldChar w:fldCharType="separate"/>
            </w:r>
            <w:r w:rsidR="00457B98">
              <w:rPr>
                <w:noProof/>
                <w:webHidden/>
              </w:rPr>
              <w:t>157</w:t>
            </w:r>
            <w:r w:rsidRPr="00FF0098">
              <w:rPr>
                <w:noProof/>
                <w:webHidden/>
              </w:rPr>
              <w:fldChar w:fldCharType="end"/>
            </w:r>
          </w:hyperlink>
        </w:p>
        <w:p w14:paraId="4B7A3654" w14:textId="372FFBE6" w:rsidR="002737EF" w:rsidRPr="00FF0098" w:rsidRDefault="002737EF" w:rsidP="00FC355D">
          <w:pPr>
            <w:pStyle w:val="TOC1"/>
            <w:tabs>
              <w:tab w:val="left" w:pos="0"/>
              <w:tab w:val="right" w:leader="dot" w:pos="10372"/>
            </w:tabs>
            <w:spacing w:after="0" w:line="360" w:lineRule="auto"/>
            <w:ind w:left="0" w:firstLine="0"/>
            <w:rPr>
              <w:rFonts w:eastAsiaTheme="minorEastAsia"/>
              <w:b w:val="0"/>
              <w:noProof/>
              <w:color w:val="auto"/>
              <w:sz w:val="24"/>
              <w:szCs w:val="24"/>
            </w:rPr>
          </w:pPr>
          <w:hyperlink w:anchor="_Toc95211915" w:history="1">
            <w:r w:rsidRPr="00FF0098">
              <w:rPr>
                <w:rStyle w:val="Hyperlink"/>
                <w:noProof/>
                <w:sz w:val="24"/>
                <w:szCs w:val="24"/>
              </w:rPr>
              <w:t xml:space="preserve">Appendix I: The </w:t>
            </w:r>
            <w:r w:rsidR="00E75C8E">
              <w:rPr>
                <w:rStyle w:val="Hyperlink"/>
                <w:noProof/>
                <w:sz w:val="24"/>
                <w:szCs w:val="24"/>
              </w:rPr>
              <w:t>r</w:t>
            </w:r>
            <w:r w:rsidRPr="00FF0098">
              <w:rPr>
                <w:rStyle w:val="Hyperlink"/>
                <w:noProof/>
                <w:sz w:val="24"/>
                <w:szCs w:val="24"/>
              </w:rPr>
              <w:t xml:space="preserve">eporting </w:t>
            </w:r>
            <w:r w:rsidR="00E75C8E">
              <w:rPr>
                <w:rStyle w:val="Hyperlink"/>
                <w:noProof/>
                <w:sz w:val="24"/>
                <w:szCs w:val="24"/>
              </w:rPr>
              <w:t>w</w:t>
            </w:r>
            <w:r w:rsidRPr="00FF0098">
              <w:rPr>
                <w:rStyle w:val="Hyperlink"/>
                <w:noProof/>
                <w:sz w:val="24"/>
                <w:szCs w:val="24"/>
              </w:rPr>
              <w:t>orkbook</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_Toc95211915 \h </w:instrText>
            </w:r>
            <w:r w:rsidRPr="00FF0098">
              <w:rPr>
                <w:noProof/>
                <w:webHidden/>
                <w:sz w:val="24"/>
                <w:szCs w:val="24"/>
              </w:rPr>
            </w:r>
            <w:r w:rsidRPr="00FF0098">
              <w:rPr>
                <w:noProof/>
                <w:webHidden/>
                <w:sz w:val="24"/>
                <w:szCs w:val="24"/>
              </w:rPr>
              <w:fldChar w:fldCharType="separate"/>
            </w:r>
            <w:r w:rsidR="00457B98">
              <w:rPr>
                <w:noProof/>
                <w:webHidden/>
                <w:sz w:val="24"/>
                <w:szCs w:val="24"/>
              </w:rPr>
              <w:t>158</w:t>
            </w:r>
            <w:r w:rsidRPr="00FF0098">
              <w:rPr>
                <w:noProof/>
                <w:webHidden/>
                <w:sz w:val="24"/>
                <w:szCs w:val="24"/>
              </w:rPr>
              <w:fldChar w:fldCharType="end"/>
            </w:r>
          </w:hyperlink>
        </w:p>
        <w:p w14:paraId="2A831DF1" w14:textId="6B779155"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16" w:history="1">
            <w:r w:rsidRPr="00FF0098">
              <w:rPr>
                <w:rStyle w:val="Hyperlink"/>
                <w:noProof/>
                <w:sz w:val="24"/>
                <w:szCs w:val="24"/>
              </w:rPr>
              <w:t>I.1 Completing the reporting workbook</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_Toc95211916 \h </w:instrText>
            </w:r>
            <w:r w:rsidRPr="00FF0098">
              <w:rPr>
                <w:noProof/>
                <w:webHidden/>
                <w:sz w:val="24"/>
                <w:szCs w:val="24"/>
              </w:rPr>
            </w:r>
            <w:r w:rsidRPr="00FF0098">
              <w:rPr>
                <w:noProof/>
                <w:webHidden/>
                <w:sz w:val="24"/>
                <w:szCs w:val="24"/>
              </w:rPr>
              <w:fldChar w:fldCharType="separate"/>
            </w:r>
            <w:r w:rsidR="00457B98">
              <w:rPr>
                <w:noProof/>
                <w:webHidden/>
                <w:sz w:val="24"/>
                <w:szCs w:val="24"/>
              </w:rPr>
              <w:t>158</w:t>
            </w:r>
            <w:r w:rsidRPr="00FF0098">
              <w:rPr>
                <w:noProof/>
                <w:webHidden/>
                <w:sz w:val="24"/>
                <w:szCs w:val="24"/>
              </w:rPr>
              <w:fldChar w:fldCharType="end"/>
            </w:r>
          </w:hyperlink>
        </w:p>
        <w:p w14:paraId="03206FD6" w14:textId="52CFA808"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17" w:history="1">
            <w:r w:rsidRPr="00FF0098">
              <w:rPr>
                <w:rStyle w:val="Hyperlink"/>
                <w:noProof/>
                <w:sz w:val="24"/>
                <w:szCs w:val="24"/>
              </w:rPr>
              <w:t>I.2 Submitting data for reporting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_Toc95211917 \h </w:instrText>
            </w:r>
            <w:r w:rsidRPr="00FF0098">
              <w:rPr>
                <w:noProof/>
                <w:webHidden/>
                <w:sz w:val="24"/>
                <w:szCs w:val="24"/>
              </w:rPr>
            </w:r>
            <w:r w:rsidRPr="00FF0098">
              <w:rPr>
                <w:noProof/>
                <w:webHidden/>
                <w:sz w:val="24"/>
                <w:szCs w:val="24"/>
              </w:rPr>
              <w:fldChar w:fldCharType="separate"/>
            </w:r>
            <w:r w:rsidR="00457B98">
              <w:rPr>
                <w:noProof/>
                <w:webHidden/>
                <w:sz w:val="24"/>
                <w:szCs w:val="24"/>
              </w:rPr>
              <w:t>162</w:t>
            </w:r>
            <w:r w:rsidRPr="00FF0098">
              <w:rPr>
                <w:noProof/>
                <w:webHidden/>
                <w:sz w:val="24"/>
                <w:szCs w:val="24"/>
              </w:rPr>
              <w:fldChar w:fldCharType="end"/>
            </w:r>
          </w:hyperlink>
        </w:p>
        <w:p w14:paraId="0E6F0A96" w14:textId="43084BDF"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18" w:history="1">
            <w:r w:rsidRPr="00FF0098">
              <w:rPr>
                <w:rStyle w:val="Hyperlink"/>
                <w:noProof/>
                <w:sz w:val="24"/>
                <w:szCs w:val="24"/>
              </w:rPr>
              <w:t>I.3 IT compatibility</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_Toc95211918 \h </w:instrText>
            </w:r>
            <w:r w:rsidRPr="00FF0098">
              <w:rPr>
                <w:noProof/>
                <w:webHidden/>
                <w:sz w:val="24"/>
                <w:szCs w:val="24"/>
              </w:rPr>
            </w:r>
            <w:r w:rsidRPr="00FF0098">
              <w:rPr>
                <w:noProof/>
                <w:webHidden/>
                <w:sz w:val="24"/>
                <w:szCs w:val="24"/>
              </w:rPr>
              <w:fldChar w:fldCharType="separate"/>
            </w:r>
            <w:r w:rsidR="00457B98">
              <w:rPr>
                <w:noProof/>
                <w:webHidden/>
                <w:sz w:val="24"/>
                <w:szCs w:val="24"/>
              </w:rPr>
              <w:t>165</w:t>
            </w:r>
            <w:r w:rsidRPr="00FF0098">
              <w:rPr>
                <w:noProof/>
                <w:webHidden/>
                <w:sz w:val="24"/>
                <w:szCs w:val="24"/>
              </w:rPr>
              <w:fldChar w:fldCharType="end"/>
            </w:r>
          </w:hyperlink>
        </w:p>
        <w:p w14:paraId="54F5C58E" w14:textId="11842226" w:rsidR="002737EF" w:rsidRPr="00FF0098" w:rsidRDefault="002737EF" w:rsidP="00FC355D">
          <w:pPr>
            <w:pStyle w:val="TOC2"/>
            <w:tabs>
              <w:tab w:val="left" w:pos="0"/>
              <w:tab w:val="right" w:leader="dot" w:pos="10372"/>
            </w:tabs>
            <w:spacing w:after="0" w:line="360" w:lineRule="auto"/>
            <w:ind w:left="0"/>
            <w:rPr>
              <w:rFonts w:eastAsiaTheme="minorEastAsia"/>
              <w:noProof/>
              <w:color w:val="auto"/>
              <w:sz w:val="24"/>
              <w:szCs w:val="24"/>
            </w:rPr>
          </w:pPr>
          <w:hyperlink w:anchor="_Toc95211919" w:history="1">
            <w:r w:rsidRPr="00FF0098">
              <w:rPr>
                <w:rStyle w:val="Hyperlink"/>
                <w:noProof/>
                <w:sz w:val="24"/>
                <w:szCs w:val="24"/>
              </w:rPr>
              <w:t>I.4 Register information</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_Toc95211919 \h </w:instrText>
            </w:r>
            <w:r w:rsidRPr="00FF0098">
              <w:rPr>
                <w:noProof/>
                <w:webHidden/>
                <w:sz w:val="24"/>
                <w:szCs w:val="24"/>
              </w:rPr>
            </w:r>
            <w:r w:rsidRPr="00FF0098">
              <w:rPr>
                <w:noProof/>
                <w:webHidden/>
                <w:sz w:val="24"/>
                <w:szCs w:val="24"/>
              </w:rPr>
              <w:fldChar w:fldCharType="separate"/>
            </w:r>
            <w:r w:rsidR="00457B98">
              <w:rPr>
                <w:noProof/>
                <w:webHidden/>
                <w:sz w:val="24"/>
                <w:szCs w:val="24"/>
              </w:rPr>
              <w:t>165</w:t>
            </w:r>
            <w:r w:rsidRPr="00FF0098">
              <w:rPr>
                <w:noProof/>
                <w:webHidden/>
                <w:sz w:val="24"/>
                <w:szCs w:val="24"/>
              </w:rPr>
              <w:fldChar w:fldCharType="end"/>
            </w:r>
          </w:hyperlink>
        </w:p>
        <w:p w14:paraId="38B09FA9" w14:textId="05B620E9" w:rsidR="00026E66" w:rsidRPr="00FF0098" w:rsidRDefault="002737EF" w:rsidP="00FC355D">
          <w:pPr>
            <w:pStyle w:val="TOC2"/>
            <w:tabs>
              <w:tab w:val="left" w:pos="0"/>
              <w:tab w:val="right" w:leader="dot" w:pos="10372"/>
            </w:tabs>
            <w:spacing w:after="0" w:line="360" w:lineRule="auto"/>
            <w:ind w:left="0"/>
          </w:pPr>
          <w:hyperlink w:anchor="_Toc95211920" w:history="1">
            <w:r w:rsidRPr="00FF0098">
              <w:rPr>
                <w:rStyle w:val="Hyperlink"/>
                <w:noProof/>
                <w:sz w:val="24"/>
                <w:szCs w:val="24"/>
              </w:rPr>
              <w:t>I.5 Secondary reporting</w:t>
            </w:r>
            <w:r w:rsidRPr="00FF0098">
              <w:rPr>
                <w:noProof/>
                <w:webHidden/>
                <w:sz w:val="24"/>
                <w:szCs w:val="24"/>
              </w:rPr>
              <w:tab/>
            </w:r>
            <w:r w:rsidRPr="00FF0098">
              <w:rPr>
                <w:noProof/>
                <w:webHidden/>
                <w:sz w:val="24"/>
                <w:szCs w:val="24"/>
              </w:rPr>
              <w:fldChar w:fldCharType="begin"/>
            </w:r>
            <w:r w:rsidRPr="00FF0098">
              <w:rPr>
                <w:noProof/>
                <w:webHidden/>
                <w:sz w:val="24"/>
                <w:szCs w:val="24"/>
              </w:rPr>
              <w:instrText xml:space="preserve"> PAGEREF _Toc95211920 \h </w:instrText>
            </w:r>
            <w:r w:rsidRPr="00FF0098">
              <w:rPr>
                <w:noProof/>
                <w:webHidden/>
                <w:sz w:val="24"/>
                <w:szCs w:val="24"/>
              </w:rPr>
            </w:r>
            <w:r w:rsidRPr="00FF0098">
              <w:rPr>
                <w:noProof/>
                <w:webHidden/>
                <w:sz w:val="24"/>
                <w:szCs w:val="24"/>
              </w:rPr>
              <w:fldChar w:fldCharType="separate"/>
            </w:r>
            <w:r w:rsidR="00457B98">
              <w:rPr>
                <w:noProof/>
                <w:webHidden/>
                <w:sz w:val="24"/>
                <w:szCs w:val="24"/>
              </w:rPr>
              <w:t>165</w:t>
            </w:r>
            <w:r w:rsidRPr="00FF0098">
              <w:rPr>
                <w:noProof/>
                <w:webHidden/>
                <w:sz w:val="24"/>
                <w:szCs w:val="24"/>
              </w:rPr>
              <w:fldChar w:fldCharType="end"/>
            </w:r>
          </w:hyperlink>
          <w:r w:rsidRPr="00FF0098">
            <w:rPr>
              <w:b/>
              <w:bCs/>
              <w:noProof/>
              <w:sz w:val="24"/>
              <w:szCs w:val="24"/>
            </w:rPr>
            <w:fldChar w:fldCharType="end"/>
          </w:r>
        </w:p>
      </w:sdtContent>
    </w:sdt>
    <w:p w14:paraId="7E91BFD8" w14:textId="31FF791A" w:rsidR="00026E66" w:rsidRDefault="002737EF" w:rsidP="00DD721B">
      <w:pPr>
        <w:pStyle w:val="Heading1"/>
      </w:pPr>
      <w:bookmarkStart w:id="0" w:name="_Toc94718625"/>
      <w:bookmarkStart w:id="1" w:name="_Toc94088873"/>
      <w:bookmarkStart w:id="2" w:name="_Toc95211758"/>
      <w:r>
        <w:lastRenderedPageBreak/>
        <w:t>1. Introduction</w:t>
      </w:r>
      <w:bookmarkEnd w:id="0"/>
      <w:bookmarkEnd w:id="1"/>
      <w:bookmarkEnd w:id="2"/>
      <w:r>
        <w:t xml:space="preserve"> </w:t>
      </w:r>
    </w:p>
    <w:p w14:paraId="3879C066" w14:textId="4A464AB0" w:rsidR="00026E66" w:rsidRDefault="002737EF" w:rsidP="00FC355D">
      <w:r>
        <w:t>The Climate Change Agreements (CCA) scheme is a voluntary scheme administered by the Environment Agency on behalf of the Department for Business Energy and Industrial Strategy (BEIS) for the whole of the UK.</w:t>
      </w:r>
      <w:r w:rsidR="00FC355D">
        <w:t xml:space="preserve"> </w:t>
      </w:r>
      <w:r>
        <w:t xml:space="preserve">It enables holders of climate change agreements to claim a discount on the Climate Change Levy (CCL) – </w:t>
      </w:r>
      <w:r>
        <w:rPr>
          <w:lang w:val="en"/>
        </w:rPr>
        <w:t>a tax on energy use in industry, commerce and the public sector. In exchange, participants are required to meet energy efficiency improvement targets agreed between government and sector associations</w:t>
      </w:r>
      <w:r>
        <w:t>.</w:t>
      </w:r>
    </w:p>
    <w:p w14:paraId="31D6D781" w14:textId="385BDFD3" w:rsidR="00026E66" w:rsidRDefault="002737EF" w:rsidP="00FC355D">
      <w:r>
        <w:rPr>
          <w:color w:val="auto"/>
        </w:rPr>
        <w:t xml:space="preserve">The current scheme started on 1 April 2013 and was </w:t>
      </w:r>
      <w:r>
        <w:rPr>
          <w:color w:val="auto"/>
          <w:szCs w:val="24"/>
        </w:rPr>
        <w:t>scheduled</w:t>
      </w:r>
      <w:r>
        <w:rPr>
          <w:color w:val="auto"/>
        </w:rPr>
        <w:t xml:space="preserve"> to </w:t>
      </w:r>
      <w:r>
        <w:rPr>
          <w:color w:val="auto"/>
          <w:szCs w:val="24"/>
        </w:rPr>
        <w:t>run until</w:t>
      </w:r>
      <w:r>
        <w:rPr>
          <w:color w:val="auto"/>
        </w:rPr>
        <w:t xml:space="preserve"> 31 March 2023</w:t>
      </w:r>
      <w:r>
        <w:rPr>
          <w:color w:val="auto"/>
          <w:szCs w:val="24"/>
        </w:rPr>
        <w:t xml:space="preserve"> in 4 Target Periods.</w:t>
      </w:r>
      <w:r w:rsidR="00FC355D">
        <w:rPr>
          <w:color w:val="auto"/>
          <w:szCs w:val="24"/>
        </w:rPr>
        <w:t xml:space="preserve"> </w:t>
      </w:r>
      <w:r>
        <w:rPr>
          <w:color w:val="auto"/>
          <w:szCs w:val="24"/>
        </w:rPr>
        <w:t>The scheme was</w:t>
      </w:r>
      <w:r>
        <w:rPr>
          <w:color w:val="auto"/>
        </w:rPr>
        <w:t xml:space="preserve"> extended </w:t>
      </w:r>
      <w:r>
        <w:rPr>
          <w:color w:val="auto"/>
          <w:szCs w:val="24"/>
        </w:rPr>
        <w:t>for 2 years until March 2025 in</w:t>
      </w:r>
      <w:r>
        <w:rPr>
          <w:color w:val="auto"/>
        </w:rPr>
        <w:t xml:space="preserve"> a fifth Target Period </w:t>
      </w:r>
      <w:r>
        <w:rPr>
          <w:color w:val="auto"/>
          <w:szCs w:val="24"/>
        </w:rPr>
        <w:t xml:space="preserve">which added new targets </w:t>
      </w:r>
      <w:r>
        <w:rPr>
          <w:color w:val="auto"/>
        </w:rPr>
        <w:t xml:space="preserve">and </w:t>
      </w:r>
      <w:r>
        <w:rPr>
          <w:color w:val="auto"/>
          <w:szCs w:val="24"/>
        </w:rPr>
        <w:t xml:space="preserve">enabled new entrants to apply to enter </w:t>
      </w:r>
      <w:r>
        <w:rPr>
          <w:color w:val="auto"/>
        </w:rPr>
        <w:t>the scheme</w:t>
      </w:r>
      <w:r>
        <w:rPr>
          <w:color w:val="auto"/>
          <w:szCs w:val="24"/>
        </w:rPr>
        <w:t xml:space="preserve">. </w:t>
      </w:r>
      <w:r>
        <w:t xml:space="preserve">The Operations Manual provides technical advice on how to apply for and maintain your Climate Change Agreement and covers the updated requirements of the extension. It also provides technical advice on the scheme rules and our administration of the scheme. </w:t>
      </w:r>
    </w:p>
    <w:p w14:paraId="1A165086" w14:textId="45787E63" w:rsidR="00026E66" w:rsidRDefault="002737EF" w:rsidP="00FC355D">
      <w:pPr>
        <w:rPr>
          <w:color w:val="auto"/>
        </w:rPr>
      </w:pPr>
      <w:r>
        <w:rPr>
          <w:color w:val="auto"/>
          <w:szCs w:val="24"/>
        </w:rPr>
        <w:t>Some</w:t>
      </w:r>
      <w:r>
        <w:rPr>
          <w:color w:val="auto"/>
        </w:rPr>
        <w:t xml:space="preserve"> of the </w:t>
      </w:r>
      <w:r>
        <w:rPr>
          <w:color w:val="auto"/>
          <w:szCs w:val="24"/>
        </w:rPr>
        <w:t>scheme</w:t>
      </w:r>
      <w:r>
        <w:rPr>
          <w:color w:val="auto"/>
        </w:rPr>
        <w:t xml:space="preserve"> rules are mandatory</w:t>
      </w:r>
      <w:r>
        <w:rPr>
          <w:color w:val="auto"/>
          <w:szCs w:val="24"/>
        </w:rPr>
        <w:t xml:space="preserve"> whereas</w:t>
      </w:r>
      <w:r>
        <w:rPr>
          <w:color w:val="auto"/>
        </w:rPr>
        <w:t xml:space="preserve"> others </w:t>
      </w:r>
      <w:r>
        <w:rPr>
          <w:color w:val="auto"/>
          <w:szCs w:val="24"/>
        </w:rPr>
        <w:t>are optional, depending</w:t>
      </w:r>
      <w:r>
        <w:rPr>
          <w:color w:val="auto"/>
        </w:rPr>
        <w:t xml:space="preserve"> on your circumstances.</w:t>
      </w:r>
      <w:r w:rsidR="00FC355D">
        <w:rPr>
          <w:color w:val="auto"/>
        </w:rPr>
        <w:t xml:space="preserve"> </w:t>
      </w:r>
      <w:r>
        <w:rPr>
          <w:color w:val="auto"/>
        </w:rPr>
        <w:t>You should be aware that once you have signed up to an agreement it may not be possible to change these optional rules, and this may affect the demonstration of performance against your targets.</w:t>
      </w:r>
      <w:r w:rsidR="00FC355D">
        <w:rPr>
          <w:color w:val="auto"/>
        </w:rPr>
        <w:t xml:space="preserve"> </w:t>
      </w:r>
      <w:r>
        <w:rPr>
          <w:color w:val="auto"/>
        </w:rPr>
        <w:t>You should seek your own separate advice on whether to apply for an agreement and the type of agreement that is most appropriate for your individual circumstances.</w:t>
      </w:r>
    </w:p>
    <w:p w14:paraId="15A62308" w14:textId="1530D65A" w:rsidR="005A4AE8" w:rsidRDefault="005A4AE8" w:rsidP="00FC355D">
      <w:r w:rsidRPr="005A4AE8">
        <w:t>An existing or new operator may take over facilities already included in an agreement.</w:t>
      </w:r>
      <w:r w:rsidR="00FC355D">
        <w:t xml:space="preserve"> </w:t>
      </w:r>
      <w:r w:rsidRPr="005A4AE8">
        <w:t>Please keep this in mind when reading this manual, especially sections 2, 4 and 7.</w:t>
      </w:r>
    </w:p>
    <w:p w14:paraId="7A11F340" w14:textId="77777777" w:rsidR="00026E66" w:rsidRDefault="002737EF" w:rsidP="00FF0098">
      <w:pPr>
        <w:pStyle w:val="Heading2"/>
        <w:tabs>
          <w:tab w:val="left" w:pos="0"/>
        </w:tabs>
      </w:pPr>
      <w:bookmarkStart w:id="3" w:name="_Toc94718626"/>
      <w:bookmarkStart w:id="4" w:name="_Toc94088874"/>
      <w:bookmarkStart w:id="5" w:name="_Toc95211759"/>
      <w:r>
        <w:t>1.1. Using the manual</w:t>
      </w:r>
      <w:bookmarkEnd w:id="3"/>
      <w:bookmarkEnd w:id="4"/>
      <w:bookmarkEnd w:id="5"/>
      <w:r>
        <w:t xml:space="preserve"> </w:t>
      </w:r>
    </w:p>
    <w:p w14:paraId="2FDA754E" w14:textId="77777777" w:rsidR="00026E66" w:rsidRDefault="002737EF" w:rsidP="00FC355D">
      <w:r>
        <w:t xml:space="preserve">This manual is intended to be read on-screen as it contains hyperlinks to other sections or to external documents and websites. If you have followed an internal link and wish to return to your previous location, hold down the ALT key and then press the left arrow on your keyboard. </w:t>
      </w:r>
    </w:p>
    <w:p w14:paraId="6AD30900" w14:textId="77777777" w:rsidR="00026E66" w:rsidRDefault="002737EF" w:rsidP="00FC355D">
      <w:r>
        <w:t>Links to external documents and websites were checked as of January 2022.</w:t>
      </w:r>
    </w:p>
    <w:p w14:paraId="3E618D74" w14:textId="4DFC8B44" w:rsidR="00DD721B" w:rsidRDefault="002737EF" w:rsidP="00FC355D">
      <w:r>
        <w:t xml:space="preserve">This manual will </w:t>
      </w:r>
      <w:r w:rsidRPr="003B23F0">
        <w:t xml:space="preserve">be updated periodically. Please check </w:t>
      </w:r>
      <w:r w:rsidR="003B23F0">
        <w:t xml:space="preserve">the </w:t>
      </w:r>
      <w:hyperlink r:id="rId18" w:history="1">
        <w:r w:rsidR="003B23F0">
          <w:rPr>
            <w:color w:val="0070C0"/>
            <w:u w:val="single" w:color="0077B9"/>
          </w:rPr>
          <w:t>Climate Change Agreements Operations Manual</w:t>
        </w:r>
      </w:hyperlink>
      <w:r w:rsidR="003B23F0">
        <w:t xml:space="preserve"> webpage t</w:t>
      </w:r>
      <w:r>
        <w:t xml:space="preserve">o ensure you are using the most recent version. </w:t>
      </w:r>
    </w:p>
    <w:p w14:paraId="5CBEFF90" w14:textId="77777777" w:rsidR="00DD721B" w:rsidRDefault="00DD721B">
      <w:pPr>
        <w:suppressAutoHyphens w:val="0"/>
        <w:spacing w:before="0" w:beforeAutospacing="0" w:after="160" w:afterAutospacing="0" w:line="256" w:lineRule="auto"/>
      </w:pPr>
      <w:r>
        <w:br w:type="page"/>
      </w:r>
    </w:p>
    <w:p w14:paraId="3F7C6578" w14:textId="77777777" w:rsidR="00026E66" w:rsidRDefault="002737EF" w:rsidP="00FF0098">
      <w:pPr>
        <w:pStyle w:val="Heading1"/>
        <w:tabs>
          <w:tab w:val="left" w:pos="0"/>
        </w:tabs>
      </w:pPr>
      <w:bookmarkStart w:id="6" w:name="_Toc94718627"/>
      <w:bookmarkStart w:id="7" w:name="_Toc94088875"/>
      <w:bookmarkStart w:id="8" w:name="_Toc95211760"/>
      <w:r>
        <w:lastRenderedPageBreak/>
        <w:t>2. Getting started – important information for all operators</w:t>
      </w:r>
      <w:bookmarkEnd w:id="6"/>
      <w:bookmarkEnd w:id="7"/>
      <w:bookmarkEnd w:id="8"/>
      <w:r>
        <w:t xml:space="preserve"> </w:t>
      </w:r>
    </w:p>
    <w:p w14:paraId="224D8DA1" w14:textId="77777777" w:rsidR="00026E66" w:rsidRDefault="002737EF" w:rsidP="00FF0098">
      <w:pPr>
        <w:tabs>
          <w:tab w:val="left" w:pos="0"/>
        </w:tabs>
      </w:pPr>
      <w:r>
        <w:t xml:space="preserve">This section outlines the application process for a CCA and what can be done using the CCA register. It explains the role of the operator within the CCA scheme, including the tasks of key personnel, and which processes and products are eligible for a CCA. </w:t>
      </w:r>
    </w:p>
    <w:p w14:paraId="143F1595" w14:textId="77777777" w:rsidR="00026E66" w:rsidRDefault="002737EF" w:rsidP="00FF0098">
      <w:pPr>
        <w:pStyle w:val="Heading2"/>
        <w:tabs>
          <w:tab w:val="left" w:pos="0"/>
        </w:tabs>
      </w:pPr>
      <w:bookmarkStart w:id="9" w:name="_Toc94718628"/>
      <w:bookmarkStart w:id="10" w:name="_Toc94088876"/>
      <w:bookmarkStart w:id="11" w:name="_Toc95211761"/>
      <w:r>
        <w:t>2.1. Overview of the application process</w:t>
      </w:r>
      <w:bookmarkEnd w:id="9"/>
      <w:bookmarkEnd w:id="10"/>
      <w:bookmarkEnd w:id="11"/>
    </w:p>
    <w:p w14:paraId="50D2A73C" w14:textId="69E8F09B" w:rsidR="00026E66" w:rsidRPr="00DD721B" w:rsidRDefault="002737EF" w:rsidP="00FF0098">
      <w:pPr>
        <w:tabs>
          <w:tab w:val="left" w:pos="0"/>
        </w:tabs>
        <w:spacing w:after="0"/>
        <w:ind w:right="182"/>
      </w:pPr>
      <w:r>
        <w:rPr>
          <w:color w:val="auto"/>
        </w:rPr>
        <w:t xml:space="preserve">The process </w:t>
      </w:r>
      <w:r>
        <w:rPr>
          <w:color w:val="auto"/>
          <w:szCs w:val="24"/>
        </w:rPr>
        <w:t xml:space="preserve">to be followed by </w:t>
      </w:r>
      <w:r>
        <w:rPr>
          <w:color w:val="auto"/>
        </w:rPr>
        <w:t xml:space="preserve">a new operator to </w:t>
      </w:r>
      <w:r>
        <w:rPr>
          <w:color w:val="auto"/>
          <w:szCs w:val="24"/>
        </w:rPr>
        <w:t>obtain</w:t>
      </w:r>
      <w:r>
        <w:rPr>
          <w:color w:val="auto"/>
        </w:rPr>
        <w:t xml:space="preserve"> an underlying agreement is </w:t>
      </w:r>
      <w:r>
        <w:rPr>
          <w:color w:val="auto"/>
          <w:szCs w:val="24"/>
        </w:rPr>
        <w:t xml:space="preserve">outlined below and </w:t>
      </w:r>
      <w:r>
        <w:rPr>
          <w:color w:val="auto"/>
        </w:rPr>
        <w:t xml:space="preserve">set out </w:t>
      </w:r>
      <w:r>
        <w:rPr>
          <w:color w:val="auto"/>
          <w:szCs w:val="24"/>
        </w:rPr>
        <w:t>in sections 2 to 5</w:t>
      </w:r>
      <w:r>
        <w:rPr>
          <w:color w:val="auto"/>
        </w:rPr>
        <w:t>:</w:t>
      </w:r>
    </w:p>
    <w:p w14:paraId="3C667BBE" w14:textId="77777777" w:rsidR="00026E66" w:rsidRDefault="002737EF" w:rsidP="0065356B">
      <w:pPr>
        <w:pStyle w:val="ListParagraph"/>
        <w:numPr>
          <w:ilvl w:val="0"/>
          <w:numId w:val="19"/>
        </w:numPr>
        <w:tabs>
          <w:tab w:val="left" w:pos="0"/>
        </w:tabs>
        <w:spacing w:after="483"/>
        <w:ind w:right="491"/>
      </w:pPr>
      <w:r>
        <w:t xml:space="preserve">Section 2 describes the </w:t>
      </w:r>
      <w:r w:rsidRPr="003B23F0">
        <w:rPr>
          <w:bCs/>
          <w:szCs w:val="24"/>
        </w:rPr>
        <w:t xml:space="preserve">CCA scheme and </w:t>
      </w:r>
      <w:r>
        <w:t xml:space="preserve">outline requirements </w:t>
      </w:r>
      <w:r w:rsidRPr="003B23F0">
        <w:rPr>
          <w:bCs/>
          <w:szCs w:val="24"/>
        </w:rPr>
        <w:t>on getting started. If your site is</w:t>
      </w:r>
      <w:r>
        <w:t xml:space="preserve"> eligible </w:t>
      </w:r>
      <w:r w:rsidRPr="003B23F0">
        <w:rPr>
          <w:bCs/>
          <w:szCs w:val="24"/>
        </w:rPr>
        <w:t xml:space="preserve">then move to the next step. </w:t>
      </w:r>
    </w:p>
    <w:p w14:paraId="42A604C9" w14:textId="77777777" w:rsidR="00026E66" w:rsidRDefault="002737EF" w:rsidP="0065356B">
      <w:pPr>
        <w:pStyle w:val="ListParagraph"/>
        <w:numPr>
          <w:ilvl w:val="0"/>
          <w:numId w:val="19"/>
        </w:numPr>
        <w:tabs>
          <w:tab w:val="left" w:pos="0"/>
        </w:tabs>
        <w:spacing w:after="483"/>
        <w:ind w:right="491"/>
      </w:pPr>
      <w:r>
        <w:t>Section 3 will help you determine eligible energy, how to apportion it and how to calculate your baseline (that is, your performance in the base year</w:t>
      </w:r>
      <w:r w:rsidRPr="003B23F0">
        <w:rPr>
          <w:rFonts w:cs="Arial"/>
          <w:bCs/>
          <w:szCs w:val="24"/>
        </w:rPr>
        <w:t xml:space="preserve">). </w:t>
      </w:r>
    </w:p>
    <w:p w14:paraId="761267E9" w14:textId="77777777" w:rsidR="00026E66" w:rsidRDefault="002737EF" w:rsidP="0065356B">
      <w:pPr>
        <w:pStyle w:val="ListParagraph"/>
        <w:numPr>
          <w:ilvl w:val="0"/>
          <w:numId w:val="19"/>
        </w:numPr>
        <w:tabs>
          <w:tab w:val="left" w:pos="0"/>
        </w:tabs>
        <w:spacing w:after="483"/>
        <w:ind w:right="491"/>
      </w:pPr>
      <w:r>
        <w:t>Section 4 describes how to set up your target unit</w:t>
      </w:r>
      <w:r w:rsidRPr="003B23F0">
        <w:rPr>
          <w:rFonts w:cs="Arial"/>
          <w:bCs/>
          <w:szCs w:val="24"/>
        </w:rPr>
        <w:t xml:space="preserve">. </w:t>
      </w:r>
    </w:p>
    <w:p w14:paraId="3B294E21" w14:textId="77777777" w:rsidR="00026E66" w:rsidRDefault="002737EF" w:rsidP="0065356B">
      <w:pPr>
        <w:pStyle w:val="ListParagraph"/>
        <w:numPr>
          <w:ilvl w:val="0"/>
          <w:numId w:val="19"/>
        </w:numPr>
        <w:tabs>
          <w:tab w:val="left" w:pos="0"/>
        </w:tabs>
        <w:spacing w:after="483"/>
        <w:ind w:right="491"/>
      </w:pPr>
      <w:r>
        <w:t>Section 5 explains the CCA charges</w:t>
      </w:r>
    </w:p>
    <w:p w14:paraId="3AA724D3" w14:textId="77777777" w:rsidR="00026E66" w:rsidRDefault="002737EF" w:rsidP="00FC355D">
      <w:r>
        <w:t xml:space="preserve">Once your application is complete your sector association should submit it to the register. The Environment Agency will review the application. If approved, you will receive an email asking you to sign the underlying agreement. Signing is done by giving email 'assent'. After we have processed your email assent, we will add your facilities to the reduced rate certificate, and you will be eligible to claim the CCL relief for these facilities You will then need to work to meet targets and report emissions at the end of target periods. </w:t>
      </w:r>
    </w:p>
    <w:p w14:paraId="393C8E84" w14:textId="77777777" w:rsidR="00026E66" w:rsidRDefault="002737EF" w:rsidP="00FF0098">
      <w:pPr>
        <w:pStyle w:val="Heading2"/>
        <w:tabs>
          <w:tab w:val="left" w:pos="0"/>
        </w:tabs>
      </w:pPr>
      <w:bookmarkStart w:id="12" w:name="_Toc94718629"/>
      <w:bookmarkStart w:id="13" w:name="_Toc94088877"/>
      <w:bookmarkStart w:id="14" w:name="_Toc95211762"/>
      <w:r>
        <w:t>2.2. CCA register</w:t>
      </w:r>
      <w:bookmarkEnd w:id="12"/>
      <w:bookmarkEnd w:id="13"/>
      <w:bookmarkEnd w:id="14"/>
      <w:r>
        <w:t xml:space="preserve"> </w:t>
      </w:r>
    </w:p>
    <w:p w14:paraId="63342BF4" w14:textId="4BFCC2AB" w:rsidR="00026E66" w:rsidRDefault="002737EF" w:rsidP="00FC355D">
      <w:r>
        <w:t xml:space="preserve">All underlying agreements for the scheme are managed online via the CCA register. This includes any changes that are needed to the agreement, reporting against targets, banking of surplus and payment of buy-out if the target is not achieved. </w:t>
      </w:r>
    </w:p>
    <w:p w14:paraId="63870CD9" w14:textId="6C779634" w:rsidR="00026E66" w:rsidRDefault="002737EF" w:rsidP="00FC355D">
      <w:r>
        <w:t xml:space="preserve">Your </w:t>
      </w:r>
      <w:hyperlink w:anchor="Sectorassociation" w:history="1">
        <w:r>
          <w:rPr>
            <w:rStyle w:val="Hyperlink"/>
            <w:szCs w:val="24"/>
          </w:rPr>
          <w:t>sector association</w:t>
        </w:r>
      </w:hyperlink>
      <w:r>
        <w:rPr>
          <w:u w:val="single" w:color="0077B9"/>
        </w:rPr>
        <w:t xml:space="preserve"> </w:t>
      </w:r>
      <w:r>
        <w:t xml:space="preserve">has access to the register to manage the accounts for each of its target unit operators. Consultants working on behalf of your sector association can also have access to manage target unit information. </w:t>
      </w:r>
      <w:hyperlink r:id="rId19" w:history="1">
        <w:r w:rsidRPr="005A4AE8">
          <w:rPr>
            <w:rStyle w:val="Hyperlink"/>
            <w:szCs w:val="24"/>
          </w:rPr>
          <w:t>Access to</w:t>
        </w:r>
        <w:r w:rsidRPr="005A4AE8">
          <w:rPr>
            <w:rStyle w:val="Hyperlink"/>
          </w:rPr>
          <w:t xml:space="preserve"> the register </w:t>
        </w:r>
        <w:r w:rsidRPr="005A4AE8">
          <w:rPr>
            <w:rStyle w:val="Hyperlink"/>
            <w:szCs w:val="24"/>
          </w:rPr>
          <w:t>is a dedicated CCA webpage</w:t>
        </w:r>
      </w:hyperlink>
      <w:r>
        <w:t xml:space="preserve">. </w:t>
      </w:r>
    </w:p>
    <w:p w14:paraId="4F04DF89" w14:textId="77777777" w:rsidR="00026E66" w:rsidRDefault="002737EF" w:rsidP="00FC355D">
      <w:r>
        <w:t xml:space="preserve">Operators aren't able to edit their information in the register – this is done by the sector association or its nominated consultant. However, operators can request read access to view their </w:t>
      </w:r>
      <w:hyperlink w:anchor="Targetunit" w:history="1">
        <w:r>
          <w:rPr>
            <w:rStyle w:val="Hyperlink"/>
            <w:szCs w:val="24"/>
          </w:rPr>
          <w:t>target unit</w:t>
        </w:r>
      </w:hyperlink>
      <w:r>
        <w:rPr>
          <w:u w:val="single" w:color="0077B9"/>
        </w:rPr>
        <w:t xml:space="preserve"> </w:t>
      </w:r>
      <w:r>
        <w:t xml:space="preserve">information. Read access may be granted for up to two users per target unit, one of which must be named on the target unit </w:t>
      </w:r>
      <w:hyperlink w:anchor="Account" w:history="1">
        <w:r>
          <w:rPr>
            <w:rStyle w:val="Hyperlink"/>
            <w:szCs w:val="24"/>
          </w:rPr>
          <w:t>account</w:t>
        </w:r>
      </w:hyperlink>
      <w:r>
        <w:t xml:space="preserve">. It is possible for an operator to have one contact listed from the target unit and a nominated consultant. </w:t>
      </w:r>
    </w:p>
    <w:p w14:paraId="09006A88" w14:textId="77777777" w:rsidR="00026E66" w:rsidRDefault="002737EF" w:rsidP="00FC355D">
      <w:r>
        <w:lastRenderedPageBreak/>
        <w:t xml:space="preserve">Read-only users can view the following information relating to their target unit: </w:t>
      </w:r>
    </w:p>
    <w:p w14:paraId="70039C20" w14:textId="77777777" w:rsidR="00026E66" w:rsidRDefault="002737EF" w:rsidP="0065356B">
      <w:pPr>
        <w:pStyle w:val="ListParagraph"/>
        <w:numPr>
          <w:ilvl w:val="0"/>
          <w:numId w:val="20"/>
        </w:numPr>
        <w:tabs>
          <w:tab w:val="left" w:pos="0"/>
        </w:tabs>
        <w:spacing w:after="77" w:line="247" w:lineRule="auto"/>
        <w:ind w:right="182"/>
      </w:pPr>
      <w:r>
        <w:t xml:space="preserve">the </w:t>
      </w:r>
      <w:hyperlink w:anchor="Underlyingagreement" w:history="1">
        <w:r>
          <w:rPr>
            <w:rStyle w:val="Hyperlink"/>
          </w:rPr>
          <w:t>underlying agreement</w:t>
        </w:r>
      </w:hyperlink>
      <w:r>
        <w:t xml:space="preserve"> </w:t>
      </w:r>
    </w:p>
    <w:p w14:paraId="558964B8" w14:textId="77777777" w:rsidR="00026E66" w:rsidRDefault="002737EF" w:rsidP="0065356B">
      <w:pPr>
        <w:pStyle w:val="ListParagraph"/>
        <w:numPr>
          <w:ilvl w:val="0"/>
          <w:numId w:val="20"/>
        </w:numPr>
        <w:tabs>
          <w:tab w:val="left" w:pos="0"/>
        </w:tabs>
        <w:spacing w:after="73" w:line="244" w:lineRule="auto"/>
        <w:ind w:right="182"/>
      </w:pPr>
      <w:r w:rsidRPr="003B23F0">
        <w:rPr>
          <w:szCs w:val="24"/>
        </w:rPr>
        <w:t xml:space="preserve">any change (known as a </w:t>
      </w:r>
      <w:hyperlink w:anchor="Variation" w:history="1">
        <w:r w:rsidRPr="003B23F0">
          <w:rPr>
            <w:rStyle w:val="Hyperlink"/>
            <w:szCs w:val="24"/>
          </w:rPr>
          <w:t>variation</w:t>
        </w:r>
      </w:hyperlink>
      <w:r w:rsidRPr="003B23F0">
        <w:rPr>
          <w:szCs w:val="24"/>
        </w:rPr>
        <w:t xml:space="preserve">) made to the information held about the target unit </w:t>
      </w:r>
    </w:p>
    <w:p w14:paraId="12E9D2AB" w14:textId="77777777" w:rsidR="00026E66" w:rsidRDefault="002737EF" w:rsidP="0065356B">
      <w:pPr>
        <w:pStyle w:val="ListParagraph"/>
        <w:numPr>
          <w:ilvl w:val="0"/>
          <w:numId w:val="20"/>
        </w:numPr>
        <w:tabs>
          <w:tab w:val="left" w:pos="0"/>
        </w:tabs>
        <w:spacing w:after="78"/>
        <w:ind w:right="182"/>
      </w:pPr>
      <w:r w:rsidRPr="003B23F0">
        <w:rPr>
          <w:szCs w:val="24"/>
        </w:rPr>
        <w:t>the facilities</w:t>
      </w:r>
      <w:r>
        <w:t xml:space="preserve"> included in the target unit</w:t>
      </w:r>
      <w:r w:rsidRPr="003B23F0">
        <w:rPr>
          <w:szCs w:val="24"/>
        </w:rPr>
        <w:t xml:space="preserve"> covered by the agreement </w:t>
      </w:r>
    </w:p>
    <w:p w14:paraId="2F43AC36" w14:textId="77777777" w:rsidR="00026E66" w:rsidRDefault="002737EF" w:rsidP="0065356B">
      <w:pPr>
        <w:pStyle w:val="ListParagraph"/>
        <w:numPr>
          <w:ilvl w:val="0"/>
          <w:numId w:val="20"/>
        </w:numPr>
        <w:tabs>
          <w:tab w:val="left" w:pos="0"/>
        </w:tabs>
        <w:ind w:right="182"/>
      </w:pPr>
      <w:r w:rsidRPr="003B23F0">
        <w:rPr>
          <w:szCs w:val="24"/>
        </w:rPr>
        <w:t xml:space="preserve">the </w:t>
      </w:r>
      <w:r>
        <w:t xml:space="preserve">targets for each </w:t>
      </w:r>
      <w:hyperlink w:anchor="Targetperiod" w:history="1">
        <w:r>
          <w:rPr>
            <w:rStyle w:val="Hyperlink"/>
          </w:rPr>
          <w:t>target period</w:t>
        </w:r>
      </w:hyperlink>
      <w:r w:rsidRPr="003B23F0">
        <w:rPr>
          <w:szCs w:val="24"/>
        </w:rPr>
        <w:t xml:space="preserve"> </w:t>
      </w:r>
    </w:p>
    <w:p w14:paraId="52324F09" w14:textId="77777777" w:rsidR="00026E66" w:rsidRDefault="002737EF" w:rsidP="00FF0098">
      <w:pPr>
        <w:tabs>
          <w:tab w:val="left" w:pos="0"/>
        </w:tabs>
        <w:ind w:right="182"/>
      </w:pPr>
      <w:r>
        <w:rPr>
          <w:szCs w:val="24"/>
        </w:rPr>
        <w:t>A read</w:t>
      </w:r>
      <w:r>
        <w:rPr>
          <w:color w:val="auto"/>
        </w:rPr>
        <w:t xml:space="preserve">-only </w:t>
      </w:r>
      <w:r>
        <w:rPr>
          <w:color w:val="auto"/>
          <w:szCs w:val="24"/>
        </w:rPr>
        <w:t xml:space="preserve">user is not able to make any changes to this information. A user </w:t>
      </w:r>
      <w:r>
        <w:rPr>
          <w:color w:val="auto"/>
        </w:rPr>
        <w:t xml:space="preserve">should contact their sector association to make changes to </w:t>
      </w:r>
      <w:r>
        <w:rPr>
          <w:color w:val="auto"/>
          <w:szCs w:val="24"/>
        </w:rPr>
        <w:t>any</w:t>
      </w:r>
      <w:r>
        <w:rPr>
          <w:color w:val="auto"/>
        </w:rPr>
        <w:t xml:space="preserve"> data</w:t>
      </w:r>
      <w:r>
        <w:rPr>
          <w:color w:val="auto"/>
          <w:szCs w:val="24"/>
        </w:rPr>
        <w:t xml:space="preserve"> held within the register. </w:t>
      </w:r>
    </w:p>
    <w:p w14:paraId="6F0EE7AE" w14:textId="676C977F" w:rsidR="00026E66" w:rsidRDefault="002737EF" w:rsidP="00FF0098">
      <w:pPr>
        <w:tabs>
          <w:tab w:val="left" w:pos="0"/>
        </w:tabs>
        <w:ind w:right="182"/>
      </w:pPr>
      <w:hyperlink w:anchor="_Appendix_B:_Register" w:history="1">
        <w:r>
          <w:rPr>
            <w:rStyle w:val="Hyperlink"/>
          </w:rPr>
          <w:t>Appendix B</w:t>
        </w:r>
      </w:hyperlink>
      <w:r w:rsidR="00DD721B">
        <w:rPr>
          <w:color w:val="auto"/>
        </w:rPr>
        <w:t xml:space="preserve"> e</w:t>
      </w:r>
      <w:r>
        <w:rPr>
          <w:color w:val="auto"/>
        </w:rPr>
        <w:t xml:space="preserve">xplains, with the aid of screenshots, what </w:t>
      </w:r>
      <w:r>
        <w:rPr>
          <w:color w:val="auto"/>
          <w:szCs w:val="24"/>
        </w:rPr>
        <w:t>operators</w:t>
      </w:r>
      <w:r>
        <w:rPr>
          <w:color w:val="auto"/>
        </w:rPr>
        <w:t xml:space="preserve"> need to do to: </w:t>
      </w:r>
    </w:p>
    <w:p w14:paraId="29DAEF21" w14:textId="77777777" w:rsidR="00026E66" w:rsidRDefault="002737EF" w:rsidP="0065356B">
      <w:pPr>
        <w:pStyle w:val="ListParagraph"/>
        <w:numPr>
          <w:ilvl w:val="0"/>
          <w:numId w:val="21"/>
        </w:numPr>
        <w:tabs>
          <w:tab w:val="left" w:pos="0"/>
        </w:tabs>
        <w:spacing w:after="74"/>
        <w:ind w:right="182"/>
      </w:pPr>
      <w:r>
        <w:t xml:space="preserve">log on to the register as a read-only user </w:t>
      </w:r>
    </w:p>
    <w:p w14:paraId="4F1494A3" w14:textId="77777777" w:rsidR="00026E66" w:rsidRDefault="002737EF" w:rsidP="0065356B">
      <w:pPr>
        <w:pStyle w:val="ListParagraph"/>
        <w:numPr>
          <w:ilvl w:val="0"/>
          <w:numId w:val="21"/>
        </w:numPr>
        <w:tabs>
          <w:tab w:val="left" w:pos="0"/>
        </w:tabs>
        <w:spacing w:after="79"/>
        <w:ind w:right="182"/>
      </w:pPr>
      <w:r>
        <w:t xml:space="preserve">set up and manage a read-only account </w:t>
      </w:r>
    </w:p>
    <w:p w14:paraId="63970E46" w14:textId="77777777" w:rsidR="00026E66" w:rsidRDefault="002737EF" w:rsidP="0065356B">
      <w:pPr>
        <w:pStyle w:val="ListParagraph"/>
        <w:numPr>
          <w:ilvl w:val="0"/>
          <w:numId w:val="21"/>
        </w:numPr>
        <w:tabs>
          <w:tab w:val="left" w:pos="0"/>
        </w:tabs>
        <w:spacing w:after="75"/>
        <w:ind w:right="182"/>
      </w:pPr>
      <w:r>
        <w:t xml:space="preserve">navigate around the register </w:t>
      </w:r>
    </w:p>
    <w:p w14:paraId="15DB5A2B" w14:textId="42CA3550" w:rsidR="00026E66" w:rsidRDefault="002737EF" w:rsidP="00316F01">
      <w:pPr>
        <w:tabs>
          <w:tab w:val="left" w:pos="0"/>
        </w:tabs>
        <w:spacing w:after="58"/>
      </w:pPr>
      <w:r>
        <w:rPr>
          <w:color w:val="auto"/>
        </w:rPr>
        <w:t>A separate register user guide for sector associations and their nominated consultants is available to download from our CCA webpages</w:t>
      </w:r>
      <w:r w:rsidR="005A4AE8">
        <w:rPr>
          <w:color w:val="auto"/>
        </w:rPr>
        <w:t>:</w:t>
      </w:r>
      <w:hyperlink r:id="rId20" w:history="1">
        <w:r>
          <w:rPr>
            <w:color w:val="auto"/>
          </w:rPr>
          <w:t xml:space="preserve"> </w:t>
        </w:r>
      </w:hyperlink>
      <w:hyperlink r:id="rId21" w:history="1">
        <w:r>
          <w:rPr>
            <w:color w:val="0070C0"/>
            <w:szCs w:val="24"/>
            <w:u w:val="single" w:color="0077B9"/>
          </w:rPr>
          <w:t>Climate</w:t>
        </w:r>
      </w:hyperlink>
      <w:hyperlink r:id="rId22" w:history="1">
        <w:r>
          <w:rPr>
            <w:color w:val="0070C0"/>
            <w:szCs w:val="24"/>
            <w:u w:val="single" w:color="0077B9"/>
          </w:rPr>
          <w:t xml:space="preserve"> </w:t>
        </w:r>
      </w:hyperlink>
      <w:hyperlink r:id="rId23" w:history="1">
        <w:r>
          <w:rPr>
            <w:color w:val="0070C0"/>
            <w:szCs w:val="24"/>
            <w:u w:val="single" w:color="0077B9"/>
          </w:rPr>
          <w:t>Change</w:t>
        </w:r>
      </w:hyperlink>
      <w:hyperlink r:id="rId24" w:history="1">
        <w:r>
          <w:rPr>
            <w:color w:val="0070C0"/>
            <w:szCs w:val="24"/>
            <w:u w:val="single" w:color="0077B9"/>
          </w:rPr>
          <w:t xml:space="preserve"> </w:t>
        </w:r>
      </w:hyperlink>
      <w:hyperlink r:id="rId25" w:history="1">
        <w:r>
          <w:rPr>
            <w:color w:val="0070C0"/>
            <w:szCs w:val="24"/>
            <w:u w:val="single" w:color="0077B9"/>
          </w:rPr>
          <w:t>Agreements: IT</w:t>
        </w:r>
      </w:hyperlink>
      <w:hyperlink r:id="rId26" w:history="1">
        <w:r>
          <w:rPr>
            <w:color w:val="0070C0"/>
            <w:szCs w:val="24"/>
            <w:u w:val="single" w:color="0077B9"/>
          </w:rPr>
          <w:t xml:space="preserve"> </w:t>
        </w:r>
      </w:hyperlink>
      <w:hyperlink r:id="rId27" w:history="1">
        <w:r>
          <w:rPr>
            <w:color w:val="0070C0"/>
            <w:szCs w:val="24"/>
            <w:u w:val="single" w:color="0077B9"/>
          </w:rPr>
          <w:t>user</w:t>
        </w:r>
      </w:hyperlink>
      <w:r>
        <w:rPr>
          <w:color w:val="0070C0"/>
          <w:szCs w:val="24"/>
          <w:u w:val="single" w:color="0077B9"/>
        </w:rPr>
        <w:t xml:space="preserve"> guide</w:t>
      </w:r>
      <w:hyperlink r:id="rId28" w:history="1">
        <w:r>
          <w:rPr>
            <w:color w:val="auto"/>
            <w:szCs w:val="24"/>
          </w:rPr>
          <w:t>.</w:t>
        </w:r>
      </w:hyperlink>
      <w:r>
        <w:rPr>
          <w:color w:val="auto"/>
          <w:szCs w:val="24"/>
        </w:rPr>
        <w:t xml:space="preserve"> </w:t>
      </w:r>
    </w:p>
    <w:p w14:paraId="1B1EDB98" w14:textId="77777777" w:rsidR="00026E66" w:rsidRDefault="002737EF" w:rsidP="00FF0098">
      <w:pPr>
        <w:pStyle w:val="Heading2"/>
        <w:tabs>
          <w:tab w:val="left" w:pos="0"/>
        </w:tabs>
      </w:pPr>
      <w:bookmarkStart w:id="15" w:name="_Toc94718630"/>
      <w:bookmarkStart w:id="16" w:name="_Toc94088878"/>
      <w:bookmarkStart w:id="17" w:name="_Toc95211763"/>
      <w:r>
        <w:t>2.3. Key roles</w:t>
      </w:r>
      <w:bookmarkEnd w:id="15"/>
      <w:bookmarkEnd w:id="16"/>
      <w:bookmarkEnd w:id="17"/>
      <w:r>
        <w:t xml:space="preserve"> </w:t>
      </w:r>
    </w:p>
    <w:p w14:paraId="3700B5F2" w14:textId="77777777" w:rsidR="00026E66" w:rsidRDefault="002737EF" w:rsidP="00FF0098">
      <w:pPr>
        <w:pStyle w:val="Heading3"/>
        <w:tabs>
          <w:tab w:val="left" w:pos="0"/>
        </w:tabs>
      </w:pPr>
      <w:bookmarkStart w:id="18" w:name="_2.3.1._The_operator"/>
      <w:bookmarkStart w:id="19" w:name="_Toc95211764"/>
      <w:bookmarkEnd w:id="18"/>
      <w:r>
        <w:t>2.3.1. The operator</w:t>
      </w:r>
      <w:bookmarkEnd w:id="19"/>
      <w:r>
        <w:t xml:space="preserve"> </w:t>
      </w:r>
    </w:p>
    <w:p w14:paraId="3150C341" w14:textId="77777777" w:rsidR="00026E66" w:rsidRDefault="002737EF" w:rsidP="00FF0098">
      <w:pPr>
        <w:tabs>
          <w:tab w:val="left" w:pos="0"/>
        </w:tabs>
      </w:pPr>
      <w:r>
        <w:t xml:space="preserve">Paragraph 65 of the </w:t>
      </w:r>
      <w:bookmarkStart w:id="20" w:name="_Hlk93480333"/>
      <w:r>
        <w:fldChar w:fldCharType="begin"/>
      </w:r>
      <w:r>
        <w:instrText xml:space="preserve"> HYPERLINK  "https://www.gov.uk/government/publications/climate-change-agreements-technical-guidance" </w:instrText>
      </w:r>
      <w:r>
        <w:fldChar w:fldCharType="separate"/>
      </w:r>
      <w:r>
        <w:rPr>
          <w:rStyle w:val="Hyperlink"/>
          <w:color w:val="0070C0"/>
        </w:rPr>
        <w:t>Technical Annex</w:t>
      </w:r>
      <w:r>
        <w:rPr>
          <w:rStyle w:val="Hyperlink"/>
          <w:color w:val="0070C0"/>
        </w:rPr>
        <w:fldChar w:fldCharType="end"/>
      </w:r>
      <w:bookmarkEnd w:id="20"/>
      <w:r>
        <w:t xml:space="preserve"> defines who can be an operator. </w:t>
      </w:r>
    </w:p>
    <w:p w14:paraId="025F7340" w14:textId="77777777" w:rsidR="00026E66" w:rsidRDefault="002737EF" w:rsidP="00FF0098">
      <w:pPr>
        <w:tabs>
          <w:tab w:val="left" w:pos="0"/>
        </w:tabs>
      </w:pPr>
      <w:r>
        <w:t xml:space="preserve">For more information about the definition of an operator, see our environmental management guidance on environmental permits: </w:t>
      </w:r>
      <w:hyperlink r:id="rId29" w:history="1">
        <w:r>
          <w:rPr>
            <w:rStyle w:val="Hyperlink"/>
          </w:rPr>
          <w:t>Legal operator and competence requirements: environmental permits - GOV.UK</w:t>
        </w:r>
      </w:hyperlink>
      <w:hyperlink r:id="rId30" w:history="1">
        <w:r>
          <w:rPr>
            <w:szCs w:val="24"/>
          </w:rPr>
          <w:t>.</w:t>
        </w:r>
      </w:hyperlink>
      <w:r>
        <w:rPr>
          <w:szCs w:val="24"/>
        </w:rPr>
        <w:t xml:space="preserve"> </w:t>
      </w:r>
    </w:p>
    <w:p w14:paraId="22D5218A" w14:textId="77777777" w:rsidR="00026E66" w:rsidRDefault="002737EF" w:rsidP="00FC355D">
      <w:r>
        <w:t xml:space="preserve">The operator must be clearly identified as a legal entity. This includes but is not restricted to individuals, partnerships and limited companies. Companies are registered with Companies House and are identified by </w:t>
      </w:r>
      <w:r>
        <w:rPr>
          <w:szCs w:val="24"/>
        </w:rPr>
        <w:t>their registered</w:t>
      </w:r>
      <w:r>
        <w:t xml:space="preserve"> company number. Only the company which satisfies the definition of operator can </w:t>
      </w:r>
      <w:r>
        <w:rPr>
          <w:szCs w:val="24"/>
        </w:rPr>
        <w:t xml:space="preserve">be the operator: a </w:t>
      </w:r>
      <w:r>
        <w:t xml:space="preserve">parent or </w:t>
      </w:r>
      <w:r>
        <w:rPr>
          <w:szCs w:val="24"/>
        </w:rPr>
        <w:t>other group</w:t>
      </w:r>
      <w:r>
        <w:t xml:space="preserve"> company will </w:t>
      </w:r>
      <w:r>
        <w:rPr>
          <w:szCs w:val="24"/>
        </w:rPr>
        <w:t xml:space="preserve">have a different number, is </w:t>
      </w:r>
      <w:r>
        <w:t>a separate legal entity</w:t>
      </w:r>
      <w:r>
        <w:rPr>
          <w:szCs w:val="24"/>
        </w:rPr>
        <w:t>,</w:t>
      </w:r>
      <w:r>
        <w:t xml:space="preserve"> and cannot be or act on behalf of the operator in relation to the CCA. This is important as it can affect other issues, including the inclusion and exclusion of facilities (</w:t>
      </w:r>
      <w:r w:rsidRPr="005A4AE8">
        <w:rPr>
          <w:u w:color="0077B9"/>
        </w:rPr>
        <w:t>see section 4.5.3</w:t>
      </w:r>
      <w:r>
        <w:t xml:space="preserve">), as well as when ownership of the </w:t>
      </w:r>
      <w:r>
        <w:rPr>
          <w:szCs w:val="24"/>
        </w:rPr>
        <w:t>target unit and/or facility</w:t>
      </w:r>
      <w:r>
        <w:t xml:space="preserve"> changes.</w:t>
      </w:r>
      <w:r>
        <w:rPr>
          <w:szCs w:val="24"/>
        </w:rPr>
        <w:t xml:space="preserve"> </w:t>
      </w:r>
    </w:p>
    <w:p w14:paraId="657462F4" w14:textId="77777777" w:rsidR="00026E66" w:rsidRDefault="002737EF" w:rsidP="00FF0098">
      <w:pPr>
        <w:tabs>
          <w:tab w:val="left" w:pos="0"/>
        </w:tabs>
      </w:pPr>
      <w:r>
        <w:t xml:space="preserve">The operator should appoint for each target unit: </w:t>
      </w:r>
    </w:p>
    <w:p w14:paraId="3D0527D9" w14:textId="77777777" w:rsidR="00026E66" w:rsidRDefault="002737EF" w:rsidP="0065356B">
      <w:pPr>
        <w:pStyle w:val="ListParagraph"/>
        <w:numPr>
          <w:ilvl w:val="0"/>
          <w:numId w:val="22"/>
        </w:numPr>
        <w:tabs>
          <w:tab w:val="left" w:pos="0"/>
        </w:tabs>
      </w:pPr>
      <w:r>
        <w:t xml:space="preserve">a </w:t>
      </w:r>
      <w:hyperlink w:anchor="Responsibleperson" w:history="1">
        <w:r>
          <w:rPr>
            <w:rStyle w:val="Hyperlink"/>
          </w:rPr>
          <w:t>responsible person</w:t>
        </w:r>
      </w:hyperlink>
      <w:r>
        <w:t xml:space="preserve"> to act on their behalf </w:t>
      </w:r>
    </w:p>
    <w:p w14:paraId="09D67751" w14:textId="77777777" w:rsidR="00026E66" w:rsidRDefault="002737EF" w:rsidP="0065356B">
      <w:pPr>
        <w:pStyle w:val="ListParagraph"/>
        <w:numPr>
          <w:ilvl w:val="0"/>
          <w:numId w:val="22"/>
        </w:numPr>
        <w:tabs>
          <w:tab w:val="left" w:pos="0"/>
        </w:tabs>
      </w:pPr>
      <w:r>
        <w:t xml:space="preserve">an administrative contact – the day-to-day contact for the target unit </w:t>
      </w:r>
    </w:p>
    <w:p w14:paraId="03AC1CD8" w14:textId="77777777" w:rsidR="00026E66" w:rsidRDefault="002737EF" w:rsidP="00FF0098">
      <w:pPr>
        <w:tabs>
          <w:tab w:val="left" w:pos="0"/>
        </w:tabs>
      </w:pPr>
      <w:r>
        <w:lastRenderedPageBreak/>
        <w:t>The responsible person and administrative contact can be the same person, but this may impact our ability to communicate with you if the sole contact leaves.</w:t>
      </w:r>
    </w:p>
    <w:p w14:paraId="7CDB49B4" w14:textId="77777777" w:rsidR="00026E66" w:rsidRPr="00316F01" w:rsidRDefault="002737EF" w:rsidP="00316F01">
      <w:pPr>
        <w:pStyle w:val="Heading4"/>
      </w:pPr>
      <w:r w:rsidRPr="00316F01">
        <w:t xml:space="preserve">Multi-operator facilities </w:t>
      </w:r>
    </w:p>
    <w:p w14:paraId="03A78A49" w14:textId="77777777" w:rsidR="00026E66" w:rsidRDefault="002737EF" w:rsidP="00FC355D">
      <w:r>
        <w:t xml:space="preserve">A multi-operator facility (MOF) is a facility where different parts of the installation or installations are operated by different legal persons. An agreement may cover a MOF site, but only one operator can hold the agreement. The operators in the MOF should decide which operator should hold the agreement. The MOF is eligible to be included in a multi-facility target unit if it meets the requirements outlined in section </w:t>
      </w:r>
      <w:hyperlink w:anchor="_4.5.3._Conditions_for" w:history="1">
        <w:r>
          <w:rPr>
            <w:rStyle w:val="Hyperlink"/>
          </w:rPr>
          <w:t>4.5.3.</w:t>
        </w:r>
      </w:hyperlink>
      <w:r>
        <w:t xml:space="preserve"> The nominated operator is responsible for compliance with the agreement at that facility. </w:t>
      </w:r>
    </w:p>
    <w:p w14:paraId="4D70CACA" w14:textId="77777777" w:rsidR="00026E66" w:rsidRDefault="002737EF" w:rsidP="00FF0098">
      <w:pPr>
        <w:pStyle w:val="Heading3"/>
        <w:tabs>
          <w:tab w:val="left" w:pos="0"/>
        </w:tabs>
      </w:pPr>
      <w:bookmarkStart w:id="21" w:name="_Toc95211765"/>
      <w:r>
        <w:t>2.3.2. The responsible person</w:t>
      </w:r>
      <w:bookmarkEnd w:id="21"/>
      <w:r>
        <w:t xml:space="preserve"> </w:t>
      </w:r>
    </w:p>
    <w:p w14:paraId="7B209107" w14:textId="77777777" w:rsidR="00026E66" w:rsidRDefault="002737EF" w:rsidP="00FF0098">
      <w:pPr>
        <w:tabs>
          <w:tab w:val="left" w:pos="0"/>
        </w:tabs>
      </w:pPr>
      <w:r>
        <w:t xml:space="preserve">As specified in the agreement, the responsible person is someone authorised by the operator to: </w:t>
      </w:r>
    </w:p>
    <w:p w14:paraId="2B68BE18" w14:textId="77777777" w:rsidR="00026E66" w:rsidRDefault="002737EF" w:rsidP="0065356B">
      <w:pPr>
        <w:pStyle w:val="ListParagraph"/>
        <w:numPr>
          <w:ilvl w:val="0"/>
          <w:numId w:val="23"/>
        </w:numPr>
        <w:tabs>
          <w:tab w:val="left" w:pos="0"/>
        </w:tabs>
      </w:pPr>
      <w:r>
        <w:t xml:space="preserve">enter into an underlying agreement </w:t>
      </w:r>
    </w:p>
    <w:p w14:paraId="6C515EA1" w14:textId="77777777" w:rsidR="00026E66" w:rsidRDefault="002737EF" w:rsidP="0065356B">
      <w:pPr>
        <w:pStyle w:val="ListParagraph"/>
        <w:numPr>
          <w:ilvl w:val="0"/>
          <w:numId w:val="23"/>
        </w:numPr>
        <w:tabs>
          <w:tab w:val="left" w:pos="0"/>
        </w:tabs>
      </w:pPr>
      <w:r>
        <w:t xml:space="preserve">agree any changes to an agreement </w:t>
      </w:r>
    </w:p>
    <w:p w14:paraId="08A8445F" w14:textId="77777777" w:rsidR="00026E66" w:rsidRDefault="002737EF" w:rsidP="0065356B">
      <w:pPr>
        <w:pStyle w:val="ListParagraph"/>
        <w:numPr>
          <w:ilvl w:val="0"/>
          <w:numId w:val="23"/>
        </w:numPr>
        <w:tabs>
          <w:tab w:val="left" w:pos="0"/>
        </w:tabs>
      </w:pPr>
      <w:r>
        <w:t>accept any penalty or other notices we serve on the operator</w:t>
      </w:r>
    </w:p>
    <w:p w14:paraId="3A53A9FB" w14:textId="77777777" w:rsidR="00026E66" w:rsidRDefault="002737EF" w:rsidP="00FF0098">
      <w:pPr>
        <w:tabs>
          <w:tab w:val="left" w:pos="0"/>
        </w:tabs>
      </w:pPr>
      <w:r>
        <w:t>Although the responsible person is the individual on whom we would serve notice, they have no personal liability. Compliance with the terms of the underlying agreement remains the responsibility of the operator. Any act or omission by the responsible person will be held to be an act or omission of the operator.</w:t>
      </w:r>
    </w:p>
    <w:p w14:paraId="36ACE83D" w14:textId="03AF0999" w:rsidR="00026E66" w:rsidRDefault="002737EF" w:rsidP="00FF0098">
      <w:pPr>
        <w:tabs>
          <w:tab w:val="left" w:pos="0"/>
        </w:tabs>
      </w:pPr>
      <w:r>
        <w:t>We would normally expect the responsible person to be an employee of the operator and to have the necessary authority from the operator to enter and make amendments to the agreement. We would not normally expect a consultant to be sufficiently authorised to act on behalf of the operator.</w:t>
      </w:r>
      <w:r w:rsidR="00FC355D">
        <w:t xml:space="preserve"> </w:t>
      </w:r>
    </w:p>
    <w:p w14:paraId="22562EC6" w14:textId="77777777" w:rsidR="00026E66" w:rsidRDefault="002737EF" w:rsidP="00FF0098">
      <w:pPr>
        <w:tabs>
          <w:tab w:val="left" w:pos="0"/>
        </w:tabs>
      </w:pPr>
      <w:r>
        <w:t>Under Rule 3.1.8 of the agreement, the responsible person must provide us with both a UK postal address and an operational email address that we can use to serve notices on them.</w:t>
      </w:r>
    </w:p>
    <w:p w14:paraId="5F4D27C3" w14:textId="12FD0186" w:rsidR="00026E66" w:rsidRDefault="002737EF" w:rsidP="00FF0098">
      <w:pPr>
        <w:tabs>
          <w:tab w:val="left" w:pos="0"/>
        </w:tabs>
      </w:pPr>
      <w:r>
        <w:t>The operator must notify any change to the contact details for the responsible person within 20 working days.</w:t>
      </w:r>
      <w:r w:rsidR="00FC355D">
        <w:t xml:space="preserve"> </w:t>
      </w:r>
      <w:r>
        <w:t>In practice, the operator should notify the sector association, who will then update the CCA register.</w:t>
      </w:r>
    </w:p>
    <w:p w14:paraId="1C237ABF" w14:textId="34BA3D68" w:rsidR="00026E66" w:rsidRPr="00316F01" w:rsidRDefault="002737EF" w:rsidP="00FF0098">
      <w:pPr>
        <w:tabs>
          <w:tab w:val="left" w:pos="0"/>
        </w:tabs>
        <w:ind w:right="182"/>
      </w:pPr>
      <w:r>
        <w:rPr>
          <w:color w:val="auto"/>
        </w:rPr>
        <w:t xml:space="preserve">We </w:t>
      </w:r>
      <w:r>
        <w:rPr>
          <w:color w:val="auto"/>
          <w:szCs w:val="24"/>
        </w:rPr>
        <w:t>do not</w:t>
      </w:r>
      <w:r>
        <w:rPr>
          <w:color w:val="auto"/>
        </w:rPr>
        <w:t xml:space="preserve"> issue a new agreement </w:t>
      </w:r>
      <w:r>
        <w:rPr>
          <w:color w:val="auto"/>
          <w:szCs w:val="24"/>
        </w:rPr>
        <w:t>when</w:t>
      </w:r>
      <w:r>
        <w:rPr>
          <w:color w:val="auto"/>
        </w:rPr>
        <w:t xml:space="preserve"> the responsible person</w:t>
      </w:r>
      <w:r>
        <w:rPr>
          <w:color w:val="auto"/>
          <w:szCs w:val="24"/>
        </w:rPr>
        <w:t xml:space="preserve"> changes</w:t>
      </w:r>
      <w:r>
        <w:rPr>
          <w:color w:val="auto"/>
        </w:rPr>
        <w:t xml:space="preserve">. This is because the agreement is between </w:t>
      </w:r>
      <w:r>
        <w:rPr>
          <w:color w:val="auto"/>
          <w:szCs w:val="24"/>
        </w:rPr>
        <w:t>the Environment Agency</w:t>
      </w:r>
      <w:r>
        <w:rPr>
          <w:color w:val="auto"/>
        </w:rPr>
        <w:t xml:space="preserve"> and the operator, not the responsible person</w:t>
      </w:r>
      <w:r>
        <w:rPr>
          <w:color w:val="auto"/>
          <w:szCs w:val="24"/>
        </w:rPr>
        <w:t>, and so the</w:t>
      </w:r>
      <w:r>
        <w:rPr>
          <w:color w:val="auto"/>
        </w:rPr>
        <w:t xml:space="preserve"> agreement assented to by </w:t>
      </w:r>
      <w:r>
        <w:rPr>
          <w:color w:val="auto"/>
          <w:szCs w:val="24"/>
        </w:rPr>
        <w:t>the</w:t>
      </w:r>
      <w:r>
        <w:rPr>
          <w:color w:val="auto"/>
        </w:rPr>
        <w:t xml:space="preserve"> previous responsible person is still valid.</w:t>
      </w:r>
      <w:r>
        <w:rPr>
          <w:color w:val="auto"/>
          <w:szCs w:val="24"/>
        </w:rPr>
        <w:t xml:space="preserve"> If they wish, the responsible person can request a new agreement if their details have been updated. To do this they would need to contact the CCA helpdesk. </w:t>
      </w:r>
    </w:p>
    <w:p w14:paraId="6ACDBE01" w14:textId="67D28270" w:rsidR="00026E66" w:rsidRDefault="002737EF" w:rsidP="00316F01">
      <w:pPr>
        <w:pStyle w:val="Heading3"/>
        <w:tabs>
          <w:tab w:val="left" w:pos="0"/>
        </w:tabs>
      </w:pPr>
      <w:bookmarkStart w:id="22" w:name="_Toc95211766"/>
      <w:r>
        <w:lastRenderedPageBreak/>
        <w:t>2.3.3. The administrative contact</w:t>
      </w:r>
      <w:bookmarkEnd w:id="22"/>
      <w:r>
        <w:t xml:space="preserve"> </w:t>
      </w:r>
    </w:p>
    <w:p w14:paraId="71FF2E5C" w14:textId="77777777" w:rsidR="00026E66" w:rsidRDefault="002737EF" w:rsidP="00FF0098">
      <w:pPr>
        <w:tabs>
          <w:tab w:val="left" w:pos="0"/>
        </w:tabs>
        <w:ind w:right="182"/>
      </w:pPr>
      <w:r>
        <w:rPr>
          <w:color w:val="auto"/>
          <w:szCs w:val="24"/>
        </w:rPr>
        <w:t>The 'administrative contact' is</w:t>
      </w:r>
      <w:r>
        <w:rPr>
          <w:color w:val="auto"/>
        </w:rPr>
        <w:t xml:space="preserve"> the </w:t>
      </w:r>
      <w:r>
        <w:rPr>
          <w:color w:val="auto"/>
          <w:szCs w:val="24"/>
        </w:rPr>
        <w:t>person who is the day-</w:t>
      </w:r>
      <w:r>
        <w:rPr>
          <w:color w:val="auto"/>
        </w:rPr>
        <w:t>to</w:t>
      </w:r>
      <w:r>
        <w:rPr>
          <w:color w:val="auto"/>
          <w:szCs w:val="24"/>
        </w:rPr>
        <w:t>-day contact for the target unit and who looks</w:t>
      </w:r>
      <w:r>
        <w:rPr>
          <w:color w:val="auto"/>
        </w:rPr>
        <w:t xml:space="preserve"> after the day-to-day management of the </w:t>
      </w:r>
      <w:r>
        <w:rPr>
          <w:color w:val="auto"/>
          <w:szCs w:val="24"/>
        </w:rPr>
        <w:t xml:space="preserve">underlying </w:t>
      </w:r>
      <w:r>
        <w:rPr>
          <w:color w:val="auto"/>
        </w:rPr>
        <w:t xml:space="preserve">agreement. </w:t>
      </w:r>
      <w:r>
        <w:rPr>
          <w:color w:val="auto"/>
          <w:szCs w:val="24"/>
        </w:rPr>
        <w:t xml:space="preserve">The administrative contact will often deal with the </w:t>
      </w:r>
      <w:r>
        <w:rPr>
          <w:color w:val="auto"/>
        </w:rPr>
        <w:t xml:space="preserve">sector association </w:t>
      </w:r>
      <w:r>
        <w:rPr>
          <w:color w:val="auto"/>
          <w:szCs w:val="24"/>
        </w:rPr>
        <w:t xml:space="preserve">on behalf of the operator and with the responsible person for general management of the CCA. </w:t>
      </w:r>
    </w:p>
    <w:p w14:paraId="65A28551" w14:textId="77777777" w:rsidR="00026E66" w:rsidRDefault="002737EF" w:rsidP="00FF0098">
      <w:pPr>
        <w:tabs>
          <w:tab w:val="left" w:pos="0"/>
        </w:tabs>
        <w:spacing w:after="161" w:line="235" w:lineRule="auto"/>
        <w:ind w:right="289"/>
        <w:jc w:val="both"/>
      </w:pPr>
      <w:r>
        <w:rPr>
          <w:color w:val="auto"/>
          <w:szCs w:val="24"/>
        </w:rPr>
        <w:t xml:space="preserve">The </w:t>
      </w:r>
      <w:r>
        <w:rPr>
          <w:color w:val="auto"/>
        </w:rPr>
        <w:t xml:space="preserve">administrative contact </w:t>
      </w:r>
      <w:r>
        <w:rPr>
          <w:color w:val="auto"/>
          <w:szCs w:val="24"/>
        </w:rPr>
        <w:t xml:space="preserve">does not hold any authority (within the agreement) for complying with the rules or underlying agreement, but often supports the responsible person (who would sign off any changes to the underlying agreement). </w:t>
      </w:r>
    </w:p>
    <w:p w14:paraId="2FEE3110" w14:textId="11E303B8" w:rsidR="00026E66" w:rsidRPr="00316F01" w:rsidRDefault="002737EF" w:rsidP="00316F01">
      <w:pPr>
        <w:tabs>
          <w:tab w:val="left" w:pos="0"/>
        </w:tabs>
        <w:spacing w:after="0"/>
        <w:ind w:right="182"/>
      </w:pPr>
      <w:r>
        <w:rPr>
          <w:color w:val="auto"/>
          <w:szCs w:val="24"/>
        </w:rPr>
        <w:t xml:space="preserve">Details for the administrative contact can be updated </w:t>
      </w:r>
      <w:r>
        <w:rPr>
          <w:color w:val="auto"/>
        </w:rPr>
        <w:t>at any time</w:t>
      </w:r>
      <w:r>
        <w:rPr>
          <w:color w:val="auto"/>
          <w:szCs w:val="24"/>
        </w:rPr>
        <w:t xml:space="preserve"> and will not trigger a new agreement to be issued or signed. It is important that these details are kept up to date so please notify your sector association when the contact changes so that they can update the details held on the register. </w:t>
      </w:r>
    </w:p>
    <w:p w14:paraId="5FDCF306" w14:textId="77777777" w:rsidR="00026E66" w:rsidRDefault="002737EF" w:rsidP="00FF0098">
      <w:pPr>
        <w:pStyle w:val="Heading2"/>
        <w:tabs>
          <w:tab w:val="left" w:pos="0"/>
        </w:tabs>
      </w:pPr>
      <w:bookmarkStart w:id="23" w:name="_Toc94718631"/>
      <w:bookmarkStart w:id="24" w:name="_Toc94088879"/>
      <w:bookmarkStart w:id="25" w:name="_Toc95211767"/>
      <w:r>
        <w:t>2.4. Which processes and products are eligible for a climate change agreement?</w:t>
      </w:r>
      <w:bookmarkEnd w:id="23"/>
      <w:bookmarkEnd w:id="24"/>
      <w:bookmarkEnd w:id="25"/>
      <w:r>
        <w:t xml:space="preserve"> </w:t>
      </w:r>
    </w:p>
    <w:p w14:paraId="3A642092" w14:textId="4D125514" w:rsidR="00026E66" w:rsidRDefault="002737EF" w:rsidP="00FF0098">
      <w:pPr>
        <w:pStyle w:val="Heading3"/>
        <w:tabs>
          <w:tab w:val="left" w:pos="0"/>
        </w:tabs>
      </w:pPr>
      <w:bookmarkStart w:id="26" w:name="_Toc95211768"/>
      <w:r>
        <w:t>2.4.1. What makes a site eligible for a CCA?</w:t>
      </w:r>
      <w:bookmarkEnd w:id="26"/>
      <w:r>
        <w:t xml:space="preserve"> </w:t>
      </w:r>
    </w:p>
    <w:p w14:paraId="2E425064" w14:textId="484A1BF5" w:rsidR="00026E66" w:rsidRDefault="002737EF" w:rsidP="00FF0098">
      <w:pPr>
        <w:tabs>
          <w:tab w:val="left" w:pos="0"/>
        </w:tabs>
      </w:pPr>
      <w:r>
        <w:t xml:space="preserve">To hold a CCA an operator must carry out one or more eligible processes. </w:t>
      </w:r>
      <w:hyperlink w:anchor="_Appendix_A:_Eligible" w:history="1">
        <w:r>
          <w:rPr>
            <w:rStyle w:val="Hyperlink"/>
          </w:rPr>
          <w:t>Appendix A</w:t>
        </w:r>
      </w:hyperlink>
      <w:r>
        <w:t xml:space="preserve"> summarises the definitions of the eligible processes that are outlined in primary legislation, Schedule 6 to the Finance Act 2000 (as amended).</w:t>
      </w:r>
      <w:r w:rsidR="00FC355D">
        <w:t xml:space="preserve"> </w:t>
      </w:r>
      <w:r>
        <w:t xml:space="preserve">This specifies eligibility through two pieces of legislation: </w:t>
      </w:r>
    </w:p>
    <w:p w14:paraId="4112CD84" w14:textId="77777777" w:rsidR="00026E66" w:rsidRDefault="002737EF" w:rsidP="0065356B">
      <w:pPr>
        <w:pStyle w:val="ListParagraph"/>
        <w:numPr>
          <w:ilvl w:val="0"/>
          <w:numId w:val="24"/>
        </w:numPr>
        <w:tabs>
          <w:tab w:val="left" w:pos="0"/>
        </w:tabs>
      </w:pPr>
      <w:r w:rsidRPr="00E955A3">
        <w:rPr>
          <w:b/>
          <w:iCs/>
        </w:rPr>
        <w:t>The Environmental Permitting (England and Wales) Regulations 2010 (EPR) (as amended).</w:t>
      </w:r>
      <w:r w:rsidRPr="00E955A3">
        <w:rPr>
          <w:b/>
        </w:rPr>
        <w:t xml:space="preserve"> </w:t>
      </w:r>
      <w:r>
        <w:t>A site will be eligible if it carries out a Part A (1) or A (2) activity listed in Part 2 of Schedule 1. (Note that eligibility for facilities in Scotland or Northern Ireland is also determined by reference to the activities listed in the EPR for England and Wales.) For the purposes of the CCA scheme, thresholds in the EPR Schedule 1 activity descriptions should be ignored, with the sole exception of the 50 MW limit for combustion plant.</w:t>
      </w:r>
    </w:p>
    <w:p w14:paraId="09631BD8" w14:textId="77777777" w:rsidR="00026E66" w:rsidRDefault="002737EF" w:rsidP="0065356B">
      <w:pPr>
        <w:pStyle w:val="ListParagraph"/>
        <w:numPr>
          <w:ilvl w:val="0"/>
          <w:numId w:val="24"/>
        </w:numPr>
        <w:tabs>
          <w:tab w:val="left" w:pos="0"/>
        </w:tabs>
      </w:pPr>
      <w:r w:rsidRPr="00E955A3">
        <w:rPr>
          <w:b/>
        </w:rPr>
        <w:t>The Climate Change Agreements (Eligible Facilities) Regulations 2012 (as amended)</w:t>
      </w:r>
      <w:r>
        <w:t xml:space="preserve">. A facility will be eligible if it carries out an energy-intensive process or activity detailed in the Schedule. The umbrella agreement for each sector lists all the processes and activities carried out within the sector that are eligible for a CCA. You should work with your sector association to determine if you carry out an </w:t>
      </w:r>
      <w:hyperlink w:anchor="Eligibleprocess" w:history="1">
        <w:r>
          <w:rPr>
            <w:rStyle w:val="Hyperlink"/>
          </w:rPr>
          <w:t>eligible process</w:t>
        </w:r>
      </w:hyperlink>
      <w:r>
        <w:t xml:space="preserve">. </w:t>
      </w:r>
    </w:p>
    <w:p w14:paraId="3A2FED9C" w14:textId="77777777" w:rsidR="00026E66" w:rsidRDefault="002737EF" w:rsidP="00FF0098">
      <w:pPr>
        <w:tabs>
          <w:tab w:val="left" w:pos="0"/>
        </w:tabs>
      </w:pPr>
      <w:r>
        <w:t>A list of what an operator will need to provide to prove eligibility when entering the scheme is outlined in section 6.</w:t>
      </w:r>
    </w:p>
    <w:p w14:paraId="5BBB3FBA" w14:textId="12A1862F" w:rsidR="00026E66" w:rsidRDefault="002737EF" w:rsidP="00FF0098">
      <w:pPr>
        <w:pStyle w:val="Heading3"/>
        <w:tabs>
          <w:tab w:val="left" w:pos="0"/>
        </w:tabs>
      </w:pPr>
      <w:bookmarkStart w:id="27" w:name="_Toc95211769"/>
      <w:r>
        <w:lastRenderedPageBreak/>
        <w:t>2.4.2. Changes to eligibility and tax exemptions</w:t>
      </w:r>
      <w:bookmarkEnd w:id="27"/>
      <w:r>
        <w:t xml:space="preserve"> </w:t>
      </w:r>
    </w:p>
    <w:p w14:paraId="1E96881C" w14:textId="6D2641A1" w:rsidR="005A4AE8" w:rsidRPr="005A4AE8" w:rsidRDefault="005A4AE8" w:rsidP="00FF0098">
      <w:pPr>
        <w:pStyle w:val="Heading4"/>
        <w:tabs>
          <w:tab w:val="left" w:pos="0"/>
        </w:tabs>
      </w:pPr>
      <w:r w:rsidRPr="005A4AE8">
        <w:t xml:space="preserve">2.4.2.1. New sectors </w:t>
      </w:r>
    </w:p>
    <w:p w14:paraId="0C5A7FA2" w14:textId="68D4B35B" w:rsidR="00026E66" w:rsidRDefault="002737EF" w:rsidP="00FF0098">
      <w:pPr>
        <w:tabs>
          <w:tab w:val="left" w:pos="0"/>
        </w:tabs>
      </w:pPr>
      <w:r>
        <w:t xml:space="preserve">From time to time government may extend eligibility to new sectors or amend it for existing sectors. We will update </w:t>
      </w:r>
      <w:hyperlink w:anchor="_Appendix_A:_Eligible" w:history="1">
        <w:r>
          <w:rPr>
            <w:rStyle w:val="Hyperlink"/>
          </w:rPr>
          <w:t>Appendix A</w:t>
        </w:r>
      </w:hyperlink>
      <w:r>
        <w:t xml:space="preserve"> as necessary. The guidance given in this manual applies equally to new and existing sectors.</w:t>
      </w:r>
    </w:p>
    <w:p w14:paraId="6D8AC5AF" w14:textId="77777777" w:rsidR="005A4AE8" w:rsidRPr="005A4AE8" w:rsidRDefault="005A4AE8" w:rsidP="00FF0098">
      <w:pPr>
        <w:pStyle w:val="Heading4"/>
        <w:tabs>
          <w:tab w:val="left" w:pos="0"/>
        </w:tabs>
      </w:pPr>
      <w:r w:rsidRPr="005A4AE8">
        <w:t xml:space="preserve">2.4.2.1 CCL exemption for energy used in metallurgical and mineralogical processes </w:t>
      </w:r>
    </w:p>
    <w:p w14:paraId="37B179FC" w14:textId="77777777" w:rsidR="00026E66" w:rsidRDefault="002737EF" w:rsidP="00FF0098">
      <w:pPr>
        <w:tabs>
          <w:tab w:val="left" w:pos="0"/>
        </w:tabs>
      </w:pPr>
      <w:r>
        <w:t xml:space="preserve">The Chancellor announced in the Budget in March 2013 that energy used in metallurgical and mineralogical products and their eligible processes would be 100% exempt from CCL from 1 April 2014. The exemption applies to energy used in products and processes covered by the following NACE codes (NACE Rev 2): </w:t>
      </w:r>
    </w:p>
    <w:p w14:paraId="2EA17743" w14:textId="77777777" w:rsidR="00026E66" w:rsidRDefault="002737EF" w:rsidP="0065356B">
      <w:pPr>
        <w:pStyle w:val="ListParagraph"/>
        <w:numPr>
          <w:ilvl w:val="0"/>
          <w:numId w:val="25"/>
        </w:numPr>
        <w:tabs>
          <w:tab w:val="left" w:pos="0"/>
        </w:tabs>
      </w:pPr>
      <w:r>
        <w:t xml:space="preserve">NACE code 23 </w:t>
      </w:r>
    </w:p>
    <w:p w14:paraId="03692075" w14:textId="77777777" w:rsidR="00026E66" w:rsidRDefault="002737EF" w:rsidP="0065356B">
      <w:pPr>
        <w:pStyle w:val="ListParagraph"/>
        <w:numPr>
          <w:ilvl w:val="0"/>
          <w:numId w:val="25"/>
        </w:numPr>
        <w:tabs>
          <w:tab w:val="left" w:pos="0"/>
        </w:tabs>
      </w:pPr>
      <w:r>
        <w:t xml:space="preserve">NACE code 24 </w:t>
      </w:r>
    </w:p>
    <w:p w14:paraId="730ED72E" w14:textId="77777777" w:rsidR="00026E66" w:rsidRDefault="002737EF" w:rsidP="0065356B">
      <w:pPr>
        <w:pStyle w:val="ListParagraph"/>
        <w:numPr>
          <w:ilvl w:val="0"/>
          <w:numId w:val="25"/>
        </w:numPr>
        <w:tabs>
          <w:tab w:val="left" w:pos="0"/>
        </w:tabs>
      </w:pPr>
      <w:r>
        <w:t xml:space="preserve">NACE code 25.5 </w:t>
      </w:r>
    </w:p>
    <w:p w14:paraId="1B620623" w14:textId="77777777" w:rsidR="00026E66" w:rsidRDefault="002737EF" w:rsidP="0065356B">
      <w:pPr>
        <w:pStyle w:val="ListParagraph"/>
        <w:numPr>
          <w:ilvl w:val="0"/>
          <w:numId w:val="25"/>
        </w:numPr>
        <w:tabs>
          <w:tab w:val="left" w:pos="0"/>
        </w:tabs>
      </w:pPr>
      <w:r>
        <w:t xml:space="preserve">NACE code 25.6 </w:t>
      </w:r>
    </w:p>
    <w:p w14:paraId="1A921B19" w14:textId="0AE0DBD3" w:rsidR="00026E66" w:rsidRDefault="002737EF" w:rsidP="007A7512">
      <w:r>
        <w:t>For further information, please refer to the HMRC guidance</w:t>
      </w:r>
      <w:hyperlink r:id="rId31" w:history="1">
        <w:r>
          <w:t xml:space="preserve"> </w:t>
        </w:r>
      </w:hyperlink>
      <w:r>
        <w:t xml:space="preserve"> </w:t>
      </w:r>
      <w:hyperlink r:id="rId32" w:history="1">
        <w:r>
          <w:rPr>
            <w:rStyle w:val="Hyperlink"/>
          </w:rPr>
          <w:t>Exemptions from climate change levy for mineralogical and metallurgical processes guidance</w:t>
        </w:r>
      </w:hyperlink>
      <w:hyperlink r:id="rId33" w:history="1">
        <w:r>
          <w:t>.</w:t>
        </w:r>
      </w:hyperlink>
      <w:r w:rsidR="005A4AE8">
        <w:t xml:space="preserve"> </w:t>
      </w:r>
      <w:r>
        <w:rPr>
          <w:color w:val="auto"/>
          <w:szCs w:val="24"/>
        </w:rPr>
        <w:t>Operators of a facility covered by a CCA which includes</w:t>
      </w:r>
      <w:r>
        <w:rPr>
          <w:color w:val="auto"/>
        </w:rPr>
        <w:t xml:space="preserve"> exempted metallurgical and mineralogical processes </w:t>
      </w:r>
      <w:r>
        <w:rPr>
          <w:color w:val="auto"/>
          <w:szCs w:val="24"/>
        </w:rPr>
        <w:t>can continue</w:t>
      </w:r>
      <w:r>
        <w:rPr>
          <w:color w:val="auto"/>
        </w:rPr>
        <w:t xml:space="preserve"> to </w:t>
      </w:r>
      <w:r>
        <w:rPr>
          <w:color w:val="auto"/>
          <w:szCs w:val="24"/>
        </w:rPr>
        <w:t>hold</w:t>
      </w:r>
      <w:r>
        <w:rPr>
          <w:color w:val="auto"/>
        </w:rPr>
        <w:t xml:space="preserve"> their CCA</w:t>
      </w:r>
      <w:r>
        <w:rPr>
          <w:color w:val="auto"/>
          <w:szCs w:val="24"/>
        </w:rPr>
        <w:t xml:space="preserve"> where to do so is consistent with scheme rules</w:t>
      </w:r>
      <w:r>
        <w:rPr>
          <w:color w:val="auto"/>
        </w:rPr>
        <w:t xml:space="preserve">. Where an operator chooses to retain their CCA, they can claim 100% relief under the metallurgical and mineralogical exemption and CCA </w:t>
      </w:r>
      <w:r>
        <w:rPr>
          <w:color w:val="auto"/>
          <w:szCs w:val="24"/>
        </w:rPr>
        <w:t>rates</w:t>
      </w:r>
      <w:r>
        <w:rPr>
          <w:color w:val="auto"/>
        </w:rPr>
        <w:t xml:space="preserve"> of relief for other eligible processes. </w:t>
      </w:r>
    </w:p>
    <w:p w14:paraId="72265244" w14:textId="34247BD7" w:rsidR="00D446AD" w:rsidRDefault="002737EF" w:rsidP="007A7512">
      <w:r>
        <w:t xml:space="preserve">Alternatively, </w:t>
      </w:r>
      <w:r>
        <w:rPr>
          <w:szCs w:val="24"/>
        </w:rPr>
        <w:t>operators have the option to</w:t>
      </w:r>
      <w:r>
        <w:t xml:space="preserve"> voluntarily terminate (see </w:t>
      </w:r>
      <w:hyperlink w:anchor="_8.3.1._Voluntary_termination" w:history="1">
        <w:r>
          <w:rPr>
            <w:rStyle w:val="Hyperlink"/>
          </w:rPr>
          <w:t>section 8.3.1</w:t>
        </w:r>
      </w:hyperlink>
      <w:r>
        <w:t xml:space="preserve">) their CCA agreement in line with the scheme rules </w:t>
      </w:r>
      <w:r>
        <w:rPr>
          <w:szCs w:val="24"/>
        </w:rPr>
        <w:t>(through contacting the Environment Agency). The termination of the</w:t>
      </w:r>
      <w:r>
        <w:t xml:space="preserve"> agreement</w:t>
      </w:r>
      <w:r>
        <w:rPr>
          <w:szCs w:val="24"/>
        </w:rPr>
        <w:t xml:space="preserve"> means all facilities within the target unit </w:t>
      </w:r>
      <w:r>
        <w:t>will no longer be able to claim their CCL discount through the CCA scheme</w:t>
      </w:r>
      <w:r>
        <w:rPr>
          <w:szCs w:val="24"/>
        </w:rPr>
        <w:t>. Operators terminating their agreement</w:t>
      </w:r>
      <w:r>
        <w:t xml:space="preserve"> for facilities that are regulated under the Environmental Permitting Regulations (EPR) in England and Wales (and the equivalent legislation for the devolved regulators), should refer to the </w:t>
      </w:r>
      <w:hyperlink r:id="rId34" w:history="1">
        <w:r>
          <w:rPr>
            <w:color w:val="0070C0"/>
            <w:u w:val="single" w:color="0077B9"/>
          </w:rPr>
          <w:t>Industrial Emissions</w:t>
        </w:r>
      </w:hyperlink>
      <w:hyperlink r:id="rId35" w:history="1">
        <w:r>
          <w:rPr>
            <w:color w:val="0070C0"/>
            <w:u w:val="single" w:color="0077B9"/>
          </w:rPr>
          <w:t xml:space="preserve"> </w:t>
        </w:r>
      </w:hyperlink>
      <w:hyperlink r:id="rId36" w:history="1">
        <w:r>
          <w:rPr>
            <w:color w:val="0070C0"/>
            <w:u w:val="single" w:color="0077B9"/>
          </w:rPr>
          <w:t>Directive</w:t>
        </w:r>
      </w:hyperlink>
      <w:hyperlink r:id="rId37" w:history="1">
        <w:r>
          <w:rPr>
            <w:color w:val="0070C0"/>
            <w:u w:val="single" w:color="0077B9"/>
          </w:rPr>
          <w:t xml:space="preserve"> </w:t>
        </w:r>
      </w:hyperlink>
      <w:hyperlink r:id="rId38" w:history="1">
        <w:r>
          <w:rPr>
            <w:color w:val="0070C0"/>
            <w:u w:val="single" w:color="0077B9"/>
          </w:rPr>
          <w:t>Part</w:t>
        </w:r>
      </w:hyperlink>
      <w:hyperlink r:id="rId39" w:history="1">
        <w:r>
          <w:rPr>
            <w:color w:val="0070C0"/>
            <w:u w:val="single" w:color="0077B9"/>
          </w:rPr>
          <w:t xml:space="preserve"> </w:t>
        </w:r>
      </w:hyperlink>
      <w:hyperlink r:id="rId40" w:history="1">
        <w:r>
          <w:rPr>
            <w:color w:val="0070C0"/>
            <w:u w:val="single" w:color="0077B9"/>
          </w:rPr>
          <w:t>A1</w:t>
        </w:r>
      </w:hyperlink>
      <w:hyperlink r:id="rId41" w:history="1">
        <w:r>
          <w:rPr>
            <w:color w:val="0070C0"/>
            <w:u w:val="single" w:color="0077B9"/>
          </w:rPr>
          <w:t xml:space="preserve"> </w:t>
        </w:r>
      </w:hyperlink>
      <w:hyperlink r:id="rId42" w:history="1">
        <w:r>
          <w:rPr>
            <w:color w:val="0070C0"/>
            <w:u w:val="single" w:color="0077B9"/>
          </w:rPr>
          <w:t>guidance</w:t>
        </w:r>
      </w:hyperlink>
      <w:hyperlink r:id="rId43" w:history="1"/>
      <w:r>
        <w:t xml:space="preserve"> following termination of their CCA, to ensure they comply with the </w:t>
      </w:r>
      <w:hyperlink r:id="rId44" w:history="1">
        <w:r>
          <w:rPr>
            <w:rStyle w:val="Hyperlink"/>
            <w:color w:val="0070C0"/>
          </w:rPr>
          <w:t>energy efficiency</w:t>
        </w:r>
      </w:hyperlink>
      <w:r>
        <w:t xml:space="preserve"> requirements set out in the EPR.</w:t>
      </w:r>
    </w:p>
    <w:p w14:paraId="76AFC0F1" w14:textId="77777777" w:rsidR="00D446AD" w:rsidRDefault="00D446AD">
      <w:pPr>
        <w:suppressAutoHyphens w:val="0"/>
        <w:spacing w:before="0" w:beforeAutospacing="0" w:after="160" w:afterAutospacing="0" w:line="256" w:lineRule="auto"/>
      </w:pPr>
      <w:r>
        <w:br w:type="page"/>
      </w:r>
    </w:p>
    <w:p w14:paraId="432EDFC8" w14:textId="77777777" w:rsidR="00026E66" w:rsidRDefault="002737EF" w:rsidP="00FF0098">
      <w:pPr>
        <w:pStyle w:val="Heading1"/>
        <w:tabs>
          <w:tab w:val="left" w:pos="0"/>
        </w:tabs>
      </w:pPr>
      <w:bookmarkStart w:id="28" w:name="_3._Eligible_energy"/>
      <w:bookmarkStart w:id="29" w:name="_Toc94718632"/>
      <w:bookmarkStart w:id="30" w:name="_Toc94088880"/>
      <w:bookmarkStart w:id="31" w:name="_Toc95211770"/>
      <w:bookmarkEnd w:id="28"/>
      <w:r>
        <w:lastRenderedPageBreak/>
        <w:t>3. Eligible energy in the CCA scheme</w:t>
      </w:r>
      <w:bookmarkEnd w:id="29"/>
      <w:bookmarkEnd w:id="30"/>
      <w:bookmarkEnd w:id="31"/>
      <w:r>
        <w:t xml:space="preserve"> </w:t>
      </w:r>
    </w:p>
    <w:p w14:paraId="784BD6D7" w14:textId="77777777" w:rsidR="00026E66" w:rsidRDefault="002737EF" w:rsidP="00FC355D">
      <w:r>
        <w:t>This section outlines the ways for accounting for energy in CCAs. These will help you determine the amount of energy consumed on a site that may be included in an eligible facility. This also forms the basis for determining the energy consumed within the target</w:t>
      </w:r>
      <w:r>
        <w:rPr>
          <w:u w:val="single" w:color="0077B9"/>
        </w:rPr>
        <w:t xml:space="preserve"> </w:t>
      </w:r>
      <w:r>
        <w:t xml:space="preserve">facility. The eligible facility is the installation or part of a site which is eligible to be covered by a CCA. The target facility is the eligible facility less any part(s) consuming energy covered by the Emissions Trading Scheme, (ETS). The target facility is the part to which CCA targets apply and whose energy use must be reported under CCA. </w:t>
      </w:r>
    </w:p>
    <w:p w14:paraId="107DF87C" w14:textId="77777777" w:rsidR="00026E66" w:rsidRDefault="002737EF" w:rsidP="00FF0098">
      <w:pPr>
        <w:tabs>
          <w:tab w:val="left" w:pos="0"/>
        </w:tabs>
        <w:ind w:right="182"/>
        <w:rPr>
          <w:color w:val="auto"/>
        </w:rPr>
      </w:pPr>
      <w:r>
        <w:rPr>
          <w:color w:val="auto"/>
        </w:rPr>
        <w:t xml:space="preserve">This section covers: </w:t>
      </w:r>
    </w:p>
    <w:p w14:paraId="4BB2629F" w14:textId="77777777" w:rsidR="00026E66" w:rsidRDefault="002737EF" w:rsidP="0065356B">
      <w:pPr>
        <w:pStyle w:val="ListParagraph"/>
        <w:numPr>
          <w:ilvl w:val="0"/>
          <w:numId w:val="26"/>
        </w:numPr>
        <w:tabs>
          <w:tab w:val="left" w:pos="0"/>
        </w:tabs>
      </w:pPr>
      <w:r>
        <w:t xml:space="preserve">how to account for energy use and calculate primary energy consumption </w:t>
      </w:r>
    </w:p>
    <w:p w14:paraId="157E42BC" w14:textId="77777777" w:rsidR="00026E66" w:rsidRDefault="002737EF" w:rsidP="0065356B">
      <w:pPr>
        <w:pStyle w:val="ListParagraph"/>
        <w:numPr>
          <w:ilvl w:val="0"/>
          <w:numId w:val="26"/>
        </w:numPr>
        <w:tabs>
          <w:tab w:val="left" w:pos="0"/>
        </w:tabs>
      </w:pPr>
      <w:r>
        <w:t xml:space="preserve">how to define the eligible facility and target facility on a site </w:t>
      </w:r>
    </w:p>
    <w:p w14:paraId="5EDC93E5" w14:textId="0F203444" w:rsidR="00026E66" w:rsidRDefault="002737EF" w:rsidP="0065356B">
      <w:pPr>
        <w:pStyle w:val="ListParagraph"/>
        <w:numPr>
          <w:ilvl w:val="0"/>
          <w:numId w:val="26"/>
        </w:numPr>
        <w:tabs>
          <w:tab w:val="left" w:pos="0"/>
        </w:tabs>
      </w:pPr>
      <w:r>
        <w:t xml:space="preserve">how to calculate the performance of the target facility in the </w:t>
      </w:r>
      <w:hyperlink w:anchor="baseyear" w:history="1">
        <w:r>
          <w:rPr>
            <w:rStyle w:val="Hyperlink"/>
          </w:rPr>
          <w:t>base year</w:t>
        </w:r>
      </w:hyperlink>
      <w:r>
        <w:t xml:space="preserve"> </w:t>
      </w:r>
    </w:p>
    <w:p w14:paraId="4F22946D" w14:textId="77777777" w:rsidR="00026E66" w:rsidRDefault="002737EF" w:rsidP="00FC355D">
      <w:r>
        <w:t xml:space="preserve">Note: The Finance Act 2000 (as amended) defines a 'facility that is eligible' [to hold a CCA]. </w:t>
      </w:r>
      <w:r>
        <w:rPr>
          <w:szCs w:val="24"/>
        </w:rPr>
        <w:t>In this manual, when we</w:t>
      </w:r>
      <w:r>
        <w:t xml:space="preserve"> use 'eligible facility'</w:t>
      </w:r>
      <w:r>
        <w:rPr>
          <w:szCs w:val="24"/>
        </w:rPr>
        <w:t>, we</w:t>
      </w:r>
      <w:r>
        <w:t xml:space="preserve"> mean a 'facility that is eligible'</w:t>
      </w:r>
      <w:r>
        <w:rPr>
          <w:szCs w:val="24"/>
        </w:rPr>
        <w:t xml:space="preserve"> as outlined in the Finance Act 2000 (as amended).</w:t>
      </w:r>
      <w:r>
        <w:t xml:space="preserve"> </w:t>
      </w:r>
    </w:p>
    <w:p w14:paraId="7CA50A70" w14:textId="77777777" w:rsidR="00026E66" w:rsidRDefault="002737EF" w:rsidP="00FC355D">
      <w:r>
        <w:t xml:space="preserve">For illustrative purposes, extracts are taken from the </w:t>
      </w:r>
      <w:hyperlink r:id="rId45" w:history="1">
        <w:r>
          <w:rPr>
            <w:rStyle w:val="Hyperlink"/>
            <w:color w:val="0070C0"/>
          </w:rPr>
          <w:t>Technical Annex</w:t>
        </w:r>
      </w:hyperlink>
      <w:r>
        <w:t xml:space="preserve">. These extracts describe energy accounting as it applies to the determination of the target facility. For the avoidance of doubt, the same accounting protocols apply to the determination of the eligible facility. </w:t>
      </w:r>
    </w:p>
    <w:p w14:paraId="628E59A8" w14:textId="77777777" w:rsidR="00026E66" w:rsidRDefault="002737EF" w:rsidP="00FF0098">
      <w:pPr>
        <w:pStyle w:val="Heading2"/>
        <w:tabs>
          <w:tab w:val="left" w:pos="0"/>
        </w:tabs>
      </w:pPr>
      <w:bookmarkStart w:id="32" w:name="_3.1._How_to"/>
      <w:bookmarkStart w:id="33" w:name="_Toc94718633"/>
      <w:bookmarkStart w:id="34" w:name="_Toc94088881"/>
      <w:bookmarkStart w:id="35" w:name="_Toc95211771"/>
      <w:bookmarkEnd w:id="32"/>
      <w:r>
        <w:t>3.1. How to account for energy use</w:t>
      </w:r>
      <w:bookmarkEnd w:id="33"/>
      <w:bookmarkEnd w:id="34"/>
      <w:bookmarkEnd w:id="35"/>
      <w:r>
        <w:t xml:space="preserve"> </w:t>
      </w:r>
    </w:p>
    <w:p w14:paraId="0A125C53" w14:textId="77777777" w:rsidR="00026E66" w:rsidRDefault="002737EF" w:rsidP="00FC355D">
      <w:r>
        <w:t xml:space="preserve">The first stage in setting up a CCA is to understand how much of the energy consumed on a site is eligible to be included in the CCA. To do this, the operator must first understand the types of energy and fuels that are accounted for in the CCA scheme. </w:t>
      </w:r>
    </w:p>
    <w:p w14:paraId="7D6C8AE7" w14:textId="77777777" w:rsidR="00026E66" w:rsidRDefault="002737EF" w:rsidP="00FF0098">
      <w:pPr>
        <w:pStyle w:val="Heading3"/>
        <w:tabs>
          <w:tab w:val="left" w:pos="0"/>
        </w:tabs>
      </w:pPr>
      <w:bookmarkStart w:id="36" w:name="_3.1.1._Fossil_fuels"/>
      <w:bookmarkStart w:id="37" w:name="_Toc95211772"/>
      <w:bookmarkEnd w:id="36"/>
      <w:r>
        <w:t>3.1.1. Fossil fuels</w:t>
      </w:r>
      <w:bookmarkEnd w:id="37"/>
      <w:r>
        <w:t xml:space="preserve"> </w:t>
      </w:r>
    </w:p>
    <w:p w14:paraId="4819CD4F" w14:textId="77777777" w:rsidR="00026E66" w:rsidRDefault="002737EF" w:rsidP="00FC355D">
      <w:r>
        <w:rPr>
          <w:color w:val="auto"/>
        </w:rPr>
        <w:t xml:space="preserve">The operator should account for the combustion of fossil fuels on a site. Paragraph 12 in the </w:t>
      </w:r>
      <w:hyperlink r:id="rId46" w:history="1">
        <w:r>
          <w:rPr>
            <w:rStyle w:val="Hyperlink"/>
            <w:color w:val="0070C0"/>
          </w:rPr>
          <w:t>Technical Annex</w:t>
        </w:r>
      </w:hyperlink>
      <w:r>
        <w:rPr>
          <w:color w:val="auto"/>
        </w:rPr>
        <w:t xml:space="preserve"> states: </w:t>
      </w:r>
    </w:p>
    <w:p w14:paraId="20E62040" w14:textId="77777777" w:rsidR="00026E66" w:rsidRDefault="002737EF" w:rsidP="00FC355D">
      <w:r>
        <w:rPr>
          <w:color w:val="auto"/>
          <w:szCs w:val="24"/>
        </w:rPr>
        <w:t>“</w:t>
      </w:r>
      <w:r>
        <w:rPr>
          <w:color w:val="auto"/>
        </w:rPr>
        <w:t>The units of fossil fuels used must be calculated on a gross calorific value basis. No correction must be applied to account for the energy consumed in the extraction, processing, and supply of the fossil fuels to a target facility</w:t>
      </w:r>
      <w:r>
        <w:rPr>
          <w:color w:val="auto"/>
          <w:szCs w:val="24"/>
        </w:rPr>
        <w:t>.”</w:t>
      </w:r>
    </w:p>
    <w:p w14:paraId="376FF4D8" w14:textId="74F76FC6" w:rsidR="00026E66" w:rsidRDefault="002737EF" w:rsidP="00FC355D">
      <w:r>
        <w:rPr>
          <w:color w:val="auto"/>
        </w:rPr>
        <w:t xml:space="preserve">If available, operators should use the gross calorific value (GCV) provided by their energy supplier when working out their energy consumption. Where this information is unavailable, operators should use the GCV </w:t>
      </w:r>
      <w:r>
        <w:rPr>
          <w:color w:val="auto"/>
          <w:szCs w:val="24"/>
        </w:rPr>
        <w:t>given for the particular fossil fuel in</w:t>
      </w:r>
      <w:r>
        <w:rPr>
          <w:color w:val="auto"/>
        </w:rPr>
        <w:t xml:space="preserve"> Annex 11 of the '2012 Guidelines to Defra’s/DECC’s GHG conversion factors for company reporting'. </w:t>
      </w:r>
      <w:r>
        <w:rPr>
          <w:color w:val="auto"/>
        </w:rPr>
        <w:lastRenderedPageBreak/>
        <w:t>These factors can be found at</w:t>
      </w:r>
      <w:r w:rsidR="00FC355D">
        <w:rPr>
          <w:color w:val="auto"/>
        </w:rPr>
        <w:t xml:space="preserve"> </w:t>
      </w:r>
      <w:hyperlink r:id="rId47" w:history="1">
        <w:r>
          <w:rPr>
            <w:color w:val="0070C0"/>
            <w:u w:val="single" w:color="0077B9"/>
          </w:rPr>
          <w:t>2012</w:t>
        </w:r>
      </w:hyperlink>
      <w:hyperlink r:id="rId48" w:history="1">
        <w:r>
          <w:rPr>
            <w:color w:val="0070C0"/>
            <w:u w:val="single" w:color="0077B9"/>
          </w:rPr>
          <w:t xml:space="preserve"> </w:t>
        </w:r>
      </w:hyperlink>
      <w:hyperlink r:id="rId49" w:history="1">
        <w:r>
          <w:rPr>
            <w:color w:val="0070C0"/>
            <w:u w:val="single" w:color="0077B9"/>
          </w:rPr>
          <w:t>greenhouse</w:t>
        </w:r>
      </w:hyperlink>
      <w:hyperlink r:id="rId50" w:history="1">
        <w:r>
          <w:rPr>
            <w:color w:val="0070C0"/>
            <w:u w:val="single" w:color="0077B9"/>
          </w:rPr>
          <w:t xml:space="preserve"> </w:t>
        </w:r>
      </w:hyperlink>
      <w:hyperlink r:id="rId51" w:history="1">
        <w:r>
          <w:rPr>
            <w:color w:val="0070C0"/>
            <w:u w:val="single" w:color="0077B9"/>
          </w:rPr>
          <w:t>gas</w:t>
        </w:r>
      </w:hyperlink>
      <w:hyperlink r:id="rId52" w:history="1">
        <w:r>
          <w:rPr>
            <w:color w:val="0070C0"/>
            <w:u w:val="single" w:color="0077B9"/>
          </w:rPr>
          <w:t xml:space="preserve"> </w:t>
        </w:r>
      </w:hyperlink>
      <w:hyperlink r:id="rId53" w:history="1">
        <w:r>
          <w:rPr>
            <w:color w:val="0070C0"/>
            <w:u w:val="single" w:color="0077B9"/>
          </w:rPr>
          <w:t>conversion</w:t>
        </w:r>
      </w:hyperlink>
      <w:hyperlink r:id="rId54" w:history="1">
        <w:r>
          <w:rPr>
            <w:color w:val="0070C0"/>
            <w:u w:val="single" w:color="0077B9"/>
          </w:rPr>
          <w:t xml:space="preserve"> </w:t>
        </w:r>
      </w:hyperlink>
      <w:hyperlink r:id="rId55" w:history="1">
        <w:r>
          <w:rPr>
            <w:color w:val="0070C0"/>
            <w:u w:val="single" w:color="0077B9"/>
          </w:rPr>
          <w:t>factors</w:t>
        </w:r>
      </w:hyperlink>
      <w:hyperlink r:id="rId56" w:history="1">
        <w:r>
          <w:rPr>
            <w:color w:val="0070C0"/>
            <w:u w:val="single" w:color="0077B9"/>
          </w:rPr>
          <w:t xml:space="preserve"> </w:t>
        </w:r>
      </w:hyperlink>
      <w:hyperlink r:id="rId57" w:history="1">
        <w:r>
          <w:rPr>
            <w:color w:val="0070C0"/>
            <w:u w:val="single" w:color="0077B9"/>
          </w:rPr>
          <w:t>for</w:t>
        </w:r>
      </w:hyperlink>
      <w:hyperlink r:id="rId58" w:history="1">
        <w:r>
          <w:rPr>
            <w:color w:val="0070C0"/>
            <w:u w:val="single" w:color="0077B9"/>
          </w:rPr>
          <w:t xml:space="preserve"> </w:t>
        </w:r>
      </w:hyperlink>
      <w:hyperlink r:id="rId59" w:history="1">
        <w:r>
          <w:rPr>
            <w:color w:val="0070C0"/>
            <w:u w:val="single" w:color="0077B9"/>
          </w:rPr>
          <w:t>company</w:t>
        </w:r>
      </w:hyperlink>
      <w:hyperlink r:id="rId60" w:history="1">
        <w:r>
          <w:rPr>
            <w:color w:val="0070C0"/>
            <w:u w:val="single" w:color="0077B9"/>
          </w:rPr>
          <w:t xml:space="preserve"> </w:t>
        </w:r>
      </w:hyperlink>
      <w:hyperlink r:id="rId61" w:history="1">
        <w:r>
          <w:rPr>
            <w:color w:val="0070C0"/>
            <w:u w:val="single" w:color="0077B9"/>
          </w:rPr>
          <w:t>reporting</w:t>
        </w:r>
      </w:hyperlink>
      <w:hyperlink r:id="rId62" w:history="1">
        <w:r>
          <w:rPr>
            <w:color w:val="auto"/>
          </w:rPr>
          <w:t>.</w:t>
        </w:r>
      </w:hyperlink>
      <w:r>
        <w:rPr>
          <w:color w:val="auto"/>
        </w:rPr>
        <w:t xml:space="preserve"> </w:t>
      </w:r>
      <w:r>
        <w:rPr>
          <w:color w:val="auto"/>
          <w:szCs w:val="24"/>
        </w:rPr>
        <w:t>These</w:t>
      </w:r>
      <w:r>
        <w:rPr>
          <w:color w:val="auto"/>
        </w:rPr>
        <w:t xml:space="preserve"> 2012 GCV conversion factors </w:t>
      </w:r>
      <w:r>
        <w:rPr>
          <w:color w:val="auto"/>
          <w:szCs w:val="24"/>
        </w:rPr>
        <w:t>should</w:t>
      </w:r>
      <w:r>
        <w:rPr>
          <w:color w:val="auto"/>
        </w:rPr>
        <w:t xml:space="preserve"> be used for all</w:t>
      </w:r>
      <w:r>
        <w:rPr>
          <w:color w:val="auto"/>
          <w:szCs w:val="24"/>
        </w:rPr>
        <w:t xml:space="preserve"> reporting during the</w:t>
      </w:r>
      <w:r>
        <w:rPr>
          <w:color w:val="auto"/>
        </w:rPr>
        <w:t xml:space="preserve"> five target periods. </w:t>
      </w:r>
    </w:p>
    <w:p w14:paraId="5D10C1C8" w14:textId="77777777" w:rsidR="00026E66" w:rsidRDefault="002737EF" w:rsidP="00FC355D">
      <w:r>
        <w:rPr>
          <w:color w:val="auto"/>
        </w:rPr>
        <w:t xml:space="preserve">Where the GCV is not available from the supplier and the fuel being consumed is not listed in the company reporting guidelines the operator should email their sector association in the first instance or alternatively </w:t>
      </w:r>
      <w:r>
        <w:rPr>
          <w:color w:val="auto"/>
          <w:szCs w:val="24"/>
        </w:rPr>
        <w:t>the Environment Agency’s</w:t>
      </w:r>
      <w:r>
        <w:rPr>
          <w:color w:val="auto"/>
        </w:rPr>
        <w:t xml:space="preserve"> </w:t>
      </w:r>
      <w:hyperlink r:id="rId63" w:history="1">
        <w:r>
          <w:rPr>
            <w:rStyle w:val="Hyperlink"/>
            <w:color w:val="0070C0"/>
          </w:rPr>
          <w:t>CCA helpdesk</w:t>
        </w:r>
      </w:hyperlink>
      <w:r>
        <w:rPr>
          <w:color w:val="auto"/>
        </w:rPr>
        <w:t>.</w:t>
      </w:r>
      <w:bookmarkStart w:id="38" w:name="_3.1.2._General_electricity"/>
      <w:bookmarkEnd w:id="38"/>
    </w:p>
    <w:p w14:paraId="66E70226" w14:textId="77777777" w:rsidR="00026E66" w:rsidRDefault="002737EF" w:rsidP="00FF0098">
      <w:pPr>
        <w:pStyle w:val="Heading3"/>
        <w:tabs>
          <w:tab w:val="left" w:pos="0"/>
        </w:tabs>
      </w:pPr>
      <w:bookmarkStart w:id="39" w:name="_Toc95211773"/>
      <w:r>
        <w:t>3.1.2. General electricity imports</w:t>
      </w:r>
      <w:bookmarkEnd w:id="39"/>
      <w:r>
        <w:t xml:space="preserve"> </w:t>
      </w:r>
    </w:p>
    <w:p w14:paraId="474A6C9B" w14:textId="77777777" w:rsidR="00026E66" w:rsidRDefault="002737EF" w:rsidP="00FC355D">
      <w:r>
        <w:t xml:space="preserve">The operator should account for any electricity imported to a site from an external source (third party or a dedicated electricity generator) and consumed on the site. </w:t>
      </w:r>
    </w:p>
    <w:p w14:paraId="0D35595E" w14:textId="77777777" w:rsidR="00026E66" w:rsidRDefault="002737EF" w:rsidP="00FC355D">
      <w:r>
        <w:t xml:space="preserve">If this electricity is imported from a licensed supplier, it is treated as ‘grid electricity’ and the metered consumption </w:t>
      </w:r>
      <w:r>
        <w:rPr>
          <w:szCs w:val="24"/>
        </w:rPr>
        <w:t>is</w:t>
      </w:r>
      <w:r>
        <w:t xml:space="preserve"> multiplied by 2.6 for accounting and reporting purposes </w:t>
      </w:r>
      <w:hyperlink r:id="rId64" w:history="1">
        <w:r>
          <w:rPr>
            <w:rStyle w:val="Hyperlink"/>
            <w:color w:val="0070C0"/>
          </w:rPr>
          <w:t>Technical Annex</w:t>
        </w:r>
      </w:hyperlink>
      <w:r>
        <w:t xml:space="preserve"> ( paragraph 13). </w:t>
      </w:r>
    </w:p>
    <w:p w14:paraId="52B22392" w14:textId="77777777" w:rsidR="00026E66" w:rsidRDefault="002737EF" w:rsidP="00FC355D">
      <w:r>
        <w:t xml:space="preserve">If the electricity imported to the site is generated by a standalone generator (non-CHP) and supplied to the site via a private wire, the total fuel </w:t>
      </w:r>
      <w:r>
        <w:rPr>
          <w:szCs w:val="24"/>
        </w:rPr>
        <w:t>input</w:t>
      </w:r>
      <w:r>
        <w:t xml:space="preserve"> to the generator and the total electricity output from the generator </w:t>
      </w:r>
      <w:r>
        <w:rPr>
          <w:szCs w:val="24"/>
        </w:rPr>
        <w:t>is</w:t>
      </w:r>
      <w:r>
        <w:t xml:space="preserve"> used to calculate the efficiency of electricity generation for that generator. The energy recorded by the </w:t>
      </w:r>
      <w:r>
        <w:rPr>
          <w:szCs w:val="24"/>
        </w:rPr>
        <w:t>site</w:t>
      </w:r>
      <w:r>
        <w:t xml:space="preserve"> is then the metered electricity consumed divided by the efficiency of the generator. This energy would be reported </w:t>
      </w:r>
      <w:r>
        <w:rPr>
          <w:szCs w:val="24"/>
        </w:rPr>
        <w:t>as</w:t>
      </w:r>
      <w:r>
        <w:t xml:space="preserve"> the fuel(s) to the </w:t>
      </w:r>
      <w:r>
        <w:rPr>
          <w:szCs w:val="24"/>
        </w:rPr>
        <w:t xml:space="preserve">generator </w:t>
      </w:r>
    </w:p>
    <w:p w14:paraId="170B6944" w14:textId="77777777" w:rsidR="00026E66" w:rsidRDefault="002737EF" w:rsidP="00FC355D">
      <w:r>
        <w:t xml:space="preserve">Electricity imported to the site that is generated in a combined heat and power (CHP) plant is accounted for differently (see </w:t>
      </w:r>
      <w:hyperlink w:anchor="_3.1.6._Combined_heat" w:history="1">
        <w:r>
          <w:rPr>
            <w:rStyle w:val="Hyperlink"/>
          </w:rPr>
          <w:t>section 3.1.6</w:t>
        </w:r>
      </w:hyperlink>
      <w:r>
        <w:t xml:space="preserve">). </w:t>
      </w:r>
    </w:p>
    <w:p w14:paraId="2BD20549" w14:textId="77777777" w:rsidR="00026E66" w:rsidRDefault="002737EF" w:rsidP="00FC355D">
      <w:r>
        <w:t>All electricity consumed in electrolysis processes is included in the scheme (</w:t>
      </w:r>
      <w:hyperlink r:id="rId65" w:history="1">
        <w:r>
          <w:rPr>
            <w:rStyle w:val="Hyperlink"/>
            <w:color w:val="0070C0"/>
          </w:rPr>
          <w:t>Technical Annex</w:t>
        </w:r>
      </w:hyperlink>
      <w:r>
        <w:t xml:space="preserve"> paragraph 43).</w:t>
      </w:r>
      <w:r>
        <w:rPr>
          <w:szCs w:val="24"/>
        </w:rPr>
        <w:t xml:space="preserve"> </w:t>
      </w:r>
    </w:p>
    <w:p w14:paraId="3321821C" w14:textId="77777777" w:rsidR="00026E66" w:rsidRDefault="002737EF" w:rsidP="00FF0098">
      <w:pPr>
        <w:pStyle w:val="Heading3"/>
        <w:tabs>
          <w:tab w:val="left" w:pos="0"/>
        </w:tabs>
      </w:pPr>
      <w:bookmarkStart w:id="40" w:name="_Toc95211774"/>
      <w:r>
        <w:t>3.1.3. Green electricity tariffs</w:t>
      </w:r>
      <w:bookmarkEnd w:id="40"/>
    </w:p>
    <w:p w14:paraId="278935AE" w14:textId="77777777" w:rsidR="00026E66" w:rsidRDefault="002737EF" w:rsidP="00FF0098">
      <w:pPr>
        <w:tabs>
          <w:tab w:val="left" w:pos="0"/>
        </w:tabs>
      </w:pPr>
      <w:r>
        <w:t xml:space="preserve">Most suppliers now offer </w:t>
      </w:r>
      <w:hyperlink w:anchor="Greenelectricity" w:history="1">
        <w:r>
          <w:rPr>
            <w:rStyle w:val="Hyperlink"/>
          </w:rPr>
          <w:t>'green' electricity tariffs</w:t>
        </w:r>
      </w:hyperlink>
      <w:r>
        <w:t xml:space="preserve">. These tariffs are not CCL exempt and are treated in the same way as any other electricity imports as outlined in </w:t>
      </w:r>
      <w:hyperlink w:anchor="_3.1.2._General_electricity" w:history="1">
        <w:r>
          <w:rPr>
            <w:rStyle w:val="Hyperlink"/>
          </w:rPr>
          <w:t>section 3.1.2</w:t>
        </w:r>
      </w:hyperlink>
      <w:r>
        <w:t xml:space="preserve"> </w:t>
      </w:r>
    </w:p>
    <w:p w14:paraId="55DD0EF4" w14:textId="77777777" w:rsidR="00026E66" w:rsidRDefault="002737EF" w:rsidP="00FF0098">
      <w:pPr>
        <w:pStyle w:val="Heading3"/>
        <w:tabs>
          <w:tab w:val="left" w:pos="0"/>
        </w:tabs>
      </w:pPr>
      <w:bookmarkStart w:id="41" w:name="_Toc95211775"/>
      <w:r>
        <w:t>3.1.4. Renewable electricity</w:t>
      </w:r>
      <w:bookmarkEnd w:id="41"/>
      <w:r>
        <w:t xml:space="preserve"> </w:t>
      </w:r>
    </w:p>
    <w:p w14:paraId="1C939011" w14:textId="77777777" w:rsidR="00026E66" w:rsidRDefault="002737EF" w:rsidP="00FC355D">
      <w:r>
        <w:t xml:space="preserve">Any electricity from renewable energy sources (such as wind, solar, hydro or through the combustion of a renewable fuel) that is generated on site or supplied directly from an off-site source, and then consumed within the eligible facility, should be counted in the same way as electricity from the grid. </w:t>
      </w:r>
    </w:p>
    <w:p w14:paraId="640AA574" w14:textId="77777777" w:rsidR="00026E66" w:rsidRDefault="002737EF" w:rsidP="00FC355D">
      <w:r>
        <w:t xml:space="preserve">This means that the energy counted is the delivered electricity consumed multiplied by 2.6 (see </w:t>
      </w:r>
      <w:hyperlink w:anchor="_3.1.2._General_electricity" w:history="1">
        <w:r>
          <w:rPr>
            <w:rStyle w:val="Hyperlink"/>
          </w:rPr>
          <w:t>section 3.1.2</w:t>
        </w:r>
      </w:hyperlink>
      <w:r>
        <w:t xml:space="preserve">). </w:t>
      </w:r>
    </w:p>
    <w:p w14:paraId="077A45B6" w14:textId="77777777" w:rsidR="00026E66" w:rsidRDefault="002737EF" w:rsidP="00FC355D">
      <w:r>
        <w:rPr>
          <w:color w:val="auto"/>
        </w:rPr>
        <w:lastRenderedPageBreak/>
        <w:t xml:space="preserve">The CCA scheme is not </w:t>
      </w:r>
      <w:r>
        <w:rPr>
          <w:color w:val="auto"/>
          <w:szCs w:val="24"/>
        </w:rPr>
        <w:t>designed</w:t>
      </w:r>
      <w:r>
        <w:rPr>
          <w:color w:val="auto"/>
        </w:rPr>
        <w:t xml:space="preserve"> to provide additional incentives for renewables beyond Feed-in Tariffs (FITs), Renewable Obligation Certificates (ROCs) or the Renewable Heat Incentive (RHI). </w:t>
      </w:r>
      <w:r>
        <w:rPr>
          <w:color w:val="auto"/>
          <w:szCs w:val="24"/>
        </w:rPr>
        <w:t xml:space="preserve">The aim of the CCA scheme is to encourage energy efficiency. </w:t>
      </w:r>
    </w:p>
    <w:p w14:paraId="78D1002D" w14:textId="77777777" w:rsidR="00026E66" w:rsidRDefault="002737EF" w:rsidP="00FF0098">
      <w:pPr>
        <w:pStyle w:val="Heading3"/>
        <w:tabs>
          <w:tab w:val="left" w:pos="0"/>
        </w:tabs>
      </w:pPr>
      <w:bookmarkStart w:id="42" w:name="_Toc95211776"/>
      <w:r>
        <w:t>3.1.5. Renewable or waste fuels</w:t>
      </w:r>
      <w:bookmarkEnd w:id="42"/>
      <w:r>
        <w:t xml:space="preserve"> </w:t>
      </w:r>
    </w:p>
    <w:p w14:paraId="0500ACDF" w14:textId="77777777" w:rsidR="00026E66" w:rsidRDefault="002737EF" w:rsidP="00FC355D">
      <w:r>
        <w:t xml:space="preserve">Paragraphs 28 to 30 in the </w:t>
      </w:r>
      <w:hyperlink r:id="rId66" w:history="1">
        <w:r>
          <w:rPr>
            <w:rStyle w:val="Hyperlink"/>
            <w:color w:val="0070C0"/>
          </w:rPr>
          <w:t>Technical Annex</w:t>
        </w:r>
      </w:hyperlink>
      <w:r>
        <w:rPr>
          <w:color w:val="0070C0"/>
        </w:rPr>
        <w:t xml:space="preserve"> </w:t>
      </w:r>
      <w:r>
        <w:t xml:space="preserve">describe in which circumstances the energy content of renewable and waste fuels, including fuel which is not 100% renewable, must be determined and reported. </w:t>
      </w:r>
    </w:p>
    <w:p w14:paraId="05F4977F" w14:textId="77777777" w:rsidR="00026E66" w:rsidRDefault="002737EF" w:rsidP="00FC355D">
      <w:r>
        <w:t xml:space="preserve">Renewable heat generation, although carbon efficient, can be less energy efficient compared to non-renewable fuels. Therefore, operators of target units with energy targets should consider how renewable heat generation will impact on the ability to meet their improvement targets. </w:t>
      </w:r>
    </w:p>
    <w:p w14:paraId="13648442" w14:textId="77777777" w:rsidR="00026E66" w:rsidRDefault="002737EF" w:rsidP="00FC355D">
      <w:r>
        <w:t xml:space="preserve">The list of qualifying renewable fuels as set out in the </w:t>
      </w:r>
      <w:hyperlink r:id="rId67" w:history="1">
        <w:r>
          <w:rPr>
            <w:rStyle w:val="Hyperlink"/>
            <w:color w:val="0070C0"/>
          </w:rPr>
          <w:t>Technical Annex</w:t>
        </w:r>
      </w:hyperlink>
      <w:r>
        <w:rPr>
          <w:color w:val="0070C0"/>
        </w:rPr>
        <w:t xml:space="preserve"> </w:t>
      </w:r>
      <w:r>
        <w:t xml:space="preserve">is provided below: </w:t>
      </w:r>
    </w:p>
    <w:tbl>
      <w:tblPr>
        <w:tblStyle w:val="TableGrid0"/>
        <w:tblW w:w="9241" w:type="dxa"/>
        <w:tblLook w:val="0020" w:firstRow="1" w:lastRow="0" w:firstColumn="0" w:lastColumn="0" w:noHBand="0" w:noVBand="0"/>
      </w:tblPr>
      <w:tblGrid>
        <w:gridCol w:w="3511"/>
        <w:gridCol w:w="5730"/>
      </w:tblGrid>
      <w:tr w:rsidR="00026E66" w14:paraId="242D12FE" w14:textId="77777777" w:rsidTr="0017613C">
        <w:trPr>
          <w:trHeight w:val="591"/>
        </w:trPr>
        <w:tc>
          <w:tcPr>
            <w:tcW w:w="3511" w:type="dxa"/>
          </w:tcPr>
          <w:p w14:paraId="12329665" w14:textId="77777777" w:rsidR="00026E66" w:rsidRDefault="002737EF" w:rsidP="00FF0098">
            <w:pPr>
              <w:tabs>
                <w:tab w:val="left" w:pos="0"/>
              </w:tabs>
              <w:spacing w:after="0" w:line="256" w:lineRule="auto"/>
            </w:pPr>
            <w:r>
              <w:rPr>
                <w:b/>
                <w:color w:val="auto"/>
              </w:rPr>
              <w:t>Type</w:t>
            </w:r>
            <w:r>
              <w:rPr>
                <w:color w:val="auto"/>
              </w:rPr>
              <w:t xml:space="preserve"> </w:t>
            </w:r>
          </w:p>
        </w:tc>
        <w:tc>
          <w:tcPr>
            <w:tcW w:w="5730" w:type="dxa"/>
          </w:tcPr>
          <w:p w14:paraId="39C05FEE" w14:textId="77777777" w:rsidR="00026E66" w:rsidRDefault="002737EF" w:rsidP="00FF0098">
            <w:pPr>
              <w:tabs>
                <w:tab w:val="left" w:pos="0"/>
              </w:tabs>
              <w:spacing w:after="0" w:line="256" w:lineRule="auto"/>
            </w:pPr>
            <w:r>
              <w:rPr>
                <w:b/>
                <w:color w:val="auto"/>
              </w:rPr>
              <w:t>Fuels</w:t>
            </w:r>
            <w:r>
              <w:rPr>
                <w:color w:val="auto"/>
              </w:rPr>
              <w:t xml:space="preserve"> </w:t>
            </w:r>
          </w:p>
        </w:tc>
      </w:tr>
      <w:tr w:rsidR="00026E66" w14:paraId="7C557295" w14:textId="77777777" w:rsidTr="0017613C">
        <w:trPr>
          <w:trHeight w:val="1030"/>
        </w:trPr>
        <w:tc>
          <w:tcPr>
            <w:tcW w:w="3511" w:type="dxa"/>
          </w:tcPr>
          <w:p w14:paraId="703E5278" w14:textId="77777777" w:rsidR="00026E66" w:rsidRDefault="002737EF" w:rsidP="007A7512">
            <w:r>
              <w:t xml:space="preserve">Biomass (plants or parts of plants) </w:t>
            </w:r>
          </w:p>
        </w:tc>
        <w:tc>
          <w:tcPr>
            <w:tcW w:w="5730" w:type="dxa"/>
          </w:tcPr>
          <w:p w14:paraId="21EEA847" w14:textId="77777777" w:rsidR="00026E66" w:rsidRPr="00114E0E" w:rsidRDefault="002737EF" w:rsidP="0065356B">
            <w:pPr>
              <w:pStyle w:val="ListParagraph"/>
              <w:numPr>
                <w:ilvl w:val="0"/>
                <w:numId w:val="129"/>
              </w:numPr>
              <w:tabs>
                <w:tab w:val="left" w:pos="0"/>
              </w:tabs>
              <w:spacing w:after="47" w:line="256" w:lineRule="auto"/>
            </w:pPr>
            <w:r w:rsidRPr="00114E0E">
              <w:t xml:space="preserve">Straw </w:t>
            </w:r>
          </w:p>
          <w:p w14:paraId="5BBA67CF" w14:textId="77777777" w:rsidR="00026E66" w:rsidRPr="00114E0E" w:rsidRDefault="002737EF" w:rsidP="0065356B">
            <w:pPr>
              <w:pStyle w:val="ListParagraph"/>
              <w:numPr>
                <w:ilvl w:val="0"/>
                <w:numId w:val="129"/>
              </w:numPr>
              <w:tabs>
                <w:tab w:val="left" w:pos="0"/>
              </w:tabs>
              <w:spacing w:after="49" w:line="256" w:lineRule="auto"/>
            </w:pPr>
            <w:r w:rsidRPr="00114E0E">
              <w:t xml:space="preserve">Hay and grass </w:t>
            </w:r>
          </w:p>
          <w:p w14:paraId="192D5CFF" w14:textId="77777777" w:rsidR="00026E66" w:rsidRPr="00114E0E" w:rsidRDefault="002737EF" w:rsidP="0065356B">
            <w:pPr>
              <w:pStyle w:val="ListParagraph"/>
              <w:numPr>
                <w:ilvl w:val="0"/>
                <w:numId w:val="129"/>
              </w:numPr>
              <w:tabs>
                <w:tab w:val="left" w:pos="0"/>
              </w:tabs>
              <w:spacing w:after="0" w:line="256" w:lineRule="auto"/>
            </w:pPr>
            <w:r w:rsidRPr="00114E0E">
              <w:t xml:space="preserve">Crops (for example, maize) </w:t>
            </w:r>
          </w:p>
        </w:tc>
      </w:tr>
      <w:tr w:rsidR="00026E66" w14:paraId="028BFA4C" w14:textId="77777777" w:rsidTr="0017613C">
        <w:trPr>
          <w:trHeight w:val="2273"/>
        </w:trPr>
        <w:tc>
          <w:tcPr>
            <w:tcW w:w="3511" w:type="dxa"/>
          </w:tcPr>
          <w:p w14:paraId="7519B70F" w14:textId="77777777" w:rsidR="00026E66" w:rsidRDefault="002737EF" w:rsidP="007A7512">
            <w:r>
              <w:t xml:space="preserve">Biomass wastes </w:t>
            </w:r>
          </w:p>
        </w:tc>
        <w:tc>
          <w:tcPr>
            <w:tcW w:w="5730" w:type="dxa"/>
          </w:tcPr>
          <w:p w14:paraId="7690C13E" w14:textId="77777777" w:rsidR="00026E66" w:rsidRPr="00114E0E" w:rsidRDefault="002737EF" w:rsidP="0065356B">
            <w:pPr>
              <w:pStyle w:val="ListParagraph"/>
              <w:numPr>
                <w:ilvl w:val="0"/>
                <w:numId w:val="130"/>
              </w:numPr>
              <w:tabs>
                <w:tab w:val="left" w:pos="0"/>
              </w:tabs>
              <w:spacing w:after="45" w:line="256" w:lineRule="auto"/>
            </w:pPr>
            <w:r w:rsidRPr="00114E0E">
              <w:t xml:space="preserve">Waste wood </w:t>
            </w:r>
          </w:p>
          <w:p w14:paraId="2A525F09" w14:textId="77777777" w:rsidR="00026E66" w:rsidRPr="00114E0E" w:rsidRDefault="002737EF" w:rsidP="0065356B">
            <w:pPr>
              <w:pStyle w:val="ListParagraph"/>
              <w:numPr>
                <w:ilvl w:val="0"/>
                <w:numId w:val="130"/>
              </w:numPr>
              <w:tabs>
                <w:tab w:val="left" w:pos="0"/>
              </w:tabs>
              <w:spacing w:after="50" w:line="256" w:lineRule="auto"/>
            </w:pPr>
            <w:r w:rsidRPr="00114E0E">
              <w:t xml:space="preserve">Forestry residues </w:t>
            </w:r>
          </w:p>
          <w:p w14:paraId="3514AB52" w14:textId="77777777" w:rsidR="00026E66" w:rsidRPr="00114E0E" w:rsidRDefault="002737EF" w:rsidP="0065356B">
            <w:pPr>
              <w:pStyle w:val="ListParagraph"/>
              <w:numPr>
                <w:ilvl w:val="0"/>
                <w:numId w:val="130"/>
              </w:numPr>
              <w:tabs>
                <w:tab w:val="left" w:pos="0"/>
              </w:tabs>
              <w:spacing w:after="50" w:line="256" w:lineRule="auto"/>
            </w:pPr>
            <w:r w:rsidRPr="00114E0E">
              <w:t xml:space="preserve">Landfill gas </w:t>
            </w:r>
          </w:p>
          <w:p w14:paraId="74FD3477" w14:textId="77777777" w:rsidR="00026E66" w:rsidRPr="00114E0E" w:rsidRDefault="002737EF" w:rsidP="0065356B">
            <w:pPr>
              <w:pStyle w:val="ListParagraph"/>
              <w:numPr>
                <w:ilvl w:val="0"/>
                <w:numId w:val="130"/>
              </w:numPr>
              <w:tabs>
                <w:tab w:val="left" w:pos="0"/>
              </w:tabs>
              <w:spacing w:after="46" w:line="256" w:lineRule="auto"/>
            </w:pPr>
            <w:r w:rsidRPr="00114E0E">
              <w:t xml:space="preserve">Sewage sludge </w:t>
            </w:r>
          </w:p>
          <w:p w14:paraId="30D2A49B" w14:textId="77777777" w:rsidR="00026E66" w:rsidRPr="00114E0E" w:rsidRDefault="002737EF" w:rsidP="0065356B">
            <w:pPr>
              <w:pStyle w:val="ListParagraph"/>
              <w:numPr>
                <w:ilvl w:val="0"/>
                <w:numId w:val="130"/>
              </w:numPr>
              <w:tabs>
                <w:tab w:val="left" w:pos="0"/>
              </w:tabs>
              <w:spacing w:after="63"/>
            </w:pPr>
            <w:r w:rsidRPr="00114E0E">
              <w:t xml:space="preserve">Biogas produced by digestion, fermentation or gasification of biomass </w:t>
            </w:r>
          </w:p>
          <w:p w14:paraId="1C018D07" w14:textId="77777777" w:rsidR="00026E66" w:rsidRPr="00114E0E" w:rsidRDefault="002737EF" w:rsidP="0065356B">
            <w:pPr>
              <w:pStyle w:val="ListParagraph"/>
              <w:numPr>
                <w:ilvl w:val="0"/>
                <w:numId w:val="130"/>
              </w:numPr>
              <w:tabs>
                <w:tab w:val="left" w:pos="0"/>
              </w:tabs>
              <w:spacing w:after="0" w:line="256" w:lineRule="auto"/>
            </w:pPr>
            <w:r w:rsidRPr="00114E0E">
              <w:t xml:space="preserve">Animal and fish oils, fats and tallow </w:t>
            </w:r>
          </w:p>
        </w:tc>
      </w:tr>
      <w:tr w:rsidR="00026E66" w14:paraId="1772988E" w14:textId="77777777" w:rsidTr="0017613C">
        <w:trPr>
          <w:trHeight w:val="1044"/>
        </w:trPr>
        <w:tc>
          <w:tcPr>
            <w:tcW w:w="3511" w:type="dxa"/>
          </w:tcPr>
          <w:p w14:paraId="4F0DE44A" w14:textId="77777777" w:rsidR="00026E66" w:rsidRDefault="002737EF" w:rsidP="007A7512">
            <w:r>
              <w:t xml:space="preserve">Biomass fraction of mixed materials </w:t>
            </w:r>
          </w:p>
        </w:tc>
        <w:tc>
          <w:tcPr>
            <w:tcW w:w="5730" w:type="dxa"/>
          </w:tcPr>
          <w:p w14:paraId="62FBCAF1" w14:textId="77777777" w:rsidR="00026E66" w:rsidRPr="00114E0E" w:rsidRDefault="002737EF" w:rsidP="0065356B">
            <w:pPr>
              <w:pStyle w:val="ListParagraph"/>
              <w:numPr>
                <w:ilvl w:val="0"/>
                <w:numId w:val="131"/>
              </w:numPr>
              <w:tabs>
                <w:tab w:val="left" w:pos="0"/>
              </w:tabs>
              <w:spacing w:after="46" w:line="256" w:lineRule="auto"/>
            </w:pPr>
            <w:r w:rsidRPr="00114E0E">
              <w:t xml:space="preserve">Biomass fraction of textile wastes </w:t>
            </w:r>
          </w:p>
          <w:p w14:paraId="70A56B25" w14:textId="77777777" w:rsidR="00026E66" w:rsidRPr="00114E0E" w:rsidRDefault="002737EF" w:rsidP="0065356B">
            <w:pPr>
              <w:pStyle w:val="ListParagraph"/>
              <w:numPr>
                <w:ilvl w:val="0"/>
                <w:numId w:val="131"/>
              </w:numPr>
              <w:tabs>
                <w:tab w:val="left" w:pos="0"/>
              </w:tabs>
              <w:spacing w:after="46" w:line="256" w:lineRule="auto"/>
            </w:pPr>
            <w:r w:rsidRPr="00114E0E">
              <w:t xml:space="preserve">Biomass fraction of composites containing wood </w:t>
            </w:r>
          </w:p>
          <w:p w14:paraId="150C645A" w14:textId="77777777" w:rsidR="00026E66" w:rsidRPr="00114E0E" w:rsidRDefault="002737EF" w:rsidP="0065356B">
            <w:pPr>
              <w:pStyle w:val="ListParagraph"/>
              <w:numPr>
                <w:ilvl w:val="0"/>
                <w:numId w:val="131"/>
              </w:numPr>
              <w:tabs>
                <w:tab w:val="left" w:pos="0"/>
              </w:tabs>
              <w:spacing w:after="0" w:line="256" w:lineRule="auto"/>
            </w:pPr>
            <w:r w:rsidRPr="00114E0E">
              <w:t xml:space="preserve">Biomass fraction of municipal and industrial wastes </w:t>
            </w:r>
          </w:p>
        </w:tc>
      </w:tr>
      <w:tr w:rsidR="00026E66" w14:paraId="76952D1B" w14:textId="77777777" w:rsidTr="0017613C">
        <w:trPr>
          <w:trHeight w:val="2019"/>
        </w:trPr>
        <w:tc>
          <w:tcPr>
            <w:tcW w:w="3511" w:type="dxa"/>
          </w:tcPr>
          <w:p w14:paraId="22533A7B" w14:textId="77777777" w:rsidR="00026E66" w:rsidRDefault="002737EF" w:rsidP="007A7512">
            <w:r>
              <w:t xml:space="preserve">Fuels whose components and intermediate products have all been produced from biomass </w:t>
            </w:r>
          </w:p>
        </w:tc>
        <w:tc>
          <w:tcPr>
            <w:tcW w:w="5730" w:type="dxa"/>
          </w:tcPr>
          <w:p w14:paraId="6DF751AE" w14:textId="77777777" w:rsidR="00026E66" w:rsidRPr="00114E0E" w:rsidRDefault="002737EF" w:rsidP="0065356B">
            <w:pPr>
              <w:pStyle w:val="ListParagraph"/>
              <w:numPr>
                <w:ilvl w:val="0"/>
                <w:numId w:val="132"/>
              </w:numPr>
              <w:tabs>
                <w:tab w:val="left" w:pos="0"/>
              </w:tabs>
              <w:spacing w:after="51" w:line="256" w:lineRule="auto"/>
            </w:pPr>
            <w:r w:rsidRPr="00114E0E">
              <w:t xml:space="preserve">Bioethanol </w:t>
            </w:r>
          </w:p>
          <w:p w14:paraId="4405679D" w14:textId="77777777" w:rsidR="00026E66" w:rsidRPr="00114E0E" w:rsidRDefault="002737EF" w:rsidP="0065356B">
            <w:pPr>
              <w:pStyle w:val="ListParagraph"/>
              <w:numPr>
                <w:ilvl w:val="0"/>
                <w:numId w:val="132"/>
              </w:numPr>
              <w:tabs>
                <w:tab w:val="left" w:pos="0"/>
              </w:tabs>
              <w:spacing w:after="48" w:line="256" w:lineRule="auto"/>
            </w:pPr>
            <w:r w:rsidRPr="00114E0E">
              <w:t xml:space="preserve">Biodiesel </w:t>
            </w:r>
          </w:p>
          <w:p w14:paraId="1E64BEFD" w14:textId="77777777" w:rsidR="00026E66" w:rsidRPr="00114E0E" w:rsidRDefault="002737EF" w:rsidP="0065356B">
            <w:pPr>
              <w:pStyle w:val="ListParagraph"/>
              <w:numPr>
                <w:ilvl w:val="0"/>
                <w:numId w:val="132"/>
              </w:numPr>
              <w:tabs>
                <w:tab w:val="left" w:pos="0"/>
              </w:tabs>
              <w:spacing w:after="51" w:line="256" w:lineRule="auto"/>
            </w:pPr>
            <w:proofErr w:type="spellStart"/>
            <w:r w:rsidRPr="00114E0E">
              <w:t>Biomethanol</w:t>
            </w:r>
            <w:proofErr w:type="spellEnd"/>
            <w:r w:rsidRPr="00114E0E">
              <w:t xml:space="preserve"> </w:t>
            </w:r>
          </w:p>
          <w:p w14:paraId="19FFB84B" w14:textId="77777777" w:rsidR="00026E66" w:rsidRPr="00114E0E" w:rsidRDefault="002737EF" w:rsidP="0065356B">
            <w:pPr>
              <w:pStyle w:val="ListParagraph"/>
              <w:numPr>
                <w:ilvl w:val="0"/>
                <w:numId w:val="132"/>
              </w:numPr>
              <w:tabs>
                <w:tab w:val="left" w:pos="0"/>
              </w:tabs>
              <w:spacing w:after="49" w:line="256" w:lineRule="auto"/>
            </w:pPr>
            <w:r w:rsidRPr="00114E0E">
              <w:t xml:space="preserve">Biogas </w:t>
            </w:r>
          </w:p>
          <w:p w14:paraId="024DDA8F" w14:textId="77777777" w:rsidR="00026E66" w:rsidRPr="00114E0E" w:rsidRDefault="002737EF" w:rsidP="0065356B">
            <w:pPr>
              <w:pStyle w:val="ListParagraph"/>
              <w:numPr>
                <w:ilvl w:val="0"/>
                <w:numId w:val="132"/>
              </w:numPr>
              <w:tabs>
                <w:tab w:val="left" w:pos="0"/>
              </w:tabs>
              <w:spacing w:after="44" w:line="256" w:lineRule="auto"/>
            </w:pPr>
            <w:r w:rsidRPr="00114E0E">
              <w:t xml:space="preserve">Syngas via gasification or pyrolysis </w:t>
            </w:r>
          </w:p>
          <w:p w14:paraId="7FC65419" w14:textId="77777777" w:rsidR="00026E66" w:rsidRPr="00114E0E" w:rsidRDefault="002737EF" w:rsidP="0065356B">
            <w:pPr>
              <w:pStyle w:val="ListParagraph"/>
              <w:numPr>
                <w:ilvl w:val="0"/>
                <w:numId w:val="132"/>
              </w:numPr>
              <w:tabs>
                <w:tab w:val="left" w:pos="0"/>
              </w:tabs>
              <w:spacing w:after="0" w:line="256" w:lineRule="auto"/>
            </w:pPr>
            <w:r w:rsidRPr="00114E0E">
              <w:t xml:space="preserve">Liquid fuels via pyrolysis </w:t>
            </w:r>
          </w:p>
        </w:tc>
      </w:tr>
    </w:tbl>
    <w:p w14:paraId="53F05679" w14:textId="77777777" w:rsidR="00026E66" w:rsidRDefault="002737EF" w:rsidP="00FF0098">
      <w:pPr>
        <w:tabs>
          <w:tab w:val="left" w:pos="0"/>
        </w:tabs>
      </w:pPr>
      <w:hyperlink w:anchor="_D.1_Accounting_for" w:history="1">
        <w:r>
          <w:rPr>
            <w:rStyle w:val="Hyperlink"/>
          </w:rPr>
          <w:t>Appendix D.1</w:t>
        </w:r>
      </w:hyperlink>
      <w:r>
        <w:t xml:space="preserve"> explains how to account for CHP in the CCA scheme, including scenarios where the fuel input is renewable, non-renewable or a mixture of these. </w:t>
      </w:r>
    </w:p>
    <w:p w14:paraId="46324EED" w14:textId="77777777" w:rsidR="00026E66" w:rsidRDefault="002737EF" w:rsidP="00FF0098">
      <w:pPr>
        <w:tabs>
          <w:tab w:val="left" w:pos="0"/>
        </w:tabs>
      </w:pPr>
      <w:r>
        <w:t xml:space="preserve">If available, operators should use the GCV provided by their renewable or waste fuel supplier when working out their energy consumption. Where this information is unavailable, operators </w:t>
      </w:r>
      <w:r>
        <w:rPr>
          <w:color w:val="auto"/>
        </w:rPr>
        <w:t xml:space="preserve">should use </w:t>
      </w:r>
      <w:r>
        <w:rPr>
          <w:color w:val="auto"/>
          <w:szCs w:val="24"/>
        </w:rPr>
        <w:t>the GCV for 2012 given for the particular fossil fuel in</w:t>
      </w:r>
      <w:r>
        <w:rPr>
          <w:color w:val="auto"/>
        </w:rPr>
        <w:t xml:space="preserve"> Annex 11 of 'Guidelines to Defra’s/DECC’s GHG conversion factors for company reporting' </w:t>
      </w:r>
      <w:r>
        <w:t xml:space="preserve">(see </w:t>
      </w:r>
      <w:hyperlink w:anchor="_3.1.1._Fossil_fuels" w:history="1">
        <w:r>
          <w:rPr>
            <w:rStyle w:val="Hyperlink"/>
          </w:rPr>
          <w:t>section 3.1.1</w:t>
        </w:r>
      </w:hyperlink>
      <w:r>
        <w:t xml:space="preserve">). </w:t>
      </w:r>
    </w:p>
    <w:p w14:paraId="130AB450" w14:textId="77777777" w:rsidR="00026E66" w:rsidRDefault="002737EF" w:rsidP="00FF0098">
      <w:pPr>
        <w:pStyle w:val="Heading3"/>
        <w:tabs>
          <w:tab w:val="left" w:pos="0"/>
        </w:tabs>
      </w:pPr>
      <w:bookmarkStart w:id="43" w:name="_3.1.6._Combined_heat"/>
      <w:bookmarkStart w:id="44" w:name="_Toc95211777"/>
      <w:bookmarkEnd w:id="43"/>
      <w:r>
        <w:t>3.1.6. Combined heat and power</w:t>
      </w:r>
      <w:bookmarkEnd w:id="44"/>
      <w:r>
        <w:t xml:space="preserve"> </w:t>
      </w:r>
    </w:p>
    <w:p w14:paraId="1CB42F37" w14:textId="77777777" w:rsidR="00026E66" w:rsidRDefault="002737EF" w:rsidP="00FF0098">
      <w:pPr>
        <w:tabs>
          <w:tab w:val="left" w:pos="0"/>
        </w:tabs>
      </w:pPr>
      <w:r>
        <w:t xml:space="preserve">Combined heat and power (CHP) </w:t>
      </w:r>
      <w:proofErr w:type="gramStart"/>
      <w:r>
        <w:t>is</w:t>
      </w:r>
      <w:proofErr w:type="gramEnd"/>
      <w:r>
        <w:t xml:space="preserve"> an integrated process whereby heat generated during the generation of electricity is recovered and put to a useful purpose. The way in which the consumption of heat and power generated in a CHP plant is accounted for in CCA depends on whether there are renewable fuel inputs to the CHP. There are three different scenarios that can arise regarding the make-up of the fuel inputs: </w:t>
      </w:r>
    </w:p>
    <w:p w14:paraId="478415C4" w14:textId="77777777" w:rsidR="00026E66" w:rsidRDefault="002737EF" w:rsidP="0065356B">
      <w:pPr>
        <w:pStyle w:val="ListParagraph"/>
        <w:numPr>
          <w:ilvl w:val="0"/>
          <w:numId w:val="1"/>
        </w:numPr>
        <w:tabs>
          <w:tab w:val="left" w:pos="0"/>
        </w:tabs>
        <w:ind w:left="0" w:firstLine="0"/>
      </w:pPr>
      <w:r>
        <w:t xml:space="preserve">all fuel input is non-renewable </w:t>
      </w:r>
    </w:p>
    <w:p w14:paraId="3143D04D" w14:textId="77777777" w:rsidR="00026E66" w:rsidRDefault="002737EF" w:rsidP="0065356B">
      <w:pPr>
        <w:pStyle w:val="ListParagraph"/>
        <w:numPr>
          <w:ilvl w:val="0"/>
          <w:numId w:val="1"/>
        </w:numPr>
        <w:tabs>
          <w:tab w:val="left" w:pos="0"/>
        </w:tabs>
        <w:ind w:left="0" w:firstLine="0"/>
      </w:pPr>
      <w:r>
        <w:t xml:space="preserve">all fuel input is renewable </w:t>
      </w:r>
    </w:p>
    <w:p w14:paraId="119AFA7C" w14:textId="77777777" w:rsidR="00026E66" w:rsidRDefault="002737EF" w:rsidP="0065356B">
      <w:pPr>
        <w:pStyle w:val="ListParagraph"/>
        <w:numPr>
          <w:ilvl w:val="0"/>
          <w:numId w:val="1"/>
        </w:numPr>
        <w:tabs>
          <w:tab w:val="left" w:pos="0"/>
        </w:tabs>
        <w:ind w:left="0" w:firstLine="0"/>
      </w:pPr>
      <w:r>
        <w:t xml:space="preserve">fuel input is a mixture of renewable and non-renewable </w:t>
      </w:r>
    </w:p>
    <w:p w14:paraId="5D295B74" w14:textId="1112B96C" w:rsidR="00026E66" w:rsidRPr="00316F01" w:rsidRDefault="002737EF" w:rsidP="00316F01">
      <w:pPr>
        <w:tabs>
          <w:tab w:val="left" w:pos="0"/>
        </w:tabs>
      </w:pPr>
      <w:r>
        <w:t xml:space="preserve">The procedure for accounting for CHP in the CCA scheme is set out for these three categories in </w:t>
      </w:r>
      <w:hyperlink w:anchor="_Appendix_D:_Calculation" w:history="1">
        <w:r>
          <w:rPr>
            <w:rStyle w:val="Hyperlink"/>
          </w:rPr>
          <w:t>Appendix D</w:t>
        </w:r>
      </w:hyperlink>
      <w:r>
        <w:t xml:space="preserve">. </w:t>
      </w:r>
    </w:p>
    <w:p w14:paraId="16A660B6" w14:textId="77777777" w:rsidR="00026E66" w:rsidRPr="005A4AE8" w:rsidRDefault="002737EF" w:rsidP="00FF0098">
      <w:pPr>
        <w:pStyle w:val="Heading4"/>
        <w:tabs>
          <w:tab w:val="left" w:pos="0"/>
        </w:tabs>
      </w:pPr>
      <w:r w:rsidRPr="005A4AE8">
        <w:t xml:space="preserve">Special reporting methodology for CHP </w:t>
      </w:r>
    </w:p>
    <w:p w14:paraId="07D8F6D2" w14:textId="77777777" w:rsidR="00026E66" w:rsidRDefault="002737EF" w:rsidP="00FF0098">
      <w:pPr>
        <w:tabs>
          <w:tab w:val="left" w:pos="0"/>
        </w:tabs>
        <w:ind w:right="182"/>
      </w:pPr>
      <w:r>
        <w:rPr>
          <w:color w:val="auto"/>
          <w:szCs w:val="24"/>
        </w:rPr>
        <w:t>There is a</w:t>
      </w:r>
      <w:r>
        <w:rPr>
          <w:color w:val="auto"/>
        </w:rPr>
        <w:t xml:space="preserve"> special reporting methodology (SRM) </w:t>
      </w:r>
      <w:r>
        <w:rPr>
          <w:color w:val="auto"/>
          <w:szCs w:val="24"/>
        </w:rPr>
        <w:t xml:space="preserve">for </w:t>
      </w:r>
      <w:r>
        <w:rPr>
          <w:color w:val="auto"/>
        </w:rPr>
        <w:t>CHP</w:t>
      </w:r>
      <w:r>
        <w:rPr>
          <w:color w:val="auto"/>
          <w:szCs w:val="24"/>
        </w:rPr>
        <w:t xml:space="preserve"> </w:t>
      </w:r>
      <w:r>
        <w:rPr>
          <w:color w:val="auto"/>
        </w:rPr>
        <w:t>where the following criteria are met</w:t>
      </w:r>
      <w:r>
        <w:rPr>
          <w:color w:val="auto"/>
          <w:szCs w:val="24"/>
        </w:rPr>
        <w:t>.</w:t>
      </w:r>
      <w:r>
        <w:rPr>
          <w:color w:val="auto"/>
        </w:rPr>
        <w:t xml:space="preserve"> </w:t>
      </w:r>
    </w:p>
    <w:p w14:paraId="29817B75" w14:textId="77777777" w:rsidR="00026E66" w:rsidRDefault="002737EF" w:rsidP="0065356B">
      <w:pPr>
        <w:pStyle w:val="ListParagraph"/>
        <w:numPr>
          <w:ilvl w:val="0"/>
          <w:numId w:val="27"/>
        </w:numPr>
        <w:tabs>
          <w:tab w:val="left" w:pos="0"/>
        </w:tabs>
      </w:pPr>
      <w:r>
        <w:t xml:space="preserve">all the facility’s direct fuel consumption is covered by the UK Emissions Trading Scheme (UK ETS) </w:t>
      </w:r>
    </w:p>
    <w:p w14:paraId="6769EE93" w14:textId="77777777" w:rsidR="00026E66" w:rsidRDefault="002737EF" w:rsidP="0065356B">
      <w:pPr>
        <w:pStyle w:val="ListParagraph"/>
        <w:numPr>
          <w:ilvl w:val="0"/>
          <w:numId w:val="27"/>
        </w:numPr>
        <w:tabs>
          <w:tab w:val="left" w:pos="0"/>
        </w:tabs>
      </w:pPr>
      <w:r>
        <w:t>the facility consumes electricity generated in a CHP plant and this CHP plant is covered by UK ETS</w:t>
      </w:r>
    </w:p>
    <w:p w14:paraId="1FF235B4" w14:textId="77F59F76" w:rsidR="00026E66" w:rsidRDefault="002737EF" w:rsidP="0065356B">
      <w:pPr>
        <w:pStyle w:val="ListParagraph"/>
        <w:numPr>
          <w:ilvl w:val="0"/>
          <w:numId w:val="27"/>
        </w:numPr>
        <w:tabs>
          <w:tab w:val="left" w:pos="0"/>
        </w:tabs>
      </w:pPr>
      <w:r>
        <w:t xml:space="preserve">the facility can import electricity from the grid </w:t>
      </w:r>
    </w:p>
    <w:p w14:paraId="2A02F43D" w14:textId="77777777" w:rsidR="00026E66" w:rsidRDefault="002737EF" w:rsidP="00FC355D">
      <w:r>
        <w:t xml:space="preserve">Where an eligible facility meets all three criteria, the SRM may be used to determine the performance of the facility in the base year and at subsequent target periods. This will ensure that changes in apparent performance at sites meeting the criteria more closely reflect changes in their actual performance. Once a facility opts to use the SRM, it must do so for as long as it meets all three criteria. </w:t>
      </w:r>
    </w:p>
    <w:p w14:paraId="4E608454" w14:textId="77777777" w:rsidR="00026E66" w:rsidRDefault="002737EF" w:rsidP="00FC355D">
      <w:r>
        <w:t xml:space="preserve">Provided their performance can be re-baselined for operation of the CHP SRM, operators of facilities meeting the above criteria may only apply it starting from the current target period. It cannot be applied retrospectively to a target period that has concluded. </w:t>
      </w:r>
    </w:p>
    <w:p w14:paraId="67C15EE2" w14:textId="77777777" w:rsidR="00026E66" w:rsidRDefault="002737EF" w:rsidP="00FC355D">
      <w:r>
        <w:lastRenderedPageBreak/>
        <w:t xml:space="preserve">The CHP SRM allows for more predictable performance for the operator and a better alignment of reported performance with efficiency of electricity consumption. </w:t>
      </w:r>
    </w:p>
    <w:p w14:paraId="0061F22D" w14:textId="77777777" w:rsidR="00026E66" w:rsidRDefault="002737EF" w:rsidP="00FC355D">
      <w:r>
        <w:t xml:space="preserve">The details and calculations for how to apply the CHP SRM are outlined in </w:t>
      </w:r>
      <w:r w:rsidRPr="00316F01">
        <w:rPr>
          <w:u w:color="0077B9"/>
        </w:rPr>
        <w:t>Appendix D</w:t>
      </w:r>
      <w:r>
        <w:t xml:space="preserve">. </w:t>
      </w:r>
    </w:p>
    <w:p w14:paraId="4894554E" w14:textId="77777777" w:rsidR="00026E66" w:rsidRDefault="002737EF" w:rsidP="00FC355D">
      <w:r>
        <w:t xml:space="preserve">SRM may not be appropriate in all circumstances. If you decide to use SRM please make sure that you make the decision in full consultation with your Sector Association. </w:t>
      </w:r>
    </w:p>
    <w:p w14:paraId="7D996A93" w14:textId="77777777" w:rsidR="00026E66" w:rsidRDefault="002737EF" w:rsidP="00FF0098">
      <w:pPr>
        <w:pStyle w:val="Heading3"/>
        <w:tabs>
          <w:tab w:val="left" w:pos="0"/>
        </w:tabs>
      </w:pPr>
      <w:bookmarkStart w:id="45" w:name="_Toc95211778"/>
      <w:r>
        <w:t>3.1.7. Steam</w:t>
      </w:r>
      <w:bookmarkEnd w:id="45"/>
      <w:r>
        <w:t xml:space="preserve"> </w:t>
      </w:r>
    </w:p>
    <w:p w14:paraId="019A7E72" w14:textId="77777777" w:rsidR="00026E66" w:rsidRDefault="002737EF" w:rsidP="00FC355D">
      <w:r>
        <w:t xml:space="preserve">As energy is accounted for on a primary energy basis in the CCA scheme, it is the fuel used to generate the steam consumed in the eligible facility that is accounted for, rather than the energy content (enthalpy) of the steam itself. </w:t>
      </w:r>
    </w:p>
    <w:p w14:paraId="1EF18467" w14:textId="77777777" w:rsidR="00026E66" w:rsidRDefault="002737EF" w:rsidP="00FC355D">
      <w:r>
        <w:t xml:space="preserve">In the case of steam imports and exports, not originating from CHP, paragraphs 26 to 27 in the </w:t>
      </w:r>
      <w:hyperlink r:id="rId68" w:history="1">
        <w:r>
          <w:rPr>
            <w:rStyle w:val="Hyperlink"/>
            <w:color w:val="0070C0"/>
          </w:rPr>
          <w:t>Technical Annex</w:t>
        </w:r>
      </w:hyperlink>
      <w:r>
        <w:rPr>
          <w:color w:val="0070C0"/>
        </w:rPr>
        <w:t xml:space="preserve"> </w:t>
      </w:r>
      <w:r>
        <w:t xml:space="preserve">state that: </w:t>
      </w:r>
    </w:p>
    <w:p w14:paraId="3271249C" w14:textId="77777777" w:rsidR="00026E66" w:rsidRDefault="002737EF" w:rsidP="00FC355D">
      <w:r>
        <w:t xml:space="preserve">“Imported or exported steam must be accounted for by taking the enthalpy of the steam and dividing by the efficiency of the system that generates the steam and distributes it to the user's target facility boundary; in order to account for the total primary energy consumed (that is. fuel combusted) to produce the steam that is consumed. </w:t>
      </w:r>
    </w:p>
    <w:p w14:paraId="399634B3" w14:textId="77777777" w:rsidR="00026E66" w:rsidRDefault="002737EF" w:rsidP="00FC355D">
      <w:r>
        <w:t>Account must be taken of steam pressure – for example, where sites import high pressure steam and return it at a lower pressure.”</w:t>
      </w:r>
    </w:p>
    <w:p w14:paraId="527085D0" w14:textId="77777777" w:rsidR="00026E66" w:rsidRDefault="002737EF" w:rsidP="00FF0098">
      <w:pPr>
        <w:pStyle w:val="Heading3"/>
        <w:tabs>
          <w:tab w:val="left" w:pos="0"/>
        </w:tabs>
      </w:pPr>
      <w:bookmarkStart w:id="46" w:name="_Toc95211779"/>
      <w:r>
        <w:t>3.1.8. Accounting for oxygen imports</w:t>
      </w:r>
      <w:bookmarkEnd w:id="46"/>
      <w:r>
        <w:t xml:space="preserve"> </w:t>
      </w:r>
    </w:p>
    <w:p w14:paraId="41CA695C" w14:textId="77777777" w:rsidR="00026E66" w:rsidRDefault="002737EF" w:rsidP="00FF0098">
      <w:pPr>
        <w:tabs>
          <w:tab w:val="left" w:pos="0"/>
        </w:tabs>
      </w:pPr>
      <w:r>
        <w:t>Where oxygen is imported by a site for consumption in the eligible facility, an energy equivalent will be attached to this oxygen if the eligible facility also contains plant used to generate oxygen. Operators should contact us via the CCA helpdesk to agree an appropriate value of this energy equivalent.</w:t>
      </w:r>
    </w:p>
    <w:p w14:paraId="0D38BE60" w14:textId="77777777" w:rsidR="00026E66" w:rsidRDefault="002737EF" w:rsidP="00FF0098">
      <w:pPr>
        <w:tabs>
          <w:tab w:val="left" w:pos="0"/>
        </w:tabs>
      </w:pPr>
      <w:r>
        <w:t>Oxygen imported by sites for consumption in the eligible facility, where the eligible facility does not include plant for the production of oxygen, will be zero rated for energy.</w:t>
      </w:r>
    </w:p>
    <w:p w14:paraId="54EC1515" w14:textId="77777777" w:rsidR="00026E66" w:rsidRDefault="002737EF" w:rsidP="00FF0098">
      <w:pPr>
        <w:pStyle w:val="Heading3"/>
        <w:tabs>
          <w:tab w:val="left" w:pos="0"/>
        </w:tabs>
      </w:pPr>
      <w:bookmarkStart w:id="47" w:name="_Toc95211780"/>
      <w:r>
        <w:t>3.1.9. Accounting for liquid nitrogen or solid carbon dioxide used for cooling</w:t>
      </w:r>
      <w:bookmarkEnd w:id="47"/>
      <w:r>
        <w:t xml:space="preserve"> </w:t>
      </w:r>
    </w:p>
    <w:p w14:paraId="7FF1A6E8" w14:textId="77777777" w:rsidR="00026E66" w:rsidRDefault="002737EF" w:rsidP="00FF0098">
      <w:pPr>
        <w:tabs>
          <w:tab w:val="left" w:pos="0"/>
        </w:tabs>
      </w:pPr>
      <w:r>
        <w:t>Where liquid nitrogen or solid carbon dioxide (CO</w:t>
      </w:r>
      <w:r>
        <w:rPr>
          <w:vertAlign w:val="subscript"/>
        </w:rPr>
        <w:t>2</w:t>
      </w:r>
      <w:r>
        <w:t xml:space="preserve">) is imported to perform a cooling function in an eligible facility, an energy equivalent will be attached to the imported liquid nitrogen or solid carbon dioxide. Operators should contact us via the CCA helpdesk to agree an appropriate value of this energy equivalent. </w:t>
      </w:r>
    </w:p>
    <w:p w14:paraId="749D2224" w14:textId="2473002B" w:rsidR="00026E66" w:rsidRDefault="002737EF" w:rsidP="00FF0098">
      <w:pPr>
        <w:tabs>
          <w:tab w:val="left" w:pos="0"/>
        </w:tabs>
      </w:pPr>
      <w:r>
        <w:t>Liquid nitrogen or solid carbon dioxide imported to a site which is not used to perform a cooling function will be zero rated for energy.</w:t>
      </w:r>
      <w:r w:rsidR="00FC355D">
        <w:t xml:space="preserve"> </w:t>
      </w:r>
    </w:p>
    <w:p w14:paraId="4B33B5B0" w14:textId="77777777" w:rsidR="00026E66" w:rsidRDefault="002737EF" w:rsidP="00FF0098">
      <w:pPr>
        <w:pStyle w:val="Heading3"/>
        <w:tabs>
          <w:tab w:val="left" w:pos="0"/>
        </w:tabs>
      </w:pPr>
      <w:bookmarkStart w:id="48" w:name="_3.1.10._Accounting_for"/>
      <w:bookmarkStart w:id="49" w:name="_Toc95211781"/>
      <w:bookmarkEnd w:id="48"/>
      <w:r>
        <w:lastRenderedPageBreak/>
        <w:t>3.1.10. Accounting for transport fuel</w:t>
      </w:r>
      <w:bookmarkEnd w:id="49"/>
      <w:r>
        <w:t xml:space="preserve"> </w:t>
      </w:r>
    </w:p>
    <w:p w14:paraId="19CE0F76" w14:textId="77777777" w:rsidR="00026E66" w:rsidRDefault="002737EF" w:rsidP="00FF0098">
      <w:pPr>
        <w:tabs>
          <w:tab w:val="left" w:pos="0"/>
        </w:tabs>
        <w:ind w:right="182"/>
      </w:pPr>
      <w:r>
        <w:rPr>
          <w:color w:val="auto"/>
          <w:szCs w:val="24"/>
        </w:rPr>
        <w:t>Transport</w:t>
      </w:r>
      <w:r>
        <w:rPr>
          <w:color w:val="auto"/>
        </w:rPr>
        <w:t xml:space="preserve"> fuel </w:t>
      </w:r>
      <w:r>
        <w:rPr>
          <w:color w:val="auto"/>
          <w:szCs w:val="24"/>
        </w:rPr>
        <w:t xml:space="preserve">can be included </w:t>
      </w:r>
      <w:r>
        <w:rPr>
          <w:color w:val="auto"/>
        </w:rPr>
        <w:t>within an eligible facility in the following cases</w:t>
      </w:r>
      <w:r>
        <w:rPr>
          <w:color w:val="auto"/>
          <w:szCs w:val="24"/>
        </w:rPr>
        <w:t xml:space="preserve">. In each instance, it is optional to include it. </w:t>
      </w:r>
    </w:p>
    <w:p w14:paraId="1133D246" w14:textId="77777777" w:rsidR="00026E66" w:rsidRDefault="002737EF" w:rsidP="0065356B">
      <w:pPr>
        <w:pStyle w:val="ListParagraph"/>
        <w:numPr>
          <w:ilvl w:val="0"/>
          <w:numId w:val="28"/>
        </w:numPr>
        <w:tabs>
          <w:tab w:val="left" w:pos="0"/>
        </w:tabs>
        <w:spacing w:after="68"/>
        <w:ind w:right="182"/>
      </w:pPr>
      <w:r w:rsidRPr="00E955A3">
        <w:rPr>
          <w:szCs w:val="24"/>
        </w:rPr>
        <w:t>Where</w:t>
      </w:r>
      <w:r>
        <w:t xml:space="preserve"> a vehicle performs an activity that is directly associated with the stationary technical unit, </w:t>
      </w:r>
      <w:r w:rsidRPr="00E955A3">
        <w:rPr>
          <w:szCs w:val="24"/>
        </w:rPr>
        <w:t>the operator may choose to include this fuel in the energy consumption of the installation and, therefore, the eligible facility. An example would be</w:t>
      </w:r>
      <w:r w:rsidRPr="00E955A3">
        <w:t xml:space="preserve"> </w:t>
      </w:r>
      <w:r>
        <w:t>forklift trucks</w:t>
      </w:r>
      <w:r w:rsidRPr="00E955A3">
        <w:rPr>
          <w:szCs w:val="24"/>
        </w:rPr>
        <w:t xml:space="preserve"> consuming electricity. </w:t>
      </w:r>
    </w:p>
    <w:p w14:paraId="0C1687F2" w14:textId="77777777" w:rsidR="00026E66" w:rsidRDefault="002737EF" w:rsidP="0065356B">
      <w:pPr>
        <w:pStyle w:val="ListParagraph"/>
        <w:numPr>
          <w:ilvl w:val="0"/>
          <w:numId w:val="28"/>
        </w:numPr>
        <w:tabs>
          <w:tab w:val="left" w:pos="0"/>
        </w:tabs>
        <w:ind w:right="182"/>
      </w:pPr>
      <w:r w:rsidRPr="00E955A3">
        <w:rPr>
          <w:szCs w:val="24"/>
        </w:rPr>
        <w:t>Fuel</w:t>
      </w:r>
      <w:r>
        <w:t xml:space="preserve"> consumed by vehicles not performing a directly associated activity may be included in the eligible facility’s energy consumption under the 3/7th provision of the </w:t>
      </w:r>
      <w:hyperlink w:anchor="The70" w:history="1">
        <w:r>
          <w:rPr>
            <w:rStyle w:val="Hyperlink"/>
          </w:rPr>
          <w:t>70% rule</w:t>
        </w:r>
      </w:hyperlink>
      <w:r w:rsidRPr="00FC355D">
        <w:t xml:space="preserve"> </w:t>
      </w:r>
      <w:r w:rsidRPr="00E955A3">
        <w:rPr>
          <w:szCs w:val="24"/>
        </w:rPr>
        <w:t>as long as</w:t>
      </w:r>
      <w:r>
        <w:t xml:space="preserve"> this energy is measured</w:t>
      </w:r>
      <w:r w:rsidRPr="00E955A3">
        <w:rPr>
          <w:szCs w:val="24"/>
        </w:rPr>
        <w:t xml:space="preserve">. </w:t>
      </w:r>
    </w:p>
    <w:p w14:paraId="576A1173" w14:textId="77777777" w:rsidR="00026E66" w:rsidRDefault="002737EF" w:rsidP="007A7512">
      <w:pPr>
        <w:tabs>
          <w:tab w:val="left" w:pos="0"/>
        </w:tabs>
      </w:pPr>
      <w:r>
        <w:rPr>
          <w:color w:val="auto"/>
        </w:rPr>
        <w:t xml:space="preserve">When </w:t>
      </w:r>
      <w:r>
        <w:rPr>
          <w:color w:val="auto"/>
          <w:szCs w:val="24"/>
        </w:rPr>
        <w:t>choosing</w:t>
      </w:r>
      <w:r>
        <w:rPr>
          <w:color w:val="auto"/>
        </w:rPr>
        <w:t xml:space="preserve"> whether to include fuel used by vehicles in the eligible facility, operators </w:t>
      </w:r>
      <w:r>
        <w:rPr>
          <w:color w:val="auto"/>
          <w:szCs w:val="24"/>
        </w:rPr>
        <w:t>should consider the following.</w:t>
      </w:r>
      <w:r>
        <w:rPr>
          <w:color w:val="auto"/>
        </w:rPr>
        <w:t xml:space="preserve"> </w:t>
      </w:r>
    </w:p>
    <w:p w14:paraId="1B2C4E02" w14:textId="77777777" w:rsidR="00026E66" w:rsidRDefault="002737EF" w:rsidP="0065356B">
      <w:pPr>
        <w:pStyle w:val="ListParagraph"/>
        <w:numPr>
          <w:ilvl w:val="0"/>
          <w:numId w:val="29"/>
        </w:numPr>
        <w:tabs>
          <w:tab w:val="left" w:pos="0"/>
        </w:tabs>
        <w:spacing w:after="70"/>
        <w:ind w:right="182"/>
      </w:pPr>
      <w:r w:rsidRPr="00E955A3">
        <w:rPr>
          <w:szCs w:val="24"/>
        </w:rPr>
        <w:t xml:space="preserve">Once the choice has been made to </w:t>
      </w:r>
      <w:r>
        <w:t xml:space="preserve">include fuel consumed by vehicles in </w:t>
      </w:r>
      <w:r w:rsidRPr="00E955A3">
        <w:rPr>
          <w:szCs w:val="24"/>
        </w:rPr>
        <w:t>the</w:t>
      </w:r>
      <w:r>
        <w:t xml:space="preserve"> base year data</w:t>
      </w:r>
      <w:r w:rsidRPr="00E955A3">
        <w:rPr>
          <w:szCs w:val="24"/>
        </w:rPr>
        <w:t>, this fuel must be reported at</w:t>
      </w:r>
      <w:r>
        <w:t xml:space="preserve"> future target </w:t>
      </w:r>
      <w:r w:rsidRPr="00E955A3">
        <w:rPr>
          <w:szCs w:val="24"/>
        </w:rPr>
        <w:t xml:space="preserve">periods, and vice versa. </w:t>
      </w:r>
    </w:p>
    <w:p w14:paraId="0DB9656B" w14:textId="77777777" w:rsidR="00026E66" w:rsidRDefault="002737EF" w:rsidP="007A7512">
      <w:pPr>
        <w:pStyle w:val="ListParagraph"/>
        <w:numPr>
          <w:ilvl w:val="0"/>
          <w:numId w:val="29"/>
        </w:numPr>
        <w:tabs>
          <w:tab w:val="left" w:pos="0"/>
        </w:tabs>
      </w:pPr>
      <w:r w:rsidRPr="00E955A3">
        <w:rPr>
          <w:szCs w:val="24"/>
        </w:rPr>
        <w:t>Only</w:t>
      </w:r>
      <w:r>
        <w:t xml:space="preserve"> fuel consumed by vehicles operating on site</w:t>
      </w:r>
      <w:r w:rsidRPr="00E955A3">
        <w:rPr>
          <w:szCs w:val="24"/>
        </w:rPr>
        <w:t xml:space="preserve"> can be included. </w:t>
      </w:r>
    </w:p>
    <w:p w14:paraId="1C746050" w14:textId="77777777" w:rsidR="00026E66" w:rsidRDefault="002737EF" w:rsidP="00FF0098">
      <w:pPr>
        <w:tabs>
          <w:tab w:val="left" w:pos="0"/>
        </w:tabs>
        <w:ind w:right="182"/>
        <w:rPr>
          <w:color w:val="auto"/>
          <w:szCs w:val="24"/>
        </w:rPr>
      </w:pPr>
      <w:r>
        <w:rPr>
          <w:color w:val="auto"/>
          <w:szCs w:val="24"/>
        </w:rPr>
        <w:t xml:space="preserve">Operators must therefore be able to distinguish between fuel consumed by vehicles when they operate on site from that consumed if they operate off site. </w:t>
      </w:r>
    </w:p>
    <w:p w14:paraId="008423C8" w14:textId="269D7A0E" w:rsidR="00026E66" w:rsidRDefault="002737EF" w:rsidP="00316F01">
      <w:pPr>
        <w:tabs>
          <w:tab w:val="left" w:pos="0"/>
        </w:tabs>
        <w:spacing w:after="0"/>
        <w:ind w:right="182"/>
        <w:rPr>
          <w:color w:val="auto"/>
        </w:rPr>
      </w:pPr>
      <w:r>
        <w:rPr>
          <w:color w:val="auto"/>
        </w:rPr>
        <w:t xml:space="preserve">If the operator feels unable to meet any of these requirements, fuels consumed by vehicles should be left out of the eligible facility’s energy consumption. </w:t>
      </w:r>
    </w:p>
    <w:p w14:paraId="685D630E" w14:textId="77777777" w:rsidR="00026E66" w:rsidRDefault="002737EF" w:rsidP="00FF0098">
      <w:pPr>
        <w:pStyle w:val="Heading2"/>
        <w:tabs>
          <w:tab w:val="left" w:pos="0"/>
        </w:tabs>
      </w:pPr>
      <w:bookmarkStart w:id="50" w:name="_3.2._What_energy"/>
      <w:bookmarkStart w:id="51" w:name="_Toc94718634"/>
      <w:bookmarkStart w:id="52" w:name="_Toc94088882"/>
      <w:bookmarkStart w:id="53" w:name="_Toc95211782"/>
      <w:bookmarkEnd w:id="50"/>
      <w:r>
        <w:t>3.2. What energy can't be counted in CCAs</w:t>
      </w:r>
      <w:bookmarkEnd w:id="51"/>
      <w:bookmarkEnd w:id="52"/>
      <w:bookmarkEnd w:id="53"/>
      <w:r>
        <w:t xml:space="preserve"> </w:t>
      </w:r>
    </w:p>
    <w:p w14:paraId="61AE0127" w14:textId="77777777" w:rsidR="00026E66" w:rsidRDefault="002737EF" w:rsidP="00FF0098">
      <w:pPr>
        <w:pStyle w:val="Heading3"/>
        <w:tabs>
          <w:tab w:val="left" w:pos="0"/>
        </w:tabs>
      </w:pPr>
      <w:bookmarkStart w:id="54" w:name="_Toc95211783"/>
      <w:r>
        <w:t>3.2.1. Fuel used as a chemical feedstock</w:t>
      </w:r>
      <w:bookmarkEnd w:id="54"/>
      <w:r>
        <w:t xml:space="preserve"> </w:t>
      </w:r>
    </w:p>
    <w:p w14:paraId="6B6F1E24" w14:textId="77777777" w:rsidR="00026E66" w:rsidRDefault="002737EF" w:rsidP="00FF0098">
      <w:pPr>
        <w:tabs>
          <w:tab w:val="left" w:pos="0"/>
        </w:tabs>
      </w:pPr>
      <w:r>
        <w:t xml:space="preserve">Fuels are sometimes not combusted nor used for their reducing properties but are simply incorporated into an intermediary or final product. In such situations, the fuel is said to be used as a chemical feedstock. </w:t>
      </w:r>
    </w:p>
    <w:p w14:paraId="20E43747" w14:textId="77777777" w:rsidR="00026E66" w:rsidRDefault="002737EF" w:rsidP="00FF0098">
      <w:pPr>
        <w:tabs>
          <w:tab w:val="left" w:pos="0"/>
        </w:tabs>
      </w:pPr>
      <w:r>
        <w:t>Where a fuel is used as a chemical feedstock and becomes part of a chemical product, this fuel must not be counted as part of the energy use of an eligible facility. Where this fuel is used as a reductant (that is, as a reducing agent that chemically reduces other substances within a process), it must be counted within the eligible facility’s energy consumption (</w:t>
      </w:r>
      <w:hyperlink r:id="rId69" w:history="1">
        <w:r>
          <w:rPr>
            <w:rStyle w:val="Hyperlink"/>
            <w:color w:val="0070C0"/>
          </w:rPr>
          <w:t>Technical Annex</w:t>
        </w:r>
      </w:hyperlink>
      <w:r>
        <w:t xml:space="preserve"> paragraph 42). </w:t>
      </w:r>
    </w:p>
    <w:p w14:paraId="6E295D5B" w14:textId="77777777" w:rsidR="00026E66" w:rsidRDefault="002737EF" w:rsidP="00FF0098">
      <w:pPr>
        <w:pStyle w:val="Heading3"/>
        <w:tabs>
          <w:tab w:val="left" w:pos="0"/>
        </w:tabs>
      </w:pPr>
      <w:bookmarkStart w:id="55" w:name="_Toc95211784"/>
      <w:r>
        <w:t>3.2.2. Heat recovered from exothermic reactions</w:t>
      </w:r>
      <w:bookmarkEnd w:id="55"/>
      <w:r>
        <w:t xml:space="preserve"> </w:t>
      </w:r>
    </w:p>
    <w:p w14:paraId="43EF5F99" w14:textId="77777777" w:rsidR="00026E66" w:rsidRDefault="002737EF" w:rsidP="00FF0098">
      <w:pPr>
        <w:tabs>
          <w:tab w:val="left" w:pos="0"/>
        </w:tabs>
      </w:pPr>
      <w:r>
        <w:t xml:space="preserve">An exothermic reaction is a chemical reaction that involves the release of heat. </w:t>
      </w:r>
    </w:p>
    <w:p w14:paraId="51334E04" w14:textId="77777777" w:rsidR="00026E66" w:rsidRDefault="002737EF" w:rsidP="00FF0098">
      <w:pPr>
        <w:tabs>
          <w:tab w:val="left" w:pos="0"/>
        </w:tabs>
      </w:pPr>
      <w:r>
        <w:lastRenderedPageBreak/>
        <w:t xml:space="preserve">Where an exothermic reaction involves the combustion of a fuel, that fuel must be counted in the eligible facility's energy consumption. </w:t>
      </w:r>
    </w:p>
    <w:p w14:paraId="3844DCB3" w14:textId="77777777" w:rsidR="00026E66" w:rsidRDefault="002737EF" w:rsidP="00FF0098">
      <w:pPr>
        <w:tabs>
          <w:tab w:val="left" w:pos="0"/>
        </w:tabs>
      </w:pPr>
      <w:r>
        <w:t>Where heat is recovered from exothermic reactions not involving the combustion of fuel, that heat energy is not counted in the eligible facility's energy consumption (</w:t>
      </w:r>
      <w:hyperlink r:id="rId70" w:history="1">
        <w:r>
          <w:rPr>
            <w:rStyle w:val="Hyperlink"/>
            <w:color w:val="0070C0"/>
          </w:rPr>
          <w:t>Technical Annex</w:t>
        </w:r>
      </w:hyperlink>
      <w:r>
        <w:t xml:space="preserve"> paragraph 44). </w:t>
      </w:r>
    </w:p>
    <w:p w14:paraId="44D3926C" w14:textId="77777777" w:rsidR="00026E66" w:rsidRDefault="002737EF" w:rsidP="00FF0098">
      <w:pPr>
        <w:pStyle w:val="Heading3"/>
        <w:tabs>
          <w:tab w:val="left" w:pos="0"/>
        </w:tabs>
      </w:pPr>
      <w:bookmarkStart w:id="56" w:name="_Toc95211785"/>
      <w:r>
        <w:t>3.2.3. Electricity generated from recovered heat</w:t>
      </w:r>
      <w:bookmarkEnd w:id="56"/>
      <w:r>
        <w:t xml:space="preserve"> </w:t>
      </w:r>
    </w:p>
    <w:p w14:paraId="03A51972" w14:textId="77777777" w:rsidR="00026E66" w:rsidRDefault="002737EF" w:rsidP="00FF0098">
      <w:pPr>
        <w:tabs>
          <w:tab w:val="left" w:pos="0"/>
        </w:tabs>
      </w:pPr>
      <w:r>
        <w:t>Where waste heat is recovered and is used to generate electricity, consumption of that electricity is not counted in the eligible facility's energy consumption (</w:t>
      </w:r>
      <w:hyperlink r:id="rId71" w:history="1">
        <w:r>
          <w:rPr>
            <w:rStyle w:val="Hyperlink"/>
            <w:color w:val="0070C0"/>
          </w:rPr>
          <w:t>Technical Annex</w:t>
        </w:r>
      </w:hyperlink>
      <w:r>
        <w:t>, paragraph 45).</w:t>
      </w:r>
    </w:p>
    <w:p w14:paraId="6FCDE694" w14:textId="77777777" w:rsidR="00026E66" w:rsidRDefault="002737EF" w:rsidP="00FF0098">
      <w:pPr>
        <w:pStyle w:val="Heading2"/>
        <w:tabs>
          <w:tab w:val="left" w:pos="0"/>
        </w:tabs>
      </w:pPr>
      <w:bookmarkStart w:id="57" w:name="_Toc94718635"/>
      <w:bookmarkStart w:id="58" w:name="_Toc94088883"/>
      <w:bookmarkStart w:id="59" w:name="_Toc95211786"/>
      <w:r>
        <w:t>3.3. Defining and calculating the energy consumption of the eligible facility and target facility on a site</w:t>
      </w:r>
      <w:bookmarkEnd w:id="57"/>
      <w:bookmarkEnd w:id="58"/>
      <w:bookmarkEnd w:id="59"/>
      <w:r>
        <w:t xml:space="preserve"> </w:t>
      </w:r>
    </w:p>
    <w:p w14:paraId="4913B67F" w14:textId="77777777" w:rsidR="00026E66" w:rsidRDefault="002737EF" w:rsidP="00FF0098">
      <w:pPr>
        <w:tabs>
          <w:tab w:val="left" w:pos="0"/>
        </w:tabs>
      </w:pPr>
      <w:r>
        <w:t xml:space="preserve">Before working through this section, please make sure you have read and understood </w:t>
      </w:r>
      <w:hyperlink w:anchor="_3.1._How_to" w:history="1">
        <w:r>
          <w:rPr>
            <w:rStyle w:val="Hyperlink"/>
          </w:rPr>
          <w:t>section 3.1</w:t>
        </w:r>
      </w:hyperlink>
      <w:r>
        <w:t xml:space="preserve"> and </w:t>
      </w:r>
      <w:hyperlink w:anchor="_3.2._What_energy" w:history="1">
        <w:r>
          <w:rPr>
            <w:rStyle w:val="Hyperlink"/>
          </w:rPr>
          <w:t>section 3.2</w:t>
        </w:r>
      </w:hyperlink>
      <w:r>
        <w:t>. This is so you can correctly account for a site's energy consumption and thus correctly define and calculate the energy consumption of the eligible facility and the target facility.</w:t>
      </w:r>
    </w:p>
    <w:p w14:paraId="144D145C" w14:textId="77777777" w:rsidR="00026E66" w:rsidRDefault="002737EF" w:rsidP="00FF0098">
      <w:pPr>
        <w:tabs>
          <w:tab w:val="left" w:pos="0"/>
        </w:tabs>
      </w:pPr>
      <w:r>
        <w:t>Defining and calculating energy for a site's CCA involves five steps:</w:t>
      </w:r>
    </w:p>
    <w:p w14:paraId="6C12C850" w14:textId="77777777" w:rsidR="00026E66" w:rsidRDefault="002737EF" w:rsidP="0065356B">
      <w:pPr>
        <w:pStyle w:val="ListParagraph"/>
        <w:numPr>
          <w:ilvl w:val="0"/>
          <w:numId w:val="30"/>
        </w:numPr>
        <w:tabs>
          <w:tab w:val="left" w:pos="0"/>
        </w:tabs>
      </w:pPr>
      <w:r>
        <w:t>Define the site boundary (</w:t>
      </w:r>
      <w:hyperlink w:anchor="_3.1._How_to" w:history="1">
        <w:r>
          <w:rPr>
            <w:rStyle w:val="Hyperlink"/>
          </w:rPr>
          <w:t>3.3.1</w:t>
        </w:r>
      </w:hyperlink>
      <w:r>
        <w:t>)</w:t>
      </w:r>
    </w:p>
    <w:p w14:paraId="279B9C6D" w14:textId="77777777" w:rsidR="00026E66" w:rsidRDefault="002737EF" w:rsidP="0065356B">
      <w:pPr>
        <w:pStyle w:val="ListParagraph"/>
        <w:numPr>
          <w:ilvl w:val="0"/>
          <w:numId w:val="30"/>
        </w:numPr>
        <w:tabs>
          <w:tab w:val="left" w:pos="0"/>
        </w:tabs>
      </w:pPr>
      <w:r>
        <w:t>Calculate energy consumed by different categories of activity (</w:t>
      </w:r>
      <w:hyperlink w:anchor="_3.2._What_energy" w:history="1">
        <w:r>
          <w:rPr>
            <w:rStyle w:val="Hyperlink"/>
          </w:rPr>
          <w:t>3.3.2</w:t>
        </w:r>
      </w:hyperlink>
      <w:r>
        <w:t>)</w:t>
      </w:r>
    </w:p>
    <w:p w14:paraId="17CCC2B7" w14:textId="77777777" w:rsidR="00026E66" w:rsidRDefault="002737EF" w:rsidP="0065356B">
      <w:pPr>
        <w:pStyle w:val="ListParagraph"/>
        <w:numPr>
          <w:ilvl w:val="0"/>
          <w:numId w:val="30"/>
        </w:numPr>
        <w:tabs>
          <w:tab w:val="left" w:pos="0"/>
        </w:tabs>
      </w:pPr>
      <w:r>
        <w:t>Apply the 70% rule (</w:t>
      </w:r>
      <w:hyperlink w:anchor="_3.3.3._Step_3:" w:history="1">
        <w:r>
          <w:rPr>
            <w:rStyle w:val="Hyperlink"/>
          </w:rPr>
          <w:t>3.3.3</w:t>
        </w:r>
      </w:hyperlink>
      <w:r>
        <w:t xml:space="preserve">) </w:t>
      </w:r>
    </w:p>
    <w:p w14:paraId="2556940A" w14:textId="77777777" w:rsidR="00026E66" w:rsidRDefault="002737EF" w:rsidP="0065356B">
      <w:pPr>
        <w:pStyle w:val="ListParagraph"/>
        <w:numPr>
          <w:ilvl w:val="0"/>
          <w:numId w:val="30"/>
        </w:numPr>
        <w:tabs>
          <w:tab w:val="left" w:pos="0"/>
        </w:tabs>
      </w:pPr>
      <w:r>
        <w:t>Define the target and eligible facility (</w:t>
      </w:r>
      <w:hyperlink w:anchor="_3.3.4._Step_4:" w:history="1">
        <w:r>
          <w:rPr>
            <w:rStyle w:val="Hyperlink"/>
          </w:rPr>
          <w:t>3.3.4</w:t>
        </w:r>
      </w:hyperlink>
      <w:r>
        <w:t xml:space="preserve">) – including crossovers with the UK ETS </w:t>
      </w:r>
    </w:p>
    <w:p w14:paraId="358DA1E0" w14:textId="233C2E87" w:rsidR="00026E66" w:rsidRDefault="002737EF" w:rsidP="0065356B">
      <w:pPr>
        <w:pStyle w:val="ListParagraph"/>
        <w:numPr>
          <w:ilvl w:val="0"/>
          <w:numId w:val="30"/>
        </w:numPr>
        <w:tabs>
          <w:tab w:val="left" w:pos="0"/>
        </w:tabs>
      </w:pPr>
      <w:r>
        <w:t>Calculate base year performance (</w:t>
      </w:r>
      <w:hyperlink w:anchor="_3.3.5_Step_5:" w:history="1">
        <w:r>
          <w:rPr>
            <w:rStyle w:val="Hyperlink"/>
          </w:rPr>
          <w:t>3.3.5</w:t>
        </w:r>
      </w:hyperlink>
      <w:r>
        <w:t>)</w:t>
      </w:r>
    </w:p>
    <w:p w14:paraId="1587E55F" w14:textId="77777777" w:rsidR="00026E66" w:rsidRDefault="002737EF" w:rsidP="00FF0098">
      <w:pPr>
        <w:pStyle w:val="Heading3"/>
        <w:tabs>
          <w:tab w:val="left" w:pos="0"/>
        </w:tabs>
      </w:pPr>
      <w:bookmarkStart w:id="60" w:name="_3.3.1._Step_1:"/>
      <w:bookmarkStart w:id="61" w:name="_Toc95211787"/>
      <w:bookmarkEnd w:id="60"/>
      <w:r>
        <w:t>3.3.1. Step 1: Define the site</w:t>
      </w:r>
      <w:bookmarkEnd w:id="61"/>
      <w:r>
        <w:t xml:space="preserve"> </w:t>
      </w:r>
    </w:p>
    <w:p w14:paraId="19771C92" w14:textId="77777777" w:rsidR="00026E66" w:rsidRDefault="002737EF" w:rsidP="00FF0098">
      <w:pPr>
        <w:tabs>
          <w:tab w:val="left" w:pos="0"/>
        </w:tabs>
      </w:pPr>
      <w:r>
        <w:t xml:space="preserve">Annex B of the </w:t>
      </w:r>
      <w:hyperlink r:id="rId72" w:history="1">
        <w:r>
          <w:rPr>
            <w:rStyle w:val="Hyperlink"/>
            <w:color w:val="0070C0"/>
          </w:rPr>
          <w:t>Technical Annex</w:t>
        </w:r>
      </w:hyperlink>
      <w:r>
        <w:t xml:space="preserve"> defines a site as:</w:t>
      </w:r>
    </w:p>
    <w:p w14:paraId="098FC337" w14:textId="77777777" w:rsidR="00026E66" w:rsidRDefault="002737EF" w:rsidP="00114E0E">
      <w:pPr>
        <w:tabs>
          <w:tab w:val="left" w:pos="0"/>
        </w:tabs>
        <w:ind w:left="720"/>
      </w:pPr>
      <w:r>
        <w:t>“A site is an area of land falling within a continuous boundary which encloses the land used in connection with the operation of the installation. For this purpose, however, an area of land can still be regarded as a single site even if it is dissected by a road, railway line or river. Other non- contiguous parcels of land would not, however, constitute a single site.”</w:t>
      </w:r>
    </w:p>
    <w:p w14:paraId="6B40D4F8" w14:textId="5043856E" w:rsidR="00026E66" w:rsidRDefault="002737EF" w:rsidP="00FF0098">
      <w:pPr>
        <w:pStyle w:val="Heading3"/>
        <w:tabs>
          <w:tab w:val="left" w:pos="0"/>
        </w:tabs>
      </w:pPr>
      <w:bookmarkStart w:id="62" w:name="_Toc95211788"/>
      <w:r>
        <w:lastRenderedPageBreak/>
        <w:t>3.3.2. Step 2: Calculate energy consumed by different categories of activity</w:t>
      </w:r>
      <w:bookmarkEnd w:id="62"/>
      <w:r w:rsidR="00FC355D">
        <w:t xml:space="preserve"> </w:t>
      </w:r>
    </w:p>
    <w:p w14:paraId="31370C94" w14:textId="77777777" w:rsidR="00026E66" w:rsidRDefault="002737EF" w:rsidP="00FF0098">
      <w:pPr>
        <w:tabs>
          <w:tab w:val="left" w:pos="0"/>
        </w:tabs>
      </w:pPr>
      <w:r>
        <w:t xml:space="preserve">Activities on the site should be divided into three categories in terms of their energy consumption. Energy should be calculated and divided based on the site’s primary energy consumption (see </w:t>
      </w:r>
      <w:hyperlink w:anchor="_3.1._How_to" w:history="1">
        <w:r>
          <w:rPr>
            <w:rStyle w:val="Hyperlink"/>
          </w:rPr>
          <w:t>section 3.1</w:t>
        </w:r>
      </w:hyperlink>
      <w:r>
        <w:t xml:space="preserve">). The three categories are: </w:t>
      </w:r>
    </w:p>
    <w:p w14:paraId="27EA658E" w14:textId="77777777" w:rsidR="00026E66" w:rsidRDefault="002737EF" w:rsidP="0065356B">
      <w:pPr>
        <w:pStyle w:val="ListParagraph"/>
        <w:numPr>
          <w:ilvl w:val="0"/>
          <w:numId w:val="31"/>
        </w:numPr>
        <w:tabs>
          <w:tab w:val="left" w:pos="0"/>
        </w:tabs>
      </w:pPr>
      <w:r w:rsidRPr="00E955A3">
        <w:rPr>
          <w:b/>
        </w:rPr>
        <w:t xml:space="preserve">Stationary technical unit (STU) </w:t>
      </w:r>
      <w:r>
        <w:t xml:space="preserve">– the unit in which the eligible process listed in </w:t>
      </w:r>
      <w:r w:rsidRPr="00E955A3">
        <w:rPr>
          <w:u w:color="0077B9"/>
        </w:rPr>
        <w:t>Appendix A</w:t>
      </w:r>
      <w:r>
        <w:t xml:space="preserve"> is carried out, that is, the activity or activities which render the facility eligible </w:t>
      </w:r>
    </w:p>
    <w:p w14:paraId="6646BF9E" w14:textId="77777777" w:rsidR="00026E66" w:rsidRDefault="002737EF" w:rsidP="0065356B">
      <w:pPr>
        <w:pStyle w:val="ListParagraph"/>
        <w:numPr>
          <w:ilvl w:val="0"/>
          <w:numId w:val="31"/>
        </w:numPr>
        <w:tabs>
          <w:tab w:val="left" w:pos="0"/>
        </w:tabs>
      </w:pPr>
      <w:r w:rsidRPr="00E955A3">
        <w:rPr>
          <w:b/>
        </w:rPr>
        <w:t xml:space="preserve">Directly associated activities (DAAs) </w:t>
      </w:r>
      <w:r>
        <w:t xml:space="preserve">– an activity on the same site which has a technical connection with the activities listed in Appendix A and which could have an effect on emissions and pollution </w:t>
      </w:r>
    </w:p>
    <w:p w14:paraId="4331F1BB" w14:textId="77777777" w:rsidR="00026E66" w:rsidRDefault="002737EF" w:rsidP="0065356B">
      <w:pPr>
        <w:pStyle w:val="ListParagraph"/>
        <w:numPr>
          <w:ilvl w:val="0"/>
          <w:numId w:val="31"/>
        </w:numPr>
        <w:tabs>
          <w:tab w:val="left" w:pos="0"/>
        </w:tabs>
      </w:pPr>
      <w:r w:rsidRPr="00E955A3">
        <w:rPr>
          <w:b/>
        </w:rPr>
        <w:t xml:space="preserve">Other activities </w:t>
      </w:r>
      <w:r>
        <w:t xml:space="preserve">– energy consumed within the site boundary that is not related to either the STU or any DAA </w:t>
      </w:r>
    </w:p>
    <w:p w14:paraId="6E136AE6" w14:textId="77777777" w:rsidR="00026E66" w:rsidRDefault="002737EF" w:rsidP="00FF0098">
      <w:pPr>
        <w:tabs>
          <w:tab w:val="left" w:pos="0"/>
        </w:tabs>
      </w:pPr>
      <w:r>
        <w:t>The STU and DAAs combined form the installation. It must include all eligible stationary plant.</w:t>
      </w:r>
    </w:p>
    <w:p w14:paraId="79F8DCD5" w14:textId="77777777" w:rsidR="00026E66" w:rsidRDefault="002737EF" w:rsidP="00FF0098">
      <w:pPr>
        <w:tabs>
          <w:tab w:val="left" w:pos="0"/>
        </w:tabs>
      </w:pPr>
      <w:r>
        <w:t>Activities that are directly associated with the eligible process (STU), and on the same site as the STU, must be included in the installation and the energy consumed in such plant must, therefore, be reported.</w:t>
      </w:r>
    </w:p>
    <w:p w14:paraId="5B3CCB24" w14:textId="77777777" w:rsidR="00026E66" w:rsidRDefault="002737EF" w:rsidP="00FF0098">
      <w:pPr>
        <w:tabs>
          <w:tab w:val="left" w:pos="0"/>
        </w:tabs>
      </w:pPr>
      <w:r>
        <w:t xml:space="preserve">Where the directly associated activity is performed by non-stationary plant, such as on-site fork-lift trucks and other vehicles, the operator may opt to include or exclude it from the installation and, therefore, the eligible facility (See </w:t>
      </w:r>
      <w:hyperlink w:anchor="_3.1.10._Accounting_for" w:history="1">
        <w:r>
          <w:rPr>
            <w:rStyle w:val="Hyperlink"/>
          </w:rPr>
          <w:t>Section 3.1.10</w:t>
        </w:r>
      </w:hyperlink>
      <w:r>
        <w:t xml:space="preserve">). We apply this principle to all new entrants and variations. </w:t>
      </w:r>
    </w:p>
    <w:p w14:paraId="464A1658" w14:textId="77777777" w:rsidR="00026E66" w:rsidRDefault="002737EF" w:rsidP="00FC355D">
      <w:r>
        <w:t xml:space="preserve">A full definition of an installation in the CCA scheme is given in </w:t>
      </w:r>
      <w:hyperlink w:anchor="_Appendix_E:_Definition" w:history="1">
        <w:r>
          <w:rPr>
            <w:rStyle w:val="Hyperlink"/>
          </w:rPr>
          <w:t>Appendix E</w:t>
        </w:r>
      </w:hyperlink>
      <w:r>
        <w:t xml:space="preserve">. </w:t>
      </w:r>
    </w:p>
    <w:p w14:paraId="234807E3" w14:textId="7F5435EF" w:rsidR="00026E66" w:rsidRDefault="002737EF" w:rsidP="00FC355D">
      <w:r>
        <w:t>An installation's boundary is a continuous line encompassing all STUs and DAAs. This continuous boundary must encompass all physically connected areas of land that are under the same ownership or occupancy (in terms of legal entity) as the area where the eligible process is carried out. Any connected areas must be areas of land separated only by a road, railway line or river (or similar physical feature).</w:t>
      </w:r>
      <w:r w:rsidR="00FC355D">
        <w:t xml:space="preserve"> </w:t>
      </w:r>
      <w:r>
        <w:t>Areas used as domestic dwelling that are separately metered must be excluded from a site boundary.</w:t>
      </w:r>
      <w:r w:rsidR="00FC355D">
        <w:t xml:space="preserve"> </w:t>
      </w:r>
      <w:r>
        <w:t xml:space="preserve">The site boundary cannot be contracted during the agreement to enable eligible processes or DAAs, which still operate and were originally included in the eligible facility, to be excluded from the eligible facility. </w:t>
      </w:r>
    </w:p>
    <w:p w14:paraId="1D6341BF" w14:textId="69DD8A90" w:rsidR="00026E66" w:rsidRDefault="002737EF" w:rsidP="00FC355D">
      <w:r>
        <w:t>Technically connected DAAs that are not on the same site (</w:t>
      </w:r>
      <w:r w:rsidRPr="005A4AE8">
        <w:rPr>
          <w:u w:color="0077B9"/>
        </w:rPr>
        <w:t xml:space="preserve">as defined in </w:t>
      </w:r>
      <w:hyperlink w:anchor="_3.3.1._Step_1:" w:history="1">
        <w:r>
          <w:rPr>
            <w:rStyle w:val="Hyperlink"/>
          </w:rPr>
          <w:t>section 3.3.1</w:t>
        </w:r>
      </w:hyperlink>
      <w:r>
        <w:t>)</w:t>
      </w:r>
      <w:r w:rsidRPr="005A4AE8">
        <w:rPr>
          <w:u w:color="0077B9"/>
        </w:rPr>
        <w:t xml:space="preserve"> </w:t>
      </w:r>
      <w:r>
        <w:t>should be excluded from the installation. Any existing facilities found to have offsite DAAs will be required to revise their base year data and eligibility calculations such that the offsite DAA is excluded.</w:t>
      </w:r>
      <w:r w:rsidR="00FC355D">
        <w:t xml:space="preserve"> </w:t>
      </w:r>
      <w:r>
        <w:t xml:space="preserve">DAAs not within the site, as defined above, which consume </w:t>
      </w:r>
      <w:r>
        <w:lastRenderedPageBreak/>
        <w:t xml:space="preserve">primary energy and generate secondary energy (electricity and heat) which is subsequently consumed by energy consuming plant within the site boundary, can be included within the installation boundary. </w:t>
      </w:r>
    </w:p>
    <w:p w14:paraId="03DDEB4C" w14:textId="77777777" w:rsidR="00026E66" w:rsidRDefault="002737EF" w:rsidP="00FC355D">
      <w:r>
        <w:t xml:space="preserve">Where a site includes a building that has multiple floors with different operators, the installation's parts may be physically separated by spaces operated by other operators, while still being on the same site. This means that the facility can be defined in terms of a series of vertically separate, 2-dimensional boundaries which, collectively, encompass all areas that use energy for the eligible process and DAAs. </w:t>
      </w:r>
    </w:p>
    <w:p w14:paraId="73986AD8" w14:textId="77777777" w:rsidR="00026E66" w:rsidRDefault="002737EF" w:rsidP="00FC355D">
      <w:r>
        <w:t xml:space="preserve">See </w:t>
      </w:r>
      <w:hyperlink w:anchor="_3.1._How_to" w:history="1">
        <w:r>
          <w:rPr>
            <w:rStyle w:val="Hyperlink"/>
          </w:rPr>
          <w:t>section 3.1</w:t>
        </w:r>
      </w:hyperlink>
      <w:r>
        <w:t xml:space="preserve"> for what energy can be counted within the CCA scheme and </w:t>
      </w:r>
      <w:hyperlink w:anchor="_3.2._What_energy" w:history="1">
        <w:r>
          <w:rPr>
            <w:rStyle w:val="Hyperlink"/>
          </w:rPr>
          <w:t>section 3.2</w:t>
        </w:r>
      </w:hyperlink>
      <w:r>
        <w:rPr>
          <w:u w:val="single" w:color="0077B9"/>
        </w:rPr>
        <w:t xml:space="preserve"> </w:t>
      </w:r>
      <w:r>
        <w:t xml:space="preserve">for what energy should not be counted within the scheme. All types of energy listed in section 3.1 must be included when determining the energy consumed in each category, including fuel consumed in an ETS Annex 1 activity. </w:t>
      </w:r>
    </w:p>
    <w:p w14:paraId="3947CF10" w14:textId="77777777" w:rsidR="00026E66" w:rsidRDefault="002737EF" w:rsidP="00FF0098">
      <w:pPr>
        <w:tabs>
          <w:tab w:val="left" w:pos="0"/>
        </w:tabs>
      </w:pPr>
      <w:r>
        <w:t xml:space="preserve">The Climate Change Agreements (Eligible Facilities) Regulations 2012 (as amended) (referred to as the Eligible Facilities Regulations from here on) require that reckonable energy from the following sources consumed in the CCA installation during the previous 12 months must be used to determine the intended supply or use in the following 12-month period: </w:t>
      </w:r>
    </w:p>
    <w:p w14:paraId="12DF768D" w14:textId="77777777" w:rsidR="00026E66" w:rsidRDefault="002737EF" w:rsidP="0065356B">
      <w:pPr>
        <w:pStyle w:val="ListParagraph"/>
        <w:numPr>
          <w:ilvl w:val="0"/>
          <w:numId w:val="32"/>
        </w:numPr>
        <w:tabs>
          <w:tab w:val="left" w:pos="0"/>
        </w:tabs>
      </w:pPr>
      <w:r>
        <w:t xml:space="preserve">energy obtained from the burning or using of relevant commodities in the installation or parts of installations on the site </w:t>
      </w:r>
    </w:p>
    <w:p w14:paraId="21D3BB9E" w14:textId="77777777" w:rsidR="00026E66" w:rsidRDefault="002737EF" w:rsidP="0065356B">
      <w:pPr>
        <w:pStyle w:val="ListParagraph"/>
        <w:numPr>
          <w:ilvl w:val="0"/>
          <w:numId w:val="32"/>
        </w:numPr>
        <w:tabs>
          <w:tab w:val="left" w:pos="0"/>
        </w:tabs>
      </w:pPr>
      <w:r>
        <w:t xml:space="preserve">electrical energy supplied to the installation, installations or parts of the installations on the site </w:t>
      </w:r>
    </w:p>
    <w:p w14:paraId="52D15F4F" w14:textId="77777777" w:rsidR="00026E66" w:rsidRDefault="002737EF" w:rsidP="0065356B">
      <w:pPr>
        <w:pStyle w:val="ListParagraph"/>
        <w:numPr>
          <w:ilvl w:val="0"/>
          <w:numId w:val="32"/>
        </w:numPr>
        <w:tabs>
          <w:tab w:val="left" w:pos="0"/>
        </w:tabs>
      </w:pPr>
      <w:r>
        <w:t xml:space="preserve">energy in cooling supplies </w:t>
      </w:r>
    </w:p>
    <w:p w14:paraId="45423B68" w14:textId="77777777" w:rsidR="00026E66" w:rsidRDefault="002737EF" w:rsidP="0065356B">
      <w:pPr>
        <w:pStyle w:val="ListParagraph"/>
        <w:numPr>
          <w:ilvl w:val="0"/>
          <w:numId w:val="32"/>
        </w:numPr>
        <w:tabs>
          <w:tab w:val="left" w:pos="0"/>
        </w:tabs>
      </w:pPr>
      <w:r>
        <w:t xml:space="preserve">energy in supplies of steam </w:t>
      </w:r>
    </w:p>
    <w:p w14:paraId="18EDD93A" w14:textId="77777777" w:rsidR="00026E66" w:rsidRDefault="002737EF" w:rsidP="00FF0098">
      <w:pPr>
        <w:tabs>
          <w:tab w:val="left" w:pos="0"/>
        </w:tabs>
      </w:pPr>
      <w:r>
        <w:t>Continuous monitoring of data on the amounts of these energy sources is therefore necessary to demonstrate eligibility.</w:t>
      </w:r>
    </w:p>
    <w:p w14:paraId="77B354BE" w14:textId="77777777" w:rsidR="00026E66" w:rsidRDefault="002737EF" w:rsidP="00FF0098">
      <w:pPr>
        <w:tabs>
          <w:tab w:val="left" w:pos="0"/>
        </w:tabs>
      </w:pPr>
      <w:r>
        <w:t xml:space="preserve">By the end of step 2, the energy consumed on a site should be divided between the STU, DAAs and other site energy. It is important to document the division as this information will be required as part of the application process on the CCA register. </w:t>
      </w:r>
    </w:p>
    <w:p w14:paraId="35C6F296" w14:textId="77777777" w:rsidR="00026E66" w:rsidRDefault="002737EF" w:rsidP="00FF0098">
      <w:pPr>
        <w:tabs>
          <w:tab w:val="left" w:pos="0"/>
        </w:tabs>
      </w:pPr>
      <w:r>
        <w:t xml:space="preserve">When pulling together the site energy consumption which may be covered by a CCA, you should also include any fuel consumed within plant carrying out an Annex 1 activity (as defined in the </w:t>
      </w:r>
      <w:hyperlink r:id="rId73" w:history="1">
        <w:r>
          <w:rPr>
            <w:rStyle w:val="Hyperlink"/>
            <w:color w:val="0070C0"/>
          </w:rPr>
          <w:t>Technical Annex</w:t>
        </w:r>
      </w:hyperlink>
      <w:r>
        <w:t xml:space="preserve"> (as amended from time to time). The CCL discount can be claimed in respect of this fuel but will be disregarded when establishing the energy consumption of the target facility. This is explained further in </w:t>
      </w:r>
      <w:hyperlink w:anchor="_3.3.5_Step_5:" w:history="1">
        <w:r>
          <w:rPr>
            <w:rStyle w:val="Hyperlink"/>
          </w:rPr>
          <w:t>section 3.3.5</w:t>
        </w:r>
      </w:hyperlink>
      <w:r>
        <w:t xml:space="preserve">. Although it is not necessary at this stage to remove any fuels covered by the Emissions Trading Scheme, we recommend this energy is identified distinctly to make step 4 easier. </w:t>
      </w:r>
    </w:p>
    <w:p w14:paraId="2C553E2F" w14:textId="77777777" w:rsidR="00026E66" w:rsidRPr="005A4AE8" w:rsidRDefault="002737EF" w:rsidP="00FF0098">
      <w:pPr>
        <w:pStyle w:val="Heading4"/>
        <w:tabs>
          <w:tab w:val="left" w:pos="0"/>
        </w:tabs>
      </w:pPr>
      <w:r w:rsidRPr="005A4AE8">
        <w:lastRenderedPageBreak/>
        <w:t xml:space="preserve">Important point when estimating site energy </w:t>
      </w:r>
    </w:p>
    <w:p w14:paraId="5D3F54CF" w14:textId="37C18E12" w:rsidR="00026E66" w:rsidRDefault="002737EF" w:rsidP="00FF0098">
      <w:pPr>
        <w:tabs>
          <w:tab w:val="left" w:pos="0"/>
        </w:tabs>
      </w:pPr>
      <w:r>
        <w:t>When estimating the proportion of the site's energy consumed within the installation for an application for a CCA, we accept use of an actual floor area when estimating proportions of energy used in eligible and non-eligible areas for equipment such as space heating and air conditioning. This must be clearly set out in the application. However, we don’t accept use of estimates when sites come to determine the actual energy consumed for reporting purposes. Actual energy consumption for reporting purposes must be measured by direct metering or in some circumstances indirect measurements are acceptable.</w:t>
      </w:r>
      <w:r w:rsidR="00FC355D">
        <w:t xml:space="preserve"> </w:t>
      </w:r>
      <w:r>
        <w:t>For further information, contact the CCA Helpdesk.</w:t>
      </w:r>
    </w:p>
    <w:p w14:paraId="61A56AD4" w14:textId="77777777" w:rsidR="00026E66" w:rsidRPr="005A4AE8" w:rsidRDefault="002737EF" w:rsidP="00FF0098">
      <w:pPr>
        <w:pStyle w:val="Heading4"/>
        <w:tabs>
          <w:tab w:val="left" w:pos="0"/>
        </w:tabs>
      </w:pPr>
      <w:r w:rsidRPr="005A4AE8">
        <w:t xml:space="preserve">Where a site has more than one eligible process belonging to more than one sector </w:t>
      </w:r>
    </w:p>
    <w:p w14:paraId="22003ADB" w14:textId="77777777" w:rsidR="00026E66" w:rsidRDefault="002737EF" w:rsidP="00FF0098">
      <w:pPr>
        <w:tabs>
          <w:tab w:val="left" w:pos="0"/>
        </w:tabs>
      </w:pPr>
      <w:r>
        <w:t xml:space="preserve">If activities on a site span more than one sector, the operator should adopt </w:t>
      </w:r>
      <w:r>
        <w:rPr>
          <w:b/>
        </w:rPr>
        <w:t xml:space="preserve">one </w:t>
      </w:r>
      <w:r>
        <w:t>of the following options:</w:t>
      </w:r>
    </w:p>
    <w:p w14:paraId="7DDEB65A" w14:textId="77777777" w:rsidR="00026E66" w:rsidRDefault="002737EF" w:rsidP="0065356B">
      <w:pPr>
        <w:pStyle w:val="ListParagraph"/>
        <w:numPr>
          <w:ilvl w:val="0"/>
          <w:numId w:val="33"/>
        </w:numPr>
        <w:tabs>
          <w:tab w:val="left" w:pos="0"/>
        </w:tabs>
      </w:pPr>
      <w:r>
        <w:t xml:space="preserve">apportion the site's energy against each process and apply for an agreement to each relevant sector association. This option requires adequate metering to be in place to ensure no energy is double counted. </w:t>
      </w:r>
    </w:p>
    <w:p w14:paraId="64068FE2" w14:textId="77777777" w:rsidR="00026E66" w:rsidRDefault="002737EF" w:rsidP="0065356B">
      <w:pPr>
        <w:pStyle w:val="ListParagraph"/>
        <w:numPr>
          <w:ilvl w:val="0"/>
          <w:numId w:val="33"/>
        </w:numPr>
        <w:tabs>
          <w:tab w:val="left" w:pos="0"/>
        </w:tabs>
      </w:pPr>
      <w:r>
        <w:t xml:space="preserve">hold one agreement for the largest eligible process and treat the other process as 'other' site energy. This will necessitate the installation of sub-metering where appropriate (see </w:t>
      </w:r>
      <w:hyperlink w:anchor="_3.3.3._Step_3:" w:history="1">
        <w:r>
          <w:rPr>
            <w:rStyle w:val="Hyperlink"/>
          </w:rPr>
          <w:t>section 3.3.3</w:t>
        </w:r>
      </w:hyperlink>
      <w:r w:rsidRPr="00E955A3">
        <w:rPr>
          <w:u w:val="single" w:color="0077B9"/>
        </w:rPr>
        <w:t xml:space="preserve"> </w:t>
      </w:r>
      <w:r>
        <w:t xml:space="preserve">for more about sub-metering requirements). Note, under this option only the throughput associated with the largest eligible process should be counted. </w:t>
      </w:r>
    </w:p>
    <w:p w14:paraId="6ACAAE3C" w14:textId="77777777" w:rsidR="00026E66" w:rsidRDefault="002737EF" w:rsidP="00FF0098">
      <w:pPr>
        <w:pStyle w:val="Heading3"/>
        <w:tabs>
          <w:tab w:val="left" w:pos="0"/>
        </w:tabs>
      </w:pPr>
      <w:bookmarkStart w:id="63" w:name="_3.3.3._Step_3:"/>
      <w:bookmarkStart w:id="64" w:name="_Toc95211789"/>
      <w:bookmarkEnd w:id="63"/>
      <w:r>
        <w:t>3.3.3. Step 3: Apply the 70% rule</w:t>
      </w:r>
      <w:bookmarkEnd w:id="64"/>
      <w:r>
        <w:t xml:space="preserve"> </w:t>
      </w:r>
    </w:p>
    <w:p w14:paraId="7C8B2B87" w14:textId="77777777" w:rsidR="00026E66" w:rsidRDefault="002737EF" w:rsidP="00FF0098">
      <w:pPr>
        <w:tabs>
          <w:tab w:val="left" w:pos="0"/>
        </w:tabs>
      </w:pPr>
      <w:r>
        <w:t xml:space="preserve">The aim of this step is to find out how much of the energy consumed on the site can be included in the eligible facility. Where applicable, the energy consumed in the eligible facility is eligible for the CCL discount. However, some fuels consumed on a site will not be liable for the CCL or any discount. Operators should check with HMRC if there is any doubt over this. </w:t>
      </w:r>
    </w:p>
    <w:p w14:paraId="0211E471" w14:textId="77777777" w:rsidR="00026E66" w:rsidRDefault="002737EF" w:rsidP="00FF0098">
      <w:pPr>
        <w:pStyle w:val="Heading4"/>
        <w:tabs>
          <w:tab w:val="left" w:pos="0"/>
        </w:tabs>
      </w:pPr>
      <w:r>
        <w:t xml:space="preserve">What is the 70% rule? </w:t>
      </w:r>
    </w:p>
    <w:p w14:paraId="0375630D" w14:textId="77777777" w:rsidR="00026E66" w:rsidRDefault="002737EF" w:rsidP="00FF0098">
      <w:pPr>
        <w:tabs>
          <w:tab w:val="left" w:pos="0"/>
        </w:tabs>
      </w:pPr>
      <w:r>
        <w:t>The 70% rule is derived from the Eligible Facilities Regulations. The basic principles of the rule are as follows:</w:t>
      </w:r>
    </w:p>
    <w:p w14:paraId="49658C57" w14:textId="77777777" w:rsidR="00026E66" w:rsidRDefault="002737EF" w:rsidP="0065356B">
      <w:pPr>
        <w:pStyle w:val="ListParagraph"/>
        <w:numPr>
          <w:ilvl w:val="0"/>
          <w:numId w:val="34"/>
        </w:numPr>
        <w:tabs>
          <w:tab w:val="left" w:pos="0"/>
        </w:tabs>
      </w:pPr>
      <w:r>
        <w:t xml:space="preserve">if the </w:t>
      </w:r>
      <w:hyperlink w:anchor="installation" w:history="1">
        <w:r>
          <w:rPr>
            <w:rStyle w:val="Hyperlink"/>
          </w:rPr>
          <w:t>installation</w:t>
        </w:r>
      </w:hyperlink>
      <w:r>
        <w:t xml:space="preserve"> consumes 70% or more of the site’s total primary energy (reckonable energy), an operator can claim that all the site’s energy consumption falls within the eligible facility. This would include fuel consumed in plant carrying out </w:t>
      </w:r>
      <w:hyperlink w:anchor="Annex1activity" w:history="1">
        <w:r>
          <w:rPr>
            <w:rStyle w:val="Hyperlink"/>
          </w:rPr>
          <w:t>Annex 1 activities</w:t>
        </w:r>
      </w:hyperlink>
      <w:r>
        <w:t xml:space="preserve"> if present on a site.</w:t>
      </w:r>
    </w:p>
    <w:p w14:paraId="57C5D34A" w14:textId="77777777" w:rsidR="00026E66" w:rsidRDefault="002737EF" w:rsidP="0065356B">
      <w:pPr>
        <w:pStyle w:val="ListParagraph"/>
        <w:numPr>
          <w:ilvl w:val="0"/>
          <w:numId w:val="34"/>
        </w:numPr>
        <w:tabs>
          <w:tab w:val="left" w:pos="0"/>
        </w:tabs>
      </w:pPr>
      <w:r>
        <w:lastRenderedPageBreak/>
        <w:t xml:space="preserve">if the installation consumes less than 70% of the site’s total reckonable energy, an operator can claim the installation’s energy consumption, plus energy consumed by other activities on site up to a value equal to an additional 3/7ths of the installation’s energy consumption, as falling within the eligible facility. However, both the installation and any additional energy claimed under the 3/7ths provision must be separately sub-metered. The addition of the 3/7ths can occur at any point during the CCA except for the last two months of a target period. </w:t>
      </w:r>
    </w:p>
    <w:p w14:paraId="5B47ABCD" w14:textId="77777777" w:rsidR="00026E66" w:rsidRDefault="002737EF" w:rsidP="00FF0098">
      <w:pPr>
        <w:tabs>
          <w:tab w:val="left" w:pos="0"/>
        </w:tabs>
      </w:pPr>
      <w:r>
        <w:t xml:space="preserve">Operators should monitor their facilities annually to ensure they continue to comply with the 70% rule. We may check compliance with this rule when we carry out an audit (see </w:t>
      </w:r>
      <w:hyperlink w:anchor="_9._Auditing_the" w:history="1">
        <w:r>
          <w:rPr>
            <w:rStyle w:val="Hyperlink"/>
          </w:rPr>
          <w:t>section 9</w:t>
        </w:r>
      </w:hyperlink>
      <w:r>
        <w:t xml:space="preserve">). </w:t>
      </w:r>
    </w:p>
    <w:p w14:paraId="6796C338" w14:textId="77777777" w:rsidR="00026E66" w:rsidRPr="005A4AE8" w:rsidRDefault="002737EF" w:rsidP="00FF0098">
      <w:pPr>
        <w:pStyle w:val="Heading4"/>
        <w:tabs>
          <w:tab w:val="left" w:pos="0"/>
        </w:tabs>
      </w:pPr>
      <w:r w:rsidRPr="005A4AE8">
        <w:t xml:space="preserve">When to use sub-metering </w:t>
      </w:r>
    </w:p>
    <w:p w14:paraId="1DCC1CD4" w14:textId="77777777" w:rsidR="00026E66" w:rsidRDefault="002737EF" w:rsidP="00FF0098">
      <w:pPr>
        <w:tabs>
          <w:tab w:val="left" w:pos="0"/>
        </w:tabs>
      </w:pPr>
      <w:r>
        <w:t>Before applying to join the CCA scheme, an operator should estimate the energy consumed by the installation over the previous 12 months using any existing sub-meters, spot metering or calculation based on equipment rating and the hours used. The methodology for any estimation must be site-specific and set out clearly when the facility eligibility application in the CCA register is completed. This estimate should be checked regularly by the operator to ensure that the energy consumed in the installation remains correct.</w:t>
      </w:r>
    </w:p>
    <w:p w14:paraId="3A7AB08E" w14:textId="77777777" w:rsidR="00026E66" w:rsidRDefault="002737EF" w:rsidP="00FF0098">
      <w:pPr>
        <w:tabs>
          <w:tab w:val="left" w:pos="0"/>
        </w:tabs>
      </w:pPr>
      <w:r>
        <w:t xml:space="preserve">If the proportion of energy consumed by the installation over the previous 12-month period was greater than or equal to 70% of the total energy consumed by the site, the only meters needed are </w:t>
      </w:r>
      <w:r>
        <w:rPr>
          <w:color w:val="auto"/>
          <w:szCs w:val="24"/>
        </w:rPr>
        <w:t>fixed site</w:t>
      </w:r>
      <w:r>
        <w:t xml:space="preserve"> meters.</w:t>
      </w:r>
    </w:p>
    <w:p w14:paraId="0FD412A1" w14:textId="77777777" w:rsidR="00026E66" w:rsidRDefault="002737EF" w:rsidP="00FF0098">
      <w:pPr>
        <w:tabs>
          <w:tab w:val="left" w:pos="0"/>
        </w:tabs>
      </w:pPr>
      <w:r>
        <w:t xml:space="preserve">If the installation consumed was less than 70% of the total energy consumed by the site, the energy consumed by the installation and any additional 3/7ths must be sub-metered separately. If it falls below 70%, 12 months of sub-metered data will need to be supplied before applying for a CCA unless it can be demonstrated that the site is a greenfield facility (see </w:t>
      </w:r>
      <w:hyperlink w:anchor="_4.3._Brownfield_and" w:history="1">
        <w:r>
          <w:rPr>
            <w:rStyle w:val="Hyperlink"/>
          </w:rPr>
          <w:t>section 4.3</w:t>
        </w:r>
      </w:hyperlink>
      <w:r>
        <w:t xml:space="preserve">). </w:t>
      </w:r>
    </w:p>
    <w:p w14:paraId="55DB5233" w14:textId="77777777" w:rsidR="00026E66" w:rsidRDefault="002737EF" w:rsidP="00FF0098">
      <w:pPr>
        <w:tabs>
          <w:tab w:val="left" w:pos="0"/>
        </w:tabs>
      </w:pPr>
      <w:r>
        <w:t xml:space="preserve">If eligibility against the 70% rule changes during a target period, it will be necessary to amend the target unit's underlying agreement (see </w:t>
      </w:r>
      <w:hyperlink w:anchor="_7.5.1._Structural_change" w:history="1">
        <w:r>
          <w:rPr>
            <w:rStyle w:val="Hyperlink"/>
          </w:rPr>
          <w:t>section 7.5.1</w:t>
        </w:r>
      </w:hyperlink>
      <w:r>
        <w:t xml:space="preserve">). </w:t>
      </w:r>
    </w:p>
    <w:p w14:paraId="008ABDFA" w14:textId="35523F9B" w:rsidR="00026E66" w:rsidRDefault="002737EF" w:rsidP="00073139">
      <w:pPr>
        <w:pStyle w:val="Heading3"/>
        <w:tabs>
          <w:tab w:val="left" w:pos="0"/>
        </w:tabs>
      </w:pPr>
      <w:bookmarkStart w:id="65" w:name="_3.3.4._Step_4:"/>
      <w:bookmarkStart w:id="66" w:name="_Toc95211790"/>
      <w:bookmarkEnd w:id="65"/>
      <w:r>
        <w:t>3.3.4. Step 4: Calculate the energy consumption relevant for CCA target setting and performance reporting (defining the target facility)</w:t>
      </w:r>
      <w:bookmarkEnd w:id="66"/>
      <w:r>
        <w:t xml:space="preserve"> </w:t>
      </w:r>
    </w:p>
    <w:p w14:paraId="65A6D997" w14:textId="77777777" w:rsidR="00026E66" w:rsidRPr="00073139" w:rsidRDefault="002737EF" w:rsidP="00FF0098">
      <w:pPr>
        <w:tabs>
          <w:tab w:val="left" w:pos="0"/>
        </w:tabs>
        <w:rPr>
          <w:bCs/>
        </w:rPr>
      </w:pPr>
      <w:r w:rsidRPr="00073139">
        <w:rPr>
          <w:bCs/>
        </w:rPr>
        <w:t>This step is only relevant if there is an ETS installation associated with the eligible facility.</w:t>
      </w:r>
    </w:p>
    <w:p w14:paraId="4CF6516B" w14:textId="77777777" w:rsidR="00026E66" w:rsidRDefault="002737EF" w:rsidP="00FF0098">
      <w:pPr>
        <w:tabs>
          <w:tab w:val="left" w:pos="0"/>
        </w:tabs>
      </w:pPr>
      <w:r>
        <w:t>An ETS installation is associated with the eligible facility if one of the following applies:</w:t>
      </w:r>
    </w:p>
    <w:p w14:paraId="209E59D4" w14:textId="77777777" w:rsidR="00026E66" w:rsidRDefault="002737EF" w:rsidP="0065356B">
      <w:pPr>
        <w:pStyle w:val="ListParagraph"/>
        <w:numPr>
          <w:ilvl w:val="0"/>
          <w:numId w:val="35"/>
        </w:numPr>
        <w:tabs>
          <w:tab w:val="left" w:pos="0"/>
        </w:tabs>
      </w:pPr>
      <w:r>
        <w:t xml:space="preserve">the eligible facility includes plant carrying out an </w:t>
      </w:r>
      <w:hyperlink w:anchor="Annex1activity" w:history="1">
        <w:r>
          <w:rPr>
            <w:rStyle w:val="Hyperlink"/>
          </w:rPr>
          <w:t>Annex 1 activity</w:t>
        </w:r>
      </w:hyperlink>
    </w:p>
    <w:p w14:paraId="75E8D954" w14:textId="77777777" w:rsidR="00026E66" w:rsidRDefault="002737EF" w:rsidP="0065356B">
      <w:pPr>
        <w:pStyle w:val="ListParagraph"/>
        <w:numPr>
          <w:ilvl w:val="0"/>
          <w:numId w:val="35"/>
        </w:numPr>
        <w:tabs>
          <w:tab w:val="left" w:pos="0"/>
        </w:tabs>
      </w:pPr>
      <w:r>
        <w:t xml:space="preserve">the eligible facility imports and consumes heat or power from an Annex 1 activity </w:t>
      </w:r>
    </w:p>
    <w:p w14:paraId="00E65804" w14:textId="77777777" w:rsidR="00026E66" w:rsidRDefault="002737EF" w:rsidP="00FF0098">
      <w:pPr>
        <w:tabs>
          <w:tab w:val="left" w:pos="0"/>
        </w:tabs>
      </w:pPr>
      <w:r>
        <w:lastRenderedPageBreak/>
        <w:t xml:space="preserve">If either applies the fuel consumed within the plant carrying out the Annex 1 activity must be subtracted from the eligible facility's energy consumption. This will give the energy consumed within the target facility. Energy consumed within the target facility in the base year will constitute the base year performance against which targets will be set. The eligible facility remains the entity whose energy consumption is entitled to receive the CCL discount and will include energy consumed within an ETS installation. </w:t>
      </w:r>
    </w:p>
    <w:p w14:paraId="1FCB4588" w14:textId="77777777" w:rsidR="00026E66" w:rsidRDefault="002737EF" w:rsidP="00FF0098">
      <w:pPr>
        <w:tabs>
          <w:tab w:val="left" w:pos="0"/>
        </w:tabs>
        <w:ind w:right="182"/>
      </w:pPr>
      <w:r>
        <w:rPr>
          <w:color w:val="auto"/>
          <w:szCs w:val="24"/>
        </w:rPr>
        <w:t>Target</w:t>
      </w:r>
      <w:r>
        <w:rPr>
          <w:color w:val="auto"/>
        </w:rPr>
        <w:t xml:space="preserve"> facility energy consumption </w:t>
      </w:r>
      <w:r>
        <w:rPr>
          <w:color w:val="auto"/>
          <w:szCs w:val="24"/>
        </w:rPr>
        <w:t>= Eligible</w:t>
      </w:r>
      <w:r>
        <w:rPr>
          <w:color w:val="auto"/>
        </w:rPr>
        <w:t xml:space="preserve"> facility energy consumption</w:t>
      </w:r>
      <w:r>
        <w:rPr>
          <w:color w:val="auto"/>
          <w:szCs w:val="24"/>
        </w:rPr>
        <w:t xml:space="preserve"> – Any</w:t>
      </w:r>
      <w:r>
        <w:rPr>
          <w:color w:val="auto"/>
        </w:rPr>
        <w:t xml:space="preserve"> fuel consumed within the eligible facility that is consumed within plant carrying out an Annex 1 activity </w:t>
      </w:r>
    </w:p>
    <w:p w14:paraId="54372F19" w14:textId="77777777" w:rsidR="00026E66" w:rsidRDefault="002737EF" w:rsidP="00FF0098">
      <w:pPr>
        <w:tabs>
          <w:tab w:val="left" w:pos="0"/>
        </w:tabs>
        <w:spacing w:after="0"/>
        <w:ind w:right="182"/>
        <w:rPr>
          <w:color w:val="auto"/>
        </w:rPr>
      </w:pPr>
      <w:r>
        <w:rPr>
          <w:color w:val="auto"/>
        </w:rPr>
        <w:t xml:space="preserve">This calculation is made easier if the fuel consumption in plant carrying out Annex 1 activities is identified in step 1. </w:t>
      </w:r>
    </w:p>
    <w:p w14:paraId="6416BC5E" w14:textId="77777777" w:rsidR="00026E66" w:rsidRPr="00073139" w:rsidRDefault="002737EF" w:rsidP="00073139">
      <w:pPr>
        <w:pStyle w:val="Heading4"/>
      </w:pPr>
      <w:r w:rsidRPr="00073139">
        <w:t xml:space="preserve">ETS information on the CCA register </w:t>
      </w:r>
    </w:p>
    <w:p w14:paraId="5745420E" w14:textId="77777777" w:rsidR="00026E66" w:rsidRDefault="002737EF" w:rsidP="00FF0098">
      <w:pPr>
        <w:tabs>
          <w:tab w:val="left" w:pos="0"/>
        </w:tabs>
      </w:pPr>
      <w:r>
        <w:t xml:space="preserve">It is important that information about the ETS installation included in the eligible facility is captured in the CCA register so we know that the energy consumption of the target facility and the eligible facility will differ. These data are also necessary to calculate the penalty for the eligible facility stated in the target unit's underlying agreement. </w:t>
      </w:r>
    </w:p>
    <w:p w14:paraId="0F84F0AA" w14:textId="1C10E168" w:rsidR="00026E66" w:rsidRPr="00073139" w:rsidRDefault="002737EF" w:rsidP="00073139">
      <w:pPr>
        <w:tabs>
          <w:tab w:val="left" w:pos="0"/>
        </w:tabs>
        <w:spacing w:after="59"/>
        <w:ind w:right="182"/>
      </w:pPr>
      <w:r>
        <w:rPr>
          <w:color w:val="auto"/>
        </w:rPr>
        <w:t xml:space="preserve">This information should be included in any new application. </w:t>
      </w:r>
      <w:r>
        <w:rPr>
          <w:color w:val="auto"/>
          <w:szCs w:val="24"/>
        </w:rPr>
        <w:t xml:space="preserve">If the </w:t>
      </w:r>
      <w:r>
        <w:rPr>
          <w:color w:val="auto"/>
        </w:rPr>
        <w:t>information is missing</w:t>
      </w:r>
      <w:r>
        <w:rPr>
          <w:color w:val="auto"/>
          <w:szCs w:val="24"/>
        </w:rPr>
        <w:t xml:space="preserve"> from the register, a variation (</w:t>
      </w:r>
      <w:hyperlink w:anchor="_7._Changing_an" w:history="1">
        <w:r>
          <w:rPr>
            <w:rStyle w:val="Hyperlink"/>
            <w:szCs w:val="24"/>
          </w:rPr>
          <w:t>section 7</w:t>
        </w:r>
      </w:hyperlink>
      <w:r>
        <w:rPr>
          <w:color w:val="auto"/>
          <w:szCs w:val="24"/>
        </w:rPr>
        <w:t>) can be raised to add this to</w:t>
      </w:r>
      <w:r>
        <w:rPr>
          <w:color w:val="auto"/>
        </w:rPr>
        <w:t xml:space="preserve"> the agreement.</w:t>
      </w:r>
      <w:r>
        <w:rPr>
          <w:color w:val="auto"/>
          <w:szCs w:val="24"/>
        </w:rPr>
        <w:t xml:space="preserve"> </w:t>
      </w:r>
    </w:p>
    <w:p w14:paraId="7A116FF6" w14:textId="77777777" w:rsidR="00026E66" w:rsidRDefault="002737EF" w:rsidP="00FF0098">
      <w:pPr>
        <w:pStyle w:val="Heading3"/>
        <w:tabs>
          <w:tab w:val="left" w:pos="0"/>
        </w:tabs>
      </w:pPr>
      <w:bookmarkStart w:id="67" w:name="_3.3.5_Step_5:"/>
      <w:bookmarkStart w:id="68" w:name="_Toc95211791"/>
      <w:bookmarkEnd w:id="67"/>
      <w:r>
        <w:t>3.3.5 Step 5: Calculate base year performance</w:t>
      </w:r>
      <w:bookmarkEnd w:id="68"/>
      <w:r>
        <w:t xml:space="preserve"> </w:t>
      </w:r>
    </w:p>
    <w:p w14:paraId="0A013824" w14:textId="77777777" w:rsidR="00026E66" w:rsidRPr="00073139" w:rsidRDefault="002737EF" w:rsidP="00073139">
      <w:pPr>
        <w:pStyle w:val="Heading4"/>
      </w:pPr>
      <w:r w:rsidRPr="00073139">
        <w:t xml:space="preserve">What is the base year? </w:t>
      </w:r>
    </w:p>
    <w:p w14:paraId="6BD375A6" w14:textId="530B25CC" w:rsidR="00026E66" w:rsidRDefault="002737EF" w:rsidP="00FF0098">
      <w:pPr>
        <w:tabs>
          <w:tab w:val="left" w:pos="0"/>
        </w:tabs>
        <w:ind w:right="182"/>
      </w:pPr>
      <w:r>
        <w:t>The base year is a continuous 12-month period where the operator measures its initial performance.</w:t>
      </w:r>
      <w:r w:rsidR="00FC355D">
        <w:t xml:space="preserve"> </w:t>
      </w:r>
      <w:r>
        <w:t>The data collected during the base year establish the baseline.</w:t>
      </w:r>
      <w:r w:rsidR="00FC355D">
        <w:t xml:space="preserve"> </w:t>
      </w:r>
      <w:r>
        <w:t xml:space="preserve">The baseline </w:t>
      </w:r>
      <w:r>
        <w:rPr>
          <w:color w:val="auto"/>
          <w:szCs w:val="24"/>
        </w:rPr>
        <w:t xml:space="preserve">energy consumption for the target facility must not include any fuel consumed in plant carrying out </w:t>
      </w:r>
      <w:hyperlink w:anchor="Annex1activity" w:history="1">
        <w:r>
          <w:rPr>
            <w:rStyle w:val="Hyperlink"/>
            <w:szCs w:val="24"/>
          </w:rPr>
          <w:t>Annex 1 activities</w:t>
        </w:r>
      </w:hyperlink>
      <w:r>
        <w:rPr>
          <w:color w:val="auto"/>
        </w:rPr>
        <w:t>.</w:t>
      </w:r>
    </w:p>
    <w:p w14:paraId="2A554077" w14:textId="77777777" w:rsidR="00026E66" w:rsidRDefault="002737EF" w:rsidP="0065356B">
      <w:pPr>
        <w:pStyle w:val="ListParagraph"/>
        <w:numPr>
          <w:ilvl w:val="0"/>
          <w:numId w:val="36"/>
        </w:numPr>
        <w:tabs>
          <w:tab w:val="left" w:pos="0"/>
        </w:tabs>
      </w:pPr>
      <w:r w:rsidRPr="00E955A3">
        <w:rPr>
          <w:szCs w:val="24"/>
        </w:rPr>
        <w:t>For target periods 1 to 4</w:t>
      </w:r>
      <w:r>
        <w:t xml:space="preserve">, we would normally expect the base year to be the 12-month period from </w:t>
      </w:r>
      <w:r w:rsidRPr="00E955A3">
        <w:rPr>
          <w:b/>
        </w:rPr>
        <w:t>January to December</w:t>
      </w:r>
      <w:r>
        <w:t xml:space="preserve"> </w:t>
      </w:r>
      <w:r w:rsidRPr="00E955A3">
        <w:rPr>
          <w:b/>
        </w:rPr>
        <w:t>2008</w:t>
      </w:r>
    </w:p>
    <w:p w14:paraId="2396E315" w14:textId="77777777" w:rsidR="00026E66" w:rsidRDefault="002737EF" w:rsidP="0065356B">
      <w:pPr>
        <w:pStyle w:val="ListParagraph"/>
        <w:numPr>
          <w:ilvl w:val="0"/>
          <w:numId w:val="36"/>
        </w:numPr>
        <w:tabs>
          <w:tab w:val="left" w:pos="0"/>
        </w:tabs>
      </w:pPr>
      <w:r w:rsidRPr="00E955A3">
        <w:rPr>
          <w:szCs w:val="24"/>
        </w:rPr>
        <w:t xml:space="preserve">for target period </w:t>
      </w:r>
      <w:r w:rsidRPr="00E955A3">
        <w:rPr>
          <w:b/>
          <w:bCs/>
          <w:szCs w:val="24"/>
        </w:rPr>
        <w:t>5</w:t>
      </w:r>
      <w:r w:rsidRPr="00E955A3">
        <w:rPr>
          <w:szCs w:val="24"/>
        </w:rPr>
        <w:t xml:space="preserve">, we would normally expect the base year to be the 12-month period from </w:t>
      </w:r>
      <w:r w:rsidRPr="00E955A3">
        <w:rPr>
          <w:b/>
          <w:bCs/>
          <w:szCs w:val="24"/>
        </w:rPr>
        <w:t>January to December</w:t>
      </w:r>
      <w:r w:rsidRPr="00E955A3">
        <w:rPr>
          <w:szCs w:val="24"/>
        </w:rPr>
        <w:t xml:space="preserve"> </w:t>
      </w:r>
      <w:r w:rsidRPr="00E955A3">
        <w:rPr>
          <w:b/>
          <w:bCs/>
          <w:szCs w:val="24"/>
        </w:rPr>
        <w:t>2018</w:t>
      </w:r>
    </w:p>
    <w:p w14:paraId="6E926BE7" w14:textId="77777777" w:rsidR="00026E66" w:rsidRDefault="002737EF" w:rsidP="00FF0098">
      <w:pPr>
        <w:tabs>
          <w:tab w:val="left" w:pos="0"/>
        </w:tabs>
      </w:pPr>
      <w:r>
        <w:t>If an operator doesn’t have data during either of the above default base year periods, it must use the next available 12-month period closest to the default base year. Operators must explain why they aren’t able to use the default base year periods. Changes to energy use and/or products since the base year are not valid reasons for using a later base year.</w:t>
      </w:r>
    </w:p>
    <w:p w14:paraId="02425D81" w14:textId="77777777" w:rsidR="00026E66" w:rsidRDefault="002737EF" w:rsidP="00FF0098">
      <w:pPr>
        <w:tabs>
          <w:tab w:val="left" w:pos="0"/>
        </w:tabs>
      </w:pPr>
      <w:r>
        <w:t xml:space="preserve">If a structural change occurs, the base year data should be reconstructed where possible (see </w:t>
      </w:r>
      <w:r w:rsidRPr="00E955A3">
        <w:rPr>
          <w:u w:color="0077B9"/>
        </w:rPr>
        <w:t>section 7.5.1</w:t>
      </w:r>
      <w:r>
        <w:t>).</w:t>
      </w:r>
    </w:p>
    <w:p w14:paraId="4709D695" w14:textId="77777777" w:rsidR="00026E66" w:rsidRDefault="002737EF" w:rsidP="00FF0098">
      <w:pPr>
        <w:tabs>
          <w:tab w:val="left" w:pos="0"/>
        </w:tabs>
      </w:pPr>
      <w:r>
        <w:lastRenderedPageBreak/>
        <w:t xml:space="preserve">A greenfield facility is a special case. The operator of a greenfield facility can apply to join the CCA scheme within 12 months of starting to carry out an eligible activity. We will issue an agreement once the operator is able to start collecting the data necessary to establish a representative baseline performance. The operator must ensure the baseline data is complete and supply us with this no later than 12 months after the start date of its agreement. More information on how to deal with greenfield facilities is given in </w:t>
      </w:r>
      <w:hyperlink w:anchor="_4.3._Brownfield_and" w:history="1">
        <w:r>
          <w:rPr>
            <w:rStyle w:val="Hyperlink"/>
          </w:rPr>
          <w:t>section 4.3</w:t>
        </w:r>
      </w:hyperlink>
      <w:r>
        <w:t xml:space="preserve">. </w:t>
      </w:r>
    </w:p>
    <w:p w14:paraId="5F79FF3A" w14:textId="77777777" w:rsidR="00026E66" w:rsidRDefault="002737EF" w:rsidP="00FF0098">
      <w:pPr>
        <w:tabs>
          <w:tab w:val="left" w:pos="0"/>
        </w:tabs>
      </w:pPr>
      <w:r>
        <w:t>The base year cannot be changed after an operator has entered into an agreement, subject to the rules on variations (Rule 11.1).</w:t>
      </w:r>
    </w:p>
    <w:p w14:paraId="66413088" w14:textId="77777777" w:rsidR="00026E66" w:rsidRPr="00073139" w:rsidRDefault="002737EF" w:rsidP="00073139">
      <w:pPr>
        <w:pStyle w:val="Heading4"/>
      </w:pPr>
      <w:r w:rsidRPr="00073139">
        <w:t xml:space="preserve">How to calculate the target facility performance in the base year </w:t>
      </w:r>
    </w:p>
    <w:p w14:paraId="6DEFB0CA" w14:textId="3A069A8C" w:rsidR="00026E66" w:rsidRDefault="002737EF" w:rsidP="00FF0098">
      <w:pPr>
        <w:tabs>
          <w:tab w:val="left" w:pos="0"/>
        </w:tabs>
      </w:pPr>
      <w:r>
        <w:t>To determine their baseline performance</w:t>
      </w:r>
      <w:r w:rsidR="00114E0E">
        <w:t>,</w:t>
      </w:r>
      <w:r>
        <w:t xml:space="preserve"> operators need to: </w:t>
      </w:r>
    </w:p>
    <w:p w14:paraId="1F5E17FE" w14:textId="77777777" w:rsidR="00026E66" w:rsidRDefault="002737EF" w:rsidP="0065356B">
      <w:pPr>
        <w:pStyle w:val="ListParagraph"/>
        <w:numPr>
          <w:ilvl w:val="0"/>
          <w:numId w:val="37"/>
        </w:numPr>
        <w:tabs>
          <w:tab w:val="left" w:pos="0"/>
        </w:tabs>
      </w:pPr>
      <w:r>
        <w:t>understand how to account for energy in the CCA scheme (</w:t>
      </w:r>
      <w:hyperlink w:anchor="_3.1._How_to" w:history="1">
        <w:r>
          <w:rPr>
            <w:rStyle w:val="Hyperlink"/>
          </w:rPr>
          <w:t>section 3.1</w:t>
        </w:r>
      </w:hyperlink>
      <w:r>
        <w:t xml:space="preserve">) </w:t>
      </w:r>
    </w:p>
    <w:p w14:paraId="77CB203F" w14:textId="77777777" w:rsidR="00026E66" w:rsidRDefault="002737EF" w:rsidP="0065356B">
      <w:pPr>
        <w:pStyle w:val="ListParagraph"/>
        <w:numPr>
          <w:ilvl w:val="0"/>
          <w:numId w:val="37"/>
        </w:numPr>
        <w:tabs>
          <w:tab w:val="left" w:pos="0"/>
        </w:tabs>
      </w:pPr>
      <w:r>
        <w:t xml:space="preserve">collect all the information on the site's energy consumption </w:t>
      </w:r>
    </w:p>
    <w:p w14:paraId="46A0FAD6" w14:textId="77777777" w:rsidR="00026E66" w:rsidRDefault="002737EF" w:rsidP="0065356B">
      <w:pPr>
        <w:pStyle w:val="ListParagraph"/>
        <w:numPr>
          <w:ilvl w:val="0"/>
          <w:numId w:val="37"/>
        </w:numPr>
        <w:tabs>
          <w:tab w:val="left" w:pos="0"/>
        </w:tabs>
      </w:pPr>
      <w:r>
        <w:t>work out how much of the site’s energy consumption is consumed within the eligible facility (</w:t>
      </w:r>
      <w:hyperlink w:anchor="_3.2._What_energy" w:history="1">
        <w:r>
          <w:rPr>
            <w:rStyle w:val="Hyperlink"/>
          </w:rPr>
          <w:t>section 3.2</w:t>
        </w:r>
      </w:hyperlink>
      <w:r>
        <w:t xml:space="preserve">) </w:t>
      </w:r>
    </w:p>
    <w:p w14:paraId="28C3B797" w14:textId="77777777" w:rsidR="00026E66" w:rsidRDefault="002737EF" w:rsidP="0065356B">
      <w:pPr>
        <w:pStyle w:val="ListParagraph"/>
        <w:numPr>
          <w:ilvl w:val="0"/>
          <w:numId w:val="37"/>
        </w:numPr>
        <w:tabs>
          <w:tab w:val="left" w:pos="0"/>
        </w:tabs>
      </w:pPr>
      <w:r>
        <w:t xml:space="preserve">remove from the eligible facility's energy consumption any fuel consumed within plant carrying out an </w:t>
      </w:r>
      <w:hyperlink w:anchor="Annex1activity" w:history="1">
        <w:r>
          <w:rPr>
            <w:rStyle w:val="Hyperlink"/>
          </w:rPr>
          <w:t>Annex 1 activity</w:t>
        </w:r>
      </w:hyperlink>
      <w:r>
        <w:t xml:space="preserve"> </w:t>
      </w:r>
    </w:p>
    <w:p w14:paraId="7766D925" w14:textId="77777777" w:rsidR="00026E66" w:rsidRPr="00073139" w:rsidRDefault="002737EF" w:rsidP="00073139">
      <w:pPr>
        <w:pStyle w:val="Heading4"/>
      </w:pPr>
      <w:r w:rsidRPr="00073139">
        <w:t xml:space="preserve">Accuracy is essential </w:t>
      </w:r>
    </w:p>
    <w:p w14:paraId="3FA5509C" w14:textId="77777777" w:rsidR="00026E66" w:rsidRDefault="002737EF" w:rsidP="00FF0098">
      <w:pPr>
        <w:tabs>
          <w:tab w:val="left" w:pos="0"/>
        </w:tabs>
      </w:pPr>
      <w:r>
        <w:t>Data from energy supply meters and throughput measurements must be sufficiently accurate to enable the baseline performance to be expressed to at least five significant figures. If this is not possible, please contact the CCA helpdesk for advice.</w:t>
      </w:r>
    </w:p>
    <w:p w14:paraId="4412475D" w14:textId="78038441" w:rsidR="00026E66" w:rsidRDefault="002737EF" w:rsidP="00FF0098">
      <w:pPr>
        <w:tabs>
          <w:tab w:val="left" w:pos="0"/>
        </w:tabs>
      </w:pPr>
      <w:r>
        <w:t>Where an operator receives bulk deliveries of fuel and direct metering of the fuel used is not available, we may consider alternative methods of calculating energy consumption.</w:t>
      </w:r>
      <w:r w:rsidR="00FC355D">
        <w:t xml:space="preserve"> </w:t>
      </w:r>
      <w:r>
        <w:t xml:space="preserve">For example, it may be possible to use tank level gauge readings, or a combination of a manufacturer’s equipment energy rating and measured run hours. The alternative measures need to provide the accuracy required and must be used consistently. </w:t>
      </w:r>
    </w:p>
    <w:p w14:paraId="0C489AB2" w14:textId="77777777" w:rsidR="00026E66" w:rsidRDefault="002737EF" w:rsidP="00FF0098">
      <w:pPr>
        <w:tabs>
          <w:tab w:val="left" w:pos="0"/>
        </w:tabs>
      </w:pPr>
      <w:hyperlink w:anchor="_4._Setting_up" w:history="1">
        <w:r>
          <w:rPr>
            <w:rStyle w:val="Hyperlink"/>
          </w:rPr>
          <w:t>Section 4</w:t>
        </w:r>
      </w:hyperlink>
      <w:r>
        <w:rPr>
          <w:u w:val="single" w:color="0077B9"/>
        </w:rPr>
        <w:t xml:space="preserve"> </w:t>
      </w:r>
      <w:r>
        <w:t xml:space="preserve">explains the additional data accuracy requirements for target facilities with relative or </w:t>
      </w:r>
      <w:hyperlink w:anchor="Novem" w:history="1">
        <w:r>
          <w:rPr>
            <w:rStyle w:val="Hyperlink"/>
          </w:rPr>
          <w:t>Novem</w:t>
        </w:r>
      </w:hyperlink>
      <w:r>
        <w:t xml:space="preserve"> targets.</w:t>
      </w:r>
    </w:p>
    <w:p w14:paraId="58636552" w14:textId="1DED9C21" w:rsidR="00026E66" w:rsidRDefault="002737EF" w:rsidP="00FF0098">
      <w:pPr>
        <w:pStyle w:val="Heading3"/>
        <w:tabs>
          <w:tab w:val="left" w:pos="0"/>
        </w:tabs>
      </w:pPr>
      <w:bookmarkStart w:id="69" w:name="_Toc95211792"/>
      <w:r>
        <w:t>3.4. How to manage energy recording and reporting when a meter fails</w:t>
      </w:r>
      <w:bookmarkEnd w:id="69"/>
      <w:r w:rsidR="00FC355D">
        <w:t xml:space="preserve"> </w:t>
      </w:r>
    </w:p>
    <w:p w14:paraId="7832DFA4" w14:textId="77777777" w:rsidR="00026E66" w:rsidRDefault="002737EF" w:rsidP="00FF0098">
      <w:pPr>
        <w:tabs>
          <w:tab w:val="left" w:pos="0"/>
        </w:tabs>
      </w:pPr>
      <w:r>
        <w:t xml:space="preserve">In general, where there are gaps in data due to the failure of a meter, it is acceptable to apply an estimation technique. </w:t>
      </w:r>
      <w:hyperlink w:anchor="_Appendix_F:_Estimation" w:history="1">
        <w:r>
          <w:rPr>
            <w:rStyle w:val="Hyperlink"/>
          </w:rPr>
          <w:t>Appendix F</w:t>
        </w:r>
      </w:hyperlink>
      <w:r>
        <w:t xml:space="preserve"> includes several estimation techniques that an operator could use if a meter fails. These estimation techniques are consistent with the principles used in previous schemes. Note: no uplift is applied to any estimated consumption figures.</w:t>
      </w:r>
    </w:p>
    <w:p w14:paraId="52BA8326" w14:textId="0DEEC9E3" w:rsidR="00073139" w:rsidRDefault="002737EF" w:rsidP="00FF0098">
      <w:pPr>
        <w:tabs>
          <w:tab w:val="left" w:pos="0"/>
        </w:tabs>
      </w:pPr>
      <w:r>
        <w:lastRenderedPageBreak/>
        <w:t>It is not acceptable for an operator to use an estimation technique where an energy supplier fails to provide invoices in time for reporting. It is good energy management practice for operators to take their own meter readings regularly to reduce the reliance on supplier invoices.</w:t>
      </w:r>
    </w:p>
    <w:p w14:paraId="1CC3C257" w14:textId="77777777" w:rsidR="00073139" w:rsidRDefault="00073139">
      <w:pPr>
        <w:suppressAutoHyphens w:val="0"/>
        <w:spacing w:before="0" w:beforeAutospacing="0" w:after="160" w:afterAutospacing="0" w:line="256" w:lineRule="auto"/>
      </w:pPr>
      <w:r>
        <w:br w:type="page"/>
      </w:r>
    </w:p>
    <w:p w14:paraId="209F329F" w14:textId="77777777" w:rsidR="00771B6F" w:rsidRDefault="002737EF" w:rsidP="00FF0098">
      <w:pPr>
        <w:pStyle w:val="Heading1"/>
        <w:tabs>
          <w:tab w:val="left" w:pos="0"/>
        </w:tabs>
      </w:pPr>
      <w:bookmarkStart w:id="70" w:name="_4._Setting_up"/>
      <w:bookmarkStart w:id="71" w:name="_Toc94718636"/>
      <w:bookmarkStart w:id="72" w:name="_Toc94088884"/>
      <w:bookmarkStart w:id="73" w:name="_Toc95211793"/>
      <w:bookmarkEnd w:id="70"/>
      <w:r>
        <w:lastRenderedPageBreak/>
        <w:t>4. Setting up a target unit</w:t>
      </w:r>
      <w:bookmarkEnd w:id="71"/>
      <w:bookmarkEnd w:id="72"/>
      <w:bookmarkEnd w:id="73"/>
    </w:p>
    <w:p w14:paraId="58462A49" w14:textId="60452271" w:rsidR="00026E66" w:rsidRDefault="00771B6F" w:rsidP="00FF0098">
      <w:pPr>
        <w:tabs>
          <w:tab w:val="left" w:pos="0"/>
        </w:tabs>
      </w:pPr>
      <w:r w:rsidRPr="00771B6F">
        <w:t>We cannot include additional facilities in an umbrella agreement after 30 June 2022. However, an existing or new operator, may transfer facilities included in an existing agreement following a change of ownership.</w:t>
      </w:r>
      <w:r w:rsidR="00FC355D">
        <w:t xml:space="preserve"> </w:t>
      </w:r>
      <w:r w:rsidRPr="00771B6F">
        <w:t>Please keep this in mind when reading this section, especially parts 4.3 and 4.4.</w:t>
      </w:r>
    </w:p>
    <w:p w14:paraId="6EA2C245" w14:textId="77777777" w:rsidR="00026E66" w:rsidRDefault="002737EF" w:rsidP="00FF0098">
      <w:pPr>
        <w:pStyle w:val="Heading2"/>
        <w:tabs>
          <w:tab w:val="left" w:pos="0"/>
        </w:tabs>
      </w:pPr>
      <w:bookmarkStart w:id="74" w:name="_Toc94718637"/>
      <w:bookmarkStart w:id="75" w:name="_Toc94088885"/>
      <w:bookmarkStart w:id="76" w:name="_Toc95211794"/>
      <w:r>
        <w:t>4.1. Target and certification periods</w:t>
      </w:r>
      <w:bookmarkEnd w:id="74"/>
      <w:bookmarkEnd w:id="75"/>
      <w:bookmarkEnd w:id="76"/>
      <w:r>
        <w:t xml:space="preserve"> </w:t>
      </w:r>
    </w:p>
    <w:p w14:paraId="7503C581" w14:textId="77777777" w:rsidR="00026E66" w:rsidRDefault="002737EF" w:rsidP="00FF0098">
      <w:pPr>
        <w:tabs>
          <w:tab w:val="left" w:pos="0"/>
        </w:tabs>
      </w:pPr>
      <w:r>
        <w:t xml:space="preserve">The scheme has five target periods. Each target period is 24 months long; beginning on 1 January in the first year and ending on 31 December in the second year. </w:t>
      </w:r>
    </w:p>
    <w:p w14:paraId="2CBCCA32" w14:textId="77777777" w:rsidR="00026E66" w:rsidRDefault="002737EF" w:rsidP="00FF0098">
      <w:pPr>
        <w:tabs>
          <w:tab w:val="left" w:pos="0"/>
        </w:tabs>
      </w:pPr>
      <w:r>
        <w:t xml:space="preserve">We set targets for each of the target periods using the relevant </w:t>
      </w:r>
      <w:hyperlink w:anchor="baseyear" w:history="1">
        <w:r>
          <w:rPr>
            <w:rStyle w:val="Hyperlink"/>
          </w:rPr>
          <w:t>base year</w:t>
        </w:r>
      </w:hyperlink>
      <w:r>
        <w:t xml:space="preserve"> performance and the sector commitments.</w:t>
      </w:r>
    </w:p>
    <w:p w14:paraId="61A59C08" w14:textId="61DE164C" w:rsidR="00026E66" w:rsidRDefault="002737EF" w:rsidP="00FF0098">
      <w:pPr>
        <w:tabs>
          <w:tab w:val="left" w:pos="0"/>
        </w:tabs>
      </w:pPr>
      <w:r>
        <w:t>The scheme comprises six certification periods, which start from 1 April 2013 and end on 31 March 2025.</w:t>
      </w:r>
      <w:r w:rsidR="00FC355D">
        <w:t xml:space="preserve"> </w:t>
      </w:r>
      <w:r>
        <w:t xml:space="preserve">The individual certification periods are defined in the agreement and follow on from each other continuously. </w:t>
      </w:r>
    </w:p>
    <w:p w14:paraId="295FBDC4" w14:textId="44F90C8B" w:rsidR="00026E66" w:rsidRDefault="002737EF" w:rsidP="00FF0098">
      <w:pPr>
        <w:tabs>
          <w:tab w:val="left" w:pos="0"/>
        </w:tabs>
      </w:pPr>
      <w:r>
        <w:t>After activation of an operator’s agreement, we will add the facilities in that agreement to the reduced rate certificate.</w:t>
      </w:r>
      <w:r w:rsidR="00FC355D">
        <w:t xml:space="preserve"> </w:t>
      </w:r>
      <w:r>
        <w:t>The operator can claim CCL discount for the energy supplied to facilities whilst these are included in the reduced rate certificate.</w:t>
      </w:r>
    </w:p>
    <w:p w14:paraId="58FFE064" w14:textId="6E45C5C9" w:rsidR="00026E66" w:rsidRDefault="002737EF" w:rsidP="00FF0098">
      <w:pPr>
        <w:tabs>
          <w:tab w:val="left" w:pos="0"/>
        </w:tabs>
      </w:pPr>
      <w:r>
        <w:t xml:space="preserve">If an operator meets its target at the end of a target period or uses the </w:t>
      </w:r>
      <w:hyperlink w:anchor="Buyout" w:history="1">
        <w:r>
          <w:rPr>
            <w:rStyle w:val="Hyperlink"/>
          </w:rPr>
          <w:t>buy-out</w:t>
        </w:r>
      </w:hyperlink>
      <w:r>
        <w:rPr>
          <w:u w:val="single" w:color="0077B9"/>
        </w:rPr>
        <w:t xml:space="preserve"> </w:t>
      </w:r>
      <w:r>
        <w:t>mechanism, we will recertify the facilities for the next certification period. Note: the sixth certification period starts after the fifth target period has ended.</w:t>
      </w:r>
      <w:r w:rsidR="00FC355D">
        <w:t xml:space="preserve"> </w:t>
      </w:r>
      <w:r>
        <w:t>We will recertify the facilities for all operators who meet their targets for the fifth target period (or pay a buy-out fee) from 01 July 2023 until 31 March 2025.</w:t>
      </w:r>
    </w:p>
    <w:p w14:paraId="6B505483" w14:textId="098C750E" w:rsidR="00026E66" w:rsidRDefault="002737EF" w:rsidP="00D446AD">
      <w:pPr>
        <w:pStyle w:val="Heading4"/>
      </w:pPr>
      <w:r>
        <w:t xml:space="preserve">New </w:t>
      </w:r>
      <w:r w:rsidR="007A7512">
        <w:t>f</w:t>
      </w:r>
      <w:r>
        <w:t xml:space="preserve">acilities in </w:t>
      </w:r>
      <w:r w:rsidR="007A7512">
        <w:t>t</w:t>
      </w:r>
      <w:r>
        <w:t xml:space="preserve">arget </w:t>
      </w:r>
      <w:r w:rsidR="007A7512">
        <w:t>p</w:t>
      </w:r>
      <w:r>
        <w:t>eriod 5</w:t>
      </w:r>
    </w:p>
    <w:p w14:paraId="03C70CEC" w14:textId="6EC9981C" w:rsidR="00026E66" w:rsidRDefault="002737EF" w:rsidP="00FF0098">
      <w:pPr>
        <w:tabs>
          <w:tab w:val="left" w:pos="0"/>
        </w:tabs>
      </w:pPr>
      <w:r>
        <w:t>We certified the new facilities added to agreements between 1 January 2021 and 31 March 2021 (during the fourth certification period) from the date when the agreement was activated, until the end of the fifth certification period (30 June 2023).</w:t>
      </w:r>
      <w:r w:rsidR="00FC355D">
        <w:t xml:space="preserve"> </w:t>
      </w:r>
      <w:r>
        <w:t>The operators of these facilities were not required to show that they had made progress towards meeting their target during the fourth certification period.</w:t>
      </w:r>
    </w:p>
    <w:p w14:paraId="0647596F" w14:textId="77777777" w:rsidR="00026E66" w:rsidRDefault="002737EF" w:rsidP="00FF0098">
      <w:pPr>
        <w:pStyle w:val="Heading2"/>
        <w:tabs>
          <w:tab w:val="left" w:pos="0"/>
        </w:tabs>
      </w:pPr>
      <w:bookmarkStart w:id="77" w:name="_4.2._Sector_commitments"/>
      <w:bookmarkStart w:id="78" w:name="_Toc94718638"/>
      <w:bookmarkStart w:id="79" w:name="_Toc94088886"/>
      <w:bookmarkStart w:id="80" w:name="_Toc95211795"/>
      <w:bookmarkEnd w:id="77"/>
      <w:r>
        <w:t>4.2. Sector commitments and target unit targets</w:t>
      </w:r>
      <w:bookmarkEnd w:id="78"/>
      <w:bookmarkEnd w:id="79"/>
      <w:bookmarkEnd w:id="80"/>
      <w:r>
        <w:t xml:space="preserve"> </w:t>
      </w:r>
    </w:p>
    <w:p w14:paraId="7A3EA46E" w14:textId="77777777" w:rsidR="00026E66" w:rsidRDefault="002737EF" w:rsidP="00FF0098">
      <w:pPr>
        <w:tabs>
          <w:tab w:val="left" w:pos="0"/>
        </w:tabs>
      </w:pPr>
      <w:r>
        <w:t xml:space="preserve">There are two types of </w:t>
      </w:r>
      <w:proofErr w:type="gramStart"/>
      <w:r>
        <w:t>target</w:t>
      </w:r>
      <w:proofErr w:type="gramEnd"/>
      <w:r>
        <w:t xml:space="preserve"> within the CCA scheme:</w:t>
      </w:r>
    </w:p>
    <w:p w14:paraId="5036F723" w14:textId="77777777" w:rsidR="00026E66" w:rsidRDefault="002737EF" w:rsidP="0065356B">
      <w:pPr>
        <w:pStyle w:val="ListParagraph"/>
        <w:numPr>
          <w:ilvl w:val="0"/>
          <w:numId w:val="2"/>
        </w:numPr>
        <w:tabs>
          <w:tab w:val="left" w:pos="0"/>
        </w:tabs>
        <w:ind w:left="0" w:firstLine="0"/>
      </w:pPr>
      <w:r>
        <w:t xml:space="preserve">a target for the sector, known as the ‘sector commitment’ </w:t>
      </w:r>
    </w:p>
    <w:p w14:paraId="7979F83D" w14:textId="4CD27EDD" w:rsidR="00026E66" w:rsidRDefault="002737EF" w:rsidP="0065356B">
      <w:pPr>
        <w:pStyle w:val="ListParagraph"/>
        <w:numPr>
          <w:ilvl w:val="0"/>
          <w:numId w:val="2"/>
        </w:numPr>
        <w:tabs>
          <w:tab w:val="left" w:pos="0"/>
        </w:tabs>
        <w:ind w:left="0" w:firstLine="0"/>
      </w:pPr>
      <w:r>
        <w:t xml:space="preserve">a target for the individual agreements, known as the ‘target unit target’ </w:t>
      </w:r>
    </w:p>
    <w:p w14:paraId="57352296" w14:textId="77777777" w:rsidR="00026E66" w:rsidRDefault="002737EF" w:rsidP="00FF0098">
      <w:pPr>
        <w:pStyle w:val="Heading3"/>
        <w:tabs>
          <w:tab w:val="left" w:pos="0"/>
        </w:tabs>
      </w:pPr>
      <w:bookmarkStart w:id="81" w:name="_Toc95211796"/>
      <w:r>
        <w:lastRenderedPageBreak/>
        <w:t>4.2.1. Sector commitment</w:t>
      </w:r>
      <w:bookmarkEnd w:id="81"/>
      <w:r>
        <w:t xml:space="preserve"> </w:t>
      </w:r>
    </w:p>
    <w:p w14:paraId="2C7CBA06" w14:textId="34B47450" w:rsidR="00026E66" w:rsidRDefault="002737EF" w:rsidP="00FF0098">
      <w:pPr>
        <w:tabs>
          <w:tab w:val="left" w:pos="0"/>
        </w:tabs>
      </w:pPr>
      <w:r>
        <w:t xml:space="preserve">The sector commitments for target periods 1 to 4 were agreed between DECC and the sector associations </w:t>
      </w:r>
      <w:r>
        <w:rPr>
          <w:color w:val="auto"/>
          <w:szCs w:val="24"/>
        </w:rPr>
        <w:t>in</w:t>
      </w:r>
      <w:r>
        <w:rPr>
          <w:color w:val="auto"/>
        </w:rPr>
        <w:t xml:space="preserve"> </w:t>
      </w:r>
      <w:r>
        <w:t>2012</w:t>
      </w:r>
      <w:r>
        <w:rPr>
          <w:color w:val="auto"/>
          <w:szCs w:val="24"/>
        </w:rPr>
        <w:t>and form</w:t>
      </w:r>
      <w:r>
        <w:rPr>
          <w:color w:val="auto"/>
        </w:rPr>
        <w:t xml:space="preserve"> the overall energy</w:t>
      </w:r>
      <w:r>
        <w:rPr>
          <w:color w:val="auto"/>
          <w:szCs w:val="24"/>
        </w:rPr>
        <w:t xml:space="preserve"> or </w:t>
      </w:r>
      <w:r>
        <w:rPr>
          <w:color w:val="auto"/>
        </w:rPr>
        <w:t xml:space="preserve">carbon efficiency </w:t>
      </w:r>
      <w:r>
        <w:rPr>
          <w:color w:val="auto"/>
          <w:szCs w:val="24"/>
        </w:rPr>
        <w:t xml:space="preserve">percentage </w:t>
      </w:r>
      <w:r>
        <w:t>improvements required until the end of 2020. New sector commitments for target period 5 were agreed between BEIS and the sector associations in 2020.</w:t>
      </w:r>
      <w:r w:rsidR="00FC355D">
        <w:t xml:space="preserve"> </w:t>
      </w:r>
    </w:p>
    <w:p w14:paraId="4B5EEAE4" w14:textId="626C119B" w:rsidR="00026E66" w:rsidRPr="00D446AD" w:rsidRDefault="002737EF" w:rsidP="00D446AD">
      <w:pPr>
        <w:tabs>
          <w:tab w:val="left" w:pos="0"/>
        </w:tabs>
      </w:pPr>
      <w:r>
        <w:t>The sector commitments for each target period are included in schedule 5 of each sector association’s umbrella agreements.</w:t>
      </w:r>
      <w:r w:rsidR="00FC355D">
        <w:t xml:space="preserve"> </w:t>
      </w:r>
      <w:r>
        <w:t>Umbrella agreements for each sector are available to view/download from the CCA webpages:</w:t>
      </w:r>
      <w:hyperlink r:id="rId74" w:history="1">
        <w:r>
          <w:t xml:space="preserve"> </w:t>
        </w:r>
      </w:hyperlink>
      <w:r>
        <w:t xml:space="preserve"> </w:t>
      </w:r>
      <w:hyperlink r:id="rId75" w:history="1">
        <w:r>
          <w:rPr>
            <w:rStyle w:val="Hyperlink"/>
          </w:rPr>
          <w:t>Climate change agreements: umbrella agreements</w:t>
        </w:r>
      </w:hyperlink>
      <w:hyperlink r:id="rId76" w:history="1">
        <w:r>
          <w:t>.</w:t>
        </w:r>
      </w:hyperlink>
      <w:r>
        <w:t xml:space="preserve"> </w:t>
      </w:r>
    </w:p>
    <w:p w14:paraId="136612A9" w14:textId="77777777" w:rsidR="00026E66" w:rsidRDefault="002737EF" w:rsidP="00FF0098">
      <w:pPr>
        <w:pStyle w:val="Heading3"/>
        <w:tabs>
          <w:tab w:val="left" w:pos="0"/>
        </w:tabs>
      </w:pPr>
      <w:bookmarkStart w:id="82" w:name="_Toc95211797"/>
      <w:r>
        <w:t>4.2.2. Target unit targets</w:t>
      </w:r>
      <w:bookmarkEnd w:id="82"/>
      <w:r>
        <w:t xml:space="preserve"> </w:t>
      </w:r>
    </w:p>
    <w:p w14:paraId="4DE68B1A" w14:textId="097DC50C" w:rsidR="00026E66" w:rsidRDefault="002737EF" w:rsidP="00FF0098">
      <w:pPr>
        <w:tabs>
          <w:tab w:val="left" w:pos="0"/>
        </w:tabs>
      </w:pPr>
      <w:r>
        <w:t>For operators with existing agreements, targets for TP1-TP4 were agreed during the 2012/13 target setting period.</w:t>
      </w:r>
      <w:r w:rsidR="00FC355D">
        <w:t xml:space="preserve"> </w:t>
      </w:r>
      <w:r>
        <w:t>For operators with existing agreements, targets for TP5 were agreed during the 2020/21 target setting period.</w:t>
      </w:r>
    </w:p>
    <w:p w14:paraId="207336A5" w14:textId="5F115833" w:rsidR="00026E66" w:rsidRDefault="002737EF" w:rsidP="00FF0098">
      <w:pPr>
        <w:tabs>
          <w:tab w:val="left" w:pos="0"/>
        </w:tabs>
      </w:pPr>
      <w:r>
        <w:t xml:space="preserve">We set targets for new entrants using the standard target setting method outlined in </w:t>
      </w:r>
      <w:hyperlink w:anchor="_4.4._Target_setting" w:history="1">
        <w:r>
          <w:rPr>
            <w:rStyle w:val="Hyperlink"/>
          </w:rPr>
          <w:t>section 4.4</w:t>
        </w:r>
      </w:hyperlink>
      <w:r>
        <w:t>.</w:t>
      </w:r>
      <w:r w:rsidR="00FC355D">
        <w:t xml:space="preserve"> </w:t>
      </w:r>
    </w:p>
    <w:p w14:paraId="7F041561" w14:textId="77777777" w:rsidR="00026E66" w:rsidRPr="00771B6F" w:rsidRDefault="002737EF" w:rsidP="00FF0098">
      <w:pPr>
        <w:pStyle w:val="Heading4"/>
        <w:tabs>
          <w:tab w:val="left" w:pos="0"/>
        </w:tabs>
      </w:pPr>
      <w:r w:rsidRPr="00771B6F">
        <w:t xml:space="preserve">Types of targets </w:t>
      </w:r>
    </w:p>
    <w:p w14:paraId="5AB52857" w14:textId="77777777" w:rsidR="00026E66" w:rsidRDefault="002737EF" w:rsidP="00FF0098">
      <w:pPr>
        <w:tabs>
          <w:tab w:val="left" w:pos="0"/>
        </w:tabs>
        <w:ind w:right="182"/>
      </w:pPr>
      <w:r>
        <w:rPr>
          <w:color w:val="auto"/>
          <w:szCs w:val="24"/>
        </w:rPr>
        <w:t>Targets can be expressed in terms of energy (kWh, MWh, GJ or PJ) or carbon (</w:t>
      </w:r>
      <w:proofErr w:type="spellStart"/>
      <w:r>
        <w:rPr>
          <w:color w:val="auto"/>
          <w:szCs w:val="24"/>
        </w:rPr>
        <w:t>kgC</w:t>
      </w:r>
      <w:proofErr w:type="spellEnd"/>
      <w:r>
        <w:rPr>
          <w:color w:val="auto"/>
          <w:szCs w:val="24"/>
        </w:rPr>
        <w:t xml:space="preserve">) and as either </w:t>
      </w:r>
      <w:hyperlink w:anchor="Absolutetarget" w:history="1">
        <w:r>
          <w:rPr>
            <w:rStyle w:val="Hyperlink"/>
            <w:szCs w:val="24"/>
          </w:rPr>
          <w:t>absolute</w:t>
        </w:r>
      </w:hyperlink>
      <w:r>
        <w:rPr>
          <w:color w:val="auto"/>
          <w:szCs w:val="24"/>
          <w:u w:val="single" w:color="0077B9"/>
        </w:rPr>
        <w:t xml:space="preserve"> </w:t>
      </w:r>
      <w:r>
        <w:rPr>
          <w:color w:val="auto"/>
          <w:szCs w:val="24"/>
        </w:rPr>
        <w:t>or</w:t>
      </w:r>
      <w:hyperlink w:anchor="Relativetarget" w:history="1">
        <w:r>
          <w:rPr>
            <w:rStyle w:val="Hyperlink"/>
            <w:szCs w:val="24"/>
          </w:rPr>
          <w:t xml:space="preserve"> relative</w:t>
        </w:r>
      </w:hyperlink>
      <w:r>
        <w:rPr>
          <w:color w:val="auto"/>
          <w:szCs w:val="24"/>
        </w:rPr>
        <w:t xml:space="preserve">. Four types of </w:t>
      </w:r>
      <w:proofErr w:type="gramStart"/>
      <w:r>
        <w:rPr>
          <w:color w:val="auto"/>
          <w:szCs w:val="24"/>
        </w:rPr>
        <w:t>target</w:t>
      </w:r>
      <w:proofErr w:type="gramEnd"/>
      <w:r>
        <w:rPr>
          <w:color w:val="auto"/>
          <w:szCs w:val="24"/>
        </w:rPr>
        <w:t xml:space="preserve"> are therefore possible in the CCA scheme. </w:t>
      </w:r>
    </w:p>
    <w:p w14:paraId="72D9866A" w14:textId="77777777" w:rsidR="00026E66" w:rsidRDefault="002737EF" w:rsidP="0065356B">
      <w:pPr>
        <w:numPr>
          <w:ilvl w:val="0"/>
          <w:numId w:val="3"/>
        </w:numPr>
        <w:tabs>
          <w:tab w:val="left" w:pos="0"/>
        </w:tabs>
        <w:spacing w:after="84" w:line="244" w:lineRule="auto"/>
        <w:ind w:left="0" w:right="182"/>
      </w:pPr>
      <w:r>
        <w:rPr>
          <w:color w:val="auto"/>
          <w:szCs w:val="24"/>
        </w:rPr>
        <w:t>relative energy (for example, kWh/m</w:t>
      </w:r>
      <w:r>
        <w:rPr>
          <w:color w:val="auto"/>
          <w:szCs w:val="24"/>
          <w:vertAlign w:val="superscript"/>
        </w:rPr>
        <w:t>2</w:t>
      </w:r>
      <w:r>
        <w:rPr>
          <w:color w:val="auto"/>
          <w:szCs w:val="24"/>
        </w:rPr>
        <w:t xml:space="preserve">) </w:t>
      </w:r>
    </w:p>
    <w:p w14:paraId="1E069788" w14:textId="77777777" w:rsidR="00026E66" w:rsidRDefault="002737EF" w:rsidP="0065356B">
      <w:pPr>
        <w:numPr>
          <w:ilvl w:val="0"/>
          <w:numId w:val="3"/>
        </w:numPr>
        <w:tabs>
          <w:tab w:val="left" w:pos="0"/>
        </w:tabs>
        <w:spacing w:after="74" w:line="244" w:lineRule="auto"/>
        <w:ind w:left="0" w:right="182"/>
        <w:rPr>
          <w:color w:val="auto"/>
          <w:szCs w:val="24"/>
        </w:rPr>
      </w:pPr>
      <w:r>
        <w:rPr>
          <w:color w:val="auto"/>
          <w:szCs w:val="24"/>
        </w:rPr>
        <w:t xml:space="preserve">absolute energy (for example, MWh) </w:t>
      </w:r>
    </w:p>
    <w:p w14:paraId="7DEFFC2B" w14:textId="77777777" w:rsidR="00026E66" w:rsidRDefault="002737EF" w:rsidP="0065356B">
      <w:pPr>
        <w:numPr>
          <w:ilvl w:val="0"/>
          <w:numId w:val="3"/>
        </w:numPr>
        <w:tabs>
          <w:tab w:val="left" w:pos="0"/>
        </w:tabs>
        <w:spacing w:after="79" w:line="244" w:lineRule="auto"/>
        <w:ind w:left="0" w:right="182"/>
        <w:rPr>
          <w:color w:val="auto"/>
          <w:szCs w:val="24"/>
        </w:rPr>
      </w:pPr>
      <w:r>
        <w:rPr>
          <w:color w:val="auto"/>
          <w:szCs w:val="24"/>
        </w:rPr>
        <w:t xml:space="preserve">relative carbon (for example, </w:t>
      </w:r>
      <w:proofErr w:type="spellStart"/>
      <w:r>
        <w:rPr>
          <w:color w:val="auto"/>
          <w:szCs w:val="24"/>
        </w:rPr>
        <w:t>kgC</w:t>
      </w:r>
      <w:proofErr w:type="spellEnd"/>
      <w:r>
        <w:rPr>
          <w:color w:val="auto"/>
          <w:szCs w:val="24"/>
        </w:rPr>
        <w:t xml:space="preserve">/tonne) </w:t>
      </w:r>
    </w:p>
    <w:p w14:paraId="7AA9ED90" w14:textId="77777777" w:rsidR="00026E66" w:rsidRDefault="002737EF" w:rsidP="0065356B">
      <w:pPr>
        <w:numPr>
          <w:ilvl w:val="0"/>
          <w:numId w:val="3"/>
        </w:numPr>
        <w:tabs>
          <w:tab w:val="left" w:pos="0"/>
        </w:tabs>
        <w:spacing w:after="152" w:line="244" w:lineRule="auto"/>
        <w:ind w:left="0" w:right="182"/>
        <w:rPr>
          <w:color w:val="auto"/>
          <w:szCs w:val="24"/>
          <w:lang w:val="fr-FR"/>
        </w:rPr>
      </w:pPr>
      <w:proofErr w:type="spellStart"/>
      <w:proofErr w:type="gramStart"/>
      <w:r>
        <w:rPr>
          <w:color w:val="auto"/>
          <w:szCs w:val="24"/>
          <w:lang w:val="fr-FR"/>
        </w:rPr>
        <w:t>absolute</w:t>
      </w:r>
      <w:proofErr w:type="spellEnd"/>
      <w:proofErr w:type="gramEnd"/>
      <w:r>
        <w:rPr>
          <w:color w:val="auto"/>
          <w:szCs w:val="24"/>
          <w:lang w:val="fr-FR"/>
        </w:rPr>
        <w:t xml:space="preserve"> </w:t>
      </w:r>
      <w:proofErr w:type="spellStart"/>
      <w:r>
        <w:rPr>
          <w:color w:val="auto"/>
          <w:szCs w:val="24"/>
          <w:lang w:val="fr-FR"/>
        </w:rPr>
        <w:t>carbon</w:t>
      </w:r>
      <w:proofErr w:type="spellEnd"/>
      <w:r>
        <w:rPr>
          <w:color w:val="auto"/>
          <w:szCs w:val="24"/>
          <w:lang w:val="fr-FR"/>
        </w:rPr>
        <w:t xml:space="preserve"> (for </w:t>
      </w:r>
      <w:proofErr w:type="spellStart"/>
      <w:r>
        <w:rPr>
          <w:color w:val="auto"/>
          <w:szCs w:val="24"/>
          <w:lang w:val="fr-FR"/>
        </w:rPr>
        <w:t>example</w:t>
      </w:r>
      <w:proofErr w:type="spellEnd"/>
      <w:r>
        <w:rPr>
          <w:color w:val="auto"/>
          <w:szCs w:val="24"/>
          <w:lang w:val="fr-FR"/>
        </w:rPr>
        <w:t xml:space="preserve">, tonnes C) </w:t>
      </w:r>
    </w:p>
    <w:p w14:paraId="640B9589" w14:textId="77777777" w:rsidR="00026E66" w:rsidRDefault="002737EF" w:rsidP="00FF0098">
      <w:pPr>
        <w:tabs>
          <w:tab w:val="left" w:pos="0"/>
        </w:tabs>
        <w:ind w:right="182"/>
      </w:pPr>
      <w:r>
        <w:rPr>
          <w:color w:val="auto"/>
          <w:szCs w:val="24"/>
        </w:rPr>
        <w:t xml:space="preserve">These are described below, with examples of how they apply for an </w:t>
      </w:r>
      <w:hyperlink w:anchor="Eligibleprocess" w:history="1">
        <w:r>
          <w:rPr>
            <w:rStyle w:val="Hyperlink"/>
            <w:szCs w:val="24"/>
          </w:rPr>
          <w:t>eligible process</w:t>
        </w:r>
      </w:hyperlink>
      <w:r>
        <w:rPr>
          <w:color w:val="auto"/>
          <w:szCs w:val="24"/>
        </w:rPr>
        <w:t xml:space="preserve">. </w:t>
      </w:r>
    </w:p>
    <w:p w14:paraId="2B749C16" w14:textId="1B52B71F" w:rsidR="00026E66" w:rsidRDefault="002737EF" w:rsidP="00FF0098">
      <w:pPr>
        <w:tabs>
          <w:tab w:val="left" w:pos="0"/>
        </w:tabs>
        <w:ind w:right="182"/>
      </w:pPr>
      <w:r>
        <w:rPr>
          <w:color w:val="auto"/>
        </w:rPr>
        <w:t xml:space="preserve">An </w:t>
      </w:r>
      <w:r>
        <w:rPr>
          <w:b/>
          <w:color w:val="auto"/>
        </w:rPr>
        <w:t xml:space="preserve">absolute target </w:t>
      </w:r>
      <w:r>
        <w:rPr>
          <w:color w:val="auto"/>
        </w:rPr>
        <w:t>is a target to reduce the total energy consumed within the target facility</w:t>
      </w:r>
      <w:r>
        <w:rPr>
          <w:color w:val="auto"/>
          <w:szCs w:val="24"/>
        </w:rPr>
        <w:t xml:space="preserve"> for</w:t>
      </w:r>
      <w:r>
        <w:rPr>
          <w:color w:val="auto"/>
        </w:rPr>
        <w:t xml:space="preserve"> each target period</w:t>
      </w:r>
      <w:r>
        <w:rPr>
          <w:color w:val="auto"/>
          <w:szCs w:val="24"/>
        </w:rPr>
        <w:t xml:space="preserve">. For example, for an absolute </w:t>
      </w:r>
      <w:r>
        <w:rPr>
          <w:color w:val="auto"/>
        </w:rPr>
        <w:t>energy</w:t>
      </w:r>
      <w:r>
        <w:rPr>
          <w:color w:val="auto"/>
          <w:szCs w:val="24"/>
        </w:rPr>
        <w:t xml:space="preserve"> target, a target facility used 1,000 MWh of electricity in its base year. Its target is a 5% reduction over the next target period (covering two years). </w:t>
      </w:r>
      <w:r w:rsidR="00E955A3">
        <w:rPr>
          <w:color w:val="auto"/>
          <w:szCs w:val="24"/>
        </w:rPr>
        <w:t>Therefore,</w:t>
      </w:r>
      <w:r>
        <w:rPr>
          <w:color w:val="auto"/>
          <w:szCs w:val="24"/>
        </w:rPr>
        <w:t xml:space="preserve"> the target facility’s target is 1000 x 2 x 95% = 1,900 MWh of electricity consumption for that target period. </w:t>
      </w:r>
    </w:p>
    <w:p w14:paraId="3394C060" w14:textId="77777777" w:rsidR="00026E66" w:rsidRDefault="002737EF" w:rsidP="00D446AD">
      <w:pPr>
        <w:tabs>
          <w:tab w:val="left" w:pos="0"/>
        </w:tabs>
        <w:ind w:right="-22"/>
      </w:pPr>
      <w:r>
        <w:rPr>
          <w:color w:val="auto"/>
        </w:rPr>
        <w:t xml:space="preserve">A </w:t>
      </w:r>
      <w:r>
        <w:rPr>
          <w:b/>
          <w:color w:val="auto"/>
        </w:rPr>
        <w:t xml:space="preserve">relative target </w:t>
      </w:r>
      <w:r>
        <w:rPr>
          <w:color w:val="auto"/>
        </w:rPr>
        <w:t xml:space="preserve">is a target to reduce the energy used to produce each unit of throughput in the target facility. A relative target can be calculated </w:t>
      </w:r>
      <w:r>
        <w:rPr>
          <w:color w:val="auto"/>
          <w:szCs w:val="24"/>
        </w:rPr>
        <w:t xml:space="preserve">for both carbon and energy </w:t>
      </w:r>
      <w:r>
        <w:rPr>
          <w:color w:val="auto"/>
        </w:rPr>
        <w:t>in two ways</w:t>
      </w:r>
      <w:r>
        <w:rPr>
          <w:color w:val="auto"/>
          <w:szCs w:val="24"/>
        </w:rPr>
        <w:t>.</w:t>
      </w:r>
      <w:r>
        <w:rPr>
          <w:color w:val="auto"/>
        </w:rPr>
        <w:t xml:space="preserve"> </w:t>
      </w:r>
    </w:p>
    <w:p w14:paraId="6CA4E82E" w14:textId="77777777" w:rsidR="00026E66" w:rsidRDefault="002737EF" w:rsidP="0065356B">
      <w:pPr>
        <w:pStyle w:val="ListParagraph"/>
        <w:numPr>
          <w:ilvl w:val="0"/>
          <w:numId w:val="38"/>
        </w:numPr>
        <w:tabs>
          <w:tab w:val="left" w:pos="0"/>
        </w:tabs>
        <w:spacing w:after="72" w:line="244" w:lineRule="auto"/>
        <w:ind w:right="182"/>
      </w:pPr>
      <w:r w:rsidRPr="00E955A3">
        <w:rPr>
          <w:b/>
          <w:szCs w:val="24"/>
        </w:rPr>
        <w:t xml:space="preserve">Standard relative target </w:t>
      </w:r>
      <w:r w:rsidRPr="00E955A3">
        <w:rPr>
          <w:szCs w:val="24"/>
        </w:rPr>
        <w:t xml:space="preserve">– where there is only one product at a facility or group of facilities that makes up a target unit. For example, a product is created which </w:t>
      </w:r>
      <w:r w:rsidRPr="00E955A3">
        <w:rPr>
          <w:szCs w:val="24"/>
        </w:rPr>
        <w:lastRenderedPageBreak/>
        <w:t>used an average 50 kWh of fuel per m</w:t>
      </w:r>
      <w:r w:rsidRPr="00E955A3">
        <w:rPr>
          <w:szCs w:val="24"/>
          <w:vertAlign w:val="superscript"/>
        </w:rPr>
        <w:t xml:space="preserve">2 </w:t>
      </w:r>
      <w:r w:rsidRPr="00E955A3">
        <w:rPr>
          <w:szCs w:val="24"/>
        </w:rPr>
        <w:t>of throughput in its base year. Its target is a 5% reduction over the next target period. Therefore, the target is an average 47.5 kWh per m</w:t>
      </w:r>
      <w:r w:rsidRPr="00E955A3">
        <w:rPr>
          <w:szCs w:val="24"/>
          <w:vertAlign w:val="superscript"/>
        </w:rPr>
        <w:t xml:space="preserve">2 </w:t>
      </w:r>
      <w:r w:rsidRPr="00E955A3">
        <w:rPr>
          <w:szCs w:val="24"/>
        </w:rPr>
        <w:t xml:space="preserve">for the two year target period. </w:t>
      </w:r>
    </w:p>
    <w:p w14:paraId="0A1DBD85" w14:textId="47B68361" w:rsidR="00026E66" w:rsidRPr="00D446AD" w:rsidRDefault="002737EF" w:rsidP="0065356B">
      <w:pPr>
        <w:pStyle w:val="ListParagraph"/>
        <w:numPr>
          <w:ilvl w:val="0"/>
          <w:numId w:val="38"/>
        </w:numPr>
        <w:tabs>
          <w:tab w:val="left" w:pos="0"/>
        </w:tabs>
        <w:spacing w:after="0"/>
        <w:ind w:right="182"/>
      </w:pPr>
      <w:r w:rsidRPr="00E955A3">
        <w:rPr>
          <w:b/>
        </w:rPr>
        <w:t xml:space="preserve">Ratio relative (Novem) target </w:t>
      </w:r>
      <w:r>
        <w:t xml:space="preserve">– </w:t>
      </w:r>
      <w:r w:rsidRPr="00E955A3">
        <w:rPr>
          <w:szCs w:val="24"/>
        </w:rPr>
        <w:t xml:space="preserve">calculated using the </w:t>
      </w:r>
      <w:hyperlink w:anchor="Novem" w:history="1">
        <w:r w:rsidRPr="00E955A3">
          <w:rPr>
            <w:rStyle w:val="Hyperlink"/>
            <w:szCs w:val="24"/>
          </w:rPr>
          <w:t>Novem</w:t>
        </w:r>
      </w:hyperlink>
      <w:r w:rsidRPr="00E955A3">
        <w:rPr>
          <w:szCs w:val="24"/>
          <w:u w:val="single" w:color="0077B9"/>
        </w:rPr>
        <w:t xml:space="preserve"> </w:t>
      </w:r>
      <w:r w:rsidRPr="00E955A3">
        <w:rPr>
          <w:szCs w:val="24"/>
        </w:rPr>
        <w:t>method. This is used when a target unit produces</w:t>
      </w:r>
      <w:r>
        <w:t xml:space="preserve"> two or more products </w:t>
      </w:r>
      <w:r w:rsidRPr="00E955A3">
        <w:rPr>
          <w:szCs w:val="24"/>
        </w:rPr>
        <w:t>which have</w:t>
      </w:r>
      <w:r>
        <w:t xml:space="preserve"> very different energy intensities</w:t>
      </w:r>
      <w:r w:rsidRPr="00E955A3">
        <w:rPr>
          <w:szCs w:val="24"/>
        </w:rPr>
        <w:t xml:space="preserve"> of production</w:t>
      </w:r>
      <w:r>
        <w:t xml:space="preserve"> or whose </w:t>
      </w:r>
      <w:r w:rsidRPr="00E955A3">
        <w:rPr>
          <w:szCs w:val="24"/>
        </w:rPr>
        <w:t>throughput is</w:t>
      </w:r>
      <w:r>
        <w:t xml:space="preserve"> measured in </w:t>
      </w:r>
      <w:r w:rsidRPr="00E955A3">
        <w:rPr>
          <w:szCs w:val="24"/>
        </w:rPr>
        <w:t>very different units (for example, m</w:t>
      </w:r>
      <w:r w:rsidRPr="00E955A3">
        <w:rPr>
          <w:szCs w:val="24"/>
          <w:vertAlign w:val="superscript"/>
        </w:rPr>
        <w:t xml:space="preserve">2 </w:t>
      </w:r>
      <w:r w:rsidRPr="00E955A3">
        <w:rPr>
          <w:szCs w:val="24"/>
        </w:rPr>
        <w:t>and litres). The target is</w:t>
      </w:r>
      <w:r w:rsidRPr="00E955A3">
        <w:t xml:space="preserve"> stated as a ratio of the target energy consumption to the </w:t>
      </w:r>
      <w:hyperlink w:anchor="Referenceenergy" w:history="1">
        <w:r>
          <w:rPr>
            <w:rStyle w:val="Hyperlink"/>
          </w:rPr>
          <w:t>reference energy</w:t>
        </w:r>
      </w:hyperlink>
      <w:r w:rsidRPr="00E955A3">
        <w:rPr>
          <w:szCs w:val="24"/>
        </w:rPr>
        <w:t>. This is the</w:t>
      </w:r>
      <w:r w:rsidRPr="00E955A3">
        <w:t xml:space="preserve"> energy that would have been consumed in the base year for the same level of throughput and product mix </w:t>
      </w:r>
      <w:r w:rsidRPr="00E955A3">
        <w:rPr>
          <w:szCs w:val="24"/>
        </w:rPr>
        <w:t>as</w:t>
      </w:r>
      <w:r w:rsidRPr="00E955A3">
        <w:t xml:space="preserve"> the target period.</w:t>
      </w:r>
      <w:r w:rsidRPr="00E955A3">
        <w:rPr>
          <w:szCs w:val="24"/>
        </w:rPr>
        <w:t xml:space="preserve"> </w:t>
      </w:r>
      <w:r w:rsidRPr="00E955A3">
        <w:t xml:space="preserve">The Novem method corrects </w:t>
      </w:r>
      <w:r w:rsidRPr="00E955A3">
        <w:rPr>
          <w:szCs w:val="24"/>
        </w:rPr>
        <w:t>for any</w:t>
      </w:r>
      <w:r w:rsidRPr="00E955A3">
        <w:t xml:space="preserve"> distortions created by a changing mix of throughput by generating one common output. See </w:t>
      </w:r>
      <w:hyperlink w:anchor="_4.4.3._How_to" w:history="1">
        <w:r>
          <w:rPr>
            <w:rStyle w:val="Hyperlink"/>
          </w:rPr>
          <w:t>section 4.4.3</w:t>
        </w:r>
      </w:hyperlink>
      <w:r w:rsidRPr="00E955A3">
        <w:t xml:space="preserve"> for how to calculate a Novem target.</w:t>
      </w:r>
      <w:r w:rsidRPr="00E955A3">
        <w:rPr>
          <w:szCs w:val="24"/>
        </w:rPr>
        <w:t xml:space="preserve"> </w:t>
      </w:r>
    </w:p>
    <w:p w14:paraId="31FC4B9E" w14:textId="77777777" w:rsidR="00026E66" w:rsidRPr="00771B6F" w:rsidRDefault="002737EF" w:rsidP="00FF0098">
      <w:pPr>
        <w:pStyle w:val="Heading4"/>
        <w:tabs>
          <w:tab w:val="left" w:pos="0"/>
        </w:tabs>
      </w:pPr>
      <w:r w:rsidRPr="00771B6F">
        <w:t xml:space="preserve">Expressing the target </w:t>
      </w:r>
    </w:p>
    <w:p w14:paraId="599EB20E" w14:textId="48FB5C58" w:rsidR="00026E66" w:rsidRDefault="002737EF" w:rsidP="00FF0098">
      <w:pPr>
        <w:tabs>
          <w:tab w:val="left" w:pos="0"/>
        </w:tabs>
        <w:ind w:right="182"/>
      </w:pPr>
      <w:r>
        <w:rPr>
          <w:color w:val="auto"/>
          <w:szCs w:val="24"/>
        </w:rPr>
        <w:t xml:space="preserve">For energy targets, kWh is the most commonly used unit because it is the unit most frequently used </w:t>
      </w:r>
      <w:r>
        <w:rPr>
          <w:color w:val="auto"/>
        </w:rPr>
        <w:t xml:space="preserve">in </w:t>
      </w:r>
      <w:r>
        <w:rPr>
          <w:color w:val="auto"/>
          <w:szCs w:val="24"/>
        </w:rPr>
        <w:t>metering the main types</w:t>
      </w:r>
      <w:r>
        <w:rPr>
          <w:color w:val="auto"/>
        </w:rPr>
        <w:t xml:space="preserve"> of energy </w:t>
      </w:r>
      <w:r>
        <w:rPr>
          <w:color w:val="auto"/>
          <w:szCs w:val="24"/>
        </w:rPr>
        <w:t xml:space="preserve">(electricity and gas). </w:t>
      </w:r>
    </w:p>
    <w:p w14:paraId="3821BBCC" w14:textId="77777777" w:rsidR="00026E66" w:rsidRDefault="002737EF" w:rsidP="00FF0098">
      <w:pPr>
        <w:tabs>
          <w:tab w:val="left" w:pos="0"/>
        </w:tabs>
        <w:ind w:right="182"/>
      </w:pPr>
      <w:r>
        <w:rPr>
          <w:color w:val="auto"/>
        </w:rPr>
        <w:t xml:space="preserve">Target unit targets must </w:t>
      </w:r>
      <w:r>
        <w:rPr>
          <w:color w:val="auto"/>
          <w:szCs w:val="24"/>
        </w:rPr>
        <w:t>be</w:t>
      </w:r>
      <w:r>
        <w:rPr>
          <w:color w:val="auto"/>
        </w:rPr>
        <w:t xml:space="preserve"> the same </w:t>
      </w:r>
      <w:r>
        <w:rPr>
          <w:color w:val="auto"/>
          <w:szCs w:val="24"/>
        </w:rPr>
        <w:t>type (carbon or energy)</w:t>
      </w:r>
      <w:r>
        <w:rPr>
          <w:color w:val="auto"/>
        </w:rPr>
        <w:t xml:space="preserve"> as the sector commitment (or </w:t>
      </w:r>
      <w:r>
        <w:rPr>
          <w:color w:val="auto"/>
          <w:szCs w:val="24"/>
        </w:rPr>
        <w:t>sub- sector</w:t>
      </w:r>
      <w:r>
        <w:rPr>
          <w:color w:val="auto"/>
        </w:rPr>
        <w:t xml:space="preserve"> commitment where a sector has </w:t>
      </w:r>
      <w:r>
        <w:rPr>
          <w:color w:val="auto"/>
          <w:szCs w:val="24"/>
        </w:rPr>
        <w:t>sub-sectors). They can differ from the sector commitment in so far as targets for target units in the same sector can be either relative or absolute.</w:t>
      </w:r>
      <w:r>
        <w:rPr>
          <w:color w:val="auto"/>
        </w:rPr>
        <w:t xml:space="preserve"> For example, where a sector commitment is </w:t>
      </w:r>
      <w:r>
        <w:rPr>
          <w:color w:val="auto"/>
          <w:szCs w:val="24"/>
        </w:rPr>
        <w:t>in</w:t>
      </w:r>
      <w:r>
        <w:rPr>
          <w:color w:val="auto"/>
        </w:rPr>
        <w:t xml:space="preserve"> relative energy </w:t>
      </w:r>
      <w:r>
        <w:rPr>
          <w:color w:val="auto"/>
          <w:szCs w:val="24"/>
        </w:rPr>
        <w:t>terms</w:t>
      </w:r>
      <w:r>
        <w:rPr>
          <w:color w:val="auto"/>
        </w:rPr>
        <w:t>, a new entrant can choose either a relative energy or an absolute energy target but can't choose a carbon target.</w:t>
      </w:r>
      <w:r>
        <w:rPr>
          <w:color w:val="auto"/>
          <w:szCs w:val="24"/>
        </w:rPr>
        <w:t xml:space="preserve"> </w:t>
      </w:r>
    </w:p>
    <w:p w14:paraId="683926E8" w14:textId="4D8AE785" w:rsidR="00026E66" w:rsidRPr="00D446AD" w:rsidRDefault="002737EF" w:rsidP="00D446AD">
      <w:pPr>
        <w:tabs>
          <w:tab w:val="left" w:pos="0"/>
        </w:tabs>
        <w:spacing w:after="0"/>
        <w:ind w:right="182"/>
      </w:pPr>
      <w:r>
        <w:rPr>
          <w:color w:val="auto"/>
          <w:szCs w:val="24"/>
        </w:rPr>
        <w:t>Targets are</w:t>
      </w:r>
      <w:r>
        <w:rPr>
          <w:color w:val="auto"/>
        </w:rPr>
        <w:t xml:space="preserve"> expressed as percentage improvement </w:t>
      </w:r>
      <w:r>
        <w:rPr>
          <w:color w:val="auto"/>
          <w:szCs w:val="24"/>
        </w:rPr>
        <w:t>and</w:t>
      </w:r>
      <w:r>
        <w:rPr>
          <w:color w:val="auto"/>
        </w:rPr>
        <w:t xml:space="preserve"> numerical </w:t>
      </w:r>
      <w:r>
        <w:rPr>
          <w:color w:val="auto"/>
          <w:szCs w:val="24"/>
        </w:rPr>
        <w:t>targets</w:t>
      </w:r>
      <w:r>
        <w:rPr>
          <w:color w:val="auto"/>
        </w:rPr>
        <w:t xml:space="preserve">. A percentage improvement target for a target period is the target percentage improvement in performance for that target period relative to performance in the base year. Applying the percentage improvement target </w:t>
      </w:r>
      <w:r>
        <w:rPr>
          <w:color w:val="auto"/>
          <w:szCs w:val="24"/>
        </w:rPr>
        <w:t xml:space="preserve">for a target period </w:t>
      </w:r>
      <w:r>
        <w:rPr>
          <w:color w:val="auto"/>
        </w:rPr>
        <w:t>to the base year performance will derive the numerical target</w:t>
      </w:r>
      <w:r>
        <w:rPr>
          <w:color w:val="auto"/>
          <w:szCs w:val="24"/>
        </w:rPr>
        <w:t xml:space="preserve"> for that target period. </w:t>
      </w:r>
      <w:r>
        <w:rPr>
          <w:color w:val="auto"/>
        </w:rPr>
        <w:t xml:space="preserve">For example, a target unit has a base year </w:t>
      </w:r>
      <w:hyperlink w:anchor="SEC" w:history="1">
        <w:r>
          <w:rPr>
            <w:rStyle w:val="Hyperlink"/>
          </w:rPr>
          <w:t>specific energy consumption (SEC)</w:t>
        </w:r>
      </w:hyperlink>
      <w:r>
        <w:rPr>
          <w:color w:val="auto"/>
        </w:rPr>
        <w:t xml:space="preserve"> performance of 20.000 kWh/kg and the percentage improvement target for the target period is 10</w:t>
      </w:r>
      <w:r>
        <w:rPr>
          <w:color w:val="auto"/>
          <w:szCs w:val="24"/>
        </w:rPr>
        <w:t>%. In this example, the</w:t>
      </w:r>
      <w:r>
        <w:rPr>
          <w:color w:val="auto"/>
        </w:rPr>
        <w:t xml:space="preserve"> numerical target </w:t>
      </w:r>
      <w:r>
        <w:rPr>
          <w:color w:val="auto"/>
          <w:szCs w:val="24"/>
        </w:rPr>
        <w:t xml:space="preserve">for that target period </w:t>
      </w:r>
      <w:r>
        <w:rPr>
          <w:color w:val="auto"/>
        </w:rPr>
        <w:t>is 18.000 kWh/kg</w:t>
      </w:r>
      <w:r>
        <w:rPr>
          <w:color w:val="auto"/>
          <w:szCs w:val="24"/>
        </w:rPr>
        <w:t>. The base year performance is required for all target units to enable a numerical target to be calculated</w:t>
      </w:r>
      <w:r>
        <w:rPr>
          <w:color w:val="auto"/>
        </w:rPr>
        <w:t xml:space="preserve">. </w:t>
      </w:r>
    </w:p>
    <w:p w14:paraId="739687C4" w14:textId="77777777" w:rsidR="00026E66" w:rsidRPr="00771B6F" w:rsidRDefault="002737EF" w:rsidP="00FF0098">
      <w:pPr>
        <w:pStyle w:val="Heading4"/>
        <w:tabs>
          <w:tab w:val="left" w:pos="0"/>
        </w:tabs>
      </w:pPr>
      <w:r w:rsidRPr="00771B6F">
        <w:t xml:space="preserve">Data accuracy </w:t>
      </w:r>
    </w:p>
    <w:p w14:paraId="70E36EAC" w14:textId="16A02848" w:rsidR="00026E66" w:rsidRDefault="002737EF" w:rsidP="00FF0098">
      <w:pPr>
        <w:tabs>
          <w:tab w:val="left" w:pos="0"/>
        </w:tabs>
        <w:ind w:right="182"/>
      </w:pPr>
      <w:r>
        <w:rPr>
          <w:color w:val="auto"/>
          <w:szCs w:val="24"/>
        </w:rPr>
        <w:t xml:space="preserve">The base year and target </w:t>
      </w:r>
      <w:r>
        <w:rPr>
          <w:color w:val="auto"/>
        </w:rPr>
        <w:t xml:space="preserve">SECs </w:t>
      </w:r>
      <w:r>
        <w:rPr>
          <w:color w:val="auto"/>
          <w:szCs w:val="24"/>
        </w:rPr>
        <w:t>determined</w:t>
      </w:r>
      <w:r>
        <w:rPr>
          <w:color w:val="auto"/>
        </w:rPr>
        <w:t xml:space="preserve"> for </w:t>
      </w:r>
      <w:r>
        <w:rPr>
          <w:color w:val="auto"/>
          <w:szCs w:val="24"/>
        </w:rPr>
        <w:t xml:space="preserve">a </w:t>
      </w:r>
      <w:r>
        <w:rPr>
          <w:color w:val="auto"/>
        </w:rPr>
        <w:t xml:space="preserve">relative </w:t>
      </w:r>
      <w:r>
        <w:rPr>
          <w:color w:val="auto"/>
          <w:szCs w:val="24"/>
        </w:rPr>
        <w:t xml:space="preserve">energy target unit (non-Novem) from energy and throughput data need to </w:t>
      </w:r>
      <w:r>
        <w:rPr>
          <w:color w:val="auto"/>
        </w:rPr>
        <w:t>have at least five significant figures</w:t>
      </w:r>
      <w:r>
        <w:rPr>
          <w:color w:val="auto"/>
          <w:szCs w:val="24"/>
        </w:rPr>
        <w:t xml:space="preserve"> within the constraint that they are only recorded to 3 decimal places.</w:t>
      </w:r>
      <w:r w:rsidR="00FC355D">
        <w:rPr>
          <w:color w:val="auto"/>
          <w:szCs w:val="24"/>
        </w:rPr>
        <w:t xml:space="preserve"> </w:t>
      </w:r>
      <w:r>
        <w:rPr>
          <w:color w:val="auto"/>
          <w:szCs w:val="24"/>
        </w:rPr>
        <w:t>Therefore, the value of the base year and target</w:t>
      </w:r>
      <w:r>
        <w:rPr>
          <w:color w:val="auto"/>
        </w:rPr>
        <w:t xml:space="preserve"> SECs must be greater than 10.000.</w:t>
      </w:r>
      <w:r>
        <w:rPr>
          <w:color w:val="auto"/>
          <w:szCs w:val="24"/>
        </w:rPr>
        <w:t xml:space="preserve"> This can</w:t>
      </w:r>
      <w:r>
        <w:rPr>
          <w:color w:val="auto"/>
        </w:rPr>
        <w:t xml:space="preserve"> be achieved by adjusting the throughput units (while retaining meter accuracy</w:t>
      </w:r>
      <w:r>
        <w:rPr>
          <w:color w:val="auto"/>
          <w:szCs w:val="24"/>
        </w:rPr>
        <w:t xml:space="preserve">), essentially by moving the decimal point in the throughput measurement. For instance, an SEC can be determined for </w:t>
      </w:r>
      <w:r>
        <w:rPr>
          <w:color w:val="auto"/>
        </w:rPr>
        <w:t xml:space="preserve">a throughput </w:t>
      </w:r>
      <w:r>
        <w:rPr>
          <w:color w:val="auto"/>
          <w:szCs w:val="24"/>
        </w:rPr>
        <w:t xml:space="preserve">unit of a </w:t>
      </w:r>
      <w:r>
        <w:rPr>
          <w:color w:val="auto"/>
        </w:rPr>
        <w:t>tonne</w:t>
      </w:r>
      <w:r>
        <w:rPr>
          <w:color w:val="auto"/>
          <w:szCs w:val="24"/>
        </w:rPr>
        <w:t xml:space="preserve"> but use data from a meter which measures in kg units. </w:t>
      </w:r>
    </w:p>
    <w:p w14:paraId="1FA54E5F" w14:textId="1B73D523" w:rsidR="00771B6F" w:rsidRPr="00D446AD" w:rsidRDefault="002737EF" w:rsidP="00FF0098">
      <w:pPr>
        <w:tabs>
          <w:tab w:val="left" w:pos="0"/>
        </w:tabs>
        <w:spacing w:after="0"/>
        <w:ind w:right="182"/>
        <w:rPr>
          <w:color w:val="auto"/>
          <w:szCs w:val="24"/>
        </w:rPr>
      </w:pPr>
      <w:r>
        <w:rPr>
          <w:color w:val="auto"/>
        </w:rPr>
        <w:lastRenderedPageBreak/>
        <w:t xml:space="preserve">When meter readings for energy and throughput provide an accuracy of at least five significant figures, </w:t>
      </w:r>
      <w:r>
        <w:rPr>
          <w:color w:val="auto"/>
          <w:szCs w:val="24"/>
        </w:rPr>
        <w:t>a</w:t>
      </w:r>
      <w:r>
        <w:rPr>
          <w:color w:val="auto"/>
        </w:rPr>
        <w:t xml:space="preserve"> percentage target will be accurate to three decimal places. If meter readings cannot provide five significant figures, we may allow a tolerance on percentage targets for a relative energy target </w:t>
      </w:r>
      <w:r>
        <w:rPr>
          <w:color w:val="auto"/>
          <w:szCs w:val="24"/>
        </w:rPr>
        <w:t xml:space="preserve">unit </w:t>
      </w:r>
      <w:r>
        <w:rPr>
          <w:color w:val="auto"/>
        </w:rPr>
        <w:t xml:space="preserve">(non-Novem) up to a limit of 0.1 percentage points of the target percentage. For example, if the target is 6%, then using a 0.1% tolerance would mean that the TU would meet their target if they </w:t>
      </w:r>
      <w:proofErr w:type="gramStart"/>
      <w:r>
        <w:rPr>
          <w:color w:val="auto"/>
        </w:rPr>
        <w:t>achieve</w:t>
      </w:r>
      <w:proofErr w:type="gramEnd"/>
      <w:r>
        <w:rPr>
          <w:color w:val="auto"/>
        </w:rPr>
        <w:t xml:space="preserve"> 5.9%.</w:t>
      </w:r>
    </w:p>
    <w:p w14:paraId="5737745F" w14:textId="77777777" w:rsidR="00026E66" w:rsidRPr="00771B6F" w:rsidRDefault="002737EF" w:rsidP="00FF0098">
      <w:pPr>
        <w:pStyle w:val="Heading4"/>
        <w:tabs>
          <w:tab w:val="left" w:pos="0"/>
        </w:tabs>
      </w:pPr>
      <w:r w:rsidRPr="00771B6F">
        <w:t xml:space="preserve">Selecting a target type </w:t>
      </w:r>
    </w:p>
    <w:p w14:paraId="05784B10" w14:textId="77777777" w:rsidR="00026E66" w:rsidRDefault="002737EF" w:rsidP="00FF0098">
      <w:pPr>
        <w:tabs>
          <w:tab w:val="left" w:pos="0"/>
        </w:tabs>
        <w:spacing w:after="161" w:line="235" w:lineRule="auto"/>
        <w:ind w:right="289"/>
        <w:jc w:val="both"/>
      </w:pPr>
      <w:r>
        <w:rPr>
          <w:color w:val="auto"/>
          <w:szCs w:val="24"/>
        </w:rPr>
        <w:t>Operators should work</w:t>
      </w:r>
      <w:r>
        <w:rPr>
          <w:color w:val="auto"/>
        </w:rPr>
        <w:t xml:space="preserve"> with their sector association</w:t>
      </w:r>
      <w:r>
        <w:rPr>
          <w:color w:val="auto"/>
          <w:szCs w:val="24"/>
        </w:rPr>
        <w:t xml:space="preserve"> to work out what type of target is available and appropriate for their operation. Once the underlying agreement is signed, it won't be </w:t>
      </w:r>
      <w:r>
        <w:rPr>
          <w:color w:val="auto"/>
        </w:rPr>
        <w:t xml:space="preserve">possible to </w:t>
      </w:r>
      <w:r>
        <w:rPr>
          <w:color w:val="auto"/>
          <w:szCs w:val="24"/>
        </w:rPr>
        <w:t xml:space="preserve">request a </w:t>
      </w:r>
      <w:r>
        <w:rPr>
          <w:color w:val="auto"/>
        </w:rPr>
        <w:t xml:space="preserve">change </w:t>
      </w:r>
      <w:r>
        <w:rPr>
          <w:color w:val="auto"/>
          <w:szCs w:val="24"/>
        </w:rPr>
        <w:t xml:space="preserve">to the type of </w:t>
      </w:r>
      <w:r>
        <w:rPr>
          <w:color w:val="auto"/>
        </w:rPr>
        <w:t xml:space="preserve">target </w:t>
      </w:r>
      <w:r>
        <w:rPr>
          <w:color w:val="auto"/>
          <w:szCs w:val="24"/>
        </w:rPr>
        <w:t>except as detailed in the paragraph below. It is therefore essential for operators to consider the best target currency for their operation before signing their underlying</w:t>
      </w:r>
      <w:r>
        <w:rPr>
          <w:color w:val="auto"/>
        </w:rPr>
        <w:t xml:space="preserve"> agreement</w:t>
      </w:r>
      <w:r>
        <w:rPr>
          <w:color w:val="auto"/>
          <w:szCs w:val="24"/>
        </w:rPr>
        <w:t xml:space="preserve">. </w:t>
      </w:r>
    </w:p>
    <w:p w14:paraId="72E46386" w14:textId="77777777" w:rsidR="00026E66" w:rsidRDefault="002737EF" w:rsidP="00FF0098">
      <w:pPr>
        <w:tabs>
          <w:tab w:val="left" w:pos="0"/>
        </w:tabs>
        <w:ind w:right="182"/>
      </w:pPr>
      <w:r>
        <w:rPr>
          <w:color w:val="auto"/>
          <w:szCs w:val="24"/>
        </w:rPr>
        <w:t>Operators</w:t>
      </w:r>
      <w:r>
        <w:rPr>
          <w:color w:val="auto"/>
        </w:rPr>
        <w:t xml:space="preserve"> with </w:t>
      </w:r>
      <w:r>
        <w:rPr>
          <w:color w:val="auto"/>
          <w:szCs w:val="24"/>
        </w:rPr>
        <w:t>standard relative targets (for example, SEC targets) may change to Novem targets, as both are relative targets. However, there are requirements an operator should consider before initiating</w:t>
      </w:r>
      <w:r>
        <w:rPr>
          <w:color w:val="auto"/>
        </w:rPr>
        <w:t xml:space="preserve"> a change </w:t>
      </w:r>
      <w:r>
        <w:rPr>
          <w:color w:val="auto"/>
          <w:szCs w:val="24"/>
        </w:rPr>
        <w:t>to</w:t>
      </w:r>
      <w:r>
        <w:rPr>
          <w:color w:val="auto"/>
        </w:rPr>
        <w:t xml:space="preserve"> a Novem target.</w:t>
      </w:r>
      <w:r>
        <w:rPr>
          <w:color w:val="auto"/>
          <w:szCs w:val="24"/>
        </w:rPr>
        <w:t xml:space="preserve"> </w:t>
      </w:r>
      <w:r>
        <w:rPr>
          <w:color w:val="auto"/>
        </w:rPr>
        <w:t xml:space="preserve">To </w:t>
      </w:r>
      <w:r>
        <w:rPr>
          <w:color w:val="auto"/>
          <w:szCs w:val="24"/>
        </w:rPr>
        <w:t xml:space="preserve">be able to </w:t>
      </w:r>
      <w:r>
        <w:rPr>
          <w:color w:val="auto"/>
        </w:rPr>
        <w:t xml:space="preserve">use a Novem target, </w:t>
      </w:r>
      <w:r>
        <w:rPr>
          <w:color w:val="auto"/>
          <w:szCs w:val="24"/>
        </w:rPr>
        <w:t>the</w:t>
      </w:r>
      <w:r>
        <w:rPr>
          <w:color w:val="auto"/>
        </w:rPr>
        <w:t xml:space="preserve"> operator needs to be able to determine the base year SECs for each </w:t>
      </w:r>
      <w:r>
        <w:rPr>
          <w:color w:val="auto"/>
          <w:szCs w:val="24"/>
        </w:rPr>
        <w:t>separate</w:t>
      </w:r>
      <w:r>
        <w:rPr>
          <w:color w:val="auto"/>
        </w:rPr>
        <w:t xml:space="preserve"> product (either through sub-metering or appropriate calculation) and to report the level of production of each separate product at future target periods.</w:t>
      </w:r>
      <w:r>
        <w:rPr>
          <w:color w:val="auto"/>
          <w:szCs w:val="24"/>
        </w:rPr>
        <w:t xml:space="preserve"> </w:t>
      </w:r>
    </w:p>
    <w:p w14:paraId="0EC48C94" w14:textId="45C45D88" w:rsidR="00026E66" w:rsidRPr="00D446AD" w:rsidRDefault="002737EF" w:rsidP="00FF0098">
      <w:pPr>
        <w:tabs>
          <w:tab w:val="left" w:pos="0"/>
        </w:tabs>
        <w:spacing w:after="0"/>
        <w:ind w:right="182"/>
      </w:pPr>
      <w:r>
        <w:rPr>
          <w:color w:val="auto"/>
          <w:szCs w:val="24"/>
        </w:rPr>
        <w:t>If a range of products</w:t>
      </w:r>
      <w:r>
        <w:rPr>
          <w:color w:val="auto"/>
        </w:rPr>
        <w:t xml:space="preserve"> with </w:t>
      </w:r>
      <w:r>
        <w:rPr>
          <w:color w:val="auto"/>
          <w:szCs w:val="24"/>
        </w:rPr>
        <w:t xml:space="preserve">significantly different energy intensities could be produced, then a </w:t>
      </w:r>
      <w:r>
        <w:rPr>
          <w:color w:val="auto"/>
        </w:rPr>
        <w:t xml:space="preserve">change </w:t>
      </w:r>
      <w:r>
        <w:rPr>
          <w:color w:val="auto"/>
          <w:szCs w:val="24"/>
        </w:rPr>
        <w:t>in</w:t>
      </w:r>
      <w:r>
        <w:rPr>
          <w:color w:val="auto"/>
        </w:rPr>
        <w:t xml:space="preserve"> the </w:t>
      </w:r>
      <w:r>
        <w:rPr>
          <w:color w:val="auto"/>
          <w:szCs w:val="24"/>
        </w:rPr>
        <w:t xml:space="preserve">production mix could have a major impact on </w:t>
      </w:r>
      <w:r>
        <w:rPr>
          <w:color w:val="auto"/>
        </w:rPr>
        <w:t xml:space="preserve">target period </w:t>
      </w:r>
      <w:r>
        <w:rPr>
          <w:color w:val="auto"/>
          <w:szCs w:val="24"/>
        </w:rPr>
        <w:t>performance. Such changes are</w:t>
      </w:r>
      <w:r>
        <w:rPr>
          <w:color w:val="auto"/>
        </w:rPr>
        <w:t xml:space="preserve"> not </w:t>
      </w:r>
      <w:r>
        <w:rPr>
          <w:color w:val="auto"/>
          <w:szCs w:val="24"/>
        </w:rPr>
        <w:t>a structural</w:t>
      </w:r>
      <w:r>
        <w:rPr>
          <w:color w:val="auto"/>
        </w:rPr>
        <w:t xml:space="preserve"> change </w:t>
      </w:r>
      <w:r>
        <w:rPr>
          <w:color w:val="auto"/>
          <w:szCs w:val="24"/>
        </w:rPr>
        <w:t xml:space="preserve">and do not trigger a change in base year data however they are a reason to consider a Novem target. See Section 7.9 (other types of variation) on how to change a Novem target. </w:t>
      </w:r>
    </w:p>
    <w:p w14:paraId="04D82E4B" w14:textId="48AE0795" w:rsidR="00771B6F" w:rsidRDefault="002737EF" w:rsidP="00FF0098">
      <w:pPr>
        <w:tabs>
          <w:tab w:val="left" w:pos="0"/>
        </w:tabs>
        <w:spacing w:after="0"/>
        <w:ind w:right="182"/>
      </w:pPr>
      <w:r>
        <w:rPr>
          <w:color w:val="auto"/>
          <w:szCs w:val="24"/>
        </w:rPr>
        <w:t>The</w:t>
      </w:r>
      <w:r>
        <w:rPr>
          <w:color w:val="auto"/>
        </w:rPr>
        <w:t xml:space="preserve"> target period </w:t>
      </w:r>
      <w:r>
        <w:rPr>
          <w:color w:val="auto"/>
          <w:szCs w:val="24"/>
        </w:rPr>
        <w:t>5 target type specified in</w:t>
      </w:r>
      <w:r>
        <w:rPr>
          <w:color w:val="auto"/>
        </w:rPr>
        <w:t xml:space="preserve"> an </w:t>
      </w:r>
      <w:r>
        <w:rPr>
          <w:color w:val="auto"/>
          <w:szCs w:val="24"/>
        </w:rPr>
        <w:t>underlying</w:t>
      </w:r>
      <w:r>
        <w:rPr>
          <w:color w:val="auto"/>
        </w:rPr>
        <w:t xml:space="preserve"> agreement </w:t>
      </w:r>
      <w:r>
        <w:rPr>
          <w:color w:val="auto"/>
          <w:szCs w:val="24"/>
        </w:rPr>
        <w:t>must be</w:t>
      </w:r>
      <w:r>
        <w:rPr>
          <w:color w:val="auto"/>
        </w:rPr>
        <w:t xml:space="preserve"> the same </w:t>
      </w:r>
      <w:r>
        <w:rPr>
          <w:color w:val="auto"/>
          <w:szCs w:val="24"/>
        </w:rPr>
        <w:t xml:space="preserve">as the specified </w:t>
      </w:r>
      <w:r>
        <w:rPr>
          <w:color w:val="auto"/>
        </w:rPr>
        <w:t xml:space="preserve">target type for target period </w:t>
      </w:r>
      <w:r>
        <w:rPr>
          <w:color w:val="auto"/>
          <w:szCs w:val="24"/>
        </w:rPr>
        <w:t>1 to 4</w:t>
      </w:r>
      <w:r>
        <w:rPr>
          <w:color w:val="auto"/>
        </w:rPr>
        <w:t xml:space="preserve">. However, </w:t>
      </w:r>
      <w:r>
        <w:rPr>
          <w:color w:val="auto"/>
          <w:szCs w:val="24"/>
        </w:rPr>
        <w:t>for</w:t>
      </w:r>
      <w:r>
        <w:rPr>
          <w:color w:val="auto"/>
        </w:rPr>
        <w:t xml:space="preserve"> target </w:t>
      </w:r>
      <w:r>
        <w:rPr>
          <w:color w:val="auto"/>
          <w:szCs w:val="24"/>
        </w:rPr>
        <w:t>units that have</w:t>
      </w:r>
      <w:r>
        <w:rPr>
          <w:color w:val="auto"/>
        </w:rPr>
        <w:t xml:space="preserve"> target period 4 </w:t>
      </w:r>
      <w:r>
        <w:rPr>
          <w:color w:val="auto"/>
          <w:szCs w:val="24"/>
        </w:rPr>
        <w:t>and 5 targets the underlying</w:t>
      </w:r>
      <w:r>
        <w:rPr>
          <w:color w:val="auto"/>
        </w:rPr>
        <w:t xml:space="preserve"> agreements</w:t>
      </w:r>
      <w:r>
        <w:rPr>
          <w:color w:val="auto"/>
          <w:szCs w:val="24"/>
        </w:rPr>
        <w:t xml:space="preserve"> can be amended</w:t>
      </w:r>
      <w:r>
        <w:rPr>
          <w:color w:val="auto"/>
        </w:rPr>
        <w:t xml:space="preserve"> during </w:t>
      </w:r>
      <w:r>
        <w:rPr>
          <w:color w:val="auto"/>
          <w:szCs w:val="24"/>
        </w:rPr>
        <w:t xml:space="preserve">an amendment window which opens from </w:t>
      </w:r>
      <w:r>
        <w:rPr>
          <w:color w:val="auto"/>
        </w:rPr>
        <w:t xml:space="preserve">1 July 2021 </w:t>
      </w:r>
      <w:r>
        <w:rPr>
          <w:color w:val="auto"/>
          <w:szCs w:val="24"/>
        </w:rPr>
        <w:t>to</w:t>
      </w:r>
      <w:r>
        <w:rPr>
          <w:color w:val="auto"/>
        </w:rPr>
        <w:t xml:space="preserve"> 30 September 2021</w:t>
      </w:r>
      <w:r>
        <w:rPr>
          <w:color w:val="auto"/>
          <w:szCs w:val="24"/>
        </w:rPr>
        <w:t xml:space="preserve"> to allow Operators of target units with </w:t>
      </w:r>
      <w:r>
        <w:rPr>
          <w:color w:val="auto"/>
        </w:rPr>
        <w:t xml:space="preserve">an absolute </w:t>
      </w:r>
      <w:r>
        <w:rPr>
          <w:color w:val="auto"/>
          <w:szCs w:val="24"/>
        </w:rPr>
        <w:t xml:space="preserve">target to vary their target period 5 target to a relative or </w:t>
      </w:r>
      <w:r>
        <w:rPr>
          <w:color w:val="auto"/>
        </w:rPr>
        <w:t xml:space="preserve">relative </w:t>
      </w:r>
      <w:r>
        <w:rPr>
          <w:color w:val="auto"/>
          <w:szCs w:val="24"/>
        </w:rPr>
        <w:t xml:space="preserve">Novem </w:t>
      </w:r>
      <w:r>
        <w:rPr>
          <w:color w:val="auto"/>
        </w:rPr>
        <w:t>target</w:t>
      </w:r>
      <w:r>
        <w:rPr>
          <w:color w:val="auto"/>
          <w:szCs w:val="24"/>
        </w:rPr>
        <w:t>.</w:t>
      </w:r>
      <w:r w:rsidR="00FC355D">
        <w:rPr>
          <w:color w:val="auto"/>
          <w:szCs w:val="24"/>
        </w:rPr>
        <w:t xml:space="preserve"> </w:t>
      </w:r>
      <w:r>
        <w:t>No such changes can be requested outside of this amendments window.</w:t>
      </w:r>
    </w:p>
    <w:p w14:paraId="4CC45A76" w14:textId="77777777" w:rsidR="00026E66" w:rsidRDefault="002737EF" w:rsidP="00FF0098">
      <w:pPr>
        <w:pStyle w:val="Heading4"/>
        <w:tabs>
          <w:tab w:val="left" w:pos="0"/>
        </w:tabs>
      </w:pPr>
      <w:r>
        <w:t xml:space="preserve">Throughput conversion factors </w:t>
      </w:r>
    </w:p>
    <w:p w14:paraId="23CF3D7B" w14:textId="77777777" w:rsidR="00026E66" w:rsidRDefault="002737EF" w:rsidP="00FF0098">
      <w:pPr>
        <w:tabs>
          <w:tab w:val="left" w:pos="0"/>
        </w:tabs>
        <w:ind w:right="182"/>
        <w:rPr>
          <w:color w:val="auto"/>
        </w:rPr>
      </w:pPr>
      <w:r>
        <w:rPr>
          <w:color w:val="auto"/>
        </w:rPr>
        <w:t xml:space="preserve">Conversion factors should be used where units of throughput differ between the sector commitment and the target unit target. Operators will need to be able to justify throughput conversion factors using past data. </w:t>
      </w:r>
    </w:p>
    <w:p w14:paraId="381993F1" w14:textId="38875F8A" w:rsidR="00026E66" w:rsidRPr="00D446AD" w:rsidRDefault="002737EF" w:rsidP="00D446AD">
      <w:pPr>
        <w:tabs>
          <w:tab w:val="left" w:pos="0"/>
        </w:tabs>
        <w:spacing w:after="0"/>
        <w:ind w:right="182"/>
      </w:pPr>
      <w:r>
        <w:rPr>
          <w:color w:val="auto"/>
        </w:rPr>
        <w:t>The relationship between the target unit throughput measure and sector commitment throughput measure should be auditable. For example, if throughput is measured in kg of aluminium for the sector commitment and m</w:t>
      </w:r>
      <w:r>
        <w:rPr>
          <w:color w:val="auto"/>
          <w:vertAlign w:val="superscript"/>
        </w:rPr>
        <w:t xml:space="preserve">2 </w:t>
      </w:r>
      <w:r>
        <w:rPr>
          <w:color w:val="auto"/>
        </w:rPr>
        <w:t xml:space="preserve">of aluminium for the target unit, records of </w:t>
      </w:r>
      <w:r>
        <w:rPr>
          <w:color w:val="auto"/>
        </w:rPr>
        <w:lastRenderedPageBreak/>
        <w:t xml:space="preserve">the thickness of the sheet produced will have to be kept at the target unit so that there is an auditable trail supporting the conversion factor used. </w:t>
      </w:r>
    </w:p>
    <w:p w14:paraId="484D60A3" w14:textId="77777777" w:rsidR="00026E66" w:rsidRPr="00771B6F" w:rsidRDefault="002737EF" w:rsidP="00FF0098">
      <w:pPr>
        <w:pStyle w:val="Heading4"/>
        <w:tabs>
          <w:tab w:val="left" w:pos="0"/>
        </w:tabs>
      </w:pPr>
      <w:r w:rsidRPr="00771B6F">
        <w:t xml:space="preserve">Choosing a throughput measure </w:t>
      </w:r>
    </w:p>
    <w:p w14:paraId="5B81301E" w14:textId="77777777" w:rsidR="00026E66" w:rsidRDefault="002737EF" w:rsidP="00FF0098">
      <w:pPr>
        <w:tabs>
          <w:tab w:val="left" w:pos="0"/>
        </w:tabs>
        <w:spacing w:after="11"/>
        <w:ind w:right="182"/>
      </w:pPr>
      <w:r>
        <w:rPr>
          <w:color w:val="auto"/>
        </w:rPr>
        <w:t xml:space="preserve">The </w:t>
      </w:r>
      <w:r>
        <w:rPr>
          <w:color w:val="auto"/>
          <w:szCs w:val="24"/>
        </w:rPr>
        <w:t xml:space="preserve">appropriate </w:t>
      </w:r>
      <w:r>
        <w:rPr>
          <w:color w:val="auto"/>
        </w:rPr>
        <w:t xml:space="preserve">choice of </w:t>
      </w:r>
      <w:r>
        <w:rPr>
          <w:color w:val="auto"/>
          <w:szCs w:val="24"/>
        </w:rPr>
        <w:t xml:space="preserve">a </w:t>
      </w:r>
      <w:r>
        <w:rPr>
          <w:color w:val="auto"/>
        </w:rPr>
        <w:t xml:space="preserve">throughout measure is </w:t>
      </w:r>
      <w:r>
        <w:rPr>
          <w:color w:val="auto"/>
          <w:szCs w:val="24"/>
        </w:rPr>
        <w:t>key</w:t>
      </w:r>
      <w:r>
        <w:rPr>
          <w:color w:val="auto"/>
        </w:rPr>
        <w:t xml:space="preserve"> to </w:t>
      </w:r>
      <w:r>
        <w:rPr>
          <w:color w:val="auto"/>
          <w:szCs w:val="24"/>
        </w:rPr>
        <w:t xml:space="preserve">tracking </w:t>
      </w:r>
      <w:r>
        <w:rPr>
          <w:color w:val="auto"/>
        </w:rPr>
        <w:t>changes in energy efficiency</w:t>
      </w:r>
      <w:r>
        <w:rPr>
          <w:color w:val="auto"/>
          <w:szCs w:val="24"/>
        </w:rPr>
        <w:t xml:space="preserve">. </w:t>
      </w:r>
    </w:p>
    <w:p w14:paraId="061FE61D" w14:textId="77777777" w:rsidR="00026E66" w:rsidRDefault="002737EF" w:rsidP="00E955A3">
      <w:r>
        <w:t xml:space="preserve">The choice of throughput is important for relative targets as it features in the performance metric (such as kWh/kg) and is relied upon to determine whether the levels of activity at a facility have changed and the absolute target should be adjusted. </w:t>
      </w:r>
    </w:p>
    <w:p w14:paraId="10CB99A4" w14:textId="77777777" w:rsidR="00026E66" w:rsidRDefault="002737EF" w:rsidP="00E955A3">
      <w:r>
        <w:t>The best throughput measure for a site is usually a physical output measure, such as mass (kg or tonnes) or volume (litres or m</w:t>
      </w:r>
      <w:r>
        <w:rPr>
          <w:vertAlign w:val="superscript"/>
        </w:rPr>
        <w:t>3</w:t>
      </w:r>
      <w:r>
        <w:t xml:space="preserve">) of product. Other measures of activity that operators can demonstrate drive energy consumption may also be considered. </w:t>
      </w:r>
    </w:p>
    <w:p w14:paraId="6DD1D768" w14:textId="77777777" w:rsidR="00026E66" w:rsidRDefault="002737EF" w:rsidP="00FF0098">
      <w:pPr>
        <w:tabs>
          <w:tab w:val="left" w:pos="0"/>
        </w:tabs>
        <w:ind w:right="182"/>
      </w:pPr>
      <w:r>
        <w:rPr>
          <w:color w:val="auto"/>
        </w:rPr>
        <w:t>We discourage capacity as a throughput measure</w:t>
      </w:r>
      <w:r>
        <w:rPr>
          <w:color w:val="auto"/>
          <w:szCs w:val="24"/>
        </w:rPr>
        <w:t xml:space="preserve"> (for example</w:t>
      </w:r>
      <w:r>
        <w:rPr>
          <w:color w:val="auto"/>
        </w:rPr>
        <w:t xml:space="preserve"> building volume, building area</w:t>
      </w:r>
      <w:r>
        <w:rPr>
          <w:color w:val="auto"/>
          <w:szCs w:val="24"/>
        </w:rPr>
        <w:t xml:space="preserve"> or</w:t>
      </w:r>
      <w:r>
        <w:rPr>
          <w:color w:val="auto"/>
        </w:rPr>
        <w:t xml:space="preserve"> machine capacity</w:t>
      </w:r>
      <w:r>
        <w:rPr>
          <w:color w:val="auto"/>
          <w:szCs w:val="24"/>
        </w:rPr>
        <w:t>).</w:t>
      </w:r>
      <w:r>
        <w:rPr>
          <w:color w:val="auto"/>
        </w:rPr>
        <w:t xml:space="preserve"> While capacity may be in some way associated with energy consumption, it rarely drives it</w:t>
      </w:r>
      <w:r>
        <w:rPr>
          <w:color w:val="auto"/>
          <w:szCs w:val="24"/>
        </w:rPr>
        <w:t>, as</w:t>
      </w:r>
      <w:r>
        <w:rPr>
          <w:color w:val="auto"/>
        </w:rPr>
        <w:t xml:space="preserve"> energy consumption </w:t>
      </w:r>
      <w:r>
        <w:rPr>
          <w:color w:val="auto"/>
          <w:szCs w:val="24"/>
        </w:rPr>
        <w:t>may</w:t>
      </w:r>
      <w:r>
        <w:rPr>
          <w:color w:val="auto"/>
        </w:rPr>
        <w:t xml:space="preserve"> increase or decrease </w:t>
      </w:r>
      <w:r>
        <w:rPr>
          <w:color w:val="auto"/>
          <w:szCs w:val="24"/>
        </w:rPr>
        <w:t>as a result</w:t>
      </w:r>
      <w:r>
        <w:rPr>
          <w:color w:val="auto"/>
        </w:rPr>
        <w:t xml:space="preserve"> of the utilisation of the capacity</w:t>
      </w:r>
      <w:r>
        <w:rPr>
          <w:color w:val="auto"/>
          <w:szCs w:val="24"/>
        </w:rPr>
        <w:t>, rather than as a result</w:t>
      </w:r>
      <w:r>
        <w:rPr>
          <w:color w:val="auto"/>
        </w:rPr>
        <w:t xml:space="preserve"> of the presence of capacity on a site. In the absence of a physical output measure that can be shown to drive energy consumption, robust measures of capacity utilisation may be considered.</w:t>
      </w:r>
      <w:r>
        <w:rPr>
          <w:color w:val="auto"/>
          <w:szCs w:val="24"/>
        </w:rPr>
        <w:t xml:space="preserve"> </w:t>
      </w:r>
    </w:p>
    <w:p w14:paraId="26419EC7" w14:textId="193D4C08" w:rsidR="00026E66" w:rsidRDefault="002737EF" w:rsidP="00FF0098">
      <w:pPr>
        <w:tabs>
          <w:tab w:val="left" w:pos="0"/>
        </w:tabs>
        <w:ind w:right="182"/>
      </w:pPr>
      <w:r>
        <w:rPr>
          <w:color w:val="auto"/>
        </w:rPr>
        <w:t xml:space="preserve">The throughput measure chosen should be descriptive enough </w:t>
      </w:r>
      <w:r>
        <w:rPr>
          <w:color w:val="auto"/>
          <w:szCs w:val="24"/>
        </w:rPr>
        <w:t xml:space="preserve">so as </w:t>
      </w:r>
      <w:r>
        <w:rPr>
          <w:color w:val="auto"/>
        </w:rPr>
        <w:t xml:space="preserve">to avoid doubt about what it </w:t>
      </w:r>
      <w:r>
        <w:rPr>
          <w:color w:val="auto"/>
          <w:szCs w:val="24"/>
        </w:rPr>
        <w:t xml:space="preserve">actually </w:t>
      </w:r>
      <w:r>
        <w:rPr>
          <w:color w:val="auto"/>
        </w:rPr>
        <w:t xml:space="preserve">is. For example, where product </w:t>
      </w:r>
      <w:r>
        <w:rPr>
          <w:color w:val="auto"/>
          <w:szCs w:val="24"/>
        </w:rPr>
        <w:t>mass is</w:t>
      </w:r>
      <w:r>
        <w:rPr>
          <w:color w:val="auto"/>
        </w:rPr>
        <w:t xml:space="preserve"> measured at various places in a production </w:t>
      </w:r>
      <w:r>
        <w:rPr>
          <w:color w:val="auto"/>
          <w:szCs w:val="24"/>
        </w:rPr>
        <w:t>sequence</w:t>
      </w:r>
      <w:r>
        <w:rPr>
          <w:color w:val="auto"/>
        </w:rPr>
        <w:t xml:space="preserve">, it must be clear </w:t>
      </w:r>
      <w:r>
        <w:rPr>
          <w:color w:val="auto"/>
          <w:szCs w:val="24"/>
        </w:rPr>
        <w:t>in</w:t>
      </w:r>
      <w:r>
        <w:rPr>
          <w:color w:val="auto"/>
        </w:rPr>
        <w:t xml:space="preserve"> the throughput measure description where this measure is </w:t>
      </w:r>
      <w:r>
        <w:rPr>
          <w:color w:val="auto"/>
          <w:szCs w:val="24"/>
        </w:rPr>
        <w:t>actually made</w:t>
      </w:r>
      <w:r>
        <w:rPr>
          <w:color w:val="auto"/>
        </w:rPr>
        <w:t xml:space="preserve"> (</w:t>
      </w:r>
      <w:r w:rsidR="007A7512">
        <w:rPr>
          <w:color w:val="auto"/>
        </w:rPr>
        <w:t>for example</w:t>
      </w:r>
      <w:r>
        <w:rPr>
          <w:color w:val="auto"/>
        </w:rPr>
        <w:t xml:space="preserve">, 'tonnes packed' rather than just 'tonnes'). </w:t>
      </w:r>
    </w:p>
    <w:p w14:paraId="2A400B4E" w14:textId="24A30675" w:rsidR="00026E66" w:rsidRPr="00D446AD" w:rsidRDefault="002737EF" w:rsidP="00D446AD">
      <w:pPr>
        <w:tabs>
          <w:tab w:val="left" w:pos="0"/>
        </w:tabs>
        <w:spacing w:after="0"/>
        <w:ind w:right="182"/>
      </w:pPr>
      <w:r>
        <w:rPr>
          <w:color w:val="auto"/>
        </w:rPr>
        <w:t xml:space="preserve">Unless </w:t>
      </w:r>
      <w:r>
        <w:rPr>
          <w:color w:val="auto"/>
          <w:szCs w:val="24"/>
        </w:rPr>
        <w:t>there are</w:t>
      </w:r>
      <w:r>
        <w:rPr>
          <w:color w:val="auto"/>
        </w:rPr>
        <w:t xml:space="preserve"> compelling physical or operational reasons why it cannot be so, we</w:t>
      </w:r>
      <w:r>
        <w:rPr>
          <w:color w:val="auto"/>
          <w:szCs w:val="24"/>
        </w:rPr>
        <w:t xml:space="preserve"> will</w:t>
      </w:r>
      <w:r>
        <w:rPr>
          <w:color w:val="auto"/>
        </w:rPr>
        <w:t xml:space="preserve"> expect the point at which the activity is measured to encompass the greatest possible proportion of the site's energy consumption. This means measuring physical production at the point closest to leaving the site, and </w:t>
      </w:r>
      <w:r>
        <w:rPr>
          <w:color w:val="auto"/>
          <w:szCs w:val="24"/>
        </w:rPr>
        <w:t>a favouring of</w:t>
      </w:r>
      <w:r>
        <w:rPr>
          <w:color w:val="auto"/>
        </w:rPr>
        <w:t xml:space="preserve"> process outputs over process inputs</w:t>
      </w:r>
      <w:r>
        <w:rPr>
          <w:color w:val="auto"/>
          <w:szCs w:val="24"/>
        </w:rPr>
        <w:t xml:space="preserve"> as the throughput measure.</w:t>
      </w:r>
      <w:r>
        <w:rPr>
          <w:color w:val="auto"/>
        </w:rPr>
        <w:t xml:space="preserve"> Such an approach encourages and rewards sites for improving process yield, which is</w:t>
      </w:r>
      <w:r>
        <w:rPr>
          <w:color w:val="auto"/>
          <w:szCs w:val="24"/>
        </w:rPr>
        <w:t xml:space="preserve"> in itself</w:t>
      </w:r>
      <w:r>
        <w:rPr>
          <w:color w:val="auto"/>
        </w:rPr>
        <w:t xml:space="preserve"> an energy efficiency measure. </w:t>
      </w:r>
    </w:p>
    <w:p w14:paraId="75FE6F3F" w14:textId="77777777" w:rsidR="00026E66" w:rsidRDefault="002737EF" w:rsidP="00FF0098">
      <w:pPr>
        <w:pStyle w:val="Heading2"/>
        <w:tabs>
          <w:tab w:val="left" w:pos="0"/>
        </w:tabs>
      </w:pPr>
      <w:bookmarkStart w:id="83" w:name="_4.3._Brownfield_and"/>
      <w:bookmarkStart w:id="84" w:name="_Toc94718639"/>
      <w:bookmarkStart w:id="85" w:name="_Toc94088887"/>
      <w:bookmarkStart w:id="86" w:name="_Toc95211798"/>
      <w:bookmarkEnd w:id="83"/>
      <w:r>
        <w:t>4.3. Brownfield and greenfield facilities</w:t>
      </w:r>
      <w:bookmarkEnd w:id="84"/>
      <w:bookmarkEnd w:id="85"/>
      <w:bookmarkEnd w:id="86"/>
      <w:r>
        <w:t xml:space="preserve"> </w:t>
      </w:r>
    </w:p>
    <w:p w14:paraId="3CFEC1C4" w14:textId="77777777" w:rsidR="00026E66" w:rsidRDefault="002737EF" w:rsidP="00FF0098">
      <w:pPr>
        <w:tabs>
          <w:tab w:val="left" w:pos="0"/>
        </w:tabs>
        <w:ind w:right="182"/>
      </w:pPr>
      <w:r>
        <w:rPr>
          <w:color w:val="auto"/>
        </w:rPr>
        <w:t xml:space="preserve">A brownfield facility is an existing facility </w:t>
      </w:r>
      <w:r>
        <w:rPr>
          <w:color w:val="auto"/>
          <w:szCs w:val="24"/>
        </w:rPr>
        <w:t>that already carries</w:t>
      </w:r>
      <w:r>
        <w:rPr>
          <w:color w:val="auto"/>
        </w:rPr>
        <w:t xml:space="preserve"> out </w:t>
      </w:r>
      <w:r>
        <w:rPr>
          <w:color w:val="auto"/>
          <w:szCs w:val="24"/>
        </w:rPr>
        <w:t>the</w:t>
      </w:r>
      <w:r>
        <w:rPr>
          <w:color w:val="auto"/>
        </w:rPr>
        <w:t xml:space="preserve"> eligible process</w:t>
      </w:r>
      <w:r>
        <w:rPr>
          <w:color w:val="auto"/>
          <w:szCs w:val="24"/>
        </w:rPr>
        <w:t xml:space="preserve">. </w:t>
      </w:r>
    </w:p>
    <w:p w14:paraId="145C5C0A" w14:textId="77777777" w:rsidR="00026E66" w:rsidRDefault="002737EF" w:rsidP="00FF0098">
      <w:pPr>
        <w:tabs>
          <w:tab w:val="left" w:pos="0"/>
        </w:tabs>
        <w:ind w:right="182"/>
      </w:pPr>
      <w:r>
        <w:rPr>
          <w:color w:val="auto"/>
          <w:szCs w:val="24"/>
        </w:rPr>
        <w:t xml:space="preserve">A greenfield facility is a site that began operating in the </w:t>
      </w:r>
      <w:r>
        <w:rPr>
          <w:color w:val="auto"/>
        </w:rPr>
        <w:t xml:space="preserve">12 months before </w:t>
      </w:r>
      <w:r>
        <w:rPr>
          <w:color w:val="auto"/>
          <w:szCs w:val="24"/>
        </w:rPr>
        <w:t>it applied</w:t>
      </w:r>
      <w:r>
        <w:rPr>
          <w:color w:val="auto"/>
        </w:rPr>
        <w:t xml:space="preserve"> to join the </w:t>
      </w:r>
      <w:r>
        <w:rPr>
          <w:color w:val="auto"/>
          <w:szCs w:val="24"/>
        </w:rPr>
        <w:t xml:space="preserve">CCA </w:t>
      </w:r>
      <w:r>
        <w:rPr>
          <w:color w:val="auto"/>
        </w:rPr>
        <w:t xml:space="preserve">scheme. </w:t>
      </w:r>
      <w:r>
        <w:rPr>
          <w:color w:val="auto"/>
          <w:szCs w:val="24"/>
        </w:rPr>
        <w:t xml:space="preserve">It may be </w:t>
      </w:r>
      <w:r>
        <w:t xml:space="preserve">a brand-new facility with new equipment carrying out activities and processes that </w:t>
      </w:r>
      <w:r>
        <w:rPr>
          <w:szCs w:val="24"/>
        </w:rPr>
        <w:t>hadn't</w:t>
      </w:r>
      <w:r>
        <w:t xml:space="preserve"> been carried out there previously</w:t>
      </w:r>
      <w:r>
        <w:rPr>
          <w:szCs w:val="24"/>
        </w:rPr>
        <w:t xml:space="preserve">. Or it may be </w:t>
      </w:r>
      <w:r>
        <w:t xml:space="preserve">a facility that </w:t>
      </w:r>
      <w:r>
        <w:rPr>
          <w:szCs w:val="24"/>
        </w:rPr>
        <w:t>had</w:t>
      </w:r>
      <w:r>
        <w:t xml:space="preserve"> closed</w:t>
      </w:r>
      <w:r>
        <w:rPr>
          <w:szCs w:val="24"/>
        </w:rPr>
        <w:t xml:space="preserve"> down</w:t>
      </w:r>
      <w:r>
        <w:t>, had all its plant replaced and been recommissioned</w:t>
      </w:r>
      <w:r>
        <w:rPr>
          <w:szCs w:val="24"/>
        </w:rPr>
        <w:t xml:space="preserve">. </w:t>
      </w:r>
      <w:r>
        <w:rPr>
          <w:color w:val="auto"/>
        </w:rPr>
        <w:t xml:space="preserve">In </w:t>
      </w:r>
      <w:r>
        <w:rPr>
          <w:color w:val="auto"/>
        </w:rPr>
        <w:lastRenderedPageBreak/>
        <w:t xml:space="preserve">both cases, 12 months of base year performance data, representative of the newly commissioned </w:t>
      </w:r>
      <w:r>
        <w:rPr>
          <w:color w:val="auto"/>
          <w:szCs w:val="24"/>
        </w:rPr>
        <w:t>site, cannot be provided</w:t>
      </w:r>
      <w:r>
        <w:rPr>
          <w:color w:val="auto"/>
        </w:rPr>
        <w:t xml:space="preserve">. </w:t>
      </w:r>
    </w:p>
    <w:p w14:paraId="561D9209" w14:textId="71D14E57" w:rsidR="00026E66" w:rsidRDefault="002737EF" w:rsidP="00D446AD">
      <w:pPr>
        <w:tabs>
          <w:tab w:val="left" w:pos="0"/>
        </w:tabs>
        <w:spacing w:after="0"/>
        <w:ind w:right="182"/>
        <w:rPr>
          <w:color w:val="auto"/>
          <w:szCs w:val="24"/>
        </w:rPr>
      </w:pPr>
      <w:r>
        <w:rPr>
          <w:color w:val="auto"/>
          <w:szCs w:val="24"/>
        </w:rPr>
        <w:t xml:space="preserve">By their very nature, brownfield and greenfield facilities differ in terms of the availability of base year data prior to entering a CCA. This affects target setting for new entrants to the CCA scheme. </w:t>
      </w:r>
    </w:p>
    <w:p w14:paraId="6C7699B3" w14:textId="62E6E7C8" w:rsidR="00026E66" w:rsidRDefault="002737EF" w:rsidP="00D446AD">
      <w:pPr>
        <w:pStyle w:val="Heading3"/>
        <w:tabs>
          <w:tab w:val="left" w:pos="0"/>
        </w:tabs>
      </w:pPr>
      <w:bookmarkStart w:id="87" w:name="_Toc95211799"/>
      <w:r>
        <w:t>4.3.1. Brownfield facilities</w:t>
      </w:r>
      <w:bookmarkEnd w:id="87"/>
      <w:r>
        <w:t xml:space="preserve"> </w:t>
      </w:r>
    </w:p>
    <w:p w14:paraId="1CF36BAE" w14:textId="77777777" w:rsidR="00026E66" w:rsidRDefault="002737EF" w:rsidP="00FF0098">
      <w:pPr>
        <w:tabs>
          <w:tab w:val="left" w:pos="0"/>
        </w:tabs>
        <w:ind w:right="182"/>
      </w:pPr>
      <w:r>
        <w:rPr>
          <w:color w:val="auto"/>
        </w:rPr>
        <w:t>To enter</w:t>
      </w:r>
      <w:r>
        <w:rPr>
          <w:color w:val="auto"/>
          <w:szCs w:val="24"/>
        </w:rPr>
        <w:t xml:space="preserve"> into</w:t>
      </w:r>
      <w:r>
        <w:rPr>
          <w:color w:val="auto"/>
        </w:rPr>
        <w:t xml:space="preserve"> a CCA, the existing operator must have been running the site without any </w:t>
      </w:r>
      <w:r>
        <w:rPr>
          <w:color w:val="auto"/>
          <w:u w:val="single" w:color="0077B9"/>
        </w:rPr>
        <w:t>s</w:t>
      </w:r>
      <w:r>
        <w:rPr>
          <w:color w:val="auto"/>
        </w:rPr>
        <w:t xml:space="preserve">tructural changes and collecting the required data continuously for at least 12 months. Representative base year data should therefore be available, and the operator will be expected to </w:t>
      </w:r>
      <w:r>
        <w:rPr>
          <w:color w:val="auto"/>
          <w:szCs w:val="24"/>
        </w:rPr>
        <w:t>produce</w:t>
      </w:r>
      <w:r>
        <w:rPr>
          <w:color w:val="auto"/>
        </w:rPr>
        <w:t xml:space="preserve"> data </w:t>
      </w:r>
      <w:r>
        <w:rPr>
          <w:color w:val="auto"/>
          <w:szCs w:val="24"/>
        </w:rPr>
        <w:t>against which future numerical</w:t>
      </w:r>
      <w:r>
        <w:rPr>
          <w:color w:val="auto"/>
        </w:rPr>
        <w:t xml:space="preserve"> targets</w:t>
      </w:r>
      <w:r>
        <w:rPr>
          <w:color w:val="auto"/>
          <w:szCs w:val="24"/>
        </w:rPr>
        <w:t xml:space="preserve"> can be set</w:t>
      </w:r>
      <w:r>
        <w:rPr>
          <w:color w:val="auto"/>
        </w:rPr>
        <w:t xml:space="preserve">. </w:t>
      </w:r>
    </w:p>
    <w:p w14:paraId="4176AB3B" w14:textId="77777777" w:rsidR="00026E66" w:rsidRDefault="002737EF" w:rsidP="00FF0098">
      <w:pPr>
        <w:tabs>
          <w:tab w:val="left" w:pos="0"/>
        </w:tabs>
        <w:ind w:right="182"/>
      </w:pPr>
      <w:r>
        <w:rPr>
          <w:color w:val="auto"/>
        </w:rPr>
        <w:t xml:space="preserve">There </w:t>
      </w:r>
      <w:r>
        <w:rPr>
          <w:color w:val="auto"/>
          <w:szCs w:val="24"/>
        </w:rPr>
        <w:t>are</w:t>
      </w:r>
      <w:r>
        <w:rPr>
          <w:color w:val="auto"/>
        </w:rPr>
        <w:t xml:space="preserve"> situations where a brownfield facility may not have the required data for the previous 12-month period and will need to collect these data before it can </w:t>
      </w:r>
      <w:r>
        <w:rPr>
          <w:color w:val="auto"/>
          <w:szCs w:val="24"/>
        </w:rPr>
        <w:t>enter into a CCA. Examples of this are as follows.</w:t>
      </w:r>
      <w:r>
        <w:rPr>
          <w:color w:val="auto"/>
        </w:rPr>
        <w:t xml:space="preserve"> </w:t>
      </w:r>
    </w:p>
    <w:p w14:paraId="0093D90B" w14:textId="77777777" w:rsidR="00026E66" w:rsidRDefault="002737EF" w:rsidP="0065356B">
      <w:pPr>
        <w:pStyle w:val="ListParagraph"/>
        <w:numPr>
          <w:ilvl w:val="0"/>
          <w:numId w:val="39"/>
        </w:numPr>
        <w:tabs>
          <w:tab w:val="left" w:pos="0"/>
        </w:tabs>
        <w:spacing w:after="68"/>
        <w:ind w:right="182"/>
      </w:pPr>
      <w:r w:rsidRPr="00E955A3">
        <w:rPr>
          <w:szCs w:val="24"/>
        </w:rPr>
        <w:t>An</w:t>
      </w:r>
      <w:r>
        <w:t xml:space="preserve"> existing facility with an agreement closed </w:t>
      </w:r>
      <w:r w:rsidRPr="00E955A3">
        <w:rPr>
          <w:szCs w:val="24"/>
        </w:rPr>
        <w:t xml:space="preserve">down </w:t>
      </w:r>
      <w:r>
        <w:t xml:space="preserve">for a period </w:t>
      </w:r>
      <w:r w:rsidRPr="00E955A3">
        <w:rPr>
          <w:szCs w:val="24"/>
        </w:rPr>
        <w:t xml:space="preserve">of time </w:t>
      </w:r>
      <w:r>
        <w:t xml:space="preserve">and restarted production </w:t>
      </w:r>
      <w:r w:rsidRPr="00E955A3">
        <w:rPr>
          <w:szCs w:val="24"/>
        </w:rPr>
        <w:t xml:space="preserve">(whether with or without a new owner) </w:t>
      </w:r>
      <w:r>
        <w:t xml:space="preserve">without any structural changes to the facility </w:t>
      </w:r>
      <w:r w:rsidRPr="00E955A3">
        <w:rPr>
          <w:szCs w:val="24"/>
        </w:rPr>
        <w:t>so</w:t>
      </w:r>
      <w:r>
        <w:t xml:space="preserve"> that</w:t>
      </w:r>
      <w:r w:rsidRPr="00E955A3">
        <w:rPr>
          <w:szCs w:val="24"/>
        </w:rPr>
        <w:t>, since it closed,</w:t>
      </w:r>
      <w:r>
        <w:t xml:space="preserve"> the configuration of the site had remained the same</w:t>
      </w:r>
      <w:r w:rsidRPr="00E955A3">
        <w:rPr>
          <w:szCs w:val="24"/>
        </w:rPr>
        <w:t xml:space="preserve">. </w:t>
      </w:r>
    </w:p>
    <w:p w14:paraId="42FA2FF8" w14:textId="77777777" w:rsidR="00026E66" w:rsidRDefault="002737EF" w:rsidP="0065356B">
      <w:pPr>
        <w:pStyle w:val="ListParagraph"/>
        <w:numPr>
          <w:ilvl w:val="0"/>
          <w:numId w:val="39"/>
        </w:numPr>
        <w:tabs>
          <w:tab w:val="left" w:pos="0"/>
        </w:tabs>
        <w:ind w:right="182"/>
      </w:pPr>
      <w:r w:rsidRPr="00E955A3">
        <w:rPr>
          <w:szCs w:val="24"/>
        </w:rPr>
        <w:t>Previous</w:t>
      </w:r>
      <w:r>
        <w:t xml:space="preserve"> data are not available</w:t>
      </w:r>
      <w:r w:rsidRPr="00E955A3">
        <w:rPr>
          <w:szCs w:val="24"/>
        </w:rPr>
        <w:t>, for example,</w:t>
      </w:r>
      <w:r>
        <w:t xml:space="preserve"> because the new operator did not undertake due diligence </w:t>
      </w:r>
      <w:r w:rsidRPr="00E955A3">
        <w:rPr>
          <w:szCs w:val="24"/>
        </w:rPr>
        <w:t>to</w:t>
      </w:r>
      <w:r>
        <w:t xml:space="preserve"> obtain data from </w:t>
      </w:r>
      <w:r w:rsidRPr="00E955A3">
        <w:rPr>
          <w:szCs w:val="24"/>
        </w:rPr>
        <w:t>the</w:t>
      </w:r>
      <w:r>
        <w:t xml:space="preserve"> previous </w:t>
      </w:r>
      <w:r w:rsidRPr="00E955A3">
        <w:rPr>
          <w:szCs w:val="24"/>
        </w:rPr>
        <w:t>owner, or</w:t>
      </w:r>
      <w:r>
        <w:t xml:space="preserve"> because the </w:t>
      </w:r>
      <w:r w:rsidRPr="00E955A3">
        <w:rPr>
          <w:szCs w:val="24"/>
        </w:rPr>
        <w:t>site</w:t>
      </w:r>
      <w:r>
        <w:t xml:space="preserve"> went into administration and the administrator refused </w:t>
      </w:r>
      <w:r w:rsidRPr="00E955A3">
        <w:rPr>
          <w:szCs w:val="24"/>
        </w:rPr>
        <w:t xml:space="preserve">the new owner </w:t>
      </w:r>
      <w:r>
        <w:t xml:space="preserve">access to </w:t>
      </w:r>
      <w:r w:rsidRPr="00E955A3">
        <w:rPr>
          <w:szCs w:val="24"/>
        </w:rPr>
        <w:t>previous</w:t>
      </w:r>
      <w:r>
        <w:t xml:space="preserve"> records</w:t>
      </w:r>
      <w:r w:rsidRPr="00E955A3">
        <w:rPr>
          <w:szCs w:val="24"/>
        </w:rPr>
        <w:t xml:space="preserve">. </w:t>
      </w:r>
    </w:p>
    <w:p w14:paraId="4759B028" w14:textId="4E659AA9" w:rsidR="00026E66" w:rsidRPr="00D446AD" w:rsidRDefault="002737EF" w:rsidP="00D446AD">
      <w:pPr>
        <w:tabs>
          <w:tab w:val="left" w:pos="0"/>
        </w:tabs>
        <w:spacing w:after="56"/>
        <w:ind w:right="182"/>
      </w:pPr>
      <w:r>
        <w:rPr>
          <w:color w:val="auto"/>
        </w:rPr>
        <w:t xml:space="preserve">A brownfield facility that re-enters the </w:t>
      </w:r>
      <w:r>
        <w:rPr>
          <w:color w:val="auto"/>
          <w:szCs w:val="24"/>
        </w:rPr>
        <w:t xml:space="preserve">CCA </w:t>
      </w:r>
      <w:r>
        <w:rPr>
          <w:color w:val="auto"/>
        </w:rPr>
        <w:t xml:space="preserve">scheme must use its existing base year. Where the data are not available or it is not possible to reconstruct them, the next available 12-month period for which there are complete data should be selected. Lack of data due to poor record-keeping is not </w:t>
      </w:r>
      <w:r>
        <w:rPr>
          <w:color w:val="auto"/>
          <w:szCs w:val="24"/>
        </w:rPr>
        <w:t xml:space="preserve">acceptable as </w:t>
      </w:r>
      <w:r>
        <w:rPr>
          <w:color w:val="auto"/>
        </w:rPr>
        <w:t xml:space="preserve">a reason </w:t>
      </w:r>
      <w:r>
        <w:rPr>
          <w:color w:val="auto"/>
          <w:szCs w:val="24"/>
        </w:rPr>
        <w:t>to use</w:t>
      </w:r>
      <w:r>
        <w:rPr>
          <w:color w:val="auto"/>
        </w:rPr>
        <w:t xml:space="preserve"> a more recent base year. Any brownfield facility that does adopt a new base year should apply the target setting methodology outlined in </w:t>
      </w:r>
      <w:hyperlink w:anchor="_4.4._Target_setting" w:history="1">
        <w:r>
          <w:rPr>
            <w:rStyle w:val="Hyperlink"/>
          </w:rPr>
          <w:t>section 4.4</w:t>
        </w:r>
      </w:hyperlink>
      <w:r>
        <w:rPr>
          <w:color w:val="auto"/>
        </w:rPr>
        <w:t xml:space="preserve">. </w:t>
      </w:r>
    </w:p>
    <w:p w14:paraId="478D0B22" w14:textId="1A5EE3DC" w:rsidR="00026E66" w:rsidRDefault="002737EF" w:rsidP="00D446AD">
      <w:pPr>
        <w:pStyle w:val="Heading3"/>
        <w:tabs>
          <w:tab w:val="left" w:pos="0"/>
        </w:tabs>
      </w:pPr>
      <w:bookmarkStart w:id="88" w:name="_Toc95211800"/>
      <w:r>
        <w:t>4.3.2. Greenfield facilities</w:t>
      </w:r>
      <w:bookmarkEnd w:id="88"/>
      <w:r>
        <w:t xml:space="preserve"> </w:t>
      </w:r>
    </w:p>
    <w:p w14:paraId="08F1002E" w14:textId="77777777" w:rsidR="00026E66" w:rsidRDefault="002737EF" w:rsidP="00FF0098">
      <w:pPr>
        <w:tabs>
          <w:tab w:val="left" w:pos="0"/>
        </w:tabs>
        <w:ind w:right="182"/>
      </w:pPr>
      <w:r>
        <w:rPr>
          <w:color w:val="auto"/>
          <w:szCs w:val="24"/>
        </w:rPr>
        <w:t xml:space="preserve">A </w:t>
      </w:r>
      <w:r>
        <w:rPr>
          <w:color w:val="auto"/>
        </w:rPr>
        <w:t xml:space="preserve">greenfield facility can have an agreement </w:t>
      </w:r>
      <w:r>
        <w:rPr>
          <w:color w:val="auto"/>
          <w:szCs w:val="24"/>
        </w:rPr>
        <w:t>from the outset. The target unit will be given a percentage target in line with its sector commitment. An</w:t>
      </w:r>
      <w:r>
        <w:rPr>
          <w:color w:val="auto"/>
        </w:rPr>
        <w:t xml:space="preserve"> estimated interim </w:t>
      </w:r>
      <w:r>
        <w:rPr>
          <w:color w:val="auto"/>
          <w:szCs w:val="24"/>
        </w:rPr>
        <w:t>base year</w:t>
      </w:r>
      <w:r>
        <w:rPr>
          <w:color w:val="auto"/>
        </w:rPr>
        <w:t xml:space="preserve"> performance for the year the facility began operation </w:t>
      </w:r>
      <w:r>
        <w:rPr>
          <w:color w:val="auto"/>
          <w:szCs w:val="24"/>
        </w:rPr>
        <w:t xml:space="preserve">will need to be agreed </w:t>
      </w:r>
      <w:r>
        <w:rPr>
          <w:color w:val="auto"/>
        </w:rPr>
        <w:t>with us</w:t>
      </w:r>
      <w:r>
        <w:rPr>
          <w:color w:val="auto"/>
          <w:szCs w:val="24"/>
        </w:rPr>
        <w:t>.</w:t>
      </w:r>
      <w:r>
        <w:rPr>
          <w:color w:val="auto"/>
        </w:rPr>
        <w:t xml:space="preserve"> Where </w:t>
      </w:r>
      <w:r>
        <w:rPr>
          <w:color w:val="auto"/>
          <w:szCs w:val="24"/>
        </w:rPr>
        <w:t>appropriate</w:t>
      </w:r>
      <w:r>
        <w:rPr>
          <w:color w:val="auto"/>
        </w:rPr>
        <w:t xml:space="preserve">, this can also include the optional additional 3/7ths provision. The base year for the greenfield </w:t>
      </w:r>
      <w:r>
        <w:rPr>
          <w:color w:val="auto"/>
          <w:szCs w:val="24"/>
        </w:rPr>
        <w:t>new entrant</w:t>
      </w:r>
      <w:r>
        <w:rPr>
          <w:color w:val="auto"/>
        </w:rPr>
        <w:t xml:space="preserve"> will be the first year that the underlying agreement is held.</w:t>
      </w:r>
      <w:r>
        <w:rPr>
          <w:color w:val="auto"/>
          <w:szCs w:val="24"/>
        </w:rPr>
        <w:t xml:space="preserve"> </w:t>
      </w:r>
    </w:p>
    <w:p w14:paraId="20A09C9C" w14:textId="77777777" w:rsidR="00026E66" w:rsidRDefault="002737EF" w:rsidP="00FF0098">
      <w:pPr>
        <w:tabs>
          <w:tab w:val="left" w:pos="0"/>
        </w:tabs>
        <w:ind w:right="182"/>
      </w:pPr>
      <w:r>
        <w:rPr>
          <w:color w:val="auto"/>
          <w:szCs w:val="24"/>
        </w:rPr>
        <w:t>The</w:t>
      </w:r>
      <w:r>
        <w:rPr>
          <w:color w:val="auto"/>
        </w:rPr>
        <w:t xml:space="preserve"> facility is required to agree with us a date by which it will have 12 months of continuous data available from which a numerical target will be calculated. </w:t>
      </w:r>
      <w:r>
        <w:rPr>
          <w:color w:val="auto"/>
          <w:szCs w:val="24"/>
        </w:rPr>
        <w:t>Installation of</w:t>
      </w:r>
      <w:r>
        <w:rPr>
          <w:color w:val="auto"/>
        </w:rPr>
        <w:t xml:space="preserve"> </w:t>
      </w:r>
      <w:r>
        <w:rPr>
          <w:color w:val="auto"/>
        </w:rPr>
        <w:lastRenderedPageBreak/>
        <w:t xml:space="preserve">sub-metering </w:t>
      </w:r>
      <w:r>
        <w:rPr>
          <w:color w:val="auto"/>
          <w:szCs w:val="24"/>
        </w:rPr>
        <w:t>is expected to occur</w:t>
      </w:r>
      <w:r>
        <w:rPr>
          <w:color w:val="auto"/>
        </w:rPr>
        <w:t xml:space="preserve"> within six months of the date </w:t>
      </w:r>
      <w:r>
        <w:rPr>
          <w:color w:val="auto"/>
          <w:szCs w:val="24"/>
        </w:rPr>
        <w:t>when</w:t>
      </w:r>
      <w:r>
        <w:rPr>
          <w:color w:val="auto"/>
        </w:rPr>
        <w:t xml:space="preserve"> the need for sub-metering is identified. This also applies to any sub-metering required for the optional 3/7ths provision.</w:t>
      </w:r>
      <w:r>
        <w:rPr>
          <w:color w:val="auto"/>
          <w:szCs w:val="24"/>
        </w:rPr>
        <w:t xml:space="preserve"> </w:t>
      </w:r>
    </w:p>
    <w:p w14:paraId="6A51E21C" w14:textId="604F1EAF" w:rsidR="00026E66" w:rsidRPr="00D446AD" w:rsidRDefault="002737EF" w:rsidP="00D446AD">
      <w:pPr>
        <w:tabs>
          <w:tab w:val="left" w:pos="0"/>
        </w:tabs>
        <w:spacing w:after="0"/>
        <w:ind w:right="182"/>
      </w:pPr>
      <w:r>
        <w:rPr>
          <w:color w:val="auto"/>
        </w:rPr>
        <w:t>If a greenfield facility joins the CCA scheme in the final 12 months of a target period, it should report against the numerical target calculated using the agreed estimated interim base year performance. A revised numerical target will be calculated for future target periods once data for the full 12 months for the actual base year are available.</w:t>
      </w:r>
      <w:r>
        <w:rPr>
          <w:color w:val="auto"/>
          <w:szCs w:val="24"/>
        </w:rPr>
        <w:t xml:space="preserve"> </w:t>
      </w:r>
    </w:p>
    <w:p w14:paraId="05BD80A9" w14:textId="2FE377FB" w:rsidR="00026E66" w:rsidRPr="00D446AD" w:rsidRDefault="002737EF" w:rsidP="00D446AD">
      <w:pPr>
        <w:pStyle w:val="Heading2"/>
        <w:tabs>
          <w:tab w:val="left" w:pos="0"/>
        </w:tabs>
      </w:pPr>
      <w:bookmarkStart w:id="89" w:name="_4.4._Target_setting"/>
      <w:bookmarkStart w:id="90" w:name="_Toc94718640"/>
      <w:bookmarkStart w:id="91" w:name="_Toc94088888"/>
      <w:bookmarkStart w:id="92" w:name="_Toc95211801"/>
      <w:bookmarkEnd w:id="89"/>
      <w:r>
        <w:t>4.4. Target setting for new entrants</w:t>
      </w:r>
      <w:bookmarkEnd w:id="90"/>
      <w:bookmarkEnd w:id="91"/>
      <w:bookmarkEnd w:id="92"/>
      <w:r>
        <w:t xml:space="preserve"> </w:t>
      </w:r>
    </w:p>
    <w:p w14:paraId="51FD84EC" w14:textId="77777777" w:rsidR="00026E66" w:rsidRDefault="002737EF" w:rsidP="00FF0098">
      <w:pPr>
        <w:tabs>
          <w:tab w:val="left" w:pos="0"/>
        </w:tabs>
        <w:spacing w:after="3" w:line="235" w:lineRule="auto"/>
        <w:ind w:right="451"/>
        <w:jc w:val="both"/>
      </w:pPr>
      <w:r>
        <w:rPr>
          <w:color w:val="auto"/>
        </w:rPr>
        <w:t xml:space="preserve">This section sets out a standard method to be followed by </w:t>
      </w:r>
      <w:r>
        <w:rPr>
          <w:color w:val="auto"/>
          <w:szCs w:val="24"/>
        </w:rPr>
        <w:t xml:space="preserve">any </w:t>
      </w:r>
      <w:r>
        <w:rPr>
          <w:color w:val="auto"/>
        </w:rPr>
        <w:t xml:space="preserve">new </w:t>
      </w:r>
      <w:r>
        <w:rPr>
          <w:color w:val="auto"/>
          <w:szCs w:val="24"/>
        </w:rPr>
        <w:t>entrant entering</w:t>
      </w:r>
      <w:r>
        <w:rPr>
          <w:color w:val="auto"/>
        </w:rPr>
        <w:t xml:space="preserve"> the scheme. The method also applies to brownfield facilities that have re-entered the scheme with a more recent base year.</w:t>
      </w:r>
      <w:r>
        <w:rPr>
          <w:color w:val="auto"/>
          <w:szCs w:val="24"/>
        </w:rPr>
        <w:t xml:space="preserve"> </w:t>
      </w:r>
    </w:p>
    <w:p w14:paraId="05E12E0D" w14:textId="77777777" w:rsidR="00026E66" w:rsidRDefault="002737EF" w:rsidP="00FF0098">
      <w:pPr>
        <w:tabs>
          <w:tab w:val="left" w:pos="0"/>
        </w:tabs>
      </w:pPr>
      <w:r>
        <w:t xml:space="preserve">Prior to the extension to add a fifth target period and a change to the terms of the agreements, we could only add eligible facilities to agreements up until the end of October 2018. </w:t>
      </w:r>
    </w:p>
    <w:p w14:paraId="2AB053CF" w14:textId="77777777" w:rsidR="00026E66" w:rsidRDefault="002737EF" w:rsidP="00FF0098">
      <w:pPr>
        <w:tabs>
          <w:tab w:val="left" w:pos="0"/>
        </w:tabs>
      </w:pPr>
      <w:r>
        <w:t>Following government’s consultation to extend the scheme in early 2020, operators were able to apply to join the scheme again for facilities in which they had started to carry out an eligible activity before 30 November 2020.</w:t>
      </w:r>
    </w:p>
    <w:p w14:paraId="644CC9E2" w14:textId="447EA68F" w:rsidR="00026E66" w:rsidRDefault="002737EF" w:rsidP="00D446AD">
      <w:pPr>
        <w:tabs>
          <w:tab w:val="left" w:pos="0"/>
        </w:tabs>
      </w:pPr>
      <w:r>
        <w:t>A further new entrant window opened in December 2021 and will close on 31 March 2022.</w:t>
      </w:r>
      <w:bookmarkStart w:id="93" w:name="_4.4.1._Calculating_a"/>
      <w:bookmarkEnd w:id="93"/>
    </w:p>
    <w:p w14:paraId="57437EB2" w14:textId="2F217851" w:rsidR="00026E66" w:rsidRDefault="002737EF" w:rsidP="00D446AD">
      <w:pPr>
        <w:pStyle w:val="Heading3"/>
        <w:tabs>
          <w:tab w:val="left" w:pos="0"/>
        </w:tabs>
      </w:pPr>
      <w:bookmarkStart w:id="94" w:name="_Toc95211802"/>
      <w:r>
        <w:t>4.4.1. Calculating a target for a new scheme entrant</w:t>
      </w:r>
      <w:bookmarkEnd w:id="94"/>
      <w:r>
        <w:t xml:space="preserve"> </w:t>
      </w:r>
    </w:p>
    <w:p w14:paraId="53606813" w14:textId="77777777" w:rsidR="00026E66" w:rsidRDefault="002737EF" w:rsidP="00FF0098">
      <w:pPr>
        <w:tabs>
          <w:tab w:val="left" w:pos="0"/>
        </w:tabs>
        <w:ind w:right="182"/>
      </w:pPr>
      <w:r>
        <w:rPr>
          <w:color w:val="auto"/>
        </w:rPr>
        <w:t>The sector commitment (or sub-sector commitment if applicable) is used to set the percentage improvement target of a target unit when either of the following applies</w:t>
      </w:r>
      <w:r>
        <w:rPr>
          <w:color w:val="auto"/>
          <w:szCs w:val="24"/>
        </w:rPr>
        <w:t>.</w:t>
      </w:r>
      <w:r>
        <w:rPr>
          <w:color w:val="auto"/>
        </w:rPr>
        <w:t xml:space="preserve"> </w:t>
      </w:r>
    </w:p>
    <w:p w14:paraId="348592F2" w14:textId="77777777" w:rsidR="00026E66" w:rsidRDefault="002737EF" w:rsidP="0065356B">
      <w:pPr>
        <w:pStyle w:val="ListParagraph"/>
        <w:numPr>
          <w:ilvl w:val="0"/>
          <w:numId w:val="40"/>
        </w:numPr>
        <w:tabs>
          <w:tab w:val="left" w:pos="0"/>
        </w:tabs>
        <w:spacing w:after="76"/>
        <w:ind w:right="182"/>
      </w:pPr>
      <w:r w:rsidRPr="00E955A3">
        <w:rPr>
          <w:szCs w:val="24"/>
        </w:rPr>
        <w:t>A</w:t>
      </w:r>
      <w:r>
        <w:t xml:space="preserve"> facility or group of facilities is entirely new to the scheme and becomes a target unit</w:t>
      </w:r>
      <w:r w:rsidRPr="00E955A3">
        <w:rPr>
          <w:szCs w:val="24"/>
        </w:rPr>
        <w:t xml:space="preserve">. </w:t>
      </w:r>
    </w:p>
    <w:p w14:paraId="0AD9CCBE" w14:textId="07782080" w:rsidR="00026E66" w:rsidRDefault="002737EF" w:rsidP="0065356B">
      <w:pPr>
        <w:pStyle w:val="ListParagraph"/>
        <w:numPr>
          <w:ilvl w:val="0"/>
          <w:numId w:val="40"/>
        </w:numPr>
        <w:tabs>
          <w:tab w:val="left" w:pos="0"/>
        </w:tabs>
        <w:spacing w:after="152" w:line="244" w:lineRule="auto"/>
        <w:ind w:right="182"/>
      </w:pPr>
      <w:r w:rsidRPr="00E955A3">
        <w:rPr>
          <w:szCs w:val="24"/>
        </w:rPr>
        <w:t>A</w:t>
      </w:r>
      <w:r w:rsidRPr="00E955A3">
        <w:t xml:space="preserve"> facility formerly covered by the umbrella agreement of a different sector is moved into a new sector and becomes a target unit in that new sector. However, the target unit will retain the original performance improvement target if, when the percentage sector commitment is applied </w:t>
      </w:r>
      <w:r>
        <w:t>to the target unit's base year performance, the numerical target calculated for the next target period gives a target performance that was already achieved in the previous target period</w:t>
      </w:r>
      <w:r w:rsidRPr="00E955A3">
        <w:rPr>
          <w:szCs w:val="24"/>
        </w:rPr>
        <w:t xml:space="preserve">. </w:t>
      </w:r>
    </w:p>
    <w:p w14:paraId="609042CE" w14:textId="77777777" w:rsidR="00026E66" w:rsidRDefault="002737EF" w:rsidP="00FF0098">
      <w:pPr>
        <w:tabs>
          <w:tab w:val="left" w:pos="0"/>
        </w:tabs>
        <w:ind w:right="182"/>
      </w:pPr>
      <w:r>
        <w:rPr>
          <w:color w:val="auto"/>
        </w:rPr>
        <w:t xml:space="preserve">If the base year of </w:t>
      </w:r>
      <w:r>
        <w:rPr>
          <w:color w:val="auto"/>
          <w:szCs w:val="24"/>
        </w:rPr>
        <w:t>the</w:t>
      </w:r>
      <w:r>
        <w:rPr>
          <w:color w:val="auto"/>
        </w:rPr>
        <w:t xml:space="preserve"> new </w:t>
      </w:r>
      <w:r>
        <w:rPr>
          <w:color w:val="auto"/>
          <w:szCs w:val="24"/>
        </w:rPr>
        <w:t>entrant</w:t>
      </w:r>
      <w:r>
        <w:rPr>
          <w:color w:val="auto"/>
        </w:rPr>
        <w:t xml:space="preserve"> is more recent than </w:t>
      </w:r>
      <w:r>
        <w:rPr>
          <w:color w:val="auto"/>
          <w:szCs w:val="24"/>
        </w:rPr>
        <w:t xml:space="preserve">that for </w:t>
      </w:r>
      <w:r>
        <w:rPr>
          <w:color w:val="auto"/>
        </w:rPr>
        <w:t xml:space="preserve">the sector </w:t>
      </w:r>
      <w:r>
        <w:rPr>
          <w:color w:val="auto"/>
          <w:szCs w:val="24"/>
        </w:rPr>
        <w:t>or sub-sector</w:t>
      </w:r>
      <w:r>
        <w:rPr>
          <w:color w:val="auto"/>
        </w:rPr>
        <w:t xml:space="preserve">, the target will be adjusted in line with </w:t>
      </w:r>
      <w:r w:rsidRPr="00771B6F">
        <w:rPr>
          <w:color w:val="auto"/>
          <w:u w:color="0077B9"/>
        </w:rPr>
        <w:t>section 4.4.2</w:t>
      </w:r>
      <w:r>
        <w:rPr>
          <w:color w:val="auto"/>
        </w:rPr>
        <w:t>.</w:t>
      </w:r>
      <w:r>
        <w:rPr>
          <w:color w:val="auto"/>
          <w:szCs w:val="24"/>
        </w:rPr>
        <w:t xml:space="preserve"> </w:t>
      </w:r>
    </w:p>
    <w:p w14:paraId="073C89B0" w14:textId="321176B2" w:rsidR="00026E66" w:rsidRPr="00D446AD" w:rsidRDefault="002737EF" w:rsidP="00FF0098">
      <w:pPr>
        <w:tabs>
          <w:tab w:val="left" w:pos="0"/>
        </w:tabs>
        <w:spacing w:after="0"/>
        <w:ind w:right="182"/>
      </w:pPr>
      <w:r>
        <w:rPr>
          <w:color w:val="auto"/>
        </w:rPr>
        <w:t>If a facility re-</w:t>
      </w:r>
      <w:r>
        <w:rPr>
          <w:color w:val="auto"/>
          <w:szCs w:val="24"/>
        </w:rPr>
        <w:t>joins</w:t>
      </w:r>
      <w:r>
        <w:rPr>
          <w:color w:val="auto"/>
        </w:rPr>
        <w:t xml:space="preserve"> the scheme as a target unit having previously left voluntarily or following our termination of its underlying agreement</w:t>
      </w:r>
      <w:r>
        <w:rPr>
          <w:color w:val="auto"/>
          <w:szCs w:val="24"/>
        </w:rPr>
        <w:t>,</w:t>
      </w:r>
      <w:r>
        <w:rPr>
          <w:color w:val="auto"/>
        </w:rPr>
        <w:t xml:space="preserve"> the percentage improvement target awarded to the target unit will be whichever is the more demanding of</w:t>
      </w:r>
      <w:r>
        <w:rPr>
          <w:color w:val="auto"/>
          <w:szCs w:val="24"/>
        </w:rPr>
        <w:t xml:space="preserve"> </w:t>
      </w:r>
      <w:r>
        <w:t xml:space="preserve">its original percentage improvement target </w:t>
      </w:r>
      <w:r>
        <w:rPr>
          <w:szCs w:val="24"/>
        </w:rPr>
        <w:t xml:space="preserve">or </w:t>
      </w:r>
      <w:r>
        <w:t xml:space="preserve">the percentage improvement target of the sector (or </w:t>
      </w:r>
      <w:r>
        <w:lastRenderedPageBreak/>
        <w:t xml:space="preserve">sub-sector) commitment. </w:t>
      </w:r>
      <w:r>
        <w:rPr>
          <w:color w:val="auto"/>
        </w:rPr>
        <w:t xml:space="preserve">This does not apply to cases where the agreement is voluntarily terminated because the site has closed for a major refurbishment. In such cases, the target unit’s original percentage target will be applied after the agreement is reactivated. However, there could be circumstances where there has been a voluntary termination to accommodate the replacement of plant and re-commissioning and the existing baseline is demonstrably unrepresentative of the new plant. In such cases the site may be regarded as a Greenfield site. </w:t>
      </w:r>
    </w:p>
    <w:p w14:paraId="5B8B0F27" w14:textId="76A09ACD" w:rsidR="00026E66" w:rsidRPr="00D446AD" w:rsidRDefault="002737EF" w:rsidP="00D446AD">
      <w:pPr>
        <w:tabs>
          <w:tab w:val="left" w:pos="0"/>
        </w:tabs>
        <w:spacing w:after="0"/>
        <w:ind w:right="182"/>
        <w:rPr>
          <w:color w:val="auto"/>
          <w:szCs w:val="24"/>
        </w:rPr>
      </w:pPr>
      <w:r>
        <w:rPr>
          <w:color w:val="auto"/>
          <w:szCs w:val="24"/>
        </w:rPr>
        <w:t>This applies to target period 1 to 4.</w:t>
      </w:r>
      <w:r w:rsidR="00FC355D">
        <w:rPr>
          <w:color w:val="auto"/>
          <w:szCs w:val="24"/>
        </w:rPr>
        <w:t xml:space="preserve"> </w:t>
      </w:r>
      <w:r>
        <w:rPr>
          <w:color w:val="auto"/>
          <w:szCs w:val="24"/>
        </w:rPr>
        <w:t>We will apply the same process (as described in section 4.4.2) for setting TP5 improvement targets where the base year is later than 2018. See statutory guidance.</w:t>
      </w:r>
    </w:p>
    <w:p w14:paraId="00D1369F" w14:textId="77777777" w:rsidR="00026E66" w:rsidRDefault="002737EF" w:rsidP="00FF0098">
      <w:pPr>
        <w:pStyle w:val="Heading3"/>
        <w:tabs>
          <w:tab w:val="left" w:pos="0"/>
        </w:tabs>
      </w:pPr>
      <w:bookmarkStart w:id="95" w:name="_Toc95211803"/>
      <w:r>
        <w:t>4.4.2. Setting a target profile for new entrants</w:t>
      </w:r>
      <w:bookmarkEnd w:id="95"/>
      <w:r>
        <w:t xml:space="preserve"> </w:t>
      </w:r>
    </w:p>
    <w:p w14:paraId="75291101" w14:textId="244C6E18" w:rsidR="00026E66" w:rsidRDefault="002737EF" w:rsidP="00FF0098">
      <w:pPr>
        <w:tabs>
          <w:tab w:val="left" w:pos="0"/>
        </w:tabs>
      </w:pPr>
      <w:r>
        <w:rPr>
          <w:color w:val="auto"/>
          <w:szCs w:val="24"/>
        </w:rPr>
        <w:t>New entrants</w:t>
      </w:r>
      <w:r>
        <w:rPr>
          <w:color w:val="auto"/>
        </w:rPr>
        <w:t xml:space="preserve"> with </w:t>
      </w:r>
      <w:r>
        <w:rPr>
          <w:color w:val="auto"/>
          <w:szCs w:val="24"/>
        </w:rPr>
        <w:t xml:space="preserve">2008 as </w:t>
      </w:r>
      <w:r>
        <w:rPr>
          <w:color w:val="auto"/>
        </w:rPr>
        <w:t xml:space="preserve">the base year are expected to adopt the target profile agreed for the sector </w:t>
      </w:r>
      <w:r>
        <w:rPr>
          <w:color w:val="auto"/>
          <w:szCs w:val="24"/>
        </w:rPr>
        <w:t xml:space="preserve">as a whole. The </w:t>
      </w:r>
      <w:r>
        <w:rPr>
          <w:color w:val="auto"/>
        </w:rPr>
        <w:t xml:space="preserve">target profile is based on </w:t>
      </w:r>
      <w:r>
        <w:rPr>
          <w:color w:val="auto"/>
          <w:szCs w:val="24"/>
        </w:rPr>
        <w:t xml:space="preserve">reporting performance at the </w:t>
      </w:r>
      <w:r>
        <w:rPr>
          <w:color w:val="auto"/>
        </w:rPr>
        <w:t xml:space="preserve">end of each </w:t>
      </w:r>
      <w:r>
        <w:rPr>
          <w:color w:val="auto"/>
          <w:szCs w:val="24"/>
        </w:rPr>
        <w:t xml:space="preserve">24-month </w:t>
      </w:r>
      <w:r>
        <w:rPr>
          <w:color w:val="auto"/>
        </w:rPr>
        <w:t>target period</w:t>
      </w:r>
      <w:r>
        <w:rPr>
          <w:color w:val="auto"/>
          <w:szCs w:val="24"/>
        </w:rPr>
        <w:t xml:space="preserve"> to 2020. An example</w:t>
      </w:r>
      <w:r w:rsidR="00771B6F">
        <w:rPr>
          <w:color w:val="auto"/>
          <w:szCs w:val="24"/>
        </w:rPr>
        <w:t xml:space="preserve"> – i</w:t>
      </w:r>
      <w:r>
        <w:t>f a sector’s sector commitment profile is as follows:</w:t>
      </w:r>
    </w:p>
    <w:p w14:paraId="437E49C0" w14:textId="77777777" w:rsidR="00026E66" w:rsidRDefault="002737EF" w:rsidP="0065356B">
      <w:pPr>
        <w:pStyle w:val="ListParagraph"/>
        <w:numPr>
          <w:ilvl w:val="0"/>
          <w:numId w:val="4"/>
        </w:numPr>
        <w:tabs>
          <w:tab w:val="left" w:pos="0"/>
        </w:tabs>
        <w:ind w:left="0" w:firstLine="0"/>
      </w:pPr>
      <w:r>
        <w:t>3% by end of 2014 (TP1)</w:t>
      </w:r>
    </w:p>
    <w:p w14:paraId="5EE02FD4" w14:textId="77777777" w:rsidR="00026E66" w:rsidRDefault="002737EF" w:rsidP="0065356B">
      <w:pPr>
        <w:pStyle w:val="ListParagraph"/>
        <w:numPr>
          <w:ilvl w:val="0"/>
          <w:numId w:val="4"/>
        </w:numPr>
        <w:tabs>
          <w:tab w:val="left" w:pos="0"/>
        </w:tabs>
        <w:ind w:left="0" w:firstLine="0"/>
      </w:pPr>
      <w:r>
        <w:t>7% by end of 2016 (TP2)</w:t>
      </w:r>
    </w:p>
    <w:p w14:paraId="5997B321" w14:textId="77777777" w:rsidR="00026E66" w:rsidRDefault="002737EF" w:rsidP="0065356B">
      <w:pPr>
        <w:pStyle w:val="ListParagraph"/>
        <w:numPr>
          <w:ilvl w:val="0"/>
          <w:numId w:val="4"/>
        </w:numPr>
        <w:tabs>
          <w:tab w:val="left" w:pos="0"/>
        </w:tabs>
        <w:ind w:left="0" w:firstLine="0"/>
      </w:pPr>
      <w:r>
        <w:t>11% by end of 2018 (TP3)</w:t>
      </w:r>
    </w:p>
    <w:p w14:paraId="2BBFCE09" w14:textId="77777777" w:rsidR="00026E66" w:rsidRDefault="002737EF" w:rsidP="0065356B">
      <w:pPr>
        <w:pStyle w:val="ListParagraph"/>
        <w:numPr>
          <w:ilvl w:val="0"/>
          <w:numId w:val="4"/>
        </w:numPr>
        <w:tabs>
          <w:tab w:val="left" w:pos="0"/>
        </w:tabs>
        <w:ind w:left="0" w:firstLine="0"/>
      </w:pPr>
      <w:r>
        <w:t>15% by end of 2020 (TP4)</w:t>
      </w:r>
    </w:p>
    <w:p w14:paraId="784FE8F6" w14:textId="77777777" w:rsidR="00026E66" w:rsidRDefault="002737EF" w:rsidP="00FF0098">
      <w:pPr>
        <w:tabs>
          <w:tab w:val="left" w:pos="0"/>
        </w:tabs>
      </w:pPr>
      <w:r>
        <w:t xml:space="preserve">the operator of a target unit applying to join the scheme in 2017 with a 2008 base year would be required to achieve a target of 11% by 2018 and 15% by 2020. </w:t>
      </w:r>
    </w:p>
    <w:p w14:paraId="2CA92053" w14:textId="469BF299" w:rsidR="00026E66" w:rsidRDefault="002737EF" w:rsidP="00FF0098">
      <w:pPr>
        <w:tabs>
          <w:tab w:val="left" w:pos="0"/>
        </w:tabs>
        <w:spacing w:after="0"/>
        <w:ind w:right="182"/>
      </w:pPr>
      <w:r>
        <w:rPr>
          <w:color w:val="auto"/>
        </w:rPr>
        <w:t xml:space="preserve">The target </w:t>
      </w:r>
      <w:r>
        <w:rPr>
          <w:color w:val="auto"/>
          <w:szCs w:val="24"/>
        </w:rPr>
        <w:t>profile for new entrants that don't have 2008 as their</w:t>
      </w:r>
      <w:r>
        <w:rPr>
          <w:color w:val="auto"/>
        </w:rPr>
        <w:t xml:space="preserve"> base year </w:t>
      </w:r>
      <w:r>
        <w:rPr>
          <w:color w:val="auto"/>
          <w:szCs w:val="24"/>
        </w:rPr>
        <w:t xml:space="preserve">is </w:t>
      </w:r>
      <w:r>
        <w:rPr>
          <w:color w:val="auto"/>
        </w:rPr>
        <w:t xml:space="preserve">calculated </w:t>
      </w:r>
      <w:r>
        <w:rPr>
          <w:color w:val="auto"/>
          <w:szCs w:val="24"/>
        </w:rPr>
        <w:t xml:space="preserve">differently. For example, if the new entrant’s base year was 2015 the target unit will be assumed to have already reached </w:t>
      </w:r>
      <w:r>
        <w:t xml:space="preserve">the required savings </w:t>
      </w:r>
      <w:r>
        <w:rPr>
          <w:szCs w:val="24"/>
        </w:rPr>
        <w:t>for</w:t>
      </w:r>
      <w:r>
        <w:t xml:space="preserve"> the sector </w:t>
      </w:r>
      <w:r>
        <w:rPr>
          <w:szCs w:val="24"/>
        </w:rPr>
        <w:t xml:space="preserve">from </w:t>
      </w:r>
      <w:r>
        <w:t>2008</w:t>
      </w:r>
      <w:r>
        <w:rPr>
          <w:szCs w:val="24"/>
        </w:rPr>
        <w:t>. Using the example sector target profile from above,</w:t>
      </w:r>
      <w:r>
        <w:t xml:space="preserve"> this would be midway between the 2014 (3%) and 2016 (7</w:t>
      </w:r>
      <w:r>
        <w:rPr>
          <w:szCs w:val="24"/>
        </w:rPr>
        <w:t>%) targets, that is,</w:t>
      </w:r>
      <w:r>
        <w:t xml:space="preserve"> 5% savings from 2008</w:t>
      </w:r>
      <w:r>
        <w:rPr>
          <w:szCs w:val="24"/>
        </w:rPr>
        <w:t xml:space="preserve"> or 95% of 2008 energy consumption. The </w:t>
      </w:r>
      <w:r>
        <w:t xml:space="preserve">remaining </w:t>
      </w:r>
      <w:r>
        <w:rPr>
          <w:szCs w:val="24"/>
        </w:rPr>
        <w:t xml:space="preserve">targets </w:t>
      </w:r>
      <w:r>
        <w:t xml:space="preserve">are calculated by linear interpolation </w:t>
      </w:r>
      <w:r>
        <w:rPr>
          <w:szCs w:val="24"/>
        </w:rPr>
        <w:t>based on</w:t>
      </w:r>
      <w:r>
        <w:t xml:space="preserve"> this position</w:t>
      </w:r>
      <w:r w:rsidRPr="001049E0">
        <w:rPr>
          <w:szCs w:val="24"/>
        </w:rPr>
        <w:t>.</w:t>
      </w:r>
      <w:r w:rsidR="008A43E3" w:rsidRPr="001049E0">
        <w:rPr>
          <w:color w:val="auto"/>
          <w:szCs w:val="24"/>
        </w:rPr>
        <w:t xml:space="preserve"> So, the 2016 target would be </w:t>
      </w:r>
      <m:oMath>
        <m:d>
          <m:dPr>
            <m:ctrlPr>
              <w:rPr>
                <w:rFonts w:ascii="Cambria Math" w:hAnsi="Cambria Math"/>
                <w:i/>
                <w:color w:val="auto"/>
                <w:szCs w:val="24"/>
              </w:rPr>
            </m:ctrlPr>
          </m:dPr>
          <m:e>
            <m:r>
              <w:rPr>
                <w:rFonts w:ascii="Cambria Math" w:hAnsi="Cambria Math"/>
                <w:color w:val="auto"/>
                <w:szCs w:val="24"/>
              </w:rPr>
              <m:t>0.95-0.93</m:t>
            </m:r>
          </m:e>
        </m:d>
        <m:r>
          <m:rPr>
            <m:lit/>
          </m:rPr>
          <w:rPr>
            <w:rFonts w:ascii="Cambria Math" w:hAnsi="Cambria Math"/>
            <w:color w:val="auto"/>
            <w:szCs w:val="24"/>
          </w:rPr>
          <m:t>/</m:t>
        </m:r>
        <m:r>
          <w:rPr>
            <w:rFonts w:ascii="Cambria Math" w:hAnsi="Cambria Math"/>
            <w:color w:val="auto"/>
            <w:szCs w:val="24"/>
          </w:rPr>
          <m:t>0.95=2.1%</m:t>
        </m:r>
      </m:oMath>
      <w:r w:rsidR="00A26401" w:rsidRPr="001049E0">
        <w:rPr>
          <w:color w:val="auto"/>
          <w:szCs w:val="24"/>
        </w:rPr>
        <w:t>,</w:t>
      </w:r>
      <w:r w:rsidR="008A43E3" w:rsidRPr="001049E0">
        <w:rPr>
          <w:color w:val="auto"/>
          <w:szCs w:val="24"/>
        </w:rPr>
        <w:t xml:space="preserve"> the 2018 target would be </w:t>
      </w:r>
      <m:oMath>
        <m:d>
          <m:dPr>
            <m:ctrlPr>
              <w:rPr>
                <w:rFonts w:ascii="Cambria Math" w:hAnsi="Cambria Math"/>
                <w:i/>
                <w:color w:val="auto"/>
                <w:szCs w:val="24"/>
              </w:rPr>
            </m:ctrlPr>
          </m:dPr>
          <m:e>
            <m:r>
              <w:rPr>
                <w:rFonts w:ascii="Cambria Math" w:hAnsi="Cambria Math"/>
                <w:color w:val="auto"/>
                <w:szCs w:val="24"/>
              </w:rPr>
              <m:t>0.95-0.89</m:t>
            </m:r>
          </m:e>
        </m:d>
        <m:r>
          <m:rPr>
            <m:lit/>
          </m:rPr>
          <w:rPr>
            <w:rFonts w:ascii="Cambria Math" w:hAnsi="Cambria Math"/>
            <w:color w:val="auto"/>
            <w:szCs w:val="24"/>
          </w:rPr>
          <m:t>/</m:t>
        </m:r>
        <m:r>
          <w:rPr>
            <w:rFonts w:ascii="Cambria Math" w:hAnsi="Cambria Math"/>
            <w:color w:val="auto"/>
            <w:szCs w:val="24"/>
          </w:rPr>
          <m:t>0.95=6.3%</m:t>
        </m:r>
      </m:oMath>
      <w:r w:rsidR="008A43E3" w:rsidRPr="001049E0">
        <w:rPr>
          <w:color w:val="auto"/>
          <w:szCs w:val="24"/>
        </w:rPr>
        <w:t xml:space="preserve"> and the 2020 target would be </w:t>
      </w:r>
      <m:oMath>
        <m:r>
          <w:rPr>
            <w:rFonts w:ascii="Cambria Math" w:hAnsi="Cambria Math"/>
            <w:color w:val="auto"/>
            <w:szCs w:val="24"/>
          </w:rPr>
          <m:t>(0.95-0.89)/0.95=10.5%</m:t>
        </m:r>
      </m:oMath>
    </w:p>
    <w:p w14:paraId="1EBAF94C" w14:textId="77777777" w:rsidR="00D446AD" w:rsidRDefault="002737EF" w:rsidP="00FF0098">
      <w:pPr>
        <w:tabs>
          <w:tab w:val="left" w:pos="0"/>
        </w:tabs>
        <w:spacing w:after="173"/>
        <w:ind w:right="182"/>
        <w:rPr>
          <w:color w:val="auto"/>
        </w:rPr>
      </w:pPr>
      <w:r>
        <w:rPr>
          <w:color w:val="auto"/>
          <w:szCs w:val="24"/>
        </w:rPr>
        <w:t xml:space="preserve">This </w:t>
      </w:r>
      <w:r>
        <w:rPr>
          <w:color w:val="auto"/>
        </w:rPr>
        <w:t xml:space="preserve">process </w:t>
      </w:r>
      <w:r>
        <w:rPr>
          <w:color w:val="auto"/>
          <w:szCs w:val="24"/>
        </w:rPr>
        <w:t xml:space="preserve">is followed </w:t>
      </w:r>
      <w:r>
        <w:rPr>
          <w:color w:val="auto"/>
        </w:rPr>
        <w:t xml:space="preserve">unless the target calculated for the next target period </w:t>
      </w:r>
      <w:r>
        <w:rPr>
          <w:color w:val="auto"/>
          <w:szCs w:val="24"/>
        </w:rPr>
        <w:t>implies a</w:t>
      </w:r>
      <w:r>
        <w:rPr>
          <w:color w:val="auto"/>
        </w:rPr>
        <w:t xml:space="preserve"> lower </w:t>
      </w:r>
      <w:r>
        <w:rPr>
          <w:color w:val="auto"/>
          <w:szCs w:val="24"/>
        </w:rPr>
        <w:t xml:space="preserve">level of performance (that is, less improvement with respect to the base year) </w:t>
      </w:r>
      <w:r>
        <w:rPr>
          <w:color w:val="auto"/>
        </w:rPr>
        <w:t xml:space="preserve">than the most recent performance achieved by the new entrant. </w:t>
      </w:r>
      <w:r>
        <w:rPr>
          <w:color w:val="auto"/>
          <w:szCs w:val="24"/>
        </w:rPr>
        <w:t>Using</w:t>
      </w:r>
      <w:r>
        <w:rPr>
          <w:color w:val="auto"/>
        </w:rPr>
        <w:t xml:space="preserve"> the </w:t>
      </w:r>
      <w:r>
        <w:rPr>
          <w:color w:val="auto"/>
          <w:szCs w:val="24"/>
        </w:rPr>
        <w:t>example sector</w:t>
      </w:r>
      <w:r>
        <w:rPr>
          <w:color w:val="auto"/>
        </w:rPr>
        <w:t xml:space="preserve"> target </w:t>
      </w:r>
      <w:r>
        <w:rPr>
          <w:color w:val="auto"/>
          <w:szCs w:val="24"/>
        </w:rPr>
        <w:t>profile given above,</w:t>
      </w:r>
      <w:r>
        <w:rPr>
          <w:color w:val="auto"/>
        </w:rPr>
        <w:t xml:space="preserve"> if </w:t>
      </w:r>
      <w:r>
        <w:rPr>
          <w:color w:val="auto"/>
          <w:szCs w:val="24"/>
        </w:rPr>
        <w:t>a</w:t>
      </w:r>
      <w:r>
        <w:rPr>
          <w:color w:val="auto"/>
        </w:rPr>
        <w:t xml:space="preserve"> new entrant with a base year of 2008 joining the scheme in 2015 achieved </w:t>
      </w:r>
      <w:r>
        <w:rPr>
          <w:color w:val="auto"/>
          <w:szCs w:val="24"/>
        </w:rPr>
        <w:t>a</w:t>
      </w:r>
      <w:r>
        <w:rPr>
          <w:color w:val="auto"/>
        </w:rPr>
        <w:t xml:space="preserve"> performance improvement of 7% between 2008 and 2015, </w:t>
      </w:r>
      <w:r>
        <w:rPr>
          <w:color w:val="auto"/>
          <w:szCs w:val="24"/>
        </w:rPr>
        <w:t xml:space="preserve">then </w:t>
      </w:r>
      <w:r>
        <w:rPr>
          <w:color w:val="auto"/>
        </w:rPr>
        <w:t xml:space="preserve">the </w:t>
      </w:r>
      <w:r>
        <w:rPr>
          <w:color w:val="auto"/>
          <w:szCs w:val="24"/>
        </w:rPr>
        <w:t xml:space="preserve">percentage improvement for </w:t>
      </w:r>
      <w:r>
        <w:rPr>
          <w:color w:val="auto"/>
        </w:rPr>
        <w:t xml:space="preserve">2016 </w:t>
      </w:r>
      <w:r>
        <w:rPr>
          <w:color w:val="auto"/>
          <w:szCs w:val="24"/>
        </w:rPr>
        <w:t>compared with 2008 will not be 7% because this level of improvement</w:t>
      </w:r>
      <w:r>
        <w:rPr>
          <w:color w:val="auto"/>
        </w:rPr>
        <w:t xml:space="preserve"> has already been achieved. In this case the </w:t>
      </w:r>
      <w:r>
        <w:rPr>
          <w:color w:val="auto"/>
          <w:szCs w:val="24"/>
        </w:rPr>
        <w:t xml:space="preserve">percentage improvement </w:t>
      </w:r>
      <w:r>
        <w:rPr>
          <w:color w:val="auto"/>
        </w:rPr>
        <w:t xml:space="preserve">target </w:t>
      </w:r>
      <w:r>
        <w:rPr>
          <w:color w:val="auto"/>
          <w:szCs w:val="24"/>
        </w:rPr>
        <w:t>for 2016 is</w:t>
      </w:r>
      <w:r>
        <w:rPr>
          <w:color w:val="auto"/>
        </w:rPr>
        <w:t xml:space="preserve"> given by</w:t>
      </w:r>
    </w:p>
    <w:p w14:paraId="6F49ECD6" w14:textId="45A9D0C5" w:rsidR="00026E66" w:rsidRDefault="002737EF" w:rsidP="00FF0098">
      <w:pPr>
        <w:tabs>
          <w:tab w:val="left" w:pos="0"/>
        </w:tabs>
        <w:spacing w:after="173"/>
        <w:ind w:right="182"/>
      </w:pPr>
      <m:oMathPara>
        <m:oMath>
          <m:r>
            <w:rPr>
              <w:rFonts w:ascii="Cambria Math" w:hAnsi="Cambria Math"/>
            </w:rPr>
            <w:lastRenderedPageBreak/>
            <m:t>1-</m:t>
          </m:r>
          <m:d>
            <m:dPr>
              <m:ctrlPr>
                <w:rPr>
                  <w:rFonts w:ascii="Cambria Math" w:hAnsi="Cambria Math"/>
                </w:rPr>
              </m:ctrlPr>
            </m:dPr>
            <m:e>
              <m:r>
                <w:rPr>
                  <w:rFonts w:ascii="Cambria Math" w:hAnsi="Cambria Math"/>
                </w:rPr>
                <m:t>0.93×</m:t>
              </m:r>
              <m:f>
                <m:fPr>
                  <m:ctrlPr>
                    <w:rPr>
                      <w:rFonts w:ascii="Cambria Math" w:hAnsi="Cambria Math"/>
                    </w:rPr>
                  </m:ctrlPr>
                </m:fPr>
                <m:num>
                  <m:r>
                    <w:rPr>
                      <w:rFonts w:ascii="Cambria Math" w:hAnsi="Cambria Math"/>
                    </w:rPr>
                    <m:t>0.93</m:t>
                  </m:r>
                </m:num>
                <m:den>
                  <m:r>
                    <w:rPr>
                      <w:rFonts w:ascii="Cambria Math" w:hAnsi="Cambria Math"/>
                    </w:rPr>
                    <m:t>0.95</m:t>
                  </m:r>
                </m:den>
              </m:f>
            </m:e>
          </m:d>
          <m:r>
            <w:rPr>
              <w:rFonts w:ascii="Cambria Math" w:hAnsi="Cambria Math"/>
            </w:rPr>
            <m:t>=8.96%</m:t>
          </m:r>
        </m:oMath>
      </m:oMathPara>
    </w:p>
    <w:p w14:paraId="020FC209" w14:textId="77777777" w:rsidR="00026E66" w:rsidRDefault="002737EF" w:rsidP="00FF0098">
      <w:pPr>
        <w:tabs>
          <w:tab w:val="left" w:pos="0"/>
        </w:tabs>
        <w:ind w:right="182"/>
        <w:rPr>
          <w:color w:val="auto"/>
        </w:rPr>
      </w:pPr>
      <w:r>
        <w:rPr>
          <w:color w:val="auto"/>
        </w:rPr>
        <w:t xml:space="preserve">where 0.93 is the actual performance in 2015 with respect to the 2008 base year and (0.93/0.95) is the ratio of performance implied by the sector commitment between 2015 and 2016. </w:t>
      </w:r>
    </w:p>
    <w:p w14:paraId="31938326" w14:textId="77777777" w:rsidR="00026E66" w:rsidRDefault="002737EF" w:rsidP="00FF0098">
      <w:pPr>
        <w:tabs>
          <w:tab w:val="left" w:pos="0"/>
        </w:tabs>
        <w:ind w:right="182"/>
        <w:rPr>
          <w:color w:val="auto"/>
          <w:szCs w:val="24"/>
        </w:rPr>
      </w:pPr>
      <w:bookmarkStart w:id="96" w:name="_4.4.3._How_to"/>
      <w:bookmarkEnd w:id="96"/>
      <w:r>
        <w:rPr>
          <w:color w:val="auto"/>
          <w:szCs w:val="24"/>
        </w:rPr>
        <w:t>TP5 has 2018 as the base year.</w:t>
      </w:r>
    </w:p>
    <w:p w14:paraId="031B2546" w14:textId="7208C055" w:rsidR="00026E66" w:rsidRDefault="002737EF" w:rsidP="00FF0098">
      <w:pPr>
        <w:tabs>
          <w:tab w:val="left" w:pos="0"/>
        </w:tabs>
        <w:ind w:right="182"/>
        <w:rPr>
          <w:color w:val="auto"/>
          <w:szCs w:val="24"/>
        </w:rPr>
      </w:pPr>
      <w:r>
        <w:rPr>
          <w:color w:val="auto"/>
          <w:szCs w:val="24"/>
        </w:rPr>
        <w:t>Selecting the correct year in the 'Target calculator' workbook tool (</w:t>
      </w:r>
      <w:hyperlink w:anchor="_Appendix_I:_The" w:history="1">
        <w:r>
          <w:rPr>
            <w:rStyle w:val="Hyperlink"/>
            <w:szCs w:val="24"/>
          </w:rPr>
          <w:t>Appendix I</w:t>
        </w:r>
      </w:hyperlink>
      <w:r>
        <w:rPr>
          <w:color w:val="auto"/>
          <w:szCs w:val="24"/>
        </w:rPr>
        <w:t xml:space="preserve">) will complete the calculation. </w:t>
      </w:r>
    </w:p>
    <w:p w14:paraId="1DD2C613" w14:textId="34BEF3FB" w:rsidR="00AB1DC4" w:rsidRDefault="00AB1DC4" w:rsidP="00FF0098">
      <w:pPr>
        <w:pStyle w:val="Heading3"/>
        <w:tabs>
          <w:tab w:val="left" w:pos="0"/>
        </w:tabs>
      </w:pPr>
      <w:bookmarkStart w:id="97" w:name="_Toc95211804"/>
      <w:r w:rsidRPr="002A007C">
        <w:t>4.4.3. How to calculate a Novem target</w:t>
      </w:r>
      <w:bookmarkEnd w:id="97"/>
      <w:r w:rsidRPr="002A007C">
        <w:t xml:space="preserve"> </w:t>
      </w:r>
    </w:p>
    <w:p w14:paraId="2119AEE0" w14:textId="77777777" w:rsidR="00164C83" w:rsidRPr="002A007C" w:rsidRDefault="00164C83" w:rsidP="00FF0098">
      <w:pPr>
        <w:tabs>
          <w:tab w:val="left" w:pos="0"/>
        </w:tabs>
        <w:ind w:right="182"/>
        <w:rPr>
          <w:color w:val="auto"/>
          <w:szCs w:val="24"/>
        </w:rPr>
      </w:pPr>
      <w:r w:rsidRPr="002A007C">
        <w:rPr>
          <w:color w:val="auto"/>
          <w:szCs w:val="24"/>
        </w:rPr>
        <w:t xml:space="preserve">The basic principle of the Novem method is that the energy used for the actual production in the target period is compared with the energy that would have been used if the same level of production and mix of products had been produced in the base year, but with the base year's level of energy efficiency. The Novem method corrects distortions in the overall SEC recorded for a facility caused by changes in product mix/output, so that the aggregate result reflects only the improvement in individual SECs. </w:t>
      </w:r>
    </w:p>
    <w:p w14:paraId="71569A78" w14:textId="77777777" w:rsidR="00164C83" w:rsidRPr="002A007C" w:rsidRDefault="00164C83" w:rsidP="00FF0098">
      <w:pPr>
        <w:tabs>
          <w:tab w:val="left" w:pos="0"/>
        </w:tabs>
        <w:ind w:right="182"/>
        <w:rPr>
          <w:color w:val="auto"/>
          <w:szCs w:val="24"/>
        </w:rPr>
      </w:pPr>
      <w:r w:rsidRPr="002A007C">
        <w:rPr>
          <w:color w:val="auto"/>
          <w:szCs w:val="24"/>
        </w:rPr>
        <w:t xml:space="preserve">The method can also be used to report overall sector performance on the basis of a common throughput where the sector has target units reporting production using different units. Separate products should be identified to the extent necessary to reflect the diversity of energy intensity of production and throughput recording units. Separate products with similar energy intensities of production and/or the same throughput measure can form one product group for which one base year SEC will be determined and for which throughput will be reported separately at the end of the target period. It is not necessary to break the target unit’s production down to separate products where these products have very similar energy intensities of production and/or the same throughput units. </w:t>
      </w:r>
    </w:p>
    <w:p w14:paraId="2270D84B" w14:textId="5CC9591F" w:rsidR="007A7512" w:rsidRDefault="00164C83" w:rsidP="00FF0098">
      <w:pPr>
        <w:tabs>
          <w:tab w:val="left" w:pos="0"/>
        </w:tabs>
        <w:ind w:right="182"/>
        <w:rPr>
          <w:color w:val="auto"/>
          <w:szCs w:val="24"/>
        </w:rPr>
      </w:pPr>
      <w:r w:rsidRPr="002A007C">
        <w:rPr>
          <w:color w:val="auto"/>
          <w:szCs w:val="24"/>
        </w:rPr>
        <w:t xml:space="preserve">The steps involved in setting a Novem target are outlined below. Table 4.2 lists some of the abbreviations and symbols used when calculating a Novem target. </w:t>
      </w:r>
    </w:p>
    <w:p w14:paraId="336CCF15" w14:textId="77777777" w:rsidR="007A7512" w:rsidRDefault="007A7512">
      <w:pPr>
        <w:suppressAutoHyphens w:val="0"/>
        <w:spacing w:before="0" w:beforeAutospacing="0" w:after="160" w:afterAutospacing="0" w:line="256" w:lineRule="auto"/>
        <w:rPr>
          <w:color w:val="auto"/>
          <w:szCs w:val="24"/>
        </w:rPr>
      </w:pPr>
      <w:r>
        <w:rPr>
          <w:color w:val="auto"/>
          <w:szCs w:val="24"/>
        </w:rPr>
        <w:br w:type="page"/>
      </w:r>
    </w:p>
    <w:p w14:paraId="0652276E" w14:textId="7C40E718" w:rsidR="00164C83" w:rsidRPr="00D446AD" w:rsidRDefault="00164C83" w:rsidP="00D446AD">
      <w:pPr>
        <w:pStyle w:val="Heading4"/>
        <w:tabs>
          <w:tab w:val="left" w:pos="0"/>
        </w:tabs>
      </w:pPr>
      <w:r w:rsidRPr="002A007C">
        <w:lastRenderedPageBreak/>
        <w:t xml:space="preserve">Table 4.2: Abbreviations and symbols used in the Novem calculation </w:t>
      </w:r>
    </w:p>
    <w:tbl>
      <w:tblPr>
        <w:tblStyle w:val="TableGrid0"/>
        <w:tblW w:w="9610" w:type="dxa"/>
        <w:tblLook w:val="04A0" w:firstRow="1" w:lastRow="0" w:firstColumn="1" w:lastColumn="0" w:noHBand="0" w:noVBand="1"/>
      </w:tblPr>
      <w:tblGrid>
        <w:gridCol w:w="4807"/>
        <w:gridCol w:w="4803"/>
      </w:tblGrid>
      <w:tr w:rsidR="00164C83" w:rsidRPr="002A007C" w14:paraId="708CE8B6" w14:textId="77777777" w:rsidTr="00D446AD">
        <w:trPr>
          <w:trHeight w:val="580"/>
        </w:trPr>
        <w:tc>
          <w:tcPr>
            <w:tcW w:w="4807" w:type="dxa"/>
          </w:tcPr>
          <w:p w14:paraId="18BF5665" w14:textId="77777777" w:rsidR="00164C83" w:rsidRPr="002A007C" w:rsidRDefault="00164C83" w:rsidP="00FF0098">
            <w:pPr>
              <w:tabs>
                <w:tab w:val="left" w:pos="0"/>
              </w:tabs>
              <w:spacing w:after="0" w:line="259" w:lineRule="auto"/>
              <w:rPr>
                <w:color w:val="auto"/>
                <w:szCs w:val="24"/>
              </w:rPr>
            </w:pPr>
            <w:r w:rsidRPr="002A007C">
              <w:rPr>
                <w:b/>
                <w:color w:val="auto"/>
                <w:szCs w:val="24"/>
              </w:rPr>
              <w:t>Description</w:t>
            </w:r>
            <w:r w:rsidRPr="002A007C">
              <w:rPr>
                <w:color w:val="auto"/>
                <w:szCs w:val="24"/>
              </w:rPr>
              <w:t xml:space="preserve"> </w:t>
            </w:r>
          </w:p>
        </w:tc>
        <w:tc>
          <w:tcPr>
            <w:tcW w:w="4803" w:type="dxa"/>
          </w:tcPr>
          <w:p w14:paraId="7F621357" w14:textId="77777777" w:rsidR="00164C83" w:rsidRPr="002A007C" w:rsidRDefault="00164C83" w:rsidP="00FF0098">
            <w:pPr>
              <w:tabs>
                <w:tab w:val="left" w:pos="0"/>
              </w:tabs>
              <w:spacing w:after="0" w:line="259" w:lineRule="auto"/>
              <w:rPr>
                <w:color w:val="auto"/>
                <w:szCs w:val="24"/>
              </w:rPr>
            </w:pPr>
            <w:r w:rsidRPr="002A007C">
              <w:rPr>
                <w:b/>
                <w:color w:val="auto"/>
                <w:szCs w:val="24"/>
              </w:rPr>
              <w:t>Unit/symbol</w:t>
            </w:r>
            <w:r w:rsidRPr="002A007C">
              <w:rPr>
                <w:color w:val="auto"/>
                <w:szCs w:val="24"/>
              </w:rPr>
              <w:t xml:space="preserve"> </w:t>
            </w:r>
          </w:p>
        </w:tc>
      </w:tr>
      <w:tr w:rsidR="00164C83" w:rsidRPr="002A007C" w14:paraId="5DC41B81" w14:textId="77777777" w:rsidTr="00D446AD">
        <w:trPr>
          <w:trHeight w:val="513"/>
        </w:trPr>
        <w:tc>
          <w:tcPr>
            <w:tcW w:w="4807" w:type="dxa"/>
          </w:tcPr>
          <w:p w14:paraId="68C894E9"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Specific energy consumption </w:t>
            </w:r>
          </w:p>
        </w:tc>
        <w:tc>
          <w:tcPr>
            <w:tcW w:w="4803" w:type="dxa"/>
          </w:tcPr>
          <w:p w14:paraId="7205A627"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SEC </w:t>
            </w:r>
          </w:p>
        </w:tc>
      </w:tr>
      <w:tr w:rsidR="00164C83" w:rsidRPr="002A007C" w14:paraId="7B9C99D5" w14:textId="77777777" w:rsidTr="00D446AD">
        <w:trPr>
          <w:trHeight w:val="541"/>
        </w:trPr>
        <w:tc>
          <w:tcPr>
            <w:tcW w:w="4807" w:type="dxa"/>
          </w:tcPr>
          <w:p w14:paraId="47600F16"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Base year specific energy consumption </w:t>
            </w:r>
          </w:p>
        </w:tc>
        <w:tc>
          <w:tcPr>
            <w:tcW w:w="4803" w:type="dxa"/>
          </w:tcPr>
          <w:p w14:paraId="4B2F960F"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SEC0 </w:t>
            </w:r>
          </w:p>
        </w:tc>
      </w:tr>
      <w:tr w:rsidR="00164C83" w:rsidRPr="002A007C" w14:paraId="308EA6F1" w14:textId="77777777" w:rsidTr="00D446AD">
        <w:trPr>
          <w:trHeight w:val="529"/>
        </w:trPr>
        <w:tc>
          <w:tcPr>
            <w:tcW w:w="4807" w:type="dxa"/>
          </w:tcPr>
          <w:p w14:paraId="41C67F28"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Base year throughput </w:t>
            </w:r>
          </w:p>
        </w:tc>
        <w:tc>
          <w:tcPr>
            <w:tcW w:w="4803" w:type="dxa"/>
          </w:tcPr>
          <w:p w14:paraId="77090841"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t0 </w:t>
            </w:r>
          </w:p>
        </w:tc>
      </w:tr>
      <w:tr w:rsidR="00164C83" w:rsidRPr="002A007C" w14:paraId="3FCA47A8" w14:textId="77777777" w:rsidTr="00D446AD">
        <w:trPr>
          <w:trHeight w:val="540"/>
        </w:trPr>
        <w:tc>
          <w:tcPr>
            <w:tcW w:w="4807" w:type="dxa"/>
          </w:tcPr>
          <w:p w14:paraId="6BA732CE"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Milestone year </w:t>
            </w:r>
          </w:p>
        </w:tc>
        <w:tc>
          <w:tcPr>
            <w:tcW w:w="4803" w:type="dxa"/>
          </w:tcPr>
          <w:p w14:paraId="0854FF14"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N </w:t>
            </w:r>
          </w:p>
        </w:tc>
      </w:tr>
      <w:tr w:rsidR="00164C83" w:rsidRPr="002A007C" w14:paraId="4FAC7231" w14:textId="77777777" w:rsidTr="00D446AD">
        <w:trPr>
          <w:trHeight w:val="528"/>
        </w:trPr>
        <w:tc>
          <w:tcPr>
            <w:tcW w:w="4807" w:type="dxa"/>
          </w:tcPr>
          <w:p w14:paraId="4E2BC402"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Target SEC in target period </w:t>
            </w:r>
          </w:p>
        </w:tc>
        <w:tc>
          <w:tcPr>
            <w:tcW w:w="4803" w:type="dxa"/>
          </w:tcPr>
          <w:p w14:paraId="000B619D" w14:textId="77777777" w:rsidR="00164C83" w:rsidRPr="002A007C" w:rsidRDefault="00164C83" w:rsidP="00FF0098">
            <w:pPr>
              <w:tabs>
                <w:tab w:val="left" w:pos="0"/>
              </w:tabs>
              <w:spacing w:after="0" w:line="259" w:lineRule="auto"/>
              <w:rPr>
                <w:color w:val="auto"/>
                <w:szCs w:val="24"/>
              </w:rPr>
            </w:pPr>
            <w:proofErr w:type="spellStart"/>
            <w:r w:rsidRPr="002A007C">
              <w:rPr>
                <w:color w:val="auto"/>
                <w:szCs w:val="24"/>
              </w:rPr>
              <w:t>SECn</w:t>
            </w:r>
            <w:proofErr w:type="spellEnd"/>
            <w:r w:rsidRPr="002A007C">
              <w:rPr>
                <w:color w:val="auto"/>
                <w:szCs w:val="24"/>
              </w:rPr>
              <w:t xml:space="preserve"> </w:t>
            </w:r>
          </w:p>
        </w:tc>
      </w:tr>
      <w:tr w:rsidR="00164C83" w:rsidRPr="002A007C" w14:paraId="5EC3D339" w14:textId="77777777" w:rsidTr="00D446AD">
        <w:trPr>
          <w:trHeight w:val="542"/>
        </w:trPr>
        <w:tc>
          <w:tcPr>
            <w:tcW w:w="4807" w:type="dxa"/>
          </w:tcPr>
          <w:p w14:paraId="25A59772"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Actual SEC in target period </w:t>
            </w:r>
          </w:p>
        </w:tc>
        <w:tc>
          <w:tcPr>
            <w:tcW w:w="4803" w:type="dxa"/>
          </w:tcPr>
          <w:p w14:paraId="5CAFC921"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SECN </w:t>
            </w:r>
          </w:p>
        </w:tc>
      </w:tr>
      <w:tr w:rsidR="00164C83" w:rsidRPr="002A007C" w14:paraId="236BF63B" w14:textId="77777777" w:rsidTr="00D446AD">
        <w:trPr>
          <w:trHeight w:val="529"/>
        </w:trPr>
        <w:tc>
          <w:tcPr>
            <w:tcW w:w="4807" w:type="dxa"/>
          </w:tcPr>
          <w:p w14:paraId="198B228D"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Actual throughput in target period </w:t>
            </w:r>
          </w:p>
        </w:tc>
        <w:tc>
          <w:tcPr>
            <w:tcW w:w="4803" w:type="dxa"/>
          </w:tcPr>
          <w:p w14:paraId="09B943D5" w14:textId="77777777" w:rsidR="00164C83" w:rsidRPr="002A007C" w:rsidRDefault="00164C83" w:rsidP="00FF0098">
            <w:pPr>
              <w:tabs>
                <w:tab w:val="left" w:pos="0"/>
              </w:tabs>
              <w:spacing w:after="0" w:line="259" w:lineRule="auto"/>
              <w:rPr>
                <w:color w:val="auto"/>
                <w:szCs w:val="24"/>
              </w:rPr>
            </w:pPr>
            <w:proofErr w:type="spellStart"/>
            <w:r w:rsidRPr="002A007C">
              <w:rPr>
                <w:color w:val="auto"/>
                <w:szCs w:val="24"/>
              </w:rPr>
              <w:t>tN</w:t>
            </w:r>
            <w:proofErr w:type="spellEnd"/>
            <w:r w:rsidRPr="002A007C">
              <w:rPr>
                <w:color w:val="auto"/>
                <w:szCs w:val="24"/>
              </w:rPr>
              <w:t xml:space="preserve"> </w:t>
            </w:r>
          </w:p>
        </w:tc>
      </w:tr>
      <w:tr w:rsidR="00164C83" w:rsidRPr="002A007C" w14:paraId="575AB20A" w14:textId="77777777" w:rsidTr="00D446AD">
        <w:trPr>
          <w:trHeight w:val="558"/>
        </w:trPr>
        <w:tc>
          <w:tcPr>
            <w:tcW w:w="4807" w:type="dxa"/>
          </w:tcPr>
          <w:p w14:paraId="7FD20395"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Sum of </w:t>
            </w:r>
          </w:p>
        </w:tc>
        <w:tc>
          <w:tcPr>
            <w:tcW w:w="4803" w:type="dxa"/>
          </w:tcPr>
          <w:p w14:paraId="36E05647" w14:textId="77777777" w:rsidR="00164C83" w:rsidRPr="002A007C" w:rsidRDefault="00164C83" w:rsidP="00FF0098">
            <w:pPr>
              <w:tabs>
                <w:tab w:val="left" w:pos="0"/>
              </w:tabs>
              <w:spacing w:after="0" w:line="259" w:lineRule="auto"/>
              <w:rPr>
                <w:color w:val="auto"/>
                <w:szCs w:val="24"/>
              </w:rPr>
            </w:pPr>
            <w:r w:rsidRPr="002A007C">
              <w:rPr>
                <w:rFonts w:eastAsia="Segoe UI Symbol"/>
                <w:color w:val="auto"/>
                <w:szCs w:val="24"/>
              </w:rPr>
              <w:t>∑</w:t>
            </w:r>
          </w:p>
        </w:tc>
      </w:tr>
      <w:tr w:rsidR="00164C83" w:rsidRPr="002A007C" w14:paraId="05E75BD0" w14:textId="77777777" w:rsidTr="00D446AD">
        <w:trPr>
          <w:trHeight w:val="530"/>
        </w:trPr>
        <w:tc>
          <w:tcPr>
            <w:tcW w:w="4807" w:type="dxa"/>
          </w:tcPr>
          <w:p w14:paraId="4D6D1814" w14:textId="77777777" w:rsidR="00164C83" w:rsidRPr="00771B6F" w:rsidRDefault="00164C83" w:rsidP="00FF0098">
            <w:pPr>
              <w:tabs>
                <w:tab w:val="left" w:pos="0"/>
              </w:tabs>
              <w:spacing w:after="0" w:line="259" w:lineRule="auto"/>
              <w:rPr>
                <w:bCs/>
                <w:color w:val="auto"/>
                <w:szCs w:val="24"/>
              </w:rPr>
            </w:pPr>
            <w:r w:rsidRPr="00771B6F">
              <w:rPr>
                <w:bCs/>
                <w:color w:val="auto"/>
                <w:szCs w:val="24"/>
              </w:rPr>
              <w:t xml:space="preserve">Answer </w:t>
            </w:r>
          </w:p>
        </w:tc>
        <w:tc>
          <w:tcPr>
            <w:tcW w:w="4803" w:type="dxa"/>
          </w:tcPr>
          <w:p w14:paraId="6D418710"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r>
    </w:tbl>
    <w:p w14:paraId="17B9FCBA" w14:textId="60EE8365" w:rsidR="00164C83" w:rsidRPr="002A007C" w:rsidRDefault="00164C83" w:rsidP="00FF0098">
      <w:pPr>
        <w:tabs>
          <w:tab w:val="left" w:pos="0"/>
        </w:tabs>
        <w:spacing w:after="35" w:line="259" w:lineRule="auto"/>
        <w:rPr>
          <w:color w:val="auto"/>
          <w:szCs w:val="24"/>
        </w:rPr>
      </w:pPr>
    </w:p>
    <w:p w14:paraId="55212DF5" w14:textId="77777777" w:rsidR="00164C83" w:rsidRPr="00D446AD" w:rsidRDefault="00164C83" w:rsidP="00D446AD">
      <w:pPr>
        <w:pStyle w:val="Heading4"/>
      </w:pPr>
      <w:r w:rsidRPr="00D446AD">
        <w:t xml:space="preserve">Setting a Novem target for new entrants </w:t>
      </w:r>
    </w:p>
    <w:p w14:paraId="74ECE74B" w14:textId="77777777" w:rsidR="00164C83" w:rsidRPr="00E955A3" w:rsidRDefault="00164C83" w:rsidP="0065356B">
      <w:pPr>
        <w:pStyle w:val="ListParagraph"/>
        <w:numPr>
          <w:ilvl w:val="0"/>
          <w:numId w:val="41"/>
        </w:numPr>
        <w:tabs>
          <w:tab w:val="left" w:pos="0"/>
        </w:tabs>
        <w:suppressAutoHyphens w:val="0"/>
        <w:autoSpaceDN/>
        <w:spacing w:after="91" w:line="247" w:lineRule="auto"/>
        <w:ind w:right="182"/>
        <w:rPr>
          <w:szCs w:val="24"/>
        </w:rPr>
      </w:pPr>
      <w:r w:rsidRPr="00E955A3">
        <w:rPr>
          <w:szCs w:val="24"/>
        </w:rPr>
        <w:t>Obtain the values for the base year SEC</w:t>
      </w:r>
      <m:oMath>
        <m:r>
          <w:rPr>
            <w:rFonts w:ascii="Cambria Math" w:hAnsi="Cambria Math"/>
            <w:szCs w:val="24"/>
          </w:rPr>
          <m:t xml:space="preserve"> (SEC</m:t>
        </m:r>
        <m:r>
          <w:rPr>
            <w:rFonts w:ascii="Cambria Math" w:hAnsi="Cambria Math"/>
            <w:szCs w:val="24"/>
            <w:vertAlign w:val="subscript"/>
          </w:rPr>
          <m:t>0</m:t>
        </m:r>
        <m:r>
          <w:rPr>
            <w:rFonts w:ascii="Cambria Math" w:hAnsi="Cambria Math"/>
            <w:szCs w:val="24"/>
          </w:rPr>
          <m:t>)</m:t>
        </m:r>
      </m:oMath>
      <w:r w:rsidRPr="00E955A3">
        <w:rPr>
          <w:szCs w:val="24"/>
        </w:rPr>
        <w:t xml:space="preserve">, target SEC </w:t>
      </w:r>
      <m:oMath>
        <m:r>
          <w:rPr>
            <w:rFonts w:ascii="Cambria Math" w:hAnsi="Cambria Math"/>
            <w:szCs w:val="24"/>
          </w:rPr>
          <m:t>(SEC</m:t>
        </m:r>
        <m:r>
          <w:rPr>
            <w:rFonts w:ascii="Cambria Math" w:hAnsi="Cambria Math"/>
            <w:szCs w:val="24"/>
            <w:vertAlign w:val="subscript"/>
          </w:rPr>
          <m:t>n</m:t>
        </m:r>
        <m:r>
          <w:rPr>
            <w:rFonts w:ascii="Cambria Math" w:hAnsi="Cambria Math"/>
            <w:szCs w:val="24"/>
          </w:rPr>
          <m:t>)</m:t>
        </m:r>
      </m:oMath>
      <w:r w:rsidRPr="00E955A3">
        <w:rPr>
          <w:szCs w:val="24"/>
        </w:rPr>
        <w:t xml:space="preserve"> and throughput </w:t>
      </w:r>
      <m:oMath>
        <m:r>
          <w:rPr>
            <w:rFonts w:ascii="Cambria Math" w:hAnsi="Cambria Math"/>
            <w:szCs w:val="24"/>
          </w:rPr>
          <m:t>(t</m:t>
        </m:r>
        <m:r>
          <w:rPr>
            <w:rFonts w:ascii="Cambria Math" w:hAnsi="Cambria Math"/>
            <w:szCs w:val="24"/>
            <w:vertAlign w:val="subscript"/>
          </w:rPr>
          <m:t xml:space="preserve">0 </m:t>
        </m:r>
        <m:r>
          <w:rPr>
            <w:rFonts w:ascii="Cambria Math" w:hAnsi="Cambria Math"/>
            <w:szCs w:val="24"/>
          </w:rPr>
          <m:t>and t</m:t>
        </m:r>
        <m:r>
          <w:rPr>
            <w:rFonts w:ascii="Cambria Math" w:hAnsi="Cambria Math"/>
            <w:szCs w:val="24"/>
            <w:vertAlign w:val="subscript"/>
          </w:rPr>
          <m:t>N</m:t>
        </m:r>
        <m:r>
          <w:rPr>
            <w:rFonts w:ascii="Cambria Math" w:hAnsi="Cambria Math"/>
            <w:szCs w:val="24"/>
          </w:rPr>
          <m:t>)</m:t>
        </m:r>
      </m:oMath>
      <w:r w:rsidRPr="00E955A3">
        <w:rPr>
          <w:szCs w:val="24"/>
        </w:rPr>
        <w:t xml:space="preserve">. </w:t>
      </w:r>
    </w:p>
    <w:p w14:paraId="3F72198A" w14:textId="77777777" w:rsidR="00164C83" w:rsidRPr="00E955A3" w:rsidRDefault="00164C83" w:rsidP="0065356B">
      <w:pPr>
        <w:pStyle w:val="ListParagraph"/>
        <w:numPr>
          <w:ilvl w:val="0"/>
          <w:numId w:val="41"/>
        </w:numPr>
        <w:tabs>
          <w:tab w:val="left" w:pos="0"/>
        </w:tabs>
        <w:suppressAutoHyphens w:val="0"/>
        <w:autoSpaceDN/>
        <w:spacing w:after="78" w:line="247" w:lineRule="auto"/>
        <w:ind w:right="182"/>
        <w:rPr>
          <w:szCs w:val="24"/>
        </w:rPr>
      </w:pPr>
      <w:r w:rsidRPr="00E955A3">
        <w:rPr>
          <w:szCs w:val="24"/>
        </w:rPr>
        <w:t xml:space="preserve">Calculate the energy </w:t>
      </w:r>
      <m:oMath>
        <m:r>
          <w:rPr>
            <w:rFonts w:ascii="Cambria Math" w:hAnsi="Cambria Math"/>
            <w:szCs w:val="24"/>
          </w:rPr>
          <m:t>(SEC × t)</m:t>
        </m:r>
      </m:oMath>
      <w:r w:rsidRPr="00E955A3">
        <w:rPr>
          <w:szCs w:val="24"/>
        </w:rPr>
        <w:t xml:space="preserve"> for each product. </w:t>
      </w:r>
    </w:p>
    <w:p w14:paraId="174A8F30" w14:textId="77777777" w:rsidR="00164C83" w:rsidRPr="00E955A3" w:rsidRDefault="00164C83" w:rsidP="0065356B">
      <w:pPr>
        <w:pStyle w:val="ListParagraph"/>
        <w:numPr>
          <w:ilvl w:val="0"/>
          <w:numId w:val="41"/>
        </w:numPr>
        <w:tabs>
          <w:tab w:val="left" w:pos="0"/>
        </w:tabs>
        <w:suppressAutoHyphens w:val="0"/>
        <w:autoSpaceDN/>
        <w:spacing w:after="152" w:line="247" w:lineRule="auto"/>
        <w:ind w:right="182"/>
        <w:rPr>
          <w:szCs w:val="24"/>
        </w:rPr>
      </w:pPr>
      <w:r w:rsidRPr="00E955A3">
        <w:rPr>
          <w:szCs w:val="24"/>
        </w:rPr>
        <w:t xml:space="preserve">Add up the base year SEC and target energy for your total products. </w:t>
      </w:r>
    </w:p>
    <w:p w14:paraId="2263E5ED" w14:textId="77777777" w:rsidR="00164C83" w:rsidRPr="002A007C" w:rsidRDefault="00164C83" w:rsidP="00FF0098">
      <w:pPr>
        <w:tabs>
          <w:tab w:val="left" w:pos="0"/>
        </w:tabs>
        <w:spacing w:after="11"/>
        <w:ind w:right="182"/>
        <w:rPr>
          <w:color w:val="auto"/>
          <w:szCs w:val="24"/>
        </w:rPr>
      </w:pPr>
      <w:r w:rsidRPr="002A007C">
        <w:rPr>
          <w:color w:val="auto"/>
          <w:szCs w:val="24"/>
        </w:rPr>
        <w:t xml:space="preserve">Note the letter assigned to each field for later calculations. </w:t>
      </w:r>
    </w:p>
    <w:tbl>
      <w:tblPr>
        <w:tblStyle w:val="TableGrid0"/>
        <w:tblW w:w="9626" w:type="dxa"/>
        <w:tblLook w:val="04A0" w:firstRow="1" w:lastRow="0" w:firstColumn="1" w:lastColumn="0" w:noHBand="0" w:noVBand="1"/>
      </w:tblPr>
      <w:tblGrid>
        <w:gridCol w:w="1502"/>
        <w:gridCol w:w="1182"/>
        <w:gridCol w:w="1435"/>
        <w:gridCol w:w="1389"/>
        <w:gridCol w:w="1644"/>
        <w:gridCol w:w="1217"/>
        <w:gridCol w:w="1257"/>
      </w:tblGrid>
      <w:tr w:rsidR="00164C83" w:rsidRPr="00771B6F" w14:paraId="7F38DAC7" w14:textId="77777777" w:rsidTr="00771B6F">
        <w:trPr>
          <w:trHeight w:val="540"/>
        </w:trPr>
        <w:tc>
          <w:tcPr>
            <w:tcW w:w="1549" w:type="dxa"/>
          </w:tcPr>
          <w:p w14:paraId="6D78857E" w14:textId="2A63BA7D" w:rsidR="00164C83" w:rsidRPr="00771B6F" w:rsidRDefault="00164C83" w:rsidP="00FF0098">
            <w:pPr>
              <w:tabs>
                <w:tab w:val="left" w:pos="0"/>
              </w:tabs>
              <w:spacing w:after="0" w:line="259" w:lineRule="auto"/>
              <w:rPr>
                <w:b/>
                <w:bCs/>
                <w:color w:val="auto"/>
                <w:szCs w:val="24"/>
              </w:rPr>
            </w:pPr>
            <w:r w:rsidRPr="00771B6F">
              <w:rPr>
                <w:rFonts w:eastAsia="Calibri"/>
                <w:b/>
                <w:bCs/>
                <w:color w:val="auto"/>
                <w:szCs w:val="24"/>
              </w:rPr>
              <w:t>Energy</w:t>
            </w:r>
          </w:p>
        </w:tc>
        <w:tc>
          <w:tcPr>
            <w:tcW w:w="1202" w:type="dxa"/>
          </w:tcPr>
          <w:p w14:paraId="43A62F28" w14:textId="77777777" w:rsidR="00164C83" w:rsidRPr="00771B6F" w:rsidRDefault="00164C83" w:rsidP="00FF0098">
            <w:pPr>
              <w:tabs>
                <w:tab w:val="left" w:pos="0"/>
              </w:tabs>
              <w:spacing w:after="0" w:line="259" w:lineRule="auto"/>
              <w:rPr>
                <w:b/>
                <w:bCs/>
                <w:color w:val="auto"/>
                <w:szCs w:val="24"/>
              </w:rPr>
            </w:pPr>
            <w:r w:rsidRPr="00771B6F">
              <w:rPr>
                <w:rFonts w:eastAsia="Calibri"/>
                <w:b/>
                <w:bCs/>
                <w:color w:val="auto"/>
                <w:szCs w:val="24"/>
              </w:rPr>
              <w:t xml:space="preserve"> Values</w:t>
            </w:r>
          </w:p>
        </w:tc>
        <w:tc>
          <w:tcPr>
            <w:tcW w:w="1467" w:type="dxa"/>
          </w:tcPr>
          <w:p w14:paraId="596BD916"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Product 1 </w:t>
            </w:r>
          </w:p>
        </w:tc>
        <w:tc>
          <w:tcPr>
            <w:tcW w:w="1416" w:type="dxa"/>
          </w:tcPr>
          <w:p w14:paraId="19740CBE"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Product 2 </w:t>
            </w:r>
          </w:p>
        </w:tc>
        <w:tc>
          <w:tcPr>
            <w:tcW w:w="1658" w:type="dxa"/>
          </w:tcPr>
          <w:p w14:paraId="14199025"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Calculation </w:t>
            </w:r>
          </w:p>
        </w:tc>
        <w:tc>
          <w:tcPr>
            <w:tcW w:w="1266" w:type="dxa"/>
          </w:tcPr>
          <w:p w14:paraId="33BB9AFB"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Sum (∑) </w:t>
            </w:r>
          </w:p>
        </w:tc>
        <w:tc>
          <w:tcPr>
            <w:tcW w:w="1068" w:type="dxa"/>
          </w:tcPr>
          <w:p w14:paraId="3F356A39" w14:textId="77777777" w:rsidR="00164C83" w:rsidRPr="00771B6F" w:rsidRDefault="00164C83" w:rsidP="00FF0098">
            <w:pPr>
              <w:tabs>
                <w:tab w:val="left" w:pos="0"/>
              </w:tabs>
              <w:spacing w:after="0" w:line="259" w:lineRule="auto"/>
              <w:rPr>
                <w:b/>
                <w:bCs/>
                <w:color w:val="auto"/>
                <w:szCs w:val="24"/>
              </w:rPr>
            </w:pPr>
            <w:r w:rsidRPr="00771B6F">
              <w:rPr>
                <w:rFonts w:eastAsia="Calibri"/>
                <w:b/>
                <w:bCs/>
                <w:color w:val="auto"/>
                <w:szCs w:val="24"/>
              </w:rPr>
              <w:t xml:space="preserve"> Letter assigned</w:t>
            </w:r>
          </w:p>
        </w:tc>
      </w:tr>
      <w:tr w:rsidR="00164C83" w:rsidRPr="002A007C" w14:paraId="264A25CE" w14:textId="77777777" w:rsidTr="00771B6F">
        <w:trPr>
          <w:trHeight w:val="778"/>
        </w:trPr>
        <w:tc>
          <w:tcPr>
            <w:tcW w:w="1549" w:type="dxa"/>
          </w:tcPr>
          <w:p w14:paraId="432E0ED6"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Base year energy </w:t>
            </w:r>
          </w:p>
        </w:tc>
        <w:tc>
          <w:tcPr>
            <w:tcW w:w="1202" w:type="dxa"/>
          </w:tcPr>
          <w:p w14:paraId="58FBFC09" w14:textId="30560F8C" w:rsidR="00164C83" w:rsidRPr="002A007C" w:rsidRDefault="00771B6F" w:rsidP="00FF0098">
            <w:pPr>
              <w:tabs>
                <w:tab w:val="left" w:pos="0"/>
              </w:tabs>
              <w:spacing w:after="26" w:line="259" w:lineRule="auto"/>
              <w:rPr>
                <w:color w:val="auto"/>
                <w:szCs w:val="24"/>
              </w:rPr>
            </w:pPr>
            <m:oMathPara>
              <m:oMath>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0</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t</m:t>
                    </m:r>
                  </m:e>
                  <m:sub>
                    <m:r>
                      <w:rPr>
                        <w:rFonts w:ascii="Cambria Math" w:hAnsi="Cambria Math"/>
                        <w:color w:val="auto"/>
                        <w:szCs w:val="24"/>
                      </w:rPr>
                      <m:t>0</m:t>
                    </m:r>
                  </m:sub>
                </m:sSub>
              </m:oMath>
            </m:oMathPara>
          </w:p>
        </w:tc>
        <w:tc>
          <w:tcPr>
            <w:tcW w:w="1467" w:type="dxa"/>
          </w:tcPr>
          <w:p w14:paraId="77AD2FF3" w14:textId="01853452" w:rsidR="00164C83" w:rsidRPr="002A007C" w:rsidRDefault="00164C83" w:rsidP="00581CC8">
            <w:pPr>
              <w:tabs>
                <w:tab w:val="left" w:pos="0"/>
              </w:tabs>
              <w:spacing w:after="8" w:line="259" w:lineRule="auto"/>
              <w:rPr>
                <w:color w:val="auto"/>
                <w:szCs w:val="24"/>
              </w:rPr>
            </w:pPr>
            <w:r w:rsidRPr="002A007C">
              <w:rPr>
                <w:color w:val="auto"/>
                <w:szCs w:val="24"/>
              </w:rPr>
              <w:t xml:space="preserve">… </w:t>
            </w:r>
          </w:p>
        </w:tc>
        <w:tc>
          <w:tcPr>
            <w:tcW w:w="1416" w:type="dxa"/>
          </w:tcPr>
          <w:p w14:paraId="35564B30"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658" w:type="dxa"/>
          </w:tcPr>
          <w:p w14:paraId="4A8F409C" w14:textId="0B6B5AB9" w:rsidR="00164C83" w:rsidRPr="002A007C" w:rsidRDefault="00164C83" w:rsidP="00FF0098">
            <w:pPr>
              <w:tabs>
                <w:tab w:val="left" w:pos="0"/>
              </w:tabs>
              <w:spacing w:after="32" w:line="259" w:lineRule="auto"/>
              <w:rPr>
                <w:color w:val="auto"/>
                <w:szCs w:val="24"/>
              </w:rPr>
            </w:pPr>
            <w:r w:rsidRPr="002A007C">
              <w:rPr>
                <w:color w:val="auto"/>
                <w:szCs w:val="24"/>
              </w:rPr>
              <w:t xml:space="preserve"> </w:t>
            </w:r>
            <m:oMath>
              <m:nary>
                <m:naryPr>
                  <m:chr m:val="∑"/>
                  <m:limLoc m:val="undOvr"/>
                  <m:subHide m:val="1"/>
                  <m:supHide m:val="1"/>
                  <m:ctrlPr>
                    <w:rPr>
                      <w:rFonts w:ascii="Cambria Math" w:hAnsi="Cambria Math"/>
                      <w:i/>
                      <w:color w:val="auto"/>
                      <w:szCs w:val="24"/>
                    </w:rPr>
                  </m:ctrlPr>
                </m:naryPr>
                <m:sub/>
                <m:sup/>
                <m:e>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0</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t</m:t>
                      </m:r>
                    </m:e>
                    <m:sub>
                      <m:r>
                        <w:rPr>
                          <w:rFonts w:ascii="Cambria Math" w:hAnsi="Cambria Math"/>
                          <w:color w:val="auto"/>
                          <w:szCs w:val="24"/>
                        </w:rPr>
                        <m:t>0</m:t>
                      </m:r>
                    </m:sub>
                  </m:sSub>
                </m:e>
              </m:nary>
            </m:oMath>
          </w:p>
        </w:tc>
        <w:tc>
          <w:tcPr>
            <w:tcW w:w="1266" w:type="dxa"/>
          </w:tcPr>
          <w:p w14:paraId="66A9EDB9"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068" w:type="dxa"/>
          </w:tcPr>
          <w:p w14:paraId="6385FD0F"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A </w:t>
            </w:r>
          </w:p>
        </w:tc>
      </w:tr>
      <w:tr w:rsidR="00164C83" w:rsidRPr="002A007C" w14:paraId="52402122" w14:textId="77777777" w:rsidTr="00771B6F">
        <w:trPr>
          <w:trHeight w:val="542"/>
        </w:trPr>
        <w:tc>
          <w:tcPr>
            <w:tcW w:w="1549" w:type="dxa"/>
          </w:tcPr>
          <w:p w14:paraId="05992542"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Target energy </w:t>
            </w:r>
          </w:p>
        </w:tc>
        <w:tc>
          <w:tcPr>
            <w:tcW w:w="1202" w:type="dxa"/>
          </w:tcPr>
          <w:p w14:paraId="5F370B26" w14:textId="07EE3685" w:rsidR="00164C83" w:rsidRPr="002A007C" w:rsidRDefault="00771B6F" w:rsidP="00FF0098">
            <w:pPr>
              <w:tabs>
                <w:tab w:val="left" w:pos="0"/>
              </w:tabs>
              <w:spacing w:after="0" w:line="259" w:lineRule="auto"/>
              <w:rPr>
                <w:color w:val="auto"/>
                <w:szCs w:val="24"/>
              </w:rPr>
            </w:pPr>
            <m:oMathPara>
              <m:oMath>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n</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t</m:t>
                    </m:r>
                  </m:e>
                  <m:sub>
                    <m:r>
                      <w:rPr>
                        <w:rFonts w:ascii="Cambria Math" w:hAnsi="Cambria Math"/>
                        <w:color w:val="auto"/>
                        <w:szCs w:val="24"/>
                      </w:rPr>
                      <m:t>0</m:t>
                    </m:r>
                  </m:sub>
                </m:sSub>
              </m:oMath>
            </m:oMathPara>
          </w:p>
        </w:tc>
        <w:tc>
          <w:tcPr>
            <w:tcW w:w="1467" w:type="dxa"/>
          </w:tcPr>
          <w:p w14:paraId="5DB39728"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416" w:type="dxa"/>
          </w:tcPr>
          <w:p w14:paraId="4DBAB804"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658" w:type="dxa"/>
          </w:tcPr>
          <w:p w14:paraId="0F324D2B" w14:textId="3C05442B" w:rsidR="00164C83" w:rsidRPr="002A007C" w:rsidRDefault="00000000" w:rsidP="00FF0098">
            <w:pPr>
              <w:tabs>
                <w:tab w:val="left" w:pos="0"/>
              </w:tabs>
              <w:spacing w:after="0" w:line="259" w:lineRule="auto"/>
              <w:rPr>
                <w:color w:val="auto"/>
                <w:szCs w:val="24"/>
              </w:rPr>
            </w:pPr>
            <m:oMath>
              <m:nary>
                <m:naryPr>
                  <m:chr m:val="∑"/>
                  <m:limLoc m:val="undOvr"/>
                  <m:subHide m:val="1"/>
                  <m:supHide m:val="1"/>
                  <m:ctrlPr>
                    <w:rPr>
                      <w:rFonts w:ascii="Cambria Math" w:hAnsi="Cambria Math"/>
                      <w:i/>
                      <w:color w:val="auto"/>
                      <w:szCs w:val="24"/>
                    </w:rPr>
                  </m:ctrlPr>
                </m:naryPr>
                <m:sub/>
                <m:sup/>
                <m:e>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n</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t</m:t>
                      </m:r>
                    </m:e>
                    <m:sub>
                      <m:r>
                        <w:rPr>
                          <w:rFonts w:ascii="Cambria Math" w:hAnsi="Cambria Math"/>
                          <w:color w:val="auto"/>
                          <w:szCs w:val="24"/>
                        </w:rPr>
                        <m:t>0</m:t>
                      </m:r>
                    </m:sub>
                  </m:sSub>
                </m:e>
              </m:nary>
            </m:oMath>
            <w:r w:rsidR="00164C83" w:rsidRPr="002A007C">
              <w:rPr>
                <w:color w:val="auto"/>
                <w:szCs w:val="24"/>
              </w:rPr>
              <w:t xml:space="preserve"> </w:t>
            </w:r>
          </w:p>
        </w:tc>
        <w:tc>
          <w:tcPr>
            <w:tcW w:w="1266" w:type="dxa"/>
          </w:tcPr>
          <w:p w14:paraId="17C72AB0"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068" w:type="dxa"/>
          </w:tcPr>
          <w:p w14:paraId="4EBD6107"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B </w:t>
            </w:r>
          </w:p>
        </w:tc>
      </w:tr>
    </w:tbl>
    <w:p w14:paraId="282D461A" w14:textId="12579A00" w:rsidR="007A7512" w:rsidRDefault="00164C83" w:rsidP="00FF0098">
      <w:pPr>
        <w:tabs>
          <w:tab w:val="left" w:pos="0"/>
        </w:tabs>
        <w:ind w:right="182"/>
        <w:rPr>
          <w:color w:val="auto"/>
          <w:szCs w:val="24"/>
        </w:rPr>
      </w:pPr>
      <w:r w:rsidRPr="002A007C">
        <w:rPr>
          <w:color w:val="auto"/>
          <w:szCs w:val="24"/>
        </w:rPr>
        <w:t xml:space="preserve">Note that the quantity </w:t>
      </w:r>
      <m:oMath>
        <m:r>
          <w:rPr>
            <w:rFonts w:ascii="Cambria Math" w:hAnsi="Cambria Math"/>
            <w:color w:val="auto"/>
            <w:szCs w:val="24"/>
          </w:rPr>
          <m:t>∑(SEC</m:t>
        </m:r>
        <m:r>
          <w:rPr>
            <w:rFonts w:ascii="Cambria Math" w:hAnsi="Cambria Math"/>
            <w:color w:val="auto"/>
            <w:szCs w:val="24"/>
            <w:vertAlign w:val="subscript"/>
          </w:rPr>
          <m:t xml:space="preserve">0 </m:t>
        </m:r>
        <m:r>
          <w:rPr>
            <w:rFonts w:ascii="Cambria Math" w:hAnsi="Cambria Math"/>
            <w:color w:val="auto"/>
            <w:szCs w:val="24"/>
          </w:rPr>
          <m:t>× t</m:t>
        </m:r>
        <m:r>
          <w:rPr>
            <w:rFonts w:ascii="Cambria Math" w:hAnsi="Cambria Math"/>
            <w:color w:val="auto"/>
            <w:szCs w:val="24"/>
            <w:vertAlign w:val="subscript"/>
          </w:rPr>
          <m:t>0</m:t>
        </m:r>
        <m:r>
          <w:rPr>
            <w:rFonts w:ascii="Cambria Math" w:hAnsi="Cambria Math"/>
            <w:color w:val="auto"/>
            <w:szCs w:val="24"/>
          </w:rPr>
          <m:t>)</m:t>
        </m:r>
      </m:oMath>
      <w:r w:rsidRPr="002A007C">
        <w:rPr>
          <w:color w:val="auto"/>
          <w:szCs w:val="24"/>
        </w:rPr>
        <w:t xml:space="preserve"> must equal the actual energy consumed in the target facility in the base year. </w:t>
      </w:r>
    </w:p>
    <w:p w14:paraId="45BB9EBB" w14:textId="77777777" w:rsidR="007A7512" w:rsidRDefault="007A7512">
      <w:pPr>
        <w:suppressAutoHyphens w:val="0"/>
        <w:spacing w:before="0" w:beforeAutospacing="0" w:after="160" w:afterAutospacing="0" w:line="256" w:lineRule="auto"/>
        <w:rPr>
          <w:color w:val="auto"/>
          <w:szCs w:val="24"/>
        </w:rPr>
      </w:pPr>
      <w:r>
        <w:rPr>
          <w:color w:val="auto"/>
          <w:szCs w:val="24"/>
        </w:rPr>
        <w:br w:type="page"/>
      </w:r>
    </w:p>
    <w:p w14:paraId="1B546E24" w14:textId="4653FDCA" w:rsidR="00164C83" w:rsidRPr="002A007C" w:rsidRDefault="00164C83" w:rsidP="00D446AD">
      <w:pPr>
        <w:tabs>
          <w:tab w:val="left" w:pos="0"/>
        </w:tabs>
        <w:spacing w:after="11"/>
        <w:ind w:right="182"/>
        <w:rPr>
          <w:color w:val="auto"/>
          <w:szCs w:val="24"/>
        </w:rPr>
      </w:pPr>
      <w:r w:rsidRPr="002A007C">
        <w:rPr>
          <w:color w:val="auto"/>
          <w:szCs w:val="24"/>
        </w:rPr>
        <w:lastRenderedPageBreak/>
        <w:t xml:space="preserve">Calculate the target ratio as shown in the results table below. </w:t>
      </w:r>
    </w:p>
    <w:tbl>
      <w:tblPr>
        <w:tblStyle w:val="TableGrid0"/>
        <w:tblW w:w="9624" w:type="dxa"/>
        <w:tblLook w:val="04A0" w:firstRow="1" w:lastRow="0" w:firstColumn="1" w:lastColumn="0" w:noHBand="0" w:noVBand="1"/>
      </w:tblPr>
      <w:tblGrid>
        <w:gridCol w:w="1794"/>
        <w:gridCol w:w="5368"/>
        <w:gridCol w:w="1247"/>
        <w:gridCol w:w="1215"/>
      </w:tblGrid>
      <w:tr w:rsidR="00164C83" w:rsidRPr="002A007C" w14:paraId="0CAB1655" w14:textId="77777777" w:rsidTr="00771B6F">
        <w:trPr>
          <w:trHeight w:val="523"/>
        </w:trPr>
        <w:tc>
          <w:tcPr>
            <w:tcW w:w="1794" w:type="dxa"/>
          </w:tcPr>
          <w:p w14:paraId="111213CD"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Base year ratio </w:t>
            </w:r>
          </w:p>
        </w:tc>
        <w:tc>
          <w:tcPr>
            <w:tcW w:w="5368" w:type="dxa"/>
          </w:tcPr>
          <w:p w14:paraId="7D8E6634"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The base year target ratio is always 1. </w:t>
            </w:r>
          </w:p>
        </w:tc>
        <w:tc>
          <w:tcPr>
            <w:tcW w:w="1247" w:type="dxa"/>
          </w:tcPr>
          <w:p w14:paraId="5AF3C4B6"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1 </w:t>
            </w:r>
          </w:p>
        </w:tc>
        <w:tc>
          <w:tcPr>
            <w:tcW w:w="1215" w:type="dxa"/>
          </w:tcPr>
          <w:p w14:paraId="54CE62A4" w14:textId="04C5B1FB" w:rsidR="00164C83" w:rsidRPr="002A007C" w:rsidRDefault="00164C83" w:rsidP="00FF0098">
            <w:pPr>
              <w:tabs>
                <w:tab w:val="left" w:pos="0"/>
              </w:tabs>
              <w:spacing w:after="0" w:line="259" w:lineRule="auto"/>
              <w:rPr>
                <w:color w:val="auto"/>
                <w:szCs w:val="24"/>
              </w:rPr>
            </w:pPr>
            <w:r w:rsidRPr="002A007C">
              <w:rPr>
                <w:color w:val="auto"/>
                <w:szCs w:val="24"/>
              </w:rPr>
              <w:t xml:space="preserve">Letter </w:t>
            </w:r>
            <w:r w:rsidR="003E7462">
              <w:rPr>
                <w:color w:val="auto"/>
                <w:szCs w:val="24"/>
              </w:rPr>
              <w:t>a</w:t>
            </w:r>
            <w:r w:rsidRPr="002A007C">
              <w:rPr>
                <w:color w:val="auto"/>
                <w:szCs w:val="24"/>
              </w:rPr>
              <w:t xml:space="preserve">ssigned </w:t>
            </w:r>
          </w:p>
        </w:tc>
      </w:tr>
      <w:tr w:rsidR="00164C83" w:rsidRPr="002A007C" w14:paraId="66F8912E" w14:textId="77777777" w:rsidTr="00771B6F">
        <w:trPr>
          <w:trHeight w:val="1800"/>
        </w:trPr>
        <w:tc>
          <w:tcPr>
            <w:tcW w:w="1794" w:type="dxa"/>
          </w:tcPr>
          <w:p w14:paraId="19D8D47C" w14:textId="77777777" w:rsidR="00164C83" w:rsidRPr="00771B6F" w:rsidRDefault="00164C83" w:rsidP="00FF0098">
            <w:pPr>
              <w:tabs>
                <w:tab w:val="left" w:pos="0"/>
              </w:tabs>
              <w:spacing w:after="0" w:line="259" w:lineRule="auto"/>
              <w:rPr>
                <w:b/>
                <w:bCs/>
                <w:color w:val="auto"/>
                <w:szCs w:val="24"/>
              </w:rPr>
            </w:pPr>
            <w:r w:rsidRPr="00771B6F">
              <w:rPr>
                <w:b/>
                <w:bCs/>
                <w:color w:val="auto"/>
                <w:szCs w:val="24"/>
              </w:rPr>
              <w:t xml:space="preserve">Target ratio </w:t>
            </w:r>
          </w:p>
        </w:tc>
        <w:tc>
          <w:tcPr>
            <w:tcW w:w="5368" w:type="dxa"/>
          </w:tcPr>
          <w:p w14:paraId="2E5C6972" w14:textId="77777777" w:rsidR="00164C83" w:rsidRPr="002A007C" w:rsidRDefault="00164C83" w:rsidP="00FF0098">
            <w:pPr>
              <w:tabs>
                <w:tab w:val="left" w:pos="0"/>
              </w:tabs>
              <w:spacing w:after="110" w:line="259" w:lineRule="auto"/>
              <w:rPr>
                <w:color w:val="auto"/>
                <w:szCs w:val="24"/>
              </w:rPr>
            </w:pPr>
            <w:r w:rsidRPr="002A007C">
              <w:rPr>
                <w:color w:val="auto"/>
                <w:szCs w:val="24"/>
              </w:rPr>
              <w:t xml:space="preserve">= B / A where: </w:t>
            </w:r>
          </w:p>
          <w:p w14:paraId="2A46106F" w14:textId="77777777" w:rsidR="00164C83" w:rsidRPr="002A007C" w:rsidRDefault="00164C83" w:rsidP="00FF0098">
            <w:pPr>
              <w:tabs>
                <w:tab w:val="left" w:pos="0"/>
              </w:tabs>
              <w:spacing w:after="134"/>
              <w:rPr>
                <w:color w:val="auto"/>
                <w:szCs w:val="24"/>
              </w:rPr>
            </w:pPr>
            <w:r w:rsidRPr="002A007C">
              <w:rPr>
                <w:color w:val="auto"/>
                <w:szCs w:val="24"/>
              </w:rPr>
              <w:t xml:space="preserve">B = calculated energy consumption at base year throughput and target SECs </w:t>
            </w:r>
          </w:p>
          <w:p w14:paraId="5CF139E1"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A = calculated energy consumption at base year throughput and base year SECs </w:t>
            </w:r>
          </w:p>
        </w:tc>
        <w:tc>
          <w:tcPr>
            <w:tcW w:w="1247" w:type="dxa"/>
          </w:tcPr>
          <w:p w14:paraId="4FEB1CF4"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 </w:t>
            </w:r>
          </w:p>
        </w:tc>
        <w:tc>
          <w:tcPr>
            <w:tcW w:w="1215" w:type="dxa"/>
          </w:tcPr>
          <w:p w14:paraId="521E142B" w14:textId="77777777" w:rsidR="00164C83" w:rsidRPr="002A007C" w:rsidRDefault="00164C83" w:rsidP="00FF0098">
            <w:pPr>
              <w:tabs>
                <w:tab w:val="left" w:pos="0"/>
              </w:tabs>
              <w:spacing w:after="0" w:line="259" w:lineRule="auto"/>
              <w:rPr>
                <w:color w:val="auto"/>
                <w:szCs w:val="24"/>
              </w:rPr>
            </w:pPr>
            <w:r w:rsidRPr="002A007C">
              <w:rPr>
                <w:color w:val="auto"/>
                <w:szCs w:val="24"/>
              </w:rPr>
              <w:t xml:space="preserve">C </w:t>
            </w:r>
          </w:p>
        </w:tc>
      </w:tr>
    </w:tbl>
    <w:p w14:paraId="7044D201" w14:textId="77777777" w:rsidR="00164C83" w:rsidRPr="002A007C" w:rsidRDefault="00164C83" w:rsidP="00FF0098">
      <w:pPr>
        <w:tabs>
          <w:tab w:val="left" w:pos="0"/>
        </w:tabs>
        <w:ind w:right="182"/>
        <w:rPr>
          <w:color w:val="auto"/>
          <w:szCs w:val="24"/>
        </w:rPr>
      </w:pPr>
      <w:r w:rsidRPr="002A007C">
        <w:rPr>
          <w:color w:val="auto"/>
          <w:szCs w:val="24"/>
        </w:rPr>
        <w:t xml:space="preserve">This target is the value that the target unit (or sector association) will be measured against at the end of the target period and can be determined using the 'Target calculator' workbook tool provided in </w:t>
      </w:r>
      <w:hyperlink w:anchor="_Appendix_I:_The" w:history="1">
        <w:r w:rsidRPr="0035214E">
          <w:rPr>
            <w:rStyle w:val="Hyperlink"/>
            <w:szCs w:val="24"/>
          </w:rPr>
          <w:t>Appendix I</w:t>
        </w:r>
      </w:hyperlink>
      <w:r w:rsidRPr="002A007C">
        <w:rPr>
          <w:color w:val="auto"/>
          <w:szCs w:val="24"/>
        </w:rPr>
        <w:t xml:space="preserve">. </w:t>
      </w:r>
    </w:p>
    <w:p w14:paraId="1B396D92" w14:textId="77777777" w:rsidR="00164C83" w:rsidRPr="002A007C" w:rsidRDefault="00164C83" w:rsidP="00FF0098">
      <w:pPr>
        <w:tabs>
          <w:tab w:val="left" w:pos="0"/>
        </w:tabs>
        <w:spacing w:after="0"/>
        <w:ind w:right="182"/>
        <w:rPr>
          <w:color w:val="auto"/>
          <w:szCs w:val="24"/>
        </w:rPr>
      </w:pPr>
      <w:r w:rsidRPr="002A007C">
        <w:rPr>
          <w:color w:val="auto"/>
          <w:szCs w:val="24"/>
        </w:rPr>
        <w:t xml:space="preserve">Determining the base year SEC for each product </w:t>
      </w:r>
      <m:oMath>
        <m:r>
          <w:rPr>
            <w:rFonts w:ascii="Cambria Math" w:hAnsi="Cambria Math"/>
            <w:color w:val="auto"/>
            <w:szCs w:val="24"/>
          </w:rPr>
          <m:t>(SEC</m:t>
        </m:r>
        <m:r>
          <w:rPr>
            <w:rFonts w:ascii="Cambria Math" w:hAnsi="Cambria Math"/>
            <w:color w:val="auto"/>
            <w:szCs w:val="24"/>
            <w:vertAlign w:val="subscript"/>
          </w:rPr>
          <m:t>0</m:t>
        </m:r>
        <m:r>
          <w:rPr>
            <w:rFonts w:ascii="Cambria Math" w:hAnsi="Cambria Math"/>
            <w:color w:val="auto"/>
            <w:szCs w:val="24"/>
          </w:rPr>
          <m:t>)</m:t>
        </m:r>
      </m:oMath>
      <w:r w:rsidRPr="002A007C">
        <w:rPr>
          <w:color w:val="auto"/>
          <w:szCs w:val="24"/>
        </w:rPr>
        <w:t xml:space="preserve"> requires its level of throughput and the energy consumption associated with its production to be determined. In determining the energy consumption associated with a product’s production, meter readings from the base year should be used to the fullest extent possible. However, we recognise that it may not be possible to use sub- meter readings to account for all of the product’s energy consumption in the base year. Two possible reasons for this are: </w:t>
      </w:r>
    </w:p>
    <w:p w14:paraId="343A4FF7" w14:textId="77777777" w:rsidR="00164C83" w:rsidRPr="007A7512" w:rsidRDefault="00164C83" w:rsidP="007A7512">
      <w:pPr>
        <w:pStyle w:val="ListParagraph"/>
        <w:numPr>
          <w:ilvl w:val="0"/>
          <w:numId w:val="137"/>
        </w:numPr>
        <w:tabs>
          <w:tab w:val="left" w:pos="0"/>
        </w:tabs>
        <w:spacing w:after="0"/>
        <w:ind w:right="182"/>
        <w:rPr>
          <w:szCs w:val="24"/>
        </w:rPr>
      </w:pPr>
      <w:r w:rsidRPr="007A7512">
        <w:rPr>
          <w:szCs w:val="24"/>
        </w:rPr>
        <w:t xml:space="preserve">Case 1 - The target facility’s energy consumption includes overhead energy consumption which is not directly associated with the production of the product. </w:t>
      </w:r>
    </w:p>
    <w:p w14:paraId="634E3585" w14:textId="77777777" w:rsidR="00164C83" w:rsidRPr="007A7512" w:rsidRDefault="00164C83" w:rsidP="007A7512">
      <w:pPr>
        <w:pStyle w:val="ListParagraph"/>
        <w:numPr>
          <w:ilvl w:val="0"/>
          <w:numId w:val="137"/>
        </w:numPr>
        <w:tabs>
          <w:tab w:val="left" w:pos="0"/>
        </w:tabs>
        <w:spacing w:after="0"/>
        <w:ind w:right="182"/>
        <w:rPr>
          <w:szCs w:val="24"/>
        </w:rPr>
      </w:pPr>
      <w:r w:rsidRPr="007A7512">
        <w:rPr>
          <w:szCs w:val="24"/>
        </w:rPr>
        <w:t xml:space="preserve">Case 2 - Energy consumption directly associated with production is consumed in plant producing more than one product and it is not possible to separate out the energy consumption associated with each product. </w:t>
      </w:r>
    </w:p>
    <w:p w14:paraId="1184E389" w14:textId="2FC7FDEE" w:rsidR="00164C83" w:rsidRPr="002A007C" w:rsidRDefault="00164C83" w:rsidP="00FF0098">
      <w:pPr>
        <w:tabs>
          <w:tab w:val="left" w:pos="0"/>
        </w:tabs>
        <w:spacing w:after="0" w:line="259" w:lineRule="auto"/>
        <w:rPr>
          <w:color w:val="auto"/>
          <w:szCs w:val="24"/>
        </w:rPr>
      </w:pPr>
      <w:r w:rsidRPr="002A007C">
        <w:rPr>
          <w:color w:val="auto"/>
          <w:szCs w:val="24"/>
        </w:rPr>
        <w:t xml:space="preserve">These are considered in more detail below and our preferred method of addressing the issue is provided. </w:t>
      </w:r>
    </w:p>
    <w:p w14:paraId="1E005643" w14:textId="1AB4C4F1" w:rsidR="00164C83" w:rsidRPr="00581CC8" w:rsidRDefault="00164C83" w:rsidP="00581CC8">
      <w:pPr>
        <w:pStyle w:val="Heading4"/>
        <w:tabs>
          <w:tab w:val="left" w:pos="0"/>
        </w:tabs>
      </w:pPr>
      <w:r w:rsidRPr="002A007C">
        <w:t xml:space="preserve">Case 1 </w:t>
      </w:r>
    </w:p>
    <w:p w14:paraId="4A806F9F" w14:textId="66740C8E" w:rsidR="00164C83" w:rsidRPr="002A007C" w:rsidRDefault="00164C83" w:rsidP="00581CC8">
      <w:pPr>
        <w:tabs>
          <w:tab w:val="left" w:pos="0"/>
        </w:tabs>
        <w:ind w:right="182"/>
        <w:rPr>
          <w:color w:val="auto"/>
          <w:szCs w:val="24"/>
        </w:rPr>
      </w:pPr>
      <w:r w:rsidRPr="002A007C">
        <w:rPr>
          <w:color w:val="auto"/>
          <w:szCs w:val="24"/>
        </w:rPr>
        <w:t xml:space="preserve">Examples of overhead energy consumption, which is not directly associated with product production, are office energy consumption and energy consumed by services shared across the site, such as compressed air. The product of throughput and base year SEC for each product, summed across all products, must equal the base year energy consumption of the target facility. This means that the overhead energy consumption must be apportioned across the different products. This apportionment should be carried out according to the proportion of total direct production related energy consumption used in the production of each product. Example 1 illustrates. </w:t>
      </w:r>
    </w:p>
    <w:p w14:paraId="0DE8A359" w14:textId="1A87C315" w:rsidR="00164C83" w:rsidRPr="00581CC8" w:rsidRDefault="00164C83" w:rsidP="00581CC8">
      <w:pPr>
        <w:pStyle w:val="Heading4"/>
        <w:tabs>
          <w:tab w:val="left" w:pos="0"/>
        </w:tabs>
      </w:pPr>
      <w:r w:rsidRPr="00771B6F">
        <w:lastRenderedPageBreak/>
        <w:t xml:space="preserve">Example for Case 1 </w:t>
      </w:r>
    </w:p>
    <w:p w14:paraId="1CF59458" w14:textId="56C5CB69" w:rsidR="00164C83" w:rsidRPr="002A007C" w:rsidRDefault="00164C83" w:rsidP="00581CC8">
      <w:pPr>
        <w:tabs>
          <w:tab w:val="left" w:pos="0"/>
        </w:tabs>
        <w:spacing w:after="0"/>
        <w:ind w:right="182"/>
        <w:rPr>
          <w:color w:val="auto"/>
          <w:szCs w:val="24"/>
        </w:rPr>
      </w:pPr>
      <w:r w:rsidRPr="002A007C">
        <w:rPr>
          <w:color w:val="auto"/>
          <w:szCs w:val="24"/>
        </w:rPr>
        <w:t xml:space="preserve">A target facility consumed 1,000 units of electricity in the base year producing two products, Product A and Product B. Electricity was the only form of energy consumed by the target facility in the base year. </w:t>
      </w:r>
    </w:p>
    <w:p w14:paraId="52E7F5B3" w14:textId="7D195F52" w:rsidR="00164C83" w:rsidRPr="002A007C" w:rsidRDefault="00164C83" w:rsidP="00581CC8">
      <w:pPr>
        <w:tabs>
          <w:tab w:val="left" w:pos="0"/>
        </w:tabs>
        <w:spacing w:after="11"/>
        <w:ind w:right="182"/>
        <w:rPr>
          <w:color w:val="auto"/>
          <w:szCs w:val="24"/>
        </w:rPr>
      </w:pPr>
      <w:r w:rsidRPr="002A007C">
        <w:rPr>
          <w:color w:val="auto"/>
          <w:szCs w:val="24"/>
        </w:rPr>
        <w:t xml:space="preserve">Products A and B are made on separate production lines, each with separate sub-meters. </w:t>
      </w:r>
    </w:p>
    <w:tbl>
      <w:tblPr>
        <w:tblStyle w:val="TableGrid0"/>
        <w:tblW w:w="9596" w:type="dxa"/>
        <w:tblLook w:val="04A0" w:firstRow="1" w:lastRow="0" w:firstColumn="1" w:lastColumn="0" w:noHBand="0" w:noVBand="1"/>
      </w:tblPr>
      <w:tblGrid>
        <w:gridCol w:w="1271"/>
        <w:gridCol w:w="3402"/>
        <w:gridCol w:w="4923"/>
      </w:tblGrid>
      <w:tr w:rsidR="00771B6F" w:rsidRPr="00771B6F" w14:paraId="732F24AF" w14:textId="77777777" w:rsidTr="00114E0E">
        <w:trPr>
          <w:trHeight w:val="356"/>
        </w:trPr>
        <w:tc>
          <w:tcPr>
            <w:tcW w:w="1271" w:type="dxa"/>
          </w:tcPr>
          <w:p w14:paraId="27C9B9DB" w14:textId="6EEB5BB2" w:rsidR="00771B6F" w:rsidRPr="00771B6F" w:rsidRDefault="00771B6F" w:rsidP="00FF0098">
            <w:pPr>
              <w:tabs>
                <w:tab w:val="left" w:pos="0"/>
                <w:tab w:val="center" w:pos="4080"/>
              </w:tabs>
              <w:spacing w:after="0" w:line="259" w:lineRule="auto"/>
              <w:rPr>
                <w:b/>
                <w:bCs/>
                <w:color w:val="auto"/>
                <w:szCs w:val="24"/>
              </w:rPr>
            </w:pPr>
            <w:r w:rsidRPr="00771B6F">
              <w:rPr>
                <w:b/>
                <w:bCs/>
                <w:color w:val="auto"/>
                <w:szCs w:val="24"/>
              </w:rPr>
              <w:t>Product</w:t>
            </w:r>
          </w:p>
        </w:tc>
        <w:tc>
          <w:tcPr>
            <w:tcW w:w="3402" w:type="dxa"/>
          </w:tcPr>
          <w:p w14:paraId="0B3C97EE" w14:textId="144440AF" w:rsidR="00771B6F" w:rsidRPr="00771B6F" w:rsidRDefault="00771B6F" w:rsidP="00FF0098">
            <w:pPr>
              <w:tabs>
                <w:tab w:val="left" w:pos="0"/>
              </w:tabs>
              <w:spacing w:after="0" w:line="259" w:lineRule="auto"/>
              <w:jc w:val="both"/>
              <w:rPr>
                <w:b/>
                <w:bCs/>
                <w:color w:val="auto"/>
                <w:szCs w:val="24"/>
              </w:rPr>
            </w:pPr>
            <w:r w:rsidRPr="00771B6F">
              <w:rPr>
                <w:b/>
                <w:bCs/>
                <w:color w:val="auto"/>
                <w:szCs w:val="24"/>
              </w:rPr>
              <w:t>Throughput (base year)</w:t>
            </w:r>
          </w:p>
        </w:tc>
        <w:tc>
          <w:tcPr>
            <w:tcW w:w="4923" w:type="dxa"/>
          </w:tcPr>
          <w:p w14:paraId="00EBDAA2" w14:textId="075D1973" w:rsidR="00771B6F" w:rsidRPr="00771B6F" w:rsidRDefault="00771B6F" w:rsidP="00FF0098">
            <w:pPr>
              <w:tabs>
                <w:tab w:val="left" w:pos="0"/>
              </w:tabs>
              <w:spacing w:after="0" w:line="259" w:lineRule="auto"/>
              <w:jc w:val="both"/>
              <w:rPr>
                <w:b/>
                <w:bCs/>
                <w:color w:val="auto"/>
                <w:szCs w:val="24"/>
              </w:rPr>
            </w:pPr>
            <w:r w:rsidRPr="00771B6F">
              <w:rPr>
                <w:b/>
                <w:bCs/>
                <w:color w:val="auto"/>
                <w:szCs w:val="24"/>
              </w:rPr>
              <w:t>Energy Consumption (base year)</w:t>
            </w:r>
          </w:p>
        </w:tc>
      </w:tr>
      <w:tr w:rsidR="00771B6F" w:rsidRPr="002A007C" w14:paraId="4B7CBFF7" w14:textId="77777777" w:rsidTr="00114E0E">
        <w:trPr>
          <w:trHeight w:val="356"/>
        </w:trPr>
        <w:tc>
          <w:tcPr>
            <w:tcW w:w="1271" w:type="dxa"/>
          </w:tcPr>
          <w:p w14:paraId="5FD6CFD1" w14:textId="067AE1DF" w:rsidR="00771B6F" w:rsidRPr="00771B6F" w:rsidRDefault="00771B6F" w:rsidP="00FF0098">
            <w:pPr>
              <w:tabs>
                <w:tab w:val="left" w:pos="0"/>
                <w:tab w:val="center" w:pos="4080"/>
              </w:tabs>
              <w:spacing w:after="0" w:line="259" w:lineRule="auto"/>
              <w:rPr>
                <w:b/>
                <w:bCs/>
                <w:color w:val="auto"/>
                <w:szCs w:val="24"/>
              </w:rPr>
            </w:pPr>
            <w:r w:rsidRPr="00771B6F">
              <w:rPr>
                <w:b/>
                <w:bCs/>
                <w:color w:val="auto"/>
                <w:szCs w:val="24"/>
              </w:rPr>
              <w:t xml:space="preserve">A </w:t>
            </w:r>
          </w:p>
        </w:tc>
        <w:tc>
          <w:tcPr>
            <w:tcW w:w="3402" w:type="dxa"/>
          </w:tcPr>
          <w:p w14:paraId="4EEF753E" w14:textId="3337E514" w:rsidR="00771B6F" w:rsidRPr="002A007C" w:rsidRDefault="00771B6F" w:rsidP="00FF0098">
            <w:pPr>
              <w:tabs>
                <w:tab w:val="left" w:pos="0"/>
              </w:tabs>
              <w:spacing w:after="0" w:line="259" w:lineRule="auto"/>
              <w:jc w:val="both"/>
              <w:rPr>
                <w:color w:val="auto"/>
                <w:szCs w:val="24"/>
              </w:rPr>
            </w:pPr>
            <w:r w:rsidRPr="002A007C">
              <w:rPr>
                <w:color w:val="auto"/>
                <w:szCs w:val="24"/>
              </w:rPr>
              <w:t>100 throughput units</w:t>
            </w:r>
          </w:p>
        </w:tc>
        <w:tc>
          <w:tcPr>
            <w:tcW w:w="4923" w:type="dxa"/>
          </w:tcPr>
          <w:p w14:paraId="5371B014" w14:textId="025C0B88" w:rsidR="00771B6F" w:rsidRPr="002A007C" w:rsidRDefault="00771B6F" w:rsidP="00FF0098">
            <w:pPr>
              <w:tabs>
                <w:tab w:val="left" w:pos="0"/>
              </w:tabs>
              <w:spacing w:after="0" w:line="259" w:lineRule="auto"/>
              <w:jc w:val="both"/>
              <w:rPr>
                <w:color w:val="auto"/>
                <w:szCs w:val="24"/>
              </w:rPr>
            </w:pPr>
            <w:r w:rsidRPr="002A007C">
              <w:rPr>
                <w:color w:val="auto"/>
                <w:szCs w:val="24"/>
              </w:rPr>
              <w:t xml:space="preserve">500 energy units </w:t>
            </w:r>
          </w:p>
        </w:tc>
      </w:tr>
      <w:tr w:rsidR="00771B6F" w:rsidRPr="002A007C" w14:paraId="1B4970B8" w14:textId="77777777" w:rsidTr="00114E0E">
        <w:trPr>
          <w:trHeight w:val="356"/>
        </w:trPr>
        <w:tc>
          <w:tcPr>
            <w:tcW w:w="1271" w:type="dxa"/>
          </w:tcPr>
          <w:p w14:paraId="729F3161" w14:textId="6B1EB076" w:rsidR="00771B6F" w:rsidRPr="00771B6F" w:rsidRDefault="00771B6F" w:rsidP="00FF0098">
            <w:pPr>
              <w:tabs>
                <w:tab w:val="left" w:pos="0"/>
                <w:tab w:val="center" w:pos="4020"/>
              </w:tabs>
              <w:spacing w:after="0" w:line="259" w:lineRule="auto"/>
              <w:rPr>
                <w:b/>
                <w:bCs/>
                <w:color w:val="auto"/>
                <w:szCs w:val="24"/>
              </w:rPr>
            </w:pPr>
            <w:r w:rsidRPr="00771B6F">
              <w:rPr>
                <w:b/>
                <w:bCs/>
                <w:color w:val="auto"/>
                <w:szCs w:val="24"/>
              </w:rPr>
              <w:t xml:space="preserve">B </w:t>
            </w:r>
          </w:p>
        </w:tc>
        <w:tc>
          <w:tcPr>
            <w:tcW w:w="3402" w:type="dxa"/>
          </w:tcPr>
          <w:p w14:paraId="5F95ACC1" w14:textId="01037DF7" w:rsidR="00771B6F" w:rsidRPr="002A007C" w:rsidRDefault="00771B6F" w:rsidP="00FF0098">
            <w:pPr>
              <w:tabs>
                <w:tab w:val="left" w:pos="0"/>
              </w:tabs>
              <w:spacing w:after="0" w:line="259" w:lineRule="auto"/>
              <w:jc w:val="both"/>
              <w:rPr>
                <w:color w:val="auto"/>
                <w:szCs w:val="24"/>
              </w:rPr>
            </w:pPr>
            <w:r w:rsidRPr="002A007C">
              <w:rPr>
                <w:color w:val="auto"/>
                <w:szCs w:val="24"/>
              </w:rPr>
              <w:t>25 throughput units</w:t>
            </w:r>
          </w:p>
        </w:tc>
        <w:tc>
          <w:tcPr>
            <w:tcW w:w="4923" w:type="dxa"/>
          </w:tcPr>
          <w:p w14:paraId="60363984" w14:textId="2E9D320B" w:rsidR="00771B6F" w:rsidRPr="002A007C" w:rsidRDefault="00771B6F" w:rsidP="00FF0098">
            <w:pPr>
              <w:tabs>
                <w:tab w:val="left" w:pos="0"/>
              </w:tabs>
              <w:spacing w:after="0" w:line="259" w:lineRule="auto"/>
              <w:jc w:val="both"/>
              <w:rPr>
                <w:color w:val="auto"/>
                <w:szCs w:val="24"/>
              </w:rPr>
            </w:pPr>
            <w:r w:rsidRPr="002A007C">
              <w:rPr>
                <w:color w:val="auto"/>
                <w:szCs w:val="24"/>
              </w:rPr>
              <w:t xml:space="preserve">300 energy units </w:t>
            </w:r>
          </w:p>
        </w:tc>
      </w:tr>
    </w:tbl>
    <w:p w14:paraId="2B1DAF6E" w14:textId="77777777" w:rsidR="00164C83" w:rsidRPr="002A007C" w:rsidRDefault="00164C83" w:rsidP="00FF0098">
      <w:pPr>
        <w:tabs>
          <w:tab w:val="left" w:pos="0"/>
        </w:tabs>
        <w:spacing w:after="215"/>
        <w:ind w:right="182"/>
        <w:rPr>
          <w:color w:val="auto"/>
          <w:szCs w:val="24"/>
        </w:rPr>
      </w:pPr>
      <w:r w:rsidRPr="002A007C">
        <w:rPr>
          <w:color w:val="auto"/>
          <w:szCs w:val="24"/>
        </w:rPr>
        <w:t xml:space="preserve">Target facility base year electricity = 1,000 </w:t>
      </w:r>
    </w:p>
    <w:p w14:paraId="2CDFEBCC" w14:textId="77777777" w:rsidR="00164C83" w:rsidRPr="002A007C" w:rsidRDefault="00164C83" w:rsidP="00FF0098">
      <w:pPr>
        <w:tabs>
          <w:tab w:val="left" w:pos="0"/>
        </w:tabs>
        <w:spacing w:after="217"/>
        <w:ind w:right="182"/>
        <w:rPr>
          <w:color w:val="auto"/>
          <w:szCs w:val="24"/>
        </w:rPr>
      </w:pPr>
      <w:r w:rsidRPr="002A007C">
        <w:rPr>
          <w:color w:val="auto"/>
          <w:szCs w:val="24"/>
        </w:rPr>
        <w:t xml:space="preserve">Overhead electricity = 1,000 – (500 + 300) = 200 </w:t>
      </w:r>
    </w:p>
    <w:p w14:paraId="2565CCF9" w14:textId="77777777" w:rsidR="00164C83" w:rsidRPr="002A007C" w:rsidRDefault="00164C83" w:rsidP="00FF0098">
      <w:pPr>
        <w:tabs>
          <w:tab w:val="left" w:pos="0"/>
        </w:tabs>
        <w:spacing w:after="214"/>
        <w:ind w:right="182"/>
        <w:rPr>
          <w:color w:val="auto"/>
          <w:szCs w:val="24"/>
        </w:rPr>
      </w:pPr>
      <w:r w:rsidRPr="002A007C">
        <w:rPr>
          <w:color w:val="auto"/>
          <w:szCs w:val="24"/>
        </w:rPr>
        <w:t xml:space="preserve">Direct production related electricity = (500 + 300) = 800 </w:t>
      </w:r>
    </w:p>
    <w:p w14:paraId="4D753A75" w14:textId="77777777" w:rsidR="00164C83" w:rsidRPr="002A007C" w:rsidRDefault="00164C83" w:rsidP="00FF0098">
      <w:pPr>
        <w:tabs>
          <w:tab w:val="left" w:pos="0"/>
        </w:tabs>
        <w:spacing w:after="217"/>
        <w:ind w:right="182"/>
        <w:rPr>
          <w:color w:val="auto"/>
          <w:szCs w:val="24"/>
        </w:rPr>
      </w:pPr>
      <w:r w:rsidRPr="002A007C">
        <w:rPr>
          <w:color w:val="auto"/>
          <w:szCs w:val="24"/>
        </w:rPr>
        <w:t xml:space="preserve">Product A share of overhead electricity = (500/800) x 200 = 125 </w:t>
      </w:r>
    </w:p>
    <w:p w14:paraId="255077B7" w14:textId="77777777" w:rsidR="00164C83" w:rsidRPr="002A007C" w:rsidRDefault="00164C83" w:rsidP="00FF0098">
      <w:pPr>
        <w:tabs>
          <w:tab w:val="left" w:pos="0"/>
        </w:tabs>
        <w:spacing w:after="217"/>
        <w:ind w:right="182"/>
        <w:rPr>
          <w:color w:val="auto"/>
          <w:szCs w:val="24"/>
        </w:rPr>
      </w:pPr>
      <w:r w:rsidRPr="002A007C">
        <w:rPr>
          <w:color w:val="auto"/>
          <w:szCs w:val="24"/>
        </w:rPr>
        <w:t xml:space="preserve">Product B share of overhead electricity = (300/800) x 200 = 75 </w:t>
      </w:r>
    </w:p>
    <w:p w14:paraId="1B0D7FD3" w14:textId="77777777" w:rsidR="00164C83" w:rsidRPr="002A007C" w:rsidRDefault="00164C83" w:rsidP="00FF0098">
      <w:pPr>
        <w:tabs>
          <w:tab w:val="left" w:pos="0"/>
        </w:tabs>
        <w:spacing w:after="214"/>
        <w:ind w:right="182"/>
        <w:rPr>
          <w:color w:val="auto"/>
          <w:szCs w:val="24"/>
        </w:rPr>
      </w:pPr>
      <w:r w:rsidRPr="002A007C">
        <w:rPr>
          <w:color w:val="auto"/>
          <w:szCs w:val="24"/>
        </w:rPr>
        <w:t xml:space="preserve">Product A base year SEC = (500+125)/100 = 6.25 </w:t>
      </w:r>
    </w:p>
    <w:p w14:paraId="6FED7B0B" w14:textId="77777777" w:rsidR="00164C83" w:rsidRPr="002A007C" w:rsidRDefault="00164C83" w:rsidP="00FF0098">
      <w:pPr>
        <w:tabs>
          <w:tab w:val="left" w:pos="0"/>
        </w:tabs>
        <w:spacing w:after="217"/>
        <w:ind w:right="182"/>
        <w:rPr>
          <w:color w:val="auto"/>
          <w:szCs w:val="24"/>
        </w:rPr>
      </w:pPr>
      <w:r w:rsidRPr="002A007C">
        <w:rPr>
          <w:color w:val="auto"/>
          <w:szCs w:val="24"/>
        </w:rPr>
        <w:t xml:space="preserve">Product B base year SEC = (300+75)/25 = 15 </w:t>
      </w:r>
    </w:p>
    <w:p w14:paraId="2414ED23" w14:textId="7F3740E2" w:rsidR="00164C83" w:rsidRPr="002A007C" w:rsidRDefault="00164C83" w:rsidP="007A7512">
      <w:pPr>
        <w:tabs>
          <w:tab w:val="left" w:pos="0"/>
        </w:tabs>
        <w:spacing w:after="11"/>
        <w:ind w:right="120"/>
        <w:rPr>
          <w:color w:val="auto"/>
          <w:szCs w:val="24"/>
        </w:rPr>
      </w:pPr>
      <w:r w:rsidRPr="002A007C">
        <w:rPr>
          <w:color w:val="auto"/>
          <w:szCs w:val="24"/>
        </w:rPr>
        <w:t xml:space="preserve">Check: Target facility base year energy = (6.25 x 100) + (15 x 25) = 1,000 units </w:t>
      </w:r>
    </w:p>
    <w:p w14:paraId="51DA15AE" w14:textId="77777777" w:rsidR="00164C83" w:rsidRPr="002A007C" w:rsidRDefault="00164C83" w:rsidP="00FF0098">
      <w:pPr>
        <w:pStyle w:val="Heading4"/>
        <w:tabs>
          <w:tab w:val="left" w:pos="0"/>
        </w:tabs>
      </w:pPr>
      <w:r w:rsidRPr="002A007C">
        <w:t xml:space="preserve">Case 2 </w:t>
      </w:r>
    </w:p>
    <w:p w14:paraId="315B6C0A" w14:textId="2242AD55" w:rsidR="00164C83" w:rsidRPr="002A007C" w:rsidRDefault="00164C83" w:rsidP="00581CC8">
      <w:pPr>
        <w:tabs>
          <w:tab w:val="left" w:pos="0"/>
        </w:tabs>
        <w:spacing w:after="0"/>
        <w:ind w:right="182"/>
        <w:rPr>
          <w:color w:val="auto"/>
          <w:szCs w:val="24"/>
        </w:rPr>
      </w:pPr>
      <w:r w:rsidRPr="002A007C">
        <w:rPr>
          <w:color w:val="auto"/>
          <w:szCs w:val="24"/>
        </w:rPr>
        <w:t xml:space="preserve">Where the direct production related energy consumption for each product in the base year cannot be determined separately from meter readings it can be based on robust estimates. Such robust estimates could, for example, involve the use of plant capacities, process times, spot meter reading and other auditable measurements, including multiple regression analysis if the availability of energy consumption and throughput data allows an acceptable fit of energy consumption and throughput for each product to be established. Regardless of the method employed, the product of throughput and base year SEC for each product, summed across all products, must equal the base year energy consumption of the target facility. </w:t>
      </w:r>
    </w:p>
    <w:p w14:paraId="646DF05C" w14:textId="6ECB658E" w:rsidR="00164C83" w:rsidRPr="002A007C" w:rsidRDefault="00164C83" w:rsidP="00581CC8">
      <w:pPr>
        <w:tabs>
          <w:tab w:val="left" w:pos="0"/>
        </w:tabs>
        <w:spacing w:after="11"/>
        <w:ind w:right="182"/>
        <w:rPr>
          <w:color w:val="auto"/>
          <w:szCs w:val="24"/>
        </w:rPr>
      </w:pPr>
      <w:r w:rsidRPr="002A007C">
        <w:rPr>
          <w:color w:val="auto"/>
          <w:szCs w:val="24"/>
        </w:rPr>
        <w:t xml:space="preserve">You should work with your facilitator to agree a robust approach to determining the base year SEC for each individual product. If your facilitator is not satisfied that robust, auditable and representative base year SEC values for each product can be determined, </w:t>
      </w:r>
      <w:r w:rsidRPr="002A007C">
        <w:rPr>
          <w:color w:val="auto"/>
          <w:szCs w:val="24"/>
        </w:rPr>
        <w:lastRenderedPageBreak/>
        <w:t xml:space="preserve">then they may recommend to the Environment Agency that the target facility uses an ordinary SEC target. </w:t>
      </w:r>
    </w:p>
    <w:p w14:paraId="68AAE444" w14:textId="77777777" w:rsidR="00164C83" w:rsidRPr="00771B6F" w:rsidRDefault="00164C83" w:rsidP="00FF0098">
      <w:pPr>
        <w:pStyle w:val="Heading4"/>
        <w:tabs>
          <w:tab w:val="left" w:pos="0"/>
        </w:tabs>
      </w:pPr>
      <w:r w:rsidRPr="00771B6F">
        <w:t xml:space="preserve">Introduction of a new product </w:t>
      </w:r>
    </w:p>
    <w:p w14:paraId="5859C8A9" w14:textId="0B0561D4" w:rsidR="00164C83" w:rsidRPr="002A007C" w:rsidRDefault="00164C83" w:rsidP="00581CC8">
      <w:pPr>
        <w:tabs>
          <w:tab w:val="left" w:pos="0"/>
        </w:tabs>
        <w:ind w:right="182"/>
        <w:rPr>
          <w:color w:val="auto"/>
          <w:szCs w:val="24"/>
        </w:rPr>
      </w:pPr>
      <w:r w:rsidRPr="002A007C">
        <w:rPr>
          <w:color w:val="auto"/>
          <w:szCs w:val="24"/>
        </w:rPr>
        <w:t xml:space="preserve">Where a new Novem product with a significantly different energy intensity has been introduced it will be necessary to establish a baseline SEC for this new product and for this baseline SEC to be for the same base year as that for the target unit. </w:t>
      </w:r>
    </w:p>
    <w:p w14:paraId="0773D1F1" w14:textId="77777777" w:rsidR="00164C83" w:rsidRPr="002A007C" w:rsidRDefault="00164C83" w:rsidP="00FF0098">
      <w:pPr>
        <w:tabs>
          <w:tab w:val="left" w:pos="0"/>
        </w:tabs>
        <w:ind w:right="182"/>
        <w:rPr>
          <w:color w:val="auto"/>
          <w:szCs w:val="24"/>
        </w:rPr>
      </w:pPr>
      <w:r w:rsidRPr="002A007C">
        <w:rPr>
          <w:color w:val="auto"/>
          <w:szCs w:val="24"/>
        </w:rPr>
        <w:t xml:space="preserve">To do this, a SEC for the new product should be calculated for the first 12 months period after its introduction. This is consistent with the requirements for new entrant target units and is sound practice as it captures any seasonal or production cycle variations inherent to the new product. Calculations may be based on spot metering or other methods. </w:t>
      </w:r>
    </w:p>
    <w:p w14:paraId="0149B62A" w14:textId="77777777" w:rsidR="00164C83" w:rsidRPr="002A007C" w:rsidRDefault="00164C83" w:rsidP="00FF0098">
      <w:pPr>
        <w:tabs>
          <w:tab w:val="left" w:pos="0"/>
        </w:tabs>
        <w:ind w:right="182"/>
        <w:rPr>
          <w:color w:val="auto"/>
          <w:szCs w:val="24"/>
        </w:rPr>
      </w:pPr>
      <w:r w:rsidRPr="002A007C">
        <w:rPr>
          <w:color w:val="auto"/>
          <w:szCs w:val="24"/>
        </w:rPr>
        <w:t xml:space="preserve">The new product SEC is calculated by distributing the actual energy consumed across all of the products made, including the new product, so as to arrive at an SEC for each product in the year the new product is introduced. This distribution should follow the same principles as set out for new entrants. It will ensure that each product takes an appropriate proportion of energy consumption not directly associated with production. The sum product of SEC and throughput for all products must equal the actual energy consumption. </w:t>
      </w:r>
    </w:p>
    <w:p w14:paraId="03DE11CC" w14:textId="77777777" w:rsidR="00164C83" w:rsidRPr="002A007C" w:rsidRDefault="00164C83" w:rsidP="00FF0098">
      <w:pPr>
        <w:tabs>
          <w:tab w:val="left" w:pos="0"/>
        </w:tabs>
        <w:ind w:right="182"/>
        <w:rPr>
          <w:color w:val="auto"/>
          <w:szCs w:val="24"/>
        </w:rPr>
      </w:pPr>
      <w:r w:rsidRPr="002A007C">
        <w:rPr>
          <w:color w:val="auto"/>
          <w:szCs w:val="24"/>
        </w:rPr>
        <w:t xml:space="preserve">The new product SEC will then be transformed into a SEC for the target unit's base year. This transformation will be made on the basis that the percentage improvement required of the target unit between its base year and the 12-month period after introduction of the new product applied to, and was achieved by, the new product. </w:t>
      </w:r>
    </w:p>
    <w:p w14:paraId="128B8FF2" w14:textId="148881F4" w:rsidR="00164C83" w:rsidRPr="002A007C" w:rsidRDefault="00164C83" w:rsidP="00581CC8">
      <w:pPr>
        <w:tabs>
          <w:tab w:val="left" w:pos="0"/>
        </w:tabs>
        <w:spacing w:after="49"/>
        <w:ind w:right="349"/>
        <w:rPr>
          <w:color w:val="auto"/>
          <w:szCs w:val="24"/>
        </w:rPr>
      </w:pPr>
      <w:r w:rsidRPr="002A007C">
        <w:rPr>
          <w:color w:val="auto"/>
          <w:szCs w:val="24"/>
        </w:rPr>
        <w:t xml:space="preserve">The original base year SECs for the existing products will be used when calculating the reference energy for future target periods. The existing target SEC improvement trajectories for these existing products will also be preserved. </w:t>
      </w:r>
    </w:p>
    <w:p w14:paraId="0F1DFBED" w14:textId="77777777" w:rsidR="00164C83" w:rsidRPr="00771B6F" w:rsidRDefault="00164C83" w:rsidP="00FF0098">
      <w:pPr>
        <w:pStyle w:val="Heading4"/>
        <w:tabs>
          <w:tab w:val="left" w:pos="0"/>
        </w:tabs>
      </w:pPr>
      <w:r w:rsidRPr="00771B6F">
        <w:t xml:space="preserve">Data accuracy for Novem targets </w:t>
      </w:r>
    </w:p>
    <w:p w14:paraId="54C776F0" w14:textId="2FDD718D" w:rsidR="007A7512" w:rsidRDefault="00164C83" w:rsidP="00581CC8">
      <w:pPr>
        <w:tabs>
          <w:tab w:val="left" w:pos="0"/>
        </w:tabs>
        <w:spacing w:after="55"/>
        <w:ind w:right="182"/>
        <w:rPr>
          <w:color w:val="auto"/>
          <w:szCs w:val="24"/>
        </w:rPr>
      </w:pPr>
      <w:r w:rsidRPr="002A007C">
        <w:rPr>
          <w:color w:val="auto"/>
          <w:szCs w:val="24"/>
        </w:rPr>
        <w:t xml:space="preserve">The SEC for a Novem product is in most cases based on an estimation method, such as using meter readings taken while plant is carrying out a batch run of a single product. If the SEC is less than 10.000 then the throughput unit should be adjusted to give a larger SEC. When the SEC for a Novem product is based on sub-meter readings covering only the equipment used to produce the product, these meter readings should provide five significant figures. Tolerances will not be applied to Novem targets. See </w:t>
      </w:r>
      <w:hyperlink w:anchor="_10.4.4._Calculation_of" w:history="1">
        <w:r w:rsidRPr="00A47D79">
          <w:rPr>
            <w:rStyle w:val="Hyperlink"/>
            <w:szCs w:val="24"/>
          </w:rPr>
          <w:t>section 10.4.4</w:t>
        </w:r>
      </w:hyperlink>
      <w:r w:rsidRPr="002A007C">
        <w:rPr>
          <w:color w:val="auto"/>
          <w:szCs w:val="24"/>
          <w:u w:val="single" w:color="0077B9"/>
        </w:rPr>
        <w:t xml:space="preserve"> </w:t>
      </w:r>
      <w:r w:rsidRPr="002A007C">
        <w:rPr>
          <w:color w:val="auto"/>
          <w:szCs w:val="24"/>
        </w:rPr>
        <w:t>for how to report performance against a Novem target.</w:t>
      </w:r>
    </w:p>
    <w:p w14:paraId="5D59E871" w14:textId="77777777" w:rsidR="007A7512" w:rsidRDefault="007A7512">
      <w:pPr>
        <w:suppressAutoHyphens w:val="0"/>
        <w:spacing w:before="0" w:beforeAutospacing="0" w:after="160" w:afterAutospacing="0" w:line="256" w:lineRule="auto"/>
        <w:rPr>
          <w:color w:val="auto"/>
          <w:szCs w:val="24"/>
        </w:rPr>
      </w:pPr>
      <w:r>
        <w:rPr>
          <w:color w:val="auto"/>
          <w:szCs w:val="24"/>
        </w:rPr>
        <w:br w:type="page"/>
      </w:r>
    </w:p>
    <w:p w14:paraId="087D1312" w14:textId="77777777" w:rsidR="00026E66" w:rsidRDefault="002737EF" w:rsidP="00FF0098">
      <w:pPr>
        <w:pStyle w:val="Heading2"/>
        <w:tabs>
          <w:tab w:val="left" w:pos="0"/>
        </w:tabs>
      </w:pPr>
      <w:bookmarkStart w:id="98" w:name="_Toc94718641"/>
      <w:bookmarkStart w:id="99" w:name="_Toc94088889"/>
      <w:bookmarkStart w:id="100" w:name="_Toc95211805"/>
      <w:r>
        <w:lastRenderedPageBreak/>
        <w:t>4.5. Deciding how to structure a target unit</w:t>
      </w:r>
      <w:bookmarkEnd w:id="98"/>
      <w:bookmarkEnd w:id="99"/>
      <w:bookmarkEnd w:id="100"/>
      <w:r>
        <w:t xml:space="preserve"> </w:t>
      </w:r>
    </w:p>
    <w:p w14:paraId="41515C4D" w14:textId="77777777" w:rsidR="00026E66" w:rsidRDefault="002737EF" w:rsidP="00FF0098">
      <w:pPr>
        <w:tabs>
          <w:tab w:val="left" w:pos="0"/>
        </w:tabs>
        <w:spacing w:after="3" w:line="235" w:lineRule="auto"/>
        <w:ind w:right="289"/>
        <w:jc w:val="both"/>
      </w:pPr>
      <w:r>
        <w:rPr>
          <w:color w:val="auto"/>
        </w:rPr>
        <w:t>This section deals with the inclusion and exclusion of a facility as part of a target unit – previously known as 'bubbling' and '</w:t>
      </w:r>
      <w:proofErr w:type="spellStart"/>
      <w:r>
        <w:rPr>
          <w:color w:val="auto"/>
        </w:rPr>
        <w:t>unbubbling</w:t>
      </w:r>
      <w:proofErr w:type="spellEnd"/>
      <w:r>
        <w:rPr>
          <w:color w:val="auto"/>
        </w:rPr>
        <w:t xml:space="preserve">'. The structuring of a target unit can significantly impact both the performance and reporting against the target so </w:t>
      </w:r>
      <w:r>
        <w:rPr>
          <w:color w:val="auto"/>
          <w:szCs w:val="24"/>
        </w:rPr>
        <w:t>you</w:t>
      </w:r>
      <w:r>
        <w:rPr>
          <w:color w:val="auto"/>
        </w:rPr>
        <w:t xml:space="preserve"> should work with </w:t>
      </w:r>
      <w:r>
        <w:rPr>
          <w:color w:val="auto"/>
          <w:szCs w:val="24"/>
        </w:rPr>
        <w:t>your</w:t>
      </w:r>
      <w:r>
        <w:rPr>
          <w:color w:val="auto"/>
        </w:rPr>
        <w:t xml:space="preserve"> sector association to understand the implications before </w:t>
      </w:r>
      <w:r>
        <w:rPr>
          <w:color w:val="auto"/>
          <w:szCs w:val="24"/>
        </w:rPr>
        <w:t>including</w:t>
      </w:r>
      <w:r>
        <w:rPr>
          <w:color w:val="auto"/>
        </w:rPr>
        <w:t xml:space="preserve"> or </w:t>
      </w:r>
      <w:r>
        <w:rPr>
          <w:color w:val="auto"/>
          <w:szCs w:val="24"/>
        </w:rPr>
        <w:t>excluding</w:t>
      </w:r>
      <w:r>
        <w:rPr>
          <w:color w:val="auto"/>
        </w:rPr>
        <w:t xml:space="preserve"> facilities</w:t>
      </w:r>
      <w:r>
        <w:rPr>
          <w:color w:val="auto"/>
          <w:szCs w:val="24"/>
        </w:rPr>
        <w:t xml:space="preserve">. </w:t>
      </w:r>
    </w:p>
    <w:p w14:paraId="694EC9BE" w14:textId="77777777" w:rsidR="00026E66" w:rsidRDefault="002737EF" w:rsidP="00FF0098">
      <w:pPr>
        <w:pStyle w:val="Heading3"/>
        <w:tabs>
          <w:tab w:val="left" w:pos="0"/>
        </w:tabs>
      </w:pPr>
      <w:bookmarkStart w:id="101" w:name="_Toc95211806"/>
      <w:r>
        <w:t>4.5.1. Including a facility in a target unit</w:t>
      </w:r>
      <w:bookmarkEnd w:id="101"/>
      <w:r>
        <w:t xml:space="preserve"> </w:t>
      </w:r>
    </w:p>
    <w:p w14:paraId="0E9E5AB7" w14:textId="77777777" w:rsidR="00026E66" w:rsidRDefault="002737EF" w:rsidP="00FF0098">
      <w:pPr>
        <w:tabs>
          <w:tab w:val="left" w:pos="0"/>
        </w:tabs>
      </w:pPr>
      <w:r>
        <w:t>The CCA scheme allows several facilities to be included in one agreement sharing a target across all the target facilities. We treat all facilities within an agreement as one for the purposes of reporting, penalties, buy-out and surplus.</w:t>
      </w:r>
    </w:p>
    <w:p w14:paraId="6C0AC60A" w14:textId="77777777" w:rsidR="00026E66" w:rsidRDefault="002737EF" w:rsidP="00FF0098">
      <w:pPr>
        <w:tabs>
          <w:tab w:val="left" w:pos="0"/>
        </w:tabs>
      </w:pPr>
      <w:r>
        <w:t xml:space="preserve">An operator can add facilities with different base years to join the same target unit, provided the facilities meet the conditions for inclusion (see </w:t>
      </w:r>
      <w:hyperlink w:anchor="_4.5.3._Conditions_for" w:history="1">
        <w:r>
          <w:rPr>
            <w:rStyle w:val="Hyperlink"/>
          </w:rPr>
          <w:t>section 4.5.3</w:t>
        </w:r>
      </w:hyperlink>
      <w:r>
        <w:t xml:space="preserve">). For example, this situation might arise when an operator adds a greenfield facility to an existing target unit. In such cases the baseline data of the different facilities are added together to create a baseline for the resulting target unit. </w:t>
      </w:r>
    </w:p>
    <w:p w14:paraId="745C6A3C" w14:textId="030504AA" w:rsidR="00026E66" w:rsidRDefault="002737EF" w:rsidP="00FF0098">
      <w:pPr>
        <w:tabs>
          <w:tab w:val="left" w:pos="0"/>
        </w:tabs>
      </w:pPr>
      <w:r>
        <w:t>The year in which most of the baseline energy was consumed is selected as the base year for the target unit.</w:t>
      </w:r>
      <w:r w:rsidR="00FC355D">
        <w:t xml:space="preserve"> </w:t>
      </w:r>
      <w:r>
        <w:t xml:space="preserve">For example, a facility with a 2008 base year energy consumption of 1,000 MWh and a facility with a 2009 base year energy consumption of 3,000 MWh are combined in a target unit. The total baseline energy consumption for the target unit is 4,000 MWh and its base year is 2009 since this is the year when most of the baseline energy was used. </w:t>
      </w:r>
    </w:p>
    <w:p w14:paraId="186482B3" w14:textId="77777777" w:rsidR="00026E66" w:rsidRDefault="002737EF" w:rsidP="00FF0098">
      <w:pPr>
        <w:pStyle w:val="Heading3"/>
        <w:tabs>
          <w:tab w:val="left" w:pos="0"/>
        </w:tabs>
      </w:pPr>
      <w:bookmarkStart w:id="102" w:name="_Toc95211807"/>
      <w:r>
        <w:t>4.5.2. Excluding a facility from a target unit</w:t>
      </w:r>
      <w:bookmarkEnd w:id="102"/>
      <w:r>
        <w:t xml:space="preserve"> </w:t>
      </w:r>
    </w:p>
    <w:p w14:paraId="62F6CD17" w14:textId="33DF1171" w:rsidR="00026E66" w:rsidRDefault="002737EF" w:rsidP="00FF0098">
      <w:pPr>
        <w:tabs>
          <w:tab w:val="left" w:pos="0"/>
        </w:tabs>
      </w:pPr>
      <w:r>
        <w:t>It's also possible to exclude a facility from a multi-facility target unit, for example, if a facility is sold or the operator no longer wishes to retain the facility in the scheme.</w:t>
      </w:r>
      <w:r w:rsidR="00FC355D">
        <w:t xml:space="preserve"> </w:t>
      </w:r>
    </w:p>
    <w:p w14:paraId="3126D0CF" w14:textId="77777777" w:rsidR="00026E66" w:rsidRDefault="002737EF" w:rsidP="00FF0098">
      <w:pPr>
        <w:pStyle w:val="Heading3"/>
        <w:tabs>
          <w:tab w:val="left" w:pos="0"/>
        </w:tabs>
      </w:pPr>
      <w:bookmarkStart w:id="103" w:name="_4.5.3._Conditions_for"/>
      <w:bookmarkStart w:id="104" w:name="_Toc95211808"/>
      <w:bookmarkEnd w:id="103"/>
      <w:r>
        <w:t>4.5.3. Conditions for including and excluding facilities</w:t>
      </w:r>
      <w:bookmarkEnd w:id="104"/>
      <w:r>
        <w:t xml:space="preserve"> </w:t>
      </w:r>
    </w:p>
    <w:p w14:paraId="39256CCB" w14:textId="77777777" w:rsidR="00026E66" w:rsidRDefault="002737EF" w:rsidP="00FF0098">
      <w:pPr>
        <w:tabs>
          <w:tab w:val="left" w:pos="0"/>
        </w:tabs>
      </w:pPr>
      <w:r>
        <w:t xml:space="preserve">The following six conditions apply. </w:t>
      </w:r>
    </w:p>
    <w:p w14:paraId="6BCB682F" w14:textId="7A2B3472" w:rsidR="00026E66" w:rsidRDefault="002737EF" w:rsidP="0065356B">
      <w:pPr>
        <w:pStyle w:val="ListParagraph"/>
        <w:numPr>
          <w:ilvl w:val="0"/>
          <w:numId w:val="42"/>
        </w:numPr>
        <w:tabs>
          <w:tab w:val="left" w:pos="0"/>
        </w:tabs>
        <w:spacing w:after="120" w:afterAutospacing="0"/>
      </w:pPr>
      <w:r>
        <w:t>We can only add a facility to an existing underlying agreement where it has the same operator as the operator of the underlying agreement under which it will be included.</w:t>
      </w:r>
      <w:r w:rsidR="00FC355D">
        <w:t xml:space="preserve"> </w:t>
      </w:r>
      <w:r>
        <w:t xml:space="preserve">The definition of an operator is given in </w:t>
      </w:r>
      <w:hyperlink w:anchor="_2.3.1._The_operator" w:history="1">
        <w:r>
          <w:rPr>
            <w:rStyle w:val="Hyperlink"/>
          </w:rPr>
          <w:t>section 2.3.1</w:t>
        </w:r>
      </w:hyperlink>
      <w:r>
        <w:t>.</w:t>
      </w:r>
    </w:p>
    <w:p w14:paraId="7568B501" w14:textId="77777777" w:rsidR="00026E66" w:rsidRDefault="002737EF" w:rsidP="0065356B">
      <w:pPr>
        <w:pStyle w:val="ListParagraph"/>
        <w:numPr>
          <w:ilvl w:val="0"/>
          <w:numId w:val="42"/>
        </w:numPr>
        <w:tabs>
          <w:tab w:val="left" w:pos="0"/>
        </w:tabs>
        <w:spacing w:after="120" w:afterAutospacing="0"/>
      </w:pPr>
      <w:r>
        <w:t xml:space="preserve">All the facilities in a target unit must belong to the same umbrella agreement and have the same type of target. See </w:t>
      </w:r>
      <w:hyperlink w:anchor="_4.2._Sector_commitments" w:history="1">
        <w:r>
          <w:rPr>
            <w:rStyle w:val="Hyperlink"/>
          </w:rPr>
          <w:t>section 4.2</w:t>
        </w:r>
      </w:hyperlink>
      <w:r w:rsidRPr="00E955A3">
        <w:rPr>
          <w:u w:val="single" w:color="0077B9"/>
        </w:rPr>
        <w:t xml:space="preserve"> </w:t>
      </w:r>
      <w:r>
        <w:t xml:space="preserve">for target types and how to express targets. </w:t>
      </w:r>
    </w:p>
    <w:p w14:paraId="4CF4D0C9" w14:textId="77777777" w:rsidR="00026E66" w:rsidRDefault="002737EF" w:rsidP="0065356B">
      <w:pPr>
        <w:pStyle w:val="ListParagraph"/>
        <w:numPr>
          <w:ilvl w:val="0"/>
          <w:numId w:val="42"/>
        </w:numPr>
        <w:tabs>
          <w:tab w:val="left" w:pos="0"/>
        </w:tabs>
        <w:spacing w:after="120" w:afterAutospacing="0"/>
      </w:pPr>
      <w:r>
        <w:t xml:space="preserve">We can only add a facility to a target unit where: </w:t>
      </w:r>
    </w:p>
    <w:p w14:paraId="66FA9EBC" w14:textId="77777777" w:rsidR="00026E66" w:rsidRDefault="002737EF" w:rsidP="0065356B">
      <w:pPr>
        <w:pStyle w:val="ListParagraph"/>
        <w:numPr>
          <w:ilvl w:val="1"/>
          <w:numId w:val="42"/>
        </w:numPr>
        <w:tabs>
          <w:tab w:val="left" w:pos="0"/>
        </w:tabs>
        <w:spacing w:after="120" w:afterAutospacing="0"/>
      </w:pPr>
      <w:r w:rsidRPr="00E955A3">
        <w:rPr>
          <w:color w:val="000000"/>
        </w:rPr>
        <w:lastRenderedPageBreak/>
        <w:t xml:space="preserve">the </w:t>
      </w:r>
      <w:r>
        <w:t>facility is already included in an existing underlying agreement and the operator of the target unit has become its new operator, for example, the facility is bought by the target unit operator</w:t>
      </w:r>
    </w:p>
    <w:p w14:paraId="37A88BD5" w14:textId="77777777" w:rsidR="00026E66" w:rsidRDefault="002737EF" w:rsidP="0065356B">
      <w:pPr>
        <w:pStyle w:val="ListParagraph"/>
        <w:numPr>
          <w:ilvl w:val="1"/>
          <w:numId w:val="42"/>
        </w:numPr>
        <w:tabs>
          <w:tab w:val="left" w:pos="0"/>
        </w:tabs>
        <w:spacing w:after="120" w:afterAutospacing="0"/>
      </w:pPr>
      <w:r>
        <w:t xml:space="preserve">the facility is entering the CCA scheme, and its operator is the operator of the target unit. In such cases the facility may be a </w:t>
      </w:r>
      <w:hyperlink w:anchor="greenfield" w:history="1">
        <w:r>
          <w:rPr>
            <w:rStyle w:val="Hyperlink"/>
          </w:rPr>
          <w:t>greenfield</w:t>
        </w:r>
      </w:hyperlink>
      <w:r w:rsidRPr="00E955A3">
        <w:rPr>
          <w:u w:val="single" w:color="0077B9"/>
        </w:rPr>
        <w:t xml:space="preserve"> </w:t>
      </w:r>
      <w:r>
        <w:t xml:space="preserve">or a </w:t>
      </w:r>
      <w:hyperlink w:anchor="Brownfield" w:history="1">
        <w:r>
          <w:rPr>
            <w:rStyle w:val="Hyperlink"/>
          </w:rPr>
          <w:t>brownfield</w:t>
        </w:r>
      </w:hyperlink>
      <w:r w:rsidRPr="00E955A3">
        <w:rPr>
          <w:u w:val="single" w:color="0077B9"/>
        </w:rPr>
        <w:t xml:space="preserve"> </w:t>
      </w:r>
      <w:r>
        <w:t xml:space="preserve">facility. </w:t>
      </w:r>
    </w:p>
    <w:p w14:paraId="580935AE" w14:textId="77777777" w:rsidR="00026E66" w:rsidRDefault="002737EF" w:rsidP="0065356B">
      <w:pPr>
        <w:pStyle w:val="ListParagraph"/>
        <w:numPr>
          <w:ilvl w:val="0"/>
          <w:numId w:val="42"/>
        </w:numPr>
        <w:tabs>
          <w:tab w:val="left" w:pos="0"/>
        </w:tabs>
        <w:spacing w:after="120" w:afterAutospacing="0"/>
      </w:pPr>
      <w:r>
        <w:t xml:space="preserve">We can only exclude a facility from a target unit if it has left the CCA scheme or is transferred to a new operator. </w:t>
      </w:r>
    </w:p>
    <w:p w14:paraId="745D431A" w14:textId="77777777" w:rsidR="00026E66" w:rsidRDefault="002737EF" w:rsidP="0065356B">
      <w:pPr>
        <w:pStyle w:val="ListParagraph"/>
        <w:numPr>
          <w:ilvl w:val="0"/>
          <w:numId w:val="42"/>
        </w:numPr>
        <w:tabs>
          <w:tab w:val="left" w:pos="0"/>
        </w:tabs>
        <w:spacing w:after="120" w:afterAutospacing="0"/>
      </w:pPr>
      <w:r>
        <w:t xml:space="preserve">We may alter the target unit target to reflect the change in the target unit structure resulting from inclusion or exclusion. Operators must notify us within 20 working days of including or excluding a facility from a target unit, through submitting a variation. </w:t>
      </w:r>
    </w:p>
    <w:p w14:paraId="6AEBCEA3" w14:textId="64E4404B" w:rsidR="00771B6F" w:rsidRDefault="002737EF" w:rsidP="0065356B">
      <w:pPr>
        <w:pStyle w:val="ListParagraph"/>
        <w:numPr>
          <w:ilvl w:val="0"/>
          <w:numId w:val="42"/>
        </w:numPr>
        <w:tabs>
          <w:tab w:val="left" w:pos="0"/>
        </w:tabs>
        <w:spacing w:after="120" w:afterAutospacing="0"/>
      </w:pPr>
      <w:r>
        <w:t xml:space="preserve">We cannot add a facility to a target unit during the last two months of each target period. This is to allow target units enough time to prepare their records for reporting. </w:t>
      </w:r>
    </w:p>
    <w:p w14:paraId="25FA896F" w14:textId="77777777" w:rsidR="00026E66" w:rsidRPr="00771B6F" w:rsidRDefault="002737EF" w:rsidP="00FF0098">
      <w:pPr>
        <w:pStyle w:val="Heading4"/>
        <w:tabs>
          <w:tab w:val="left" w:pos="0"/>
        </w:tabs>
      </w:pPr>
      <w:r w:rsidRPr="00771B6F">
        <w:t xml:space="preserve">Important points to note </w:t>
      </w:r>
    </w:p>
    <w:p w14:paraId="177732B4" w14:textId="77777777" w:rsidR="00026E66" w:rsidRDefault="002737EF" w:rsidP="00FF0098">
      <w:pPr>
        <w:tabs>
          <w:tab w:val="left" w:pos="0"/>
        </w:tabs>
      </w:pPr>
      <w:r>
        <w:t xml:space="preserve">We will review all requests to amend the facilities within an underlying agreement against the six conditions outlined above. When we approve a request, we will issue a revised agreement for the newly configured target unit. </w:t>
      </w:r>
    </w:p>
    <w:p w14:paraId="52E0F2E4" w14:textId="77777777" w:rsidR="00026E66" w:rsidRDefault="002737EF" w:rsidP="00FF0098">
      <w:pPr>
        <w:tabs>
          <w:tab w:val="left" w:pos="0"/>
        </w:tabs>
      </w:pPr>
      <w:r>
        <w:t xml:space="preserve">It is the responsibility of the two operators involved in the transfer of facilities to agree the distribution of any CO2e surplus. We will record the CO2e balance for each target unit accordingly. </w:t>
      </w:r>
    </w:p>
    <w:p w14:paraId="1AD2E3F4" w14:textId="77777777" w:rsidR="00026E66" w:rsidRDefault="002737EF" w:rsidP="00FF0098">
      <w:pPr>
        <w:tabs>
          <w:tab w:val="left" w:pos="0"/>
        </w:tabs>
      </w:pPr>
      <w:r>
        <w:t xml:space="preserve">If the six conditions detailed at the start of this section are met, there are no restrictions on the size of a target unit. The responsible person who signs the underlying agreement does so on behalf of all the facilities in the target unit. </w:t>
      </w:r>
    </w:p>
    <w:p w14:paraId="277FDA4A" w14:textId="06721753" w:rsidR="00026E66" w:rsidRDefault="002737EF" w:rsidP="00FF0098">
      <w:pPr>
        <w:tabs>
          <w:tab w:val="left" w:pos="0"/>
        </w:tabs>
      </w:pPr>
      <w:r>
        <w:t>The target period performance for a group of facilities included in a target unit may be quite different from the performance of each individual facility in isolation.</w:t>
      </w:r>
      <w:r w:rsidR="00FC355D">
        <w:t xml:space="preserve"> </w:t>
      </w:r>
      <w:r>
        <w:t xml:space="preserve">This might occur if the facilities have significantly different energy intensities or are not consistently covered by the ETS or do not consistently apply the SRM. Operators should consider the effect of including multiple facilities in a target unit before asking to do this. To aid decision making regarding the inclusion of a facility in a target unit an effect predictor tool is provided at </w:t>
      </w:r>
      <w:hyperlink w:anchor="_Appendix_I:_The" w:history="1">
        <w:r>
          <w:rPr>
            <w:rStyle w:val="Hyperlink"/>
          </w:rPr>
          <w:t>Appendix I</w:t>
        </w:r>
      </w:hyperlink>
      <w:r>
        <w:t xml:space="preserve">. </w:t>
      </w:r>
    </w:p>
    <w:p w14:paraId="6EE609C5" w14:textId="77777777" w:rsidR="00026E66" w:rsidRDefault="002737EF" w:rsidP="00FF0098">
      <w:pPr>
        <w:pStyle w:val="Heading3"/>
        <w:tabs>
          <w:tab w:val="left" w:pos="0"/>
        </w:tabs>
      </w:pPr>
      <w:bookmarkStart w:id="105" w:name="_Toc95211809"/>
      <w:r>
        <w:t>4.5.4. How to calculate a target for a target unit when including and excluding facilities</w:t>
      </w:r>
      <w:bookmarkEnd w:id="105"/>
      <w:r>
        <w:t xml:space="preserve"> </w:t>
      </w:r>
    </w:p>
    <w:p w14:paraId="0A11AFF3" w14:textId="77777777" w:rsidR="00026E66" w:rsidRDefault="002737EF" w:rsidP="00FF0098">
      <w:pPr>
        <w:tabs>
          <w:tab w:val="left" w:pos="0"/>
        </w:tabs>
        <w:spacing w:after="0" w:line="256" w:lineRule="auto"/>
      </w:pPr>
      <w:r>
        <w:rPr>
          <w:color w:val="auto"/>
        </w:rPr>
        <w:t xml:space="preserve">A workbook tool to help operators calculate the revised targets when facilities are included or excluded from a target unit is given in </w:t>
      </w:r>
      <w:hyperlink w:anchor="_Appendix_I:_The" w:history="1">
        <w:r>
          <w:rPr>
            <w:rStyle w:val="Hyperlink"/>
          </w:rPr>
          <w:t>Appendix I</w:t>
        </w:r>
      </w:hyperlink>
      <w:r>
        <w:rPr>
          <w:color w:val="auto"/>
        </w:rPr>
        <w:t xml:space="preserve">. It is important that the facilities joining </w:t>
      </w:r>
      <w:r>
        <w:rPr>
          <w:color w:val="auto"/>
        </w:rPr>
        <w:lastRenderedPageBreak/>
        <w:t xml:space="preserve">or leaving a target unit take the appropriate percentage targets, the workbook provides details of the target setting rules that must be applied. </w:t>
      </w:r>
    </w:p>
    <w:p w14:paraId="6397A79C" w14:textId="77777777" w:rsidR="00026E66" w:rsidRDefault="002737EF" w:rsidP="00FF0098">
      <w:pPr>
        <w:tabs>
          <w:tab w:val="left" w:pos="0"/>
        </w:tabs>
        <w:spacing w:after="11"/>
        <w:ind w:right="182"/>
      </w:pPr>
      <w:r>
        <w:rPr>
          <w:color w:val="auto"/>
        </w:rPr>
        <w:t xml:space="preserve">To revise targets following a change, see </w:t>
      </w:r>
      <w:hyperlink w:anchor="_7._Changing_an" w:history="1">
        <w:r>
          <w:rPr>
            <w:rStyle w:val="Hyperlink"/>
          </w:rPr>
          <w:t>section 7</w:t>
        </w:r>
      </w:hyperlink>
      <w:r>
        <w:rPr>
          <w:color w:val="auto"/>
          <w:u w:val="single" w:color="0077B9"/>
        </w:rPr>
        <w:t xml:space="preserve"> </w:t>
      </w:r>
      <w:r>
        <w:rPr>
          <w:color w:val="auto"/>
        </w:rPr>
        <w:t xml:space="preserve">which covers how to change an agreement. </w:t>
      </w:r>
    </w:p>
    <w:p w14:paraId="4C05FD90" w14:textId="71270539" w:rsidR="00581CC8" w:rsidRDefault="002737EF" w:rsidP="00FF0098">
      <w:pPr>
        <w:tabs>
          <w:tab w:val="left" w:pos="0"/>
        </w:tabs>
        <w:ind w:right="182"/>
        <w:rPr>
          <w:color w:val="auto"/>
          <w:szCs w:val="24"/>
        </w:rPr>
      </w:pPr>
      <w:r>
        <w:rPr>
          <w:color w:val="auto"/>
        </w:rPr>
        <w:t xml:space="preserve">This outlines when and under what conditions </w:t>
      </w:r>
      <w:r>
        <w:rPr>
          <w:color w:val="auto"/>
          <w:szCs w:val="24"/>
        </w:rPr>
        <w:t>a target unit</w:t>
      </w:r>
      <w:r>
        <w:rPr>
          <w:color w:val="auto"/>
        </w:rPr>
        <w:t xml:space="preserve"> can </w:t>
      </w:r>
      <w:r>
        <w:rPr>
          <w:color w:val="auto"/>
          <w:szCs w:val="24"/>
        </w:rPr>
        <w:t xml:space="preserve">and can't </w:t>
      </w:r>
      <w:r>
        <w:rPr>
          <w:color w:val="auto"/>
        </w:rPr>
        <w:t>vary its target.</w:t>
      </w:r>
      <w:r>
        <w:rPr>
          <w:color w:val="auto"/>
          <w:szCs w:val="24"/>
        </w:rPr>
        <w:t xml:space="preserve"> </w:t>
      </w:r>
    </w:p>
    <w:p w14:paraId="010043A3" w14:textId="77777777" w:rsidR="00581CC8" w:rsidRDefault="00581CC8">
      <w:pPr>
        <w:suppressAutoHyphens w:val="0"/>
        <w:spacing w:before="0" w:beforeAutospacing="0" w:after="160" w:afterAutospacing="0" w:line="256" w:lineRule="auto"/>
        <w:rPr>
          <w:color w:val="auto"/>
          <w:szCs w:val="24"/>
        </w:rPr>
      </w:pPr>
      <w:r>
        <w:rPr>
          <w:color w:val="auto"/>
          <w:szCs w:val="24"/>
        </w:rPr>
        <w:br w:type="page"/>
      </w:r>
    </w:p>
    <w:p w14:paraId="1CDD5AC0" w14:textId="77777777" w:rsidR="00026E66" w:rsidRDefault="002737EF" w:rsidP="00FF0098">
      <w:pPr>
        <w:pStyle w:val="Heading1"/>
        <w:tabs>
          <w:tab w:val="left" w:pos="0"/>
        </w:tabs>
      </w:pPr>
      <w:bookmarkStart w:id="106" w:name="_Toc94718642"/>
      <w:bookmarkStart w:id="107" w:name="_Toc94088890"/>
      <w:bookmarkStart w:id="108" w:name="_Toc95211810"/>
      <w:r>
        <w:lastRenderedPageBreak/>
        <w:t>5. Annual charges and billing</w:t>
      </w:r>
      <w:bookmarkEnd w:id="106"/>
      <w:bookmarkEnd w:id="107"/>
      <w:bookmarkEnd w:id="108"/>
      <w:r>
        <w:t xml:space="preserve"> </w:t>
      </w:r>
    </w:p>
    <w:p w14:paraId="5F42A03F" w14:textId="5818A8E3" w:rsidR="00026E66" w:rsidRPr="00581CC8" w:rsidRDefault="002737EF" w:rsidP="00FF0098">
      <w:pPr>
        <w:tabs>
          <w:tab w:val="left" w:pos="0"/>
        </w:tabs>
        <w:spacing w:after="0"/>
        <w:ind w:right="182"/>
        <w:rPr>
          <w:color w:val="auto"/>
        </w:rPr>
      </w:pPr>
      <w:r>
        <w:rPr>
          <w:color w:val="auto"/>
        </w:rPr>
        <w:t xml:space="preserve">Under Schedule 6 to the Finance Act 2000 (as amended), the Environment Agency has the power to recover our administration costs through a charging scheme. This section explains the charges applicable to sector associations and target units. </w:t>
      </w:r>
    </w:p>
    <w:p w14:paraId="1DA4681F" w14:textId="2AFDA767" w:rsidR="00026E66" w:rsidRPr="00581CC8" w:rsidRDefault="002737EF" w:rsidP="00581CC8">
      <w:pPr>
        <w:pStyle w:val="Heading2"/>
        <w:tabs>
          <w:tab w:val="left" w:pos="0"/>
        </w:tabs>
      </w:pPr>
      <w:bookmarkStart w:id="109" w:name="_Toc94718643"/>
      <w:bookmarkStart w:id="110" w:name="_Toc94088891"/>
      <w:bookmarkStart w:id="111" w:name="_Toc95211811"/>
      <w:r>
        <w:t>5.1. Annual charges for holding a CCA</w:t>
      </w:r>
      <w:bookmarkEnd w:id="109"/>
      <w:bookmarkEnd w:id="110"/>
      <w:bookmarkEnd w:id="111"/>
      <w:r>
        <w:t xml:space="preserve"> </w:t>
      </w:r>
    </w:p>
    <w:p w14:paraId="473B3D83" w14:textId="2443BE6D" w:rsidR="00026E66" w:rsidRDefault="002737EF" w:rsidP="00FF0098">
      <w:pPr>
        <w:pStyle w:val="Heading3"/>
        <w:tabs>
          <w:tab w:val="left" w:pos="0"/>
        </w:tabs>
      </w:pPr>
      <w:bookmarkStart w:id="112" w:name="_Toc95211812"/>
      <w:r>
        <w:t>5.1.1. How have charges been made?</w:t>
      </w:r>
      <w:bookmarkEnd w:id="112"/>
      <w:r w:rsidR="00FC355D">
        <w:t xml:space="preserve"> </w:t>
      </w:r>
    </w:p>
    <w:p w14:paraId="46B392AC" w14:textId="7DF2A953" w:rsidR="00026E66" w:rsidRDefault="002737EF" w:rsidP="00FF0098">
      <w:pPr>
        <w:tabs>
          <w:tab w:val="left" w:pos="0"/>
        </w:tabs>
        <w:spacing w:after="59"/>
        <w:ind w:right="182"/>
      </w:pPr>
      <w:r>
        <w:rPr>
          <w:color w:val="auto"/>
          <w:szCs w:val="24"/>
        </w:rPr>
        <w:t>The charges</w:t>
      </w:r>
      <w:r>
        <w:rPr>
          <w:color w:val="auto"/>
        </w:rPr>
        <w:t xml:space="preserve"> for the CCA scheme </w:t>
      </w:r>
      <w:r>
        <w:rPr>
          <w:color w:val="auto"/>
          <w:szCs w:val="24"/>
        </w:rPr>
        <w:t>have been</w:t>
      </w:r>
      <w:r>
        <w:rPr>
          <w:color w:val="auto"/>
        </w:rPr>
        <w:t xml:space="preserve"> calculated based on </w:t>
      </w:r>
      <w:r>
        <w:rPr>
          <w:color w:val="auto"/>
          <w:szCs w:val="24"/>
        </w:rPr>
        <w:t>the amounts</w:t>
      </w:r>
      <w:r>
        <w:rPr>
          <w:color w:val="auto"/>
        </w:rPr>
        <w:t xml:space="preserve"> we expect it to cost us to administer the scheme. These charges are set out in full in a separate document and are summarised below. The charging document and its associated guidance are available on the CCA website</w:t>
      </w:r>
      <w:hyperlink r:id="rId77" w:history="1">
        <w:r>
          <w:rPr>
            <w:color w:val="auto"/>
            <w:szCs w:val="24"/>
          </w:rPr>
          <w:t xml:space="preserve"> </w:t>
        </w:r>
      </w:hyperlink>
      <w:r>
        <w:t xml:space="preserve">: </w:t>
      </w:r>
      <w:hyperlink r:id="rId78" w:history="1">
        <w:r>
          <w:rPr>
            <w:rStyle w:val="Hyperlink"/>
          </w:rPr>
          <w:t>Climate change agreements (CCA</w:t>
        </w:r>
        <w:bookmarkStart w:id="113" w:name="_Hlt94876210"/>
        <w:bookmarkStart w:id="114" w:name="_Hlt94876211"/>
        <w:r>
          <w:rPr>
            <w:rStyle w:val="Hyperlink"/>
          </w:rPr>
          <w:t>)</w:t>
        </w:r>
        <w:bookmarkEnd w:id="113"/>
        <w:bookmarkEnd w:id="114"/>
        <w:r>
          <w:rPr>
            <w:rStyle w:val="Hyperlink"/>
          </w:rPr>
          <w:t xml:space="preserve"> charging scheme</w:t>
        </w:r>
      </w:hyperlink>
      <w:hyperlink r:id="rId79" w:history="1">
        <w:r>
          <w:t>.</w:t>
        </w:r>
      </w:hyperlink>
      <w:r>
        <w:t xml:space="preserve"> </w:t>
      </w:r>
    </w:p>
    <w:p w14:paraId="5B5DB491" w14:textId="77777777" w:rsidR="00771B6F" w:rsidRDefault="002737EF" w:rsidP="00FF0098">
      <w:pPr>
        <w:pStyle w:val="Heading3"/>
        <w:tabs>
          <w:tab w:val="left" w:pos="0"/>
        </w:tabs>
      </w:pPr>
      <w:r>
        <w:t xml:space="preserve">5.1.2. What are the charges? </w:t>
      </w:r>
    </w:p>
    <w:p w14:paraId="720EA048" w14:textId="6156D607" w:rsidR="00026E66" w:rsidRDefault="002737EF" w:rsidP="00FF0098">
      <w:pPr>
        <w:tabs>
          <w:tab w:val="left" w:pos="0"/>
        </w:tabs>
        <w:ind w:right="182"/>
      </w:pPr>
      <w:r>
        <w:rPr>
          <w:color w:val="auto"/>
        </w:rPr>
        <w:t>There are two types of annual charge – one levied on the sector association and one on the target unit.</w:t>
      </w:r>
      <w:r>
        <w:rPr>
          <w:color w:val="auto"/>
          <w:szCs w:val="24"/>
        </w:rPr>
        <w:t xml:space="preserve"> </w:t>
      </w:r>
    </w:p>
    <w:p w14:paraId="312921B2" w14:textId="6944E03D" w:rsidR="00026E66" w:rsidRPr="00581CC8" w:rsidRDefault="002737EF" w:rsidP="00581CC8">
      <w:pPr>
        <w:tabs>
          <w:tab w:val="left" w:pos="0"/>
        </w:tabs>
        <w:spacing w:after="11"/>
        <w:ind w:right="182"/>
      </w:pPr>
      <w:r>
        <w:rPr>
          <w:color w:val="auto"/>
          <w:szCs w:val="24"/>
        </w:rPr>
        <w:t xml:space="preserve">There is no </w:t>
      </w:r>
      <w:r>
        <w:rPr>
          <w:color w:val="auto"/>
        </w:rPr>
        <w:t xml:space="preserve">VAT </w:t>
      </w:r>
      <w:r>
        <w:rPr>
          <w:color w:val="auto"/>
          <w:szCs w:val="24"/>
        </w:rPr>
        <w:t>added</w:t>
      </w:r>
      <w:r>
        <w:rPr>
          <w:color w:val="auto"/>
        </w:rPr>
        <w:t xml:space="preserve"> to </w:t>
      </w:r>
      <w:r>
        <w:rPr>
          <w:color w:val="auto"/>
          <w:szCs w:val="24"/>
        </w:rPr>
        <w:t xml:space="preserve">charges. </w:t>
      </w:r>
    </w:p>
    <w:p w14:paraId="11FE6C0E" w14:textId="77777777" w:rsidR="00026E66" w:rsidRDefault="002737EF" w:rsidP="00FF0098">
      <w:pPr>
        <w:pStyle w:val="Heading3"/>
        <w:tabs>
          <w:tab w:val="left" w:pos="0"/>
        </w:tabs>
      </w:pPr>
      <w:bookmarkStart w:id="115" w:name="_Toc95211813"/>
      <w:r>
        <w:t>5.1.3. Paying the charges</w:t>
      </w:r>
      <w:bookmarkEnd w:id="115"/>
      <w:r>
        <w:t xml:space="preserve"> </w:t>
      </w:r>
    </w:p>
    <w:p w14:paraId="68840603" w14:textId="77777777" w:rsidR="00026E66" w:rsidRDefault="002737EF" w:rsidP="00FF0098">
      <w:pPr>
        <w:tabs>
          <w:tab w:val="left" w:pos="0"/>
        </w:tabs>
        <w:ind w:right="182"/>
      </w:pPr>
      <w:r>
        <w:rPr>
          <w:color w:val="auto"/>
        </w:rPr>
        <w:t>The target unit</w:t>
      </w:r>
      <w:r>
        <w:rPr>
          <w:color w:val="auto"/>
          <w:szCs w:val="24"/>
        </w:rPr>
        <w:t xml:space="preserve"> and sector association</w:t>
      </w:r>
      <w:r>
        <w:rPr>
          <w:color w:val="auto"/>
        </w:rPr>
        <w:t xml:space="preserve"> annual charges are payable for any full or part calendar year during which an agreement is in force. We will send out requests for payment </w:t>
      </w:r>
      <w:r>
        <w:rPr>
          <w:color w:val="auto"/>
          <w:szCs w:val="24"/>
        </w:rPr>
        <w:t>in</w:t>
      </w:r>
      <w:r>
        <w:rPr>
          <w:color w:val="auto"/>
        </w:rPr>
        <w:t xml:space="preserve"> April each year</w:t>
      </w:r>
      <w:r>
        <w:rPr>
          <w:color w:val="auto"/>
          <w:szCs w:val="24"/>
        </w:rPr>
        <w:t>. Payment options will include direct debit, BACS and CHAPS</w:t>
      </w:r>
      <w:r>
        <w:rPr>
          <w:color w:val="auto"/>
        </w:rPr>
        <w:t xml:space="preserve">. </w:t>
      </w:r>
    </w:p>
    <w:p w14:paraId="6DE785A7" w14:textId="125B83D7" w:rsidR="00026E66" w:rsidRPr="00581CC8" w:rsidRDefault="002737EF" w:rsidP="00FF0098">
      <w:pPr>
        <w:tabs>
          <w:tab w:val="left" w:pos="0"/>
        </w:tabs>
        <w:spacing w:after="0"/>
        <w:ind w:right="182"/>
      </w:pPr>
      <w:r>
        <w:rPr>
          <w:szCs w:val="24"/>
        </w:rPr>
        <w:t>New</w:t>
      </w:r>
      <w:r>
        <w:rPr>
          <w:color w:val="auto"/>
        </w:rPr>
        <w:t xml:space="preserve"> entrants </w:t>
      </w:r>
      <w:r>
        <w:rPr>
          <w:color w:val="auto"/>
          <w:szCs w:val="24"/>
        </w:rPr>
        <w:t xml:space="preserve">who sign an agreement </w:t>
      </w:r>
      <w:r>
        <w:rPr>
          <w:color w:val="auto"/>
        </w:rPr>
        <w:t xml:space="preserve">after </w:t>
      </w:r>
      <w:r>
        <w:rPr>
          <w:color w:val="auto"/>
          <w:szCs w:val="24"/>
        </w:rPr>
        <w:t>April in any calendar year will be</w:t>
      </w:r>
      <w:r>
        <w:rPr>
          <w:color w:val="auto"/>
        </w:rPr>
        <w:t xml:space="preserve"> sent </w:t>
      </w:r>
      <w:r>
        <w:rPr>
          <w:color w:val="auto"/>
          <w:szCs w:val="24"/>
        </w:rPr>
        <w:t xml:space="preserve">a </w:t>
      </w:r>
      <w:proofErr w:type="spellStart"/>
      <w:r>
        <w:rPr>
          <w:color w:val="auto"/>
          <w:szCs w:val="24"/>
        </w:rPr>
        <w:t>MoA</w:t>
      </w:r>
      <w:proofErr w:type="spellEnd"/>
      <w:r>
        <w:rPr>
          <w:color w:val="auto"/>
          <w:szCs w:val="24"/>
        </w:rPr>
        <w:t xml:space="preserve"> for the annual charge on entering the scheme.</w:t>
      </w:r>
      <w:r>
        <w:rPr>
          <w:color w:val="auto"/>
        </w:rPr>
        <w:t xml:space="preserve"> This must be paid immediately and is payable </w:t>
      </w:r>
      <w:r>
        <w:rPr>
          <w:color w:val="auto"/>
          <w:szCs w:val="24"/>
        </w:rPr>
        <w:t xml:space="preserve">using any method (outlined on the </w:t>
      </w:r>
      <w:proofErr w:type="spellStart"/>
      <w:r>
        <w:rPr>
          <w:color w:val="auto"/>
          <w:szCs w:val="24"/>
        </w:rPr>
        <w:t>MoA</w:t>
      </w:r>
      <w:proofErr w:type="spellEnd"/>
      <w:r>
        <w:rPr>
          <w:color w:val="auto"/>
          <w:szCs w:val="24"/>
        </w:rPr>
        <w:t xml:space="preserve">) other than by direct debit. </w:t>
      </w:r>
    </w:p>
    <w:p w14:paraId="65FF3F84" w14:textId="77777777" w:rsidR="00026E66" w:rsidRPr="00771B6F" w:rsidRDefault="002737EF" w:rsidP="00FF0098">
      <w:pPr>
        <w:pStyle w:val="Heading4"/>
        <w:tabs>
          <w:tab w:val="left" w:pos="0"/>
        </w:tabs>
      </w:pPr>
      <w:r w:rsidRPr="00771B6F">
        <w:t xml:space="preserve">Sector associations </w:t>
      </w:r>
    </w:p>
    <w:p w14:paraId="0C34A1DE" w14:textId="77777777" w:rsidR="00026E66" w:rsidRDefault="002737EF" w:rsidP="00FF0098">
      <w:pPr>
        <w:tabs>
          <w:tab w:val="left" w:pos="0"/>
        </w:tabs>
        <w:ind w:right="182"/>
      </w:pPr>
      <w:r>
        <w:rPr>
          <w:color w:val="auto"/>
          <w:szCs w:val="24"/>
        </w:rPr>
        <w:t>Sector associations that collect charges from over 50% of their target units on our behalf</w:t>
      </w:r>
      <w:r>
        <w:rPr>
          <w:color w:val="auto"/>
        </w:rPr>
        <w:t xml:space="preserve"> won’t </w:t>
      </w:r>
      <w:r>
        <w:rPr>
          <w:color w:val="auto"/>
          <w:szCs w:val="24"/>
        </w:rPr>
        <w:t>receive an invoice from us for</w:t>
      </w:r>
      <w:r>
        <w:rPr>
          <w:color w:val="auto"/>
        </w:rPr>
        <w:t xml:space="preserve"> the sector </w:t>
      </w:r>
      <w:r>
        <w:rPr>
          <w:color w:val="auto"/>
          <w:szCs w:val="24"/>
        </w:rPr>
        <w:t xml:space="preserve">association </w:t>
      </w:r>
      <w:r>
        <w:rPr>
          <w:color w:val="auto"/>
        </w:rPr>
        <w:t>annual charge</w:t>
      </w:r>
      <w:r>
        <w:rPr>
          <w:color w:val="auto"/>
          <w:szCs w:val="24"/>
        </w:rPr>
        <w:t xml:space="preserve">. Instead, they will receive </w:t>
      </w:r>
      <w:r>
        <w:rPr>
          <w:color w:val="auto"/>
        </w:rPr>
        <w:t xml:space="preserve">a </w:t>
      </w:r>
      <w:proofErr w:type="spellStart"/>
      <w:r>
        <w:rPr>
          <w:color w:val="auto"/>
        </w:rPr>
        <w:t>MoA</w:t>
      </w:r>
      <w:proofErr w:type="spellEnd"/>
      <w:r>
        <w:rPr>
          <w:color w:val="auto"/>
        </w:rPr>
        <w:t xml:space="preserve"> </w:t>
      </w:r>
      <w:r>
        <w:rPr>
          <w:color w:val="auto"/>
          <w:szCs w:val="24"/>
        </w:rPr>
        <w:t>for</w:t>
      </w:r>
      <w:r>
        <w:rPr>
          <w:color w:val="auto"/>
        </w:rPr>
        <w:t xml:space="preserve"> the total amount </w:t>
      </w:r>
      <w:r>
        <w:rPr>
          <w:color w:val="auto"/>
          <w:szCs w:val="24"/>
        </w:rPr>
        <w:t>payable by their operators</w:t>
      </w:r>
      <w:r>
        <w:rPr>
          <w:color w:val="auto"/>
        </w:rPr>
        <w:t xml:space="preserve">, together with a breakdown of the individual </w:t>
      </w:r>
      <w:r>
        <w:rPr>
          <w:color w:val="auto"/>
          <w:szCs w:val="24"/>
        </w:rPr>
        <w:t xml:space="preserve">facility charges. </w:t>
      </w:r>
      <w:r>
        <w:rPr>
          <w:color w:val="auto"/>
        </w:rPr>
        <w:t xml:space="preserve">The </w:t>
      </w:r>
      <w:proofErr w:type="spellStart"/>
      <w:r>
        <w:rPr>
          <w:color w:val="auto"/>
        </w:rPr>
        <w:t>MoA</w:t>
      </w:r>
      <w:proofErr w:type="spellEnd"/>
      <w:r>
        <w:rPr>
          <w:color w:val="auto"/>
        </w:rPr>
        <w:t xml:space="preserve"> </w:t>
      </w:r>
      <w:r>
        <w:rPr>
          <w:color w:val="auto"/>
          <w:szCs w:val="24"/>
        </w:rPr>
        <w:t>will be based on the</w:t>
      </w:r>
      <w:r>
        <w:rPr>
          <w:color w:val="auto"/>
        </w:rPr>
        <w:t xml:space="preserve"> information held on the register</w:t>
      </w:r>
      <w:r>
        <w:rPr>
          <w:color w:val="auto"/>
          <w:szCs w:val="24"/>
        </w:rPr>
        <w:t xml:space="preserve"> for an operator</w:t>
      </w:r>
      <w:r>
        <w:rPr>
          <w:color w:val="auto"/>
        </w:rPr>
        <w:t xml:space="preserve"> which </w:t>
      </w:r>
      <w:r>
        <w:rPr>
          <w:color w:val="auto"/>
          <w:szCs w:val="24"/>
        </w:rPr>
        <w:t xml:space="preserve">will indicate that it is financially </w:t>
      </w:r>
      <w:r>
        <w:rPr>
          <w:color w:val="auto"/>
        </w:rPr>
        <w:t>managed by its sector association</w:t>
      </w:r>
      <w:r>
        <w:rPr>
          <w:color w:val="auto"/>
          <w:szCs w:val="24"/>
        </w:rPr>
        <w:t xml:space="preserve">. The </w:t>
      </w:r>
      <w:proofErr w:type="spellStart"/>
      <w:r>
        <w:rPr>
          <w:color w:val="auto"/>
          <w:szCs w:val="24"/>
        </w:rPr>
        <w:t>MoA</w:t>
      </w:r>
      <w:proofErr w:type="spellEnd"/>
      <w:r>
        <w:rPr>
          <w:color w:val="auto"/>
          <w:szCs w:val="24"/>
        </w:rPr>
        <w:t xml:space="preserve"> can be paid in one instalment or by direct debit spread over three instalments. </w:t>
      </w:r>
    </w:p>
    <w:p w14:paraId="5A327F3D" w14:textId="77777777" w:rsidR="00026E66" w:rsidRDefault="002737EF" w:rsidP="00FF0098">
      <w:pPr>
        <w:tabs>
          <w:tab w:val="left" w:pos="0"/>
        </w:tabs>
        <w:ind w:right="182"/>
      </w:pPr>
      <w:r>
        <w:rPr>
          <w:color w:val="auto"/>
        </w:rPr>
        <w:lastRenderedPageBreak/>
        <w:t xml:space="preserve">If the sector association doesn't want to be </w:t>
      </w:r>
      <w:r>
        <w:rPr>
          <w:color w:val="auto"/>
          <w:szCs w:val="24"/>
        </w:rPr>
        <w:t xml:space="preserve">charged </w:t>
      </w:r>
      <w:r>
        <w:rPr>
          <w:color w:val="auto"/>
        </w:rPr>
        <w:t xml:space="preserve">for </w:t>
      </w:r>
      <w:r>
        <w:rPr>
          <w:color w:val="auto"/>
          <w:szCs w:val="24"/>
        </w:rPr>
        <w:t>an operator where payment can't be recovered</w:t>
      </w:r>
      <w:r>
        <w:rPr>
          <w:color w:val="auto"/>
        </w:rPr>
        <w:t>, it must notify the CCA helpdesk by 27 March in each calendar year</w:t>
      </w:r>
      <w:r>
        <w:rPr>
          <w:color w:val="auto"/>
          <w:szCs w:val="24"/>
        </w:rPr>
        <w:t>, giving</w:t>
      </w:r>
      <w:r>
        <w:rPr>
          <w:color w:val="auto"/>
        </w:rPr>
        <w:t xml:space="preserve"> the </w:t>
      </w:r>
      <w:r>
        <w:rPr>
          <w:color w:val="auto"/>
          <w:szCs w:val="24"/>
        </w:rPr>
        <w:t>operator's details and</w:t>
      </w:r>
      <w:r>
        <w:rPr>
          <w:color w:val="auto"/>
        </w:rPr>
        <w:t xml:space="preserve"> target unit identification number</w:t>
      </w:r>
      <w:r>
        <w:rPr>
          <w:color w:val="auto"/>
          <w:szCs w:val="24"/>
        </w:rPr>
        <w:t>.</w:t>
      </w:r>
      <w:r>
        <w:rPr>
          <w:color w:val="auto"/>
        </w:rPr>
        <w:t xml:space="preserve"> We will </w:t>
      </w:r>
      <w:r>
        <w:rPr>
          <w:color w:val="auto"/>
          <w:szCs w:val="24"/>
        </w:rPr>
        <w:t>then change</w:t>
      </w:r>
      <w:r>
        <w:rPr>
          <w:color w:val="auto"/>
        </w:rPr>
        <w:t xml:space="preserve"> the register to show the </w:t>
      </w:r>
      <w:r>
        <w:rPr>
          <w:color w:val="auto"/>
          <w:szCs w:val="24"/>
        </w:rPr>
        <w:t>operator</w:t>
      </w:r>
      <w:r>
        <w:rPr>
          <w:color w:val="auto"/>
        </w:rPr>
        <w:t xml:space="preserve"> is </w:t>
      </w:r>
      <w:r>
        <w:rPr>
          <w:color w:val="auto"/>
          <w:szCs w:val="24"/>
        </w:rPr>
        <w:t xml:space="preserve">not </w:t>
      </w:r>
      <w:r>
        <w:rPr>
          <w:color w:val="auto"/>
        </w:rPr>
        <w:t xml:space="preserve">financially </w:t>
      </w:r>
      <w:r>
        <w:rPr>
          <w:color w:val="auto"/>
          <w:szCs w:val="24"/>
        </w:rPr>
        <w:t>managed by</w:t>
      </w:r>
      <w:r>
        <w:rPr>
          <w:color w:val="auto"/>
        </w:rPr>
        <w:t xml:space="preserve"> the sector association.</w:t>
      </w:r>
      <w:r>
        <w:rPr>
          <w:color w:val="auto"/>
          <w:szCs w:val="24"/>
        </w:rPr>
        <w:t xml:space="preserve"> We will send a </w:t>
      </w:r>
      <w:proofErr w:type="spellStart"/>
      <w:r>
        <w:rPr>
          <w:color w:val="auto"/>
          <w:szCs w:val="24"/>
        </w:rPr>
        <w:t>MoA</w:t>
      </w:r>
      <w:proofErr w:type="spellEnd"/>
      <w:r>
        <w:rPr>
          <w:color w:val="auto"/>
          <w:szCs w:val="24"/>
        </w:rPr>
        <w:t xml:space="preserve"> direct to the operator concerned after 1 April and the sector association won't be charged for them. </w:t>
      </w:r>
    </w:p>
    <w:p w14:paraId="5E482CD6" w14:textId="77777777" w:rsidR="00026E66" w:rsidRDefault="002737EF" w:rsidP="00FF0098">
      <w:pPr>
        <w:tabs>
          <w:tab w:val="left" w:pos="0"/>
        </w:tabs>
        <w:ind w:right="182"/>
      </w:pPr>
      <w:r>
        <w:rPr>
          <w:color w:val="auto"/>
          <w:szCs w:val="24"/>
        </w:rPr>
        <w:t>The</w:t>
      </w:r>
      <w:r>
        <w:rPr>
          <w:color w:val="auto"/>
        </w:rPr>
        <w:t xml:space="preserve"> sector </w:t>
      </w:r>
      <w:r>
        <w:rPr>
          <w:color w:val="auto"/>
          <w:szCs w:val="24"/>
        </w:rPr>
        <w:t xml:space="preserve">association will still be charged in its </w:t>
      </w:r>
      <w:proofErr w:type="spellStart"/>
      <w:r>
        <w:rPr>
          <w:color w:val="auto"/>
          <w:szCs w:val="24"/>
        </w:rPr>
        <w:t>MoA</w:t>
      </w:r>
      <w:proofErr w:type="spellEnd"/>
      <w:r>
        <w:rPr>
          <w:color w:val="auto"/>
          <w:szCs w:val="24"/>
        </w:rPr>
        <w:t xml:space="preserve"> if it financially manages an operator</w:t>
      </w:r>
      <w:r>
        <w:rPr>
          <w:color w:val="auto"/>
        </w:rPr>
        <w:t xml:space="preserve"> that </w:t>
      </w:r>
      <w:r>
        <w:rPr>
          <w:color w:val="auto"/>
          <w:szCs w:val="24"/>
        </w:rPr>
        <w:t>was</w:t>
      </w:r>
      <w:r>
        <w:rPr>
          <w:color w:val="auto"/>
        </w:rPr>
        <w:t xml:space="preserve"> in </w:t>
      </w:r>
      <w:r>
        <w:rPr>
          <w:color w:val="auto"/>
          <w:szCs w:val="24"/>
        </w:rPr>
        <w:t>the scheme</w:t>
      </w:r>
      <w:r>
        <w:rPr>
          <w:color w:val="auto"/>
        </w:rPr>
        <w:t xml:space="preserve"> on 1 January</w:t>
      </w:r>
      <w:r>
        <w:rPr>
          <w:color w:val="auto"/>
          <w:szCs w:val="24"/>
        </w:rPr>
        <w:t xml:space="preserve"> of a calendar year but whose CCA was terminated</w:t>
      </w:r>
      <w:r>
        <w:rPr>
          <w:color w:val="auto"/>
        </w:rPr>
        <w:t xml:space="preserve"> before </w:t>
      </w:r>
      <w:r>
        <w:rPr>
          <w:color w:val="auto"/>
          <w:szCs w:val="24"/>
        </w:rPr>
        <w:t>1 April in</w:t>
      </w:r>
      <w:r>
        <w:rPr>
          <w:color w:val="auto"/>
        </w:rPr>
        <w:t xml:space="preserve"> the </w:t>
      </w:r>
      <w:r>
        <w:rPr>
          <w:color w:val="auto"/>
          <w:szCs w:val="24"/>
        </w:rPr>
        <w:t>year</w:t>
      </w:r>
      <w:r>
        <w:rPr>
          <w:color w:val="auto"/>
        </w:rPr>
        <w:t xml:space="preserve">. </w:t>
      </w:r>
    </w:p>
    <w:p w14:paraId="4B48D099" w14:textId="5BDD965C" w:rsidR="00026E66" w:rsidRPr="00581CC8" w:rsidRDefault="002737EF" w:rsidP="00FF0098">
      <w:pPr>
        <w:tabs>
          <w:tab w:val="left" w:pos="0"/>
        </w:tabs>
        <w:spacing w:after="0"/>
        <w:ind w:right="182"/>
      </w:pPr>
      <w:r>
        <w:rPr>
          <w:color w:val="auto"/>
          <w:szCs w:val="24"/>
        </w:rPr>
        <w:t>Sector</w:t>
      </w:r>
      <w:r>
        <w:rPr>
          <w:color w:val="auto"/>
        </w:rPr>
        <w:t xml:space="preserve"> associations that decide not to collect charges on our behalf and opt to incur the annual charge </w:t>
      </w:r>
      <w:r>
        <w:rPr>
          <w:color w:val="auto"/>
          <w:szCs w:val="24"/>
        </w:rPr>
        <w:t>will be sent an invoice</w:t>
      </w:r>
      <w:r>
        <w:rPr>
          <w:color w:val="auto"/>
        </w:rPr>
        <w:t xml:space="preserve"> in April. This will ask for immediate payment</w:t>
      </w:r>
      <w:r>
        <w:rPr>
          <w:color w:val="auto"/>
          <w:szCs w:val="24"/>
        </w:rPr>
        <w:t xml:space="preserve">. </w:t>
      </w:r>
    </w:p>
    <w:p w14:paraId="437760A3" w14:textId="77777777" w:rsidR="00026E66" w:rsidRPr="00771B6F" w:rsidRDefault="002737EF" w:rsidP="00FF0098">
      <w:pPr>
        <w:pStyle w:val="Heading4"/>
        <w:tabs>
          <w:tab w:val="left" w:pos="0"/>
        </w:tabs>
      </w:pPr>
      <w:r w:rsidRPr="00771B6F">
        <w:t xml:space="preserve">Target units </w:t>
      </w:r>
    </w:p>
    <w:p w14:paraId="55C32C00" w14:textId="77777777" w:rsidR="00026E66" w:rsidRDefault="002737EF" w:rsidP="00FF0098">
      <w:pPr>
        <w:tabs>
          <w:tab w:val="left" w:pos="0"/>
        </w:tabs>
        <w:ind w:right="182"/>
        <w:rPr>
          <w:color w:val="auto"/>
          <w:szCs w:val="24"/>
        </w:rPr>
      </w:pPr>
      <w:r>
        <w:rPr>
          <w:color w:val="auto"/>
          <w:szCs w:val="24"/>
        </w:rPr>
        <w:t xml:space="preserve">We won’t need to contact target units paying their annual charge via their sector association. </w:t>
      </w:r>
    </w:p>
    <w:p w14:paraId="177CD9A7" w14:textId="5EDE3DA8" w:rsidR="00026E66" w:rsidRPr="00581CC8" w:rsidRDefault="002737EF" w:rsidP="00FF0098">
      <w:pPr>
        <w:tabs>
          <w:tab w:val="left" w:pos="0"/>
        </w:tabs>
        <w:spacing w:after="61"/>
        <w:ind w:right="182"/>
      </w:pPr>
      <w:r>
        <w:rPr>
          <w:color w:val="auto"/>
          <w:szCs w:val="24"/>
        </w:rPr>
        <w:t xml:space="preserve">Target units that opt to pay for their CCA directly to us will be sent a </w:t>
      </w:r>
      <w:proofErr w:type="spellStart"/>
      <w:r>
        <w:rPr>
          <w:color w:val="auto"/>
          <w:szCs w:val="24"/>
        </w:rPr>
        <w:t>MoA</w:t>
      </w:r>
      <w:proofErr w:type="spellEnd"/>
      <w:r>
        <w:rPr>
          <w:color w:val="auto"/>
          <w:szCs w:val="24"/>
        </w:rPr>
        <w:t xml:space="preserve"> in April.</w:t>
      </w:r>
      <w:r>
        <w:rPr>
          <w:color w:val="auto"/>
        </w:rPr>
        <w:t xml:space="preserve"> This will ask for immediate payment. Where a target unit fails to pay us and we are unable to resolve </w:t>
      </w:r>
      <w:r>
        <w:rPr>
          <w:color w:val="auto"/>
          <w:szCs w:val="24"/>
        </w:rPr>
        <w:t>the lack of payment</w:t>
      </w:r>
      <w:r>
        <w:rPr>
          <w:color w:val="auto"/>
        </w:rPr>
        <w:t xml:space="preserve"> through communication, we may </w:t>
      </w:r>
      <w:r>
        <w:rPr>
          <w:color w:val="auto"/>
          <w:szCs w:val="24"/>
        </w:rPr>
        <w:t xml:space="preserve">issue a </w:t>
      </w:r>
      <w:hyperlink w:anchor="Penalty" w:history="1">
        <w:r>
          <w:rPr>
            <w:rStyle w:val="Hyperlink"/>
            <w:szCs w:val="24"/>
          </w:rPr>
          <w:t>penalty</w:t>
        </w:r>
      </w:hyperlink>
      <w:r>
        <w:rPr>
          <w:color w:val="auto"/>
          <w:szCs w:val="24"/>
          <w:u w:val="single" w:color="0077B9"/>
        </w:rPr>
        <w:t xml:space="preserve"> </w:t>
      </w:r>
      <w:r>
        <w:rPr>
          <w:color w:val="auto"/>
          <w:szCs w:val="24"/>
        </w:rPr>
        <w:t xml:space="preserve">or </w:t>
      </w:r>
      <w:hyperlink w:anchor="Termination" w:history="1">
        <w:r>
          <w:rPr>
            <w:rStyle w:val="Hyperlink"/>
            <w:szCs w:val="24"/>
          </w:rPr>
          <w:t>terminate</w:t>
        </w:r>
      </w:hyperlink>
      <w:r>
        <w:rPr>
          <w:color w:val="auto"/>
          <w:szCs w:val="24"/>
          <w:u w:val="single" w:color="0077B9"/>
        </w:rPr>
        <w:t xml:space="preserve"> </w:t>
      </w:r>
      <w:r>
        <w:rPr>
          <w:color w:val="auto"/>
          <w:szCs w:val="24"/>
        </w:rPr>
        <w:t xml:space="preserve">the </w:t>
      </w:r>
      <w:r>
        <w:rPr>
          <w:color w:val="auto"/>
        </w:rPr>
        <w:t>agreement</w:t>
      </w:r>
      <w:r>
        <w:rPr>
          <w:color w:val="auto"/>
          <w:szCs w:val="24"/>
        </w:rPr>
        <w:t xml:space="preserve">. </w:t>
      </w:r>
    </w:p>
    <w:p w14:paraId="2BB69C42" w14:textId="77777777" w:rsidR="00026E66" w:rsidRDefault="002737EF" w:rsidP="00FF0098">
      <w:pPr>
        <w:pStyle w:val="Heading2"/>
        <w:tabs>
          <w:tab w:val="left" w:pos="0"/>
        </w:tabs>
      </w:pPr>
      <w:bookmarkStart w:id="116" w:name="_5.2._Collection_of"/>
      <w:bookmarkStart w:id="117" w:name="_Toc94718644"/>
      <w:bookmarkStart w:id="118" w:name="_Toc94088892"/>
      <w:bookmarkStart w:id="119" w:name="_Toc95211814"/>
      <w:bookmarkEnd w:id="116"/>
      <w:r>
        <w:t>5.2. Collection of charges by sector associations</w:t>
      </w:r>
      <w:bookmarkEnd w:id="117"/>
      <w:bookmarkEnd w:id="118"/>
      <w:bookmarkEnd w:id="119"/>
      <w:r>
        <w:t xml:space="preserve"> </w:t>
      </w:r>
    </w:p>
    <w:p w14:paraId="1795597C" w14:textId="77777777" w:rsidR="00026E66" w:rsidRDefault="002737EF" w:rsidP="00FF0098">
      <w:pPr>
        <w:tabs>
          <w:tab w:val="left" w:pos="0"/>
        </w:tabs>
      </w:pPr>
      <w:r>
        <w:t xml:space="preserve">A sector association wishing to collect charges from its target units on our behalf needs to: </w:t>
      </w:r>
    </w:p>
    <w:p w14:paraId="5796A4CA" w14:textId="77777777" w:rsidR="00026E66" w:rsidRDefault="002737EF" w:rsidP="0065356B">
      <w:pPr>
        <w:pStyle w:val="ListParagraph"/>
        <w:numPr>
          <w:ilvl w:val="0"/>
          <w:numId w:val="43"/>
        </w:numPr>
        <w:tabs>
          <w:tab w:val="left" w:pos="0"/>
        </w:tabs>
      </w:pPr>
      <w:r>
        <w:t xml:space="preserve">agree this arrangement with us </w:t>
      </w:r>
    </w:p>
    <w:p w14:paraId="493CC2CF" w14:textId="77777777" w:rsidR="00026E66" w:rsidRDefault="002737EF" w:rsidP="0065356B">
      <w:pPr>
        <w:pStyle w:val="ListParagraph"/>
        <w:numPr>
          <w:ilvl w:val="0"/>
          <w:numId w:val="43"/>
        </w:numPr>
        <w:tabs>
          <w:tab w:val="left" w:pos="0"/>
        </w:tabs>
      </w:pPr>
      <w:r>
        <w:t xml:space="preserve">adhere to the conditions detailed in Rule 16 of the umbrella agreement </w:t>
      </w:r>
    </w:p>
    <w:p w14:paraId="3B0A487B" w14:textId="77777777" w:rsidR="00026E66" w:rsidRDefault="002737EF" w:rsidP="0065356B">
      <w:pPr>
        <w:pStyle w:val="ListParagraph"/>
        <w:numPr>
          <w:ilvl w:val="0"/>
          <w:numId w:val="43"/>
        </w:numPr>
        <w:tabs>
          <w:tab w:val="left" w:pos="0"/>
        </w:tabs>
      </w:pPr>
      <w:r>
        <w:t xml:space="preserve">agree to collect charges from target units that, taken together, represent at least 50% of the facilities under its agreement </w:t>
      </w:r>
    </w:p>
    <w:p w14:paraId="148B62E3" w14:textId="77777777" w:rsidR="00026E66" w:rsidRDefault="002737EF" w:rsidP="0065356B">
      <w:pPr>
        <w:pStyle w:val="ListParagraph"/>
        <w:numPr>
          <w:ilvl w:val="0"/>
          <w:numId w:val="43"/>
        </w:numPr>
        <w:tabs>
          <w:tab w:val="left" w:pos="0"/>
        </w:tabs>
      </w:pPr>
      <w:r>
        <w:t xml:space="preserve">send us a written request to do this – to be received by the last working day in February of each year (we will remind sectors by email of this each year in January) </w:t>
      </w:r>
    </w:p>
    <w:p w14:paraId="425D6DE4" w14:textId="77777777" w:rsidR="00026E66" w:rsidRDefault="002737EF" w:rsidP="00FF0098">
      <w:pPr>
        <w:tabs>
          <w:tab w:val="left" w:pos="0"/>
        </w:tabs>
      </w:pPr>
      <w:r>
        <w:t xml:space="preserve">The request from the sector association should list all the facilities (by the target unit they fall into) from which it intends to collect charges. </w:t>
      </w:r>
    </w:p>
    <w:p w14:paraId="154D8BFD" w14:textId="3274B492" w:rsidR="00026E66" w:rsidRDefault="002737EF" w:rsidP="00FF0098">
      <w:pPr>
        <w:tabs>
          <w:tab w:val="left" w:pos="0"/>
        </w:tabs>
        <w:ind w:right="182"/>
      </w:pPr>
      <w:r>
        <w:rPr>
          <w:color w:val="auto"/>
          <w:szCs w:val="24"/>
        </w:rPr>
        <w:t>Request</w:t>
      </w:r>
      <w:r>
        <w:rPr>
          <w:color w:val="auto"/>
        </w:rPr>
        <w:t xml:space="preserve"> to collect the target unit charges can be </w:t>
      </w:r>
      <w:r>
        <w:rPr>
          <w:color w:val="auto"/>
          <w:szCs w:val="24"/>
        </w:rPr>
        <w:t>emailed</w:t>
      </w:r>
      <w:r>
        <w:t xml:space="preserve"> to </w:t>
      </w:r>
      <w:hyperlink r:id="rId80" w:history="1">
        <w:r>
          <w:rPr>
            <w:rStyle w:val="Hyperlink"/>
          </w:rPr>
          <w:t>cca-help@environment-agency.gov.uk</w:t>
        </w:r>
      </w:hyperlink>
      <w:r>
        <w:rPr>
          <w:szCs w:val="24"/>
        </w:rPr>
        <w:t xml:space="preserve"> or posted</w:t>
      </w:r>
      <w:r>
        <w:t xml:space="preserve"> to: Climate Change Agreements Team, Environment Agency, </w:t>
      </w:r>
      <w:proofErr w:type="spellStart"/>
      <w:r>
        <w:t>Lutra</w:t>
      </w:r>
      <w:proofErr w:type="spellEnd"/>
      <w:r>
        <w:t xml:space="preserve"> House, Dodd Way, </w:t>
      </w:r>
      <w:r>
        <w:rPr>
          <w:szCs w:val="24"/>
        </w:rPr>
        <w:t xml:space="preserve">Off </w:t>
      </w:r>
      <w:proofErr w:type="spellStart"/>
      <w:r>
        <w:rPr>
          <w:szCs w:val="24"/>
        </w:rPr>
        <w:t>Seedlee</w:t>
      </w:r>
      <w:proofErr w:type="spellEnd"/>
      <w:r>
        <w:rPr>
          <w:szCs w:val="24"/>
        </w:rPr>
        <w:t xml:space="preserve"> Road, </w:t>
      </w:r>
      <w:r>
        <w:t>Preston, Lancashire, PR5 8BX</w:t>
      </w:r>
      <w:r>
        <w:rPr>
          <w:szCs w:val="24"/>
        </w:rPr>
        <w:t>.</w:t>
      </w:r>
    </w:p>
    <w:p w14:paraId="5B001950" w14:textId="77777777" w:rsidR="00026E66" w:rsidRDefault="002737EF" w:rsidP="00FF0098">
      <w:pPr>
        <w:tabs>
          <w:tab w:val="left" w:pos="0"/>
        </w:tabs>
        <w:ind w:right="182"/>
      </w:pPr>
      <w:r>
        <w:rPr>
          <w:color w:val="auto"/>
        </w:rPr>
        <w:t xml:space="preserve">Once received, we will approve or reject the request and inform the sector association, explaining </w:t>
      </w:r>
      <w:r>
        <w:rPr>
          <w:color w:val="auto"/>
          <w:szCs w:val="24"/>
        </w:rPr>
        <w:t>the</w:t>
      </w:r>
      <w:r>
        <w:rPr>
          <w:color w:val="auto"/>
        </w:rPr>
        <w:t xml:space="preserve"> decision</w:t>
      </w:r>
      <w:r>
        <w:rPr>
          <w:color w:val="auto"/>
          <w:szCs w:val="24"/>
        </w:rPr>
        <w:t xml:space="preserve"> made</w:t>
      </w:r>
      <w:r>
        <w:rPr>
          <w:color w:val="auto"/>
        </w:rPr>
        <w:t xml:space="preserve">. </w:t>
      </w:r>
    </w:p>
    <w:p w14:paraId="2DD7F8F1" w14:textId="77777777" w:rsidR="00026E66" w:rsidRDefault="002737EF" w:rsidP="00FF0098">
      <w:pPr>
        <w:tabs>
          <w:tab w:val="left" w:pos="0"/>
        </w:tabs>
        <w:ind w:right="182"/>
        <w:rPr>
          <w:color w:val="auto"/>
          <w:szCs w:val="24"/>
        </w:rPr>
      </w:pPr>
      <w:r>
        <w:rPr>
          <w:color w:val="auto"/>
          <w:szCs w:val="24"/>
        </w:rPr>
        <w:lastRenderedPageBreak/>
        <w:t xml:space="preserve">If we allow the sector association to collect the charges, they will need to comply with the following rules. </w:t>
      </w:r>
    </w:p>
    <w:p w14:paraId="5175F816" w14:textId="77777777" w:rsidR="00026E66" w:rsidRDefault="002737EF" w:rsidP="0065356B">
      <w:pPr>
        <w:pStyle w:val="ListParagraph"/>
        <w:numPr>
          <w:ilvl w:val="0"/>
          <w:numId w:val="44"/>
        </w:numPr>
        <w:tabs>
          <w:tab w:val="left" w:pos="0"/>
        </w:tabs>
        <w:spacing w:after="76" w:line="244" w:lineRule="auto"/>
        <w:ind w:right="182"/>
      </w:pPr>
      <w:r w:rsidRPr="00E955A3">
        <w:rPr>
          <w:szCs w:val="24"/>
        </w:rPr>
        <w:t xml:space="preserve">Itemise the CCA </w:t>
      </w:r>
      <w:r w:rsidRPr="00E955A3">
        <w:t xml:space="preserve">charges separately in </w:t>
      </w:r>
      <w:r w:rsidRPr="00E955A3">
        <w:rPr>
          <w:szCs w:val="24"/>
        </w:rPr>
        <w:t>the</w:t>
      </w:r>
      <w:r w:rsidRPr="00E955A3">
        <w:t xml:space="preserve"> invoices </w:t>
      </w:r>
      <w:r w:rsidRPr="00E955A3">
        <w:rPr>
          <w:szCs w:val="24"/>
        </w:rPr>
        <w:t>issued</w:t>
      </w:r>
      <w:r w:rsidRPr="00E955A3">
        <w:t xml:space="preserve"> to </w:t>
      </w:r>
      <w:r w:rsidRPr="00E955A3">
        <w:rPr>
          <w:szCs w:val="24"/>
        </w:rPr>
        <w:t xml:space="preserve">its operators. </w:t>
      </w:r>
    </w:p>
    <w:p w14:paraId="35BB4939" w14:textId="77777777" w:rsidR="00026E66" w:rsidRDefault="002737EF" w:rsidP="0065356B">
      <w:pPr>
        <w:pStyle w:val="ListParagraph"/>
        <w:numPr>
          <w:ilvl w:val="0"/>
          <w:numId w:val="44"/>
        </w:numPr>
        <w:tabs>
          <w:tab w:val="left" w:pos="0"/>
        </w:tabs>
        <w:ind w:right="182"/>
      </w:pPr>
      <w:r w:rsidRPr="00E955A3">
        <w:rPr>
          <w:szCs w:val="24"/>
        </w:rPr>
        <w:t xml:space="preserve">Chase any payments owing from its </w:t>
      </w:r>
      <w:r>
        <w:t xml:space="preserve">operators </w:t>
      </w:r>
      <w:r w:rsidRPr="00E955A3">
        <w:rPr>
          <w:szCs w:val="24"/>
        </w:rPr>
        <w:t xml:space="preserve">up until the end of September. </w:t>
      </w:r>
    </w:p>
    <w:p w14:paraId="6CF4D264" w14:textId="77777777" w:rsidR="00026E66" w:rsidRDefault="002737EF" w:rsidP="0065356B">
      <w:pPr>
        <w:pStyle w:val="ListParagraph"/>
        <w:numPr>
          <w:ilvl w:val="0"/>
          <w:numId w:val="44"/>
        </w:numPr>
        <w:tabs>
          <w:tab w:val="left" w:pos="0"/>
        </w:tabs>
        <w:spacing w:after="71"/>
        <w:ind w:right="182"/>
      </w:pPr>
      <w:r w:rsidRPr="00E955A3">
        <w:rPr>
          <w:szCs w:val="24"/>
        </w:rPr>
        <w:t>Collect</w:t>
      </w:r>
      <w:r>
        <w:t xml:space="preserve"> the charges </w:t>
      </w:r>
      <w:r w:rsidRPr="00E955A3">
        <w:rPr>
          <w:szCs w:val="24"/>
        </w:rPr>
        <w:t xml:space="preserve">in full and send us the </w:t>
      </w:r>
      <w:r>
        <w:t xml:space="preserve">collected </w:t>
      </w:r>
      <w:r w:rsidRPr="00E955A3">
        <w:rPr>
          <w:szCs w:val="24"/>
        </w:rPr>
        <w:t>money by direct debit or BACS</w:t>
      </w:r>
      <w:r>
        <w:t xml:space="preserve"> by the last working day </w:t>
      </w:r>
      <w:r w:rsidRPr="00E955A3">
        <w:rPr>
          <w:szCs w:val="24"/>
        </w:rPr>
        <w:t>of</w:t>
      </w:r>
      <w:r>
        <w:t xml:space="preserve"> September</w:t>
      </w:r>
      <w:r w:rsidRPr="00E955A3">
        <w:rPr>
          <w:szCs w:val="24"/>
        </w:rPr>
        <w:t xml:space="preserve"> in each year, quoting the payment reference number on the payment advice note. This number will be listed at the top of the </w:t>
      </w:r>
      <w:proofErr w:type="spellStart"/>
      <w:r w:rsidRPr="00E955A3">
        <w:rPr>
          <w:szCs w:val="24"/>
        </w:rPr>
        <w:t>MoA</w:t>
      </w:r>
      <w:proofErr w:type="spellEnd"/>
      <w:r w:rsidRPr="00E955A3">
        <w:rPr>
          <w:szCs w:val="24"/>
        </w:rPr>
        <w:t xml:space="preserve"> received by the sector association each April. Any debt collecting activity must cease at this point. </w:t>
      </w:r>
    </w:p>
    <w:p w14:paraId="0738397F" w14:textId="77777777" w:rsidR="00026E66" w:rsidRDefault="002737EF" w:rsidP="0065356B">
      <w:pPr>
        <w:pStyle w:val="ListParagraph"/>
        <w:numPr>
          <w:ilvl w:val="0"/>
          <w:numId w:val="44"/>
        </w:numPr>
        <w:tabs>
          <w:tab w:val="left" w:pos="0"/>
        </w:tabs>
        <w:spacing w:after="71"/>
        <w:ind w:right="182"/>
      </w:pPr>
      <w:r w:rsidRPr="00E955A3">
        <w:rPr>
          <w:szCs w:val="24"/>
        </w:rPr>
        <w:t xml:space="preserve">Three proportional direct debit instalments will be taken in each calendar year on 15 May (20% of total due), </w:t>
      </w:r>
      <w:r w:rsidRPr="00E955A3">
        <w:t xml:space="preserve">15 July (40% of total due) </w:t>
      </w:r>
      <w:r w:rsidRPr="00E955A3">
        <w:rPr>
          <w:szCs w:val="24"/>
        </w:rPr>
        <w:t>and 15 September (40% of total due).</w:t>
      </w:r>
      <w:r w:rsidRPr="00E955A3">
        <w:t xml:space="preserve"> Payments other than by direct debit become due in full in April in each calendar year following the issue of the </w:t>
      </w:r>
      <w:proofErr w:type="spellStart"/>
      <w:r w:rsidRPr="00E955A3">
        <w:t>MoA</w:t>
      </w:r>
      <w:proofErr w:type="spellEnd"/>
      <w:r w:rsidRPr="00E955A3">
        <w:t xml:space="preserve">. </w:t>
      </w:r>
    </w:p>
    <w:p w14:paraId="130277A9" w14:textId="77777777" w:rsidR="00026E66" w:rsidRPr="00E955A3" w:rsidRDefault="002737EF" w:rsidP="0065356B">
      <w:pPr>
        <w:pStyle w:val="ListParagraph"/>
        <w:numPr>
          <w:ilvl w:val="0"/>
          <w:numId w:val="44"/>
        </w:numPr>
        <w:tabs>
          <w:tab w:val="left" w:pos="0"/>
        </w:tabs>
        <w:spacing w:after="71" w:line="244" w:lineRule="auto"/>
        <w:ind w:right="182"/>
        <w:rPr>
          <w:szCs w:val="24"/>
        </w:rPr>
      </w:pPr>
      <w:r w:rsidRPr="00E955A3">
        <w:rPr>
          <w:szCs w:val="24"/>
        </w:rPr>
        <w:t xml:space="preserve">The final direct debit payment value due on 15 September may be altered by the sector association if it is unable to recover the full costs for its sector. You must notify us by the last working day in August if you wish to alter the direct debit payment value. </w:t>
      </w:r>
    </w:p>
    <w:p w14:paraId="60B53C8C" w14:textId="77777777" w:rsidR="00026E66" w:rsidRDefault="002737EF" w:rsidP="0065356B">
      <w:pPr>
        <w:pStyle w:val="ListParagraph"/>
        <w:numPr>
          <w:ilvl w:val="0"/>
          <w:numId w:val="44"/>
        </w:numPr>
        <w:tabs>
          <w:tab w:val="left" w:pos="0"/>
        </w:tabs>
        <w:ind w:right="182"/>
      </w:pPr>
      <w:r w:rsidRPr="00E955A3">
        <w:rPr>
          <w:szCs w:val="24"/>
        </w:rPr>
        <w:t>Send us</w:t>
      </w:r>
      <w:r>
        <w:t xml:space="preserve"> an annual report </w:t>
      </w:r>
      <w:r w:rsidRPr="00E955A3">
        <w:rPr>
          <w:szCs w:val="24"/>
        </w:rPr>
        <w:t xml:space="preserve">(at the address given above) </w:t>
      </w:r>
      <w:r>
        <w:t>by the last working day in October in the same year</w:t>
      </w:r>
      <w:r w:rsidRPr="00E955A3">
        <w:rPr>
          <w:szCs w:val="24"/>
        </w:rPr>
        <w:t>. This report should state</w:t>
      </w:r>
      <w:r>
        <w:t xml:space="preserve"> which operators have paid or not paid</w:t>
      </w:r>
      <w:r w:rsidRPr="00E955A3">
        <w:rPr>
          <w:szCs w:val="24"/>
        </w:rPr>
        <w:t xml:space="preserve">. </w:t>
      </w:r>
    </w:p>
    <w:p w14:paraId="23E0C2DE" w14:textId="77777777" w:rsidR="00026E66" w:rsidRDefault="002737EF" w:rsidP="00FF0098">
      <w:pPr>
        <w:tabs>
          <w:tab w:val="left" w:pos="0"/>
        </w:tabs>
        <w:ind w:right="182"/>
      </w:pPr>
      <w:r>
        <w:rPr>
          <w:color w:val="auto"/>
        </w:rPr>
        <w:t xml:space="preserve">If </w:t>
      </w:r>
      <w:r>
        <w:rPr>
          <w:color w:val="auto"/>
          <w:szCs w:val="24"/>
        </w:rPr>
        <w:t>any payments are received by the</w:t>
      </w:r>
      <w:r>
        <w:rPr>
          <w:color w:val="auto"/>
        </w:rPr>
        <w:t xml:space="preserve"> sector association from operators after the last working day in September, these should be sent to us quoting the target unit </w:t>
      </w:r>
      <w:r>
        <w:rPr>
          <w:color w:val="auto"/>
          <w:szCs w:val="24"/>
        </w:rPr>
        <w:t xml:space="preserve">identification number quoted on the sector association's original </w:t>
      </w:r>
      <w:proofErr w:type="spellStart"/>
      <w:r>
        <w:rPr>
          <w:color w:val="auto"/>
          <w:szCs w:val="24"/>
        </w:rPr>
        <w:t>MoA</w:t>
      </w:r>
      <w:proofErr w:type="spellEnd"/>
      <w:r>
        <w:rPr>
          <w:color w:val="auto"/>
          <w:szCs w:val="24"/>
        </w:rPr>
        <w:t xml:space="preserve">. This information will </w:t>
      </w:r>
      <w:r>
        <w:rPr>
          <w:color w:val="auto"/>
        </w:rPr>
        <w:t xml:space="preserve">allow us to </w:t>
      </w:r>
      <w:r>
        <w:rPr>
          <w:color w:val="auto"/>
          <w:szCs w:val="24"/>
        </w:rPr>
        <w:t>identify the operator and target unit making</w:t>
      </w:r>
      <w:r>
        <w:rPr>
          <w:color w:val="auto"/>
        </w:rPr>
        <w:t xml:space="preserve"> the payment.</w:t>
      </w:r>
      <w:r>
        <w:rPr>
          <w:color w:val="auto"/>
          <w:szCs w:val="24"/>
        </w:rPr>
        <w:t xml:space="preserve"> </w:t>
      </w:r>
    </w:p>
    <w:p w14:paraId="29D07E90" w14:textId="3306E60B" w:rsidR="00026E66" w:rsidRPr="00581CC8" w:rsidRDefault="002737EF" w:rsidP="00581CC8">
      <w:pPr>
        <w:tabs>
          <w:tab w:val="left" w:pos="0"/>
        </w:tabs>
        <w:spacing w:after="0"/>
        <w:ind w:right="182"/>
      </w:pPr>
      <w:r>
        <w:rPr>
          <w:color w:val="auto"/>
        </w:rPr>
        <w:t xml:space="preserve">If a sector association fails to comply with these rules, we may withdraw our consent for it to </w:t>
      </w:r>
      <w:r>
        <w:rPr>
          <w:color w:val="auto"/>
          <w:szCs w:val="24"/>
        </w:rPr>
        <w:t xml:space="preserve">continue to </w:t>
      </w:r>
      <w:r>
        <w:rPr>
          <w:color w:val="auto"/>
        </w:rPr>
        <w:t xml:space="preserve">collect charges on our behalf. We will give 20 working days' notice of this. </w:t>
      </w:r>
    </w:p>
    <w:p w14:paraId="51BF3199" w14:textId="550E443F" w:rsidR="00026E66" w:rsidRPr="00581CC8" w:rsidRDefault="002737EF" w:rsidP="00581CC8">
      <w:pPr>
        <w:pStyle w:val="Heading2"/>
        <w:tabs>
          <w:tab w:val="left" w:pos="0"/>
        </w:tabs>
      </w:pPr>
      <w:bookmarkStart w:id="120" w:name="_Toc94718645"/>
      <w:bookmarkStart w:id="121" w:name="_Toc94088893"/>
      <w:bookmarkStart w:id="122" w:name="_Toc95211815"/>
      <w:r>
        <w:t>5.3. What action will we take if charges are not paid?</w:t>
      </w:r>
      <w:bookmarkEnd w:id="120"/>
      <w:bookmarkEnd w:id="121"/>
      <w:bookmarkEnd w:id="122"/>
      <w:r>
        <w:t xml:space="preserve"> </w:t>
      </w:r>
    </w:p>
    <w:p w14:paraId="2EDE983E" w14:textId="2B2196C2" w:rsidR="00581CC8" w:rsidRDefault="002737EF" w:rsidP="00FF0098">
      <w:pPr>
        <w:tabs>
          <w:tab w:val="left" w:pos="0"/>
        </w:tabs>
        <w:ind w:right="182"/>
        <w:rPr>
          <w:color w:val="auto"/>
          <w:szCs w:val="24"/>
        </w:rPr>
      </w:pPr>
      <w:r>
        <w:rPr>
          <w:color w:val="auto"/>
        </w:rPr>
        <w:t xml:space="preserve">If we haven't received payment of the charges from the sector association or operator by the due date, we will contact the sector association or operator to find out why. </w:t>
      </w:r>
      <w:r>
        <w:rPr>
          <w:color w:val="auto"/>
          <w:szCs w:val="24"/>
        </w:rPr>
        <w:t xml:space="preserve">If we're unable to resolve the problem, the outstanding amount may be treated as a civil </w:t>
      </w:r>
      <w:proofErr w:type="gramStart"/>
      <w:r>
        <w:rPr>
          <w:color w:val="auto"/>
          <w:szCs w:val="24"/>
        </w:rPr>
        <w:t>debt</w:t>
      </w:r>
      <w:proofErr w:type="gramEnd"/>
      <w:r>
        <w:rPr>
          <w:color w:val="auto"/>
          <w:szCs w:val="24"/>
        </w:rPr>
        <w:t xml:space="preserve"> and we may commence debt recovery. If we aren't able to recover the charges by the end of the calendar year, we will consider terminating the agreement as well as continuing to recover the debt. </w:t>
      </w:r>
    </w:p>
    <w:p w14:paraId="42A16CF0" w14:textId="77777777" w:rsidR="00581CC8" w:rsidRDefault="00581CC8">
      <w:pPr>
        <w:suppressAutoHyphens w:val="0"/>
        <w:spacing w:before="0" w:beforeAutospacing="0" w:after="160" w:afterAutospacing="0" w:line="256" w:lineRule="auto"/>
        <w:rPr>
          <w:color w:val="auto"/>
          <w:szCs w:val="24"/>
        </w:rPr>
      </w:pPr>
      <w:r>
        <w:rPr>
          <w:color w:val="auto"/>
          <w:szCs w:val="24"/>
        </w:rPr>
        <w:br w:type="page"/>
      </w:r>
    </w:p>
    <w:p w14:paraId="2C835E50" w14:textId="77777777" w:rsidR="00026E66" w:rsidRDefault="002737EF" w:rsidP="00FF0098">
      <w:pPr>
        <w:pStyle w:val="Heading1"/>
        <w:tabs>
          <w:tab w:val="left" w:pos="0"/>
        </w:tabs>
      </w:pPr>
      <w:bookmarkStart w:id="123" w:name="_6._Application_process"/>
      <w:bookmarkStart w:id="124" w:name="_Toc94718646"/>
      <w:bookmarkStart w:id="125" w:name="_Toc94088894"/>
      <w:bookmarkStart w:id="126" w:name="_Toc95211816"/>
      <w:bookmarkEnd w:id="123"/>
      <w:r>
        <w:lastRenderedPageBreak/>
        <w:t>6. Application process</w:t>
      </w:r>
      <w:bookmarkEnd w:id="124"/>
      <w:bookmarkEnd w:id="125"/>
      <w:bookmarkEnd w:id="126"/>
      <w:r>
        <w:t xml:space="preserve"> </w:t>
      </w:r>
    </w:p>
    <w:p w14:paraId="46C5EA18" w14:textId="77777777" w:rsidR="00026E66" w:rsidRDefault="002737EF" w:rsidP="00FF0098">
      <w:pPr>
        <w:tabs>
          <w:tab w:val="left" w:pos="0"/>
        </w:tabs>
      </w:pPr>
      <w:r>
        <w:t xml:space="preserve">Sections 2 to 5 explain what an operator needs to do and know to apply for a CCA. This section outlines the procedure operators and their sector association need to follow when applying for a climate change agreement and assenting to the agreement. </w:t>
      </w:r>
    </w:p>
    <w:p w14:paraId="31B27C0D" w14:textId="77777777" w:rsidR="00026E66" w:rsidRDefault="002737EF" w:rsidP="00FF0098">
      <w:pPr>
        <w:pStyle w:val="Heading2"/>
        <w:tabs>
          <w:tab w:val="left" w:pos="0"/>
        </w:tabs>
      </w:pPr>
      <w:bookmarkStart w:id="127" w:name="_Toc94718647"/>
      <w:bookmarkStart w:id="128" w:name="_Toc94088895"/>
      <w:bookmarkStart w:id="129" w:name="_Toc95211817"/>
      <w:r>
        <w:t>6.1. What should operators do next?</w:t>
      </w:r>
      <w:bookmarkEnd w:id="127"/>
      <w:bookmarkEnd w:id="128"/>
      <w:bookmarkEnd w:id="129"/>
      <w:r>
        <w:t xml:space="preserve"> </w:t>
      </w:r>
    </w:p>
    <w:p w14:paraId="274DD6B1" w14:textId="77777777" w:rsidR="00026E66" w:rsidRDefault="002737EF" w:rsidP="00FF0098">
      <w:pPr>
        <w:tabs>
          <w:tab w:val="left" w:pos="0"/>
        </w:tabs>
      </w:pPr>
      <w:r>
        <w:t>After reviewing sections 2 to 5 and collating the necessary evidence to support a new application, the next step is for the operator to provide their sector association with the necessary information so the application can be submitted on their behalf. It is not possible for an operator to apply directly for an underlying agreement through the CCA register.</w:t>
      </w:r>
    </w:p>
    <w:p w14:paraId="70320137" w14:textId="77777777" w:rsidR="00026E66" w:rsidRDefault="002737EF" w:rsidP="00FF0098">
      <w:pPr>
        <w:tabs>
          <w:tab w:val="left" w:pos="0"/>
        </w:tabs>
      </w:pPr>
      <w:r>
        <w:t>The sector association will check the operator’s information and undertake the initial eligibility checks before entering the application on the CCA register.</w:t>
      </w:r>
    </w:p>
    <w:p w14:paraId="49658EAB" w14:textId="77777777" w:rsidR="00026E66" w:rsidRDefault="002737EF" w:rsidP="00FF0098">
      <w:pPr>
        <w:tabs>
          <w:tab w:val="left" w:pos="0"/>
        </w:tabs>
      </w:pPr>
      <w:r>
        <w:t xml:space="preserve">We will assess the evidence submitted to determine whether a facility is eligible to be included in an agreement. Following our determination, we will send the operator an email providing a proposed copy of their agreement and ask them to provide their assent. This assent will legally bind them to the agreement. </w:t>
      </w:r>
    </w:p>
    <w:p w14:paraId="3D4F0409" w14:textId="05EBD519" w:rsidR="00026E66" w:rsidRPr="00827932" w:rsidRDefault="002737EF" w:rsidP="00827932">
      <w:pPr>
        <w:tabs>
          <w:tab w:val="left" w:pos="0"/>
        </w:tabs>
      </w:pPr>
      <w:r>
        <w:t>Once we have received the operator’s assent, we will issue the approved agreement to the operator and add the facilities included in the target unit to the reduced rate certificate.</w:t>
      </w:r>
      <w:r w:rsidR="00FC355D">
        <w:t xml:space="preserve"> </w:t>
      </w:r>
      <w:r>
        <w:t xml:space="preserve">At this point the operator will be able to receive the CCL discount from their energy suppliers. </w:t>
      </w:r>
    </w:p>
    <w:p w14:paraId="2C2D6ED8" w14:textId="2163753E" w:rsidR="00771B6F" w:rsidRDefault="002737EF" w:rsidP="00827932">
      <w:pPr>
        <w:pStyle w:val="Heading3"/>
        <w:tabs>
          <w:tab w:val="left" w:pos="0"/>
        </w:tabs>
      </w:pPr>
      <w:bookmarkStart w:id="130" w:name="_Toc95211818"/>
      <w:r>
        <w:t>6.1.1. Evidence required for submission to the register during application</w:t>
      </w:r>
      <w:bookmarkEnd w:id="130"/>
      <w:r>
        <w:t xml:space="preserve"> </w:t>
      </w:r>
      <w:bookmarkStart w:id="131" w:name="_Toc95211819"/>
    </w:p>
    <w:p w14:paraId="1C9F7E25" w14:textId="37755AE9" w:rsidR="00026E66" w:rsidRPr="00827932" w:rsidRDefault="002737EF" w:rsidP="00827932">
      <w:pPr>
        <w:pStyle w:val="Heading4"/>
      </w:pPr>
      <w:r w:rsidRPr="00827932">
        <w:t>Facility eligibility information</w:t>
      </w:r>
      <w:bookmarkEnd w:id="131"/>
      <w:r w:rsidRPr="00827932">
        <w:t xml:space="preserve"> </w:t>
      </w:r>
    </w:p>
    <w:p w14:paraId="2DB7060B" w14:textId="77777777" w:rsidR="00026E66" w:rsidRDefault="002737EF" w:rsidP="00FF0098">
      <w:pPr>
        <w:tabs>
          <w:tab w:val="left" w:pos="0"/>
        </w:tabs>
        <w:spacing w:after="161" w:line="235" w:lineRule="auto"/>
        <w:ind w:right="132"/>
        <w:jc w:val="both"/>
      </w:pPr>
      <w:r>
        <w:rPr>
          <w:color w:val="auto"/>
        </w:rPr>
        <w:t>The facility eligibility form (FEF) (</w:t>
      </w:r>
      <w:hyperlink w:anchor="_Appendix_G:_Facility" w:history="1">
        <w:r>
          <w:rPr>
            <w:rStyle w:val="Hyperlink"/>
          </w:rPr>
          <w:t>Appendix G</w:t>
        </w:r>
      </w:hyperlink>
      <w:r>
        <w:rPr>
          <w:color w:val="auto"/>
        </w:rPr>
        <w:t xml:space="preserve">) </w:t>
      </w:r>
      <w:r>
        <w:rPr>
          <w:color w:val="auto"/>
          <w:szCs w:val="24"/>
        </w:rPr>
        <w:t>asks for</w:t>
      </w:r>
      <w:r>
        <w:rPr>
          <w:color w:val="auto"/>
        </w:rPr>
        <w:t xml:space="preserve"> the information </w:t>
      </w:r>
      <w:r>
        <w:rPr>
          <w:color w:val="auto"/>
          <w:szCs w:val="24"/>
        </w:rPr>
        <w:t>which the sector association will upload to the register</w:t>
      </w:r>
      <w:r>
        <w:rPr>
          <w:color w:val="auto"/>
        </w:rPr>
        <w:t xml:space="preserve"> for a CCA application. The following list of documents to be supplied with the FEF forms the minimum evidence to </w:t>
      </w:r>
      <w:r>
        <w:rPr>
          <w:color w:val="auto"/>
          <w:szCs w:val="24"/>
        </w:rPr>
        <w:t>demonstrate</w:t>
      </w:r>
      <w:r>
        <w:rPr>
          <w:color w:val="auto"/>
        </w:rPr>
        <w:t xml:space="preserve"> eligibility: </w:t>
      </w:r>
    </w:p>
    <w:p w14:paraId="616FA97D" w14:textId="77777777" w:rsidR="00026E66" w:rsidRPr="00E955A3" w:rsidRDefault="002737EF" w:rsidP="007A7512">
      <w:pPr>
        <w:pStyle w:val="ListParagraph"/>
        <w:numPr>
          <w:ilvl w:val="0"/>
          <w:numId w:val="138"/>
        </w:numPr>
      </w:pPr>
      <w:r w:rsidRPr="00E955A3">
        <w:t xml:space="preserve">Manufacturing process evidence: </w:t>
      </w:r>
    </w:p>
    <w:p w14:paraId="13C603EB" w14:textId="77777777" w:rsidR="00026E66" w:rsidRPr="00E955A3" w:rsidRDefault="002737EF" w:rsidP="007A7512">
      <w:pPr>
        <w:pStyle w:val="ListParagraph"/>
        <w:numPr>
          <w:ilvl w:val="0"/>
          <w:numId w:val="138"/>
        </w:numPr>
      </w:pPr>
      <w:r w:rsidRPr="00E955A3">
        <w:t xml:space="preserve">Manufacturing process description – this is an overview of the manufacturing process carried out. It should cover all elements of the process from receipt of raw materials to dispatch of final product </w:t>
      </w:r>
    </w:p>
    <w:p w14:paraId="2E910A3D" w14:textId="77777777" w:rsidR="00026E66" w:rsidRPr="00E955A3" w:rsidRDefault="002737EF" w:rsidP="007A7512">
      <w:pPr>
        <w:pStyle w:val="ListParagraph"/>
        <w:numPr>
          <w:ilvl w:val="0"/>
          <w:numId w:val="138"/>
        </w:numPr>
      </w:pPr>
      <w:r w:rsidRPr="00E955A3">
        <w:t xml:space="preserve">Description of eligible processes - this is a description of the elements of the process that are eligible for the CCA. It should clearly state how these elements meet the sector eligibility criteria </w:t>
      </w:r>
    </w:p>
    <w:p w14:paraId="0D42A506" w14:textId="77777777" w:rsidR="00026E66" w:rsidRPr="00E955A3" w:rsidRDefault="002737EF" w:rsidP="007A7512">
      <w:pPr>
        <w:pStyle w:val="ListParagraph"/>
        <w:numPr>
          <w:ilvl w:val="0"/>
          <w:numId w:val="138"/>
        </w:numPr>
      </w:pPr>
      <w:r w:rsidRPr="00E955A3">
        <w:t xml:space="preserve">DAAs including: </w:t>
      </w:r>
    </w:p>
    <w:p w14:paraId="50C18902" w14:textId="77777777" w:rsidR="00026E66" w:rsidRPr="00E955A3" w:rsidRDefault="002737EF" w:rsidP="007A7512">
      <w:pPr>
        <w:pStyle w:val="ListParagraph"/>
        <w:numPr>
          <w:ilvl w:val="0"/>
          <w:numId w:val="138"/>
        </w:numPr>
      </w:pPr>
      <w:r w:rsidRPr="00E955A3">
        <w:t xml:space="preserve">evidence supporting direct association </w:t>
      </w:r>
    </w:p>
    <w:p w14:paraId="2BB1E38D" w14:textId="77777777" w:rsidR="00026E66" w:rsidRPr="00E955A3" w:rsidRDefault="002737EF" w:rsidP="007A7512">
      <w:pPr>
        <w:pStyle w:val="ListParagraph"/>
        <w:numPr>
          <w:ilvl w:val="0"/>
          <w:numId w:val="138"/>
        </w:numPr>
      </w:pPr>
      <w:r w:rsidRPr="00E955A3">
        <w:t>evidence supporting technical connection</w:t>
      </w:r>
    </w:p>
    <w:p w14:paraId="6273592F" w14:textId="77777777" w:rsidR="00026E66" w:rsidRPr="00E955A3" w:rsidRDefault="002737EF" w:rsidP="007A7512">
      <w:pPr>
        <w:pStyle w:val="ListParagraph"/>
        <w:numPr>
          <w:ilvl w:val="0"/>
          <w:numId w:val="138"/>
        </w:numPr>
      </w:pPr>
      <w:r w:rsidRPr="00E955A3">
        <w:lastRenderedPageBreak/>
        <w:t xml:space="preserve">evidence supporting effect on emissions </w:t>
      </w:r>
    </w:p>
    <w:p w14:paraId="7E314C6B" w14:textId="77777777" w:rsidR="00026E66" w:rsidRDefault="002737EF" w:rsidP="007A7512">
      <w:pPr>
        <w:pStyle w:val="ListParagraph"/>
        <w:numPr>
          <w:ilvl w:val="0"/>
          <w:numId w:val="138"/>
        </w:numPr>
      </w:pPr>
      <w:r w:rsidRPr="007A7512">
        <w:rPr>
          <w:szCs w:val="24"/>
        </w:rPr>
        <w:t>Process</w:t>
      </w:r>
      <w:r>
        <w:t xml:space="preserve"> flow </w:t>
      </w:r>
      <w:r w:rsidRPr="007A7512">
        <w:rPr>
          <w:szCs w:val="24"/>
        </w:rPr>
        <w:t>maps - these</w:t>
      </w:r>
      <w:r>
        <w:t xml:space="preserve"> should illustrate the flow of activities around the site. The eligible processes and DAA should be clearly marked.</w:t>
      </w:r>
    </w:p>
    <w:p w14:paraId="444D97BC" w14:textId="77777777" w:rsidR="00026E66" w:rsidRDefault="002737EF" w:rsidP="007A7512">
      <w:pPr>
        <w:pStyle w:val="ListParagraph"/>
        <w:numPr>
          <w:ilvl w:val="0"/>
          <w:numId w:val="138"/>
        </w:numPr>
      </w:pPr>
      <w:r w:rsidRPr="007A7512">
        <w:rPr>
          <w:szCs w:val="24"/>
        </w:rPr>
        <w:t>Annotated</w:t>
      </w:r>
      <w:r>
        <w:t xml:space="preserve"> site </w:t>
      </w:r>
      <w:r w:rsidRPr="007A7512">
        <w:rPr>
          <w:szCs w:val="24"/>
        </w:rPr>
        <w:t>plans</w:t>
      </w:r>
      <w:r>
        <w:t xml:space="preserve"> showing the extent of the eligible facility </w:t>
      </w:r>
      <w:r w:rsidRPr="007A7512">
        <w:rPr>
          <w:szCs w:val="24"/>
        </w:rPr>
        <w:t>- these</w:t>
      </w:r>
      <w:r>
        <w:t xml:space="preserve"> should cover the whole site, with the site boundary, areas containing eligible processes, DAAs and ineligible processes clearly marked</w:t>
      </w:r>
    </w:p>
    <w:p w14:paraId="6FC2F2AB" w14:textId="77777777" w:rsidR="00026E66" w:rsidRDefault="002737EF" w:rsidP="007A7512">
      <w:pPr>
        <w:pStyle w:val="ListParagraph"/>
        <w:numPr>
          <w:ilvl w:val="0"/>
          <w:numId w:val="138"/>
        </w:numPr>
      </w:pPr>
      <w:r w:rsidRPr="007A7512">
        <w:rPr>
          <w:szCs w:val="24"/>
        </w:rPr>
        <w:t xml:space="preserve">Any permits </w:t>
      </w:r>
      <w:r>
        <w:t>currently held for the site under EPR</w:t>
      </w:r>
      <w:r w:rsidRPr="007A7512">
        <w:rPr>
          <w:szCs w:val="24"/>
        </w:rPr>
        <w:t>. The permit number and a copy of the permit will have to be provided.</w:t>
      </w:r>
    </w:p>
    <w:p w14:paraId="24E46F20" w14:textId="77777777" w:rsidR="00026E66" w:rsidRDefault="002737EF" w:rsidP="007A7512">
      <w:pPr>
        <w:pStyle w:val="ListParagraph"/>
        <w:numPr>
          <w:ilvl w:val="0"/>
          <w:numId w:val="138"/>
        </w:numPr>
      </w:pPr>
      <w:r w:rsidRPr="007A7512">
        <w:rPr>
          <w:szCs w:val="24"/>
        </w:rPr>
        <w:t>Calculations</w:t>
      </w:r>
      <w:r>
        <w:t xml:space="preserve"> relating to the energy consumed within the installation and other site energy if eligible (indicating any assumptions made). These can also be used to form the baseline.</w:t>
      </w:r>
    </w:p>
    <w:p w14:paraId="7C7948BA" w14:textId="2171F2E6" w:rsidR="00026E66" w:rsidRDefault="002737EF" w:rsidP="007A7512">
      <w:pPr>
        <w:pStyle w:val="ListParagraph"/>
        <w:numPr>
          <w:ilvl w:val="0"/>
          <w:numId w:val="138"/>
        </w:numPr>
      </w:pPr>
      <w:r>
        <w:t xml:space="preserve">70% rule </w:t>
      </w:r>
      <w:r w:rsidRPr="007A7512">
        <w:rPr>
          <w:szCs w:val="24"/>
        </w:rPr>
        <w:t>calculations</w:t>
      </w:r>
      <w:r>
        <w:t xml:space="preserve"> (indicating any assumptions made) </w:t>
      </w:r>
      <w:r w:rsidRPr="007A7512">
        <w:rPr>
          <w:szCs w:val="24"/>
        </w:rPr>
        <w:t>- these calculations ideally</w:t>
      </w:r>
      <w:r>
        <w:t xml:space="preserve"> should be provided in a spreadsheet </w:t>
      </w:r>
      <w:r w:rsidRPr="007A7512">
        <w:rPr>
          <w:szCs w:val="24"/>
        </w:rPr>
        <w:t xml:space="preserve">format for ease of interpretation </w:t>
      </w:r>
    </w:p>
    <w:p w14:paraId="53E80D9E" w14:textId="77777777" w:rsidR="00026E66" w:rsidRDefault="002737EF" w:rsidP="00FF0098">
      <w:pPr>
        <w:pStyle w:val="Heading4"/>
        <w:tabs>
          <w:tab w:val="left" w:pos="0"/>
        </w:tabs>
      </w:pPr>
      <w:bookmarkStart w:id="132" w:name="_Toc95211820"/>
      <w:r>
        <w:t>Energy information</w:t>
      </w:r>
      <w:bookmarkEnd w:id="132"/>
      <w:r>
        <w:t xml:space="preserve"> </w:t>
      </w:r>
    </w:p>
    <w:p w14:paraId="085F3E98" w14:textId="77777777" w:rsidR="00026E66" w:rsidRDefault="002737EF" w:rsidP="00FF0098">
      <w:pPr>
        <w:tabs>
          <w:tab w:val="left" w:pos="0"/>
        </w:tabs>
        <w:ind w:right="182"/>
      </w:pPr>
      <w:r>
        <w:rPr>
          <w:color w:val="auto"/>
          <w:szCs w:val="24"/>
        </w:rPr>
        <w:t>Information</w:t>
      </w:r>
      <w:r>
        <w:rPr>
          <w:color w:val="auto"/>
        </w:rPr>
        <w:t xml:space="preserve"> is required on:</w:t>
      </w:r>
      <w:r>
        <w:rPr>
          <w:color w:val="auto"/>
          <w:szCs w:val="24"/>
        </w:rPr>
        <w:t xml:space="preserve"> </w:t>
      </w:r>
    </w:p>
    <w:p w14:paraId="48F0F8AD" w14:textId="77777777" w:rsidR="00026E66" w:rsidRDefault="002737EF" w:rsidP="0065356B">
      <w:pPr>
        <w:pStyle w:val="ListParagraph"/>
        <w:numPr>
          <w:ilvl w:val="0"/>
          <w:numId w:val="133"/>
        </w:numPr>
      </w:pPr>
      <w:r>
        <w:t xml:space="preserve">the target unit's baseline performance </w:t>
      </w:r>
    </w:p>
    <w:p w14:paraId="5F80EC2C" w14:textId="77777777" w:rsidR="00026E66" w:rsidRDefault="002737EF" w:rsidP="0065356B">
      <w:pPr>
        <w:pStyle w:val="ListParagraph"/>
        <w:numPr>
          <w:ilvl w:val="0"/>
          <w:numId w:val="133"/>
        </w:numPr>
      </w:pPr>
      <w:r>
        <w:t xml:space="preserve">the target for the new target unit </w:t>
      </w:r>
    </w:p>
    <w:p w14:paraId="153DC962" w14:textId="6F655B07" w:rsidR="00026E66" w:rsidRPr="00827932" w:rsidRDefault="002737EF" w:rsidP="00827932">
      <w:pPr>
        <w:tabs>
          <w:tab w:val="left" w:pos="0"/>
        </w:tabs>
        <w:spacing w:after="61"/>
        <w:ind w:right="182"/>
      </w:pPr>
      <w:r>
        <w:rPr>
          <w:color w:val="auto"/>
        </w:rPr>
        <w:t xml:space="preserve">Much of the information </w:t>
      </w:r>
      <w:r>
        <w:rPr>
          <w:color w:val="auto"/>
          <w:szCs w:val="24"/>
        </w:rPr>
        <w:t>needed</w:t>
      </w:r>
      <w:r>
        <w:rPr>
          <w:color w:val="auto"/>
        </w:rPr>
        <w:t xml:space="preserve"> for a new application can be collated using the 'Target calculator' workbook tool provided in </w:t>
      </w:r>
      <w:r w:rsidRPr="00771B6F">
        <w:rPr>
          <w:color w:val="auto"/>
          <w:u w:color="0077B9"/>
        </w:rPr>
        <w:t>Appendix H</w:t>
      </w:r>
      <w:r>
        <w:rPr>
          <w:color w:val="auto"/>
        </w:rPr>
        <w:t xml:space="preserve">. </w:t>
      </w:r>
    </w:p>
    <w:p w14:paraId="7E63799B" w14:textId="77777777" w:rsidR="00026E66" w:rsidRDefault="002737EF" w:rsidP="00FF0098">
      <w:pPr>
        <w:pStyle w:val="Heading3"/>
        <w:tabs>
          <w:tab w:val="left" w:pos="0"/>
        </w:tabs>
      </w:pPr>
      <w:bookmarkStart w:id="133" w:name="_Toc95211821"/>
      <w:r>
        <w:t>6.1.2. Application process</w:t>
      </w:r>
      <w:bookmarkEnd w:id="133"/>
      <w:r>
        <w:t xml:space="preserve"> </w:t>
      </w:r>
    </w:p>
    <w:p w14:paraId="493D3AAD" w14:textId="77777777" w:rsidR="00026E66" w:rsidRDefault="002737EF" w:rsidP="00FF0098">
      <w:pPr>
        <w:tabs>
          <w:tab w:val="left" w:pos="0"/>
        </w:tabs>
      </w:pPr>
      <w:r>
        <w:rPr>
          <w:color w:val="auto"/>
        </w:rPr>
        <w:t>The steps below outline the application process for a new underlying agreement</w:t>
      </w:r>
      <w:r>
        <w:rPr>
          <w:bCs/>
          <w:color w:val="auto"/>
          <w:szCs w:val="24"/>
        </w:rPr>
        <w:t>:</w:t>
      </w:r>
    </w:p>
    <w:p w14:paraId="4D00D2FE" w14:textId="16163A5F" w:rsidR="00026E66" w:rsidRDefault="002737EF" w:rsidP="00FF0098">
      <w:pPr>
        <w:tabs>
          <w:tab w:val="left" w:pos="0"/>
        </w:tabs>
      </w:pPr>
      <w:r>
        <w:rPr>
          <w:bCs/>
          <w:szCs w:val="24"/>
        </w:rPr>
        <w:t>Step 1</w:t>
      </w:r>
      <w:r w:rsidR="00827932">
        <w:rPr>
          <w:bCs/>
          <w:szCs w:val="24"/>
        </w:rPr>
        <w:t xml:space="preserve">: </w:t>
      </w:r>
      <w:r>
        <w:rPr>
          <w:bCs/>
          <w:szCs w:val="24"/>
        </w:rPr>
        <w:t>The</w:t>
      </w:r>
      <w:r>
        <w:t xml:space="preserve"> sector association applies </w:t>
      </w:r>
      <w:r>
        <w:rPr>
          <w:bCs/>
          <w:szCs w:val="24"/>
        </w:rPr>
        <w:t xml:space="preserve">through the CCA Register </w:t>
      </w:r>
      <w:r>
        <w:t xml:space="preserve">for an underlying agreement </w:t>
      </w:r>
      <w:r>
        <w:rPr>
          <w:bCs/>
          <w:szCs w:val="24"/>
        </w:rPr>
        <w:t>for</w:t>
      </w:r>
      <w:r>
        <w:t xml:space="preserve"> the </w:t>
      </w:r>
      <w:r>
        <w:rPr>
          <w:bCs/>
          <w:szCs w:val="24"/>
        </w:rPr>
        <w:t>operators</w:t>
      </w:r>
    </w:p>
    <w:p w14:paraId="33AB3370" w14:textId="7923822B" w:rsidR="00026E66" w:rsidRDefault="002737EF" w:rsidP="00FF0098">
      <w:pPr>
        <w:tabs>
          <w:tab w:val="left" w:pos="0"/>
        </w:tabs>
      </w:pPr>
      <w:r>
        <w:rPr>
          <w:bCs/>
          <w:szCs w:val="24"/>
        </w:rPr>
        <w:t>Step 2</w:t>
      </w:r>
      <w:r w:rsidR="00827932">
        <w:rPr>
          <w:bCs/>
          <w:szCs w:val="24"/>
        </w:rPr>
        <w:t>: T</w:t>
      </w:r>
      <w:r>
        <w:rPr>
          <w:bCs/>
          <w:szCs w:val="24"/>
        </w:rPr>
        <w:t xml:space="preserve">he </w:t>
      </w:r>
      <w:r>
        <w:t xml:space="preserve">application and facility eligibility information </w:t>
      </w:r>
      <w:r>
        <w:rPr>
          <w:bCs/>
          <w:szCs w:val="24"/>
        </w:rPr>
        <w:t xml:space="preserve">is assessed </w:t>
      </w:r>
      <w:r>
        <w:t xml:space="preserve">and </w:t>
      </w:r>
      <w:r>
        <w:rPr>
          <w:bCs/>
          <w:szCs w:val="24"/>
        </w:rPr>
        <w:t>is approved</w:t>
      </w:r>
      <w:r>
        <w:t xml:space="preserve"> or </w:t>
      </w:r>
      <w:r>
        <w:rPr>
          <w:bCs/>
          <w:szCs w:val="24"/>
        </w:rPr>
        <w:t>rejected based on sector supporting evidence to ensure the operator is eligible to hold a CCA</w:t>
      </w:r>
    </w:p>
    <w:p w14:paraId="49E12F5F" w14:textId="1B61F81D" w:rsidR="00026E66" w:rsidRDefault="002737EF" w:rsidP="00FF0098">
      <w:pPr>
        <w:tabs>
          <w:tab w:val="left" w:pos="0"/>
        </w:tabs>
      </w:pPr>
      <w:r>
        <w:rPr>
          <w:bCs/>
          <w:color w:val="auto"/>
          <w:szCs w:val="24"/>
        </w:rPr>
        <w:t>Step 3</w:t>
      </w:r>
      <w:r w:rsidR="00827932">
        <w:rPr>
          <w:bCs/>
          <w:color w:val="auto"/>
          <w:szCs w:val="24"/>
        </w:rPr>
        <w:t>: T</w:t>
      </w:r>
      <w:r>
        <w:rPr>
          <w:bCs/>
          <w:color w:val="auto"/>
          <w:szCs w:val="24"/>
        </w:rPr>
        <w:t>he</w:t>
      </w:r>
      <w:r>
        <w:rPr>
          <w:color w:val="auto"/>
        </w:rPr>
        <w:t xml:space="preserve"> operator </w:t>
      </w:r>
      <w:r>
        <w:rPr>
          <w:bCs/>
          <w:color w:val="auto"/>
          <w:szCs w:val="24"/>
        </w:rPr>
        <w:t>is notified</w:t>
      </w:r>
      <w:r>
        <w:rPr>
          <w:color w:val="auto"/>
        </w:rPr>
        <w:t xml:space="preserve"> of </w:t>
      </w:r>
      <w:r>
        <w:rPr>
          <w:bCs/>
          <w:color w:val="auto"/>
          <w:szCs w:val="24"/>
        </w:rPr>
        <w:t>our decision by email</w:t>
      </w:r>
    </w:p>
    <w:p w14:paraId="5EE327A0" w14:textId="331B260F" w:rsidR="00026E66" w:rsidRDefault="002737EF" w:rsidP="00FF0098">
      <w:pPr>
        <w:tabs>
          <w:tab w:val="left" w:pos="0"/>
        </w:tabs>
      </w:pPr>
      <w:r>
        <w:rPr>
          <w:bCs/>
          <w:szCs w:val="24"/>
        </w:rPr>
        <w:t>Step 4</w:t>
      </w:r>
      <w:r w:rsidR="00827932">
        <w:rPr>
          <w:bCs/>
          <w:szCs w:val="24"/>
        </w:rPr>
        <w:t xml:space="preserve">: </w:t>
      </w:r>
      <w:r>
        <w:rPr>
          <w:bCs/>
          <w:szCs w:val="24"/>
        </w:rPr>
        <w:t xml:space="preserve">Acceptance- the operator will receive an email with </w:t>
      </w:r>
      <w:r>
        <w:t xml:space="preserve">their proposed </w:t>
      </w:r>
      <w:r>
        <w:rPr>
          <w:bCs/>
          <w:szCs w:val="24"/>
        </w:rPr>
        <w:t xml:space="preserve">underlying </w:t>
      </w:r>
      <w:r>
        <w:t>agreement</w:t>
      </w:r>
    </w:p>
    <w:p w14:paraId="4B741657" w14:textId="3D7315FC" w:rsidR="00026E66" w:rsidRDefault="002737EF" w:rsidP="00FF0098">
      <w:pPr>
        <w:tabs>
          <w:tab w:val="left" w:pos="0"/>
        </w:tabs>
      </w:pPr>
      <w:r>
        <w:rPr>
          <w:bCs/>
          <w:szCs w:val="24"/>
        </w:rPr>
        <w:t>Step 5</w:t>
      </w:r>
      <w:r w:rsidR="00827932">
        <w:rPr>
          <w:bCs/>
          <w:szCs w:val="24"/>
        </w:rPr>
        <w:t xml:space="preserve">: </w:t>
      </w:r>
      <w:r>
        <w:rPr>
          <w:bCs/>
          <w:szCs w:val="24"/>
        </w:rPr>
        <w:t xml:space="preserve">Rejection- </w:t>
      </w:r>
      <w:r>
        <w:t xml:space="preserve">the operator </w:t>
      </w:r>
      <w:r>
        <w:rPr>
          <w:bCs/>
          <w:szCs w:val="24"/>
        </w:rPr>
        <w:t>will receive an email advising</w:t>
      </w:r>
      <w:r>
        <w:t xml:space="preserve"> why </w:t>
      </w:r>
      <w:r>
        <w:rPr>
          <w:bCs/>
          <w:szCs w:val="24"/>
        </w:rPr>
        <w:t>the application has been rejected</w:t>
      </w:r>
    </w:p>
    <w:p w14:paraId="3F89F30E" w14:textId="04A198A4" w:rsidR="00026E66" w:rsidRDefault="002737EF" w:rsidP="00FF0098">
      <w:pPr>
        <w:tabs>
          <w:tab w:val="left" w:pos="0"/>
        </w:tabs>
        <w:rPr>
          <w:bCs/>
          <w:color w:val="auto"/>
          <w:szCs w:val="24"/>
        </w:rPr>
      </w:pPr>
      <w:r>
        <w:rPr>
          <w:bCs/>
          <w:color w:val="auto"/>
          <w:szCs w:val="24"/>
        </w:rPr>
        <w:t>Step 6</w:t>
      </w:r>
      <w:r w:rsidR="00827932">
        <w:rPr>
          <w:bCs/>
          <w:color w:val="auto"/>
          <w:szCs w:val="24"/>
        </w:rPr>
        <w:t xml:space="preserve">: </w:t>
      </w:r>
      <w:r>
        <w:rPr>
          <w:bCs/>
          <w:color w:val="auto"/>
          <w:szCs w:val="24"/>
        </w:rPr>
        <w:t>The email will be copied to the sector association and/or sector consultant to update it on the application’s status</w:t>
      </w:r>
    </w:p>
    <w:p w14:paraId="2D38EDB0" w14:textId="17D6AB50" w:rsidR="00026E66" w:rsidRDefault="002737EF" w:rsidP="00827932">
      <w:pPr>
        <w:tabs>
          <w:tab w:val="left" w:pos="0"/>
        </w:tabs>
      </w:pPr>
      <w:r>
        <w:rPr>
          <w:bCs/>
          <w:szCs w:val="24"/>
        </w:rPr>
        <w:lastRenderedPageBreak/>
        <w:t>Step 7</w:t>
      </w:r>
      <w:r w:rsidR="00827932">
        <w:rPr>
          <w:bCs/>
          <w:szCs w:val="24"/>
        </w:rPr>
        <w:t xml:space="preserve">: </w:t>
      </w:r>
      <w:r>
        <w:rPr>
          <w:bCs/>
          <w:szCs w:val="24"/>
        </w:rPr>
        <w:t>The operator needs to give</w:t>
      </w:r>
      <w:r>
        <w:t xml:space="preserve"> assent </w:t>
      </w:r>
      <w:r>
        <w:rPr>
          <w:bCs/>
          <w:szCs w:val="24"/>
        </w:rPr>
        <w:t xml:space="preserve">(email acceptance) to the underlying agreement </w:t>
      </w:r>
      <w:r>
        <w:t>within 20 working days</w:t>
      </w:r>
      <w:r>
        <w:rPr>
          <w:bCs/>
          <w:szCs w:val="24"/>
        </w:rPr>
        <w:t>.</w:t>
      </w:r>
      <w:r w:rsidR="00FC355D">
        <w:rPr>
          <w:bCs/>
          <w:szCs w:val="24"/>
        </w:rPr>
        <w:t xml:space="preserve"> </w:t>
      </w:r>
      <w:r>
        <w:rPr>
          <w:bCs/>
          <w:szCs w:val="24"/>
        </w:rPr>
        <w:t xml:space="preserve">When </w:t>
      </w:r>
      <w:r>
        <w:t xml:space="preserve">we upload </w:t>
      </w:r>
      <w:r>
        <w:rPr>
          <w:bCs/>
          <w:szCs w:val="24"/>
        </w:rPr>
        <w:t xml:space="preserve">this to </w:t>
      </w:r>
      <w:r>
        <w:t xml:space="preserve">the </w:t>
      </w:r>
      <w:r>
        <w:rPr>
          <w:bCs/>
          <w:szCs w:val="24"/>
        </w:rPr>
        <w:t>register</w:t>
      </w:r>
      <w:r>
        <w:t xml:space="preserve"> the </w:t>
      </w:r>
      <w:r>
        <w:rPr>
          <w:bCs/>
          <w:szCs w:val="24"/>
        </w:rPr>
        <w:t>operator will receive the final underlying agreement.</w:t>
      </w:r>
      <w:r w:rsidR="00FC355D">
        <w:rPr>
          <w:bCs/>
          <w:szCs w:val="24"/>
        </w:rPr>
        <w:t xml:space="preserve"> </w:t>
      </w:r>
      <w:r>
        <w:rPr>
          <w:bCs/>
          <w:szCs w:val="24"/>
        </w:rPr>
        <w:t xml:space="preserve">They can claim the CCL discount from this point. </w:t>
      </w:r>
    </w:p>
    <w:p w14:paraId="267FEE7C" w14:textId="64AE6A28" w:rsidR="00026E66" w:rsidRPr="00827932" w:rsidRDefault="002737EF" w:rsidP="00827932">
      <w:pPr>
        <w:pStyle w:val="Heading2"/>
        <w:tabs>
          <w:tab w:val="left" w:pos="0"/>
        </w:tabs>
      </w:pPr>
      <w:bookmarkStart w:id="134" w:name="_6.2._Email_assent"/>
      <w:bookmarkStart w:id="135" w:name="_Toc94718648"/>
      <w:bookmarkStart w:id="136" w:name="_Toc94088896"/>
      <w:bookmarkStart w:id="137" w:name="_Toc95211822"/>
      <w:bookmarkEnd w:id="134"/>
      <w:r>
        <w:t>6.2. Email assent</w:t>
      </w:r>
      <w:bookmarkEnd w:id="135"/>
      <w:bookmarkEnd w:id="136"/>
      <w:bookmarkEnd w:id="137"/>
      <w:r>
        <w:t xml:space="preserve"> </w:t>
      </w:r>
    </w:p>
    <w:p w14:paraId="14ECCEB6" w14:textId="77777777" w:rsidR="00026E66" w:rsidRDefault="002737EF" w:rsidP="007A7512">
      <w:r>
        <w:rPr>
          <w:szCs w:val="24"/>
        </w:rPr>
        <w:t xml:space="preserve">The final step in Figure 6.1 is for the operator to give email </w:t>
      </w:r>
      <w:r>
        <w:t xml:space="preserve">assent </w:t>
      </w:r>
      <w:r>
        <w:rPr>
          <w:szCs w:val="24"/>
        </w:rPr>
        <w:t xml:space="preserve">to the underlying agreement. We will email the proposed underlying agreement to the </w:t>
      </w:r>
      <w:r>
        <w:rPr>
          <w:u w:val="single" w:color="0077B9"/>
        </w:rPr>
        <w:t>responsible person</w:t>
      </w:r>
      <w:r>
        <w:rPr>
          <w:szCs w:val="24"/>
          <w:u w:val="single" w:color="0077B9"/>
        </w:rPr>
        <w:t xml:space="preserve"> </w:t>
      </w:r>
      <w:r>
        <w:rPr>
          <w:szCs w:val="24"/>
        </w:rPr>
        <w:t>(for the operator) named</w:t>
      </w:r>
      <w:r>
        <w:t xml:space="preserve"> on </w:t>
      </w:r>
      <w:r>
        <w:rPr>
          <w:szCs w:val="24"/>
        </w:rPr>
        <w:t>the CCA application. The responsible person</w:t>
      </w:r>
      <w:r>
        <w:t xml:space="preserve"> should email </w:t>
      </w:r>
      <w:r>
        <w:rPr>
          <w:szCs w:val="24"/>
        </w:rPr>
        <w:t>the operator's</w:t>
      </w:r>
      <w:r>
        <w:t xml:space="preserve"> assent to us within 20 working days </w:t>
      </w:r>
      <w:r>
        <w:rPr>
          <w:szCs w:val="24"/>
        </w:rPr>
        <w:t xml:space="preserve">confirming receipt of the underlying agreement and the operator's acceptance to the terms </w:t>
      </w:r>
      <w:r>
        <w:t xml:space="preserve">of </w:t>
      </w:r>
      <w:r>
        <w:rPr>
          <w:szCs w:val="24"/>
        </w:rPr>
        <w:t>that agreement. The assent also covers</w:t>
      </w:r>
      <w:r>
        <w:t xml:space="preserve"> the </w:t>
      </w:r>
      <w:r>
        <w:rPr>
          <w:szCs w:val="24"/>
        </w:rPr>
        <w:t>target unit target stated in the</w:t>
      </w:r>
      <w:r>
        <w:t xml:space="preserve"> underlying agreement. </w:t>
      </w:r>
      <w:r>
        <w:rPr>
          <w:szCs w:val="24"/>
        </w:rPr>
        <w:t xml:space="preserve">Email assent replaces the need to physically sign the agreement and is legally binding. </w:t>
      </w:r>
      <w:r>
        <w:t>The responsible person can choose to sign the underlying agreement by hand and post it to us.</w:t>
      </w:r>
      <w:r>
        <w:rPr>
          <w:szCs w:val="24"/>
        </w:rPr>
        <w:t xml:space="preserve"> </w:t>
      </w:r>
    </w:p>
    <w:p w14:paraId="5BC2D06A" w14:textId="2F29D2F4" w:rsidR="00026E66" w:rsidRDefault="002737EF" w:rsidP="007A7512">
      <w:r>
        <w:rPr>
          <w:szCs w:val="24"/>
        </w:rPr>
        <w:t>When</w:t>
      </w:r>
      <w:r>
        <w:t xml:space="preserve"> we have </w:t>
      </w:r>
      <w:r>
        <w:rPr>
          <w:szCs w:val="24"/>
        </w:rPr>
        <w:t>processed</w:t>
      </w:r>
      <w:r>
        <w:t xml:space="preserve"> the </w:t>
      </w:r>
      <w:r w:rsidR="00114E0E">
        <w:t>assent,</w:t>
      </w:r>
      <w:r>
        <w:t xml:space="preserve"> </w:t>
      </w:r>
      <w:r>
        <w:rPr>
          <w:szCs w:val="24"/>
        </w:rPr>
        <w:t>the operator</w:t>
      </w:r>
      <w:r>
        <w:t xml:space="preserve"> will </w:t>
      </w:r>
      <w:r>
        <w:rPr>
          <w:szCs w:val="24"/>
        </w:rPr>
        <w:t>receive</w:t>
      </w:r>
      <w:r>
        <w:t xml:space="preserve"> an email confirming </w:t>
      </w:r>
      <w:r>
        <w:rPr>
          <w:szCs w:val="24"/>
        </w:rPr>
        <w:t xml:space="preserve">the agreement's </w:t>
      </w:r>
      <w:r>
        <w:t xml:space="preserve">activation. From that date, the facilities covered by the agreement will appear on the </w:t>
      </w:r>
      <w:r w:rsidRPr="00771B6F">
        <w:rPr>
          <w:u w:color="0077B9"/>
        </w:rPr>
        <w:t>reduced rate</w:t>
      </w:r>
      <w:r w:rsidRPr="00771B6F">
        <w:t xml:space="preserve"> </w:t>
      </w:r>
      <w:r w:rsidRPr="00771B6F">
        <w:rPr>
          <w:u w:color="0077B9"/>
        </w:rPr>
        <w:t xml:space="preserve">certificate </w:t>
      </w:r>
      <w:r w:rsidRPr="00771B6F">
        <w:rPr>
          <w:szCs w:val="24"/>
        </w:rPr>
        <w:t xml:space="preserve">(RRC) </w:t>
      </w:r>
      <w:r w:rsidRPr="00771B6F">
        <w:t xml:space="preserve">and the operator can start claiming the </w:t>
      </w:r>
      <w:r w:rsidRPr="00771B6F">
        <w:rPr>
          <w:u w:color="0077B9"/>
        </w:rPr>
        <w:t xml:space="preserve">CCL </w:t>
      </w:r>
      <w:r w:rsidRPr="00771B6F">
        <w:t xml:space="preserve">discount. </w:t>
      </w:r>
      <w:r w:rsidRPr="00771B6F">
        <w:rPr>
          <w:szCs w:val="24"/>
        </w:rPr>
        <w:t>We don't guarantee that we will process the assent on the day it is returned to us and therefore we recommend the</w:t>
      </w:r>
      <w:r w:rsidRPr="00771B6F">
        <w:t xml:space="preserve"> operator </w:t>
      </w:r>
      <w:r w:rsidRPr="00771B6F">
        <w:rPr>
          <w:szCs w:val="24"/>
        </w:rPr>
        <w:t>waits</w:t>
      </w:r>
      <w:r>
        <w:t xml:space="preserve"> for the activation email from us before notifying their energy </w:t>
      </w:r>
      <w:r>
        <w:rPr>
          <w:szCs w:val="24"/>
        </w:rPr>
        <w:t>company</w:t>
      </w:r>
      <w:r>
        <w:t xml:space="preserve"> of </w:t>
      </w:r>
      <w:r>
        <w:rPr>
          <w:szCs w:val="24"/>
        </w:rPr>
        <w:t>the</w:t>
      </w:r>
      <w:r>
        <w:t xml:space="preserve"> new CCA.</w:t>
      </w:r>
      <w:r>
        <w:rPr>
          <w:szCs w:val="24"/>
        </w:rPr>
        <w:t xml:space="preserve"> </w:t>
      </w:r>
    </w:p>
    <w:p w14:paraId="5BC26A77" w14:textId="77777777" w:rsidR="00026E66" w:rsidRDefault="002737EF" w:rsidP="007A7512">
      <w:r>
        <w:rPr>
          <w:szCs w:val="24"/>
        </w:rPr>
        <w:t xml:space="preserve">If </w:t>
      </w:r>
      <w:r>
        <w:t xml:space="preserve">we do not receive </w:t>
      </w:r>
      <w:r>
        <w:rPr>
          <w:szCs w:val="24"/>
        </w:rPr>
        <w:t>the</w:t>
      </w:r>
      <w:r>
        <w:t xml:space="preserve"> assent within 20 working days</w:t>
      </w:r>
      <w:r>
        <w:rPr>
          <w:szCs w:val="24"/>
        </w:rPr>
        <w:t xml:space="preserve"> from when we emailed the proposed underlying agreement to the responsible person named on the application, we may withdraw the agreement offer.</w:t>
      </w:r>
      <w:r>
        <w:t xml:space="preserve"> </w:t>
      </w:r>
    </w:p>
    <w:p w14:paraId="4C7B5004" w14:textId="77777777" w:rsidR="00026E66" w:rsidRDefault="002737EF" w:rsidP="007A7512">
      <w:r>
        <w:t xml:space="preserve">When a facility </w:t>
      </w:r>
      <w:r>
        <w:rPr>
          <w:szCs w:val="24"/>
        </w:rPr>
        <w:t xml:space="preserve">moves </w:t>
      </w:r>
      <w:r>
        <w:t xml:space="preserve">between target units </w:t>
      </w:r>
      <w:r>
        <w:rPr>
          <w:szCs w:val="24"/>
        </w:rPr>
        <w:t>(that is, it is excluded from one target unit and included in another target unit), for example, during</w:t>
      </w:r>
      <w:r>
        <w:t xml:space="preserve"> a change of ownership, we will process the assent for the new target unit before </w:t>
      </w:r>
      <w:r>
        <w:rPr>
          <w:szCs w:val="24"/>
        </w:rPr>
        <w:t xml:space="preserve">either </w:t>
      </w:r>
      <w:r>
        <w:t>terminating the old agreement</w:t>
      </w:r>
      <w:r>
        <w:rPr>
          <w:szCs w:val="24"/>
        </w:rPr>
        <w:t xml:space="preserve"> or processing the assent to the old target unit if it has a new proposed agreement,</w:t>
      </w:r>
      <w:r>
        <w:t xml:space="preserve"> to ensure continuity of the CCL discount. </w:t>
      </w:r>
    </w:p>
    <w:p w14:paraId="31B97BCD" w14:textId="2CF04E0C" w:rsidR="00026E66" w:rsidRDefault="002737EF" w:rsidP="00FF0098">
      <w:pPr>
        <w:pStyle w:val="Heading4"/>
        <w:tabs>
          <w:tab w:val="left" w:pos="0"/>
        </w:tabs>
      </w:pPr>
      <w:r>
        <w:t xml:space="preserve">Target </w:t>
      </w:r>
      <w:r w:rsidR="007A7512">
        <w:t>p</w:t>
      </w:r>
      <w:r>
        <w:t xml:space="preserve">eriod 5 </w:t>
      </w:r>
      <w:r w:rsidR="007A7512">
        <w:t>e</w:t>
      </w:r>
      <w:r>
        <w:t>xtension</w:t>
      </w:r>
    </w:p>
    <w:p w14:paraId="33CF32DA" w14:textId="68B693C4" w:rsidR="00026E66" w:rsidRDefault="002737EF" w:rsidP="00FF0098">
      <w:pPr>
        <w:tabs>
          <w:tab w:val="left" w:pos="0"/>
        </w:tabs>
      </w:pPr>
      <w:r>
        <w:t>In December 2020 we varied all existing agreements to include new terms and conditions relating to the fifth target period.</w:t>
      </w:r>
      <w:r w:rsidR="00FC355D">
        <w:t xml:space="preserve"> </w:t>
      </w:r>
      <w:r>
        <w:t>Agreement holders were asked to confirm to their sector associations that they were still carrying out eligible activities before providing their assent to the varied agreement.</w:t>
      </w:r>
    </w:p>
    <w:p w14:paraId="2EDEA4B2" w14:textId="6DEC49F5" w:rsidR="00026E66" w:rsidRDefault="002737EF" w:rsidP="00FF0098">
      <w:pPr>
        <w:tabs>
          <w:tab w:val="left" w:pos="0"/>
        </w:tabs>
      </w:pPr>
      <w:r>
        <w:t>Sector associations were required to confirm that all facilities included in their proposed distribution of targets for TP5 were still carrying out eligible activities.</w:t>
      </w:r>
      <w:r w:rsidR="00FC355D">
        <w:t xml:space="preserve"> </w:t>
      </w:r>
    </w:p>
    <w:p w14:paraId="2E610FCA" w14:textId="77777777" w:rsidR="00026E66" w:rsidRDefault="002737EF" w:rsidP="00FF0098">
      <w:pPr>
        <w:tabs>
          <w:tab w:val="left" w:pos="0"/>
        </w:tabs>
      </w:pPr>
      <w:r>
        <w:t>New eligible facilities were certified from the date when we activated the agreement.</w:t>
      </w:r>
    </w:p>
    <w:p w14:paraId="5CA78B07" w14:textId="77777777" w:rsidR="00026E66" w:rsidRDefault="002737EF" w:rsidP="00FF0098">
      <w:pPr>
        <w:pStyle w:val="Heading3"/>
        <w:tabs>
          <w:tab w:val="left" w:pos="0"/>
        </w:tabs>
      </w:pPr>
      <w:bookmarkStart w:id="138" w:name="_Toc95211823"/>
      <w:r>
        <w:lastRenderedPageBreak/>
        <w:t>6.2.1. Can anyone else give the email assent?</w:t>
      </w:r>
      <w:bookmarkEnd w:id="138"/>
      <w:r>
        <w:t xml:space="preserve"> </w:t>
      </w:r>
    </w:p>
    <w:p w14:paraId="228D72CC" w14:textId="77777777" w:rsidR="00026E66" w:rsidRDefault="002737EF" w:rsidP="007A7512">
      <w:r>
        <w:t xml:space="preserve">The email assent must be given by the responsible person named on the underlying agreement. Therefore, we expect the assent to be sent from their email account and the one to which we have sent the underlying agreement. We will not accept assent from any other person, including someone claiming to act with the responsible person’s authority. </w:t>
      </w:r>
    </w:p>
    <w:p w14:paraId="2779BB20" w14:textId="77777777" w:rsidR="00026E66" w:rsidRDefault="002737EF" w:rsidP="007A7512">
      <w:r>
        <w:t xml:space="preserve">The underlying agreement is a legal document that binds the operator into its agreement. It is therefore vital that the responsible person is aware of their responsibilities and the consequences to the operator when giving their assent. </w:t>
      </w:r>
    </w:p>
    <w:p w14:paraId="040C8B40" w14:textId="77777777" w:rsidR="00026E66" w:rsidRDefault="002737EF" w:rsidP="007A7512">
      <w:r>
        <w:t xml:space="preserve">If the responsible person leaves the organisation or changes for whatever reason during the time between the application being submitted and email assent being required, the sector association should update the details of the new responsible person as soon as possible. We will ensure the underlying agreement is sent to the new responsible person to give their assent. </w:t>
      </w:r>
    </w:p>
    <w:p w14:paraId="7046DACF" w14:textId="77777777" w:rsidR="00026E66" w:rsidRDefault="002737EF" w:rsidP="007A7512">
      <w:r>
        <w:t xml:space="preserve">If the responsible person has changed and we have issued a proposed underlying agreement, the sector association should update the responsible person on the register as soon as possible and the new responsible person must provide their assent to the new agreement. If the new responsible person wishes the underlying agreement to show their details, they must provide their assent to the current agreement and ask us to issue a new agreement to which they must also provide their assent. </w:t>
      </w:r>
    </w:p>
    <w:p w14:paraId="1AD39123" w14:textId="0430D29D" w:rsidR="00827932" w:rsidRDefault="002737EF" w:rsidP="007A7512">
      <w:r>
        <w:t xml:space="preserve">A change in the responsible person after the agreement has been assented doesn't require a new agreement. However, the register must be kept up to date as it is a requirement in the rules (Schedule 1 to the underlying agreement) that the responsible person's details are maintained in the register. </w:t>
      </w:r>
    </w:p>
    <w:p w14:paraId="600C766C" w14:textId="2F6BC078" w:rsidR="00827932" w:rsidRDefault="00827932">
      <w:pPr>
        <w:suppressAutoHyphens w:val="0"/>
        <w:spacing w:before="0" w:beforeAutospacing="0" w:after="160" w:afterAutospacing="0" w:line="256" w:lineRule="auto"/>
        <w:rPr>
          <w:color w:val="auto"/>
        </w:rPr>
      </w:pPr>
      <w:r>
        <w:rPr>
          <w:color w:val="auto"/>
        </w:rPr>
        <w:br w:type="page"/>
      </w:r>
    </w:p>
    <w:p w14:paraId="3ED217A6" w14:textId="6FE3A4A9" w:rsidR="00AB1DC4" w:rsidRPr="00AB1DC4" w:rsidRDefault="00E955A3" w:rsidP="00E955A3">
      <w:pPr>
        <w:pStyle w:val="Heading1"/>
        <w:tabs>
          <w:tab w:val="left" w:pos="0"/>
        </w:tabs>
      </w:pPr>
      <w:bookmarkStart w:id="139" w:name="_Toc94718649"/>
      <w:bookmarkStart w:id="140" w:name="_Toc94088897"/>
      <w:bookmarkStart w:id="141" w:name="_Toc95211824"/>
      <w:r>
        <w:lastRenderedPageBreak/>
        <w:t xml:space="preserve">7. </w:t>
      </w:r>
      <w:r w:rsidR="002737EF" w:rsidRPr="00AB1DC4">
        <w:t>Changing an agreement</w:t>
      </w:r>
      <w:bookmarkEnd w:id="139"/>
      <w:bookmarkEnd w:id="140"/>
      <w:bookmarkEnd w:id="141"/>
    </w:p>
    <w:p w14:paraId="4173AA35" w14:textId="63AEAA8F" w:rsidR="00026E66" w:rsidRDefault="002737EF" w:rsidP="00FF0098">
      <w:pPr>
        <w:tabs>
          <w:tab w:val="left" w:pos="0"/>
        </w:tabs>
        <w:spacing w:after="161" w:line="235" w:lineRule="auto"/>
        <w:ind w:right="289"/>
        <w:jc w:val="both"/>
      </w:pPr>
      <w:r w:rsidRPr="00AB1DC4">
        <w:rPr>
          <w:szCs w:val="24"/>
        </w:rPr>
        <w:t>Over the life of the scheme, it is likely that many operators will undergo some element of change at a site that will have an effect on their agreement. Many of these changes will require a ‘variation’ to the agreement or a completely new agreement.</w:t>
      </w:r>
      <w:r w:rsidRPr="00AB1DC4">
        <w:t xml:space="preserve"> </w:t>
      </w:r>
    </w:p>
    <w:p w14:paraId="0D557977" w14:textId="77777777" w:rsidR="00026E66" w:rsidRDefault="002737EF" w:rsidP="00FF0098">
      <w:pPr>
        <w:tabs>
          <w:tab w:val="left" w:pos="0"/>
        </w:tabs>
        <w:ind w:right="182"/>
        <w:rPr>
          <w:color w:val="auto"/>
        </w:rPr>
      </w:pPr>
      <w:r>
        <w:rPr>
          <w:color w:val="auto"/>
        </w:rPr>
        <w:t xml:space="preserve">A variation is where a change has occurred at a facility (or the target unit) that requires an amendment to the agreement. When a variation is processed, we will issue a new version of the agreement to the operator which the operator will need to assent to. In some instances, a variation that alters the baseline performance may trigger an amendment to the target. </w:t>
      </w:r>
    </w:p>
    <w:p w14:paraId="23218547" w14:textId="77777777" w:rsidR="00026E66" w:rsidRDefault="002737EF" w:rsidP="00FF0098">
      <w:pPr>
        <w:tabs>
          <w:tab w:val="left" w:pos="0"/>
        </w:tabs>
        <w:ind w:right="182"/>
      </w:pPr>
      <w:r>
        <w:rPr>
          <w:color w:val="auto"/>
          <w:szCs w:val="24"/>
        </w:rPr>
        <w:t>Amendment</w:t>
      </w:r>
      <w:r>
        <w:rPr>
          <w:color w:val="auto"/>
        </w:rPr>
        <w:t xml:space="preserve"> window and opportunity to vary an agreement</w:t>
      </w:r>
      <w:r>
        <w:rPr>
          <w:color w:val="auto"/>
          <w:szCs w:val="24"/>
        </w:rPr>
        <w:t>.</w:t>
      </w:r>
    </w:p>
    <w:p w14:paraId="5802AD5D" w14:textId="77777777" w:rsidR="00026E66" w:rsidRDefault="002737EF" w:rsidP="00FF0098">
      <w:pPr>
        <w:pStyle w:val="ListParagraph"/>
        <w:tabs>
          <w:tab w:val="left" w:pos="0"/>
        </w:tabs>
        <w:spacing w:after="120"/>
        <w:ind w:left="0"/>
      </w:pPr>
      <w:r>
        <w:t>An amendments window</w:t>
      </w:r>
      <w:r>
        <w:rPr>
          <w:szCs w:val="24"/>
        </w:rPr>
        <w:t xml:space="preserve"> will be open</w:t>
      </w:r>
      <w:r>
        <w:t xml:space="preserve"> from 1 July 2021 to 30 September 2021</w:t>
      </w:r>
      <w:r>
        <w:rPr>
          <w:szCs w:val="24"/>
        </w:rPr>
        <w:t xml:space="preserve"> to allow the Administrator</w:t>
      </w:r>
      <w:r>
        <w:t xml:space="preserve"> to vary underlying agreements </w:t>
      </w:r>
      <w:r>
        <w:rPr>
          <w:szCs w:val="24"/>
        </w:rPr>
        <w:t>to allow</w:t>
      </w:r>
      <w:r>
        <w:t xml:space="preserve">: </w:t>
      </w:r>
    </w:p>
    <w:p w14:paraId="79C1A7F1" w14:textId="089ABA61" w:rsidR="00026E66" w:rsidRDefault="002737EF" w:rsidP="0065356B">
      <w:pPr>
        <w:pStyle w:val="ListParagraph"/>
        <w:numPr>
          <w:ilvl w:val="0"/>
          <w:numId w:val="134"/>
        </w:numPr>
        <w:tabs>
          <w:tab w:val="left" w:pos="0"/>
        </w:tabs>
        <w:spacing w:after="120"/>
      </w:pPr>
      <w:r w:rsidRPr="00827D03">
        <w:rPr>
          <w:szCs w:val="24"/>
        </w:rPr>
        <w:t>Operators of</w:t>
      </w:r>
      <w:r>
        <w:t xml:space="preserve"> target </w:t>
      </w:r>
      <w:r w:rsidRPr="00827D03">
        <w:rPr>
          <w:szCs w:val="24"/>
        </w:rPr>
        <w:t xml:space="preserve">units with an absolute target to vary their Target Period 5 target </w:t>
      </w:r>
      <w:r>
        <w:t>to a relative or relative Novem target</w:t>
      </w:r>
    </w:p>
    <w:p w14:paraId="1554BC9E" w14:textId="3FE5E99F" w:rsidR="00026E66" w:rsidRDefault="002737EF" w:rsidP="0065356B">
      <w:pPr>
        <w:pStyle w:val="ListParagraph"/>
        <w:numPr>
          <w:ilvl w:val="0"/>
          <w:numId w:val="134"/>
        </w:numPr>
        <w:tabs>
          <w:tab w:val="left" w:pos="0"/>
        </w:tabs>
        <w:spacing w:after="120"/>
      </w:pPr>
      <w:r w:rsidRPr="00827D03">
        <w:rPr>
          <w:szCs w:val="24"/>
        </w:rPr>
        <w:t xml:space="preserve">Amendment of any </w:t>
      </w:r>
      <w:r>
        <w:t xml:space="preserve">estimated </w:t>
      </w:r>
      <w:r w:rsidRPr="00827D03">
        <w:rPr>
          <w:szCs w:val="24"/>
        </w:rPr>
        <w:t>2018</w:t>
      </w:r>
      <w:r>
        <w:t xml:space="preserve"> data </w:t>
      </w:r>
      <w:r w:rsidRPr="00827D03">
        <w:rPr>
          <w:szCs w:val="24"/>
        </w:rPr>
        <w:t xml:space="preserve">provided for the purposes of Target Period 5 target setting with the required </w:t>
      </w:r>
      <w:r>
        <w:t>actual 2018 data</w:t>
      </w:r>
      <w:r w:rsidR="00150B05">
        <w:t>,</w:t>
      </w:r>
      <w:r w:rsidRPr="00827D03">
        <w:rPr>
          <w:szCs w:val="24"/>
        </w:rPr>
        <w:t xml:space="preserve"> or</w:t>
      </w:r>
    </w:p>
    <w:p w14:paraId="6ED4BACF" w14:textId="72404BB4" w:rsidR="00026E66" w:rsidRDefault="002737EF" w:rsidP="0065356B">
      <w:pPr>
        <w:pStyle w:val="ListParagraph"/>
        <w:numPr>
          <w:ilvl w:val="0"/>
          <w:numId w:val="134"/>
        </w:numPr>
        <w:tabs>
          <w:tab w:val="left" w:pos="0"/>
        </w:tabs>
        <w:spacing w:after="120"/>
      </w:pPr>
      <w:r w:rsidRPr="00827D03">
        <w:rPr>
          <w:szCs w:val="24"/>
        </w:rPr>
        <w:t>A facility that entered into the scheme from 1 January 2021</w:t>
      </w:r>
      <w:r>
        <w:t xml:space="preserve"> to </w:t>
      </w:r>
      <w:r w:rsidRPr="00827D03">
        <w:rPr>
          <w:szCs w:val="24"/>
        </w:rPr>
        <w:t xml:space="preserve">31 March 2021, that was not included in </w:t>
      </w:r>
      <w:r>
        <w:t>an existing agreement</w:t>
      </w:r>
      <w:r w:rsidRPr="00827D03">
        <w:rPr>
          <w:szCs w:val="24"/>
        </w:rPr>
        <w:t>, to join into an existing agreement</w:t>
      </w:r>
    </w:p>
    <w:p w14:paraId="720F86FD" w14:textId="77777777" w:rsidR="00026E66" w:rsidRDefault="002737EF" w:rsidP="00FF0098">
      <w:pPr>
        <w:pStyle w:val="ListParagraph"/>
        <w:tabs>
          <w:tab w:val="left" w:pos="0"/>
        </w:tabs>
        <w:spacing w:after="120"/>
        <w:ind w:left="0"/>
      </w:pPr>
      <w:r>
        <w:rPr>
          <w:szCs w:val="24"/>
        </w:rPr>
        <w:t xml:space="preserve">These amendments will not be allowed </w:t>
      </w:r>
      <w:r>
        <w:t xml:space="preserve">outside the 1 July 2021 to 30 September 2021 </w:t>
      </w:r>
      <w:r>
        <w:rPr>
          <w:szCs w:val="24"/>
        </w:rPr>
        <w:t>window</w:t>
      </w:r>
      <w:r>
        <w:t>.</w:t>
      </w:r>
    </w:p>
    <w:p w14:paraId="58BA9869" w14:textId="77777777" w:rsidR="00026E66" w:rsidRDefault="002737EF" w:rsidP="00FF0098">
      <w:pPr>
        <w:tabs>
          <w:tab w:val="left" w:pos="0"/>
        </w:tabs>
        <w:ind w:right="182"/>
        <w:rPr>
          <w:color w:val="auto"/>
          <w:szCs w:val="24"/>
        </w:rPr>
      </w:pPr>
      <w:r>
        <w:rPr>
          <w:color w:val="auto"/>
          <w:szCs w:val="24"/>
        </w:rPr>
        <w:t xml:space="preserve">The sector association can make the changes on the CCA register necessary to initiate a variation and, if appropriate, amend a target unit target. </w:t>
      </w:r>
    </w:p>
    <w:p w14:paraId="0975E1C5" w14:textId="77777777" w:rsidR="00026E66" w:rsidRDefault="002737EF" w:rsidP="00FF0098">
      <w:pPr>
        <w:tabs>
          <w:tab w:val="left" w:pos="0"/>
        </w:tabs>
        <w:ind w:right="182"/>
      </w:pPr>
      <w:r>
        <w:rPr>
          <w:color w:val="auto"/>
        </w:rPr>
        <w:t xml:space="preserve">The different types of variations are outlined </w:t>
      </w:r>
      <w:r>
        <w:rPr>
          <w:color w:val="auto"/>
          <w:szCs w:val="24"/>
        </w:rPr>
        <w:t xml:space="preserve">below, together with links to </w:t>
      </w:r>
      <w:r>
        <w:rPr>
          <w:color w:val="auto"/>
        </w:rPr>
        <w:t xml:space="preserve">sections </w:t>
      </w:r>
      <w:hyperlink w:anchor="_7.1._An_operator" w:history="1">
        <w:r>
          <w:rPr>
            <w:rStyle w:val="Hyperlink"/>
          </w:rPr>
          <w:t>7.1</w:t>
        </w:r>
      </w:hyperlink>
      <w:r>
        <w:rPr>
          <w:color w:val="auto"/>
        </w:rPr>
        <w:t xml:space="preserve"> to </w:t>
      </w:r>
      <w:hyperlink w:anchor="_7.9._Other_types" w:history="1">
        <w:r>
          <w:rPr>
            <w:rStyle w:val="Hyperlink"/>
          </w:rPr>
          <w:t>7.9</w:t>
        </w:r>
      </w:hyperlink>
      <w:r>
        <w:rPr>
          <w:color w:val="auto"/>
        </w:rPr>
        <w:t xml:space="preserve"> </w:t>
      </w:r>
      <w:r>
        <w:rPr>
          <w:color w:val="auto"/>
          <w:szCs w:val="24"/>
        </w:rPr>
        <w:t>which provide further detail.</w:t>
      </w:r>
      <w:r>
        <w:rPr>
          <w:color w:val="auto"/>
        </w:rPr>
        <w:t xml:space="preserve"> </w:t>
      </w:r>
      <w:hyperlink w:anchor="_7.10._What_cannot" w:history="1">
        <w:r>
          <w:rPr>
            <w:rStyle w:val="Hyperlink"/>
          </w:rPr>
          <w:t>Section 7.10</w:t>
        </w:r>
      </w:hyperlink>
      <w:r>
        <w:rPr>
          <w:color w:val="auto"/>
        </w:rPr>
        <w:t xml:space="preserve"> </w:t>
      </w:r>
      <w:r>
        <w:rPr>
          <w:color w:val="auto"/>
          <w:szCs w:val="24"/>
        </w:rPr>
        <w:t>gives</w:t>
      </w:r>
      <w:r>
        <w:rPr>
          <w:color w:val="auto"/>
        </w:rPr>
        <w:t xml:space="preserve"> details of what can't be changed by a variation</w:t>
      </w:r>
      <w:r>
        <w:rPr>
          <w:color w:val="auto"/>
          <w:szCs w:val="24"/>
        </w:rPr>
        <w:t xml:space="preserve"> and</w:t>
      </w:r>
      <w:r>
        <w:rPr>
          <w:color w:val="auto"/>
        </w:rPr>
        <w:t xml:space="preserve"> </w:t>
      </w:r>
      <w:hyperlink w:anchor="_7.11._Timescale_for" w:history="1">
        <w:r>
          <w:rPr>
            <w:rStyle w:val="Hyperlink"/>
            <w:szCs w:val="24"/>
          </w:rPr>
          <w:t>section</w:t>
        </w:r>
        <w:r>
          <w:rPr>
            <w:rStyle w:val="Hyperlink"/>
          </w:rPr>
          <w:t xml:space="preserve"> 7.11</w:t>
        </w:r>
      </w:hyperlink>
      <w:r>
        <w:rPr>
          <w:color w:val="auto"/>
        </w:rPr>
        <w:t xml:space="preserve"> covers the timescale for notifying us of change. In some instances, more than one </w:t>
      </w:r>
      <w:r>
        <w:rPr>
          <w:color w:val="auto"/>
          <w:szCs w:val="24"/>
        </w:rPr>
        <w:t xml:space="preserve">of a possible range of variations may be necessary depending on the type of change the operator has gone through. </w:t>
      </w:r>
    </w:p>
    <w:p w14:paraId="0A62EC15" w14:textId="54195A6B" w:rsidR="00026E66" w:rsidRDefault="002737EF" w:rsidP="00FF0098">
      <w:pPr>
        <w:tabs>
          <w:tab w:val="left" w:pos="0"/>
        </w:tabs>
        <w:spacing w:after="16"/>
        <w:ind w:right="182"/>
      </w:pPr>
      <w:r>
        <w:rPr>
          <w:color w:val="auto"/>
        </w:rPr>
        <w:t xml:space="preserve">If you're not sure about whether a variation is needed following a change of some kind, please contact the CCA helpdesk for advice </w:t>
      </w:r>
      <w:r>
        <w:rPr>
          <w:color w:val="auto"/>
          <w:szCs w:val="24"/>
        </w:rPr>
        <w:t>(</w:t>
      </w:r>
      <w:hyperlink r:id="rId81" w:history="1">
        <w:r w:rsidR="007A7512" w:rsidRPr="009E18E9">
          <w:rPr>
            <w:rStyle w:val="Hyperlink"/>
          </w:rPr>
          <w:t>cca-help@environment-agency.gov.uk</w:t>
        </w:r>
      </w:hyperlink>
      <w:r>
        <w:rPr>
          <w:color w:val="auto"/>
          <w:szCs w:val="24"/>
        </w:rPr>
        <w:t>).</w:t>
      </w:r>
      <w:r>
        <w:rPr>
          <w:color w:val="auto"/>
        </w:rPr>
        <w:t xml:space="preserve"> </w:t>
      </w:r>
    </w:p>
    <w:p w14:paraId="72BFF6D8" w14:textId="0D4304B9" w:rsidR="00026E66" w:rsidRDefault="002737EF" w:rsidP="00FF0098">
      <w:pPr>
        <w:tabs>
          <w:tab w:val="left" w:pos="0"/>
        </w:tabs>
        <w:spacing w:after="31" w:line="256" w:lineRule="auto"/>
        <w:rPr>
          <w:color w:val="auto"/>
          <w:szCs w:val="24"/>
        </w:rPr>
      </w:pPr>
      <w:r w:rsidRPr="00E72993">
        <w:rPr>
          <w:b/>
          <w:bCs/>
          <w:color w:val="auto"/>
          <w:szCs w:val="24"/>
        </w:rPr>
        <w:t>Different types of variation</w:t>
      </w:r>
      <w:r>
        <w:rPr>
          <w:color w:val="auto"/>
          <w:szCs w:val="24"/>
        </w:rPr>
        <w:t>:</w:t>
      </w:r>
    </w:p>
    <w:p w14:paraId="496DB69A" w14:textId="77777777" w:rsidR="00026E66" w:rsidRDefault="002737EF" w:rsidP="0065356B">
      <w:pPr>
        <w:pStyle w:val="ListParagraph"/>
        <w:numPr>
          <w:ilvl w:val="0"/>
          <w:numId w:val="18"/>
        </w:numPr>
        <w:tabs>
          <w:tab w:val="left" w:pos="0"/>
        </w:tabs>
        <w:spacing w:after="35"/>
        <w:ind w:right="182"/>
      </w:pPr>
      <w:r w:rsidRPr="00E72993">
        <w:rPr>
          <w:szCs w:val="24"/>
        </w:rPr>
        <w:t>When an operator takes over a facility from another operator</w:t>
      </w:r>
      <w:r>
        <w:t xml:space="preserve"> (</w:t>
      </w:r>
      <w:hyperlink w:anchor="_7.1._An_operator" w:history="1">
        <w:r>
          <w:rPr>
            <w:rStyle w:val="Hyperlink"/>
          </w:rPr>
          <w:t>section 7.1</w:t>
        </w:r>
      </w:hyperlink>
      <w:r>
        <w:t>)</w:t>
      </w:r>
      <w:r w:rsidRPr="00E72993">
        <w:rPr>
          <w:szCs w:val="24"/>
        </w:rPr>
        <w:t xml:space="preserve"> </w:t>
      </w:r>
    </w:p>
    <w:p w14:paraId="11030EC9" w14:textId="77777777" w:rsidR="00026E66" w:rsidRDefault="002737EF" w:rsidP="0065356B">
      <w:pPr>
        <w:pStyle w:val="ListParagraph"/>
        <w:numPr>
          <w:ilvl w:val="1"/>
          <w:numId w:val="18"/>
        </w:numPr>
        <w:tabs>
          <w:tab w:val="left" w:pos="0"/>
        </w:tabs>
        <w:spacing w:after="35"/>
        <w:ind w:right="182"/>
      </w:pPr>
      <w:r w:rsidRPr="00E72993">
        <w:rPr>
          <w:szCs w:val="24"/>
        </w:rPr>
        <w:t>revising</w:t>
      </w:r>
      <w:r>
        <w:t xml:space="preserve"> the target </w:t>
      </w:r>
      <w:r w:rsidRPr="00E72993">
        <w:rPr>
          <w:szCs w:val="24"/>
        </w:rPr>
        <w:t>when including/excluding</w:t>
      </w:r>
      <w:r>
        <w:t xml:space="preserve"> a </w:t>
      </w:r>
      <w:r w:rsidRPr="00E72993">
        <w:rPr>
          <w:szCs w:val="24"/>
        </w:rPr>
        <w:t xml:space="preserve">new </w:t>
      </w:r>
      <w:r>
        <w:t xml:space="preserve">facility </w:t>
      </w:r>
      <w:r w:rsidRPr="00E72993">
        <w:rPr>
          <w:szCs w:val="24"/>
        </w:rPr>
        <w:t>to</w:t>
      </w:r>
      <w:r>
        <w:t xml:space="preserve"> an existing target unit (</w:t>
      </w:r>
      <w:hyperlink w:anchor="_7.1.1._Revising_the" w:history="1">
        <w:r>
          <w:rPr>
            <w:rStyle w:val="Hyperlink"/>
          </w:rPr>
          <w:t>section 7.1.1</w:t>
        </w:r>
      </w:hyperlink>
      <w:r>
        <w:t>)</w:t>
      </w:r>
      <w:r w:rsidRPr="00E72993">
        <w:rPr>
          <w:szCs w:val="24"/>
        </w:rPr>
        <w:t xml:space="preserve"> </w:t>
      </w:r>
    </w:p>
    <w:p w14:paraId="3D5AEA85" w14:textId="77777777" w:rsidR="00026E66" w:rsidRDefault="002737EF" w:rsidP="0065356B">
      <w:pPr>
        <w:pStyle w:val="ListParagraph"/>
        <w:numPr>
          <w:ilvl w:val="1"/>
          <w:numId w:val="18"/>
        </w:numPr>
        <w:tabs>
          <w:tab w:val="left" w:pos="0"/>
        </w:tabs>
        <w:spacing w:after="11"/>
        <w:ind w:right="182"/>
      </w:pPr>
      <w:r w:rsidRPr="00E72993">
        <w:rPr>
          <w:szCs w:val="24"/>
        </w:rPr>
        <w:lastRenderedPageBreak/>
        <w:t>amending a</w:t>
      </w:r>
      <w:r>
        <w:t xml:space="preserve"> target when a facility leaves the scheme but remains operating (</w:t>
      </w:r>
      <w:hyperlink w:anchor="_7.1.2._Amending_the" w:history="1">
        <w:r>
          <w:rPr>
            <w:rStyle w:val="Hyperlink"/>
          </w:rPr>
          <w:t>section 7.1.2</w:t>
        </w:r>
      </w:hyperlink>
      <w:r>
        <w:t>)</w:t>
      </w:r>
      <w:r w:rsidRPr="00E72993">
        <w:rPr>
          <w:szCs w:val="24"/>
        </w:rPr>
        <w:t xml:space="preserve"> </w:t>
      </w:r>
    </w:p>
    <w:p w14:paraId="63E3BE51" w14:textId="77777777" w:rsidR="00026E66" w:rsidRDefault="002737EF" w:rsidP="0065356B">
      <w:pPr>
        <w:pStyle w:val="ListParagraph"/>
        <w:numPr>
          <w:ilvl w:val="1"/>
          <w:numId w:val="18"/>
        </w:numPr>
        <w:tabs>
          <w:tab w:val="left" w:pos="0"/>
        </w:tabs>
        <w:spacing w:after="33"/>
        <w:ind w:right="182"/>
      </w:pPr>
      <w:r>
        <w:t xml:space="preserve">when </w:t>
      </w:r>
      <w:r w:rsidRPr="00E72993">
        <w:rPr>
          <w:szCs w:val="24"/>
        </w:rPr>
        <w:t>the operator and/or sector association should not revise</w:t>
      </w:r>
      <w:r>
        <w:t xml:space="preserve"> a target (</w:t>
      </w:r>
      <w:hyperlink w:anchor="_7.1.3._When_the" w:history="1">
        <w:r>
          <w:rPr>
            <w:rStyle w:val="Hyperlink"/>
          </w:rPr>
          <w:t>section 7.1.3</w:t>
        </w:r>
      </w:hyperlink>
      <w:r>
        <w:t>)</w:t>
      </w:r>
      <w:r w:rsidRPr="00E72993">
        <w:rPr>
          <w:szCs w:val="24"/>
        </w:rPr>
        <w:t xml:space="preserve"> </w:t>
      </w:r>
    </w:p>
    <w:p w14:paraId="330906A3" w14:textId="77777777" w:rsidR="00026E66" w:rsidRDefault="002737EF" w:rsidP="0065356B">
      <w:pPr>
        <w:pStyle w:val="ListParagraph"/>
        <w:numPr>
          <w:ilvl w:val="0"/>
          <w:numId w:val="18"/>
        </w:numPr>
        <w:tabs>
          <w:tab w:val="left" w:pos="0"/>
        </w:tabs>
        <w:spacing w:after="37"/>
        <w:ind w:right="182"/>
      </w:pPr>
      <w:r w:rsidRPr="00E72993">
        <w:rPr>
          <w:szCs w:val="24"/>
        </w:rPr>
        <w:t xml:space="preserve">When an operator changes ownership – and includes </w:t>
      </w:r>
      <w:r>
        <w:t xml:space="preserve">all facilities </w:t>
      </w:r>
      <w:r w:rsidRPr="00E72993">
        <w:rPr>
          <w:szCs w:val="24"/>
        </w:rPr>
        <w:t>within one</w:t>
      </w:r>
      <w:r>
        <w:t xml:space="preserve"> agreement (</w:t>
      </w:r>
      <w:hyperlink w:anchor="_7.2._An_operator" w:history="1">
        <w:r>
          <w:rPr>
            <w:rStyle w:val="Hyperlink"/>
          </w:rPr>
          <w:t>section 7.2</w:t>
        </w:r>
      </w:hyperlink>
      <w:r>
        <w:t>)</w:t>
      </w:r>
      <w:r w:rsidRPr="00E72993">
        <w:rPr>
          <w:szCs w:val="24"/>
        </w:rPr>
        <w:t xml:space="preserve"> </w:t>
      </w:r>
    </w:p>
    <w:p w14:paraId="7C50738D" w14:textId="77777777" w:rsidR="00026E66" w:rsidRDefault="002737EF" w:rsidP="0065356B">
      <w:pPr>
        <w:pStyle w:val="ListParagraph"/>
        <w:numPr>
          <w:ilvl w:val="0"/>
          <w:numId w:val="18"/>
        </w:numPr>
        <w:tabs>
          <w:tab w:val="left" w:pos="0"/>
        </w:tabs>
        <w:spacing w:after="33"/>
        <w:ind w:right="182"/>
      </w:pPr>
      <w:r w:rsidRPr="00E72993">
        <w:rPr>
          <w:szCs w:val="24"/>
        </w:rPr>
        <w:t>When</w:t>
      </w:r>
      <w:r>
        <w:t xml:space="preserve"> the company name of an operator </w:t>
      </w:r>
      <w:r w:rsidRPr="00E72993">
        <w:rPr>
          <w:szCs w:val="24"/>
        </w:rPr>
        <w:t xml:space="preserve">changes </w:t>
      </w:r>
      <w:r>
        <w:t>(</w:t>
      </w:r>
      <w:hyperlink w:anchor="_7.3._The_company" w:history="1">
        <w:r>
          <w:rPr>
            <w:rStyle w:val="Hyperlink"/>
          </w:rPr>
          <w:t>section 7.3</w:t>
        </w:r>
      </w:hyperlink>
      <w:r>
        <w:t>)</w:t>
      </w:r>
      <w:r w:rsidRPr="00E72993">
        <w:rPr>
          <w:szCs w:val="24"/>
        </w:rPr>
        <w:t xml:space="preserve"> </w:t>
      </w:r>
    </w:p>
    <w:p w14:paraId="356DEE58" w14:textId="77777777" w:rsidR="00026E66" w:rsidRDefault="002737EF" w:rsidP="0065356B">
      <w:pPr>
        <w:pStyle w:val="ListParagraph"/>
        <w:numPr>
          <w:ilvl w:val="1"/>
          <w:numId w:val="18"/>
        </w:numPr>
        <w:tabs>
          <w:tab w:val="left" w:pos="0"/>
        </w:tabs>
        <w:spacing w:after="36"/>
        <w:ind w:right="182"/>
      </w:pPr>
      <w:r>
        <w:t>when the legal entity has changed for the operator (</w:t>
      </w:r>
      <w:hyperlink w:anchor="_7.3.1._When_the" w:history="1">
        <w:r>
          <w:rPr>
            <w:rStyle w:val="Hyperlink"/>
          </w:rPr>
          <w:t>section 7.3.1</w:t>
        </w:r>
      </w:hyperlink>
      <w:r>
        <w:t>)</w:t>
      </w:r>
      <w:r w:rsidRPr="00E72993">
        <w:rPr>
          <w:szCs w:val="24"/>
        </w:rPr>
        <w:t xml:space="preserve"> </w:t>
      </w:r>
    </w:p>
    <w:p w14:paraId="555D8534" w14:textId="77777777" w:rsidR="00026E66" w:rsidRDefault="002737EF" w:rsidP="0065356B">
      <w:pPr>
        <w:pStyle w:val="ListParagraph"/>
        <w:numPr>
          <w:ilvl w:val="1"/>
          <w:numId w:val="18"/>
        </w:numPr>
        <w:tabs>
          <w:tab w:val="left" w:pos="0"/>
        </w:tabs>
        <w:spacing w:after="33"/>
        <w:ind w:right="182"/>
      </w:pPr>
      <w:r>
        <w:t>when the operator name has changed (</w:t>
      </w:r>
      <w:hyperlink w:anchor="_7.3.2._When_you" w:history="1">
        <w:r>
          <w:rPr>
            <w:rStyle w:val="Hyperlink"/>
          </w:rPr>
          <w:t>section 7.3.2</w:t>
        </w:r>
      </w:hyperlink>
      <w:r>
        <w:t>)</w:t>
      </w:r>
      <w:r w:rsidRPr="00E72993">
        <w:rPr>
          <w:szCs w:val="24"/>
        </w:rPr>
        <w:t xml:space="preserve"> </w:t>
      </w:r>
    </w:p>
    <w:p w14:paraId="7FCBF08E" w14:textId="77777777" w:rsidR="00026E66" w:rsidRDefault="002737EF" w:rsidP="0065356B">
      <w:pPr>
        <w:pStyle w:val="ListParagraph"/>
        <w:numPr>
          <w:ilvl w:val="0"/>
          <w:numId w:val="18"/>
        </w:numPr>
        <w:tabs>
          <w:tab w:val="left" w:pos="0"/>
        </w:tabs>
        <w:spacing w:after="35"/>
        <w:ind w:right="182"/>
      </w:pPr>
      <w:r w:rsidRPr="00E72993">
        <w:rPr>
          <w:szCs w:val="24"/>
        </w:rPr>
        <w:t>When</w:t>
      </w:r>
      <w:r>
        <w:t xml:space="preserve"> the address </w:t>
      </w:r>
      <w:r w:rsidRPr="00E72993">
        <w:rPr>
          <w:szCs w:val="24"/>
        </w:rPr>
        <w:t xml:space="preserve">of the responsible person </w:t>
      </w:r>
      <w:r>
        <w:t xml:space="preserve">for </w:t>
      </w:r>
      <w:r w:rsidRPr="00E72993">
        <w:rPr>
          <w:szCs w:val="24"/>
        </w:rPr>
        <w:t>the target unit changes</w:t>
      </w:r>
      <w:r>
        <w:t xml:space="preserve"> (</w:t>
      </w:r>
      <w:hyperlink w:anchor="_7.4._The_address" w:history="1">
        <w:r>
          <w:rPr>
            <w:rStyle w:val="Hyperlink"/>
          </w:rPr>
          <w:t>section 7.4</w:t>
        </w:r>
      </w:hyperlink>
      <w:r>
        <w:t>)</w:t>
      </w:r>
      <w:r w:rsidRPr="00E72993">
        <w:rPr>
          <w:szCs w:val="24"/>
        </w:rPr>
        <w:t xml:space="preserve"> </w:t>
      </w:r>
    </w:p>
    <w:p w14:paraId="4DD88187" w14:textId="77777777" w:rsidR="00026E66" w:rsidRDefault="002737EF" w:rsidP="0065356B">
      <w:pPr>
        <w:pStyle w:val="ListParagraph"/>
        <w:numPr>
          <w:ilvl w:val="0"/>
          <w:numId w:val="18"/>
        </w:numPr>
        <w:tabs>
          <w:tab w:val="left" w:pos="0"/>
        </w:tabs>
        <w:spacing w:after="36"/>
        <w:ind w:right="182"/>
      </w:pPr>
      <w:r w:rsidRPr="00E72993">
        <w:rPr>
          <w:szCs w:val="24"/>
        </w:rPr>
        <w:t xml:space="preserve">Review of the </w:t>
      </w:r>
      <w:r>
        <w:t xml:space="preserve">baseline due to structural change or </w:t>
      </w:r>
      <w:r w:rsidRPr="00E72993">
        <w:rPr>
          <w:szCs w:val="24"/>
        </w:rPr>
        <w:t>review of 70% provision</w:t>
      </w:r>
      <w:r>
        <w:t xml:space="preserve"> (</w:t>
      </w:r>
      <w:hyperlink w:anchor="_7.5._Review_of" w:history="1">
        <w:r>
          <w:rPr>
            <w:rStyle w:val="Hyperlink"/>
          </w:rPr>
          <w:t>section 7.5</w:t>
        </w:r>
      </w:hyperlink>
      <w:r>
        <w:t xml:space="preserve">) </w:t>
      </w:r>
    </w:p>
    <w:p w14:paraId="05EE0152" w14:textId="77777777" w:rsidR="00026E66" w:rsidRDefault="002737EF" w:rsidP="0065356B">
      <w:pPr>
        <w:pStyle w:val="ListParagraph"/>
        <w:numPr>
          <w:ilvl w:val="1"/>
          <w:numId w:val="18"/>
        </w:numPr>
        <w:tabs>
          <w:tab w:val="left" w:pos="0"/>
        </w:tabs>
        <w:spacing w:after="33"/>
        <w:ind w:right="182"/>
      </w:pPr>
      <w:r>
        <w:t>structural change (</w:t>
      </w:r>
      <w:hyperlink w:anchor="_7.5.1._Structural_change" w:history="1">
        <w:r>
          <w:rPr>
            <w:rStyle w:val="Hyperlink"/>
          </w:rPr>
          <w:t>section 7.5.1</w:t>
        </w:r>
      </w:hyperlink>
      <w:r>
        <w:t xml:space="preserve">) </w:t>
      </w:r>
    </w:p>
    <w:p w14:paraId="16B56223" w14:textId="77777777" w:rsidR="00026E66" w:rsidRDefault="002737EF" w:rsidP="0065356B">
      <w:pPr>
        <w:pStyle w:val="ListParagraph"/>
        <w:numPr>
          <w:ilvl w:val="1"/>
          <w:numId w:val="18"/>
        </w:numPr>
        <w:tabs>
          <w:tab w:val="left" w:pos="0"/>
        </w:tabs>
        <w:spacing w:after="33"/>
        <w:ind w:right="182"/>
      </w:pPr>
      <w:r>
        <w:t>data errors in baseline discovered (</w:t>
      </w:r>
      <w:hyperlink w:anchor="_7.5.2._Review_of" w:history="1">
        <w:r>
          <w:rPr>
            <w:rStyle w:val="Hyperlink"/>
          </w:rPr>
          <w:t>section 7.5.2</w:t>
        </w:r>
      </w:hyperlink>
      <w:r>
        <w:t xml:space="preserve">) </w:t>
      </w:r>
    </w:p>
    <w:p w14:paraId="478286CC" w14:textId="77777777" w:rsidR="00026E66" w:rsidRDefault="002737EF" w:rsidP="0065356B">
      <w:pPr>
        <w:pStyle w:val="ListParagraph"/>
        <w:numPr>
          <w:ilvl w:val="0"/>
          <w:numId w:val="18"/>
        </w:numPr>
        <w:tabs>
          <w:tab w:val="left" w:pos="0"/>
        </w:tabs>
        <w:spacing w:after="35"/>
        <w:ind w:right="182"/>
      </w:pPr>
      <w:r w:rsidRPr="00E72993">
        <w:rPr>
          <w:szCs w:val="24"/>
        </w:rPr>
        <w:t>Updating</w:t>
      </w:r>
      <w:r>
        <w:t xml:space="preserve"> the </w:t>
      </w:r>
      <w:r w:rsidRPr="00E72993">
        <w:rPr>
          <w:szCs w:val="24"/>
        </w:rPr>
        <w:t xml:space="preserve">baseline from </w:t>
      </w:r>
      <w:r>
        <w:t>estimated to actual values (</w:t>
      </w:r>
      <w:hyperlink w:anchor="_7.6._Updating_the" w:history="1">
        <w:r>
          <w:rPr>
            <w:rStyle w:val="Hyperlink"/>
          </w:rPr>
          <w:t>section 7.6</w:t>
        </w:r>
      </w:hyperlink>
      <w:r>
        <w:t xml:space="preserve">) </w:t>
      </w:r>
    </w:p>
    <w:p w14:paraId="757A0EC8" w14:textId="77777777" w:rsidR="00026E66" w:rsidRDefault="002737EF" w:rsidP="0065356B">
      <w:pPr>
        <w:pStyle w:val="ListParagraph"/>
        <w:numPr>
          <w:ilvl w:val="0"/>
          <w:numId w:val="18"/>
        </w:numPr>
        <w:tabs>
          <w:tab w:val="left" w:pos="0"/>
        </w:tabs>
        <w:spacing w:after="36"/>
        <w:ind w:right="182"/>
      </w:pPr>
      <w:r w:rsidRPr="00E72993">
        <w:rPr>
          <w:szCs w:val="24"/>
        </w:rPr>
        <w:t>Changing</w:t>
      </w:r>
      <w:r>
        <w:t xml:space="preserve"> the target </w:t>
      </w:r>
      <w:r w:rsidRPr="00E72993">
        <w:rPr>
          <w:szCs w:val="24"/>
        </w:rPr>
        <w:t xml:space="preserve">currency (Novem to </w:t>
      </w:r>
      <w:r>
        <w:t>relative) (</w:t>
      </w:r>
      <w:hyperlink w:anchor="_7.7._Changing_the" w:history="1">
        <w:r>
          <w:rPr>
            <w:rStyle w:val="Hyperlink"/>
          </w:rPr>
          <w:t>section 7.7</w:t>
        </w:r>
      </w:hyperlink>
      <w:r>
        <w:t xml:space="preserve">) </w:t>
      </w:r>
    </w:p>
    <w:p w14:paraId="66960437" w14:textId="77777777" w:rsidR="00026E66" w:rsidRDefault="002737EF" w:rsidP="0065356B">
      <w:pPr>
        <w:pStyle w:val="ListParagraph"/>
        <w:numPr>
          <w:ilvl w:val="0"/>
          <w:numId w:val="18"/>
        </w:numPr>
        <w:tabs>
          <w:tab w:val="left" w:pos="0"/>
        </w:tabs>
        <w:spacing w:after="33"/>
        <w:ind w:right="182"/>
      </w:pPr>
      <w:r w:rsidRPr="00E72993">
        <w:rPr>
          <w:szCs w:val="24"/>
        </w:rPr>
        <w:t>Variations</w:t>
      </w:r>
      <w:r>
        <w:t xml:space="preserve"> for reporting (</w:t>
      </w:r>
      <w:hyperlink w:anchor="_7.8._Variations_for" w:history="1">
        <w:r>
          <w:rPr>
            <w:rStyle w:val="Hyperlink"/>
          </w:rPr>
          <w:t>section 7.8</w:t>
        </w:r>
      </w:hyperlink>
      <w:r>
        <w:t xml:space="preserve">) </w:t>
      </w:r>
    </w:p>
    <w:p w14:paraId="61B6C701" w14:textId="7C7D6722" w:rsidR="00026E66" w:rsidRPr="00E72993" w:rsidRDefault="002737EF" w:rsidP="0065356B">
      <w:pPr>
        <w:pStyle w:val="ListParagraph"/>
        <w:numPr>
          <w:ilvl w:val="0"/>
          <w:numId w:val="18"/>
        </w:numPr>
        <w:tabs>
          <w:tab w:val="left" w:pos="0"/>
        </w:tabs>
        <w:spacing w:after="11"/>
        <w:ind w:right="182"/>
      </w:pPr>
      <w:r w:rsidRPr="00E72993">
        <w:rPr>
          <w:szCs w:val="24"/>
        </w:rPr>
        <w:t xml:space="preserve">Any </w:t>
      </w:r>
      <w:r>
        <w:t xml:space="preserve">other </w:t>
      </w:r>
      <w:r w:rsidRPr="00E72993">
        <w:rPr>
          <w:szCs w:val="24"/>
        </w:rPr>
        <w:t>type</w:t>
      </w:r>
      <w:r>
        <w:t xml:space="preserve"> of </w:t>
      </w:r>
      <w:r w:rsidRPr="00E72993">
        <w:rPr>
          <w:szCs w:val="24"/>
        </w:rPr>
        <w:t>variation</w:t>
      </w:r>
      <w:r>
        <w:t xml:space="preserve"> (</w:t>
      </w:r>
      <w:hyperlink w:anchor="_7.9._Other_types" w:history="1">
        <w:r>
          <w:rPr>
            <w:rStyle w:val="Hyperlink"/>
          </w:rPr>
          <w:t>section 7.9</w:t>
        </w:r>
      </w:hyperlink>
      <w:r>
        <w:t xml:space="preserve">) </w:t>
      </w:r>
    </w:p>
    <w:p w14:paraId="0065CE1E" w14:textId="66EC5573" w:rsidR="00026E66" w:rsidRPr="00E72993" w:rsidRDefault="002737EF" w:rsidP="00E72993">
      <w:pPr>
        <w:tabs>
          <w:tab w:val="left" w:pos="0"/>
        </w:tabs>
        <w:spacing w:after="161" w:line="235" w:lineRule="auto"/>
        <w:ind w:right="471"/>
        <w:jc w:val="both"/>
      </w:pPr>
      <w:r>
        <w:rPr>
          <w:color w:val="auto"/>
          <w:szCs w:val="24"/>
        </w:rPr>
        <w:t xml:space="preserve">For information on how to make these changes in the CCA register, please refer </w:t>
      </w:r>
      <w:bookmarkStart w:id="142" w:name="_7.1._An_operator"/>
      <w:bookmarkStart w:id="143" w:name="_Toc94718650"/>
      <w:bookmarkEnd w:id="142"/>
      <w:r>
        <w:rPr>
          <w:color w:val="auto"/>
          <w:szCs w:val="24"/>
        </w:rPr>
        <w:t xml:space="preserve">to the </w:t>
      </w:r>
      <w:r w:rsidR="00E931A9">
        <w:rPr>
          <w:color w:val="auto"/>
          <w:szCs w:val="24"/>
        </w:rPr>
        <w:t>‘</w:t>
      </w:r>
      <w:hyperlink r:id="rId82" w:history="1">
        <w:r w:rsidR="00E931A9" w:rsidRPr="00E931A9">
          <w:rPr>
            <w:rStyle w:val="Hyperlink"/>
            <w:szCs w:val="24"/>
          </w:rPr>
          <w:t>Climate change agreements IT register user guide</w:t>
        </w:r>
      </w:hyperlink>
      <w:r>
        <w:rPr>
          <w:color w:val="auto"/>
          <w:szCs w:val="24"/>
        </w:rPr>
        <w:t>' available from the CCA webpages</w:t>
      </w:r>
      <w:r w:rsidR="00E931A9">
        <w:t>.</w:t>
      </w:r>
      <w:r>
        <w:rPr>
          <w:color w:val="auto"/>
          <w:szCs w:val="24"/>
        </w:rPr>
        <w:t xml:space="preserve"> </w:t>
      </w:r>
    </w:p>
    <w:p w14:paraId="27BCE8B5" w14:textId="04F93AF9" w:rsidR="00026E66" w:rsidRPr="00E72993" w:rsidRDefault="002737EF" w:rsidP="00E72993">
      <w:pPr>
        <w:pStyle w:val="Heading2"/>
        <w:tabs>
          <w:tab w:val="left" w:pos="0"/>
        </w:tabs>
      </w:pPr>
      <w:bookmarkStart w:id="144" w:name="_Toc94088898"/>
      <w:bookmarkStart w:id="145" w:name="_Toc95211825"/>
      <w:r>
        <w:t>7.1. An operator takes over a facility from another operator</w:t>
      </w:r>
      <w:bookmarkEnd w:id="144"/>
      <w:bookmarkEnd w:id="145"/>
      <w:r>
        <w:t xml:space="preserve"> </w:t>
      </w:r>
      <w:bookmarkEnd w:id="143"/>
    </w:p>
    <w:p w14:paraId="15382CEA" w14:textId="77777777" w:rsidR="00026E66" w:rsidRDefault="002737EF" w:rsidP="00FF0098">
      <w:pPr>
        <w:tabs>
          <w:tab w:val="left" w:pos="0"/>
        </w:tabs>
        <w:ind w:right="182"/>
      </w:pPr>
      <w:r>
        <w:rPr>
          <w:color w:val="auto"/>
          <w:szCs w:val="24"/>
        </w:rPr>
        <w:t xml:space="preserve">One of the most frequent changes is when a </w:t>
      </w:r>
      <w:r>
        <w:rPr>
          <w:color w:val="auto"/>
        </w:rPr>
        <w:t xml:space="preserve">facility </w:t>
      </w:r>
      <w:r>
        <w:rPr>
          <w:color w:val="auto"/>
          <w:szCs w:val="24"/>
        </w:rPr>
        <w:t xml:space="preserve">is sold by one operator and bought by another. This type of variation applies: </w:t>
      </w:r>
    </w:p>
    <w:p w14:paraId="271FD996" w14:textId="77777777" w:rsidR="00026E66" w:rsidRPr="00E955A3" w:rsidRDefault="002737EF" w:rsidP="0065356B">
      <w:pPr>
        <w:pStyle w:val="ListParagraph"/>
        <w:numPr>
          <w:ilvl w:val="0"/>
          <w:numId w:val="46"/>
        </w:numPr>
        <w:tabs>
          <w:tab w:val="left" w:pos="0"/>
        </w:tabs>
        <w:spacing w:after="76" w:line="244" w:lineRule="auto"/>
        <w:ind w:right="182"/>
        <w:rPr>
          <w:szCs w:val="24"/>
        </w:rPr>
      </w:pPr>
      <w:r w:rsidRPr="00E955A3">
        <w:rPr>
          <w:szCs w:val="24"/>
        </w:rPr>
        <w:t xml:space="preserve">where target units (with multiple facilities) exist under different operators in the same sector </w:t>
      </w:r>
    </w:p>
    <w:p w14:paraId="0BEB1B66" w14:textId="77777777" w:rsidR="00026E66" w:rsidRPr="00E955A3" w:rsidRDefault="002737EF" w:rsidP="0065356B">
      <w:pPr>
        <w:pStyle w:val="ListParagraph"/>
        <w:numPr>
          <w:ilvl w:val="0"/>
          <w:numId w:val="46"/>
        </w:numPr>
        <w:tabs>
          <w:tab w:val="left" w:pos="0"/>
        </w:tabs>
        <w:spacing w:after="152" w:line="244" w:lineRule="auto"/>
        <w:ind w:right="182"/>
        <w:rPr>
          <w:szCs w:val="24"/>
        </w:rPr>
      </w:pPr>
      <w:r w:rsidRPr="00E955A3">
        <w:rPr>
          <w:szCs w:val="24"/>
        </w:rPr>
        <w:t xml:space="preserve">where one facility is sold to a different operator </w:t>
      </w:r>
    </w:p>
    <w:p w14:paraId="71AC2C8B" w14:textId="126E2963" w:rsidR="00026E66" w:rsidRPr="00E955A3" w:rsidRDefault="002737EF" w:rsidP="00E955A3">
      <w:pPr>
        <w:tabs>
          <w:tab w:val="left" w:pos="0"/>
        </w:tabs>
        <w:spacing w:after="0"/>
        <w:ind w:right="182"/>
      </w:pPr>
      <w:r>
        <w:rPr>
          <w:szCs w:val="24"/>
        </w:rPr>
        <w:t>The facility</w:t>
      </w:r>
      <w:r>
        <w:t xml:space="preserve"> transferred to </w:t>
      </w:r>
      <w:r>
        <w:rPr>
          <w:szCs w:val="24"/>
        </w:rPr>
        <w:t>a</w:t>
      </w:r>
      <w:r>
        <w:t xml:space="preserve"> new </w:t>
      </w:r>
      <w:r>
        <w:rPr>
          <w:szCs w:val="24"/>
        </w:rPr>
        <w:t xml:space="preserve">operator is treated as a new entrant and the sector association will need to submit complete facility eligibly information to the register using the 'Create Facility' option (see section 3 of the IT register user guide). The base year performance for the target unit will also need to be amended to reflect the inclusion of the new facility. This will generate an amendment to the numerical target for the target unit (see </w:t>
      </w:r>
      <w:hyperlink w:anchor="_7.1.1._Revising_the" w:history="1">
        <w:r>
          <w:rPr>
            <w:rStyle w:val="Hyperlink"/>
            <w:szCs w:val="24"/>
          </w:rPr>
          <w:t>section</w:t>
        </w:r>
        <w:r w:rsidR="00FC355D">
          <w:rPr>
            <w:rStyle w:val="Hyperlink"/>
            <w:szCs w:val="24"/>
          </w:rPr>
          <w:t xml:space="preserve"> </w:t>
        </w:r>
        <w:r>
          <w:rPr>
            <w:rStyle w:val="Hyperlink"/>
            <w:szCs w:val="24"/>
          </w:rPr>
          <w:t>7.1.1</w:t>
        </w:r>
      </w:hyperlink>
      <w:r>
        <w:rPr>
          <w:szCs w:val="24"/>
        </w:rPr>
        <w:t xml:space="preserve">). If a facility is to be excluded from an existing target unit because it has been sold to a different operator, the sector association should raise this variation on the register after making the change outlined above. For target units with only one facility which has been transferred to a new operator, the sector association should follow the voluntary termination process in the register to submit a request to us to terminate the old agreement. </w:t>
      </w:r>
    </w:p>
    <w:p w14:paraId="7535C575" w14:textId="77777777" w:rsidR="00026E66" w:rsidRPr="00E931A9" w:rsidRDefault="002737EF" w:rsidP="00FF0098">
      <w:pPr>
        <w:tabs>
          <w:tab w:val="left" w:pos="0"/>
        </w:tabs>
        <w:rPr>
          <w:b/>
          <w:bCs/>
        </w:rPr>
      </w:pPr>
      <w:r w:rsidRPr="00E931A9">
        <w:rPr>
          <w:b/>
          <w:bCs/>
        </w:rPr>
        <w:lastRenderedPageBreak/>
        <w:t xml:space="preserve">Important information to note </w:t>
      </w:r>
    </w:p>
    <w:p w14:paraId="2AE5082D" w14:textId="77777777" w:rsidR="00026E66" w:rsidRDefault="002737EF" w:rsidP="00FF0098">
      <w:pPr>
        <w:tabs>
          <w:tab w:val="left" w:pos="0"/>
        </w:tabs>
        <w:ind w:right="182"/>
      </w:pPr>
      <w:r>
        <w:rPr>
          <w:color w:val="auto"/>
          <w:szCs w:val="24"/>
        </w:rPr>
        <w:t>Both operators</w:t>
      </w:r>
      <w:r>
        <w:rPr>
          <w:color w:val="auto"/>
        </w:rPr>
        <w:t xml:space="preserve"> will </w:t>
      </w:r>
      <w:r>
        <w:rPr>
          <w:color w:val="auto"/>
          <w:szCs w:val="24"/>
        </w:rPr>
        <w:t>receive new</w:t>
      </w:r>
      <w:r>
        <w:rPr>
          <w:color w:val="auto"/>
        </w:rPr>
        <w:t xml:space="preserve"> agreements</w:t>
      </w:r>
      <w:r>
        <w:rPr>
          <w:color w:val="auto"/>
          <w:szCs w:val="24"/>
        </w:rPr>
        <w:t xml:space="preserve">. They </w:t>
      </w:r>
      <w:r>
        <w:rPr>
          <w:color w:val="auto"/>
        </w:rPr>
        <w:t xml:space="preserve">will need to provide their email </w:t>
      </w:r>
      <w:r>
        <w:rPr>
          <w:color w:val="auto"/>
          <w:szCs w:val="24"/>
        </w:rPr>
        <w:t xml:space="preserve">assent to these for them to become active. </w:t>
      </w:r>
    </w:p>
    <w:p w14:paraId="12617272" w14:textId="71785AAC" w:rsidR="00026E66" w:rsidRPr="00E955A3" w:rsidRDefault="002737EF" w:rsidP="00E955A3">
      <w:pPr>
        <w:tabs>
          <w:tab w:val="left" w:pos="0"/>
        </w:tabs>
        <w:spacing w:after="0"/>
        <w:ind w:right="182"/>
      </w:pPr>
      <w:r>
        <w:rPr>
          <w:color w:val="auto"/>
          <w:szCs w:val="24"/>
        </w:rPr>
        <w:t>As part of</w:t>
      </w:r>
      <w:r>
        <w:rPr>
          <w:color w:val="auto"/>
        </w:rPr>
        <w:t xml:space="preserve"> the </w:t>
      </w:r>
      <w:r>
        <w:rPr>
          <w:color w:val="auto"/>
          <w:szCs w:val="24"/>
        </w:rPr>
        <w:t xml:space="preserve">process of including a facility in an existing target unit or excluding a facility from an existing target unit, </w:t>
      </w:r>
      <w:r>
        <w:rPr>
          <w:color w:val="auto"/>
        </w:rPr>
        <w:t xml:space="preserve">we will upload the assent for the new target unit before uploading the assent for the </w:t>
      </w:r>
      <w:r>
        <w:rPr>
          <w:color w:val="auto"/>
          <w:szCs w:val="24"/>
        </w:rPr>
        <w:t xml:space="preserve">old target unit's new agreement. This will ensure continuity of the CCL discount. </w:t>
      </w:r>
    </w:p>
    <w:p w14:paraId="501D9253" w14:textId="50E55171" w:rsidR="00026E66" w:rsidRDefault="002737EF" w:rsidP="00E955A3">
      <w:pPr>
        <w:pStyle w:val="Heading3"/>
        <w:tabs>
          <w:tab w:val="left" w:pos="0"/>
        </w:tabs>
      </w:pPr>
      <w:bookmarkStart w:id="146" w:name="_7.1.1._Revising_the"/>
      <w:bookmarkStart w:id="147" w:name="_Toc95211826"/>
      <w:bookmarkEnd w:id="146"/>
      <w:r>
        <w:t>7.1.1. Revising the target when including/excluding a new facility to an existing TU</w:t>
      </w:r>
      <w:bookmarkEnd w:id="147"/>
      <w:r>
        <w:t xml:space="preserve"> </w:t>
      </w:r>
    </w:p>
    <w:p w14:paraId="19835CD6" w14:textId="77777777" w:rsidR="00026E66" w:rsidRDefault="002737EF" w:rsidP="00FF0098">
      <w:pPr>
        <w:tabs>
          <w:tab w:val="left" w:pos="0"/>
        </w:tabs>
        <w:ind w:right="182"/>
        <w:rPr>
          <w:color w:val="auto"/>
          <w:szCs w:val="24"/>
        </w:rPr>
      </w:pPr>
      <w:r>
        <w:rPr>
          <w:color w:val="auto"/>
          <w:szCs w:val="24"/>
        </w:rPr>
        <w:t xml:space="preserve">The sector or sub-sector percentage commitment will be applied to a new facility or group of facilities entering the scheme with the intention of joining an existing target unit. The baseline of the target unit receiving the new facility or group of facilities will be varied to reflect the addition and the percentage improvement target will be adjusted to reflect the inclusion of the facility/facilities. </w:t>
      </w:r>
    </w:p>
    <w:p w14:paraId="5F8D39AF" w14:textId="77777777" w:rsidR="00026E66" w:rsidRDefault="002737EF" w:rsidP="00FF0098">
      <w:pPr>
        <w:tabs>
          <w:tab w:val="left" w:pos="0"/>
        </w:tabs>
        <w:ind w:right="182"/>
      </w:pPr>
      <w:r>
        <w:rPr>
          <w:color w:val="auto"/>
          <w:szCs w:val="24"/>
        </w:rPr>
        <w:t>As laid down in rules 9 and 10 (Schedule 1 to the underlying agreement) and to</w:t>
      </w:r>
      <w:r>
        <w:rPr>
          <w:color w:val="auto"/>
        </w:rPr>
        <w:t xml:space="preserve"> ensure </w:t>
      </w:r>
      <w:r>
        <w:rPr>
          <w:color w:val="auto"/>
          <w:szCs w:val="24"/>
        </w:rPr>
        <w:t xml:space="preserve">that </w:t>
      </w:r>
      <w:r>
        <w:rPr>
          <w:color w:val="auto"/>
        </w:rPr>
        <w:t xml:space="preserve">the </w:t>
      </w:r>
      <w:r>
        <w:rPr>
          <w:color w:val="auto"/>
          <w:szCs w:val="24"/>
        </w:rPr>
        <w:t>same</w:t>
      </w:r>
      <w:r>
        <w:rPr>
          <w:color w:val="auto"/>
        </w:rPr>
        <w:t xml:space="preserve"> sector target percentage improvement and target energy savings are achieved </w:t>
      </w:r>
      <w:r>
        <w:rPr>
          <w:color w:val="auto"/>
          <w:szCs w:val="24"/>
        </w:rPr>
        <w:t xml:space="preserve">after facilities enter or exit a target unit, the </w:t>
      </w:r>
      <w:r>
        <w:rPr>
          <w:color w:val="auto"/>
        </w:rPr>
        <w:t>following will apply</w:t>
      </w:r>
      <w:r>
        <w:rPr>
          <w:color w:val="auto"/>
          <w:szCs w:val="24"/>
        </w:rPr>
        <w:t>.</w:t>
      </w:r>
      <w:r>
        <w:rPr>
          <w:color w:val="auto"/>
        </w:rPr>
        <w:t xml:space="preserve"> </w:t>
      </w:r>
    </w:p>
    <w:p w14:paraId="47EAD467" w14:textId="77777777" w:rsidR="00026E66" w:rsidRDefault="002737EF" w:rsidP="00FF0098">
      <w:pPr>
        <w:tabs>
          <w:tab w:val="left" w:pos="0"/>
        </w:tabs>
        <w:spacing w:after="161" w:line="235" w:lineRule="auto"/>
        <w:ind w:right="289"/>
        <w:jc w:val="both"/>
      </w:pPr>
      <w:r>
        <w:rPr>
          <w:szCs w:val="24"/>
        </w:rPr>
        <w:t xml:space="preserve">Where a facility leaves a </w:t>
      </w:r>
      <w:r>
        <w:t xml:space="preserve">target unit </w:t>
      </w:r>
      <w:r>
        <w:rPr>
          <w:szCs w:val="24"/>
        </w:rPr>
        <w:t>as a result</w:t>
      </w:r>
      <w:r>
        <w:t xml:space="preserve"> of being </w:t>
      </w:r>
      <w:r>
        <w:rPr>
          <w:szCs w:val="24"/>
        </w:rPr>
        <w:t xml:space="preserve">sold to a new operator, </w:t>
      </w:r>
      <w:r>
        <w:t xml:space="preserve">the facility will take </w:t>
      </w:r>
      <w:r>
        <w:rPr>
          <w:szCs w:val="24"/>
        </w:rPr>
        <w:t xml:space="preserve">with it </w:t>
      </w:r>
      <w:r>
        <w:t xml:space="preserve">the </w:t>
      </w:r>
      <w:r>
        <w:rPr>
          <w:szCs w:val="24"/>
        </w:rPr>
        <w:t>original</w:t>
      </w:r>
      <w:r>
        <w:t xml:space="preserve"> percentage improvement </w:t>
      </w:r>
      <w:r>
        <w:rPr>
          <w:szCs w:val="24"/>
        </w:rPr>
        <w:t>given to</w:t>
      </w:r>
      <w:r>
        <w:t xml:space="preserve"> the original target unit</w:t>
      </w:r>
      <w:r>
        <w:rPr>
          <w:szCs w:val="24"/>
        </w:rPr>
        <w:t xml:space="preserve"> when it joined the current scheme. </w:t>
      </w:r>
    </w:p>
    <w:p w14:paraId="16E3477E" w14:textId="77777777" w:rsidR="00026E66" w:rsidRDefault="002737EF" w:rsidP="00FF0098">
      <w:pPr>
        <w:tabs>
          <w:tab w:val="left" w:pos="0"/>
        </w:tabs>
        <w:ind w:right="182"/>
      </w:pPr>
      <w:r>
        <w:rPr>
          <w:szCs w:val="24"/>
        </w:rPr>
        <w:t xml:space="preserve">The </w:t>
      </w:r>
      <w:r>
        <w:t xml:space="preserve">baseline of the target unit </w:t>
      </w:r>
      <w:r>
        <w:rPr>
          <w:szCs w:val="24"/>
        </w:rPr>
        <w:t xml:space="preserve">it has left will be varied </w:t>
      </w:r>
      <w:r>
        <w:t xml:space="preserve">to reflect the </w:t>
      </w:r>
      <w:r>
        <w:rPr>
          <w:szCs w:val="24"/>
        </w:rPr>
        <w:t>loss</w:t>
      </w:r>
      <w:r>
        <w:t xml:space="preserve"> of the facility</w:t>
      </w:r>
      <w:r>
        <w:rPr>
          <w:szCs w:val="24"/>
        </w:rPr>
        <w:t xml:space="preserve">. </w:t>
      </w:r>
    </w:p>
    <w:p w14:paraId="283A589C" w14:textId="77777777" w:rsidR="00026E66" w:rsidRDefault="002737EF" w:rsidP="00FF0098">
      <w:pPr>
        <w:tabs>
          <w:tab w:val="left" w:pos="0"/>
        </w:tabs>
        <w:ind w:right="182"/>
      </w:pPr>
      <w:r>
        <w:rPr>
          <w:color w:val="auto"/>
        </w:rPr>
        <w:t xml:space="preserve">If the </w:t>
      </w:r>
      <w:r>
        <w:rPr>
          <w:color w:val="auto"/>
          <w:szCs w:val="24"/>
        </w:rPr>
        <w:t>leaving facility joins another target unit, the baseline of the receiving target unit will be varied to reflect the gain of the facility. The percentage improvement target of the receiving target unit will be recalculated to reflect the addition of the facility. If the percentage improvement target given to the</w:t>
      </w:r>
      <w:r>
        <w:rPr>
          <w:color w:val="auto"/>
        </w:rPr>
        <w:t xml:space="preserve"> facility is different </w:t>
      </w:r>
      <w:r>
        <w:rPr>
          <w:color w:val="auto"/>
          <w:szCs w:val="24"/>
        </w:rPr>
        <w:t>from</w:t>
      </w:r>
      <w:r>
        <w:rPr>
          <w:color w:val="auto"/>
        </w:rPr>
        <w:t xml:space="preserve"> the percentage improvement target of the receiving target unit, then the </w:t>
      </w:r>
      <w:r>
        <w:rPr>
          <w:color w:val="auto"/>
          <w:szCs w:val="24"/>
        </w:rPr>
        <w:t xml:space="preserve">percentage </w:t>
      </w:r>
      <w:r>
        <w:rPr>
          <w:color w:val="auto"/>
        </w:rPr>
        <w:t xml:space="preserve">improvement </w:t>
      </w:r>
      <w:r>
        <w:rPr>
          <w:color w:val="auto"/>
          <w:szCs w:val="24"/>
        </w:rPr>
        <w:t>target</w:t>
      </w:r>
      <w:r>
        <w:rPr>
          <w:color w:val="auto"/>
        </w:rPr>
        <w:t xml:space="preserve"> of </w:t>
      </w:r>
      <w:r>
        <w:rPr>
          <w:color w:val="auto"/>
          <w:szCs w:val="24"/>
        </w:rPr>
        <w:t>the receiving</w:t>
      </w:r>
      <w:r>
        <w:rPr>
          <w:color w:val="auto"/>
        </w:rPr>
        <w:t xml:space="preserve"> target unit </w:t>
      </w:r>
      <w:r>
        <w:rPr>
          <w:color w:val="auto"/>
          <w:szCs w:val="24"/>
        </w:rPr>
        <w:t>will</w:t>
      </w:r>
      <w:r>
        <w:rPr>
          <w:color w:val="auto"/>
        </w:rPr>
        <w:t xml:space="preserve"> change </w:t>
      </w:r>
      <w:r>
        <w:rPr>
          <w:color w:val="auto"/>
          <w:szCs w:val="24"/>
        </w:rPr>
        <w:t xml:space="preserve">as a result of this process. </w:t>
      </w:r>
    </w:p>
    <w:p w14:paraId="6166161D" w14:textId="6EB35129" w:rsidR="00026E66" w:rsidRDefault="002737EF" w:rsidP="00FF0098">
      <w:pPr>
        <w:tabs>
          <w:tab w:val="left" w:pos="0"/>
        </w:tabs>
        <w:ind w:right="182"/>
      </w:pPr>
      <w:r>
        <w:rPr>
          <w:color w:val="auto"/>
        </w:rPr>
        <w:t>We will carry out a stringency test on the newly calculated numerical targets</w:t>
      </w:r>
      <w:r>
        <w:rPr>
          <w:color w:val="auto"/>
          <w:szCs w:val="24"/>
        </w:rPr>
        <w:t>. Where the test finds they are not stringent</w:t>
      </w:r>
      <w:r>
        <w:rPr>
          <w:color w:val="auto"/>
        </w:rPr>
        <w:t xml:space="preserve"> (as defined in paragraph 70 of the </w:t>
      </w:r>
      <w:hyperlink r:id="rId83" w:history="1">
        <w:r>
          <w:rPr>
            <w:rStyle w:val="Hyperlink"/>
            <w:color w:val="0070C0"/>
          </w:rPr>
          <w:t>Technical Annex</w:t>
        </w:r>
      </w:hyperlink>
      <w:r>
        <w:rPr>
          <w:color w:val="0070C0"/>
          <w:szCs w:val="24"/>
        </w:rPr>
        <w:t>),</w:t>
      </w:r>
      <w:r>
        <w:rPr>
          <w:color w:val="0070C0"/>
        </w:rPr>
        <w:t xml:space="preserve"> </w:t>
      </w:r>
      <w:r>
        <w:rPr>
          <w:color w:val="auto"/>
        </w:rPr>
        <w:t>the targets</w:t>
      </w:r>
      <w:r>
        <w:rPr>
          <w:color w:val="auto"/>
          <w:szCs w:val="24"/>
        </w:rPr>
        <w:t xml:space="preserve"> will be adjusted</w:t>
      </w:r>
      <w:r>
        <w:rPr>
          <w:color w:val="auto"/>
        </w:rPr>
        <w:t xml:space="preserve"> using the methodology outlined in paragraph 71 of the </w:t>
      </w:r>
      <w:hyperlink r:id="rId84" w:history="1">
        <w:r>
          <w:rPr>
            <w:rStyle w:val="Hyperlink"/>
            <w:color w:val="0070C0"/>
          </w:rPr>
          <w:t>Technical Annex</w:t>
        </w:r>
      </w:hyperlink>
      <w:r>
        <w:rPr>
          <w:color w:val="auto"/>
        </w:rPr>
        <w:t>.</w:t>
      </w:r>
      <w:r w:rsidR="00FC355D">
        <w:rPr>
          <w:color w:val="auto"/>
        </w:rPr>
        <w:t xml:space="preserve"> </w:t>
      </w:r>
      <w:r>
        <w:rPr>
          <w:color w:val="auto"/>
          <w:szCs w:val="24"/>
        </w:rPr>
        <w:t xml:space="preserve">A stringency test is applied to tighten targets for the following target period for those participants exceeding their target. Target period 5 is the final target period and therefore a stringency test is not necessary. </w:t>
      </w:r>
    </w:p>
    <w:p w14:paraId="246B2E47" w14:textId="77777777" w:rsidR="00026E66" w:rsidRDefault="002737EF" w:rsidP="00FF0098">
      <w:pPr>
        <w:tabs>
          <w:tab w:val="left" w:pos="0"/>
        </w:tabs>
        <w:ind w:right="182"/>
      </w:pPr>
      <w:r>
        <w:rPr>
          <w:color w:val="auto"/>
        </w:rPr>
        <w:t xml:space="preserve">When an agreement is changed the targets must not be altered </w:t>
      </w:r>
      <w:r>
        <w:rPr>
          <w:color w:val="auto"/>
          <w:szCs w:val="24"/>
        </w:rPr>
        <w:t>as a result</w:t>
      </w:r>
      <w:r>
        <w:rPr>
          <w:color w:val="auto"/>
        </w:rPr>
        <w:t xml:space="preserve"> of data accuracy changes. This means that meter readings and SEC calculations must retain the </w:t>
      </w:r>
      <w:r>
        <w:rPr>
          <w:color w:val="auto"/>
        </w:rPr>
        <w:lastRenderedPageBreak/>
        <w:t xml:space="preserve">accuracy inherent in the previous underlying agreement. Where five significant figures can be obtained for energy and throughput and where SECs can be expressed using units to achieve numerical values greater than 10.000, they must be used. If meter readings cannot provide five significant figures, we may allow a tolerance on percentages targets up to a limit of 0.1%. </w:t>
      </w:r>
    </w:p>
    <w:p w14:paraId="78A0D34F" w14:textId="230A7C73" w:rsidR="00026E66" w:rsidRPr="00E955A3" w:rsidRDefault="002737EF" w:rsidP="00E955A3">
      <w:pPr>
        <w:tabs>
          <w:tab w:val="left" w:pos="0"/>
        </w:tabs>
        <w:ind w:right="182"/>
      </w:pPr>
      <w:r>
        <w:rPr>
          <w:color w:val="auto"/>
        </w:rPr>
        <w:t xml:space="preserve">Instructions on how to revise the target in line with the above can be found in </w:t>
      </w:r>
      <w:hyperlink w:anchor="_Appendix_D:_Calculation" w:history="1">
        <w:r>
          <w:rPr>
            <w:rStyle w:val="Hyperlink"/>
          </w:rPr>
          <w:t>Appendix D</w:t>
        </w:r>
      </w:hyperlink>
      <w:r w:rsidRPr="007A7512">
        <w:t xml:space="preserve">, </w:t>
      </w:r>
      <w:r>
        <w:rPr>
          <w:color w:val="auto"/>
        </w:rPr>
        <w:t xml:space="preserve">in the 'Target calculator' workbook tool provided in </w:t>
      </w:r>
      <w:hyperlink w:anchor="_Appendix_H:_Workbook" w:history="1">
        <w:r>
          <w:rPr>
            <w:rStyle w:val="Hyperlink"/>
          </w:rPr>
          <w:t>Appendix H</w:t>
        </w:r>
      </w:hyperlink>
      <w:r>
        <w:rPr>
          <w:color w:val="auto"/>
        </w:rPr>
        <w:t xml:space="preserve">. </w:t>
      </w:r>
      <w:bookmarkStart w:id="148" w:name="_7.1.2._Amending_the"/>
      <w:bookmarkEnd w:id="148"/>
    </w:p>
    <w:p w14:paraId="7EB5DEBD" w14:textId="2FAA0B13" w:rsidR="00026E66" w:rsidRDefault="002737EF" w:rsidP="00E955A3">
      <w:pPr>
        <w:pStyle w:val="Heading3"/>
        <w:tabs>
          <w:tab w:val="left" w:pos="0"/>
        </w:tabs>
      </w:pPr>
      <w:bookmarkStart w:id="149" w:name="_Toc95211827"/>
      <w:r>
        <w:t>7.1.2. Amending the target when a facility leaves the scheme but remains operating</w:t>
      </w:r>
      <w:bookmarkEnd w:id="149"/>
      <w:r>
        <w:t xml:space="preserve"> </w:t>
      </w:r>
    </w:p>
    <w:p w14:paraId="7D33BD71" w14:textId="6CBFFC2A" w:rsidR="00026E66" w:rsidRPr="00E955A3" w:rsidRDefault="002737EF" w:rsidP="00E955A3">
      <w:pPr>
        <w:tabs>
          <w:tab w:val="left" w:pos="0"/>
        </w:tabs>
        <w:spacing w:after="56"/>
        <w:ind w:right="182"/>
      </w:pPr>
      <w:r>
        <w:rPr>
          <w:color w:val="auto"/>
          <w:szCs w:val="24"/>
        </w:rPr>
        <w:t>An</w:t>
      </w:r>
      <w:r>
        <w:rPr>
          <w:color w:val="auto"/>
        </w:rPr>
        <w:t xml:space="preserve"> operator </w:t>
      </w:r>
      <w:r>
        <w:rPr>
          <w:color w:val="auto"/>
          <w:szCs w:val="24"/>
        </w:rPr>
        <w:t>is able</w:t>
      </w:r>
      <w:r>
        <w:rPr>
          <w:color w:val="auto"/>
        </w:rPr>
        <w:t xml:space="preserve"> to remove </w:t>
      </w:r>
      <w:r>
        <w:rPr>
          <w:color w:val="auto"/>
          <w:szCs w:val="24"/>
        </w:rPr>
        <w:t xml:space="preserve">any facilities included in the target unit, for example, if they want to reduce the complexity and administrative burden of reporting. If </w:t>
      </w:r>
      <w:r>
        <w:rPr>
          <w:color w:val="auto"/>
        </w:rPr>
        <w:t xml:space="preserve">a facility </w:t>
      </w:r>
      <w:r>
        <w:rPr>
          <w:color w:val="auto"/>
          <w:szCs w:val="24"/>
        </w:rPr>
        <w:t>leaves the scheme</w:t>
      </w:r>
      <w:r>
        <w:rPr>
          <w:color w:val="auto"/>
        </w:rPr>
        <w:t xml:space="preserve"> but remains operating, the target unit's baseline data</w:t>
      </w:r>
      <w:r>
        <w:rPr>
          <w:color w:val="auto"/>
          <w:szCs w:val="24"/>
        </w:rPr>
        <w:t xml:space="preserve"> will be amended, but its </w:t>
      </w:r>
      <w:r>
        <w:rPr>
          <w:color w:val="auto"/>
        </w:rPr>
        <w:t xml:space="preserve">percentage </w:t>
      </w:r>
      <w:r>
        <w:rPr>
          <w:color w:val="auto"/>
          <w:szCs w:val="24"/>
        </w:rPr>
        <w:t>target</w:t>
      </w:r>
      <w:r>
        <w:rPr>
          <w:color w:val="auto"/>
        </w:rPr>
        <w:t xml:space="preserve"> will </w:t>
      </w:r>
      <w:r>
        <w:rPr>
          <w:color w:val="auto"/>
          <w:szCs w:val="24"/>
        </w:rPr>
        <w:t xml:space="preserve">not be adjusted. The remaining facilities will need to meet the percentage reduction that has been maintained for the target unit. See </w:t>
      </w:r>
      <w:hyperlink w:anchor="_10.3._The_reporting" w:history="1">
        <w:r>
          <w:rPr>
            <w:rStyle w:val="Hyperlink"/>
            <w:szCs w:val="24"/>
          </w:rPr>
          <w:t>section 10.3</w:t>
        </w:r>
      </w:hyperlink>
      <w:r>
        <w:rPr>
          <w:color w:val="auto"/>
          <w:szCs w:val="24"/>
          <w:u w:val="single" w:color="0077B9"/>
        </w:rPr>
        <w:t xml:space="preserve"> </w:t>
      </w:r>
      <w:r>
        <w:rPr>
          <w:color w:val="auto"/>
          <w:szCs w:val="24"/>
        </w:rPr>
        <w:t xml:space="preserve">for </w:t>
      </w:r>
      <w:r>
        <w:rPr>
          <w:color w:val="auto"/>
        </w:rPr>
        <w:t xml:space="preserve">the </w:t>
      </w:r>
      <w:r>
        <w:rPr>
          <w:color w:val="auto"/>
          <w:szCs w:val="24"/>
        </w:rPr>
        <w:t xml:space="preserve">reporting requirements. </w:t>
      </w:r>
      <w:bookmarkStart w:id="150" w:name="_7.1.3._When_the"/>
      <w:bookmarkEnd w:id="150"/>
    </w:p>
    <w:p w14:paraId="6A08E264" w14:textId="6DE9CB34" w:rsidR="00026E66" w:rsidRDefault="002737EF" w:rsidP="00E955A3">
      <w:pPr>
        <w:pStyle w:val="Heading3"/>
        <w:tabs>
          <w:tab w:val="left" w:pos="0"/>
        </w:tabs>
      </w:pPr>
      <w:bookmarkStart w:id="151" w:name="_Toc95211828"/>
      <w:r>
        <w:t>7.1.3. When the operator should not revise the baseline</w:t>
      </w:r>
      <w:bookmarkEnd w:id="151"/>
      <w:r>
        <w:t xml:space="preserve"> </w:t>
      </w:r>
    </w:p>
    <w:p w14:paraId="71E1F662" w14:textId="017A2488" w:rsidR="00026E66" w:rsidRDefault="002737EF" w:rsidP="00FF0098">
      <w:pPr>
        <w:tabs>
          <w:tab w:val="left" w:pos="0"/>
        </w:tabs>
        <w:spacing w:after="83"/>
        <w:ind w:right="492"/>
      </w:pPr>
      <w:r>
        <w:rPr>
          <w:color w:val="auto"/>
        </w:rPr>
        <w:t xml:space="preserve">Where a facility leaves a target unit because it has closed and not because of a change in ownership, this </w:t>
      </w:r>
      <w:r>
        <w:rPr>
          <w:color w:val="auto"/>
          <w:szCs w:val="24"/>
        </w:rPr>
        <w:t xml:space="preserve">is regarded </w:t>
      </w:r>
      <w:r>
        <w:rPr>
          <w:color w:val="auto"/>
        </w:rPr>
        <w:t xml:space="preserve">as an act of rationalisation and </w:t>
      </w:r>
      <w:r>
        <w:rPr>
          <w:color w:val="auto"/>
          <w:szCs w:val="24"/>
        </w:rPr>
        <w:t>the</w:t>
      </w:r>
      <w:r>
        <w:rPr>
          <w:color w:val="auto"/>
        </w:rPr>
        <w:t xml:space="preserve"> target unit's original baseline and numerical target </w:t>
      </w:r>
      <w:r>
        <w:rPr>
          <w:color w:val="auto"/>
          <w:szCs w:val="24"/>
        </w:rPr>
        <w:t>are retained</w:t>
      </w:r>
      <w:r>
        <w:rPr>
          <w:color w:val="auto"/>
        </w:rPr>
        <w:t xml:space="preserve">. See </w:t>
      </w:r>
      <w:hyperlink w:anchor="_8.3.1._Voluntary_termination" w:history="1">
        <w:r>
          <w:rPr>
            <w:rStyle w:val="Hyperlink"/>
          </w:rPr>
          <w:t>section 8.3.1</w:t>
        </w:r>
      </w:hyperlink>
      <w:r>
        <w:rPr>
          <w:color w:val="auto"/>
          <w:u w:val="single" w:color="0077B9"/>
        </w:rPr>
        <w:t xml:space="preserve"> </w:t>
      </w:r>
      <w:r>
        <w:rPr>
          <w:color w:val="auto"/>
        </w:rPr>
        <w:t>for more information on rationalisation.</w:t>
      </w:r>
      <w:r>
        <w:rPr>
          <w:color w:val="auto"/>
          <w:szCs w:val="24"/>
        </w:rPr>
        <w:t xml:space="preserve"> See section </w:t>
      </w:r>
      <w:hyperlink w:anchor="_10.3._The_reporting" w:history="1">
        <w:r>
          <w:rPr>
            <w:rStyle w:val="Hyperlink"/>
            <w:szCs w:val="24"/>
          </w:rPr>
          <w:t>10.3</w:t>
        </w:r>
      </w:hyperlink>
      <w:r>
        <w:rPr>
          <w:color w:val="auto"/>
          <w:szCs w:val="24"/>
          <w:u w:val="single" w:color="0077B9"/>
        </w:rPr>
        <w:t xml:space="preserve"> </w:t>
      </w:r>
      <w:r>
        <w:rPr>
          <w:color w:val="auto"/>
          <w:szCs w:val="24"/>
        </w:rPr>
        <w:t>for the reporting requirements.</w:t>
      </w:r>
      <w:r w:rsidR="00FC355D">
        <w:rPr>
          <w:color w:val="auto"/>
          <w:szCs w:val="24"/>
        </w:rPr>
        <w:t xml:space="preserve"> </w:t>
      </w:r>
    </w:p>
    <w:p w14:paraId="04B60890" w14:textId="77777777" w:rsidR="00026E66" w:rsidRDefault="002737EF" w:rsidP="00FF0098">
      <w:pPr>
        <w:pStyle w:val="Heading2"/>
        <w:tabs>
          <w:tab w:val="left" w:pos="0"/>
        </w:tabs>
      </w:pPr>
      <w:bookmarkStart w:id="152" w:name="_7.2._An_operator"/>
      <w:bookmarkStart w:id="153" w:name="_Toc94718651"/>
      <w:bookmarkStart w:id="154" w:name="_Toc94088899"/>
      <w:bookmarkStart w:id="155" w:name="_Toc95211829"/>
      <w:bookmarkEnd w:id="152"/>
      <w:r>
        <w:t>7.2. An operator changes ownership and includes all its facilities within one agreement</w:t>
      </w:r>
      <w:bookmarkEnd w:id="153"/>
      <w:bookmarkEnd w:id="154"/>
      <w:bookmarkEnd w:id="155"/>
      <w:r>
        <w:t xml:space="preserve"> </w:t>
      </w:r>
    </w:p>
    <w:p w14:paraId="567332A2" w14:textId="77777777" w:rsidR="00026E66" w:rsidRDefault="002737EF" w:rsidP="00FF0098">
      <w:pPr>
        <w:tabs>
          <w:tab w:val="left" w:pos="0"/>
        </w:tabs>
        <w:ind w:right="182"/>
      </w:pPr>
      <w:r>
        <w:rPr>
          <w:color w:val="auto"/>
        </w:rPr>
        <w:t xml:space="preserve">In this </w:t>
      </w:r>
      <w:r>
        <w:rPr>
          <w:color w:val="auto"/>
          <w:szCs w:val="24"/>
        </w:rPr>
        <w:t>type of variation, the whole target unit and</w:t>
      </w:r>
      <w:r>
        <w:rPr>
          <w:color w:val="auto"/>
        </w:rPr>
        <w:t xml:space="preserve"> all the facilities </w:t>
      </w:r>
      <w:r>
        <w:rPr>
          <w:color w:val="auto"/>
          <w:szCs w:val="24"/>
        </w:rPr>
        <w:t>within it</w:t>
      </w:r>
      <w:r>
        <w:rPr>
          <w:color w:val="auto"/>
        </w:rPr>
        <w:t xml:space="preserve"> are transferred to a different operator</w:t>
      </w:r>
      <w:r>
        <w:rPr>
          <w:color w:val="auto"/>
          <w:szCs w:val="24"/>
        </w:rPr>
        <w:t xml:space="preserve"> who already has a CCA. In this instance, if</w:t>
      </w:r>
      <w:r>
        <w:rPr>
          <w:color w:val="auto"/>
        </w:rPr>
        <w:t xml:space="preserve"> the structure of the </w:t>
      </w:r>
      <w:r>
        <w:rPr>
          <w:color w:val="auto"/>
          <w:szCs w:val="24"/>
        </w:rPr>
        <w:t xml:space="preserve">purchased </w:t>
      </w:r>
      <w:r>
        <w:rPr>
          <w:color w:val="auto"/>
        </w:rPr>
        <w:t xml:space="preserve">target unit doesn’t change, then its target and baseline data will not be altered. </w:t>
      </w:r>
      <w:r>
        <w:rPr>
          <w:color w:val="auto"/>
          <w:szCs w:val="24"/>
        </w:rPr>
        <w:t xml:space="preserve">The following process should be followed. </w:t>
      </w:r>
    </w:p>
    <w:p w14:paraId="1C6A6525" w14:textId="11048B1A" w:rsidR="00026E66" w:rsidRDefault="002737EF" w:rsidP="00FF0098">
      <w:pPr>
        <w:tabs>
          <w:tab w:val="left" w:pos="0"/>
        </w:tabs>
        <w:ind w:right="182"/>
        <w:rPr>
          <w:color w:val="auto"/>
          <w:szCs w:val="24"/>
        </w:rPr>
      </w:pPr>
      <w:r>
        <w:rPr>
          <w:color w:val="auto"/>
          <w:szCs w:val="24"/>
        </w:rPr>
        <w:t xml:space="preserve">Via email, the sector association should notify us of the change in the operator of the purchased target unit. </w:t>
      </w:r>
    </w:p>
    <w:p w14:paraId="5C94E240" w14:textId="6277C053" w:rsidR="00026E66" w:rsidRPr="00E955A3" w:rsidRDefault="002737EF" w:rsidP="00E955A3">
      <w:pPr>
        <w:tabs>
          <w:tab w:val="left" w:pos="0"/>
        </w:tabs>
        <w:spacing w:after="0"/>
        <w:ind w:right="182"/>
      </w:pPr>
      <w:r>
        <w:rPr>
          <w:color w:val="auto"/>
          <w:szCs w:val="24"/>
        </w:rPr>
        <w:t>Using the instructions</w:t>
      </w:r>
      <w:r>
        <w:rPr>
          <w:color w:val="auto"/>
        </w:rPr>
        <w:t xml:space="preserve"> in </w:t>
      </w:r>
      <w:hyperlink w:anchor="_7.1.1._Revising_the" w:history="1">
        <w:r>
          <w:rPr>
            <w:rStyle w:val="Hyperlink"/>
          </w:rPr>
          <w:t>section 7.1.1</w:t>
        </w:r>
      </w:hyperlink>
      <w:r>
        <w:rPr>
          <w:color w:val="auto"/>
          <w:u w:val="single" w:color="0077B9"/>
        </w:rPr>
        <w:t>,</w:t>
      </w:r>
      <w:r>
        <w:rPr>
          <w:color w:val="auto"/>
          <w:szCs w:val="24"/>
          <w:u w:val="single" w:color="0077B9"/>
        </w:rPr>
        <w:t xml:space="preserve"> </w:t>
      </w:r>
      <w:r>
        <w:rPr>
          <w:color w:val="auto"/>
          <w:szCs w:val="24"/>
        </w:rPr>
        <w:t>complete</w:t>
      </w:r>
      <w:r>
        <w:rPr>
          <w:color w:val="auto"/>
        </w:rPr>
        <w:t xml:space="preserve"> a variation to include all the facilities </w:t>
      </w:r>
      <w:r>
        <w:rPr>
          <w:color w:val="auto"/>
          <w:szCs w:val="24"/>
        </w:rPr>
        <w:t xml:space="preserve">in the purchased </w:t>
      </w:r>
      <w:r>
        <w:rPr>
          <w:color w:val="auto"/>
        </w:rPr>
        <w:t>target unit</w:t>
      </w:r>
      <w:r>
        <w:rPr>
          <w:color w:val="auto"/>
          <w:szCs w:val="24"/>
        </w:rPr>
        <w:t xml:space="preserve"> in the existing target unit.</w:t>
      </w:r>
      <w:r>
        <w:rPr>
          <w:color w:val="auto"/>
        </w:rPr>
        <w:t xml:space="preserve"> This will involve entering facility eligibility for all new facilities which are being included into an existing agreement. Once we have </w:t>
      </w:r>
      <w:r>
        <w:rPr>
          <w:color w:val="auto"/>
          <w:szCs w:val="24"/>
        </w:rPr>
        <w:t>processed</w:t>
      </w:r>
      <w:r>
        <w:rPr>
          <w:color w:val="auto"/>
        </w:rPr>
        <w:t xml:space="preserve"> the variation</w:t>
      </w:r>
      <w:r>
        <w:rPr>
          <w:color w:val="auto"/>
          <w:szCs w:val="24"/>
        </w:rPr>
        <w:t>, we will send</w:t>
      </w:r>
      <w:r>
        <w:rPr>
          <w:color w:val="auto"/>
        </w:rPr>
        <w:t xml:space="preserve"> the </w:t>
      </w:r>
      <w:r>
        <w:rPr>
          <w:color w:val="auto"/>
          <w:szCs w:val="24"/>
        </w:rPr>
        <w:t>proposed new agreement to</w:t>
      </w:r>
      <w:r>
        <w:rPr>
          <w:color w:val="auto"/>
        </w:rPr>
        <w:t xml:space="preserve"> the responsible person for the new </w:t>
      </w:r>
      <w:r>
        <w:rPr>
          <w:color w:val="auto"/>
          <w:szCs w:val="24"/>
        </w:rPr>
        <w:t>target unit to give their email assent. When we receive the email assent</w:t>
      </w:r>
      <w:r>
        <w:rPr>
          <w:color w:val="auto"/>
        </w:rPr>
        <w:t xml:space="preserve">, we will activate the new agreement and terminate the </w:t>
      </w:r>
      <w:r>
        <w:rPr>
          <w:color w:val="auto"/>
          <w:szCs w:val="24"/>
        </w:rPr>
        <w:t>old</w:t>
      </w:r>
      <w:r>
        <w:rPr>
          <w:color w:val="auto"/>
        </w:rPr>
        <w:t xml:space="preserve"> agreement</w:t>
      </w:r>
      <w:r>
        <w:rPr>
          <w:color w:val="auto"/>
          <w:szCs w:val="24"/>
        </w:rPr>
        <w:t xml:space="preserve"> for the target unit (and its facilities) that has been transferred</w:t>
      </w:r>
      <w:r>
        <w:rPr>
          <w:color w:val="auto"/>
        </w:rPr>
        <w:t xml:space="preserve">. </w:t>
      </w:r>
    </w:p>
    <w:p w14:paraId="56B890A2" w14:textId="77777777" w:rsidR="00026E66" w:rsidRDefault="002737EF" w:rsidP="00FF0098">
      <w:pPr>
        <w:pStyle w:val="Heading2"/>
        <w:tabs>
          <w:tab w:val="left" w:pos="0"/>
        </w:tabs>
      </w:pPr>
      <w:bookmarkStart w:id="156" w:name="_7.3._The_company"/>
      <w:bookmarkStart w:id="157" w:name="_Toc94718652"/>
      <w:bookmarkStart w:id="158" w:name="_Toc94088900"/>
      <w:bookmarkStart w:id="159" w:name="_Toc95211830"/>
      <w:bookmarkEnd w:id="156"/>
      <w:r>
        <w:lastRenderedPageBreak/>
        <w:t>7.3. The company name of an operator changes</w:t>
      </w:r>
      <w:bookmarkEnd w:id="157"/>
      <w:bookmarkEnd w:id="158"/>
      <w:bookmarkEnd w:id="159"/>
      <w:r>
        <w:t xml:space="preserve"> </w:t>
      </w:r>
    </w:p>
    <w:p w14:paraId="01917976" w14:textId="77777777" w:rsidR="00026E66" w:rsidRDefault="002737EF" w:rsidP="00FF0098">
      <w:pPr>
        <w:tabs>
          <w:tab w:val="left" w:pos="0"/>
        </w:tabs>
        <w:ind w:right="182"/>
      </w:pPr>
      <w:r>
        <w:rPr>
          <w:color w:val="auto"/>
          <w:szCs w:val="24"/>
        </w:rPr>
        <w:t xml:space="preserve">In many instances, the operator of a target unit or a number of target units will be a subsidiary of a larger company. </w:t>
      </w:r>
      <w:r>
        <w:rPr>
          <w:color w:val="auto"/>
        </w:rPr>
        <w:t xml:space="preserve">This section outlines what changes are </w:t>
      </w:r>
      <w:r>
        <w:rPr>
          <w:color w:val="auto"/>
          <w:szCs w:val="24"/>
        </w:rPr>
        <w:t>necessary to the target unit agreements</w:t>
      </w:r>
      <w:r>
        <w:rPr>
          <w:color w:val="auto"/>
        </w:rPr>
        <w:t xml:space="preserve">, depending on the type of change </w:t>
      </w:r>
      <w:r>
        <w:rPr>
          <w:color w:val="auto"/>
          <w:szCs w:val="24"/>
        </w:rPr>
        <w:t>which</w:t>
      </w:r>
      <w:r>
        <w:rPr>
          <w:color w:val="auto"/>
        </w:rPr>
        <w:t xml:space="preserve"> has occurred</w:t>
      </w:r>
      <w:r>
        <w:rPr>
          <w:color w:val="auto"/>
          <w:szCs w:val="24"/>
        </w:rPr>
        <w:t xml:space="preserve">. </w:t>
      </w:r>
    </w:p>
    <w:p w14:paraId="44ED58D7" w14:textId="77777777" w:rsidR="00026E66" w:rsidRDefault="002737EF" w:rsidP="0065356B">
      <w:pPr>
        <w:pStyle w:val="ListParagraph"/>
        <w:numPr>
          <w:ilvl w:val="0"/>
          <w:numId w:val="47"/>
        </w:numPr>
        <w:tabs>
          <w:tab w:val="left" w:pos="0"/>
        </w:tabs>
        <w:spacing w:after="78"/>
        <w:ind w:right="182"/>
      </w:pPr>
      <w:r>
        <w:t xml:space="preserve">the operator </w:t>
      </w:r>
      <w:r w:rsidRPr="00E955A3">
        <w:rPr>
          <w:szCs w:val="24"/>
        </w:rPr>
        <w:t>becomes</w:t>
      </w:r>
      <w:r>
        <w:t xml:space="preserve"> a different legal entity</w:t>
      </w:r>
      <w:r w:rsidRPr="00E955A3">
        <w:rPr>
          <w:szCs w:val="24"/>
        </w:rPr>
        <w:t xml:space="preserve"> </w:t>
      </w:r>
    </w:p>
    <w:p w14:paraId="60761A0E" w14:textId="77777777" w:rsidR="00026E66" w:rsidRDefault="002737EF" w:rsidP="0065356B">
      <w:pPr>
        <w:pStyle w:val="ListParagraph"/>
        <w:numPr>
          <w:ilvl w:val="0"/>
          <w:numId w:val="47"/>
        </w:numPr>
        <w:tabs>
          <w:tab w:val="left" w:pos="0"/>
        </w:tabs>
        <w:spacing w:after="78"/>
        <w:ind w:right="182"/>
      </w:pPr>
      <w:r>
        <w:t xml:space="preserve">the name of the operator changes but </w:t>
      </w:r>
      <w:r w:rsidRPr="00E955A3">
        <w:rPr>
          <w:szCs w:val="24"/>
        </w:rPr>
        <w:t>not its</w:t>
      </w:r>
      <w:r>
        <w:t xml:space="preserve"> legal entity </w:t>
      </w:r>
    </w:p>
    <w:p w14:paraId="7C42C096" w14:textId="3C766545" w:rsidR="00026E66" w:rsidRPr="00E955A3" w:rsidRDefault="002737EF" w:rsidP="0065356B">
      <w:pPr>
        <w:pStyle w:val="ListParagraph"/>
        <w:numPr>
          <w:ilvl w:val="0"/>
          <w:numId w:val="47"/>
        </w:numPr>
        <w:tabs>
          <w:tab w:val="left" w:pos="0"/>
        </w:tabs>
        <w:ind w:right="182"/>
      </w:pPr>
      <w:r>
        <w:t>the name of a facility changes but the legal entity</w:t>
      </w:r>
      <w:r w:rsidRPr="00E955A3">
        <w:rPr>
          <w:szCs w:val="24"/>
        </w:rPr>
        <w:t xml:space="preserve"> of the operator remains the same </w:t>
      </w:r>
      <w:bookmarkStart w:id="160" w:name="_7.3.1._When_the"/>
      <w:bookmarkEnd w:id="160"/>
    </w:p>
    <w:p w14:paraId="4FA39AA0" w14:textId="1CB03C15" w:rsidR="00026E66" w:rsidRDefault="002737EF" w:rsidP="00E955A3">
      <w:pPr>
        <w:pStyle w:val="Heading3"/>
        <w:tabs>
          <w:tab w:val="left" w:pos="0"/>
        </w:tabs>
      </w:pPr>
      <w:bookmarkStart w:id="161" w:name="_Toc95211831"/>
      <w:r>
        <w:t>7.3.1. When the legal entity has changed for the operator</w:t>
      </w:r>
      <w:bookmarkEnd w:id="161"/>
      <w:r>
        <w:t xml:space="preserve"> </w:t>
      </w:r>
    </w:p>
    <w:p w14:paraId="526FCA62" w14:textId="77777777" w:rsidR="00026E66" w:rsidRDefault="002737EF" w:rsidP="00FF0098">
      <w:pPr>
        <w:tabs>
          <w:tab w:val="left" w:pos="0"/>
        </w:tabs>
        <w:spacing w:after="161" w:line="235" w:lineRule="auto"/>
        <w:ind w:right="153"/>
        <w:jc w:val="both"/>
      </w:pPr>
      <w:r>
        <w:rPr>
          <w:color w:val="auto"/>
        </w:rPr>
        <w:t xml:space="preserve">When the </w:t>
      </w:r>
      <w:r>
        <w:rPr>
          <w:color w:val="auto"/>
          <w:szCs w:val="24"/>
        </w:rPr>
        <w:t>operator's</w:t>
      </w:r>
      <w:r>
        <w:rPr>
          <w:color w:val="auto"/>
        </w:rPr>
        <w:t xml:space="preserve"> legal entity </w:t>
      </w:r>
      <w:r>
        <w:rPr>
          <w:color w:val="auto"/>
          <w:szCs w:val="24"/>
        </w:rPr>
        <w:t>has changed</w:t>
      </w:r>
      <w:r>
        <w:rPr>
          <w:color w:val="auto"/>
        </w:rPr>
        <w:t xml:space="preserve">, the existing agreement no longer </w:t>
      </w:r>
      <w:r>
        <w:rPr>
          <w:color w:val="auto"/>
          <w:szCs w:val="24"/>
        </w:rPr>
        <w:t>applies</w:t>
      </w:r>
      <w:r>
        <w:rPr>
          <w:color w:val="auto"/>
        </w:rPr>
        <w:t xml:space="preserve">, and a new agreement is required. See </w:t>
      </w:r>
      <w:hyperlink w:anchor="_2.3.1._The_operator" w:history="1">
        <w:r>
          <w:rPr>
            <w:rStyle w:val="Hyperlink"/>
          </w:rPr>
          <w:t>section 2.3.1</w:t>
        </w:r>
      </w:hyperlink>
      <w:r>
        <w:rPr>
          <w:color w:val="auto"/>
          <w:u w:val="single" w:color="0077B9"/>
        </w:rPr>
        <w:t xml:space="preserve"> </w:t>
      </w:r>
      <w:r>
        <w:rPr>
          <w:color w:val="auto"/>
        </w:rPr>
        <w:t xml:space="preserve">for the definition of an operator and </w:t>
      </w:r>
      <w:r>
        <w:rPr>
          <w:color w:val="auto"/>
          <w:szCs w:val="24"/>
        </w:rPr>
        <w:t xml:space="preserve">therefore </w:t>
      </w:r>
      <w:r>
        <w:rPr>
          <w:color w:val="auto"/>
        </w:rPr>
        <w:t>what would constitute a change in operator.</w:t>
      </w:r>
      <w:r>
        <w:rPr>
          <w:color w:val="auto"/>
          <w:szCs w:val="24"/>
        </w:rPr>
        <w:t xml:space="preserve"> </w:t>
      </w:r>
    </w:p>
    <w:p w14:paraId="25B3FEC6" w14:textId="77777777" w:rsidR="00026E66" w:rsidRDefault="002737EF" w:rsidP="00FF0098">
      <w:pPr>
        <w:tabs>
          <w:tab w:val="left" w:pos="0"/>
        </w:tabs>
        <w:ind w:right="182"/>
        <w:rPr>
          <w:color w:val="auto"/>
          <w:szCs w:val="24"/>
        </w:rPr>
      </w:pPr>
      <w:r>
        <w:rPr>
          <w:color w:val="auto"/>
          <w:szCs w:val="24"/>
        </w:rPr>
        <w:t xml:space="preserve">In this instance, follow the steps below. </w:t>
      </w:r>
    </w:p>
    <w:p w14:paraId="0541BE5C" w14:textId="77777777" w:rsidR="00026E66" w:rsidRDefault="002737EF" w:rsidP="00FF0098">
      <w:pPr>
        <w:tabs>
          <w:tab w:val="left" w:pos="0"/>
        </w:tabs>
        <w:ind w:right="182"/>
      </w:pPr>
      <w:r>
        <w:rPr>
          <w:color w:val="auto"/>
          <w:szCs w:val="24"/>
        </w:rPr>
        <w:t>On the register, your</w:t>
      </w:r>
      <w:r>
        <w:rPr>
          <w:color w:val="auto"/>
        </w:rPr>
        <w:t xml:space="preserve"> sector association should </w:t>
      </w:r>
      <w:r>
        <w:rPr>
          <w:color w:val="auto"/>
          <w:szCs w:val="24"/>
        </w:rPr>
        <w:t>apply for</w:t>
      </w:r>
      <w:r>
        <w:t xml:space="preserve"> the new </w:t>
      </w:r>
      <w:r>
        <w:rPr>
          <w:szCs w:val="24"/>
        </w:rPr>
        <w:t>target unit and all</w:t>
      </w:r>
      <w:r>
        <w:t xml:space="preserve"> the facilities </w:t>
      </w:r>
      <w:r>
        <w:rPr>
          <w:szCs w:val="24"/>
        </w:rPr>
        <w:t>attached to it. If the</w:t>
      </w:r>
      <w:r>
        <w:t xml:space="preserve"> facilities </w:t>
      </w:r>
      <w:r>
        <w:rPr>
          <w:szCs w:val="24"/>
        </w:rPr>
        <w:t xml:space="preserve">within that target unit </w:t>
      </w:r>
      <w:r>
        <w:t xml:space="preserve">are </w:t>
      </w:r>
      <w:r>
        <w:rPr>
          <w:szCs w:val="24"/>
        </w:rPr>
        <w:t>to be included within an existing target unit, the application for the additional facilities</w:t>
      </w:r>
      <w:r>
        <w:t xml:space="preserve"> to </w:t>
      </w:r>
      <w:r>
        <w:rPr>
          <w:szCs w:val="24"/>
        </w:rPr>
        <w:t>be 'included' within that agreement should be made from the existing target unit's menu in the register. It</w:t>
      </w:r>
      <w:r>
        <w:t xml:space="preserve"> is </w:t>
      </w:r>
      <w:r>
        <w:rPr>
          <w:szCs w:val="24"/>
        </w:rPr>
        <w:t xml:space="preserve">important to make clear that the application to replace an existing agreement is due to change in ownership. </w:t>
      </w:r>
    </w:p>
    <w:p w14:paraId="46308D63" w14:textId="77777777" w:rsidR="00026E66" w:rsidRDefault="002737EF" w:rsidP="00FF0098">
      <w:pPr>
        <w:tabs>
          <w:tab w:val="left" w:pos="0"/>
        </w:tabs>
        <w:ind w:right="182"/>
      </w:pPr>
      <w:r>
        <w:rPr>
          <w:color w:val="auto"/>
        </w:rPr>
        <w:t xml:space="preserve">We </w:t>
      </w:r>
      <w:r>
        <w:rPr>
          <w:color w:val="auto"/>
          <w:szCs w:val="24"/>
        </w:rPr>
        <w:t>review and process the application in conjunction with the technical consultant's facilitator for the sector. If the application is accepted,</w:t>
      </w:r>
      <w:r>
        <w:rPr>
          <w:color w:val="auto"/>
        </w:rPr>
        <w:t xml:space="preserve"> we will issue a proposed agreement </w:t>
      </w:r>
      <w:r>
        <w:rPr>
          <w:color w:val="auto"/>
          <w:szCs w:val="24"/>
        </w:rPr>
        <w:t>for</w:t>
      </w:r>
      <w:r>
        <w:rPr>
          <w:color w:val="auto"/>
        </w:rPr>
        <w:t xml:space="preserve"> the new </w:t>
      </w:r>
      <w:r>
        <w:rPr>
          <w:color w:val="auto"/>
          <w:szCs w:val="24"/>
        </w:rPr>
        <w:t>target unit</w:t>
      </w:r>
      <w:r>
        <w:rPr>
          <w:color w:val="auto"/>
        </w:rPr>
        <w:t xml:space="preserve">. </w:t>
      </w:r>
    </w:p>
    <w:p w14:paraId="38AB0A27" w14:textId="318E44A7" w:rsidR="00026E66" w:rsidRPr="00E955A3" w:rsidRDefault="002737EF" w:rsidP="00E955A3">
      <w:pPr>
        <w:tabs>
          <w:tab w:val="left" w:pos="0"/>
        </w:tabs>
        <w:spacing w:after="3" w:line="235" w:lineRule="auto"/>
        <w:ind w:right="289"/>
        <w:jc w:val="both"/>
      </w:pPr>
      <w:r>
        <w:rPr>
          <w:color w:val="auto"/>
        </w:rPr>
        <w:t xml:space="preserve">The new </w:t>
      </w:r>
      <w:r>
        <w:rPr>
          <w:color w:val="auto"/>
          <w:szCs w:val="24"/>
        </w:rPr>
        <w:t>operator</w:t>
      </w:r>
      <w:r>
        <w:rPr>
          <w:color w:val="auto"/>
        </w:rPr>
        <w:t xml:space="preserve"> must provide email assent to the new agreement. </w:t>
      </w:r>
      <w:r>
        <w:rPr>
          <w:color w:val="auto"/>
          <w:szCs w:val="24"/>
        </w:rPr>
        <w:t xml:space="preserve">On receiving and processing the assent, we </w:t>
      </w:r>
      <w:r>
        <w:rPr>
          <w:color w:val="auto"/>
        </w:rPr>
        <w:t xml:space="preserve">will terminate the </w:t>
      </w:r>
      <w:r>
        <w:rPr>
          <w:color w:val="auto"/>
          <w:szCs w:val="24"/>
        </w:rPr>
        <w:t>old</w:t>
      </w:r>
      <w:r>
        <w:rPr>
          <w:color w:val="auto"/>
        </w:rPr>
        <w:t xml:space="preserve"> agreement. This </w:t>
      </w:r>
      <w:r>
        <w:rPr>
          <w:color w:val="auto"/>
          <w:szCs w:val="24"/>
        </w:rPr>
        <w:t>will ensure there is no loss of certification to the scheme and thus no loss</w:t>
      </w:r>
      <w:r>
        <w:rPr>
          <w:color w:val="auto"/>
        </w:rPr>
        <w:t xml:space="preserve"> of CCL discount</w:t>
      </w:r>
      <w:r>
        <w:rPr>
          <w:color w:val="auto"/>
          <w:szCs w:val="24"/>
        </w:rPr>
        <w:t xml:space="preserve">. </w:t>
      </w:r>
    </w:p>
    <w:p w14:paraId="14B1567C" w14:textId="77777777" w:rsidR="00026E66" w:rsidRDefault="002737EF" w:rsidP="00FF0098">
      <w:pPr>
        <w:pStyle w:val="Heading3"/>
        <w:tabs>
          <w:tab w:val="left" w:pos="0"/>
        </w:tabs>
      </w:pPr>
      <w:bookmarkStart w:id="162" w:name="_7.3.2._When_you"/>
      <w:bookmarkStart w:id="163" w:name="_Toc95211832"/>
      <w:bookmarkEnd w:id="162"/>
      <w:r>
        <w:t>7.3.2. When you need to change the operator/facility name</w:t>
      </w:r>
      <w:bookmarkEnd w:id="163"/>
      <w:r>
        <w:t xml:space="preserve"> </w:t>
      </w:r>
    </w:p>
    <w:p w14:paraId="724F7E21" w14:textId="77777777" w:rsidR="00026E66" w:rsidRDefault="002737EF" w:rsidP="00FF0098">
      <w:pPr>
        <w:tabs>
          <w:tab w:val="left" w:pos="0"/>
        </w:tabs>
      </w:pPr>
      <w:r>
        <w:t>When the legal entity holding the current agreement has changed its name, but its registration number remains the same and/or the operator wants to update the name of an existing facility, we can simply update the existing agreement to reflect the name change(s).</w:t>
      </w:r>
    </w:p>
    <w:p w14:paraId="6EA6A2D5" w14:textId="45383EE5" w:rsidR="00026E66" w:rsidRDefault="002737EF" w:rsidP="00FF0098">
      <w:pPr>
        <w:tabs>
          <w:tab w:val="left" w:pos="0"/>
        </w:tabs>
      </w:pPr>
      <w:r>
        <w:t xml:space="preserve">The sector association should provide sufficient evidence for the name change with their variation, </w:t>
      </w:r>
      <w:r w:rsidR="007A7512">
        <w:t>for example</w:t>
      </w:r>
      <w:r>
        <w:t xml:space="preserve"> information from Companies House (or similar) showing the name change and that the registration number is unchanged.</w:t>
      </w:r>
    </w:p>
    <w:p w14:paraId="69E83552" w14:textId="43075C8A" w:rsidR="00026E66" w:rsidRPr="00E955A3" w:rsidRDefault="002737EF" w:rsidP="00E955A3">
      <w:pPr>
        <w:pStyle w:val="Heading2"/>
        <w:tabs>
          <w:tab w:val="left" w:pos="0"/>
        </w:tabs>
      </w:pPr>
      <w:bookmarkStart w:id="164" w:name="_7.4._The_address"/>
      <w:bookmarkStart w:id="165" w:name="_Toc94718653"/>
      <w:bookmarkStart w:id="166" w:name="_Toc94088901"/>
      <w:bookmarkStart w:id="167" w:name="_Toc95211833"/>
      <w:bookmarkEnd w:id="164"/>
      <w:r>
        <w:lastRenderedPageBreak/>
        <w:t>7.4. The address of the responsible person for the target unit changes</w:t>
      </w:r>
      <w:bookmarkEnd w:id="165"/>
      <w:bookmarkEnd w:id="166"/>
      <w:bookmarkEnd w:id="167"/>
      <w:r>
        <w:t xml:space="preserve"> </w:t>
      </w:r>
    </w:p>
    <w:p w14:paraId="0C52866D" w14:textId="4FA243C9" w:rsidR="00026E66" w:rsidRDefault="002737EF" w:rsidP="00FF0098">
      <w:pPr>
        <w:tabs>
          <w:tab w:val="left" w:pos="0"/>
        </w:tabs>
      </w:pPr>
      <w:r>
        <w:t>The sector association should submit this variation type if the address for service of notices changes.</w:t>
      </w:r>
      <w:r w:rsidR="00FC355D">
        <w:t xml:space="preserve"> </w:t>
      </w:r>
      <w:r>
        <w:t>For a company, we normally expect this to be the same as the registered office address, but an operator can specify an alternative address for service of notices.</w:t>
      </w:r>
      <w:r w:rsidR="00FC355D">
        <w:t xml:space="preserve"> </w:t>
      </w:r>
      <w:r>
        <w:t>The new address must be a UK postal address.</w:t>
      </w:r>
    </w:p>
    <w:p w14:paraId="54FBABD5" w14:textId="77777777" w:rsidR="00026E66" w:rsidRDefault="002737EF" w:rsidP="00FF0098">
      <w:pPr>
        <w:tabs>
          <w:tab w:val="left" w:pos="0"/>
        </w:tabs>
      </w:pPr>
      <w:r>
        <w:t xml:space="preserve">This variation requires the following information and evidence to be uploaded to the register: </w:t>
      </w:r>
    </w:p>
    <w:p w14:paraId="55FBF8F9" w14:textId="77777777" w:rsidR="00026E66" w:rsidRDefault="002737EF" w:rsidP="007A7512">
      <w:pPr>
        <w:pStyle w:val="ListParagraph"/>
        <w:numPr>
          <w:ilvl w:val="0"/>
          <w:numId w:val="139"/>
        </w:numPr>
        <w:tabs>
          <w:tab w:val="left" w:pos="0"/>
        </w:tabs>
      </w:pPr>
      <w:r w:rsidRPr="007A7512">
        <w:rPr>
          <w:color w:val="000000"/>
        </w:rPr>
        <w:t xml:space="preserve">new address </w:t>
      </w:r>
      <w:r>
        <w:t>for service of notices</w:t>
      </w:r>
    </w:p>
    <w:p w14:paraId="3E8B4631" w14:textId="0D2233AD" w:rsidR="00026E66" w:rsidRDefault="002737EF" w:rsidP="007A7512">
      <w:pPr>
        <w:pStyle w:val="ListParagraph"/>
        <w:numPr>
          <w:ilvl w:val="0"/>
          <w:numId w:val="139"/>
        </w:numPr>
        <w:tabs>
          <w:tab w:val="left" w:pos="0"/>
        </w:tabs>
      </w:pPr>
      <w:r>
        <w:t xml:space="preserve">any relevant information supporting the address change, </w:t>
      </w:r>
      <w:r w:rsidR="007A7512">
        <w:t>for example</w:t>
      </w:r>
      <w:r>
        <w:t xml:space="preserve"> </w:t>
      </w:r>
      <w:r w:rsidR="007A7512">
        <w:t>C</w:t>
      </w:r>
      <w:r>
        <w:t xml:space="preserve">ompanies </w:t>
      </w:r>
      <w:r w:rsidR="007A7512">
        <w:t>H</w:t>
      </w:r>
      <w:r>
        <w:t>ouse notification of registered office address</w:t>
      </w:r>
    </w:p>
    <w:p w14:paraId="0010A88F" w14:textId="77777777" w:rsidR="00026E66" w:rsidRDefault="002737EF" w:rsidP="00FF0098">
      <w:pPr>
        <w:tabs>
          <w:tab w:val="left" w:pos="0"/>
        </w:tabs>
      </w:pPr>
      <w:r>
        <w:rPr>
          <w:color w:val="auto"/>
        </w:rPr>
        <w:t xml:space="preserve">This variation </w:t>
      </w:r>
      <w:r>
        <w:rPr>
          <w:color w:val="auto"/>
          <w:szCs w:val="24"/>
        </w:rPr>
        <w:t>should not</w:t>
      </w:r>
      <w:r>
        <w:rPr>
          <w:color w:val="auto"/>
        </w:rPr>
        <w:t xml:space="preserve"> be used to change a facility address (see </w:t>
      </w:r>
      <w:hyperlink w:anchor="_7.6._Updating_the" w:history="1">
        <w:r>
          <w:rPr>
            <w:rStyle w:val="Hyperlink"/>
          </w:rPr>
          <w:t>section 7.6</w:t>
        </w:r>
      </w:hyperlink>
      <w:r>
        <w:rPr>
          <w:color w:val="auto"/>
        </w:rPr>
        <w:t xml:space="preserve">). </w:t>
      </w:r>
    </w:p>
    <w:p w14:paraId="1A1F38DD" w14:textId="77777777" w:rsidR="00026E66" w:rsidRDefault="002737EF" w:rsidP="00FF0098">
      <w:pPr>
        <w:pStyle w:val="Heading2"/>
        <w:tabs>
          <w:tab w:val="left" w:pos="0"/>
        </w:tabs>
      </w:pPr>
      <w:bookmarkStart w:id="168" w:name="_7.5._Review_of"/>
      <w:bookmarkStart w:id="169" w:name="_Toc94718654"/>
      <w:bookmarkStart w:id="170" w:name="_Toc94088902"/>
      <w:bookmarkStart w:id="171" w:name="_Toc95211834"/>
      <w:bookmarkEnd w:id="168"/>
      <w:r>
        <w:t>7.5. Review of the baseline due to structural change, or review of the 70% provision</w:t>
      </w:r>
      <w:bookmarkEnd w:id="169"/>
      <w:bookmarkEnd w:id="170"/>
      <w:bookmarkEnd w:id="171"/>
      <w:r>
        <w:t xml:space="preserve"> </w:t>
      </w:r>
    </w:p>
    <w:p w14:paraId="3AD531A1" w14:textId="28CDE43A" w:rsidR="00026E66" w:rsidRDefault="002737EF" w:rsidP="00FF0098">
      <w:pPr>
        <w:tabs>
          <w:tab w:val="left" w:pos="0"/>
        </w:tabs>
      </w:pPr>
      <w:r>
        <w:t>This section covers structural change (changes to the Stationary Technical Unit), which could change the amount of energy consumed in the eligible facility with respect to the total site energy use.</w:t>
      </w:r>
      <w:r w:rsidR="00FC355D">
        <w:t xml:space="preserve"> </w:t>
      </w:r>
      <w:r>
        <w:t xml:space="preserve">This may result in the requirement to change the baseline and targets under certain circumstances. </w:t>
      </w:r>
    </w:p>
    <w:p w14:paraId="1FDDCF97" w14:textId="77777777" w:rsidR="00026E66" w:rsidRDefault="002737EF" w:rsidP="00FF0098">
      <w:pPr>
        <w:tabs>
          <w:tab w:val="left" w:pos="0"/>
        </w:tabs>
      </w:pPr>
      <w:r>
        <w:t>Note: changes which affect the ability of an operator to meet its target, but aren’t a structural change, for example, a change in product mix, might be possible through use of a Novem target (</w:t>
      </w:r>
      <w:hyperlink w:anchor="_7.7._Changing_the" w:history="1">
        <w:r>
          <w:rPr>
            <w:rStyle w:val="Hyperlink"/>
          </w:rPr>
          <w:t>section 7.7</w:t>
        </w:r>
      </w:hyperlink>
      <w:r>
        <w:t xml:space="preserve">). </w:t>
      </w:r>
    </w:p>
    <w:p w14:paraId="1B719CEA" w14:textId="77777777" w:rsidR="00026E66" w:rsidRDefault="002737EF" w:rsidP="00FF0098">
      <w:pPr>
        <w:pStyle w:val="Heading3"/>
        <w:tabs>
          <w:tab w:val="left" w:pos="0"/>
        </w:tabs>
      </w:pPr>
      <w:bookmarkStart w:id="172" w:name="_7.5.1._Structural_change"/>
      <w:bookmarkStart w:id="173" w:name="_Toc95211835"/>
      <w:bookmarkEnd w:id="172"/>
      <w:r>
        <w:t>7.5.1. Structural change</w:t>
      </w:r>
      <w:bookmarkEnd w:id="173"/>
      <w:r>
        <w:t xml:space="preserve"> </w:t>
      </w:r>
    </w:p>
    <w:p w14:paraId="709D744D" w14:textId="77777777" w:rsidR="00026E66" w:rsidRDefault="002737EF" w:rsidP="00FF0098">
      <w:pPr>
        <w:tabs>
          <w:tab w:val="left" w:pos="0"/>
        </w:tabs>
      </w:pPr>
      <w:r>
        <w:t xml:space="preserve">Paragraphs 5 of the </w:t>
      </w:r>
      <w:hyperlink r:id="rId85" w:history="1">
        <w:r>
          <w:rPr>
            <w:rStyle w:val="Hyperlink"/>
            <w:color w:val="0070C0"/>
          </w:rPr>
          <w:t>Technical Annex</w:t>
        </w:r>
      </w:hyperlink>
      <w:r>
        <w:t xml:space="preserve"> defines a structural change as one of the following: </w:t>
      </w:r>
    </w:p>
    <w:p w14:paraId="6383B01F" w14:textId="77777777" w:rsidR="00026E66" w:rsidRDefault="002737EF" w:rsidP="0065356B">
      <w:pPr>
        <w:pStyle w:val="ListParagraph"/>
        <w:numPr>
          <w:ilvl w:val="0"/>
          <w:numId w:val="48"/>
        </w:numPr>
        <w:tabs>
          <w:tab w:val="left" w:pos="0"/>
        </w:tabs>
      </w:pPr>
      <w:r>
        <w:t xml:space="preserve">“Changes in the processes carried out at a site, which mean that a process would no longer be an eligible process. Such changes may affect the primary activity carried out in the stationary technical unit such that the change means that a process can no longer be considered an eligible process, or they may affect the relationship between the primary activity and other activities originally determined to be ancillary activities, such that these other activities can no longer be considered ancillary activities. </w:t>
      </w:r>
    </w:p>
    <w:p w14:paraId="4E0882BB" w14:textId="77777777" w:rsidR="00026E66" w:rsidRDefault="002737EF" w:rsidP="0065356B">
      <w:pPr>
        <w:pStyle w:val="ListParagraph"/>
        <w:numPr>
          <w:ilvl w:val="0"/>
          <w:numId w:val="48"/>
        </w:numPr>
        <w:tabs>
          <w:tab w:val="left" w:pos="0"/>
        </w:tabs>
      </w:pPr>
      <w:r>
        <w:t>Changes to a facility as a result of an eligible process which used to take place inside the site boundary taking place outside of the site boundary instead</w:t>
      </w:r>
    </w:p>
    <w:p w14:paraId="378C283C" w14:textId="77777777" w:rsidR="00026E66" w:rsidRDefault="002737EF" w:rsidP="0065356B">
      <w:pPr>
        <w:pStyle w:val="ListParagraph"/>
        <w:numPr>
          <w:ilvl w:val="0"/>
          <w:numId w:val="48"/>
        </w:numPr>
        <w:tabs>
          <w:tab w:val="left" w:pos="0"/>
        </w:tabs>
      </w:pPr>
      <w:r>
        <w:lastRenderedPageBreak/>
        <w:t xml:space="preserve">Changes to the proportion of energy which is used in an installation comprising part of a site which would affect the extent of the facility which is eligible to be covered by an agreement as a result of the application of Regulation 3(1) of the Climate Change Agreements (Eligible Facilities) Regulations 2012 </w:t>
      </w:r>
    </w:p>
    <w:p w14:paraId="16F059A5" w14:textId="77777777" w:rsidR="00026E66" w:rsidRDefault="002737EF" w:rsidP="0065356B">
      <w:pPr>
        <w:pStyle w:val="ListParagraph"/>
        <w:numPr>
          <w:ilvl w:val="0"/>
          <w:numId w:val="48"/>
        </w:numPr>
        <w:tabs>
          <w:tab w:val="left" w:pos="0"/>
        </w:tabs>
      </w:pPr>
      <w:r>
        <w:t xml:space="preserve">A change in the extent of the target facility as a result of parts of the facility ceasing to carry out or starting to carry out Annex 1 activities. </w:t>
      </w:r>
    </w:p>
    <w:p w14:paraId="1DABCC3C" w14:textId="77777777" w:rsidR="00026E66" w:rsidRDefault="002737EF" w:rsidP="00FF0098">
      <w:pPr>
        <w:tabs>
          <w:tab w:val="left" w:pos="0"/>
        </w:tabs>
      </w:pPr>
      <w:r>
        <w:t>Replacement or replication of plant to increase capacity of the same or similar products is not a structural change unless it entails one of the changes listed in paragraph 5 above.”</w:t>
      </w:r>
    </w:p>
    <w:p w14:paraId="62C6E399" w14:textId="77777777" w:rsidR="00026E66" w:rsidRPr="00E931A9" w:rsidRDefault="002737EF" w:rsidP="00FF0098">
      <w:pPr>
        <w:pStyle w:val="Heading4"/>
        <w:tabs>
          <w:tab w:val="left" w:pos="0"/>
        </w:tabs>
      </w:pPr>
      <w:r w:rsidRPr="00E931A9">
        <w:t xml:space="preserve">Change to processes </w:t>
      </w:r>
    </w:p>
    <w:p w14:paraId="03166191" w14:textId="77777777" w:rsidR="00026E66" w:rsidRDefault="002737EF" w:rsidP="00FF0098">
      <w:pPr>
        <w:tabs>
          <w:tab w:val="left" w:pos="0"/>
        </w:tabs>
        <w:ind w:right="182"/>
        <w:rPr>
          <w:color w:val="auto"/>
          <w:szCs w:val="24"/>
        </w:rPr>
      </w:pPr>
      <w:r>
        <w:rPr>
          <w:color w:val="auto"/>
          <w:szCs w:val="24"/>
        </w:rPr>
        <w:t xml:space="preserve">If there is a change to the processes carried out at the STU(s), the STU may no longer meet the definition of eligibility in the umbrella agreement for the sector. If this happens, a previously eligible STU will cease to be eligible and the whole basis for CCA eligibility at the site may be lost. It may be partially lost if, as a result of the change, some but not all STUs lose their eligibility. In this second case, the proportion of the site's energy use covered by the eligible installation will be less than before and the proportion of the site's energy use entitled to be included in the eligible facility may also be less. </w:t>
      </w:r>
    </w:p>
    <w:p w14:paraId="0CA9AA41" w14:textId="77777777" w:rsidR="00026E66" w:rsidRDefault="002737EF" w:rsidP="00FF0098">
      <w:pPr>
        <w:tabs>
          <w:tab w:val="left" w:pos="0"/>
        </w:tabs>
        <w:ind w:right="182"/>
        <w:rPr>
          <w:color w:val="auto"/>
          <w:szCs w:val="24"/>
        </w:rPr>
      </w:pPr>
      <w:r>
        <w:rPr>
          <w:color w:val="auto"/>
          <w:szCs w:val="24"/>
        </w:rPr>
        <w:t xml:space="preserve">If the site no longer qualifies for a CCA, the agreement will be terminated. If the target unit contains more than one facility, the target unit's baseline will be revised. </w:t>
      </w:r>
    </w:p>
    <w:p w14:paraId="5433D9CD" w14:textId="4E9388F5" w:rsidR="00026E66" w:rsidRDefault="002737EF" w:rsidP="00E955A3">
      <w:pPr>
        <w:tabs>
          <w:tab w:val="left" w:pos="0"/>
        </w:tabs>
        <w:spacing w:after="0"/>
        <w:ind w:right="182"/>
        <w:rPr>
          <w:color w:val="auto"/>
          <w:szCs w:val="24"/>
        </w:rPr>
      </w:pPr>
      <w:r>
        <w:rPr>
          <w:color w:val="auto"/>
          <w:szCs w:val="24"/>
        </w:rPr>
        <w:t xml:space="preserve">If the site continues to qualify for a CCA, the extent of the eligible facility that can be included in the eligible facility may have changed. The extent may also change if the operator changes the way the site operates such that one or more ancillary activities can no longer be considered DAAs of the STU. </w:t>
      </w:r>
    </w:p>
    <w:p w14:paraId="64376536" w14:textId="77777777" w:rsidR="00026E66" w:rsidRDefault="002737EF" w:rsidP="00FF0098">
      <w:pPr>
        <w:pStyle w:val="Heading4"/>
        <w:tabs>
          <w:tab w:val="left" w:pos="0"/>
        </w:tabs>
      </w:pPr>
      <w:r>
        <w:t xml:space="preserve">Eligible process moves outside site boundary </w:t>
      </w:r>
    </w:p>
    <w:p w14:paraId="019725C0" w14:textId="6C031131" w:rsidR="00026E66" w:rsidRPr="00E955A3" w:rsidRDefault="002737EF" w:rsidP="00E955A3">
      <w:pPr>
        <w:tabs>
          <w:tab w:val="left" w:pos="0"/>
        </w:tabs>
        <w:spacing w:after="11"/>
        <w:ind w:right="182"/>
      </w:pPr>
      <w:r>
        <w:rPr>
          <w:color w:val="auto"/>
        </w:rPr>
        <w:t>This change occurs if any of the components making up the installation at the site (</w:t>
      </w:r>
      <w:r>
        <w:rPr>
          <w:color w:val="auto"/>
          <w:szCs w:val="24"/>
        </w:rPr>
        <w:t>an</w:t>
      </w:r>
      <w:r>
        <w:rPr>
          <w:color w:val="auto"/>
        </w:rPr>
        <w:t xml:space="preserve"> STU or a DAA) are no longer carried out on the site</w:t>
      </w:r>
      <w:r>
        <w:rPr>
          <w:color w:val="auto"/>
          <w:szCs w:val="24"/>
        </w:rPr>
        <w:t xml:space="preserve"> but somewhere else, for example, due to outsourcing.</w:t>
      </w:r>
      <w:r>
        <w:rPr>
          <w:color w:val="auto"/>
        </w:rPr>
        <w:t xml:space="preserve"> This means that the extent of the installation may have changed and the proportion of the site's energy use that can be included in the eligible facility may have also changed.</w:t>
      </w:r>
      <w:r>
        <w:rPr>
          <w:color w:val="auto"/>
          <w:szCs w:val="24"/>
        </w:rPr>
        <w:t xml:space="preserve"> </w:t>
      </w:r>
    </w:p>
    <w:p w14:paraId="1E8FFA7D" w14:textId="77777777" w:rsidR="00026E66" w:rsidRDefault="002737EF" w:rsidP="00FF0098">
      <w:pPr>
        <w:pStyle w:val="Heading4"/>
        <w:tabs>
          <w:tab w:val="left" w:pos="0"/>
        </w:tabs>
      </w:pPr>
      <w:r>
        <w:t xml:space="preserve">Change to proportion of energy used in the installation </w:t>
      </w:r>
    </w:p>
    <w:p w14:paraId="148948AF" w14:textId="77777777" w:rsidR="00026E66" w:rsidRDefault="002737EF" w:rsidP="00FF0098">
      <w:pPr>
        <w:tabs>
          <w:tab w:val="left" w:pos="0"/>
        </w:tabs>
        <w:ind w:right="182"/>
      </w:pPr>
      <w:r>
        <w:rPr>
          <w:color w:val="auto"/>
        </w:rPr>
        <w:t>If more than 70% of the site's energy consumption is consumed within the installation</w:t>
      </w:r>
      <w:r>
        <w:rPr>
          <w:color w:val="auto"/>
          <w:szCs w:val="24"/>
        </w:rPr>
        <w:t xml:space="preserve">, </w:t>
      </w:r>
      <w:r>
        <w:t xml:space="preserve">the </w:t>
      </w:r>
      <w:r>
        <w:rPr>
          <w:szCs w:val="24"/>
        </w:rPr>
        <w:t>eligible facility is considered to be the site and the facility's</w:t>
      </w:r>
      <w:r>
        <w:t xml:space="preserve"> energy consumption </w:t>
      </w:r>
      <w:r>
        <w:rPr>
          <w:szCs w:val="24"/>
        </w:rPr>
        <w:t xml:space="preserve">can be measured using the site's main meters. </w:t>
      </w:r>
    </w:p>
    <w:p w14:paraId="713156E1" w14:textId="4CB7721F" w:rsidR="00026E66" w:rsidRPr="00E955A3" w:rsidRDefault="002737EF" w:rsidP="00E955A3">
      <w:pPr>
        <w:tabs>
          <w:tab w:val="left" w:pos="0"/>
        </w:tabs>
        <w:spacing w:after="0"/>
        <w:ind w:right="182"/>
      </w:pPr>
      <w:r>
        <w:rPr>
          <w:szCs w:val="24"/>
        </w:rPr>
        <w:t>If the relative proportions</w:t>
      </w:r>
      <w:r>
        <w:t xml:space="preserve"> of </w:t>
      </w:r>
      <w:r>
        <w:rPr>
          <w:color w:val="auto"/>
        </w:rPr>
        <w:t xml:space="preserve">a site's energy </w:t>
      </w:r>
      <w:r>
        <w:rPr>
          <w:color w:val="auto"/>
          <w:szCs w:val="24"/>
        </w:rPr>
        <w:t>consumption taking place</w:t>
      </w:r>
      <w:r>
        <w:rPr>
          <w:color w:val="auto"/>
        </w:rPr>
        <w:t xml:space="preserve"> within the installation</w:t>
      </w:r>
      <w:r>
        <w:rPr>
          <w:color w:val="auto"/>
          <w:szCs w:val="24"/>
        </w:rPr>
        <w:t xml:space="preserve">(s) and within </w:t>
      </w:r>
      <w:r>
        <w:t xml:space="preserve">the </w:t>
      </w:r>
      <w:r>
        <w:rPr>
          <w:szCs w:val="24"/>
        </w:rPr>
        <w:t>other</w:t>
      </w:r>
      <w:r>
        <w:t xml:space="preserve"> activities</w:t>
      </w:r>
      <w:r>
        <w:rPr>
          <w:szCs w:val="24"/>
        </w:rPr>
        <w:t xml:space="preserve"> at</w:t>
      </w:r>
      <w:r>
        <w:t xml:space="preserve"> the </w:t>
      </w:r>
      <w:r>
        <w:rPr>
          <w:szCs w:val="24"/>
        </w:rPr>
        <w:t>site change significantly over time, there may be an impact on the proportion of the site that can be considered</w:t>
      </w:r>
      <w:r>
        <w:t xml:space="preserve"> the eligible </w:t>
      </w:r>
      <w:r>
        <w:rPr>
          <w:szCs w:val="24"/>
        </w:rPr>
        <w:lastRenderedPageBreak/>
        <w:t>facility. If the shift is large enough, a point</w:t>
      </w:r>
      <w:r>
        <w:rPr>
          <w:color w:val="auto"/>
        </w:rPr>
        <w:t xml:space="preserve"> will </w:t>
      </w:r>
      <w:r>
        <w:rPr>
          <w:color w:val="auto"/>
          <w:szCs w:val="24"/>
        </w:rPr>
        <w:t>be reached where</w:t>
      </w:r>
      <w:r>
        <w:rPr>
          <w:color w:val="auto"/>
        </w:rPr>
        <w:t xml:space="preserve"> the </w:t>
      </w:r>
      <w:r>
        <w:rPr>
          <w:color w:val="auto"/>
          <w:szCs w:val="24"/>
        </w:rPr>
        <w:t>installation consumes less than 70%</w:t>
      </w:r>
      <w:r>
        <w:rPr>
          <w:color w:val="auto"/>
        </w:rPr>
        <w:t xml:space="preserve"> of </w:t>
      </w:r>
      <w:r>
        <w:rPr>
          <w:color w:val="auto"/>
          <w:szCs w:val="24"/>
        </w:rPr>
        <w:t>the site's</w:t>
      </w:r>
      <w:r>
        <w:rPr>
          <w:color w:val="auto"/>
        </w:rPr>
        <w:t xml:space="preserve"> energy </w:t>
      </w:r>
      <w:r>
        <w:rPr>
          <w:color w:val="auto"/>
          <w:szCs w:val="24"/>
        </w:rPr>
        <w:t>use. At this point, the</w:t>
      </w:r>
      <w:r>
        <w:rPr>
          <w:color w:val="auto"/>
        </w:rPr>
        <w:t xml:space="preserve"> eligible </w:t>
      </w:r>
      <w:r>
        <w:rPr>
          <w:color w:val="auto"/>
          <w:szCs w:val="24"/>
        </w:rPr>
        <w:t xml:space="preserve">facility can no longer be considered the same as the site. </w:t>
      </w:r>
    </w:p>
    <w:p w14:paraId="0CDEEB74" w14:textId="77777777" w:rsidR="00026E66" w:rsidRDefault="002737EF" w:rsidP="00FF0098">
      <w:pPr>
        <w:pStyle w:val="Heading4"/>
        <w:tabs>
          <w:tab w:val="left" w:pos="0"/>
        </w:tabs>
      </w:pPr>
      <w:r>
        <w:t xml:space="preserve">Change in ETS status </w:t>
      </w:r>
    </w:p>
    <w:p w14:paraId="5EFB8267" w14:textId="77777777" w:rsidR="00026E66" w:rsidRDefault="002737EF" w:rsidP="00FF0098">
      <w:pPr>
        <w:tabs>
          <w:tab w:val="left" w:pos="0"/>
        </w:tabs>
        <w:ind w:right="182"/>
      </w:pPr>
      <w:r>
        <w:rPr>
          <w:color w:val="auto"/>
          <w:szCs w:val="24"/>
        </w:rPr>
        <w:t xml:space="preserve">The ETS status of any fuel consumed within the eligible facility might change in the future, that is, the consumption moves from being in scope of the ETS to out of scope, and vice versa. This may be due to changes in the ETS policy or changes on site, such as a change in the capacity of combustion plant on the site included in the eligible facility. Since the energy consumed within the target facility is the energy consumed within the eligible facility less any of this energy covered by ETS, changes in the ETS status of the eligible facility's energy use will change the extent of the target facility. Please refer to </w:t>
      </w:r>
      <w:hyperlink w:anchor="_3.3.4._Step_4:" w:history="1">
        <w:r>
          <w:rPr>
            <w:rStyle w:val="Hyperlink"/>
            <w:szCs w:val="24"/>
          </w:rPr>
          <w:t>section 3.3.4</w:t>
        </w:r>
      </w:hyperlink>
      <w:r>
        <w:rPr>
          <w:color w:val="auto"/>
          <w:szCs w:val="24"/>
          <w:u w:val="single" w:color="0077B9"/>
        </w:rPr>
        <w:t xml:space="preserve"> </w:t>
      </w:r>
      <w:r>
        <w:rPr>
          <w:color w:val="auto"/>
          <w:szCs w:val="24"/>
        </w:rPr>
        <w:t xml:space="preserve">for additional information. </w:t>
      </w:r>
    </w:p>
    <w:p w14:paraId="71C68B46" w14:textId="479B2EEF" w:rsidR="00026E66" w:rsidRDefault="002737EF" w:rsidP="00FF0098">
      <w:pPr>
        <w:tabs>
          <w:tab w:val="left" w:pos="0"/>
        </w:tabs>
        <w:spacing w:after="36"/>
        <w:ind w:right="576"/>
      </w:pPr>
      <w:r>
        <w:rPr>
          <w:color w:val="auto"/>
          <w:szCs w:val="24"/>
        </w:rPr>
        <w:t xml:space="preserve">The target facility's baseline will need to be revised to reflect this. </w:t>
      </w:r>
      <w:r>
        <w:rPr>
          <w:color w:val="auto"/>
        </w:rPr>
        <w:t xml:space="preserve">New numerical targets will be calculated for the target facility by applying the original percentage improvement targets to this revised baseline. The new numerical targets can be recalculated using the 'Target calculator' workbook tool provided in </w:t>
      </w:r>
      <w:hyperlink w:anchor="_Appendix_H:_Workbook" w:history="1">
        <w:r>
          <w:rPr>
            <w:rStyle w:val="Hyperlink"/>
          </w:rPr>
          <w:t>Appendix H</w:t>
        </w:r>
      </w:hyperlink>
      <w:r>
        <w:rPr>
          <w:color w:val="auto"/>
        </w:rPr>
        <w:t>.</w:t>
      </w:r>
      <w:r w:rsidR="00FC355D">
        <w:rPr>
          <w:color w:val="auto"/>
        </w:rPr>
        <w:t xml:space="preserve"> </w:t>
      </w:r>
    </w:p>
    <w:p w14:paraId="68D9DECF" w14:textId="77777777" w:rsidR="00026E66" w:rsidRDefault="002737EF" w:rsidP="00FF0098">
      <w:pPr>
        <w:pStyle w:val="Heading4"/>
        <w:tabs>
          <w:tab w:val="left" w:pos="0"/>
        </w:tabs>
      </w:pPr>
      <w:r>
        <w:t xml:space="preserve">What happens if there is a structural change? </w:t>
      </w:r>
    </w:p>
    <w:p w14:paraId="09459813" w14:textId="77777777" w:rsidR="00026E66" w:rsidRDefault="002737EF" w:rsidP="00FF0098">
      <w:pPr>
        <w:tabs>
          <w:tab w:val="left" w:pos="0"/>
        </w:tabs>
        <w:ind w:right="182"/>
      </w:pPr>
      <w:r>
        <w:rPr>
          <w:color w:val="auto"/>
        </w:rPr>
        <w:t xml:space="preserve">If any of these changes occurs, </w:t>
      </w:r>
      <w:r>
        <w:rPr>
          <w:color w:val="auto"/>
          <w:szCs w:val="24"/>
        </w:rPr>
        <w:t>we</w:t>
      </w:r>
      <w:r>
        <w:rPr>
          <w:color w:val="auto"/>
        </w:rPr>
        <w:t xml:space="preserve"> must </w:t>
      </w:r>
      <w:r>
        <w:rPr>
          <w:color w:val="auto"/>
          <w:szCs w:val="24"/>
        </w:rPr>
        <w:t>be notified via the register</w:t>
      </w:r>
      <w:r>
        <w:rPr>
          <w:color w:val="auto"/>
        </w:rPr>
        <w:t xml:space="preserve"> within 20 working days of the change. </w:t>
      </w:r>
      <w:r>
        <w:rPr>
          <w:color w:val="auto"/>
          <w:szCs w:val="24"/>
        </w:rPr>
        <w:t>Notification is through the</w:t>
      </w:r>
      <w:r>
        <w:rPr>
          <w:color w:val="auto"/>
        </w:rPr>
        <w:t xml:space="preserve"> sector </w:t>
      </w:r>
      <w:r>
        <w:rPr>
          <w:color w:val="auto"/>
          <w:szCs w:val="24"/>
        </w:rPr>
        <w:t>association</w:t>
      </w:r>
      <w:r>
        <w:rPr>
          <w:color w:val="auto"/>
        </w:rPr>
        <w:t xml:space="preserve"> </w:t>
      </w:r>
      <w:proofErr w:type="gramStart"/>
      <w:r>
        <w:rPr>
          <w:color w:val="auto"/>
        </w:rPr>
        <w:t xml:space="preserve">submitting </w:t>
      </w:r>
      <w:r>
        <w:rPr>
          <w:color w:val="auto"/>
          <w:szCs w:val="24"/>
        </w:rPr>
        <w:t>an application</w:t>
      </w:r>
      <w:proofErr w:type="gramEnd"/>
      <w:r>
        <w:rPr>
          <w:color w:val="auto"/>
          <w:szCs w:val="24"/>
        </w:rPr>
        <w:t xml:space="preserve"> for </w:t>
      </w:r>
      <w:r>
        <w:rPr>
          <w:color w:val="auto"/>
        </w:rPr>
        <w:t xml:space="preserve">a variation </w:t>
      </w:r>
      <w:r>
        <w:rPr>
          <w:color w:val="auto"/>
          <w:szCs w:val="24"/>
        </w:rPr>
        <w:t>to the target unit's agreement. We will process the variation and consider whether the baseline or the target need to be adjusted</w:t>
      </w:r>
      <w:r>
        <w:rPr>
          <w:color w:val="auto"/>
        </w:rPr>
        <w:t xml:space="preserve">. </w:t>
      </w:r>
    </w:p>
    <w:p w14:paraId="4DE7C175" w14:textId="77777777" w:rsidR="00026E66" w:rsidRDefault="002737EF" w:rsidP="00FF0098">
      <w:pPr>
        <w:tabs>
          <w:tab w:val="left" w:pos="0"/>
        </w:tabs>
        <w:ind w:right="182"/>
      </w:pPr>
      <w:r>
        <w:rPr>
          <w:color w:val="auto"/>
          <w:szCs w:val="24"/>
        </w:rPr>
        <w:t>There are two</w:t>
      </w:r>
      <w:r>
        <w:rPr>
          <w:color w:val="auto"/>
        </w:rPr>
        <w:t xml:space="preserve"> key questions we </w:t>
      </w:r>
      <w:r>
        <w:rPr>
          <w:color w:val="auto"/>
          <w:szCs w:val="24"/>
        </w:rPr>
        <w:t>need to consider</w:t>
      </w:r>
      <w:r>
        <w:rPr>
          <w:color w:val="auto"/>
        </w:rPr>
        <w:t xml:space="preserve">: </w:t>
      </w:r>
    </w:p>
    <w:p w14:paraId="4EF573F4" w14:textId="77777777" w:rsidR="00026E66" w:rsidRDefault="002737EF" w:rsidP="0065356B">
      <w:pPr>
        <w:pStyle w:val="ListParagraph"/>
        <w:numPr>
          <w:ilvl w:val="0"/>
          <w:numId w:val="49"/>
        </w:numPr>
        <w:tabs>
          <w:tab w:val="left" w:pos="0"/>
        </w:tabs>
        <w:spacing w:after="73"/>
        <w:ind w:right="182"/>
      </w:pPr>
      <w:r w:rsidRPr="00E955A3">
        <w:rPr>
          <w:szCs w:val="24"/>
        </w:rPr>
        <w:t>Does</w:t>
      </w:r>
      <w:r>
        <w:t xml:space="preserve"> the</w:t>
      </w:r>
      <w:r w:rsidRPr="00E955A3">
        <w:rPr>
          <w:szCs w:val="24"/>
        </w:rPr>
        <w:t xml:space="preserve"> proposed</w:t>
      </w:r>
      <w:r>
        <w:t xml:space="preserve"> variation meet the structural change criteria set out in the </w:t>
      </w:r>
      <w:hyperlink r:id="rId86" w:history="1">
        <w:r w:rsidRPr="00E955A3">
          <w:rPr>
            <w:rStyle w:val="Hyperlink"/>
            <w:color w:val="0070C0"/>
          </w:rPr>
          <w:t>Technical Annex</w:t>
        </w:r>
      </w:hyperlink>
      <w:r>
        <w:t xml:space="preserve">? </w:t>
      </w:r>
    </w:p>
    <w:p w14:paraId="396E384D" w14:textId="77777777" w:rsidR="00026E66" w:rsidRDefault="002737EF" w:rsidP="0065356B">
      <w:pPr>
        <w:pStyle w:val="ListParagraph"/>
        <w:numPr>
          <w:ilvl w:val="0"/>
          <w:numId w:val="49"/>
        </w:numPr>
        <w:tabs>
          <w:tab w:val="left" w:pos="0"/>
        </w:tabs>
        <w:spacing w:after="161" w:line="235" w:lineRule="auto"/>
        <w:ind w:right="182"/>
      </w:pPr>
      <w:r w:rsidRPr="00E955A3">
        <w:rPr>
          <w:szCs w:val="24"/>
        </w:rPr>
        <w:t>Does</w:t>
      </w:r>
      <w:r>
        <w:t xml:space="preserve"> the proportion of energy consumed in the installation affect the </w:t>
      </w:r>
      <w:r w:rsidRPr="00E955A3">
        <w:rPr>
          <w:szCs w:val="24"/>
        </w:rPr>
        <w:t xml:space="preserve">result of application of the </w:t>
      </w:r>
      <w:r>
        <w:t>70% rule</w:t>
      </w:r>
      <w:r w:rsidRPr="00E955A3">
        <w:rPr>
          <w:szCs w:val="24"/>
        </w:rPr>
        <w:t xml:space="preserve"> (that is, does the installation go from being more than 70% of the site's energy to less than 70% of the site's energy, or vice versa)?</w:t>
      </w:r>
      <w:r>
        <w:t xml:space="preserve"> </w:t>
      </w:r>
    </w:p>
    <w:p w14:paraId="5472A196" w14:textId="77777777" w:rsidR="00026E66" w:rsidRDefault="002737EF" w:rsidP="007A7512">
      <w:r>
        <w:t>If the proportion of the site's energy use that can be included in the installation has changed to an extent that the 70% threshold has been crossed, then the eligible facility's baseline energy use will have to be adjusted and the effect of this on the target unit's baseline worked through.</w:t>
      </w:r>
      <w:r>
        <w:rPr>
          <w:szCs w:val="24"/>
        </w:rPr>
        <w:t xml:space="preserve"> The original percentage target improvement will stand and will be applied against the new baseline for the target facility, resulting in a revised numerical target in the target unit's agreement. </w:t>
      </w:r>
    </w:p>
    <w:p w14:paraId="4CADD97F" w14:textId="77777777" w:rsidR="00026E66" w:rsidRDefault="002737EF" w:rsidP="007A7512">
      <w:r>
        <w:rPr>
          <w:szCs w:val="24"/>
        </w:rPr>
        <w:t>If after</w:t>
      </w:r>
      <w:r>
        <w:t xml:space="preserve"> the </w:t>
      </w:r>
      <w:r>
        <w:rPr>
          <w:szCs w:val="24"/>
        </w:rPr>
        <w:t>change, the</w:t>
      </w:r>
      <w:r>
        <w:t xml:space="preserve"> installation consumes just over 70% of the site's energy use</w:t>
      </w:r>
      <w:r>
        <w:rPr>
          <w:szCs w:val="24"/>
        </w:rPr>
        <w:t xml:space="preserve">, </w:t>
      </w:r>
      <w:r>
        <w:t xml:space="preserve">we may select the site for audit so that any assumptions underpinning the </w:t>
      </w:r>
      <w:r>
        <w:rPr>
          <w:szCs w:val="24"/>
        </w:rPr>
        <w:t>extent of the installation with respect to the site can be tested</w:t>
      </w:r>
      <w:r>
        <w:t xml:space="preserve">. </w:t>
      </w:r>
    </w:p>
    <w:p w14:paraId="447DCD74" w14:textId="77777777" w:rsidR="00026E66" w:rsidRDefault="002737EF" w:rsidP="00FF0098">
      <w:pPr>
        <w:tabs>
          <w:tab w:val="left" w:pos="0"/>
        </w:tabs>
        <w:ind w:right="182"/>
        <w:rPr>
          <w:color w:val="auto"/>
        </w:rPr>
      </w:pPr>
      <w:r>
        <w:rPr>
          <w:color w:val="auto"/>
        </w:rPr>
        <w:lastRenderedPageBreak/>
        <w:t xml:space="preserve">If a change to the baseline or a target is required following a structural change variation, the sector association will need, on the operator's behalf, to supply via the register the following information for the facility that has experienced structural change: </w:t>
      </w:r>
    </w:p>
    <w:p w14:paraId="293FBFB2" w14:textId="77777777" w:rsidR="00026E66" w:rsidRDefault="002737EF" w:rsidP="0065356B">
      <w:pPr>
        <w:pStyle w:val="ListParagraph"/>
        <w:numPr>
          <w:ilvl w:val="0"/>
          <w:numId w:val="50"/>
        </w:numPr>
        <w:tabs>
          <w:tab w:val="left" w:pos="0"/>
        </w:tabs>
      </w:pPr>
      <w:r>
        <w:t xml:space="preserve">description of the change at the facility </w:t>
      </w:r>
    </w:p>
    <w:p w14:paraId="0DA9E05D" w14:textId="77777777" w:rsidR="00026E66" w:rsidRDefault="002737EF" w:rsidP="0065356B">
      <w:pPr>
        <w:pStyle w:val="ListParagraph"/>
        <w:numPr>
          <w:ilvl w:val="0"/>
          <w:numId w:val="50"/>
        </w:numPr>
        <w:tabs>
          <w:tab w:val="left" w:pos="0"/>
        </w:tabs>
      </w:pPr>
      <w:r>
        <w:t xml:space="preserve">70% calculator workbook </w:t>
      </w:r>
    </w:p>
    <w:p w14:paraId="49111B50" w14:textId="77777777" w:rsidR="00026E66" w:rsidRDefault="002737EF" w:rsidP="0065356B">
      <w:pPr>
        <w:pStyle w:val="ListParagraph"/>
        <w:numPr>
          <w:ilvl w:val="0"/>
          <w:numId w:val="50"/>
        </w:numPr>
        <w:tabs>
          <w:tab w:val="left" w:pos="0"/>
        </w:tabs>
      </w:pPr>
      <w:r>
        <w:t xml:space="preserve">revised 70% data </w:t>
      </w:r>
    </w:p>
    <w:p w14:paraId="3051A980" w14:textId="77777777" w:rsidR="00026E66" w:rsidRDefault="002737EF" w:rsidP="0065356B">
      <w:pPr>
        <w:pStyle w:val="ListParagraph"/>
        <w:numPr>
          <w:ilvl w:val="0"/>
          <w:numId w:val="50"/>
        </w:numPr>
        <w:tabs>
          <w:tab w:val="left" w:pos="0"/>
        </w:tabs>
      </w:pPr>
      <w:r>
        <w:t xml:space="preserve">revised manufacturing process description </w:t>
      </w:r>
    </w:p>
    <w:p w14:paraId="47E05A62" w14:textId="77777777" w:rsidR="00026E66" w:rsidRDefault="002737EF" w:rsidP="0065356B">
      <w:pPr>
        <w:pStyle w:val="ListParagraph"/>
        <w:numPr>
          <w:ilvl w:val="0"/>
          <w:numId w:val="50"/>
        </w:numPr>
        <w:tabs>
          <w:tab w:val="left" w:pos="0"/>
        </w:tabs>
      </w:pPr>
      <w:r>
        <w:t xml:space="preserve">revised process flow map marking the STU, DAA and ineligible activities </w:t>
      </w:r>
    </w:p>
    <w:p w14:paraId="04F83500" w14:textId="77777777" w:rsidR="00026E66" w:rsidRDefault="002737EF" w:rsidP="0065356B">
      <w:pPr>
        <w:pStyle w:val="ListParagraph"/>
        <w:numPr>
          <w:ilvl w:val="0"/>
          <w:numId w:val="50"/>
        </w:numPr>
        <w:tabs>
          <w:tab w:val="left" w:pos="0"/>
        </w:tabs>
      </w:pPr>
      <w:r>
        <w:t xml:space="preserve">re-baseline workbook used to calculate revised targets </w:t>
      </w:r>
    </w:p>
    <w:p w14:paraId="4115FAD8" w14:textId="77777777" w:rsidR="00026E66" w:rsidRDefault="002737EF" w:rsidP="00FF0098">
      <w:pPr>
        <w:pStyle w:val="Heading4"/>
        <w:tabs>
          <w:tab w:val="left" w:pos="0"/>
        </w:tabs>
      </w:pPr>
      <w:r>
        <w:t xml:space="preserve">Baseline reconstruction and sub-metering </w:t>
      </w:r>
    </w:p>
    <w:p w14:paraId="03451301" w14:textId="77777777" w:rsidR="00026E66" w:rsidRDefault="002737EF" w:rsidP="00FF0098">
      <w:pPr>
        <w:tabs>
          <w:tab w:val="left" w:pos="0"/>
        </w:tabs>
        <w:ind w:right="182"/>
      </w:pPr>
      <w:r>
        <w:t xml:space="preserve">If any changes to the baseline are required, the operator should reconstruct the original base year data where possible, as described below. </w:t>
      </w:r>
      <w:r>
        <w:rPr>
          <w:color w:val="auto"/>
          <w:szCs w:val="24"/>
        </w:rPr>
        <w:t xml:space="preserve">Speak to us about reconstructing the baseline. </w:t>
      </w:r>
      <w:r>
        <w:t xml:space="preserve">A baseline reconstruction workbook tool is available in </w:t>
      </w:r>
      <w:hyperlink w:anchor="_Appendix_H:_Workbook" w:history="1">
        <w:r>
          <w:rPr>
            <w:rStyle w:val="Hyperlink"/>
          </w:rPr>
          <w:t>Appendix H</w:t>
        </w:r>
      </w:hyperlink>
      <w:r>
        <w:rPr>
          <w:u w:val="single" w:color="0077B9"/>
        </w:rPr>
        <w:t>.</w:t>
      </w:r>
    </w:p>
    <w:p w14:paraId="0BF6BB5F" w14:textId="77777777" w:rsidR="00026E66" w:rsidRDefault="002737EF" w:rsidP="00FF0098">
      <w:pPr>
        <w:tabs>
          <w:tab w:val="left" w:pos="0"/>
        </w:tabs>
      </w:pPr>
      <w:r>
        <w:t xml:space="preserve">Following a change that generates a need to amend the baseline data, the configuration of the facility will need to be amended to reflect the change in eligibility. The numerical target may also need to be adjusted. It can be recalculated using the 'Target calculator' workbook tool provided in Appendix H. </w:t>
      </w:r>
    </w:p>
    <w:p w14:paraId="137EF339" w14:textId="77777777" w:rsidR="00026E66" w:rsidRDefault="002737EF" w:rsidP="00FF0098">
      <w:pPr>
        <w:pStyle w:val="Heading4"/>
        <w:tabs>
          <w:tab w:val="left" w:pos="0"/>
        </w:tabs>
      </w:pPr>
      <w:r>
        <w:t xml:space="preserve">Installation's energy consumption goes from less than 70% to equal to or greater than 70% of the site's energy consumption </w:t>
      </w:r>
    </w:p>
    <w:p w14:paraId="084595A9" w14:textId="5127E811" w:rsidR="00026E66" w:rsidRDefault="002737EF" w:rsidP="00FF0098">
      <w:pPr>
        <w:tabs>
          <w:tab w:val="left" w:pos="0"/>
        </w:tabs>
      </w:pPr>
      <w:r>
        <w:t>In this case the eligible facility will start as the installation plus energy use in other site activities up to 3/7th of the installation's energy use, if applicable. The change will mean that the eligible facility will now be regarded as the whole site. If the operator wishes to redefine the eligible facility as the whole site, then the eligible facility's baseline will be recalculated. The new baseline energy for the eligible facility will be the total site energy consumption in the base year. The fuel mix in the base year for the whole site will be the new fuel mix for the eligible facility.</w:t>
      </w:r>
      <w:r w:rsidR="00FC355D">
        <w:t xml:space="preserve"> </w:t>
      </w:r>
      <w:r>
        <w:t xml:space="preserve">See </w:t>
      </w:r>
      <w:hyperlink w:anchor="_10.3._The_reporting" w:history="1">
        <w:r>
          <w:rPr>
            <w:rStyle w:val="Hyperlink"/>
          </w:rPr>
          <w:t>section 10.3</w:t>
        </w:r>
      </w:hyperlink>
      <w:r>
        <w:rPr>
          <w:u w:val="single" w:color="0077B9"/>
        </w:rPr>
        <w:t xml:space="preserve"> </w:t>
      </w:r>
      <w:r>
        <w:t xml:space="preserve">to see how this change will be reported </w:t>
      </w:r>
    </w:p>
    <w:p w14:paraId="708B3551" w14:textId="77777777" w:rsidR="00026E66" w:rsidRDefault="002737EF" w:rsidP="00FF0098">
      <w:pPr>
        <w:pStyle w:val="Heading4"/>
        <w:tabs>
          <w:tab w:val="left" w:pos="0"/>
        </w:tabs>
      </w:pPr>
      <w:r>
        <w:t xml:space="preserve">Installation's energy consumption goes from more than 70% to less than 70% of the site's energy consumption </w:t>
      </w:r>
    </w:p>
    <w:p w14:paraId="27896079" w14:textId="77777777" w:rsidR="00026E66" w:rsidRDefault="002737EF" w:rsidP="00FF0098">
      <w:pPr>
        <w:tabs>
          <w:tab w:val="left" w:pos="0"/>
        </w:tabs>
      </w:pPr>
      <w:r>
        <w:t xml:space="preserve">In this case the eligible facility will start as the whole site. However, the change will mean that the eligible facility is now just the installation. This means that the installation (plus an optional energy consumption by other site activities up to 3/7ths of energy consumption by the installation) must be separately sub-metered to allow the gathering of 12 months of actual consumption data for the new extent of the installation and any additional 3/7ths of energy that the operator wishes to include in the eligible facility. We expect the sub-metering to be installed within six months of our acceptance of the variation. </w:t>
      </w:r>
    </w:p>
    <w:p w14:paraId="5C46BD60" w14:textId="77777777" w:rsidR="00026E66" w:rsidRDefault="002737EF" w:rsidP="00FF0098">
      <w:pPr>
        <w:tabs>
          <w:tab w:val="left" w:pos="0"/>
        </w:tabs>
      </w:pPr>
      <w:r>
        <w:lastRenderedPageBreak/>
        <w:t xml:space="preserve">At the end of the target period during which the change occurred, if sub-metering was not in place to allow the energy consumption of the new eligible facility to be reported on metered values for the entire 24-month target period, then the target facility will report based on its original extent of eligibility for the entire 24 months of the target period. </w:t>
      </w:r>
    </w:p>
    <w:p w14:paraId="20DBE74A" w14:textId="77777777" w:rsidR="00026E66" w:rsidRDefault="002737EF" w:rsidP="00FF0098">
      <w:pPr>
        <w:tabs>
          <w:tab w:val="left" w:pos="0"/>
        </w:tabs>
      </w:pPr>
      <w:r>
        <w:t xml:space="preserve">Once 12 months' actual consumption data have been gathered (including the optional 3/7ths where required), the baseline will be reconstructed, and revised numerical targets calculated. However, as stated above, this will only be done for target periods following the target period during which the change occurred if there was insufficient sub-metering in place to allow the new eligible facility to report on metered values for the target period during which the change occurred. </w:t>
      </w:r>
    </w:p>
    <w:p w14:paraId="2F44CC70" w14:textId="00861432" w:rsidR="00026E66" w:rsidRDefault="002737EF" w:rsidP="00FF0098">
      <w:pPr>
        <w:tabs>
          <w:tab w:val="left" w:pos="0"/>
        </w:tabs>
      </w:pPr>
      <w:r>
        <w:t>This baseline reconstruction process will use the newly collected 12 months of sub-metered data as follows:</w:t>
      </w:r>
      <w:r w:rsidR="00FC355D">
        <w:t xml:space="preserve"> </w:t>
      </w:r>
    </w:p>
    <w:p w14:paraId="7D63B442" w14:textId="77777777" w:rsidR="00026E66" w:rsidRDefault="002737EF" w:rsidP="0065356B">
      <w:pPr>
        <w:pStyle w:val="ListParagraph"/>
        <w:numPr>
          <w:ilvl w:val="0"/>
          <w:numId w:val="51"/>
        </w:numPr>
        <w:tabs>
          <w:tab w:val="left" w:pos="0"/>
        </w:tabs>
      </w:pPr>
      <w:r w:rsidRPr="00E955A3">
        <w:rPr>
          <w:szCs w:val="24"/>
        </w:rPr>
        <w:t>the</w:t>
      </w:r>
      <w:r>
        <w:t xml:space="preserve"> proportion of energy consumed at the site that is consumed in the installation (plus any additional energy consumed by other activities up to 3/7ths of the installation, if applicable) is calculated. </w:t>
      </w:r>
    </w:p>
    <w:p w14:paraId="7507446E" w14:textId="77777777" w:rsidR="00026E66" w:rsidRDefault="002737EF" w:rsidP="0065356B">
      <w:pPr>
        <w:pStyle w:val="ListParagraph"/>
        <w:numPr>
          <w:ilvl w:val="0"/>
          <w:numId w:val="51"/>
        </w:numPr>
        <w:tabs>
          <w:tab w:val="left" w:pos="0"/>
        </w:tabs>
      </w:pPr>
      <w:r w:rsidRPr="00E955A3">
        <w:rPr>
          <w:szCs w:val="24"/>
        </w:rPr>
        <w:t>this</w:t>
      </w:r>
      <w:r>
        <w:t xml:space="preserve"> proportion is applied to the energy consumed at the site in the base year. This will give a new quantity of energy in the base year for the new eligible facility. A baseline reconstruction workbook tool is available in </w:t>
      </w:r>
      <w:hyperlink w:anchor="_Appendix_H:_Workbook" w:history="1">
        <w:r>
          <w:rPr>
            <w:rStyle w:val="Hyperlink"/>
          </w:rPr>
          <w:t>Appendix H</w:t>
        </w:r>
      </w:hyperlink>
      <w:r w:rsidRPr="00E955A3">
        <w:rPr>
          <w:u w:val="single" w:color="0077B9"/>
        </w:rPr>
        <w:t>.</w:t>
      </w:r>
      <w:r>
        <w:t xml:space="preserve"> </w:t>
      </w:r>
    </w:p>
    <w:p w14:paraId="32D924ED" w14:textId="77777777" w:rsidR="00026E66" w:rsidRDefault="002737EF" w:rsidP="00FF0098">
      <w:pPr>
        <w:tabs>
          <w:tab w:val="left" w:pos="0"/>
        </w:tabs>
      </w:pPr>
      <w:r>
        <w:t xml:space="preserve">To determine the fuel split (the mixture of fuel used) of the new quantity of baseline energy, the percentage fuel split for the installation (plus the additional 3/7ths, if applicable) from the 12 months of data is applied. </w:t>
      </w:r>
    </w:p>
    <w:p w14:paraId="4F6A6067" w14:textId="77777777" w:rsidR="00026E66" w:rsidRDefault="002737EF" w:rsidP="00FF0098">
      <w:pPr>
        <w:tabs>
          <w:tab w:val="left" w:pos="0"/>
        </w:tabs>
      </w:pPr>
      <w:r>
        <w:t xml:space="preserve">If this process gives a value for the consumption of a particular fuel type greater than that consumed at the site in the base year, the consumption of that fuel type will be limited to the actual consumption and the difference will be redistributed across the other fuel types. </w:t>
      </w:r>
    </w:p>
    <w:p w14:paraId="3F01341F" w14:textId="77777777" w:rsidR="00026E66" w:rsidRDefault="002737EF" w:rsidP="00FF0098">
      <w:pPr>
        <w:tabs>
          <w:tab w:val="left" w:pos="0"/>
        </w:tabs>
      </w:pPr>
      <w:r>
        <w:t xml:space="preserve">The redistribution will be carried out to preserve the actual percentage fuel split in the installation (plus the additional 3/7ths, if applicable) from the 12 months of data. </w:t>
      </w:r>
    </w:p>
    <w:p w14:paraId="2C3967E6" w14:textId="77777777" w:rsidR="00026E66" w:rsidRDefault="002737EF" w:rsidP="00FF0098">
      <w:pPr>
        <w:tabs>
          <w:tab w:val="left" w:pos="0"/>
        </w:tabs>
      </w:pPr>
      <w:r>
        <w:t xml:space="preserve">Due to putting in place sub-metering beyond that covering the installation, the eligible facility can now be regarded as the installation plus energy consumption by other activities up to 3/7ths of the installation. If the operator wishes to redefine the eligible facility as the installation plus other energy consumption up to 3/7ths of the installation, the eligible facility will be re-baselined once 12 months of sub-metered data for the additional 3/7ths have been collected. This process can be described as follows. </w:t>
      </w:r>
    </w:p>
    <w:p w14:paraId="3153A5D7" w14:textId="77777777" w:rsidR="00026E66" w:rsidRDefault="002737EF" w:rsidP="0065356B">
      <w:pPr>
        <w:pStyle w:val="ListParagraph"/>
        <w:numPr>
          <w:ilvl w:val="0"/>
          <w:numId w:val="52"/>
        </w:numPr>
        <w:tabs>
          <w:tab w:val="left" w:pos="0"/>
        </w:tabs>
      </w:pPr>
      <w:r>
        <w:t xml:space="preserve">The ratio of energy consumed in the installation plus the 3/7ths to the energy consumed in the installation is calculated. This calculation will use energy consumption data for the installation from the same 12 months period as that collected for the first time for the 3/7ths. </w:t>
      </w:r>
    </w:p>
    <w:p w14:paraId="710E074A" w14:textId="77777777" w:rsidR="00026E66" w:rsidRDefault="002737EF" w:rsidP="0065356B">
      <w:pPr>
        <w:pStyle w:val="ListParagraph"/>
        <w:numPr>
          <w:ilvl w:val="0"/>
          <w:numId w:val="52"/>
        </w:numPr>
        <w:tabs>
          <w:tab w:val="left" w:pos="0"/>
        </w:tabs>
      </w:pPr>
      <w:r>
        <w:lastRenderedPageBreak/>
        <w:t xml:space="preserve">This ratio will be applied to the installation's energy consumption in the base year. This will calculate a new quantity of energy in the base year for the new eligible facility. </w:t>
      </w:r>
    </w:p>
    <w:p w14:paraId="423A8816" w14:textId="77777777" w:rsidR="00026E66" w:rsidRDefault="002737EF" w:rsidP="00FF0098">
      <w:pPr>
        <w:tabs>
          <w:tab w:val="left" w:pos="0"/>
        </w:tabs>
      </w:pPr>
      <w:r>
        <w:t>In determining the fuel split of the new quantity of energy in the base year, the percentage fuel split for the installation plus 3/7ths from the 12 months of data will be applied as described above.</w:t>
      </w:r>
    </w:p>
    <w:p w14:paraId="5A83848A" w14:textId="77777777" w:rsidR="00026E66" w:rsidRDefault="002737EF" w:rsidP="00FF0098">
      <w:pPr>
        <w:pStyle w:val="Heading3"/>
        <w:tabs>
          <w:tab w:val="left" w:pos="0"/>
        </w:tabs>
      </w:pPr>
      <w:bookmarkStart w:id="174" w:name="_7.5.2._Review_of"/>
      <w:bookmarkStart w:id="175" w:name="_Toc95211836"/>
      <w:bookmarkEnd w:id="174"/>
      <w:r>
        <w:t>7.5.2. Review of the baseline following the discovery of an error</w:t>
      </w:r>
      <w:bookmarkEnd w:id="175"/>
      <w:r>
        <w:t xml:space="preserve"> </w:t>
      </w:r>
    </w:p>
    <w:p w14:paraId="02808617" w14:textId="77777777" w:rsidR="00026E66" w:rsidRDefault="002737EF" w:rsidP="00FF0098">
      <w:pPr>
        <w:tabs>
          <w:tab w:val="left" w:pos="0"/>
        </w:tabs>
        <w:ind w:right="182"/>
      </w:pPr>
      <w:r>
        <w:t xml:space="preserve">This section covers corrections for error(s) discovered in baseline data. </w:t>
      </w:r>
    </w:p>
    <w:p w14:paraId="17A4DFAC" w14:textId="77777777" w:rsidR="00026E66" w:rsidRDefault="002737EF" w:rsidP="00FF0098">
      <w:pPr>
        <w:tabs>
          <w:tab w:val="left" w:pos="0"/>
        </w:tabs>
        <w:ind w:right="182"/>
      </w:pPr>
      <w:r>
        <w:t>In line with Rule 6.3</w:t>
      </w:r>
      <w:r>
        <w:rPr>
          <w:color w:val="auto"/>
          <w:szCs w:val="24"/>
        </w:rPr>
        <w:t xml:space="preserve"> (Schedule 1 to the underlying agreement),</w:t>
      </w:r>
      <w:r>
        <w:rPr>
          <w:color w:val="auto"/>
        </w:rPr>
        <w:t xml:space="preserve"> targets </w:t>
      </w:r>
      <w:r>
        <w:rPr>
          <w:color w:val="auto"/>
          <w:szCs w:val="24"/>
        </w:rPr>
        <w:t xml:space="preserve">will be adjusted </w:t>
      </w:r>
      <w:r>
        <w:rPr>
          <w:color w:val="auto"/>
        </w:rPr>
        <w:t>to reflect errors in the baseline (for example, those discovered during an audit</w:t>
      </w:r>
      <w:r>
        <w:rPr>
          <w:color w:val="auto"/>
          <w:szCs w:val="24"/>
        </w:rPr>
        <w:t>). This is done</w:t>
      </w:r>
      <w:r>
        <w:rPr>
          <w:color w:val="auto"/>
        </w:rPr>
        <w:t xml:space="preserve"> by </w:t>
      </w:r>
      <w:r>
        <w:rPr>
          <w:color w:val="auto"/>
          <w:szCs w:val="24"/>
        </w:rPr>
        <w:t xml:space="preserve">amending the baseline to </w:t>
      </w:r>
      <w:r>
        <w:rPr>
          <w:color w:val="auto"/>
        </w:rPr>
        <w:t xml:space="preserve">correct the </w:t>
      </w:r>
      <w:r>
        <w:rPr>
          <w:color w:val="auto"/>
          <w:szCs w:val="24"/>
        </w:rPr>
        <w:t xml:space="preserve">error. The </w:t>
      </w:r>
      <w:r>
        <w:rPr>
          <w:color w:val="auto"/>
        </w:rPr>
        <w:t xml:space="preserve">original percentage improvement target </w:t>
      </w:r>
      <w:r>
        <w:rPr>
          <w:color w:val="auto"/>
          <w:szCs w:val="24"/>
        </w:rPr>
        <w:t>is then applied against this revised baseline</w:t>
      </w:r>
      <w:r>
        <w:rPr>
          <w:color w:val="auto"/>
        </w:rPr>
        <w:t xml:space="preserve">. </w:t>
      </w:r>
    </w:p>
    <w:p w14:paraId="2B258F9F" w14:textId="76129CAA" w:rsidR="00026E66" w:rsidRDefault="002737EF" w:rsidP="00FF0098">
      <w:pPr>
        <w:tabs>
          <w:tab w:val="left" w:pos="0"/>
        </w:tabs>
        <w:ind w:right="182"/>
      </w:pPr>
      <w:r>
        <w:t xml:space="preserve">The 'Target calculator' workbook tool provided in </w:t>
      </w:r>
      <w:hyperlink w:anchor="_Appendix_H:_Workbook" w:history="1">
        <w:r w:rsidRPr="007A7512">
          <w:rPr>
            <w:rStyle w:val="Hyperlink"/>
          </w:rPr>
          <w:t>Appendix H</w:t>
        </w:r>
      </w:hyperlink>
      <w:r>
        <w:t xml:space="preserve"> can be used to recalculate the numerical target. </w:t>
      </w:r>
    </w:p>
    <w:p w14:paraId="5B0391D7" w14:textId="77777777" w:rsidR="00026E66" w:rsidRDefault="002737EF" w:rsidP="00FF0098">
      <w:pPr>
        <w:tabs>
          <w:tab w:val="left" w:pos="0"/>
        </w:tabs>
      </w:pPr>
      <w:r>
        <w:t xml:space="preserve">If an error in the baseline is discovered, you must notify us within 20 working days of discovering the error. The notification should include an explanation of the cause of the error, how it came to be identified, and how it has been or will be resolved. </w:t>
      </w:r>
    </w:p>
    <w:p w14:paraId="32FEBF18" w14:textId="44352CF4" w:rsidR="00026E66" w:rsidRDefault="002737EF" w:rsidP="00FF0098">
      <w:pPr>
        <w:pStyle w:val="Heading2"/>
        <w:tabs>
          <w:tab w:val="left" w:pos="0"/>
        </w:tabs>
      </w:pPr>
      <w:bookmarkStart w:id="176" w:name="_7.6._Updating_the"/>
      <w:bookmarkStart w:id="177" w:name="_Toc94718655"/>
      <w:bookmarkStart w:id="178" w:name="_Toc94088903"/>
      <w:bookmarkStart w:id="179" w:name="_Toc95211837"/>
      <w:bookmarkEnd w:id="176"/>
      <w:r>
        <w:t>7.6. Updating the baseline from estimated to actual values</w:t>
      </w:r>
      <w:bookmarkEnd w:id="177"/>
      <w:bookmarkEnd w:id="178"/>
      <w:bookmarkEnd w:id="179"/>
      <w:r w:rsidR="00FC355D">
        <w:t xml:space="preserve"> </w:t>
      </w:r>
    </w:p>
    <w:p w14:paraId="7FEBF6A9" w14:textId="1525D52D" w:rsidR="00026E66" w:rsidRPr="00E955A3" w:rsidRDefault="002737EF" w:rsidP="00E955A3">
      <w:pPr>
        <w:tabs>
          <w:tab w:val="left" w:pos="0"/>
        </w:tabs>
        <w:spacing w:after="0"/>
        <w:ind w:right="182"/>
      </w:pPr>
      <w:r>
        <w:rPr>
          <w:color w:val="auto"/>
          <w:szCs w:val="24"/>
        </w:rPr>
        <w:t xml:space="preserve">A </w:t>
      </w:r>
      <w:r>
        <w:rPr>
          <w:color w:val="auto"/>
        </w:rPr>
        <w:t xml:space="preserve">target unit </w:t>
      </w:r>
      <w:r>
        <w:rPr>
          <w:color w:val="auto"/>
          <w:szCs w:val="24"/>
        </w:rPr>
        <w:t>with</w:t>
      </w:r>
      <w:r>
        <w:rPr>
          <w:color w:val="auto"/>
        </w:rPr>
        <w:t xml:space="preserve"> a greenfield facility </w:t>
      </w:r>
      <w:r>
        <w:rPr>
          <w:color w:val="auto"/>
          <w:szCs w:val="24"/>
        </w:rPr>
        <w:t>will have an</w:t>
      </w:r>
      <w:r>
        <w:rPr>
          <w:color w:val="auto"/>
        </w:rPr>
        <w:t xml:space="preserve"> estimated </w:t>
      </w:r>
      <w:r>
        <w:rPr>
          <w:color w:val="auto"/>
          <w:szCs w:val="24"/>
        </w:rPr>
        <w:t xml:space="preserve">interim base year performance. Once available, </w:t>
      </w:r>
      <w:r>
        <w:rPr>
          <w:color w:val="auto"/>
        </w:rPr>
        <w:t xml:space="preserve">12 </w:t>
      </w:r>
      <w:r>
        <w:rPr>
          <w:color w:val="auto"/>
          <w:szCs w:val="24"/>
        </w:rPr>
        <w:t xml:space="preserve">months of </w:t>
      </w:r>
      <w:r>
        <w:rPr>
          <w:color w:val="auto"/>
        </w:rPr>
        <w:t xml:space="preserve">continuous </w:t>
      </w:r>
      <w:r>
        <w:rPr>
          <w:color w:val="auto"/>
          <w:szCs w:val="24"/>
        </w:rPr>
        <w:t xml:space="preserve">data must be submitted to calculate a </w:t>
      </w:r>
      <w:r>
        <w:rPr>
          <w:color w:val="auto"/>
        </w:rPr>
        <w:t xml:space="preserve">numerical </w:t>
      </w:r>
      <w:r>
        <w:rPr>
          <w:color w:val="auto"/>
          <w:szCs w:val="24"/>
        </w:rPr>
        <w:t>target. Sectors should contact their facilitators</w:t>
      </w:r>
      <w:r>
        <w:rPr>
          <w:color w:val="auto"/>
        </w:rPr>
        <w:t xml:space="preserve"> to </w:t>
      </w:r>
      <w:r>
        <w:rPr>
          <w:color w:val="auto"/>
          <w:szCs w:val="24"/>
        </w:rPr>
        <w:t xml:space="preserve">discuss this type of change. </w:t>
      </w:r>
    </w:p>
    <w:p w14:paraId="1A62A6CF" w14:textId="736AF114" w:rsidR="00026E66" w:rsidRDefault="002737EF" w:rsidP="00FF0098">
      <w:pPr>
        <w:pStyle w:val="Heading2"/>
        <w:tabs>
          <w:tab w:val="left" w:pos="0"/>
        </w:tabs>
      </w:pPr>
      <w:bookmarkStart w:id="180" w:name="_7.7._Changing_the"/>
      <w:bookmarkStart w:id="181" w:name="_Toc94718656"/>
      <w:bookmarkStart w:id="182" w:name="_Toc94088904"/>
      <w:bookmarkStart w:id="183" w:name="_Toc95211838"/>
      <w:bookmarkEnd w:id="180"/>
      <w:r>
        <w:t>7.7. Changing the target currency (Novem to relative)</w:t>
      </w:r>
      <w:bookmarkEnd w:id="181"/>
      <w:bookmarkEnd w:id="182"/>
      <w:bookmarkEnd w:id="183"/>
      <w:r w:rsidR="00FC355D">
        <w:t xml:space="preserve"> </w:t>
      </w:r>
    </w:p>
    <w:p w14:paraId="55A61EF3" w14:textId="77777777" w:rsidR="00026E66" w:rsidRDefault="002737EF" w:rsidP="00FF0098">
      <w:pPr>
        <w:tabs>
          <w:tab w:val="left" w:pos="0"/>
        </w:tabs>
        <w:spacing w:after="0"/>
        <w:ind w:right="182"/>
      </w:pPr>
      <w:r>
        <w:rPr>
          <w:color w:val="auto"/>
          <w:szCs w:val="24"/>
        </w:rPr>
        <w:t>Target units</w:t>
      </w:r>
      <w:r>
        <w:rPr>
          <w:color w:val="auto"/>
        </w:rPr>
        <w:t xml:space="preserve"> can change between a standard relative and a relative Novem target (and vice versa). </w:t>
      </w:r>
      <w:r>
        <w:rPr>
          <w:color w:val="auto"/>
          <w:szCs w:val="24"/>
        </w:rPr>
        <w:t>Sectors should contact their facilitators</w:t>
      </w:r>
      <w:r>
        <w:rPr>
          <w:color w:val="auto"/>
        </w:rPr>
        <w:t xml:space="preserve"> in </w:t>
      </w:r>
      <w:r>
        <w:rPr>
          <w:color w:val="auto"/>
          <w:szCs w:val="24"/>
        </w:rPr>
        <w:t xml:space="preserve">the first instance to discuss this type </w:t>
      </w:r>
      <w:r>
        <w:rPr>
          <w:color w:val="auto"/>
        </w:rPr>
        <w:t xml:space="preserve">of </w:t>
      </w:r>
      <w:r>
        <w:rPr>
          <w:color w:val="auto"/>
          <w:szCs w:val="24"/>
        </w:rPr>
        <w:t xml:space="preserve">change. Novem targets cannot be applied retrospectively to </w:t>
      </w:r>
      <w:r>
        <w:rPr>
          <w:color w:val="auto"/>
        </w:rPr>
        <w:t xml:space="preserve">a target period </w:t>
      </w:r>
      <w:r>
        <w:rPr>
          <w:color w:val="auto"/>
          <w:szCs w:val="24"/>
        </w:rPr>
        <w:t xml:space="preserve">that has already ended, </w:t>
      </w:r>
      <w:r>
        <w:rPr>
          <w:color w:val="auto"/>
        </w:rPr>
        <w:t xml:space="preserve">and the </w:t>
      </w:r>
      <w:r>
        <w:rPr>
          <w:color w:val="auto"/>
          <w:szCs w:val="24"/>
        </w:rPr>
        <w:t>decision</w:t>
      </w:r>
      <w:r>
        <w:rPr>
          <w:color w:val="auto"/>
        </w:rPr>
        <w:t xml:space="preserve"> to </w:t>
      </w:r>
      <w:r>
        <w:rPr>
          <w:color w:val="auto"/>
          <w:szCs w:val="24"/>
        </w:rPr>
        <w:t xml:space="preserve">switch to a Novem </w:t>
      </w:r>
      <w:r>
        <w:rPr>
          <w:color w:val="auto"/>
        </w:rPr>
        <w:t xml:space="preserve">target </w:t>
      </w:r>
      <w:r>
        <w:rPr>
          <w:color w:val="auto"/>
          <w:szCs w:val="24"/>
        </w:rPr>
        <w:t xml:space="preserve">should be taken at the earliest possible opportunity. </w:t>
      </w:r>
    </w:p>
    <w:p w14:paraId="60FE429E" w14:textId="77777777" w:rsidR="00026E66" w:rsidRDefault="002737EF" w:rsidP="00FF0098">
      <w:pPr>
        <w:pStyle w:val="Heading2"/>
        <w:tabs>
          <w:tab w:val="left" w:pos="0"/>
        </w:tabs>
      </w:pPr>
      <w:bookmarkStart w:id="184" w:name="_7.8._Variations_for"/>
      <w:bookmarkStart w:id="185" w:name="_Toc94718657"/>
      <w:bookmarkStart w:id="186" w:name="_Toc94088905"/>
      <w:bookmarkStart w:id="187" w:name="_Toc95211839"/>
      <w:bookmarkEnd w:id="184"/>
      <w:r>
        <w:lastRenderedPageBreak/>
        <w:t>7.8. Variations for reporting</w:t>
      </w:r>
      <w:bookmarkEnd w:id="185"/>
      <w:bookmarkEnd w:id="186"/>
      <w:bookmarkEnd w:id="187"/>
      <w:r>
        <w:t xml:space="preserve"> </w:t>
      </w:r>
    </w:p>
    <w:p w14:paraId="154E8849" w14:textId="2F6243B9" w:rsidR="00026E66" w:rsidRDefault="002737EF" w:rsidP="00FF0098">
      <w:pPr>
        <w:tabs>
          <w:tab w:val="left" w:pos="0"/>
        </w:tabs>
      </w:pPr>
      <w:r>
        <w:t xml:space="preserve">There are two circumstances in which variations must be submitted in the month after the end of a target period, to reflect changes which may impact on a target unit's target. These are described in further detail in </w:t>
      </w:r>
      <w:hyperlink w:anchor="_10.4._Target_adjustments" w:history="1">
        <w:r>
          <w:rPr>
            <w:rStyle w:val="Hyperlink"/>
          </w:rPr>
          <w:t>Section 10.4</w:t>
        </w:r>
      </w:hyperlink>
      <w:r>
        <w:t>.</w:t>
      </w:r>
      <w:r w:rsidR="00FC355D">
        <w:t xml:space="preserve"> </w:t>
      </w:r>
    </w:p>
    <w:p w14:paraId="213FF07E" w14:textId="47E39B3B" w:rsidR="00026E66" w:rsidRDefault="002737EF" w:rsidP="00E955A3">
      <w:pPr>
        <w:pStyle w:val="Heading2"/>
        <w:tabs>
          <w:tab w:val="left" w:pos="0"/>
        </w:tabs>
      </w:pPr>
      <w:bookmarkStart w:id="188" w:name="_7.9._Other_types"/>
      <w:bookmarkStart w:id="189" w:name="_Toc94718658"/>
      <w:bookmarkStart w:id="190" w:name="_Toc94088906"/>
      <w:bookmarkStart w:id="191" w:name="_Toc95211840"/>
      <w:bookmarkEnd w:id="188"/>
      <w:r>
        <w:t>7.9. Other types of variation</w:t>
      </w:r>
      <w:bookmarkEnd w:id="189"/>
      <w:bookmarkEnd w:id="190"/>
      <w:bookmarkEnd w:id="191"/>
      <w:r>
        <w:t xml:space="preserve"> </w:t>
      </w:r>
    </w:p>
    <w:p w14:paraId="2CF9DCDB" w14:textId="77777777" w:rsidR="00026E66" w:rsidRDefault="002737EF" w:rsidP="00FF0098">
      <w:pPr>
        <w:tabs>
          <w:tab w:val="left" w:pos="0"/>
        </w:tabs>
      </w:pPr>
      <w:r>
        <w:t xml:space="preserve">Any other type of a variation an operator may wish to make that is not listed above can be submitted to the register under this section. It should include a detailed description of the variation and be supported by evidence. Examples include: </w:t>
      </w:r>
    </w:p>
    <w:p w14:paraId="089A7CB0" w14:textId="77777777" w:rsidR="00026E66" w:rsidRDefault="002737EF" w:rsidP="0065356B">
      <w:pPr>
        <w:pStyle w:val="ListParagraph"/>
        <w:numPr>
          <w:ilvl w:val="0"/>
          <w:numId w:val="53"/>
        </w:numPr>
        <w:tabs>
          <w:tab w:val="left" w:pos="0"/>
        </w:tabs>
      </w:pPr>
      <w:r>
        <w:t xml:space="preserve">changing the address of an individual facility due to an error with the original facility address or postal system – but if the facility is actually moving site, a new facility eligibility application is required </w:t>
      </w:r>
    </w:p>
    <w:p w14:paraId="29AE33D5" w14:textId="77777777" w:rsidR="00026E66" w:rsidRDefault="002737EF" w:rsidP="0065356B">
      <w:pPr>
        <w:pStyle w:val="ListParagraph"/>
        <w:numPr>
          <w:ilvl w:val="0"/>
          <w:numId w:val="53"/>
        </w:numPr>
        <w:tabs>
          <w:tab w:val="left" w:pos="0"/>
        </w:tabs>
      </w:pPr>
      <w:r>
        <w:t xml:space="preserve">changing an ETS permit number </w:t>
      </w:r>
    </w:p>
    <w:p w14:paraId="1B0743F1" w14:textId="77777777" w:rsidR="00026E66" w:rsidRDefault="002737EF" w:rsidP="00FF0098">
      <w:pPr>
        <w:pStyle w:val="Heading2"/>
        <w:tabs>
          <w:tab w:val="left" w:pos="0"/>
        </w:tabs>
      </w:pPr>
      <w:bookmarkStart w:id="192" w:name="_7.10._What_cannot"/>
      <w:bookmarkStart w:id="193" w:name="_Toc94718659"/>
      <w:bookmarkStart w:id="194" w:name="_Toc94088907"/>
      <w:bookmarkStart w:id="195" w:name="_Toc95211841"/>
      <w:bookmarkEnd w:id="192"/>
      <w:r>
        <w:t>7.10. What cannot be changed by a variation</w:t>
      </w:r>
      <w:bookmarkEnd w:id="193"/>
      <w:bookmarkEnd w:id="194"/>
      <w:bookmarkEnd w:id="195"/>
      <w:r>
        <w:t xml:space="preserve"> </w:t>
      </w:r>
    </w:p>
    <w:p w14:paraId="00C6304F" w14:textId="77777777" w:rsidR="00026E66" w:rsidRDefault="002737EF" w:rsidP="00FF0098">
      <w:pPr>
        <w:tabs>
          <w:tab w:val="left" w:pos="0"/>
        </w:tabs>
        <w:ind w:right="182"/>
      </w:pPr>
      <w:r>
        <w:t>To maintain stability within the scheme</w:t>
      </w:r>
      <w:r>
        <w:rPr>
          <w:color w:val="auto"/>
          <w:szCs w:val="24"/>
        </w:rPr>
        <w:t xml:space="preserve">, a number of areas of an agreement cannot be changed. Target unit target (% value) unless there is a relevant variation </w:t>
      </w:r>
    </w:p>
    <w:p w14:paraId="4E3807EC" w14:textId="77777777" w:rsidR="00026E66" w:rsidRDefault="002737EF" w:rsidP="00FF0098">
      <w:pPr>
        <w:tabs>
          <w:tab w:val="left" w:pos="0"/>
        </w:tabs>
        <w:ind w:right="182"/>
      </w:pPr>
      <w:r>
        <w:rPr>
          <w:color w:val="auto"/>
          <w:szCs w:val="24"/>
        </w:rPr>
        <w:t xml:space="preserve">An operator isn't allowed to amend </w:t>
      </w:r>
      <w:r>
        <w:rPr>
          <w:color w:val="auto"/>
        </w:rPr>
        <w:t xml:space="preserve">the percentage </w:t>
      </w:r>
      <w:r>
        <w:rPr>
          <w:color w:val="auto"/>
          <w:szCs w:val="24"/>
        </w:rPr>
        <w:t>target. However, the numerical value of the target may change if the baseline is amended following a variation.</w:t>
      </w:r>
      <w:r>
        <w:rPr>
          <w:color w:val="auto"/>
        </w:rPr>
        <w:t xml:space="preserve"> </w:t>
      </w:r>
    </w:p>
    <w:p w14:paraId="278725A5" w14:textId="009A31BC" w:rsidR="00026E66" w:rsidRPr="007A7512" w:rsidRDefault="002737EF" w:rsidP="007A7512">
      <w:pPr>
        <w:tabs>
          <w:tab w:val="left" w:pos="0"/>
        </w:tabs>
        <w:ind w:right="182"/>
      </w:pPr>
      <w:r>
        <w:rPr>
          <w:color w:val="auto"/>
        </w:rPr>
        <w:t xml:space="preserve">The only situation where a percentage target might change is where </w:t>
      </w:r>
      <w:r>
        <w:rPr>
          <w:color w:val="auto"/>
          <w:szCs w:val="24"/>
        </w:rPr>
        <w:t>facilities leave or enter</w:t>
      </w:r>
      <w:r>
        <w:rPr>
          <w:color w:val="auto"/>
        </w:rPr>
        <w:t xml:space="preserve"> existing target </w:t>
      </w:r>
      <w:r>
        <w:rPr>
          <w:color w:val="auto"/>
          <w:szCs w:val="24"/>
        </w:rPr>
        <w:t>units</w:t>
      </w:r>
      <w:r>
        <w:rPr>
          <w:color w:val="auto"/>
        </w:rPr>
        <w:t xml:space="preserve">. </w:t>
      </w:r>
    </w:p>
    <w:p w14:paraId="06BBFFD7" w14:textId="3BB73A79" w:rsidR="00026E66" w:rsidRDefault="002737EF" w:rsidP="00FF0098">
      <w:pPr>
        <w:pStyle w:val="Heading3"/>
        <w:tabs>
          <w:tab w:val="left" w:pos="0"/>
        </w:tabs>
      </w:pPr>
      <w:bookmarkStart w:id="196" w:name="_Toc95211842"/>
      <w:r>
        <w:t>7.10.1. Target currency (absolute to relative)</w:t>
      </w:r>
      <w:bookmarkEnd w:id="196"/>
      <w:r w:rsidR="00FC355D">
        <w:t xml:space="preserve"> </w:t>
      </w:r>
    </w:p>
    <w:p w14:paraId="7A0CA91E" w14:textId="4C27FBA9" w:rsidR="00026E66" w:rsidRPr="00E955A3" w:rsidRDefault="002737EF" w:rsidP="00FF0098">
      <w:pPr>
        <w:tabs>
          <w:tab w:val="left" w:pos="0"/>
        </w:tabs>
        <w:spacing w:after="0"/>
        <w:ind w:right="182"/>
      </w:pPr>
      <w:r>
        <w:rPr>
          <w:color w:val="auto"/>
          <w:szCs w:val="24"/>
        </w:rPr>
        <w:t>Outside</w:t>
      </w:r>
      <w:r>
        <w:rPr>
          <w:color w:val="auto"/>
        </w:rPr>
        <w:t xml:space="preserve"> the </w:t>
      </w:r>
      <w:r>
        <w:rPr>
          <w:color w:val="auto"/>
          <w:szCs w:val="24"/>
        </w:rPr>
        <w:t xml:space="preserve">TP5 </w:t>
      </w:r>
      <w:r>
        <w:rPr>
          <w:color w:val="auto"/>
        </w:rPr>
        <w:t>amendments window</w:t>
      </w:r>
      <w:r>
        <w:rPr>
          <w:color w:val="auto"/>
          <w:szCs w:val="24"/>
        </w:rPr>
        <w:t xml:space="preserve">, it is not possible for an operator to change between an absolute and relative target. That means that the operator of a target unit with an absolute target in its underlying agreement can't change to a relative target, or vice versa. The only exception is where a target unit with a relative target wishes to change the target from a standard relative target to a relative Novem target (and vice versa). </w:t>
      </w:r>
    </w:p>
    <w:p w14:paraId="52C0E633" w14:textId="77777777" w:rsidR="00026E66" w:rsidRDefault="002737EF" w:rsidP="00FF0098">
      <w:pPr>
        <w:pStyle w:val="ListParagraph"/>
        <w:tabs>
          <w:tab w:val="left" w:pos="0"/>
        </w:tabs>
        <w:spacing w:after="120"/>
        <w:ind w:left="0"/>
      </w:pPr>
      <w:r>
        <w:rPr>
          <w:szCs w:val="24"/>
        </w:rPr>
        <w:t xml:space="preserve">The amendments window from </w:t>
      </w:r>
      <w:r>
        <w:t>1 July 2021 to 30 September 2021</w:t>
      </w:r>
      <w:r>
        <w:rPr>
          <w:szCs w:val="24"/>
        </w:rPr>
        <w:t xml:space="preserve"> allowed the Administrator</w:t>
      </w:r>
      <w:r>
        <w:t xml:space="preserve"> to vary </w:t>
      </w:r>
      <w:r>
        <w:rPr>
          <w:szCs w:val="24"/>
        </w:rPr>
        <w:t>underlying</w:t>
      </w:r>
      <w:r>
        <w:t xml:space="preserve"> agreements to allow operators of target units with an absolute target to </w:t>
      </w:r>
      <w:r>
        <w:rPr>
          <w:szCs w:val="24"/>
        </w:rPr>
        <w:t>vary their target period 5 target</w:t>
      </w:r>
      <w:r>
        <w:t xml:space="preserve"> to a relative or relative Novem target</w:t>
      </w:r>
      <w:r>
        <w:rPr>
          <w:szCs w:val="24"/>
        </w:rPr>
        <w:t>. Amendments</w:t>
      </w:r>
      <w:r>
        <w:t xml:space="preserve"> are </w:t>
      </w:r>
      <w:r>
        <w:rPr>
          <w:szCs w:val="24"/>
        </w:rPr>
        <w:t>not allowed outside 1 July 2021 to 30 September 2021</w:t>
      </w:r>
      <w:r>
        <w:t>.</w:t>
      </w:r>
    </w:p>
    <w:p w14:paraId="4D4C0792" w14:textId="77777777" w:rsidR="00026E66" w:rsidRDefault="002737EF" w:rsidP="00FF0098">
      <w:pPr>
        <w:pStyle w:val="Heading3"/>
        <w:tabs>
          <w:tab w:val="left" w:pos="0"/>
        </w:tabs>
      </w:pPr>
      <w:bookmarkStart w:id="197" w:name="_Toc95211843"/>
      <w:r>
        <w:lastRenderedPageBreak/>
        <w:t>7.10.2. Throughput currency</w:t>
      </w:r>
      <w:bookmarkEnd w:id="197"/>
      <w:r>
        <w:t xml:space="preserve"> </w:t>
      </w:r>
    </w:p>
    <w:p w14:paraId="2A332FAE" w14:textId="35B74E18" w:rsidR="00026E66" w:rsidRDefault="002737EF" w:rsidP="00E955A3">
      <w:pPr>
        <w:tabs>
          <w:tab w:val="left" w:pos="0"/>
        </w:tabs>
        <w:spacing w:after="0"/>
        <w:ind w:right="182"/>
      </w:pPr>
      <w:r>
        <w:rPr>
          <w:color w:val="auto"/>
        </w:rPr>
        <w:t>An operator can only amend the throughput currency of their target unit target following a structural change where a completely different product is being made at a site. This amendment can be made at any time except for the final two months of a target period. In the instance of a structural change, the sector association should submit a baseline amendment variation via the register</w:t>
      </w:r>
      <w:r>
        <w:rPr>
          <w:i/>
          <w:color w:val="auto"/>
        </w:rPr>
        <w:t>.</w:t>
      </w:r>
      <w:r>
        <w:rPr>
          <w:color w:val="auto"/>
        </w:rPr>
        <w:t xml:space="preserve"> </w:t>
      </w:r>
    </w:p>
    <w:p w14:paraId="08B8DC8A" w14:textId="77777777" w:rsidR="00026E66" w:rsidRDefault="002737EF" w:rsidP="00FF0098">
      <w:pPr>
        <w:pStyle w:val="Heading3"/>
        <w:tabs>
          <w:tab w:val="left" w:pos="0"/>
        </w:tabs>
      </w:pPr>
      <w:bookmarkStart w:id="198" w:name="_Toc95211844"/>
      <w:r>
        <w:t>7.10.3. The 12-month base year period</w:t>
      </w:r>
      <w:bookmarkEnd w:id="198"/>
      <w:r>
        <w:t xml:space="preserve"> </w:t>
      </w:r>
    </w:p>
    <w:p w14:paraId="36F141B2" w14:textId="77777777" w:rsidR="00026E66" w:rsidRDefault="002737EF" w:rsidP="00FF0098">
      <w:pPr>
        <w:tabs>
          <w:tab w:val="left" w:pos="0"/>
        </w:tabs>
        <w:spacing w:after="161" w:line="235" w:lineRule="auto"/>
        <w:ind w:right="468"/>
        <w:jc w:val="both"/>
        <w:rPr>
          <w:color w:val="auto"/>
        </w:rPr>
      </w:pPr>
      <w:r>
        <w:rPr>
          <w:color w:val="auto"/>
        </w:rPr>
        <w:t xml:space="preserve">It isn't possible to change the base year period unless this is in response to a structural change where the original base year is no longer relevant, and the baseline can't be reconstructed using the existing data. </w:t>
      </w:r>
    </w:p>
    <w:p w14:paraId="60721FE8" w14:textId="77777777" w:rsidR="00026E66" w:rsidRDefault="002737EF" w:rsidP="00FF0098">
      <w:pPr>
        <w:tabs>
          <w:tab w:val="left" w:pos="0"/>
        </w:tabs>
        <w:ind w:right="182"/>
      </w:pPr>
      <w:r>
        <w:rPr>
          <w:color w:val="auto"/>
        </w:rPr>
        <w:t xml:space="preserve">It is possible to amend the baseline if there's an error in the data. If an error is discovered, it should be reported to us within 20 working days by raising a variation in the register. Any errors in data discovered by audit (see </w:t>
      </w:r>
      <w:hyperlink w:anchor="_9._Auditing_the" w:history="1">
        <w:r>
          <w:rPr>
            <w:rStyle w:val="Hyperlink"/>
          </w:rPr>
          <w:t>section 9</w:t>
        </w:r>
      </w:hyperlink>
      <w:r>
        <w:rPr>
          <w:color w:val="auto"/>
        </w:rPr>
        <w:t xml:space="preserve">) may risk a financial penalty (see </w:t>
      </w:r>
      <w:hyperlink w:anchor="_8._Application_of" w:history="1">
        <w:r>
          <w:rPr>
            <w:rStyle w:val="Hyperlink"/>
          </w:rPr>
          <w:t>section 8</w:t>
        </w:r>
      </w:hyperlink>
      <w:r>
        <w:rPr>
          <w:color w:val="auto"/>
        </w:rPr>
        <w:t xml:space="preserve">). </w:t>
      </w:r>
    </w:p>
    <w:p w14:paraId="28B3CF69" w14:textId="116ACB94" w:rsidR="00026E66" w:rsidRPr="00E955A3" w:rsidRDefault="002737EF" w:rsidP="00E955A3">
      <w:pPr>
        <w:tabs>
          <w:tab w:val="left" w:pos="0"/>
        </w:tabs>
        <w:spacing w:after="0"/>
        <w:ind w:right="182"/>
      </w:pPr>
      <w:r>
        <w:rPr>
          <w:color w:val="auto"/>
        </w:rPr>
        <w:t>We may consider a change in the base year for a brownfield facility that has re-entered the scheme following a period of being in administration if the data for the original base year are no longer available.</w:t>
      </w:r>
      <w:r>
        <w:rPr>
          <w:color w:val="auto"/>
          <w:szCs w:val="24"/>
        </w:rPr>
        <w:t xml:space="preserve"> </w:t>
      </w:r>
    </w:p>
    <w:p w14:paraId="1528AB64" w14:textId="77777777" w:rsidR="00026E66" w:rsidRDefault="002737EF" w:rsidP="00FF0098">
      <w:pPr>
        <w:pStyle w:val="Heading3"/>
        <w:tabs>
          <w:tab w:val="left" w:pos="0"/>
        </w:tabs>
      </w:pPr>
      <w:bookmarkStart w:id="199" w:name="_Toc95211845"/>
      <w:r>
        <w:t>7.10.4. Changing sector</w:t>
      </w:r>
      <w:bookmarkEnd w:id="199"/>
      <w:r>
        <w:t xml:space="preserve"> </w:t>
      </w:r>
    </w:p>
    <w:p w14:paraId="5443D04D" w14:textId="77777777" w:rsidR="00026E66" w:rsidRDefault="002737EF" w:rsidP="00FF0098">
      <w:pPr>
        <w:tabs>
          <w:tab w:val="left" w:pos="0"/>
        </w:tabs>
        <w:ind w:right="182"/>
      </w:pPr>
      <w:r>
        <w:rPr>
          <w:color w:val="auto"/>
        </w:rPr>
        <w:t xml:space="preserve">Once a facility </w:t>
      </w:r>
      <w:r>
        <w:rPr>
          <w:color w:val="auto"/>
          <w:szCs w:val="24"/>
        </w:rPr>
        <w:t>is deemed</w:t>
      </w:r>
      <w:r>
        <w:rPr>
          <w:color w:val="auto"/>
        </w:rPr>
        <w:t xml:space="preserve"> eligible </w:t>
      </w:r>
      <w:r>
        <w:rPr>
          <w:color w:val="auto"/>
          <w:szCs w:val="24"/>
        </w:rPr>
        <w:t>to belong to</w:t>
      </w:r>
      <w:r>
        <w:rPr>
          <w:color w:val="auto"/>
        </w:rPr>
        <w:t xml:space="preserve"> a particular sector</w:t>
      </w:r>
      <w:r>
        <w:rPr>
          <w:color w:val="auto"/>
          <w:szCs w:val="24"/>
        </w:rPr>
        <w:t xml:space="preserve"> and joins that sector</w:t>
      </w:r>
      <w:r>
        <w:rPr>
          <w:color w:val="auto"/>
        </w:rPr>
        <w:t xml:space="preserve">, it won't be </w:t>
      </w:r>
      <w:r>
        <w:rPr>
          <w:color w:val="auto"/>
          <w:szCs w:val="24"/>
        </w:rPr>
        <w:t>allowed</w:t>
      </w:r>
      <w:r>
        <w:rPr>
          <w:color w:val="auto"/>
        </w:rPr>
        <w:t xml:space="preserve"> to move to </w:t>
      </w:r>
      <w:r>
        <w:rPr>
          <w:color w:val="auto"/>
          <w:szCs w:val="24"/>
        </w:rPr>
        <w:t>another</w:t>
      </w:r>
      <w:r>
        <w:rPr>
          <w:color w:val="auto"/>
        </w:rPr>
        <w:t xml:space="preserve"> sector</w:t>
      </w:r>
      <w:r>
        <w:rPr>
          <w:color w:val="auto"/>
          <w:szCs w:val="24"/>
        </w:rPr>
        <w:t xml:space="preserve"> unless it becomes ineligible in the original sector. </w:t>
      </w:r>
    </w:p>
    <w:p w14:paraId="489B03EC" w14:textId="77777777" w:rsidR="00026E66" w:rsidRDefault="002737EF" w:rsidP="00FF0098">
      <w:pPr>
        <w:tabs>
          <w:tab w:val="left" w:pos="0"/>
        </w:tabs>
        <w:ind w:right="182"/>
      </w:pPr>
      <w:r>
        <w:rPr>
          <w:color w:val="auto"/>
          <w:szCs w:val="24"/>
        </w:rPr>
        <w:t>There are two options if the</w:t>
      </w:r>
      <w:r>
        <w:rPr>
          <w:color w:val="auto"/>
        </w:rPr>
        <w:t xml:space="preserve"> facility</w:t>
      </w:r>
      <w:r>
        <w:rPr>
          <w:color w:val="auto"/>
          <w:szCs w:val="24"/>
        </w:rPr>
        <w:t xml:space="preserve"> and/or </w:t>
      </w:r>
      <w:r>
        <w:rPr>
          <w:color w:val="auto"/>
        </w:rPr>
        <w:t xml:space="preserve">target unit </w:t>
      </w:r>
      <w:r>
        <w:rPr>
          <w:color w:val="auto"/>
          <w:szCs w:val="24"/>
        </w:rPr>
        <w:t xml:space="preserve">have no eligibility in the present sector. </w:t>
      </w:r>
    </w:p>
    <w:p w14:paraId="7DF2486D" w14:textId="77777777" w:rsidR="00026E66" w:rsidRPr="00E955A3" w:rsidRDefault="002737EF" w:rsidP="0065356B">
      <w:pPr>
        <w:pStyle w:val="ListParagraph"/>
        <w:numPr>
          <w:ilvl w:val="0"/>
          <w:numId w:val="54"/>
        </w:numPr>
        <w:tabs>
          <w:tab w:val="left" w:pos="0"/>
        </w:tabs>
        <w:spacing w:after="71" w:line="244" w:lineRule="auto"/>
        <w:ind w:right="182"/>
        <w:rPr>
          <w:szCs w:val="24"/>
        </w:rPr>
      </w:pPr>
      <w:r w:rsidRPr="00E955A3">
        <w:rPr>
          <w:szCs w:val="24"/>
        </w:rPr>
        <w:t xml:space="preserve">If the facility/target unit is eligible in another sector, the current underlying agreement is terminated, and a new entrant application started. </w:t>
      </w:r>
    </w:p>
    <w:p w14:paraId="52D179AE" w14:textId="77777777" w:rsidR="00026E66" w:rsidRDefault="002737EF" w:rsidP="0065356B">
      <w:pPr>
        <w:pStyle w:val="ListParagraph"/>
        <w:numPr>
          <w:ilvl w:val="0"/>
          <w:numId w:val="54"/>
        </w:numPr>
        <w:tabs>
          <w:tab w:val="left" w:pos="0"/>
        </w:tabs>
        <w:spacing w:after="152" w:line="244" w:lineRule="auto"/>
        <w:ind w:right="182"/>
      </w:pPr>
      <w:r w:rsidRPr="00E955A3">
        <w:rPr>
          <w:szCs w:val="24"/>
        </w:rPr>
        <w:t xml:space="preserve">If the facility/target unit is not eligible in any sector (as listed in </w:t>
      </w:r>
      <w:hyperlink w:anchor="_Appendix_A:_Eligible" w:history="1">
        <w:r w:rsidRPr="00E955A3">
          <w:rPr>
            <w:rStyle w:val="Hyperlink"/>
            <w:szCs w:val="24"/>
          </w:rPr>
          <w:t>Appendix A</w:t>
        </w:r>
      </w:hyperlink>
      <w:r w:rsidRPr="00E955A3">
        <w:rPr>
          <w:szCs w:val="24"/>
        </w:rPr>
        <w:t xml:space="preserve">), the underlying agreement will be terminated. </w:t>
      </w:r>
    </w:p>
    <w:p w14:paraId="3202EBD8" w14:textId="1B0F8538" w:rsidR="00026E66" w:rsidRPr="00E955A3" w:rsidRDefault="002737EF" w:rsidP="00E955A3">
      <w:pPr>
        <w:tabs>
          <w:tab w:val="left" w:pos="0"/>
        </w:tabs>
        <w:spacing w:after="0"/>
        <w:ind w:right="182"/>
      </w:pPr>
      <w:r>
        <w:rPr>
          <w:color w:val="auto"/>
          <w:szCs w:val="24"/>
        </w:rPr>
        <w:t xml:space="preserve">If the facility/target unit is </w:t>
      </w:r>
      <w:r>
        <w:rPr>
          <w:color w:val="auto"/>
        </w:rPr>
        <w:t xml:space="preserve">partially eligible in the </w:t>
      </w:r>
      <w:r>
        <w:rPr>
          <w:color w:val="auto"/>
          <w:szCs w:val="24"/>
        </w:rPr>
        <w:t>present</w:t>
      </w:r>
      <w:r>
        <w:rPr>
          <w:color w:val="auto"/>
        </w:rPr>
        <w:t xml:space="preserve"> sector, the facility/target unit will remain in the original sector</w:t>
      </w:r>
      <w:r>
        <w:rPr>
          <w:color w:val="auto"/>
          <w:szCs w:val="24"/>
        </w:rPr>
        <w:t xml:space="preserve"> and the underlying agreement will be varied accordingly. </w:t>
      </w:r>
    </w:p>
    <w:p w14:paraId="351E9D74" w14:textId="77777777" w:rsidR="00026E66" w:rsidRDefault="002737EF" w:rsidP="00FF0098">
      <w:pPr>
        <w:pStyle w:val="Heading2"/>
        <w:tabs>
          <w:tab w:val="left" w:pos="0"/>
        </w:tabs>
      </w:pPr>
      <w:bookmarkStart w:id="200" w:name="_7.11._Timescale_for"/>
      <w:bookmarkStart w:id="201" w:name="_Toc94718660"/>
      <w:bookmarkStart w:id="202" w:name="_Toc94088908"/>
      <w:bookmarkStart w:id="203" w:name="_Toc95211846"/>
      <w:bookmarkEnd w:id="200"/>
      <w:r>
        <w:t>7.11. Timescale for notifying us of a change</w:t>
      </w:r>
      <w:bookmarkEnd w:id="201"/>
      <w:bookmarkEnd w:id="202"/>
      <w:bookmarkEnd w:id="203"/>
      <w:r>
        <w:t xml:space="preserve"> </w:t>
      </w:r>
    </w:p>
    <w:p w14:paraId="728B38C3" w14:textId="77777777" w:rsidR="00026E66" w:rsidRDefault="002737EF" w:rsidP="00FF0098">
      <w:pPr>
        <w:tabs>
          <w:tab w:val="left" w:pos="0"/>
        </w:tabs>
        <w:ind w:right="182"/>
      </w:pPr>
      <w:r>
        <w:rPr>
          <w:color w:val="auto"/>
        </w:rPr>
        <w:t xml:space="preserve">When a change has occurred at the facility or target unit which could lead to a variation, </w:t>
      </w:r>
      <w:r>
        <w:rPr>
          <w:color w:val="auto"/>
          <w:szCs w:val="24"/>
        </w:rPr>
        <w:t xml:space="preserve">this change should be notified to us via the register </w:t>
      </w:r>
      <w:r>
        <w:rPr>
          <w:color w:val="auto"/>
        </w:rPr>
        <w:t xml:space="preserve">within 20 working days. </w:t>
      </w:r>
      <w:r>
        <w:rPr>
          <w:color w:val="auto"/>
          <w:szCs w:val="24"/>
        </w:rPr>
        <w:t xml:space="preserve">Within this </w:t>
      </w:r>
      <w:r>
        <w:rPr>
          <w:color w:val="auto"/>
          <w:szCs w:val="24"/>
        </w:rPr>
        <w:lastRenderedPageBreak/>
        <w:t>period the</w:t>
      </w:r>
      <w:r>
        <w:rPr>
          <w:color w:val="auto"/>
        </w:rPr>
        <w:t xml:space="preserve"> operator </w:t>
      </w:r>
      <w:r>
        <w:rPr>
          <w:color w:val="auto"/>
          <w:szCs w:val="24"/>
        </w:rPr>
        <w:t>needs to</w:t>
      </w:r>
      <w:r>
        <w:rPr>
          <w:color w:val="auto"/>
        </w:rPr>
        <w:t xml:space="preserve"> send details of the change to its sector association and the sector association should </w:t>
      </w:r>
      <w:r>
        <w:rPr>
          <w:color w:val="auto"/>
          <w:szCs w:val="24"/>
        </w:rPr>
        <w:t>enter</w:t>
      </w:r>
      <w:r>
        <w:rPr>
          <w:color w:val="auto"/>
        </w:rPr>
        <w:t xml:space="preserve"> details of the </w:t>
      </w:r>
      <w:r>
        <w:rPr>
          <w:color w:val="auto"/>
          <w:szCs w:val="24"/>
        </w:rPr>
        <w:t xml:space="preserve">proposed </w:t>
      </w:r>
      <w:r>
        <w:rPr>
          <w:color w:val="auto"/>
        </w:rPr>
        <w:t xml:space="preserve">variation </w:t>
      </w:r>
      <w:r>
        <w:rPr>
          <w:color w:val="auto"/>
          <w:szCs w:val="24"/>
        </w:rPr>
        <w:t>for consideration</w:t>
      </w:r>
      <w:r>
        <w:rPr>
          <w:color w:val="auto"/>
        </w:rPr>
        <w:t xml:space="preserve">. </w:t>
      </w:r>
    </w:p>
    <w:p w14:paraId="3E8A98D8" w14:textId="47E2F745" w:rsidR="00E955A3" w:rsidRDefault="002737EF" w:rsidP="00FF0098">
      <w:pPr>
        <w:tabs>
          <w:tab w:val="left" w:pos="0"/>
        </w:tabs>
        <w:ind w:right="182"/>
        <w:rPr>
          <w:color w:val="auto"/>
        </w:rPr>
      </w:pPr>
      <w:r>
        <w:rPr>
          <w:color w:val="auto"/>
        </w:rPr>
        <w:t xml:space="preserve">Notification within 20 working days does not mean that the change will be processed by us in the register within this time. We will work with the target unit operator and the sector association to accept or reject the request as quickly as practicable. </w:t>
      </w:r>
    </w:p>
    <w:p w14:paraId="6934DF8A" w14:textId="77777777" w:rsidR="00E955A3" w:rsidRDefault="00E955A3">
      <w:pPr>
        <w:suppressAutoHyphens w:val="0"/>
        <w:spacing w:before="0" w:beforeAutospacing="0" w:after="160" w:afterAutospacing="0" w:line="256" w:lineRule="auto"/>
        <w:rPr>
          <w:color w:val="auto"/>
        </w:rPr>
      </w:pPr>
      <w:r>
        <w:rPr>
          <w:color w:val="auto"/>
        </w:rPr>
        <w:br w:type="page"/>
      </w:r>
    </w:p>
    <w:p w14:paraId="66167B52" w14:textId="77777777" w:rsidR="00026E66" w:rsidRDefault="002737EF" w:rsidP="00FF0098">
      <w:pPr>
        <w:pStyle w:val="Heading1"/>
        <w:tabs>
          <w:tab w:val="left" w:pos="0"/>
        </w:tabs>
      </w:pPr>
      <w:bookmarkStart w:id="204" w:name="_8._Application_of"/>
      <w:bookmarkStart w:id="205" w:name="_Toc94718661"/>
      <w:bookmarkStart w:id="206" w:name="_Toc94088909"/>
      <w:bookmarkStart w:id="207" w:name="_Toc95211847"/>
      <w:bookmarkEnd w:id="204"/>
      <w:r>
        <w:lastRenderedPageBreak/>
        <w:t>8. Application of financial penalties and termination</w:t>
      </w:r>
      <w:bookmarkEnd w:id="205"/>
      <w:bookmarkEnd w:id="206"/>
      <w:bookmarkEnd w:id="207"/>
      <w:r>
        <w:t xml:space="preserve"> </w:t>
      </w:r>
    </w:p>
    <w:p w14:paraId="0785E55D" w14:textId="77777777" w:rsidR="00026E66" w:rsidRDefault="002737EF" w:rsidP="00FF0098">
      <w:pPr>
        <w:pStyle w:val="Heading2"/>
        <w:tabs>
          <w:tab w:val="left" w:pos="0"/>
        </w:tabs>
      </w:pPr>
      <w:bookmarkStart w:id="208" w:name="_Toc94718662"/>
      <w:bookmarkStart w:id="209" w:name="_Toc94088910"/>
      <w:bookmarkStart w:id="210" w:name="_Toc95211848"/>
      <w:r>
        <w:t>8.1. CCA penalties</w:t>
      </w:r>
      <w:bookmarkEnd w:id="208"/>
      <w:bookmarkEnd w:id="209"/>
      <w:bookmarkEnd w:id="210"/>
      <w:r>
        <w:t xml:space="preserve"> </w:t>
      </w:r>
    </w:p>
    <w:p w14:paraId="36BCDBD4" w14:textId="7A13A9DA" w:rsidR="00026E66" w:rsidRDefault="002737EF" w:rsidP="00FF0098">
      <w:pPr>
        <w:tabs>
          <w:tab w:val="left" w:pos="0"/>
        </w:tabs>
      </w:pPr>
      <w:r>
        <w:t xml:space="preserve">This section explains the financial penalties and termination provisions related to the CCA scheme. Further information can be found in the </w:t>
      </w:r>
      <w:hyperlink r:id="rId87" w:history="1">
        <w:r>
          <w:rPr>
            <w:rStyle w:val="Hyperlink"/>
          </w:rPr>
          <w:t>Environment Agency enforcement and sanctions policy</w:t>
        </w:r>
      </w:hyperlink>
      <w:r w:rsidR="00E931A9">
        <w:t>.</w:t>
      </w:r>
    </w:p>
    <w:p w14:paraId="064A32F4" w14:textId="79BCA68D" w:rsidR="00026E66" w:rsidRDefault="002737EF" w:rsidP="00FF0098">
      <w:pPr>
        <w:pStyle w:val="Heading3"/>
        <w:tabs>
          <w:tab w:val="left" w:pos="0"/>
        </w:tabs>
      </w:pPr>
      <w:bookmarkStart w:id="211" w:name="_Toc95211849"/>
      <w:r>
        <w:t>8.1.1. What are the penalties in the CCA scheme?</w:t>
      </w:r>
      <w:bookmarkEnd w:id="211"/>
      <w:r w:rsidR="00FC355D">
        <w:t xml:space="preserve"> </w:t>
      </w:r>
    </w:p>
    <w:p w14:paraId="6791736F" w14:textId="77777777" w:rsidR="00026E66" w:rsidRDefault="002737EF" w:rsidP="00FF0098">
      <w:pPr>
        <w:tabs>
          <w:tab w:val="left" w:pos="0"/>
        </w:tabs>
      </w:pPr>
      <w:r>
        <w:t xml:space="preserve">The system of financial penalties set out in regulation 15 of the Climate Change Agreements (Administration) Regulations 2012 (as amended) is intended to provide a proportionate and flexible regime. In the old scheme there were no intermediate enforcement measures – only not recertifying or termination, leading to complete loss of the CCL discount. The penalty system – and its flexibility – aims to promote compliance to ensure the success of the regime. </w:t>
      </w:r>
    </w:p>
    <w:p w14:paraId="52065D63" w14:textId="77777777" w:rsidR="00026E66" w:rsidRDefault="002737EF" w:rsidP="00FF0098">
      <w:pPr>
        <w:tabs>
          <w:tab w:val="left" w:pos="0"/>
        </w:tabs>
      </w:pPr>
      <w:r>
        <w:t xml:space="preserve">There are two methods for calculating the penalty in regulation 15, applicable to specific infringements. </w:t>
      </w:r>
    </w:p>
    <w:p w14:paraId="593986AA" w14:textId="77777777" w:rsidR="00026E66" w:rsidRDefault="002737EF" w:rsidP="00FF0098">
      <w:pPr>
        <w:pStyle w:val="Heading3"/>
        <w:tabs>
          <w:tab w:val="left" w:pos="0"/>
        </w:tabs>
      </w:pPr>
      <w:bookmarkStart w:id="212" w:name="_Toc95211850"/>
      <w:r>
        <w:t>8.1.2. Method 1 – specific to regulation 15(1)(a), (c) and (d)</w:t>
      </w:r>
      <w:bookmarkEnd w:id="212"/>
      <w:r>
        <w:t xml:space="preserve"> </w:t>
      </w:r>
    </w:p>
    <w:p w14:paraId="0EF01096" w14:textId="77777777" w:rsidR="00026E66" w:rsidRDefault="002737EF" w:rsidP="00FF0098">
      <w:pPr>
        <w:tabs>
          <w:tab w:val="left" w:pos="0"/>
        </w:tabs>
      </w:pPr>
      <w:r>
        <w:t xml:space="preserve">Method 1 covers the following types of infringement: </w:t>
      </w:r>
    </w:p>
    <w:p w14:paraId="2AB90264" w14:textId="77777777" w:rsidR="00026E66" w:rsidRDefault="002737EF" w:rsidP="0065356B">
      <w:pPr>
        <w:pStyle w:val="ListParagraph"/>
        <w:numPr>
          <w:ilvl w:val="0"/>
          <w:numId w:val="55"/>
        </w:numPr>
        <w:tabs>
          <w:tab w:val="left" w:pos="0"/>
        </w:tabs>
      </w:pPr>
      <w:r>
        <w:t xml:space="preserve">failing to provide us on or before 1 May following the end of the target period with the information we need to determine whether an operator’s progress towards meeting their target is satisfactory (regulation 15(1)(a)) </w:t>
      </w:r>
    </w:p>
    <w:p w14:paraId="169D7D23" w14:textId="77777777" w:rsidR="00026E66" w:rsidRDefault="002737EF" w:rsidP="0065356B">
      <w:pPr>
        <w:pStyle w:val="ListParagraph"/>
        <w:numPr>
          <w:ilvl w:val="0"/>
          <w:numId w:val="55"/>
        </w:numPr>
        <w:tabs>
          <w:tab w:val="left" w:pos="0"/>
        </w:tabs>
      </w:pPr>
      <w:r>
        <w:t>failing to provide information by the date we specify, when we ask for any other information to determine whether the operator has met its target or is complying with its underlying agreement (regulation 15(1(a))</w:t>
      </w:r>
    </w:p>
    <w:p w14:paraId="32D67425" w14:textId="77777777" w:rsidR="00026E66" w:rsidRDefault="002737EF" w:rsidP="0065356B">
      <w:pPr>
        <w:pStyle w:val="ListParagraph"/>
        <w:numPr>
          <w:ilvl w:val="0"/>
          <w:numId w:val="55"/>
        </w:numPr>
        <w:tabs>
          <w:tab w:val="left" w:pos="0"/>
        </w:tabs>
      </w:pPr>
      <w:r>
        <w:t xml:space="preserve">providing inaccurate information in response to our request for information to determine whether the target unit has met its target or is complying with its underlying agreement (regulation 15(1)(c)) </w:t>
      </w:r>
    </w:p>
    <w:p w14:paraId="68326D68" w14:textId="77777777" w:rsidR="00026E66" w:rsidRDefault="002737EF" w:rsidP="0065356B">
      <w:pPr>
        <w:pStyle w:val="ListParagraph"/>
        <w:numPr>
          <w:ilvl w:val="0"/>
          <w:numId w:val="55"/>
        </w:numPr>
        <w:tabs>
          <w:tab w:val="left" w:pos="0"/>
        </w:tabs>
      </w:pPr>
      <w:r>
        <w:t xml:space="preserve">failing to tell us of any changes required by the underlying agreement (regulation 15(1)(d)) </w:t>
      </w:r>
    </w:p>
    <w:p w14:paraId="719C10EF" w14:textId="77777777" w:rsidR="00026E66" w:rsidRPr="00E955A3" w:rsidRDefault="002737EF" w:rsidP="00E955A3">
      <w:pPr>
        <w:pStyle w:val="Heading4"/>
      </w:pPr>
      <w:r w:rsidRPr="00E955A3">
        <w:t xml:space="preserve">Amount of penalty </w:t>
      </w:r>
    </w:p>
    <w:p w14:paraId="0B429F15" w14:textId="77777777" w:rsidR="00026E66" w:rsidRDefault="002737EF" w:rsidP="00FF0098">
      <w:pPr>
        <w:tabs>
          <w:tab w:val="left" w:pos="0"/>
        </w:tabs>
      </w:pPr>
      <w:r>
        <w:t>The amount of penalty is the greater of:</w:t>
      </w:r>
    </w:p>
    <w:p w14:paraId="15DD9EA8" w14:textId="77777777" w:rsidR="00026E66" w:rsidRDefault="002737EF" w:rsidP="0065356B">
      <w:pPr>
        <w:pStyle w:val="ListParagraph"/>
        <w:numPr>
          <w:ilvl w:val="0"/>
          <w:numId w:val="56"/>
        </w:numPr>
        <w:tabs>
          <w:tab w:val="left" w:pos="0"/>
        </w:tabs>
      </w:pPr>
      <w:r>
        <w:t xml:space="preserve">£250 </w:t>
      </w:r>
    </w:p>
    <w:p w14:paraId="721C4515" w14:textId="77777777" w:rsidR="00026E66" w:rsidRDefault="002737EF" w:rsidP="0065356B">
      <w:pPr>
        <w:pStyle w:val="ListParagraph"/>
        <w:numPr>
          <w:ilvl w:val="0"/>
          <w:numId w:val="56"/>
        </w:numPr>
        <w:tabs>
          <w:tab w:val="left" w:pos="0"/>
        </w:tabs>
      </w:pPr>
      <w:r>
        <w:t>10% of the annual value of the CCL discount for the target unit in the base year</w:t>
      </w:r>
    </w:p>
    <w:p w14:paraId="41931D5B" w14:textId="191B85B8" w:rsidR="00026E66" w:rsidRDefault="002737EF" w:rsidP="00FF0098">
      <w:pPr>
        <w:tabs>
          <w:tab w:val="left" w:pos="0"/>
        </w:tabs>
      </w:pPr>
      <w:r>
        <w:lastRenderedPageBreak/>
        <w:t xml:space="preserve">As we don’t have access to data on the exact amount of CCL discount received by an operator, we will estimate the penalty value using the target unit </w:t>
      </w:r>
      <w:hyperlink w:anchor="baseyear" w:history="1">
        <w:r>
          <w:rPr>
            <w:rStyle w:val="Hyperlink"/>
            <w:szCs w:val="24"/>
          </w:rPr>
          <w:t>base year</w:t>
        </w:r>
      </w:hyperlink>
      <w:r>
        <w:rPr>
          <w:rStyle w:val="Hyperlink"/>
          <w:szCs w:val="24"/>
          <w:u w:val="none"/>
        </w:rPr>
        <w:t xml:space="preserve"> </w:t>
      </w:r>
      <w:r>
        <w:rPr>
          <w:rStyle w:val="Hyperlink"/>
          <w:color w:val="auto"/>
          <w:szCs w:val="24"/>
          <w:u w:val="none"/>
        </w:rPr>
        <w:t xml:space="preserve">data </w:t>
      </w:r>
      <w:r>
        <w:t>and the relevant CCL rates and discount values for each fuel type. (We will include any fuels consumed in Annex 1 activities.) CCL rates are available on the HMRC’s website:</w:t>
      </w:r>
      <w:hyperlink r:id="rId88" w:history="1">
        <w:r>
          <w:t xml:space="preserve"> </w:t>
        </w:r>
      </w:hyperlink>
      <w:hyperlink r:id="rId89" w:history="1">
        <w:r>
          <w:rPr>
            <w:rStyle w:val="Hyperlink"/>
          </w:rPr>
          <w:t>Climate Change Levy rates</w:t>
        </w:r>
      </w:hyperlink>
      <w:hyperlink r:id="rId90" w:history="1">
        <w:r>
          <w:t>.</w:t>
        </w:r>
      </w:hyperlink>
    </w:p>
    <w:p w14:paraId="1E4F1829" w14:textId="4A3DEA17" w:rsidR="00026E66" w:rsidRDefault="002737EF" w:rsidP="00E955A3">
      <w:pPr>
        <w:pStyle w:val="Heading3"/>
        <w:tabs>
          <w:tab w:val="left" w:pos="0"/>
        </w:tabs>
      </w:pPr>
      <w:bookmarkStart w:id="213" w:name="_Toc95211851"/>
      <w:r>
        <w:t>8.1.3. Method 2 – specific to regulation 15(1)(b)</w:t>
      </w:r>
      <w:bookmarkEnd w:id="213"/>
      <w:r>
        <w:t xml:space="preserve"> </w:t>
      </w:r>
    </w:p>
    <w:p w14:paraId="57620C56" w14:textId="61967D24" w:rsidR="00026E66" w:rsidRPr="00E955A3" w:rsidRDefault="002737EF" w:rsidP="00E955A3">
      <w:pPr>
        <w:tabs>
          <w:tab w:val="left" w:pos="0"/>
        </w:tabs>
        <w:spacing w:after="0"/>
        <w:ind w:right="182"/>
      </w:pPr>
      <w:r>
        <w:rPr>
          <w:color w:val="auto"/>
        </w:rPr>
        <w:t>This method applies to target units that provide inaccurate baseline data or target period data</w:t>
      </w:r>
      <w:r>
        <w:rPr>
          <w:color w:val="auto"/>
          <w:szCs w:val="24"/>
        </w:rPr>
        <w:t xml:space="preserve"> (that is, the information we require on or before 1 May following the end of a target period). </w:t>
      </w:r>
    </w:p>
    <w:p w14:paraId="67801F60" w14:textId="77777777" w:rsidR="00026E66" w:rsidRPr="00E931A9" w:rsidRDefault="002737EF" w:rsidP="00FF0098">
      <w:pPr>
        <w:pStyle w:val="Heading4"/>
        <w:tabs>
          <w:tab w:val="left" w:pos="0"/>
        </w:tabs>
      </w:pPr>
      <w:r w:rsidRPr="00E931A9">
        <w:t xml:space="preserve">Amount of penalty </w:t>
      </w:r>
    </w:p>
    <w:p w14:paraId="39408170" w14:textId="77777777" w:rsidR="00026E66" w:rsidRDefault="002737EF" w:rsidP="00FF0098">
      <w:pPr>
        <w:tabs>
          <w:tab w:val="left" w:pos="0"/>
        </w:tabs>
        <w:ind w:right="182"/>
      </w:pPr>
      <w:r>
        <w:rPr>
          <w:color w:val="auto"/>
        </w:rPr>
        <w:t xml:space="preserve">The penalty is </w:t>
      </w:r>
      <w:r>
        <w:rPr>
          <w:color w:val="auto"/>
          <w:szCs w:val="24"/>
        </w:rPr>
        <w:t>based on</w:t>
      </w:r>
      <w:r>
        <w:rPr>
          <w:color w:val="auto"/>
        </w:rPr>
        <w:t xml:space="preserve"> the </w:t>
      </w:r>
      <w:r>
        <w:rPr>
          <w:color w:val="auto"/>
          <w:szCs w:val="24"/>
        </w:rPr>
        <w:t xml:space="preserve">extent of </w:t>
      </w:r>
      <w:r>
        <w:rPr>
          <w:color w:val="auto"/>
        </w:rPr>
        <w:t xml:space="preserve">inaccuracy in the data provided </w:t>
      </w:r>
      <w:r>
        <w:rPr>
          <w:color w:val="auto"/>
          <w:szCs w:val="24"/>
        </w:rPr>
        <w:t xml:space="preserve">by a target unit. In other words, it will be applied to target units that have been found to have misreported data. The amount of the penalty will be </w:t>
      </w:r>
      <w:r>
        <w:rPr>
          <w:color w:val="auto"/>
        </w:rPr>
        <w:t>the greater of</w:t>
      </w:r>
      <w:r>
        <w:rPr>
          <w:color w:val="auto"/>
          <w:szCs w:val="24"/>
        </w:rPr>
        <w:t xml:space="preserve"> </w:t>
      </w:r>
      <w:r>
        <w:t xml:space="preserve">£250 </w:t>
      </w:r>
      <w:r>
        <w:rPr>
          <w:szCs w:val="24"/>
        </w:rPr>
        <w:t xml:space="preserve">or </w:t>
      </w:r>
      <w:r>
        <w:t xml:space="preserve">£12 per tonne of </w:t>
      </w:r>
      <w:r>
        <w:rPr>
          <w:szCs w:val="24"/>
        </w:rPr>
        <w:t>carbon dioxide equivalent</w:t>
      </w:r>
      <w:r>
        <w:t xml:space="preserve"> of the difference between the actual emissions </w:t>
      </w:r>
      <w:r>
        <w:rPr>
          <w:szCs w:val="24"/>
        </w:rPr>
        <w:t xml:space="preserve">and </w:t>
      </w:r>
      <w:r>
        <w:t xml:space="preserve">the reported emissions for </w:t>
      </w:r>
      <w:r>
        <w:rPr>
          <w:szCs w:val="24"/>
        </w:rPr>
        <w:t xml:space="preserve">the </w:t>
      </w:r>
      <w:r>
        <w:t>target period</w:t>
      </w:r>
      <w:r>
        <w:rPr>
          <w:szCs w:val="24"/>
        </w:rPr>
        <w:t xml:space="preserve">. </w:t>
      </w:r>
    </w:p>
    <w:p w14:paraId="2C9F720B" w14:textId="27103F05" w:rsidR="00026E66" w:rsidRPr="00E955A3" w:rsidRDefault="002737EF" w:rsidP="00FF0098">
      <w:pPr>
        <w:tabs>
          <w:tab w:val="left" w:pos="0"/>
        </w:tabs>
        <w:spacing w:after="0"/>
        <w:ind w:right="182"/>
      </w:pPr>
      <w:r>
        <w:rPr>
          <w:color w:val="auto"/>
          <w:szCs w:val="24"/>
        </w:rPr>
        <w:t>Payment of this</w:t>
      </w:r>
      <w:r>
        <w:rPr>
          <w:color w:val="auto"/>
        </w:rPr>
        <w:t xml:space="preserve"> penalty </w:t>
      </w:r>
      <w:r>
        <w:rPr>
          <w:color w:val="auto"/>
          <w:szCs w:val="24"/>
        </w:rPr>
        <w:t xml:space="preserve">will be </w:t>
      </w:r>
      <w:r>
        <w:rPr>
          <w:color w:val="auto"/>
        </w:rPr>
        <w:t xml:space="preserve">in addition to any </w:t>
      </w:r>
      <w:r>
        <w:rPr>
          <w:color w:val="auto"/>
          <w:szCs w:val="24"/>
        </w:rPr>
        <w:t xml:space="preserve">need to use the </w:t>
      </w:r>
      <w:r>
        <w:rPr>
          <w:color w:val="auto"/>
        </w:rPr>
        <w:t xml:space="preserve">buy-out </w:t>
      </w:r>
      <w:r>
        <w:rPr>
          <w:color w:val="auto"/>
          <w:szCs w:val="24"/>
        </w:rPr>
        <w:t>mechanism</w:t>
      </w:r>
      <w:r>
        <w:rPr>
          <w:color w:val="auto"/>
        </w:rPr>
        <w:t xml:space="preserve"> to meet </w:t>
      </w:r>
      <w:r>
        <w:rPr>
          <w:color w:val="auto"/>
          <w:szCs w:val="24"/>
        </w:rPr>
        <w:t>a</w:t>
      </w:r>
      <w:r>
        <w:rPr>
          <w:color w:val="auto"/>
        </w:rPr>
        <w:t xml:space="preserve"> target </w:t>
      </w:r>
      <w:r>
        <w:rPr>
          <w:color w:val="auto"/>
          <w:szCs w:val="24"/>
        </w:rPr>
        <w:t>if, as a result</w:t>
      </w:r>
      <w:r>
        <w:rPr>
          <w:color w:val="auto"/>
        </w:rPr>
        <w:t xml:space="preserve"> of </w:t>
      </w:r>
      <w:r>
        <w:rPr>
          <w:color w:val="auto"/>
          <w:szCs w:val="24"/>
        </w:rPr>
        <w:t xml:space="preserve">correcting the error, the target unit is found not to have met its target for the previous target period. This is needed to maintain an incentive to </w:t>
      </w:r>
      <w:r>
        <w:rPr>
          <w:color w:val="auto"/>
        </w:rPr>
        <w:t xml:space="preserve">report </w:t>
      </w:r>
      <w:r>
        <w:rPr>
          <w:color w:val="auto"/>
          <w:szCs w:val="24"/>
        </w:rPr>
        <w:t>correctly at reconciliation.</w:t>
      </w:r>
    </w:p>
    <w:p w14:paraId="64328D96" w14:textId="27E0EBC3" w:rsidR="00026E66" w:rsidRPr="00E955A3" w:rsidRDefault="002737EF" w:rsidP="00E955A3">
      <w:pPr>
        <w:pStyle w:val="Heading2"/>
        <w:tabs>
          <w:tab w:val="left" w:pos="0"/>
        </w:tabs>
      </w:pPr>
      <w:bookmarkStart w:id="214" w:name="_Toc94718663"/>
      <w:bookmarkStart w:id="215" w:name="_Toc94088911"/>
      <w:bookmarkStart w:id="216" w:name="_Toc95211852"/>
      <w:r>
        <w:t>8.2. Issuing penalties</w:t>
      </w:r>
      <w:bookmarkEnd w:id="214"/>
      <w:bookmarkEnd w:id="215"/>
      <w:bookmarkEnd w:id="216"/>
      <w:r>
        <w:t xml:space="preserve"> </w:t>
      </w:r>
    </w:p>
    <w:p w14:paraId="67DA3469" w14:textId="1F35AD3F" w:rsidR="00026E66" w:rsidRDefault="002737EF" w:rsidP="00A25DF5">
      <w:pPr>
        <w:pStyle w:val="Heading3"/>
        <w:tabs>
          <w:tab w:val="left" w:pos="0"/>
        </w:tabs>
      </w:pPr>
      <w:bookmarkStart w:id="217" w:name="_Toc95211853"/>
      <w:r>
        <w:t>8.2.1. Notice of a financial penalty</w:t>
      </w:r>
      <w:bookmarkEnd w:id="217"/>
      <w:r>
        <w:t xml:space="preserve"> </w:t>
      </w:r>
    </w:p>
    <w:p w14:paraId="39197D6F" w14:textId="3B498F0A" w:rsidR="00026E66" w:rsidRDefault="002737EF" w:rsidP="00FF0098">
      <w:pPr>
        <w:tabs>
          <w:tab w:val="left" w:pos="0"/>
        </w:tabs>
        <w:ind w:right="182"/>
      </w:pPr>
      <w:r>
        <w:rPr>
          <w:color w:val="auto"/>
          <w:szCs w:val="24"/>
        </w:rPr>
        <w:t>Where we are considering the imposition of</w:t>
      </w:r>
      <w:r>
        <w:rPr>
          <w:color w:val="auto"/>
        </w:rPr>
        <w:t xml:space="preserve"> a penalty, we will first serve a notice of intent </w:t>
      </w:r>
      <w:r>
        <w:rPr>
          <w:color w:val="auto"/>
          <w:szCs w:val="24"/>
        </w:rPr>
        <w:t>and</w:t>
      </w:r>
      <w:r>
        <w:rPr>
          <w:color w:val="auto"/>
        </w:rPr>
        <w:t xml:space="preserve"> will take account of any representations </w:t>
      </w:r>
      <w:r>
        <w:rPr>
          <w:color w:val="auto"/>
          <w:szCs w:val="24"/>
        </w:rPr>
        <w:t>received in response before we make our final decision.</w:t>
      </w:r>
      <w:r w:rsidR="00FC355D">
        <w:rPr>
          <w:color w:val="auto"/>
          <w:szCs w:val="24"/>
        </w:rPr>
        <w:t xml:space="preserve"> </w:t>
      </w:r>
      <w:r>
        <w:rPr>
          <w:color w:val="auto"/>
        </w:rPr>
        <w:t>If we decide to impose a financial penalty</w:t>
      </w:r>
      <w:r>
        <w:rPr>
          <w:color w:val="auto"/>
          <w:szCs w:val="24"/>
        </w:rPr>
        <w:t xml:space="preserve"> on a target unit</w:t>
      </w:r>
      <w:r>
        <w:rPr>
          <w:color w:val="auto"/>
        </w:rPr>
        <w:t xml:space="preserve">, we will issue a notice setting out: </w:t>
      </w:r>
    </w:p>
    <w:p w14:paraId="21EDDB46" w14:textId="77777777" w:rsidR="00026E66" w:rsidRDefault="002737EF" w:rsidP="0065356B">
      <w:pPr>
        <w:pStyle w:val="ListParagraph"/>
        <w:numPr>
          <w:ilvl w:val="0"/>
          <w:numId w:val="57"/>
        </w:numPr>
        <w:tabs>
          <w:tab w:val="left" w:pos="0"/>
        </w:tabs>
        <w:spacing w:after="74"/>
        <w:ind w:right="182"/>
      </w:pPr>
      <w:r>
        <w:t xml:space="preserve">the amount of penalty </w:t>
      </w:r>
    </w:p>
    <w:p w14:paraId="3D01DF00" w14:textId="77777777" w:rsidR="00026E66" w:rsidRDefault="002737EF" w:rsidP="0065356B">
      <w:pPr>
        <w:pStyle w:val="ListParagraph"/>
        <w:numPr>
          <w:ilvl w:val="0"/>
          <w:numId w:val="57"/>
        </w:numPr>
        <w:tabs>
          <w:tab w:val="left" w:pos="0"/>
        </w:tabs>
        <w:spacing w:after="79"/>
        <w:ind w:right="182"/>
      </w:pPr>
      <w:r>
        <w:t xml:space="preserve">the reason for the penalty </w:t>
      </w:r>
    </w:p>
    <w:p w14:paraId="0BD4E349" w14:textId="77777777" w:rsidR="00026E66" w:rsidRDefault="002737EF" w:rsidP="0065356B">
      <w:pPr>
        <w:pStyle w:val="ListParagraph"/>
        <w:numPr>
          <w:ilvl w:val="0"/>
          <w:numId w:val="57"/>
        </w:numPr>
        <w:tabs>
          <w:tab w:val="left" w:pos="0"/>
        </w:tabs>
        <w:spacing w:after="78"/>
        <w:ind w:right="182"/>
      </w:pPr>
      <w:r>
        <w:t xml:space="preserve">if appropriate, what steps need to be taken to remedy the matter and the deadline for doing this </w:t>
      </w:r>
    </w:p>
    <w:p w14:paraId="01202AA9" w14:textId="77777777" w:rsidR="00026E66" w:rsidRPr="00A25DF5" w:rsidRDefault="002737EF" w:rsidP="0065356B">
      <w:pPr>
        <w:pStyle w:val="ListParagraph"/>
        <w:numPr>
          <w:ilvl w:val="0"/>
          <w:numId w:val="57"/>
        </w:numPr>
        <w:tabs>
          <w:tab w:val="left" w:pos="0"/>
        </w:tabs>
        <w:spacing w:after="79"/>
        <w:ind w:right="182"/>
      </w:pPr>
      <w:r w:rsidRPr="00A25DF5">
        <w:t xml:space="preserve">the deadline for paying the penalty </w:t>
      </w:r>
    </w:p>
    <w:p w14:paraId="4A113F47" w14:textId="77777777" w:rsidR="00026E66" w:rsidRPr="00A25DF5" w:rsidRDefault="002737EF" w:rsidP="0065356B">
      <w:pPr>
        <w:pStyle w:val="ListParagraph"/>
        <w:numPr>
          <w:ilvl w:val="0"/>
          <w:numId w:val="57"/>
        </w:numPr>
        <w:tabs>
          <w:tab w:val="left" w:pos="0"/>
        </w:tabs>
        <w:ind w:right="182"/>
      </w:pPr>
      <w:r w:rsidRPr="00A25DF5">
        <w:t xml:space="preserve">how to pay the penalty </w:t>
      </w:r>
    </w:p>
    <w:p w14:paraId="12B5753E" w14:textId="77777777" w:rsidR="00026E66" w:rsidRDefault="002737EF" w:rsidP="00FF0098">
      <w:pPr>
        <w:tabs>
          <w:tab w:val="left" w:pos="0"/>
        </w:tabs>
        <w:ind w:right="182"/>
      </w:pPr>
      <w:r>
        <w:rPr>
          <w:color w:val="auto"/>
          <w:szCs w:val="24"/>
        </w:rPr>
        <w:t>Any penalty fees will be paid</w:t>
      </w:r>
      <w:r>
        <w:rPr>
          <w:color w:val="auto"/>
        </w:rPr>
        <w:t xml:space="preserve"> into the government consolidated fund administered by Her Majesty's Treasury (HMT). </w:t>
      </w:r>
    </w:p>
    <w:p w14:paraId="28CE9237" w14:textId="3B62A17E" w:rsidR="00026E66" w:rsidRPr="007A7512" w:rsidRDefault="002737EF" w:rsidP="007A7512">
      <w:pPr>
        <w:tabs>
          <w:tab w:val="left" w:pos="0"/>
        </w:tabs>
        <w:ind w:right="182"/>
      </w:pPr>
      <w:r>
        <w:rPr>
          <w:color w:val="auto"/>
        </w:rPr>
        <w:lastRenderedPageBreak/>
        <w:t xml:space="preserve">We may </w:t>
      </w:r>
      <w:hyperlink w:anchor="Termination" w:history="1">
        <w:r>
          <w:rPr>
            <w:rStyle w:val="Hyperlink"/>
          </w:rPr>
          <w:t>terminate</w:t>
        </w:r>
      </w:hyperlink>
      <w:r w:rsidR="00E931A9">
        <w:rPr>
          <w:color w:val="auto"/>
          <w:szCs w:val="24"/>
        </w:rPr>
        <w:t xml:space="preserve"> t</w:t>
      </w:r>
      <w:r>
        <w:rPr>
          <w:color w:val="auto"/>
          <w:szCs w:val="24"/>
        </w:rPr>
        <w:t>he</w:t>
      </w:r>
      <w:r>
        <w:rPr>
          <w:color w:val="auto"/>
        </w:rPr>
        <w:t xml:space="preserve"> underlying agreement if the penalty is not paid by the deadline stated in the notice or </w:t>
      </w:r>
      <w:r>
        <w:rPr>
          <w:color w:val="auto"/>
          <w:szCs w:val="24"/>
        </w:rPr>
        <w:t xml:space="preserve">if </w:t>
      </w:r>
      <w:r>
        <w:rPr>
          <w:color w:val="auto"/>
        </w:rPr>
        <w:t xml:space="preserve">we're not satisfied that </w:t>
      </w:r>
      <w:r>
        <w:rPr>
          <w:color w:val="auto"/>
          <w:szCs w:val="24"/>
        </w:rPr>
        <w:t xml:space="preserve">sufficient progress </w:t>
      </w:r>
      <w:r>
        <w:rPr>
          <w:color w:val="auto"/>
        </w:rPr>
        <w:t xml:space="preserve">has </w:t>
      </w:r>
      <w:r>
        <w:rPr>
          <w:color w:val="auto"/>
          <w:szCs w:val="24"/>
        </w:rPr>
        <w:t>been made to remedy</w:t>
      </w:r>
      <w:r>
        <w:rPr>
          <w:color w:val="auto"/>
        </w:rPr>
        <w:t xml:space="preserve"> the </w:t>
      </w:r>
      <w:r>
        <w:rPr>
          <w:color w:val="auto"/>
          <w:szCs w:val="24"/>
        </w:rPr>
        <w:t>matter covered by the penalty. Failure to comply with the terms of the underlying agreement could also lead to termination</w:t>
      </w:r>
      <w:r>
        <w:rPr>
          <w:color w:val="auto"/>
        </w:rPr>
        <w:t>.</w:t>
      </w:r>
    </w:p>
    <w:p w14:paraId="17CC1FCD" w14:textId="192DDA2E" w:rsidR="00026E66" w:rsidRDefault="002737EF" w:rsidP="00FF0098">
      <w:pPr>
        <w:pStyle w:val="Heading2"/>
        <w:tabs>
          <w:tab w:val="left" w:pos="0"/>
        </w:tabs>
      </w:pPr>
      <w:bookmarkStart w:id="218" w:name="_Toc94718664"/>
      <w:bookmarkStart w:id="219" w:name="_Toc94088912"/>
      <w:bookmarkStart w:id="220" w:name="_Toc95211854"/>
      <w:r>
        <w:t>8.3. Termination of agreements</w:t>
      </w:r>
      <w:bookmarkEnd w:id="218"/>
      <w:bookmarkEnd w:id="219"/>
      <w:bookmarkEnd w:id="220"/>
      <w:r w:rsidR="00FC355D">
        <w:t xml:space="preserve"> </w:t>
      </w:r>
    </w:p>
    <w:p w14:paraId="0CECAA75" w14:textId="77777777" w:rsidR="00026E66" w:rsidRDefault="002737EF" w:rsidP="00FF0098">
      <w:pPr>
        <w:tabs>
          <w:tab w:val="left" w:pos="0"/>
        </w:tabs>
        <w:ind w:right="182"/>
        <w:rPr>
          <w:color w:val="auto"/>
        </w:rPr>
      </w:pPr>
      <w:r>
        <w:rPr>
          <w:color w:val="auto"/>
        </w:rPr>
        <w:t xml:space="preserve">There are two types of termination in the CCA scheme: </w:t>
      </w:r>
    </w:p>
    <w:p w14:paraId="6E53F9B5" w14:textId="77777777" w:rsidR="00026E66" w:rsidRDefault="002737EF" w:rsidP="0065356B">
      <w:pPr>
        <w:pStyle w:val="ListParagraph"/>
        <w:numPr>
          <w:ilvl w:val="0"/>
          <w:numId w:val="58"/>
        </w:numPr>
        <w:tabs>
          <w:tab w:val="left" w:pos="0"/>
        </w:tabs>
        <w:spacing w:after="75" w:line="247" w:lineRule="auto"/>
      </w:pPr>
      <w:r>
        <w:t xml:space="preserve">voluntary termination </w:t>
      </w:r>
    </w:p>
    <w:p w14:paraId="4FE0B241" w14:textId="717AF1A0" w:rsidR="00026E66" w:rsidRPr="00A25DF5" w:rsidRDefault="002737EF" w:rsidP="0065356B">
      <w:pPr>
        <w:pStyle w:val="ListParagraph"/>
        <w:numPr>
          <w:ilvl w:val="0"/>
          <w:numId w:val="58"/>
        </w:numPr>
        <w:tabs>
          <w:tab w:val="left" w:pos="0"/>
        </w:tabs>
        <w:spacing w:after="62" w:line="247" w:lineRule="auto"/>
      </w:pPr>
      <w:r>
        <w:t>termination</w:t>
      </w:r>
      <w:r w:rsidRPr="00A25DF5">
        <w:rPr>
          <w:szCs w:val="24"/>
        </w:rPr>
        <w:t xml:space="preserve"> by the Environment Agency </w:t>
      </w:r>
      <w:bookmarkStart w:id="221" w:name="_8.3.1._Voluntary_termination"/>
      <w:bookmarkEnd w:id="221"/>
    </w:p>
    <w:p w14:paraId="7A234DD0" w14:textId="77777777" w:rsidR="00026E66" w:rsidRDefault="002737EF" w:rsidP="00FF0098">
      <w:pPr>
        <w:pStyle w:val="Heading3"/>
        <w:tabs>
          <w:tab w:val="left" w:pos="0"/>
        </w:tabs>
      </w:pPr>
      <w:bookmarkStart w:id="222" w:name="_Toc95211855"/>
      <w:r>
        <w:t>8.3.1. Voluntary termination – when a facility leaves the scheme or closes</w:t>
      </w:r>
      <w:bookmarkEnd w:id="222"/>
      <w:r>
        <w:t xml:space="preserve"> </w:t>
      </w:r>
    </w:p>
    <w:p w14:paraId="376D1B79" w14:textId="77777777" w:rsidR="00026E66" w:rsidRDefault="002737EF" w:rsidP="00FF0098">
      <w:pPr>
        <w:tabs>
          <w:tab w:val="left" w:pos="0"/>
        </w:tabs>
        <w:ind w:right="182"/>
      </w:pPr>
      <w:r>
        <w:rPr>
          <w:color w:val="auto"/>
          <w:szCs w:val="24"/>
        </w:rPr>
        <w:t>An</w:t>
      </w:r>
      <w:r>
        <w:rPr>
          <w:color w:val="auto"/>
        </w:rPr>
        <w:t xml:space="preserve"> operator </w:t>
      </w:r>
      <w:r>
        <w:rPr>
          <w:color w:val="auto"/>
          <w:szCs w:val="24"/>
        </w:rPr>
        <w:t>may</w:t>
      </w:r>
      <w:r>
        <w:rPr>
          <w:color w:val="auto"/>
        </w:rPr>
        <w:t xml:space="preserve"> voluntarily terminate their agreement</w:t>
      </w:r>
      <w:r>
        <w:rPr>
          <w:color w:val="auto"/>
          <w:szCs w:val="24"/>
        </w:rPr>
        <w:t>. Terminating an</w:t>
      </w:r>
      <w:r>
        <w:rPr>
          <w:color w:val="auto"/>
        </w:rPr>
        <w:t xml:space="preserve"> agreement</w:t>
      </w:r>
      <w:r>
        <w:rPr>
          <w:color w:val="auto"/>
          <w:szCs w:val="24"/>
        </w:rPr>
        <w:t xml:space="preserve"> will terminate </w:t>
      </w:r>
      <w:r>
        <w:rPr>
          <w:color w:val="auto"/>
        </w:rPr>
        <w:t>all</w:t>
      </w:r>
      <w:r>
        <w:rPr>
          <w:b/>
          <w:color w:val="auto"/>
        </w:rPr>
        <w:t xml:space="preserve"> </w:t>
      </w:r>
      <w:r>
        <w:rPr>
          <w:color w:val="auto"/>
        </w:rPr>
        <w:t xml:space="preserve">the facilities </w:t>
      </w:r>
      <w:r>
        <w:rPr>
          <w:color w:val="auto"/>
          <w:szCs w:val="24"/>
        </w:rPr>
        <w:t xml:space="preserve">covered by that agreement. Facilities can be removed individually through a variation to the agreement. </w:t>
      </w:r>
    </w:p>
    <w:p w14:paraId="6FC3D4FC" w14:textId="77777777" w:rsidR="00026E66" w:rsidRDefault="002737EF" w:rsidP="00FF0098">
      <w:pPr>
        <w:tabs>
          <w:tab w:val="left" w:pos="0"/>
        </w:tabs>
        <w:ind w:right="182"/>
        <w:rPr>
          <w:color w:val="auto"/>
          <w:szCs w:val="24"/>
        </w:rPr>
      </w:pPr>
      <w:r>
        <w:rPr>
          <w:color w:val="auto"/>
          <w:szCs w:val="24"/>
        </w:rPr>
        <w:t xml:space="preserve">Even though a facility (or group of facilities) no longer participates in the CCA scheme it may remain open and continue trading. If a facility within </w:t>
      </w:r>
      <w:proofErr w:type="gramStart"/>
      <w:r>
        <w:rPr>
          <w:color w:val="auto"/>
          <w:szCs w:val="24"/>
        </w:rPr>
        <w:t>a multiple facility target unit closes</w:t>
      </w:r>
      <w:proofErr w:type="gramEnd"/>
      <w:r>
        <w:rPr>
          <w:color w:val="auto"/>
          <w:szCs w:val="24"/>
        </w:rPr>
        <w:t xml:space="preserve">, this is a rationalisation. </w:t>
      </w:r>
    </w:p>
    <w:p w14:paraId="46CEB431" w14:textId="77777777" w:rsidR="00026E66" w:rsidRDefault="002737EF" w:rsidP="00FF0098">
      <w:pPr>
        <w:tabs>
          <w:tab w:val="left" w:pos="0"/>
        </w:tabs>
        <w:ind w:right="182"/>
        <w:rPr>
          <w:color w:val="auto"/>
          <w:szCs w:val="24"/>
        </w:rPr>
      </w:pPr>
      <w:r>
        <w:rPr>
          <w:color w:val="auto"/>
          <w:szCs w:val="24"/>
        </w:rPr>
        <w:t xml:space="preserve">Depending on the scenario, the following action should be taken. </w:t>
      </w:r>
    </w:p>
    <w:p w14:paraId="02E3A454" w14:textId="77777777" w:rsidR="00026E66" w:rsidRDefault="002737EF" w:rsidP="007A7512">
      <w:pPr>
        <w:pStyle w:val="ListParagraph"/>
        <w:numPr>
          <w:ilvl w:val="0"/>
          <w:numId w:val="140"/>
        </w:numPr>
      </w:pPr>
      <w:r w:rsidRPr="007A7512">
        <w:rPr>
          <w:bCs/>
          <w:szCs w:val="24"/>
        </w:rPr>
        <w:t xml:space="preserve">All the facilities </w:t>
      </w:r>
      <w:r w:rsidRPr="00A25DF5">
        <w:t>within target unit leave the scheme or close</w:t>
      </w:r>
      <w:r w:rsidRPr="007A7512">
        <w:rPr>
          <w:bCs/>
          <w:szCs w:val="24"/>
        </w:rPr>
        <w:t xml:space="preserve"> –</w:t>
      </w:r>
      <w:r w:rsidRPr="00A25DF5">
        <w:t xml:space="preserve"> the sector association </w:t>
      </w:r>
      <w:r w:rsidRPr="007A7512">
        <w:rPr>
          <w:bCs/>
          <w:szCs w:val="24"/>
        </w:rPr>
        <w:t xml:space="preserve">carries out </w:t>
      </w:r>
      <w:r w:rsidRPr="00A25DF5">
        <w:t xml:space="preserve">a voluntary termination of the </w:t>
      </w:r>
      <w:r w:rsidRPr="007A7512">
        <w:rPr>
          <w:bCs/>
          <w:szCs w:val="24"/>
        </w:rPr>
        <w:t xml:space="preserve">agreement on the register. </w:t>
      </w:r>
    </w:p>
    <w:p w14:paraId="7223ECE6" w14:textId="77777777" w:rsidR="00026E66" w:rsidRDefault="002737EF" w:rsidP="007A7512">
      <w:pPr>
        <w:pStyle w:val="ListParagraph"/>
        <w:numPr>
          <w:ilvl w:val="0"/>
          <w:numId w:val="140"/>
        </w:numPr>
      </w:pPr>
      <w:r w:rsidRPr="007A7512">
        <w:rPr>
          <w:bCs/>
          <w:szCs w:val="24"/>
        </w:rPr>
        <w:t xml:space="preserve">A </w:t>
      </w:r>
      <w:r w:rsidRPr="00A25DF5">
        <w:t xml:space="preserve">multi-facility target unit </w:t>
      </w:r>
      <w:r w:rsidRPr="007A7512">
        <w:rPr>
          <w:bCs/>
          <w:szCs w:val="24"/>
        </w:rPr>
        <w:t>where one or more facilities leave the scheme voluntarily but remain operating, leaving one or more facilities in the agreement in the scheme –</w:t>
      </w:r>
      <w:r w:rsidRPr="00A25DF5">
        <w:t xml:space="preserve"> the sector association </w:t>
      </w:r>
      <w:r w:rsidRPr="007A7512">
        <w:rPr>
          <w:bCs/>
          <w:szCs w:val="24"/>
        </w:rPr>
        <w:t xml:space="preserve">carries out </w:t>
      </w:r>
      <w:r w:rsidRPr="00A25DF5">
        <w:t xml:space="preserve">a variation to exclude the </w:t>
      </w:r>
      <w:r w:rsidRPr="007A7512">
        <w:rPr>
          <w:bCs/>
          <w:szCs w:val="24"/>
        </w:rPr>
        <w:t>facility</w:t>
      </w:r>
      <w:r w:rsidRPr="00A25DF5">
        <w:t xml:space="preserve"> (see </w:t>
      </w:r>
      <w:hyperlink w:anchor="_7.1._An_operator" w:history="1">
        <w:r>
          <w:rPr>
            <w:rStyle w:val="Hyperlink"/>
          </w:rPr>
          <w:t>section 7.1</w:t>
        </w:r>
      </w:hyperlink>
      <w:r w:rsidRPr="007A7512">
        <w:rPr>
          <w:bCs/>
          <w:szCs w:val="24"/>
        </w:rPr>
        <w:t>) on the register to alter the baseline performance for the residual target unit. We will remove those facilities from the register that are leaving the scheme. The sector association should not process any voluntary termination themselves in the register.</w:t>
      </w:r>
      <w:r w:rsidRPr="00A25DF5">
        <w:t xml:space="preserve"> </w:t>
      </w:r>
    </w:p>
    <w:p w14:paraId="67443136" w14:textId="209A2F41" w:rsidR="00026E66" w:rsidRDefault="002737EF" w:rsidP="007A7512">
      <w:pPr>
        <w:pStyle w:val="ListParagraph"/>
        <w:numPr>
          <w:ilvl w:val="0"/>
          <w:numId w:val="140"/>
        </w:numPr>
      </w:pPr>
      <w:r w:rsidRPr="007A7512">
        <w:rPr>
          <w:bCs/>
          <w:szCs w:val="24"/>
        </w:rPr>
        <w:t>A multi-facility target unit where one or more facilities closes – this is a rationalisation (see</w:t>
      </w:r>
      <w:r w:rsidR="00FC355D" w:rsidRPr="007A7512">
        <w:rPr>
          <w:bCs/>
          <w:szCs w:val="24"/>
        </w:rPr>
        <w:t xml:space="preserve"> </w:t>
      </w:r>
      <w:hyperlink w:anchor="_7.1.3._When_the" w:history="1">
        <w:r w:rsidRPr="007A7512">
          <w:rPr>
            <w:rStyle w:val="Hyperlink"/>
            <w:bCs/>
            <w:szCs w:val="24"/>
          </w:rPr>
          <w:t>section 7.1.3</w:t>
        </w:r>
      </w:hyperlink>
      <w:r w:rsidRPr="007A7512">
        <w:rPr>
          <w:bCs/>
          <w:szCs w:val="24"/>
          <w:u w:val="single" w:color="0077B9"/>
        </w:rPr>
        <w:t>)</w:t>
      </w:r>
      <w:r w:rsidRPr="007A7512">
        <w:rPr>
          <w:bCs/>
          <w:szCs w:val="24"/>
        </w:rPr>
        <w:t xml:space="preserve"> as production has stopped. The sector association carries out a variation to exclude the facility or facilities. The target and baseline data should not be altered. </w:t>
      </w:r>
    </w:p>
    <w:p w14:paraId="3E20C68D" w14:textId="77777777" w:rsidR="00026E66" w:rsidRDefault="002737EF" w:rsidP="00FF0098">
      <w:pPr>
        <w:tabs>
          <w:tab w:val="left" w:pos="0"/>
        </w:tabs>
        <w:ind w:right="182"/>
      </w:pPr>
      <w:r>
        <w:rPr>
          <w:color w:val="auto"/>
          <w:szCs w:val="24"/>
        </w:rPr>
        <w:t>In terms of targets, paragraph</w:t>
      </w:r>
      <w:r>
        <w:rPr>
          <w:color w:val="auto"/>
        </w:rPr>
        <w:t xml:space="preserve"> 72 of the </w:t>
      </w:r>
      <w:hyperlink r:id="rId91" w:history="1">
        <w:r>
          <w:rPr>
            <w:rStyle w:val="Hyperlink"/>
            <w:color w:val="0070C0"/>
          </w:rPr>
          <w:t>Technical Annex</w:t>
        </w:r>
      </w:hyperlink>
      <w:r>
        <w:rPr>
          <w:color w:val="0070C0"/>
        </w:rPr>
        <w:t xml:space="preserve"> </w:t>
      </w:r>
      <w:r>
        <w:rPr>
          <w:color w:val="auto"/>
        </w:rPr>
        <w:t xml:space="preserve">states: </w:t>
      </w:r>
    </w:p>
    <w:p w14:paraId="0A6DD236" w14:textId="77777777" w:rsidR="00026E66" w:rsidRDefault="002737EF" w:rsidP="007A7512">
      <w:r>
        <w:t xml:space="preserve">When excluding a facility, if the exclusion of the site is due to </w:t>
      </w:r>
      <w:proofErr w:type="spellStart"/>
      <w:r>
        <w:t>it</w:t>
      </w:r>
      <w:proofErr w:type="spellEnd"/>
      <w:r>
        <w:t xml:space="preserve"> closing and is not part of a change of ownership, then this will be treated as an act of rationalisation and the original target will be retained. If there is a site closure [an exclusion] for any other reason, the </w:t>
      </w:r>
      <w:r>
        <w:lastRenderedPageBreak/>
        <w:t>Administrator may vary the target, using the same principles as set out for the addition of a facility under Rule 9.6 (including the application of the stringency test</w:t>
      </w:r>
      <w:r>
        <w:rPr>
          <w:szCs w:val="24"/>
        </w:rPr>
        <w:t>).</w:t>
      </w:r>
    </w:p>
    <w:p w14:paraId="322623EE" w14:textId="77777777" w:rsidR="00026E66" w:rsidRPr="00E931A9" w:rsidRDefault="002737EF" w:rsidP="00FF0098">
      <w:pPr>
        <w:pStyle w:val="Heading4"/>
        <w:tabs>
          <w:tab w:val="left" w:pos="0"/>
        </w:tabs>
      </w:pPr>
      <w:r w:rsidRPr="00E931A9">
        <w:t xml:space="preserve">Firms in difficulty </w:t>
      </w:r>
    </w:p>
    <w:p w14:paraId="7C3D31C8" w14:textId="77777777" w:rsidR="00026E66" w:rsidRDefault="002737EF" w:rsidP="00FF0098">
      <w:pPr>
        <w:tabs>
          <w:tab w:val="left" w:pos="0"/>
        </w:tabs>
        <w:ind w:right="182"/>
      </w:pPr>
      <w:r>
        <w:rPr>
          <w:color w:val="auto"/>
          <w:szCs w:val="24"/>
        </w:rPr>
        <w:t xml:space="preserve">The sector association, on behalf of the operator, should process a voluntary termination on the register under the following instance as outlined in paragraph 7 of the </w:t>
      </w:r>
      <w:hyperlink r:id="rId92" w:history="1">
        <w:r>
          <w:rPr>
            <w:rStyle w:val="Hyperlink"/>
            <w:color w:val="0070C0"/>
          </w:rPr>
          <w:t>Technical Annex</w:t>
        </w:r>
      </w:hyperlink>
      <w:r>
        <w:rPr>
          <w:color w:val="0070C0"/>
          <w:szCs w:val="24"/>
        </w:rPr>
        <w:t xml:space="preserve">: </w:t>
      </w:r>
    </w:p>
    <w:p w14:paraId="52ABBB11" w14:textId="77777777" w:rsidR="00026E66" w:rsidRDefault="002737EF" w:rsidP="00FF0098">
      <w:pPr>
        <w:tabs>
          <w:tab w:val="left" w:pos="0"/>
        </w:tabs>
        <w:spacing w:after="151" w:line="247" w:lineRule="auto"/>
        <w:ind w:right="160"/>
      </w:pPr>
      <w:r>
        <w:rPr>
          <w:color w:val="auto"/>
        </w:rPr>
        <w:t>An Operator must notify the Administrator within 20 working days of the operator or a facility in the target unit becoming a firm in difficulty, as described in the European Commission Community Guidelines on state aid for rescuing and restructuring non-financial undertakings in difficulty (2014/C 249/01</w:t>
      </w:r>
      <w:r>
        <w:rPr>
          <w:color w:val="auto"/>
          <w:szCs w:val="24"/>
        </w:rPr>
        <w:t>).</w:t>
      </w:r>
    </w:p>
    <w:p w14:paraId="21346D4B" w14:textId="77777777" w:rsidR="00026E66" w:rsidRDefault="002737EF" w:rsidP="00FF0098">
      <w:pPr>
        <w:pStyle w:val="Heading3"/>
        <w:tabs>
          <w:tab w:val="left" w:pos="0"/>
        </w:tabs>
      </w:pPr>
      <w:bookmarkStart w:id="223" w:name="_Toc95211856"/>
      <w:r>
        <w:t>8.3.2. Termination by the Environment Agency</w:t>
      </w:r>
      <w:bookmarkEnd w:id="223"/>
      <w:r>
        <w:t xml:space="preserve"> </w:t>
      </w:r>
    </w:p>
    <w:p w14:paraId="7351A238" w14:textId="77777777" w:rsidR="00026E66" w:rsidRDefault="002737EF" w:rsidP="00FF0098">
      <w:pPr>
        <w:tabs>
          <w:tab w:val="left" w:pos="0"/>
        </w:tabs>
        <w:ind w:right="182"/>
      </w:pPr>
      <w:r>
        <w:rPr>
          <w:color w:val="auto"/>
          <w:szCs w:val="24"/>
        </w:rPr>
        <w:t xml:space="preserve">We may </w:t>
      </w:r>
      <w:r>
        <w:rPr>
          <w:color w:val="auto"/>
        </w:rPr>
        <w:t>terminate an agreement if</w:t>
      </w:r>
      <w:r>
        <w:rPr>
          <w:color w:val="auto"/>
          <w:szCs w:val="24"/>
        </w:rPr>
        <w:t xml:space="preserve">: </w:t>
      </w:r>
    </w:p>
    <w:p w14:paraId="1DC94597" w14:textId="77777777" w:rsidR="00026E66" w:rsidRDefault="002737EF" w:rsidP="0065356B">
      <w:pPr>
        <w:pStyle w:val="ListParagraph"/>
        <w:numPr>
          <w:ilvl w:val="0"/>
          <w:numId w:val="60"/>
        </w:numPr>
        <w:tabs>
          <w:tab w:val="left" w:pos="0"/>
        </w:tabs>
        <w:spacing w:after="76"/>
        <w:ind w:right="182"/>
      </w:pPr>
      <w:r w:rsidRPr="00A25DF5">
        <w:rPr>
          <w:szCs w:val="24"/>
        </w:rPr>
        <w:t>the sector association contravenes</w:t>
      </w:r>
      <w:r>
        <w:t xml:space="preserve"> the agreement </w:t>
      </w:r>
    </w:p>
    <w:p w14:paraId="4D7F8673" w14:textId="77777777" w:rsidR="00026E66" w:rsidRPr="00A25DF5" w:rsidRDefault="002737EF" w:rsidP="0065356B">
      <w:pPr>
        <w:pStyle w:val="ListParagraph"/>
        <w:numPr>
          <w:ilvl w:val="0"/>
          <w:numId w:val="60"/>
        </w:numPr>
        <w:tabs>
          <w:tab w:val="left" w:pos="0"/>
        </w:tabs>
        <w:spacing w:after="73" w:line="244" w:lineRule="auto"/>
        <w:ind w:right="182"/>
        <w:rPr>
          <w:szCs w:val="24"/>
        </w:rPr>
      </w:pPr>
      <w:r w:rsidRPr="00A25DF5">
        <w:rPr>
          <w:szCs w:val="24"/>
        </w:rPr>
        <w:t xml:space="preserve">the sector association fails to agree a variation in a sector commitment proposed under the terms of the agreement </w:t>
      </w:r>
    </w:p>
    <w:p w14:paraId="3055C664" w14:textId="77777777" w:rsidR="00026E66" w:rsidRDefault="002737EF" w:rsidP="0065356B">
      <w:pPr>
        <w:pStyle w:val="ListParagraph"/>
        <w:numPr>
          <w:ilvl w:val="0"/>
          <w:numId w:val="60"/>
        </w:numPr>
        <w:tabs>
          <w:tab w:val="left" w:pos="0"/>
        </w:tabs>
        <w:spacing w:after="71"/>
        <w:ind w:right="182"/>
      </w:pPr>
      <w:r w:rsidRPr="00A25DF5">
        <w:rPr>
          <w:szCs w:val="24"/>
        </w:rPr>
        <w:t>the</w:t>
      </w:r>
      <w:r>
        <w:t xml:space="preserve"> operator contravenes the agreement unless the contravention has given rise to a financial penalty</w:t>
      </w:r>
      <w:r w:rsidRPr="00A25DF5">
        <w:rPr>
          <w:szCs w:val="24"/>
        </w:rPr>
        <w:t xml:space="preserve"> </w:t>
      </w:r>
    </w:p>
    <w:p w14:paraId="65A8B149" w14:textId="77777777" w:rsidR="00026E66" w:rsidRDefault="002737EF" w:rsidP="0065356B">
      <w:pPr>
        <w:pStyle w:val="ListParagraph"/>
        <w:numPr>
          <w:ilvl w:val="0"/>
          <w:numId w:val="60"/>
        </w:numPr>
        <w:tabs>
          <w:tab w:val="left" w:pos="0"/>
        </w:tabs>
        <w:spacing w:after="78"/>
        <w:ind w:right="182"/>
      </w:pPr>
      <w:r w:rsidRPr="00A25DF5">
        <w:rPr>
          <w:szCs w:val="24"/>
        </w:rPr>
        <w:t>the</w:t>
      </w:r>
      <w:r>
        <w:t xml:space="preserve"> operator fails to pay a financial penalty or fails to take steps to remedy the contravention</w:t>
      </w:r>
      <w:r w:rsidRPr="00A25DF5">
        <w:rPr>
          <w:szCs w:val="24"/>
        </w:rPr>
        <w:t xml:space="preserve"> </w:t>
      </w:r>
    </w:p>
    <w:p w14:paraId="65EF1530" w14:textId="2598190F" w:rsidR="00026E66" w:rsidRPr="00A25DF5" w:rsidRDefault="002737EF" w:rsidP="0065356B">
      <w:pPr>
        <w:pStyle w:val="ListParagraph"/>
        <w:numPr>
          <w:ilvl w:val="0"/>
          <w:numId w:val="60"/>
        </w:numPr>
        <w:tabs>
          <w:tab w:val="left" w:pos="0"/>
        </w:tabs>
        <w:spacing w:after="0" w:line="244" w:lineRule="auto"/>
        <w:ind w:right="182"/>
      </w:pPr>
      <w:r w:rsidRPr="00A25DF5">
        <w:rPr>
          <w:szCs w:val="24"/>
        </w:rPr>
        <w:t>the</w:t>
      </w:r>
      <w:r w:rsidRPr="00A25DF5">
        <w:t xml:space="preserve"> operator fails to agree a variation in </w:t>
      </w:r>
      <w:r w:rsidRPr="00A25DF5">
        <w:rPr>
          <w:szCs w:val="24"/>
        </w:rPr>
        <w:t xml:space="preserve">target proposed under the terms of the underlying agreement. </w:t>
      </w:r>
    </w:p>
    <w:p w14:paraId="2295C1D2" w14:textId="57062944" w:rsidR="00026E66" w:rsidRDefault="002737EF" w:rsidP="00FF0098">
      <w:pPr>
        <w:tabs>
          <w:tab w:val="left" w:pos="0"/>
        </w:tabs>
        <w:spacing w:after="11"/>
        <w:ind w:right="182"/>
        <w:rPr>
          <w:color w:val="auto"/>
          <w:szCs w:val="24"/>
        </w:rPr>
      </w:pPr>
      <w:r>
        <w:rPr>
          <w:color w:val="auto"/>
          <w:szCs w:val="24"/>
        </w:rPr>
        <w:t>Examples of underlying agreement terminations are listed below:</w:t>
      </w:r>
    </w:p>
    <w:p w14:paraId="66394863" w14:textId="77777777" w:rsidR="00026E66" w:rsidRDefault="002737EF" w:rsidP="00FF0098">
      <w:pPr>
        <w:tabs>
          <w:tab w:val="left" w:pos="0"/>
        </w:tabs>
        <w:spacing w:after="11"/>
        <w:ind w:right="182"/>
        <w:rPr>
          <w:bCs/>
          <w:color w:val="auto"/>
          <w:szCs w:val="24"/>
        </w:rPr>
      </w:pPr>
      <w:r>
        <w:rPr>
          <w:bCs/>
          <w:color w:val="auto"/>
          <w:szCs w:val="24"/>
        </w:rPr>
        <w:t>Examples where the operator contravenes their agreement:</w:t>
      </w:r>
    </w:p>
    <w:p w14:paraId="3E9AF986" w14:textId="77777777" w:rsidR="00026E66" w:rsidRPr="00A25DF5" w:rsidRDefault="002737EF" w:rsidP="0065356B">
      <w:pPr>
        <w:pStyle w:val="ListParagraph"/>
        <w:numPr>
          <w:ilvl w:val="0"/>
          <w:numId w:val="62"/>
        </w:numPr>
        <w:tabs>
          <w:tab w:val="left" w:pos="0"/>
        </w:tabs>
        <w:spacing w:after="11"/>
        <w:ind w:right="182"/>
        <w:rPr>
          <w:bCs/>
          <w:szCs w:val="24"/>
        </w:rPr>
      </w:pPr>
      <w:r w:rsidRPr="00A25DF5">
        <w:rPr>
          <w:bCs/>
          <w:szCs w:val="24"/>
        </w:rPr>
        <w:t>Failure to comply with the charging scheme (that includes non-payment of annual facility subsistence charges)</w:t>
      </w:r>
    </w:p>
    <w:p w14:paraId="5A63514F" w14:textId="77777777" w:rsidR="00026E66" w:rsidRPr="00A25DF5" w:rsidRDefault="002737EF" w:rsidP="0065356B">
      <w:pPr>
        <w:pStyle w:val="ListParagraph"/>
        <w:numPr>
          <w:ilvl w:val="0"/>
          <w:numId w:val="62"/>
        </w:numPr>
        <w:tabs>
          <w:tab w:val="left" w:pos="0"/>
        </w:tabs>
        <w:spacing w:after="11"/>
        <w:ind w:right="182"/>
        <w:rPr>
          <w:bCs/>
          <w:szCs w:val="24"/>
        </w:rPr>
      </w:pPr>
      <w:r w:rsidRPr="00A25DF5">
        <w:rPr>
          <w:bCs/>
          <w:szCs w:val="24"/>
        </w:rPr>
        <w:t>Failure to inform us of a site closure or withdrawal from the scheme</w:t>
      </w:r>
    </w:p>
    <w:p w14:paraId="5ABB5DDE" w14:textId="7F0D631F" w:rsidR="00026E66" w:rsidRPr="00A25DF5" w:rsidRDefault="002737EF" w:rsidP="0065356B">
      <w:pPr>
        <w:pStyle w:val="ListParagraph"/>
        <w:numPr>
          <w:ilvl w:val="0"/>
          <w:numId w:val="62"/>
        </w:numPr>
        <w:tabs>
          <w:tab w:val="left" w:pos="0"/>
        </w:tabs>
        <w:spacing w:after="11"/>
        <w:ind w:right="182"/>
        <w:rPr>
          <w:bCs/>
          <w:szCs w:val="24"/>
        </w:rPr>
      </w:pPr>
      <w:r w:rsidRPr="00A25DF5">
        <w:rPr>
          <w:bCs/>
          <w:szCs w:val="24"/>
        </w:rPr>
        <w:t>Failure to pay a financial penalty</w:t>
      </w:r>
    </w:p>
    <w:p w14:paraId="610CF3ED" w14:textId="77777777" w:rsidR="00026E66" w:rsidRDefault="002737EF" w:rsidP="00FF0098">
      <w:pPr>
        <w:tabs>
          <w:tab w:val="left" w:pos="0"/>
        </w:tabs>
        <w:spacing w:after="11"/>
        <w:ind w:right="182"/>
        <w:rPr>
          <w:bCs/>
          <w:color w:val="auto"/>
          <w:szCs w:val="24"/>
        </w:rPr>
      </w:pPr>
      <w:r>
        <w:rPr>
          <w:bCs/>
          <w:color w:val="auto"/>
          <w:szCs w:val="24"/>
        </w:rPr>
        <w:t>Examples where the operator fails to agree a variation in a target proposed under the terms of the underlying agreement:</w:t>
      </w:r>
    </w:p>
    <w:p w14:paraId="48F6A29D" w14:textId="77777777" w:rsidR="00026E66" w:rsidRDefault="002737EF" w:rsidP="0065356B">
      <w:pPr>
        <w:pStyle w:val="ListParagraph"/>
        <w:numPr>
          <w:ilvl w:val="0"/>
          <w:numId w:val="61"/>
        </w:numPr>
        <w:tabs>
          <w:tab w:val="left" w:pos="0"/>
        </w:tabs>
        <w:spacing w:after="11"/>
        <w:ind w:right="182"/>
      </w:pPr>
      <w:r w:rsidRPr="00A25DF5">
        <w:rPr>
          <w:bCs/>
          <w:szCs w:val="24"/>
        </w:rPr>
        <w:t>Failure to agree to a new</w:t>
      </w:r>
      <w:r>
        <w:t xml:space="preserve"> target following a structural </w:t>
      </w:r>
      <w:r w:rsidRPr="00A25DF5">
        <w:rPr>
          <w:rFonts w:cs="Arial"/>
          <w:szCs w:val="24"/>
        </w:rPr>
        <w:t xml:space="preserve">or other </w:t>
      </w:r>
      <w:r>
        <w:t>change</w:t>
      </w:r>
      <w:r w:rsidRPr="00A25DF5">
        <w:rPr>
          <w:rFonts w:cs="Arial"/>
          <w:szCs w:val="24"/>
        </w:rPr>
        <w:t xml:space="preserve"> to a target unit</w:t>
      </w:r>
    </w:p>
    <w:p w14:paraId="38C940DF" w14:textId="77777777" w:rsidR="00026E66" w:rsidRDefault="002737EF" w:rsidP="0065356B">
      <w:pPr>
        <w:pStyle w:val="ListParagraph"/>
        <w:numPr>
          <w:ilvl w:val="0"/>
          <w:numId w:val="61"/>
        </w:numPr>
        <w:tabs>
          <w:tab w:val="left" w:pos="0"/>
        </w:tabs>
        <w:spacing w:after="11"/>
        <w:ind w:right="182"/>
      </w:pPr>
      <w:r w:rsidRPr="00A25DF5">
        <w:rPr>
          <w:rFonts w:cs="Arial"/>
          <w:szCs w:val="24"/>
        </w:rPr>
        <w:t xml:space="preserve">Failure to agree to a new target </w:t>
      </w:r>
      <w:r>
        <w:t>following corrections of errors in the base year data</w:t>
      </w:r>
    </w:p>
    <w:p w14:paraId="1BCA6AB4" w14:textId="77777777" w:rsidR="00026E66" w:rsidRDefault="002737EF" w:rsidP="0065356B">
      <w:pPr>
        <w:pStyle w:val="ListParagraph"/>
        <w:numPr>
          <w:ilvl w:val="0"/>
          <w:numId w:val="61"/>
        </w:numPr>
        <w:tabs>
          <w:tab w:val="left" w:pos="0"/>
        </w:tabs>
        <w:spacing w:after="11"/>
        <w:ind w:right="182"/>
      </w:pPr>
      <w:r w:rsidRPr="00A25DF5">
        <w:rPr>
          <w:rFonts w:cs="Arial"/>
          <w:szCs w:val="24"/>
        </w:rPr>
        <w:lastRenderedPageBreak/>
        <w:t xml:space="preserve">Failure to agree to changes to the Novem target </w:t>
      </w:r>
      <w:r>
        <w:t>following removal of a product no longer produced in target period which was produced in the base year</w:t>
      </w:r>
      <w:r w:rsidRPr="00A25DF5">
        <w:rPr>
          <w:rFonts w:cs="Arial"/>
          <w:szCs w:val="24"/>
        </w:rPr>
        <w:t>.</w:t>
      </w:r>
    </w:p>
    <w:p w14:paraId="36937233" w14:textId="77777777" w:rsidR="00026E66" w:rsidRDefault="002737EF" w:rsidP="00FF0098">
      <w:pPr>
        <w:tabs>
          <w:tab w:val="left" w:pos="0"/>
        </w:tabs>
        <w:ind w:right="182"/>
        <w:rPr>
          <w:color w:val="auto"/>
          <w:szCs w:val="24"/>
        </w:rPr>
      </w:pPr>
      <w:r>
        <w:rPr>
          <w:color w:val="auto"/>
          <w:szCs w:val="24"/>
        </w:rPr>
        <w:t xml:space="preserve">We must terminate an agreement as it applies to a facility if that facility ceases to be eligible for inclusion in an agreement (Regulation 17(4)). </w:t>
      </w:r>
    </w:p>
    <w:p w14:paraId="3B18DEE5" w14:textId="61173940" w:rsidR="00026E66" w:rsidRPr="00A25DF5" w:rsidRDefault="002737EF" w:rsidP="00A25DF5">
      <w:pPr>
        <w:tabs>
          <w:tab w:val="left" w:pos="0"/>
        </w:tabs>
        <w:spacing w:after="0"/>
        <w:ind w:right="182"/>
      </w:pPr>
      <w:r>
        <w:rPr>
          <w:color w:val="auto"/>
        </w:rPr>
        <w:t>The sector association</w:t>
      </w:r>
      <w:r>
        <w:rPr>
          <w:color w:val="auto"/>
          <w:szCs w:val="24"/>
        </w:rPr>
        <w:t xml:space="preserve"> or operator</w:t>
      </w:r>
      <w:r>
        <w:rPr>
          <w:color w:val="auto"/>
        </w:rPr>
        <w:t xml:space="preserve"> has the right to appeal </w:t>
      </w:r>
      <w:r>
        <w:rPr>
          <w:color w:val="auto"/>
          <w:szCs w:val="24"/>
        </w:rPr>
        <w:t>against a</w:t>
      </w:r>
      <w:r>
        <w:rPr>
          <w:color w:val="auto"/>
        </w:rPr>
        <w:t xml:space="preserve"> decision to terminate an agreement at a First Tier Tribunal as described in Regulation 20(2). Further information on the appeal process can be found at:</w:t>
      </w:r>
      <w:hyperlink r:id="rId93" w:history="1">
        <w:r>
          <w:rPr>
            <w:color w:val="auto"/>
          </w:rPr>
          <w:t xml:space="preserve"> </w:t>
        </w:r>
      </w:hyperlink>
      <w:hyperlink r:id="rId94" w:history="1">
        <w:r>
          <w:rPr>
            <w:color w:val="0070C0"/>
            <w:u w:val="single" w:color="0077B9"/>
          </w:rPr>
          <w:t xml:space="preserve">About </w:t>
        </w:r>
      </w:hyperlink>
      <w:hyperlink r:id="rId95" w:history="1">
        <w:r>
          <w:rPr>
            <w:color w:val="0070C0"/>
            <w:u w:val="single" w:color="0077B9"/>
          </w:rPr>
          <w:t xml:space="preserve">- </w:t>
        </w:r>
      </w:hyperlink>
      <w:hyperlink r:id="rId96" w:history="1">
        <w:r>
          <w:rPr>
            <w:color w:val="0070C0"/>
            <w:u w:val="single" w:color="0077B9"/>
          </w:rPr>
          <w:t>HM</w:t>
        </w:r>
      </w:hyperlink>
      <w:hyperlink r:id="rId97" w:history="1">
        <w:r>
          <w:rPr>
            <w:color w:val="0070C0"/>
            <w:u w:val="single" w:color="0077B9"/>
          </w:rPr>
          <w:t xml:space="preserve"> </w:t>
        </w:r>
      </w:hyperlink>
      <w:hyperlink r:id="rId98" w:history="1">
        <w:r>
          <w:rPr>
            <w:color w:val="0070C0"/>
            <w:u w:val="single" w:color="0077B9"/>
          </w:rPr>
          <w:t>Courts</w:t>
        </w:r>
      </w:hyperlink>
      <w:hyperlink r:id="rId99" w:history="1">
        <w:r>
          <w:rPr>
            <w:color w:val="0070C0"/>
            <w:u w:val="single" w:color="0077B9"/>
          </w:rPr>
          <w:t xml:space="preserve"> &amp; </w:t>
        </w:r>
      </w:hyperlink>
      <w:hyperlink r:id="rId100" w:history="1">
        <w:r>
          <w:rPr>
            <w:color w:val="0070C0"/>
            <w:u w:val="single" w:color="0077B9"/>
          </w:rPr>
          <w:t>Tribunals</w:t>
        </w:r>
      </w:hyperlink>
      <w:hyperlink r:id="rId101" w:history="1">
        <w:r>
          <w:rPr>
            <w:color w:val="0070C0"/>
            <w:u w:val="single" w:color="0077B9"/>
          </w:rPr>
          <w:t xml:space="preserve"> </w:t>
        </w:r>
      </w:hyperlink>
      <w:hyperlink r:id="rId102" w:history="1">
        <w:r>
          <w:rPr>
            <w:color w:val="0070C0"/>
            <w:u w:val="single" w:color="0077B9"/>
          </w:rPr>
          <w:t>Service</w:t>
        </w:r>
      </w:hyperlink>
      <w:hyperlink r:id="rId103" w:history="1">
        <w:r>
          <w:rPr>
            <w:color w:val="0070C0"/>
          </w:rPr>
          <w:t>.</w:t>
        </w:r>
      </w:hyperlink>
      <w:r>
        <w:rPr>
          <w:color w:val="0070C0"/>
        </w:rPr>
        <w:t xml:space="preserve"> </w:t>
      </w:r>
    </w:p>
    <w:p w14:paraId="60832BA1" w14:textId="52FC42F0" w:rsidR="00026E66" w:rsidRPr="00A25DF5" w:rsidRDefault="002737EF" w:rsidP="00FF0098">
      <w:pPr>
        <w:tabs>
          <w:tab w:val="left" w:pos="0"/>
        </w:tabs>
        <w:spacing w:after="0"/>
        <w:ind w:right="182"/>
      </w:pPr>
      <w:r>
        <w:rPr>
          <w:color w:val="auto"/>
        </w:rPr>
        <w:t xml:space="preserve">We also carry out administrative </w:t>
      </w:r>
      <w:r>
        <w:rPr>
          <w:color w:val="auto"/>
          <w:szCs w:val="24"/>
        </w:rPr>
        <w:t>terminations for example</w:t>
      </w:r>
      <w:r>
        <w:rPr>
          <w:color w:val="auto"/>
        </w:rPr>
        <w:t xml:space="preserve"> to remove </w:t>
      </w:r>
      <w:r>
        <w:rPr>
          <w:color w:val="auto"/>
          <w:szCs w:val="24"/>
        </w:rPr>
        <w:t xml:space="preserve">old </w:t>
      </w:r>
      <w:r>
        <w:rPr>
          <w:color w:val="auto"/>
        </w:rPr>
        <w:t xml:space="preserve">facilities from target units after </w:t>
      </w:r>
      <w:r>
        <w:rPr>
          <w:color w:val="auto"/>
          <w:szCs w:val="24"/>
        </w:rPr>
        <w:t>they</w:t>
      </w:r>
      <w:r>
        <w:rPr>
          <w:color w:val="auto"/>
        </w:rPr>
        <w:t xml:space="preserve"> have </w:t>
      </w:r>
      <w:r>
        <w:rPr>
          <w:color w:val="auto"/>
          <w:szCs w:val="24"/>
        </w:rPr>
        <w:t xml:space="preserve">successfully </w:t>
      </w:r>
      <w:r>
        <w:rPr>
          <w:color w:val="auto"/>
        </w:rPr>
        <w:t xml:space="preserve">transferred to a new </w:t>
      </w:r>
      <w:r>
        <w:rPr>
          <w:color w:val="auto"/>
          <w:szCs w:val="24"/>
        </w:rPr>
        <w:t>operator</w:t>
      </w:r>
      <w:r>
        <w:rPr>
          <w:color w:val="auto"/>
        </w:rPr>
        <w:t xml:space="preserve"> following a change of ownership.</w:t>
      </w:r>
      <w:r>
        <w:rPr>
          <w:color w:val="auto"/>
          <w:szCs w:val="24"/>
        </w:rPr>
        <w:t xml:space="preserve"> </w:t>
      </w:r>
    </w:p>
    <w:p w14:paraId="27A4FA16" w14:textId="5BFBAFD6" w:rsidR="00026E66" w:rsidRPr="00A25DF5" w:rsidRDefault="002737EF" w:rsidP="00A25DF5">
      <w:pPr>
        <w:tabs>
          <w:tab w:val="left" w:pos="0"/>
        </w:tabs>
        <w:spacing w:after="0"/>
        <w:ind w:right="182"/>
        <w:rPr>
          <w:color w:val="auto"/>
          <w:szCs w:val="24"/>
        </w:rPr>
      </w:pPr>
      <w:r>
        <w:rPr>
          <w:color w:val="auto"/>
          <w:szCs w:val="24"/>
        </w:rPr>
        <w:t xml:space="preserve">In Target Period 5, if an agreement is terminated, re-entry is not possible unless within a new entry window. </w:t>
      </w:r>
    </w:p>
    <w:p w14:paraId="7F1AE133" w14:textId="4A8AA0CE" w:rsidR="00026E66" w:rsidRDefault="002737EF" w:rsidP="00FF0098">
      <w:pPr>
        <w:pStyle w:val="Heading3"/>
        <w:tabs>
          <w:tab w:val="left" w:pos="0"/>
        </w:tabs>
      </w:pPr>
      <w:bookmarkStart w:id="224" w:name="_Toc95211857"/>
      <w:r>
        <w:t>8.3.3. Re-entry following termination</w:t>
      </w:r>
      <w:bookmarkEnd w:id="224"/>
      <w:r w:rsidR="00FC355D">
        <w:t xml:space="preserve"> </w:t>
      </w:r>
    </w:p>
    <w:p w14:paraId="453E5F1B" w14:textId="77777777" w:rsidR="00026E66" w:rsidRDefault="002737EF" w:rsidP="00FF0098">
      <w:pPr>
        <w:tabs>
          <w:tab w:val="left" w:pos="0"/>
        </w:tabs>
        <w:ind w:right="182"/>
      </w:pPr>
      <w:r>
        <w:rPr>
          <w:color w:val="auto"/>
          <w:szCs w:val="24"/>
        </w:rPr>
        <w:t>A</w:t>
      </w:r>
      <w:r>
        <w:rPr>
          <w:color w:val="auto"/>
        </w:rPr>
        <w:t xml:space="preserve"> facility that has been terminated </w:t>
      </w:r>
      <w:r>
        <w:rPr>
          <w:color w:val="auto"/>
          <w:szCs w:val="24"/>
        </w:rPr>
        <w:t xml:space="preserve">from the scheme </w:t>
      </w:r>
      <w:r>
        <w:rPr>
          <w:color w:val="auto"/>
        </w:rPr>
        <w:t>can apply to re-</w:t>
      </w:r>
      <w:r>
        <w:rPr>
          <w:color w:val="auto"/>
          <w:szCs w:val="24"/>
        </w:rPr>
        <w:t xml:space="preserve">join </w:t>
      </w:r>
      <w:r>
        <w:rPr>
          <w:color w:val="auto"/>
        </w:rPr>
        <w:t xml:space="preserve">during a new entrant window. </w:t>
      </w:r>
      <w:r>
        <w:rPr>
          <w:color w:val="auto"/>
          <w:szCs w:val="24"/>
        </w:rPr>
        <w:t xml:space="preserve">This applies to facilities that were terminated voluntarily or were terminated by </w:t>
      </w:r>
      <w:r>
        <w:rPr>
          <w:color w:val="auto"/>
        </w:rPr>
        <w:t xml:space="preserve">the </w:t>
      </w:r>
      <w:r>
        <w:rPr>
          <w:color w:val="auto"/>
          <w:szCs w:val="24"/>
        </w:rPr>
        <w:t xml:space="preserve">Environment Agency. </w:t>
      </w:r>
    </w:p>
    <w:p w14:paraId="04D37923" w14:textId="77777777" w:rsidR="00026E66" w:rsidRDefault="002737EF" w:rsidP="00FF0098">
      <w:pPr>
        <w:tabs>
          <w:tab w:val="left" w:pos="0"/>
        </w:tabs>
        <w:ind w:right="182"/>
      </w:pPr>
      <w:r>
        <w:rPr>
          <w:color w:val="auto"/>
          <w:szCs w:val="24"/>
        </w:rPr>
        <w:t>Any facility seeking to</w:t>
      </w:r>
      <w:r>
        <w:rPr>
          <w:color w:val="auto"/>
        </w:rPr>
        <w:t xml:space="preserve"> re-enter </w:t>
      </w:r>
      <w:r>
        <w:rPr>
          <w:color w:val="auto"/>
          <w:szCs w:val="24"/>
        </w:rPr>
        <w:t>should demonstrate that:</w:t>
      </w:r>
      <w:r>
        <w:rPr>
          <w:color w:val="auto"/>
        </w:rPr>
        <w:t xml:space="preserve"> </w:t>
      </w:r>
    </w:p>
    <w:p w14:paraId="3FDADD86" w14:textId="77777777" w:rsidR="00026E66" w:rsidRDefault="002737EF" w:rsidP="0065356B">
      <w:pPr>
        <w:pStyle w:val="ListParagraph"/>
        <w:numPr>
          <w:ilvl w:val="0"/>
          <w:numId w:val="63"/>
        </w:numPr>
        <w:tabs>
          <w:tab w:val="left" w:pos="0"/>
        </w:tabs>
        <w:spacing w:after="75"/>
        <w:ind w:right="182"/>
      </w:pPr>
      <w:r>
        <w:t xml:space="preserve">it </w:t>
      </w:r>
      <w:r w:rsidRPr="00A25DF5">
        <w:rPr>
          <w:szCs w:val="24"/>
        </w:rPr>
        <w:t xml:space="preserve">is </w:t>
      </w:r>
      <w:r>
        <w:t xml:space="preserve">eligible </w:t>
      </w:r>
      <w:r w:rsidRPr="00A25DF5">
        <w:rPr>
          <w:szCs w:val="24"/>
        </w:rPr>
        <w:t>to re-join</w:t>
      </w:r>
      <w:r>
        <w:t xml:space="preserve"> the </w:t>
      </w:r>
      <w:r w:rsidRPr="00A25DF5">
        <w:rPr>
          <w:szCs w:val="24"/>
        </w:rPr>
        <w:t xml:space="preserve">scheme </w:t>
      </w:r>
    </w:p>
    <w:p w14:paraId="4A714528" w14:textId="77777777" w:rsidR="00026E66" w:rsidRDefault="002737EF" w:rsidP="0065356B">
      <w:pPr>
        <w:pStyle w:val="ListParagraph"/>
        <w:numPr>
          <w:ilvl w:val="0"/>
          <w:numId w:val="63"/>
        </w:numPr>
        <w:tabs>
          <w:tab w:val="left" w:pos="0"/>
        </w:tabs>
        <w:ind w:right="182"/>
      </w:pPr>
      <w:r w:rsidRPr="00A25DF5">
        <w:rPr>
          <w:szCs w:val="24"/>
        </w:rPr>
        <w:t xml:space="preserve">if re-entering as a standalone target unit, </w:t>
      </w:r>
      <w:r>
        <w:t xml:space="preserve">it met its target </w:t>
      </w:r>
      <w:r w:rsidRPr="00A25DF5">
        <w:rPr>
          <w:szCs w:val="24"/>
        </w:rPr>
        <w:t xml:space="preserve">at the previous target periods, </w:t>
      </w:r>
      <w:r>
        <w:t>or</w:t>
      </w:r>
      <w:r w:rsidRPr="00A25DF5">
        <w:rPr>
          <w:szCs w:val="24"/>
        </w:rPr>
        <w:t>, if not, the operator has</w:t>
      </w:r>
      <w:r>
        <w:t xml:space="preserve"> paid the buy-out </w:t>
      </w:r>
      <w:r w:rsidRPr="00A25DF5">
        <w:rPr>
          <w:szCs w:val="24"/>
        </w:rPr>
        <w:t xml:space="preserve">to make good any underperformance against its target at all the applicable previous target periods </w:t>
      </w:r>
    </w:p>
    <w:p w14:paraId="7676E373" w14:textId="77777777" w:rsidR="00026E66" w:rsidRDefault="002737EF" w:rsidP="0065356B">
      <w:pPr>
        <w:pStyle w:val="ListParagraph"/>
        <w:numPr>
          <w:ilvl w:val="0"/>
          <w:numId w:val="63"/>
        </w:numPr>
        <w:tabs>
          <w:tab w:val="left" w:pos="0"/>
        </w:tabs>
        <w:spacing w:after="152" w:line="244" w:lineRule="auto"/>
        <w:ind w:right="182"/>
      </w:pPr>
      <w:r>
        <w:t xml:space="preserve">it has paid any </w:t>
      </w:r>
      <w:r w:rsidRPr="00A25DF5">
        <w:rPr>
          <w:szCs w:val="24"/>
        </w:rPr>
        <w:t xml:space="preserve">missed administration </w:t>
      </w:r>
      <w:r>
        <w:t xml:space="preserve">charges or </w:t>
      </w:r>
      <w:r w:rsidRPr="00A25DF5">
        <w:rPr>
          <w:szCs w:val="24"/>
        </w:rPr>
        <w:t xml:space="preserve">unpaid </w:t>
      </w:r>
      <w:r>
        <w:t xml:space="preserve">penalties </w:t>
      </w:r>
      <w:r w:rsidRPr="00A25DF5">
        <w:rPr>
          <w:szCs w:val="24"/>
        </w:rPr>
        <w:t>pertaining to</w:t>
      </w:r>
      <w:r w:rsidRPr="00A25DF5">
        <w:t xml:space="preserve"> the target unit </w:t>
      </w:r>
      <w:r w:rsidRPr="00A25DF5">
        <w:rPr>
          <w:szCs w:val="24"/>
        </w:rPr>
        <w:t>at the time</w:t>
      </w:r>
      <w:r w:rsidRPr="00A25DF5">
        <w:t xml:space="preserve"> it was terminated</w:t>
      </w:r>
      <w:r w:rsidRPr="00A25DF5">
        <w:rPr>
          <w:szCs w:val="24"/>
        </w:rPr>
        <w:t xml:space="preserve"> </w:t>
      </w:r>
    </w:p>
    <w:p w14:paraId="4A009D66" w14:textId="77777777" w:rsidR="00026E66" w:rsidRDefault="002737EF" w:rsidP="00FF0098">
      <w:pPr>
        <w:tabs>
          <w:tab w:val="left" w:pos="0"/>
        </w:tabs>
        <w:ind w:right="182"/>
      </w:pPr>
      <w:r>
        <w:rPr>
          <w:color w:val="auto"/>
          <w:szCs w:val="24"/>
        </w:rPr>
        <w:t>If it was</w:t>
      </w:r>
      <w:r>
        <w:rPr>
          <w:color w:val="auto"/>
        </w:rPr>
        <w:t xml:space="preserve"> the </w:t>
      </w:r>
      <w:r>
        <w:rPr>
          <w:color w:val="auto"/>
          <w:szCs w:val="24"/>
        </w:rPr>
        <w:t xml:space="preserve">not the only </w:t>
      </w:r>
      <w:r>
        <w:rPr>
          <w:color w:val="auto"/>
        </w:rPr>
        <w:t xml:space="preserve">facility </w:t>
      </w:r>
      <w:r>
        <w:rPr>
          <w:color w:val="auto"/>
          <w:szCs w:val="24"/>
        </w:rPr>
        <w:t>in a target unit when it terminated, it has to demonstrate the above points but</w:t>
      </w:r>
      <w:r>
        <w:rPr>
          <w:color w:val="auto"/>
        </w:rPr>
        <w:t xml:space="preserve"> re-</w:t>
      </w:r>
      <w:r>
        <w:rPr>
          <w:color w:val="auto"/>
          <w:szCs w:val="24"/>
        </w:rPr>
        <w:t>join</w:t>
      </w:r>
      <w:r>
        <w:rPr>
          <w:color w:val="auto"/>
        </w:rPr>
        <w:t xml:space="preserve"> the same target unit </w:t>
      </w:r>
      <w:r>
        <w:rPr>
          <w:color w:val="auto"/>
          <w:szCs w:val="24"/>
        </w:rPr>
        <w:t xml:space="preserve">with an </w:t>
      </w:r>
      <w:r>
        <w:rPr>
          <w:color w:val="auto"/>
        </w:rPr>
        <w:t>inclusion variation.</w:t>
      </w:r>
      <w:r>
        <w:rPr>
          <w:color w:val="auto"/>
          <w:szCs w:val="24"/>
        </w:rPr>
        <w:t xml:space="preserve"> </w:t>
      </w:r>
    </w:p>
    <w:p w14:paraId="14A33E2E" w14:textId="77777777" w:rsidR="00026E66" w:rsidRDefault="002737EF" w:rsidP="00FF0098">
      <w:pPr>
        <w:tabs>
          <w:tab w:val="left" w:pos="0"/>
        </w:tabs>
        <w:ind w:right="182"/>
      </w:pPr>
      <w:r>
        <w:rPr>
          <w:color w:val="auto"/>
        </w:rPr>
        <w:t xml:space="preserve">The operator of </w:t>
      </w:r>
      <w:r>
        <w:rPr>
          <w:color w:val="auto"/>
          <w:szCs w:val="24"/>
        </w:rPr>
        <w:t>the terminated</w:t>
      </w:r>
      <w:r>
        <w:rPr>
          <w:color w:val="auto"/>
        </w:rPr>
        <w:t xml:space="preserve"> facility should </w:t>
      </w:r>
      <w:r>
        <w:rPr>
          <w:color w:val="auto"/>
          <w:szCs w:val="24"/>
        </w:rPr>
        <w:t xml:space="preserve">apply to the scheme as a new entrant and </w:t>
      </w:r>
      <w:r>
        <w:rPr>
          <w:color w:val="auto"/>
        </w:rPr>
        <w:t xml:space="preserve">follow the </w:t>
      </w:r>
      <w:r>
        <w:rPr>
          <w:color w:val="auto"/>
          <w:szCs w:val="24"/>
        </w:rPr>
        <w:t xml:space="preserve">full </w:t>
      </w:r>
      <w:r>
        <w:rPr>
          <w:color w:val="auto"/>
        </w:rPr>
        <w:t xml:space="preserve">process outlined in </w:t>
      </w:r>
      <w:hyperlink w:anchor="_6._Application_process" w:history="1">
        <w:r>
          <w:rPr>
            <w:rStyle w:val="Hyperlink"/>
          </w:rPr>
          <w:t>section 6</w:t>
        </w:r>
      </w:hyperlink>
      <w:r>
        <w:rPr>
          <w:color w:val="auto"/>
          <w:u w:val="single" w:color="0077B9"/>
        </w:rPr>
        <w:t xml:space="preserve"> </w:t>
      </w:r>
      <w:r>
        <w:rPr>
          <w:color w:val="auto"/>
          <w:szCs w:val="24"/>
        </w:rPr>
        <w:t>providing the necessary evidence and eligibility information. The previous target unit ID number must be given in the application to show the facility has previously been part of the scheme. Failure</w:t>
      </w:r>
      <w:r>
        <w:t xml:space="preserve"> to provide this </w:t>
      </w:r>
      <w:r>
        <w:rPr>
          <w:szCs w:val="24"/>
        </w:rPr>
        <w:t xml:space="preserve">information </w:t>
      </w:r>
      <w:r>
        <w:t xml:space="preserve">may lead to penalty </w:t>
      </w:r>
      <w:r>
        <w:rPr>
          <w:szCs w:val="24"/>
        </w:rPr>
        <w:t xml:space="preserve">or termination later </w:t>
      </w:r>
      <w:r>
        <w:t>if we discover this information was knowingly withheld</w:t>
      </w:r>
      <w:r>
        <w:rPr>
          <w:szCs w:val="24"/>
        </w:rPr>
        <w:t xml:space="preserve"> in</w:t>
      </w:r>
      <w:r>
        <w:t xml:space="preserve"> the </w:t>
      </w:r>
      <w:r>
        <w:rPr>
          <w:szCs w:val="24"/>
        </w:rPr>
        <w:t>application. We expect</w:t>
      </w:r>
      <w:r>
        <w:t xml:space="preserve"> the original </w:t>
      </w:r>
      <w:r>
        <w:rPr>
          <w:color w:val="auto"/>
          <w:szCs w:val="24"/>
        </w:rPr>
        <w:t xml:space="preserve">base year </w:t>
      </w:r>
      <w:r>
        <w:rPr>
          <w:color w:val="auto"/>
        </w:rPr>
        <w:t xml:space="preserve">to apply </w:t>
      </w:r>
      <w:r>
        <w:rPr>
          <w:color w:val="auto"/>
          <w:szCs w:val="24"/>
        </w:rPr>
        <w:t xml:space="preserve">to a facility re-entering the scheme. </w:t>
      </w:r>
    </w:p>
    <w:p w14:paraId="5595224F" w14:textId="77777777" w:rsidR="00026E66" w:rsidRDefault="002737EF" w:rsidP="00FF0098">
      <w:pPr>
        <w:tabs>
          <w:tab w:val="left" w:pos="0"/>
        </w:tabs>
        <w:ind w:right="182"/>
        <w:rPr>
          <w:color w:val="auto"/>
          <w:szCs w:val="24"/>
        </w:rPr>
      </w:pPr>
      <w:r>
        <w:rPr>
          <w:color w:val="auto"/>
          <w:szCs w:val="24"/>
        </w:rPr>
        <w:lastRenderedPageBreak/>
        <w:t xml:space="preserve">Where a facility re-joins the scheme following a termination and the operator is the same as when the termination was made, it needs to comply with both the following conditions. </w:t>
      </w:r>
    </w:p>
    <w:p w14:paraId="555201FF" w14:textId="77777777" w:rsidR="00026E66" w:rsidRPr="00A25DF5" w:rsidRDefault="002737EF" w:rsidP="0065356B">
      <w:pPr>
        <w:pStyle w:val="ListParagraph"/>
        <w:numPr>
          <w:ilvl w:val="0"/>
          <w:numId w:val="64"/>
        </w:numPr>
        <w:tabs>
          <w:tab w:val="left" w:pos="0"/>
        </w:tabs>
        <w:spacing w:after="74" w:line="244" w:lineRule="auto"/>
        <w:ind w:right="182"/>
        <w:rPr>
          <w:szCs w:val="24"/>
        </w:rPr>
      </w:pPr>
      <w:r w:rsidRPr="00A25DF5">
        <w:rPr>
          <w:szCs w:val="24"/>
        </w:rPr>
        <w:t xml:space="preserve">It has paid any outstanding penalties, administration charges or unpaid buy-out fees against its previous target unit. </w:t>
      </w:r>
    </w:p>
    <w:p w14:paraId="4623708C" w14:textId="77777777" w:rsidR="00026E66" w:rsidRDefault="002737EF" w:rsidP="0065356B">
      <w:pPr>
        <w:pStyle w:val="ListParagraph"/>
        <w:numPr>
          <w:ilvl w:val="0"/>
          <w:numId w:val="64"/>
        </w:numPr>
        <w:tabs>
          <w:tab w:val="left" w:pos="0"/>
        </w:tabs>
        <w:spacing w:after="71" w:line="244" w:lineRule="auto"/>
        <w:ind w:right="182"/>
      </w:pPr>
      <w:r w:rsidRPr="00A25DF5">
        <w:rPr>
          <w:szCs w:val="24"/>
        </w:rPr>
        <w:t xml:space="preserve">It takes on a target that is the greater of </w:t>
      </w:r>
      <w:r w:rsidRPr="00A25DF5">
        <w:t xml:space="preserve">the percentage target </w:t>
      </w:r>
      <w:r w:rsidRPr="00A25DF5">
        <w:rPr>
          <w:szCs w:val="24"/>
        </w:rPr>
        <w:t xml:space="preserve">of the previous target unit or the percentage target for the relevant </w:t>
      </w:r>
      <w:r w:rsidRPr="00A25DF5">
        <w:t>sector or sub-sector</w:t>
      </w:r>
      <w:r w:rsidRPr="00A25DF5">
        <w:rPr>
          <w:szCs w:val="24"/>
        </w:rPr>
        <w:t xml:space="preserve">. </w:t>
      </w:r>
    </w:p>
    <w:p w14:paraId="48C5892E" w14:textId="6240E76C" w:rsidR="00026E66" w:rsidRPr="00A25DF5" w:rsidRDefault="002737EF" w:rsidP="00A25DF5">
      <w:pPr>
        <w:tabs>
          <w:tab w:val="left" w:pos="0"/>
        </w:tabs>
        <w:spacing w:after="0"/>
        <w:ind w:right="182"/>
      </w:pPr>
      <w:r>
        <w:rPr>
          <w:color w:val="auto"/>
          <w:szCs w:val="24"/>
        </w:rPr>
        <w:t>Where a facility re-joins the scheme following a voluntary termination, but the operator has changed in the interim, the percentage target will be same as for the sector or sub-sector</w:t>
      </w:r>
      <w:r>
        <w:rPr>
          <w:color w:val="auto"/>
        </w:rPr>
        <w:t xml:space="preserve"> to which the facility belongs.</w:t>
      </w:r>
      <w:r>
        <w:rPr>
          <w:color w:val="auto"/>
          <w:szCs w:val="24"/>
        </w:rPr>
        <w:t xml:space="preserve"> </w:t>
      </w:r>
    </w:p>
    <w:p w14:paraId="5D2C874B" w14:textId="36FF8EA2" w:rsidR="00026E66" w:rsidRDefault="002737EF" w:rsidP="00FF0098">
      <w:pPr>
        <w:pStyle w:val="Heading3"/>
        <w:tabs>
          <w:tab w:val="left" w:pos="0"/>
        </w:tabs>
      </w:pPr>
      <w:bookmarkStart w:id="225" w:name="_Toc95211858"/>
      <w:r>
        <w:t>8.3.4. New operator for a previously terminated facility</w:t>
      </w:r>
      <w:bookmarkEnd w:id="225"/>
      <w:r w:rsidR="00FC355D">
        <w:t xml:space="preserve"> </w:t>
      </w:r>
    </w:p>
    <w:p w14:paraId="104F436E" w14:textId="43A1BB59" w:rsidR="00026E66" w:rsidRDefault="002737EF" w:rsidP="00FF0098">
      <w:pPr>
        <w:tabs>
          <w:tab w:val="left" w:pos="0"/>
        </w:tabs>
        <w:ind w:right="182"/>
        <w:rPr>
          <w:color w:val="auto"/>
          <w:szCs w:val="24"/>
        </w:rPr>
      </w:pPr>
      <w:r>
        <w:rPr>
          <w:color w:val="auto"/>
          <w:szCs w:val="24"/>
        </w:rPr>
        <w:t>If the operator of a facility that was part of a previously terminated agreement changes, the new operator can apply for that facility to be included within an underlying agreement.</w:t>
      </w:r>
      <w:r w:rsidR="00FC355D">
        <w:rPr>
          <w:color w:val="auto"/>
          <w:szCs w:val="24"/>
        </w:rPr>
        <w:t xml:space="preserve"> </w:t>
      </w:r>
      <w:r>
        <w:rPr>
          <w:color w:val="auto"/>
          <w:szCs w:val="24"/>
        </w:rPr>
        <w:t xml:space="preserve">Although the new operator is not liable for any outstanding CCA penalties, buy-out or charges we cannot include the facility in an agreement until outstanding penalties and charges are paid and any buy-out from the immediately preceding certification period is also paid. </w:t>
      </w:r>
    </w:p>
    <w:p w14:paraId="4BDA9E1D" w14:textId="77777777" w:rsidR="00026E66" w:rsidRDefault="002737EF" w:rsidP="00FF0098">
      <w:pPr>
        <w:tabs>
          <w:tab w:val="left" w:pos="0"/>
        </w:tabs>
        <w:spacing w:after="2" w:line="235" w:lineRule="auto"/>
        <w:ind w:right="395"/>
        <w:jc w:val="both"/>
      </w:pPr>
      <w:r>
        <w:rPr>
          <w:color w:val="auto"/>
        </w:rPr>
        <w:t xml:space="preserve">Where records have been transferred to the new operator, the previous target should be taken. If records are not available, a new target can be set using the new </w:t>
      </w:r>
      <w:r>
        <w:rPr>
          <w:color w:val="auto"/>
          <w:szCs w:val="24"/>
        </w:rPr>
        <w:t>entrant's</w:t>
      </w:r>
      <w:r>
        <w:rPr>
          <w:color w:val="auto"/>
        </w:rPr>
        <w:t xml:space="preserve"> process (see </w:t>
      </w:r>
      <w:hyperlink w:anchor="_4.4._Target_setting" w:history="1">
        <w:r>
          <w:rPr>
            <w:rStyle w:val="Hyperlink"/>
          </w:rPr>
          <w:t>section 4.4</w:t>
        </w:r>
      </w:hyperlink>
      <w:r>
        <w:rPr>
          <w:color w:val="auto"/>
          <w:u w:val="single" w:color="0077B9"/>
        </w:rPr>
        <w:t>)</w:t>
      </w:r>
      <w:r>
        <w:rPr>
          <w:color w:val="auto"/>
        </w:rPr>
        <w:t xml:space="preserve">. In this instance, we would need evidence to demonstrate that previous records are not available. </w:t>
      </w:r>
    </w:p>
    <w:p w14:paraId="1CF09F7F" w14:textId="2E74D76D" w:rsidR="00026E66" w:rsidRDefault="002737EF" w:rsidP="00FF0098">
      <w:pPr>
        <w:pStyle w:val="Heading2"/>
        <w:tabs>
          <w:tab w:val="left" w:pos="0"/>
        </w:tabs>
      </w:pPr>
      <w:bookmarkStart w:id="226" w:name="_Toc94718665"/>
      <w:bookmarkStart w:id="227" w:name="_Toc94088913"/>
      <w:bookmarkStart w:id="228" w:name="_Toc95211859"/>
      <w:r>
        <w:t xml:space="preserve">8.4. Appeals </w:t>
      </w:r>
      <w:r w:rsidR="00A25DF5">
        <w:t>p</w:t>
      </w:r>
      <w:r>
        <w:t>rocess</w:t>
      </w:r>
      <w:bookmarkEnd w:id="226"/>
      <w:bookmarkEnd w:id="227"/>
      <w:bookmarkEnd w:id="228"/>
      <w:r>
        <w:t xml:space="preserve"> </w:t>
      </w:r>
    </w:p>
    <w:p w14:paraId="56238043" w14:textId="77777777" w:rsidR="00026E66" w:rsidRDefault="002737EF" w:rsidP="00FF0098">
      <w:pPr>
        <w:tabs>
          <w:tab w:val="left" w:pos="0"/>
        </w:tabs>
        <w:spacing w:after="0"/>
        <w:ind w:right="182"/>
      </w:pPr>
      <w:r>
        <w:rPr>
          <w:color w:val="auto"/>
          <w:szCs w:val="24"/>
        </w:rPr>
        <w:t xml:space="preserve">If </w:t>
      </w:r>
      <w:r>
        <w:rPr>
          <w:color w:val="auto"/>
        </w:rPr>
        <w:t xml:space="preserve">an </w:t>
      </w:r>
      <w:r>
        <w:rPr>
          <w:color w:val="auto"/>
          <w:szCs w:val="24"/>
        </w:rPr>
        <w:t xml:space="preserve">operator wishes to challenge </w:t>
      </w:r>
      <w:r>
        <w:t xml:space="preserve">a </w:t>
      </w:r>
      <w:r>
        <w:rPr>
          <w:szCs w:val="24"/>
        </w:rPr>
        <w:t xml:space="preserve">decision taken by the Environment Agency such as to terminate </w:t>
      </w:r>
      <w:r>
        <w:t>an agreement, not certify a facility</w:t>
      </w:r>
      <w:r>
        <w:rPr>
          <w:szCs w:val="24"/>
        </w:rPr>
        <w:t xml:space="preserve"> (for example. following reporting), to levy </w:t>
      </w:r>
      <w:r>
        <w:t>buy-out</w:t>
      </w:r>
      <w:r>
        <w:rPr>
          <w:szCs w:val="24"/>
        </w:rPr>
        <w:t>,</w:t>
      </w:r>
      <w:r>
        <w:t xml:space="preserve"> or </w:t>
      </w:r>
      <w:r>
        <w:rPr>
          <w:szCs w:val="24"/>
        </w:rPr>
        <w:t>for the imposition of a penalty it has</w:t>
      </w:r>
      <w:r>
        <w:rPr>
          <w:color w:val="auto"/>
        </w:rPr>
        <w:t xml:space="preserve"> the </w:t>
      </w:r>
      <w:r>
        <w:rPr>
          <w:color w:val="auto"/>
          <w:szCs w:val="24"/>
        </w:rPr>
        <w:t>right to</w:t>
      </w:r>
      <w:r>
        <w:rPr>
          <w:color w:val="auto"/>
        </w:rPr>
        <w:t xml:space="preserve"> appeal to the </w:t>
      </w:r>
      <w:r>
        <w:rPr>
          <w:color w:val="auto"/>
          <w:szCs w:val="24"/>
        </w:rPr>
        <w:t>First-tier Tribunal (the Tribunal). After receiving the relevant notice, the operator has</w:t>
      </w:r>
      <w:r>
        <w:rPr>
          <w:color w:val="auto"/>
        </w:rPr>
        <w:t xml:space="preserve"> 28 days </w:t>
      </w:r>
      <w:r>
        <w:rPr>
          <w:color w:val="auto"/>
          <w:szCs w:val="24"/>
        </w:rPr>
        <w:t>from</w:t>
      </w:r>
      <w:r>
        <w:rPr>
          <w:color w:val="auto"/>
        </w:rPr>
        <w:t xml:space="preserve"> the date </w:t>
      </w:r>
      <w:r>
        <w:rPr>
          <w:color w:val="auto"/>
          <w:szCs w:val="24"/>
        </w:rPr>
        <w:t>that</w:t>
      </w:r>
      <w:r>
        <w:rPr>
          <w:color w:val="auto"/>
        </w:rPr>
        <w:t xml:space="preserve"> the notice</w:t>
      </w:r>
      <w:r>
        <w:rPr>
          <w:color w:val="auto"/>
          <w:szCs w:val="24"/>
        </w:rPr>
        <w:t xml:space="preserve"> was sent to lodge a notice of appeal </w:t>
      </w:r>
    </w:p>
    <w:p w14:paraId="2AFC5BDD" w14:textId="5CF28A75" w:rsidR="00026E66" w:rsidRDefault="002737EF" w:rsidP="00FF0098">
      <w:pPr>
        <w:tabs>
          <w:tab w:val="left" w:pos="0"/>
        </w:tabs>
      </w:pPr>
      <w:r>
        <w:rPr>
          <w:color w:val="auto"/>
          <w:szCs w:val="24"/>
        </w:rPr>
        <w:t>The appeal process is set out in four stages.</w:t>
      </w:r>
      <w:r w:rsidR="00FC355D">
        <w:rPr>
          <w:color w:val="auto"/>
          <w:szCs w:val="24"/>
        </w:rPr>
        <w:t xml:space="preserve"> </w:t>
      </w:r>
      <w:r>
        <w:rPr>
          <w:color w:val="auto"/>
          <w:szCs w:val="24"/>
        </w:rPr>
        <w:t>The details of this and the appeal form can be found at the Tribunals website at</w:t>
      </w:r>
      <w:hyperlink r:id="rId104" w:history="1">
        <w:r>
          <w:rPr>
            <w:color w:val="auto"/>
            <w:szCs w:val="24"/>
          </w:rPr>
          <w:t xml:space="preserve"> </w:t>
        </w:r>
      </w:hyperlink>
      <w:hyperlink r:id="rId105" w:history="1">
        <w:r>
          <w:rPr>
            <w:color w:val="0070C0"/>
            <w:szCs w:val="24"/>
            <w:u w:val="single" w:color="0077B9"/>
          </w:rPr>
          <w:t>Ministry</w:t>
        </w:r>
      </w:hyperlink>
      <w:hyperlink r:id="rId106" w:history="1">
        <w:r>
          <w:rPr>
            <w:color w:val="0070C0"/>
            <w:szCs w:val="24"/>
            <w:u w:val="single" w:color="0077B9"/>
          </w:rPr>
          <w:t xml:space="preserve"> </w:t>
        </w:r>
      </w:hyperlink>
      <w:hyperlink r:id="rId107" w:history="1">
        <w:r>
          <w:rPr>
            <w:color w:val="0070C0"/>
            <w:szCs w:val="24"/>
            <w:u w:val="single" w:color="0077B9"/>
          </w:rPr>
          <w:t>of</w:t>
        </w:r>
      </w:hyperlink>
      <w:hyperlink r:id="rId108" w:history="1">
        <w:r>
          <w:rPr>
            <w:color w:val="0070C0"/>
            <w:szCs w:val="24"/>
            <w:u w:val="single" w:color="0077B9"/>
          </w:rPr>
          <w:t xml:space="preserve"> </w:t>
        </w:r>
      </w:hyperlink>
      <w:hyperlink r:id="rId109" w:history="1">
        <w:r>
          <w:rPr>
            <w:color w:val="0070C0"/>
            <w:szCs w:val="24"/>
            <w:u w:val="single" w:color="0077B9"/>
          </w:rPr>
          <w:t>Justice</w:t>
        </w:r>
      </w:hyperlink>
      <w:hyperlink r:id="rId110" w:history="1">
        <w:r>
          <w:rPr>
            <w:color w:val="auto"/>
            <w:szCs w:val="24"/>
            <w:u w:val="single" w:color="0077B9"/>
          </w:rPr>
          <w:t xml:space="preserve"> </w:t>
        </w:r>
      </w:hyperlink>
    </w:p>
    <w:p w14:paraId="2E5CF8BD" w14:textId="77777777" w:rsidR="00026E66" w:rsidRDefault="002737EF" w:rsidP="00FF0098">
      <w:pPr>
        <w:tabs>
          <w:tab w:val="left" w:pos="0"/>
        </w:tabs>
      </w:pPr>
      <w:r>
        <w:t>Alternatively, you can contact the First-tier Tribunal (General Regulatory Chamber):</w:t>
      </w:r>
    </w:p>
    <w:p w14:paraId="3FBF4121" w14:textId="77777777" w:rsidR="00026E66" w:rsidRDefault="002737EF" w:rsidP="0065356B">
      <w:pPr>
        <w:pStyle w:val="ListParagraph"/>
        <w:numPr>
          <w:ilvl w:val="0"/>
          <w:numId w:val="65"/>
        </w:numPr>
        <w:tabs>
          <w:tab w:val="left" w:pos="0"/>
        </w:tabs>
      </w:pPr>
      <w:r>
        <w:t>by telephone: 0300 123 4504</w:t>
      </w:r>
    </w:p>
    <w:p w14:paraId="51B3384B" w14:textId="4F783E53" w:rsidR="00A25DF5" w:rsidRDefault="002737EF" w:rsidP="0065356B">
      <w:pPr>
        <w:pStyle w:val="ListParagraph"/>
        <w:numPr>
          <w:ilvl w:val="0"/>
          <w:numId w:val="65"/>
        </w:numPr>
        <w:tabs>
          <w:tab w:val="left" w:pos="0"/>
        </w:tabs>
      </w:pPr>
      <w:r>
        <w:t xml:space="preserve">by email: </w:t>
      </w:r>
      <w:hyperlink r:id="rId111" w:history="1">
        <w:r>
          <w:rPr>
            <w:rStyle w:val="Hyperlink"/>
          </w:rPr>
          <w:t>grc@justice.gov.uk</w:t>
        </w:r>
      </w:hyperlink>
    </w:p>
    <w:p w14:paraId="52FBCBB8" w14:textId="77777777" w:rsidR="00A25DF5" w:rsidRDefault="00A25DF5">
      <w:pPr>
        <w:suppressAutoHyphens w:val="0"/>
        <w:spacing w:before="0" w:beforeAutospacing="0" w:after="160" w:afterAutospacing="0" w:line="256" w:lineRule="auto"/>
        <w:rPr>
          <w:rFonts w:eastAsia="Calibri" w:cs="Times New Roman"/>
          <w:color w:val="auto"/>
          <w:lang w:eastAsia="en-US"/>
        </w:rPr>
      </w:pPr>
      <w:r>
        <w:br w:type="page"/>
      </w:r>
    </w:p>
    <w:p w14:paraId="169D1ACB" w14:textId="77777777" w:rsidR="00E931A9" w:rsidRPr="00E931A9" w:rsidRDefault="002737EF" w:rsidP="00FF0098">
      <w:pPr>
        <w:pStyle w:val="Heading1"/>
        <w:tabs>
          <w:tab w:val="left" w:pos="0"/>
        </w:tabs>
      </w:pPr>
      <w:bookmarkStart w:id="229" w:name="_9._Auditing_the"/>
      <w:bookmarkStart w:id="230" w:name="_Toc94718666"/>
      <w:bookmarkStart w:id="231" w:name="_Toc94088914"/>
      <w:bookmarkStart w:id="232" w:name="_Toc95211860"/>
      <w:bookmarkEnd w:id="229"/>
      <w:r w:rsidRPr="00E931A9">
        <w:lastRenderedPageBreak/>
        <w:t>9. Auditing the CCA scheme</w:t>
      </w:r>
      <w:bookmarkStart w:id="233" w:name="_Toc94718667"/>
      <w:bookmarkStart w:id="234" w:name="_Toc94088915"/>
      <w:bookmarkEnd w:id="230"/>
      <w:bookmarkEnd w:id="231"/>
    </w:p>
    <w:p w14:paraId="638378F9" w14:textId="776C73A3" w:rsidR="00026E66" w:rsidRDefault="002737EF" w:rsidP="00FF0098">
      <w:pPr>
        <w:pStyle w:val="Heading2"/>
        <w:tabs>
          <w:tab w:val="left" w:pos="0"/>
        </w:tabs>
      </w:pPr>
      <w:r>
        <w:t>9.1. What is a CCA audit?</w:t>
      </w:r>
      <w:bookmarkEnd w:id="232"/>
      <w:bookmarkEnd w:id="233"/>
      <w:bookmarkEnd w:id="234"/>
      <w:r>
        <w:t xml:space="preserve"> </w:t>
      </w:r>
    </w:p>
    <w:p w14:paraId="45C4DF98" w14:textId="77777777" w:rsidR="00026E66" w:rsidRDefault="002737EF" w:rsidP="00FF0098">
      <w:pPr>
        <w:tabs>
          <w:tab w:val="left" w:pos="0"/>
        </w:tabs>
      </w:pPr>
      <w:r>
        <w:t xml:space="preserve">We carry out audits on selected facilities and sector associations to verify eligibility and performance. </w:t>
      </w:r>
    </w:p>
    <w:p w14:paraId="2CC29CB7" w14:textId="77777777" w:rsidR="00026E66" w:rsidRDefault="002737EF" w:rsidP="00FF0098">
      <w:pPr>
        <w:pStyle w:val="Heading2"/>
        <w:tabs>
          <w:tab w:val="left" w:pos="0"/>
        </w:tabs>
      </w:pPr>
      <w:bookmarkStart w:id="235" w:name="_Toc94718668"/>
      <w:bookmarkStart w:id="236" w:name="_Toc94088916"/>
      <w:bookmarkStart w:id="237" w:name="_Toc95211861"/>
      <w:r>
        <w:t>9.2. How we select a facility for audit</w:t>
      </w:r>
      <w:bookmarkEnd w:id="235"/>
      <w:bookmarkEnd w:id="236"/>
      <w:bookmarkEnd w:id="237"/>
      <w:r>
        <w:t xml:space="preserve"> </w:t>
      </w:r>
    </w:p>
    <w:p w14:paraId="4102F1CC" w14:textId="77777777" w:rsidR="00026E66" w:rsidRDefault="002737EF" w:rsidP="00FF0098">
      <w:pPr>
        <w:tabs>
          <w:tab w:val="left" w:pos="0"/>
        </w:tabs>
      </w:pPr>
      <w:r>
        <w:t xml:space="preserve">We select facilities for audit either by using a risk-based approach or by random selection. </w:t>
      </w:r>
    </w:p>
    <w:p w14:paraId="2902E65E" w14:textId="77777777" w:rsidR="00026E66" w:rsidRDefault="002737EF" w:rsidP="00FF0098">
      <w:pPr>
        <w:pStyle w:val="Heading3"/>
        <w:tabs>
          <w:tab w:val="left" w:pos="0"/>
        </w:tabs>
      </w:pPr>
      <w:bookmarkStart w:id="238" w:name="_Toc95211862"/>
      <w:r>
        <w:t>9.2.1. Risk-based selection</w:t>
      </w:r>
      <w:bookmarkEnd w:id="238"/>
      <w:r>
        <w:t xml:space="preserve"> </w:t>
      </w:r>
    </w:p>
    <w:p w14:paraId="6F4C7405" w14:textId="77777777" w:rsidR="00026E66" w:rsidRDefault="002737EF" w:rsidP="00FF0098">
      <w:pPr>
        <w:tabs>
          <w:tab w:val="left" w:pos="0"/>
        </w:tabs>
      </w:pPr>
      <w:r>
        <w:t xml:space="preserve">We select facilities for audit primarily by using a risk-based approach, ensuring where possible that they are spread across a range of sectors. Facilities are selected where one or more factors could increase the likelihood of errors in the information held about the facility, for example: </w:t>
      </w:r>
    </w:p>
    <w:p w14:paraId="630BD5C8" w14:textId="77777777" w:rsidR="00026E66" w:rsidRDefault="002737EF" w:rsidP="0065356B">
      <w:pPr>
        <w:pStyle w:val="ListParagraph"/>
        <w:numPr>
          <w:ilvl w:val="0"/>
          <w:numId w:val="66"/>
        </w:numPr>
        <w:tabs>
          <w:tab w:val="left" w:pos="0"/>
        </w:tabs>
      </w:pPr>
      <w:r>
        <w:t xml:space="preserve">facilities that are new entrants or whose agreement was varied between the old and the current schemes and thus may have an increased risk of errors </w:t>
      </w:r>
    </w:p>
    <w:p w14:paraId="58153E22" w14:textId="77777777" w:rsidR="00026E66" w:rsidRDefault="002737EF" w:rsidP="0065356B">
      <w:pPr>
        <w:pStyle w:val="ListParagraph"/>
        <w:numPr>
          <w:ilvl w:val="0"/>
          <w:numId w:val="66"/>
        </w:numPr>
        <w:tabs>
          <w:tab w:val="left" w:pos="0"/>
        </w:tabs>
      </w:pPr>
      <w:r>
        <w:t xml:space="preserve">facilities where eligibility changed between the old and new schemes </w:t>
      </w:r>
    </w:p>
    <w:p w14:paraId="41FD8E72" w14:textId="77777777" w:rsidR="00026E66" w:rsidRDefault="002737EF" w:rsidP="0065356B">
      <w:pPr>
        <w:pStyle w:val="ListParagraph"/>
        <w:numPr>
          <w:ilvl w:val="0"/>
          <w:numId w:val="66"/>
        </w:numPr>
        <w:tabs>
          <w:tab w:val="left" w:pos="0"/>
        </w:tabs>
      </w:pPr>
      <w:r>
        <w:t xml:space="preserve">where a facility's compliance against the 70% rule has changed since the new scheme began </w:t>
      </w:r>
    </w:p>
    <w:p w14:paraId="374E7B10" w14:textId="77777777" w:rsidR="00026E66" w:rsidRDefault="002737EF" w:rsidP="0065356B">
      <w:pPr>
        <w:pStyle w:val="ListParagraph"/>
        <w:numPr>
          <w:ilvl w:val="0"/>
          <w:numId w:val="66"/>
        </w:numPr>
        <w:tabs>
          <w:tab w:val="left" w:pos="0"/>
        </w:tabs>
      </w:pPr>
      <w:r>
        <w:t xml:space="preserve">where the eligible process is more complex </w:t>
      </w:r>
    </w:p>
    <w:p w14:paraId="58D3F1DF" w14:textId="77777777" w:rsidR="00026E66" w:rsidRDefault="002737EF" w:rsidP="00FF0098">
      <w:pPr>
        <w:pStyle w:val="Heading3"/>
        <w:tabs>
          <w:tab w:val="left" w:pos="0"/>
        </w:tabs>
      </w:pPr>
      <w:bookmarkStart w:id="239" w:name="_Toc95211863"/>
      <w:r>
        <w:t>9.2.2. Random selection</w:t>
      </w:r>
      <w:bookmarkEnd w:id="239"/>
      <w:r>
        <w:t xml:space="preserve"> </w:t>
      </w:r>
    </w:p>
    <w:p w14:paraId="55F2E8C7" w14:textId="78EE8AE7" w:rsidR="00026E66" w:rsidRDefault="002737EF" w:rsidP="00FF0098">
      <w:pPr>
        <w:tabs>
          <w:tab w:val="left" w:pos="0"/>
        </w:tabs>
      </w:pPr>
      <w:r>
        <w:t>For sectors where no risk-based audits are identified, we may select facilities at random to provide a representative sample each year.</w:t>
      </w:r>
      <w:r w:rsidR="00FC355D">
        <w:t xml:space="preserve"> </w:t>
      </w:r>
      <w:r>
        <w:t xml:space="preserve">The facility audit process as seen by the operator is set out below: </w:t>
      </w:r>
    </w:p>
    <w:p w14:paraId="62D9024B" w14:textId="12689227" w:rsidR="00026E66" w:rsidRDefault="002737EF" w:rsidP="0065356B">
      <w:pPr>
        <w:pStyle w:val="ListParagraph"/>
        <w:numPr>
          <w:ilvl w:val="0"/>
          <w:numId w:val="67"/>
        </w:numPr>
        <w:tabs>
          <w:tab w:val="left" w:pos="0"/>
        </w:tabs>
      </w:pPr>
      <w:r>
        <w:t>Notification of selection for audit by email to the target unit contact.</w:t>
      </w:r>
      <w:r w:rsidR="00FC355D">
        <w:t xml:space="preserve"> </w:t>
      </w:r>
      <w:r>
        <w:t>This will contain confirmation of whether the audit will be desk or site based.</w:t>
      </w:r>
    </w:p>
    <w:p w14:paraId="3A39D595" w14:textId="77777777" w:rsidR="00026E66" w:rsidRDefault="002737EF" w:rsidP="0065356B">
      <w:pPr>
        <w:pStyle w:val="ListParagraph"/>
        <w:numPr>
          <w:ilvl w:val="0"/>
          <w:numId w:val="67"/>
        </w:numPr>
        <w:tabs>
          <w:tab w:val="left" w:pos="0"/>
        </w:tabs>
      </w:pPr>
      <w:r>
        <w:t>The assigned contracted auditor will get in touch with the operator to agree the date the audit will take place.</w:t>
      </w:r>
    </w:p>
    <w:p w14:paraId="57C382E7" w14:textId="77777777" w:rsidR="00026E66" w:rsidRDefault="002737EF" w:rsidP="0065356B">
      <w:pPr>
        <w:pStyle w:val="ListParagraph"/>
        <w:numPr>
          <w:ilvl w:val="0"/>
          <w:numId w:val="67"/>
        </w:numPr>
        <w:tabs>
          <w:tab w:val="left" w:pos="0"/>
        </w:tabs>
      </w:pPr>
      <w:r>
        <w:t>The auditor may request documentation from the operator to be provided to them prior to the audit.</w:t>
      </w:r>
    </w:p>
    <w:p w14:paraId="0281C697" w14:textId="77777777" w:rsidR="00026E66" w:rsidRDefault="002737EF" w:rsidP="0065356B">
      <w:pPr>
        <w:pStyle w:val="ListParagraph"/>
        <w:numPr>
          <w:ilvl w:val="0"/>
          <w:numId w:val="67"/>
        </w:numPr>
        <w:tabs>
          <w:tab w:val="left" w:pos="0"/>
        </w:tabs>
      </w:pPr>
      <w:r>
        <w:t>The audit takes place at the agreed time and date either by arranged teleconference for desktop audit or by visit to the facility for a site-based audit.</w:t>
      </w:r>
    </w:p>
    <w:p w14:paraId="47AC4D32" w14:textId="24219172" w:rsidR="00026E66" w:rsidRDefault="002737EF" w:rsidP="0065356B">
      <w:pPr>
        <w:pStyle w:val="ListParagraph"/>
        <w:numPr>
          <w:ilvl w:val="0"/>
          <w:numId w:val="67"/>
        </w:numPr>
        <w:tabs>
          <w:tab w:val="left" w:pos="0"/>
        </w:tabs>
      </w:pPr>
      <w:r>
        <w:t xml:space="preserve">The operator will receive a copy of the </w:t>
      </w:r>
      <w:r w:rsidR="00E931A9">
        <w:t>initial</w:t>
      </w:r>
      <w:r>
        <w:t xml:space="preserve"> audit report by email.</w:t>
      </w:r>
      <w:r w:rsidR="00FC355D">
        <w:t xml:space="preserve"> </w:t>
      </w:r>
      <w:r>
        <w:t>In relation to the audit findings this may contain a number of actions to be completed by the operator and a date for these to be completed by.</w:t>
      </w:r>
      <w:r w:rsidR="00FC355D">
        <w:t xml:space="preserve"> </w:t>
      </w:r>
      <w:r>
        <w:t>The report may also contain recommendations based on best practise.</w:t>
      </w:r>
    </w:p>
    <w:p w14:paraId="381A55CD" w14:textId="77777777" w:rsidR="00026E66" w:rsidRDefault="002737EF" w:rsidP="0065356B">
      <w:pPr>
        <w:pStyle w:val="ListParagraph"/>
        <w:numPr>
          <w:ilvl w:val="0"/>
          <w:numId w:val="67"/>
        </w:numPr>
        <w:tabs>
          <w:tab w:val="left" w:pos="0"/>
        </w:tabs>
      </w:pPr>
      <w:r>
        <w:lastRenderedPageBreak/>
        <w:t>The operator is required to complete the stated actions from the initial report with the communicated deadline.</w:t>
      </w:r>
    </w:p>
    <w:p w14:paraId="655A73C2" w14:textId="77777777" w:rsidR="00026E66" w:rsidRDefault="002737EF" w:rsidP="0065356B">
      <w:pPr>
        <w:pStyle w:val="ListParagraph"/>
        <w:numPr>
          <w:ilvl w:val="0"/>
          <w:numId w:val="67"/>
        </w:numPr>
        <w:tabs>
          <w:tab w:val="left" w:pos="0"/>
        </w:tabs>
      </w:pPr>
      <w:r>
        <w:t>The auditor will request confirmation of any completed actions.</w:t>
      </w:r>
    </w:p>
    <w:p w14:paraId="5A17D4F5" w14:textId="3B42C203" w:rsidR="00026E66" w:rsidRDefault="002737EF" w:rsidP="0065356B">
      <w:pPr>
        <w:pStyle w:val="ListParagraph"/>
        <w:numPr>
          <w:ilvl w:val="0"/>
          <w:numId w:val="67"/>
        </w:numPr>
        <w:tabs>
          <w:tab w:val="left" w:pos="0"/>
        </w:tabs>
      </w:pPr>
      <w:r>
        <w:t>The final audit report will be issued by email.</w:t>
      </w:r>
      <w:r w:rsidR="00FC355D">
        <w:t xml:space="preserve"> </w:t>
      </w:r>
      <w:r>
        <w:t>This will reflect any action taken in relation to the initial audit report. Overall</w:t>
      </w:r>
      <w:r w:rsidR="00E931A9">
        <w:t>,</w:t>
      </w:r>
      <w:r>
        <w:t xml:space="preserve"> the audit will be marked as “passed” or “requires further action”.</w:t>
      </w:r>
    </w:p>
    <w:p w14:paraId="5F51A207" w14:textId="77777777" w:rsidR="00026E66" w:rsidRDefault="002737EF" w:rsidP="0065356B">
      <w:pPr>
        <w:pStyle w:val="ListParagraph"/>
        <w:numPr>
          <w:ilvl w:val="0"/>
          <w:numId w:val="67"/>
        </w:numPr>
        <w:tabs>
          <w:tab w:val="left" w:pos="0"/>
        </w:tabs>
      </w:pPr>
      <w:r>
        <w:t>Operators whose audits are marked “require further action” may be subject to a penalty due to non-compliance.</w:t>
      </w:r>
    </w:p>
    <w:p w14:paraId="59C1DD61" w14:textId="77777777" w:rsidR="00026E66" w:rsidRDefault="002737EF" w:rsidP="00FF0098">
      <w:pPr>
        <w:pStyle w:val="Heading2"/>
        <w:tabs>
          <w:tab w:val="left" w:pos="0"/>
        </w:tabs>
      </w:pPr>
      <w:bookmarkStart w:id="240" w:name="_Toc94718669"/>
      <w:bookmarkStart w:id="241" w:name="_Toc94088917"/>
      <w:bookmarkStart w:id="242" w:name="_Toc95211864"/>
      <w:r>
        <w:t>9.3. How we carry out audits</w:t>
      </w:r>
      <w:bookmarkEnd w:id="240"/>
      <w:bookmarkEnd w:id="241"/>
      <w:bookmarkEnd w:id="242"/>
      <w:r>
        <w:t xml:space="preserve"> </w:t>
      </w:r>
    </w:p>
    <w:p w14:paraId="7D56AF39" w14:textId="77777777" w:rsidR="00026E66" w:rsidRDefault="002737EF" w:rsidP="00FF0098">
      <w:pPr>
        <w:tabs>
          <w:tab w:val="left" w:pos="0"/>
        </w:tabs>
      </w:pPr>
      <w:r>
        <w:t xml:space="preserve">We will inform the operator of a facility selected for audit via an emailed letter to the administrative contact for the target unit. The auditor will contact the administrative contact for the target unit to discuss and agree a date for the audit. We will also copy sector associations, or their consultants, into the e-mail. </w:t>
      </w:r>
    </w:p>
    <w:p w14:paraId="018D0783" w14:textId="77777777" w:rsidR="00026E66" w:rsidRDefault="002737EF" w:rsidP="00FF0098">
      <w:pPr>
        <w:tabs>
          <w:tab w:val="left" w:pos="0"/>
        </w:tabs>
      </w:pPr>
      <w:r>
        <w:t xml:space="preserve">There are two types of </w:t>
      </w:r>
      <w:proofErr w:type="gramStart"/>
      <w:r>
        <w:t>audit</w:t>
      </w:r>
      <w:proofErr w:type="gramEnd"/>
      <w:r>
        <w:t xml:space="preserve">: a desktop audit or a full site audit. A desktop audit is intended to be less extensive than a full site audit and is normally used for lower risk or random audits. We have appointed consultants who may carry out audits on our behalf. </w:t>
      </w:r>
    </w:p>
    <w:p w14:paraId="1A65CBFD" w14:textId="77777777" w:rsidR="00026E66" w:rsidRDefault="002737EF" w:rsidP="00FF0098">
      <w:pPr>
        <w:pStyle w:val="Heading3"/>
        <w:tabs>
          <w:tab w:val="left" w:pos="0"/>
        </w:tabs>
      </w:pPr>
      <w:bookmarkStart w:id="243" w:name="_Toc95211865"/>
      <w:r>
        <w:t>9.3.1. Desktop audits</w:t>
      </w:r>
      <w:bookmarkEnd w:id="243"/>
      <w:r>
        <w:t xml:space="preserve"> </w:t>
      </w:r>
    </w:p>
    <w:p w14:paraId="4E4F6082" w14:textId="77777777" w:rsidR="00026E66" w:rsidRDefault="002737EF" w:rsidP="00FF0098">
      <w:pPr>
        <w:tabs>
          <w:tab w:val="left" w:pos="0"/>
        </w:tabs>
      </w:pPr>
      <w:r>
        <w:t xml:space="preserve">We will ask the operator to provide us with data for the facility by the agreed date of the audit. The auditor will review these data at their place of work and hold a phone call on the agreed audit date with the operator’s representatives. A desktop audit typically takes a few hours of the operator's time. </w:t>
      </w:r>
    </w:p>
    <w:p w14:paraId="56363806" w14:textId="77777777" w:rsidR="00026E66" w:rsidRDefault="002737EF" w:rsidP="00FF0098">
      <w:pPr>
        <w:tabs>
          <w:tab w:val="left" w:pos="0"/>
        </w:tabs>
      </w:pPr>
      <w:r>
        <w:t xml:space="preserve">The auditor will produce an initial report based on the data supplied and the responses obtained during the phone call. If issues are identified that cannot be resolved over the phone or by email within an agreed follow-up period, we may escalate the facility to a full site audit. </w:t>
      </w:r>
    </w:p>
    <w:p w14:paraId="791029C6" w14:textId="77777777" w:rsidR="00026E66" w:rsidRDefault="002737EF" w:rsidP="00FF0098">
      <w:pPr>
        <w:tabs>
          <w:tab w:val="left" w:pos="0"/>
        </w:tabs>
      </w:pPr>
      <w:r>
        <w:t xml:space="preserve">A final report will be sent once the deadline for resolving any issues from the desktop audit has passed. The possible audit outcomes are described in </w:t>
      </w:r>
      <w:r w:rsidRPr="00E931A9">
        <w:rPr>
          <w:u w:color="0077B9"/>
        </w:rPr>
        <w:t>section 9.4</w:t>
      </w:r>
      <w:r>
        <w:t xml:space="preserve">. </w:t>
      </w:r>
    </w:p>
    <w:p w14:paraId="7C1F8AD6" w14:textId="77777777" w:rsidR="00026E66" w:rsidRDefault="002737EF" w:rsidP="00FF0098">
      <w:pPr>
        <w:pStyle w:val="Heading3"/>
        <w:tabs>
          <w:tab w:val="left" w:pos="0"/>
        </w:tabs>
      </w:pPr>
      <w:bookmarkStart w:id="244" w:name="_Toc95211866"/>
      <w:r>
        <w:t>9.3.2. Full site audits</w:t>
      </w:r>
      <w:bookmarkEnd w:id="244"/>
      <w:r>
        <w:t xml:space="preserve"> </w:t>
      </w:r>
    </w:p>
    <w:p w14:paraId="611E21F6" w14:textId="77777777" w:rsidR="00026E66" w:rsidRDefault="002737EF" w:rsidP="00FF0098">
      <w:pPr>
        <w:tabs>
          <w:tab w:val="left" w:pos="0"/>
        </w:tabs>
      </w:pPr>
      <w:r>
        <w:t xml:space="preserve">When the auditor arranges the audit date, they will ask the operator to provide data for the facility based on the risk(s) identified or outstanding issues from an escalated desk-based audit. The operator should provide this information by an agreed date in advance of the site audit. The auditor will then visit the site to examine the data and facility eligibility in greater detail. </w:t>
      </w:r>
    </w:p>
    <w:p w14:paraId="5C09BBB3" w14:textId="77777777" w:rsidR="00026E66" w:rsidRDefault="002737EF" w:rsidP="00FF0098">
      <w:pPr>
        <w:tabs>
          <w:tab w:val="left" w:pos="0"/>
        </w:tabs>
      </w:pPr>
      <w:r>
        <w:lastRenderedPageBreak/>
        <w:t xml:space="preserve">The auditor will produce an initial report detailing their findings and setting out any recommended actions by the facility. This report will also contain a date by when any remaining actions need to be completed. </w:t>
      </w:r>
    </w:p>
    <w:p w14:paraId="7C7299FD" w14:textId="77777777" w:rsidR="00026E66" w:rsidRDefault="002737EF" w:rsidP="00FF0098">
      <w:pPr>
        <w:tabs>
          <w:tab w:val="left" w:pos="0"/>
        </w:tabs>
      </w:pPr>
      <w:r>
        <w:t xml:space="preserve">When this date arrives, the auditor will check that these actions have been completed and will then produce a final report which states the final audit outcome. </w:t>
      </w:r>
    </w:p>
    <w:p w14:paraId="538A888D" w14:textId="77777777" w:rsidR="00026E66" w:rsidRDefault="002737EF" w:rsidP="00FF0098">
      <w:pPr>
        <w:pStyle w:val="Heading3"/>
        <w:tabs>
          <w:tab w:val="left" w:pos="0"/>
        </w:tabs>
      </w:pPr>
      <w:bookmarkStart w:id="245" w:name="_Toc95211867"/>
      <w:r>
        <w:t>9.3.3. Questions we will ask in a CCA facility audit</w:t>
      </w:r>
      <w:bookmarkEnd w:id="245"/>
      <w:r>
        <w:t xml:space="preserve"> </w:t>
      </w:r>
    </w:p>
    <w:p w14:paraId="04A57CFE" w14:textId="77777777" w:rsidR="00026E66" w:rsidRDefault="002737EF" w:rsidP="00FF0098">
      <w:pPr>
        <w:tabs>
          <w:tab w:val="left" w:pos="0"/>
        </w:tabs>
      </w:pPr>
      <w:r>
        <w:t xml:space="preserve">During both types of </w:t>
      </w:r>
      <w:proofErr w:type="gramStart"/>
      <w:r>
        <w:t>audit</w:t>
      </w:r>
      <w:proofErr w:type="gramEnd"/>
      <w:r>
        <w:t xml:space="preserve">, the auditor will ask questions around the topics outlined in more detail below. Operators must provide evidence on request to answer the auditor's questions. The operator must keep records throughout the duration of the agreement and for a period of four years following the termination of the agreement. </w:t>
      </w:r>
    </w:p>
    <w:p w14:paraId="5BB8C1BC" w14:textId="77777777" w:rsidR="00026E66" w:rsidRPr="00E931A9" w:rsidRDefault="002737EF" w:rsidP="00FF0098">
      <w:pPr>
        <w:pStyle w:val="Heading4"/>
        <w:tabs>
          <w:tab w:val="left" w:pos="0"/>
        </w:tabs>
      </w:pPr>
      <w:r w:rsidRPr="00E931A9">
        <w:t xml:space="preserve">Eligibility </w:t>
      </w:r>
    </w:p>
    <w:p w14:paraId="59ED429B" w14:textId="77777777" w:rsidR="00026E66" w:rsidRDefault="002737EF" w:rsidP="00FF0098">
      <w:pPr>
        <w:tabs>
          <w:tab w:val="left" w:pos="0"/>
        </w:tabs>
      </w:pPr>
      <w:r>
        <w:t xml:space="preserve">The auditor will assess the facility eligibility form (FEF) or PP4 form where a facility has been migrated across from the old scheme. They will also examine supporting information for these forms including: </w:t>
      </w:r>
    </w:p>
    <w:p w14:paraId="7E211111" w14:textId="77777777" w:rsidR="00026E66" w:rsidRDefault="002737EF" w:rsidP="0065356B">
      <w:pPr>
        <w:pStyle w:val="ListParagraph"/>
        <w:numPr>
          <w:ilvl w:val="0"/>
          <w:numId w:val="68"/>
        </w:numPr>
        <w:tabs>
          <w:tab w:val="left" w:pos="0"/>
        </w:tabs>
      </w:pPr>
      <w:r>
        <w:t xml:space="preserve">the regulation under which the facility is eligible to hold an agreement </w:t>
      </w:r>
    </w:p>
    <w:p w14:paraId="5598B46F" w14:textId="77777777" w:rsidR="00026E66" w:rsidRDefault="002737EF" w:rsidP="0065356B">
      <w:pPr>
        <w:pStyle w:val="ListParagraph"/>
        <w:numPr>
          <w:ilvl w:val="0"/>
          <w:numId w:val="68"/>
        </w:numPr>
        <w:tabs>
          <w:tab w:val="left" w:pos="0"/>
        </w:tabs>
      </w:pPr>
      <w:r>
        <w:t xml:space="preserve">what areas of the process meet the eligibility criteria for the sector </w:t>
      </w:r>
    </w:p>
    <w:p w14:paraId="5E4ED885" w14:textId="77777777" w:rsidR="00026E66" w:rsidRDefault="002737EF" w:rsidP="0065356B">
      <w:pPr>
        <w:pStyle w:val="ListParagraph"/>
        <w:numPr>
          <w:ilvl w:val="0"/>
          <w:numId w:val="68"/>
        </w:numPr>
        <w:tabs>
          <w:tab w:val="left" w:pos="0"/>
        </w:tabs>
      </w:pPr>
      <w:r>
        <w:t xml:space="preserve">evidence that the site boundary is correctly defined in the eligibility calculations </w:t>
      </w:r>
    </w:p>
    <w:p w14:paraId="11D54A20" w14:textId="77777777" w:rsidR="00026E66" w:rsidRDefault="002737EF" w:rsidP="0065356B">
      <w:pPr>
        <w:pStyle w:val="ListParagraph"/>
        <w:numPr>
          <w:ilvl w:val="0"/>
          <w:numId w:val="68"/>
        </w:numPr>
        <w:tabs>
          <w:tab w:val="left" w:pos="0"/>
        </w:tabs>
      </w:pPr>
      <w:r>
        <w:t xml:space="preserve">how much of the site is eligible to claim the CCL discount, including an assessment of the 70% and any additional 3/7ths of energy associated with the eligible facility </w:t>
      </w:r>
    </w:p>
    <w:p w14:paraId="3E895F01" w14:textId="77777777" w:rsidR="00026E66" w:rsidRDefault="002737EF" w:rsidP="0065356B">
      <w:pPr>
        <w:pStyle w:val="ListParagraph"/>
        <w:numPr>
          <w:ilvl w:val="0"/>
          <w:numId w:val="68"/>
        </w:numPr>
        <w:tabs>
          <w:tab w:val="left" w:pos="0"/>
        </w:tabs>
      </w:pPr>
      <w:r>
        <w:t xml:space="preserve">evidence of the stationary technical unit and directly associated activities for the facility and where these take place within the site boundary and a clear site plan to highlight the location of the STUs, DAAs and any non-eligible areas on the site. If applicable under the 70% rule, evidence that sub-metering has been installed in the appropriate locations </w:t>
      </w:r>
    </w:p>
    <w:p w14:paraId="370E77BD" w14:textId="65A4AA44" w:rsidR="00026E66" w:rsidRPr="00A25DF5" w:rsidRDefault="002737EF" w:rsidP="00A25DF5">
      <w:pPr>
        <w:pStyle w:val="Heading4"/>
      </w:pPr>
      <w:r w:rsidRPr="00A25DF5">
        <w:t xml:space="preserve">The 70% </w:t>
      </w:r>
      <w:r w:rsidR="00A25DF5">
        <w:t>r</w:t>
      </w:r>
      <w:r w:rsidRPr="00A25DF5">
        <w:t xml:space="preserve">ule </w:t>
      </w:r>
    </w:p>
    <w:p w14:paraId="41146759" w14:textId="77777777" w:rsidR="00026E66" w:rsidRDefault="002737EF" w:rsidP="00FF0098">
      <w:pPr>
        <w:tabs>
          <w:tab w:val="left" w:pos="0"/>
        </w:tabs>
      </w:pPr>
      <w:r>
        <w:t xml:space="preserve">The auditor will check the eligible and non-eligible energy use on the site to demonstrate whether the site meets the 70% rule. They will look for appropriate evidence of how this was determined as part of the original application and how this is kept up to date throughout the agreement, for example the recommendation to review the PP10/11 forms each year. </w:t>
      </w:r>
    </w:p>
    <w:p w14:paraId="46CDAB6E" w14:textId="77777777" w:rsidR="00026E66" w:rsidRDefault="002737EF" w:rsidP="00FF0098">
      <w:pPr>
        <w:tabs>
          <w:tab w:val="left" w:pos="0"/>
        </w:tabs>
      </w:pPr>
      <w:r>
        <w:t>Where the eligible energy use is significantly over 70% the operator may demonstrate this by a calculation, preferably in a spreadsheet, showing a list of the non-eligible equipment, the energy ratings (for example in kW), the relevant hours of operation and the level of utilisation (that is, how long each item of equipment is used during the hours of operation). All of this can be reasonably estimated.</w:t>
      </w:r>
    </w:p>
    <w:p w14:paraId="5B367C97" w14:textId="77777777" w:rsidR="00026E66" w:rsidRDefault="002737EF" w:rsidP="00FF0098">
      <w:pPr>
        <w:tabs>
          <w:tab w:val="left" w:pos="0"/>
        </w:tabs>
      </w:pPr>
      <w:r>
        <w:lastRenderedPageBreak/>
        <w:t>Where the eligible energy use is close to the 70% threshold the operator may demonstrate this using temporary meters to check actual eligible or non-eligible energy for a period.</w:t>
      </w:r>
    </w:p>
    <w:p w14:paraId="5456A0B2" w14:textId="77777777" w:rsidR="00026E66" w:rsidRDefault="002737EF" w:rsidP="00FF0098">
      <w:pPr>
        <w:tabs>
          <w:tab w:val="left" w:pos="0"/>
        </w:tabs>
      </w:pPr>
      <w:r>
        <w:t xml:space="preserve">Where the eligible use is less than 70% it must be sub-metered on a continuous basis and recorded. </w:t>
      </w:r>
    </w:p>
    <w:p w14:paraId="1A5F9F76" w14:textId="77777777" w:rsidR="00026E66" w:rsidRPr="00E931A9" w:rsidRDefault="002737EF" w:rsidP="00FF0098">
      <w:pPr>
        <w:pStyle w:val="Heading4"/>
        <w:tabs>
          <w:tab w:val="left" w:pos="0"/>
        </w:tabs>
      </w:pPr>
      <w:r w:rsidRPr="00E931A9">
        <w:t xml:space="preserve">Data Management and retention </w:t>
      </w:r>
    </w:p>
    <w:p w14:paraId="617540B1" w14:textId="77777777" w:rsidR="00026E66" w:rsidRDefault="002737EF" w:rsidP="00FF0098">
      <w:pPr>
        <w:tabs>
          <w:tab w:val="left" w:pos="0"/>
        </w:tabs>
      </w:pPr>
      <w:r>
        <w:t xml:space="preserve">The auditor will assess the baseline and target reporting period data submitted by the operator to demonstrate target performance. This will include both the throughput (production) and the energy data. If the operator has a certified energy management system or a similar standard, the scope of which covers energy data, then it will be used as the starting point of the audit to recognise this good practice and check it is being used effectively. The review of the data will include an examination of: </w:t>
      </w:r>
    </w:p>
    <w:p w14:paraId="6A3FA36F" w14:textId="77777777" w:rsidR="00026E66" w:rsidRDefault="002737EF" w:rsidP="0065356B">
      <w:pPr>
        <w:pStyle w:val="ListParagraph"/>
        <w:numPr>
          <w:ilvl w:val="0"/>
          <w:numId w:val="69"/>
        </w:numPr>
        <w:tabs>
          <w:tab w:val="left" w:pos="0"/>
        </w:tabs>
      </w:pPr>
      <w:r>
        <w:t xml:space="preserve">the energy units, gross calorific values and any conversion factors used for each fuel or energy source </w:t>
      </w:r>
    </w:p>
    <w:p w14:paraId="266DD110" w14:textId="77777777" w:rsidR="00026E66" w:rsidRDefault="002737EF" w:rsidP="0065356B">
      <w:pPr>
        <w:pStyle w:val="ListParagraph"/>
        <w:numPr>
          <w:ilvl w:val="0"/>
          <w:numId w:val="69"/>
        </w:numPr>
        <w:tabs>
          <w:tab w:val="left" w:pos="0"/>
        </w:tabs>
      </w:pPr>
      <w:r>
        <w:t xml:space="preserve">meter information or records for each fuel or energy source </w:t>
      </w:r>
    </w:p>
    <w:p w14:paraId="5DFA1054" w14:textId="77777777" w:rsidR="00026E66" w:rsidRDefault="002737EF" w:rsidP="0065356B">
      <w:pPr>
        <w:pStyle w:val="ListParagraph"/>
        <w:numPr>
          <w:ilvl w:val="0"/>
          <w:numId w:val="69"/>
        </w:numPr>
        <w:tabs>
          <w:tab w:val="left" w:pos="0"/>
        </w:tabs>
      </w:pPr>
      <w:r>
        <w:t xml:space="preserve">a clear audit trail from the primary records to the data in the register </w:t>
      </w:r>
    </w:p>
    <w:p w14:paraId="5D514539" w14:textId="77777777" w:rsidR="00026E66" w:rsidRDefault="002737EF" w:rsidP="0065356B">
      <w:pPr>
        <w:pStyle w:val="ListParagraph"/>
        <w:numPr>
          <w:ilvl w:val="0"/>
          <w:numId w:val="69"/>
        </w:numPr>
        <w:tabs>
          <w:tab w:val="left" w:pos="0"/>
        </w:tabs>
      </w:pPr>
      <w:r>
        <w:t xml:space="preserve">evidence of standards of accuracy </w:t>
      </w:r>
    </w:p>
    <w:p w14:paraId="11D98C54" w14:textId="77777777" w:rsidR="00026E66" w:rsidRDefault="002737EF" w:rsidP="0065356B">
      <w:pPr>
        <w:pStyle w:val="ListParagraph"/>
        <w:numPr>
          <w:ilvl w:val="0"/>
          <w:numId w:val="69"/>
        </w:numPr>
        <w:tabs>
          <w:tab w:val="left" w:pos="0"/>
        </w:tabs>
      </w:pPr>
      <w:r>
        <w:t xml:space="preserve">evidence of the calibration of meters (where applicable) and other methods of recording data. </w:t>
      </w:r>
    </w:p>
    <w:p w14:paraId="61E92637" w14:textId="77777777" w:rsidR="00026E66" w:rsidRDefault="002737EF" w:rsidP="00FF0098">
      <w:pPr>
        <w:tabs>
          <w:tab w:val="left" w:pos="0"/>
        </w:tabs>
      </w:pPr>
      <w:r>
        <w:t xml:space="preserve">Where applicable, the auditor will ask for evidence of energy consumed by plant carrying out an Annex 1 activity within an ETS installation on the site. Questions will include: </w:t>
      </w:r>
    </w:p>
    <w:p w14:paraId="486BF28F" w14:textId="77777777" w:rsidR="00026E66" w:rsidRDefault="002737EF" w:rsidP="0065356B">
      <w:pPr>
        <w:pStyle w:val="ListParagraph"/>
        <w:numPr>
          <w:ilvl w:val="0"/>
          <w:numId w:val="70"/>
        </w:numPr>
        <w:tabs>
          <w:tab w:val="left" w:pos="0"/>
        </w:tabs>
      </w:pPr>
      <w:r>
        <w:t xml:space="preserve">Was the site included in Phase II and is it included in Phase III of ETS? </w:t>
      </w:r>
    </w:p>
    <w:p w14:paraId="704524F9" w14:textId="77777777" w:rsidR="00026E66" w:rsidRDefault="002737EF" w:rsidP="0065356B">
      <w:pPr>
        <w:pStyle w:val="ListParagraph"/>
        <w:numPr>
          <w:ilvl w:val="0"/>
          <w:numId w:val="70"/>
        </w:numPr>
        <w:tabs>
          <w:tab w:val="left" w:pos="0"/>
        </w:tabs>
      </w:pPr>
      <w:r>
        <w:t xml:space="preserve">What's the difference between the energy consumed in Phase II and III (if any)? </w:t>
      </w:r>
    </w:p>
    <w:p w14:paraId="27A85A2C" w14:textId="77777777" w:rsidR="00026E66" w:rsidRDefault="002737EF" w:rsidP="0065356B">
      <w:pPr>
        <w:pStyle w:val="ListParagraph"/>
        <w:numPr>
          <w:ilvl w:val="0"/>
          <w:numId w:val="70"/>
        </w:numPr>
        <w:tabs>
          <w:tab w:val="left" w:pos="0"/>
        </w:tabs>
      </w:pPr>
      <w:r>
        <w:t xml:space="preserve">Is the energy associated with the ETS installation correctly accounted for? </w:t>
      </w:r>
    </w:p>
    <w:p w14:paraId="00980B40" w14:textId="77777777" w:rsidR="00026E66" w:rsidRDefault="002737EF" w:rsidP="00FF0098">
      <w:pPr>
        <w:tabs>
          <w:tab w:val="left" w:pos="0"/>
        </w:tabs>
      </w:pPr>
      <w:r>
        <w:t>The CCA Register only contains data for the target unit (TU) as a whole, which may include more than one facility (a ‘bubble’). For a multi-facility TU, the auditor will expect to see evidence of how the data for the facility being audited fits into the overall TU data.</w:t>
      </w:r>
      <w:r>
        <w:rPr>
          <w:color w:val="auto"/>
        </w:rPr>
        <w:t xml:space="preserve"> </w:t>
      </w:r>
    </w:p>
    <w:p w14:paraId="63F451BE" w14:textId="77777777" w:rsidR="00026E66" w:rsidRPr="00E931A9" w:rsidRDefault="002737EF" w:rsidP="00FF0098">
      <w:pPr>
        <w:pStyle w:val="Heading4"/>
        <w:tabs>
          <w:tab w:val="left" w:pos="0"/>
        </w:tabs>
      </w:pPr>
      <w:r w:rsidRPr="00E931A9">
        <w:t xml:space="preserve">Throughput data </w:t>
      </w:r>
    </w:p>
    <w:p w14:paraId="2EF0C868" w14:textId="77777777" w:rsidR="00026E66" w:rsidRDefault="002737EF" w:rsidP="00FF0098">
      <w:pPr>
        <w:tabs>
          <w:tab w:val="left" w:pos="0"/>
        </w:tabs>
      </w:pPr>
      <w:r>
        <w:t xml:space="preserve">The auditor will examine how throughput data is collected, recorded and reported via the template, and examine the processes in place to ensure it is checked as part of the operator’s quality assurance. </w:t>
      </w:r>
    </w:p>
    <w:p w14:paraId="66450FAD" w14:textId="77777777" w:rsidR="00026E66" w:rsidRDefault="002737EF" w:rsidP="00FF0098">
      <w:pPr>
        <w:tabs>
          <w:tab w:val="left" w:pos="0"/>
        </w:tabs>
      </w:pPr>
      <w:r>
        <w:t xml:space="preserve">The degree of detail required for throughput data will depend on the type of facility and its complexity. The auditor would expect to see the process and associated records for the baseline year and any relevant target periods. </w:t>
      </w:r>
    </w:p>
    <w:p w14:paraId="02774E25" w14:textId="77777777" w:rsidR="00026E66" w:rsidRPr="00E931A9" w:rsidRDefault="002737EF" w:rsidP="00FF0098">
      <w:pPr>
        <w:pStyle w:val="Heading4"/>
        <w:tabs>
          <w:tab w:val="left" w:pos="0"/>
        </w:tabs>
      </w:pPr>
      <w:r w:rsidRPr="00E931A9">
        <w:lastRenderedPageBreak/>
        <w:t xml:space="preserve">Energy data </w:t>
      </w:r>
    </w:p>
    <w:p w14:paraId="35FDA34E" w14:textId="77777777" w:rsidR="00026E66" w:rsidRDefault="002737EF" w:rsidP="00FF0098">
      <w:pPr>
        <w:tabs>
          <w:tab w:val="left" w:pos="0"/>
        </w:tabs>
      </w:pPr>
      <w:r>
        <w:t xml:space="preserve">The auditor will expect to see primary evidence of energy use, such as supplier invoices, the operator's own electronic meter readings or manual records. Where the data is in an electronic data management system, the auditor will check that is has been reviewed for historical accuracy and back-ups. Where more than one fuel source is used a representative sample will be taken. </w:t>
      </w:r>
    </w:p>
    <w:p w14:paraId="5E6EB437" w14:textId="77777777" w:rsidR="00026E66" w:rsidRPr="00E931A9" w:rsidRDefault="002737EF" w:rsidP="00FF0098">
      <w:pPr>
        <w:pStyle w:val="Heading4"/>
        <w:tabs>
          <w:tab w:val="left" w:pos="0"/>
        </w:tabs>
      </w:pPr>
      <w:r w:rsidRPr="00E931A9">
        <w:t xml:space="preserve">Errors </w:t>
      </w:r>
    </w:p>
    <w:p w14:paraId="58047A65" w14:textId="77777777" w:rsidR="00026E66" w:rsidRDefault="002737EF" w:rsidP="00FF0098">
      <w:pPr>
        <w:tabs>
          <w:tab w:val="left" w:pos="0"/>
        </w:tabs>
      </w:pPr>
      <w:r>
        <w:t xml:space="preserve">If the auditor discovers a significant error in either the throughput or energy data, they may raise an action for the operator to correct this through a variation. </w:t>
      </w:r>
    </w:p>
    <w:p w14:paraId="3ED85B6B" w14:textId="77777777" w:rsidR="00026E66" w:rsidRPr="00E931A9" w:rsidRDefault="002737EF" w:rsidP="00FF0098">
      <w:pPr>
        <w:pStyle w:val="Heading4"/>
        <w:tabs>
          <w:tab w:val="left" w:pos="0"/>
        </w:tabs>
      </w:pPr>
      <w:r w:rsidRPr="00E931A9">
        <w:t xml:space="preserve">Performance reporting </w:t>
      </w:r>
    </w:p>
    <w:p w14:paraId="0D37F2D6" w14:textId="77777777" w:rsidR="00026E66" w:rsidRDefault="002737EF" w:rsidP="00FF0098">
      <w:pPr>
        <w:tabs>
          <w:tab w:val="left" w:pos="0"/>
        </w:tabs>
      </w:pPr>
      <w:r>
        <w:t xml:space="preserve">Where relevant, the auditor will check the reported performance data and the supporting evidence of the TU’s performance against its targets. The auditor will check for records of energy saving actions and measures implemented, which operators must retain as part of their obligations under their underlying agreement. </w:t>
      </w:r>
    </w:p>
    <w:p w14:paraId="366BC2DA" w14:textId="77777777" w:rsidR="00026E66" w:rsidRDefault="002737EF" w:rsidP="00FF0098">
      <w:pPr>
        <w:tabs>
          <w:tab w:val="left" w:pos="0"/>
        </w:tabs>
      </w:pPr>
      <w:r>
        <w:t xml:space="preserve">The operator should be able to describe their performance during the target period to explain the reasons underlying that performance, including any step changes at key points in time, for example new technology installation dates. </w:t>
      </w:r>
    </w:p>
    <w:p w14:paraId="5F1EE721" w14:textId="77777777" w:rsidR="00026E66" w:rsidRPr="00E931A9" w:rsidRDefault="002737EF" w:rsidP="00FF0098">
      <w:pPr>
        <w:pStyle w:val="Heading4"/>
        <w:tabs>
          <w:tab w:val="left" w:pos="0"/>
        </w:tabs>
      </w:pPr>
      <w:r w:rsidRPr="00E931A9">
        <w:t xml:space="preserve">CCA governance </w:t>
      </w:r>
    </w:p>
    <w:p w14:paraId="3F95D732" w14:textId="77777777" w:rsidR="00026E66" w:rsidRDefault="002737EF" w:rsidP="00FF0098">
      <w:pPr>
        <w:tabs>
          <w:tab w:val="left" w:pos="0"/>
        </w:tabs>
      </w:pPr>
      <w:r>
        <w:t xml:space="preserve">The auditor will check the processes for managing CCA data collection and reporting. Operators are required by their underlying agreements to keep accurate records and make them available for inspection on request. </w:t>
      </w:r>
    </w:p>
    <w:p w14:paraId="726D7CD1" w14:textId="77777777" w:rsidR="00026E66" w:rsidRDefault="002737EF" w:rsidP="00FF0098">
      <w:pPr>
        <w:pStyle w:val="Heading3"/>
        <w:tabs>
          <w:tab w:val="left" w:pos="0"/>
        </w:tabs>
      </w:pPr>
      <w:bookmarkStart w:id="246" w:name="_Toc95211868"/>
      <w:r>
        <w:t>9.3.4. What we look for in a CCA Sector Audit</w:t>
      </w:r>
      <w:bookmarkEnd w:id="246"/>
      <w:r>
        <w:t xml:space="preserve"> </w:t>
      </w:r>
    </w:p>
    <w:p w14:paraId="6D5A4E17" w14:textId="77777777" w:rsidR="00026E66" w:rsidRDefault="002737EF" w:rsidP="00FF0098">
      <w:pPr>
        <w:tabs>
          <w:tab w:val="left" w:pos="0"/>
        </w:tabs>
      </w:pPr>
      <w:r>
        <w:t xml:space="preserve">We may audit target period performance data for a sector. This will cover both the handling and processing of operator data by a sector association and include an examination of a representative sample of facility data. </w:t>
      </w:r>
    </w:p>
    <w:p w14:paraId="3C72C569" w14:textId="77777777" w:rsidR="00026E66" w:rsidRDefault="002737EF" w:rsidP="00FF0098">
      <w:pPr>
        <w:pStyle w:val="Heading4"/>
        <w:tabs>
          <w:tab w:val="left" w:pos="0"/>
        </w:tabs>
      </w:pPr>
      <w:r>
        <w:t xml:space="preserve">Data handling and processing </w:t>
      </w:r>
    </w:p>
    <w:p w14:paraId="1A0C2D21" w14:textId="77777777" w:rsidR="00026E66" w:rsidRDefault="002737EF" w:rsidP="00FF0098">
      <w:pPr>
        <w:tabs>
          <w:tab w:val="left" w:pos="0"/>
        </w:tabs>
      </w:pPr>
      <w:r>
        <w:t xml:space="preserve">The auditor will review the sector association's procedures for collecting, processing and reporting data from operators. The auditor will expect to see evidence that the sector has a robust management system which sets out the responsibilities for data management, quality checks and management reviews in place to ensure accuracy. </w:t>
      </w:r>
    </w:p>
    <w:p w14:paraId="602C189D" w14:textId="77777777" w:rsidR="00026E66" w:rsidRDefault="002737EF" w:rsidP="00FF0098">
      <w:pPr>
        <w:tabs>
          <w:tab w:val="left" w:pos="0"/>
        </w:tabs>
      </w:pPr>
      <w:r>
        <w:lastRenderedPageBreak/>
        <w:t xml:space="preserve">The auditor will assess the data reported for a representative sample of target units in the sector. The selection will include specific target units where we have particular concerns about the data that has been reported. </w:t>
      </w:r>
    </w:p>
    <w:p w14:paraId="16B91FC5" w14:textId="77777777" w:rsidR="00026E66" w:rsidRDefault="002737EF" w:rsidP="00FF0098">
      <w:pPr>
        <w:pStyle w:val="Heading4"/>
        <w:tabs>
          <w:tab w:val="left" w:pos="0"/>
        </w:tabs>
      </w:pPr>
      <w:r>
        <w:t xml:space="preserve">Audit of target unit or facility data </w:t>
      </w:r>
    </w:p>
    <w:p w14:paraId="57048F26" w14:textId="77777777" w:rsidR="00026E66" w:rsidRDefault="002737EF" w:rsidP="00FF0098">
      <w:pPr>
        <w:tabs>
          <w:tab w:val="left" w:pos="0"/>
        </w:tabs>
      </w:pPr>
      <w:r>
        <w:t xml:space="preserve">The auditor will expect to see copies of primary evidence provided to the sector association, where applicable and will check that the data held in the CCA Registry agrees with that provided by operators or has been corrected and agreed with the operator prior to submission. </w:t>
      </w:r>
    </w:p>
    <w:p w14:paraId="64F482B0" w14:textId="77777777" w:rsidR="00026E66" w:rsidRDefault="002737EF" w:rsidP="00FF0098">
      <w:pPr>
        <w:tabs>
          <w:tab w:val="left" w:pos="0"/>
        </w:tabs>
      </w:pPr>
      <w:r>
        <w:t xml:space="preserve">Auditors will check data for: different types of </w:t>
      </w:r>
      <w:proofErr w:type="gramStart"/>
      <w:r>
        <w:t>target</w:t>
      </w:r>
      <w:proofErr w:type="gramEnd"/>
      <w:r>
        <w:t xml:space="preserve"> (where applicable), correct application of any target tolerances, and that any buy-out fees have been paid. </w:t>
      </w:r>
    </w:p>
    <w:p w14:paraId="13468AA2" w14:textId="77777777" w:rsidR="00026E66" w:rsidRDefault="002737EF" w:rsidP="00FF0098">
      <w:pPr>
        <w:pStyle w:val="Heading4"/>
        <w:tabs>
          <w:tab w:val="left" w:pos="0"/>
        </w:tabs>
      </w:pPr>
      <w:r>
        <w:t xml:space="preserve">Absolute Energy Targets </w:t>
      </w:r>
    </w:p>
    <w:p w14:paraId="14412386" w14:textId="77777777" w:rsidR="00026E66" w:rsidRDefault="002737EF" w:rsidP="00FF0098">
      <w:pPr>
        <w:tabs>
          <w:tab w:val="left" w:pos="0"/>
        </w:tabs>
      </w:pPr>
      <w:r>
        <w:t xml:space="preserve">The auditor will check that any required adjustment to targets for a fall of 10% or more in throughput has been made and reported correctly. </w:t>
      </w:r>
    </w:p>
    <w:p w14:paraId="21FC87C6" w14:textId="77777777" w:rsidR="00026E66" w:rsidRDefault="002737EF" w:rsidP="00FF0098">
      <w:pPr>
        <w:pStyle w:val="Heading4"/>
        <w:tabs>
          <w:tab w:val="left" w:pos="0"/>
        </w:tabs>
      </w:pPr>
      <w:r>
        <w:t xml:space="preserve">Relative Energy Targets </w:t>
      </w:r>
    </w:p>
    <w:p w14:paraId="6FF18454" w14:textId="77777777" w:rsidR="00026E66" w:rsidRDefault="002737EF" w:rsidP="00FF0098">
      <w:pPr>
        <w:tabs>
          <w:tab w:val="left" w:pos="0"/>
        </w:tabs>
      </w:pPr>
      <w:r>
        <w:t xml:space="preserve">Where the operator has opted to apply the special reporting mechanism the auditor will check that calculations required have been carried out correctly for both the base year and reporting period. </w:t>
      </w:r>
    </w:p>
    <w:p w14:paraId="1F6E7CB5" w14:textId="77777777" w:rsidR="00026E66" w:rsidRDefault="002737EF" w:rsidP="00FF0098">
      <w:pPr>
        <w:pStyle w:val="Heading4"/>
        <w:tabs>
          <w:tab w:val="left" w:pos="0"/>
        </w:tabs>
      </w:pPr>
      <w:r>
        <w:t xml:space="preserve">Novem Energy and/or Carbon Targets </w:t>
      </w:r>
    </w:p>
    <w:p w14:paraId="6CB2FEB2" w14:textId="77777777" w:rsidR="00026E66" w:rsidRDefault="002737EF" w:rsidP="00FF0098">
      <w:pPr>
        <w:tabs>
          <w:tab w:val="left" w:pos="0"/>
        </w:tabs>
      </w:pPr>
      <w:r>
        <w:t xml:space="preserve">For Novem targets (whether energy or carbon) the auditor will check any SRM calculations and also check that Novem calculations to adjust for product data have been carried out correctly. </w:t>
      </w:r>
    </w:p>
    <w:p w14:paraId="29E1F5CA" w14:textId="77777777" w:rsidR="00026E66" w:rsidRDefault="002737EF" w:rsidP="00FF0098">
      <w:pPr>
        <w:pStyle w:val="Heading2"/>
        <w:tabs>
          <w:tab w:val="left" w:pos="0"/>
        </w:tabs>
      </w:pPr>
      <w:bookmarkStart w:id="247" w:name="_Toc94718670"/>
      <w:bookmarkStart w:id="248" w:name="_Toc94088918"/>
      <w:bookmarkStart w:id="249" w:name="_Toc95211869"/>
      <w:r>
        <w:t>9.4. Possible audit outcomes</w:t>
      </w:r>
      <w:bookmarkEnd w:id="247"/>
      <w:bookmarkEnd w:id="248"/>
      <w:bookmarkEnd w:id="249"/>
      <w:r>
        <w:t xml:space="preserve"> </w:t>
      </w:r>
    </w:p>
    <w:p w14:paraId="5C9F1B6D" w14:textId="77777777" w:rsidR="00026E66" w:rsidRDefault="002737EF" w:rsidP="00FF0098">
      <w:pPr>
        <w:tabs>
          <w:tab w:val="left" w:pos="0"/>
        </w:tabs>
      </w:pPr>
      <w:r>
        <w:t xml:space="preserve">An audit has two possible outcomes: </w:t>
      </w:r>
    </w:p>
    <w:p w14:paraId="5EEC04A7" w14:textId="77777777" w:rsidR="00026E66" w:rsidRDefault="002737EF" w:rsidP="0065356B">
      <w:pPr>
        <w:pStyle w:val="ListParagraph"/>
        <w:numPr>
          <w:ilvl w:val="0"/>
          <w:numId w:val="71"/>
        </w:numPr>
        <w:tabs>
          <w:tab w:val="left" w:pos="0"/>
        </w:tabs>
      </w:pPr>
      <w:r>
        <w:t xml:space="preserve">pass – no further action required </w:t>
      </w:r>
    </w:p>
    <w:p w14:paraId="1F7B75A1" w14:textId="77777777" w:rsidR="00026E66" w:rsidRDefault="002737EF" w:rsidP="0065356B">
      <w:pPr>
        <w:pStyle w:val="ListParagraph"/>
        <w:numPr>
          <w:ilvl w:val="0"/>
          <w:numId w:val="71"/>
        </w:numPr>
        <w:tabs>
          <w:tab w:val="left" w:pos="0"/>
        </w:tabs>
      </w:pPr>
      <w:r>
        <w:t xml:space="preserve">requires further action – the report will contain recommendations to address current issues and to reduce future risks of non-compliance (for example, the need for one or more variations to the agreement) </w:t>
      </w:r>
    </w:p>
    <w:p w14:paraId="5E5C57BC" w14:textId="77777777" w:rsidR="00026E66" w:rsidRDefault="002737EF" w:rsidP="00FF0098">
      <w:pPr>
        <w:tabs>
          <w:tab w:val="left" w:pos="0"/>
        </w:tabs>
      </w:pPr>
      <w:r>
        <w:t>The audit report will be sent to the operator. The sector association will be informed of the audit outcome.</w:t>
      </w:r>
    </w:p>
    <w:p w14:paraId="179EB49F" w14:textId="77777777" w:rsidR="00026E66" w:rsidRDefault="002737EF" w:rsidP="00FF0098">
      <w:pPr>
        <w:pStyle w:val="Heading3"/>
        <w:tabs>
          <w:tab w:val="left" w:pos="0"/>
        </w:tabs>
      </w:pPr>
      <w:bookmarkStart w:id="250" w:name="_Toc95211870"/>
      <w:r>
        <w:lastRenderedPageBreak/>
        <w:t>9.4.1. What happens next</w:t>
      </w:r>
      <w:bookmarkEnd w:id="250"/>
      <w:r>
        <w:t xml:space="preserve"> </w:t>
      </w:r>
    </w:p>
    <w:p w14:paraId="3E83EBC3" w14:textId="77777777" w:rsidR="00026E66" w:rsidRDefault="002737EF" w:rsidP="00FF0098">
      <w:pPr>
        <w:tabs>
          <w:tab w:val="left" w:pos="0"/>
        </w:tabs>
      </w:pPr>
      <w:r>
        <w:t xml:space="preserve">If the facility passes the audit, no further action is required by the operator. </w:t>
      </w:r>
    </w:p>
    <w:p w14:paraId="65F873ED" w14:textId="77777777" w:rsidR="00026E66" w:rsidRDefault="002737EF" w:rsidP="00FF0098">
      <w:pPr>
        <w:tabs>
          <w:tab w:val="left" w:pos="0"/>
        </w:tabs>
      </w:pPr>
      <w:r>
        <w:t xml:space="preserve">If follow-up actions are recommended, we will work with the operator to agree a timescale for those actions. We may suggest a follow-up meeting and possibly carry out a further audit depending on the severity of the issues requiring attention. </w:t>
      </w:r>
    </w:p>
    <w:p w14:paraId="07842E02" w14:textId="77777777" w:rsidR="00026E66" w:rsidRDefault="002737EF" w:rsidP="00FF0098">
      <w:pPr>
        <w:tabs>
          <w:tab w:val="left" w:pos="0"/>
        </w:tabs>
      </w:pPr>
      <w:r>
        <w:t xml:space="preserve">If the operator does not </w:t>
      </w:r>
      <w:proofErr w:type="gramStart"/>
      <w:r>
        <w:t>take action</w:t>
      </w:r>
      <w:proofErr w:type="gramEnd"/>
      <w:r>
        <w:t xml:space="preserve"> in response to the audit's recommendations within the agreed timescale, we may take enforcement action, which could include serving a civil penalty on the operator or, in the worst case, terminate the agreement due to non-compliance. </w:t>
      </w:r>
    </w:p>
    <w:p w14:paraId="2A32CA15" w14:textId="0FF0C3CD" w:rsidR="00A25DF5" w:rsidRDefault="002737EF" w:rsidP="00A25DF5">
      <w:pPr>
        <w:tabs>
          <w:tab w:val="left" w:pos="0"/>
        </w:tabs>
      </w:pPr>
      <w:r>
        <w:t xml:space="preserve">If an audit discovers an operator is in the wrong sector, they will have to change sectors. For how to do this see </w:t>
      </w:r>
      <w:hyperlink w:anchor="_4.4.1._Calculating_a" w:history="1">
        <w:r>
          <w:rPr>
            <w:rStyle w:val="Hyperlink"/>
          </w:rPr>
          <w:t>section 4.4.1</w:t>
        </w:r>
      </w:hyperlink>
      <w:r>
        <w:rPr>
          <w:u w:val="single" w:color="0077B9"/>
        </w:rPr>
        <w:t>.</w:t>
      </w:r>
      <w:r>
        <w:t xml:space="preserve"> </w:t>
      </w:r>
    </w:p>
    <w:p w14:paraId="2294571B" w14:textId="77777777" w:rsidR="00A25DF5" w:rsidRDefault="00A25DF5">
      <w:pPr>
        <w:suppressAutoHyphens w:val="0"/>
        <w:spacing w:before="0" w:beforeAutospacing="0" w:after="160" w:afterAutospacing="0" w:line="256" w:lineRule="auto"/>
      </w:pPr>
      <w:r>
        <w:br w:type="page"/>
      </w:r>
    </w:p>
    <w:p w14:paraId="797F5CF8" w14:textId="77777777" w:rsidR="00026E66" w:rsidRDefault="002737EF" w:rsidP="00FF0098">
      <w:pPr>
        <w:pStyle w:val="Heading1"/>
        <w:tabs>
          <w:tab w:val="left" w:pos="0"/>
        </w:tabs>
      </w:pPr>
      <w:bookmarkStart w:id="251" w:name="_Toc94718671"/>
      <w:bookmarkStart w:id="252" w:name="_Toc94088919"/>
      <w:bookmarkStart w:id="253" w:name="_Toc95211871"/>
      <w:r>
        <w:lastRenderedPageBreak/>
        <w:t>10. Target period reporting</w:t>
      </w:r>
      <w:bookmarkEnd w:id="251"/>
      <w:bookmarkEnd w:id="252"/>
      <w:bookmarkEnd w:id="253"/>
      <w:r>
        <w:t xml:space="preserve"> </w:t>
      </w:r>
    </w:p>
    <w:p w14:paraId="7DD4DACD" w14:textId="77777777" w:rsidR="00026E66" w:rsidRDefault="002737EF" w:rsidP="00FF0098">
      <w:pPr>
        <w:pStyle w:val="Heading2"/>
        <w:tabs>
          <w:tab w:val="left" w:pos="0"/>
        </w:tabs>
      </w:pPr>
      <w:bookmarkStart w:id="254" w:name="_Toc94718672"/>
      <w:bookmarkStart w:id="255" w:name="_Toc94088920"/>
      <w:bookmarkStart w:id="256" w:name="_Toc95211872"/>
      <w:r>
        <w:t>10.1. Introduction</w:t>
      </w:r>
      <w:bookmarkEnd w:id="254"/>
      <w:bookmarkEnd w:id="255"/>
      <w:bookmarkEnd w:id="256"/>
      <w:r>
        <w:t xml:space="preserve"> </w:t>
      </w:r>
    </w:p>
    <w:p w14:paraId="2A1402DC" w14:textId="60D9A8E4" w:rsidR="00026E66" w:rsidRPr="00A25DF5" w:rsidRDefault="002737EF" w:rsidP="00A25DF5">
      <w:pPr>
        <w:tabs>
          <w:tab w:val="left" w:pos="0"/>
        </w:tabs>
        <w:spacing w:after="56"/>
        <w:ind w:right="182"/>
      </w:pPr>
      <w:r>
        <w:rPr>
          <w:color w:val="auto"/>
        </w:rPr>
        <w:t>This section covers:</w:t>
      </w:r>
      <w:r>
        <w:rPr>
          <w:color w:val="auto"/>
          <w:szCs w:val="24"/>
        </w:rPr>
        <w:t xml:space="preserve"> </w:t>
      </w:r>
    </w:p>
    <w:p w14:paraId="5CBE8637" w14:textId="77777777" w:rsidR="00026E66" w:rsidRDefault="002737EF" w:rsidP="0065356B">
      <w:pPr>
        <w:pStyle w:val="ListParagraph"/>
        <w:numPr>
          <w:ilvl w:val="0"/>
          <w:numId w:val="72"/>
        </w:numPr>
        <w:tabs>
          <w:tab w:val="left" w:pos="0"/>
        </w:tabs>
        <w:spacing w:after="75"/>
        <w:ind w:right="182"/>
      </w:pPr>
      <w:r>
        <w:t xml:space="preserve">what data needs to be reported and when </w:t>
      </w:r>
    </w:p>
    <w:p w14:paraId="142FD316" w14:textId="77777777" w:rsidR="00026E66" w:rsidRDefault="002737EF" w:rsidP="0065356B">
      <w:pPr>
        <w:pStyle w:val="ListParagraph"/>
        <w:numPr>
          <w:ilvl w:val="0"/>
          <w:numId w:val="72"/>
        </w:numPr>
        <w:tabs>
          <w:tab w:val="left" w:pos="0"/>
        </w:tabs>
        <w:spacing w:after="78"/>
        <w:ind w:right="182"/>
      </w:pPr>
      <w:r>
        <w:t xml:space="preserve">how to report </w:t>
      </w:r>
    </w:p>
    <w:p w14:paraId="09C1A413" w14:textId="77777777" w:rsidR="00026E66" w:rsidRDefault="002737EF" w:rsidP="0065356B">
      <w:pPr>
        <w:pStyle w:val="ListParagraph"/>
        <w:numPr>
          <w:ilvl w:val="0"/>
          <w:numId w:val="72"/>
        </w:numPr>
        <w:tabs>
          <w:tab w:val="left" w:pos="0"/>
        </w:tabs>
        <w:spacing w:after="79"/>
        <w:ind w:right="182"/>
      </w:pPr>
      <w:r>
        <w:t xml:space="preserve">reporting requirements for non-standard circumstances </w:t>
      </w:r>
    </w:p>
    <w:p w14:paraId="64C01F67" w14:textId="77777777" w:rsidR="00026E66" w:rsidRDefault="002737EF" w:rsidP="0065356B">
      <w:pPr>
        <w:pStyle w:val="ListParagraph"/>
        <w:numPr>
          <w:ilvl w:val="0"/>
          <w:numId w:val="72"/>
        </w:numPr>
        <w:tabs>
          <w:tab w:val="left" w:pos="0"/>
        </w:tabs>
        <w:spacing w:after="76"/>
        <w:ind w:right="182"/>
      </w:pPr>
      <w:r>
        <w:t xml:space="preserve">reporting variations </w:t>
      </w:r>
    </w:p>
    <w:p w14:paraId="39819C98" w14:textId="77777777" w:rsidR="00026E66" w:rsidRPr="00A25DF5" w:rsidRDefault="002737EF" w:rsidP="0065356B">
      <w:pPr>
        <w:pStyle w:val="ListParagraph"/>
        <w:numPr>
          <w:ilvl w:val="0"/>
          <w:numId w:val="72"/>
        </w:numPr>
        <w:tabs>
          <w:tab w:val="left" w:pos="0"/>
        </w:tabs>
        <w:spacing w:after="76"/>
        <w:ind w:right="182"/>
      </w:pPr>
      <w:r w:rsidRPr="00A25DF5">
        <w:t xml:space="preserve">the buy-out and surplus mechanisms </w:t>
      </w:r>
    </w:p>
    <w:p w14:paraId="784C92DB" w14:textId="3077891C" w:rsidR="00026E66" w:rsidRPr="00A25DF5" w:rsidRDefault="002737EF" w:rsidP="0065356B">
      <w:pPr>
        <w:pStyle w:val="ListParagraph"/>
        <w:numPr>
          <w:ilvl w:val="0"/>
          <w:numId w:val="72"/>
        </w:numPr>
        <w:tabs>
          <w:tab w:val="left" w:pos="0"/>
        </w:tabs>
        <w:spacing w:after="11"/>
        <w:ind w:right="182"/>
      </w:pPr>
      <w:r w:rsidRPr="00A25DF5">
        <w:t xml:space="preserve">what to do if you discover an error in your reporting </w:t>
      </w:r>
    </w:p>
    <w:p w14:paraId="30BDC52C" w14:textId="7CCCB458" w:rsidR="00026E66" w:rsidRPr="00A25DF5" w:rsidRDefault="002737EF" w:rsidP="00A25DF5">
      <w:pPr>
        <w:pStyle w:val="Heading2"/>
        <w:tabs>
          <w:tab w:val="left" w:pos="0"/>
        </w:tabs>
      </w:pPr>
      <w:bookmarkStart w:id="257" w:name="_Toc94718673"/>
      <w:bookmarkStart w:id="258" w:name="_Toc94088921"/>
      <w:bookmarkStart w:id="259" w:name="_Toc95211873"/>
      <w:r>
        <w:t>10.2. What is target period reporting?</w:t>
      </w:r>
      <w:bookmarkEnd w:id="257"/>
      <w:bookmarkEnd w:id="258"/>
      <w:bookmarkEnd w:id="259"/>
      <w:r>
        <w:t xml:space="preserve"> </w:t>
      </w:r>
    </w:p>
    <w:p w14:paraId="2DF1D025" w14:textId="4123246C" w:rsidR="00026E66" w:rsidRDefault="002737EF" w:rsidP="00A25DF5">
      <w:pPr>
        <w:tabs>
          <w:tab w:val="left" w:pos="0"/>
        </w:tabs>
        <w:spacing w:after="0"/>
        <w:ind w:right="182"/>
        <w:rPr>
          <w:color w:val="auto"/>
          <w:szCs w:val="24"/>
        </w:rPr>
      </w:pPr>
      <w:r>
        <w:rPr>
          <w:color w:val="auto"/>
          <w:szCs w:val="24"/>
        </w:rPr>
        <w:t xml:space="preserve">At the end of each target period, energy consumption and throughput data for every target unit must be reported via the register. Comparison of these data against the target unit’s target allows us to assess whether the target unit has met its target as set out in its underlying agreement, schedule 6. </w:t>
      </w:r>
    </w:p>
    <w:p w14:paraId="742DE877" w14:textId="7C39076A" w:rsidR="00026E66" w:rsidRPr="00A25DF5" w:rsidRDefault="002737EF" w:rsidP="00FF0098">
      <w:pPr>
        <w:tabs>
          <w:tab w:val="left" w:pos="0"/>
        </w:tabs>
        <w:spacing w:after="0"/>
        <w:ind w:right="182"/>
      </w:pPr>
      <w:r>
        <w:rPr>
          <w:color w:val="auto"/>
          <w:szCs w:val="24"/>
        </w:rPr>
        <w:t>Facilities included in target units that meet or overachieve against their targets will automatically be re-certified</w:t>
      </w:r>
      <w:r>
        <w:t xml:space="preserve"> for the next certification period</w:t>
      </w:r>
      <w:r>
        <w:rPr>
          <w:szCs w:val="24"/>
        </w:rPr>
        <w:t xml:space="preserve">. </w:t>
      </w:r>
    </w:p>
    <w:p w14:paraId="3B4813D5" w14:textId="32DE78F3" w:rsidR="00026E66" w:rsidRPr="00A25DF5" w:rsidRDefault="002737EF" w:rsidP="00FF0098">
      <w:pPr>
        <w:tabs>
          <w:tab w:val="left" w:pos="0"/>
        </w:tabs>
        <w:spacing w:after="0"/>
        <w:ind w:right="182"/>
      </w:pPr>
      <w:r>
        <w:rPr>
          <w:color w:val="auto"/>
        </w:rPr>
        <w:t xml:space="preserve">During target periods </w:t>
      </w:r>
      <w:r>
        <w:rPr>
          <w:color w:val="auto"/>
          <w:szCs w:val="24"/>
        </w:rPr>
        <w:t>1</w:t>
      </w:r>
      <w:r>
        <w:rPr>
          <w:color w:val="auto"/>
        </w:rPr>
        <w:t xml:space="preserve"> to 4, </w:t>
      </w:r>
      <w:r>
        <w:rPr>
          <w:color w:val="auto"/>
          <w:szCs w:val="24"/>
        </w:rPr>
        <w:t>overachievement was converted into a carbon dioxide equivalent (CO</w:t>
      </w:r>
      <w:r>
        <w:rPr>
          <w:color w:val="auto"/>
          <w:szCs w:val="24"/>
          <w:vertAlign w:val="subscript"/>
        </w:rPr>
        <w:t>2</w:t>
      </w:r>
      <w:r>
        <w:rPr>
          <w:color w:val="auto"/>
          <w:szCs w:val="24"/>
        </w:rPr>
        <w:t xml:space="preserve">e) which could be banked and </w:t>
      </w:r>
      <w:r>
        <w:rPr>
          <w:color w:val="auto"/>
        </w:rPr>
        <w:t xml:space="preserve">used </w:t>
      </w:r>
      <w:r>
        <w:rPr>
          <w:color w:val="auto"/>
          <w:szCs w:val="24"/>
        </w:rPr>
        <w:t>by the target unit in subsequent</w:t>
      </w:r>
      <w:r>
        <w:rPr>
          <w:color w:val="auto"/>
        </w:rPr>
        <w:t xml:space="preserve"> target periods to offset </w:t>
      </w:r>
      <w:r>
        <w:rPr>
          <w:color w:val="auto"/>
          <w:szCs w:val="24"/>
        </w:rPr>
        <w:t>underperformance in</w:t>
      </w:r>
      <w:r>
        <w:rPr>
          <w:color w:val="auto"/>
        </w:rPr>
        <w:t xml:space="preserve"> the </w:t>
      </w:r>
      <w:hyperlink w:anchor="Surplus" w:history="1">
        <w:r>
          <w:rPr>
            <w:rStyle w:val="Hyperlink"/>
          </w:rPr>
          <w:t>surplus</w:t>
        </w:r>
      </w:hyperlink>
      <w:r>
        <w:rPr>
          <w:color w:val="auto"/>
        </w:rPr>
        <w:t xml:space="preserve"> mechanism. </w:t>
      </w:r>
    </w:p>
    <w:p w14:paraId="0EA4CCFA" w14:textId="747EC653" w:rsidR="00026E66" w:rsidRPr="00A25DF5" w:rsidRDefault="002737EF" w:rsidP="00A25DF5">
      <w:pPr>
        <w:tabs>
          <w:tab w:val="left" w:pos="0"/>
        </w:tabs>
        <w:spacing w:after="0"/>
        <w:ind w:right="182"/>
      </w:pPr>
      <w:r>
        <w:rPr>
          <w:color w:val="auto"/>
          <w:szCs w:val="24"/>
        </w:rPr>
        <w:t>In target period 5,</w:t>
      </w:r>
      <w:r>
        <w:rPr>
          <w:color w:val="auto"/>
        </w:rPr>
        <w:t xml:space="preserve"> the surplus mechanism </w:t>
      </w:r>
      <w:r>
        <w:rPr>
          <w:color w:val="auto"/>
          <w:szCs w:val="24"/>
        </w:rPr>
        <w:t>does not apply and no banked surplus from previous target periods can be used to meet the TP5 target.</w:t>
      </w:r>
      <w:r w:rsidR="00FC355D">
        <w:rPr>
          <w:color w:val="auto"/>
          <w:szCs w:val="24"/>
        </w:rPr>
        <w:t xml:space="preserve"> </w:t>
      </w:r>
      <w:r>
        <w:rPr>
          <w:color w:val="auto"/>
          <w:szCs w:val="24"/>
        </w:rPr>
        <w:t xml:space="preserve">A target unit that doesn't achieve its target will need to pay a </w:t>
      </w:r>
      <w:r w:rsidRPr="00E931A9">
        <w:rPr>
          <w:color w:val="auto"/>
          <w:szCs w:val="24"/>
          <w:u w:color="0077B9"/>
        </w:rPr>
        <w:t xml:space="preserve">buy-out fee </w:t>
      </w:r>
      <w:r>
        <w:rPr>
          <w:color w:val="auto"/>
        </w:rPr>
        <w:t xml:space="preserve">to </w:t>
      </w:r>
      <w:r>
        <w:rPr>
          <w:color w:val="auto"/>
          <w:szCs w:val="24"/>
        </w:rPr>
        <w:t xml:space="preserve">be re-certified. </w:t>
      </w:r>
    </w:p>
    <w:p w14:paraId="4B65909A" w14:textId="2D5A9BD6" w:rsidR="00026E66" w:rsidRDefault="002737EF" w:rsidP="00A25DF5">
      <w:pPr>
        <w:tabs>
          <w:tab w:val="left" w:pos="0"/>
        </w:tabs>
        <w:spacing w:after="0"/>
        <w:ind w:right="182"/>
        <w:rPr>
          <w:color w:val="auto"/>
          <w:szCs w:val="24"/>
        </w:rPr>
      </w:pPr>
      <w:r>
        <w:rPr>
          <w:color w:val="auto"/>
          <w:szCs w:val="24"/>
        </w:rPr>
        <w:t xml:space="preserve">After each target period all operators must report their energy consumption and throughput. The timeline and process for doing this are described in the following sections. </w:t>
      </w:r>
    </w:p>
    <w:p w14:paraId="6AC1B633" w14:textId="4AD238D6" w:rsidR="00026E66" w:rsidRPr="00A25DF5" w:rsidRDefault="002737EF" w:rsidP="00A25DF5">
      <w:pPr>
        <w:pStyle w:val="Heading2"/>
        <w:tabs>
          <w:tab w:val="left" w:pos="0"/>
        </w:tabs>
      </w:pPr>
      <w:bookmarkStart w:id="260" w:name="_10.3._The_reporting"/>
      <w:bookmarkStart w:id="261" w:name="_Toc94718674"/>
      <w:bookmarkStart w:id="262" w:name="_Toc94088922"/>
      <w:bookmarkStart w:id="263" w:name="_Toc95211874"/>
      <w:bookmarkEnd w:id="260"/>
      <w:r>
        <w:t>10.3. The reporting process</w:t>
      </w:r>
      <w:bookmarkEnd w:id="261"/>
      <w:bookmarkEnd w:id="262"/>
      <w:bookmarkEnd w:id="263"/>
      <w:r>
        <w:t xml:space="preserve"> </w:t>
      </w:r>
    </w:p>
    <w:p w14:paraId="24779FBD" w14:textId="77777777" w:rsidR="00026E66" w:rsidRDefault="002737EF" w:rsidP="00FF0098">
      <w:pPr>
        <w:tabs>
          <w:tab w:val="left" w:pos="0"/>
        </w:tabs>
        <w:spacing w:after="81" w:line="235" w:lineRule="auto"/>
        <w:ind w:right="289"/>
        <w:jc w:val="both"/>
      </w:pPr>
      <w:r>
        <w:rPr>
          <w:color w:val="auto"/>
          <w:szCs w:val="24"/>
        </w:rPr>
        <w:t>Operators must report data for all their facilities that were in the scheme on the last day (31 December)</w:t>
      </w:r>
      <w:r>
        <w:rPr>
          <w:color w:val="auto"/>
        </w:rPr>
        <w:t xml:space="preserve"> of </w:t>
      </w:r>
      <w:r>
        <w:rPr>
          <w:color w:val="auto"/>
          <w:szCs w:val="24"/>
        </w:rPr>
        <w:t>the</w:t>
      </w:r>
      <w:r>
        <w:rPr>
          <w:color w:val="auto"/>
        </w:rPr>
        <w:t xml:space="preserve"> target period and according to the structure of target </w:t>
      </w:r>
      <w:r>
        <w:rPr>
          <w:color w:val="auto"/>
          <w:szCs w:val="24"/>
        </w:rPr>
        <w:t>units on the last day of the target period</w:t>
      </w:r>
      <w:r>
        <w:rPr>
          <w:color w:val="auto"/>
        </w:rPr>
        <w:t xml:space="preserve">. </w:t>
      </w:r>
    </w:p>
    <w:p w14:paraId="1C37EE01" w14:textId="77777777" w:rsidR="00026E66" w:rsidRPr="00A25DF5" w:rsidRDefault="002737EF" w:rsidP="0065356B">
      <w:pPr>
        <w:pStyle w:val="ListParagraph"/>
        <w:numPr>
          <w:ilvl w:val="0"/>
          <w:numId w:val="73"/>
        </w:numPr>
        <w:tabs>
          <w:tab w:val="left" w:pos="0"/>
        </w:tabs>
        <w:spacing w:after="70" w:line="244" w:lineRule="auto"/>
        <w:ind w:right="182"/>
        <w:rPr>
          <w:szCs w:val="24"/>
        </w:rPr>
      </w:pPr>
      <w:r w:rsidRPr="00A25DF5">
        <w:rPr>
          <w:szCs w:val="24"/>
        </w:rPr>
        <w:t xml:space="preserve">The data for facilities (other than rationalisations), that left the scheme on or before the last day of the target period are not to be included in a target unit target period </w:t>
      </w:r>
      <w:proofErr w:type="gramStart"/>
      <w:r w:rsidRPr="00A25DF5">
        <w:rPr>
          <w:szCs w:val="24"/>
        </w:rPr>
        <w:t>reports</w:t>
      </w:r>
      <w:proofErr w:type="gramEnd"/>
      <w:r w:rsidRPr="00A25DF5">
        <w:rPr>
          <w:szCs w:val="24"/>
        </w:rPr>
        <w:t xml:space="preserve">. </w:t>
      </w:r>
    </w:p>
    <w:p w14:paraId="28B255C3" w14:textId="77777777" w:rsidR="00026E66" w:rsidRPr="00A25DF5" w:rsidRDefault="002737EF" w:rsidP="0065356B">
      <w:pPr>
        <w:pStyle w:val="ListParagraph"/>
        <w:numPr>
          <w:ilvl w:val="0"/>
          <w:numId w:val="73"/>
        </w:numPr>
        <w:tabs>
          <w:tab w:val="left" w:pos="0"/>
        </w:tabs>
        <w:spacing w:after="70" w:line="244" w:lineRule="auto"/>
        <w:ind w:right="182"/>
        <w:rPr>
          <w:szCs w:val="24"/>
        </w:rPr>
      </w:pPr>
      <w:r w:rsidRPr="00A25DF5">
        <w:rPr>
          <w:szCs w:val="24"/>
        </w:rPr>
        <w:lastRenderedPageBreak/>
        <w:t xml:space="preserve">The data for facilities that joined the scheme after the start of a target period are required from the date of assent in their target unit's underlying agreement. In practice this means reporting data from the point of the nearest preceding record to the date of assent. </w:t>
      </w:r>
    </w:p>
    <w:p w14:paraId="5C90D28F" w14:textId="77777777" w:rsidR="00026E66" w:rsidRDefault="002737EF" w:rsidP="0065356B">
      <w:pPr>
        <w:pStyle w:val="ListParagraph"/>
        <w:numPr>
          <w:ilvl w:val="0"/>
          <w:numId w:val="73"/>
        </w:numPr>
        <w:tabs>
          <w:tab w:val="left" w:pos="0"/>
        </w:tabs>
        <w:ind w:right="182"/>
      </w:pPr>
      <w:r w:rsidRPr="00A25DF5">
        <w:rPr>
          <w:szCs w:val="24"/>
        </w:rPr>
        <w:t xml:space="preserve">The data for facilities that have changed operator </w:t>
      </w:r>
      <w:r w:rsidRPr="00A25DF5">
        <w:t>during the target period</w:t>
      </w:r>
      <w:r w:rsidRPr="00A25DF5">
        <w:rPr>
          <w:szCs w:val="24"/>
        </w:rPr>
        <w:t xml:space="preserve"> are required from the start</w:t>
      </w:r>
      <w:r>
        <w:t xml:space="preserve"> of the target period</w:t>
      </w:r>
      <w:r w:rsidRPr="00A25DF5">
        <w:rPr>
          <w:szCs w:val="24"/>
        </w:rPr>
        <w:t xml:space="preserve">, or </w:t>
      </w:r>
      <w:r>
        <w:t xml:space="preserve">the date when </w:t>
      </w:r>
      <w:r w:rsidRPr="00A25DF5">
        <w:rPr>
          <w:szCs w:val="24"/>
        </w:rPr>
        <w:t xml:space="preserve">their </w:t>
      </w:r>
      <w:r>
        <w:t xml:space="preserve">continuous participation </w:t>
      </w:r>
      <w:r w:rsidRPr="00A25DF5">
        <w:rPr>
          <w:szCs w:val="24"/>
        </w:rPr>
        <w:t xml:space="preserve">in the scheme </w:t>
      </w:r>
      <w:r>
        <w:t>started</w:t>
      </w:r>
      <w:r w:rsidRPr="00A25DF5">
        <w:rPr>
          <w:szCs w:val="24"/>
        </w:rPr>
        <w:t>, whichever is later. The</w:t>
      </w:r>
      <w:r>
        <w:t xml:space="preserve"> operator for the target unit that the facility is in on the last day of the target period is responsible for reporting and will need to obtain data from previous operator(s</w:t>
      </w:r>
      <w:r w:rsidRPr="00A25DF5">
        <w:rPr>
          <w:szCs w:val="24"/>
        </w:rPr>
        <w:t>).</w:t>
      </w:r>
      <w:r>
        <w:t xml:space="preserve"> </w:t>
      </w:r>
    </w:p>
    <w:p w14:paraId="56CA82D1" w14:textId="77777777" w:rsidR="00026E66" w:rsidRDefault="002737EF" w:rsidP="00FF0098">
      <w:pPr>
        <w:tabs>
          <w:tab w:val="left" w:pos="0"/>
        </w:tabs>
        <w:spacing w:after="0"/>
        <w:ind w:right="182"/>
        <w:rPr>
          <w:color w:val="auto"/>
          <w:szCs w:val="24"/>
        </w:rPr>
      </w:pPr>
      <w:r>
        <w:rPr>
          <w:color w:val="auto"/>
          <w:szCs w:val="24"/>
        </w:rPr>
        <w:t xml:space="preserve">The target period report for a target unit must therefore include data for all facilities that are still in the target unit at the end of the target period for: </w:t>
      </w:r>
    </w:p>
    <w:p w14:paraId="5035D071" w14:textId="0B95432D" w:rsidR="00026E66" w:rsidRPr="00A25DF5" w:rsidRDefault="002737EF" w:rsidP="0065356B">
      <w:pPr>
        <w:pStyle w:val="ListParagraph"/>
        <w:numPr>
          <w:ilvl w:val="0"/>
          <w:numId w:val="74"/>
        </w:numPr>
        <w:tabs>
          <w:tab w:val="left" w:pos="0"/>
        </w:tabs>
        <w:spacing w:line="244" w:lineRule="auto"/>
        <w:ind w:right="182"/>
        <w:rPr>
          <w:szCs w:val="24"/>
        </w:rPr>
      </w:pPr>
      <w:r w:rsidRPr="00A25DF5">
        <w:rPr>
          <w:szCs w:val="24"/>
        </w:rPr>
        <w:t xml:space="preserve">the whole target period for facilities that were in the target unit at the beginning of the target period </w:t>
      </w:r>
    </w:p>
    <w:p w14:paraId="48F64CAB" w14:textId="08363E6B" w:rsidR="00026E66" w:rsidRPr="00A25DF5" w:rsidRDefault="002737EF" w:rsidP="0065356B">
      <w:pPr>
        <w:pStyle w:val="ListParagraph"/>
        <w:numPr>
          <w:ilvl w:val="0"/>
          <w:numId w:val="74"/>
        </w:numPr>
        <w:tabs>
          <w:tab w:val="left" w:pos="0"/>
        </w:tabs>
        <w:spacing w:after="11" w:line="244" w:lineRule="auto"/>
        <w:ind w:right="182"/>
        <w:rPr>
          <w:szCs w:val="24"/>
        </w:rPr>
      </w:pPr>
      <w:r w:rsidRPr="00A25DF5">
        <w:rPr>
          <w:szCs w:val="24"/>
        </w:rPr>
        <w:t xml:space="preserve">from the date of assent for facilities that joined the scheme during the target period </w:t>
      </w:r>
    </w:p>
    <w:p w14:paraId="010F9682" w14:textId="53BA9B6A" w:rsidR="00026E66" w:rsidRPr="00A25DF5" w:rsidRDefault="002737EF" w:rsidP="0065356B">
      <w:pPr>
        <w:pStyle w:val="ListParagraph"/>
        <w:numPr>
          <w:ilvl w:val="0"/>
          <w:numId w:val="74"/>
        </w:numPr>
        <w:tabs>
          <w:tab w:val="left" w:pos="0"/>
        </w:tabs>
        <w:spacing w:line="244" w:lineRule="auto"/>
        <w:ind w:right="182"/>
        <w:rPr>
          <w:szCs w:val="24"/>
        </w:rPr>
      </w:pPr>
      <w:r w:rsidRPr="00A25DF5">
        <w:rPr>
          <w:szCs w:val="24"/>
        </w:rPr>
        <w:t xml:space="preserve">from the later of the date when continuous scheme participation started or the first day of the target period for facilities that changed operator during the target period </w:t>
      </w:r>
    </w:p>
    <w:p w14:paraId="7FB82F44" w14:textId="2CE7D3C2" w:rsidR="00026E66" w:rsidRPr="00A25DF5" w:rsidRDefault="002737EF" w:rsidP="00A25DF5">
      <w:pPr>
        <w:tabs>
          <w:tab w:val="left" w:pos="0"/>
        </w:tabs>
        <w:spacing w:after="0"/>
        <w:ind w:right="182"/>
      </w:pPr>
      <w:r>
        <w:rPr>
          <w:color w:val="auto"/>
          <w:szCs w:val="24"/>
        </w:rPr>
        <w:t xml:space="preserve">Terminated facilities cannot re-enter in the next target period unless they meet the criteria listed in </w:t>
      </w:r>
      <w:r w:rsidRPr="00A25DF5">
        <w:rPr>
          <w:color w:val="auto"/>
          <w:szCs w:val="24"/>
          <w:u w:color="0077B9"/>
        </w:rPr>
        <w:t xml:space="preserve">section 8.3.3 </w:t>
      </w:r>
      <w:r>
        <w:rPr>
          <w:color w:val="auto"/>
          <w:szCs w:val="24"/>
        </w:rPr>
        <w:t xml:space="preserve">(Re-entry following termination). </w:t>
      </w:r>
    </w:p>
    <w:p w14:paraId="344BACCA" w14:textId="04086B90" w:rsidR="00026E66" w:rsidRDefault="002737EF" w:rsidP="00A25DF5">
      <w:pPr>
        <w:tabs>
          <w:tab w:val="left" w:pos="0"/>
        </w:tabs>
        <w:spacing w:after="0"/>
        <w:ind w:right="182"/>
        <w:rPr>
          <w:color w:val="auto"/>
          <w:szCs w:val="24"/>
        </w:rPr>
      </w:pPr>
      <w:r>
        <w:rPr>
          <w:color w:val="auto"/>
          <w:szCs w:val="24"/>
        </w:rPr>
        <w:t xml:space="preserve">Where the operator has varied the agreement because the installation's energy consumption went from less than 70% to equal to or greater than 70% within a target period, the operator will report as if the whole site was eligible over the entire 24 months of the target period or for that part of the period when they were scheme participants. </w:t>
      </w:r>
    </w:p>
    <w:p w14:paraId="1FD9E13D" w14:textId="462269C4" w:rsidR="00026E66" w:rsidRDefault="002737EF" w:rsidP="00A25DF5">
      <w:pPr>
        <w:tabs>
          <w:tab w:val="left" w:pos="0"/>
        </w:tabs>
        <w:spacing w:after="0"/>
        <w:ind w:right="182"/>
        <w:rPr>
          <w:color w:val="auto"/>
          <w:szCs w:val="24"/>
        </w:rPr>
      </w:pPr>
      <w:r>
        <w:rPr>
          <w:color w:val="auto"/>
          <w:szCs w:val="24"/>
        </w:rPr>
        <w:t xml:space="preserve">New entrant facilities with a base year overlapping with or falling within the target period being reported on should report energy consumed and throughput incurred during the target period between the date of assent to the underlying agreement and the end of the target period. </w:t>
      </w:r>
    </w:p>
    <w:p w14:paraId="6CFED972" w14:textId="0F3EE855" w:rsidR="00026E66" w:rsidRDefault="002737EF" w:rsidP="00A25DF5">
      <w:pPr>
        <w:tabs>
          <w:tab w:val="left" w:pos="0"/>
        </w:tabs>
        <w:spacing w:after="0"/>
        <w:ind w:right="182"/>
        <w:rPr>
          <w:color w:val="auto"/>
          <w:szCs w:val="24"/>
        </w:rPr>
      </w:pPr>
      <w:r>
        <w:rPr>
          <w:color w:val="auto"/>
          <w:szCs w:val="24"/>
        </w:rPr>
        <w:t xml:space="preserve">The data for a facility that closed due to rationalisation may be included in the target unit report for the period up to its closure. </w:t>
      </w:r>
    </w:p>
    <w:p w14:paraId="089559BD" w14:textId="3D285B46" w:rsidR="00026E66" w:rsidRDefault="002737EF" w:rsidP="00A25DF5">
      <w:pPr>
        <w:pStyle w:val="Heading3"/>
        <w:tabs>
          <w:tab w:val="left" w:pos="0"/>
        </w:tabs>
      </w:pPr>
      <w:bookmarkStart w:id="264" w:name="_Toc95211875"/>
      <w:r>
        <w:t>10.3.1. What to report</w:t>
      </w:r>
      <w:bookmarkEnd w:id="264"/>
      <w:r>
        <w:t xml:space="preserve"> </w:t>
      </w:r>
    </w:p>
    <w:p w14:paraId="78872BDB" w14:textId="1B6918A0" w:rsidR="00026E66" w:rsidRDefault="002737EF" w:rsidP="00A25DF5">
      <w:pPr>
        <w:tabs>
          <w:tab w:val="left" w:pos="0"/>
        </w:tabs>
        <w:spacing w:after="0"/>
        <w:ind w:right="182"/>
        <w:rPr>
          <w:color w:val="auto"/>
          <w:szCs w:val="24"/>
        </w:rPr>
      </w:pPr>
      <w:r>
        <w:rPr>
          <w:color w:val="auto"/>
          <w:szCs w:val="24"/>
        </w:rPr>
        <w:t xml:space="preserve">The operator of each target unit is required to report all data necessary to establish its performance in the previous target period. For example, for the second target period, the operator on 31 December 2016 must report on or before 1 May 2017. This includes the energy consumed in the target unit and the throughput. </w:t>
      </w:r>
    </w:p>
    <w:p w14:paraId="74AA67D7" w14:textId="77777777" w:rsidR="00026E66" w:rsidRDefault="002737EF" w:rsidP="00FF0098">
      <w:pPr>
        <w:tabs>
          <w:tab w:val="left" w:pos="0"/>
        </w:tabs>
        <w:spacing w:after="0"/>
        <w:ind w:right="182"/>
      </w:pPr>
      <w:r>
        <w:rPr>
          <w:color w:val="auto"/>
          <w:szCs w:val="24"/>
        </w:rPr>
        <w:t xml:space="preserve">The operator of the target unit must collect the individual facility energy consumption and throughput data (as detailed in </w:t>
      </w:r>
      <w:hyperlink w:anchor="_3._Eligible_energy" w:history="1">
        <w:r w:rsidRPr="00E931A9">
          <w:rPr>
            <w:rStyle w:val="Hyperlink"/>
            <w:szCs w:val="24"/>
          </w:rPr>
          <w:t>section 3</w:t>
        </w:r>
      </w:hyperlink>
      <w:r>
        <w:rPr>
          <w:color w:val="auto"/>
          <w:szCs w:val="24"/>
        </w:rPr>
        <w:t>)</w:t>
      </w:r>
      <w:r w:rsidRPr="00E931A9">
        <w:rPr>
          <w:color w:val="auto"/>
          <w:szCs w:val="24"/>
          <w:u w:color="0077B9"/>
        </w:rPr>
        <w:t xml:space="preserve"> </w:t>
      </w:r>
      <w:r>
        <w:rPr>
          <w:color w:val="auto"/>
          <w:szCs w:val="24"/>
        </w:rPr>
        <w:t xml:space="preserve">and then use this information to report against its target unit target, using energy and throughput data for all the facilities contained </w:t>
      </w:r>
      <w:r>
        <w:rPr>
          <w:color w:val="auto"/>
          <w:szCs w:val="24"/>
        </w:rPr>
        <w:lastRenderedPageBreak/>
        <w:t xml:space="preserve">within the target unit's underlying agreement. These data may be reported as either an aggregate for the target unit, or individually for each facility. </w:t>
      </w:r>
    </w:p>
    <w:p w14:paraId="51DC5F26" w14:textId="0045C220" w:rsidR="00026E66" w:rsidRDefault="002737EF" w:rsidP="00A25DF5">
      <w:pPr>
        <w:tabs>
          <w:tab w:val="left" w:pos="0"/>
        </w:tabs>
        <w:spacing w:after="0"/>
        <w:ind w:right="182"/>
        <w:rPr>
          <w:color w:val="auto"/>
          <w:szCs w:val="24"/>
        </w:rPr>
      </w:pPr>
      <w:r>
        <w:rPr>
          <w:color w:val="auto"/>
          <w:szCs w:val="24"/>
        </w:rPr>
        <w:t>The agreed calculation method for determining a target facility’s throughput for a target period is set out in the underlying agreement for the target unit.</w:t>
      </w:r>
      <w:r w:rsidR="00FC355D">
        <w:rPr>
          <w:color w:val="auto"/>
          <w:szCs w:val="24"/>
        </w:rPr>
        <w:t xml:space="preserve"> </w:t>
      </w:r>
    </w:p>
    <w:p w14:paraId="0D48839D" w14:textId="1C064C77" w:rsidR="00026E66" w:rsidRPr="00A25DF5" w:rsidRDefault="002737EF" w:rsidP="00A25DF5">
      <w:pPr>
        <w:tabs>
          <w:tab w:val="left" w:pos="0"/>
        </w:tabs>
        <w:spacing w:after="0"/>
        <w:ind w:right="182"/>
      </w:pPr>
      <w:r>
        <w:rPr>
          <w:color w:val="auto"/>
          <w:szCs w:val="24"/>
        </w:rPr>
        <w:t>In order to assess performance, the target unit's performance, expressed in its chosen target currency (absolute or relative/carbon or energy), is compared against its target, and expressed in the same currency terms. The difference between performance and target is then determined, expressed in target unit currency terms, and converted into an equivalent quantity of CO</w:t>
      </w:r>
      <w:r>
        <w:rPr>
          <w:color w:val="auto"/>
          <w:szCs w:val="24"/>
          <w:vertAlign w:val="subscript"/>
        </w:rPr>
        <w:t>2</w:t>
      </w:r>
      <w:r>
        <w:rPr>
          <w:color w:val="auto"/>
          <w:szCs w:val="24"/>
        </w:rPr>
        <w:t xml:space="preserve">e. The mechanism for making this conversion is set out in the target unit's underlying agreement. </w:t>
      </w:r>
    </w:p>
    <w:p w14:paraId="0BED1BDE" w14:textId="5993D8E1" w:rsidR="00026E66" w:rsidRPr="00A25DF5" w:rsidRDefault="002737EF" w:rsidP="00A25DF5">
      <w:pPr>
        <w:tabs>
          <w:tab w:val="left" w:pos="0"/>
        </w:tabs>
        <w:ind w:right="182"/>
      </w:pPr>
      <w:hyperlink w:anchor="_3.1._How_to" w:history="1">
        <w:r>
          <w:rPr>
            <w:rStyle w:val="Hyperlink"/>
            <w:szCs w:val="24"/>
          </w:rPr>
          <w:t>Section 3.1</w:t>
        </w:r>
      </w:hyperlink>
      <w:r>
        <w:rPr>
          <w:color w:val="auto"/>
          <w:szCs w:val="24"/>
          <w:u w:val="single" w:color="0077B9"/>
        </w:rPr>
        <w:t xml:space="preserve"> </w:t>
      </w:r>
      <w:r>
        <w:rPr>
          <w:color w:val="auto"/>
          <w:szCs w:val="24"/>
        </w:rPr>
        <w:t xml:space="preserve">contains more information on the types of energy and fuels that are included in the scheme. </w:t>
      </w:r>
    </w:p>
    <w:p w14:paraId="5E9C520D" w14:textId="0B64BECF" w:rsidR="00026E66" w:rsidRDefault="002737EF" w:rsidP="00A25DF5">
      <w:pPr>
        <w:pStyle w:val="Heading3"/>
        <w:tabs>
          <w:tab w:val="left" w:pos="0"/>
        </w:tabs>
      </w:pPr>
      <w:bookmarkStart w:id="265" w:name="_Toc95211876"/>
      <w:r>
        <w:t>10.3.2. What not to report</w:t>
      </w:r>
      <w:bookmarkEnd w:id="265"/>
      <w:r>
        <w:t xml:space="preserve"> </w:t>
      </w:r>
    </w:p>
    <w:p w14:paraId="0402021B" w14:textId="0A283680" w:rsidR="00026E66" w:rsidRPr="00A25DF5" w:rsidRDefault="002737EF" w:rsidP="00A25DF5">
      <w:pPr>
        <w:tabs>
          <w:tab w:val="left" w:pos="0"/>
        </w:tabs>
        <w:spacing w:after="56"/>
        <w:ind w:right="182"/>
        <w:rPr>
          <w:color w:val="auto"/>
        </w:rPr>
      </w:pPr>
      <w:r>
        <w:rPr>
          <w:color w:val="auto"/>
        </w:rPr>
        <w:t xml:space="preserve">The following energy types cannot be counted in CCAs and should not be reported: </w:t>
      </w:r>
    </w:p>
    <w:p w14:paraId="5C17734A" w14:textId="2BD47B37" w:rsidR="00026E66" w:rsidRDefault="002737EF" w:rsidP="0065356B">
      <w:pPr>
        <w:pStyle w:val="ListParagraph"/>
        <w:numPr>
          <w:ilvl w:val="0"/>
          <w:numId w:val="75"/>
        </w:numPr>
        <w:tabs>
          <w:tab w:val="left" w:pos="0"/>
        </w:tabs>
        <w:spacing w:after="73"/>
        <w:ind w:right="2976"/>
      </w:pPr>
      <w:r w:rsidRPr="00A25DF5">
        <w:rPr>
          <w:szCs w:val="24"/>
        </w:rPr>
        <w:t>Fuel</w:t>
      </w:r>
      <w:r>
        <w:t xml:space="preserve"> used as a chemical feedstock</w:t>
      </w:r>
    </w:p>
    <w:p w14:paraId="0AAEC18B" w14:textId="47B62FFC" w:rsidR="00026E66" w:rsidRDefault="002737EF" w:rsidP="0065356B">
      <w:pPr>
        <w:pStyle w:val="ListParagraph"/>
        <w:numPr>
          <w:ilvl w:val="0"/>
          <w:numId w:val="75"/>
        </w:numPr>
        <w:tabs>
          <w:tab w:val="left" w:pos="0"/>
        </w:tabs>
        <w:spacing w:after="50"/>
        <w:ind w:right="2976"/>
      </w:pPr>
      <w:r w:rsidRPr="00A25DF5">
        <w:rPr>
          <w:szCs w:val="24"/>
        </w:rPr>
        <w:t>Heat</w:t>
      </w:r>
      <w:r>
        <w:t xml:space="preserve"> recovered from exothermic reactions</w:t>
      </w:r>
    </w:p>
    <w:p w14:paraId="54B591CE" w14:textId="5F2BBBE7" w:rsidR="00026E66" w:rsidRPr="00A25DF5" w:rsidRDefault="002737EF" w:rsidP="0065356B">
      <w:pPr>
        <w:pStyle w:val="ListParagraph"/>
        <w:numPr>
          <w:ilvl w:val="0"/>
          <w:numId w:val="75"/>
        </w:numPr>
        <w:tabs>
          <w:tab w:val="left" w:pos="0"/>
        </w:tabs>
        <w:spacing w:after="50"/>
        <w:ind w:right="2976"/>
        <w:rPr>
          <w:color w:val="000000"/>
        </w:rPr>
      </w:pPr>
      <w:r w:rsidRPr="00A25DF5">
        <w:rPr>
          <w:szCs w:val="24"/>
        </w:rPr>
        <w:t>Electricity</w:t>
      </w:r>
      <w:r>
        <w:t xml:space="preserve"> generated from recovered heat</w:t>
      </w:r>
    </w:p>
    <w:p w14:paraId="34D1F113" w14:textId="4116D38A" w:rsidR="00026E66" w:rsidRPr="00A25DF5" w:rsidRDefault="002737EF" w:rsidP="00A25DF5">
      <w:r>
        <w:t>More detail on each of these energy types is provided in</w:t>
      </w:r>
      <w:r w:rsidR="00A25DF5">
        <w:t xml:space="preserve"> </w:t>
      </w:r>
      <w:hyperlink w:anchor="_3.2._What_energy" w:history="1">
        <w:r>
          <w:rPr>
            <w:rStyle w:val="Hyperlink"/>
          </w:rPr>
          <w:t>section 3.2</w:t>
        </w:r>
      </w:hyperlink>
      <w:r>
        <w:t xml:space="preserve">. </w:t>
      </w:r>
    </w:p>
    <w:p w14:paraId="751A2404" w14:textId="69DFB65B" w:rsidR="00026E66" w:rsidRDefault="002737EF" w:rsidP="00FF0098">
      <w:pPr>
        <w:pStyle w:val="Heading3"/>
        <w:tabs>
          <w:tab w:val="left" w:pos="0"/>
        </w:tabs>
      </w:pPr>
      <w:bookmarkStart w:id="266" w:name="_Toc95211877"/>
      <w:r>
        <w:t>10.3.3. Format for reporting</w:t>
      </w:r>
      <w:bookmarkEnd w:id="266"/>
      <w:r w:rsidR="00FC355D">
        <w:t xml:space="preserve"> </w:t>
      </w:r>
    </w:p>
    <w:p w14:paraId="0B7CD383" w14:textId="67F35BFF" w:rsidR="00026E66" w:rsidRPr="00A25DF5" w:rsidRDefault="002737EF" w:rsidP="00A25DF5">
      <w:pPr>
        <w:tabs>
          <w:tab w:val="left" w:pos="0"/>
        </w:tabs>
        <w:spacing w:after="0"/>
        <w:ind w:right="182"/>
      </w:pPr>
      <w:r>
        <w:rPr>
          <w:color w:val="auto"/>
          <w:szCs w:val="24"/>
        </w:rPr>
        <w:t xml:space="preserve">A </w:t>
      </w:r>
      <w:r>
        <w:rPr>
          <w:color w:val="auto"/>
        </w:rPr>
        <w:t xml:space="preserve">set of workbooks </w:t>
      </w:r>
      <w:r>
        <w:rPr>
          <w:color w:val="auto"/>
          <w:szCs w:val="24"/>
        </w:rPr>
        <w:t xml:space="preserve">is available </w:t>
      </w:r>
      <w:r>
        <w:rPr>
          <w:color w:val="auto"/>
        </w:rPr>
        <w:t xml:space="preserve">to </w:t>
      </w:r>
      <w:r>
        <w:rPr>
          <w:color w:val="auto"/>
          <w:szCs w:val="24"/>
        </w:rPr>
        <w:t>assist with</w:t>
      </w:r>
      <w:r>
        <w:rPr>
          <w:color w:val="auto"/>
        </w:rPr>
        <w:t xml:space="preserve"> the calculations </w:t>
      </w:r>
      <w:r>
        <w:rPr>
          <w:color w:val="auto"/>
          <w:szCs w:val="24"/>
        </w:rPr>
        <w:t>needed for reporting</w:t>
      </w:r>
      <w:r>
        <w:rPr>
          <w:color w:val="auto"/>
        </w:rPr>
        <w:t xml:space="preserve"> and to present performance data in a standardised format.</w:t>
      </w:r>
      <w:r>
        <w:rPr>
          <w:color w:val="auto"/>
          <w:szCs w:val="24"/>
        </w:rPr>
        <w:t xml:space="preserve"> Partially populated workbooks specific to each target unit are available to download from the register from the day after the end of the target period (1 January). </w:t>
      </w:r>
      <w:r>
        <w:rPr>
          <w:color w:val="auto"/>
        </w:rPr>
        <w:t xml:space="preserve">The generic templates </w:t>
      </w:r>
      <w:r>
        <w:rPr>
          <w:color w:val="auto"/>
          <w:szCs w:val="24"/>
        </w:rPr>
        <w:t xml:space="preserve">used </w:t>
      </w:r>
      <w:r>
        <w:rPr>
          <w:color w:val="auto"/>
        </w:rPr>
        <w:t xml:space="preserve">are provided in </w:t>
      </w:r>
      <w:hyperlink w:anchor="_Appendix_H:_Workbook" w:history="1">
        <w:r>
          <w:rPr>
            <w:rStyle w:val="Hyperlink"/>
          </w:rPr>
          <w:t>Appendix H</w:t>
        </w:r>
      </w:hyperlink>
      <w:r>
        <w:rPr>
          <w:color w:val="auto"/>
        </w:rPr>
        <w:t xml:space="preserve">. </w:t>
      </w:r>
      <w:hyperlink w:anchor="_Appendix_I:_The" w:history="1">
        <w:r>
          <w:rPr>
            <w:rStyle w:val="Hyperlink"/>
          </w:rPr>
          <w:t>Appendix I</w:t>
        </w:r>
      </w:hyperlink>
      <w:r w:rsidRPr="00E931A9">
        <w:rPr>
          <w:color w:val="auto"/>
          <w:u w:color="0077B9"/>
        </w:rPr>
        <w:t xml:space="preserve"> </w:t>
      </w:r>
      <w:r>
        <w:rPr>
          <w:color w:val="auto"/>
        </w:rPr>
        <w:t>describes how to use the reporting workbooks.</w:t>
      </w:r>
      <w:r>
        <w:rPr>
          <w:color w:val="auto"/>
          <w:szCs w:val="24"/>
        </w:rPr>
        <w:t xml:space="preserve"> </w:t>
      </w:r>
    </w:p>
    <w:p w14:paraId="4ECAFF49" w14:textId="77777777" w:rsidR="00026E66" w:rsidRDefault="002737EF" w:rsidP="00FF0098">
      <w:pPr>
        <w:pStyle w:val="Heading3"/>
        <w:tabs>
          <w:tab w:val="left" w:pos="0"/>
        </w:tabs>
      </w:pPr>
      <w:bookmarkStart w:id="267" w:name="_Toc95211878"/>
      <w:r>
        <w:t>10.3.4. Who is responsible for reporting?</w:t>
      </w:r>
      <w:bookmarkEnd w:id="267"/>
      <w:r>
        <w:t xml:space="preserve"> </w:t>
      </w:r>
    </w:p>
    <w:p w14:paraId="7ACFCC84" w14:textId="59DE23F0" w:rsidR="00026E66" w:rsidRPr="00A25DF5" w:rsidRDefault="002737EF" w:rsidP="00A25DF5">
      <w:pPr>
        <w:tabs>
          <w:tab w:val="left" w:pos="0"/>
        </w:tabs>
        <w:spacing w:after="0"/>
        <w:ind w:right="182"/>
      </w:pPr>
      <w:r>
        <w:rPr>
          <w:color w:val="auto"/>
        </w:rPr>
        <w:t xml:space="preserve">The operator </w:t>
      </w:r>
      <w:r>
        <w:rPr>
          <w:color w:val="auto"/>
          <w:szCs w:val="24"/>
        </w:rPr>
        <w:t>is responsible for providing all</w:t>
      </w:r>
      <w:r>
        <w:rPr>
          <w:color w:val="auto"/>
        </w:rPr>
        <w:t xml:space="preserve"> the </w:t>
      </w:r>
      <w:r>
        <w:rPr>
          <w:color w:val="auto"/>
          <w:szCs w:val="24"/>
        </w:rPr>
        <w:t xml:space="preserve">data necessary to calculate </w:t>
      </w:r>
      <w:r>
        <w:rPr>
          <w:color w:val="auto"/>
        </w:rPr>
        <w:t xml:space="preserve">performance </w:t>
      </w:r>
      <w:r>
        <w:rPr>
          <w:color w:val="auto"/>
          <w:szCs w:val="24"/>
        </w:rPr>
        <w:t>at</w:t>
      </w:r>
      <w:r>
        <w:rPr>
          <w:color w:val="auto"/>
        </w:rPr>
        <w:t xml:space="preserve"> the target unit</w:t>
      </w:r>
      <w:r>
        <w:rPr>
          <w:color w:val="auto"/>
          <w:szCs w:val="24"/>
        </w:rPr>
        <w:t xml:space="preserve"> level. The sector association will liaise with its operators to collate the required data and to upload it to the register via a completed reporting workbook by the reporting deadline of 1 May. </w:t>
      </w:r>
    </w:p>
    <w:p w14:paraId="10E5E8A8" w14:textId="77777777" w:rsidR="00026E66" w:rsidRDefault="002737EF" w:rsidP="00FF0098">
      <w:pPr>
        <w:pStyle w:val="Heading4"/>
        <w:tabs>
          <w:tab w:val="left" w:pos="0"/>
        </w:tabs>
        <w:rPr>
          <w:color w:val="auto"/>
          <w:szCs w:val="24"/>
        </w:rPr>
      </w:pPr>
      <w:r>
        <w:rPr>
          <w:color w:val="auto"/>
          <w:szCs w:val="24"/>
        </w:rPr>
        <w:t xml:space="preserve">10.3.4.1. Change of operator </w:t>
      </w:r>
    </w:p>
    <w:p w14:paraId="5F1B1C84" w14:textId="77777777" w:rsidR="00026E66" w:rsidRDefault="002737EF" w:rsidP="00FF0098">
      <w:pPr>
        <w:tabs>
          <w:tab w:val="left" w:pos="0"/>
        </w:tabs>
        <w:ind w:right="182"/>
      </w:pPr>
      <w:r>
        <w:rPr>
          <w:color w:val="auto"/>
        </w:rPr>
        <w:t xml:space="preserve">The operator </w:t>
      </w:r>
      <w:r>
        <w:rPr>
          <w:color w:val="auto"/>
          <w:szCs w:val="24"/>
        </w:rPr>
        <w:t>at</w:t>
      </w:r>
      <w:r>
        <w:rPr>
          <w:color w:val="auto"/>
        </w:rPr>
        <w:t xml:space="preserve"> the </w:t>
      </w:r>
      <w:r>
        <w:rPr>
          <w:color w:val="auto"/>
          <w:szCs w:val="24"/>
        </w:rPr>
        <w:t>end</w:t>
      </w:r>
      <w:r>
        <w:rPr>
          <w:color w:val="auto"/>
        </w:rPr>
        <w:t xml:space="preserve"> of each target period is responsible for reporting on the target </w:t>
      </w:r>
      <w:r>
        <w:rPr>
          <w:color w:val="auto"/>
          <w:szCs w:val="24"/>
        </w:rPr>
        <w:t xml:space="preserve">unit as it was structured on 31 December. By default, it is this operator that any </w:t>
      </w:r>
      <w:r>
        <w:rPr>
          <w:color w:val="auto"/>
        </w:rPr>
        <w:lastRenderedPageBreak/>
        <w:t>Memorandum of Account (</w:t>
      </w:r>
      <w:proofErr w:type="spellStart"/>
      <w:r>
        <w:rPr>
          <w:color w:val="auto"/>
        </w:rPr>
        <w:t>MoA</w:t>
      </w:r>
      <w:proofErr w:type="spellEnd"/>
      <w:r>
        <w:rPr>
          <w:color w:val="auto"/>
        </w:rPr>
        <w:t xml:space="preserve">) for buy-out </w:t>
      </w:r>
      <w:r>
        <w:rPr>
          <w:color w:val="auto"/>
          <w:szCs w:val="24"/>
        </w:rPr>
        <w:t>will be sent</w:t>
      </w:r>
      <w:r>
        <w:rPr>
          <w:color w:val="auto"/>
        </w:rPr>
        <w:t xml:space="preserve"> to, even if the </w:t>
      </w:r>
      <w:r>
        <w:rPr>
          <w:color w:val="auto"/>
          <w:szCs w:val="24"/>
        </w:rPr>
        <w:t>underlying agreement has subsequently</w:t>
      </w:r>
      <w:r>
        <w:rPr>
          <w:color w:val="auto"/>
        </w:rPr>
        <w:t xml:space="preserve"> been </w:t>
      </w:r>
      <w:r>
        <w:rPr>
          <w:color w:val="auto"/>
          <w:szCs w:val="24"/>
        </w:rPr>
        <w:t>amended.</w:t>
      </w:r>
      <w:r>
        <w:rPr>
          <w:color w:val="auto"/>
        </w:rPr>
        <w:t xml:space="preserve"> Sectors should speak to us on a case</w:t>
      </w:r>
      <w:r>
        <w:rPr>
          <w:color w:val="auto"/>
          <w:szCs w:val="24"/>
        </w:rPr>
        <w:t xml:space="preserve"> </w:t>
      </w:r>
      <w:r>
        <w:rPr>
          <w:color w:val="auto"/>
        </w:rPr>
        <w:t>by</w:t>
      </w:r>
      <w:r>
        <w:rPr>
          <w:color w:val="auto"/>
          <w:szCs w:val="24"/>
        </w:rPr>
        <w:t xml:space="preserve"> </w:t>
      </w:r>
      <w:r>
        <w:rPr>
          <w:color w:val="auto"/>
        </w:rPr>
        <w:t xml:space="preserve">case basis if they </w:t>
      </w:r>
      <w:r>
        <w:rPr>
          <w:color w:val="auto"/>
          <w:szCs w:val="24"/>
        </w:rPr>
        <w:t>wish</w:t>
      </w:r>
      <w:r>
        <w:rPr>
          <w:color w:val="auto"/>
        </w:rPr>
        <w:t xml:space="preserve"> to </w:t>
      </w:r>
      <w:r>
        <w:rPr>
          <w:color w:val="auto"/>
          <w:szCs w:val="24"/>
        </w:rPr>
        <w:t>change</w:t>
      </w:r>
      <w:r>
        <w:rPr>
          <w:color w:val="auto"/>
        </w:rPr>
        <w:t xml:space="preserve"> this</w:t>
      </w:r>
      <w:r>
        <w:rPr>
          <w:color w:val="auto"/>
          <w:szCs w:val="24"/>
        </w:rPr>
        <w:t xml:space="preserve"> arrangement. </w:t>
      </w:r>
    </w:p>
    <w:p w14:paraId="2E21E998" w14:textId="77777777" w:rsidR="00026E66" w:rsidRDefault="002737EF" w:rsidP="00FF0098">
      <w:pPr>
        <w:tabs>
          <w:tab w:val="left" w:pos="0"/>
        </w:tabs>
        <w:ind w:right="182"/>
        <w:rPr>
          <w:color w:val="auto"/>
        </w:rPr>
      </w:pPr>
      <w:r>
        <w:rPr>
          <w:color w:val="auto"/>
        </w:rPr>
        <w:t xml:space="preserve">Where the operator of a facility or target unit changes after 31 December, the responsibility for reporting remains with the operator who held the agreement on 31 December. It is for the operators concerned to decide how this will be achieved and, in practice, a new operator may report on behalf of the old operator. Our requirement is that information for the full target unit comprising all its facilities is reported. </w:t>
      </w:r>
    </w:p>
    <w:p w14:paraId="54CE75B2" w14:textId="41301BC1" w:rsidR="00026E66" w:rsidRPr="00A25DF5" w:rsidRDefault="002737EF" w:rsidP="00A25DF5">
      <w:pPr>
        <w:tabs>
          <w:tab w:val="left" w:pos="0"/>
        </w:tabs>
        <w:spacing w:after="0"/>
        <w:ind w:right="182"/>
      </w:pPr>
      <w:r>
        <w:rPr>
          <w:color w:val="auto"/>
        </w:rPr>
        <w:t xml:space="preserve">If </w:t>
      </w:r>
      <w:r>
        <w:rPr>
          <w:color w:val="auto"/>
          <w:szCs w:val="24"/>
        </w:rPr>
        <w:t>there is no</w:t>
      </w:r>
      <w:r>
        <w:rPr>
          <w:color w:val="auto"/>
        </w:rPr>
        <w:t xml:space="preserve"> report or </w:t>
      </w:r>
      <w:r>
        <w:rPr>
          <w:color w:val="auto"/>
          <w:szCs w:val="24"/>
        </w:rPr>
        <w:t xml:space="preserve">if inaccurate </w:t>
      </w:r>
      <w:r>
        <w:rPr>
          <w:color w:val="auto"/>
        </w:rPr>
        <w:t xml:space="preserve">information is </w:t>
      </w:r>
      <w:r>
        <w:rPr>
          <w:color w:val="auto"/>
          <w:szCs w:val="24"/>
        </w:rPr>
        <w:t xml:space="preserve">supplied a </w:t>
      </w:r>
      <w:r>
        <w:rPr>
          <w:color w:val="auto"/>
        </w:rPr>
        <w:t>penalty</w:t>
      </w:r>
      <w:r>
        <w:rPr>
          <w:color w:val="auto"/>
          <w:szCs w:val="24"/>
        </w:rPr>
        <w:t xml:space="preserve"> may be levied.</w:t>
      </w:r>
      <w:r>
        <w:rPr>
          <w:color w:val="auto"/>
        </w:rPr>
        <w:t xml:space="preserve"> If we have </w:t>
      </w:r>
      <w:r>
        <w:rPr>
          <w:color w:val="auto"/>
          <w:szCs w:val="24"/>
        </w:rPr>
        <w:t>insufficient</w:t>
      </w:r>
      <w:r>
        <w:rPr>
          <w:color w:val="auto"/>
        </w:rPr>
        <w:t xml:space="preserve"> information to determine whether the </w:t>
      </w:r>
      <w:r>
        <w:rPr>
          <w:color w:val="auto"/>
          <w:szCs w:val="24"/>
        </w:rPr>
        <w:t>target</w:t>
      </w:r>
      <w:r>
        <w:rPr>
          <w:color w:val="auto"/>
        </w:rPr>
        <w:t xml:space="preserve"> has </w:t>
      </w:r>
      <w:r>
        <w:rPr>
          <w:color w:val="auto"/>
          <w:szCs w:val="24"/>
        </w:rPr>
        <w:t xml:space="preserve">been </w:t>
      </w:r>
      <w:proofErr w:type="gramStart"/>
      <w:r>
        <w:rPr>
          <w:color w:val="auto"/>
        </w:rPr>
        <w:t>met</w:t>
      </w:r>
      <w:proofErr w:type="gramEnd"/>
      <w:r>
        <w:rPr>
          <w:color w:val="auto"/>
        </w:rPr>
        <w:t xml:space="preserve"> we may refuse to recertify the </w:t>
      </w:r>
      <w:r>
        <w:rPr>
          <w:color w:val="auto"/>
          <w:szCs w:val="24"/>
        </w:rPr>
        <w:t xml:space="preserve">facility or </w:t>
      </w:r>
      <w:r>
        <w:rPr>
          <w:color w:val="auto"/>
        </w:rPr>
        <w:t xml:space="preserve">facilities for the </w:t>
      </w:r>
      <w:r>
        <w:rPr>
          <w:color w:val="auto"/>
          <w:szCs w:val="24"/>
        </w:rPr>
        <w:t>new</w:t>
      </w:r>
      <w:r>
        <w:rPr>
          <w:color w:val="auto"/>
        </w:rPr>
        <w:t xml:space="preserve"> certification period. </w:t>
      </w:r>
    </w:p>
    <w:p w14:paraId="0F8613CB" w14:textId="78B57EA4" w:rsidR="00026E66" w:rsidRDefault="002737EF" w:rsidP="00FF0098">
      <w:pPr>
        <w:pStyle w:val="Heading3"/>
        <w:tabs>
          <w:tab w:val="left" w:pos="0"/>
        </w:tabs>
      </w:pPr>
      <w:bookmarkStart w:id="268" w:name="_Toc95211879"/>
      <w:r>
        <w:t>10.3.5. Timeframes for reporting</w:t>
      </w:r>
      <w:bookmarkEnd w:id="268"/>
      <w:r w:rsidR="00FC355D">
        <w:t xml:space="preserve"> </w:t>
      </w:r>
    </w:p>
    <w:p w14:paraId="3CF5843A" w14:textId="06838CF8" w:rsidR="00026E66" w:rsidRPr="00A25DF5" w:rsidRDefault="002737EF" w:rsidP="00A25DF5">
      <w:pPr>
        <w:tabs>
          <w:tab w:val="left" w:pos="0"/>
        </w:tabs>
        <w:spacing w:after="0"/>
        <w:ind w:right="182"/>
      </w:pPr>
      <w:r>
        <w:rPr>
          <w:color w:val="auto"/>
          <w:szCs w:val="24"/>
        </w:rPr>
        <w:t xml:space="preserve">Each target period is 24 months long, beginning on 1 January of month 1 and ending on 31 December of month </w:t>
      </w:r>
      <w:r>
        <w:rPr>
          <w:color w:val="auto"/>
        </w:rPr>
        <w:t>24. Target unit reports must be submitted on or before 1 May in the year following the end of each target period.</w:t>
      </w:r>
      <w:r>
        <w:rPr>
          <w:color w:val="auto"/>
          <w:szCs w:val="24"/>
        </w:rPr>
        <w:t xml:space="preserve"> </w:t>
      </w:r>
    </w:p>
    <w:p w14:paraId="416F4E88" w14:textId="1256EBDA" w:rsidR="00026E66" w:rsidRPr="00A25DF5" w:rsidRDefault="002737EF" w:rsidP="00A25DF5">
      <w:pPr>
        <w:tabs>
          <w:tab w:val="left" w:pos="0"/>
        </w:tabs>
        <w:spacing w:after="0"/>
        <w:ind w:right="182"/>
        <w:rPr>
          <w:color w:val="auto"/>
        </w:rPr>
      </w:pPr>
      <w:r>
        <w:rPr>
          <w:color w:val="auto"/>
        </w:rPr>
        <w:t xml:space="preserve">Target Period Reporting workbooks for each target unit are pre-populated with information taken from the register, based on the latest version of the underlying agreement. To ensure the workbook is correct any variations must be completed and assented to before the reporting workbook is generated and downloaded for reporting. </w:t>
      </w:r>
    </w:p>
    <w:p w14:paraId="66248016" w14:textId="53962F0D" w:rsidR="00026E66" w:rsidRDefault="002737EF" w:rsidP="00FF0098">
      <w:pPr>
        <w:pStyle w:val="Heading2"/>
        <w:tabs>
          <w:tab w:val="left" w:pos="0"/>
        </w:tabs>
      </w:pPr>
      <w:bookmarkStart w:id="269" w:name="_10.4._Target_adjustments"/>
      <w:bookmarkStart w:id="270" w:name="_Toc94718675"/>
      <w:bookmarkStart w:id="271" w:name="_Toc94088923"/>
      <w:bookmarkStart w:id="272" w:name="_Toc95211880"/>
      <w:bookmarkEnd w:id="269"/>
      <w:r>
        <w:t>10.4. Target adjustments for previous target periods</w:t>
      </w:r>
      <w:bookmarkEnd w:id="270"/>
      <w:bookmarkEnd w:id="271"/>
      <w:bookmarkEnd w:id="272"/>
      <w:r w:rsidR="00FC355D">
        <w:t xml:space="preserve"> </w:t>
      </w:r>
    </w:p>
    <w:p w14:paraId="2152AD2D" w14:textId="77777777" w:rsidR="00026E66" w:rsidRDefault="002737EF" w:rsidP="00FF0098">
      <w:pPr>
        <w:tabs>
          <w:tab w:val="left" w:pos="0"/>
        </w:tabs>
        <w:ind w:right="182"/>
        <w:rPr>
          <w:color w:val="auto"/>
          <w:szCs w:val="24"/>
        </w:rPr>
      </w:pPr>
      <w:r>
        <w:rPr>
          <w:color w:val="auto"/>
          <w:szCs w:val="24"/>
        </w:rPr>
        <w:t xml:space="preserve">In two circumstances variations may be submitted to reflect changes which may impact on a target unit's target. This is where: </w:t>
      </w:r>
    </w:p>
    <w:p w14:paraId="7BCA6160" w14:textId="77777777" w:rsidR="00026E66" w:rsidRPr="00A25DF5" w:rsidRDefault="002737EF" w:rsidP="004C1365">
      <w:pPr>
        <w:pStyle w:val="ListParagraph"/>
        <w:numPr>
          <w:ilvl w:val="0"/>
          <w:numId w:val="141"/>
        </w:numPr>
      </w:pPr>
      <w:r w:rsidRPr="00A25DF5">
        <w:t xml:space="preserve">the actual throughput for the target period is less than 90% of twice the throughput in the base year (absolute targets only) </w:t>
      </w:r>
    </w:p>
    <w:p w14:paraId="7C1E94B4" w14:textId="09047007" w:rsidR="00026E66" w:rsidRPr="00A25DF5" w:rsidRDefault="002737EF" w:rsidP="004C1365">
      <w:pPr>
        <w:pStyle w:val="ListParagraph"/>
        <w:numPr>
          <w:ilvl w:val="0"/>
          <w:numId w:val="141"/>
        </w:numPr>
      </w:pPr>
      <w:r w:rsidRPr="00A25DF5">
        <w:t xml:space="preserve">there has been an </w:t>
      </w:r>
      <w:r w:rsidRPr="004C1365">
        <w:rPr>
          <w:u w:color="0077B9"/>
        </w:rPr>
        <w:t>unexpected disruption in supply</w:t>
      </w:r>
      <w:r w:rsidRPr="00A25DF5">
        <w:t xml:space="preserve"> </w:t>
      </w:r>
    </w:p>
    <w:p w14:paraId="59D9EE11" w14:textId="5441329A" w:rsidR="00026E66" w:rsidRDefault="002737EF" w:rsidP="00FF0098">
      <w:pPr>
        <w:tabs>
          <w:tab w:val="left" w:pos="0"/>
        </w:tabs>
        <w:spacing w:after="0"/>
        <w:ind w:right="182"/>
        <w:rPr>
          <w:color w:val="auto"/>
          <w:szCs w:val="24"/>
        </w:rPr>
      </w:pPr>
      <w:r>
        <w:rPr>
          <w:color w:val="auto"/>
          <w:szCs w:val="24"/>
        </w:rPr>
        <w:t xml:space="preserve">These variations must be submitted in the month following the end of each target period, for TP5 between 1 and 31 January 2023. These variations must be assented to ensure that the correct target period reporting workbook is available on the register for completion. </w:t>
      </w:r>
    </w:p>
    <w:p w14:paraId="188EE921" w14:textId="387BDA0A" w:rsidR="00026E66" w:rsidRDefault="002737EF" w:rsidP="00FF0098">
      <w:pPr>
        <w:tabs>
          <w:tab w:val="left" w:pos="0"/>
        </w:tabs>
        <w:spacing w:after="0"/>
        <w:ind w:right="182"/>
        <w:rPr>
          <w:color w:val="auto"/>
          <w:szCs w:val="24"/>
        </w:rPr>
      </w:pPr>
      <w:r>
        <w:rPr>
          <w:color w:val="auto"/>
          <w:szCs w:val="24"/>
        </w:rPr>
        <w:t xml:space="preserve">For TP 4 additional circumstances were included for the impact of </w:t>
      </w:r>
      <w:r w:rsidR="00A25DF5">
        <w:rPr>
          <w:color w:val="auto"/>
          <w:szCs w:val="24"/>
        </w:rPr>
        <w:t>COVID-19</w:t>
      </w:r>
      <w:r>
        <w:rPr>
          <w:color w:val="auto"/>
          <w:szCs w:val="24"/>
        </w:rPr>
        <w:t>.</w:t>
      </w:r>
      <w:r w:rsidR="00FC355D">
        <w:rPr>
          <w:color w:val="auto"/>
          <w:szCs w:val="24"/>
        </w:rPr>
        <w:t xml:space="preserve"> </w:t>
      </w:r>
    </w:p>
    <w:p w14:paraId="3D92607E" w14:textId="75D58EA0" w:rsidR="00026E66" w:rsidRDefault="002737EF" w:rsidP="00FF0098">
      <w:pPr>
        <w:tabs>
          <w:tab w:val="left" w:pos="0"/>
        </w:tabs>
        <w:spacing w:after="0" w:line="247" w:lineRule="auto"/>
        <w:ind w:right="160"/>
      </w:pPr>
      <w:r>
        <w:rPr>
          <w:color w:val="auto"/>
          <w:szCs w:val="24"/>
        </w:rPr>
        <w:t>The</w:t>
      </w:r>
      <w:r>
        <w:rPr>
          <w:color w:val="0070C0"/>
          <w:szCs w:val="24"/>
        </w:rPr>
        <w:t xml:space="preserve"> </w:t>
      </w:r>
      <w:hyperlink r:id="rId112" w:history="1">
        <w:r>
          <w:rPr>
            <w:rStyle w:val="Hyperlink"/>
            <w:color w:val="0070C0"/>
            <w:szCs w:val="24"/>
          </w:rPr>
          <w:t>Technical Annex</w:t>
        </w:r>
      </w:hyperlink>
      <w:r>
        <w:rPr>
          <w:color w:val="auto"/>
          <w:szCs w:val="24"/>
        </w:rPr>
        <w:t xml:space="preserve"> in paragraph 53A states that</w:t>
      </w:r>
      <w:r w:rsidR="00E931A9">
        <w:rPr>
          <w:color w:val="auto"/>
          <w:szCs w:val="24"/>
        </w:rPr>
        <w:t>:</w:t>
      </w:r>
    </w:p>
    <w:p w14:paraId="338CA2E2" w14:textId="77777777" w:rsidR="00026E66" w:rsidRDefault="002737EF" w:rsidP="00FF0098">
      <w:pPr>
        <w:tabs>
          <w:tab w:val="left" w:pos="0"/>
        </w:tabs>
        <w:spacing w:after="0" w:line="247" w:lineRule="auto"/>
        <w:ind w:right="160"/>
        <w:rPr>
          <w:color w:val="auto"/>
          <w:szCs w:val="24"/>
        </w:rPr>
      </w:pPr>
      <w:r>
        <w:rPr>
          <w:color w:val="auto"/>
          <w:szCs w:val="24"/>
        </w:rPr>
        <w:t xml:space="preserve">When an Operator made a notification that there had been a change in operations of a facility as a direct result of COVID-19, which materially affected target period 4 </w:t>
      </w:r>
      <w:r>
        <w:rPr>
          <w:color w:val="auto"/>
          <w:szCs w:val="24"/>
        </w:rPr>
        <w:lastRenderedPageBreak/>
        <w:t xml:space="preserve">performance, the Administrator may have adjusted the target period 4 target. Adjustments were only made where the calculated additional buyout (net of surplus) was valued at over £1,000 or, if under £1,000, where this was greater than 10% of the annual Climate Change Levy discount received for that target unit. The Operator must have reported data for the full target period 4 period; however, the target would have been adjusted to provide a final outcome in terms of buyout equivalent to performance for 2019 only. The Operator was required to provide the Administrator with separate 2019 and 2020 monthly production and energy data in order for this adjustment to be made. </w:t>
      </w:r>
    </w:p>
    <w:p w14:paraId="11EEC38A" w14:textId="77777777" w:rsidR="00026E66" w:rsidRDefault="002737EF" w:rsidP="00FF0098">
      <w:pPr>
        <w:tabs>
          <w:tab w:val="left" w:pos="0"/>
        </w:tabs>
        <w:ind w:right="182"/>
      </w:pPr>
      <w:r>
        <w:rPr>
          <w:color w:val="auto"/>
          <w:szCs w:val="24"/>
        </w:rPr>
        <w:t>Paragraphs</w:t>
      </w:r>
      <w:r>
        <w:rPr>
          <w:color w:val="auto"/>
        </w:rPr>
        <w:t xml:space="preserve"> 50</w:t>
      </w:r>
      <w:r>
        <w:rPr>
          <w:color w:val="auto"/>
          <w:szCs w:val="24"/>
        </w:rPr>
        <w:t xml:space="preserve"> to 51A</w:t>
      </w:r>
      <w:r>
        <w:rPr>
          <w:color w:val="auto"/>
        </w:rPr>
        <w:t xml:space="preserve"> in the </w:t>
      </w:r>
      <w:hyperlink r:id="rId113" w:history="1">
        <w:r>
          <w:rPr>
            <w:rStyle w:val="Hyperlink"/>
            <w:color w:val="0070C0"/>
          </w:rPr>
          <w:t>Technical Annex</w:t>
        </w:r>
      </w:hyperlink>
      <w:r>
        <w:rPr>
          <w:color w:val="auto"/>
        </w:rPr>
        <w:t xml:space="preserve"> </w:t>
      </w:r>
      <w:r>
        <w:rPr>
          <w:color w:val="auto"/>
          <w:szCs w:val="24"/>
        </w:rPr>
        <w:t>states</w:t>
      </w:r>
      <w:r>
        <w:rPr>
          <w:color w:val="auto"/>
        </w:rPr>
        <w:t xml:space="preserve">: </w:t>
      </w:r>
    </w:p>
    <w:p w14:paraId="0FD05157" w14:textId="2AE0E8AA" w:rsidR="00026E66" w:rsidRDefault="002737EF" w:rsidP="00FF0098">
      <w:pPr>
        <w:tabs>
          <w:tab w:val="left" w:pos="0"/>
        </w:tabs>
        <w:spacing w:after="151" w:line="247" w:lineRule="auto"/>
        <w:ind w:right="160"/>
        <w:rPr>
          <w:color w:val="auto"/>
        </w:rPr>
      </w:pPr>
      <w:r>
        <w:rPr>
          <w:color w:val="auto"/>
        </w:rPr>
        <w:t>An Operator must notify the Administrator on or before 3</w:t>
      </w:r>
      <w:r w:rsidR="004B7AA4">
        <w:rPr>
          <w:color w:val="auto"/>
        </w:rPr>
        <w:t xml:space="preserve">1 </w:t>
      </w:r>
      <w:r>
        <w:rPr>
          <w:color w:val="auto"/>
        </w:rPr>
        <w:t xml:space="preserve">January in the year following the end of a target period if the following circumstances have occurred: </w:t>
      </w:r>
    </w:p>
    <w:p w14:paraId="45CD1FAB" w14:textId="77777777" w:rsidR="00026E66" w:rsidRDefault="002737EF" w:rsidP="0065356B">
      <w:pPr>
        <w:pStyle w:val="ListParagraph"/>
        <w:numPr>
          <w:ilvl w:val="0"/>
          <w:numId w:val="77"/>
        </w:numPr>
        <w:tabs>
          <w:tab w:val="left" w:pos="0"/>
        </w:tabs>
        <w:spacing w:after="69" w:line="247" w:lineRule="auto"/>
        <w:ind w:right="160"/>
      </w:pPr>
      <w:r>
        <w:t xml:space="preserve">In respect of a target unit which has an absolute target if the throughput in the target period was less than 90% of 2 times the throughput in the base year. </w:t>
      </w:r>
    </w:p>
    <w:p w14:paraId="6944AB46" w14:textId="75EF91DF" w:rsidR="00026E66" w:rsidRDefault="002737EF" w:rsidP="0065356B">
      <w:pPr>
        <w:pStyle w:val="ListParagraph"/>
        <w:numPr>
          <w:ilvl w:val="0"/>
          <w:numId w:val="77"/>
        </w:numPr>
        <w:tabs>
          <w:tab w:val="left" w:pos="0"/>
        </w:tabs>
        <w:spacing w:after="151" w:line="247" w:lineRule="auto"/>
        <w:ind w:right="160"/>
      </w:pPr>
      <w:r>
        <w:t>If there has been an unexpected disruption in the supply of energy to the target facility or an unexpected failure in on-site electricity generation plant serving the target facility, which causes the target unit to fail to meet its target</w:t>
      </w:r>
      <w:r w:rsidRPr="00A25DF5">
        <w:rPr>
          <w:szCs w:val="24"/>
        </w:rPr>
        <w:t xml:space="preserve">. </w:t>
      </w:r>
      <w:r w:rsidRPr="00A25DF5">
        <w:t>Operators could also make a notification to the Administrator if there had been a change in operations of a facility which had materially affected target period 4 performance as a direct result of measures taken to control COVID-19 during 2020, resulting in an increased level of buyout (net of surplus) than compared to performance had it continued at 2019 levels by 3</w:t>
      </w:r>
      <w:r w:rsidR="004B7AA4">
        <w:t xml:space="preserve">1 </w:t>
      </w:r>
      <w:r w:rsidRPr="00A25DF5">
        <w:t>January 2021</w:t>
      </w:r>
      <w:r w:rsidRPr="00A25DF5">
        <w:rPr>
          <w:rFonts w:eastAsia="Times New Roman"/>
          <w:szCs w:val="24"/>
        </w:rPr>
        <w:t xml:space="preserve">. </w:t>
      </w:r>
    </w:p>
    <w:p w14:paraId="0A6B9990" w14:textId="77777777" w:rsidR="00026E66" w:rsidRDefault="002737EF" w:rsidP="00FF0098">
      <w:pPr>
        <w:tabs>
          <w:tab w:val="left" w:pos="0"/>
        </w:tabs>
        <w:spacing w:after="151" w:line="247" w:lineRule="auto"/>
        <w:ind w:right="160"/>
        <w:rPr>
          <w:color w:val="auto"/>
          <w:szCs w:val="24"/>
        </w:rPr>
      </w:pPr>
      <w:r>
        <w:rPr>
          <w:color w:val="auto"/>
          <w:szCs w:val="24"/>
        </w:rPr>
        <w:t xml:space="preserve">In order to determine that there has been an unexpected disruption in the supply of energy to the target facility or an unexpected failure in on-site dedicated electricity generation, data and other evidence will need to be provided to the Administrator demonstrating the following: </w:t>
      </w:r>
    </w:p>
    <w:p w14:paraId="5CEEE9D3" w14:textId="77777777" w:rsidR="00026E66" w:rsidRPr="00A25DF5" w:rsidRDefault="002737EF" w:rsidP="0065356B">
      <w:pPr>
        <w:pStyle w:val="ListParagraph"/>
        <w:numPr>
          <w:ilvl w:val="0"/>
          <w:numId w:val="78"/>
        </w:numPr>
        <w:tabs>
          <w:tab w:val="left" w:pos="0"/>
        </w:tabs>
        <w:spacing w:after="75" w:line="247" w:lineRule="auto"/>
        <w:ind w:right="160"/>
        <w:rPr>
          <w:szCs w:val="24"/>
        </w:rPr>
      </w:pPr>
      <w:r w:rsidRPr="00A25DF5">
        <w:rPr>
          <w:szCs w:val="24"/>
        </w:rPr>
        <w:t xml:space="preserve">That the supply disruption actually took place and the duration of the disruption. </w:t>
      </w:r>
    </w:p>
    <w:p w14:paraId="46F30273" w14:textId="7D1F6D5B" w:rsidR="00026E66" w:rsidRPr="00A25DF5" w:rsidRDefault="002737EF" w:rsidP="0065356B">
      <w:pPr>
        <w:pStyle w:val="ListParagraph"/>
        <w:numPr>
          <w:ilvl w:val="0"/>
          <w:numId w:val="78"/>
        </w:numPr>
        <w:tabs>
          <w:tab w:val="left" w:pos="0"/>
        </w:tabs>
        <w:spacing w:after="0" w:line="247" w:lineRule="auto"/>
        <w:ind w:right="160"/>
        <w:rPr>
          <w:szCs w:val="24"/>
        </w:rPr>
      </w:pPr>
      <w:r w:rsidRPr="00A25DF5">
        <w:rPr>
          <w:szCs w:val="24"/>
        </w:rPr>
        <w:t>That the supply disruption was unexpected, and that the nature of energy supply contracts is such that the disruption could not have been anticipated. In the case of failure of electricity generation plant serving the target facility, it will be necessary to prove that supplier recommended maintenance procedures and schedules had been followed and that the total period of down time was over and above what would be required for routine maintenance over the target period.</w:t>
      </w:r>
    </w:p>
    <w:p w14:paraId="09BE37D2" w14:textId="39B32B67" w:rsidR="00026E66" w:rsidRPr="00A25DF5" w:rsidRDefault="002737EF" w:rsidP="00FF0098">
      <w:pPr>
        <w:tabs>
          <w:tab w:val="left" w:pos="0"/>
        </w:tabs>
        <w:autoSpaceDE w:val="0"/>
        <w:spacing w:after="0"/>
      </w:pPr>
      <w:r>
        <w:rPr>
          <w:rFonts w:eastAsia="Times New Roman"/>
          <w:color w:val="auto"/>
          <w:szCs w:val="24"/>
        </w:rPr>
        <w:t xml:space="preserve">In order to determine that there had been a material COVID-19 related impact to target period 4 performance, data and other evidence needed to be provided to the Administrator demonstrating the following by 1 March 2021: </w:t>
      </w:r>
    </w:p>
    <w:p w14:paraId="61702DCE" w14:textId="541A1BCE" w:rsidR="00026E66" w:rsidRDefault="002737EF" w:rsidP="0065356B">
      <w:pPr>
        <w:pStyle w:val="ListParagraph"/>
        <w:numPr>
          <w:ilvl w:val="0"/>
          <w:numId w:val="79"/>
        </w:numPr>
      </w:pPr>
      <w:r>
        <w:t xml:space="preserve">The nature of the change in operations, for example facility closure or significant drop in production, and explanation of how this has affected target period 4 performance. This must include any non-COVID-19 related changes. </w:t>
      </w:r>
    </w:p>
    <w:p w14:paraId="6198927C" w14:textId="0AA6CC7E" w:rsidR="00026E66" w:rsidRPr="00A25DF5" w:rsidRDefault="002737EF" w:rsidP="0065356B">
      <w:pPr>
        <w:pStyle w:val="ListParagraph"/>
        <w:numPr>
          <w:ilvl w:val="0"/>
          <w:numId w:val="79"/>
        </w:numPr>
        <w:rPr>
          <w:rFonts w:eastAsia="Arial"/>
          <w:color w:val="000000"/>
        </w:rPr>
      </w:pPr>
      <w:r>
        <w:t xml:space="preserve">Monthly energy and production data for 2019 and 2020 for the facility(s). </w:t>
      </w:r>
    </w:p>
    <w:p w14:paraId="3538907D" w14:textId="77777777" w:rsidR="00026E66" w:rsidRDefault="002737EF" w:rsidP="00FF0098">
      <w:pPr>
        <w:pStyle w:val="Heading4"/>
        <w:tabs>
          <w:tab w:val="left" w:pos="0"/>
        </w:tabs>
        <w:rPr>
          <w:color w:val="auto"/>
        </w:rPr>
      </w:pPr>
      <w:r>
        <w:rPr>
          <w:color w:val="auto"/>
        </w:rPr>
        <w:lastRenderedPageBreak/>
        <w:t xml:space="preserve">10.4.1.1. Throughput falls by more than 10% of twice the base year throughput (absolute targets only) </w:t>
      </w:r>
    </w:p>
    <w:p w14:paraId="560BE566" w14:textId="77777777" w:rsidR="00026E66" w:rsidRDefault="002737EF" w:rsidP="00FF0098">
      <w:pPr>
        <w:tabs>
          <w:tab w:val="left" w:pos="0"/>
        </w:tabs>
      </w:pPr>
      <w:r>
        <w:rPr>
          <w:color w:val="auto"/>
        </w:rPr>
        <w:t xml:space="preserve">Paragraph 52 of the </w:t>
      </w:r>
      <w:hyperlink r:id="rId114" w:history="1">
        <w:r>
          <w:rPr>
            <w:rStyle w:val="Hyperlink"/>
            <w:color w:val="0070C0"/>
          </w:rPr>
          <w:t>Technical Annex</w:t>
        </w:r>
      </w:hyperlink>
      <w:r>
        <w:rPr>
          <w:color w:val="auto"/>
        </w:rPr>
        <w:t xml:space="preserve"> states: </w:t>
      </w:r>
    </w:p>
    <w:p w14:paraId="216C59AA" w14:textId="77777777" w:rsidR="00026E66" w:rsidRDefault="002737EF" w:rsidP="00FF0098">
      <w:pPr>
        <w:tabs>
          <w:tab w:val="left" w:pos="0"/>
        </w:tabs>
      </w:pPr>
      <w:r>
        <w:t>“When an Operator has made a notification that throughput has decreased during a target period by more than 10% from 2 times the throughput in the base year, the Administrator may adjust the previous target using either method 1 or method 2 below.</w:t>
      </w:r>
    </w:p>
    <w:p w14:paraId="54B89FE7" w14:textId="77777777" w:rsidR="00026E66" w:rsidRDefault="002737EF" w:rsidP="00FF0098">
      <w:pPr>
        <w:pStyle w:val="Heading5"/>
        <w:tabs>
          <w:tab w:val="left" w:pos="0"/>
        </w:tabs>
      </w:pPr>
      <w:r>
        <w:t>Method 1</w:t>
      </w:r>
    </w:p>
    <w:p w14:paraId="49DB5641" w14:textId="77777777" w:rsidR="00026E66" w:rsidRDefault="002737EF" w:rsidP="00B739EF">
      <w:pPr>
        <w:tabs>
          <w:tab w:val="left" w:pos="0"/>
        </w:tabs>
      </w:pPr>
      <w:r>
        <w:t xml:space="preserve">Method 1 must be used by the Administrator if the actual target period throughput is less than 90% of 2 times the throughout in the base year and if no additional information is provided. Except as provided below, the target must be adjusted directly in proportion to the reduction in throughput (i.e. by the percentage by which the actual target period throughput is lower than 2 times the base year throughput). </w:t>
      </w:r>
    </w:p>
    <w:p w14:paraId="7E88E6AF" w14:textId="2604A36F" w:rsidR="00026E66" w:rsidRDefault="002737EF" w:rsidP="00B739EF">
      <w:pPr>
        <w:tabs>
          <w:tab w:val="left" w:pos="0"/>
        </w:tabs>
      </w:pPr>
      <w:r>
        <w:t xml:space="preserve">Method 1 provides a taper to be applied in cases where the actual throughput at the target period is between 10% and 20% less than 2 times the base year throughput. The taper adds back some energy (or carbon) to the absolute target in such situations so that there is </w:t>
      </w:r>
      <w:proofErr w:type="gramStart"/>
      <w:r>
        <w:t>not</w:t>
      </w:r>
      <w:r w:rsidR="00FC355D">
        <w:t xml:space="preserve">  </w:t>
      </w:r>
      <w:r>
        <w:t>a</w:t>
      </w:r>
      <w:proofErr w:type="gramEnd"/>
      <w:r>
        <w:t xml:space="preserve"> sudden and precipitous decrease in the value of the absolute target as soon as the actual target period throughput is &gt;10% less than 2 times base year throughput. The full value of the taper is added back to the target if the actual target period throughput is exactly 10% less than 2 times the base year throughout and no taper is added back to the target if the actual target period throughput is 20% or more less than 2 times the base year throughput. The full value of the taper is 10% of the absolute energy target. The value of the taper added back to the absolute target varies linearly between actual target period throughput being 10% and 20% less than 2 times base year throughout.</w:t>
      </w:r>
    </w:p>
    <w:p w14:paraId="6506B711" w14:textId="77777777" w:rsidR="00026E66" w:rsidRDefault="002737EF" w:rsidP="00FF0098">
      <w:pPr>
        <w:pStyle w:val="Heading5"/>
        <w:tabs>
          <w:tab w:val="left" w:pos="0"/>
        </w:tabs>
      </w:pPr>
      <w:r>
        <w:t>Method 2</w:t>
      </w:r>
    </w:p>
    <w:p w14:paraId="4DA9EBCE" w14:textId="77777777" w:rsidR="00026E66" w:rsidRDefault="002737EF" w:rsidP="00B739EF">
      <w:pPr>
        <w:tabs>
          <w:tab w:val="left" w:pos="0"/>
        </w:tabs>
      </w:pPr>
      <w:r>
        <w:t xml:space="preserve">Method 2 must be used by the Administrator where an Operator has provided a statistically valid energy – throughput relationship. </w:t>
      </w:r>
    </w:p>
    <w:p w14:paraId="38EDBD45" w14:textId="37548DA1" w:rsidR="00026E66" w:rsidRPr="00B739EF" w:rsidRDefault="002737EF" w:rsidP="00B739EF">
      <w:pPr>
        <w:tabs>
          <w:tab w:val="left" w:pos="0"/>
        </w:tabs>
        <w:rPr>
          <w:color w:val="auto"/>
        </w:rPr>
      </w:pPr>
      <w:r>
        <w:t xml:space="preserve">To demonstrate a statistically valid energy – throughput relationship, an operator must show that there is a correlation factor with an r-squared value of greater than [0.8] between energy consumed in the target facility and throughput. If the r-squared value is less than [0.8], method 2 must not be used and the Administrator must use the default method 1 calculation to revise the target. The target adjustment takes account of base load energy use and is achieved by reducing the target by a percentage. This percentage is the extent </w:t>
      </w:r>
      <w:proofErr w:type="gramStart"/>
      <w:r>
        <w:t>to</w:t>
      </w:r>
      <w:r w:rsidR="00FC355D">
        <w:t xml:space="preserve"> </w:t>
      </w:r>
      <w:r>
        <w:t xml:space="preserve"> which</w:t>
      </w:r>
      <w:proofErr w:type="gramEnd"/>
      <w:r>
        <w:t xml:space="preserve"> the energy target, for the agreed level of throughput, is less than the energy that would have been consumed in the reference year for that same level of throughput. To determine the latter, the Operator must establish an energy/throughput curve for the reference year.”</w:t>
      </w:r>
    </w:p>
    <w:p w14:paraId="1382DDE1" w14:textId="77777777" w:rsidR="00026E66" w:rsidRDefault="002737EF" w:rsidP="00FF0098">
      <w:pPr>
        <w:tabs>
          <w:tab w:val="left" w:pos="0"/>
        </w:tabs>
      </w:pPr>
      <w:r>
        <w:lastRenderedPageBreak/>
        <w:t xml:space="preserve">A target calculator has been developed to assist with target adjustment </w:t>
      </w:r>
      <w:r>
        <w:rPr>
          <w:color w:val="auto"/>
          <w:szCs w:val="24"/>
        </w:rPr>
        <w:t>as a result</w:t>
      </w:r>
      <w:r>
        <w:t xml:space="preserve"> of a drop in throughput. This workbook is provided in </w:t>
      </w:r>
      <w:hyperlink w:anchor="_Appendix_H:_Workbook" w:history="1">
        <w:r>
          <w:rPr>
            <w:rStyle w:val="Hyperlink"/>
          </w:rPr>
          <w:t>Appendix H</w:t>
        </w:r>
      </w:hyperlink>
      <w:r>
        <w:t xml:space="preserve"> and supports the use of both method 1 and method 2.</w:t>
      </w:r>
    </w:p>
    <w:p w14:paraId="1E86C41A" w14:textId="77777777" w:rsidR="00026E66" w:rsidRDefault="002737EF" w:rsidP="00FF0098">
      <w:pPr>
        <w:pStyle w:val="Heading4"/>
        <w:tabs>
          <w:tab w:val="left" w:pos="0"/>
        </w:tabs>
        <w:rPr>
          <w:color w:val="auto"/>
        </w:rPr>
      </w:pPr>
      <w:r>
        <w:rPr>
          <w:color w:val="auto"/>
        </w:rPr>
        <w:t xml:space="preserve">10.4.1.2. Unexpected disruption to energy supply causing the target unit to fail to meet its target </w:t>
      </w:r>
    </w:p>
    <w:p w14:paraId="331DD83D" w14:textId="77777777" w:rsidR="00026E66" w:rsidRDefault="002737EF" w:rsidP="00FF0098">
      <w:pPr>
        <w:tabs>
          <w:tab w:val="left" w:pos="0"/>
        </w:tabs>
      </w:pPr>
      <w:r>
        <w:rPr>
          <w:color w:val="auto"/>
          <w:szCs w:val="24"/>
        </w:rPr>
        <w:t xml:space="preserve">Paragraph 53 </w:t>
      </w:r>
      <w:r>
        <w:rPr>
          <w:color w:val="auto"/>
        </w:rPr>
        <w:t xml:space="preserve">of </w:t>
      </w:r>
      <w:r>
        <w:rPr>
          <w:color w:val="auto"/>
          <w:szCs w:val="24"/>
        </w:rPr>
        <w:t>the</w:t>
      </w:r>
      <w:r>
        <w:rPr>
          <w:color w:val="auto"/>
        </w:rPr>
        <w:t xml:space="preserve"> </w:t>
      </w:r>
      <w:hyperlink r:id="rId115" w:history="1">
        <w:r>
          <w:rPr>
            <w:rStyle w:val="Hyperlink"/>
            <w:color w:val="0070C0"/>
          </w:rPr>
          <w:t>Technical Annex</w:t>
        </w:r>
      </w:hyperlink>
      <w:r>
        <w:rPr>
          <w:color w:val="auto"/>
        </w:rPr>
        <w:t xml:space="preserve"> states: </w:t>
      </w:r>
    </w:p>
    <w:p w14:paraId="1AFD57E1" w14:textId="77777777" w:rsidR="00026E66" w:rsidRDefault="002737EF" w:rsidP="004C1365">
      <w:pPr>
        <w:tabs>
          <w:tab w:val="left" w:pos="0"/>
        </w:tabs>
        <w:ind w:left="720"/>
      </w:pPr>
      <w:r>
        <w:t>“When an Operator has made a notification that there has been an unexpected disruption in the supply of energy to the site or an unexpected failure in on-site dedicated electricity generation the Administrator may adjust the target to take account of the difference between the quantity and type of primary energy consumption that would normally have been required to support operations for the period of the supply failure and the quantity and type of primary energy consumption that was actually required to support operations during the period of the failure. The difference between the two will be taken as the additional energy (or carbon) incurred by the target facility as a result of the unexpected supply disruption.”</w:t>
      </w:r>
    </w:p>
    <w:p w14:paraId="042123AA" w14:textId="77777777" w:rsidR="00026E66" w:rsidRDefault="002737EF" w:rsidP="00FF0098">
      <w:pPr>
        <w:tabs>
          <w:tab w:val="left" w:pos="0"/>
        </w:tabs>
      </w:pPr>
      <w:r>
        <w:t xml:space="preserve">The operator of the target unit needs to provide the following: </w:t>
      </w:r>
    </w:p>
    <w:p w14:paraId="0661EAD5" w14:textId="77777777" w:rsidR="00026E66" w:rsidRDefault="002737EF" w:rsidP="0065356B">
      <w:pPr>
        <w:pStyle w:val="ListParagraph"/>
        <w:numPr>
          <w:ilvl w:val="0"/>
          <w:numId w:val="80"/>
        </w:numPr>
        <w:tabs>
          <w:tab w:val="left" w:pos="0"/>
        </w:tabs>
      </w:pPr>
      <w:r>
        <w:t>formal, qualitative evidence that the supply of energy was disrupted, or that on-site dedicated electricity generation plant failed</w:t>
      </w:r>
    </w:p>
    <w:p w14:paraId="757A9816" w14:textId="77777777" w:rsidR="00026E66" w:rsidRDefault="002737EF" w:rsidP="0065356B">
      <w:pPr>
        <w:pStyle w:val="ListParagraph"/>
        <w:numPr>
          <w:ilvl w:val="0"/>
          <w:numId w:val="80"/>
        </w:numPr>
        <w:tabs>
          <w:tab w:val="left" w:pos="0"/>
        </w:tabs>
      </w:pPr>
      <w:r>
        <w:t xml:space="preserve">quantitative evidence of the duration of the disruption of supply – for example, a letter from the energy supplier, or an extract from the energy management system </w:t>
      </w:r>
    </w:p>
    <w:p w14:paraId="7B29725C" w14:textId="05620C38" w:rsidR="00026E66" w:rsidRDefault="002737EF" w:rsidP="0065356B">
      <w:pPr>
        <w:pStyle w:val="ListParagraph"/>
        <w:numPr>
          <w:ilvl w:val="0"/>
          <w:numId w:val="80"/>
        </w:numPr>
        <w:tabs>
          <w:tab w:val="left" w:pos="0"/>
        </w:tabs>
      </w:pPr>
      <w:r>
        <w:t>qualitative evidence to demonstrate that the failure could not have been anticipated – for example, evidence that electricity generation plant adhered to the maintenance regime specified by the plant supplier and that the plant was not scheduled for maintenance for a period comparable to the duration of the supply failure. Examples of evidence could include an extract from the maintenance logbook schedules and/or a letter from the energy supplier providing evidence that the site was not on an interruptible energy supply contract.</w:t>
      </w:r>
      <w:r w:rsidR="00FC355D">
        <w:t xml:space="preserve"> </w:t>
      </w:r>
    </w:p>
    <w:p w14:paraId="001522B2" w14:textId="77777777" w:rsidR="00026E66" w:rsidRDefault="002737EF" w:rsidP="0065356B">
      <w:pPr>
        <w:pStyle w:val="ListParagraph"/>
        <w:numPr>
          <w:ilvl w:val="0"/>
          <w:numId w:val="80"/>
        </w:numPr>
        <w:tabs>
          <w:tab w:val="left" w:pos="0"/>
        </w:tabs>
      </w:pPr>
      <w:r>
        <w:t>data to allow an adjusted target to be created for the relevant target period</w:t>
      </w:r>
    </w:p>
    <w:p w14:paraId="45E0B019" w14:textId="77777777" w:rsidR="00026E66" w:rsidRDefault="002737EF" w:rsidP="00FF0098">
      <w:pPr>
        <w:tabs>
          <w:tab w:val="left" w:pos="0"/>
        </w:tabs>
      </w:pPr>
      <w:r>
        <w:t xml:space="preserve">The adjusted target will take account of the difference between the primary energy consumption that would normally have been required to support operations for the period of the supply failure, and the primary energy consumption that was actually required. </w:t>
      </w:r>
    </w:p>
    <w:p w14:paraId="57D09A14" w14:textId="77777777" w:rsidR="00026E66" w:rsidRDefault="002737EF" w:rsidP="00FF0098">
      <w:pPr>
        <w:tabs>
          <w:tab w:val="left" w:pos="0"/>
        </w:tabs>
      </w:pPr>
      <w:r>
        <w:t xml:space="preserve">The difference between the two will be taken as the additional energy (or carbon) incurred by the target facility because of the unexpected supply disruption. </w:t>
      </w:r>
    </w:p>
    <w:p w14:paraId="78B3E76D" w14:textId="77777777" w:rsidR="00026E66" w:rsidRDefault="002737EF" w:rsidP="00FF0098">
      <w:pPr>
        <w:tabs>
          <w:tab w:val="left" w:pos="0"/>
        </w:tabs>
      </w:pPr>
      <w:r>
        <w:lastRenderedPageBreak/>
        <w:t xml:space="preserve">Examples for two different supply disruption scenarios (one with CHP and one without), are provided in </w:t>
      </w:r>
      <w:hyperlink w:anchor="_Appendix_H:_Workbook" w:history="1">
        <w:r>
          <w:rPr>
            <w:rStyle w:val="Hyperlink"/>
            <w:szCs w:val="24"/>
          </w:rPr>
          <w:t>Appendix H</w:t>
        </w:r>
      </w:hyperlink>
      <w:r>
        <w:t>. These examples provide guidance on the data to be collected and calculations undertaken.</w:t>
      </w:r>
    </w:p>
    <w:p w14:paraId="28C22B99" w14:textId="77777777" w:rsidR="00026E66" w:rsidRDefault="002737EF" w:rsidP="00FF0098">
      <w:pPr>
        <w:tabs>
          <w:tab w:val="left" w:pos="0"/>
        </w:tabs>
      </w:pPr>
      <w:r>
        <w:t xml:space="preserve">A target calculator has been developed to provide the adjusted target for all target types. This workbook is provided in </w:t>
      </w:r>
      <w:hyperlink w:anchor="_Appendix_H:_Workbook" w:history="1">
        <w:r>
          <w:rPr>
            <w:rStyle w:val="Hyperlink"/>
          </w:rPr>
          <w:t>Appendix H</w:t>
        </w:r>
      </w:hyperlink>
      <w:r>
        <w:t xml:space="preserve">. </w:t>
      </w:r>
    </w:p>
    <w:p w14:paraId="3C0F4EBF" w14:textId="77777777" w:rsidR="00026E66" w:rsidRDefault="002737EF" w:rsidP="00FF0098">
      <w:pPr>
        <w:tabs>
          <w:tab w:val="left" w:pos="0"/>
        </w:tabs>
      </w:pPr>
      <w:r>
        <w:t xml:space="preserve">Surplus cannot be generated in respect of a target adjustment following our acceptance of a supply disruption notification. This means that if the additional energy consumed because of the supply disruption is greater than the gap between actual energy consumption and target energy consumption, then the target is adjusted to exactly equal the actual performance, thereby preventing the generation of surplus. </w:t>
      </w:r>
    </w:p>
    <w:p w14:paraId="324CB7C6" w14:textId="77777777" w:rsidR="00026E66" w:rsidRDefault="002737EF" w:rsidP="00FF0098">
      <w:pPr>
        <w:tabs>
          <w:tab w:val="left" w:pos="0"/>
        </w:tabs>
      </w:pPr>
      <w:r>
        <w:t>If the supply disruption did not cause the target unit to fail its target no adjustment to the target will be made.</w:t>
      </w:r>
    </w:p>
    <w:p w14:paraId="4432FE39" w14:textId="77777777" w:rsidR="00026E66" w:rsidRDefault="002737EF" w:rsidP="00FF0098">
      <w:pPr>
        <w:tabs>
          <w:tab w:val="left" w:pos="0"/>
        </w:tabs>
      </w:pPr>
      <w:r>
        <w:t>Variations related to the disruption of power supply cannot be submitted through the register until the reporting window opens on 1 January following the end of the target period. However, sectors with target units that are affected by this issue should contact us and begin gathering the required data as soon as possible.</w:t>
      </w:r>
    </w:p>
    <w:p w14:paraId="734F9BA2" w14:textId="77777777" w:rsidR="00026E66" w:rsidRDefault="002737EF" w:rsidP="00FF0098">
      <w:pPr>
        <w:pStyle w:val="Heading3"/>
        <w:tabs>
          <w:tab w:val="left" w:pos="0"/>
        </w:tabs>
      </w:pPr>
      <w:bookmarkStart w:id="273" w:name="_Toc95211881"/>
      <w:r>
        <w:t>10.4.2. Buy-out and surplus mechanisms</w:t>
      </w:r>
      <w:bookmarkEnd w:id="273"/>
      <w:r>
        <w:t xml:space="preserve"> </w:t>
      </w:r>
    </w:p>
    <w:p w14:paraId="50128844" w14:textId="77777777" w:rsidR="00026E66" w:rsidRDefault="002737EF" w:rsidP="00FF0098">
      <w:pPr>
        <w:tabs>
          <w:tab w:val="left" w:pos="0"/>
        </w:tabs>
        <w:spacing w:after="56"/>
        <w:ind w:right="182"/>
        <w:rPr>
          <w:color w:val="auto"/>
        </w:rPr>
      </w:pPr>
      <w:r>
        <w:rPr>
          <w:color w:val="auto"/>
        </w:rPr>
        <w:t xml:space="preserve">The buy-out and surplus mechanisms are designed to manage circumstances where target units under or over-achieve against their targets. </w:t>
      </w:r>
    </w:p>
    <w:p w14:paraId="720280A0" w14:textId="77777777" w:rsidR="00026E66" w:rsidRDefault="002737EF" w:rsidP="00FF0098">
      <w:pPr>
        <w:pStyle w:val="Heading4"/>
        <w:tabs>
          <w:tab w:val="left" w:pos="0"/>
        </w:tabs>
        <w:rPr>
          <w:color w:val="auto"/>
        </w:rPr>
      </w:pPr>
      <w:r>
        <w:rPr>
          <w:color w:val="auto"/>
        </w:rPr>
        <w:t xml:space="preserve">10.4.2.1. Surplus </w:t>
      </w:r>
    </w:p>
    <w:p w14:paraId="650D77DA" w14:textId="77777777" w:rsidR="00026E66" w:rsidRDefault="002737EF" w:rsidP="00FF0098">
      <w:pPr>
        <w:tabs>
          <w:tab w:val="left" w:pos="0"/>
        </w:tabs>
        <w:spacing w:after="0"/>
        <w:ind w:right="182"/>
      </w:pPr>
      <w:r>
        <w:rPr>
          <w:color w:val="auto"/>
          <w:szCs w:val="24"/>
        </w:rPr>
        <w:t>The</w:t>
      </w:r>
      <w:r>
        <w:rPr>
          <w:color w:val="auto"/>
        </w:rPr>
        <w:t xml:space="preserve"> surplus</w:t>
      </w:r>
      <w:r>
        <w:rPr>
          <w:color w:val="auto"/>
          <w:szCs w:val="24"/>
        </w:rPr>
        <w:t xml:space="preserve"> mechanism could be applied in </w:t>
      </w:r>
      <w:r>
        <w:rPr>
          <w:color w:val="auto"/>
        </w:rPr>
        <w:t xml:space="preserve">target period </w:t>
      </w:r>
      <w:r>
        <w:rPr>
          <w:color w:val="auto"/>
          <w:szCs w:val="24"/>
        </w:rPr>
        <w:t>1-4, however,</w:t>
      </w:r>
      <w:r>
        <w:rPr>
          <w:color w:val="auto"/>
        </w:rPr>
        <w:t xml:space="preserve"> in target period 5</w:t>
      </w:r>
      <w:r>
        <w:rPr>
          <w:color w:val="auto"/>
          <w:szCs w:val="24"/>
        </w:rPr>
        <w:t>, the surplus mechanism does</w:t>
      </w:r>
      <w:r>
        <w:rPr>
          <w:color w:val="auto"/>
        </w:rPr>
        <w:t xml:space="preserve"> not </w:t>
      </w:r>
      <w:r>
        <w:rPr>
          <w:color w:val="auto"/>
          <w:szCs w:val="24"/>
        </w:rPr>
        <w:t>apply, and banked surplus may not be used</w:t>
      </w:r>
      <w:r>
        <w:rPr>
          <w:color w:val="auto"/>
        </w:rPr>
        <w:t>.</w:t>
      </w:r>
    </w:p>
    <w:p w14:paraId="50BBDE9B" w14:textId="77777777" w:rsidR="00026E66" w:rsidRDefault="002737EF" w:rsidP="00FF0098">
      <w:pPr>
        <w:pStyle w:val="Heading4"/>
        <w:tabs>
          <w:tab w:val="left" w:pos="0"/>
        </w:tabs>
        <w:rPr>
          <w:color w:val="auto"/>
        </w:rPr>
      </w:pPr>
      <w:bookmarkStart w:id="274" w:name="_10.4.2.2._Buy-out"/>
      <w:bookmarkEnd w:id="274"/>
      <w:r>
        <w:rPr>
          <w:color w:val="auto"/>
        </w:rPr>
        <w:t xml:space="preserve">10.4.2.2. Buy-out </w:t>
      </w:r>
    </w:p>
    <w:p w14:paraId="5257B62D" w14:textId="77777777" w:rsidR="00026E66" w:rsidRDefault="002737EF" w:rsidP="00FF0098">
      <w:pPr>
        <w:tabs>
          <w:tab w:val="left" w:pos="0"/>
        </w:tabs>
      </w:pPr>
      <w:r>
        <w:t xml:space="preserve">The buy-out mechanism is available at the end of the target period </w:t>
      </w:r>
      <w:r>
        <w:rPr>
          <w:color w:val="auto"/>
          <w:szCs w:val="24"/>
        </w:rPr>
        <w:t>to</w:t>
      </w:r>
      <w:r>
        <w:rPr>
          <w:color w:val="auto"/>
        </w:rPr>
        <w:t xml:space="preserve"> any </w:t>
      </w:r>
      <w:r>
        <w:rPr>
          <w:color w:val="auto"/>
          <w:szCs w:val="24"/>
        </w:rPr>
        <w:t>target unit</w:t>
      </w:r>
      <w:r>
        <w:rPr>
          <w:color w:val="auto"/>
        </w:rPr>
        <w:t xml:space="preserve"> </w:t>
      </w:r>
      <w:r>
        <w:t xml:space="preserve">that fails to meet its target. </w:t>
      </w:r>
    </w:p>
    <w:p w14:paraId="09F4BC56" w14:textId="77777777" w:rsidR="00026E66" w:rsidRDefault="002737EF" w:rsidP="00FF0098">
      <w:pPr>
        <w:tabs>
          <w:tab w:val="left" w:pos="0"/>
        </w:tabs>
      </w:pPr>
      <w:r>
        <w:t>The buy-out fees are as follows:</w:t>
      </w:r>
    </w:p>
    <w:p w14:paraId="0CE9D682" w14:textId="77777777" w:rsidR="00026E66" w:rsidRDefault="002737EF" w:rsidP="0065356B">
      <w:pPr>
        <w:pStyle w:val="ListParagraph"/>
        <w:numPr>
          <w:ilvl w:val="0"/>
          <w:numId w:val="81"/>
        </w:numPr>
        <w:tabs>
          <w:tab w:val="left" w:pos="0"/>
        </w:tabs>
      </w:pPr>
      <w:r>
        <w:t>£12 per tCO2e for TP1 and TP2</w:t>
      </w:r>
    </w:p>
    <w:p w14:paraId="01D6F39A" w14:textId="77777777" w:rsidR="00026E66" w:rsidRDefault="002737EF" w:rsidP="0065356B">
      <w:pPr>
        <w:pStyle w:val="ListParagraph"/>
        <w:numPr>
          <w:ilvl w:val="0"/>
          <w:numId w:val="81"/>
        </w:numPr>
        <w:tabs>
          <w:tab w:val="left" w:pos="0"/>
        </w:tabs>
      </w:pPr>
      <w:r>
        <w:t>£14 per tCO2e for TP3 and TP4</w:t>
      </w:r>
    </w:p>
    <w:p w14:paraId="2E4BFB2A" w14:textId="77777777" w:rsidR="00026E66" w:rsidRDefault="002737EF" w:rsidP="0065356B">
      <w:pPr>
        <w:pStyle w:val="ListParagraph"/>
        <w:numPr>
          <w:ilvl w:val="0"/>
          <w:numId w:val="81"/>
        </w:numPr>
        <w:tabs>
          <w:tab w:val="left" w:pos="0"/>
        </w:tabs>
      </w:pPr>
      <w:r>
        <w:t>£18 per tCO2e for TP5</w:t>
      </w:r>
    </w:p>
    <w:p w14:paraId="001564C7" w14:textId="77777777" w:rsidR="00026E66" w:rsidRDefault="002737EF" w:rsidP="004C1365">
      <w:r>
        <w:t xml:space="preserve">Buy out is payable to a consolidated fund administered by Her Majesty's Treasury (HMT). Payment of this fee will enable the facilities in a target unit to continue to be certified in the scheme and continue to receive the CCL discount. The facilities of a target unit whose </w:t>
      </w:r>
      <w:r>
        <w:lastRenderedPageBreak/>
        <w:t xml:space="preserve">operator chooses not to pay the buy-out fee will not be re-certified in the scheme in the new certification period. </w:t>
      </w:r>
    </w:p>
    <w:p w14:paraId="40B24F79" w14:textId="29A2D024" w:rsidR="00026E66" w:rsidRDefault="002737EF" w:rsidP="004C1365">
      <w:pPr>
        <w:rPr>
          <w:color w:val="auto"/>
        </w:rPr>
      </w:pPr>
      <w:r>
        <w:rPr>
          <w:color w:val="auto"/>
        </w:rPr>
        <w:t xml:space="preserve">A buy-out payment could also be due where a reporting error is discovered after the end of the target period and, as a result of this error, the target unit is found to have failed to meet its target for the previous target period(s). The requirement to pay this fee is known as secondary buy-out. In target period 5, the calculation of the buy-out fee does not take account of any surplus previously banked by the target unit on the register. </w:t>
      </w:r>
    </w:p>
    <w:p w14:paraId="139FAFEC" w14:textId="215110E8" w:rsidR="00026E66" w:rsidRDefault="002737EF" w:rsidP="00FF0098">
      <w:pPr>
        <w:tabs>
          <w:tab w:val="left" w:pos="0"/>
        </w:tabs>
        <w:spacing w:after="0"/>
        <w:ind w:right="182"/>
      </w:pPr>
      <w:r>
        <w:rPr>
          <w:color w:val="auto"/>
        </w:rPr>
        <w:t xml:space="preserve">If a buy-out fee is due the </w:t>
      </w:r>
      <w:r>
        <w:rPr>
          <w:color w:val="auto"/>
          <w:szCs w:val="24"/>
        </w:rPr>
        <w:t xml:space="preserve">target unit </w:t>
      </w:r>
      <w:r>
        <w:rPr>
          <w:color w:val="auto"/>
        </w:rPr>
        <w:t xml:space="preserve">operator </w:t>
      </w:r>
      <w:r>
        <w:rPr>
          <w:color w:val="auto"/>
          <w:szCs w:val="24"/>
        </w:rPr>
        <w:t>will be sent</w:t>
      </w:r>
      <w:r>
        <w:rPr>
          <w:color w:val="auto"/>
        </w:rPr>
        <w:t xml:space="preserve"> a Memorandum of Account (</w:t>
      </w:r>
      <w:proofErr w:type="spellStart"/>
      <w:r>
        <w:rPr>
          <w:color w:val="auto"/>
        </w:rPr>
        <w:t>MoA</w:t>
      </w:r>
      <w:proofErr w:type="spellEnd"/>
      <w:r>
        <w:rPr>
          <w:color w:val="auto"/>
          <w:szCs w:val="24"/>
        </w:rPr>
        <w:t>) notice with details of:</w:t>
      </w:r>
      <w:r w:rsidR="00FC355D">
        <w:rPr>
          <w:color w:val="auto"/>
        </w:rPr>
        <w:t xml:space="preserve"> </w:t>
      </w:r>
    </w:p>
    <w:p w14:paraId="702CB7D7" w14:textId="77777777" w:rsidR="00026E66" w:rsidRDefault="002737EF" w:rsidP="0065356B">
      <w:pPr>
        <w:pStyle w:val="ListParagraph"/>
        <w:numPr>
          <w:ilvl w:val="0"/>
          <w:numId w:val="82"/>
        </w:numPr>
        <w:tabs>
          <w:tab w:val="left" w:pos="0"/>
        </w:tabs>
        <w:spacing w:after="73"/>
        <w:ind w:right="182"/>
      </w:pPr>
      <w:r>
        <w:t>the fee to be paid</w:t>
      </w:r>
      <w:r w:rsidRPr="00B739EF">
        <w:rPr>
          <w:szCs w:val="24"/>
        </w:rPr>
        <w:t xml:space="preserve"> (and its calculation) </w:t>
      </w:r>
    </w:p>
    <w:p w14:paraId="7E959B67" w14:textId="77777777" w:rsidR="00026E66" w:rsidRDefault="002737EF" w:rsidP="0065356B">
      <w:pPr>
        <w:pStyle w:val="ListParagraph"/>
        <w:numPr>
          <w:ilvl w:val="0"/>
          <w:numId w:val="82"/>
        </w:numPr>
        <w:tabs>
          <w:tab w:val="left" w:pos="0"/>
        </w:tabs>
        <w:spacing w:after="78"/>
        <w:ind w:right="182"/>
      </w:pPr>
      <w:r>
        <w:t xml:space="preserve">the date by which </w:t>
      </w:r>
      <w:r w:rsidRPr="00B739EF">
        <w:rPr>
          <w:szCs w:val="24"/>
        </w:rPr>
        <w:t>it</w:t>
      </w:r>
      <w:r>
        <w:t xml:space="preserve"> must be </w:t>
      </w:r>
      <w:r w:rsidRPr="00B739EF">
        <w:rPr>
          <w:szCs w:val="24"/>
        </w:rPr>
        <w:t xml:space="preserve">paid (cleared funds </w:t>
      </w:r>
      <w:r>
        <w:t>received</w:t>
      </w:r>
      <w:r w:rsidRPr="00B739EF">
        <w:rPr>
          <w:szCs w:val="24"/>
        </w:rPr>
        <w:t xml:space="preserve">) </w:t>
      </w:r>
    </w:p>
    <w:p w14:paraId="4C77B8A0" w14:textId="77777777" w:rsidR="00026E66" w:rsidRDefault="002737EF" w:rsidP="0065356B">
      <w:pPr>
        <w:pStyle w:val="ListParagraph"/>
        <w:numPr>
          <w:ilvl w:val="0"/>
          <w:numId w:val="82"/>
        </w:numPr>
        <w:tabs>
          <w:tab w:val="left" w:pos="0"/>
        </w:tabs>
        <w:spacing w:after="70"/>
        <w:ind w:right="182"/>
      </w:pPr>
      <w:r>
        <w:t>how to pay the fee</w:t>
      </w:r>
      <w:r w:rsidRPr="00B739EF">
        <w:rPr>
          <w:szCs w:val="24"/>
        </w:rPr>
        <w:t xml:space="preserve"> and </w:t>
      </w:r>
      <w:r>
        <w:t xml:space="preserve">to whom </w:t>
      </w:r>
      <w:r w:rsidRPr="00B739EF">
        <w:rPr>
          <w:szCs w:val="24"/>
        </w:rPr>
        <w:t>(</w:t>
      </w:r>
      <w:r>
        <w:t>including bank account details and a unique payment reference code)</w:t>
      </w:r>
      <w:r w:rsidRPr="00B739EF">
        <w:rPr>
          <w:szCs w:val="24"/>
        </w:rPr>
        <w:t xml:space="preserve"> </w:t>
      </w:r>
    </w:p>
    <w:p w14:paraId="27F2B5DB" w14:textId="77777777" w:rsidR="00026E66" w:rsidRDefault="002737EF" w:rsidP="0065356B">
      <w:pPr>
        <w:pStyle w:val="ListParagraph"/>
        <w:numPr>
          <w:ilvl w:val="0"/>
          <w:numId w:val="82"/>
        </w:numPr>
        <w:tabs>
          <w:tab w:val="left" w:pos="0"/>
        </w:tabs>
        <w:ind w:right="182"/>
      </w:pPr>
      <w:r>
        <w:t xml:space="preserve">the consequences of not paying the fee </w:t>
      </w:r>
    </w:p>
    <w:p w14:paraId="58EA8660" w14:textId="411161D9" w:rsidR="00026E66" w:rsidRDefault="002737EF" w:rsidP="004C1365">
      <w:r>
        <w:t xml:space="preserve">Once funds are cleared into the consolidated fund, the register will be updated, and the target unit recertified and included on the next Reduced Rate Certificate list that is published. If the buy-out fee is not paid by the due date, a notice issued informing operator of intent not to re-certify will be issued to the operator. </w:t>
      </w:r>
    </w:p>
    <w:p w14:paraId="6DF2210E" w14:textId="007BEB4D" w:rsidR="00026E66" w:rsidRPr="00B739EF" w:rsidRDefault="002737EF" w:rsidP="004C1365">
      <w:r>
        <w:t xml:space="preserve">The buy-out fee must be paid (and funds cleared) on or before 1 July following the end of each target period. The clearance of funds is dependent on the banking system and operators must allow sufficient time. Payment must be provided by BACS/CHAPS. </w:t>
      </w:r>
    </w:p>
    <w:p w14:paraId="604497E7" w14:textId="3B779F79" w:rsidR="00026E66" w:rsidRPr="00B739EF" w:rsidRDefault="002737EF" w:rsidP="004C1365">
      <w:r>
        <w:t xml:space="preserve">If the revised target data are provided at any time other than the reporting period leading up to the 1 May, for example, where a reporting error is corrected following an audit, the resulting buy-out fee must be paid within 30 calendar days of the date shown on the </w:t>
      </w:r>
      <w:proofErr w:type="spellStart"/>
      <w:r>
        <w:t>MoA</w:t>
      </w:r>
      <w:proofErr w:type="spellEnd"/>
      <w:r>
        <w:t xml:space="preserve"> notice. </w:t>
      </w:r>
    </w:p>
    <w:p w14:paraId="42846B55" w14:textId="7B872C9D" w:rsidR="00026E66" w:rsidRDefault="002737EF" w:rsidP="00FF0098">
      <w:pPr>
        <w:pStyle w:val="Heading3"/>
        <w:tabs>
          <w:tab w:val="left" w:pos="0"/>
        </w:tabs>
      </w:pPr>
      <w:bookmarkStart w:id="275" w:name="_Toc95211882"/>
      <w:r>
        <w:t>10.4.3.</w:t>
      </w:r>
      <w:r w:rsidR="00FC355D">
        <w:t xml:space="preserve"> </w:t>
      </w:r>
      <w:r>
        <w:t>Recertification</w:t>
      </w:r>
      <w:bookmarkEnd w:id="275"/>
      <w:r>
        <w:t xml:space="preserve"> </w:t>
      </w:r>
    </w:p>
    <w:p w14:paraId="6D1683BA" w14:textId="77777777" w:rsidR="00026E66" w:rsidRDefault="002737EF" w:rsidP="00FF0098">
      <w:pPr>
        <w:pStyle w:val="Heading4"/>
        <w:tabs>
          <w:tab w:val="left" w:pos="0"/>
        </w:tabs>
        <w:rPr>
          <w:color w:val="auto"/>
        </w:rPr>
      </w:pPr>
      <w:r>
        <w:rPr>
          <w:color w:val="auto"/>
        </w:rPr>
        <w:t xml:space="preserve">10.4.3.1. What is recertification? </w:t>
      </w:r>
    </w:p>
    <w:p w14:paraId="13C86D56" w14:textId="77777777" w:rsidR="00026E66" w:rsidRDefault="002737EF" w:rsidP="00FF0098">
      <w:pPr>
        <w:tabs>
          <w:tab w:val="left" w:pos="0"/>
        </w:tabs>
      </w:pPr>
      <w:r>
        <w:t>If the operator of a target unit fails to meet its target and chooses not to pay the buy-out fee by the due date:</w:t>
      </w:r>
    </w:p>
    <w:p w14:paraId="0B172BFA" w14:textId="77777777" w:rsidR="00026E66" w:rsidRDefault="002737EF" w:rsidP="0065356B">
      <w:pPr>
        <w:pStyle w:val="ListParagraph"/>
        <w:numPr>
          <w:ilvl w:val="0"/>
          <w:numId w:val="83"/>
        </w:numPr>
        <w:tabs>
          <w:tab w:val="left" w:pos="0"/>
        </w:tabs>
      </w:pPr>
      <w:r>
        <w:t>we will not recertify the facilities in that target unit for the next certification period</w:t>
      </w:r>
    </w:p>
    <w:p w14:paraId="12FEBDFC" w14:textId="77777777" w:rsidR="00026E66" w:rsidRDefault="002737EF" w:rsidP="0065356B">
      <w:pPr>
        <w:pStyle w:val="ListParagraph"/>
        <w:numPr>
          <w:ilvl w:val="0"/>
          <w:numId w:val="83"/>
        </w:numPr>
        <w:tabs>
          <w:tab w:val="left" w:pos="0"/>
        </w:tabs>
      </w:pPr>
      <w:r>
        <w:t xml:space="preserve">the operator will not be able to claim </w:t>
      </w:r>
      <w:r w:rsidRPr="00B739EF">
        <w:rPr>
          <w:color w:val="000000"/>
        </w:rPr>
        <w:t xml:space="preserve">CCL discount for </w:t>
      </w:r>
      <w:r>
        <w:t>any of</w:t>
      </w:r>
      <w:r w:rsidRPr="00B739EF">
        <w:rPr>
          <w:color w:val="000000"/>
        </w:rPr>
        <w:t xml:space="preserve"> the </w:t>
      </w:r>
      <w:r>
        <w:t>facilities in the target unit from the start of the next certification period</w:t>
      </w:r>
    </w:p>
    <w:p w14:paraId="51CB2DCF" w14:textId="71CF1DC1" w:rsidR="00026E66" w:rsidRDefault="002737EF" w:rsidP="00FF0098">
      <w:pPr>
        <w:tabs>
          <w:tab w:val="left" w:pos="0"/>
        </w:tabs>
      </w:pPr>
      <w:r>
        <w:t xml:space="preserve">Once we have confirmed receipt of the buy-out fee due for a target unit, we will recertify the facilities in the target unit from the date of receipt. The operator will be able to claim </w:t>
      </w:r>
      <w:r>
        <w:lastRenderedPageBreak/>
        <w:t>CCL discount from the date of recertification, not from the beginning of the certification period.</w:t>
      </w:r>
      <w:r w:rsidR="00FC355D">
        <w:t xml:space="preserve"> </w:t>
      </w:r>
      <w:r>
        <w:t xml:space="preserve">The operator will therefore not be able to recover the lost CCL discount retrospectively. </w:t>
      </w:r>
    </w:p>
    <w:p w14:paraId="7AA9400D" w14:textId="77777777" w:rsidR="00026E66" w:rsidRDefault="002737EF" w:rsidP="00B739EF">
      <w:pPr>
        <w:pStyle w:val="Heading5"/>
      </w:pPr>
      <w:r>
        <w:t xml:space="preserve">Example </w:t>
      </w:r>
    </w:p>
    <w:p w14:paraId="4A0B3B77" w14:textId="754FB808" w:rsidR="00026E66" w:rsidRDefault="002737EF" w:rsidP="004C1365">
      <w:r>
        <w:t xml:space="preserve">The operator of a target unit failed to meet its </w:t>
      </w:r>
      <w:r>
        <w:rPr>
          <w:b/>
          <w:bCs/>
        </w:rPr>
        <w:t xml:space="preserve">TP1 </w:t>
      </w:r>
      <w:r>
        <w:rPr>
          <w:b/>
        </w:rPr>
        <w:t>target</w:t>
      </w:r>
      <w:r>
        <w:t xml:space="preserve"> and chose not to pay the buy-out fee required by 1 July 2015.</w:t>
      </w:r>
      <w:r w:rsidR="00FC355D">
        <w:t xml:space="preserve"> </w:t>
      </w:r>
      <w:r>
        <w:t xml:space="preserve">We didn’t recertify the facilities at the start of the </w:t>
      </w:r>
      <w:r>
        <w:rPr>
          <w:b/>
        </w:rPr>
        <w:t>second</w:t>
      </w:r>
      <w:r>
        <w:t xml:space="preserve"> </w:t>
      </w:r>
      <w:r>
        <w:rPr>
          <w:b/>
        </w:rPr>
        <w:t>certification period</w:t>
      </w:r>
      <w:r>
        <w:t xml:space="preserve"> (1 July 2015). This meant the operator was not able to claim the CCL discount for the second certification period (01 July 2015 – 30 June 2017).</w:t>
      </w:r>
      <w:r w:rsidR="00FC355D">
        <w:t xml:space="preserve"> </w:t>
      </w:r>
    </w:p>
    <w:p w14:paraId="2BF5311A" w14:textId="4A12994B" w:rsidR="00026E66" w:rsidRDefault="002737EF" w:rsidP="004C1365">
      <w:r>
        <w:t xml:space="preserve">If the operator of the same target unit met its </w:t>
      </w:r>
      <w:r>
        <w:rPr>
          <w:b/>
          <w:bCs/>
        </w:rPr>
        <w:t xml:space="preserve">TP2 </w:t>
      </w:r>
      <w:r>
        <w:rPr>
          <w:b/>
        </w:rPr>
        <w:t>target</w:t>
      </w:r>
      <w:r>
        <w:t xml:space="preserve"> (or paid the TP2 buy-out fee), we would recertify the facilities from the start of the </w:t>
      </w:r>
      <w:r>
        <w:rPr>
          <w:b/>
        </w:rPr>
        <w:t>third</w:t>
      </w:r>
      <w:r>
        <w:t xml:space="preserve"> </w:t>
      </w:r>
      <w:r>
        <w:rPr>
          <w:b/>
        </w:rPr>
        <w:t>certification period</w:t>
      </w:r>
      <w:r>
        <w:t xml:space="preserve"> (1 July 2017).</w:t>
      </w:r>
      <w:r w:rsidR="00FC355D">
        <w:t xml:space="preserve"> </w:t>
      </w:r>
      <w:r>
        <w:t>The operator would be entitled to claim CCL discount for the whole of the third certification period (01 July 2017 – 30 June 2019).</w:t>
      </w:r>
    </w:p>
    <w:p w14:paraId="7869895C" w14:textId="459216A6" w:rsidR="00026E66" w:rsidRDefault="002737EF" w:rsidP="004C1365">
      <w:r>
        <w:rPr>
          <w:color w:val="auto"/>
          <w:szCs w:val="24"/>
        </w:rPr>
        <w:t xml:space="preserve">If the operator paid the </w:t>
      </w:r>
      <w:r>
        <w:rPr>
          <w:b/>
          <w:bCs/>
          <w:color w:val="auto"/>
          <w:szCs w:val="24"/>
        </w:rPr>
        <w:t>TP1 buy-out fee</w:t>
      </w:r>
      <w:r>
        <w:rPr>
          <w:color w:val="auto"/>
          <w:szCs w:val="24"/>
        </w:rPr>
        <w:t xml:space="preserve"> on 01 September 2015, we would recertify the facilities from 1 September until the end of the </w:t>
      </w:r>
      <w:r>
        <w:rPr>
          <w:b/>
          <w:bCs/>
          <w:color w:val="auto"/>
          <w:szCs w:val="24"/>
        </w:rPr>
        <w:t>second certification</w:t>
      </w:r>
      <w:r>
        <w:rPr>
          <w:color w:val="auto"/>
          <w:szCs w:val="24"/>
        </w:rPr>
        <w:t xml:space="preserve"> </w:t>
      </w:r>
      <w:r>
        <w:rPr>
          <w:b/>
          <w:bCs/>
          <w:color w:val="auto"/>
          <w:szCs w:val="24"/>
        </w:rPr>
        <w:t>period</w:t>
      </w:r>
      <w:r>
        <w:rPr>
          <w:color w:val="auto"/>
          <w:szCs w:val="24"/>
        </w:rPr>
        <w:t>.</w:t>
      </w:r>
      <w:r w:rsidR="00FC355D">
        <w:rPr>
          <w:color w:val="auto"/>
          <w:szCs w:val="24"/>
        </w:rPr>
        <w:t xml:space="preserve"> </w:t>
      </w:r>
      <w:r>
        <w:rPr>
          <w:color w:val="auto"/>
          <w:szCs w:val="24"/>
        </w:rPr>
        <w:t>The operator would be entitled to claim CCL discount for the period 01 September 2015 until 30 June 2017.</w:t>
      </w:r>
      <w:r w:rsidR="00FC355D">
        <w:rPr>
          <w:color w:val="auto"/>
          <w:szCs w:val="24"/>
        </w:rPr>
        <w:t xml:space="preserve"> </w:t>
      </w:r>
      <w:r>
        <w:rPr>
          <w:color w:val="auto"/>
          <w:szCs w:val="24"/>
        </w:rPr>
        <w:t>(It would not be entitled to claim CCL discount for the period 01 July 2015 to 31 August 2015.)</w:t>
      </w:r>
    </w:p>
    <w:p w14:paraId="03C7833D" w14:textId="77777777" w:rsidR="00026E66" w:rsidRDefault="002737EF" w:rsidP="00FF0098">
      <w:pPr>
        <w:pStyle w:val="Heading4"/>
        <w:tabs>
          <w:tab w:val="left" w:pos="0"/>
        </w:tabs>
        <w:rPr>
          <w:color w:val="auto"/>
        </w:rPr>
      </w:pPr>
      <w:r>
        <w:rPr>
          <w:color w:val="auto"/>
        </w:rPr>
        <w:t xml:space="preserve">10.4.3.2. What happens if a facility which has not been recertified is purchased by another operator? </w:t>
      </w:r>
    </w:p>
    <w:p w14:paraId="18027588" w14:textId="77777777" w:rsidR="00026E66" w:rsidRDefault="002737EF" w:rsidP="00FF0098">
      <w:pPr>
        <w:tabs>
          <w:tab w:val="left" w:pos="0"/>
        </w:tabs>
      </w:pPr>
      <w:r>
        <w:t xml:space="preserve">We may only enter into a new underlying agreement covering a facility which has not been recertified with the new operator if we are satisfied that: </w:t>
      </w:r>
    </w:p>
    <w:p w14:paraId="3163A8FD" w14:textId="77777777" w:rsidR="00026E66" w:rsidRDefault="002737EF" w:rsidP="0065356B">
      <w:pPr>
        <w:pStyle w:val="ListParagraph"/>
        <w:numPr>
          <w:ilvl w:val="0"/>
          <w:numId w:val="84"/>
        </w:numPr>
        <w:tabs>
          <w:tab w:val="left" w:pos="0"/>
        </w:tabs>
      </w:pPr>
      <w:r>
        <w:t xml:space="preserve">there are no outstanding penalties or charges which occurred under the previous underlying agreement </w:t>
      </w:r>
    </w:p>
    <w:p w14:paraId="5756CFCB" w14:textId="77777777" w:rsidR="00026E66" w:rsidRDefault="002737EF" w:rsidP="0065356B">
      <w:pPr>
        <w:pStyle w:val="ListParagraph"/>
        <w:numPr>
          <w:ilvl w:val="0"/>
          <w:numId w:val="84"/>
        </w:numPr>
        <w:tabs>
          <w:tab w:val="left" w:pos="0"/>
        </w:tabs>
      </w:pPr>
      <w:r>
        <w:t xml:space="preserve">progress in the immediately preceding certification period towards meeting targets under the previous underlying agreement is, or is likely to be, satisfactory. Progress may be made through paying the buy-out fee. </w:t>
      </w:r>
    </w:p>
    <w:p w14:paraId="386E8F70" w14:textId="77777777" w:rsidR="00026E66" w:rsidRDefault="002737EF" w:rsidP="00FF0098">
      <w:pPr>
        <w:pStyle w:val="Heading4"/>
        <w:tabs>
          <w:tab w:val="left" w:pos="0"/>
        </w:tabs>
        <w:rPr>
          <w:color w:val="auto"/>
        </w:rPr>
      </w:pPr>
      <w:bookmarkStart w:id="276" w:name="_10.4.4._Calculation_of"/>
      <w:bookmarkEnd w:id="276"/>
      <w:r>
        <w:rPr>
          <w:color w:val="auto"/>
        </w:rPr>
        <w:t xml:space="preserve">10.4.4. Calculation of carbon emissions from the target facility </w:t>
      </w:r>
    </w:p>
    <w:p w14:paraId="04819CB9" w14:textId="77777777" w:rsidR="00026E66" w:rsidRDefault="002737EF" w:rsidP="00FF0098">
      <w:pPr>
        <w:tabs>
          <w:tab w:val="left" w:pos="0"/>
        </w:tabs>
        <w:ind w:right="182"/>
      </w:pPr>
      <w:r>
        <w:rPr>
          <w:color w:val="auto"/>
        </w:rPr>
        <w:t xml:space="preserve">Paragraphs 46 </w:t>
      </w:r>
      <w:r>
        <w:rPr>
          <w:color w:val="auto"/>
          <w:szCs w:val="24"/>
        </w:rPr>
        <w:t>to 49 in</w:t>
      </w:r>
      <w:r>
        <w:rPr>
          <w:color w:val="auto"/>
        </w:rPr>
        <w:t xml:space="preserve"> the </w:t>
      </w:r>
      <w:hyperlink r:id="rId116" w:history="1">
        <w:r>
          <w:rPr>
            <w:rStyle w:val="Hyperlink"/>
            <w:color w:val="0070C0"/>
          </w:rPr>
          <w:t>Technical Annex</w:t>
        </w:r>
      </w:hyperlink>
      <w:r>
        <w:rPr>
          <w:color w:val="auto"/>
        </w:rPr>
        <w:t xml:space="preserve"> </w:t>
      </w:r>
      <w:r>
        <w:rPr>
          <w:color w:val="auto"/>
          <w:szCs w:val="24"/>
        </w:rPr>
        <w:t>state that</w:t>
      </w:r>
      <w:r>
        <w:rPr>
          <w:color w:val="auto"/>
        </w:rPr>
        <w:t xml:space="preserve">: </w:t>
      </w:r>
    </w:p>
    <w:p w14:paraId="7B66214C" w14:textId="7A208AE3" w:rsidR="00026E66" w:rsidRDefault="002737EF" w:rsidP="004C1365">
      <w:pPr>
        <w:ind w:left="720"/>
      </w:pPr>
      <w:r>
        <w:t xml:space="preserve">The total number of units of carbon emitted from a target facility during a target period must be calculated by multiplying the units of energy consumed of each fuel used in the target facility during the relevant target period, by the relevant carbon emission factor set out below for that fuel. </w:t>
      </w:r>
      <w:r>
        <w:rPr>
          <w:szCs w:val="24"/>
        </w:rPr>
        <w:t>Carbon emissions (</w:t>
      </w:r>
      <w:proofErr w:type="spellStart"/>
      <w:r>
        <w:rPr>
          <w:szCs w:val="24"/>
        </w:rPr>
        <w:t>kgC</w:t>
      </w:r>
      <w:proofErr w:type="spellEnd"/>
      <w:r>
        <w:rPr>
          <w:szCs w:val="24"/>
        </w:rPr>
        <w:t>) = Fuel (kWh) × Carbon Emission Factor (</w:t>
      </w:r>
      <w:proofErr w:type="spellStart"/>
      <w:r>
        <w:rPr>
          <w:szCs w:val="24"/>
        </w:rPr>
        <w:t>kgC</w:t>
      </w:r>
      <w:proofErr w:type="spellEnd"/>
      <w:r>
        <w:rPr>
          <w:szCs w:val="24"/>
        </w:rPr>
        <w:t xml:space="preserve">/kWh) </w:t>
      </w:r>
    </w:p>
    <w:p w14:paraId="18185460" w14:textId="67B6A9A0" w:rsidR="00026E66" w:rsidRDefault="002737EF" w:rsidP="00B739EF">
      <w:pPr>
        <w:pStyle w:val="Heading4"/>
      </w:pPr>
      <w:r>
        <w:lastRenderedPageBreak/>
        <w:t xml:space="preserve">Table 1 - Primary </w:t>
      </w:r>
      <w:r w:rsidR="00B739EF">
        <w:t>e</w:t>
      </w:r>
      <w:r>
        <w:t xml:space="preserve">nergy </w:t>
      </w:r>
    </w:p>
    <w:tbl>
      <w:tblPr>
        <w:tblStyle w:val="TableGridLight"/>
        <w:tblW w:w="8008" w:type="dxa"/>
        <w:tblLook w:val="0020" w:firstRow="1" w:lastRow="0" w:firstColumn="0" w:lastColumn="0" w:noHBand="0" w:noVBand="0"/>
      </w:tblPr>
      <w:tblGrid>
        <w:gridCol w:w="3498"/>
        <w:gridCol w:w="4510"/>
      </w:tblGrid>
      <w:tr w:rsidR="00026E66" w:rsidRPr="004C1365" w14:paraId="308407E5" w14:textId="77777777" w:rsidTr="004C1365">
        <w:trPr>
          <w:trHeight w:val="20"/>
        </w:trPr>
        <w:tc>
          <w:tcPr>
            <w:tcW w:w="3498" w:type="dxa"/>
          </w:tcPr>
          <w:p w14:paraId="7869B2C6" w14:textId="77777777" w:rsidR="00026E66" w:rsidRPr="004C1365" w:rsidRDefault="002737EF" w:rsidP="004C1365">
            <w:pPr>
              <w:rPr>
                <w:b/>
                <w:bCs/>
              </w:rPr>
            </w:pPr>
            <w:r w:rsidRPr="004C1365">
              <w:rPr>
                <w:b/>
                <w:bCs/>
              </w:rPr>
              <w:t>Fuel type</w:t>
            </w:r>
          </w:p>
        </w:tc>
        <w:tc>
          <w:tcPr>
            <w:tcW w:w="4510" w:type="dxa"/>
          </w:tcPr>
          <w:p w14:paraId="09FC5636" w14:textId="4FDE4C28" w:rsidR="00026E66" w:rsidRPr="004C1365" w:rsidRDefault="002737EF" w:rsidP="004C1365">
            <w:pPr>
              <w:rPr>
                <w:b/>
                <w:bCs/>
              </w:rPr>
            </w:pPr>
            <w:r w:rsidRPr="004C1365">
              <w:rPr>
                <w:b/>
                <w:bCs/>
              </w:rPr>
              <w:t>Carbon Emission Factor (</w:t>
            </w:r>
            <w:proofErr w:type="spellStart"/>
            <w:r w:rsidRPr="004C1365">
              <w:rPr>
                <w:b/>
                <w:bCs/>
              </w:rPr>
              <w:t>kgCe</w:t>
            </w:r>
            <w:proofErr w:type="spellEnd"/>
            <w:r w:rsidRPr="004C1365">
              <w:rPr>
                <w:b/>
                <w:bCs/>
              </w:rPr>
              <w:t>/kWh)</w:t>
            </w:r>
          </w:p>
        </w:tc>
      </w:tr>
      <w:tr w:rsidR="00026E66" w14:paraId="59DF25D3" w14:textId="77777777" w:rsidTr="004C1365">
        <w:trPr>
          <w:trHeight w:val="20"/>
        </w:trPr>
        <w:tc>
          <w:tcPr>
            <w:tcW w:w="3498" w:type="dxa"/>
          </w:tcPr>
          <w:p w14:paraId="542FB175" w14:textId="77777777" w:rsidR="00026E66" w:rsidRDefault="002737EF" w:rsidP="004C1365">
            <w:r>
              <w:t>Grid and Renewable Electricity</w:t>
            </w:r>
          </w:p>
        </w:tc>
        <w:tc>
          <w:tcPr>
            <w:tcW w:w="4510" w:type="dxa"/>
          </w:tcPr>
          <w:p w14:paraId="44B7CA78" w14:textId="77777777" w:rsidR="00026E66" w:rsidRDefault="002737EF" w:rsidP="004C1365">
            <w:r>
              <w:t>0.0546</w:t>
            </w:r>
          </w:p>
        </w:tc>
      </w:tr>
      <w:tr w:rsidR="00026E66" w14:paraId="5847691E" w14:textId="77777777" w:rsidTr="004C1365">
        <w:trPr>
          <w:trHeight w:val="20"/>
        </w:trPr>
        <w:tc>
          <w:tcPr>
            <w:tcW w:w="3498" w:type="dxa"/>
          </w:tcPr>
          <w:p w14:paraId="60BAED63" w14:textId="77777777" w:rsidR="00026E66" w:rsidRDefault="002737EF" w:rsidP="004C1365">
            <w:r>
              <w:t>Gas Oil</w:t>
            </w:r>
          </w:p>
        </w:tc>
        <w:tc>
          <w:tcPr>
            <w:tcW w:w="4510" w:type="dxa"/>
          </w:tcPr>
          <w:p w14:paraId="7E31D1B8" w14:textId="77777777" w:rsidR="00026E66" w:rsidRDefault="002737EF" w:rsidP="004C1365">
            <w:r>
              <w:t>0.0758</w:t>
            </w:r>
          </w:p>
        </w:tc>
      </w:tr>
      <w:tr w:rsidR="00026E66" w14:paraId="028EA7AF" w14:textId="77777777" w:rsidTr="004C1365">
        <w:trPr>
          <w:trHeight w:val="20"/>
        </w:trPr>
        <w:tc>
          <w:tcPr>
            <w:tcW w:w="3498" w:type="dxa"/>
          </w:tcPr>
          <w:p w14:paraId="469885AE" w14:textId="77777777" w:rsidR="00026E66" w:rsidRDefault="002737EF" w:rsidP="004C1365">
            <w:r>
              <w:t>LPG</w:t>
            </w:r>
          </w:p>
        </w:tc>
        <w:tc>
          <w:tcPr>
            <w:tcW w:w="4510" w:type="dxa"/>
          </w:tcPr>
          <w:p w14:paraId="644D3F9F" w14:textId="77777777" w:rsidR="00026E66" w:rsidRDefault="002737EF" w:rsidP="004C1365">
            <w:r>
              <w:t>0.0585</w:t>
            </w:r>
          </w:p>
        </w:tc>
      </w:tr>
      <w:tr w:rsidR="00026E66" w14:paraId="22ACF411" w14:textId="77777777" w:rsidTr="004C1365">
        <w:trPr>
          <w:trHeight w:val="20"/>
        </w:trPr>
        <w:tc>
          <w:tcPr>
            <w:tcW w:w="3498" w:type="dxa"/>
          </w:tcPr>
          <w:p w14:paraId="35C38DC9" w14:textId="77777777" w:rsidR="00026E66" w:rsidRDefault="002737EF" w:rsidP="004C1365">
            <w:r>
              <w:t>Naphtha</w:t>
            </w:r>
          </w:p>
        </w:tc>
        <w:tc>
          <w:tcPr>
            <w:tcW w:w="4510" w:type="dxa"/>
          </w:tcPr>
          <w:p w14:paraId="2A232E1E" w14:textId="77777777" w:rsidR="00026E66" w:rsidRDefault="002737EF" w:rsidP="004C1365">
            <w:r>
              <w:t>0.0646</w:t>
            </w:r>
          </w:p>
        </w:tc>
      </w:tr>
      <w:tr w:rsidR="00026E66" w14:paraId="22B9A51C" w14:textId="77777777" w:rsidTr="004C1365">
        <w:trPr>
          <w:trHeight w:val="20"/>
        </w:trPr>
        <w:tc>
          <w:tcPr>
            <w:tcW w:w="3498" w:type="dxa"/>
          </w:tcPr>
          <w:p w14:paraId="601BE85F" w14:textId="77777777" w:rsidR="00026E66" w:rsidRDefault="002737EF" w:rsidP="004C1365">
            <w:r>
              <w:t>Natural Gas</w:t>
            </w:r>
          </w:p>
        </w:tc>
        <w:tc>
          <w:tcPr>
            <w:tcW w:w="4510" w:type="dxa"/>
          </w:tcPr>
          <w:p w14:paraId="29AE6732" w14:textId="77777777" w:rsidR="00026E66" w:rsidRDefault="002737EF" w:rsidP="004C1365">
            <w:r>
              <w:t>0.0505</w:t>
            </w:r>
          </w:p>
        </w:tc>
      </w:tr>
      <w:tr w:rsidR="00026E66" w14:paraId="4608D1B7" w14:textId="77777777" w:rsidTr="004C1365">
        <w:trPr>
          <w:trHeight w:val="20"/>
        </w:trPr>
        <w:tc>
          <w:tcPr>
            <w:tcW w:w="3498" w:type="dxa"/>
          </w:tcPr>
          <w:p w14:paraId="46FFE2A3" w14:textId="77777777" w:rsidR="00026E66" w:rsidRDefault="002737EF" w:rsidP="004C1365">
            <w:r>
              <w:t>Coal</w:t>
            </w:r>
          </w:p>
        </w:tc>
        <w:tc>
          <w:tcPr>
            <w:tcW w:w="4510" w:type="dxa"/>
          </w:tcPr>
          <w:p w14:paraId="61A65B48" w14:textId="77777777" w:rsidR="00026E66" w:rsidRDefault="002737EF" w:rsidP="004C1365">
            <w:r>
              <w:t>0.0794</w:t>
            </w:r>
          </w:p>
        </w:tc>
      </w:tr>
      <w:tr w:rsidR="00026E66" w14:paraId="449565B7" w14:textId="77777777" w:rsidTr="004C1365">
        <w:trPr>
          <w:trHeight w:val="20"/>
        </w:trPr>
        <w:tc>
          <w:tcPr>
            <w:tcW w:w="3498" w:type="dxa"/>
          </w:tcPr>
          <w:p w14:paraId="5B623D49" w14:textId="77777777" w:rsidR="00026E66" w:rsidRDefault="002737EF" w:rsidP="004C1365">
            <w:r>
              <w:t>Heavy Fuel Oil</w:t>
            </w:r>
          </w:p>
        </w:tc>
        <w:tc>
          <w:tcPr>
            <w:tcW w:w="4510" w:type="dxa"/>
          </w:tcPr>
          <w:p w14:paraId="62D5F142" w14:textId="77777777" w:rsidR="00026E66" w:rsidRDefault="002737EF" w:rsidP="004C1365">
            <w:r>
              <w:t>0.0732</w:t>
            </w:r>
          </w:p>
        </w:tc>
      </w:tr>
      <w:tr w:rsidR="00026E66" w14:paraId="65D27279" w14:textId="77777777" w:rsidTr="004C1365">
        <w:trPr>
          <w:trHeight w:val="20"/>
        </w:trPr>
        <w:tc>
          <w:tcPr>
            <w:tcW w:w="3498" w:type="dxa"/>
          </w:tcPr>
          <w:p w14:paraId="326BF72C" w14:textId="77777777" w:rsidR="00026E66" w:rsidRDefault="002737EF" w:rsidP="004C1365">
            <w:r>
              <w:t>Jet Kerosene</w:t>
            </w:r>
          </w:p>
        </w:tc>
        <w:tc>
          <w:tcPr>
            <w:tcW w:w="4510" w:type="dxa"/>
          </w:tcPr>
          <w:p w14:paraId="72F616B7" w14:textId="77777777" w:rsidR="00026E66" w:rsidRDefault="002737EF" w:rsidP="004C1365">
            <w:r>
              <w:t>0.0676</w:t>
            </w:r>
          </w:p>
        </w:tc>
      </w:tr>
      <w:tr w:rsidR="00026E66" w14:paraId="1E260800" w14:textId="77777777" w:rsidTr="004C1365">
        <w:trPr>
          <w:trHeight w:val="20"/>
        </w:trPr>
        <w:tc>
          <w:tcPr>
            <w:tcW w:w="3498" w:type="dxa"/>
          </w:tcPr>
          <w:p w14:paraId="557E7FDF" w14:textId="77777777" w:rsidR="00026E66" w:rsidRDefault="002737EF" w:rsidP="004C1365">
            <w:r>
              <w:t>Refinery Gas</w:t>
            </w:r>
          </w:p>
        </w:tc>
        <w:tc>
          <w:tcPr>
            <w:tcW w:w="4510" w:type="dxa"/>
          </w:tcPr>
          <w:p w14:paraId="70FC67C6" w14:textId="77777777" w:rsidR="00026E66" w:rsidRDefault="002737EF" w:rsidP="004C1365">
            <w:r>
              <w:t>0.0671</w:t>
            </w:r>
          </w:p>
        </w:tc>
      </w:tr>
      <w:tr w:rsidR="00026E66" w14:paraId="2C136033" w14:textId="77777777" w:rsidTr="004C1365">
        <w:trPr>
          <w:trHeight w:val="20"/>
        </w:trPr>
        <w:tc>
          <w:tcPr>
            <w:tcW w:w="3498" w:type="dxa"/>
          </w:tcPr>
          <w:p w14:paraId="340D9F39" w14:textId="77777777" w:rsidR="00026E66" w:rsidRDefault="002737EF" w:rsidP="004C1365">
            <w:r>
              <w:t xml:space="preserve">Coke </w:t>
            </w:r>
          </w:p>
        </w:tc>
        <w:tc>
          <w:tcPr>
            <w:tcW w:w="4510" w:type="dxa"/>
          </w:tcPr>
          <w:p w14:paraId="09A22288" w14:textId="77777777" w:rsidR="00026E66" w:rsidRDefault="002737EF" w:rsidP="004C1365">
            <w:r>
              <w:t>0.0117</w:t>
            </w:r>
          </w:p>
        </w:tc>
      </w:tr>
      <w:tr w:rsidR="00026E66" w14:paraId="57078E59" w14:textId="77777777" w:rsidTr="004C1365">
        <w:trPr>
          <w:trHeight w:val="20"/>
        </w:trPr>
        <w:tc>
          <w:tcPr>
            <w:tcW w:w="3498" w:type="dxa"/>
          </w:tcPr>
          <w:p w14:paraId="7E5E3F1E" w14:textId="77777777" w:rsidR="00026E66" w:rsidRDefault="002737EF" w:rsidP="004C1365">
            <w:r>
              <w:t>Petrol</w:t>
            </w:r>
          </w:p>
        </w:tc>
        <w:tc>
          <w:tcPr>
            <w:tcW w:w="4510" w:type="dxa"/>
          </w:tcPr>
          <w:p w14:paraId="00A863C1" w14:textId="77777777" w:rsidR="00026E66" w:rsidRDefault="002737EF" w:rsidP="004C1365">
            <w:r>
              <w:t>0.0643</w:t>
            </w:r>
          </w:p>
        </w:tc>
      </w:tr>
      <w:tr w:rsidR="00026E66" w14:paraId="405B7A75" w14:textId="77777777" w:rsidTr="004C1365">
        <w:trPr>
          <w:trHeight w:val="20"/>
        </w:trPr>
        <w:tc>
          <w:tcPr>
            <w:tcW w:w="3498" w:type="dxa"/>
          </w:tcPr>
          <w:p w14:paraId="57ECBEC1" w14:textId="77777777" w:rsidR="00026E66" w:rsidRDefault="002737EF" w:rsidP="004C1365">
            <w:r>
              <w:t>Ethane</w:t>
            </w:r>
          </w:p>
        </w:tc>
        <w:tc>
          <w:tcPr>
            <w:tcW w:w="4510" w:type="dxa"/>
          </w:tcPr>
          <w:p w14:paraId="305ECFED" w14:textId="77777777" w:rsidR="00026E66" w:rsidRDefault="002737EF" w:rsidP="004C1365">
            <w:r>
              <w:t>0.0545</w:t>
            </w:r>
          </w:p>
        </w:tc>
      </w:tr>
      <w:tr w:rsidR="00026E66" w14:paraId="79949374" w14:textId="77777777" w:rsidTr="004C1365">
        <w:trPr>
          <w:trHeight w:val="20"/>
        </w:trPr>
        <w:tc>
          <w:tcPr>
            <w:tcW w:w="3498" w:type="dxa"/>
          </w:tcPr>
          <w:p w14:paraId="1075BFA9" w14:textId="77777777" w:rsidR="00026E66" w:rsidRDefault="002737EF" w:rsidP="004C1365">
            <w:r>
              <w:t>Petroleum Coke</w:t>
            </w:r>
          </w:p>
        </w:tc>
        <w:tc>
          <w:tcPr>
            <w:tcW w:w="4510" w:type="dxa"/>
          </w:tcPr>
          <w:p w14:paraId="1046721E" w14:textId="77777777" w:rsidR="00026E66" w:rsidRDefault="002737EF" w:rsidP="004C1365">
            <w:r>
              <w:t>0.0908</w:t>
            </w:r>
          </w:p>
        </w:tc>
      </w:tr>
    </w:tbl>
    <w:p w14:paraId="53E9CFF0" w14:textId="77777777" w:rsidR="00026E66" w:rsidRDefault="002737EF" w:rsidP="004C1365">
      <w:r>
        <w:rPr>
          <w:rStyle w:val="footnotemark"/>
          <w:color w:val="auto"/>
          <w:vertAlign w:val="baseline"/>
        </w:rPr>
        <w:t xml:space="preserve">With </w:t>
      </w:r>
      <w:r>
        <w:t>the exception of coke and ethane, the figures in table 1 are taken from table 1c of annex 1 of 2012 Guidelines to Defra/DECC's GHG Conversion Factors for Company Reporting. In the case of coke and ethane, the figures are carried over from fuel conversion factors in CCA10 for the old CCA scheme. The figure for electricity is the 5</w:t>
      </w:r>
      <w:r>
        <w:rPr>
          <w:szCs w:val="24"/>
        </w:rPr>
        <w:t>-</w:t>
      </w:r>
      <w:r>
        <w:t>year rolling average for 2010 in table 3c of annex 3 of 2012 Guidelines to Defra/DECC's GHG Conversion Factors for company reporting</w:t>
      </w:r>
      <w:r>
        <w:rPr>
          <w:szCs w:val="24"/>
        </w:rPr>
        <w:t xml:space="preserve">. The figure of 0.0546 </w:t>
      </w:r>
      <w:proofErr w:type="spellStart"/>
      <w:r>
        <w:rPr>
          <w:szCs w:val="24"/>
        </w:rPr>
        <w:t>kgC</w:t>
      </w:r>
      <w:proofErr w:type="spellEnd"/>
      <w:r>
        <w:rPr>
          <w:szCs w:val="24"/>
        </w:rPr>
        <w:t xml:space="preserve">/kWh of electricity is in primary energy terms and 2.6 units of primary energy are assumed to be associated with each unit of consumed electricity. </w:t>
      </w:r>
    </w:p>
    <w:p w14:paraId="4BDAFB56" w14:textId="77777777" w:rsidR="00026E66" w:rsidRDefault="002737EF" w:rsidP="00FF0098">
      <w:pPr>
        <w:pStyle w:val="Heading5"/>
        <w:tabs>
          <w:tab w:val="left" w:pos="0"/>
        </w:tabs>
      </w:pPr>
      <w:r>
        <w:t xml:space="preserve">Process carbon emissions </w:t>
      </w:r>
    </w:p>
    <w:p w14:paraId="2AE8E138" w14:textId="77777777" w:rsidR="00026E66" w:rsidRDefault="002737EF" w:rsidP="004C1365">
      <w:r>
        <w:rPr>
          <w:szCs w:val="24"/>
        </w:rPr>
        <w:t>Carbon</w:t>
      </w:r>
      <w:r>
        <w:t xml:space="preserve"> emissions from industrial processes</w:t>
      </w:r>
      <w:r>
        <w:rPr>
          <w:szCs w:val="24"/>
        </w:rPr>
        <w:t xml:space="preserve"> must not be counted</w:t>
      </w:r>
      <w:r>
        <w:t xml:space="preserve"> as part of a target facility's carbon emissions unless they result from combustion or oxidation of fossil fuels. Process emissions do not include emissions from the combustion of fuel where heat is not recovered and consumed by the target facility, as is the case with flaring. </w:t>
      </w:r>
    </w:p>
    <w:p w14:paraId="4314E60E" w14:textId="77777777" w:rsidR="00026E66" w:rsidRDefault="002737EF" w:rsidP="004C1365">
      <w:r>
        <w:t>Carbon emissions from electrodes must not be counted as part of a target facility's carbon emissions.</w:t>
      </w:r>
      <w:r>
        <w:rPr>
          <w:szCs w:val="24"/>
        </w:rPr>
        <w:t xml:space="preserve"> </w:t>
      </w:r>
    </w:p>
    <w:p w14:paraId="13CA7038" w14:textId="77777777" w:rsidR="00026E66" w:rsidRDefault="002737EF" w:rsidP="00FF0098">
      <w:pPr>
        <w:pStyle w:val="Heading5"/>
        <w:tabs>
          <w:tab w:val="left" w:pos="0"/>
        </w:tabs>
      </w:pPr>
      <w:r>
        <w:t xml:space="preserve">Calculation of throughput from a target facility </w:t>
      </w:r>
    </w:p>
    <w:p w14:paraId="583FD29C" w14:textId="77777777" w:rsidR="00026E66" w:rsidRDefault="002737EF" w:rsidP="004C1365">
      <w:r>
        <w:t>The calculation of a target facility’s throughput for each target period must be agreed with the Administrator and set out in the Underlying Agreement for the target unit.</w:t>
      </w:r>
    </w:p>
    <w:p w14:paraId="237F8257" w14:textId="77777777" w:rsidR="00026E66" w:rsidRDefault="002737EF" w:rsidP="00FF0098">
      <w:pPr>
        <w:pStyle w:val="Heading3"/>
        <w:tabs>
          <w:tab w:val="left" w:pos="0"/>
        </w:tabs>
      </w:pPr>
      <w:bookmarkStart w:id="277" w:name="_Toc95211883"/>
      <w:r>
        <w:lastRenderedPageBreak/>
        <w:t>10.4.5. Calculation of surplus and buy-out for relative target units</w:t>
      </w:r>
      <w:bookmarkEnd w:id="277"/>
      <w:r>
        <w:t xml:space="preserve"> </w:t>
      </w:r>
    </w:p>
    <w:p w14:paraId="6DB80B02" w14:textId="77777777" w:rsidR="00026E66" w:rsidRDefault="002737EF" w:rsidP="00FF0098">
      <w:pPr>
        <w:pStyle w:val="Heading4"/>
        <w:tabs>
          <w:tab w:val="left" w:pos="0"/>
        </w:tabs>
        <w:rPr>
          <w:color w:val="auto"/>
          <w:szCs w:val="24"/>
        </w:rPr>
      </w:pPr>
      <w:r>
        <w:rPr>
          <w:color w:val="auto"/>
          <w:szCs w:val="24"/>
        </w:rPr>
        <w:t>10.4.5.1. Tolerance</w:t>
      </w:r>
    </w:p>
    <w:p w14:paraId="488B4FE6" w14:textId="77777777" w:rsidR="00026E66" w:rsidRDefault="002737EF" w:rsidP="00FF0098">
      <w:pPr>
        <w:tabs>
          <w:tab w:val="left" w:pos="0"/>
        </w:tabs>
      </w:pPr>
      <w:r>
        <w:t xml:space="preserve">The calculations we perform to determine buy-out and surplus for target units with a standard relative target type take account of any tolerance we have allowed on the percentage target. </w:t>
      </w:r>
    </w:p>
    <w:p w14:paraId="23851448" w14:textId="77777777" w:rsidR="00026E66" w:rsidRDefault="002737EF" w:rsidP="00FF0098">
      <w:pPr>
        <w:tabs>
          <w:tab w:val="left" w:pos="0"/>
        </w:tabs>
      </w:pPr>
      <w:r>
        <w:t xml:space="preserve">The tolerance is derived by allowing ± 0.5 energy units and ± 0.5 throughput units at the resolution used for the base year and the target period. </w:t>
      </w:r>
    </w:p>
    <w:p w14:paraId="4367CCF2" w14:textId="77777777" w:rsidR="00026E66" w:rsidRDefault="002737EF" w:rsidP="00FF0098">
      <w:pPr>
        <w:tabs>
          <w:tab w:val="left" w:pos="0"/>
        </w:tabs>
      </w:pPr>
      <w:r>
        <w:t xml:space="preserve">For example, if throughput is measured to 3 decimal places, the throughput tolerance for the base year and target period will be +/- 0.0005 throughput units. </w:t>
      </w:r>
    </w:p>
    <w:p w14:paraId="002E4200" w14:textId="77777777" w:rsidR="00026E66" w:rsidRDefault="002737EF" w:rsidP="00FF0098">
      <w:pPr>
        <w:tabs>
          <w:tab w:val="left" w:pos="0"/>
        </w:tabs>
      </w:pPr>
      <w:r>
        <w:t xml:space="preserve">Considering the scenario where both the energy and throughput are available to zero decimal places, the target at the target period will be met if: </w:t>
      </w:r>
    </w:p>
    <w:p w14:paraId="09A6A490" w14:textId="323CE4F3" w:rsidR="00026E66" w:rsidRDefault="00000000" w:rsidP="00FF0098">
      <w:pPr>
        <w:tabs>
          <w:tab w:val="left" w:pos="0"/>
        </w:tabs>
        <w:jc w:val="center"/>
      </w:pPr>
      <m:oMathPara>
        <m:oMathParaPr>
          <m:jc m:val="center"/>
        </m:oMathParaPr>
        <m:oMath>
          <m:f>
            <m:fPr>
              <m:ctrlPr>
                <w:rPr>
                  <w:rFonts w:ascii="Cambria Math" w:hAnsi="Cambria Math"/>
                </w:rPr>
              </m:ctrlPr>
            </m:fPr>
            <m:num>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N</m:t>
                  </m:r>
                </m:sub>
              </m:sSub>
            </m:num>
            <m:den>
              <m:sSub>
                <m:sSubPr>
                  <m:ctrlPr>
                    <w:rPr>
                      <w:rFonts w:ascii="Cambria Math" w:hAnsi="Cambria Math"/>
                    </w:rPr>
                  </m:ctrlPr>
                </m:sSubPr>
                <m:e>
                  <m:r>
                    <w:rPr>
                      <w:rFonts w:ascii="Cambria Math" w:hAnsi="Cambria Math"/>
                    </w:rPr>
                    <m:t>t</m:t>
                  </m:r>
                </m:e>
                <m:sub>
                  <m:r>
                    <w:rPr>
                      <w:rFonts w:ascii="Cambria Math" w:hAnsi="Cambria Math"/>
                    </w:rPr>
                    <m:t>N</m:t>
                  </m:r>
                </m:sub>
              </m:sSub>
            </m:den>
          </m:f>
          <m:r>
            <w:rPr>
              <w:rFonts w:ascii="Cambria Math" w:hAnsi="Cambria Math"/>
            </w:rPr>
            <m:t>≤</m:t>
          </m:r>
          <m:f>
            <m:fPr>
              <m:ctrlPr>
                <w:rPr>
                  <w:rFonts w:ascii="Cambria Math" w:hAnsi="Cambria Math"/>
                </w:rPr>
              </m:ctrlPr>
            </m:fPr>
            <m:num>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 xml:space="preserve">+1 </m:t>
              </m:r>
            </m:num>
            <m:den>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 xml:space="preserve">-1 </m:t>
              </m:r>
            </m:den>
          </m:f>
          <m:r>
            <w:rPr>
              <w:rFonts w:ascii="Cambria Math" w:hAnsi="Cambria Math"/>
            </w:rPr>
            <m:t xml:space="preserve">×(1-TP%) </m:t>
          </m:r>
        </m:oMath>
      </m:oMathPara>
    </w:p>
    <w:p w14:paraId="5903E262" w14:textId="77777777" w:rsidR="00026E66" w:rsidRDefault="002737EF" w:rsidP="004C1365">
      <w:r>
        <w:t xml:space="preserve">Where: </w:t>
      </w:r>
    </w:p>
    <w:p w14:paraId="0510A90E" w14:textId="77777777" w:rsidR="00026E66" w:rsidRDefault="002737EF" w:rsidP="0065356B">
      <w:pPr>
        <w:pStyle w:val="ListParagraph"/>
        <w:numPr>
          <w:ilvl w:val="0"/>
          <w:numId w:val="6"/>
        </w:numPr>
        <w:tabs>
          <w:tab w:val="left" w:pos="0"/>
        </w:tabs>
        <w:ind w:left="0" w:firstLine="0"/>
      </w:pPr>
      <w:r>
        <w:t>TP% is the improvement target expressed as a percentage</w:t>
      </w:r>
    </w:p>
    <w:p w14:paraId="6B323202" w14:textId="77777777" w:rsidR="00026E66" w:rsidRDefault="002737EF" w:rsidP="0065356B">
      <w:pPr>
        <w:pStyle w:val="ListParagraph"/>
        <w:numPr>
          <w:ilvl w:val="0"/>
          <w:numId w:val="6"/>
        </w:numPr>
        <w:tabs>
          <w:tab w:val="left" w:pos="0"/>
        </w:tabs>
        <w:ind w:left="0" w:firstLine="0"/>
      </w:pPr>
      <w:r>
        <w:rPr>
          <w:rFonts w:ascii="Cambria Math" w:hAnsi="Cambria Math"/>
        </w:rPr>
        <w:t>𝐸𝑛𝑒𝑟𝑔</w:t>
      </w:r>
      <w:proofErr w:type="spellStart"/>
      <w:r>
        <w:rPr>
          <w:rFonts w:ascii="Cambria Math" w:hAnsi="Cambria Math"/>
        </w:rPr>
        <w:t>y</w:t>
      </w:r>
      <w:r>
        <w:rPr>
          <w:i/>
          <w:vertAlign w:val="subscript"/>
        </w:rPr>
        <w:t>N</w:t>
      </w:r>
      <w:proofErr w:type="spellEnd"/>
      <w:r>
        <w:t xml:space="preserve"> and </w:t>
      </w:r>
      <w:r>
        <w:rPr>
          <w:rFonts w:ascii="Cambria Math" w:hAnsi="Cambria Math"/>
        </w:rPr>
        <w:t>𝑡</w:t>
      </w:r>
      <w:r>
        <w:rPr>
          <w:rFonts w:ascii="Cambria Math" w:hAnsi="Cambria Math"/>
          <w:vertAlign w:val="subscript"/>
        </w:rPr>
        <w:t>𝑁</w:t>
      </w:r>
      <w:r>
        <w:t xml:space="preserve"> are the actual energy and throughput in the reporting period </w:t>
      </w:r>
    </w:p>
    <w:p w14:paraId="6EEB4247" w14:textId="027C2CE3" w:rsidR="00026E66" w:rsidRPr="00B739EF" w:rsidRDefault="002737EF" w:rsidP="0065356B">
      <w:pPr>
        <w:pStyle w:val="ListParagraph"/>
        <w:numPr>
          <w:ilvl w:val="0"/>
          <w:numId w:val="6"/>
        </w:numPr>
        <w:tabs>
          <w:tab w:val="left" w:pos="0"/>
        </w:tabs>
        <w:ind w:left="0" w:firstLine="0"/>
      </w:pPr>
      <w:r>
        <w:rPr>
          <w:rFonts w:ascii="Cambria Math" w:hAnsi="Cambria Math"/>
        </w:rPr>
        <w:t>𝐸𝑛𝑒𝑟𝑔𝑦</w:t>
      </w:r>
      <w:r>
        <w:rPr>
          <w:vertAlign w:val="subscript"/>
        </w:rPr>
        <w:t>0</w:t>
      </w:r>
      <w:r>
        <w:t xml:space="preserve"> and </w:t>
      </w:r>
      <w:r>
        <w:rPr>
          <w:rFonts w:ascii="Cambria Math" w:hAnsi="Cambria Math"/>
        </w:rPr>
        <w:t>𝑡</w:t>
      </w:r>
      <w:r>
        <w:rPr>
          <w:vertAlign w:val="subscript"/>
        </w:rPr>
        <w:t>0</w:t>
      </w:r>
      <w:r>
        <w:t xml:space="preserve"> are the energy and the throughput in the base year </w:t>
      </w:r>
    </w:p>
    <w:p w14:paraId="525A94B4" w14:textId="77777777" w:rsidR="00026E66" w:rsidRDefault="002737EF" w:rsidP="00FF0098">
      <w:pPr>
        <w:tabs>
          <w:tab w:val="left" w:pos="0"/>
        </w:tabs>
      </w:pPr>
      <w:r>
        <w:t xml:space="preserve">This calculation assumes a similar magnitude for reported energy and baseline energy and reported throughput and baseline throughput allowing the tolerance to be determined using only the base year data. </w:t>
      </w:r>
    </w:p>
    <w:p w14:paraId="7807A16B" w14:textId="77777777" w:rsidR="00026E66" w:rsidRDefault="002737EF" w:rsidP="00FF0098">
      <w:pPr>
        <w:tabs>
          <w:tab w:val="left" w:pos="0"/>
        </w:tabs>
      </w:pPr>
      <w:r>
        <w:t>The above equation can be reformulated to calculate the percentage tolerance on the target period percentage target, that is TP%, through the equation:</w:t>
      </w:r>
    </w:p>
    <w:p w14:paraId="57C87284" w14:textId="77777777" w:rsidR="00026E66" w:rsidRDefault="002737EF" w:rsidP="00FF0098">
      <w:pPr>
        <w:tabs>
          <w:tab w:val="left" w:pos="0"/>
        </w:tabs>
        <w:jc w:val="center"/>
      </w:pPr>
      <m:oMathPara>
        <m:oMathParaPr>
          <m:jc m:val="center"/>
        </m:oMathParaPr>
        <m:oMath>
          <m:r>
            <w:rPr>
              <w:rFonts w:ascii="Cambria Math" w:hAnsi="Cambria Math"/>
            </w:rPr>
            <m:t>%To</m:t>
          </m:r>
          <m:sSub>
            <m:sSubPr>
              <m:ctrlPr>
                <w:rPr>
                  <w:rFonts w:ascii="Cambria Math" w:hAnsi="Cambria Math"/>
                </w:rPr>
              </m:ctrlPr>
            </m:sSubPr>
            <m:e>
              <m:r>
                <w:rPr>
                  <w:rFonts w:ascii="Cambria Math" w:hAnsi="Cambria Math"/>
                </w:rPr>
                <m:t>l</m:t>
              </m:r>
            </m:e>
            <m:sub>
              <m:r>
                <w:rPr>
                  <w:rFonts w:ascii="Cambria Math" w:hAnsi="Cambria Math"/>
                </w:rPr>
                <m:t>TP</m:t>
              </m:r>
            </m:sub>
          </m:sSub>
          <m:r>
            <w:rPr>
              <w:rFonts w:ascii="Cambria Math" w:hAnsi="Cambria Math"/>
            </w:rPr>
            <m:t>=TP</m:t>
          </m:r>
          <m:sSub>
            <m:sSubPr>
              <m:ctrlPr>
                <w:rPr>
                  <w:rFonts w:ascii="Cambria Math" w:hAnsi="Cambria Math"/>
                </w:rPr>
              </m:ctrlPr>
            </m:sSubPr>
            <m:e>
              <m:r>
                <w:rPr>
                  <w:rFonts w:ascii="Cambria Math" w:hAnsi="Cambria Math"/>
                </w:rPr>
                <m:t>%</m:t>
              </m:r>
            </m:e>
            <m:sub>
              <m:r>
                <w:rPr>
                  <w:rFonts w:ascii="Cambria Math" w:hAnsi="Cambria Math"/>
                </w:rPr>
                <m:t>calculated using SE</m:t>
              </m:r>
              <m:sSub>
                <m:sSubPr>
                  <m:ctrlPr>
                    <w:rPr>
                      <w:rFonts w:ascii="Cambria Math" w:hAnsi="Cambria Math"/>
                    </w:rPr>
                  </m:ctrlPr>
                </m:sSubPr>
                <m:e>
                  <m:sSub>
                    <m:sSubPr>
                      <m:ctrlPr>
                        <w:rPr>
                          <w:rFonts w:ascii="Cambria Math" w:hAnsi="Cambria Math"/>
                        </w:rPr>
                      </m:ctrlPr>
                    </m:sSubPr>
                    <m:e>
                      <m:r>
                        <w:rPr>
                          <w:rFonts w:ascii="Cambria Math" w:hAnsi="Cambria Math"/>
                        </w:rPr>
                        <m:t>C</m:t>
                      </m:r>
                    </m:e>
                    <m:sub>
                      <m:r>
                        <w:rPr>
                          <w:rFonts w:ascii="Cambria Math" w:hAnsi="Cambria Math"/>
                        </w:rPr>
                        <m:t>0</m:t>
                      </m:r>
                    </m:sub>
                  </m:sSub>
                </m:e>
                <m:sub>
                  <m:r>
                    <w:rPr>
                      <w:rFonts w:ascii="Cambria Math" w:hAnsi="Cambria Math"/>
                    </w:rPr>
                    <m:t>tol</m:t>
                  </m:r>
                </m:sub>
              </m:sSub>
            </m:sub>
          </m:sSub>
          <m:r>
            <w:rPr>
              <w:rFonts w:ascii="Cambria Math" w:hAnsi="Cambria Math"/>
            </w:rPr>
            <m:t>-TP</m:t>
          </m:r>
          <m:sSub>
            <m:sSubPr>
              <m:ctrlPr>
                <w:rPr>
                  <w:rFonts w:ascii="Cambria Math" w:hAnsi="Cambria Math"/>
                </w:rPr>
              </m:ctrlPr>
            </m:sSubPr>
            <m:e>
              <m:r>
                <w:rPr>
                  <w:rFonts w:ascii="Cambria Math" w:hAnsi="Cambria Math"/>
                </w:rPr>
                <m:t>%</m:t>
              </m:r>
            </m:e>
            <m:sub>
              <m:r>
                <w:rPr>
                  <w:rFonts w:ascii="Cambria Math" w:hAnsi="Cambria Math"/>
                </w:rPr>
                <m:t>calculated using SE</m:t>
              </m:r>
              <m:sSub>
                <m:sSubPr>
                  <m:ctrlPr>
                    <w:rPr>
                      <w:rFonts w:ascii="Cambria Math" w:hAnsi="Cambria Math"/>
                    </w:rPr>
                  </m:ctrlPr>
                </m:sSubPr>
                <m:e>
                  <m:r>
                    <w:rPr>
                      <w:rFonts w:ascii="Cambria Math" w:hAnsi="Cambria Math"/>
                    </w:rPr>
                    <m:t>C</m:t>
                  </m:r>
                </m:e>
                <m:sub>
                  <m:r>
                    <w:rPr>
                      <w:rFonts w:ascii="Cambria Math" w:hAnsi="Cambria Math"/>
                    </w:rPr>
                    <m:t>0</m:t>
                  </m:r>
                </m:sub>
              </m:sSub>
            </m:sub>
          </m:sSub>
          <m:r>
            <w:rPr>
              <w:rFonts w:ascii="Cambria Math" w:hAnsi="Cambria Math"/>
            </w:rPr>
            <m:t xml:space="preserve">= </m:t>
          </m:r>
          <m:d>
            <m:dPr>
              <m:ctrlPr>
                <w:rPr>
                  <w:rFonts w:ascii="Cambria Math" w:hAnsi="Cambria Math"/>
                </w:rPr>
              </m:ctrlPr>
            </m:dPr>
            <m:e>
              <m:r>
                <w:rPr>
                  <w:rFonts w:ascii="Cambria Math" w:hAnsi="Cambria Math"/>
                </w:rPr>
                <m:t>1-TP%</m:t>
              </m:r>
            </m:e>
          </m:d>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0</m:t>
                      </m:r>
                    </m:sub>
                  </m:sSub>
                </m:num>
                <m:den>
                  <m:r>
                    <w:rPr>
                      <w:rFonts w:ascii="Cambria Math" w:hAnsi="Cambria Math"/>
                    </w:rPr>
                    <m:t>SE</m:t>
                  </m:r>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0</m:t>
                          </m:r>
                        </m:e>
                        <m:sub>
                          <m:r>
                            <w:rPr>
                              <w:rFonts w:ascii="Cambria Math" w:hAnsi="Cambria Math"/>
                            </w:rPr>
                            <m:t>tol</m:t>
                          </m:r>
                        </m:sub>
                      </m:sSub>
                    </m:sub>
                  </m:sSub>
                </m:den>
              </m:f>
            </m:e>
          </m:d>
        </m:oMath>
      </m:oMathPara>
    </w:p>
    <w:p w14:paraId="3FDE1A7A" w14:textId="77777777" w:rsidR="00026E66" w:rsidRDefault="002737EF" w:rsidP="00FF0098">
      <w:pPr>
        <w:tabs>
          <w:tab w:val="left" w:pos="0"/>
        </w:tabs>
      </w:pPr>
      <w:r>
        <w:rPr>
          <w:color w:val="auto"/>
        </w:rPr>
        <w:t xml:space="preserve">Where </w:t>
      </w:r>
      <w:r>
        <w:rPr>
          <w:rFonts w:ascii="Cambria Math" w:hAnsi="Cambria Math"/>
          <w:color w:val="auto"/>
        </w:rPr>
        <w:t>𝑆𝐸𝐶</w:t>
      </w:r>
      <w:r>
        <w:rPr>
          <w:color w:val="auto"/>
          <w:vertAlign w:val="subscript"/>
        </w:rPr>
        <w:t>0</w:t>
      </w:r>
      <w:r>
        <w:rPr>
          <w:rFonts w:ascii="Cambria Math" w:hAnsi="Cambria Math"/>
          <w:color w:val="auto"/>
          <w:vertAlign w:val="subscript"/>
        </w:rPr>
        <w:t>𝑡𝑜𝑙</w:t>
      </w:r>
      <w:r>
        <w:rPr>
          <w:color w:val="auto"/>
        </w:rPr>
        <w:t xml:space="preserve"> is calculated as:</w:t>
      </w:r>
    </w:p>
    <w:p w14:paraId="46AAA312" w14:textId="77777777" w:rsidR="00026E66" w:rsidRDefault="002737EF" w:rsidP="00FF0098">
      <w:pPr>
        <w:tabs>
          <w:tab w:val="left" w:pos="0"/>
        </w:tabs>
        <w:jc w:val="center"/>
      </w:pPr>
      <m:oMathPara>
        <m:oMathParaPr>
          <m:jc m:val="center"/>
        </m:oMathParaPr>
        <m:oMath>
          <m:r>
            <w:rPr>
              <w:rFonts w:ascii="Cambria Math" w:hAnsi="Cambria Math"/>
            </w:rPr>
            <m:t>SE</m:t>
          </m:r>
          <m:sSub>
            <m:sSubPr>
              <m:ctrlPr>
                <w:rPr>
                  <w:rFonts w:ascii="Cambria Math" w:hAnsi="Cambria Math"/>
                </w:rPr>
              </m:ctrlPr>
            </m:sSubPr>
            <m:e>
              <m:sSub>
                <m:sSubPr>
                  <m:ctrlPr>
                    <w:rPr>
                      <w:rFonts w:ascii="Cambria Math" w:hAnsi="Cambria Math"/>
                    </w:rPr>
                  </m:ctrlPr>
                </m:sSubPr>
                <m:e>
                  <m:r>
                    <w:rPr>
                      <w:rFonts w:ascii="Cambria Math" w:hAnsi="Cambria Math"/>
                    </w:rPr>
                    <m:t>C</m:t>
                  </m:r>
                </m:e>
                <m:sub>
                  <m:r>
                    <w:rPr>
                      <w:rFonts w:ascii="Cambria Math" w:hAnsi="Cambria Math"/>
                    </w:rPr>
                    <m:t>0</m:t>
                  </m:r>
                </m:sub>
              </m:sSub>
            </m:e>
            <m:sub>
              <m:r>
                <w:rPr>
                  <w:rFonts w:ascii="Cambria Math" w:hAnsi="Cambria Math"/>
                </w:rPr>
                <m:t>tol</m:t>
              </m:r>
            </m:sub>
          </m:sSub>
          <m:r>
            <w:rPr>
              <w:rFonts w:ascii="Cambria Math" w:hAnsi="Cambria Math"/>
            </w:rPr>
            <m:t>=</m:t>
          </m:r>
          <m:f>
            <m:fPr>
              <m:ctrlPr>
                <w:rPr>
                  <w:rFonts w:ascii="Cambria Math" w:hAnsi="Cambria Math"/>
                </w:rPr>
              </m:ctrlPr>
            </m:fPr>
            <m:num>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0</m:t>
                  </m:r>
                </m:sub>
              </m:sSub>
              <m:r>
                <w:rPr>
                  <w:rFonts w:ascii="Cambria Math" w:hAnsi="Cambria Math"/>
                </w:rPr>
                <m:t>+1 unit of energy at the resolution available</m:t>
              </m:r>
            </m:num>
            <m:den>
              <m:sSub>
                <m:sSubPr>
                  <m:ctrlPr>
                    <w:rPr>
                      <w:rFonts w:ascii="Cambria Math" w:hAnsi="Cambria Math"/>
                    </w:rPr>
                  </m:ctrlPr>
                </m:sSubPr>
                <m:e>
                  <m:r>
                    <w:rPr>
                      <w:rFonts w:ascii="Cambria Math" w:hAnsi="Cambria Math"/>
                    </w:rPr>
                    <m:t>t</m:t>
                  </m:r>
                </m:e>
                <m:sub>
                  <m:r>
                    <w:rPr>
                      <w:rFonts w:ascii="Cambria Math" w:hAnsi="Cambria Math"/>
                    </w:rPr>
                    <m:t>0</m:t>
                  </m:r>
                </m:sub>
              </m:sSub>
              <m:r>
                <w:rPr>
                  <w:rFonts w:ascii="Cambria Math" w:hAnsi="Cambria Math"/>
                </w:rPr>
                <m:t>-1 unit of throughput at the resolution available</m:t>
              </m:r>
            </m:den>
          </m:f>
        </m:oMath>
      </m:oMathPara>
    </w:p>
    <w:p w14:paraId="1B3EC0D5" w14:textId="77777777" w:rsidR="00026E66" w:rsidRDefault="002737EF" w:rsidP="00FF0098">
      <w:pPr>
        <w:tabs>
          <w:tab w:val="left" w:pos="0"/>
        </w:tabs>
      </w:pPr>
      <w:r>
        <w:t>The percentage target tolerance %</w:t>
      </w:r>
      <w:r>
        <w:rPr>
          <w:rFonts w:ascii="Cambria Math" w:hAnsi="Cambria Math"/>
        </w:rPr>
        <w:t>𝑇𝑜𝑙</w:t>
      </w:r>
      <w:r>
        <w:rPr>
          <w:rFonts w:ascii="Cambria Math" w:hAnsi="Cambria Math"/>
          <w:vertAlign w:val="subscript"/>
        </w:rPr>
        <w:t>𝑇𝑃</w:t>
      </w:r>
      <w:r>
        <w:t xml:space="preserve"> is equivalent to a tolerance on the SEC value, that is </w:t>
      </w:r>
      <w:r>
        <w:rPr>
          <w:rFonts w:ascii="Cambria Math" w:hAnsi="Cambria Math"/>
        </w:rPr>
        <w:t>𝑆𝐸𝐶</w:t>
      </w:r>
      <w:r>
        <w:rPr>
          <w:rFonts w:ascii="Cambria Math" w:hAnsi="Cambria Math"/>
          <w:vertAlign w:val="subscript"/>
        </w:rPr>
        <w:t>𝑡𝑜𝑙</w:t>
      </w:r>
      <w:r>
        <w:t>, which is calculated as:</w:t>
      </w:r>
    </w:p>
    <w:p w14:paraId="5178764E" w14:textId="77777777" w:rsidR="00026E66" w:rsidRDefault="002737EF" w:rsidP="00FF0098">
      <w:pPr>
        <w:tabs>
          <w:tab w:val="left" w:pos="0"/>
        </w:tabs>
        <w:jc w:val="center"/>
      </w:pPr>
      <m:oMathPara>
        <m:oMathParaPr>
          <m:jc m:val="center"/>
        </m:oMathParaPr>
        <m:oMath>
          <m:r>
            <w:rPr>
              <w:rFonts w:ascii="Cambria Math" w:hAnsi="Cambria Math"/>
            </w:rPr>
            <w:lastRenderedPageBreak/>
            <m:t>SE</m:t>
          </m:r>
          <m:sSub>
            <m:sSubPr>
              <m:ctrlPr>
                <w:rPr>
                  <w:rFonts w:ascii="Cambria Math" w:hAnsi="Cambria Math"/>
                </w:rPr>
              </m:ctrlPr>
            </m:sSubPr>
            <m:e>
              <m:r>
                <w:rPr>
                  <w:rFonts w:ascii="Cambria Math" w:hAnsi="Cambria Math"/>
                </w:rPr>
                <m:t>C</m:t>
              </m:r>
            </m:e>
            <m:sub>
              <m:r>
                <w:rPr>
                  <w:rFonts w:ascii="Cambria Math" w:hAnsi="Cambria Math"/>
                </w:rPr>
                <m:t>tol</m:t>
              </m:r>
            </m:sub>
          </m:sSub>
          <m:r>
            <w:rPr>
              <w:rFonts w:ascii="Cambria Math" w:hAnsi="Cambria Math"/>
            </w:rPr>
            <m:t>=</m:t>
          </m:r>
          <m:f>
            <m:fPr>
              <m:ctrlPr>
                <w:rPr>
                  <w:rFonts w:ascii="Cambria Math" w:hAnsi="Cambria Math"/>
                </w:rPr>
              </m:ctrlPr>
            </m:fPr>
            <m:num>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0</m:t>
                  </m:r>
                </m:sub>
              </m:sSub>
            </m:num>
            <m:den>
              <m:r>
                <w:rPr>
                  <w:rFonts w:ascii="Cambria Math" w:hAnsi="Cambria Math"/>
                </w:rPr>
                <m:t>1 -</m:t>
              </m:r>
              <m:d>
                <m:dPr>
                  <m:ctrlPr>
                    <w:rPr>
                      <w:rFonts w:ascii="Cambria Math" w:hAnsi="Cambria Math"/>
                    </w:rPr>
                  </m:ctrlPr>
                </m:dPr>
                <m:e>
                  <m:f>
                    <m:fPr>
                      <m:ctrlPr>
                        <w:rPr>
                          <w:rFonts w:ascii="Cambria Math" w:hAnsi="Cambria Math"/>
                        </w:rPr>
                      </m:ctrlPr>
                    </m:fPr>
                    <m:num>
                      <m:r>
                        <w:rPr>
                          <w:rFonts w:ascii="Cambria Math" w:hAnsi="Cambria Math"/>
                        </w:rPr>
                        <m:t>%To</m:t>
                      </m:r>
                      <m:sSub>
                        <m:sSubPr>
                          <m:ctrlPr>
                            <w:rPr>
                              <w:rFonts w:ascii="Cambria Math" w:hAnsi="Cambria Math"/>
                            </w:rPr>
                          </m:ctrlPr>
                        </m:sSubPr>
                        <m:e>
                          <m:r>
                            <w:rPr>
                              <w:rFonts w:ascii="Cambria Math" w:hAnsi="Cambria Math"/>
                            </w:rPr>
                            <m:t>l</m:t>
                          </m:r>
                        </m:e>
                        <m:sub>
                          <m:r>
                            <w:rPr>
                              <w:rFonts w:ascii="Cambria Math" w:hAnsi="Cambria Math"/>
                            </w:rPr>
                            <m:t>TP</m:t>
                          </m:r>
                        </m:sub>
                      </m:sSub>
                    </m:num>
                    <m:den>
                      <m:r>
                        <w:rPr>
                          <w:rFonts w:ascii="Cambria Math" w:hAnsi="Cambria Math"/>
                        </w:rPr>
                        <m:t>1-TP%</m:t>
                      </m:r>
                    </m:den>
                  </m:f>
                </m:e>
              </m:d>
            </m:den>
          </m:f>
          <m:r>
            <w:rPr>
              <w:rFonts w:ascii="Cambria Math" w:hAnsi="Cambria Math"/>
            </w:rPr>
            <m:t xml:space="preserve"> -SE</m:t>
          </m:r>
          <m:sSub>
            <m:sSubPr>
              <m:ctrlPr>
                <w:rPr>
                  <w:rFonts w:ascii="Cambria Math" w:hAnsi="Cambria Math"/>
                </w:rPr>
              </m:ctrlPr>
            </m:sSubPr>
            <m:e>
              <m:r>
                <w:rPr>
                  <w:rFonts w:ascii="Cambria Math" w:hAnsi="Cambria Math"/>
                </w:rPr>
                <m:t>C</m:t>
              </m:r>
            </m:e>
            <m:sub>
              <m:r>
                <w:rPr>
                  <w:rFonts w:ascii="Cambria Math" w:hAnsi="Cambria Math"/>
                </w:rPr>
                <m:t>0</m:t>
              </m:r>
            </m:sub>
          </m:sSub>
        </m:oMath>
      </m:oMathPara>
    </w:p>
    <w:p w14:paraId="155F80C1" w14:textId="77777777" w:rsidR="00026E66" w:rsidRDefault="002737EF" w:rsidP="00FF0098">
      <w:pPr>
        <w:tabs>
          <w:tab w:val="left" w:pos="0"/>
        </w:tabs>
      </w:pPr>
      <w:r>
        <w:t xml:space="preserve">This tolerance is given to the agreed SEC value for the target period, that is, </w:t>
      </w:r>
      <w:r>
        <w:rPr>
          <w:rFonts w:ascii="Cambria Math" w:eastAsia="Cambria Math" w:hAnsi="Cambria Math" w:cs="Cambria Math"/>
        </w:rPr>
        <w:t>𝑆𝐸𝐶</w:t>
      </w:r>
      <w:r>
        <w:rPr>
          <w:rFonts w:ascii="Cambria Math" w:eastAsia="Cambria Math" w:hAnsi="Cambria Math" w:cs="Cambria Math"/>
          <w:vertAlign w:val="subscript"/>
        </w:rPr>
        <w:t>𝑛</w:t>
      </w:r>
      <w:r>
        <w:t>.</w:t>
      </w:r>
    </w:p>
    <w:p w14:paraId="0BDB2D9B" w14:textId="77777777" w:rsidR="00026E66" w:rsidRDefault="002737EF" w:rsidP="00FF0098">
      <w:pPr>
        <w:pStyle w:val="Heading4"/>
        <w:tabs>
          <w:tab w:val="left" w:pos="0"/>
        </w:tabs>
        <w:rPr>
          <w:color w:val="auto"/>
          <w:szCs w:val="24"/>
        </w:rPr>
      </w:pPr>
      <w:r>
        <w:rPr>
          <w:color w:val="auto"/>
          <w:szCs w:val="24"/>
        </w:rPr>
        <w:t xml:space="preserve">10.4.5.2. Buy-out </w:t>
      </w:r>
    </w:p>
    <w:p w14:paraId="72713D57" w14:textId="77777777" w:rsidR="00026E66" w:rsidRDefault="002737EF" w:rsidP="00FF0098">
      <w:pPr>
        <w:tabs>
          <w:tab w:val="left" w:pos="0"/>
        </w:tabs>
        <w:spacing w:after="222"/>
        <w:ind w:right="182"/>
      </w:pPr>
      <w:r>
        <w:rPr>
          <w:color w:val="auto"/>
        </w:rPr>
        <w:t>A buy-out will be determined if:</w:t>
      </w:r>
    </w:p>
    <w:p w14:paraId="7D4B2EFC" w14:textId="77777777" w:rsidR="00026E66" w:rsidRDefault="002737EF" w:rsidP="00FF0098">
      <w:pPr>
        <w:tabs>
          <w:tab w:val="left" w:pos="0"/>
        </w:tabs>
        <w:spacing w:after="222"/>
        <w:ind w:right="182"/>
        <w:jc w:val="center"/>
      </w:pPr>
      <m:oMathPara>
        <m:oMathParaPr>
          <m:jc m:val="center"/>
        </m:oMathParaPr>
        <m:oMath>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&gt;SE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oMath>
      </m:oMathPara>
    </w:p>
    <w:p w14:paraId="48566777" w14:textId="77777777" w:rsidR="00026E66" w:rsidRDefault="002737EF" w:rsidP="00FF0098">
      <w:pPr>
        <w:tabs>
          <w:tab w:val="left" w:pos="0"/>
        </w:tabs>
        <w:ind w:right="182"/>
        <w:rPr>
          <w:color w:val="auto"/>
        </w:rPr>
      </w:pPr>
      <w:r>
        <w:rPr>
          <w:color w:val="auto"/>
        </w:rPr>
        <w:t xml:space="preserve">Where: </w:t>
      </w:r>
    </w:p>
    <w:p w14:paraId="35CC2C0E" w14:textId="77777777" w:rsidR="00026E66" w:rsidRDefault="002737EF" w:rsidP="0065356B">
      <w:pPr>
        <w:pStyle w:val="ListParagraph"/>
        <w:numPr>
          <w:ilvl w:val="0"/>
          <w:numId w:val="7"/>
        </w:numPr>
        <w:tabs>
          <w:tab w:val="left" w:pos="0"/>
        </w:tabs>
        <w:ind w:left="0" w:firstLine="0"/>
      </w:pPr>
      <w:r>
        <w:rPr>
          <w:rFonts w:ascii="Cambria Math" w:hAnsi="Cambria Math"/>
        </w:rPr>
        <w:t>𝑆𝐸𝐶</w:t>
      </w:r>
      <w:r>
        <w:rPr>
          <w:rFonts w:ascii="Cambria Math" w:hAnsi="Cambria Math"/>
          <w:vertAlign w:val="subscript"/>
        </w:rPr>
        <w:t>𝑁</w:t>
      </w:r>
      <w:r>
        <w:t xml:space="preserve"> is the actual SEC in target period determined from reported energy and throughput </w:t>
      </w:r>
    </w:p>
    <w:p w14:paraId="74C2D72B" w14:textId="4EAAC323" w:rsidR="00026E66" w:rsidRDefault="002737EF" w:rsidP="0065356B">
      <w:pPr>
        <w:pStyle w:val="ListParagraph"/>
        <w:numPr>
          <w:ilvl w:val="0"/>
          <w:numId w:val="7"/>
        </w:numPr>
        <w:tabs>
          <w:tab w:val="left" w:pos="0"/>
        </w:tabs>
        <w:ind w:left="0" w:firstLine="0"/>
      </w:pPr>
      <w:r>
        <w:rPr>
          <w:rFonts w:ascii="Cambria Math" w:hAnsi="Cambria Math"/>
        </w:rPr>
        <w:t>𝑆𝐸𝐶</w:t>
      </w:r>
      <w:r>
        <w:rPr>
          <w:rFonts w:ascii="Cambria Math" w:hAnsi="Cambria Math"/>
          <w:vertAlign w:val="subscript"/>
        </w:rPr>
        <w:t>𝑛</w:t>
      </w:r>
      <w:r>
        <w:t xml:space="preserve"> is the agreed target SEC in target period</w:t>
      </w:r>
      <w:r w:rsidR="00FC355D">
        <w:t xml:space="preserve"> </w:t>
      </w:r>
    </w:p>
    <w:p w14:paraId="71C594C3" w14:textId="77777777" w:rsidR="00026E66" w:rsidRDefault="002737EF" w:rsidP="0065356B">
      <w:pPr>
        <w:pStyle w:val="ListParagraph"/>
        <w:numPr>
          <w:ilvl w:val="0"/>
          <w:numId w:val="7"/>
        </w:numPr>
        <w:tabs>
          <w:tab w:val="left" w:pos="0"/>
        </w:tabs>
        <w:ind w:left="0" w:firstLine="0"/>
      </w:pPr>
      <w:r>
        <w:rPr>
          <w:rFonts w:ascii="Cambria Math" w:hAnsi="Cambria Math"/>
        </w:rPr>
        <w:t>𝑆𝐸𝐶</w:t>
      </w:r>
      <w:r>
        <w:rPr>
          <w:rFonts w:ascii="Cambria Math" w:hAnsi="Cambria Math"/>
          <w:vertAlign w:val="subscript"/>
        </w:rPr>
        <w:t>𝑡𝑜𝑙</w:t>
      </w:r>
      <w:r>
        <w:t xml:space="preserve"> is the tolerance on SEC value </w:t>
      </w:r>
    </w:p>
    <w:p w14:paraId="43E8FEB1" w14:textId="77777777" w:rsidR="00026E66" w:rsidRDefault="002737EF" w:rsidP="00FF0098">
      <w:pPr>
        <w:tabs>
          <w:tab w:val="left" w:pos="0"/>
        </w:tabs>
      </w:pPr>
      <w:r>
        <w:t xml:space="preserve">The buy-out in energy terms for the target period N will be: </w:t>
      </w:r>
    </w:p>
    <w:p w14:paraId="5C7F9DE5" w14:textId="77777777" w:rsidR="00026E66" w:rsidRDefault="002737EF" w:rsidP="00FF0098">
      <w:pPr>
        <w:tabs>
          <w:tab w:val="left" w:pos="0"/>
        </w:tabs>
        <w:jc w:val="center"/>
      </w:pPr>
      <m:oMathPara>
        <m:oMathParaPr>
          <m:jc m:val="center"/>
        </m:oMathParaPr>
        <m:oMath>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buyou</m:t>
              </m:r>
              <m:sSub>
                <m:sSubPr>
                  <m:ctrlPr>
                    <w:rPr>
                      <w:rFonts w:ascii="Cambria Math" w:hAnsi="Cambria Math"/>
                    </w:rPr>
                  </m:ctrlPr>
                </m:sSubPr>
                <m:e>
                  <m:r>
                    <w:rPr>
                      <w:rFonts w:ascii="Cambria Math" w:hAnsi="Cambria Math"/>
                    </w:rPr>
                    <m:t>t</m:t>
                  </m:r>
                </m:e>
                <m:sub>
                  <m:r>
                    <w:rPr>
                      <w:rFonts w:ascii="Cambria Math" w:hAnsi="Cambria Math"/>
                    </w:rPr>
                    <m:t>N</m:t>
                  </m:r>
                </m:sub>
              </m:sSub>
            </m:sub>
          </m:sSub>
          <m:r>
            <w:rPr>
              <w:rFonts w:ascii="Cambria Math" w:hAnsi="Cambria Math"/>
            </w:rPr>
            <m:t xml:space="preserve">= </m:t>
          </m:r>
          <m:d>
            <m:dPr>
              <m:ctrlPr>
                <w:rPr>
                  <w:rFonts w:ascii="Cambria Math" w:hAnsi="Cambria Math"/>
                </w:rPr>
              </m:ctrlPr>
            </m:dPr>
            <m:e>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m:t>
              </m:r>
              <m:d>
                <m:dPr>
                  <m:ctrlPr>
                    <w:rPr>
                      <w:rFonts w:ascii="Cambria Math" w:hAnsi="Cambria Math"/>
                    </w:rPr>
                  </m:ctrlPr>
                </m:dPr>
                <m:e>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e>
              </m:d>
            </m:e>
          </m:d>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N</m:t>
              </m:r>
            </m:sub>
          </m:sSub>
        </m:oMath>
      </m:oMathPara>
    </w:p>
    <w:p w14:paraId="26D952FA" w14:textId="77777777" w:rsidR="00026E66" w:rsidRDefault="002737EF" w:rsidP="00FF0098">
      <w:pPr>
        <w:tabs>
          <w:tab w:val="left" w:pos="0"/>
        </w:tabs>
      </w:pPr>
      <w:r>
        <w:t xml:space="preserve">Where </w:t>
      </w:r>
      <w:r>
        <w:rPr>
          <w:rFonts w:ascii="Cambria Math" w:hAnsi="Cambria Math"/>
        </w:rPr>
        <w:t>𝑡</w:t>
      </w:r>
      <w:r>
        <w:rPr>
          <w:rFonts w:ascii="Cambria Math" w:hAnsi="Cambria Math"/>
          <w:vertAlign w:val="subscript"/>
        </w:rPr>
        <w:t>𝑁</w:t>
      </w:r>
      <w:r>
        <w:t xml:space="preserve"> is the reported throughput in the target period N.</w:t>
      </w:r>
    </w:p>
    <w:p w14:paraId="7A51132A" w14:textId="77777777" w:rsidR="00026E66" w:rsidRDefault="002737EF" w:rsidP="00FF0098">
      <w:pPr>
        <w:tabs>
          <w:tab w:val="left" w:pos="0"/>
        </w:tabs>
      </w:pPr>
      <w:r>
        <w:t>The buyout in CO</w:t>
      </w:r>
      <w:r>
        <w:rPr>
          <w:vertAlign w:val="subscript"/>
        </w:rPr>
        <w:t>2</w:t>
      </w:r>
      <w:r>
        <w:t xml:space="preserve">e terms for the target period N will be: </w:t>
      </w:r>
    </w:p>
    <w:p w14:paraId="13592401" w14:textId="77777777" w:rsidR="00026E66" w:rsidRDefault="002737EF" w:rsidP="00FF0098">
      <w:pPr>
        <w:tabs>
          <w:tab w:val="left" w:pos="0"/>
        </w:tabs>
        <w:jc w:val="center"/>
      </w:pPr>
      <m:oMathPara>
        <m:oMathParaPr>
          <m:jc m:val="center"/>
        </m:oMathParaPr>
        <m:oMath>
          <m:r>
            <w:rPr>
              <w:rFonts w:ascii="Cambria Math" w:hAnsi="Cambria Math"/>
            </w:rPr>
            <m:t>CO2</m:t>
          </m:r>
          <m:sSub>
            <m:sSubPr>
              <m:ctrlPr>
                <w:rPr>
                  <w:rFonts w:ascii="Cambria Math" w:hAnsi="Cambria Math"/>
                </w:rPr>
              </m:ctrlPr>
            </m:sSubPr>
            <m:e>
              <m:r>
                <w:rPr>
                  <w:rFonts w:ascii="Cambria Math" w:hAnsi="Cambria Math"/>
                </w:rPr>
                <m:t>e</m:t>
              </m:r>
            </m:e>
            <m:sub>
              <m:r>
                <w:rPr>
                  <w:rFonts w:ascii="Cambria Math" w:hAnsi="Cambria Math"/>
                </w:rPr>
                <m:t>Buyou</m:t>
              </m:r>
              <m:sSub>
                <m:sSubPr>
                  <m:ctrlPr>
                    <w:rPr>
                      <w:rFonts w:ascii="Cambria Math" w:hAnsi="Cambria Math"/>
                    </w:rPr>
                  </m:ctrlPr>
                </m:sSubPr>
                <m:e>
                  <m:r>
                    <w:rPr>
                      <w:rFonts w:ascii="Cambria Math" w:hAnsi="Cambria Math"/>
                    </w:rPr>
                    <m:t>t</m:t>
                  </m:r>
                </m:e>
                <m:sub>
                  <m:r>
                    <w:rPr>
                      <w:rFonts w:ascii="Cambria Math" w:hAnsi="Cambria Math"/>
                    </w:rPr>
                    <m:t>N</m:t>
                  </m:r>
                </m:sub>
              </m:sSub>
            </m:sub>
          </m:sSub>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buyou</m:t>
              </m:r>
              <m:sSub>
                <m:sSubPr>
                  <m:ctrlPr>
                    <w:rPr>
                      <w:rFonts w:ascii="Cambria Math" w:hAnsi="Cambria Math"/>
                    </w:rPr>
                  </m:ctrlPr>
                </m:sSubPr>
                <m:e>
                  <m:r>
                    <w:rPr>
                      <w:rFonts w:ascii="Cambria Math" w:hAnsi="Cambria Math"/>
                    </w:rPr>
                    <m:t>t</m:t>
                  </m:r>
                </m:e>
                <m:sub>
                  <m:r>
                    <w:rPr>
                      <w:rFonts w:ascii="Cambria Math" w:hAnsi="Cambria Math"/>
                    </w:rPr>
                    <m:t>N</m:t>
                  </m:r>
                </m:sub>
              </m:sSub>
            </m:sub>
          </m:sSub>
          <m:r>
            <w:rPr>
              <w:rFonts w:ascii="Cambria Math" w:hAnsi="Cambria Math"/>
            </w:rPr>
            <m:t>×TP Carbon to Energy factor×</m:t>
          </m:r>
          <m:f>
            <m:fPr>
              <m:ctrlPr>
                <w:rPr>
                  <w:rFonts w:ascii="Cambria Math" w:hAnsi="Cambria Math"/>
                </w:rPr>
              </m:ctrlPr>
            </m:fPr>
            <m:num>
              <m:r>
                <w:rPr>
                  <w:rFonts w:ascii="Cambria Math" w:hAnsi="Cambria Math"/>
                </w:rPr>
                <m:t>44</m:t>
              </m:r>
            </m:num>
            <m:den>
              <m:r>
                <w:rPr>
                  <w:rFonts w:ascii="Cambria Math" w:hAnsi="Cambria Math"/>
                </w:rPr>
                <m:t>12</m:t>
              </m:r>
            </m:den>
          </m:f>
        </m:oMath>
      </m:oMathPara>
    </w:p>
    <w:p w14:paraId="5DC6E3A6" w14:textId="77777777" w:rsidR="00026E66" w:rsidRDefault="002737EF" w:rsidP="00FF0098">
      <w:pPr>
        <w:tabs>
          <w:tab w:val="left" w:pos="0"/>
        </w:tabs>
      </w:pPr>
      <w:r>
        <w:t>This will be rounded up to the nearest tonne CO</w:t>
      </w:r>
      <w:r>
        <w:rPr>
          <w:vertAlign w:val="subscript"/>
        </w:rPr>
        <w:t>2</w:t>
      </w:r>
      <w:r>
        <w:t>e (that is. the highest whole tonne) and so a buy-out of at least one tonne of CO</w:t>
      </w:r>
      <w:r>
        <w:rPr>
          <w:vertAlign w:val="subscript"/>
        </w:rPr>
        <w:t>2</w:t>
      </w:r>
      <w:r>
        <w:t xml:space="preserve">e will be incurred if: </w:t>
      </w:r>
    </w:p>
    <w:p w14:paraId="3218345E" w14:textId="77777777" w:rsidR="00026E66" w:rsidRDefault="002737EF" w:rsidP="00FF0098">
      <w:pPr>
        <w:tabs>
          <w:tab w:val="left" w:pos="0"/>
        </w:tabs>
        <w:jc w:val="center"/>
      </w:pPr>
      <m:oMathPara>
        <m:oMathParaPr>
          <m:jc m:val="center"/>
        </m:oMathParaPr>
        <m:oMath>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&gt;SE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oMath>
      </m:oMathPara>
    </w:p>
    <w:p w14:paraId="659DC48D" w14:textId="77777777" w:rsidR="00026E66" w:rsidRDefault="002737EF" w:rsidP="00FF0098">
      <w:pPr>
        <w:pStyle w:val="Heading4"/>
        <w:tabs>
          <w:tab w:val="left" w:pos="0"/>
        </w:tabs>
        <w:rPr>
          <w:color w:val="auto"/>
          <w:szCs w:val="24"/>
        </w:rPr>
      </w:pPr>
      <w:r>
        <w:rPr>
          <w:color w:val="auto"/>
          <w:szCs w:val="24"/>
        </w:rPr>
        <w:t xml:space="preserve">10.4.5.3. Example calculation </w:t>
      </w:r>
    </w:p>
    <w:p w14:paraId="708A3D38" w14:textId="77777777" w:rsidR="00026E66" w:rsidRDefault="002737EF" w:rsidP="00FF0098">
      <w:pPr>
        <w:tabs>
          <w:tab w:val="left" w:pos="0"/>
        </w:tabs>
      </w:pPr>
      <w:r>
        <w:t xml:space="preserve">A target unit has the following baseline/TP parameters: </w:t>
      </w:r>
    </w:p>
    <w:p w14:paraId="025B920C" w14:textId="77777777" w:rsidR="00026E66" w:rsidRDefault="002737EF" w:rsidP="0065356B">
      <w:pPr>
        <w:pStyle w:val="ListParagraph"/>
        <w:numPr>
          <w:ilvl w:val="0"/>
          <w:numId w:val="85"/>
        </w:numPr>
        <w:tabs>
          <w:tab w:val="left" w:pos="0"/>
        </w:tabs>
      </w:pPr>
      <w:r>
        <w:t>Energy</w:t>
      </w:r>
      <w:r w:rsidRPr="00B739EF">
        <w:rPr>
          <w:vertAlign w:val="subscript"/>
        </w:rPr>
        <w:t>0</w:t>
      </w:r>
      <w:r>
        <w:t xml:space="preserve"> = 150,000 kWh</w:t>
      </w:r>
    </w:p>
    <w:p w14:paraId="0DFE7DDA" w14:textId="77777777" w:rsidR="00026E66" w:rsidRDefault="002737EF" w:rsidP="0065356B">
      <w:pPr>
        <w:pStyle w:val="ListParagraph"/>
        <w:numPr>
          <w:ilvl w:val="0"/>
          <w:numId w:val="85"/>
        </w:numPr>
        <w:tabs>
          <w:tab w:val="left" w:pos="0"/>
        </w:tabs>
        <w:spacing w:after="11"/>
        <w:ind w:right="182"/>
      </w:pPr>
      <w:r>
        <w:t>Throughput t</w:t>
      </w:r>
      <w:r w:rsidRPr="00B739EF">
        <w:rPr>
          <w:vertAlign w:val="subscript"/>
        </w:rPr>
        <w:t>0</w:t>
      </w:r>
      <w:r>
        <w:t xml:space="preserve"> = 100.0 tonnes </w:t>
      </w:r>
    </w:p>
    <w:p w14:paraId="772EBD1B" w14:textId="77777777" w:rsidR="00026E66" w:rsidRDefault="002737EF" w:rsidP="0065356B">
      <w:pPr>
        <w:pStyle w:val="ListParagraph"/>
        <w:numPr>
          <w:ilvl w:val="0"/>
          <w:numId w:val="85"/>
        </w:numPr>
        <w:tabs>
          <w:tab w:val="left" w:pos="0"/>
          <w:tab w:val="center" w:pos="1508"/>
          <w:tab w:val="center" w:pos="3832"/>
        </w:tabs>
        <w:spacing w:after="11"/>
      </w:pPr>
      <w:r>
        <w:t>SEC</w:t>
      </w:r>
      <w:r w:rsidRPr="00B739EF">
        <w:rPr>
          <w:vertAlign w:val="subscript"/>
        </w:rPr>
        <w:t xml:space="preserve">0 </w:t>
      </w:r>
      <w:r w:rsidRPr="00B739EF">
        <w:rPr>
          <w:vertAlign w:val="subscript"/>
        </w:rPr>
        <w:tab/>
      </w:r>
      <w:r>
        <w:t xml:space="preserve">= 1,500.000 kWh/tonne </w:t>
      </w:r>
    </w:p>
    <w:p w14:paraId="5719AC65" w14:textId="77777777" w:rsidR="00026E66" w:rsidRDefault="002737EF" w:rsidP="0065356B">
      <w:pPr>
        <w:pStyle w:val="ListParagraph"/>
        <w:numPr>
          <w:ilvl w:val="0"/>
          <w:numId w:val="85"/>
        </w:numPr>
        <w:tabs>
          <w:tab w:val="left" w:pos="0"/>
          <w:tab w:val="center" w:pos="1562"/>
          <w:tab w:val="center" w:pos="3014"/>
        </w:tabs>
        <w:spacing w:after="11"/>
      </w:pPr>
      <w:r>
        <w:t xml:space="preserve">%TP1 </w:t>
      </w:r>
      <w:r>
        <w:tab/>
        <w:t xml:space="preserve">= 10% </w:t>
      </w:r>
    </w:p>
    <w:p w14:paraId="0EF774A3" w14:textId="77777777" w:rsidR="00026E66" w:rsidRDefault="002737EF" w:rsidP="00FF0098">
      <w:pPr>
        <w:tabs>
          <w:tab w:val="left" w:pos="0"/>
        </w:tabs>
      </w:pPr>
      <w:r>
        <w:t xml:space="preserve">Therefore, its SEC target for Target Period 1, that is, </w:t>
      </w:r>
      <w:proofErr w:type="spellStart"/>
      <w:r>
        <w:t>SEC</w:t>
      </w:r>
      <w:r>
        <w:rPr>
          <w:vertAlign w:val="subscript"/>
        </w:rPr>
        <w:t>n</w:t>
      </w:r>
      <w:proofErr w:type="spellEnd"/>
      <w:r>
        <w:rPr>
          <w:vertAlign w:val="subscript"/>
        </w:rPr>
        <w:t xml:space="preserve"> </w:t>
      </w:r>
      <w:r>
        <w:t xml:space="preserve">is: </w:t>
      </w:r>
    </w:p>
    <w:p w14:paraId="464251CE" w14:textId="75E7935E" w:rsidR="00026E66" w:rsidRPr="00A26401" w:rsidRDefault="00272D7C" w:rsidP="00A26401">
      <w:pPr>
        <w:rPr>
          <w:color w:val="auto"/>
          <w:szCs w:val="24"/>
        </w:rPr>
      </w:pPr>
      <m:oMathPara>
        <m:oMath>
          <m:r>
            <w:rPr>
              <w:rFonts w:ascii="Cambria Math" w:hAnsi="Cambria Math"/>
              <w:color w:val="auto"/>
              <w:szCs w:val="24"/>
            </w:rPr>
            <w:lastRenderedPageBreak/>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n</m:t>
              </m:r>
            </m:sub>
          </m:sSub>
          <m:r>
            <w:rPr>
              <w:rFonts w:ascii="Cambria Math" w:hAnsi="Cambria Math"/>
              <w:color w:val="auto"/>
              <w:szCs w:val="24"/>
            </w:rPr>
            <m:t>= 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0</m:t>
              </m:r>
            </m:sub>
          </m:sSub>
          <m:r>
            <w:rPr>
              <w:rFonts w:ascii="Cambria Math" w:hAnsi="Cambria Math"/>
              <w:color w:val="auto"/>
              <w:szCs w:val="24"/>
            </w:rPr>
            <m:t>×</m:t>
          </m:r>
          <m:d>
            <m:dPr>
              <m:ctrlPr>
                <w:rPr>
                  <w:rFonts w:ascii="Cambria Math" w:hAnsi="Cambria Math"/>
                  <w:i/>
                  <w:color w:val="auto"/>
                  <w:szCs w:val="24"/>
                </w:rPr>
              </m:ctrlPr>
            </m:dPr>
            <m:e>
              <m:r>
                <w:rPr>
                  <w:rFonts w:ascii="Cambria Math" w:hAnsi="Cambria Math"/>
                  <w:color w:val="auto"/>
                  <w:szCs w:val="24"/>
                </w:rPr>
                <m:t>1-% TP1</m:t>
              </m:r>
            </m:e>
          </m:d>
          <m:r>
            <w:rPr>
              <w:rFonts w:ascii="Cambria Math" w:hAnsi="Cambria Math"/>
              <w:color w:val="auto"/>
              <w:szCs w:val="24"/>
            </w:rPr>
            <m:t>= 1,350.000 kWh/tonne</m:t>
          </m:r>
        </m:oMath>
      </m:oMathPara>
    </w:p>
    <w:p w14:paraId="79491556" w14:textId="77777777" w:rsidR="00026E66" w:rsidRDefault="002737EF" w:rsidP="00FF0098">
      <w:pPr>
        <w:tabs>
          <w:tab w:val="left" w:pos="0"/>
        </w:tabs>
      </w:pPr>
      <w:r>
        <w:t xml:space="preserve">The tolerance in percentage target terms will be: </w:t>
      </w:r>
    </w:p>
    <w:p w14:paraId="03C48BB7" w14:textId="77777777" w:rsidR="00026E66" w:rsidRDefault="002737EF" w:rsidP="00FF0098">
      <w:pPr>
        <w:tabs>
          <w:tab w:val="left" w:pos="0"/>
        </w:tabs>
        <w:jc w:val="center"/>
      </w:pPr>
      <m:oMathPara>
        <m:oMathParaPr>
          <m:jc m:val="center"/>
        </m:oMathParaPr>
        <m:oMath>
          <m:r>
            <w:rPr>
              <w:rFonts w:ascii="Cambria Math" w:hAnsi="Cambria Math"/>
            </w:rPr>
            <m:t>%To</m:t>
          </m:r>
          <m:sSub>
            <m:sSubPr>
              <m:ctrlPr>
                <w:rPr>
                  <w:rFonts w:ascii="Cambria Math" w:hAnsi="Cambria Math"/>
                </w:rPr>
              </m:ctrlPr>
            </m:sSubPr>
            <m:e>
              <m:r>
                <w:rPr>
                  <w:rFonts w:ascii="Cambria Math" w:hAnsi="Cambria Math"/>
                </w:rPr>
                <m:t>l</m:t>
              </m:r>
            </m:e>
            <m:sub>
              <m:r>
                <w:rPr>
                  <w:rFonts w:ascii="Cambria Math" w:hAnsi="Cambria Math"/>
                </w:rPr>
                <m:t>TP1</m:t>
              </m:r>
            </m:sub>
          </m:sSub>
          <m:r>
            <w:rPr>
              <w:rFonts w:ascii="Cambria Math" w:hAnsi="Cambria Math"/>
            </w:rPr>
            <m:t xml:space="preserve">= </m:t>
          </m:r>
          <m:d>
            <m:dPr>
              <m:ctrlPr>
                <w:rPr>
                  <w:rFonts w:ascii="Cambria Math" w:hAnsi="Cambria Math"/>
                </w:rPr>
              </m:ctrlPr>
            </m:dPr>
            <m:e>
              <m:r>
                <w:rPr>
                  <w:rFonts w:ascii="Cambria Math" w:hAnsi="Cambria Math"/>
                </w:rPr>
                <m:t>1-TP1%</m:t>
              </m:r>
            </m:e>
          </m:d>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0</m:t>
                      </m:r>
                    </m:sub>
                  </m:sSub>
                </m:num>
                <m:den>
                  <m:r>
                    <w:rPr>
                      <w:rFonts w:ascii="Cambria Math" w:hAnsi="Cambria Math"/>
                    </w:rPr>
                    <m:t>SE</m:t>
                  </m:r>
                  <m:sSub>
                    <m:sSubPr>
                      <m:ctrlPr>
                        <w:rPr>
                          <w:rFonts w:ascii="Cambria Math" w:hAnsi="Cambria Math"/>
                        </w:rPr>
                      </m:ctrlPr>
                    </m:sSubPr>
                    <m:e>
                      <m:r>
                        <w:rPr>
                          <w:rFonts w:ascii="Cambria Math" w:hAnsi="Cambria Math"/>
                        </w:rPr>
                        <m:t>C</m:t>
                      </m:r>
                    </m:e>
                    <m:sub>
                      <m:sSub>
                        <m:sSubPr>
                          <m:ctrlPr>
                            <w:rPr>
                              <w:rFonts w:ascii="Cambria Math" w:hAnsi="Cambria Math"/>
                            </w:rPr>
                          </m:ctrlPr>
                        </m:sSubPr>
                        <m:e>
                          <m:r>
                            <w:rPr>
                              <w:rFonts w:ascii="Cambria Math" w:hAnsi="Cambria Math"/>
                            </w:rPr>
                            <m:t>0</m:t>
                          </m:r>
                        </m:e>
                        <m:sub>
                          <m:r>
                            <w:rPr>
                              <w:rFonts w:ascii="Cambria Math" w:hAnsi="Cambria Math"/>
                            </w:rPr>
                            <m:t>tol</m:t>
                          </m:r>
                        </m:sub>
                      </m:sSub>
                    </m:sub>
                  </m:sSub>
                </m:den>
              </m:f>
            </m:e>
          </m:d>
          <m:r>
            <w:rPr>
              <w:rFonts w:ascii="Cambria Math" w:hAnsi="Cambria Math"/>
            </w:rPr>
            <m:t xml:space="preserve">= </m:t>
          </m:r>
          <m:d>
            <m:dPr>
              <m:ctrlPr>
                <w:rPr>
                  <w:rFonts w:ascii="Cambria Math" w:hAnsi="Cambria Math"/>
                </w:rPr>
              </m:ctrlPr>
            </m:dPr>
            <m:e>
              <m:r>
                <w:rPr>
                  <w:rFonts w:ascii="Cambria Math" w:hAnsi="Cambria Math"/>
                </w:rPr>
                <m:t>1-10%</m:t>
              </m:r>
            </m:e>
          </m:d>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m:rPr>
                      <m:sty m:val="p"/>
                    </m:rPr>
                    <w:rPr>
                      <w:rFonts w:ascii="Cambria Math" w:hAnsi="Cambria Math"/>
                    </w:rPr>
                    <m:t>1,500.000</m:t>
                  </m:r>
                </m:num>
                <m:den>
                  <m:d>
                    <m:dPr>
                      <m:ctrlPr>
                        <w:rPr>
                          <w:rFonts w:ascii="Cambria Math" w:hAnsi="Cambria Math"/>
                        </w:rPr>
                      </m:ctrlPr>
                    </m:dPr>
                    <m:e>
                      <m:f>
                        <m:fPr>
                          <m:ctrlPr>
                            <w:rPr>
                              <w:rFonts w:ascii="Cambria Math" w:hAnsi="Cambria Math"/>
                            </w:rPr>
                          </m:ctrlPr>
                        </m:fPr>
                        <m:num>
                          <m:r>
                            <m:rPr>
                              <m:sty m:val="p"/>
                            </m:rPr>
                            <w:rPr>
                              <w:rFonts w:ascii="Cambria Math" w:hAnsi="Cambria Math"/>
                            </w:rPr>
                            <m:t>150,000</m:t>
                          </m:r>
                          <m:r>
                            <w:rPr>
                              <w:rFonts w:ascii="Cambria Math" w:hAnsi="Cambria Math"/>
                            </w:rPr>
                            <m:t>+1</m:t>
                          </m:r>
                        </m:num>
                        <m:den>
                          <m:r>
                            <w:rPr>
                              <w:rFonts w:ascii="Cambria Math" w:hAnsi="Cambria Math"/>
                            </w:rPr>
                            <m:t>100.0 - 0.1</m:t>
                          </m:r>
                        </m:den>
                      </m:f>
                    </m:e>
                  </m:d>
                </m:den>
              </m:f>
            </m:e>
          </m:d>
          <m:r>
            <w:rPr>
              <w:rFonts w:ascii="Cambria Math" w:hAnsi="Cambria Math"/>
            </w:rPr>
            <m:t xml:space="preserve"> =0.091%</m:t>
          </m:r>
        </m:oMath>
      </m:oMathPara>
    </w:p>
    <w:p w14:paraId="42250C7D" w14:textId="500D74A9" w:rsidR="00272D7C" w:rsidRPr="00A26401" w:rsidRDefault="002737EF" w:rsidP="00A26401">
      <w:pPr>
        <w:tabs>
          <w:tab w:val="left" w:pos="0"/>
        </w:tabs>
      </w:pPr>
      <w:r>
        <w:t>The tolerance on its SEC for Target Period 1 will be:</w:t>
      </w:r>
    </w:p>
    <w:p w14:paraId="225CF752" w14:textId="77777777" w:rsidR="00272D7C" w:rsidRPr="002A007C" w:rsidRDefault="00272D7C" w:rsidP="00272D7C">
      <w:pPr>
        <w:rPr>
          <w:color w:val="auto"/>
          <w:szCs w:val="24"/>
        </w:rPr>
      </w:pPr>
      <m:oMathPara>
        <m:oMath>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tol</m:t>
              </m:r>
            </m:sub>
          </m:sSub>
          <m:r>
            <w:rPr>
              <w:rFonts w:ascii="Cambria Math" w:hAnsi="Cambria Math"/>
              <w:color w:val="auto"/>
              <w:szCs w:val="24"/>
            </w:rPr>
            <m:t>=</m:t>
          </m:r>
          <m:f>
            <m:fPr>
              <m:ctrlPr>
                <w:rPr>
                  <w:rFonts w:ascii="Cambria Math" w:hAnsi="Cambria Math"/>
                  <w:i/>
                  <w:color w:val="auto"/>
                  <w:szCs w:val="24"/>
                </w:rPr>
              </m:ctrlPr>
            </m:fPr>
            <m:num>
              <m:r>
                <w:rPr>
                  <w:rFonts w:ascii="Cambria Math" w:hAnsi="Cambria Math"/>
                  <w:color w:val="auto"/>
                  <w:szCs w:val="24"/>
                </w:rPr>
                <m:t>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0</m:t>
                  </m:r>
                </m:sub>
              </m:sSub>
            </m:num>
            <m:den>
              <m:r>
                <w:rPr>
                  <w:rFonts w:ascii="Cambria Math" w:hAnsi="Cambria Math"/>
                  <w:color w:val="auto"/>
                  <w:szCs w:val="24"/>
                </w:rPr>
                <m:t>1-</m:t>
              </m:r>
              <m:d>
                <m:dPr>
                  <m:ctrlPr>
                    <w:rPr>
                      <w:rFonts w:ascii="Cambria Math" w:hAnsi="Cambria Math"/>
                      <w:i/>
                      <w:color w:val="auto"/>
                      <w:szCs w:val="24"/>
                    </w:rPr>
                  </m:ctrlPr>
                </m:dPr>
                <m:e>
                  <m:f>
                    <m:fPr>
                      <m:ctrlPr>
                        <w:rPr>
                          <w:rFonts w:ascii="Cambria Math" w:hAnsi="Cambria Math"/>
                          <w:i/>
                          <w:color w:val="auto"/>
                          <w:szCs w:val="24"/>
                        </w:rPr>
                      </m:ctrlPr>
                    </m:fPr>
                    <m:num>
                      <m:r>
                        <w:rPr>
                          <w:rFonts w:ascii="Cambria Math" w:hAnsi="Cambria Math"/>
                          <w:color w:val="auto"/>
                          <w:szCs w:val="24"/>
                        </w:rPr>
                        <m:t>%To</m:t>
                      </m:r>
                      <m:sSub>
                        <m:sSubPr>
                          <m:ctrlPr>
                            <w:rPr>
                              <w:rFonts w:ascii="Cambria Math" w:hAnsi="Cambria Math"/>
                              <w:i/>
                              <w:color w:val="auto"/>
                              <w:szCs w:val="24"/>
                            </w:rPr>
                          </m:ctrlPr>
                        </m:sSubPr>
                        <m:e>
                          <m:r>
                            <w:rPr>
                              <w:rFonts w:ascii="Cambria Math" w:hAnsi="Cambria Math"/>
                              <w:color w:val="auto"/>
                              <w:szCs w:val="24"/>
                            </w:rPr>
                            <m:t>l</m:t>
                          </m:r>
                        </m:e>
                        <m:sub>
                          <m:r>
                            <w:rPr>
                              <w:rFonts w:ascii="Cambria Math" w:hAnsi="Cambria Math"/>
                              <w:color w:val="auto"/>
                              <w:szCs w:val="24"/>
                            </w:rPr>
                            <m:t>TP1</m:t>
                          </m:r>
                        </m:sub>
                      </m:sSub>
                    </m:num>
                    <m:den>
                      <m:r>
                        <w:rPr>
                          <w:rFonts w:ascii="Cambria Math" w:hAnsi="Cambria Math"/>
                          <w:color w:val="auto"/>
                          <w:szCs w:val="24"/>
                        </w:rPr>
                        <m:t>1-TP1%</m:t>
                      </m:r>
                    </m:den>
                  </m:f>
                </m:e>
              </m:d>
            </m:den>
          </m:f>
          <m:r>
            <w:rPr>
              <w:rFonts w:ascii="Cambria Math" w:hAnsi="Cambria Math"/>
              <w:color w:val="auto"/>
              <w:szCs w:val="24"/>
            </w:rPr>
            <m:t xml:space="preserve"> -SE</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0</m:t>
              </m:r>
            </m:sub>
          </m:sSub>
          <m:r>
            <w:rPr>
              <w:rFonts w:ascii="Cambria Math" w:hAnsi="Cambria Math"/>
              <w:color w:val="auto"/>
              <w:szCs w:val="24"/>
            </w:rPr>
            <m:t>=</m:t>
          </m:r>
          <m:f>
            <m:fPr>
              <m:ctrlPr>
                <w:rPr>
                  <w:rFonts w:ascii="Cambria Math" w:hAnsi="Cambria Math"/>
                  <w:i/>
                  <w:color w:val="auto"/>
                  <w:szCs w:val="24"/>
                </w:rPr>
              </m:ctrlPr>
            </m:fPr>
            <m:num>
              <m:r>
                <w:rPr>
                  <w:rFonts w:ascii="Cambria Math" w:hAnsi="Cambria Math"/>
                  <w:color w:val="auto"/>
                  <w:szCs w:val="24"/>
                </w:rPr>
                <m:t>1,500.000</m:t>
              </m:r>
            </m:num>
            <m:den>
              <m:r>
                <w:rPr>
                  <w:rFonts w:ascii="Cambria Math" w:hAnsi="Cambria Math"/>
                  <w:color w:val="auto"/>
                  <w:szCs w:val="24"/>
                </w:rPr>
                <m:t>1 -</m:t>
              </m:r>
              <m:d>
                <m:dPr>
                  <m:ctrlPr>
                    <w:rPr>
                      <w:rFonts w:ascii="Cambria Math" w:hAnsi="Cambria Math"/>
                      <w:i/>
                      <w:color w:val="auto"/>
                      <w:szCs w:val="24"/>
                    </w:rPr>
                  </m:ctrlPr>
                </m:dPr>
                <m:e>
                  <m:f>
                    <m:fPr>
                      <m:ctrlPr>
                        <w:rPr>
                          <w:rFonts w:ascii="Cambria Math" w:hAnsi="Cambria Math"/>
                          <w:i/>
                          <w:color w:val="auto"/>
                          <w:szCs w:val="24"/>
                        </w:rPr>
                      </m:ctrlPr>
                    </m:fPr>
                    <m:num>
                      <m:r>
                        <w:rPr>
                          <w:rFonts w:ascii="Cambria Math" w:hAnsi="Cambria Math"/>
                          <w:color w:val="auto"/>
                          <w:szCs w:val="24"/>
                        </w:rPr>
                        <m:t>0.091%</m:t>
                      </m:r>
                    </m:num>
                    <m:den>
                      <m:r>
                        <w:rPr>
                          <w:rFonts w:ascii="Cambria Math" w:hAnsi="Cambria Math"/>
                          <w:color w:val="auto"/>
                          <w:szCs w:val="24"/>
                        </w:rPr>
                        <m:t>1-10%</m:t>
                      </m:r>
                    </m:den>
                  </m:f>
                </m:e>
              </m:d>
              <m:r>
                <w:rPr>
                  <w:rFonts w:ascii="Cambria Math" w:hAnsi="Cambria Math"/>
                  <w:color w:val="auto"/>
                  <w:szCs w:val="24"/>
                </w:rPr>
                <m:t xml:space="preserve"> </m:t>
              </m:r>
            </m:den>
          </m:f>
          <m:r>
            <w:rPr>
              <w:rFonts w:ascii="Cambria Math" w:hAnsi="Cambria Math"/>
              <w:color w:val="auto"/>
              <w:szCs w:val="24"/>
            </w:rPr>
            <m:t>-1,500.000 =1.518 kWh/tonne</m:t>
          </m:r>
        </m:oMath>
      </m:oMathPara>
    </w:p>
    <w:p w14:paraId="34A4D3C7" w14:textId="77777777" w:rsidR="00026E66" w:rsidRDefault="00026E66" w:rsidP="00FF0098">
      <w:pPr>
        <w:tabs>
          <w:tab w:val="left" w:pos="0"/>
        </w:tabs>
        <w:jc w:val="center"/>
      </w:pPr>
    </w:p>
    <w:p w14:paraId="3F3FE890" w14:textId="77777777" w:rsidR="00026E66" w:rsidRDefault="002737EF" w:rsidP="00FF0098">
      <w:pPr>
        <w:tabs>
          <w:tab w:val="left" w:pos="0"/>
        </w:tabs>
      </w:pPr>
      <w:r>
        <w:t>This means that the target unit will meet the target if the actual performance (SEC</w:t>
      </w:r>
      <w:r>
        <w:rPr>
          <w:vertAlign w:val="subscript"/>
        </w:rPr>
        <w:t>N</w:t>
      </w:r>
      <w:r>
        <w:t>) for Target Period 1 is in the range:</w:t>
      </w:r>
    </w:p>
    <w:p w14:paraId="11C9A479" w14:textId="77777777" w:rsidR="00026E66" w:rsidRDefault="002737EF" w:rsidP="00FF0098">
      <w:pPr>
        <w:tabs>
          <w:tab w:val="left" w:pos="0"/>
        </w:tabs>
        <w:jc w:val="center"/>
      </w:pPr>
      <m:oMathPara>
        <m:oMathParaPr>
          <m:jc m:val="center"/>
        </m:oMathParaPr>
        <m:oMath>
          <m:r>
            <w:rPr>
              <w:rFonts w:ascii="Cambria Math" w:hAnsi="Cambria Math"/>
            </w:rPr>
            <m:t>1348.482 ≤ 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≤1351.518</m:t>
          </m:r>
        </m:oMath>
      </m:oMathPara>
    </w:p>
    <w:p w14:paraId="7FB7665B" w14:textId="77777777" w:rsidR="00026E66" w:rsidRDefault="002737EF" w:rsidP="00FF0098">
      <w:pPr>
        <w:tabs>
          <w:tab w:val="left" w:pos="0"/>
        </w:tabs>
      </w:pPr>
      <w:r>
        <w:t>In Target Period 1 the target unit reports its actual performance as:</w:t>
      </w:r>
    </w:p>
    <w:p w14:paraId="39DEBE4D" w14:textId="77777777" w:rsidR="00026E66" w:rsidRDefault="002737EF" w:rsidP="0065356B">
      <w:pPr>
        <w:pStyle w:val="ListParagraph"/>
        <w:numPr>
          <w:ilvl w:val="0"/>
          <w:numId w:val="86"/>
        </w:numPr>
        <w:tabs>
          <w:tab w:val="left" w:pos="0"/>
        </w:tabs>
      </w:pPr>
      <w:r>
        <w:t>Energy</w:t>
      </w:r>
      <w:r w:rsidRPr="00B739EF">
        <w:rPr>
          <w:vertAlign w:val="subscript"/>
        </w:rPr>
        <w:t>0</w:t>
      </w:r>
      <w:r>
        <w:t xml:space="preserve"> = 270,250 kWh</w:t>
      </w:r>
    </w:p>
    <w:p w14:paraId="31375296" w14:textId="77777777" w:rsidR="00026E66" w:rsidRDefault="002737EF" w:rsidP="0065356B">
      <w:pPr>
        <w:pStyle w:val="ListParagraph"/>
        <w:numPr>
          <w:ilvl w:val="0"/>
          <w:numId w:val="86"/>
        </w:numPr>
        <w:tabs>
          <w:tab w:val="left" w:pos="0"/>
        </w:tabs>
      </w:pPr>
      <w:r>
        <w:t>Throughput</w:t>
      </w:r>
      <w:r w:rsidRPr="00B739EF">
        <w:rPr>
          <w:vertAlign w:val="subscript"/>
        </w:rPr>
        <w:t>0</w:t>
      </w:r>
      <w:r>
        <w:t xml:space="preserve"> = 200.0 tonnes</w:t>
      </w:r>
    </w:p>
    <w:p w14:paraId="32680A54" w14:textId="77777777" w:rsidR="00026E66" w:rsidRDefault="002737EF" w:rsidP="0065356B">
      <w:pPr>
        <w:pStyle w:val="ListParagraph"/>
        <w:numPr>
          <w:ilvl w:val="0"/>
          <w:numId w:val="86"/>
        </w:numPr>
        <w:tabs>
          <w:tab w:val="left" w:pos="0"/>
        </w:tabs>
      </w:pPr>
      <w:r>
        <w:t>SEC</w:t>
      </w:r>
      <w:r w:rsidRPr="00B739EF">
        <w:rPr>
          <w:vertAlign w:val="subscript"/>
        </w:rPr>
        <w:t xml:space="preserve">N </w:t>
      </w:r>
      <w:r>
        <w:t>= 1351.250 kWh/tonne</w:t>
      </w:r>
    </w:p>
    <w:p w14:paraId="5C60F714" w14:textId="77777777" w:rsidR="00026E66" w:rsidRDefault="002737EF" w:rsidP="00FF0098">
      <w:pPr>
        <w:tabs>
          <w:tab w:val="left" w:pos="0"/>
        </w:tabs>
      </w:pPr>
      <w:r>
        <w:t xml:space="preserve">Without </w:t>
      </w:r>
      <w:proofErr w:type="gramStart"/>
      <w:r>
        <w:t>taking into account</w:t>
      </w:r>
      <w:proofErr w:type="gramEnd"/>
      <w:r>
        <w:t xml:space="preserve"> the tolerance, the TU would have not met the target. Taking tolerance into account the result is that the target is met within tolerance and so no surplus or buy-out applies. </w:t>
      </w:r>
    </w:p>
    <w:p w14:paraId="0EF3ADCF" w14:textId="77777777" w:rsidR="00026E66" w:rsidRDefault="002737EF" w:rsidP="00FF0098">
      <w:pPr>
        <w:tabs>
          <w:tab w:val="left" w:pos="0"/>
        </w:tabs>
      </w:pPr>
      <w:r>
        <w:rPr>
          <w:color w:val="auto"/>
        </w:rPr>
        <w:t xml:space="preserve">If the </w:t>
      </w:r>
      <w:r>
        <w:t>target</w:t>
      </w:r>
      <w:r>
        <w:rPr>
          <w:color w:val="auto"/>
        </w:rPr>
        <w:t xml:space="preserve"> unit had used a bit more energy in target period 1, say 270.350 kWh, then the SEC</w:t>
      </w:r>
      <w:r>
        <w:rPr>
          <w:color w:val="auto"/>
          <w:vertAlign w:val="subscript"/>
        </w:rPr>
        <w:t xml:space="preserve">N </w:t>
      </w:r>
      <w:r>
        <w:rPr>
          <w:color w:val="auto"/>
        </w:rPr>
        <w:t>would be 1351.750 kWh/tonne and a buy-out would be required.</w:t>
      </w:r>
    </w:p>
    <w:p w14:paraId="355F951F" w14:textId="77777777" w:rsidR="00026E66" w:rsidRDefault="002737EF" w:rsidP="00FF0098">
      <w:pPr>
        <w:pStyle w:val="Heading4"/>
        <w:tabs>
          <w:tab w:val="left" w:pos="0"/>
        </w:tabs>
        <w:rPr>
          <w:color w:val="auto"/>
          <w:szCs w:val="24"/>
        </w:rPr>
      </w:pPr>
      <w:r>
        <w:rPr>
          <w:color w:val="auto"/>
          <w:szCs w:val="24"/>
        </w:rPr>
        <w:t xml:space="preserve">10.4.5.4. Surplus </w:t>
      </w:r>
    </w:p>
    <w:p w14:paraId="2EE8A592" w14:textId="77777777" w:rsidR="00026E66" w:rsidRDefault="002737EF" w:rsidP="00FF0098">
      <w:pPr>
        <w:tabs>
          <w:tab w:val="left" w:pos="0"/>
        </w:tabs>
      </w:pPr>
      <w:r>
        <w:t xml:space="preserve">A surplus </w:t>
      </w:r>
      <w:r>
        <w:rPr>
          <w:color w:val="auto"/>
        </w:rPr>
        <w:t>will</w:t>
      </w:r>
      <w:r>
        <w:t xml:space="preserve"> be determined if: </w:t>
      </w:r>
    </w:p>
    <w:p w14:paraId="2E24ADAE" w14:textId="77777777" w:rsidR="00026E66" w:rsidRDefault="002737EF" w:rsidP="00FF0098">
      <w:pPr>
        <w:tabs>
          <w:tab w:val="left" w:pos="0"/>
        </w:tabs>
        <w:jc w:val="center"/>
      </w:pPr>
      <m:oMathPara>
        <m:oMathParaPr>
          <m:jc m:val="center"/>
        </m:oMathParaPr>
        <m:oMath>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&lt;SE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oMath>
      </m:oMathPara>
    </w:p>
    <w:p w14:paraId="5027A54E" w14:textId="77777777" w:rsidR="00026E66" w:rsidRDefault="002737EF" w:rsidP="00FF0098">
      <w:pPr>
        <w:tabs>
          <w:tab w:val="left" w:pos="0"/>
        </w:tabs>
      </w:pPr>
      <w:r>
        <w:t xml:space="preserve">The surplus in energy terms for the target period N will be: </w:t>
      </w:r>
    </w:p>
    <w:p w14:paraId="1BFD8AEA" w14:textId="77777777" w:rsidR="00026E66" w:rsidRDefault="002737EF" w:rsidP="00FF0098">
      <w:pPr>
        <w:tabs>
          <w:tab w:val="left" w:pos="0"/>
        </w:tabs>
        <w:jc w:val="center"/>
      </w:pPr>
      <m:oMathPara>
        <m:oMathParaPr>
          <m:jc m:val="center"/>
        </m:oMathParaPr>
        <m:oMath>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surplu</m:t>
              </m:r>
              <m:sSub>
                <m:sSubPr>
                  <m:ctrlPr>
                    <w:rPr>
                      <w:rFonts w:ascii="Cambria Math" w:hAnsi="Cambria Math"/>
                    </w:rPr>
                  </m:ctrlPr>
                </m:sSubPr>
                <m:e>
                  <m:r>
                    <w:rPr>
                      <w:rFonts w:ascii="Cambria Math" w:hAnsi="Cambria Math"/>
                    </w:rPr>
                    <m:t>s</m:t>
                  </m:r>
                </m:e>
                <m:sub>
                  <m:r>
                    <w:rPr>
                      <w:rFonts w:ascii="Cambria Math" w:hAnsi="Cambria Math"/>
                    </w:rPr>
                    <m:t>N</m:t>
                  </m:r>
                </m:sub>
              </m:sSub>
            </m:sub>
          </m:sSub>
          <m: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e>
              </m:d>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e>
          </m:d>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N</m:t>
              </m:r>
            </m:sub>
          </m:sSub>
        </m:oMath>
      </m:oMathPara>
    </w:p>
    <w:p w14:paraId="68C6E3DC" w14:textId="77777777" w:rsidR="00026E66" w:rsidRDefault="002737EF" w:rsidP="00FF0098">
      <w:pPr>
        <w:tabs>
          <w:tab w:val="left" w:pos="0"/>
        </w:tabs>
      </w:pPr>
      <w:r>
        <w:t xml:space="preserve">Where </w:t>
      </w:r>
      <w:r>
        <w:rPr>
          <w:rFonts w:ascii="Cambria Math" w:hAnsi="Cambria Math"/>
        </w:rPr>
        <w:t>𝑡</w:t>
      </w:r>
      <w:r>
        <w:rPr>
          <w:rFonts w:ascii="Cambria Math" w:hAnsi="Cambria Math"/>
          <w:vertAlign w:val="subscript"/>
        </w:rPr>
        <w:t>𝑁</w:t>
      </w:r>
      <w:r>
        <w:t xml:space="preserve"> is the reported throughput in the target period N.</w:t>
      </w:r>
    </w:p>
    <w:p w14:paraId="3120593F" w14:textId="77777777" w:rsidR="00026E66" w:rsidRDefault="002737EF" w:rsidP="00FF0098">
      <w:pPr>
        <w:tabs>
          <w:tab w:val="left" w:pos="0"/>
        </w:tabs>
      </w:pPr>
      <w:r>
        <w:lastRenderedPageBreak/>
        <w:t xml:space="preserve">The surplus in CO2e terms for the target period N will be: </w:t>
      </w:r>
    </w:p>
    <w:p w14:paraId="410C960F" w14:textId="77777777" w:rsidR="00026E66" w:rsidRDefault="002737EF" w:rsidP="00FF0098">
      <w:pPr>
        <w:tabs>
          <w:tab w:val="left" w:pos="0"/>
        </w:tabs>
        <w:jc w:val="center"/>
      </w:pPr>
      <m:oMathPara>
        <m:oMathParaPr>
          <m:jc m:val="center"/>
        </m:oMathParaPr>
        <m:oMath>
          <m:r>
            <w:rPr>
              <w:rFonts w:ascii="Cambria Math" w:hAnsi="Cambria Math"/>
            </w:rPr>
            <m:t>CO2</m:t>
          </m:r>
          <m:sSub>
            <m:sSubPr>
              <m:ctrlPr>
                <w:rPr>
                  <w:rFonts w:ascii="Cambria Math" w:hAnsi="Cambria Math"/>
                </w:rPr>
              </m:ctrlPr>
            </m:sSubPr>
            <m:e>
              <m:r>
                <w:rPr>
                  <w:rFonts w:ascii="Cambria Math" w:hAnsi="Cambria Math"/>
                </w:rPr>
                <m:t>e</m:t>
              </m:r>
            </m:e>
            <m:sub>
              <m:r>
                <w:rPr>
                  <w:rFonts w:ascii="Cambria Math" w:hAnsi="Cambria Math"/>
                </w:rPr>
                <m:t>surplu</m:t>
              </m:r>
              <m:sSub>
                <m:sSubPr>
                  <m:ctrlPr>
                    <w:rPr>
                      <w:rFonts w:ascii="Cambria Math" w:hAnsi="Cambria Math"/>
                    </w:rPr>
                  </m:ctrlPr>
                </m:sSubPr>
                <m:e>
                  <m:r>
                    <w:rPr>
                      <w:rFonts w:ascii="Cambria Math" w:hAnsi="Cambria Math"/>
                    </w:rPr>
                    <m:t>s</m:t>
                  </m:r>
                </m:e>
                <m:sub>
                  <m:r>
                    <w:rPr>
                      <w:rFonts w:ascii="Cambria Math" w:hAnsi="Cambria Math"/>
                    </w:rPr>
                    <m:t>N</m:t>
                  </m:r>
                </m:sub>
              </m:sSub>
            </m:sub>
          </m:sSub>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surplu</m:t>
              </m:r>
              <m:sSub>
                <m:sSubPr>
                  <m:ctrlPr>
                    <w:rPr>
                      <w:rFonts w:ascii="Cambria Math" w:hAnsi="Cambria Math"/>
                    </w:rPr>
                  </m:ctrlPr>
                </m:sSubPr>
                <m:e>
                  <m:r>
                    <w:rPr>
                      <w:rFonts w:ascii="Cambria Math" w:hAnsi="Cambria Math"/>
                    </w:rPr>
                    <m:t>s</m:t>
                  </m:r>
                </m:e>
                <m:sub>
                  <m:r>
                    <w:rPr>
                      <w:rFonts w:ascii="Cambria Math" w:hAnsi="Cambria Math"/>
                    </w:rPr>
                    <m:t>N</m:t>
                  </m:r>
                </m:sub>
              </m:sSub>
            </m:sub>
          </m:sSub>
          <m:r>
            <w:rPr>
              <w:rFonts w:ascii="Cambria Math" w:hAnsi="Cambria Math"/>
            </w:rPr>
            <m:t>×TP Carbon to Energy factor×</m:t>
          </m:r>
          <m:f>
            <m:fPr>
              <m:ctrlPr>
                <w:rPr>
                  <w:rFonts w:ascii="Cambria Math" w:hAnsi="Cambria Math"/>
                </w:rPr>
              </m:ctrlPr>
            </m:fPr>
            <m:num>
              <m:r>
                <w:rPr>
                  <w:rFonts w:ascii="Cambria Math" w:hAnsi="Cambria Math"/>
                </w:rPr>
                <m:t>44</m:t>
              </m:r>
            </m:num>
            <m:den>
              <m:r>
                <w:rPr>
                  <w:rFonts w:ascii="Cambria Math" w:hAnsi="Cambria Math"/>
                </w:rPr>
                <m:t>12</m:t>
              </m:r>
            </m:den>
          </m:f>
        </m:oMath>
      </m:oMathPara>
    </w:p>
    <w:p w14:paraId="1AE5A4EE" w14:textId="77777777" w:rsidR="00026E66" w:rsidRDefault="002737EF" w:rsidP="00FF0098">
      <w:pPr>
        <w:tabs>
          <w:tab w:val="left" w:pos="0"/>
        </w:tabs>
      </w:pPr>
      <w:r>
        <w:t>This will be rounded down to the nearest tonne CO2e (that is, the lowest whole tonne) and so a surplus will not be gained until the amount calculated exceeds at least one tonne of CO2e.</w:t>
      </w:r>
    </w:p>
    <w:p w14:paraId="76F4EC04" w14:textId="77777777" w:rsidR="00026E66" w:rsidRDefault="002737EF" w:rsidP="00FF0098">
      <w:pPr>
        <w:pStyle w:val="Heading4"/>
        <w:tabs>
          <w:tab w:val="left" w:pos="0"/>
        </w:tabs>
        <w:rPr>
          <w:color w:val="auto"/>
          <w:szCs w:val="24"/>
        </w:rPr>
      </w:pPr>
      <w:r>
        <w:rPr>
          <w:color w:val="auto"/>
          <w:szCs w:val="24"/>
        </w:rPr>
        <w:t xml:space="preserve">10.4.5.5. Scenarios where the target unit joins the scheme part way through the target period </w:t>
      </w:r>
    </w:p>
    <w:p w14:paraId="2D0F4014" w14:textId="77777777" w:rsidR="00026E66" w:rsidRDefault="002737EF" w:rsidP="00FF0098">
      <w:pPr>
        <w:tabs>
          <w:tab w:val="left" w:pos="0"/>
        </w:tabs>
      </w:pPr>
      <w:r>
        <w:t xml:space="preserve">When a target unit joins the scheme part way through the target period, the buy-out/surplus will be calculated in the same way as it would have been if the target unit had been in the scheme from the start of the target period. </w:t>
      </w:r>
    </w:p>
    <w:p w14:paraId="3D1A0506" w14:textId="77777777" w:rsidR="00026E66" w:rsidRDefault="002737EF" w:rsidP="00FF0098">
      <w:pPr>
        <w:tabs>
          <w:tab w:val="left" w:pos="0"/>
        </w:tabs>
      </w:pPr>
      <w:r>
        <w:t xml:space="preserve">For example, in the case of the buy-out calculation, </w:t>
      </w:r>
      <w:r>
        <w:rPr>
          <w:rFonts w:ascii="Cambria Math" w:hAnsi="Cambria Math"/>
        </w:rPr>
        <w:t>𝐸𝑛𝑒𝑟𝑔𝑦</w:t>
      </w:r>
      <w:r>
        <w:rPr>
          <w:rFonts w:ascii="Cambria Math" w:hAnsi="Cambria Math"/>
          <w:vertAlign w:val="subscript"/>
        </w:rPr>
        <w:t>𝑏𝑢𝑦𝑜𝑢𝑡𝑁</w:t>
      </w:r>
      <w:r>
        <w:t xml:space="preserve"> will be: </w:t>
      </w:r>
    </w:p>
    <w:p w14:paraId="2A3F9524" w14:textId="77777777" w:rsidR="00026E66" w:rsidRDefault="002737EF" w:rsidP="00FF0098">
      <w:pPr>
        <w:tabs>
          <w:tab w:val="left" w:pos="0"/>
        </w:tabs>
        <w:jc w:val="center"/>
      </w:pPr>
      <m:oMathPara>
        <m:oMathParaPr>
          <m:jc m:val="center"/>
        </m:oMathParaPr>
        <m:oMath>
          <m:r>
            <w:rPr>
              <w:rFonts w:ascii="Cambria Math" w:hAnsi="Cambria Math"/>
            </w:rPr>
            <m:t>Energ</m:t>
          </m:r>
          <m:sSub>
            <m:sSubPr>
              <m:ctrlPr>
                <w:rPr>
                  <w:rFonts w:ascii="Cambria Math" w:hAnsi="Cambria Math"/>
                </w:rPr>
              </m:ctrlPr>
            </m:sSubPr>
            <m:e>
              <m:r>
                <w:rPr>
                  <w:rFonts w:ascii="Cambria Math" w:hAnsi="Cambria Math"/>
                </w:rPr>
                <m:t>y</m:t>
              </m:r>
            </m:e>
            <m:sub>
              <m:r>
                <w:rPr>
                  <w:rFonts w:ascii="Cambria Math" w:hAnsi="Cambria Math"/>
                </w:rPr>
                <m:t>buyou</m:t>
              </m:r>
              <m:sSub>
                <m:sSubPr>
                  <m:ctrlPr>
                    <w:rPr>
                      <w:rFonts w:ascii="Cambria Math" w:hAnsi="Cambria Math"/>
                    </w:rPr>
                  </m:ctrlPr>
                </m:sSubPr>
                <m:e>
                  <m:r>
                    <w:rPr>
                      <w:rFonts w:ascii="Cambria Math" w:hAnsi="Cambria Math"/>
                    </w:rPr>
                    <m:t>t</m:t>
                  </m:r>
                </m:e>
                <m:sub>
                  <m:r>
                    <w:rPr>
                      <w:rFonts w:ascii="Cambria Math" w:hAnsi="Cambria Math"/>
                    </w:rPr>
                    <m:t>N</m:t>
                  </m:r>
                </m:sub>
              </m:sSub>
            </m:sub>
          </m:sSub>
          <m:r>
            <w:rPr>
              <w:rFonts w:ascii="Cambria Math" w:hAnsi="Cambria Math"/>
            </w:rPr>
            <m:t xml:space="preserve">= </m:t>
          </m:r>
          <m:d>
            <m:dPr>
              <m:ctrlPr>
                <w:rPr>
                  <w:rFonts w:ascii="Cambria Math" w:hAnsi="Cambria Math"/>
                </w:rPr>
              </m:ctrlPr>
            </m:dPr>
            <m:e>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m:t>
              </m:r>
              <m:d>
                <m:dPr>
                  <m:ctrlPr>
                    <w:rPr>
                      <w:rFonts w:ascii="Cambria Math" w:hAnsi="Cambria Math"/>
                    </w:rPr>
                  </m:ctrlPr>
                </m:dPr>
                <m:e>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n</m:t>
                      </m:r>
                    </m:sub>
                  </m:sSub>
                  <m:r>
                    <w:rPr>
                      <w:rFonts w:ascii="Cambria Math" w:hAnsi="Cambria Math"/>
                    </w:rPr>
                    <m:t>+SE</m:t>
                  </m:r>
                  <m:sSub>
                    <m:sSubPr>
                      <m:ctrlPr>
                        <w:rPr>
                          <w:rFonts w:ascii="Cambria Math" w:hAnsi="Cambria Math"/>
                        </w:rPr>
                      </m:ctrlPr>
                    </m:sSubPr>
                    <m:e>
                      <m:r>
                        <w:rPr>
                          <w:rFonts w:ascii="Cambria Math" w:hAnsi="Cambria Math"/>
                        </w:rPr>
                        <m:t>C</m:t>
                      </m:r>
                    </m:e>
                    <m:sub>
                      <m:r>
                        <w:rPr>
                          <w:rFonts w:ascii="Cambria Math" w:hAnsi="Cambria Math"/>
                        </w:rPr>
                        <m:t>tol</m:t>
                      </m:r>
                    </m:sub>
                  </m:sSub>
                </m:e>
              </m:d>
            </m:e>
          </m:d>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N</m:t>
              </m:r>
            </m:sub>
          </m:sSub>
        </m:oMath>
      </m:oMathPara>
    </w:p>
    <w:p w14:paraId="64495760" w14:textId="77777777" w:rsidR="00026E66" w:rsidRDefault="002737EF" w:rsidP="00FF0098">
      <w:pPr>
        <w:tabs>
          <w:tab w:val="left" w:pos="0"/>
        </w:tabs>
      </w:pPr>
      <w:r>
        <w:t xml:space="preserve">The actual target period throughput will be lower than it would have been if the target unit had been in the scheme since the start of the target period. Therefore, the size of the surplus/buy-out will be in proportion to the length of time the target unit has been in the scheme. </w:t>
      </w:r>
    </w:p>
    <w:p w14:paraId="6CA9DAC9" w14:textId="77777777" w:rsidR="00026E66" w:rsidRDefault="002737EF" w:rsidP="00FF0098">
      <w:pPr>
        <w:pStyle w:val="Heading3"/>
        <w:tabs>
          <w:tab w:val="left" w:pos="0"/>
        </w:tabs>
      </w:pPr>
      <w:bookmarkStart w:id="278" w:name="_Toc95211884"/>
      <w:r>
        <w:t>10.4.6. How to report</w:t>
      </w:r>
      <w:bookmarkEnd w:id="278"/>
      <w:r>
        <w:t xml:space="preserve"> </w:t>
      </w:r>
    </w:p>
    <w:p w14:paraId="3940FC26" w14:textId="226DD4A1" w:rsidR="00026E66" w:rsidRPr="00B739EF" w:rsidRDefault="002737EF" w:rsidP="00B739EF">
      <w:pPr>
        <w:tabs>
          <w:tab w:val="left" w:pos="0"/>
        </w:tabs>
      </w:pPr>
      <w:r>
        <w:t>Reporting is through the online CCA register. For further information on how to download the partially populated target unit-specific reporting workbooks for the sector, please refer to the</w:t>
      </w:r>
      <w:hyperlink r:id="rId117" w:history="1">
        <w:r>
          <w:t xml:space="preserve"> </w:t>
        </w:r>
      </w:hyperlink>
      <w:hyperlink r:id="rId118" w:history="1">
        <w:r w:rsidRPr="00B739EF">
          <w:rPr>
            <w:rStyle w:val="Hyperlink"/>
          </w:rPr>
          <w:t>IT User Guide</w:t>
        </w:r>
      </w:hyperlink>
      <w:hyperlink r:id="rId119" w:history="1">
        <w:r>
          <w:t>.</w:t>
        </w:r>
      </w:hyperlink>
      <w:r>
        <w:t xml:space="preserve"> The following sections explain how to use these workbooks. </w:t>
      </w:r>
    </w:p>
    <w:p w14:paraId="0D16225D" w14:textId="77777777" w:rsidR="00026E66" w:rsidRDefault="002737EF" w:rsidP="00FF0098">
      <w:pPr>
        <w:pStyle w:val="Heading4"/>
        <w:tabs>
          <w:tab w:val="left" w:pos="0"/>
        </w:tabs>
        <w:rPr>
          <w:color w:val="auto"/>
          <w:szCs w:val="24"/>
        </w:rPr>
      </w:pPr>
      <w:r>
        <w:rPr>
          <w:color w:val="auto"/>
          <w:szCs w:val="24"/>
        </w:rPr>
        <w:t xml:space="preserve">10.4.6.1. The reporting workbook </w:t>
      </w:r>
    </w:p>
    <w:p w14:paraId="2530F41F" w14:textId="760C4CB3" w:rsidR="00026E66" w:rsidRDefault="002737EF" w:rsidP="00FF0098">
      <w:pPr>
        <w:tabs>
          <w:tab w:val="left" w:pos="0"/>
        </w:tabs>
      </w:pPr>
      <w:r>
        <w:t>Sector associations can download the partially populated reporting workbooks from the CCA register. The reporting workbook for each target unit is specific to the target type specified in the agreement and will be one of the following types:</w:t>
      </w:r>
      <w:r w:rsidR="00FC355D">
        <w:t xml:space="preserve"> </w:t>
      </w:r>
    </w:p>
    <w:p w14:paraId="621214CA" w14:textId="77777777" w:rsidR="00026E66" w:rsidRDefault="002737EF" w:rsidP="0065356B">
      <w:pPr>
        <w:pStyle w:val="ListParagraph"/>
        <w:numPr>
          <w:ilvl w:val="0"/>
          <w:numId w:val="87"/>
        </w:numPr>
        <w:tabs>
          <w:tab w:val="left" w:pos="0"/>
        </w:tabs>
      </w:pPr>
      <w:r>
        <w:t xml:space="preserve">Absolute energy target </w:t>
      </w:r>
    </w:p>
    <w:p w14:paraId="6AB466D1" w14:textId="77777777" w:rsidR="00026E66" w:rsidRDefault="002737EF" w:rsidP="0065356B">
      <w:pPr>
        <w:pStyle w:val="ListParagraph"/>
        <w:numPr>
          <w:ilvl w:val="0"/>
          <w:numId w:val="87"/>
        </w:numPr>
        <w:tabs>
          <w:tab w:val="left" w:pos="0"/>
        </w:tabs>
      </w:pPr>
      <w:r>
        <w:t xml:space="preserve">Novem carbon target </w:t>
      </w:r>
    </w:p>
    <w:p w14:paraId="25D94D2C" w14:textId="77777777" w:rsidR="00026E66" w:rsidRDefault="002737EF" w:rsidP="0065356B">
      <w:pPr>
        <w:pStyle w:val="ListParagraph"/>
        <w:numPr>
          <w:ilvl w:val="0"/>
          <w:numId w:val="87"/>
        </w:numPr>
        <w:tabs>
          <w:tab w:val="left" w:pos="0"/>
        </w:tabs>
      </w:pPr>
      <w:r>
        <w:t xml:space="preserve">Novem energy target </w:t>
      </w:r>
    </w:p>
    <w:p w14:paraId="1C726462" w14:textId="77777777" w:rsidR="00026E66" w:rsidRDefault="002737EF" w:rsidP="0065356B">
      <w:pPr>
        <w:pStyle w:val="ListParagraph"/>
        <w:numPr>
          <w:ilvl w:val="0"/>
          <w:numId w:val="87"/>
        </w:numPr>
        <w:tabs>
          <w:tab w:val="left" w:pos="0"/>
        </w:tabs>
      </w:pPr>
      <w:r>
        <w:t xml:space="preserve">Relative energy target </w:t>
      </w:r>
    </w:p>
    <w:p w14:paraId="6B81BD72" w14:textId="1570184B" w:rsidR="00026E66" w:rsidRDefault="002737EF" w:rsidP="00FF0098">
      <w:pPr>
        <w:tabs>
          <w:tab w:val="left" w:pos="0"/>
        </w:tabs>
      </w:pPr>
      <w:r>
        <w:t>The sector association must complete the workbook with data for the facilities making up the target unit. Some sections are specific to the target unit target type (</w:t>
      </w:r>
      <w:r w:rsidR="007A7512">
        <w:t>for example</w:t>
      </w:r>
      <w:r>
        <w:t xml:space="preserve"> </w:t>
      </w:r>
      <w:r>
        <w:lastRenderedPageBreak/>
        <w:t>Novem, SRM), meaning that data requirements may vary between the target units in a sector.</w:t>
      </w:r>
    </w:p>
    <w:p w14:paraId="6B4DA0F1" w14:textId="585B4AEC" w:rsidR="00026E66" w:rsidRDefault="002737EF" w:rsidP="00FF0098">
      <w:pPr>
        <w:tabs>
          <w:tab w:val="left" w:pos="0"/>
        </w:tabs>
      </w:pPr>
      <w:r>
        <w:t xml:space="preserve">Reporting workbooks and examples can be found in </w:t>
      </w:r>
      <w:hyperlink w:anchor="_Appendix_H:_Workbook" w:history="1">
        <w:r>
          <w:rPr>
            <w:rStyle w:val="Hyperlink"/>
          </w:rPr>
          <w:t>Appendix H</w:t>
        </w:r>
      </w:hyperlink>
      <w:r>
        <w:t>.</w:t>
      </w:r>
      <w:r w:rsidR="00FC355D">
        <w:t xml:space="preserve"> </w:t>
      </w:r>
      <w:r>
        <w:t xml:space="preserve">For further information on completing and submitting the reporting workbook, please refer to </w:t>
      </w:r>
      <w:hyperlink w:anchor="_Appendix_I:_The" w:history="1">
        <w:r>
          <w:rPr>
            <w:rStyle w:val="Hyperlink"/>
          </w:rPr>
          <w:t>Appendix I</w:t>
        </w:r>
      </w:hyperlink>
      <w:r>
        <w:t xml:space="preserve">. </w:t>
      </w:r>
    </w:p>
    <w:p w14:paraId="1C24385C" w14:textId="77777777" w:rsidR="00026E66" w:rsidRDefault="002737EF" w:rsidP="00FF0098">
      <w:pPr>
        <w:pStyle w:val="Heading3"/>
        <w:tabs>
          <w:tab w:val="left" w:pos="0"/>
        </w:tabs>
      </w:pPr>
      <w:bookmarkStart w:id="279" w:name="_Toc95211885"/>
      <w:r>
        <w:t>10.4.7. Reporting requirements for non-standard circumstances</w:t>
      </w:r>
      <w:bookmarkEnd w:id="279"/>
      <w:r>
        <w:t xml:space="preserve"> </w:t>
      </w:r>
    </w:p>
    <w:p w14:paraId="3492F02C" w14:textId="77777777" w:rsidR="00026E66" w:rsidRDefault="002737EF" w:rsidP="00FF0098">
      <w:pPr>
        <w:tabs>
          <w:tab w:val="left" w:pos="0"/>
        </w:tabs>
      </w:pPr>
      <w:r>
        <w:t>A few non-standard circumstances may arise when compiling report data. The following paragraphs set out the methods we require operators to apply when dealing with these circumstances.</w:t>
      </w:r>
    </w:p>
    <w:p w14:paraId="04149E28" w14:textId="77777777" w:rsidR="00026E66" w:rsidRDefault="002737EF" w:rsidP="00FF0098">
      <w:pPr>
        <w:pStyle w:val="Heading4"/>
        <w:tabs>
          <w:tab w:val="left" w:pos="0"/>
        </w:tabs>
        <w:rPr>
          <w:color w:val="auto"/>
          <w:szCs w:val="24"/>
        </w:rPr>
      </w:pPr>
      <w:r>
        <w:rPr>
          <w:color w:val="auto"/>
          <w:szCs w:val="24"/>
        </w:rPr>
        <w:t xml:space="preserve">10.4.7.1. Facilities that entered the scheme during migration without the required sub-metering in place </w:t>
      </w:r>
    </w:p>
    <w:p w14:paraId="260413AA" w14:textId="0567215E" w:rsidR="00026E66" w:rsidRDefault="002737EF" w:rsidP="00FF0098">
      <w:pPr>
        <w:tabs>
          <w:tab w:val="left" w:pos="0"/>
        </w:tabs>
      </w:pPr>
      <w:r>
        <w:t>At the beginning of the current scheme, target units from the old scheme were migrated into the new CCAs. At this time, facilities which required sub-metering but did not have it in place were allowed to stay in the scheme. This was on the condition that the required sub-meters were installed by 3</w:t>
      </w:r>
      <w:r w:rsidR="004B7AA4">
        <w:t xml:space="preserve">1 </w:t>
      </w:r>
      <w:r>
        <w:t>May 2013.</w:t>
      </w:r>
      <w:r w:rsidR="00FC355D">
        <w:t xml:space="preserve"> </w:t>
      </w:r>
      <w:r>
        <w:t xml:space="preserve">As a result, several facilities that migrated into the current scheme had up to five months where sub-meters were not in place and, consequently, for which metered energy consumption of the target facility cannot be reported. </w:t>
      </w:r>
    </w:p>
    <w:p w14:paraId="05731DE7" w14:textId="77777777" w:rsidR="00026E66" w:rsidRDefault="002737EF" w:rsidP="00FF0098">
      <w:pPr>
        <w:tabs>
          <w:tab w:val="left" w:pos="0"/>
        </w:tabs>
      </w:pPr>
      <w:r>
        <w:t xml:space="preserve">Sectors carried out variations to reconstruct the original baseline for target units affected by these circumstances. </w:t>
      </w:r>
    </w:p>
    <w:p w14:paraId="2C4EE2CA" w14:textId="77777777" w:rsidR="00026E66" w:rsidRDefault="002737EF" w:rsidP="00FF0098">
      <w:pPr>
        <w:tabs>
          <w:tab w:val="left" w:pos="0"/>
        </w:tabs>
        <w:spacing w:after="1" w:line="235" w:lineRule="auto"/>
        <w:ind w:right="746"/>
        <w:jc w:val="both"/>
        <w:rPr>
          <w:color w:val="auto"/>
        </w:rPr>
      </w:pPr>
      <w:r>
        <w:rPr>
          <w:color w:val="auto"/>
        </w:rPr>
        <w:t>For target period reporting, the following steps must be taken to determine energy use for the entire target period:</w:t>
      </w:r>
    </w:p>
    <w:p w14:paraId="695F17E0" w14:textId="77777777" w:rsidR="00026E66" w:rsidRDefault="002737EF" w:rsidP="0065356B">
      <w:pPr>
        <w:pStyle w:val="ListParagraph"/>
        <w:numPr>
          <w:ilvl w:val="0"/>
          <w:numId w:val="88"/>
        </w:numPr>
        <w:tabs>
          <w:tab w:val="left" w:pos="0"/>
        </w:tabs>
      </w:pPr>
      <w:r>
        <w:t>Use the available sub-metered data to calculate the percentage of total site energy use that was used in the target facility.</w:t>
      </w:r>
    </w:p>
    <w:p w14:paraId="0023EAEF" w14:textId="77777777" w:rsidR="00026E66" w:rsidRDefault="002737EF" w:rsidP="0065356B">
      <w:pPr>
        <w:pStyle w:val="ListParagraph"/>
        <w:numPr>
          <w:ilvl w:val="0"/>
          <w:numId w:val="88"/>
        </w:numPr>
        <w:tabs>
          <w:tab w:val="left" w:pos="0"/>
        </w:tabs>
      </w:pPr>
      <w:r>
        <w:t xml:space="preserve">Apply the percentage to the whole site data collected during the period of up to five months where no sub-metering was in place. </w:t>
      </w:r>
    </w:p>
    <w:p w14:paraId="7CF87E47" w14:textId="77777777" w:rsidR="00026E66" w:rsidRDefault="002737EF" w:rsidP="0065356B">
      <w:pPr>
        <w:pStyle w:val="ListParagraph"/>
        <w:numPr>
          <w:ilvl w:val="0"/>
          <w:numId w:val="88"/>
        </w:numPr>
        <w:tabs>
          <w:tab w:val="left" w:pos="0"/>
        </w:tabs>
      </w:pPr>
      <w:r>
        <w:t xml:space="preserve">Add the result of step 2 to the target facility energy use measured through sub-meters during the remainder of the target period. </w:t>
      </w:r>
    </w:p>
    <w:p w14:paraId="6411777B" w14:textId="77777777" w:rsidR="00026E66" w:rsidRDefault="002737EF" w:rsidP="00FF0098">
      <w:pPr>
        <w:pStyle w:val="Heading4"/>
        <w:tabs>
          <w:tab w:val="left" w:pos="0"/>
        </w:tabs>
        <w:rPr>
          <w:color w:val="auto"/>
          <w:szCs w:val="24"/>
        </w:rPr>
      </w:pPr>
      <w:r>
        <w:rPr>
          <w:color w:val="auto"/>
          <w:szCs w:val="24"/>
        </w:rPr>
        <w:t xml:space="preserve">10.4.7.2. The extent of the eligible facility changes during the target period </w:t>
      </w:r>
    </w:p>
    <w:p w14:paraId="0D21A47F" w14:textId="77777777" w:rsidR="00026E66" w:rsidRDefault="002737EF" w:rsidP="00FF0098">
      <w:pPr>
        <w:tabs>
          <w:tab w:val="left" w:pos="0"/>
        </w:tabs>
      </w:pPr>
      <w:r>
        <w:t xml:space="preserve">The extent of the eligible facility, with respect to the site, is considered to have changed in the following circumstances: </w:t>
      </w:r>
    </w:p>
    <w:p w14:paraId="5EB04472" w14:textId="77777777" w:rsidR="00026E66" w:rsidRDefault="002737EF" w:rsidP="0065356B">
      <w:pPr>
        <w:pStyle w:val="ListParagraph"/>
        <w:numPr>
          <w:ilvl w:val="0"/>
          <w:numId w:val="89"/>
        </w:numPr>
        <w:tabs>
          <w:tab w:val="left" w:pos="0"/>
        </w:tabs>
      </w:pPr>
      <w:r>
        <w:t>the energy used in the installation increases above 70% of the total site's energy use and the facility becomes fully eligible</w:t>
      </w:r>
    </w:p>
    <w:p w14:paraId="2B3EBEFA" w14:textId="77777777" w:rsidR="00026E66" w:rsidRDefault="002737EF" w:rsidP="0065356B">
      <w:pPr>
        <w:pStyle w:val="ListParagraph"/>
        <w:numPr>
          <w:ilvl w:val="0"/>
          <w:numId w:val="89"/>
        </w:numPr>
        <w:tabs>
          <w:tab w:val="left" w:pos="0"/>
        </w:tabs>
      </w:pPr>
      <w:r>
        <w:t>the energy used in the installation decreases below 70% of the total site's energy use and the facility becomes partially eligible</w:t>
      </w:r>
    </w:p>
    <w:p w14:paraId="21315670" w14:textId="77777777" w:rsidR="00026E66" w:rsidRDefault="002737EF" w:rsidP="00FF0098">
      <w:pPr>
        <w:pStyle w:val="Heading5"/>
        <w:tabs>
          <w:tab w:val="left" w:pos="0"/>
        </w:tabs>
      </w:pPr>
      <w:r>
        <w:lastRenderedPageBreak/>
        <w:t xml:space="preserve">Fully Eligible Reporting </w:t>
      </w:r>
    </w:p>
    <w:p w14:paraId="7CCDC373" w14:textId="77777777" w:rsidR="00026E66" w:rsidRDefault="002737EF" w:rsidP="00FF0098">
      <w:pPr>
        <w:tabs>
          <w:tab w:val="left" w:pos="0"/>
        </w:tabs>
        <w:ind w:right="182"/>
      </w:pPr>
      <w:r>
        <w:rPr>
          <w:color w:val="auto"/>
        </w:rPr>
        <w:t xml:space="preserve">Where a </w:t>
      </w:r>
      <w:r>
        <w:rPr>
          <w:color w:val="auto"/>
          <w:szCs w:val="24"/>
        </w:rPr>
        <w:t>facility’s eligibility changes from below 100% to 100%,</w:t>
      </w:r>
      <w:r>
        <w:rPr>
          <w:color w:val="auto"/>
        </w:rPr>
        <w:t xml:space="preserve"> the operator </w:t>
      </w:r>
      <w:r>
        <w:rPr>
          <w:color w:val="auto"/>
          <w:szCs w:val="24"/>
        </w:rPr>
        <w:t xml:space="preserve">is expected to have metered data available on which reporting </w:t>
      </w:r>
      <w:r>
        <w:rPr>
          <w:color w:val="auto"/>
        </w:rPr>
        <w:t xml:space="preserve">can </w:t>
      </w:r>
      <w:r>
        <w:rPr>
          <w:color w:val="auto"/>
          <w:szCs w:val="24"/>
        </w:rPr>
        <w:t>be based. The facility will now be</w:t>
      </w:r>
      <w:r>
        <w:rPr>
          <w:color w:val="auto"/>
        </w:rPr>
        <w:t xml:space="preserve"> the </w:t>
      </w:r>
      <w:r>
        <w:rPr>
          <w:color w:val="auto"/>
          <w:szCs w:val="24"/>
        </w:rPr>
        <w:t xml:space="preserve">whole site and the whole site's </w:t>
      </w:r>
      <w:r>
        <w:rPr>
          <w:color w:val="auto"/>
        </w:rPr>
        <w:t xml:space="preserve">energy </w:t>
      </w:r>
      <w:r>
        <w:rPr>
          <w:color w:val="auto"/>
          <w:szCs w:val="24"/>
        </w:rPr>
        <w:t>can be defined by</w:t>
      </w:r>
      <w:r>
        <w:rPr>
          <w:color w:val="auto"/>
        </w:rPr>
        <w:t xml:space="preserve"> the </w:t>
      </w:r>
      <w:r>
        <w:rPr>
          <w:color w:val="auto"/>
          <w:szCs w:val="24"/>
        </w:rPr>
        <w:t>main site</w:t>
      </w:r>
      <w:r>
        <w:rPr>
          <w:color w:val="auto"/>
        </w:rPr>
        <w:t xml:space="preserve"> meters. </w:t>
      </w:r>
      <w:r>
        <w:rPr>
          <w:color w:val="auto"/>
          <w:szCs w:val="24"/>
        </w:rPr>
        <w:t>A variation will</w:t>
      </w:r>
      <w:r>
        <w:rPr>
          <w:color w:val="auto"/>
        </w:rPr>
        <w:t xml:space="preserve"> have </w:t>
      </w:r>
      <w:r>
        <w:rPr>
          <w:color w:val="auto"/>
          <w:szCs w:val="24"/>
        </w:rPr>
        <w:t xml:space="preserve">been </w:t>
      </w:r>
      <w:r>
        <w:rPr>
          <w:color w:val="auto"/>
        </w:rPr>
        <w:t xml:space="preserve">submitted </w:t>
      </w:r>
      <w:r>
        <w:rPr>
          <w:color w:val="auto"/>
          <w:szCs w:val="24"/>
        </w:rPr>
        <w:t>to revise</w:t>
      </w:r>
      <w:r>
        <w:rPr>
          <w:color w:val="auto"/>
        </w:rPr>
        <w:t xml:space="preserve"> the baseline and </w:t>
      </w:r>
      <w:r>
        <w:rPr>
          <w:color w:val="auto"/>
          <w:szCs w:val="24"/>
        </w:rPr>
        <w:t xml:space="preserve">the </w:t>
      </w:r>
      <w:r>
        <w:rPr>
          <w:color w:val="auto"/>
        </w:rPr>
        <w:t xml:space="preserve">numerical targets </w:t>
      </w:r>
      <w:r>
        <w:rPr>
          <w:color w:val="auto"/>
          <w:szCs w:val="24"/>
        </w:rPr>
        <w:t>of</w:t>
      </w:r>
      <w:r>
        <w:rPr>
          <w:color w:val="auto"/>
        </w:rPr>
        <w:t xml:space="preserve"> the target unit. The </w:t>
      </w:r>
      <w:r>
        <w:rPr>
          <w:color w:val="auto"/>
          <w:szCs w:val="24"/>
        </w:rPr>
        <w:t>target unit will be required to</w:t>
      </w:r>
      <w:r>
        <w:rPr>
          <w:color w:val="auto"/>
        </w:rPr>
        <w:t xml:space="preserve"> report against the </w:t>
      </w:r>
      <w:r>
        <w:rPr>
          <w:color w:val="auto"/>
          <w:szCs w:val="24"/>
        </w:rPr>
        <w:t>revised eligible facility (whole site)</w:t>
      </w:r>
      <w:r>
        <w:rPr>
          <w:color w:val="auto"/>
        </w:rPr>
        <w:t xml:space="preserve"> for the </w:t>
      </w:r>
      <w:r>
        <w:rPr>
          <w:color w:val="auto"/>
          <w:szCs w:val="24"/>
        </w:rPr>
        <w:t>entire 24-month</w:t>
      </w:r>
      <w:r>
        <w:rPr>
          <w:color w:val="auto"/>
        </w:rPr>
        <w:t xml:space="preserve"> target period. </w:t>
      </w:r>
    </w:p>
    <w:p w14:paraId="7CD01EE4" w14:textId="77777777" w:rsidR="00026E66" w:rsidRDefault="002737EF" w:rsidP="00FF0098">
      <w:pPr>
        <w:tabs>
          <w:tab w:val="left" w:pos="0"/>
        </w:tabs>
        <w:ind w:right="182"/>
      </w:pPr>
      <w:r>
        <w:rPr>
          <w:color w:val="auto"/>
          <w:szCs w:val="24"/>
        </w:rPr>
        <w:t>Rules on</w:t>
      </w:r>
      <w:r>
        <w:rPr>
          <w:color w:val="auto"/>
        </w:rPr>
        <w:t xml:space="preserve"> reporting </w:t>
      </w:r>
      <w:r>
        <w:rPr>
          <w:color w:val="auto"/>
          <w:szCs w:val="24"/>
        </w:rPr>
        <w:t>do not change</w:t>
      </w:r>
      <w:r>
        <w:rPr>
          <w:color w:val="auto"/>
        </w:rPr>
        <w:t xml:space="preserve"> the </w:t>
      </w:r>
      <w:r>
        <w:rPr>
          <w:color w:val="auto"/>
          <w:szCs w:val="24"/>
        </w:rPr>
        <w:t>rules on claiming the</w:t>
      </w:r>
      <w:r>
        <w:rPr>
          <w:color w:val="auto"/>
        </w:rPr>
        <w:t xml:space="preserve"> CCL </w:t>
      </w:r>
      <w:r>
        <w:rPr>
          <w:color w:val="auto"/>
          <w:szCs w:val="24"/>
        </w:rPr>
        <w:t>rebate from HMRC.</w:t>
      </w:r>
      <w:r>
        <w:rPr>
          <w:color w:val="auto"/>
        </w:rPr>
        <w:t xml:space="preserve"> Discount may only be claimed on the energy that is eligible for the discount at that point in time.</w:t>
      </w:r>
      <w:r>
        <w:rPr>
          <w:color w:val="auto"/>
          <w:szCs w:val="24"/>
        </w:rPr>
        <w:t xml:space="preserve"> </w:t>
      </w:r>
    </w:p>
    <w:p w14:paraId="573E0471" w14:textId="77777777" w:rsidR="00026E66" w:rsidRDefault="002737EF" w:rsidP="00FF0098">
      <w:pPr>
        <w:pStyle w:val="Heading5"/>
        <w:tabs>
          <w:tab w:val="left" w:pos="0"/>
        </w:tabs>
      </w:pPr>
      <w:r>
        <w:t xml:space="preserve">Part Eligible Reporting </w:t>
      </w:r>
    </w:p>
    <w:p w14:paraId="26E83665" w14:textId="47E59EA3" w:rsidR="00026E66" w:rsidRPr="00B739EF" w:rsidRDefault="002737EF" w:rsidP="00B739EF">
      <w:pPr>
        <w:tabs>
          <w:tab w:val="left" w:pos="0"/>
        </w:tabs>
        <w:spacing w:after="0"/>
        <w:ind w:right="182"/>
      </w:pPr>
      <w:r>
        <w:rPr>
          <w:color w:val="auto"/>
        </w:rPr>
        <w:t xml:space="preserve">If </w:t>
      </w:r>
      <w:r>
        <w:rPr>
          <w:color w:val="auto"/>
          <w:szCs w:val="24"/>
        </w:rPr>
        <w:t>the</w:t>
      </w:r>
      <w:r>
        <w:rPr>
          <w:color w:val="auto"/>
        </w:rPr>
        <w:t xml:space="preserve"> facility </w:t>
      </w:r>
      <w:r>
        <w:rPr>
          <w:color w:val="auto"/>
          <w:szCs w:val="24"/>
        </w:rPr>
        <w:t>has been re-assessed as part</w:t>
      </w:r>
      <w:r>
        <w:rPr>
          <w:color w:val="auto"/>
        </w:rPr>
        <w:t xml:space="preserve"> eligible and </w:t>
      </w:r>
      <w:r>
        <w:rPr>
          <w:color w:val="auto"/>
          <w:szCs w:val="24"/>
        </w:rPr>
        <w:t xml:space="preserve">where </w:t>
      </w:r>
      <w:r>
        <w:rPr>
          <w:color w:val="auto"/>
        </w:rPr>
        <w:t xml:space="preserve">the operator has </w:t>
      </w:r>
      <w:r>
        <w:rPr>
          <w:color w:val="auto"/>
          <w:szCs w:val="24"/>
        </w:rPr>
        <w:t>a full 24 months of</w:t>
      </w:r>
      <w:r>
        <w:rPr>
          <w:color w:val="auto"/>
        </w:rPr>
        <w:t xml:space="preserve"> sub-</w:t>
      </w:r>
      <w:r>
        <w:rPr>
          <w:color w:val="auto"/>
          <w:szCs w:val="24"/>
        </w:rPr>
        <w:t>metered</w:t>
      </w:r>
      <w:r>
        <w:rPr>
          <w:color w:val="auto"/>
        </w:rPr>
        <w:t xml:space="preserve"> data</w:t>
      </w:r>
      <w:r>
        <w:rPr>
          <w:color w:val="auto"/>
          <w:szCs w:val="24"/>
        </w:rPr>
        <w:t>,</w:t>
      </w:r>
      <w:r>
        <w:rPr>
          <w:color w:val="auto"/>
        </w:rPr>
        <w:t xml:space="preserve"> the </w:t>
      </w:r>
      <w:r>
        <w:rPr>
          <w:color w:val="auto"/>
          <w:szCs w:val="24"/>
        </w:rPr>
        <w:t>sector</w:t>
      </w:r>
      <w:r>
        <w:rPr>
          <w:color w:val="auto"/>
        </w:rPr>
        <w:t xml:space="preserve"> should </w:t>
      </w:r>
      <w:r>
        <w:rPr>
          <w:color w:val="auto"/>
          <w:szCs w:val="24"/>
        </w:rPr>
        <w:t xml:space="preserve">only </w:t>
      </w:r>
      <w:r>
        <w:rPr>
          <w:color w:val="auto"/>
        </w:rPr>
        <w:t xml:space="preserve">report against the </w:t>
      </w:r>
      <w:r>
        <w:rPr>
          <w:color w:val="auto"/>
          <w:szCs w:val="24"/>
        </w:rPr>
        <w:t>revised</w:t>
      </w:r>
      <w:r>
        <w:rPr>
          <w:color w:val="auto"/>
        </w:rPr>
        <w:t xml:space="preserve"> eligible facility</w:t>
      </w:r>
      <w:r>
        <w:rPr>
          <w:color w:val="auto"/>
          <w:szCs w:val="24"/>
        </w:rPr>
        <w:t xml:space="preserve">. </w:t>
      </w:r>
      <w:r>
        <w:rPr>
          <w:color w:val="auto"/>
        </w:rPr>
        <w:t xml:space="preserve">If </w:t>
      </w:r>
      <w:r>
        <w:rPr>
          <w:color w:val="auto"/>
          <w:szCs w:val="24"/>
        </w:rPr>
        <w:t>this is not</w:t>
      </w:r>
      <w:r>
        <w:rPr>
          <w:color w:val="auto"/>
        </w:rPr>
        <w:t xml:space="preserve"> the </w:t>
      </w:r>
      <w:r>
        <w:rPr>
          <w:color w:val="auto"/>
          <w:szCs w:val="24"/>
        </w:rPr>
        <w:t>case</w:t>
      </w:r>
      <w:r>
        <w:rPr>
          <w:color w:val="auto"/>
        </w:rPr>
        <w:t xml:space="preserve">, the sector </w:t>
      </w:r>
      <w:r>
        <w:rPr>
          <w:color w:val="auto"/>
          <w:szCs w:val="24"/>
        </w:rPr>
        <w:t>must</w:t>
      </w:r>
      <w:r>
        <w:rPr>
          <w:color w:val="auto"/>
        </w:rPr>
        <w:t xml:space="preserve"> wait until the next target period </w:t>
      </w:r>
      <w:r>
        <w:rPr>
          <w:color w:val="auto"/>
          <w:szCs w:val="24"/>
        </w:rPr>
        <w:t xml:space="preserve">to amend the baseline, by which point sub- metering should have been installed. Facilities that are assessed as part eligible during a target period will have their </w:t>
      </w:r>
      <w:r>
        <w:rPr>
          <w:color w:val="auto"/>
        </w:rPr>
        <w:t xml:space="preserve">baseline and targets </w:t>
      </w:r>
      <w:r>
        <w:rPr>
          <w:color w:val="auto"/>
          <w:szCs w:val="24"/>
        </w:rPr>
        <w:t xml:space="preserve">revised after the end of the target period, once sub- metering has been </w:t>
      </w:r>
      <w:proofErr w:type="gramStart"/>
      <w:r>
        <w:rPr>
          <w:color w:val="auto"/>
          <w:szCs w:val="24"/>
        </w:rPr>
        <w:t>installed</w:t>
      </w:r>
      <w:proofErr w:type="gramEnd"/>
      <w:r>
        <w:rPr>
          <w:color w:val="auto"/>
          <w:szCs w:val="24"/>
        </w:rPr>
        <w:t xml:space="preserve"> and actual energy can be reported. For example, a target unit would therefore need to report at the end of TP1 on the basis of its original eligibility (100% of the site for the implicated </w:t>
      </w:r>
      <w:r>
        <w:rPr>
          <w:color w:val="auto"/>
        </w:rPr>
        <w:t>facility</w:t>
      </w:r>
      <w:r>
        <w:rPr>
          <w:color w:val="auto"/>
          <w:szCs w:val="24"/>
        </w:rPr>
        <w:t xml:space="preserve">) and targets. </w:t>
      </w:r>
    </w:p>
    <w:p w14:paraId="619973F1" w14:textId="3D438D64" w:rsidR="00026E66" w:rsidRDefault="002737EF" w:rsidP="00B739EF">
      <w:pPr>
        <w:tabs>
          <w:tab w:val="left" w:pos="0"/>
        </w:tabs>
        <w:spacing w:after="0"/>
        <w:ind w:right="182"/>
        <w:rPr>
          <w:color w:val="auto"/>
          <w:szCs w:val="24"/>
        </w:rPr>
      </w:pPr>
      <w:r>
        <w:rPr>
          <w:color w:val="auto"/>
          <w:szCs w:val="24"/>
        </w:rPr>
        <w:t>When 12 months of sub-metered data is submitted, the reconstructed baseline and target will only apply to the current target period onwards and will not be applied to previous target periods.</w:t>
      </w:r>
    </w:p>
    <w:p w14:paraId="79E06943" w14:textId="4047EB1D" w:rsidR="00026E66" w:rsidRPr="00B739EF" w:rsidRDefault="002737EF" w:rsidP="00B739EF">
      <w:pPr>
        <w:tabs>
          <w:tab w:val="left" w:pos="0"/>
        </w:tabs>
        <w:ind w:right="182"/>
      </w:pPr>
      <w:r>
        <w:rPr>
          <w:color w:val="auto"/>
        </w:rPr>
        <w:t xml:space="preserve">If sub-metering cannot be put in place </w:t>
      </w:r>
      <w:r>
        <w:rPr>
          <w:color w:val="auto"/>
          <w:szCs w:val="24"/>
        </w:rPr>
        <w:t>for</w:t>
      </w:r>
      <w:r>
        <w:rPr>
          <w:color w:val="auto"/>
        </w:rPr>
        <w:t xml:space="preserve"> the </w:t>
      </w:r>
      <w:r>
        <w:rPr>
          <w:color w:val="auto"/>
          <w:szCs w:val="24"/>
        </w:rPr>
        <w:t>beginning</w:t>
      </w:r>
      <w:r>
        <w:rPr>
          <w:color w:val="auto"/>
        </w:rPr>
        <w:t xml:space="preserve"> of the next target period</w:t>
      </w:r>
      <w:r>
        <w:rPr>
          <w:color w:val="auto"/>
          <w:szCs w:val="24"/>
        </w:rPr>
        <w:t xml:space="preserve"> (that is, 1 January 2015 for target period 2 (TP2), then the target unit</w:t>
      </w:r>
      <w:r>
        <w:rPr>
          <w:color w:val="auto"/>
        </w:rPr>
        <w:t xml:space="preserve"> must report actual sub-metered energy for the months in the next target period for which sub-metering is in place. For the period </w:t>
      </w:r>
      <w:r>
        <w:rPr>
          <w:color w:val="auto"/>
          <w:szCs w:val="24"/>
        </w:rPr>
        <w:t>of TP2 for which</w:t>
      </w:r>
      <w:r>
        <w:rPr>
          <w:color w:val="auto"/>
        </w:rPr>
        <w:t xml:space="preserve"> sub-metering was not in place, it </w:t>
      </w:r>
      <w:r>
        <w:rPr>
          <w:color w:val="auto"/>
          <w:szCs w:val="24"/>
        </w:rPr>
        <w:t>will</w:t>
      </w:r>
      <w:r>
        <w:rPr>
          <w:color w:val="auto"/>
        </w:rPr>
        <w:t xml:space="preserve"> report total site energy multiplied by</w:t>
      </w:r>
      <w:r>
        <w:rPr>
          <w:color w:val="auto"/>
          <w:szCs w:val="24"/>
        </w:rPr>
        <w:t xml:space="preserve"> a factor, with the factor being</w:t>
      </w:r>
      <w:r>
        <w:rPr>
          <w:color w:val="auto"/>
        </w:rPr>
        <w:t xml:space="preserve"> the ratio of energy consumed in the installation (plus 3/7th, if applicable) to the total energy consumed on the site during the period </w:t>
      </w:r>
      <w:r>
        <w:rPr>
          <w:color w:val="auto"/>
          <w:szCs w:val="24"/>
        </w:rPr>
        <w:t xml:space="preserve">of TP2 </w:t>
      </w:r>
      <w:r>
        <w:rPr>
          <w:color w:val="auto"/>
        </w:rPr>
        <w:t xml:space="preserve">for which sub-metering was in place. </w:t>
      </w:r>
    </w:p>
    <w:p w14:paraId="31333251" w14:textId="77777777" w:rsidR="00026E66" w:rsidRDefault="002737EF" w:rsidP="00FF0098">
      <w:pPr>
        <w:pStyle w:val="Heading4"/>
        <w:tabs>
          <w:tab w:val="left" w:pos="0"/>
        </w:tabs>
        <w:rPr>
          <w:color w:val="auto"/>
          <w:szCs w:val="24"/>
        </w:rPr>
      </w:pPr>
      <w:r>
        <w:rPr>
          <w:color w:val="auto"/>
          <w:szCs w:val="24"/>
        </w:rPr>
        <w:t xml:space="preserve">10.4.7.3. A facility leaves or joins ETS during the target period </w:t>
      </w:r>
    </w:p>
    <w:p w14:paraId="6100CDF7" w14:textId="655DAECB" w:rsidR="00026E66" w:rsidRPr="00B739EF" w:rsidRDefault="002737EF" w:rsidP="004C1365">
      <w:r>
        <w:t xml:space="preserve">The extent of the target facility changes if an ETS installation overlapping with a CCA facility exits ETS mid-way through the target period (for example. exiting at end of 2015 because its combustion plant fell below the 20MW threshold), or if some of the energy consumed by a CCA facility becomes covered by ETS during this time. This will also result in a revised target facility. </w:t>
      </w:r>
    </w:p>
    <w:p w14:paraId="175E2CD5" w14:textId="7A7B7FDF" w:rsidR="00026E66" w:rsidRPr="00B739EF" w:rsidRDefault="002737EF" w:rsidP="004C1365">
      <w:r>
        <w:lastRenderedPageBreak/>
        <w:t xml:space="preserve">Under these circumstances, the operator should report against the revised target facility (including/ excluding fuel which was/is covered by ETS) for the full target period within which the change took place. Data should be available to report against the new target facility for the full 24 month target period. </w:t>
      </w:r>
    </w:p>
    <w:p w14:paraId="51AA6289" w14:textId="6EE59A93" w:rsidR="00026E66" w:rsidRDefault="002737EF" w:rsidP="00B739EF">
      <w:pPr>
        <w:pStyle w:val="Heading4"/>
        <w:tabs>
          <w:tab w:val="left" w:pos="0"/>
        </w:tabs>
        <w:rPr>
          <w:color w:val="auto"/>
          <w:szCs w:val="24"/>
        </w:rPr>
      </w:pPr>
      <w:r>
        <w:rPr>
          <w:color w:val="auto"/>
          <w:szCs w:val="24"/>
        </w:rPr>
        <w:t xml:space="preserve">10.4.7.4. There are metering faults during the reporting period </w:t>
      </w:r>
    </w:p>
    <w:p w14:paraId="7119295C" w14:textId="177E4EAA" w:rsidR="00026E66" w:rsidRPr="00B739EF" w:rsidRDefault="002737EF" w:rsidP="004C1365">
      <w:r>
        <w:t>There may be gaps in energy supply data due to a metering fault that occurred during the target period. In these circumstances it is allowable to use one of four estimation techniques to fill the gaps:</w:t>
      </w:r>
      <w:r w:rsidR="00FC355D">
        <w:t xml:space="preserve"> </w:t>
      </w:r>
    </w:p>
    <w:p w14:paraId="6D54A122" w14:textId="77777777" w:rsidR="00026E66" w:rsidRDefault="002737EF" w:rsidP="0065356B">
      <w:pPr>
        <w:pStyle w:val="ListParagraph"/>
        <w:numPr>
          <w:ilvl w:val="0"/>
          <w:numId w:val="90"/>
        </w:numPr>
        <w:tabs>
          <w:tab w:val="left" w:pos="0"/>
        </w:tabs>
        <w:spacing w:after="68"/>
        <w:ind w:right="182"/>
      </w:pPr>
      <w:r w:rsidRPr="00B739EF">
        <w:rPr>
          <w:szCs w:val="24"/>
        </w:rPr>
        <w:t>Using</w:t>
      </w:r>
      <w:r>
        <w:t xml:space="preserve"> estimated bills</w:t>
      </w:r>
      <w:r w:rsidRPr="00B739EF">
        <w:rPr>
          <w:szCs w:val="24"/>
        </w:rPr>
        <w:t xml:space="preserve"> to obtain the data. </w:t>
      </w:r>
    </w:p>
    <w:p w14:paraId="62B69926" w14:textId="77777777" w:rsidR="00026E66" w:rsidRDefault="002737EF" w:rsidP="0065356B">
      <w:pPr>
        <w:pStyle w:val="ListParagraph"/>
        <w:numPr>
          <w:ilvl w:val="0"/>
          <w:numId w:val="90"/>
        </w:numPr>
        <w:tabs>
          <w:tab w:val="left" w:pos="0"/>
        </w:tabs>
        <w:spacing w:after="70"/>
        <w:ind w:right="182"/>
      </w:pPr>
      <w:r w:rsidRPr="00B739EF">
        <w:rPr>
          <w:szCs w:val="24"/>
        </w:rPr>
        <w:t>Using</w:t>
      </w:r>
      <w:r>
        <w:t xml:space="preserve"> a pro-rata technique to extrapolate actual data to cover the period of missing information</w:t>
      </w:r>
      <w:r w:rsidRPr="00B739EF">
        <w:rPr>
          <w:szCs w:val="24"/>
        </w:rPr>
        <w:t xml:space="preserve">. </w:t>
      </w:r>
    </w:p>
    <w:p w14:paraId="2BC289FD" w14:textId="5374C13C" w:rsidR="00026E66" w:rsidRPr="00B739EF" w:rsidRDefault="002737EF" w:rsidP="0065356B">
      <w:pPr>
        <w:pStyle w:val="ListParagraph"/>
        <w:numPr>
          <w:ilvl w:val="0"/>
          <w:numId w:val="90"/>
        </w:numPr>
        <w:tabs>
          <w:tab w:val="left" w:pos="0"/>
        </w:tabs>
        <w:spacing w:after="54"/>
        <w:ind w:right="182"/>
      </w:pPr>
      <w:r w:rsidRPr="00B739EF">
        <w:rPr>
          <w:szCs w:val="24"/>
        </w:rPr>
        <w:t>Using</w:t>
      </w:r>
      <w:r>
        <w:t xml:space="preserve"> data </w:t>
      </w:r>
      <w:r w:rsidRPr="00B739EF">
        <w:rPr>
          <w:szCs w:val="24"/>
        </w:rPr>
        <w:t>for the same supply for another</w:t>
      </w:r>
      <w:r>
        <w:t xml:space="preserve"> period</w:t>
      </w:r>
      <w:r w:rsidRPr="00B739EF">
        <w:rPr>
          <w:szCs w:val="24"/>
        </w:rPr>
        <w:t xml:space="preserve"> of time</w:t>
      </w:r>
      <w:r>
        <w:t xml:space="preserve"> for example </w:t>
      </w:r>
      <w:r w:rsidRPr="00B739EF">
        <w:rPr>
          <w:szCs w:val="24"/>
        </w:rPr>
        <w:t>another month as a proxy for the missing data. 4. Using</w:t>
      </w:r>
      <w:r>
        <w:t xml:space="preserve"> energy cost data to estimate the energy use for the missing </w:t>
      </w:r>
      <w:r w:rsidRPr="00B739EF">
        <w:rPr>
          <w:szCs w:val="24"/>
        </w:rPr>
        <w:t xml:space="preserve">time </w:t>
      </w:r>
      <w:r>
        <w:t>period</w:t>
      </w:r>
      <w:r w:rsidRPr="00B739EF">
        <w:rPr>
          <w:szCs w:val="24"/>
        </w:rPr>
        <w:t xml:space="preserve">. </w:t>
      </w:r>
    </w:p>
    <w:p w14:paraId="37C53B8B" w14:textId="6C2354F9" w:rsidR="00026E66" w:rsidRPr="00B739EF" w:rsidRDefault="002737EF" w:rsidP="00B739EF">
      <w:pPr>
        <w:tabs>
          <w:tab w:val="left" w:pos="0"/>
        </w:tabs>
        <w:spacing w:after="0"/>
        <w:ind w:right="182"/>
      </w:pPr>
      <w:r>
        <w:rPr>
          <w:color w:val="auto"/>
        </w:rPr>
        <w:t xml:space="preserve">The operator should </w:t>
      </w:r>
      <w:r>
        <w:rPr>
          <w:color w:val="auto"/>
          <w:szCs w:val="24"/>
        </w:rPr>
        <w:t>decide</w:t>
      </w:r>
      <w:r>
        <w:rPr>
          <w:color w:val="auto"/>
        </w:rPr>
        <w:t xml:space="preserve"> which of these </w:t>
      </w:r>
      <w:r>
        <w:rPr>
          <w:color w:val="auto"/>
          <w:szCs w:val="24"/>
        </w:rPr>
        <w:t xml:space="preserve">estimation </w:t>
      </w:r>
      <w:r>
        <w:rPr>
          <w:color w:val="auto"/>
        </w:rPr>
        <w:t>techniques is the most appropriate for the circumstances</w:t>
      </w:r>
      <w:r>
        <w:rPr>
          <w:color w:val="auto"/>
          <w:szCs w:val="24"/>
        </w:rPr>
        <w:t>, working with its facilitator</w:t>
      </w:r>
      <w:r>
        <w:rPr>
          <w:color w:val="auto"/>
        </w:rPr>
        <w:t xml:space="preserve">. </w:t>
      </w:r>
    </w:p>
    <w:p w14:paraId="603B4D6E" w14:textId="1C3692C5" w:rsidR="00026E66" w:rsidRPr="00B739EF" w:rsidRDefault="002737EF" w:rsidP="00B739EF">
      <w:pPr>
        <w:tabs>
          <w:tab w:val="left" w:pos="0"/>
        </w:tabs>
        <w:spacing w:after="0"/>
        <w:ind w:right="182"/>
      </w:pPr>
      <w:r>
        <w:rPr>
          <w:color w:val="auto"/>
        </w:rPr>
        <w:t xml:space="preserve">Missing supplier invoices are not </w:t>
      </w:r>
      <w:r>
        <w:rPr>
          <w:color w:val="auto"/>
          <w:szCs w:val="24"/>
        </w:rPr>
        <w:t>an allowable</w:t>
      </w:r>
      <w:r>
        <w:rPr>
          <w:color w:val="auto"/>
        </w:rPr>
        <w:t xml:space="preserve"> reason for </w:t>
      </w:r>
      <w:r>
        <w:rPr>
          <w:color w:val="auto"/>
          <w:szCs w:val="24"/>
        </w:rPr>
        <w:t>having</w:t>
      </w:r>
      <w:r>
        <w:rPr>
          <w:color w:val="auto"/>
        </w:rPr>
        <w:t xml:space="preserve"> gaps</w:t>
      </w:r>
      <w:r>
        <w:rPr>
          <w:color w:val="auto"/>
          <w:szCs w:val="24"/>
        </w:rPr>
        <w:t xml:space="preserve"> in data. The onus is on the operator to take its</w:t>
      </w:r>
      <w:r>
        <w:rPr>
          <w:color w:val="auto"/>
        </w:rPr>
        <w:t xml:space="preserve"> own meter readings at regular intervals</w:t>
      </w:r>
      <w:r>
        <w:rPr>
          <w:color w:val="auto"/>
          <w:szCs w:val="24"/>
        </w:rPr>
        <w:t xml:space="preserve"> in order to reduce reliance on supplier invoicing information. </w:t>
      </w:r>
    </w:p>
    <w:p w14:paraId="5E167084" w14:textId="77777777" w:rsidR="00026E66" w:rsidRDefault="002737EF" w:rsidP="00FF0098">
      <w:pPr>
        <w:tabs>
          <w:tab w:val="left" w:pos="0"/>
        </w:tabs>
        <w:spacing w:after="56"/>
        <w:ind w:right="182"/>
      </w:pPr>
      <w:r>
        <w:rPr>
          <w:color w:val="auto"/>
        </w:rPr>
        <w:t xml:space="preserve">More information on each of the four estimation techniques is provided in "How to manage energy recording and reporting when a meter fails" in </w:t>
      </w:r>
      <w:hyperlink w:anchor="_Appendix_F:_Estimation" w:history="1">
        <w:r>
          <w:rPr>
            <w:rStyle w:val="Hyperlink"/>
          </w:rPr>
          <w:t>Appendix F</w:t>
        </w:r>
      </w:hyperlink>
      <w:r>
        <w:rPr>
          <w:color w:val="auto"/>
        </w:rPr>
        <w:t xml:space="preserve">. </w:t>
      </w:r>
    </w:p>
    <w:p w14:paraId="1DE765F3" w14:textId="77777777" w:rsidR="00026E66" w:rsidRDefault="002737EF" w:rsidP="00FF0098">
      <w:pPr>
        <w:pStyle w:val="Heading4"/>
        <w:tabs>
          <w:tab w:val="left" w:pos="0"/>
        </w:tabs>
        <w:rPr>
          <w:color w:val="auto"/>
          <w:szCs w:val="24"/>
        </w:rPr>
      </w:pPr>
      <w:r>
        <w:rPr>
          <w:color w:val="auto"/>
          <w:szCs w:val="24"/>
        </w:rPr>
        <w:t xml:space="preserve">10.4.7.5. A facility within a multiple facility target unit leaves the scheme </w:t>
      </w:r>
    </w:p>
    <w:p w14:paraId="7548E8D9" w14:textId="1CBFEBB2" w:rsidR="00026E66" w:rsidRPr="00B739EF" w:rsidRDefault="002737EF" w:rsidP="00B739EF">
      <w:pPr>
        <w:tabs>
          <w:tab w:val="left" w:pos="0"/>
        </w:tabs>
        <w:spacing w:after="0"/>
        <w:ind w:right="182"/>
      </w:pPr>
      <w:r>
        <w:rPr>
          <w:color w:val="auto"/>
        </w:rPr>
        <w:t xml:space="preserve">Where a facility in a multiple facility target unit </w:t>
      </w:r>
      <w:r>
        <w:rPr>
          <w:color w:val="auto"/>
          <w:szCs w:val="24"/>
        </w:rPr>
        <w:t xml:space="preserve">leaves the scheme </w:t>
      </w:r>
      <w:r>
        <w:rPr>
          <w:color w:val="auto"/>
        </w:rPr>
        <w:t xml:space="preserve">but continues to </w:t>
      </w:r>
      <w:r>
        <w:rPr>
          <w:color w:val="auto"/>
          <w:szCs w:val="24"/>
        </w:rPr>
        <w:t>operate</w:t>
      </w:r>
      <w:r>
        <w:rPr>
          <w:color w:val="auto"/>
        </w:rPr>
        <w:t xml:space="preserve"> (for example </w:t>
      </w:r>
      <w:r>
        <w:rPr>
          <w:color w:val="auto"/>
          <w:szCs w:val="24"/>
        </w:rPr>
        <w:t>it leaves under the mineralogical/</w:t>
      </w:r>
      <w:r>
        <w:rPr>
          <w:color w:val="auto"/>
        </w:rPr>
        <w:t xml:space="preserve">metallurgical </w:t>
      </w:r>
      <w:r>
        <w:rPr>
          <w:color w:val="auto"/>
          <w:szCs w:val="24"/>
        </w:rPr>
        <w:t>CCL</w:t>
      </w:r>
      <w:r>
        <w:rPr>
          <w:color w:val="auto"/>
        </w:rPr>
        <w:t xml:space="preserve"> exemption </w:t>
      </w:r>
      <w:r>
        <w:rPr>
          <w:color w:val="auto"/>
          <w:szCs w:val="24"/>
        </w:rPr>
        <w:t>provisions), the target unit is re-baselined to reflect the removal of</w:t>
      </w:r>
      <w:r>
        <w:rPr>
          <w:color w:val="auto"/>
        </w:rPr>
        <w:t xml:space="preserve"> the </w:t>
      </w:r>
      <w:r>
        <w:rPr>
          <w:color w:val="auto"/>
          <w:szCs w:val="24"/>
        </w:rPr>
        <w:t>terminating</w:t>
      </w:r>
      <w:r>
        <w:rPr>
          <w:color w:val="auto"/>
        </w:rPr>
        <w:t xml:space="preserve"> facility’s base year energy and throughput. </w:t>
      </w:r>
      <w:r>
        <w:rPr>
          <w:color w:val="auto"/>
          <w:szCs w:val="24"/>
        </w:rPr>
        <w:t xml:space="preserve">The </w:t>
      </w:r>
      <w:r>
        <w:rPr>
          <w:color w:val="auto"/>
        </w:rPr>
        <w:t xml:space="preserve">original percentage improvement target </w:t>
      </w:r>
      <w:r>
        <w:rPr>
          <w:color w:val="auto"/>
          <w:szCs w:val="24"/>
        </w:rPr>
        <w:t xml:space="preserve">is then applied </w:t>
      </w:r>
      <w:r>
        <w:rPr>
          <w:color w:val="auto"/>
        </w:rPr>
        <w:t xml:space="preserve">to </w:t>
      </w:r>
      <w:r>
        <w:rPr>
          <w:color w:val="auto"/>
          <w:szCs w:val="24"/>
        </w:rPr>
        <w:t>this revised</w:t>
      </w:r>
      <w:r>
        <w:rPr>
          <w:color w:val="auto"/>
        </w:rPr>
        <w:t xml:space="preserve"> baseline </w:t>
      </w:r>
      <w:r>
        <w:rPr>
          <w:color w:val="auto"/>
          <w:szCs w:val="24"/>
        </w:rPr>
        <w:t xml:space="preserve">performance </w:t>
      </w:r>
      <w:r>
        <w:rPr>
          <w:color w:val="auto"/>
        </w:rPr>
        <w:t xml:space="preserve">to calculate </w:t>
      </w:r>
      <w:r>
        <w:rPr>
          <w:color w:val="auto"/>
          <w:szCs w:val="24"/>
        </w:rPr>
        <w:t>revised</w:t>
      </w:r>
      <w:r>
        <w:rPr>
          <w:color w:val="auto"/>
        </w:rPr>
        <w:t xml:space="preserve"> numerical </w:t>
      </w:r>
      <w:r>
        <w:rPr>
          <w:color w:val="auto"/>
          <w:szCs w:val="24"/>
        </w:rPr>
        <w:t>targets</w:t>
      </w:r>
      <w:r>
        <w:rPr>
          <w:color w:val="auto"/>
        </w:rPr>
        <w:t xml:space="preserve"> for the target unit</w:t>
      </w:r>
      <w:r>
        <w:rPr>
          <w:color w:val="auto"/>
          <w:szCs w:val="24"/>
        </w:rPr>
        <w:t xml:space="preserve"> remaining in the scheme. </w:t>
      </w:r>
    </w:p>
    <w:p w14:paraId="39F910C4" w14:textId="6BCB3759" w:rsidR="00026E66" w:rsidRPr="00B739EF" w:rsidRDefault="002737EF" w:rsidP="00B739EF">
      <w:pPr>
        <w:tabs>
          <w:tab w:val="left" w:pos="0"/>
        </w:tabs>
        <w:spacing w:after="2"/>
        <w:ind w:right="182"/>
      </w:pPr>
      <w:r>
        <w:rPr>
          <w:color w:val="auto"/>
        </w:rPr>
        <w:t>When reporting performance</w:t>
      </w:r>
      <w:r>
        <w:rPr>
          <w:color w:val="auto"/>
          <w:szCs w:val="24"/>
        </w:rPr>
        <w:t>,</w:t>
      </w:r>
      <w:r>
        <w:rPr>
          <w:color w:val="auto"/>
        </w:rPr>
        <w:t xml:space="preserve"> the target unit </w:t>
      </w:r>
      <w:r>
        <w:rPr>
          <w:color w:val="auto"/>
          <w:szCs w:val="24"/>
        </w:rPr>
        <w:t xml:space="preserve">remaining in the scheme </w:t>
      </w:r>
      <w:r>
        <w:rPr>
          <w:color w:val="auto"/>
        </w:rPr>
        <w:t xml:space="preserve">must not include the </w:t>
      </w:r>
      <w:r>
        <w:rPr>
          <w:color w:val="auto"/>
          <w:szCs w:val="24"/>
        </w:rPr>
        <w:t xml:space="preserve">leaving facility’s </w:t>
      </w:r>
      <w:r>
        <w:rPr>
          <w:color w:val="auto"/>
        </w:rPr>
        <w:t>energy and throughput</w:t>
      </w:r>
      <w:r>
        <w:rPr>
          <w:color w:val="auto"/>
          <w:szCs w:val="24"/>
        </w:rPr>
        <w:t xml:space="preserve">. </w:t>
      </w:r>
    </w:p>
    <w:p w14:paraId="0F6A4883" w14:textId="6E173B0E" w:rsidR="00026E66" w:rsidRDefault="002737EF" w:rsidP="00B739EF">
      <w:pPr>
        <w:pStyle w:val="Heading4"/>
        <w:tabs>
          <w:tab w:val="left" w:pos="0"/>
        </w:tabs>
        <w:rPr>
          <w:color w:val="auto"/>
          <w:szCs w:val="24"/>
        </w:rPr>
      </w:pPr>
      <w:r>
        <w:rPr>
          <w:color w:val="auto"/>
          <w:szCs w:val="24"/>
        </w:rPr>
        <w:t xml:space="preserve">10.4.7.6. A target unit or facility becomes ineligible during the target period, but its agreement is not terminated </w:t>
      </w:r>
    </w:p>
    <w:p w14:paraId="0E59CC15" w14:textId="651B2835" w:rsidR="00026E66" w:rsidRPr="00B739EF" w:rsidRDefault="002737EF" w:rsidP="00B739EF">
      <w:pPr>
        <w:tabs>
          <w:tab w:val="left" w:pos="0"/>
        </w:tabs>
        <w:ind w:right="182"/>
      </w:pPr>
      <w:r>
        <w:rPr>
          <w:color w:val="auto"/>
        </w:rPr>
        <w:t>The operator of a facility that ceases to be eligible for a CCA must notify us and terminate its agreement as it applies to the facility</w:t>
      </w:r>
      <w:r>
        <w:rPr>
          <w:color w:val="auto"/>
          <w:szCs w:val="24"/>
        </w:rPr>
        <w:t xml:space="preserve"> as soon as possible.</w:t>
      </w:r>
      <w:r>
        <w:rPr>
          <w:color w:val="auto"/>
        </w:rPr>
        <w:t xml:space="preserve"> See </w:t>
      </w:r>
      <w:hyperlink w:anchor="_7.5.1._Structural_change" w:history="1">
        <w:r>
          <w:rPr>
            <w:rStyle w:val="Hyperlink"/>
          </w:rPr>
          <w:t xml:space="preserve">section </w:t>
        </w:r>
        <w:r>
          <w:rPr>
            <w:rStyle w:val="Hyperlink"/>
          </w:rPr>
          <w:lastRenderedPageBreak/>
          <w:t>7.5.1</w:t>
        </w:r>
      </w:hyperlink>
      <w:r>
        <w:rPr>
          <w:color w:val="auto"/>
        </w:rPr>
        <w:t xml:space="preserve">. If the operator fails to </w:t>
      </w:r>
      <w:r>
        <w:rPr>
          <w:color w:val="auto"/>
          <w:szCs w:val="24"/>
        </w:rPr>
        <w:t>terminate</w:t>
      </w:r>
      <w:r>
        <w:rPr>
          <w:color w:val="auto"/>
        </w:rPr>
        <w:t xml:space="preserve"> before the end of the target period, it will </w:t>
      </w:r>
      <w:r>
        <w:rPr>
          <w:color w:val="auto"/>
          <w:szCs w:val="24"/>
        </w:rPr>
        <w:t>be required</w:t>
      </w:r>
      <w:r>
        <w:rPr>
          <w:color w:val="auto"/>
        </w:rPr>
        <w:t xml:space="preserve"> to include the facility's performance in its report for that target period.</w:t>
      </w:r>
      <w:r>
        <w:rPr>
          <w:color w:val="auto"/>
          <w:szCs w:val="24"/>
        </w:rPr>
        <w:t xml:space="preserve"> </w:t>
      </w:r>
      <w:r>
        <w:rPr>
          <w:color w:val="auto"/>
        </w:rPr>
        <w:t xml:space="preserve">In this circumstance, energy and throughput data </w:t>
      </w:r>
      <w:r>
        <w:rPr>
          <w:color w:val="auto"/>
          <w:szCs w:val="24"/>
        </w:rPr>
        <w:t>must be reported</w:t>
      </w:r>
      <w:r>
        <w:rPr>
          <w:color w:val="auto"/>
        </w:rPr>
        <w:t xml:space="preserve"> up to the date </w:t>
      </w:r>
      <w:r>
        <w:rPr>
          <w:color w:val="auto"/>
          <w:szCs w:val="24"/>
        </w:rPr>
        <w:t>at which</w:t>
      </w:r>
      <w:r>
        <w:rPr>
          <w:color w:val="auto"/>
        </w:rPr>
        <w:t xml:space="preserve"> the </w:t>
      </w:r>
      <w:r>
        <w:rPr>
          <w:color w:val="auto"/>
          <w:szCs w:val="24"/>
        </w:rPr>
        <w:t>target unit</w:t>
      </w:r>
      <w:r>
        <w:rPr>
          <w:color w:val="auto"/>
        </w:rPr>
        <w:t xml:space="preserve"> became ineligible.</w:t>
      </w:r>
      <w:r>
        <w:rPr>
          <w:color w:val="auto"/>
          <w:szCs w:val="24"/>
        </w:rPr>
        <w:t xml:space="preserve"> </w:t>
      </w:r>
    </w:p>
    <w:p w14:paraId="0CBBAEC7" w14:textId="5DE255F0" w:rsidR="00026E66" w:rsidRPr="00B739EF" w:rsidRDefault="002737EF" w:rsidP="00B739EF">
      <w:pPr>
        <w:pStyle w:val="Heading4"/>
        <w:tabs>
          <w:tab w:val="left" w:pos="0"/>
        </w:tabs>
      </w:pPr>
      <w:r>
        <w:rPr>
          <w:color w:val="auto"/>
          <w:szCs w:val="24"/>
        </w:rPr>
        <w:t>10.4.7.7. A target unit with a capacity throughput has</w:t>
      </w:r>
      <w:r>
        <w:rPr>
          <w:color w:val="auto"/>
        </w:rPr>
        <w:t xml:space="preserve"> a </w:t>
      </w:r>
      <w:r>
        <w:rPr>
          <w:color w:val="auto"/>
          <w:szCs w:val="24"/>
        </w:rPr>
        <w:t xml:space="preserve">change in </w:t>
      </w:r>
      <w:r>
        <w:rPr>
          <w:color w:val="auto"/>
        </w:rPr>
        <w:t>capacity</w:t>
      </w:r>
      <w:r>
        <w:rPr>
          <w:color w:val="auto"/>
          <w:szCs w:val="24"/>
        </w:rPr>
        <w:t xml:space="preserve"> </w:t>
      </w:r>
    </w:p>
    <w:p w14:paraId="2D2EA395" w14:textId="06D9412C" w:rsidR="00026E66" w:rsidRPr="00B739EF" w:rsidRDefault="002737EF" w:rsidP="004C1365">
      <w:r>
        <w:t>The throughput of some target units is expressed in terms of capacity such as the facility's area rather than actual physical throughput such as kg of product processed. Account must be taken of any changes to capacity throughput using a 'Time Weighted Capacity' for the target period report in the following circumstances:</w:t>
      </w:r>
      <w:r w:rsidR="00FC355D">
        <w:t xml:space="preserve"> </w:t>
      </w:r>
    </w:p>
    <w:p w14:paraId="7146463F" w14:textId="4E0BE466" w:rsidR="00026E66" w:rsidRDefault="002737EF" w:rsidP="0065356B">
      <w:pPr>
        <w:pStyle w:val="ListParagraph"/>
        <w:numPr>
          <w:ilvl w:val="0"/>
          <w:numId w:val="91"/>
        </w:numPr>
      </w:pPr>
      <w:r w:rsidRPr="00B739EF">
        <w:rPr>
          <w:szCs w:val="24"/>
        </w:rPr>
        <w:t>A</w:t>
      </w:r>
      <w:r>
        <w:t xml:space="preserve"> facility</w:t>
      </w:r>
      <w:r w:rsidRPr="00B739EF">
        <w:rPr>
          <w:szCs w:val="24"/>
        </w:rPr>
        <w:t xml:space="preserve"> using capacity as the throughput measure</w:t>
      </w:r>
      <w:r>
        <w:t xml:space="preserve"> joins the scheme part way through </w:t>
      </w:r>
      <w:r w:rsidRPr="00B739EF">
        <w:rPr>
          <w:szCs w:val="24"/>
        </w:rPr>
        <w:t>the</w:t>
      </w:r>
      <w:r>
        <w:t xml:space="preserve"> target period</w:t>
      </w:r>
    </w:p>
    <w:p w14:paraId="4EE7546C" w14:textId="55A96AA4" w:rsidR="00026E66" w:rsidRDefault="002737EF" w:rsidP="0065356B">
      <w:pPr>
        <w:pStyle w:val="ListParagraph"/>
        <w:numPr>
          <w:ilvl w:val="0"/>
          <w:numId w:val="91"/>
        </w:numPr>
      </w:pPr>
      <w:r w:rsidRPr="00B739EF">
        <w:rPr>
          <w:szCs w:val="24"/>
        </w:rPr>
        <w:t>A</w:t>
      </w:r>
      <w:r w:rsidRPr="00B739EF">
        <w:t xml:space="preserve"> facility </w:t>
      </w:r>
      <w:r w:rsidRPr="00B739EF">
        <w:rPr>
          <w:szCs w:val="24"/>
        </w:rPr>
        <w:t>expands (or contracts)</w:t>
      </w:r>
      <w:r w:rsidRPr="00B739EF">
        <w:t xml:space="preserve"> its capacity during the target period</w:t>
      </w:r>
      <w:r w:rsidRPr="00B739EF">
        <w:rPr>
          <w:szCs w:val="24"/>
        </w:rPr>
        <w:t xml:space="preserve">. </w:t>
      </w:r>
    </w:p>
    <w:p w14:paraId="2AD397E1" w14:textId="5F6CF51C" w:rsidR="00026E66" w:rsidRPr="00B739EF" w:rsidRDefault="002737EF" w:rsidP="004C1365">
      <w:r>
        <w:t xml:space="preserve">In both </w:t>
      </w:r>
      <w:r>
        <w:rPr>
          <w:szCs w:val="24"/>
        </w:rPr>
        <w:t xml:space="preserve">of these </w:t>
      </w:r>
      <w:r>
        <w:t xml:space="preserve">cases the energy consumption attributable to the facility will be a function of capacity and the time that it is available. Therefore, where the capacity changes from the base year value, or the capacity is only in the scheme for a part of the target period, expressing performance as energy consumption divided by 2 x base year capacity is inappropriate because the base year capacity is not relevant for the whole of the target period. </w:t>
      </w:r>
    </w:p>
    <w:p w14:paraId="127666F6" w14:textId="77777777" w:rsidR="00026E66" w:rsidRDefault="002737EF" w:rsidP="004C1365">
      <w:r>
        <w:t xml:space="preserve">The operator </w:t>
      </w:r>
      <w:r>
        <w:rPr>
          <w:szCs w:val="24"/>
        </w:rPr>
        <w:t>of</w:t>
      </w:r>
      <w:r>
        <w:t xml:space="preserve"> the </w:t>
      </w:r>
      <w:r>
        <w:rPr>
          <w:szCs w:val="24"/>
        </w:rPr>
        <w:t xml:space="preserve">target unit must report a </w:t>
      </w:r>
      <w:r>
        <w:t>‘Time Weighted Capacity’ for the target period</w:t>
      </w:r>
      <w:r>
        <w:rPr>
          <w:szCs w:val="24"/>
        </w:rPr>
        <w:t>, calculated</w:t>
      </w:r>
      <w:r>
        <w:t xml:space="preserve"> by dividing the actual capacity in operation at any one time by the number of months in the base year (12 months) and then multiplying the result by the number of months for which the capacity was operated within the target period.</w:t>
      </w:r>
      <w:r>
        <w:rPr>
          <w:szCs w:val="24"/>
        </w:rPr>
        <w:t xml:space="preserve"> </w:t>
      </w:r>
    </w:p>
    <w:p w14:paraId="6358A523" w14:textId="77777777" w:rsidR="00026E66" w:rsidRDefault="002737EF" w:rsidP="00FF0098">
      <w:pPr>
        <w:tabs>
          <w:tab w:val="left" w:pos="0"/>
        </w:tabs>
        <w:jc w:val="center"/>
      </w:pPr>
      <m:oMathPara>
        <m:oMathParaPr>
          <m:jc m:val="center"/>
        </m:oMathParaPr>
        <m:oMath>
          <m:r>
            <w:rPr>
              <w:rFonts w:ascii="Cambria Math" w:hAnsi="Cambria Math"/>
            </w:rPr>
            <m:t xml:space="preserve">Time weighted capacity = </m:t>
          </m:r>
          <m:d>
            <m:dPr>
              <m:ctrlPr>
                <w:rPr>
                  <w:rFonts w:ascii="Cambria Math" w:hAnsi="Cambria Math"/>
                </w:rPr>
              </m:ctrlPr>
            </m:dPr>
            <m:e>
              <m:f>
                <m:fPr>
                  <m:ctrlPr>
                    <w:rPr>
                      <w:rFonts w:ascii="Cambria Math" w:hAnsi="Cambria Math"/>
                    </w:rPr>
                  </m:ctrlPr>
                </m:fPr>
                <m:num>
                  <m:r>
                    <w:rPr>
                      <w:rFonts w:ascii="Cambria Math" w:hAnsi="Cambria Math"/>
                    </w:rPr>
                    <m:t>Capacity</m:t>
                  </m:r>
                </m:num>
                <m:den>
                  <m:r>
                    <w:rPr>
                      <w:rFonts w:ascii="Cambria Math" w:hAnsi="Cambria Math"/>
                    </w:rPr>
                    <m:t>Duration of base year</m:t>
                  </m:r>
                </m:den>
              </m:f>
            </m:e>
          </m:d>
          <m:r>
            <w:rPr>
              <w:rFonts w:ascii="Cambria Math" w:hAnsi="Cambria Math"/>
            </w:rPr>
            <m:t>×Duration of operation in target period</m:t>
          </m:r>
        </m:oMath>
      </m:oMathPara>
    </w:p>
    <w:p w14:paraId="5AC40B47" w14:textId="77777777" w:rsidR="00026E66" w:rsidRDefault="002737EF" w:rsidP="00FF0098">
      <w:pPr>
        <w:tabs>
          <w:tab w:val="left" w:pos="0"/>
        </w:tabs>
        <w:jc w:val="center"/>
      </w:pPr>
      <m:oMathPara>
        <m:oMathParaPr>
          <m:jc m:val="center"/>
        </m:oMathParaPr>
        <m:oMath>
          <m:r>
            <w:rPr>
              <w:rFonts w:ascii="Cambria Math" w:hAnsi="Cambria Math"/>
            </w:rPr>
            <m:t xml:space="preserve">Time weighted capacity= </m:t>
          </m:r>
          <m:nary>
            <m:naryPr>
              <m:chr m:val="∑"/>
              <m:limLoc m:val="undOvr"/>
              <m:ctrlPr>
                <w:rPr>
                  <w:rFonts w:ascii="Cambria Math" w:hAnsi="Cambria Math"/>
                </w:rPr>
              </m:ctrlPr>
            </m:naryPr>
            <m:sub/>
            <m:sup>
              <m:r>
                <w:rPr>
                  <w:rFonts w:ascii="Cambria Math" w:hAnsi="Cambria Math"/>
                </w:rPr>
                <m:t>i</m:t>
              </m:r>
            </m:sup>
            <m:e>
              <m:d>
                <m:dPr>
                  <m:ctrlPr>
                    <w:rPr>
                      <w:rFonts w:ascii="Cambria Math" w:hAnsi="Cambria Math"/>
                    </w:rPr>
                  </m:ctrlPr>
                </m:dPr>
                <m:e>
                  <m:f>
                    <m:fPr>
                      <m:ctrlPr>
                        <w:rPr>
                          <w:rFonts w:ascii="Cambria Math" w:hAnsi="Cambria Math"/>
                        </w:rPr>
                      </m:ctrlPr>
                    </m:fPr>
                    <m:num>
                      <m:r>
                        <w:rPr>
                          <w:rFonts w:ascii="Cambria Math" w:hAnsi="Cambria Math"/>
                        </w:rPr>
                        <m:t>Capacit</m:t>
                      </m:r>
                      <m:sSub>
                        <m:sSubPr>
                          <m:ctrlPr>
                            <w:rPr>
                              <w:rFonts w:ascii="Cambria Math" w:hAnsi="Cambria Math"/>
                            </w:rPr>
                          </m:ctrlPr>
                        </m:sSubPr>
                        <m:e>
                          <m:r>
                            <w:rPr>
                              <w:rFonts w:ascii="Cambria Math" w:hAnsi="Cambria Math"/>
                            </w:rPr>
                            <m:t>y</m:t>
                          </m:r>
                        </m:e>
                        <m:sub>
                          <m:r>
                            <w:rPr>
                              <w:rFonts w:ascii="Cambria Math" w:hAnsi="Cambria Math"/>
                            </w:rPr>
                            <m:t>i</m:t>
                          </m:r>
                        </m:sub>
                      </m:sSub>
                    </m:num>
                    <m:den>
                      <m:r>
                        <w:rPr>
                          <w:rFonts w:ascii="Cambria Math" w:hAnsi="Cambria Math"/>
                        </w:rPr>
                        <m:t>Duration of base year</m:t>
                      </m:r>
                    </m:den>
                  </m:f>
                  <m:r>
                    <w:rPr>
                      <w:rFonts w:ascii="Cambria Math" w:hAnsi="Cambria Math"/>
                    </w:rPr>
                    <m:t>×Duratio</m:t>
                  </m:r>
                  <m:sSub>
                    <m:sSubPr>
                      <m:ctrlPr>
                        <w:rPr>
                          <w:rFonts w:ascii="Cambria Math" w:hAnsi="Cambria Math"/>
                        </w:rPr>
                      </m:ctrlPr>
                    </m:sSubPr>
                    <m:e>
                      <m:r>
                        <w:rPr>
                          <w:rFonts w:ascii="Cambria Math" w:hAnsi="Cambria Math"/>
                        </w:rPr>
                        <m:t>n</m:t>
                      </m:r>
                    </m:e>
                    <m:sub>
                      <m:r>
                        <w:rPr>
                          <w:rFonts w:ascii="Cambria Math" w:hAnsi="Cambria Math"/>
                        </w:rPr>
                        <m:t>i</m:t>
                      </m:r>
                    </m:sub>
                  </m:sSub>
                  <m:r>
                    <w:rPr>
                      <w:rFonts w:ascii="Cambria Math" w:hAnsi="Cambria Math"/>
                    </w:rPr>
                    <m:t xml:space="preserve"> of operation in target period</m:t>
                  </m:r>
                </m:e>
              </m:d>
              <m:r>
                <m:rPr>
                  <m:sty m:val="p"/>
                </m:rPr>
                <w:rPr>
                  <w:rFonts w:ascii="Cambria Math" w:hAnsi="Cambria Math"/>
                </w:rPr>
                <m:t xml:space="preserve"> </m:t>
              </m:r>
            </m:e>
          </m:nary>
        </m:oMath>
      </m:oMathPara>
    </w:p>
    <w:p w14:paraId="2DF17B49" w14:textId="77777777" w:rsidR="00026E66" w:rsidRDefault="002737EF" w:rsidP="004C1365">
      <w:r>
        <w:t xml:space="preserve">Where </w:t>
      </w:r>
      <w:proofErr w:type="spellStart"/>
      <w:r>
        <w:rPr>
          <w:i/>
        </w:rPr>
        <w:t>i</w:t>
      </w:r>
      <w:proofErr w:type="spellEnd"/>
      <w:r>
        <w:rPr>
          <w:i/>
        </w:rPr>
        <w:t xml:space="preserve"> </w:t>
      </w:r>
      <w:r>
        <w:t xml:space="preserve">represents the time when each change in capacity occurred. </w:t>
      </w:r>
    </w:p>
    <w:p w14:paraId="175D900A" w14:textId="106F8417" w:rsidR="00026E66" w:rsidRPr="00B739EF" w:rsidRDefault="002737EF" w:rsidP="004C1365">
      <w:r>
        <w:rPr>
          <w:color w:val="auto"/>
        </w:rPr>
        <w:t>target period</w:t>
      </w:r>
      <w:r>
        <w:rPr>
          <w:color w:val="auto"/>
          <w:szCs w:val="24"/>
        </w:rPr>
        <w:t>. For new entrants</w:t>
      </w:r>
      <w:r>
        <w:rPr>
          <w:color w:val="auto"/>
        </w:rPr>
        <w:t xml:space="preserve"> we expect </w:t>
      </w:r>
      <w:r>
        <w:rPr>
          <w:color w:val="auto"/>
          <w:szCs w:val="24"/>
        </w:rPr>
        <w:t>units</w:t>
      </w:r>
      <w:r>
        <w:rPr>
          <w:color w:val="auto"/>
        </w:rPr>
        <w:t xml:space="preserve"> of days </w:t>
      </w:r>
      <w:r>
        <w:rPr>
          <w:color w:val="auto"/>
          <w:szCs w:val="24"/>
        </w:rPr>
        <w:t>to be used in the adjustment because</w:t>
      </w:r>
      <w:r>
        <w:rPr>
          <w:color w:val="auto"/>
        </w:rPr>
        <w:t xml:space="preserve"> the </w:t>
      </w:r>
      <w:r>
        <w:rPr>
          <w:color w:val="auto"/>
          <w:szCs w:val="24"/>
        </w:rPr>
        <w:t>day</w:t>
      </w:r>
      <w:r>
        <w:rPr>
          <w:color w:val="auto"/>
        </w:rPr>
        <w:t xml:space="preserve"> of </w:t>
      </w:r>
      <w:r>
        <w:rPr>
          <w:color w:val="auto"/>
          <w:szCs w:val="24"/>
        </w:rPr>
        <w:t xml:space="preserve">entry into the scheme </w:t>
      </w:r>
      <w:r>
        <w:rPr>
          <w:color w:val="auto"/>
        </w:rPr>
        <w:t xml:space="preserve">is </w:t>
      </w:r>
      <w:r>
        <w:rPr>
          <w:color w:val="auto"/>
          <w:szCs w:val="24"/>
        </w:rPr>
        <w:t>known.</w:t>
      </w:r>
      <w:r w:rsidR="00FC355D">
        <w:rPr>
          <w:color w:val="auto"/>
          <w:szCs w:val="24"/>
        </w:rPr>
        <w:t xml:space="preserve"> </w:t>
      </w:r>
      <w:r>
        <w:rPr>
          <w:color w:val="auto"/>
        </w:rPr>
        <w:t xml:space="preserve">For adjustments involving a change in capacity, identifying the day on which the capacity changed may be more difficult. </w:t>
      </w:r>
      <w:r>
        <w:rPr>
          <w:color w:val="auto"/>
          <w:szCs w:val="24"/>
        </w:rPr>
        <w:t>If</w:t>
      </w:r>
      <w:r>
        <w:rPr>
          <w:color w:val="auto"/>
        </w:rPr>
        <w:t xml:space="preserve"> this </w:t>
      </w:r>
      <w:r>
        <w:rPr>
          <w:color w:val="auto"/>
          <w:szCs w:val="24"/>
        </w:rPr>
        <w:t>cannot be done, then</w:t>
      </w:r>
      <w:r>
        <w:rPr>
          <w:color w:val="auto"/>
        </w:rPr>
        <w:t xml:space="preserve"> using months </w:t>
      </w:r>
      <w:r>
        <w:rPr>
          <w:color w:val="auto"/>
          <w:szCs w:val="24"/>
        </w:rPr>
        <w:t>in the adjustment is permissible</w:t>
      </w:r>
      <w:r>
        <w:rPr>
          <w:color w:val="auto"/>
        </w:rPr>
        <w:t xml:space="preserve">. If using months, you should only count the capacity for a month if that capacity ran for the whole month. </w:t>
      </w:r>
    </w:p>
    <w:p w14:paraId="7B6B971C" w14:textId="77777777" w:rsidR="00026E66" w:rsidRDefault="002737EF" w:rsidP="00FF0098">
      <w:pPr>
        <w:pStyle w:val="Heading2"/>
        <w:tabs>
          <w:tab w:val="left" w:pos="0"/>
        </w:tabs>
      </w:pPr>
      <w:bookmarkStart w:id="280" w:name="_Toc94718676"/>
      <w:bookmarkStart w:id="281" w:name="_Toc94088924"/>
      <w:bookmarkStart w:id="282" w:name="_Toc95211886"/>
      <w:r>
        <w:lastRenderedPageBreak/>
        <w:t>10.5. Treatment of errors</w:t>
      </w:r>
      <w:bookmarkEnd w:id="280"/>
      <w:bookmarkEnd w:id="281"/>
      <w:bookmarkEnd w:id="282"/>
      <w:r>
        <w:t xml:space="preserve"> </w:t>
      </w:r>
    </w:p>
    <w:p w14:paraId="69911850" w14:textId="77777777" w:rsidR="00026E66" w:rsidRDefault="002737EF" w:rsidP="00FF0098">
      <w:pPr>
        <w:tabs>
          <w:tab w:val="left" w:pos="0"/>
        </w:tabs>
        <w:ind w:right="182"/>
      </w:pPr>
      <w:r>
        <w:rPr>
          <w:color w:val="auto"/>
          <w:szCs w:val="24"/>
        </w:rPr>
        <w:t xml:space="preserve">If you report information as part of your target period reporting that differs from the information that should have been reported, you must correct the errors. You may be liable for penalties for the errors. See </w:t>
      </w:r>
      <w:hyperlink w:anchor="_8._Application_of" w:history="1">
        <w:r w:rsidRPr="00B739EF">
          <w:rPr>
            <w:rStyle w:val="Hyperlink"/>
            <w:szCs w:val="24"/>
          </w:rPr>
          <w:t>section 8</w:t>
        </w:r>
      </w:hyperlink>
      <w:r>
        <w:rPr>
          <w:color w:val="auto"/>
          <w:szCs w:val="24"/>
        </w:rPr>
        <w:t xml:space="preserve"> for details of the CCA penalties regime. Errors that could affect the information in your performance report include errors in: </w:t>
      </w:r>
    </w:p>
    <w:p w14:paraId="7E5E9ABD" w14:textId="77777777" w:rsidR="00026E66" w:rsidRDefault="002737EF" w:rsidP="0065356B">
      <w:pPr>
        <w:pStyle w:val="ListParagraph"/>
        <w:numPr>
          <w:ilvl w:val="0"/>
          <w:numId w:val="92"/>
        </w:numPr>
        <w:tabs>
          <w:tab w:val="left" w:pos="0"/>
        </w:tabs>
      </w:pPr>
      <w:r w:rsidRPr="00B739EF">
        <w:rPr>
          <w:szCs w:val="24"/>
        </w:rPr>
        <w:t>The energy supplies you have</w:t>
      </w:r>
      <w:r>
        <w:t xml:space="preserve"> used </w:t>
      </w:r>
      <w:r w:rsidRPr="00B739EF">
        <w:rPr>
          <w:szCs w:val="24"/>
        </w:rPr>
        <w:t xml:space="preserve">during the target period (such as missing energy supplies </w:t>
      </w:r>
      <w:r>
        <w:t xml:space="preserve">or data entered against the wrong </w:t>
      </w:r>
      <w:r w:rsidRPr="00B739EF">
        <w:rPr>
          <w:szCs w:val="24"/>
        </w:rPr>
        <w:t>energy supply</w:t>
      </w:r>
      <w:r>
        <w:t xml:space="preserve"> in the </w:t>
      </w:r>
      <w:r w:rsidRPr="00B739EF">
        <w:rPr>
          <w:szCs w:val="24"/>
        </w:rPr>
        <w:t xml:space="preserve">target period reporting template) </w:t>
      </w:r>
    </w:p>
    <w:p w14:paraId="0E633129" w14:textId="77777777" w:rsidR="00026E66" w:rsidRDefault="002737EF" w:rsidP="0065356B">
      <w:pPr>
        <w:pStyle w:val="ListParagraph"/>
        <w:numPr>
          <w:ilvl w:val="0"/>
          <w:numId w:val="92"/>
        </w:numPr>
        <w:tabs>
          <w:tab w:val="left" w:pos="0"/>
        </w:tabs>
      </w:pPr>
      <w:r w:rsidRPr="00B739EF">
        <w:rPr>
          <w:szCs w:val="24"/>
        </w:rPr>
        <w:t>How much</w:t>
      </w:r>
      <w:r>
        <w:t xml:space="preserve"> energy </w:t>
      </w:r>
      <w:r w:rsidRPr="00B739EF">
        <w:rPr>
          <w:szCs w:val="24"/>
        </w:rPr>
        <w:t xml:space="preserve">you have </w:t>
      </w:r>
      <w:r>
        <w:t xml:space="preserve">used </w:t>
      </w:r>
      <w:r w:rsidRPr="00B739EF">
        <w:rPr>
          <w:szCs w:val="24"/>
        </w:rPr>
        <w:t>(such as</w:t>
      </w:r>
      <w:r>
        <w:t xml:space="preserve"> inaccurate data, units</w:t>
      </w:r>
      <w:r w:rsidRPr="00B739EF">
        <w:rPr>
          <w:szCs w:val="24"/>
        </w:rPr>
        <w:t xml:space="preserve"> or</w:t>
      </w:r>
      <w:r>
        <w:t xml:space="preserve"> conversion factors</w:t>
      </w:r>
      <w:r w:rsidRPr="00B739EF">
        <w:rPr>
          <w:szCs w:val="24"/>
        </w:rPr>
        <w:t xml:space="preserve">) </w:t>
      </w:r>
    </w:p>
    <w:p w14:paraId="0E61A5F9" w14:textId="77777777" w:rsidR="00026E66" w:rsidRDefault="002737EF" w:rsidP="0065356B">
      <w:pPr>
        <w:pStyle w:val="ListParagraph"/>
        <w:numPr>
          <w:ilvl w:val="0"/>
          <w:numId w:val="92"/>
        </w:numPr>
        <w:tabs>
          <w:tab w:val="left" w:pos="0"/>
        </w:tabs>
      </w:pPr>
      <w:r w:rsidRPr="00B739EF">
        <w:rPr>
          <w:szCs w:val="24"/>
        </w:rPr>
        <w:t>Throughput information (such as</w:t>
      </w:r>
      <w:r>
        <w:t xml:space="preserve"> inaccurate data, units</w:t>
      </w:r>
      <w:r w:rsidRPr="00B739EF">
        <w:rPr>
          <w:szCs w:val="24"/>
        </w:rPr>
        <w:t xml:space="preserve"> or</w:t>
      </w:r>
      <w:r>
        <w:t xml:space="preserve"> conversion factors</w:t>
      </w:r>
      <w:r w:rsidRPr="00B739EF">
        <w:rPr>
          <w:szCs w:val="24"/>
        </w:rPr>
        <w:t>)</w:t>
      </w:r>
      <w:r>
        <w:t xml:space="preserve"> </w:t>
      </w:r>
    </w:p>
    <w:p w14:paraId="5328FE26" w14:textId="77777777" w:rsidR="00026E66" w:rsidRDefault="002737EF" w:rsidP="0065356B">
      <w:pPr>
        <w:pStyle w:val="ListParagraph"/>
        <w:numPr>
          <w:ilvl w:val="0"/>
          <w:numId w:val="92"/>
        </w:numPr>
        <w:tabs>
          <w:tab w:val="left" w:pos="0"/>
        </w:tabs>
      </w:pPr>
      <w:r w:rsidRPr="00B739EF">
        <w:rPr>
          <w:szCs w:val="24"/>
        </w:rPr>
        <w:t>Incorrect</w:t>
      </w:r>
      <w:r>
        <w:t xml:space="preserve"> target </w:t>
      </w:r>
      <w:r w:rsidRPr="00B739EF">
        <w:rPr>
          <w:szCs w:val="24"/>
        </w:rPr>
        <w:t>values in the report template due to</w:t>
      </w:r>
      <w:r>
        <w:t xml:space="preserve"> errors in the base year data </w:t>
      </w:r>
    </w:p>
    <w:p w14:paraId="66AAD696" w14:textId="77777777" w:rsidR="00026E66" w:rsidRDefault="002737EF" w:rsidP="00FF0098">
      <w:pPr>
        <w:tabs>
          <w:tab w:val="left" w:pos="0"/>
        </w:tabs>
      </w:pPr>
      <w:r>
        <w:rPr>
          <w:color w:val="auto"/>
        </w:rPr>
        <w:t xml:space="preserve">If the error in your report occurs due to an error in the underlying agreement, </w:t>
      </w:r>
      <w:r>
        <w:rPr>
          <w:color w:val="auto"/>
          <w:szCs w:val="24"/>
        </w:rPr>
        <w:t>you</w:t>
      </w:r>
      <w:r>
        <w:rPr>
          <w:color w:val="auto"/>
        </w:rPr>
        <w:t xml:space="preserve"> will need to correct the error </w:t>
      </w:r>
      <w:r>
        <w:rPr>
          <w:color w:val="auto"/>
          <w:szCs w:val="24"/>
        </w:rPr>
        <w:t xml:space="preserve">in the underlying agreement </w:t>
      </w:r>
      <w:r>
        <w:rPr>
          <w:color w:val="auto"/>
        </w:rPr>
        <w:t xml:space="preserve">before </w:t>
      </w:r>
      <w:r>
        <w:rPr>
          <w:color w:val="auto"/>
          <w:szCs w:val="24"/>
        </w:rPr>
        <w:t>resubmitting</w:t>
      </w:r>
      <w:r>
        <w:rPr>
          <w:color w:val="auto"/>
        </w:rPr>
        <w:t xml:space="preserve"> the </w:t>
      </w:r>
      <w:r>
        <w:rPr>
          <w:color w:val="auto"/>
          <w:szCs w:val="24"/>
        </w:rPr>
        <w:t xml:space="preserve">performance </w:t>
      </w:r>
      <w:r>
        <w:rPr>
          <w:color w:val="auto"/>
        </w:rPr>
        <w:t xml:space="preserve">report. </w:t>
      </w:r>
      <w:r>
        <w:rPr>
          <w:color w:val="auto"/>
          <w:szCs w:val="24"/>
        </w:rPr>
        <w:t>Similarly, if</w:t>
      </w:r>
      <w:r>
        <w:rPr>
          <w:color w:val="auto"/>
        </w:rPr>
        <w:t xml:space="preserve"> an error in the report data means that the target adjustment rules have not been applied correctly</w:t>
      </w:r>
      <w:r>
        <w:rPr>
          <w:color w:val="auto"/>
          <w:szCs w:val="24"/>
        </w:rPr>
        <w:t>, these will need to be processed</w:t>
      </w:r>
      <w:r>
        <w:rPr>
          <w:color w:val="auto"/>
        </w:rPr>
        <w:t xml:space="preserve"> before </w:t>
      </w:r>
      <w:r>
        <w:rPr>
          <w:color w:val="auto"/>
          <w:szCs w:val="24"/>
        </w:rPr>
        <w:t>resubmitting</w:t>
      </w:r>
      <w:r>
        <w:rPr>
          <w:color w:val="auto"/>
        </w:rPr>
        <w:t xml:space="preserve"> the performance report. </w:t>
      </w:r>
    </w:p>
    <w:p w14:paraId="42F73014" w14:textId="77777777" w:rsidR="00026E66" w:rsidRDefault="002737EF" w:rsidP="00FF0098">
      <w:pPr>
        <w:tabs>
          <w:tab w:val="left" w:pos="0"/>
        </w:tabs>
        <w:rPr>
          <w:color w:val="auto"/>
        </w:rPr>
      </w:pPr>
      <w:r>
        <w:rPr>
          <w:color w:val="auto"/>
        </w:rPr>
        <w:t>See section 7 for further guidance on submitting a variation to your underlying agreement.</w:t>
      </w:r>
    </w:p>
    <w:p w14:paraId="2BF7E935" w14:textId="5AA732D0" w:rsidR="00026E66" w:rsidRDefault="002737EF" w:rsidP="00B739EF">
      <w:pPr>
        <w:pStyle w:val="Heading3"/>
        <w:tabs>
          <w:tab w:val="left" w:pos="0"/>
        </w:tabs>
      </w:pPr>
      <w:bookmarkStart w:id="283" w:name="_Toc95211887"/>
      <w:r>
        <w:t>10.5.1. Resubmissions prior to 1 May reporting deadline</w:t>
      </w:r>
      <w:bookmarkEnd w:id="283"/>
      <w:r>
        <w:t xml:space="preserve"> </w:t>
      </w:r>
    </w:p>
    <w:p w14:paraId="60BA5FC2" w14:textId="77777777" w:rsidR="00026E66" w:rsidRDefault="002737EF" w:rsidP="004C1365">
      <w:r>
        <w:t xml:space="preserve">If you find an error before the reporting deadline (known as “initial” or “primary reporting”), we can accept a corrected version. </w:t>
      </w:r>
    </w:p>
    <w:p w14:paraId="68F87695" w14:textId="77777777" w:rsidR="00026E66" w:rsidRDefault="002737EF" w:rsidP="004C1365">
      <w:r>
        <w:t xml:space="preserve">To make a correction please send an email to </w:t>
      </w:r>
      <w:r>
        <w:rPr>
          <w:color w:val="0070C0"/>
          <w:u w:val="single" w:color="0077B9"/>
        </w:rPr>
        <w:t>cca-help@environment-agency.gov.uk</w:t>
      </w:r>
      <w:r>
        <w:rPr>
          <w:u w:val="single" w:color="0077B9"/>
        </w:rPr>
        <w:t xml:space="preserve"> </w:t>
      </w:r>
      <w:r>
        <w:t xml:space="preserve">stating the target unit identifier for the report you want to change. We will process these requests as soon as practicable and unlock your report on the CCA register. </w:t>
      </w:r>
    </w:p>
    <w:p w14:paraId="1EEA1B8E" w14:textId="77777777" w:rsidR="00026E66" w:rsidRDefault="002737EF" w:rsidP="004C1365">
      <w:r>
        <w:t xml:space="preserve">A new version of the report template will then become available to download from the register. </w:t>
      </w:r>
    </w:p>
    <w:p w14:paraId="45AC13DA" w14:textId="6DF884C3" w:rsidR="00026E66" w:rsidRDefault="002737EF" w:rsidP="004C1365">
      <w:r>
        <w:t xml:space="preserve">This new template should then be filled in with the corrected data and uploaded to the register. </w:t>
      </w:r>
    </w:p>
    <w:p w14:paraId="7582619E" w14:textId="0CCA3AB8" w:rsidR="00026E66" w:rsidRDefault="002737EF" w:rsidP="00FF0098">
      <w:pPr>
        <w:pStyle w:val="Heading3"/>
        <w:tabs>
          <w:tab w:val="left" w:pos="0"/>
        </w:tabs>
      </w:pPr>
      <w:bookmarkStart w:id="284" w:name="_Toc95211888"/>
      <w:r>
        <w:t>10.5.2. Resubmissions through secondary reporting</w:t>
      </w:r>
      <w:bookmarkEnd w:id="284"/>
      <w:r w:rsidR="00FC355D">
        <w:t xml:space="preserve"> </w:t>
      </w:r>
    </w:p>
    <w:p w14:paraId="25E7D8EB" w14:textId="77777777" w:rsidR="00026E66" w:rsidRDefault="002737EF" w:rsidP="00FF0098">
      <w:pPr>
        <w:tabs>
          <w:tab w:val="left" w:pos="0"/>
        </w:tabs>
        <w:ind w:right="182"/>
      </w:pPr>
      <w:r>
        <w:rPr>
          <w:color w:val="auto"/>
        </w:rPr>
        <w:t xml:space="preserve">If </w:t>
      </w:r>
      <w:r>
        <w:rPr>
          <w:color w:val="auto"/>
          <w:szCs w:val="24"/>
        </w:rPr>
        <w:t xml:space="preserve">you find an error </w:t>
      </w:r>
      <w:r>
        <w:rPr>
          <w:color w:val="auto"/>
        </w:rPr>
        <w:t xml:space="preserve">after the reporting deadline, </w:t>
      </w:r>
      <w:r>
        <w:rPr>
          <w:color w:val="auto"/>
          <w:szCs w:val="24"/>
        </w:rPr>
        <w:t>you</w:t>
      </w:r>
      <w:r>
        <w:rPr>
          <w:color w:val="auto"/>
        </w:rPr>
        <w:t xml:space="preserve"> may only submit a correction after the start of the new certification period (</w:t>
      </w:r>
      <w:r>
        <w:rPr>
          <w:color w:val="auto"/>
          <w:szCs w:val="24"/>
        </w:rPr>
        <w:t>this</w:t>
      </w:r>
      <w:r>
        <w:rPr>
          <w:color w:val="auto"/>
        </w:rPr>
        <w:t xml:space="preserve"> is known as “secondary reporting</w:t>
      </w:r>
      <w:r>
        <w:rPr>
          <w:color w:val="auto"/>
          <w:szCs w:val="24"/>
        </w:rPr>
        <w:t>”).</w:t>
      </w:r>
      <w:r>
        <w:rPr>
          <w:color w:val="auto"/>
        </w:rPr>
        <w:t xml:space="preserve"> </w:t>
      </w:r>
    </w:p>
    <w:p w14:paraId="4A798636" w14:textId="77777777" w:rsidR="00026E66" w:rsidRDefault="002737EF" w:rsidP="00FF0098">
      <w:pPr>
        <w:tabs>
          <w:tab w:val="left" w:pos="0"/>
        </w:tabs>
        <w:ind w:right="182"/>
      </w:pPr>
      <w:r>
        <w:rPr>
          <w:color w:val="auto"/>
          <w:szCs w:val="24"/>
        </w:rPr>
        <w:lastRenderedPageBreak/>
        <w:t>This restriction on corrections is necessary</w:t>
      </w:r>
      <w:r>
        <w:rPr>
          <w:color w:val="auto"/>
        </w:rPr>
        <w:t xml:space="preserve"> to ensure that </w:t>
      </w:r>
      <w:r>
        <w:rPr>
          <w:color w:val="auto"/>
          <w:szCs w:val="24"/>
        </w:rPr>
        <w:t xml:space="preserve">we publish an accurate </w:t>
      </w:r>
      <w:r>
        <w:rPr>
          <w:color w:val="auto"/>
        </w:rPr>
        <w:t xml:space="preserve">list of facilities </w:t>
      </w:r>
      <w:r>
        <w:rPr>
          <w:color w:val="auto"/>
          <w:szCs w:val="24"/>
        </w:rPr>
        <w:t>that are</w:t>
      </w:r>
      <w:r>
        <w:rPr>
          <w:color w:val="auto"/>
        </w:rPr>
        <w:t xml:space="preserve"> re-</w:t>
      </w:r>
      <w:r>
        <w:rPr>
          <w:color w:val="auto"/>
          <w:szCs w:val="24"/>
        </w:rPr>
        <w:t>certified in</w:t>
      </w:r>
      <w:r>
        <w:rPr>
          <w:color w:val="auto"/>
        </w:rPr>
        <w:t xml:space="preserve"> the new certification period</w:t>
      </w:r>
      <w:r>
        <w:rPr>
          <w:color w:val="auto"/>
          <w:szCs w:val="24"/>
        </w:rPr>
        <w:t xml:space="preserve">. </w:t>
      </w:r>
    </w:p>
    <w:p w14:paraId="331EB377" w14:textId="77777777" w:rsidR="00026E66" w:rsidRDefault="002737EF" w:rsidP="00FF0098">
      <w:pPr>
        <w:tabs>
          <w:tab w:val="left" w:pos="0"/>
        </w:tabs>
        <w:ind w:right="182"/>
      </w:pPr>
      <w:r>
        <w:rPr>
          <w:color w:val="auto"/>
          <w:szCs w:val="24"/>
        </w:rPr>
        <w:t>You should</w:t>
      </w:r>
      <w:r>
        <w:rPr>
          <w:color w:val="auto"/>
        </w:rPr>
        <w:t xml:space="preserve"> notify us of an error in </w:t>
      </w:r>
      <w:r>
        <w:rPr>
          <w:color w:val="auto"/>
          <w:szCs w:val="24"/>
        </w:rPr>
        <w:t>your</w:t>
      </w:r>
      <w:r>
        <w:rPr>
          <w:color w:val="auto"/>
        </w:rPr>
        <w:t xml:space="preserve"> report, by</w:t>
      </w:r>
      <w:r>
        <w:rPr>
          <w:color w:val="auto"/>
          <w:szCs w:val="24"/>
        </w:rPr>
        <w:t xml:space="preserve"> emailing </w:t>
      </w:r>
      <w:r>
        <w:rPr>
          <w:color w:val="0070C0"/>
          <w:szCs w:val="24"/>
          <w:u w:val="single" w:color="0077B9"/>
        </w:rPr>
        <w:t>cca-help@environment-agency.gov.uk</w:t>
      </w:r>
      <w:r>
        <w:rPr>
          <w:color w:val="auto"/>
          <w:szCs w:val="24"/>
        </w:rPr>
        <w:t>. You</w:t>
      </w:r>
      <w:r>
        <w:rPr>
          <w:color w:val="auto"/>
        </w:rPr>
        <w:t xml:space="preserve"> should identify the </w:t>
      </w:r>
      <w:r>
        <w:rPr>
          <w:color w:val="auto"/>
          <w:szCs w:val="24"/>
        </w:rPr>
        <w:t>error(s),</w:t>
      </w:r>
      <w:r>
        <w:rPr>
          <w:color w:val="auto"/>
        </w:rPr>
        <w:t xml:space="preserve"> how </w:t>
      </w:r>
      <w:r>
        <w:rPr>
          <w:color w:val="auto"/>
          <w:szCs w:val="24"/>
        </w:rPr>
        <w:t>it was</w:t>
      </w:r>
      <w:r>
        <w:rPr>
          <w:color w:val="auto"/>
        </w:rPr>
        <w:t xml:space="preserve"> identified and the steps </w:t>
      </w:r>
      <w:r>
        <w:rPr>
          <w:color w:val="auto"/>
          <w:szCs w:val="24"/>
        </w:rPr>
        <w:t xml:space="preserve">you have </w:t>
      </w:r>
      <w:r>
        <w:rPr>
          <w:color w:val="auto"/>
        </w:rPr>
        <w:t xml:space="preserve">taken to correct </w:t>
      </w:r>
      <w:r>
        <w:rPr>
          <w:color w:val="auto"/>
          <w:szCs w:val="24"/>
        </w:rPr>
        <w:t xml:space="preserve">it. </w:t>
      </w:r>
    </w:p>
    <w:p w14:paraId="5954918B" w14:textId="11C9272E" w:rsidR="00026E66" w:rsidRPr="00B739EF" w:rsidRDefault="002737EF" w:rsidP="00B739EF">
      <w:pPr>
        <w:tabs>
          <w:tab w:val="left" w:pos="0"/>
        </w:tabs>
        <w:spacing w:after="0"/>
        <w:ind w:right="182"/>
      </w:pPr>
      <w:r>
        <w:rPr>
          <w:color w:val="auto"/>
          <w:szCs w:val="24"/>
        </w:rPr>
        <w:t>When</w:t>
      </w:r>
      <w:r>
        <w:rPr>
          <w:color w:val="auto"/>
        </w:rPr>
        <w:t xml:space="preserve"> we are satisfied that </w:t>
      </w:r>
      <w:r>
        <w:rPr>
          <w:color w:val="auto"/>
          <w:szCs w:val="24"/>
        </w:rPr>
        <w:t>you</w:t>
      </w:r>
      <w:r>
        <w:rPr>
          <w:color w:val="auto"/>
        </w:rPr>
        <w:t xml:space="preserve"> will be able to submit </w:t>
      </w:r>
      <w:r>
        <w:rPr>
          <w:color w:val="auto"/>
          <w:szCs w:val="24"/>
        </w:rPr>
        <w:t>corrected data and, where relevant, have completed a variation to correct your underlying agreement</w:t>
      </w:r>
      <w:r>
        <w:rPr>
          <w:color w:val="auto"/>
        </w:rPr>
        <w:t xml:space="preserve"> we will </w:t>
      </w:r>
      <w:r>
        <w:rPr>
          <w:color w:val="auto"/>
          <w:szCs w:val="24"/>
        </w:rPr>
        <w:t>“</w:t>
      </w:r>
      <w:r>
        <w:rPr>
          <w:color w:val="auto"/>
        </w:rPr>
        <w:t>unlock</w:t>
      </w:r>
      <w:r>
        <w:rPr>
          <w:color w:val="auto"/>
          <w:szCs w:val="24"/>
        </w:rPr>
        <w:t>” your</w:t>
      </w:r>
      <w:r>
        <w:rPr>
          <w:color w:val="auto"/>
        </w:rPr>
        <w:t xml:space="preserve"> report on the CCA register.</w:t>
      </w:r>
      <w:r w:rsidR="00FC355D">
        <w:rPr>
          <w:color w:val="auto"/>
        </w:rPr>
        <w:t xml:space="preserve"> </w:t>
      </w:r>
      <w:r>
        <w:rPr>
          <w:color w:val="auto"/>
          <w:szCs w:val="24"/>
        </w:rPr>
        <w:t>A</w:t>
      </w:r>
      <w:r>
        <w:rPr>
          <w:color w:val="auto"/>
        </w:rPr>
        <w:t xml:space="preserve"> new version of the report template </w:t>
      </w:r>
      <w:r>
        <w:rPr>
          <w:color w:val="auto"/>
          <w:szCs w:val="24"/>
        </w:rPr>
        <w:t xml:space="preserve">will then be available to download </w:t>
      </w:r>
      <w:r>
        <w:rPr>
          <w:color w:val="auto"/>
        </w:rPr>
        <w:t>from the register</w:t>
      </w:r>
      <w:r>
        <w:rPr>
          <w:color w:val="auto"/>
          <w:szCs w:val="24"/>
        </w:rPr>
        <w:t>. This new template should be filled in</w:t>
      </w:r>
      <w:r>
        <w:rPr>
          <w:color w:val="auto"/>
        </w:rPr>
        <w:t xml:space="preserve"> with the corrected data </w:t>
      </w:r>
      <w:r>
        <w:rPr>
          <w:color w:val="auto"/>
          <w:szCs w:val="24"/>
        </w:rPr>
        <w:t>and uploaded to</w:t>
      </w:r>
      <w:r>
        <w:rPr>
          <w:color w:val="auto"/>
        </w:rPr>
        <w:t xml:space="preserve"> the register. </w:t>
      </w:r>
    </w:p>
    <w:p w14:paraId="395D2FBD" w14:textId="593A8A1A" w:rsidR="00026E66" w:rsidRPr="00B739EF" w:rsidRDefault="002737EF" w:rsidP="00B739EF">
      <w:pPr>
        <w:pStyle w:val="Heading3"/>
        <w:tabs>
          <w:tab w:val="left" w:pos="0"/>
        </w:tabs>
      </w:pPr>
      <w:bookmarkStart w:id="285" w:name="_Toc95211889"/>
      <w:r>
        <w:t>10.5.3. Re-assessing performance against the target and changes to surplus or buy-out following secondary reporting</w:t>
      </w:r>
      <w:bookmarkEnd w:id="285"/>
      <w:r>
        <w:t xml:space="preserve"> </w:t>
      </w:r>
    </w:p>
    <w:p w14:paraId="46FD4857" w14:textId="77777777" w:rsidR="00026E66" w:rsidRDefault="002737EF" w:rsidP="00FF0098">
      <w:pPr>
        <w:tabs>
          <w:tab w:val="left" w:pos="0"/>
        </w:tabs>
        <w:spacing w:after="161" w:line="235" w:lineRule="auto"/>
        <w:ind w:right="154"/>
        <w:jc w:val="both"/>
      </w:pPr>
      <w:r>
        <w:rPr>
          <w:color w:val="auto"/>
          <w:szCs w:val="24"/>
        </w:rPr>
        <w:t>Once you have submitted your correction</w:t>
      </w:r>
      <w:r>
        <w:rPr>
          <w:color w:val="auto"/>
        </w:rPr>
        <w:t xml:space="preserve">, we will reassess the </w:t>
      </w:r>
      <w:r>
        <w:rPr>
          <w:color w:val="auto"/>
          <w:szCs w:val="24"/>
        </w:rPr>
        <w:t>target unit</w:t>
      </w:r>
      <w:r>
        <w:rPr>
          <w:color w:val="auto"/>
        </w:rPr>
        <w:t xml:space="preserve"> against </w:t>
      </w:r>
      <w:r>
        <w:rPr>
          <w:color w:val="auto"/>
          <w:szCs w:val="24"/>
        </w:rPr>
        <w:t xml:space="preserve">your target. If the changes affect the amount of the buy-out fee or surplus calculated, we will update your account in the register with the new information. </w:t>
      </w:r>
    </w:p>
    <w:p w14:paraId="7DCD13E8" w14:textId="77777777" w:rsidR="00026E66" w:rsidRDefault="002737EF" w:rsidP="00FF0098">
      <w:pPr>
        <w:tabs>
          <w:tab w:val="left" w:pos="0"/>
        </w:tabs>
        <w:ind w:right="182"/>
      </w:pPr>
      <w:r>
        <w:rPr>
          <w:color w:val="auto"/>
          <w:szCs w:val="24"/>
        </w:rPr>
        <w:t xml:space="preserve">If the target unit has met </w:t>
      </w:r>
      <w:r>
        <w:rPr>
          <w:color w:val="auto"/>
        </w:rPr>
        <w:t>its target</w:t>
      </w:r>
      <w:r>
        <w:rPr>
          <w:color w:val="auto"/>
          <w:szCs w:val="24"/>
        </w:rPr>
        <w:t xml:space="preserve"> but there is an increase or decrease to the calculated surplus, we will update the CCA register but we </w:t>
      </w:r>
      <w:r>
        <w:rPr>
          <w:color w:val="auto"/>
        </w:rPr>
        <w:t xml:space="preserve">won’t formally notify </w:t>
      </w:r>
      <w:r>
        <w:rPr>
          <w:color w:val="auto"/>
          <w:szCs w:val="24"/>
        </w:rPr>
        <w:t>you</w:t>
      </w:r>
      <w:r>
        <w:rPr>
          <w:color w:val="auto"/>
        </w:rPr>
        <w:t xml:space="preserve"> of this. If </w:t>
      </w:r>
      <w:r>
        <w:rPr>
          <w:color w:val="auto"/>
          <w:szCs w:val="24"/>
        </w:rPr>
        <w:t>we find the target unit has</w:t>
      </w:r>
      <w:r>
        <w:rPr>
          <w:color w:val="auto"/>
        </w:rPr>
        <w:t xml:space="preserve"> failed </w:t>
      </w:r>
      <w:r>
        <w:rPr>
          <w:color w:val="auto"/>
          <w:szCs w:val="24"/>
        </w:rPr>
        <w:t>its</w:t>
      </w:r>
      <w:r>
        <w:rPr>
          <w:color w:val="auto"/>
        </w:rPr>
        <w:t xml:space="preserve"> target, </w:t>
      </w:r>
      <w:r>
        <w:rPr>
          <w:color w:val="auto"/>
          <w:szCs w:val="24"/>
        </w:rPr>
        <w:t xml:space="preserve">then </w:t>
      </w:r>
      <w:r>
        <w:rPr>
          <w:color w:val="auto"/>
        </w:rPr>
        <w:t xml:space="preserve">we will notify </w:t>
      </w:r>
      <w:r>
        <w:rPr>
          <w:color w:val="auto"/>
          <w:szCs w:val="24"/>
        </w:rPr>
        <w:t xml:space="preserve">you. </w:t>
      </w:r>
    </w:p>
    <w:p w14:paraId="3F81B779" w14:textId="77777777" w:rsidR="00026E66" w:rsidRDefault="002737EF" w:rsidP="00FF0098">
      <w:pPr>
        <w:tabs>
          <w:tab w:val="left" w:pos="0"/>
        </w:tabs>
        <w:ind w:right="182"/>
      </w:pPr>
      <w:r>
        <w:rPr>
          <w:color w:val="auto"/>
        </w:rPr>
        <w:t xml:space="preserve">If the </w:t>
      </w:r>
      <w:r>
        <w:rPr>
          <w:color w:val="auto"/>
          <w:szCs w:val="24"/>
        </w:rPr>
        <w:t xml:space="preserve">buy-out fee </w:t>
      </w:r>
      <w:r>
        <w:rPr>
          <w:color w:val="auto"/>
        </w:rPr>
        <w:t xml:space="preserve">decreases, we will </w:t>
      </w:r>
      <w:r>
        <w:rPr>
          <w:color w:val="auto"/>
          <w:szCs w:val="24"/>
        </w:rPr>
        <w:t xml:space="preserve">write to the operator explaining how you may claim a refund of any </w:t>
      </w:r>
      <w:r>
        <w:rPr>
          <w:color w:val="auto"/>
        </w:rPr>
        <w:t xml:space="preserve">buy-out fee due </w:t>
      </w:r>
      <w:r>
        <w:rPr>
          <w:color w:val="auto"/>
          <w:szCs w:val="24"/>
        </w:rPr>
        <w:t xml:space="preserve">that has already been paid to BEIS. </w:t>
      </w:r>
    </w:p>
    <w:p w14:paraId="37C7CB9C" w14:textId="129C4D85" w:rsidR="00B739EF" w:rsidRDefault="002737EF" w:rsidP="00B739EF">
      <w:pPr>
        <w:tabs>
          <w:tab w:val="left" w:pos="0"/>
        </w:tabs>
        <w:ind w:right="182"/>
      </w:pPr>
      <w:r>
        <w:rPr>
          <w:color w:val="auto"/>
          <w:szCs w:val="24"/>
        </w:rPr>
        <w:t xml:space="preserve">If the buy-out fee </w:t>
      </w:r>
      <w:r>
        <w:rPr>
          <w:color w:val="auto"/>
        </w:rPr>
        <w:t xml:space="preserve">increases, a notice and </w:t>
      </w:r>
      <w:proofErr w:type="spellStart"/>
      <w:r>
        <w:rPr>
          <w:color w:val="auto"/>
        </w:rPr>
        <w:t>MoA</w:t>
      </w:r>
      <w:proofErr w:type="spellEnd"/>
      <w:r>
        <w:rPr>
          <w:color w:val="auto"/>
        </w:rPr>
        <w:t xml:space="preserve"> </w:t>
      </w:r>
      <w:r>
        <w:rPr>
          <w:color w:val="auto"/>
          <w:szCs w:val="24"/>
        </w:rPr>
        <w:t xml:space="preserve">will be sent </w:t>
      </w:r>
      <w:r>
        <w:rPr>
          <w:color w:val="auto"/>
        </w:rPr>
        <w:t xml:space="preserve">to the operator requesting payment of the </w:t>
      </w:r>
      <w:r>
        <w:rPr>
          <w:color w:val="auto"/>
          <w:szCs w:val="24"/>
        </w:rPr>
        <w:t>(</w:t>
      </w:r>
      <w:r>
        <w:rPr>
          <w:color w:val="auto"/>
        </w:rPr>
        <w:t>additional</w:t>
      </w:r>
      <w:r>
        <w:rPr>
          <w:color w:val="auto"/>
          <w:szCs w:val="24"/>
        </w:rPr>
        <w:t>)</w:t>
      </w:r>
      <w:r>
        <w:rPr>
          <w:color w:val="auto"/>
        </w:rPr>
        <w:t xml:space="preserve"> buy-out fee due. The notice will </w:t>
      </w:r>
      <w:r>
        <w:rPr>
          <w:color w:val="auto"/>
          <w:szCs w:val="24"/>
        </w:rPr>
        <w:t>be as set out</w:t>
      </w:r>
      <w:r>
        <w:rPr>
          <w:color w:val="auto"/>
        </w:rPr>
        <w:t xml:space="preserve"> in </w:t>
      </w:r>
      <w:hyperlink w:anchor="_10.4.2.2._Buy-out" w:history="1">
        <w:r>
          <w:rPr>
            <w:rStyle w:val="Hyperlink"/>
          </w:rPr>
          <w:t>10.4.2.2</w:t>
        </w:r>
      </w:hyperlink>
      <w:r>
        <w:rPr>
          <w:color w:val="auto"/>
        </w:rPr>
        <w:t xml:space="preserve">. </w:t>
      </w:r>
    </w:p>
    <w:p w14:paraId="11569E64" w14:textId="77777777" w:rsidR="00B739EF" w:rsidRDefault="00B739EF">
      <w:pPr>
        <w:suppressAutoHyphens w:val="0"/>
        <w:spacing w:before="0" w:beforeAutospacing="0" w:after="160" w:afterAutospacing="0" w:line="256" w:lineRule="auto"/>
      </w:pPr>
      <w:r>
        <w:br w:type="page"/>
      </w:r>
    </w:p>
    <w:p w14:paraId="5E348361" w14:textId="2558BD24" w:rsidR="00026E66" w:rsidRDefault="002737EF" w:rsidP="00B739EF">
      <w:pPr>
        <w:pStyle w:val="Heading1"/>
        <w:tabs>
          <w:tab w:val="left" w:pos="0"/>
        </w:tabs>
      </w:pPr>
      <w:bookmarkStart w:id="286" w:name="_Toc94718677"/>
      <w:bookmarkStart w:id="287" w:name="_Toc94088925"/>
      <w:bookmarkStart w:id="288" w:name="_Toc95211890"/>
      <w:r>
        <w:lastRenderedPageBreak/>
        <w:t>11. List of abbreviations</w:t>
      </w:r>
      <w:bookmarkEnd w:id="286"/>
      <w:bookmarkEnd w:id="287"/>
      <w:bookmarkEnd w:id="288"/>
    </w:p>
    <w:tbl>
      <w:tblPr>
        <w:tblStyle w:val="TableGridLight"/>
        <w:tblW w:w="5000" w:type="pct"/>
        <w:tblLook w:val="0620" w:firstRow="1" w:lastRow="0" w:firstColumn="0" w:lastColumn="0" w:noHBand="1" w:noVBand="1"/>
      </w:tblPr>
      <w:tblGrid>
        <w:gridCol w:w="1885"/>
        <w:gridCol w:w="7744"/>
      </w:tblGrid>
      <w:tr w:rsidR="0017613C" w:rsidRPr="0017613C" w14:paraId="5B5E2385" w14:textId="77777777" w:rsidTr="0017613C">
        <w:trPr>
          <w:trHeight w:val="488"/>
        </w:trPr>
        <w:tc>
          <w:tcPr>
            <w:tcW w:w="979" w:type="pct"/>
          </w:tcPr>
          <w:p w14:paraId="251B5A88" w14:textId="344AB2CA" w:rsidR="0017613C" w:rsidRPr="0017613C" w:rsidRDefault="0017613C" w:rsidP="00FF0098">
            <w:pPr>
              <w:tabs>
                <w:tab w:val="left" w:pos="0"/>
              </w:tabs>
              <w:spacing w:after="117" w:line="256" w:lineRule="auto"/>
              <w:ind w:right="115"/>
              <w:rPr>
                <w:b/>
                <w:bCs/>
                <w:color w:val="auto"/>
              </w:rPr>
            </w:pPr>
            <w:r w:rsidRPr="0017613C">
              <w:rPr>
                <w:b/>
                <w:bCs/>
                <w:color w:val="auto"/>
              </w:rPr>
              <w:t>Abbreviation</w:t>
            </w:r>
          </w:p>
        </w:tc>
        <w:tc>
          <w:tcPr>
            <w:tcW w:w="4021" w:type="pct"/>
          </w:tcPr>
          <w:p w14:paraId="256CD618" w14:textId="0526CDA1" w:rsidR="0017613C" w:rsidRPr="0017613C" w:rsidRDefault="0017613C" w:rsidP="00FF0098">
            <w:pPr>
              <w:tabs>
                <w:tab w:val="left" w:pos="0"/>
              </w:tabs>
              <w:spacing w:after="0" w:line="256" w:lineRule="auto"/>
              <w:jc w:val="both"/>
              <w:rPr>
                <w:b/>
                <w:bCs/>
                <w:color w:val="auto"/>
              </w:rPr>
            </w:pPr>
            <w:r w:rsidRPr="0017613C">
              <w:rPr>
                <w:b/>
                <w:bCs/>
                <w:color w:val="auto"/>
              </w:rPr>
              <w:t xml:space="preserve">Full </w:t>
            </w:r>
            <w:r w:rsidR="00F22E60">
              <w:rPr>
                <w:b/>
                <w:bCs/>
                <w:color w:val="auto"/>
              </w:rPr>
              <w:t>term</w:t>
            </w:r>
          </w:p>
        </w:tc>
      </w:tr>
      <w:tr w:rsidR="0017613C" w14:paraId="7B881F06" w14:textId="77777777" w:rsidTr="0017613C">
        <w:trPr>
          <w:trHeight w:hRule="exact" w:val="488"/>
        </w:trPr>
        <w:tc>
          <w:tcPr>
            <w:tcW w:w="979" w:type="pct"/>
          </w:tcPr>
          <w:p w14:paraId="35AEB890" w14:textId="510D0D78" w:rsidR="0017613C" w:rsidRPr="00814652" w:rsidRDefault="0017613C" w:rsidP="0017613C">
            <w:pPr>
              <w:tabs>
                <w:tab w:val="left" w:pos="0"/>
              </w:tabs>
              <w:spacing w:after="0" w:line="256" w:lineRule="auto"/>
              <w:ind w:right="115"/>
              <w:rPr>
                <w:b/>
                <w:bCs/>
                <w:color w:val="auto"/>
              </w:rPr>
            </w:pPr>
            <w:r w:rsidRPr="00814652">
              <w:rPr>
                <w:b/>
                <w:bCs/>
                <w:color w:val="auto"/>
              </w:rPr>
              <w:t>BEIS</w:t>
            </w:r>
          </w:p>
        </w:tc>
        <w:tc>
          <w:tcPr>
            <w:tcW w:w="4021" w:type="pct"/>
          </w:tcPr>
          <w:p w14:paraId="0AEB2F74" w14:textId="7CCA848A" w:rsidR="0017613C" w:rsidRDefault="0017613C" w:rsidP="0017613C">
            <w:pPr>
              <w:tabs>
                <w:tab w:val="left" w:pos="0"/>
              </w:tabs>
              <w:spacing w:after="0" w:line="256" w:lineRule="auto"/>
              <w:rPr>
                <w:color w:val="auto"/>
              </w:rPr>
            </w:pPr>
            <w:r>
              <w:rPr>
                <w:color w:val="auto"/>
              </w:rPr>
              <w:t>Department for Business, Energy and Industrial Strategy</w:t>
            </w:r>
          </w:p>
        </w:tc>
      </w:tr>
      <w:tr w:rsidR="0017613C" w14:paraId="167715D4" w14:textId="77777777" w:rsidTr="0017613C">
        <w:trPr>
          <w:trHeight w:hRule="exact" w:val="488"/>
        </w:trPr>
        <w:tc>
          <w:tcPr>
            <w:tcW w:w="979" w:type="pct"/>
          </w:tcPr>
          <w:p w14:paraId="21BF8411" w14:textId="616B66B3" w:rsidR="0017613C" w:rsidRPr="00814652" w:rsidRDefault="0017613C" w:rsidP="0017613C">
            <w:pPr>
              <w:tabs>
                <w:tab w:val="left" w:pos="0"/>
              </w:tabs>
              <w:spacing w:after="0" w:line="256" w:lineRule="auto"/>
              <w:ind w:right="115"/>
              <w:rPr>
                <w:b/>
                <w:bCs/>
                <w:color w:val="auto"/>
              </w:rPr>
            </w:pPr>
            <w:r w:rsidRPr="00814652">
              <w:rPr>
                <w:b/>
                <w:bCs/>
                <w:color w:val="auto"/>
              </w:rPr>
              <w:t>CCA</w:t>
            </w:r>
          </w:p>
        </w:tc>
        <w:tc>
          <w:tcPr>
            <w:tcW w:w="4021" w:type="pct"/>
          </w:tcPr>
          <w:p w14:paraId="4B3A4BB4" w14:textId="704FC2CE" w:rsidR="0017613C" w:rsidRDefault="0017613C" w:rsidP="0017613C">
            <w:pPr>
              <w:tabs>
                <w:tab w:val="left" w:pos="0"/>
              </w:tabs>
              <w:spacing w:after="0" w:line="256" w:lineRule="auto"/>
              <w:rPr>
                <w:color w:val="auto"/>
              </w:rPr>
            </w:pPr>
            <w:r>
              <w:rPr>
                <w:color w:val="auto"/>
              </w:rPr>
              <w:t>Climate Change Agreement</w:t>
            </w:r>
          </w:p>
        </w:tc>
      </w:tr>
      <w:tr w:rsidR="0017613C" w14:paraId="605807FC" w14:textId="77777777" w:rsidTr="0017613C">
        <w:trPr>
          <w:trHeight w:hRule="exact" w:val="488"/>
        </w:trPr>
        <w:tc>
          <w:tcPr>
            <w:tcW w:w="979" w:type="pct"/>
          </w:tcPr>
          <w:p w14:paraId="156B1B44" w14:textId="77777777" w:rsidR="0017613C" w:rsidRPr="00814652" w:rsidRDefault="0017613C" w:rsidP="0017613C">
            <w:pPr>
              <w:tabs>
                <w:tab w:val="left" w:pos="0"/>
              </w:tabs>
              <w:spacing w:after="0" w:line="256" w:lineRule="auto"/>
              <w:ind w:right="115"/>
              <w:rPr>
                <w:b/>
                <w:bCs/>
                <w:color w:val="auto"/>
              </w:rPr>
            </w:pPr>
            <w:r w:rsidRPr="00814652">
              <w:rPr>
                <w:b/>
                <w:bCs/>
                <w:color w:val="auto"/>
              </w:rPr>
              <w:t>CCL</w:t>
            </w:r>
          </w:p>
        </w:tc>
        <w:tc>
          <w:tcPr>
            <w:tcW w:w="4021" w:type="pct"/>
          </w:tcPr>
          <w:p w14:paraId="4901AD09" w14:textId="77777777" w:rsidR="0017613C" w:rsidRDefault="0017613C" w:rsidP="0017613C">
            <w:pPr>
              <w:tabs>
                <w:tab w:val="left" w:pos="0"/>
              </w:tabs>
              <w:spacing w:after="0" w:line="256" w:lineRule="auto"/>
              <w:rPr>
                <w:color w:val="auto"/>
              </w:rPr>
            </w:pPr>
            <w:r>
              <w:rPr>
                <w:color w:val="auto"/>
              </w:rPr>
              <w:t xml:space="preserve">Climate Change Levy </w:t>
            </w:r>
          </w:p>
        </w:tc>
      </w:tr>
      <w:tr w:rsidR="0017613C" w14:paraId="170A1CFF" w14:textId="77777777" w:rsidTr="0017613C">
        <w:trPr>
          <w:trHeight w:hRule="exact" w:val="488"/>
        </w:trPr>
        <w:tc>
          <w:tcPr>
            <w:tcW w:w="979" w:type="pct"/>
          </w:tcPr>
          <w:p w14:paraId="2C3746F5" w14:textId="77777777" w:rsidR="0017613C" w:rsidRPr="00814652" w:rsidRDefault="0017613C" w:rsidP="0017613C">
            <w:pPr>
              <w:tabs>
                <w:tab w:val="left" w:pos="0"/>
              </w:tabs>
              <w:spacing w:after="0" w:line="256" w:lineRule="auto"/>
              <w:ind w:right="115"/>
              <w:rPr>
                <w:b/>
                <w:bCs/>
                <w:color w:val="auto"/>
              </w:rPr>
            </w:pPr>
            <w:r w:rsidRPr="00814652">
              <w:rPr>
                <w:b/>
                <w:bCs/>
                <w:color w:val="auto"/>
              </w:rPr>
              <w:t>Ce</w:t>
            </w:r>
          </w:p>
        </w:tc>
        <w:tc>
          <w:tcPr>
            <w:tcW w:w="4021" w:type="pct"/>
          </w:tcPr>
          <w:p w14:paraId="5FA9FADF" w14:textId="77777777" w:rsidR="0017613C" w:rsidRDefault="0017613C" w:rsidP="0017613C">
            <w:pPr>
              <w:tabs>
                <w:tab w:val="left" w:pos="0"/>
              </w:tabs>
              <w:spacing w:after="0" w:line="256" w:lineRule="auto"/>
              <w:rPr>
                <w:color w:val="auto"/>
              </w:rPr>
            </w:pPr>
            <w:r>
              <w:rPr>
                <w:color w:val="auto"/>
              </w:rPr>
              <w:t xml:space="preserve">Carbon equivalent </w:t>
            </w:r>
          </w:p>
        </w:tc>
      </w:tr>
      <w:tr w:rsidR="0017613C" w14:paraId="4759AE8F" w14:textId="77777777" w:rsidTr="0017613C">
        <w:trPr>
          <w:trHeight w:hRule="exact" w:val="488"/>
        </w:trPr>
        <w:tc>
          <w:tcPr>
            <w:tcW w:w="979" w:type="pct"/>
          </w:tcPr>
          <w:p w14:paraId="7A073042" w14:textId="77777777" w:rsidR="0017613C" w:rsidRPr="00814652" w:rsidRDefault="0017613C" w:rsidP="0017613C">
            <w:pPr>
              <w:tabs>
                <w:tab w:val="left" w:pos="0"/>
              </w:tabs>
              <w:spacing w:after="0" w:line="256" w:lineRule="auto"/>
              <w:ind w:right="115"/>
              <w:rPr>
                <w:b/>
                <w:bCs/>
                <w:color w:val="auto"/>
              </w:rPr>
            </w:pPr>
            <w:r w:rsidRPr="00814652">
              <w:rPr>
                <w:b/>
                <w:bCs/>
                <w:color w:val="auto"/>
              </w:rPr>
              <w:t>CHP</w:t>
            </w:r>
          </w:p>
        </w:tc>
        <w:tc>
          <w:tcPr>
            <w:tcW w:w="4021" w:type="pct"/>
          </w:tcPr>
          <w:p w14:paraId="00D35B14" w14:textId="77777777" w:rsidR="0017613C" w:rsidRDefault="0017613C" w:rsidP="0017613C">
            <w:pPr>
              <w:tabs>
                <w:tab w:val="left" w:pos="0"/>
              </w:tabs>
              <w:spacing w:after="0" w:line="256" w:lineRule="auto"/>
              <w:rPr>
                <w:color w:val="auto"/>
              </w:rPr>
            </w:pPr>
            <w:r>
              <w:rPr>
                <w:color w:val="auto"/>
              </w:rPr>
              <w:t xml:space="preserve">Combined Heat and Power </w:t>
            </w:r>
          </w:p>
        </w:tc>
      </w:tr>
      <w:tr w:rsidR="0017613C" w14:paraId="274C0C9E" w14:textId="77777777" w:rsidTr="0017613C">
        <w:trPr>
          <w:trHeight w:hRule="exact" w:val="488"/>
        </w:trPr>
        <w:tc>
          <w:tcPr>
            <w:tcW w:w="979" w:type="pct"/>
          </w:tcPr>
          <w:p w14:paraId="568A88CE" w14:textId="77777777" w:rsidR="0017613C" w:rsidRPr="00814652" w:rsidRDefault="0017613C" w:rsidP="0017613C">
            <w:pPr>
              <w:tabs>
                <w:tab w:val="left" w:pos="0"/>
              </w:tabs>
              <w:spacing w:after="0" w:line="256" w:lineRule="auto"/>
              <w:ind w:right="115"/>
              <w:rPr>
                <w:b/>
                <w:bCs/>
                <w:color w:val="auto"/>
              </w:rPr>
            </w:pPr>
            <w:r w:rsidRPr="00814652">
              <w:rPr>
                <w:b/>
                <w:bCs/>
                <w:color w:val="auto"/>
              </w:rPr>
              <w:t>CHPQA</w:t>
            </w:r>
          </w:p>
        </w:tc>
        <w:tc>
          <w:tcPr>
            <w:tcW w:w="4021" w:type="pct"/>
          </w:tcPr>
          <w:p w14:paraId="1BAF1883" w14:textId="77777777" w:rsidR="0017613C" w:rsidRDefault="0017613C" w:rsidP="0017613C">
            <w:pPr>
              <w:tabs>
                <w:tab w:val="left" w:pos="0"/>
              </w:tabs>
              <w:spacing w:after="0" w:line="256" w:lineRule="auto"/>
              <w:rPr>
                <w:color w:val="auto"/>
              </w:rPr>
            </w:pPr>
            <w:r>
              <w:rPr>
                <w:color w:val="auto"/>
              </w:rPr>
              <w:t xml:space="preserve">Combined Heat and Power Quality Assurance </w:t>
            </w:r>
          </w:p>
        </w:tc>
      </w:tr>
      <w:tr w:rsidR="0017613C" w14:paraId="0217E3B8" w14:textId="77777777" w:rsidTr="0017613C">
        <w:trPr>
          <w:trHeight w:hRule="exact" w:val="488"/>
        </w:trPr>
        <w:tc>
          <w:tcPr>
            <w:tcW w:w="979" w:type="pct"/>
          </w:tcPr>
          <w:p w14:paraId="2B8CD7A0" w14:textId="77777777" w:rsidR="0017613C" w:rsidRPr="00814652" w:rsidRDefault="0017613C" w:rsidP="0017613C">
            <w:pPr>
              <w:tabs>
                <w:tab w:val="left" w:pos="0"/>
              </w:tabs>
              <w:spacing w:after="0" w:line="256" w:lineRule="auto"/>
              <w:ind w:right="115"/>
              <w:rPr>
                <w:b/>
                <w:bCs/>
                <w:color w:val="auto"/>
              </w:rPr>
            </w:pPr>
            <w:r w:rsidRPr="00814652">
              <w:rPr>
                <w:b/>
                <w:bCs/>
                <w:color w:val="auto"/>
              </w:rPr>
              <w:t>CO2</w:t>
            </w:r>
          </w:p>
        </w:tc>
        <w:tc>
          <w:tcPr>
            <w:tcW w:w="4021" w:type="pct"/>
          </w:tcPr>
          <w:p w14:paraId="5538E0E0" w14:textId="77777777" w:rsidR="0017613C" w:rsidRDefault="0017613C" w:rsidP="0017613C">
            <w:pPr>
              <w:tabs>
                <w:tab w:val="left" w:pos="0"/>
              </w:tabs>
              <w:spacing w:after="0" w:line="256" w:lineRule="auto"/>
            </w:pPr>
            <w:r>
              <w:rPr>
                <w:color w:val="auto"/>
              </w:rPr>
              <w:t xml:space="preserve">Carbon </w:t>
            </w:r>
            <w:r>
              <w:rPr>
                <w:color w:val="auto"/>
                <w:szCs w:val="24"/>
              </w:rPr>
              <w:t>dioxide</w:t>
            </w:r>
            <w:r>
              <w:rPr>
                <w:color w:val="auto"/>
              </w:rPr>
              <w:t xml:space="preserve"> </w:t>
            </w:r>
          </w:p>
        </w:tc>
      </w:tr>
      <w:tr w:rsidR="0017613C" w14:paraId="4036B4FB" w14:textId="77777777" w:rsidTr="0017613C">
        <w:trPr>
          <w:trHeight w:hRule="exact" w:val="488"/>
        </w:trPr>
        <w:tc>
          <w:tcPr>
            <w:tcW w:w="979" w:type="pct"/>
          </w:tcPr>
          <w:p w14:paraId="6987C45C" w14:textId="77777777" w:rsidR="0017613C" w:rsidRPr="00814652" w:rsidRDefault="0017613C" w:rsidP="0017613C">
            <w:pPr>
              <w:tabs>
                <w:tab w:val="left" w:pos="0"/>
              </w:tabs>
              <w:spacing w:after="0" w:line="256" w:lineRule="auto"/>
              <w:ind w:right="115"/>
              <w:rPr>
                <w:b/>
                <w:bCs/>
                <w:color w:val="auto"/>
              </w:rPr>
            </w:pPr>
            <w:r w:rsidRPr="00814652">
              <w:rPr>
                <w:b/>
                <w:bCs/>
                <w:color w:val="auto"/>
              </w:rPr>
              <w:t>CO2e</w:t>
            </w:r>
          </w:p>
        </w:tc>
        <w:tc>
          <w:tcPr>
            <w:tcW w:w="4021" w:type="pct"/>
          </w:tcPr>
          <w:p w14:paraId="1884F84F" w14:textId="77777777" w:rsidR="0017613C" w:rsidRDefault="0017613C" w:rsidP="0017613C">
            <w:pPr>
              <w:tabs>
                <w:tab w:val="left" w:pos="0"/>
              </w:tabs>
              <w:spacing w:after="0" w:line="256" w:lineRule="auto"/>
            </w:pPr>
            <w:r>
              <w:rPr>
                <w:color w:val="auto"/>
              </w:rPr>
              <w:t xml:space="preserve">Carbon </w:t>
            </w:r>
            <w:r>
              <w:rPr>
                <w:color w:val="auto"/>
                <w:szCs w:val="24"/>
              </w:rPr>
              <w:t>dioxide</w:t>
            </w:r>
            <w:r>
              <w:rPr>
                <w:color w:val="auto"/>
              </w:rPr>
              <w:t xml:space="preserve"> equivalent </w:t>
            </w:r>
          </w:p>
        </w:tc>
      </w:tr>
      <w:tr w:rsidR="0017613C" w14:paraId="48DB3160" w14:textId="77777777" w:rsidTr="0017613C">
        <w:trPr>
          <w:trHeight w:hRule="exact" w:val="488"/>
        </w:trPr>
        <w:tc>
          <w:tcPr>
            <w:tcW w:w="979" w:type="pct"/>
          </w:tcPr>
          <w:p w14:paraId="0DC9E990" w14:textId="77777777" w:rsidR="0017613C" w:rsidRPr="00814652" w:rsidRDefault="0017613C" w:rsidP="0017613C">
            <w:pPr>
              <w:tabs>
                <w:tab w:val="left" w:pos="0"/>
              </w:tabs>
              <w:spacing w:after="0" w:line="256" w:lineRule="auto"/>
              <w:ind w:right="115"/>
              <w:rPr>
                <w:b/>
                <w:bCs/>
                <w:color w:val="auto"/>
              </w:rPr>
            </w:pPr>
            <w:r w:rsidRPr="00814652">
              <w:rPr>
                <w:b/>
                <w:bCs/>
                <w:color w:val="auto"/>
              </w:rPr>
              <w:t>COVID-19</w:t>
            </w:r>
          </w:p>
        </w:tc>
        <w:tc>
          <w:tcPr>
            <w:tcW w:w="4021" w:type="pct"/>
          </w:tcPr>
          <w:p w14:paraId="1611EDC4" w14:textId="77777777" w:rsidR="0017613C" w:rsidRDefault="0017613C" w:rsidP="0017613C">
            <w:pPr>
              <w:tabs>
                <w:tab w:val="left" w:pos="0"/>
              </w:tabs>
              <w:spacing w:after="0" w:line="256" w:lineRule="auto"/>
              <w:rPr>
                <w:color w:val="auto"/>
              </w:rPr>
            </w:pPr>
            <w:r>
              <w:rPr>
                <w:color w:val="auto"/>
              </w:rPr>
              <w:t>Coronavirus Disease 2019</w:t>
            </w:r>
          </w:p>
        </w:tc>
      </w:tr>
      <w:tr w:rsidR="0017613C" w14:paraId="1FA6D569" w14:textId="77777777" w:rsidTr="0017613C">
        <w:trPr>
          <w:trHeight w:hRule="exact" w:val="488"/>
        </w:trPr>
        <w:tc>
          <w:tcPr>
            <w:tcW w:w="979" w:type="pct"/>
          </w:tcPr>
          <w:p w14:paraId="1C01FA0E" w14:textId="77777777" w:rsidR="0017613C" w:rsidRPr="00814652" w:rsidRDefault="0017613C" w:rsidP="0017613C">
            <w:pPr>
              <w:tabs>
                <w:tab w:val="left" w:pos="0"/>
              </w:tabs>
              <w:spacing w:after="0" w:line="256" w:lineRule="auto"/>
              <w:ind w:right="115"/>
              <w:rPr>
                <w:b/>
                <w:bCs/>
                <w:color w:val="auto"/>
              </w:rPr>
            </w:pPr>
            <w:r w:rsidRPr="00814652">
              <w:rPr>
                <w:b/>
                <w:bCs/>
                <w:color w:val="auto"/>
              </w:rPr>
              <w:t>DAA</w:t>
            </w:r>
          </w:p>
        </w:tc>
        <w:tc>
          <w:tcPr>
            <w:tcW w:w="4021" w:type="pct"/>
          </w:tcPr>
          <w:p w14:paraId="12E2BE2F" w14:textId="77777777" w:rsidR="0017613C" w:rsidRDefault="0017613C" w:rsidP="0017613C">
            <w:pPr>
              <w:tabs>
                <w:tab w:val="left" w:pos="0"/>
              </w:tabs>
              <w:spacing w:after="0" w:line="256" w:lineRule="auto"/>
            </w:pPr>
            <w:r>
              <w:rPr>
                <w:color w:val="auto"/>
              </w:rPr>
              <w:t xml:space="preserve">Directly </w:t>
            </w:r>
            <w:r>
              <w:rPr>
                <w:color w:val="auto"/>
                <w:szCs w:val="24"/>
              </w:rPr>
              <w:t>associated activity</w:t>
            </w:r>
          </w:p>
        </w:tc>
      </w:tr>
      <w:tr w:rsidR="0017613C" w14:paraId="4046B7FA" w14:textId="77777777" w:rsidTr="0017613C">
        <w:trPr>
          <w:trHeight w:hRule="exact" w:val="488"/>
        </w:trPr>
        <w:tc>
          <w:tcPr>
            <w:tcW w:w="979" w:type="pct"/>
          </w:tcPr>
          <w:p w14:paraId="5E55E9CB"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DECC </w:t>
            </w:r>
          </w:p>
        </w:tc>
        <w:tc>
          <w:tcPr>
            <w:tcW w:w="4021" w:type="pct"/>
          </w:tcPr>
          <w:p w14:paraId="20F709FB" w14:textId="77777777" w:rsidR="0017613C" w:rsidRDefault="0017613C" w:rsidP="0017613C">
            <w:pPr>
              <w:tabs>
                <w:tab w:val="left" w:pos="0"/>
              </w:tabs>
              <w:spacing w:after="0" w:line="256" w:lineRule="auto"/>
              <w:rPr>
                <w:color w:val="auto"/>
              </w:rPr>
            </w:pPr>
            <w:r>
              <w:rPr>
                <w:color w:val="auto"/>
              </w:rPr>
              <w:t xml:space="preserve">Department for Energy and Climate Change </w:t>
            </w:r>
          </w:p>
        </w:tc>
      </w:tr>
      <w:tr w:rsidR="0017613C" w14:paraId="694CACD7" w14:textId="77777777" w:rsidTr="0017613C">
        <w:trPr>
          <w:trHeight w:hRule="exact" w:val="488"/>
        </w:trPr>
        <w:tc>
          <w:tcPr>
            <w:tcW w:w="979" w:type="pct"/>
          </w:tcPr>
          <w:p w14:paraId="740CCAD5"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Defra </w:t>
            </w:r>
          </w:p>
        </w:tc>
        <w:tc>
          <w:tcPr>
            <w:tcW w:w="4021" w:type="pct"/>
          </w:tcPr>
          <w:p w14:paraId="29CE457E" w14:textId="77777777" w:rsidR="0017613C" w:rsidRDefault="0017613C" w:rsidP="0017613C">
            <w:pPr>
              <w:tabs>
                <w:tab w:val="left" w:pos="0"/>
              </w:tabs>
              <w:spacing w:after="0" w:line="256" w:lineRule="auto"/>
              <w:rPr>
                <w:color w:val="auto"/>
              </w:rPr>
            </w:pPr>
            <w:r>
              <w:rPr>
                <w:color w:val="auto"/>
              </w:rPr>
              <w:t xml:space="preserve">Department of Environment, Food and Rural Affairs </w:t>
            </w:r>
          </w:p>
        </w:tc>
      </w:tr>
      <w:tr w:rsidR="0017613C" w14:paraId="6F8A0CB1" w14:textId="77777777" w:rsidTr="0017613C">
        <w:trPr>
          <w:trHeight w:hRule="exact" w:val="488"/>
        </w:trPr>
        <w:tc>
          <w:tcPr>
            <w:tcW w:w="979" w:type="pct"/>
          </w:tcPr>
          <w:p w14:paraId="3D8FAB8B"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EPR </w:t>
            </w:r>
          </w:p>
        </w:tc>
        <w:tc>
          <w:tcPr>
            <w:tcW w:w="4021" w:type="pct"/>
          </w:tcPr>
          <w:p w14:paraId="4BB4BB80" w14:textId="77777777" w:rsidR="0017613C" w:rsidRDefault="0017613C" w:rsidP="0017613C">
            <w:pPr>
              <w:tabs>
                <w:tab w:val="left" w:pos="0"/>
              </w:tabs>
              <w:spacing w:after="0" w:line="256" w:lineRule="auto"/>
              <w:rPr>
                <w:color w:val="auto"/>
              </w:rPr>
            </w:pPr>
            <w:r>
              <w:rPr>
                <w:color w:val="auto"/>
              </w:rPr>
              <w:t xml:space="preserve">Environmental Permitting Regulations </w:t>
            </w:r>
          </w:p>
        </w:tc>
      </w:tr>
      <w:tr w:rsidR="0017613C" w14:paraId="69C831F5" w14:textId="77777777" w:rsidTr="0017613C">
        <w:trPr>
          <w:trHeight w:hRule="exact" w:val="488"/>
        </w:trPr>
        <w:tc>
          <w:tcPr>
            <w:tcW w:w="979" w:type="pct"/>
          </w:tcPr>
          <w:p w14:paraId="1E15D16C"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ETS </w:t>
            </w:r>
          </w:p>
        </w:tc>
        <w:tc>
          <w:tcPr>
            <w:tcW w:w="4021" w:type="pct"/>
          </w:tcPr>
          <w:p w14:paraId="460FDE19" w14:textId="77777777" w:rsidR="0017613C" w:rsidRDefault="0017613C" w:rsidP="0017613C">
            <w:pPr>
              <w:tabs>
                <w:tab w:val="left" w:pos="0"/>
              </w:tabs>
              <w:spacing w:after="0" w:line="256" w:lineRule="auto"/>
              <w:rPr>
                <w:color w:val="auto"/>
              </w:rPr>
            </w:pPr>
            <w:r>
              <w:rPr>
                <w:color w:val="auto"/>
              </w:rPr>
              <w:t>Emissions Trading Scheme</w:t>
            </w:r>
          </w:p>
        </w:tc>
      </w:tr>
      <w:tr w:rsidR="0017613C" w14:paraId="0A30A322" w14:textId="77777777" w:rsidTr="0017613C">
        <w:trPr>
          <w:trHeight w:hRule="exact" w:val="488"/>
        </w:trPr>
        <w:tc>
          <w:tcPr>
            <w:tcW w:w="979" w:type="pct"/>
          </w:tcPr>
          <w:p w14:paraId="40316BC8"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GCV </w:t>
            </w:r>
          </w:p>
        </w:tc>
        <w:tc>
          <w:tcPr>
            <w:tcW w:w="4021" w:type="pct"/>
          </w:tcPr>
          <w:p w14:paraId="4300A116" w14:textId="77777777" w:rsidR="0017613C" w:rsidRDefault="0017613C" w:rsidP="0017613C">
            <w:pPr>
              <w:tabs>
                <w:tab w:val="left" w:pos="0"/>
              </w:tabs>
              <w:spacing w:after="0" w:line="256" w:lineRule="auto"/>
            </w:pPr>
            <w:r>
              <w:rPr>
                <w:color w:val="auto"/>
              </w:rPr>
              <w:t xml:space="preserve">Gross </w:t>
            </w:r>
            <w:r>
              <w:rPr>
                <w:color w:val="auto"/>
                <w:szCs w:val="24"/>
              </w:rPr>
              <w:t>calorific value</w:t>
            </w:r>
            <w:r>
              <w:rPr>
                <w:color w:val="auto"/>
              </w:rPr>
              <w:t xml:space="preserve"> </w:t>
            </w:r>
          </w:p>
        </w:tc>
      </w:tr>
      <w:tr w:rsidR="0017613C" w14:paraId="47171292" w14:textId="77777777" w:rsidTr="0017613C">
        <w:trPr>
          <w:trHeight w:hRule="exact" w:val="488"/>
        </w:trPr>
        <w:tc>
          <w:tcPr>
            <w:tcW w:w="979" w:type="pct"/>
          </w:tcPr>
          <w:p w14:paraId="06EF168A"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GHG </w:t>
            </w:r>
          </w:p>
        </w:tc>
        <w:tc>
          <w:tcPr>
            <w:tcW w:w="4021" w:type="pct"/>
          </w:tcPr>
          <w:p w14:paraId="1D404EAD" w14:textId="77777777" w:rsidR="0017613C" w:rsidRDefault="0017613C" w:rsidP="0017613C">
            <w:pPr>
              <w:tabs>
                <w:tab w:val="left" w:pos="0"/>
              </w:tabs>
              <w:spacing w:after="0" w:line="256" w:lineRule="auto"/>
            </w:pPr>
            <w:r>
              <w:rPr>
                <w:color w:val="auto"/>
              </w:rPr>
              <w:t xml:space="preserve">Greenhouse </w:t>
            </w:r>
            <w:r>
              <w:rPr>
                <w:color w:val="auto"/>
                <w:szCs w:val="24"/>
              </w:rPr>
              <w:t>gas</w:t>
            </w:r>
            <w:r>
              <w:rPr>
                <w:color w:val="auto"/>
              </w:rPr>
              <w:t xml:space="preserve"> </w:t>
            </w:r>
          </w:p>
        </w:tc>
      </w:tr>
      <w:tr w:rsidR="0017613C" w14:paraId="6FDBFFA9" w14:textId="77777777" w:rsidTr="0017613C">
        <w:trPr>
          <w:trHeight w:hRule="exact" w:val="488"/>
        </w:trPr>
        <w:tc>
          <w:tcPr>
            <w:tcW w:w="979" w:type="pct"/>
          </w:tcPr>
          <w:p w14:paraId="5B304F11"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HMRC </w:t>
            </w:r>
          </w:p>
        </w:tc>
        <w:tc>
          <w:tcPr>
            <w:tcW w:w="4021" w:type="pct"/>
          </w:tcPr>
          <w:p w14:paraId="67562BD2" w14:textId="77777777" w:rsidR="0017613C" w:rsidRDefault="0017613C" w:rsidP="0017613C">
            <w:pPr>
              <w:tabs>
                <w:tab w:val="left" w:pos="0"/>
              </w:tabs>
              <w:spacing w:after="0" w:line="256" w:lineRule="auto"/>
              <w:rPr>
                <w:color w:val="auto"/>
              </w:rPr>
            </w:pPr>
            <w:r>
              <w:rPr>
                <w:color w:val="auto"/>
              </w:rPr>
              <w:t xml:space="preserve">Her Majesty’s Revenue &amp; Customs </w:t>
            </w:r>
          </w:p>
        </w:tc>
      </w:tr>
      <w:tr w:rsidR="0017613C" w14:paraId="23E28095" w14:textId="77777777" w:rsidTr="0017613C">
        <w:trPr>
          <w:trHeight w:hRule="exact" w:val="488"/>
        </w:trPr>
        <w:tc>
          <w:tcPr>
            <w:tcW w:w="979" w:type="pct"/>
          </w:tcPr>
          <w:p w14:paraId="65EBF792"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HMT </w:t>
            </w:r>
          </w:p>
        </w:tc>
        <w:tc>
          <w:tcPr>
            <w:tcW w:w="4021" w:type="pct"/>
          </w:tcPr>
          <w:p w14:paraId="28857B93" w14:textId="77777777" w:rsidR="0017613C" w:rsidRDefault="0017613C" w:rsidP="0017613C">
            <w:pPr>
              <w:tabs>
                <w:tab w:val="left" w:pos="0"/>
              </w:tabs>
              <w:spacing w:after="0" w:line="256" w:lineRule="auto"/>
              <w:rPr>
                <w:color w:val="auto"/>
              </w:rPr>
            </w:pPr>
            <w:r>
              <w:rPr>
                <w:color w:val="auto"/>
              </w:rPr>
              <w:t>Her Majesty's Treasury</w:t>
            </w:r>
          </w:p>
        </w:tc>
      </w:tr>
      <w:tr w:rsidR="0017613C" w14:paraId="2417026F" w14:textId="77777777" w:rsidTr="0017613C">
        <w:trPr>
          <w:trHeight w:hRule="exact" w:val="488"/>
        </w:trPr>
        <w:tc>
          <w:tcPr>
            <w:tcW w:w="979" w:type="pct"/>
          </w:tcPr>
          <w:p w14:paraId="436BA739"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MOF </w:t>
            </w:r>
          </w:p>
        </w:tc>
        <w:tc>
          <w:tcPr>
            <w:tcW w:w="4021" w:type="pct"/>
          </w:tcPr>
          <w:p w14:paraId="13FB2068" w14:textId="77777777" w:rsidR="0017613C" w:rsidRDefault="0017613C" w:rsidP="0017613C">
            <w:pPr>
              <w:tabs>
                <w:tab w:val="left" w:pos="0"/>
              </w:tabs>
              <w:spacing w:after="0" w:line="256" w:lineRule="auto"/>
            </w:pPr>
            <w:r>
              <w:rPr>
                <w:color w:val="auto"/>
              </w:rPr>
              <w:t>Multi-</w:t>
            </w:r>
            <w:r>
              <w:rPr>
                <w:color w:val="auto"/>
                <w:szCs w:val="24"/>
              </w:rPr>
              <w:t>operator facility</w:t>
            </w:r>
            <w:r>
              <w:rPr>
                <w:color w:val="auto"/>
              </w:rPr>
              <w:t xml:space="preserve"> </w:t>
            </w:r>
          </w:p>
        </w:tc>
      </w:tr>
      <w:tr w:rsidR="0017613C" w14:paraId="1E6A9E05" w14:textId="77777777" w:rsidTr="0017613C">
        <w:trPr>
          <w:trHeight w:hRule="exact" w:val="488"/>
        </w:trPr>
        <w:tc>
          <w:tcPr>
            <w:tcW w:w="979" w:type="pct"/>
          </w:tcPr>
          <w:p w14:paraId="21C52F32"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QPO </w:t>
            </w:r>
          </w:p>
        </w:tc>
        <w:tc>
          <w:tcPr>
            <w:tcW w:w="4021" w:type="pct"/>
          </w:tcPr>
          <w:p w14:paraId="24B066F5" w14:textId="77777777" w:rsidR="0017613C" w:rsidRDefault="0017613C" w:rsidP="0017613C">
            <w:pPr>
              <w:tabs>
                <w:tab w:val="left" w:pos="0"/>
              </w:tabs>
              <w:spacing w:after="0" w:line="256" w:lineRule="auto"/>
            </w:pPr>
            <w:r>
              <w:rPr>
                <w:color w:val="auto"/>
              </w:rPr>
              <w:t xml:space="preserve">Qualifying </w:t>
            </w:r>
            <w:r>
              <w:rPr>
                <w:color w:val="auto"/>
                <w:szCs w:val="24"/>
              </w:rPr>
              <w:t>power output</w:t>
            </w:r>
            <w:r>
              <w:rPr>
                <w:color w:val="auto"/>
              </w:rPr>
              <w:t xml:space="preserve"> </w:t>
            </w:r>
          </w:p>
        </w:tc>
      </w:tr>
      <w:tr w:rsidR="0017613C" w14:paraId="221BA3BE" w14:textId="77777777" w:rsidTr="0017613C">
        <w:trPr>
          <w:trHeight w:hRule="exact" w:val="488"/>
        </w:trPr>
        <w:tc>
          <w:tcPr>
            <w:tcW w:w="979" w:type="pct"/>
          </w:tcPr>
          <w:p w14:paraId="7B3CF78F"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RRC </w:t>
            </w:r>
          </w:p>
        </w:tc>
        <w:tc>
          <w:tcPr>
            <w:tcW w:w="4021" w:type="pct"/>
          </w:tcPr>
          <w:p w14:paraId="6CF22FAB" w14:textId="77777777" w:rsidR="0017613C" w:rsidRDefault="0017613C" w:rsidP="0017613C">
            <w:pPr>
              <w:tabs>
                <w:tab w:val="left" w:pos="0"/>
              </w:tabs>
              <w:spacing w:after="0" w:line="256" w:lineRule="auto"/>
            </w:pPr>
            <w:r>
              <w:rPr>
                <w:color w:val="auto"/>
              </w:rPr>
              <w:t xml:space="preserve">Reduced </w:t>
            </w:r>
            <w:r>
              <w:rPr>
                <w:color w:val="auto"/>
                <w:szCs w:val="24"/>
              </w:rPr>
              <w:t>rate certificate</w:t>
            </w:r>
            <w:r>
              <w:rPr>
                <w:color w:val="auto"/>
              </w:rPr>
              <w:t xml:space="preserve"> </w:t>
            </w:r>
          </w:p>
        </w:tc>
      </w:tr>
      <w:tr w:rsidR="0017613C" w14:paraId="167ED3F0" w14:textId="77777777" w:rsidTr="0017613C">
        <w:trPr>
          <w:trHeight w:hRule="exact" w:val="488"/>
        </w:trPr>
        <w:tc>
          <w:tcPr>
            <w:tcW w:w="979" w:type="pct"/>
          </w:tcPr>
          <w:p w14:paraId="196563CD"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SEC </w:t>
            </w:r>
          </w:p>
        </w:tc>
        <w:tc>
          <w:tcPr>
            <w:tcW w:w="4021" w:type="pct"/>
          </w:tcPr>
          <w:p w14:paraId="61B276A7" w14:textId="77777777" w:rsidR="0017613C" w:rsidRDefault="0017613C" w:rsidP="0017613C">
            <w:pPr>
              <w:tabs>
                <w:tab w:val="left" w:pos="0"/>
              </w:tabs>
              <w:spacing w:after="0" w:line="256" w:lineRule="auto"/>
            </w:pPr>
            <w:r>
              <w:rPr>
                <w:color w:val="auto"/>
              </w:rPr>
              <w:t xml:space="preserve">Specific </w:t>
            </w:r>
            <w:r>
              <w:rPr>
                <w:color w:val="auto"/>
                <w:szCs w:val="24"/>
              </w:rPr>
              <w:t>energy consumption</w:t>
            </w:r>
            <w:r>
              <w:rPr>
                <w:color w:val="auto"/>
              </w:rPr>
              <w:t xml:space="preserve"> </w:t>
            </w:r>
          </w:p>
        </w:tc>
      </w:tr>
      <w:tr w:rsidR="0017613C" w14:paraId="17E41E22" w14:textId="77777777" w:rsidTr="0017613C">
        <w:trPr>
          <w:trHeight w:hRule="exact" w:val="488"/>
        </w:trPr>
        <w:tc>
          <w:tcPr>
            <w:tcW w:w="979" w:type="pct"/>
          </w:tcPr>
          <w:p w14:paraId="1A956DEA"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SRM </w:t>
            </w:r>
          </w:p>
        </w:tc>
        <w:tc>
          <w:tcPr>
            <w:tcW w:w="4021" w:type="pct"/>
          </w:tcPr>
          <w:p w14:paraId="71A667AC" w14:textId="77777777" w:rsidR="0017613C" w:rsidRDefault="0017613C" w:rsidP="0017613C">
            <w:pPr>
              <w:tabs>
                <w:tab w:val="left" w:pos="0"/>
              </w:tabs>
              <w:spacing w:after="0" w:line="256" w:lineRule="auto"/>
            </w:pPr>
            <w:r>
              <w:rPr>
                <w:color w:val="auto"/>
              </w:rPr>
              <w:t xml:space="preserve">Special </w:t>
            </w:r>
            <w:r>
              <w:rPr>
                <w:color w:val="auto"/>
                <w:szCs w:val="24"/>
              </w:rPr>
              <w:t>reporting methodology</w:t>
            </w:r>
            <w:r>
              <w:rPr>
                <w:color w:val="auto"/>
              </w:rPr>
              <w:t xml:space="preserve"> </w:t>
            </w:r>
          </w:p>
        </w:tc>
      </w:tr>
      <w:tr w:rsidR="0017613C" w14:paraId="4842C2E6" w14:textId="77777777" w:rsidTr="0017613C">
        <w:trPr>
          <w:trHeight w:hRule="exact" w:val="488"/>
        </w:trPr>
        <w:tc>
          <w:tcPr>
            <w:tcW w:w="979" w:type="pct"/>
          </w:tcPr>
          <w:p w14:paraId="2564C084"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STU </w:t>
            </w:r>
          </w:p>
        </w:tc>
        <w:tc>
          <w:tcPr>
            <w:tcW w:w="4021" w:type="pct"/>
          </w:tcPr>
          <w:p w14:paraId="253A4A57" w14:textId="77777777" w:rsidR="0017613C" w:rsidRDefault="0017613C" w:rsidP="0017613C">
            <w:pPr>
              <w:tabs>
                <w:tab w:val="left" w:pos="0"/>
              </w:tabs>
              <w:spacing w:after="0" w:line="256" w:lineRule="auto"/>
            </w:pPr>
            <w:r>
              <w:rPr>
                <w:color w:val="auto"/>
              </w:rPr>
              <w:t xml:space="preserve">Stationary </w:t>
            </w:r>
            <w:r>
              <w:rPr>
                <w:color w:val="auto"/>
                <w:szCs w:val="24"/>
              </w:rPr>
              <w:t>technical unit</w:t>
            </w:r>
            <w:r>
              <w:rPr>
                <w:color w:val="auto"/>
              </w:rPr>
              <w:t xml:space="preserve"> </w:t>
            </w:r>
          </w:p>
        </w:tc>
      </w:tr>
      <w:tr w:rsidR="0017613C" w14:paraId="0E8F7FF0" w14:textId="77777777" w:rsidTr="0017613C">
        <w:trPr>
          <w:trHeight w:hRule="exact" w:val="488"/>
        </w:trPr>
        <w:tc>
          <w:tcPr>
            <w:tcW w:w="979" w:type="pct"/>
          </w:tcPr>
          <w:p w14:paraId="443BBC7C" w14:textId="77777777" w:rsidR="0017613C" w:rsidRPr="00814652" w:rsidRDefault="0017613C" w:rsidP="0017613C">
            <w:pPr>
              <w:tabs>
                <w:tab w:val="left" w:pos="0"/>
              </w:tabs>
              <w:spacing w:after="0" w:line="256" w:lineRule="auto"/>
              <w:ind w:right="115"/>
              <w:rPr>
                <w:b/>
                <w:bCs/>
                <w:color w:val="auto"/>
              </w:rPr>
            </w:pPr>
            <w:r w:rsidRPr="00814652">
              <w:rPr>
                <w:b/>
                <w:bCs/>
                <w:color w:val="auto"/>
              </w:rPr>
              <w:t xml:space="preserve">TPO </w:t>
            </w:r>
          </w:p>
        </w:tc>
        <w:tc>
          <w:tcPr>
            <w:tcW w:w="4021" w:type="pct"/>
          </w:tcPr>
          <w:p w14:paraId="42BAAD19" w14:textId="77777777" w:rsidR="0017613C" w:rsidRDefault="0017613C" w:rsidP="0017613C">
            <w:pPr>
              <w:tabs>
                <w:tab w:val="left" w:pos="0"/>
              </w:tabs>
              <w:spacing w:after="0" w:line="256" w:lineRule="auto"/>
            </w:pPr>
            <w:r>
              <w:rPr>
                <w:color w:val="auto"/>
              </w:rPr>
              <w:t xml:space="preserve">Total </w:t>
            </w:r>
            <w:r>
              <w:rPr>
                <w:color w:val="auto"/>
                <w:szCs w:val="24"/>
              </w:rPr>
              <w:t>power output</w:t>
            </w:r>
            <w:r>
              <w:rPr>
                <w:color w:val="auto"/>
              </w:rPr>
              <w:t xml:space="preserve"> </w:t>
            </w:r>
          </w:p>
        </w:tc>
      </w:tr>
    </w:tbl>
    <w:p w14:paraId="564656E9" w14:textId="77777777" w:rsidR="00814652" w:rsidRDefault="00814652">
      <w:pPr>
        <w:suppressAutoHyphens w:val="0"/>
        <w:spacing w:before="0" w:beforeAutospacing="0" w:after="160" w:afterAutospacing="0" w:line="256" w:lineRule="auto"/>
        <w:rPr>
          <w:color w:val="auto"/>
        </w:rPr>
      </w:pPr>
      <w:r>
        <w:rPr>
          <w:color w:val="auto"/>
        </w:rPr>
        <w:br w:type="page"/>
      </w:r>
    </w:p>
    <w:p w14:paraId="541394B9" w14:textId="77777777" w:rsidR="00026E66" w:rsidRDefault="002737EF" w:rsidP="00FF0098">
      <w:pPr>
        <w:pStyle w:val="Heading1"/>
        <w:tabs>
          <w:tab w:val="left" w:pos="0"/>
        </w:tabs>
      </w:pPr>
      <w:bookmarkStart w:id="289" w:name="_Toc94718678"/>
      <w:bookmarkStart w:id="290" w:name="_Toc94088926"/>
      <w:bookmarkStart w:id="291" w:name="_Toc95211891"/>
      <w:r>
        <w:lastRenderedPageBreak/>
        <w:t>12. Glossary</w:t>
      </w:r>
      <w:bookmarkEnd w:id="289"/>
      <w:bookmarkEnd w:id="290"/>
      <w:bookmarkEnd w:id="291"/>
      <w:r>
        <w:t xml:space="preserve"> </w:t>
      </w:r>
    </w:p>
    <w:tbl>
      <w:tblPr>
        <w:tblStyle w:val="TableGridLight"/>
        <w:tblW w:w="0" w:type="auto"/>
        <w:tblLook w:val="0020" w:firstRow="1" w:lastRow="0" w:firstColumn="0" w:lastColumn="0" w:noHBand="0" w:noVBand="0"/>
      </w:tblPr>
      <w:tblGrid>
        <w:gridCol w:w="2122"/>
        <w:gridCol w:w="7060"/>
      </w:tblGrid>
      <w:tr w:rsidR="00F22E60" w:rsidRPr="004C1365" w14:paraId="57E9D2DB" w14:textId="77777777" w:rsidTr="00F22E60">
        <w:trPr>
          <w:cantSplit/>
        </w:trPr>
        <w:tc>
          <w:tcPr>
            <w:tcW w:w="2122" w:type="dxa"/>
          </w:tcPr>
          <w:p w14:paraId="76B9B95F" w14:textId="7A5C6324" w:rsidR="00F22E60" w:rsidRPr="004C1365" w:rsidRDefault="00F22E60" w:rsidP="004C1365">
            <w:pPr>
              <w:rPr>
                <w:b/>
                <w:bCs/>
              </w:rPr>
            </w:pPr>
            <w:r w:rsidRPr="004C1365">
              <w:rPr>
                <w:b/>
                <w:bCs/>
              </w:rPr>
              <w:t>Term</w:t>
            </w:r>
          </w:p>
        </w:tc>
        <w:tc>
          <w:tcPr>
            <w:tcW w:w="7060" w:type="dxa"/>
          </w:tcPr>
          <w:p w14:paraId="4E095AB6" w14:textId="2B524567" w:rsidR="00F22E60" w:rsidRPr="004C1365" w:rsidRDefault="00F22E60" w:rsidP="004C1365">
            <w:pPr>
              <w:rPr>
                <w:b/>
                <w:bCs/>
              </w:rPr>
            </w:pPr>
            <w:r w:rsidRPr="004C1365">
              <w:rPr>
                <w:b/>
                <w:bCs/>
              </w:rPr>
              <w:t>Definition</w:t>
            </w:r>
          </w:p>
        </w:tc>
      </w:tr>
      <w:tr w:rsidR="00F22E60" w14:paraId="55E0E099" w14:textId="77777777" w:rsidTr="00F22E60">
        <w:trPr>
          <w:cantSplit/>
        </w:trPr>
        <w:tc>
          <w:tcPr>
            <w:tcW w:w="2122" w:type="dxa"/>
          </w:tcPr>
          <w:p w14:paraId="3476296F" w14:textId="681D0E4D" w:rsidR="00F22E60" w:rsidRPr="004C1365" w:rsidRDefault="00F22E60" w:rsidP="004C1365">
            <w:pPr>
              <w:rPr>
                <w:b/>
                <w:bCs/>
              </w:rPr>
            </w:pPr>
            <w:r w:rsidRPr="004C1365">
              <w:rPr>
                <w:b/>
                <w:bCs/>
              </w:rPr>
              <w:t xml:space="preserve">70% rule </w:t>
            </w:r>
          </w:p>
        </w:tc>
        <w:tc>
          <w:tcPr>
            <w:tcW w:w="7060" w:type="dxa"/>
          </w:tcPr>
          <w:p w14:paraId="34204AC3" w14:textId="3DBA826E" w:rsidR="00F22E60" w:rsidRDefault="00F22E60" w:rsidP="004C1365">
            <w:r>
              <w:t xml:space="preserve">Rule allowing for all the energy consumed at a site to be included in the CCA eligible facility if 70% or more of the site’s energy is consumed within the installation. The rule provides for an additional amount of the site’s energy to be included in the eligible facility if the energy consumed by the installation is less than 70% of the energy consumed on the site. The additional energy that can be included is a maximum of 3/7th of the energy consumed in the installation. </w:t>
            </w:r>
          </w:p>
        </w:tc>
      </w:tr>
      <w:tr w:rsidR="00F22E60" w14:paraId="1948660B" w14:textId="77777777" w:rsidTr="00F22E60">
        <w:trPr>
          <w:cantSplit/>
        </w:trPr>
        <w:tc>
          <w:tcPr>
            <w:tcW w:w="2122" w:type="dxa"/>
          </w:tcPr>
          <w:p w14:paraId="4C29452D" w14:textId="0D8C9F3A" w:rsidR="00F22E60" w:rsidRPr="004C1365" w:rsidRDefault="00F22E60" w:rsidP="004C1365">
            <w:pPr>
              <w:rPr>
                <w:b/>
                <w:bCs/>
              </w:rPr>
            </w:pPr>
            <w:bookmarkStart w:id="292" w:name="Absolutetarget"/>
            <w:r w:rsidRPr="004C1365">
              <w:rPr>
                <w:b/>
                <w:bCs/>
              </w:rPr>
              <w:t xml:space="preserve">Absolute target </w:t>
            </w:r>
            <w:bookmarkEnd w:id="292"/>
          </w:p>
        </w:tc>
        <w:tc>
          <w:tcPr>
            <w:tcW w:w="7060" w:type="dxa"/>
          </w:tcPr>
          <w:p w14:paraId="664FAA62" w14:textId="77777777" w:rsidR="00F22E60" w:rsidRDefault="00F22E60" w:rsidP="004C1365">
            <w:r>
              <w:t>An absolute target is set for a target period at an assumed level of throughput for that target period. An absolute target can be expressed as either an energy target or as a carbon target. The assumed level of throughput for that target period is twice the actual level of throughout in the base year.</w:t>
            </w:r>
          </w:p>
        </w:tc>
      </w:tr>
      <w:tr w:rsidR="00F22E60" w14:paraId="5C7D34CA" w14:textId="77777777" w:rsidTr="00F22E60">
        <w:trPr>
          <w:cantSplit/>
        </w:trPr>
        <w:tc>
          <w:tcPr>
            <w:tcW w:w="2122" w:type="dxa"/>
          </w:tcPr>
          <w:p w14:paraId="097F71D1" w14:textId="77E80778" w:rsidR="00F22E60" w:rsidRPr="004C1365" w:rsidRDefault="00F22E60" w:rsidP="004C1365">
            <w:pPr>
              <w:rPr>
                <w:b/>
                <w:bCs/>
              </w:rPr>
            </w:pPr>
            <w:bookmarkStart w:id="293" w:name="Account"/>
            <w:r w:rsidRPr="004C1365">
              <w:rPr>
                <w:b/>
                <w:bCs/>
              </w:rPr>
              <w:t xml:space="preserve">Account </w:t>
            </w:r>
            <w:bookmarkEnd w:id="293"/>
          </w:p>
        </w:tc>
        <w:tc>
          <w:tcPr>
            <w:tcW w:w="7060" w:type="dxa"/>
          </w:tcPr>
          <w:p w14:paraId="793E0CC7" w14:textId="77777777" w:rsidR="00F22E60" w:rsidRDefault="00F22E60" w:rsidP="004C1365">
            <w:r>
              <w:t xml:space="preserve">Account held by a sector association or an operator in the CCA register. </w:t>
            </w:r>
          </w:p>
        </w:tc>
      </w:tr>
      <w:tr w:rsidR="00F22E60" w14:paraId="3AF01701" w14:textId="77777777" w:rsidTr="00F22E60">
        <w:trPr>
          <w:cantSplit/>
        </w:trPr>
        <w:tc>
          <w:tcPr>
            <w:tcW w:w="2122" w:type="dxa"/>
          </w:tcPr>
          <w:p w14:paraId="4A5F0505" w14:textId="7736CE23" w:rsidR="00F22E60" w:rsidRPr="004C1365" w:rsidRDefault="00F22E60" w:rsidP="004C1365">
            <w:pPr>
              <w:rPr>
                <w:b/>
                <w:bCs/>
              </w:rPr>
            </w:pPr>
            <w:bookmarkStart w:id="294" w:name="Accountholder"/>
            <w:r w:rsidRPr="004C1365">
              <w:rPr>
                <w:b/>
                <w:bCs/>
              </w:rPr>
              <w:t xml:space="preserve">Account holder </w:t>
            </w:r>
            <w:bookmarkEnd w:id="294"/>
          </w:p>
        </w:tc>
        <w:tc>
          <w:tcPr>
            <w:tcW w:w="7060" w:type="dxa"/>
          </w:tcPr>
          <w:p w14:paraId="3A507047" w14:textId="77777777" w:rsidR="00F22E60" w:rsidRDefault="00F22E60" w:rsidP="004C1365">
            <w:r>
              <w:t xml:space="preserve">A sector association or operator holding an account in the CCA register. </w:t>
            </w:r>
          </w:p>
        </w:tc>
      </w:tr>
      <w:tr w:rsidR="00F22E60" w14:paraId="71041287" w14:textId="77777777" w:rsidTr="00F22E60">
        <w:trPr>
          <w:cantSplit/>
        </w:trPr>
        <w:tc>
          <w:tcPr>
            <w:tcW w:w="2122" w:type="dxa"/>
          </w:tcPr>
          <w:p w14:paraId="27AF5895" w14:textId="42083E9B" w:rsidR="00F22E60" w:rsidRPr="004C1365" w:rsidRDefault="00F22E60" w:rsidP="004C1365">
            <w:pPr>
              <w:rPr>
                <w:b/>
                <w:bCs/>
              </w:rPr>
            </w:pPr>
            <w:bookmarkStart w:id="295" w:name="Administrator"/>
            <w:r w:rsidRPr="004C1365">
              <w:rPr>
                <w:b/>
                <w:bCs/>
              </w:rPr>
              <w:t>Administrator</w:t>
            </w:r>
            <w:bookmarkEnd w:id="295"/>
            <w:r w:rsidRPr="004C1365">
              <w:rPr>
                <w:b/>
                <w:bCs/>
              </w:rPr>
              <w:t xml:space="preserve"> </w:t>
            </w:r>
          </w:p>
        </w:tc>
        <w:tc>
          <w:tcPr>
            <w:tcW w:w="7060" w:type="dxa"/>
          </w:tcPr>
          <w:p w14:paraId="0CE61018" w14:textId="77777777" w:rsidR="00F22E60" w:rsidRDefault="00F22E60" w:rsidP="004C1365">
            <w:r>
              <w:t xml:space="preserve">The public body charged by the Secretary of State with administering the CCA scheme. The Environment Agency administers the scheme for the whole of the UK. </w:t>
            </w:r>
          </w:p>
        </w:tc>
      </w:tr>
      <w:tr w:rsidR="00F22E60" w14:paraId="0B486CBA" w14:textId="77777777" w:rsidTr="00F22E60">
        <w:trPr>
          <w:cantSplit/>
        </w:trPr>
        <w:tc>
          <w:tcPr>
            <w:tcW w:w="2122" w:type="dxa"/>
          </w:tcPr>
          <w:p w14:paraId="4447AC85" w14:textId="7C8727D5" w:rsidR="00F22E60" w:rsidRPr="004C1365" w:rsidRDefault="00F22E60" w:rsidP="004C1365">
            <w:pPr>
              <w:rPr>
                <w:b/>
                <w:bCs/>
              </w:rPr>
            </w:pPr>
            <w:bookmarkStart w:id="296" w:name="Ancilliary"/>
            <w:r w:rsidRPr="004C1365">
              <w:rPr>
                <w:b/>
                <w:bCs/>
              </w:rPr>
              <w:t xml:space="preserve">Ancillary activities </w:t>
            </w:r>
            <w:bookmarkEnd w:id="296"/>
          </w:p>
        </w:tc>
        <w:tc>
          <w:tcPr>
            <w:tcW w:w="7060" w:type="dxa"/>
          </w:tcPr>
          <w:p w14:paraId="0CB23E51" w14:textId="77777777" w:rsidR="00F22E60" w:rsidRDefault="00F22E60" w:rsidP="004C1365">
            <w:r>
              <w:t>Activities that:</w:t>
            </w:r>
          </w:p>
          <w:p w14:paraId="2D0D4E4B" w14:textId="77777777" w:rsidR="00F22E60" w:rsidRDefault="00F22E60" w:rsidP="004C1365">
            <w:r>
              <w:t>are directly associated with any of the primary activities carried out at an installation</w:t>
            </w:r>
          </w:p>
          <w:p w14:paraId="728154CE" w14:textId="77777777" w:rsidR="00F22E60" w:rsidRDefault="00F22E60" w:rsidP="004C1365">
            <w:r>
              <w:t>have a technical connection with those primary activities; and</w:t>
            </w:r>
          </w:p>
          <w:p w14:paraId="669F6090" w14:textId="77777777" w:rsidR="00F22E60" w:rsidRDefault="00F22E60" w:rsidP="004C1365">
            <w:r>
              <w:t>could have an effect on pollution</w:t>
            </w:r>
          </w:p>
        </w:tc>
      </w:tr>
      <w:tr w:rsidR="00F22E60" w14:paraId="0B6A0D2B" w14:textId="77777777" w:rsidTr="00F22E60">
        <w:trPr>
          <w:cantSplit/>
        </w:trPr>
        <w:tc>
          <w:tcPr>
            <w:tcW w:w="2122" w:type="dxa"/>
          </w:tcPr>
          <w:p w14:paraId="747FCB12" w14:textId="4E35DE21" w:rsidR="00F22E60" w:rsidRPr="004C1365" w:rsidRDefault="00F22E60" w:rsidP="004C1365">
            <w:pPr>
              <w:rPr>
                <w:b/>
                <w:bCs/>
              </w:rPr>
            </w:pPr>
            <w:bookmarkStart w:id="297" w:name="Annex1activity"/>
            <w:r w:rsidRPr="004C1365">
              <w:rPr>
                <w:b/>
                <w:bCs/>
              </w:rPr>
              <w:t xml:space="preserve">Annex 1 activity </w:t>
            </w:r>
            <w:bookmarkEnd w:id="297"/>
          </w:p>
        </w:tc>
        <w:tc>
          <w:tcPr>
            <w:tcW w:w="7060" w:type="dxa"/>
          </w:tcPr>
          <w:p w14:paraId="659E77E2" w14:textId="77777777" w:rsidR="00F22E60" w:rsidRDefault="00F22E60" w:rsidP="004C1365">
            <w:r>
              <w:t xml:space="preserve">An activity as defined in the Emissions Trading Directive 2003/87/EC (as amended from time to time. </w:t>
            </w:r>
          </w:p>
        </w:tc>
      </w:tr>
      <w:tr w:rsidR="00F22E60" w14:paraId="6003E959" w14:textId="77777777" w:rsidTr="00F22E60">
        <w:trPr>
          <w:cantSplit/>
        </w:trPr>
        <w:tc>
          <w:tcPr>
            <w:tcW w:w="2122" w:type="dxa"/>
          </w:tcPr>
          <w:p w14:paraId="7E87EBF4" w14:textId="52981A66" w:rsidR="00F22E60" w:rsidRPr="004C1365" w:rsidRDefault="00F22E60" w:rsidP="004C1365">
            <w:pPr>
              <w:rPr>
                <w:b/>
                <w:bCs/>
              </w:rPr>
            </w:pPr>
            <w:bookmarkStart w:id="298" w:name="Audit"/>
            <w:r w:rsidRPr="004C1365">
              <w:rPr>
                <w:b/>
                <w:bCs/>
              </w:rPr>
              <w:t>Audit</w:t>
            </w:r>
            <w:bookmarkEnd w:id="298"/>
            <w:r w:rsidRPr="004C1365">
              <w:rPr>
                <w:b/>
                <w:bCs/>
              </w:rPr>
              <w:t xml:space="preserve"> </w:t>
            </w:r>
          </w:p>
        </w:tc>
        <w:tc>
          <w:tcPr>
            <w:tcW w:w="7060" w:type="dxa"/>
          </w:tcPr>
          <w:p w14:paraId="3F73FED4" w14:textId="77777777" w:rsidR="00F22E60" w:rsidRDefault="00F22E60" w:rsidP="004C1365">
            <w:r>
              <w:t xml:space="preserve">A technical review carried out by the Administrator (or by the technical consultant on behalf of the Administrator) to check compliance within the scheme rules. Audits also include checks on eligibility, administration and record-keeping. </w:t>
            </w:r>
          </w:p>
        </w:tc>
      </w:tr>
      <w:tr w:rsidR="00F22E60" w14:paraId="3328BCA2" w14:textId="77777777" w:rsidTr="00F22E60">
        <w:trPr>
          <w:cantSplit/>
        </w:trPr>
        <w:tc>
          <w:tcPr>
            <w:tcW w:w="2122" w:type="dxa"/>
          </w:tcPr>
          <w:p w14:paraId="111BEF79" w14:textId="4B5D7CB8" w:rsidR="00F22E60" w:rsidRPr="004C1365" w:rsidRDefault="00F22E60" w:rsidP="004C1365">
            <w:pPr>
              <w:rPr>
                <w:b/>
                <w:bCs/>
              </w:rPr>
            </w:pPr>
            <w:bookmarkStart w:id="299" w:name="baseyear"/>
            <w:r w:rsidRPr="004C1365">
              <w:rPr>
                <w:b/>
                <w:bCs/>
              </w:rPr>
              <w:lastRenderedPageBreak/>
              <w:t>Base year</w:t>
            </w:r>
            <w:bookmarkEnd w:id="299"/>
          </w:p>
        </w:tc>
        <w:tc>
          <w:tcPr>
            <w:tcW w:w="7060" w:type="dxa"/>
          </w:tcPr>
          <w:p w14:paraId="77BEBD42" w14:textId="77777777" w:rsidR="00F22E60" w:rsidRDefault="00F22E60" w:rsidP="004C1365">
            <w:r>
              <w:t>A 12-month period agreed between an operator and the Administrator, ending before the date of an underlying agreement, for which data are supplied by an operator to the Administrator before the operator enters into the agreement.</w:t>
            </w:r>
          </w:p>
          <w:p w14:paraId="6B6F980B" w14:textId="77777777" w:rsidR="00F22E60" w:rsidRDefault="00F22E60" w:rsidP="004C1365">
            <w:r>
              <w:t>The data from this 12</w:t>
            </w:r>
            <w:r>
              <w:rPr>
                <w:szCs w:val="24"/>
              </w:rPr>
              <w:t>-</w:t>
            </w:r>
            <w:r>
              <w:t>month continuous period establish the baseline performance of the target unit before the underlying agreement. Future performance and energy and carbon savings achieved in the scheme are measured relative to this base year performance.</w:t>
            </w:r>
          </w:p>
        </w:tc>
      </w:tr>
      <w:tr w:rsidR="00F22E60" w14:paraId="745479A5" w14:textId="77777777" w:rsidTr="00F22E60">
        <w:trPr>
          <w:cantSplit/>
        </w:trPr>
        <w:tc>
          <w:tcPr>
            <w:tcW w:w="2122" w:type="dxa"/>
          </w:tcPr>
          <w:p w14:paraId="3CD95636" w14:textId="67F7CFCF" w:rsidR="00F22E60" w:rsidRPr="004C1365" w:rsidRDefault="00F22E60" w:rsidP="004C1365">
            <w:pPr>
              <w:rPr>
                <w:b/>
                <w:bCs/>
              </w:rPr>
            </w:pPr>
            <w:bookmarkStart w:id="300" w:name="Brownfield"/>
            <w:r w:rsidRPr="004C1365">
              <w:rPr>
                <w:b/>
                <w:bCs/>
              </w:rPr>
              <w:t xml:space="preserve">Brownfield facility </w:t>
            </w:r>
            <w:bookmarkEnd w:id="300"/>
          </w:p>
        </w:tc>
        <w:tc>
          <w:tcPr>
            <w:tcW w:w="7060" w:type="dxa"/>
          </w:tcPr>
          <w:p w14:paraId="78CD3AC4" w14:textId="77777777" w:rsidR="00F22E60" w:rsidRDefault="00F22E60" w:rsidP="004C1365">
            <w:r>
              <w:t xml:space="preserve">An existing site. </w:t>
            </w:r>
          </w:p>
        </w:tc>
      </w:tr>
      <w:tr w:rsidR="00F22E60" w14:paraId="463872B2" w14:textId="77777777" w:rsidTr="00F22E60">
        <w:trPr>
          <w:cantSplit/>
        </w:trPr>
        <w:tc>
          <w:tcPr>
            <w:tcW w:w="2122" w:type="dxa"/>
          </w:tcPr>
          <w:p w14:paraId="67CBA64D" w14:textId="511E6B87" w:rsidR="00F22E60" w:rsidRPr="004C1365" w:rsidRDefault="00F22E60" w:rsidP="004C1365">
            <w:pPr>
              <w:rPr>
                <w:b/>
                <w:bCs/>
              </w:rPr>
            </w:pPr>
            <w:bookmarkStart w:id="301" w:name="Bubbling"/>
            <w:r w:rsidRPr="004C1365">
              <w:rPr>
                <w:b/>
                <w:bCs/>
              </w:rPr>
              <w:t>Bubbling</w:t>
            </w:r>
            <w:bookmarkEnd w:id="301"/>
            <w:r w:rsidRPr="004C1365">
              <w:rPr>
                <w:b/>
                <w:bCs/>
              </w:rPr>
              <w:t xml:space="preserve"> </w:t>
            </w:r>
          </w:p>
        </w:tc>
        <w:tc>
          <w:tcPr>
            <w:tcW w:w="7060" w:type="dxa"/>
          </w:tcPr>
          <w:p w14:paraId="0AB7BF74" w14:textId="77777777" w:rsidR="00F22E60" w:rsidRDefault="00F22E60" w:rsidP="004C1365">
            <w:r>
              <w:t xml:space="preserve">The grouping together of two or more eligible facilities into a single target unit with one target. </w:t>
            </w:r>
          </w:p>
        </w:tc>
      </w:tr>
      <w:tr w:rsidR="00F22E60" w14:paraId="5161A000" w14:textId="77777777" w:rsidTr="00F22E60">
        <w:trPr>
          <w:cantSplit/>
        </w:trPr>
        <w:tc>
          <w:tcPr>
            <w:tcW w:w="2122" w:type="dxa"/>
          </w:tcPr>
          <w:p w14:paraId="7E950149" w14:textId="6118BED9" w:rsidR="00F22E60" w:rsidRPr="004C1365" w:rsidRDefault="00F22E60" w:rsidP="004C1365">
            <w:pPr>
              <w:rPr>
                <w:b/>
                <w:bCs/>
              </w:rPr>
            </w:pPr>
            <w:bookmarkStart w:id="302" w:name="Buyout"/>
            <w:r w:rsidRPr="004C1365">
              <w:rPr>
                <w:b/>
                <w:bCs/>
              </w:rPr>
              <w:t xml:space="preserve">Buy-out </w:t>
            </w:r>
            <w:bookmarkEnd w:id="302"/>
          </w:p>
        </w:tc>
        <w:tc>
          <w:tcPr>
            <w:tcW w:w="7060" w:type="dxa"/>
          </w:tcPr>
          <w:p w14:paraId="355F3991" w14:textId="77777777" w:rsidR="00F22E60" w:rsidRDefault="00F22E60" w:rsidP="004C1365">
            <w:r>
              <w:t xml:space="preserve">Buy-out is a fee a target unit may be required to pay to retain certification in the CCA scheme. It is payable at the end of a target period if the target unit has failed to meet the target stated in its underlying agreement, or to rectify an error identified at any other time in a material impact on the position of the target unit against its target at a previous reporting period. </w:t>
            </w:r>
          </w:p>
          <w:p w14:paraId="213046D2" w14:textId="77777777" w:rsidR="00F22E60" w:rsidRDefault="00F22E60" w:rsidP="004C1365">
            <w:r>
              <w:t>The buy-out fee is calculated by multiplying the amount by which the target unit has failed to meet its target, expressed in terms of tonnes of carbon dioxide equivalent (tCO</w:t>
            </w:r>
            <w:r>
              <w:rPr>
                <w:vertAlign w:val="subscript"/>
              </w:rPr>
              <w:t>2</w:t>
            </w:r>
            <w:r>
              <w:t>e), by</w:t>
            </w:r>
            <w:r>
              <w:rPr>
                <w:szCs w:val="24"/>
              </w:rPr>
              <w:t>:</w:t>
            </w:r>
          </w:p>
          <w:p w14:paraId="5419A348" w14:textId="77777777" w:rsidR="00F22E60" w:rsidRDefault="00F22E60" w:rsidP="004C1365">
            <w:r w:rsidRPr="00814652">
              <w:t>£12 for TP1 and TP2</w:t>
            </w:r>
          </w:p>
          <w:p w14:paraId="7699D573" w14:textId="77777777" w:rsidR="00F22E60" w:rsidRDefault="00F22E60" w:rsidP="004C1365">
            <w:r w:rsidRPr="00814652">
              <w:t xml:space="preserve">£14 for TP3 and TP4 </w:t>
            </w:r>
          </w:p>
          <w:p w14:paraId="069E83E2" w14:textId="77777777" w:rsidR="00F22E60" w:rsidRDefault="00F22E60" w:rsidP="004C1365">
            <w:r w:rsidRPr="00814652">
              <w:t>£18 for TP5</w:t>
            </w:r>
          </w:p>
          <w:p w14:paraId="0A36262F" w14:textId="77777777" w:rsidR="00F22E60" w:rsidRDefault="00F22E60" w:rsidP="004C1365">
            <w:r>
              <w:t>Any previously accrued surplus (expressed as tCO</w:t>
            </w:r>
            <w:r>
              <w:rPr>
                <w:vertAlign w:val="subscript"/>
              </w:rPr>
              <w:t>2</w:t>
            </w:r>
            <w:r>
              <w:t>e) will be used to offset the payment for TP1-TP4 only.</w:t>
            </w:r>
          </w:p>
          <w:p w14:paraId="5A638B93" w14:textId="77777777" w:rsidR="00F22E60" w:rsidRDefault="00F22E60" w:rsidP="004C1365">
            <w:r>
              <w:t xml:space="preserve">Where payment of the buy-out fee is needed to rectify an error identified at any time other than the end of the target period, surplus cannot be used to offset the amount payable. </w:t>
            </w:r>
          </w:p>
          <w:p w14:paraId="37EE7094" w14:textId="77777777" w:rsidR="00F22E60" w:rsidRDefault="00F22E60" w:rsidP="004C1365">
            <w:r>
              <w:t xml:space="preserve">If the buy-out fee is not paid in the allotted time the target unit risks not being recertified from the scheme. </w:t>
            </w:r>
          </w:p>
        </w:tc>
      </w:tr>
      <w:tr w:rsidR="00F22E60" w14:paraId="4E6139C1" w14:textId="77777777" w:rsidTr="00F22E60">
        <w:trPr>
          <w:cantSplit/>
        </w:trPr>
        <w:tc>
          <w:tcPr>
            <w:tcW w:w="2122" w:type="dxa"/>
          </w:tcPr>
          <w:p w14:paraId="29440FB8" w14:textId="561EFA05" w:rsidR="00F22E60" w:rsidRPr="004C1365" w:rsidRDefault="00F22E60" w:rsidP="004C1365">
            <w:pPr>
              <w:rPr>
                <w:b/>
                <w:bCs/>
              </w:rPr>
            </w:pPr>
            <w:bookmarkStart w:id="303" w:name="Carbon"/>
            <w:r w:rsidRPr="004C1365">
              <w:rPr>
                <w:b/>
                <w:bCs/>
              </w:rPr>
              <w:t>Carbon</w:t>
            </w:r>
            <w:bookmarkEnd w:id="303"/>
            <w:r w:rsidRPr="004C1365">
              <w:rPr>
                <w:b/>
                <w:bCs/>
              </w:rPr>
              <w:t xml:space="preserve"> </w:t>
            </w:r>
          </w:p>
        </w:tc>
        <w:tc>
          <w:tcPr>
            <w:tcW w:w="7060" w:type="dxa"/>
          </w:tcPr>
          <w:p w14:paraId="331BD904" w14:textId="77777777" w:rsidR="00F22E60" w:rsidRDefault="00F22E60" w:rsidP="004C1365">
            <w:r>
              <w:t xml:space="preserve">Carbon dioxide emissions associated with the burning/use of certain fuels. </w:t>
            </w:r>
          </w:p>
        </w:tc>
      </w:tr>
      <w:tr w:rsidR="00F22E60" w14:paraId="788A75BA" w14:textId="77777777" w:rsidTr="00F22E60">
        <w:trPr>
          <w:cantSplit/>
        </w:trPr>
        <w:tc>
          <w:tcPr>
            <w:tcW w:w="2122" w:type="dxa"/>
          </w:tcPr>
          <w:p w14:paraId="02F19003" w14:textId="24EF6683" w:rsidR="00F22E60" w:rsidRPr="004C1365" w:rsidRDefault="00F22E60" w:rsidP="004C1365">
            <w:pPr>
              <w:rPr>
                <w:b/>
                <w:bCs/>
              </w:rPr>
            </w:pPr>
            <w:bookmarkStart w:id="304" w:name="Carbonconversionfactor"/>
            <w:r w:rsidRPr="004C1365">
              <w:rPr>
                <w:b/>
                <w:bCs/>
              </w:rPr>
              <w:lastRenderedPageBreak/>
              <w:t xml:space="preserve">Carbon conversion factor </w:t>
            </w:r>
            <w:bookmarkEnd w:id="304"/>
          </w:p>
        </w:tc>
        <w:tc>
          <w:tcPr>
            <w:tcW w:w="7060" w:type="dxa"/>
          </w:tcPr>
          <w:p w14:paraId="082E6FFA" w14:textId="77777777" w:rsidR="00F22E60" w:rsidRDefault="00F22E60" w:rsidP="004C1365">
            <w:r>
              <w:t xml:space="preserve">A conversion factor that is used to calculate the carbon emissions associated with the consumption of different fuels or electricity. The factor is expressed in terms of carbon emitted per unit of energy consumed (for example, </w:t>
            </w:r>
            <w:proofErr w:type="spellStart"/>
            <w:r>
              <w:t>kgC</w:t>
            </w:r>
            <w:proofErr w:type="spellEnd"/>
            <w:r>
              <w:t xml:space="preserve"> per kWh). </w:t>
            </w:r>
          </w:p>
        </w:tc>
      </w:tr>
      <w:tr w:rsidR="00F22E60" w14:paraId="1BFA44AB" w14:textId="77777777" w:rsidTr="00F22E60">
        <w:trPr>
          <w:cantSplit/>
        </w:trPr>
        <w:tc>
          <w:tcPr>
            <w:tcW w:w="2122" w:type="dxa"/>
          </w:tcPr>
          <w:p w14:paraId="72D36255" w14:textId="0E736EF0" w:rsidR="00F22E60" w:rsidRPr="004C1365" w:rsidRDefault="00F22E60" w:rsidP="004C1365">
            <w:pPr>
              <w:rPr>
                <w:b/>
                <w:bCs/>
              </w:rPr>
            </w:pPr>
            <w:bookmarkStart w:id="305" w:name="Carbontarget"/>
            <w:r w:rsidRPr="004C1365">
              <w:rPr>
                <w:b/>
                <w:bCs/>
              </w:rPr>
              <w:t xml:space="preserve">Carbon target </w:t>
            </w:r>
            <w:bookmarkEnd w:id="305"/>
          </w:p>
        </w:tc>
        <w:tc>
          <w:tcPr>
            <w:tcW w:w="7060" w:type="dxa"/>
          </w:tcPr>
          <w:p w14:paraId="32705F06" w14:textId="77777777" w:rsidR="00F22E60" w:rsidRDefault="00F22E60" w:rsidP="004C1365">
            <w:r>
              <w:t>A target expressed in tonnes of carbon.</w:t>
            </w:r>
          </w:p>
        </w:tc>
      </w:tr>
      <w:tr w:rsidR="00F22E60" w14:paraId="06B9D678" w14:textId="77777777" w:rsidTr="00F22E60">
        <w:trPr>
          <w:cantSplit/>
        </w:trPr>
        <w:tc>
          <w:tcPr>
            <w:tcW w:w="2122" w:type="dxa"/>
          </w:tcPr>
          <w:p w14:paraId="6B2925A4" w14:textId="1E4300FD" w:rsidR="00F22E60" w:rsidRPr="004C1365" w:rsidRDefault="00F22E60" w:rsidP="004C1365">
            <w:pPr>
              <w:rPr>
                <w:b/>
                <w:bCs/>
              </w:rPr>
            </w:pPr>
            <w:bookmarkStart w:id="306" w:name="CCAregister"/>
            <w:r w:rsidRPr="004C1365">
              <w:rPr>
                <w:b/>
                <w:bCs/>
              </w:rPr>
              <w:t xml:space="preserve">CCA register </w:t>
            </w:r>
            <w:bookmarkEnd w:id="306"/>
          </w:p>
        </w:tc>
        <w:tc>
          <w:tcPr>
            <w:tcW w:w="7060" w:type="dxa"/>
          </w:tcPr>
          <w:p w14:paraId="2495F665" w14:textId="77777777" w:rsidR="00F22E60" w:rsidRDefault="00F22E60" w:rsidP="004C1365">
            <w:r>
              <w:t xml:space="preserve">Online system set up by the Environment Agency as Administrator to carry out the administration of climate change agreements. The register can be used by: </w:t>
            </w:r>
          </w:p>
          <w:p w14:paraId="281A573C" w14:textId="77777777" w:rsidR="00F22E60" w:rsidRPr="00814652" w:rsidRDefault="00F22E60" w:rsidP="004C1365">
            <w:r w:rsidRPr="00814652">
              <w:t xml:space="preserve">current and prospective account holders </w:t>
            </w:r>
          </w:p>
          <w:p w14:paraId="15916AC5" w14:textId="77777777" w:rsidR="00F22E60" w:rsidRPr="00814652" w:rsidRDefault="00F22E60" w:rsidP="004C1365">
            <w:r w:rsidRPr="00814652">
              <w:t xml:space="preserve">any person appointed on behalf of an account holder to operate an account </w:t>
            </w:r>
          </w:p>
        </w:tc>
      </w:tr>
      <w:tr w:rsidR="00F22E60" w14:paraId="771A2506" w14:textId="77777777" w:rsidTr="00F22E60">
        <w:trPr>
          <w:cantSplit/>
        </w:trPr>
        <w:tc>
          <w:tcPr>
            <w:tcW w:w="2122" w:type="dxa"/>
          </w:tcPr>
          <w:p w14:paraId="22657756" w14:textId="1066C891" w:rsidR="00F22E60" w:rsidRPr="004C1365" w:rsidRDefault="00F22E60" w:rsidP="004C1365">
            <w:pPr>
              <w:rPr>
                <w:b/>
                <w:bCs/>
              </w:rPr>
            </w:pPr>
            <w:bookmarkStart w:id="307" w:name="Certificationperiod"/>
            <w:r w:rsidRPr="004C1365">
              <w:rPr>
                <w:b/>
                <w:bCs/>
              </w:rPr>
              <w:t xml:space="preserve">Certification period </w:t>
            </w:r>
            <w:bookmarkEnd w:id="307"/>
          </w:p>
        </w:tc>
        <w:tc>
          <w:tcPr>
            <w:tcW w:w="7060" w:type="dxa"/>
          </w:tcPr>
          <w:p w14:paraId="299FEB7F" w14:textId="77777777" w:rsidR="00F22E60" w:rsidRDefault="00F22E60" w:rsidP="004C1365">
            <w:r>
              <w:t xml:space="preserve">The period of validity of a certificate issued by the Environment Agency on behalf of the Secretary of State stating that the facilities listed in it are eligible for the CCL discount. Certification periods last for two years and are specified in the facility’s underlying agreement. </w:t>
            </w:r>
          </w:p>
        </w:tc>
      </w:tr>
      <w:tr w:rsidR="00F22E60" w14:paraId="2453D4B9" w14:textId="77777777" w:rsidTr="00F22E60">
        <w:trPr>
          <w:cantSplit/>
        </w:trPr>
        <w:tc>
          <w:tcPr>
            <w:tcW w:w="2122" w:type="dxa"/>
          </w:tcPr>
          <w:p w14:paraId="410B58BB" w14:textId="3EE864C2" w:rsidR="00F22E60" w:rsidRPr="004C1365" w:rsidRDefault="00F22E60" w:rsidP="004C1365">
            <w:pPr>
              <w:rPr>
                <w:b/>
                <w:bCs/>
              </w:rPr>
            </w:pPr>
            <w:bookmarkStart w:id="308" w:name="Charges"/>
            <w:r w:rsidRPr="004C1365">
              <w:rPr>
                <w:b/>
                <w:bCs/>
              </w:rPr>
              <w:t>Charges</w:t>
            </w:r>
            <w:bookmarkEnd w:id="308"/>
            <w:r w:rsidRPr="004C1365">
              <w:rPr>
                <w:b/>
                <w:bCs/>
              </w:rPr>
              <w:t xml:space="preserve"> </w:t>
            </w:r>
          </w:p>
        </w:tc>
        <w:tc>
          <w:tcPr>
            <w:tcW w:w="7060" w:type="dxa"/>
          </w:tcPr>
          <w:p w14:paraId="6B57DA05" w14:textId="77777777" w:rsidR="00F22E60" w:rsidRDefault="00F22E60" w:rsidP="004C1365">
            <w:r>
              <w:t xml:space="preserve">Charges levied at the target unit level due to the Administrator under the charging scheme. The charges are based on the number of eligible facilities a target unit has within its underlying agreement. </w:t>
            </w:r>
          </w:p>
        </w:tc>
      </w:tr>
      <w:tr w:rsidR="00F22E60" w14:paraId="4D755E6A" w14:textId="77777777" w:rsidTr="00F22E60">
        <w:trPr>
          <w:cantSplit/>
        </w:trPr>
        <w:tc>
          <w:tcPr>
            <w:tcW w:w="2122" w:type="dxa"/>
          </w:tcPr>
          <w:p w14:paraId="3F148E0E" w14:textId="48B468D5" w:rsidR="00F22E60" w:rsidRPr="004C1365" w:rsidRDefault="00F22E60" w:rsidP="004C1365">
            <w:pPr>
              <w:rPr>
                <w:b/>
                <w:bCs/>
              </w:rPr>
            </w:pPr>
            <w:bookmarkStart w:id="309" w:name="Chargingscheme"/>
            <w:r w:rsidRPr="004C1365">
              <w:rPr>
                <w:b/>
                <w:bCs/>
              </w:rPr>
              <w:t xml:space="preserve">Charging scheme </w:t>
            </w:r>
            <w:bookmarkEnd w:id="309"/>
          </w:p>
        </w:tc>
        <w:tc>
          <w:tcPr>
            <w:tcW w:w="7060" w:type="dxa"/>
          </w:tcPr>
          <w:p w14:paraId="129A888E" w14:textId="77777777" w:rsidR="00F22E60" w:rsidRDefault="00F22E60" w:rsidP="004C1365">
            <w:r>
              <w:t xml:space="preserve">The Climate Change Agreements Charging Scheme 2013 allows the Administrator to charge participants in the scheme to recover its costs. </w:t>
            </w:r>
          </w:p>
        </w:tc>
      </w:tr>
      <w:tr w:rsidR="00F22E60" w14:paraId="28913E58" w14:textId="77777777" w:rsidTr="00F22E60">
        <w:trPr>
          <w:cantSplit/>
        </w:trPr>
        <w:tc>
          <w:tcPr>
            <w:tcW w:w="2122" w:type="dxa"/>
          </w:tcPr>
          <w:p w14:paraId="2AB3F681" w14:textId="5C073C25" w:rsidR="00F22E60" w:rsidRPr="004C1365" w:rsidRDefault="00F22E60" w:rsidP="004C1365">
            <w:pPr>
              <w:rPr>
                <w:b/>
                <w:bCs/>
              </w:rPr>
            </w:pPr>
            <w:bookmarkStart w:id="310" w:name="Climatechangeagreement"/>
            <w:r w:rsidRPr="004C1365">
              <w:rPr>
                <w:b/>
                <w:bCs/>
              </w:rPr>
              <w:t xml:space="preserve">Climate change agreement </w:t>
            </w:r>
            <w:bookmarkEnd w:id="310"/>
          </w:p>
        </w:tc>
        <w:tc>
          <w:tcPr>
            <w:tcW w:w="7060" w:type="dxa"/>
          </w:tcPr>
          <w:p w14:paraId="55047F37" w14:textId="77777777" w:rsidR="00F22E60" w:rsidRDefault="00F22E60" w:rsidP="004C1365">
            <w:r>
              <w:t xml:space="preserve">The scheme under which eligible facilities can receive a discount in the rate of Climate Change Levy (CCL) in return for achieving energy and carbon efficiency targets. </w:t>
            </w:r>
          </w:p>
        </w:tc>
      </w:tr>
      <w:tr w:rsidR="00F22E60" w14:paraId="05102B3C" w14:textId="77777777" w:rsidTr="00F22E60">
        <w:trPr>
          <w:cantSplit/>
        </w:trPr>
        <w:tc>
          <w:tcPr>
            <w:tcW w:w="2122" w:type="dxa"/>
          </w:tcPr>
          <w:p w14:paraId="671175E1" w14:textId="40D17AFC" w:rsidR="00F22E60" w:rsidRPr="004C1365" w:rsidRDefault="00F22E60" w:rsidP="004C1365">
            <w:pPr>
              <w:rPr>
                <w:b/>
                <w:bCs/>
              </w:rPr>
            </w:pPr>
            <w:bookmarkStart w:id="311" w:name="CCL"/>
            <w:r w:rsidRPr="004C1365">
              <w:rPr>
                <w:b/>
                <w:bCs/>
              </w:rPr>
              <w:t xml:space="preserve">Climate Change Levy (CCL) </w:t>
            </w:r>
            <w:bookmarkEnd w:id="311"/>
          </w:p>
        </w:tc>
        <w:tc>
          <w:tcPr>
            <w:tcW w:w="7060" w:type="dxa"/>
          </w:tcPr>
          <w:p w14:paraId="23E4369F" w14:textId="77777777" w:rsidR="00F22E60" w:rsidRDefault="00F22E60" w:rsidP="004C1365">
            <w:r>
              <w:t>Tax since 1 April 2001 on electricity, gas, petroleum gas, coal, lignite, coke, semi-coke and petroleum coke (but not mineral oils) used as fuels by non-domestic energy users.</w:t>
            </w:r>
          </w:p>
        </w:tc>
      </w:tr>
      <w:tr w:rsidR="00F22E60" w14:paraId="21B5AE04" w14:textId="77777777" w:rsidTr="00F22E60">
        <w:trPr>
          <w:cantSplit/>
        </w:trPr>
        <w:tc>
          <w:tcPr>
            <w:tcW w:w="2122" w:type="dxa"/>
          </w:tcPr>
          <w:p w14:paraId="58575C7C" w14:textId="27153FB5" w:rsidR="00F22E60" w:rsidRPr="004C1365" w:rsidRDefault="00F22E60" w:rsidP="004C1365">
            <w:pPr>
              <w:rPr>
                <w:b/>
                <w:bCs/>
              </w:rPr>
            </w:pPr>
            <w:bookmarkStart w:id="312" w:name="Consultant"/>
            <w:r w:rsidRPr="004C1365">
              <w:rPr>
                <w:b/>
                <w:bCs/>
              </w:rPr>
              <w:t xml:space="preserve">Consultant </w:t>
            </w:r>
            <w:bookmarkEnd w:id="312"/>
          </w:p>
        </w:tc>
        <w:tc>
          <w:tcPr>
            <w:tcW w:w="7060" w:type="dxa"/>
          </w:tcPr>
          <w:p w14:paraId="2A83EA06" w14:textId="77777777" w:rsidR="00F22E60" w:rsidRDefault="00F22E60" w:rsidP="004C1365">
            <w:r>
              <w:t xml:space="preserve">An external organisation (consultancy) that assists sector associations (and target units) in completing their obligations under the CCA scheme. </w:t>
            </w:r>
          </w:p>
        </w:tc>
      </w:tr>
      <w:tr w:rsidR="00F22E60" w14:paraId="33D5478F" w14:textId="77777777" w:rsidTr="00F22E60">
        <w:trPr>
          <w:cantSplit/>
        </w:trPr>
        <w:tc>
          <w:tcPr>
            <w:tcW w:w="2122" w:type="dxa"/>
          </w:tcPr>
          <w:p w14:paraId="51E18E04" w14:textId="56C42CC7" w:rsidR="00F22E60" w:rsidRPr="004C1365" w:rsidRDefault="00F22E60" w:rsidP="004C1365">
            <w:pPr>
              <w:rPr>
                <w:b/>
                <w:bCs/>
              </w:rPr>
            </w:pPr>
            <w:bookmarkStart w:id="313" w:name="Decisionnotice"/>
            <w:r w:rsidRPr="004C1365">
              <w:rPr>
                <w:b/>
                <w:bCs/>
              </w:rPr>
              <w:t xml:space="preserve">Decision notice </w:t>
            </w:r>
            <w:bookmarkEnd w:id="313"/>
          </w:p>
        </w:tc>
        <w:tc>
          <w:tcPr>
            <w:tcW w:w="7060" w:type="dxa"/>
          </w:tcPr>
          <w:p w14:paraId="551222FE" w14:textId="77777777" w:rsidR="00F22E60" w:rsidRDefault="00F22E60" w:rsidP="004C1365">
            <w:r>
              <w:t xml:space="preserve">A notice served by the Administrator under Rule 5 of the Rules for the operation of climate change agreements. See rule(s). </w:t>
            </w:r>
          </w:p>
        </w:tc>
      </w:tr>
      <w:tr w:rsidR="00F22E60" w14:paraId="0E2BA17F" w14:textId="77777777" w:rsidTr="00F22E60">
        <w:trPr>
          <w:cantSplit/>
        </w:trPr>
        <w:tc>
          <w:tcPr>
            <w:tcW w:w="2122" w:type="dxa"/>
          </w:tcPr>
          <w:p w14:paraId="18271843" w14:textId="72B4BB3B" w:rsidR="00F22E60" w:rsidRPr="004C1365" w:rsidRDefault="00F22E60" w:rsidP="004C1365">
            <w:pPr>
              <w:rPr>
                <w:b/>
                <w:bCs/>
              </w:rPr>
            </w:pPr>
            <w:bookmarkStart w:id="314" w:name="Deliveredenergy"/>
            <w:r w:rsidRPr="004C1365">
              <w:rPr>
                <w:b/>
                <w:bCs/>
              </w:rPr>
              <w:t xml:space="preserve">Delivered energy </w:t>
            </w:r>
            <w:bookmarkEnd w:id="314"/>
          </w:p>
        </w:tc>
        <w:tc>
          <w:tcPr>
            <w:tcW w:w="7060" w:type="dxa"/>
          </w:tcPr>
          <w:p w14:paraId="2EDA779E" w14:textId="77777777" w:rsidR="00F22E60" w:rsidRDefault="00F22E60" w:rsidP="004C1365">
            <w:r>
              <w:t xml:space="preserve">The amount of energy contained in fuel, heat or power delivered to a site or installation for consumption. It’s synonymous with metered energy. Not to be confused with primary energy, which is the basis on which energy is accounted for in the CCA scheme. </w:t>
            </w:r>
          </w:p>
        </w:tc>
      </w:tr>
      <w:tr w:rsidR="00F22E60" w14:paraId="1FC9C62F" w14:textId="77777777" w:rsidTr="00F22E60">
        <w:trPr>
          <w:cantSplit/>
        </w:trPr>
        <w:tc>
          <w:tcPr>
            <w:tcW w:w="2122" w:type="dxa"/>
          </w:tcPr>
          <w:p w14:paraId="3ADF4859" w14:textId="32C34B2C" w:rsidR="00F22E60" w:rsidRPr="004C1365" w:rsidRDefault="00F22E60" w:rsidP="004C1365">
            <w:pPr>
              <w:rPr>
                <w:b/>
                <w:bCs/>
              </w:rPr>
            </w:pPr>
            <w:bookmarkStart w:id="315" w:name="BEIS"/>
            <w:r w:rsidRPr="004C1365">
              <w:rPr>
                <w:b/>
                <w:bCs/>
              </w:rPr>
              <w:lastRenderedPageBreak/>
              <w:t xml:space="preserve">Department for Business, Energy and Industrial Strategy (BEIS) </w:t>
            </w:r>
            <w:bookmarkEnd w:id="315"/>
          </w:p>
        </w:tc>
        <w:tc>
          <w:tcPr>
            <w:tcW w:w="7060" w:type="dxa"/>
          </w:tcPr>
          <w:p w14:paraId="22E7558D" w14:textId="77777777" w:rsidR="00F22E60" w:rsidRDefault="00F22E60" w:rsidP="004C1365">
            <w:r>
              <w:t xml:space="preserve">Government department with the overall responsibility for energy and climate change policy in the UK. </w:t>
            </w:r>
          </w:p>
        </w:tc>
      </w:tr>
      <w:tr w:rsidR="00F22E60" w14:paraId="072F8CB5" w14:textId="77777777" w:rsidTr="00F22E60">
        <w:trPr>
          <w:cantSplit/>
        </w:trPr>
        <w:tc>
          <w:tcPr>
            <w:tcW w:w="2122" w:type="dxa"/>
          </w:tcPr>
          <w:p w14:paraId="1AC4C940" w14:textId="660B43AA" w:rsidR="00F22E60" w:rsidRPr="004C1365" w:rsidRDefault="00F22E60" w:rsidP="004C1365">
            <w:pPr>
              <w:rPr>
                <w:b/>
                <w:bCs/>
              </w:rPr>
            </w:pPr>
            <w:bookmarkStart w:id="316" w:name="Devolvedadministration"/>
            <w:r w:rsidRPr="004C1365">
              <w:rPr>
                <w:b/>
                <w:bCs/>
              </w:rPr>
              <w:t xml:space="preserve">Devolved administrations </w:t>
            </w:r>
            <w:bookmarkEnd w:id="316"/>
          </w:p>
        </w:tc>
        <w:tc>
          <w:tcPr>
            <w:tcW w:w="7060" w:type="dxa"/>
          </w:tcPr>
          <w:p w14:paraId="0A695D5E" w14:textId="77777777" w:rsidR="00F22E60" w:rsidRDefault="00F22E60" w:rsidP="004C1365">
            <w:r>
              <w:t xml:space="preserve">The Scottish Parliament, the National Assembly for Wales and the Northern Ireland Assembly. </w:t>
            </w:r>
          </w:p>
        </w:tc>
      </w:tr>
      <w:tr w:rsidR="00F22E60" w14:paraId="3A86ED2C" w14:textId="77777777" w:rsidTr="00F22E60">
        <w:trPr>
          <w:cantSplit/>
        </w:trPr>
        <w:tc>
          <w:tcPr>
            <w:tcW w:w="2122" w:type="dxa"/>
          </w:tcPr>
          <w:p w14:paraId="17141F24" w14:textId="31094941" w:rsidR="00F22E60" w:rsidRPr="004C1365" w:rsidRDefault="00F22E60" w:rsidP="004C1365">
            <w:pPr>
              <w:rPr>
                <w:b/>
                <w:bCs/>
              </w:rPr>
            </w:pPr>
            <w:bookmarkStart w:id="317" w:name="DAA"/>
            <w:r w:rsidRPr="004C1365">
              <w:rPr>
                <w:b/>
                <w:bCs/>
              </w:rPr>
              <w:t xml:space="preserve">Directly associated activity (DAA) </w:t>
            </w:r>
            <w:bookmarkEnd w:id="317"/>
          </w:p>
        </w:tc>
        <w:tc>
          <w:tcPr>
            <w:tcW w:w="7060" w:type="dxa"/>
          </w:tcPr>
          <w:p w14:paraId="79FB58B4" w14:textId="77777777" w:rsidR="00F22E60" w:rsidRDefault="00F22E60" w:rsidP="004C1365">
            <w:r>
              <w:t xml:space="preserve">An activity on the same site which has a technical connection with the activities listed in Appendix A and which could have an effect on emissions and pollution. </w:t>
            </w:r>
          </w:p>
        </w:tc>
      </w:tr>
      <w:tr w:rsidR="00F22E60" w14:paraId="4D7BD70D" w14:textId="77777777" w:rsidTr="00F22E60">
        <w:trPr>
          <w:cantSplit/>
        </w:trPr>
        <w:tc>
          <w:tcPr>
            <w:tcW w:w="2122" w:type="dxa"/>
          </w:tcPr>
          <w:p w14:paraId="65458D85" w14:textId="0CB08081" w:rsidR="00F22E60" w:rsidRPr="004C1365" w:rsidRDefault="00F22E60" w:rsidP="004C1365">
            <w:pPr>
              <w:rPr>
                <w:b/>
                <w:bCs/>
              </w:rPr>
            </w:pPr>
            <w:bookmarkStart w:id="318" w:name="Eligibleprocess"/>
            <w:r w:rsidRPr="004C1365">
              <w:rPr>
                <w:b/>
                <w:bCs/>
              </w:rPr>
              <w:t xml:space="preserve">Eligible processes </w:t>
            </w:r>
            <w:bookmarkEnd w:id="318"/>
          </w:p>
        </w:tc>
        <w:tc>
          <w:tcPr>
            <w:tcW w:w="7060" w:type="dxa"/>
          </w:tcPr>
          <w:p w14:paraId="38530DAB" w14:textId="77777777" w:rsidR="00F22E60" w:rsidRDefault="00F22E60" w:rsidP="004C1365">
            <w:r>
              <w:t>The term used to describe:</w:t>
            </w:r>
          </w:p>
          <w:p w14:paraId="6540379B" w14:textId="77777777" w:rsidR="00F22E60" w:rsidRPr="00814652" w:rsidRDefault="00F22E60" w:rsidP="004C1365">
            <w:r w:rsidRPr="00814652">
              <w:t>Part A activities</w:t>
            </w:r>
          </w:p>
          <w:p w14:paraId="6BA21105" w14:textId="77777777" w:rsidR="00F22E60" w:rsidRDefault="00F22E60" w:rsidP="004C1365">
            <w:r w:rsidRPr="00814652">
              <w:t>the processes listed in the Schedule of The Climate Change Agreements (Eligible Facilities) Regulations 2012; and</w:t>
            </w:r>
          </w:p>
          <w:p w14:paraId="4373D33E" w14:textId="77777777" w:rsidR="00F22E60" w:rsidRDefault="00F22E60" w:rsidP="004C1365">
            <w:r w:rsidRPr="00814652">
              <w:t>ancillary activities</w:t>
            </w:r>
            <w:r w:rsidRPr="00814652">
              <w:rPr>
                <w:szCs w:val="24"/>
              </w:rPr>
              <w:t xml:space="preserve"> with a technical connection to the above</w:t>
            </w:r>
          </w:p>
        </w:tc>
      </w:tr>
      <w:tr w:rsidR="00F22E60" w14:paraId="0CA0BC0D" w14:textId="77777777" w:rsidTr="00F22E60">
        <w:trPr>
          <w:cantSplit/>
        </w:trPr>
        <w:tc>
          <w:tcPr>
            <w:tcW w:w="2122" w:type="dxa"/>
          </w:tcPr>
          <w:p w14:paraId="22F5EC49" w14:textId="167882B0" w:rsidR="00F22E60" w:rsidRPr="004C1365" w:rsidRDefault="00F22E60" w:rsidP="004C1365">
            <w:pPr>
              <w:rPr>
                <w:b/>
                <w:bCs/>
              </w:rPr>
            </w:pPr>
            <w:bookmarkStart w:id="319" w:name="Emissions"/>
            <w:r w:rsidRPr="004C1365">
              <w:rPr>
                <w:b/>
                <w:bCs/>
              </w:rPr>
              <w:t>Emissions</w:t>
            </w:r>
            <w:bookmarkEnd w:id="319"/>
            <w:r w:rsidRPr="004C1365">
              <w:rPr>
                <w:b/>
                <w:bCs/>
              </w:rPr>
              <w:t xml:space="preserve"> </w:t>
            </w:r>
          </w:p>
        </w:tc>
        <w:tc>
          <w:tcPr>
            <w:tcW w:w="7060" w:type="dxa"/>
          </w:tcPr>
          <w:p w14:paraId="4F7668D6" w14:textId="77777777" w:rsidR="00F22E60" w:rsidRDefault="00F22E60" w:rsidP="004C1365">
            <w:r>
              <w:t>Total emissions in tonnes of carbon dioxide equivalent (tCO</w:t>
            </w:r>
            <w:r>
              <w:rPr>
                <w:vertAlign w:val="subscript"/>
              </w:rPr>
              <w:t>2</w:t>
            </w:r>
            <w:r>
              <w:t xml:space="preserve">e) for a target unit. </w:t>
            </w:r>
          </w:p>
        </w:tc>
      </w:tr>
      <w:tr w:rsidR="00F22E60" w14:paraId="161B8C6D" w14:textId="77777777" w:rsidTr="00F22E60">
        <w:trPr>
          <w:cantSplit/>
        </w:trPr>
        <w:tc>
          <w:tcPr>
            <w:tcW w:w="2122" w:type="dxa"/>
          </w:tcPr>
          <w:p w14:paraId="0D5AFE31" w14:textId="718956C3" w:rsidR="00F22E60" w:rsidRPr="004C1365" w:rsidRDefault="00F22E60" w:rsidP="004C1365">
            <w:pPr>
              <w:rPr>
                <w:b/>
                <w:bCs/>
              </w:rPr>
            </w:pPr>
            <w:bookmarkStart w:id="320" w:name="Energytarget"/>
            <w:r w:rsidRPr="004C1365">
              <w:rPr>
                <w:b/>
                <w:bCs/>
              </w:rPr>
              <w:t xml:space="preserve">Energy target </w:t>
            </w:r>
            <w:bookmarkEnd w:id="320"/>
          </w:p>
        </w:tc>
        <w:tc>
          <w:tcPr>
            <w:tcW w:w="7060" w:type="dxa"/>
          </w:tcPr>
          <w:p w14:paraId="76D64B81" w14:textId="77777777" w:rsidR="00F22E60" w:rsidRDefault="00F22E60" w:rsidP="004C1365">
            <w:r>
              <w:t>A target expressed in relative or absolute terms that includes units of energy, such as kWh, MWh and PJ.</w:t>
            </w:r>
          </w:p>
        </w:tc>
      </w:tr>
      <w:tr w:rsidR="00F22E60" w14:paraId="4445DD24" w14:textId="77777777" w:rsidTr="00F22E60">
        <w:trPr>
          <w:cantSplit/>
        </w:trPr>
        <w:tc>
          <w:tcPr>
            <w:tcW w:w="2122" w:type="dxa"/>
          </w:tcPr>
          <w:p w14:paraId="39E6EF1D" w14:textId="55CB9F31" w:rsidR="00F22E60" w:rsidRPr="004C1365" w:rsidRDefault="00F22E60" w:rsidP="004C1365">
            <w:pPr>
              <w:rPr>
                <w:b/>
                <w:bCs/>
              </w:rPr>
            </w:pPr>
            <w:bookmarkStart w:id="321" w:name="EnvironmentAgency"/>
            <w:r w:rsidRPr="004C1365">
              <w:rPr>
                <w:b/>
                <w:bCs/>
              </w:rPr>
              <w:t xml:space="preserve">Environment Agency </w:t>
            </w:r>
            <w:bookmarkEnd w:id="321"/>
          </w:p>
        </w:tc>
        <w:tc>
          <w:tcPr>
            <w:tcW w:w="7060" w:type="dxa"/>
          </w:tcPr>
          <w:p w14:paraId="6B700A3E" w14:textId="77777777" w:rsidR="00F22E60" w:rsidRDefault="00F22E60" w:rsidP="004C1365">
            <w:r>
              <w:t xml:space="preserve">The organisation appointed under The Climate Change Agreements (Administration) Regulations 2012 to be the Administrator of the CCA scheme from 1 October 2012. </w:t>
            </w:r>
          </w:p>
        </w:tc>
      </w:tr>
      <w:tr w:rsidR="00F22E60" w14:paraId="620F6AF2" w14:textId="77777777" w:rsidTr="00F22E60">
        <w:trPr>
          <w:cantSplit/>
        </w:trPr>
        <w:tc>
          <w:tcPr>
            <w:tcW w:w="2122" w:type="dxa"/>
          </w:tcPr>
          <w:p w14:paraId="47418837" w14:textId="2EEA6B3F" w:rsidR="00F22E60" w:rsidRPr="004C1365" w:rsidRDefault="00F22E60" w:rsidP="004C1365">
            <w:pPr>
              <w:rPr>
                <w:b/>
                <w:bCs/>
              </w:rPr>
            </w:pPr>
            <w:bookmarkStart w:id="322" w:name="EPR"/>
            <w:r w:rsidRPr="004C1365">
              <w:rPr>
                <w:b/>
                <w:bCs/>
              </w:rPr>
              <w:t>EPR</w:t>
            </w:r>
            <w:bookmarkEnd w:id="322"/>
            <w:r w:rsidRPr="004C1365">
              <w:rPr>
                <w:b/>
                <w:bCs/>
              </w:rPr>
              <w:t xml:space="preserve"> </w:t>
            </w:r>
          </w:p>
        </w:tc>
        <w:tc>
          <w:tcPr>
            <w:tcW w:w="7060" w:type="dxa"/>
          </w:tcPr>
          <w:p w14:paraId="38139387" w14:textId="77777777" w:rsidR="00F22E60" w:rsidRDefault="00F22E60" w:rsidP="004C1365">
            <w:r>
              <w:t>The Environmental Permitting (England and Wales) Regulations 2010.</w:t>
            </w:r>
          </w:p>
        </w:tc>
      </w:tr>
      <w:tr w:rsidR="00F22E60" w14:paraId="2D123ED0" w14:textId="77777777" w:rsidTr="00F22E60">
        <w:trPr>
          <w:cantSplit/>
        </w:trPr>
        <w:tc>
          <w:tcPr>
            <w:tcW w:w="2122" w:type="dxa"/>
          </w:tcPr>
          <w:p w14:paraId="0486BC01" w14:textId="04A25322" w:rsidR="00F22E60" w:rsidRPr="004C1365" w:rsidRDefault="00F22E60" w:rsidP="004C1365">
            <w:pPr>
              <w:rPr>
                <w:b/>
                <w:bCs/>
              </w:rPr>
            </w:pPr>
            <w:bookmarkStart w:id="323" w:name="UKETS"/>
            <w:r w:rsidRPr="004C1365">
              <w:rPr>
                <w:b/>
                <w:bCs/>
              </w:rPr>
              <w:t xml:space="preserve">Emissions Trading Scheme (ETS) </w:t>
            </w:r>
            <w:bookmarkEnd w:id="323"/>
          </w:p>
        </w:tc>
        <w:tc>
          <w:tcPr>
            <w:tcW w:w="7060" w:type="dxa"/>
          </w:tcPr>
          <w:p w14:paraId="3FE73008" w14:textId="77777777" w:rsidR="00F22E60" w:rsidRDefault="00F22E60" w:rsidP="004C1365">
            <w:r>
              <w:t xml:space="preserve">The UK Emissions Trading Scheme established under the </w:t>
            </w:r>
          </w:p>
          <w:p w14:paraId="232A6931" w14:textId="77777777" w:rsidR="00F22E60" w:rsidRDefault="00F22E60" w:rsidP="004C1365">
            <w:r>
              <w:t xml:space="preserve">Greenhouse Gas Emissions Trading Scheme Order 2020. </w:t>
            </w:r>
            <w:r>
              <w:rPr>
                <w:szCs w:val="24"/>
              </w:rPr>
              <w:t>(</w:t>
            </w:r>
            <w:r>
              <w:t>The UK ETS came into force on the 1 January 2021 replacing the UK’s participation in the EU ETS</w:t>
            </w:r>
            <w:r>
              <w:rPr>
                <w:szCs w:val="24"/>
              </w:rPr>
              <w:t>.)</w:t>
            </w:r>
          </w:p>
        </w:tc>
      </w:tr>
      <w:tr w:rsidR="00F22E60" w14:paraId="0B996C54" w14:textId="77777777" w:rsidTr="00F22E60">
        <w:trPr>
          <w:cantSplit/>
        </w:trPr>
        <w:tc>
          <w:tcPr>
            <w:tcW w:w="2122" w:type="dxa"/>
          </w:tcPr>
          <w:p w14:paraId="30008C60" w14:textId="77777777" w:rsidR="00F22E60" w:rsidRPr="004C1365" w:rsidRDefault="00F22E60" w:rsidP="004C1365">
            <w:pPr>
              <w:rPr>
                <w:b/>
                <w:bCs/>
              </w:rPr>
            </w:pPr>
            <w:bookmarkStart w:id="324" w:name="excludedinstallationfacilitator"/>
            <w:r w:rsidRPr="004C1365">
              <w:rPr>
                <w:b/>
                <w:bCs/>
              </w:rPr>
              <w:t xml:space="preserve">Excluded installation </w:t>
            </w:r>
          </w:p>
        </w:tc>
        <w:tc>
          <w:tcPr>
            <w:tcW w:w="7060" w:type="dxa"/>
          </w:tcPr>
          <w:p w14:paraId="20161E69" w14:textId="77777777" w:rsidR="00F22E60" w:rsidRDefault="00F22E60" w:rsidP="004C1365">
            <w:r>
              <w:t xml:space="preserve">An installation within the meaning of Schedule 5 of The Greenhouse Gas Emissions Trading Scheme Regulations 2012. </w:t>
            </w:r>
          </w:p>
        </w:tc>
      </w:tr>
      <w:tr w:rsidR="00F22E60" w14:paraId="48700D25" w14:textId="77777777" w:rsidTr="00F22E60">
        <w:trPr>
          <w:cantSplit/>
        </w:trPr>
        <w:tc>
          <w:tcPr>
            <w:tcW w:w="2122" w:type="dxa"/>
          </w:tcPr>
          <w:p w14:paraId="17DD7F40" w14:textId="77777777" w:rsidR="00F22E60" w:rsidRPr="004C1365" w:rsidRDefault="00F22E60" w:rsidP="004C1365">
            <w:pPr>
              <w:rPr>
                <w:b/>
                <w:bCs/>
              </w:rPr>
            </w:pPr>
            <w:r w:rsidRPr="004C1365">
              <w:rPr>
                <w:b/>
                <w:bCs/>
              </w:rPr>
              <w:t xml:space="preserve">Facilitator </w:t>
            </w:r>
          </w:p>
        </w:tc>
        <w:tc>
          <w:tcPr>
            <w:tcW w:w="7060" w:type="dxa"/>
          </w:tcPr>
          <w:p w14:paraId="27677E96" w14:textId="77777777" w:rsidR="00F22E60" w:rsidRDefault="00F22E60" w:rsidP="004C1365">
            <w:r>
              <w:t xml:space="preserve">Technical consultant supporting the Administrator with the technical aspects of the CCA scheme. The facilitator also provides technical support to the sector associations. </w:t>
            </w:r>
          </w:p>
        </w:tc>
      </w:tr>
      <w:tr w:rsidR="00F22E60" w14:paraId="40880393" w14:textId="77777777" w:rsidTr="00F22E60">
        <w:trPr>
          <w:cantSplit/>
        </w:trPr>
        <w:tc>
          <w:tcPr>
            <w:tcW w:w="2122" w:type="dxa"/>
          </w:tcPr>
          <w:p w14:paraId="0DB51751" w14:textId="4A44A43B" w:rsidR="00F22E60" w:rsidRPr="004C1365" w:rsidRDefault="00F22E60" w:rsidP="004C1365">
            <w:pPr>
              <w:rPr>
                <w:b/>
                <w:bCs/>
              </w:rPr>
            </w:pPr>
            <w:bookmarkStart w:id="325" w:name="Facility"/>
            <w:bookmarkEnd w:id="324"/>
            <w:r w:rsidRPr="004C1365">
              <w:rPr>
                <w:b/>
                <w:bCs/>
              </w:rPr>
              <w:t>Facility</w:t>
            </w:r>
            <w:bookmarkEnd w:id="325"/>
            <w:r w:rsidRPr="004C1365">
              <w:rPr>
                <w:b/>
                <w:bCs/>
              </w:rPr>
              <w:t xml:space="preserve"> </w:t>
            </w:r>
          </w:p>
        </w:tc>
        <w:tc>
          <w:tcPr>
            <w:tcW w:w="7060" w:type="dxa"/>
          </w:tcPr>
          <w:p w14:paraId="774C2DDA" w14:textId="77777777" w:rsidR="00F22E60" w:rsidRDefault="00F22E60" w:rsidP="004C1365">
            <w:r>
              <w:t xml:space="preserve">An installation, site, or part of site which is eligible to be covered by a climate change agreement. Also known as the eligible facility. </w:t>
            </w:r>
          </w:p>
        </w:tc>
      </w:tr>
      <w:tr w:rsidR="00F22E60" w14:paraId="200F8F5D" w14:textId="77777777" w:rsidTr="00F22E60">
        <w:trPr>
          <w:cantSplit/>
        </w:trPr>
        <w:tc>
          <w:tcPr>
            <w:tcW w:w="2122" w:type="dxa"/>
          </w:tcPr>
          <w:p w14:paraId="3CFDF026" w14:textId="6B168E05" w:rsidR="00F22E60" w:rsidRPr="004C1365" w:rsidRDefault="00F22E60" w:rsidP="004C1365">
            <w:pPr>
              <w:rPr>
                <w:b/>
                <w:bCs/>
              </w:rPr>
            </w:pPr>
            <w:bookmarkStart w:id="326" w:name="FinanceAct2000"/>
            <w:r w:rsidRPr="004C1365">
              <w:rPr>
                <w:b/>
                <w:bCs/>
              </w:rPr>
              <w:t xml:space="preserve">Finance Act 2000 </w:t>
            </w:r>
            <w:bookmarkEnd w:id="326"/>
          </w:p>
        </w:tc>
        <w:tc>
          <w:tcPr>
            <w:tcW w:w="7060" w:type="dxa"/>
          </w:tcPr>
          <w:p w14:paraId="74F2C229" w14:textId="77777777" w:rsidR="00F22E60" w:rsidRDefault="00F22E60" w:rsidP="004C1365">
            <w:r>
              <w:t xml:space="preserve">Schedule 6 of the Finance Act 2000 (as amended) contains legislation pertaining to the Climate Change Levy. </w:t>
            </w:r>
          </w:p>
        </w:tc>
      </w:tr>
      <w:tr w:rsidR="00F22E60" w14:paraId="320E7E66" w14:textId="77777777" w:rsidTr="00F22E60">
        <w:trPr>
          <w:cantSplit/>
        </w:trPr>
        <w:tc>
          <w:tcPr>
            <w:tcW w:w="2122" w:type="dxa"/>
          </w:tcPr>
          <w:p w14:paraId="0FFBAEFE" w14:textId="6F4CB05D" w:rsidR="00F22E60" w:rsidRPr="004C1365" w:rsidRDefault="00F22E60" w:rsidP="004C1365">
            <w:pPr>
              <w:rPr>
                <w:b/>
                <w:bCs/>
              </w:rPr>
            </w:pPr>
            <w:bookmarkStart w:id="327" w:name="Financialservicescentre"/>
            <w:r w:rsidRPr="004C1365">
              <w:rPr>
                <w:b/>
                <w:bCs/>
              </w:rPr>
              <w:lastRenderedPageBreak/>
              <w:t xml:space="preserve">Financial Services Centre </w:t>
            </w:r>
            <w:bookmarkEnd w:id="327"/>
          </w:p>
        </w:tc>
        <w:tc>
          <w:tcPr>
            <w:tcW w:w="7060" w:type="dxa"/>
          </w:tcPr>
          <w:p w14:paraId="4574EF56" w14:textId="77777777" w:rsidR="00F22E60" w:rsidRDefault="00F22E60" w:rsidP="004C1365">
            <w:r>
              <w:t xml:space="preserve">The internal finance department that manages all financial transactions into and out of the Environment Agency. </w:t>
            </w:r>
          </w:p>
        </w:tc>
      </w:tr>
      <w:tr w:rsidR="00F22E60" w14:paraId="63FB843B" w14:textId="77777777" w:rsidTr="00F22E60">
        <w:trPr>
          <w:cantSplit/>
        </w:trPr>
        <w:tc>
          <w:tcPr>
            <w:tcW w:w="2122" w:type="dxa"/>
          </w:tcPr>
          <w:p w14:paraId="7113E5D2" w14:textId="30BFF7C6" w:rsidR="00F22E60" w:rsidRPr="004C1365" w:rsidRDefault="00F22E60" w:rsidP="004C1365">
            <w:pPr>
              <w:rPr>
                <w:b/>
                <w:bCs/>
              </w:rPr>
            </w:pPr>
            <w:bookmarkStart w:id="328" w:name="Fuel"/>
            <w:r w:rsidRPr="004C1365">
              <w:rPr>
                <w:b/>
                <w:bCs/>
              </w:rPr>
              <w:t>Fuel</w:t>
            </w:r>
            <w:bookmarkEnd w:id="328"/>
            <w:r w:rsidRPr="004C1365">
              <w:rPr>
                <w:b/>
                <w:bCs/>
              </w:rPr>
              <w:t xml:space="preserve"> </w:t>
            </w:r>
          </w:p>
        </w:tc>
        <w:tc>
          <w:tcPr>
            <w:tcW w:w="7060" w:type="dxa"/>
          </w:tcPr>
          <w:p w14:paraId="2364902B" w14:textId="77777777" w:rsidR="00F22E60" w:rsidRDefault="00F22E60" w:rsidP="004C1365">
            <w:r>
              <w:t>Gas, liquid or solid matter that can be consumed to produce energy in the form of heat or power.</w:t>
            </w:r>
          </w:p>
        </w:tc>
      </w:tr>
      <w:tr w:rsidR="00F22E60" w14:paraId="0764560D" w14:textId="77777777" w:rsidTr="00F22E60">
        <w:trPr>
          <w:cantSplit/>
        </w:trPr>
        <w:tc>
          <w:tcPr>
            <w:tcW w:w="2122" w:type="dxa"/>
          </w:tcPr>
          <w:p w14:paraId="430CB7A1" w14:textId="77777777" w:rsidR="00F22E60" w:rsidRPr="004C1365" w:rsidRDefault="00F22E60" w:rsidP="004C1365">
            <w:pPr>
              <w:rPr>
                <w:b/>
                <w:bCs/>
              </w:rPr>
            </w:pPr>
            <w:bookmarkStart w:id="329" w:name="Greenelectricity"/>
            <w:r w:rsidRPr="004C1365">
              <w:rPr>
                <w:b/>
                <w:bCs/>
              </w:rPr>
              <w:t xml:space="preserve">Green electricity tariff </w:t>
            </w:r>
          </w:p>
        </w:tc>
        <w:tc>
          <w:tcPr>
            <w:tcW w:w="7060" w:type="dxa"/>
          </w:tcPr>
          <w:p w14:paraId="59ED806A" w14:textId="77777777" w:rsidR="00F22E60" w:rsidRDefault="00F22E60" w:rsidP="004C1365">
            <w:r>
              <w:t xml:space="preserve">A green supply tariff means that some or all of the electricity supplied is ‘matched’ by purchases of renewable energy made by the energy supplier on their customer’s behalf. </w:t>
            </w:r>
          </w:p>
        </w:tc>
      </w:tr>
      <w:tr w:rsidR="00F22E60" w14:paraId="1EE266E4" w14:textId="77777777" w:rsidTr="00F22E60">
        <w:trPr>
          <w:cantSplit/>
        </w:trPr>
        <w:tc>
          <w:tcPr>
            <w:tcW w:w="2122" w:type="dxa"/>
          </w:tcPr>
          <w:p w14:paraId="2F45E7A5" w14:textId="35D92B78" w:rsidR="00F22E60" w:rsidRPr="004C1365" w:rsidRDefault="00F22E60" w:rsidP="004C1365">
            <w:pPr>
              <w:rPr>
                <w:b/>
                <w:bCs/>
              </w:rPr>
            </w:pPr>
            <w:bookmarkStart w:id="330" w:name="greenfield"/>
            <w:bookmarkEnd w:id="329"/>
            <w:r w:rsidRPr="004C1365">
              <w:rPr>
                <w:b/>
                <w:bCs/>
              </w:rPr>
              <w:t xml:space="preserve">Greenfield facility </w:t>
            </w:r>
            <w:bookmarkEnd w:id="330"/>
          </w:p>
        </w:tc>
        <w:tc>
          <w:tcPr>
            <w:tcW w:w="7060" w:type="dxa"/>
          </w:tcPr>
          <w:p w14:paraId="27D48441" w14:textId="77777777" w:rsidR="00F22E60" w:rsidRDefault="00F22E60" w:rsidP="004C1365">
            <w:r>
              <w:t xml:space="preserve">A newly built facility or an existing facility that has closed down and undergone a complete replacement of plant and been recommissioned with a new eligible process. </w:t>
            </w:r>
          </w:p>
        </w:tc>
      </w:tr>
      <w:tr w:rsidR="00F22E60" w14:paraId="04AFB1FF" w14:textId="77777777" w:rsidTr="00F22E60">
        <w:trPr>
          <w:cantSplit/>
        </w:trPr>
        <w:tc>
          <w:tcPr>
            <w:tcW w:w="2122" w:type="dxa"/>
          </w:tcPr>
          <w:p w14:paraId="6E91F1EC" w14:textId="2CE4112E" w:rsidR="00F22E60" w:rsidRPr="004C1365" w:rsidRDefault="00F22E60" w:rsidP="004C1365">
            <w:pPr>
              <w:rPr>
                <w:b/>
                <w:bCs/>
              </w:rPr>
            </w:pPr>
            <w:bookmarkStart w:id="331" w:name="installation"/>
            <w:r w:rsidRPr="004C1365">
              <w:rPr>
                <w:b/>
                <w:bCs/>
              </w:rPr>
              <w:t>Installation</w:t>
            </w:r>
            <w:bookmarkEnd w:id="331"/>
            <w:r w:rsidRPr="004C1365">
              <w:rPr>
                <w:b/>
                <w:bCs/>
              </w:rPr>
              <w:t xml:space="preserve"> </w:t>
            </w:r>
          </w:p>
        </w:tc>
        <w:tc>
          <w:tcPr>
            <w:tcW w:w="7060" w:type="dxa"/>
          </w:tcPr>
          <w:p w14:paraId="6FFAD44E" w14:textId="77777777" w:rsidR="00F22E60" w:rsidRDefault="00F22E60" w:rsidP="004C1365">
            <w:r>
              <w:t xml:space="preserve">The installation stationary technical unit (STU) and directly associated activities (DAA) combined. </w:t>
            </w:r>
          </w:p>
        </w:tc>
      </w:tr>
      <w:tr w:rsidR="00F22E60" w14:paraId="7689554A" w14:textId="77777777" w:rsidTr="00F22E60">
        <w:trPr>
          <w:cantSplit/>
        </w:trPr>
        <w:tc>
          <w:tcPr>
            <w:tcW w:w="2122" w:type="dxa"/>
          </w:tcPr>
          <w:p w14:paraId="634C2846" w14:textId="2AC5290B" w:rsidR="00F22E60" w:rsidRPr="004C1365" w:rsidRDefault="00F22E60" w:rsidP="004C1365">
            <w:pPr>
              <w:rPr>
                <w:b/>
                <w:bCs/>
              </w:rPr>
            </w:pPr>
            <w:bookmarkStart w:id="332" w:name="Integratedpollution"/>
            <w:r w:rsidRPr="004C1365">
              <w:rPr>
                <w:b/>
                <w:bCs/>
              </w:rPr>
              <w:t xml:space="preserve">Integrated Pollution and Control Directive </w:t>
            </w:r>
            <w:bookmarkEnd w:id="332"/>
          </w:p>
        </w:tc>
        <w:tc>
          <w:tcPr>
            <w:tcW w:w="7060" w:type="dxa"/>
          </w:tcPr>
          <w:p w14:paraId="7BB1FECF" w14:textId="77777777" w:rsidR="00F22E60" w:rsidRDefault="00F22E60" w:rsidP="004C1365">
            <w:r>
              <w:t xml:space="preserve">EC Directive 96/61/EC, which is implemented in England and Wales by The Environmental Permitting (England and Wales) Regulations 2010 (as amended) (EPR) and their equivalents in Scotland and Northern Ireland (PPC Regulations). The IPPC Directive is being replaced by the Industrial Emissions Directive (IED), which will be implemented through a revised version of EPR. </w:t>
            </w:r>
          </w:p>
        </w:tc>
      </w:tr>
      <w:tr w:rsidR="00F22E60" w14:paraId="054BD124" w14:textId="77777777" w:rsidTr="00F22E60">
        <w:trPr>
          <w:cantSplit/>
        </w:trPr>
        <w:tc>
          <w:tcPr>
            <w:tcW w:w="2122" w:type="dxa"/>
          </w:tcPr>
          <w:p w14:paraId="0D99EF19" w14:textId="72D6BCCF" w:rsidR="00F22E60" w:rsidRPr="004C1365" w:rsidRDefault="00F22E60" w:rsidP="004C1365">
            <w:pPr>
              <w:rPr>
                <w:b/>
                <w:bCs/>
              </w:rPr>
            </w:pPr>
            <w:bookmarkStart w:id="333" w:name="MOA"/>
            <w:r w:rsidRPr="004C1365">
              <w:rPr>
                <w:b/>
                <w:bCs/>
              </w:rPr>
              <w:t>Memorandum of Account (</w:t>
            </w:r>
            <w:proofErr w:type="spellStart"/>
            <w:r w:rsidRPr="004C1365">
              <w:rPr>
                <w:b/>
                <w:bCs/>
              </w:rPr>
              <w:t>MoA</w:t>
            </w:r>
            <w:proofErr w:type="spellEnd"/>
            <w:r w:rsidRPr="004C1365">
              <w:rPr>
                <w:b/>
                <w:bCs/>
              </w:rPr>
              <w:t xml:space="preserve">) </w:t>
            </w:r>
            <w:bookmarkEnd w:id="333"/>
          </w:p>
        </w:tc>
        <w:tc>
          <w:tcPr>
            <w:tcW w:w="7060" w:type="dxa"/>
          </w:tcPr>
          <w:p w14:paraId="65764542" w14:textId="77777777" w:rsidR="00F22E60" w:rsidRDefault="00F22E60" w:rsidP="004C1365">
            <w:r>
              <w:t xml:space="preserve">A notice sent from the Environment Agency to the operator to notify them that a fee is due for example annual subsistence charges or a buy- out fee. </w:t>
            </w:r>
          </w:p>
        </w:tc>
      </w:tr>
      <w:tr w:rsidR="00F22E60" w14:paraId="52BC43F8" w14:textId="77777777" w:rsidTr="00F22E60">
        <w:trPr>
          <w:cantSplit/>
        </w:trPr>
        <w:tc>
          <w:tcPr>
            <w:tcW w:w="2122" w:type="dxa"/>
          </w:tcPr>
          <w:p w14:paraId="48A31597" w14:textId="0D027BC5" w:rsidR="00F22E60" w:rsidRPr="004C1365" w:rsidRDefault="00F22E60" w:rsidP="004C1365">
            <w:pPr>
              <w:rPr>
                <w:b/>
                <w:bCs/>
              </w:rPr>
            </w:pPr>
            <w:bookmarkStart w:id="334" w:name="Migration"/>
            <w:r w:rsidRPr="004C1365">
              <w:rPr>
                <w:b/>
                <w:bCs/>
              </w:rPr>
              <w:t xml:space="preserve">Migration </w:t>
            </w:r>
            <w:bookmarkEnd w:id="334"/>
          </w:p>
        </w:tc>
        <w:tc>
          <w:tcPr>
            <w:tcW w:w="7060" w:type="dxa"/>
          </w:tcPr>
          <w:p w14:paraId="33800E95" w14:textId="77777777" w:rsidR="00F22E60" w:rsidRDefault="00F22E60" w:rsidP="004C1365">
            <w:r>
              <w:t>The transfer of target units from the old to the current CCA scheme.</w:t>
            </w:r>
          </w:p>
        </w:tc>
      </w:tr>
      <w:tr w:rsidR="00F22E60" w14:paraId="2E5C4F72" w14:textId="77777777" w:rsidTr="00F22E60">
        <w:trPr>
          <w:cantSplit/>
        </w:trPr>
        <w:tc>
          <w:tcPr>
            <w:tcW w:w="2122" w:type="dxa"/>
          </w:tcPr>
          <w:p w14:paraId="1B8852C5" w14:textId="55FFFB64" w:rsidR="00F22E60" w:rsidRPr="004C1365" w:rsidRDefault="00F22E60" w:rsidP="004C1365">
            <w:pPr>
              <w:rPr>
                <w:b/>
                <w:bCs/>
              </w:rPr>
            </w:pPr>
            <w:bookmarkStart w:id="335" w:name="MinMetexemption"/>
            <w:r w:rsidRPr="004C1365">
              <w:rPr>
                <w:b/>
                <w:bCs/>
              </w:rPr>
              <w:t xml:space="preserve">Mineralogical/ metallurgical exemption </w:t>
            </w:r>
            <w:bookmarkEnd w:id="335"/>
          </w:p>
        </w:tc>
        <w:tc>
          <w:tcPr>
            <w:tcW w:w="7060" w:type="dxa"/>
          </w:tcPr>
          <w:p w14:paraId="57DC0297" w14:textId="77777777" w:rsidR="00F22E60" w:rsidRDefault="00F22E60" w:rsidP="004C1365">
            <w:r>
              <w:t xml:space="preserve">CCL exemption provisions introduced for those in the mineralogical and metallurgical sectors. </w:t>
            </w:r>
          </w:p>
        </w:tc>
      </w:tr>
      <w:tr w:rsidR="00F22E60" w14:paraId="27472B77" w14:textId="77777777" w:rsidTr="00F22E60">
        <w:trPr>
          <w:cantSplit/>
        </w:trPr>
        <w:tc>
          <w:tcPr>
            <w:tcW w:w="2122" w:type="dxa"/>
          </w:tcPr>
          <w:p w14:paraId="2660942B" w14:textId="2DE2E48A" w:rsidR="00F22E60" w:rsidRPr="004C1365" w:rsidRDefault="00F22E60" w:rsidP="004C1365">
            <w:pPr>
              <w:rPr>
                <w:b/>
                <w:bCs/>
              </w:rPr>
            </w:pPr>
            <w:bookmarkStart w:id="336" w:name="Multioperatorfacility"/>
            <w:r w:rsidRPr="004C1365">
              <w:rPr>
                <w:b/>
                <w:bCs/>
              </w:rPr>
              <w:t>Multi-operator facility</w:t>
            </w:r>
            <w:bookmarkEnd w:id="336"/>
          </w:p>
        </w:tc>
        <w:tc>
          <w:tcPr>
            <w:tcW w:w="7060" w:type="dxa"/>
          </w:tcPr>
          <w:p w14:paraId="62210199" w14:textId="77777777" w:rsidR="00F22E60" w:rsidRDefault="00F22E60" w:rsidP="004C1365">
            <w:r>
              <w:t xml:space="preserve">A facility in respect of which different parts of the installation or installations are operated by different legal persons. </w:t>
            </w:r>
          </w:p>
        </w:tc>
      </w:tr>
      <w:tr w:rsidR="00F22E60" w14:paraId="7A0EC4D7" w14:textId="77777777" w:rsidTr="00F22E60">
        <w:trPr>
          <w:cantSplit/>
        </w:trPr>
        <w:tc>
          <w:tcPr>
            <w:tcW w:w="2122" w:type="dxa"/>
          </w:tcPr>
          <w:p w14:paraId="705B48BF" w14:textId="3E0B9330" w:rsidR="00F22E60" w:rsidRPr="004C1365" w:rsidRDefault="00F22E60" w:rsidP="004C1365">
            <w:pPr>
              <w:rPr>
                <w:b/>
                <w:bCs/>
              </w:rPr>
            </w:pPr>
            <w:bookmarkStart w:id="337" w:name="Novem"/>
            <w:r w:rsidRPr="004C1365">
              <w:rPr>
                <w:b/>
                <w:bCs/>
              </w:rPr>
              <w:t>Novem</w:t>
            </w:r>
            <w:bookmarkEnd w:id="337"/>
            <w:r w:rsidRPr="004C1365">
              <w:rPr>
                <w:b/>
                <w:bCs/>
              </w:rPr>
              <w:t xml:space="preserve"> </w:t>
            </w:r>
          </w:p>
        </w:tc>
        <w:tc>
          <w:tcPr>
            <w:tcW w:w="7060" w:type="dxa"/>
          </w:tcPr>
          <w:p w14:paraId="7902C364" w14:textId="77777777" w:rsidR="00F22E60" w:rsidRDefault="00F22E60" w:rsidP="004C1365">
            <w:r>
              <w:t>A Novem target is a target calculated using the Novem methodology. It's used by target units which produce two or more products whose throughput is measured in different units (for example, litres and m</w:t>
            </w:r>
            <w:r>
              <w:rPr>
                <w:vertAlign w:val="superscript"/>
              </w:rPr>
              <w:t>2</w:t>
            </w:r>
            <w:r>
              <w:t>) or which have significantly different energy intensities of manufacture. The target is stated as a ratio of the target energy consumption to the reference energy. The reference energy is the energy that would have been consumed in the base year for the same level of throughput and product mix as the target period. The Novem method corrects for any distortions created by a changing mix of throughput by generating one common output.</w:t>
            </w:r>
          </w:p>
        </w:tc>
      </w:tr>
      <w:tr w:rsidR="00F22E60" w14:paraId="6EAD7F46" w14:textId="77777777" w:rsidTr="00F22E60">
        <w:trPr>
          <w:cantSplit/>
        </w:trPr>
        <w:tc>
          <w:tcPr>
            <w:tcW w:w="2122" w:type="dxa"/>
          </w:tcPr>
          <w:p w14:paraId="23A27381" w14:textId="20E42468" w:rsidR="00F22E60" w:rsidRPr="004C1365" w:rsidRDefault="00F22E60" w:rsidP="004C1365">
            <w:pPr>
              <w:rPr>
                <w:b/>
                <w:bCs/>
              </w:rPr>
            </w:pPr>
            <w:bookmarkStart w:id="338" w:name="Operator"/>
            <w:r w:rsidRPr="004C1365">
              <w:rPr>
                <w:b/>
                <w:bCs/>
              </w:rPr>
              <w:t>Operator</w:t>
            </w:r>
            <w:bookmarkEnd w:id="338"/>
            <w:r w:rsidRPr="004C1365">
              <w:rPr>
                <w:b/>
                <w:bCs/>
              </w:rPr>
              <w:t xml:space="preserve"> </w:t>
            </w:r>
          </w:p>
        </w:tc>
        <w:tc>
          <w:tcPr>
            <w:tcW w:w="7060" w:type="dxa"/>
          </w:tcPr>
          <w:p w14:paraId="2A35D808" w14:textId="77777777" w:rsidR="00F22E60" w:rsidRDefault="00F22E60" w:rsidP="004C1365">
            <w:r>
              <w:t xml:space="preserve">A legal person or organisation that is party to an underlying agreement. May also be known as an account holder or participant. </w:t>
            </w:r>
          </w:p>
        </w:tc>
      </w:tr>
      <w:tr w:rsidR="00F22E60" w14:paraId="7BF30C65" w14:textId="77777777" w:rsidTr="00F22E60">
        <w:trPr>
          <w:cantSplit/>
        </w:trPr>
        <w:tc>
          <w:tcPr>
            <w:tcW w:w="2122" w:type="dxa"/>
          </w:tcPr>
          <w:p w14:paraId="10F88E81" w14:textId="16039C62" w:rsidR="00F22E60" w:rsidRPr="004C1365" w:rsidRDefault="00F22E60" w:rsidP="004C1365">
            <w:pPr>
              <w:rPr>
                <w:b/>
                <w:bCs/>
              </w:rPr>
            </w:pPr>
            <w:bookmarkStart w:id="339" w:name="PartAactivity"/>
            <w:r w:rsidRPr="004C1365">
              <w:rPr>
                <w:b/>
                <w:bCs/>
              </w:rPr>
              <w:lastRenderedPageBreak/>
              <w:t xml:space="preserve">Part A activity </w:t>
            </w:r>
            <w:bookmarkEnd w:id="339"/>
          </w:p>
        </w:tc>
        <w:tc>
          <w:tcPr>
            <w:tcW w:w="7060" w:type="dxa"/>
          </w:tcPr>
          <w:p w14:paraId="2A7F97E6" w14:textId="77777777" w:rsidR="00F22E60" w:rsidRDefault="00F22E60" w:rsidP="004C1365">
            <w:r>
              <w:t xml:space="preserve">An activity falling within Part </w:t>
            </w:r>
            <w:proofErr w:type="gramStart"/>
            <w:r>
              <w:t>A(</w:t>
            </w:r>
            <w:proofErr w:type="gramEnd"/>
            <w:r>
              <w:t xml:space="preserve">1) of any Section in Part 2, or Part </w:t>
            </w:r>
            <w:proofErr w:type="gramStart"/>
            <w:r>
              <w:t>A(</w:t>
            </w:r>
            <w:proofErr w:type="gramEnd"/>
            <w:r>
              <w:t>2) of any Section of Part 2 of Schedule 1 to the EPR, taking account of any relevant numeric thresholds, relevant exceptions or relevant modifications in paragraph 51 of Schedule 6 to the Finance Act 2000.</w:t>
            </w:r>
          </w:p>
        </w:tc>
      </w:tr>
      <w:tr w:rsidR="00F22E60" w14:paraId="0F941ADE" w14:textId="77777777" w:rsidTr="00F22E60">
        <w:trPr>
          <w:cantSplit/>
        </w:trPr>
        <w:tc>
          <w:tcPr>
            <w:tcW w:w="2122" w:type="dxa"/>
          </w:tcPr>
          <w:p w14:paraId="362F8796" w14:textId="5540F7FC" w:rsidR="00F22E60" w:rsidRPr="004C1365" w:rsidRDefault="00F22E60" w:rsidP="004C1365">
            <w:pPr>
              <w:rPr>
                <w:b/>
                <w:bCs/>
              </w:rPr>
            </w:pPr>
            <w:bookmarkStart w:id="340" w:name="Penalty"/>
            <w:r w:rsidRPr="004C1365">
              <w:rPr>
                <w:b/>
                <w:bCs/>
              </w:rPr>
              <w:t>Penalty</w:t>
            </w:r>
            <w:bookmarkEnd w:id="340"/>
            <w:r w:rsidRPr="004C1365">
              <w:rPr>
                <w:b/>
                <w:bCs/>
              </w:rPr>
              <w:t xml:space="preserve"> </w:t>
            </w:r>
          </w:p>
        </w:tc>
        <w:tc>
          <w:tcPr>
            <w:tcW w:w="7060" w:type="dxa"/>
          </w:tcPr>
          <w:p w14:paraId="587159EF" w14:textId="77777777" w:rsidR="00F22E60" w:rsidRDefault="00F22E60" w:rsidP="004C1365">
            <w:r>
              <w:t xml:space="preserve">A civil financial penalty issued under the CCA scheme by the Administrator to the operator of a target unit due to an infringement of the CCA rules and agreements. </w:t>
            </w:r>
          </w:p>
        </w:tc>
      </w:tr>
      <w:tr w:rsidR="00F22E60" w14:paraId="42BF97EA" w14:textId="77777777" w:rsidTr="00F22E60">
        <w:trPr>
          <w:cantSplit/>
        </w:trPr>
        <w:tc>
          <w:tcPr>
            <w:tcW w:w="2122" w:type="dxa"/>
          </w:tcPr>
          <w:p w14:paraId="3FD75F7C" w14:textId="321F99BD" w:rsidR="00F22E60" w:rsidRPr="004C1365" w:rsidRDefault="00F22E60" w:rsidP="004C1365">
            <w:pPr>
              <w:rPr>
                <w:b/>
                <w:bCs/>
              </w:rPr>
            </w:pPr>
            <w:bookmarkStart w:id="341" w:name="Personalinfo"/>
            <w:r w:rsidRPr="004C1365">
              <w:rPr>
                <w:b/>
                <w:bCs/>
              </w:rPr>
              <w:t xml:space="preserve">Personal information </w:t>
            </w:r>
            <w:bookmarkEnd w:id="341"/>
          </w:p>
        </w:tc>
        <w:tc>
          <w:tcPr>
            <w:tcW w:w="7060" w:type="dxa"/>
          </w:tcPr>
          <w:p w14:paraId="4476F1A9" w14:textId="77777777" w:rsidR="00F22E60" w:rsidRDefault="00F22E60" w:rsidP="004C1365">
            <w:r>
              <w:t xml:space="preserve">Address of the registered office of the sector association or operator </w:t>
            </w:r>
          </w:p>
          <w:p w14:paraId="2221C387" w14:textId="77777777" w:rsidR="00F22E60" w:rsidRDefault="00F22E60" w:rsidP="004C1365">
            <w:r>
              <w:t xml:space="preserve">Name, address and email address of a person who can be contacted in respect of: </w:t>
            </w:r>
          </w:p>
          <w:p w14:paraId="0456D170" w14:textId="77777777" w:rsidR="00F22E60" w:rsidRPr="00814652" w:rsidRDefault="00F22E60" w:rsidP="004C1365">
            <w:r w:rsidRPr="00814652">
              <w:t xml:space="preserve">the sector association or operator </w:t>
            </w:r>
          </w:p>
          <w:p w14:paraId="11AD5C6E" w14:textId="77777777" w:rsidR="00F22E60" w:rsidRPr="00814652" w:rsidRDefault="00F22E60" w:rsidP="004C1365">
            <w:r w:rsidRPr="00814652">
              <w:t xml:space="preserve">the facility or, if more than one, each facility covered by the agreement </w:t>
            </w:r>
          </w:p>
        </w:tc>
      </w:tr>
      <w:tr w:rsidR="00F22E60" w14:paraId="17A80B43" w14:textId="77777777" w:rsidTr="00F22E60">
        <w:trPr>
          <w:cantSplit/>
        </w:trPr>
        <w:tc>
          <w:tcPr>
            <w:tcW w:w="2122" w:type="dxa"/>
          </w:tcPr>
          <w:p w14:paraId="4B33CF70" w14:textId="78C54739" w:rsidR="00F22E60" w:rsidRPr="004C1365" w:rsidRDefault="00F22E60" w:rsidP="004C1365">
            <w:pPr>
              <w:rPr>
                <w:b/>
                <w:bCs/>
              </w:rPr>
            </w:pPr>
            <w:bookmarkStart w:id="342" w:name="PPC"/>
            <w:r w:rsidRPr="004C1365">
              <w:rPr>
                <w:b/>
                <w:bCs/>
              </w:rPr>
              <w:t xml:space="preserve">PPC Regulations </w:t>
            </w:r>
            <w:bookmarkEnd w:id="342"/>
          </w:p>
        </w:tc>
        <w:tc>
          <w:tcPr>
            <w:tcW w:w="7060" w:type="dxa"/>
          </w:tcPr>
          <w:p w14:paraId="1DA9D6F4" w14:textId="77777777" w:rsidR="00F22E60" w:rsidRDefault="00F22E60" w:rsidP="004C1365">
            <w:r>
              <w:t xml:space="preserve">The Pollution Prevention and Control (England and Wales) Regulations 2000 (SI 2000/1973) (as amended) and their equivalents in Scotland and Northern Ireland. Note that the former have been replaced by the Environment Permitting Regulations (EPR) while the latter remain in force. </w:t>
            </w:r>
          </w:p>
        </w:tc>
      </w:tr>
      <w:tr w:rsidR="00F22E60" w14:paraId="4734EEEC" w14:textId="77777777" w:rsidTr="00F22E60">
        <w:trPr>
          <w:cantSplit/>
        </w:trPr>
        <w:tc>
          <w:tcPr>
            <w:tcW w:w="2122" w:type="dxa"/>
          </w:tcPr>
          <w:p w14:paraId="24C4BACB" w14:textId="6ED5F35F" w:rsidR="00F22E60" w:rsidRPr="004C1365" w:rsidRDefault="00F22E60" w:rsidP="004C1365">
            <w:pPr>
              <w:rPr>
                <w:b/>
                <w:bCs/>
              </w:rPr>
            </w:pPr>
            <w:bookmarkStart w:id="343" w:name="Primaryactivity"/>
            <w:r w:rsidRPr="004C1365">
              <w:rPr>
                <w:b/>
                <w:bCs/>
              </w:rPr>
              <w:t>Primary activity</w:t>
            </w:r>
            <w:bookmarkEnd w:id="343"/>
          </w:p>
        </w:tc>
        <w:tc>
          <w:tcPr>
            <w:tcW w:w="7060" w:type="dxa"/>
          </w:tcPr>
          <w:p w14:paraId="2A3ED317" w14:textId="77777777" w:rsidR="00F22E60" w:rsidRDefault="00F22E60" w:rsidP="004C1365">
            <w:r>
              <w:t>An activity the carrying out of which at a facility results in the facility being eligible to be covered by an agreement.</w:t>
            </w:r>
          </w:p>
        </w:tc>
      </w:tr>
      <w:tr w:rsidR="00F22E60" w14:paraId="266D3005" w14:textId="77777777" w:rsidTr="00F22E60">
        <w:trPr>
          <w:cantSplit/>
        </w:trPr>
        <w:tc>
          <w:tcPr>
            <w:tcW w:w="2122" w:type="dxa"/>
          </w:tcPr>
          <w:p w14:paraId="54BEBE35" w14:textId="3F79EF72" w:rsidR="00F22E60" w:rsidRPr="004C1365" w:rsidRDefault="00F22E60" w:rsidP="004C1365">
            <w:pPr>
              <w:rPr>
                <w:b/>
                <w:bCs/>
              </w:rPr>
            </w:pPr>
            <w:bookmarkStart w:id="344" w:name="Primaryenergy"/>
            <w:r w:rsidRPr="004C1365">
              <w:rPr>
                <w:b/>
                <w:bCs/>
              </w:rPr>
              <w:t>Primary energy</w:t>
            </w:r>
            <w:bookmarkEnd w:id="344"/>
          </w:p>
        </w:tc>
        <w:tc>
          <w:tcPr>
            <w:tcW w:w="7060" w:type="dxa"/>
          </w:tcPr>
          <w:p w14:paraId="3493D55D" w14:textId="77777777" w:rsidR="00F22E60" w:rsidRDefault="00F22E60" w:rsidP="004C1365">
            <w:r>
              <w:t>The primary fuel (or other primary energy source such as wind or solar energy) consumed in the process of generating and delivering to the point of consumption secondary forms of energy such as electricity, heat or mechanical power.</w:t>
            </w:r>
          </w:p>
        </w:tc>
      </w:tr>
      <w:tr w:rsidR="00F22E60" w14:paraId="6EF29F52" w14:textId="77777777" w:rsidTr="00F22E60">
        <w:trPr>
          <w:cantSplit/>
        </w:trPr>
        <w:tc>
          <w:tcPr>
            <w:tcW w:w="2122" w:type="dxa"/>
          </w:tcPr>
          <w:p w14:paraId="45D8047C" w14:textId="5C98C04E" w:rsidR="00F22E60" w:rsidRPr="004C1365" w:rsidRDefault="00F22E60" w:rsidP="004C1365">
            <w:pPr>
              <w:rPr>
                <w:b/>
                <w:bCs/>
              </w:rPr>
            </w:pPr>
            <w:bookmarkStart w:id="345" w:name="Publish"/>
            <w:r w:rsidRPr="004C1365">
              <w:rPr>
                <w:b/>
                <w:bCs/>
              </w:rPr>
              <w:t>Publish</w:t>
            </w:r>
            <w:bookmarkEnd w:id="345"/>
          </w:p>
        </w:tc>
        <w:tc>
          <w:tcPr>
            <w:tcW w:w="7060" w:type="dxa"/>
          </w:tcPr>
          <w:p w14:paraId="0B30ECA1" w14:textId="77777777" w:rsidR="00F22E60" w:rsidRDefault="00F22E60" w:rsidP="004C1365">
            <w:r>
              <w:t>To publish on any part of a website maintained by the Administrator that is accessible to the public.</w:t>
            </w:r>
          </w:p>
        </w:tc>
      </w:tr>
      <w:tr w:rsidR="00F22E60" w14:paraId="62171CEF" w14:textId="77777777" w:rsidTr="00F22E60">
        <w:trPr>
          <w:cantSplit/>
        </w:trPr>
        <w:tc>
          <w:tcPr>
            <w:tcW w:w="2122" w:type="dxa"/>
          </w:tcPr>
          <w:p w14:paraId="6CD70DE3" w14:textId="7555431F" w:rsidR="00F22E60" w:rsidRPr="004C1365" w:rsidRDefault="00F22E60" w:rsidP="004C1365">
            <w:pPr>
              <w:rPr>
                <w:b/>
                <w:bCs/>
              </w:rPr>
            </w:pPr>
            <w:bookmarkStart w:id="346" w:name="Rationalisation"/>
            <w:r w:rsidRPr="004C1365">
              <w:rPr>
                <w:b/>
                <w:bCs/>
              </w:rPr>
              <w:t>Rationalisation</w:t>
            </w:r>
            <w:bookmarkEnd w:id="346"/>
          </w:p>
        </w:tc>
        <w:tc>
          <w:tcPr>
            <w:tcW w:w="7060" w:type="dxa"/>
          </w:tcPr>
          <w:p w14:paraId="113CBC79" w14:textId="77777777" w:rsidR="00F22E60" w:rsidRDefault="00F22E60" w:rsidP="004C1365">
            <w:r>
              <w:t xml:space="preserve">Where a facility leaves a target unit </w:t>
            </w:r>
            <w:r>
              <w:rPr>
                <w:szCs w:val="24"/>
              </w:rPr>
              <w:t>because</w:t>
            </w:r>
            <w:r>
              <w:t xml:space="preserve"> of closure and is not part of a change of ownership.</w:t>
            </w:r>
          </w:p>
        </w:tc>
      </w:tr>
      <w:tr w:rsidR="00F22E60" w14:paraId="4F59CE9A" w14:textId="77777777" w:rsidTr="00F22E60">
        <w:trPr>
          <w:cantSplit/>
        </w:trPr>
        <w:tc>
          <w:tcPr>
            <w:tcW w:w="2122" w:type="dxa"/>
          </w:tcPr>
          <w:p w14:paraId="2BBDF8C2" w14:textId="192C8554" w:rsidR="00F22E60" w:rsidRPr="004C1365" w:rsidRDefault="00F22E60" w:rsidP="004C1365">
            <w:pPr>
              <w:rPr>
                <w:b/>
                <w:bCs/>
              </w:rPr>
            </w:pPr>
            <w:bookmarkStart w:id="347" w:name="RRC"/>
            <w:r w:rsidRPr="004C1365">
              <w:rPr>
                <w:b/>
                <w:bCs/>
              </w:rPr>
              <w:t>Reduced rate certificate (RRC</w:t>
            </w:r>
            <w:bookmarkEnd w:id="347"/>
            <w:r w:rsidRPr="004C1365">
              <w:rPr>
                <w:b/>
                <w:bCs/>
              </w:rPr>
              <w:t xml:space="preserve">) </w:t>
            </w:r>
          </w:p>
        </w:tc>
        <w:tc>
          <w:tcPr>
            <w:tcW w:w="7060" w:type="dxa"/>
          </w:tcPr>
          <w:p w14:paraId="31FCEE96" w14:textId="77777777" w:rsidR="00F22E60" w:rsidRDefault="00F22E60" w:rsidP="004C1365">
            <w:r>
              <w:t xml:space="preserve">A report published every month by the Environment Agency and submitted to HM Revenue &amp; Customs (HMRC). The certificate details all facilities that are deemed to be part of the CCA scheme at the point of publication and therefore entitled to the CCL discount. </w:t>
            </w:r>
          </w:p>
        </w:tc>
      </w:tr>
      <w:tr w:rsidR="00F22E60" w14:paraId="7D9D975C" w14:textId="77777777" w:rsidTr="00F22E60">
        <w:trPr>
          <w:cantSplit/>
        </w:trPr>
        <w:tc>
          <w:tcPr>
            <w:tcW w:w="2122" w:type="dxa"/>
          </w:tcPr>
          <w:p w14:paraId="4357C92E" w14:textId="6E38BEC8" w:rsidR="00F22E60" w:rsidRPr="004C1365" w:rsidRDefault="00F22E60" w:rsidP="004C1365">
            <w:pPr>
              <w:rPr>
                <w:b/>
                <w:bCs/>
              </w:rPr>
            </w:pPr>
            <w:bookmarkStart w:id="348" w:name="Referenceenergy"/>
            <w:r w:rsidRPr="004C1365">
              <w:rPr>
                <w:b/>
                <w:bCs/>
              </w:rPr>
              <w:lastRenderedPageBreak/>
              <w:t xml:space="preserve">Reference energy </w:t>
            </w:r>
            <w:bookmarkEnd w:id="348"/>
          </w:p>
        </w:tc>
        <w:tc>
          <w:tcPr>
            <w:tcW w:w="7060" w:type="dxa"/>
          </w:tcPr>
          <w:p w14:paraId="19CDBE62" w14:textId="77777777" w:rsidR="00F22E60" w:rsidRDefault="00F22E60" w:rsidP="004C1365">
            <w:r>
              <w:t>Relating to target units with relative targets, reference energy is the energy that a target unit would have consumed if it produced at the same level realised during the target period but at the levels of efficiency recorded for the base year.</w:t>
            </w:r>
          </w:p>
          <w:p w14:paraId="050D72D2" w14:textId="77777777" w:rsidR="00F22E60" w:rsidRDefault="00F22E60" w:rsidP="004C1365">
            <w:r>
              <w:t>For a relative target expressed in terms of specific energy consumption (SEC), reference energy = base year SEC × target period throughput.</w:t>
            </w:r>
          </w:p>
          <w:p w14:paraId="6FFAA51F" w14:textId="77777777" w:rsidR="00F22E60" w:rsidRDefault="00F22E60" w:rsidP="004C1365">
            <w:r>
              <w:t>For a relative target expressed in Novem terms, reference energy = base year SEC × target period throughput summed across all separate products.</w:t>
            </w:r>
          </w:p>
        </w:tc>
      </w:tr>
      <w:tr w:rsidR="00F22E60" w14:paraId="07F8FFEB" w14:textId="77777777" w:rsidTr="00F22E60">
        <w:trPr>
          <w:cantSplit/>
        </w:trPr>
        <w:tc>
          <w:tcPr>
            <w:tcW w:w="2122" w:type="dxa"/>
          </w:tcPr>
          <w:p w14:paraId="21C4A36D" w14:textId="453FE467" w:rsidR="00F22E60" w:rsidRPr="004C1365" w:rsidRDefault="00F22E60" w:rsidP="004C1365">
            <w:pPr>
              <w:rPr>
                <w:b/>
                <w:bCs/>
              </w:rPr>
            </w:pPr>
            <w:bookmarkStart w:id="349" w:name="Regulator"/>
            <w:r w:rsidRPr="004C1365">
              <w:rPr>
                <w:b/>
                <w:bCs/>
              </w:rPr>
              <w:t>Regulator</w:t>
            </w:r>
            <w:bookmarkEnd w:id="349"/>
            <w:r w:rsidRPr="004C1365">
              <w:rPr>
                <w:b/>
                <w:bCs/>
              </w:rPr>
              <w:t xml:space="preserve"> </w:t>
            </w:r>
          </w:p>
        </w:tc>
        <w:tc>
          <w:tcPr>
            <w:tcW w:w="7060" w:type="dxa"/>
          </w:tcPr>
          <w:p w14:paraId="0FBE61F2" w14:textId="77777777" w:rsidR="00F22E60" w:rsidRDefault="00F22E60" w:rsidP="004C1365">
            <w:r>
              <w:t xml:space="preserve">The environmental regulator is: </w:t>
            </w:r>
          </w:p>
          <w:p w14:paraId="15C0301F" w14:textId="77777777" w:rsidR="00F22E60" w:rsidRDefault="00F22E60" w:rsidP="004C1365">
            <w:r w:rsidRPr="00814652">
              <w:t xml:space="preserve">Environment Agency for </w:t>
            </w:r>
            <w:r w:rsidRPr="00814652">
              <w:rPr>
                <w:szCs w:val="24"/>
              </w:rPr>
              <w:t xml:space="preserve">all participants in the CCA scheme and for </w:t>
            </w:r>
            <w:r w:rsidRPr="00814652">
              <w:t>Part A1 processes in England</w:t>
            </w:r>
          </w:p>
          <w:p w14:paraId="0902D960" w14:textId="77777777" w:rsidR="00F22E60" w:rsidRPr="00814652" w:rsidRDefault="00F22E60" w:rsidP="004C1365">
            <w:r w:rsidRPr="00814652">
              <w:t xml:space="preserve">Natural Resources Wales for Part A1 processes in Wales </w:t>
            </w:r>
          </w:p>
          <w:p w14:paraId="4D59EF9F" w14:textId="77777777" w:rsidR="00F22E60" w:rsidRDefault="00F22E60" w:rsidP="004C1365">
            <w:r w:rsidRPr="00814652">
              <w:rPr>
                <w:szCs w:val="24"/>
              </w:rPr>
              <w:t>Local Authorities</w:t>
            </w:r>
            <w:r w:rsidRPr="00814652">
              <w:t xml:space="preserve"> in England and Wales for Part A2 processes </w:t>
            </w:r>
          </w:p>
          <w:p w14:paraId="0E4A8600" w14:textId="77777777" w:rsidR="00F22E60" w:rsidRPr="00814652" w:rsidRDefault="00F22E60" w:rsidP="004C1365">
            <w:r w:rsidRPr="00814652">
              <w:t xml:space="preserve">Scottish Environment Protection Agency (SEPA) for all Part A processes in Scotland </w:t>
            </w:r>
          </w:p>
          <w:p w14:paraId="5C035C4E" w14:textId="77777777" w:rsidR="00F22E60" w:rsidRPr="00814652" w:rsidRDefault="00F22E60" w:rsidP="004C1365">
            <w:r w:rsidRPr="00814652">
              <w:t xml:space="preserve">Northern Ireland Environment Agency (NIEA) for all Part A processes in Northern Ireland </w:t>
            </w:r>
          </w:p>
        </w:tc>
      </w:tr>
      <w:tr w:rsidR="00F22E60" w14:paraId="2E34ECEA" w14:textId="77777777" w:rsidTr="00F22E60">
        <w:trPr>
          <w:cantSplit/>
        </w:trPr>
        <w:tc>
          <w:tcPr>
            <w:tcW w:w="2122" w:type="dxa"/>
          </w:tcPr>
          <w:p w14:paraId="767E9D34" w14:textId="0C7ACB4B" w:rsidR="00F22E60" w:rsidRPr="004C1365" w:rsidRDefault="00F22E60" w:rsidP="004C1365">
            <w:pPr>
              <w:rPr>
                <w:b/>
                <w:bCs/>
              </w:rPr>
            </w:pPr>
            <w:bookmarkStart w:id="350" w:name="Relativetarget"/>
            <w:r w:rsidRPr="004C1365">
              <w:rPr>
                <w:b/>
                <w:bCs/>
              </w:rPr>
              <w:t xml:space="preserve">Relative target </w:t>
            </w:r>
            <w:bookmarkEnd w:id="350"/>
          </w:p>
        </w:tc>
        <w:tc>
          <w:tcPr>
            <w:tcW w:w="7060" w:type="dxa"/>
          </w:tcPr>
          <w:p w14:paraId="7261D4FD" w14:textId="77777777" w:rsidR="00F22E60" w:rsidRDefault="00F22E60" w:rsidP="004C1365">
            <w:r>
              <w:t>A target expressed in terms of the amount of energy consumed per unit of activity, usually throughput (for example kWh/tonne or MWh/m</w:t>
            </w:r>
            <w:r>
              <w:rPr>
                <w:vertAlign w:val="superscript"/>
              </w:rPr>
              <w:t>2</w:t>
            </w:r>
            <w:r>
              <w:t>).</w:t>
            </w:r>
          </w:p>
        </w:tc>
      </w:tr>
      <w:tr w:rsidR="00F22E60" w14:paraId="6EA4F0CF" w14:textId="77777777" w:rsidTr="00F22E60">
        <w:trPr>
          <w:cantSplit/>
        </w:trPr>
        <w:tc>
          <w:tcPr>
            <w:tcW w:w="2122" w:type="dxa"/>
          </w:tcPr>
          <w:p w14:paraId="3F71A25A" w14:textId="3E4CE3D2" w:rsidR="00F22E60" w:rsidRPr="004C1365" w:rsidRDefault="00F22E60" w:rsidP="004C1365">
            <w:pPr>
              <w:rPr>
                <w:b/>
                <w:bCs/>
              </w:rPr>
            </w:pPr>
            <w:bookmarkStart w:id="351" w:name="Reportingdate"/>
            <w:r w:rsidRPr="004C1365">
              <w:rPr>
                <w:b/>
                <w:bCs/>
              </w:rPr>
              <w:t>Reporting date</w:t>
            </w:r>
            <w:bookmarkEnd w:id="351"/>
          </w:p>
        </w:tc>
        <w:tc>
          <w:tcPr>
            <w:tcW w:w="7060" w:type="dxa"/>
          </w:tcPr>
          <w:p w14:paraId="056E2C44" w14:textId="77777777" w:rsidR="00F22E60" w:rsidRDefault="00F22E60" w:rsidP="004C1365">
            <w:r>
              <w:t>The last working day in the April immediately following the end of a target period.</w:t>
            </w:r>
          </w:p>
        </w:tc>
      </w:tr>
      <w:tr w:rsidR="00F22E60" w14:paraId="18A11984" w14:textId="77777777" w:rsidTr="00F22E60">
        <w:trPr>
          <w:cantSplit/>
        </w:trPr>
        <w:tc>
          <w:tcPr>
            <w:tcW w:w="2122" w:type="dxa"/>
          </w:tcPr>
          <w:p w14:paraId="48B739AC" w14:textId="698DD1A1" w:rsidR="00F22E60" w:rsidRPr="004C1365" w:rsidRDefault="00F22E60" w:rsidP="004C1365">
            <w:pPr>
              <w:rPr>
                <w:b/>
                <w:bCs/>
              </w:rPr>
            </w:pPr>
            <w:bookmarkStart w:id="352" w:name="Reportingperiod"/>
            <w:r w:rsidRPr="004C1365">
              <w:rPr>
                <w:b/>
                <w:bCs/>
              </w:rPr>
              <w:t>Reporting period</w:t>
            </w:r>
            <w:bookmarkEnd w:id="352"/>
          </w:p>
        </w:tc>
        <w:tc>
          <w:tcPr>
            <w:tcW w:w="7060" w:type="dxa"/>
          </w:tcPr>
          <w:p w14:paraId="382C5AB8" w14:textId="77777777" w:rsidR="00F22E60" w:rsidRDefault="00F22E60" w:rsidP="004C1365">
            <w:r>
              <w:t xml:space="preserve">The period available at the end of a target period for gathering, submitting and verifying performance data. </w:t>
            </w:r>
          </w:p>
        </w:tc>
      </w:tr>
      <w:tr w:rsidR="00F22E60" w14:paraId="5B3CB81B" w14:textId="77777777" w:rsidTr="00F22E60">
        <w:trPr>
          <w:cantSplit/>
        </w:trPr>
        <w:tc>
          <w:tcPr>
            <w:tcW w:w="2122" w:type="dxa"/>
          </w:tcPr>
          <w:p w14:paraId="775C9A2B" w14:textId="0096E494" w:rsidR="00F22E60" w:rsidRPr="004C1365" w:rsidRDefault="00F22E60" w:rsidP="004C1365">
            <w:pPr>
              <w:rPr>
                <w:b/>
                <w:bCs/>
              </w:rPr>
            </w:pPr>
            <w:bookmarkStart w:id="353" w:name="Reportingvariation"/>
            <w:r w:rsidRPr="004C1365">
              <w:rPr>
                <w:b/>
                <w:bCs/>
              </w:rPr>
              <w:t>Reporting variation</w:t>
            </w:r>
            <w:bookmarkEnd w:id="353"/>
          </w:p>
        </w:tc>
        <w:tc>
          <w:tcPr>
            <w:tcW w:w="7060" w:type="dxa"/>
          </w:tcPr>
          <w:p w14:paraId="36934CD2" w14:textId="77777777" w:rsidR="00F22E60" w:rsidRDefault="00F22E60" w:rsidP="004C1365">
            <w:r>
              <w:t xml:space="preserve">A variation that must be submitted at the beginning of the reporting window to reflect a change that may impact on a target unit's target. </w:t>
            </w:r>
          </w:p>
          <w:p w14:paraId="4BF6EF07" w14:textId="0050ACFD" w:rsidR="00F22E60" w:rsidRDefault="00F22E60" w:rsidP="004C1365">
            <w:r>
              <w:t xml:space="preserve">These variations must be submitted between </w:t>
            </w:r>
            <w:r w:rsidR="004B7AA4">
              <w:t xml:space="preserve">1 </w:t>
            </w:r>
            <w:r>
              <w:t>and 3</w:t>
            </w:r>
            <w:r w:rsidR="004B7AA4">
              <w:t xml:space="preserve">1 </w:t>
            </w:r>
            <w:r>
              <w:t xml:space="preserve">January 2015. </w:t>
            </w:r>
          </w:p>
        </w:tc>
      </w:tr>
      <w:tr w:rsidR="00F22E60" w14:paraId="3AE61711" w14:textId="77777777" w:rsidTr="00F22E60">
        <w:trPr>
          <w:cantSplit/>
        </w:trPr>
        <w:tc>
          <w:tcPr>
            <w:tcW w:w="2122" w:type="dxa"/>
          </w:tcPr>
          <w:p w14:paraId="436FD879" w14:textId="1035EDBB" w:rsidR="00F22E60" w:rsidRPr="004C1365" w:rsidRDefault="00F22E60" w:rsidP="004C1365">
            <w:pPr>
              <w:rPr>
                <w:b/>
                <w:bCs/>
              </w:rPr>
            </w:pPr>
            <w:bookmarkStart w:id="354" w:name="Reportingwindow"/>
            <w:r w:rsidRPr="004C1365">
              <w:rPr>
                <w:b/>
                <w:bCs/>
              </w:rPr>
              <w:t>Reporting window</w:t>
            </w:r>
            <w:bookmarkEnd w:id="354"/>
          </w:p>
        </w:tc>
        <w:tc>
          <w:tcPr>
            <w:tcW w:w="7060" w:type="dxa"/>
          </w:tcPr>
          <w:p w14:paraId="34D06CAE" w14:textId="77777777" w:rsidR="00F22E60" w:rsidRDefault="00F22E60" w:rsidP="004C1365">
            <w:r>
              <w:t xml:space="preserve">The timeframe during which the register is open for target period reporting. </w:t>
            </w:r>
          </w:p>
        </w:tc>
      </w:tr>
      <w:tr w:rsidR="00F22E60" w14:paraId="1E406A32" w14:textId="77777777" w:rsidTr="00F22E60">
        <w:trPr>
          <w:cantSplit/>
        </w:trPr>
        <w:tc>
          <w:tcPr>
            <w:tcW w:w="2122" w:type="dxa"/>
          </w:tcPr>
          <w:p w14:paraId="280FC86F" w14:textId="20BC40F2" w:rsidR="00F22E60" w:rsidRPr="004C1365" w:rsidRDefault="00F22E60" w:rsidP="004C1365">
            <w:pPr>
              <w:rPr>
                <w:b/>
                <w:bCs/>
              </w:rPr>
            </w:pPr>
            <w:bookmarkStart w:id="355" w:name="Responsibleperson"/>
            <w:r w:rsidRPr="004C1365">
              <w:rPr>
                <w:b/>
                <w:bCs/>
              </w:rPr>
              <w:lastRenderedPageBreak/>
              <w:t xml:space="preserve">Responsible person </w:t>
            </w:r>
            <w:bookmarkEnd w:id="355"/>
          </w:p>
        </w:tc>
        <w:tc>
          <w:tcPr>
            <w:tcW w:w="7060" w:type="dxa"/>
          </w:tcPr>
          <w:p w14:paraId="00891B53" w14:textId="77777777" w:rsidR="00F22E60" w:rsidRDefault="00F22E60" w:rsidP="004C1365">
            <w:r>
              <w:t xml:space="preserve">An individual who is legally authorised by the operator to: </w:t>
            </w:r>
          </w:p>
          <w:p w14:paraId="26EA0031" w14:textId="77777777" w:rsidR="00F22E60" w:rsidRPr="00814652" w:rsidRDefault="00F22E60" w:rsidP="004C1365">
            <w:r w:rsidRPr="00814652">
              <w:t xml:space="preserve">act on behalf of the operator (or their representative) </w:t>
            </w:r>
          </w:p>
          <w:p w14:paraId="7A1624C0" w14:textId="77777777" w:rsidR="00F22E60" w:rsidRPr="00814652" w:rsidRDefault="00F22E60" w:rsidP="004C1365">
            <w:r w:rsidRPr="00814652">
              <w:t xml:space="preserve">enter as the operator’s agent into an underlying agreement </w:t>
            </w:r>
          </w:p>
          <w:p w14:paraId="3E8CD3FF" w14:textId="77777777" w:rsidR="00F22E60" w:rsidRPr="00814652" w:rsidRDefault="00F22E60" w:rsidP="004C1365">
            <w:r w:rsidRPr="00814652">
              <w:t xml:space="preserve">agree any amendments to an underlying agreement </w:t>
            </w:r>
          </w:p>
          <w:p w14:paraId="3BADB1A2" w14:textId="77777777" w:rsidR="00F22E60" w:rsidRPr="00814652" w:rsidRDefault="00F22E60" w:rsidP="004C1365">
            <w:r w:rsidRPr="00814652">
              <w:t xml:space="preserve">accept notices served by the Administrator on behalf of the operator </w:t>
            </w:r>
          </w:p>
          <w:p w14:paraId="11845F15" w14:textId="0487C4BD" w:rsidR="00F22E60" w:rsidRDefault="00F22E60" w:rsidP="004C1365">
            <w:r>
              <w:t>The responsible person is not required to be the day-to-day contact for the target unit.</w:t>
            </w:r>
          </w:p>
        </w:tc>
      </w:tr>
      <w:tr w:rsidR="00F22E60" w14:paraId="4FB0063F" w14:textId="77777777" w:rsidTr="00F22E60">
        <w:trPr>
          <w:cantSplit/>
        </w:trPr>
        <w:tc>
          <w:tcPr>
            <w:tcW w:w="2122" w:type="dxa"/>
          </w:tcPr>
          <w:p w14:paraId="2836B12B" w14:textId="2B985843" w:rsidR="00F22E60" w:rsidRPr="004C1365" w:rsidRDefault="00F22E60" w:rsidP="004C1365">
            <w:pPr>
              <w:rPr>
                <w:b/>
                <w:bCs/>
              </w:rPr>
            </w:pPr>
            <w:bookmarkStart w:id="356" w:name="Rules"/>
            <w:r w:rsidRPr="004C1365">
              <w:rPr>
                <w:b/>
                <w:bCs/>
              </w:rPr>
              <w:t xml:space="preserve">Rule(s) </w:t>
            </w:r>
            <w:bookmarkEnd w:id="356"/>
          </w:p>
        </w:tc>
        <w:tc>
          <w:tcPr>
            <w:tcW w:w="7060" w:type="dxa"/>
          </w:tcPr>
          <w:p w14:paraId="55379084" w14:textId="77777777" w:rsidR="00F22E60" w:rsidRDefault="00F22E60" w:rsidP="004C1365">
            <w:r>
              <w:t xml:space="preserve">One or more of the Rules for the </w:t>
            </w:r>
            <w:r>
              <w:rPr>
                <w:szCs w:val="24"/>
              </w:rPr>
              <w:t>operation</w:t>
            </w:r>
            <w:r>
              <w:t xml:space="preserve"> of Climate Change Agreements as set out in Schedule 1 to underlying agreements and umbrella agreements.</w:t>
            </w:r>
          </w:p>
        </w:tc>
      </w:tr>
      <w:tr w:rsidR="00F22E60" w14:paraId="2C3613EC" w14:textId="77777777" w:rsidTr="00F22E60">
        <w:trPr>
          <w:cantSplit/>
        </w:trPr>
        <w:tc>
          <w:tcPr>
            <w:tcW w:w="2122" w:type="dxa"/>
          </w:tcPr>
          <w:p w14:paraId="2EEC871D" w14:textId="38043FB0" w:rsidR="00F22E60" w:rsidRPr="004C1365" w:rsidRDefault="00F22E60" w:rsidP="004C1365">
            <w:pPr>
              <w:rPr>
                <w:b/>
                <w:bCs/>
              </w:rPr>
            </w:pPr>
            <w:bookmarkStart w:id="357" w:name="Secondarybuyout"/>
            <w:r w:rsidRPr="004C1365">
              <w:rPr>
                <w:b/>
                <w:bCs/>
              </w:rPr>
              <w:t xml:space="preserve">Secondary buy- out </w:t>
            </w:r>
            <w:bookmarkEnd w:id="357"/>
          </w:p>
        </w:tc>
        <w:tc>
          <w:tcPr>
            <w:tcW w:w="7060" w:type="dxa"/>
          </w:tcPr>
          <w:p w14:paraId="43083069" w14:textId="77777777" w:rsidR="00F22E60" w:rsidRDefault="00F22E60" w:rsidP="004C1365">
            <w:r>
              <w:t xml:space="preserve">Buy-out associated with the correction of an error through secondary reporting. </w:t>
            </w:r>
          </w:p>
        </w:tc>
      </w:tr>
      <w:tr w:rsidR="00F22E60" w14:paraId="0C0E7F3D" w14:textId="77777777" w:rsidTr="00F22E60">
        <w:trPr>
          <w:cantSplit/>
        </w:trPr>
        <w:tc>
          <w:tcPr>
            <w:tcW w:w="2122" w:type="dxa"/>
          </w:tcPr>
          <w:p w14:paraId="31A70E2A" w14:textId="387892DC" w:rsidR="00F22E60" w:rsidRPr="004C1365" w:rsidRDefault="00F22E60" w:rsidP="004C1365">
            <w:pPr>
              <w:rPr>
                <w:b/>
                <w:bCs/>
              </w:rPr>
            </w:pPr>
            <w:bookmarkStart w:id="358" w:name="Secondaryreporting"/>
            <w:r w:rsidRPr="004C1365">
              <w:rPr>
                <w:b/>
                <w:bCs/>
              </w:rPr>
              <w:t xml:space="preserve">Secondary reporting </w:t>
            </w:r>
            <w:bookmarkEnd w:id="358"/>
          </w:p>
        </w:tc>
        <w:tc>
          <w:tcPr>
            <w:tcW w:w="7060" w:type="dxa"/>
          </w:tcPr>
          <w:p w14:paraId="70D73B65" w14:textId="77777777" w:rsidR="00F22E60" w:rsidRDefault="00F22E60" w:rsidP="004C1365">
            <w:r>
              <w:t xml:space="preserve">A reporting amendment carried out after the close of the reporting window and the issue of </w:t>
            </w:r>
            <w:proofErr w:type="spellStart"/>
            <w:r>
              <w:t>MoAs</w:t>
            </w:r>
            <w:proofErr w:type="spellEnd"/>
            <w:r>
              <w:t xml:space="preserve">. </w:t>
            </w:r>
          </w:p>
        </w:tc>
      </w:tr>
      <w:tr w:rsidR="00F22E60" w14:paraId="1033B32F" w14:textId="77777777" w:rsidTr="00F22E60">
        <w:trPr>
          <w:cantSplit/>
        </w:trPr>
        <w:tc>
          <w:tcPr>
            <w:tcW w:w="2122" w:type="dxa"/>
          </w:tcPr>
          <w:p w14:paraId="23341038" w14:textId="1D4A8F0A" w:rsidR="00F22E60" w:rsidRPr="004C1365" w:rsidRDefault="00F22E60" w:rsidP="004C1365">
            <w:pPr>
              <w:rPr>
                <w:b/>
                <w:bCs/>
              </w:rPr>
            </w:pPr>
            <w:bookmarkStart w:id="359" w:name="Sector"/>
            <w:r w:rsidRPr="004C1365">
              <w:rPr>
                <w:b/>
                <w:bCs/>
              </w:rPr>
              <w:t>Sector</w:t>
            </w:r>
            <w:bookmarkEnd w:id="359"/>
            <w:r w:rsidRPr="004C1365">
              <w:rPr>
                <w:b/>
                <w:bCs/>
              </w:rPr>
              <w:t xml:space="preserve"> </w:t>
            </w:r>
          </w:p>
        </w:tc>
        <w:tc>
          <w:tcPr>
            <w:tcW w:w="7060" w:type="dxa"/>
          </w:tcPr>
          <w:p w14:paraId="1782CE5E" w14:textId="5B609C90" w:rsidR="00F22E60" w:rsidRDefault="00F22E60" w:rsidP="004C1365">
            <w:r>
              <w:t xml:space="preserve">The collection of facilities satisfying the definition of eligibility set out in that sector association’s umbrella agreement. </w:t>
            </w:r>
          </w:p>
        </w:tc>
      </w:tr>
      <w:tr w:rsidR="00F22E60" w14:paraId="69921EA5" w14:textId="77777777" w:rsidTr="00F22E60">
        <w:trPr>
          <w:cantSplit/>
        </w:trPr>
        <w:tc>
          <w:tcPr>
            <w:tcW w:w="2122" w:type="dxa"/>
          </w:tcPr>
          <w:p w14:paraId="2A6DCD0B" w14:textId="60F6C518" w:rsidR="00F22E60" w:rsidRPr="004C1365" w:rsidRDefault="00F22E60" w:rsidP="004C1365">
            <w:pPr>
              <w:rPr>
                <w:b/>
                <w:bCs/>
              </w:rPr>
            </w:pPr>
            <w:bookmarkStart w:id="360" w:name="Sectorassociation"/>
            <w:r w:rsidRPr="004C1365">
              <w:rPr>
                <w:b/>
                <w:bCs/>
              </w:rPr>
              <w:t xml:space="preserve">Sector association </w:t>
            </w:r>
            <w:bookmarkEnd w:id="360"/>
          </w:p>
        </w:tc>
        <w:tc>
          <w:tcPr>
            <w:tcW w:w="7060" w:type="dxa"/>
          </w:tcPr>
          <w:p w14:paraId="515FF6F6" w14:textId="77777777" w:rsidR="00F22E60" w:rsidRDefault="00F22E60" w:rsidP="004C1365">
            <w:r>
              <w:t xml:space="preserve">Trade association or other body representing a sector of industry. Some sectors have set up (or plan to set up) subsidiary or separate organisations to represent them in the agreements. </w:t>
            </w:r>
          </w:p>
        </w:tc>
      </w:tr>
      <w:tr w:rsidR="00F22E60" w14:paraId="1CD78730" w14:textId="77777777" w:rsidTr="00F22E60">
        <w:trPr>
          <w:cantSplit/>
        </w:trPr>
        <w:tc>
          <w:tcPr>
            <w:tcW w:w="2122" w:type="dxa"/>
          </w:tcPr>
          <w:p w14:paraId="25AE93A2" w14:textId="5EBA6B8C" w:rsidR="00F22E60" w:rsidRPr="004C1365" w:rsidRDefault="00F22E60" w:rsidP="004C1365">
            <w:pPr>
              <w:rPr>
                <w:b/>
                <w:bCs/>
              </w:rPr>
            </w:pPr>
            <w:bookmarkStart w:id="361" w:name="Sectorcommitment"/>
            <w:r w:rsidRPr="004C1365">
              <w:rPr>
                <w:b/>
                <w:bCs/>
              </w:rPr>
              <w:t xml:space="preserve">Sector commitment </w:t>
            </w:r>
            <w:bookmarkEnd w:id="361"/>
          </w:p>
        </w:tc>
        <w:tc>
          <w:tcPr>
            <w:tcW w:w="7060" w:type="dxa"/>
          </w:tcPr>
          <w:p w14:paraId="356272B6" w14:textId="77777777" w:rsidR="00F22E60" w:rsidRDefault="00F22E60" w:rsidP="004C1365">
            <w:r>
              <w:t xml:space="preserve">The commitment agreed between DECC (now BEIS) and the sector association as set out in Schedule 5 of an umbrella agreement. It was agreed at the start of the new CCA scheme in April 2013 and reviewed in 2016 but not changed. This is to facilitate the determination and distribution of individual target unit targets, with the target unit targets producing, in aggregate, the agreed sector commitment. The sector commitment agreed for a particular point in the future will change as the make-up of the sector changes through entrants, exits and variations to incumbent target units. </w:t>
            </w:r>
          </w:p>
        </w:tc>
      </w:tr>
      <w:tr w:rsidR="00F22E60" w14:paraId="0111BDE3" w14:textId="77777777" w:rsidTr="00F22E60">
        <w:trPr>
          <w:cantSplit/>
        </w:trPr>
        <w:tc>
          <w:tcPr>
            <w:tcW w:w="2122" w:type="dxa"/>
          </w:tcPr>
          <w:p w14:paraId="1369F277" w14:textId="75BD5087" w:rsidR="00F22E60" w:rsidRPr="004C1365" w:rsidRDefault="00F22E60" w:rsidP="004C1365">
            <w:pPr>
              <w:rPr>
                <w:b/>
                <w:bCs/>
              </w:rPr>
            </w:pPr>
            <w:bookmarkStart w:id="362" w:name="Site"/>
            <w:r w:rsidRPr="004C1365">
              <w:rPr>
                <w:b/>
                <w:bCs/>
              </w:rPr>
              <w:t>Site</w:t>
            </w:r>
            <w:bookmarkEnd w:id="362"/>
            <w:r w:rsidRPr="004C1365">
              <w:rPr>
                <w:b/>
                <w:bCs/>
              </w:rPr>
              <w:t xml:space="preserve"> </w:t>
            </w:r>
          </w:p>
        </w:tc>
        <w:tc>
          <w:tcPr>
            <w:tcW w:w="7060" w:type="dxa"/>
          </w:tcPr>
          <w:p w14:paraId="62877148" w14:textId="77777777" w:rsidR="00F22E60" w:rsidRDefault="00F22E60" w:rsidP="004C1365">
            <w:r>
              <w:t>A site is an area of land falling within a continuous boundary which encloses the land used in connection with the operation of the installation. For this purpose, however, an area of land may still be regarded as a single site even if it is dissected by a road, railway line or river. Other non-contiguous parcels of land would not, however, constitute a single site.</w:t>
            </w:r>
          </w:p>
        </w:tc>
      </w:tr>
      <w:tr w:rsidR="00F22E60" w14:paraId="3B3FD6F5" w14:textId="77777777" w:rsidTr="00F22E60">
        <w:trPr>
          <w:cantSplit/>
        </w:trPr>
        <w:tc>
          <w:tcPr>
            <w:tcW w:w="2122" w:type="dxa"/>
          </w:tcPr>
          <w:p w14:paraId="20AE6211" w14:textId="4CF7B58E" w:rsidR="00F22E60" w:rsidRPr="004C1365" w:rsidRDefault="00F22E60" w:rsidP="004C1365">
            <w:pPr>
              <w:rPr>
                <w:b/>
                <w:bCs/>
              </w:rPr>
            </w:pPr>
            <w:bookmarkStart w:id="363" w:name="SRM"/>
            <w:r w:rsidRPr="004C1365">
              <w:rPr>
                <w:b/>
                <w:bCs/>
              </w:rPr>
              <w:lastRenderedPageBreak/>
              <w:t xml:space="preserve">Special Reporting Mechanism (SRM) </w:t>
            </w:r>
            <w:bookmarkEnd w:id="363"/>
          </w:p>
        </w:tc>
        <w:tc>
          <w:tcPr>
            <w:tcW w:w="7060" w:type="dxa"/>
          </w:tcPr>
          <w:p w14:paraId="5CF4ED48" w14:textId="77777777" w:rsidR="00F22E60" w:rsidRDefault="00F22E60" w:rsidP="004C1365">
            <w:r>
              <w:t>A voluntary reporting mechanism that can be adopted to account for CHP and imported electricity when fuel consumption is covered under the ETS.</w:t>
            </w:r>
          </w:p>
        </w:tc>
      </w:tr>
      <w:tr w:rsidR="00F22E60" w14:paraId="03E77DE6" w14:textId="77777777" w:rsidTr="00F22E60">
        <w:trPr>
          <w:cantSplit/>
        </w:trPr>
        <w:tc>
          <w:tcPr>
            <w:tcW w:w="2122" w:type="dxa"/>
          </w:tcPr>
          <w:p w14:paraId="1B265776" w14:textId="12D013CA" w:rsidR="00F22E60" w:rsidRPr="004C1365" w:rsidRDefault="00F22E60" w:rsidP="004C1365">
            <w:pPr>
              <w:rPr>
                <w:b/>
                <w:bCs/>
              </w:rPr>
            </w:pPr>
            <w:bookmarkStart w:id="364" w:name="SEC"/>
            <w:r w:rsidRPr="004C1365">
              <w:rPr>
                <w:b/>
                <w:bCs/>
              </w:rPr>
              <w:t xml:space="preserve">Specific energy consumption (SEC) </w:t>
            </w:r>
            <w:bookmarkEnd w:id="364"/>
          </w:p>
        </w:tc>
        <w:tc>
          <w:tcPr>
            <w:tcW w:w="7060" w:type="dxa"/>
          </w:tcPr>
          <w:p w14:paraId="28F61745" w14:textId="77777777" w:rsidR="00F22E60" w:rsidRDefault="00F22E60" w:rsidP="004C1365">
            <w:r>
              <w:t>The amount of energy consumed per unit of activity.</w:t>
            </w:r>
          </w:p>
        </w:tc>
      </w:tr>
      <w:tr w:rsidR="00F22E60" w14:paraId="1679A138" w14:textId="77777777" w:rsidTr="00F22E60">
        <w:trPr>
          <w:cantSplit/>
        </w:trPr>
        <w:tc>
          <w:tcPr>
            <w:tcW w:w="2122" w:type="dxa"/>
          </w:tcPr>
          <w:p w14:paraId="62D58D23" w14:textId="7A47E5CE" w:rsidR="00F22E60" w:rsidRPr="004C1365" w:rsidRDefault="00F22E60" w:rsidP="004C1365">
            <w:pPr>
              <w:rPr>
                <w:b/>
                <w:bCs/>
              </w:rPr>
            </w:pPr>
            <w:bookmarkStart w:id="365" w:name="STU"/>
            <w:r w:rsidRPr="004C1365">
              <w:rPr>
                <w:b/>
                <w:bCs/>
              </w:rPr>
              <w:t xml:space="preserve">Stationary technical unit (STU) </w:t>
            </w:r>
            <w:bookmarkEnd w:id="365"/>
          </w:p>
        </w:tc>
        <w:tc>
          <w:tcPr>
            <w:tcW w:w="7060" w:type="dxa"/>
          </w:tcPr>
          <w:p w14:paraId="3594547A" w14:textId="77777777" w:rsidR="00F22E60" w:rsidRDefault="00F22E60" w:rsidP="004C1365">
            <w:r>
              <w:t>A place where one or more eligible process is carried out.</w:t>
            </w:r>
          </w:p>
        </w:tc>
      </w:tr>
      <w:tr w:rsidR="00F22E60" w14:paraId="567BD504" w14:textId="77777777" w:rsidTr="00F22E60">
        <w:trPr>
          <w:cantSplit/>
        </w:trPr>
        <w:tc>
          <w:tcPr>
            <w:tcW w:w="2122" w:type="dxa"/>
          </w:tcPr>
          <w:p w14:paraId="532A8D1A" w14:textId="77777777" w:rsidR="00F22E60" w:rsidRPr="004C1365" w:rsidRDefault="00F22E60" w:rsidP="004C1365">
            <w:pPr>
              <w:rPr>
                <w:b/>
                <w:bCs/>
              </w:rPr>
            </w:pPr>
            <w:bookmarkStart w:id="366" w:name="Structuralchange"/>
            <w:r w:rsidRPr="004C1365">
              <w:rPr>
                <w:b/>
                <w:bCs/>
              </w:rPr>
              <w:t xml:space="preserve">Structural change </w:t>
            </w:r>
          </w:p>
        </w:tc>
        <w:tc>
          <w:tcPr>
            <w:tcW w:w="7060" w:type="dxa"/>
          </w:tcPr>
          <w:p w14:paraId="2273FB49" w14:textId="77777777" w:rsidR="00F22E60" w:rsidRDefault="00F22E60" w:rsidP="004C1365">
            <w:r>
              <w:t xml:space="preserve">Any change at a facility which, in the view of the Administrator, may make the numerical target, currently set for the target unit to which the facility belongs, no longer appropriate. Structural changes include changes that affect the proportion of the site’s energy consumption included in the eligible facility and the ETS status of any energy- consuming plant included in the eligible facility. </w:t>
            </w:r>
          </w:p>
        </w:tc>
      </w:tr>
      <w:tr w:rsidR="00F22E60" w14:paraId="78A9080D" w14:textId="77777777" w:rsidTr="00F22E60">
        <w:trPr>
          <w:cantSplit/>
        </w:trPr>
        <w:tc>
          <w:tcPr>
            <w:tcW w:w="2122" w:type="dxa"/>
          </w:tcPr>
          <w:p w14:paraId="67A7EED1" w14:textId="710E987D" w:rsidR="00F22E60" w:rsidRPr="004C1365" w:rsidRDefault="00F22E60" w:rsidP="004C1365">
            <w:pPr>
              <w:rPr>
                <w:b/>
                <w:bCs/>
              </w:rPr>
            </w:pPr>
            <w:bookmarkStart w:id="367" w:name="Subsector"/>
            <w:bookmarkEnd w:id="366"/>
            <w:r w:rsidRPr="004C1365">
              <w:rPr>
                <w:b/>
                <w:bCs/>
              </w:rPr>
              <w:t xml:space="preserve">Sub-sector </w:t>
            </w:r>
            <w:bookmarkEnd w:id="367"/>
          </w:p>
        </w:tc>
        <w:tc>
          <w:tcPr>
            <w:tcW w:w="7060" w:type="dxa"/>
          </w:tcPr>
          <w:p w14:paraId="3081A523" w14:textId="77777777" w:rsidR="00F22E60" w:rsidRDefault="00F22E60" w:rsidP="004C1365">
            <w:r>
              <w:t xml:space="preserve">A practical method of partitioning within a sector such that the target units in each sub-sector carry out the same or similar processes and/or have either all energy targets or all carbon targets. </w:t>
            </w:r>
          </w:p>
        </w:tc>
      </w:tr>
      <w:tr w:rsidR="00F22E60" w14:paraId="070AD710" w14:textId="77777777" w:rsidTr="00F22E60">
        <w:trPr>
          <w:cantSplit/>
        </w:trPr>
        <w:tc>
          <w:tcPr>
            <w:tcW w:w="2122" w:type="dxa"/>
          </w:tcPr>
          <w:p w14:paraId="07A6E0D9" w14:textId="4951FBD3" w:rsidR="00F22E60" w:rsidRPr="004C1365" w:rsidRDefault="00F22E60" w:rsidP="004C1365">
            <w:pPr>
              <w:rPr>
                <w:b/>
                <w:bCs/>
              </w:rPr>
            </w:pPr>
            <w:bookmarkStart w:id="368" w:name="Surplus"/>
            <w:r w:rsidRPr="004C1365">
              <w:rPr>
                <w:b/>
                <w:bCs/>
              </w:rPr>
              <w:t>Surplus</w:t>
            </w:r>
            <w:bookmarkEnd w:id="368"/>
            <w:r w:rsidRPr="004C1365">
              <w:rPr>
                <w:b/>
                <w:bCs/>
              </w:rPr>
              <w:t xml:space="preserve"> </w:t>
            </w:r>
          </w:p>
        </w:tc>
        <w:tc>
          <w:tcPr>
            <w:tcW w:w="7060" w:type="dxa"/>
          </w:tcPr>
          <w:p w14:paraId="280C9DB4" w14:textId="77777777" w:rsidR="00F22E60" w:rsidRDefault="00F22E60" w:rsidP="004C1365">
            <w:r>
              <w:t xml:space="preserve">The amount by which the emissions have fallen below the target for any target period recorded on an account. </w:t>
            </w:r>
          </w:p>
        </w:tc>
      </w:tr>
      <w:tr w:rsidR="00F22E60" w14:paraId="5A8102C3" w14:textId="77777777" w:rsidTr="00F22E60">
        <w:trPr>
          <w:cantSplit/>
        </w:trPr>
        <w:tc>
          <w:tcPr>
            <w:tcW w:w="2122" w:type="dxa"/>
          </w:tcPr>
          <w:p w14:paraId="45E93E07" w14:textId="11C0210C" w:rsidR="00F22E60" w:rsidRPr="004C1365" w:rsidRDefault="00F22E60" w:rsidP="004C1365">
            <w:pPr>
              <w:rPr>
                <w:b/>
                <w:bCs/>
              </w:rPr>
            </w:pPr>
            <w:bookmarkStart w:id="369" w:name="Targetfacility"/>
            <w:r w:rsidRPr="004C1365">
              <w:rPr>
                <w:b/>
                <w:bCs/>
              </w:rPr>
              <w:t xml:space="preserve">Target facility </w:t>
            </w:r>
            <w:bookmarkEnd w:id="369"/>
          </w:p>
        </w:tc>
        <w:tc>
          <w:tcPr>
            <w:tcW w:w="7060" w:type="dxa"/>
          </w:tcPr>
          <w:p w14:paraId="1FFD7BBF" w14:textId="77777777" w:rsidR="00F22E60" w:rsidRDefault="00F22E60" w:rsidP="004C1365">
            <w:r>
              <w:t>The part or parts of a facility which do not carry out Annex 1 activities</w:t>
            </w:r>
            <w:r>
              <w:rPr>
                <w:szCs w:val="24"/>
              </w:rPr>
              <w:t>.</w:t>
            </w:r>
            <w:r>
              <w:t xml:space="preserve"> The target facility is the part of a facility in respect of which targets are set and energy use and emissions must be reported.</w:t>
            </w:r>
          </w:p>
        </w:tc>
      </w:tr>
      <w:tr w:rsidR="00F22E60" w14:paraId="5C64E2A9" w14:textId="77777777" w:rsidTr="00F22E60">
        <w:trPr>
          <w:cantSplit/>
        </w:trPr>
        <w:tc>
          <w:tcPr>
            <w:tcW w:w="2122" w:type="dxa"/>
          </w:tcPr>
          <w:p w14:paraId="2253CB68" w14:textId="5BFA8868" w:rsidR="00F22E60" w:rsidRPr="004C1365" w:rsidRDefault="00F22E60" w:rsidP="004C1365">
            <w:pPr>
              <w:rPr>
                <w:b/>
                <w:bCs/>
              </w:rPr>
            </w:pPr>
            <w:bookmarkStart w:id="370" w:name="Targetperiod"/>
            <w:r w:rsidRPr="004C1365">
              <w:rPr>
                <w:b/>
                <w:bCs/>
              </w:rPr>
              <w:t xml:space="preserve">Target period </w:t>
            </w:r>
            <w:bookmarkEnd w:id="370"/>
          </w:p>
        </w:tc>
        <w:tc>
          <w:tcPr>
            <w:tcW w:w="7060" w:type="dxa"/>
          </w:tcPr>
          <w:p w14:paraId="03AF2316" w14:textId="77777777" w:rsidR="00F22E60" w:rsidRDefault="00F22E60" w:rsidP="004C1365">
            <w:pPr>
              <w:rPr>
                <w:szCs w:val="24"/>
              </w:rPr>
            </w:pPr>
            <w:r>
              <w:rPr>
                <w:szCs w:val="24"/>
              </w:rPr>
              <w:t>The period over which performance against targets is assessed.</w:t>
            </w:r>
          </w:p>
          <w:p w14:paraId="70E1AF59" w14:textId="77777777" w:rsidR="00F22E60" w:rsidRDefault="00F22E60" w:rsidP="004C1365">
            <w:r>
              <w:t xml:space="preserve">The Climate Change Agreements (Administration) Regulations 2012 </w:t>
            </w:r>
            <w:r>
              <w:rPr>
                <w:szCs w:val="24"/>
              </w:rPr>
              <w:t>define</w:t>
            </w:r>
            <w:r>
              <w:t xml:space="preserve"> the target periods</w:t>
            </w:r>
            <w:r>
              <w:rPr>
                <w:szCs w:val="24"/>
              </w:rPr>
              <w:t xml:space="preserve"> as follows</w:t>
            </w:r>
            <w:r>
              <w:t>:</w:t>
            </w:r>
          </w:p>
          <w:p w14:paraId="1D10D78E" w14:textId="77777777" w:rsidR="00F22E60" w:rsidRDefault="00F22E60" w:rsidP="004C1365">
            <w:r w:rsidRPr="00814652">
              <w:rPr>
                <w:szCs w:val="24"/>
              </w:rPr>
              <w:t xml:space="preserve">Target period 1: </w:t>
            </w:r>
            <w:r>
              <w:t>1 January 2013 to 31 December 2014</w:t>
            </w:r>
          </w:p>
          <w:p w14:paraId="2A2A1D8E" w14:textId="77777777" w:rsidR="00F22E60" w:rsidRDefault="00F22E60" w:rsidP="004C1365">
            <w:r w:rsidRPr="00814652">
              <w:rPr>
                <w:szCs w:val="24"/>
              </w:rPr>
              <w:t xml:space="preserve">Target period 2: </w:t>
            </w:r>
            <w:r>
              <w:t>1 January 2015 to 31 December 2016</w:t>
            </w:r>
          </w:p>
          <w:p w14:paraId="2CBCA88E" w14:textId="77777777" w:rsidR="00F22E60" w:rsidRDefault="00F22E60" w:rsidP="004C1365">
            <w:r w:rsidRPr="00814652">
              <w:rPr>
                <w:szCs w:val="24"/>
              </w:rPr>
              <w:t xml:space="preserve">Target period 3: </w:t>
            </w:r>
            <w:r>
              <w:t>1 January 2017 to 31 December 2018</w:t>
            </w:r>
          </w:p>
          <w:p w14:paraId="5C9B0C80" w14:textId="77777777" w:rsidR="00F22E60" w:rsidRDefault="00F22E60" w:rsidP="004C1365">
            <w:r w:rsidRPr="00814652">
              <w:rPr>
                <w:szCs w:val="24"/>
              </w:rPr>
              <w:t xml:space="preserve">Target period 4: </w:t>
            </w:r>
            <w:r>
              <w:t>1 January 2019 to 31 December 2020</w:t>
            </w:r>
          </w:p>
          <w:p w14:paraId="433B7E30" w14:textId="77777777" w:rsidR="00F22E60" w:rsidRDefault="00F22E60" w:rsidP="004C1365">
            <w:r w:rsidRPr="00814652">
              <w:rPr>
                <w:szCs w:val="24"/>
              </w:rPr>
              <w:t xml:space="preserve">Target period 5: </w:t>
            </w:r>
            <w:r>
              <w:t>1 January 2021 to 31 December 2022</w:t>
            </w:r>
          </w:p>
        </w:tc>
      </w:tr>
      <w:tr w:rsidR="00F22E60" w14:paraId="36527908" w14:textId="77777777" w:rsidTr="00F22E60">
        <w:trPr>
          <w:cantSplit/>
        </w:trPr>
        <w:tc>
          <w:tcPr>
            <w:tcW w:w="2122" w:type="dxa"/>
          </w:tcPr>
          <w:p w14:paraId="25584477" w14:textId="1F2B5BFE" w:rsidR="00F22E60" w:rsidRPr="004C1365" w:rsidRDefault="00F22E60" w:rsidP="004C1365">
            <w:pPr>
              <w:rPr>
                <w:b/>
                <w:bCs/>
              </w:rPr>
            </w:pPr>
            <w:bookmarkStart w:id="371" w:name="Targetunit"/>
            <w:r w:rsidRPr="004C1365">
              <w:rPr>
                <w:b/>
                <w:bCs/>
              </w:rPr>
              <w:lastRenderedPageBreak/>
              <w:t xml:space="preserve">Target unit </w:t>
            </w:r>
            <w:bookmarkEnd w:id="371"/>
          </w:p>
        </w:tc>
        <w:tc>
          <w:tcPr>
            <w:tcW w:w="7060" w:type="dxa"/>
          </w:tcPr>
          <w:p w14:paraId="46473F41" w14:textId="77777777" w:rsidR="00F22E60" w:rsidRDefault="00F22E60" w:rsidP="004C1365">
            <w:r>
              <w:t xml:space="preserve">The target facility or group of target facilities that join together for the purposes of CCA target setting and reporting (that is, the facility(s) to which an underlying agreement applies). A facility or group of facilities becomes a target unit once it has signed its underlying agreement. </w:t>
            </w:r>
          </w:p>
        </w:tc>
      </w:tr>
      <w:tr w:rsidR="00F22E60" w14:paraId="74664C03" w14:textId="77777777" w:rsidTr="00F22E60">
        <w:trPr>
          <w:cantSplit/>
        </w:trPr>
        <w:tc>
          <w:tcPr>
            <w:tcW w:w="2122" w:type="dxa"/>
          </w:tcPr>
          <w:p w14:paraId="14F9E846" w14:textId="5AB67361" w:rsidR="00F22E60" w:rsidRPr="004C1365" w:rsidRDefault="00F22E60" w:rsidP="004C1365">
            <w:pPr>
              <w:rPr>
                <w:b/>
                <w:bCs/>
              </w:rPr>
            </w:pPr>
            <w:bookmarkStart w:id="372" w:name="Targetunitcurrency"/>
            <w:r w:rsidRPr="004C1365">
              <w:rPr>
                <w:b/>
                <w:bCs/>
              </w:rPr>
              <w:t xml:space="preserve">Target unit currency </w:t>
            </w:r>
            <w:bookmarkEnd w:id="372"/>
          </w:p>
        </w:tc>
        <w:tc>
          <w:tcPr>
            <w:tcW w:w="7060" w:type="dxa"/>
          </w:tcPr>
          <w:p w14:paraId="52507A07" w14:textId="77777777" w:rsidR="00F22E60" w:rsidRDefault="00F22E60" w:rsidP="004C1365">
            <w:r>
              <w:t xml:space="preserve">The units in which a target unit's actual and target performance are expressed, for example, kWh for an absolute energy target unit, kWh/tonne for a relative energy target unit and </w:t>
            </w:r>
            <w:proofErr w:type="spellStart"/>
            <w:r>
              <w:t>kgC</w:t>
            </w:r>
            <w:proofErr w:type="spellEnd"/>
            <w:r>
              <w:t>/m</w:t>
            </w:r>
            <w:r>
              <w:rPr>
                <w:vertAlign w:val="superscript"/>
              </w:rPr>
              <w:t xml:space="preserve">2 </w:t>
            </w:r>
            <w:r>
              <w:t xml:space="preserve">for a relative carbon target. </w:t>
            </w:r>
          </w:p>
        </w:tc>
      </w:tr>
      <w:tr w:rsidR="00F22E60" w14:paraId="6918FAA3" w14:textId="77777777" w:rsidTr="00F22E60">
        <w:trPr>
          <w:cantSplit/>
        </w:trPr>
        <w:tc>
          <w:tcPr>
            <w:tcW w:w="2122" w:type="dxa"/>
          </w:tcPr>
          <w:p w14:paraId="137EF765" w14:textId="60BEA103" w:rsidR="00F22E60" w:rsidRPr="004C1365" w:rsidRDefault="00F22E60" w:rsidP="004C1365">
            <w:pPr>
              <w:rPr>
                <w:b/>
                <w:bCs/>
              </w:rPr>
            </w:pPr>
            <w:bookmarkStart w:id="373" w:name="Targetunittarget"/>
            <w:r w:rsidRPr="004C1365">
              <w:rPr>
                <w:b/>
                <w:bCs/>
              </w:rPr>
              <w:t xml:space="preserve">Target unit target </w:t>
            </w:r>
            <w:bookmarkEnd w:id="373"/>
          </w:p>
        </w:tc>
        <w:tc>
          <w:tcPr>
            <w:tcW w:w="7060" w:type="dxa"/>
          </w:tcPr>
          <w:p w14:paraId="08E58B2D" w14:textId="77777777" w:rsidR="00F22E60" w:rsidRDefault="00F22E60" w:rsidP="004C1365">
            <w:r>
              <w:t xml:space="preserve">The target set out in Schedule 6 to an underlying agreement for a target unit (either one facility or a group of facilities). The target applies to the energy consumed in the target facilities making up the target unit, that is, the energy consumed in the eligible facilities less any energy consumed in the eligible facilities that is consumed in plant carrying out Annex 1 activities as defined in the Emissions Trading Directive 2003/87EC (as amended from time to time). </w:t>
            </w:r>
          </w:p>
        </w:tc>
      </w:tr>
      <w:tr w:rsidR="00F22E60" w14:paraId="71C4D248" w14:textId="77777777" w:rsidTr="00F22E60">
        <w:trPr>
          <w:cantSplit/>
        </w:trPr>
        <w:tc>
          <w:tcPr>
            <w:tcW w:w="2122" w:type="dxa"/>
          </w:tcPr>
          <w:p w14:paraId="7E542F61" w14:textId="799D91F7" w:rsidR="00F22E60" w:rsidRPr="004C1365" w:rsidRDefault="00F22E60" w:rsidP="004C1365">
            <w:pPr>
              <w:rPr>
                <w:b/>
                <w:bCs/>
              </w:rPr>
            </w:pPr>
            <w:bookmarkStart w:id="374" w:name="Targetunitvariationthroughputchanges"/>
            <w:r w:rsidRPr="004C1365">
              <w:rPr>
                <w:b/>
                <w:bCs/>
              </w:rPr>
              <w:t xml:space="preserve">Target variations for throughput changes </w:t>
            </w:r>
            <w:bookmarkEnd w:id="374"/>
          </w:p>
        </w:tc>
        <w:tc>
          <w:tcPr>
            <w:tcW w:w="7060" w:type="dxa"/>
          </w:tcPr>
          <w:p w14:paraId="7EAA9937" w14:textId="77777777" w:rsidR="00F22E60" w:rsidRDefault="00F22E60" w:rsidP="004C1365">
            <w:r>
              <w:t xml:space="preserve">The process whereby absolute targets are adjusted when the actual throughput of a target unit during a target period is 10% or more below twice the base year throughput. The base year throughput for each target period is stated in the target unit’s underlying agreement. </w:t>
            </w:r>
          </w:p>
        </w:tc>
      </w:tr>
      <w:tr w:rsidR="00F22E60" w14:paraId="5E749AD8" w14:textId="77777777" w:rsidTr="00F22E60">
        <w:trPr>
          <w:cantSplit/>
        </w:trPr>
        <w:tc>
          <w:tcPr>
            <w:tcW w:w="2122" w:type="dxa"/>
          </w:tcPr>
          <w:p w14:paraId="26C40560" w14:textId="14B239D4" w:rsidR="00F22E60" w:rsidRPr="004C1365" w:rsidRDefault="00F22E60" w:rsidP="004C1365">
            <w:pPr>
              <w:rPr>
                <w:b/>
                <w:bCs/>
              </w:rPr>
            </w:pPr>
            <w:bookmarkStart w:id="375" w:name="Technicalconsultant"/>
            <w:r w:rsidRPr="004C1365">
              <w:rPr>
                <w:b/>
                <w:bCs/>
              </w:rPr>
              <w:t xml:space="preserve">Technical consultant </w:t>
            </w:r>
            <w:bookmarkEnd w:id="375"/>
          </w:p>
        </w:tc>
        <w:tc>
          <w:tcPr>
            <w:tcW w:w="7060" w:type="dxa"/>
          </w:tcPr>
          <w:p w14:paraId="490EF909" w14:textId="77777777" w:rsidR="00F22E60" w:rsidRDefault="00F22E60" w:rsidP="004C1365">
            <w:r>
              <w:t xml:space="preserve">Provides day-to-day advice on behalf of the Administrator to the sector associations. </w:t>
            </w:r>
          </w:p>
        </w:tc>
      </w:tr>
      <w:tr w:rsidR="00F22E60" w14:paraId="691AF041" w14:textId="77777777" w:rsidTr="00F22E60">
        <w:trPr>
          <w:cantSplit/>
        </w:trPr>
        <w:tc>
          <w:tcPr>
            <w:tcW w:w="2122" w:type="dxa"/>
          </w:tcPr>
          <w:p w14:paraId="3A6542BC" w14:textId="245E1FE7" w:rsidR="00F22E60" w:rsidRPr="004C1365" w:rsidRDefault="00F22E60" w:rsidP="004C1365">
            <w:pPr>
              <w:rPr>
                <w:b/>
                <w:bCs/>
              </w:rPr>
            </w:pPr>
            <w:bookmarkStart w:id="376" w:name="Termination"/>
            <w:r w:rsidRPr="004C1365">
              <w:rPr>
                <w:b/>
                <w:bCs/>
              </w:rPr>
              <w:t>Termination</w:t>
            </w:r>
            <w:bookmarkEnd w:id="376"/>
            <w:r w:rsidRPr="004C1365">
              <w:rPr>
                <w:b/>
                <w:bCs/>
              </w:rPr>
              <w:t xml:space="preserve"> </w:t>
            </w:r>
          </w:p>
        </w:tc>
        <w:tc>
          <w:tcPr>
            <w:tcW w:w="7060" w:type="dxa"/>
          </w:tcPr>
          <w:p w14:paraId="59BE0036" w14:textId="77777777" w:rsidR="00F22E60" w:rsidRDefault="00F22E60" w:rsidP="004C1365">
            <w:r>
              <w:t xml:space="preserve">Termination of a target unit’s climate change agreement for a minimum of two years. </w:t>
            </w:r>
          </w:p>
        </w:tc>
      </w:tr>
      <w:tr w:rsidR="00F22E60" w14:paraId="3B0157A4" w14:textId="77777777" w:rsidTr="00F22E60">
        <w:trPr>
          <w:cantSplit/>
        </w:trPr>
        <w:tc>
          <w:tcPr>
            <w:tcW w:w="2122" w:type="dxa"/>
          </w:tcPr>
          <w:p w14:paraId="497FE93F" w14:textId="6018B49D" w:rsidR="00F22E60" w:rsidRPr="004C1365" w:rsidRDefault="00F22E60" w:rsidP="004C1365">
            <w:pPr>
              <w:rPr>
                <w:b/>
                <w:bCs/>
              </w:rPr>
            </w:pPr>
            <w:bookmarkStart w:id="377" w:name="Throughput"/>
            <w:r w:rsidRPr="004C1365">
              <w:rPr>
                <w:b/>
                <w:bCs/>
              </w:rPr>
              <w:t>Throughput</w:t>
            </w:r>
            <w:bookmarkEnd w:id="377"/>
            <w:r w:rsidRPr="004C1365">
              <w:rPr>
                <w:b/>
                <w:bCs/>
              </w:rPr>
              <w:t xml:space="preserve"> </w:t>
            </w:r>
          </w:p>
        </w:tc>
        <w:tc>
          <w:tcPr>
            <w:tcW w:w="7060" w:type="dxa"/>
          </w:tcPr>
          <w:p w14:paraId="4B23E47C" w14:textId="77777777" w:rsidR="00F22E60" w:rsidRDefault="00F22E60" w:rsidP="004C1365">
            <w:r>
              <w:t xml:space="preserve">The measure of production (or a factor related to production) that has been selected and agreed with the Administrator and is used in determining the relationship between the amount of energy used by the target unit and the facility’s levels of activity. </w:t>
            </w:r>
          </w:p>
        </w:tc>
      </w:tr>
      <w:tr w:rsidR="00F22E60" w14:paraId="5020AA33" w14:textId="77777777" w:rsidTr="00F22E60">
        <w:trPr>
          <w:cantSplit/>
        </w:trPr>
        <w:tc>
          <w:tcPr>
            <w:tcW w:w="2122" w:type="dxa"/>
          </w:tcPr>
          <w:p w14:paraId="3D8C0C50" w14:textId="4547CF2A" w:rsidR="00F22E60" w:rsidRPr="004C1365" w:rsidRDefault="00F22E60" w:rsidP="004C1365">
            <w:pPr>
              <w:rPr>
                <w:b/>
                <w:bCs/>
              </w:rPr>
            </w:pPr>
            <w:bookmarkStart w:id="378" w:name="Throughputconversion"/>
            <w:r w:rsidRPr="004C1365">
              <w:rPr>
                <w:b/>
                <w:bCs/>
              </w:rPr>
              <w:t xml:space="preserve">Throughput conversion factor </w:t>
            </w:r>
            <w:bookmarkEnd w:id="378"/>
          </w:p>
        </w:tc>
        <w:tc>
          <w:tcPr>
            <w:tcW w:w="7060" w:type="dxa"/>
          </w:tcPr>
          <w:p w14:paraId="40C13BD1" w14:textId="77777777" w:rsidR="00F22E60" w:rsidRDefault="00F22E60" w:rsidP="004C1365">
            <w:r>
              <w:t xml:space="preserve">The factor used, when the throughput unit of the target unit differs from the throughput unit of the sector, to express target unit throughput in equivalent sector throughput terms so that the two can be compared. </w:t>
            </w:r>
          </w:p>
        </w:tc>
      </w:tr>
      <w:tr w:rsidR="00F22E60" w14:paraId="46ADEB33" w14:textId="77777777" w:rsidTr="00F22E60">
        <w:trPr>
          <w:cantSplit/>
        </w:trPr>
        <w:tc>
          <w:tcPr>
            <w:tcW w:w="2122" w:type="dxa"/>
          </w:tcPr>
          <w:p w14:paraId="102E483D" w14:textId="7091A49A" w:rsidR="00F22E60" w:rsidRPr="004C1365" w:rsidRDefault="00F22E60" w:rsidP="004C1365">
            <w:pPr>
              <w:rPr>
                <w:b/>
                <w:bCs/>
              </w:rPr>
            </w:pPr>
            <w:bookmarkStart w:id="379" w:name="Throughputunits"/>
            <w:r w:rsidRPr="004C1365">
              <w:rPr>
                <w:b/>
                <w:bCs/>
              </w:rPr>
              <w:t xml:space="preserve">Throughput units </w:t>
            </w:r>
            <w:bookmarkEnd w:id="379"/>
          </w:p>
        </w:tc>
        <w:tc>
          <w:tcPr>
            <w:tcW w:w="7060" w:type="dxa"/>
          </w:tcPr>
          <w:p w14:paraId="5A95FA3D" w14:textId="77777777" w:rsidR="00F22E60" w:rsidRDefault="00F22E60" w:rsidP="004C1365">
            <w:r>
              <w:t xml:space="preserve">The units used to express the level throughput of a target unit (for example, kg, tonnes, vehicles). </w:t>
            </w:r>
          </w:p>
        </w:tc>
      </w:tr>
      <w:tr w:rsidR="00F22E60" w14:paraId="1F480535" w14:textId="77777777" w:rsidTr="00F22E60">
        <w:trPr>
          <w:cantSplit/>
        </w:trPr>
        <w:tc>
          <w:tcPr>
            <w:tcW w:w="2122" w:type="dxa"/>
          </w:tcPr>
          <w:p w14:paraId="1924D2BB" w14:textId="671EE71E" w:rsidR="00F22E60" w:rsidRPr="004C1365" w:rsidRDefault="00F22E60" w:rsidP="004C1365">
            <w:pPr>
              <w:rPr>
                <w:b/>
                <w:bCs/>
              </w:rPr>
            </w:pPr>
            <w:bookmarkStart w:id="380" w:name="Tolerance"/>
            <w:r w:rsidRPr="004C1365">
              <w:rPr>
                <w:b/>
                <w:bCs/>
              </w:rPr>
              <w:lastRenderedPageBreak/>
              <w:t xml:space="preserve">Tolerance </w:t>
            </w:r>
            <w:bookmarkEnd w:id="380"/>
          </w:p>
        </w:tc>
        <w:tc>
          <w:tcPr>
            <w:tcW w:w="7060" w:type="dxa"/>
          </w:tcPr>
          <w:p w14:paraId="34B50330" w14:textId="41DAA4E7" w:rsidR="00F22E60" w:rsidRDefault="00F22E60" w:rsidP="004C1365">
            <w:r>
              <w:t xml:space="preserve">Tolerance is an allowance made for the inaccuracy of measurements in the calculation of target performance, or similar. For relative target units, buy-out and surplus calculations will account for the tolerance on the percentage target that the target unit has been allowed. The tolerance is derived by allowing +/- 0.5 units for energy or throughput at the resolution available for the Base Year and Target Period data. For </w:t>
            </w:r>
            <w:proofErr w:type="gramStart"/>
            <w:r>
              <w:t>instance</w:t>
            </w:r>
            <w:proofErr w:type="gramEnd"/>
            <w:r>
              <w:t xml:space="preserve"> if throughput is available to 3 decimal </w:t>
            </w:r>
            <w:proofErr w:type="gramStart"/>
            <w:r>
              <w:t>places</w:t>
            </w:r>
            <w:proofErr w:type="gramEnd"/>
            <w:r>
              <w:t xml:space="preserve"> then the throughput tolerance for the Base Year and Target Period would be +/- 0.0005. </w:t>
            </w:r>
          </w:p>
        </w:tc>
      </w:tr>
      <w:tr w:rsidR="00F22E60" w14:paraId="6238D050" w14:textId="77777777" w:rsidTr="00F22E60">
        <w:trPr>
          <w:cantSplit/>
        </w:trPr>
        <w:tc>
          <w:tcPr>
            <w:tcW w:w="2122" w:type="dxa"/>
          </w:tcPr>
          <w:p w14:paraId="28FC81A5" w14:textId="1F2F7172" w:rsidR="00F22E60" w:rsidRPr="004C1365" w:rsidRDefault="00F22E60" w:rsidP="004C1365">
            <w:pPr>
              <w:rPr>
                <w:b/>
                <w:bCs/>
              </w:rPr>
            </w:pPr>
            <w:bookmarkStart w:id="381" w:name="Tribunal"/>
            <w:r w:rsidRPr="004C1365">
              <w:rPr>
                <w:b/>
                <w:bCs/>
              </w:rPr>
              <w:t xml:space="preserve">Tribunal </w:t>
            </w:r>
            <w:bookmarkEnd w:id="381"/>
          </w:p>
        </w:tc>
        <w:tc>
          <w:tcPr>
            <w:tcW w:w="7060" w:type="dxa"/>
          </w:tcPr>
          <w:p w14:paraId="7A06640A" w14:textId="77777777" w:rsidR="00F22E60" w:rsidRDefault="00F22E60" w:rsidP="004C1365">
            <w:r>
              <w:t xml:space="preserve">The First-tier Tribunal established under the Tribunal Courts and Enforcement Act 2007. </w:t>
            </w:r>
          </w:p>
        </w:tc>
      </w:tr>
      <w:tr w:rsidR="00F22E60" w14:paraId="2D27D540" w14:textId="77777777" w:rsidTr="00F22E60">
        <w:trPr>
          <w:cantSplit/>
        </w:trPr>
        <w:tc>
          <w:tcPr>
            <w:tcW w:w="2122" w:type="dxa"/>
          </w:tcPr>
          <w:p w14:paraId="389C707E" w14:textId="6CF7158C" w:rsidR="00F22E60" w:rsidRPr="004C1365" w:rsidRDefault="00F22E60" w:rsidP="004C1365">
            <w:pPr>
              <w:rPr>
                <w:b/>
                <w:bCs/>
              </w:rPr>
            </w:pPr>
            <w:bookmarkStart w:id="382" w:name="Umbrellaagreement"/>
            <w:r w:rsidRPr="004C1365">
              <w:rPr>
                <w:b/>
                <w:bCs/>
              </w:rPr>
              <w:t xml:space="preserve">Umbrella agreement </w:t>
            </w:r>
            <w:bookmarkEnd w:id="382"/>
          </w:p>
        </w:tc>
        <w:tc>
          <w:tcPr>
            <w:tcW w:w="7060" w:type="dxa"/>
          </w:tcPr>
          <w:p w14:paraId="64946D09" w14:textId="77777777" w:rsidR="00F22E60" w:rsidRDefault="00F22E60" w:rsidP="004C1365">
            <w:r>
              <w:t xml:space="preserve">An agreement between a sector association and the Administrator that governs the obligations of both parties within the CCA scheme. It lists all the target units covered by it when it was signed. </w:t>
            </w:r>
          </w:p>
        </w:tc>
      </w:tr>
      <w:tr w:rsidR="00F22E60" w14:paraId="6CDC50F5" w14:textId="77777777" w:rsidTr="00F22E60">
        <w:trPr>
          <w:cantSplit/>
        </w:trPr>
        <w:tc>
          <w:tcPr>
            <w:tcW w:w="2122" w:type="dxa"/>
          </w:tcPr>
          <w:p w14:paraId="6C2CD010" w14:textId="0989B9EB" w:rsidR="00F22E60" w:rsidRPr="004C1365" w:rsidRDefault="00F22E60" w:rsidP="004C1365">
            <w:pPr>
              <w:rPr>
                <w:b/>
                <w:bCs/>
              </w:rPr>
            </w:pPr>
            <w:bookmarkStart w:id="383" w:name="Unbubbling"/>
            <w:proofErr w:type="spellStart"/>
            <w:r w:rsidRPr="004C1365">
              <w:rPr>
                <w:b/>
                <w:bCs/>
              </w:rPr>
              <w:t>Unbubbling</w:t>
            </w:r>
            <w:bookmarkEnd w:id="383"/>
            <w:proofErr w:type="spellEnd"/>
            <w:r w:rsidRPr="004C1365">
              <w:rPr>
                <w:b/>
                <w:bCs/>
              </w:rPr>
              <w:t xml:space="preserve"> </w:t>
            </w:r>
          </w:p>
        </w:tc>
        <w:tc>
          <w:tcPr>
            <w:tcW w:w="7060" w:type="dxa"/>
          </w:tcPr>
          <w:p w14:paraId="0E36F186" w14:textId="77777777" w:rsidR="00F22E60" w:rsidRDefault="00F22E60" w:rsidP="004C1365">
            <w:r>
              <w:t>The splitting up of a target unit containing multiple eligible facilities into a number of target units. This is commonly known as ‘</w:t>
            </w:r>
            <w:proofErr w:type="spellStart"/>
            <w:r>
              <w:t>unbubbling</w:t>
            </w:r>
            <w:proofErr w:type="spellEnd"/>
            <w:r>
              <w:t xml:space="preserve">’. </w:t>
            </w:r>
          </w:p>
        </w:tc>
      </w:tr>
      <w:tr w:rsidR="00F22E60" w14:paraId="08D6A37A" w14:textId="77777777" w:rsidTr="00F22E60">
        <w:trPr>
          <w:cantSplit/>
        </w:trPr>
        <w:tc>
          <w:tcPr>
            <w:tcW w:w="2122" w:type="dxa"/>
          </w:tcPr>
          <w:p w14:paraId="5B1AB872" w14:textId="2BD7AFCC" w:rsidR="00F22E60" w:rsidRPr="004C1365" w:rsidRDefault="00F22E60" w:rsidP="004C1365">
            <w:pPr>
              <w:rPr>
                <w:b/>
                <w:bCs/>
              </w:rPr>
            </w:pPr>
            <w:bookmarkStart w:id="384" w:name="Underlyingagreement"/>
            <w:r w:rsidRPr="004C1365">
              <w:rPr>
                <w:b/>
                <w:bCs/>
              </w:rPr>
              <w:t xml:space="preserve">Underlying agreement </w:t>
            </w:r>
            <w:bookmarkEnd w:id="384"/>
          </w:p>
        </w:tc>
        <w:tc>
          <w:tcPr>
            <w:tcW w:w="7060" w:type="dxa"/>
          </w:tcPr>
          <w:p w14:paraId="704E59C4" w14:textId="22978DD8" w:rsidR="00F22E60" w:rsidRDefault="00F22E60" w:rsidP="004C1365">
            <w:r>
              <w:t xml:space="preserve">An agreement between the operator of a target unit and the Administrator that governs the obligations of the Administrator and the target unit (and its constituent eligible facilities) within the CCA scheme. </w:t>
            </w:r>
          </w:p>
        </w:tc>
      </w:tr>
      <w:tr w:rsidR="00F22E60" w14:paraId="55EF9DB2" w14:textId="77777777" w:rsidTr="00F22E60">
        <w:trPr>
          <w:cantSplit/>
        </w:trPr>
        <w:tc>
          <w:tcPr>
            <w:tcW w:w="2122" w:type="dxa"/>
          </w:tcPr>
          <w:p w14:paraId="2D4A28C2" w14:textId="2AA19F5D" w:rsidR="00F22E60" w:rsidRPr="004C1365" w:rsidRDefault="00F22E60" w:rsidP="004C1365">
            <w:pPr>
              <w:rPr>
                <w:b/>
                <w:bCs/>
              </w:rPr>
            </w:pPr>
            <w:bookmarkStart w:id="385" w:name="Variation"/>
            <w:r w:rsidRPr="004C1365">
              <w:rPr>
                <w:b/>
                <w:bCs/>
              </w:rPr>
              <w:t xml:space="preserve">Variation notice </w:t>
            </w:r>
            <w:bookmarkEnd w:id="385"/>
          </w:p>
        </w:tc>
        <w:tc>
          <w:tcPr>
            <w:tcW w:w="7060" w:type="dxa"/>
          </w:tcPr>
          <w:p w14:paraId="110A5F1D" w14:textId="77777777" w:rsidR="00F22E60" w:rsidRDefault="00F22E60" w:rsidP="004C1365">
            <w:r>
              <w:t xml:space="preserve">A notice served by the Administrator on the operator under Rule 12 of the rules for the Operation of Climate Change Agreements. Any notice served on an operator must be copied to their sector association. </w:t>
            </w:r>
          </w:p>
        </w:tc>
      </w:tr>
    </w:tbl>
    <w:p w14:paraId="5CAE48CC" w14:textId="77777777" w:rsidR="00F22E60" w:rsidRDefault="00F22E60">
      <w:pPr>
        <w:suppressAutoHyphens w:val="0"/>
        <w:spacing w:before="0" w:beforeAutospacing="0" w:after="160" w:afterAutospacing="0" w:line="256" w:lineRule="auto"/>
      </w:pPr>
      <w:bookmarkStart w:id="386" w:name="_Appendix_A:_Eligible"/>
      <w:bookmarkStart w:id="387" w:name="_Toc94718679"/>
      <w:bookmarkStart w:id="388" w:name="_Toc94088927"/>
      <w:bookmarkStart w:id="389" w:name="_Toc95211892"/>
      <w:bookmarkEnd w:id="386"/>
      <w:r>
        <w:br w:type="page"/>
      </w:r>
    </w:p>
    <w:p w14:paraId="5BA71FCC" w14:textId="70866CFF" w:rsidR="00026E66" w:rsidRDefault="002737EF" w:rsidP="00FF0098">
      <w:pPr>
        <w:pStyle w:val="Heading1"/>
        <w:tabs>
          <w:tab w:val="left" w:pos="0"/>
        </w:tabs>
      </w:pPr>
      <w:r>
        <w:lastRenderedPageBreak/>
        <w:t>Appendix A: Eligible processes</w:t>
      </w:r>
      <w:bookmarkEnd w:id="387"/>
      <w:bookmarkEnd w:id="388"/>
      <w:bookmarkEnd w:id="389"/>
      <w:r>
        <w:t xml:space="preserve"> </w:t>
      </w:r>
    </w:p>
    <w:p w14:paraId="357BC667" w14:textId="77777777" w:rsidR="00026E66" w:rsidRDefault="002737EF" w:rsidP="00FF0098">
      <w:pPr>
        <w:tabs>
          <w:tab w:val="left" w:pos="0"/>
        </w:tabs>
      </w:pPr>
      <w:r>
        <w:t xml:space="preserve">The eligibility text in this appendix is taken from the respective umbrella agreements. </w:t>
      </w:r>
    </w:p>
    <w:tbl>
      <w:tblPr>
        <w:tblStyle w:val="TableGridLight"/>
        <w:tblW w:w="0" w:type="auto"/>
        <w:tblLook w:val="00A0" w:firstRow="1" w:lastRow="0" w:firstColumn="1" w:lastColumn="0" w:noHBand="0" w:noVBand="0"/>
      </w:tblPr>
      <w:tblGrid>
        <w:gridCol w:w="963"/>
        <w:gridCol w:w="1937"/>
        <w:gridCol w:w="6729"/>
      </w:tblGrid>
      <w:tr w:rsidR="00026E66" w:rsidRPr="004C1365" w14:paraId="48393A94" w14:textId="77777777" w:rsidTr="00E75C8E">
        <w:trPr>
          <w:cantSplit/>
        </w:trPr>
        <w:tc>
          <w:tcPr>
            <w:tcW w:w="0" w:type="auto"/>
          </w:tcPr>
          <w:p w14:paraId="68772978" w14:textId="77777777" w:rsidR="00026E66" w:rsidRPr="004C1365" w:rsidRDefault="002737EF" w:rsidP="004C1365">
            <w:pPr>
              <w:rPr>
                <w:b/>
                <w:bCs/>
              </w:rPr>
            </w:pPr>
            <w:r w:rsidRPr="004C1365">
              <w:rPr>
                <w:b/>
                <w:bCs/>
              </w:rPr>
              <w:t xml:space="preserve">Sector code </w:t>
            </w:r>
          </w:p>
        </w:tc>
        <w:tc>
          <w:tcPr>
            <w:tcW w:w="1442" w:type="dxa"/>
          </w:tcPr>
          <w:p w14:paraId="3E7EC872" w14:textId="77777777" w:rsidR="00026E66" w:rsidRPr="004C1365" w:rsidRDefault="002737EF" w:rsidP="004C1365">
            <w:pPr>
              <w:rPr>
                <w:b/>
                <w:bCs/>
              </w:rPr>
            </w:pPr>
            <w:r w:rsidRPr="004C1365">
              <w:rPr>
                <w:b/>
                <w:bCs/>
              </w:rPr>
              <w:t xml:space="preserve">Sector name </w:t>
            </w:r>
          </w:p>
        </w:tc>
        <w:tc>
          <w:tcPr>
            <w:tcW w:w="6777" w:type="dxa"/>
          </w:tcPr>
          <w:p w14:paraId="20DC8DD0" w14:textId="77777777" w:rsidR="00026E66" w:rsidRPr="004C1365" w:rsidRDefault="002737EF" w:rsidP="004C1365">
            <w:pPr>
              <w:rPr>
                <w:b/>
                <w:bCs/>
              </w:rPr>
            </w:pPr>
            <w:r w:rsidRPr="004C1365">
              <w:rPr>
                <w:b/>
                <w:bCs/>
              </w:rPr>
              <w:t>Eligibility definition from the umbrella agreement</w:t>
            </w:r>
          </w:p>
        </w:tc>
      </w:tr>
      <w:tr w:rsidR="00026E66" w14:paraId="7580C9F7" w14:textId="77777777" w:rsidTr="00E75C8E">
        <w:trPr>
          <w:cantSplit/>
        </w:trPr>
        <w:tc>
          <w:tcPr>
            <w:tcW w:w="0" w:type="auto"/>
          </w:tcPr>
          <w:p w14:paraId="56892DAF" w14:textId="77777777" w:rsidR="00026E66" w:rsidRPr="004C1365" w:rsidRDefault="002737EF" w:rsidP="004C1365">
            <w:pPr>
              <w:rPr>
                <w:b/>
                <w:bCs/>
              </w:rPr>
            </w:pPr>
            <w:r w:rsidRPr="004C1365">
              <w:rPr>
                <w:b/>
                <w:bCs/>
              </w:rPr>
              <w:t xml:space="preserve">ADS </w:t>
            </w:r>
          </w:p>
        </w:tc>
        <w:tc>
          <w:tcPr>
            <w:tcW w:w="1442" w:type="dxa"/>
          </w:tcPr>
          <w:p w14:paraId="67AA7E52" w14:textId="77777777" w:rsidR="00026E66" w:rsidRDefault="002737EF" w:rsidP="004C1365">
            <w:r>
              <w:t xml:space="preserve">Aerospace </w:t>
            </w:r>
          </w:p>
        </w:tc>
        <w:tc>
          <w:tcPr>
            <w:tcW w:w="6777" w:type="dxa"/>
          </w:tcPr>
          <w:p w14:paraId="12BCF146" w14:textId="77777777" w:rsidR="00026E66" w:rsidRDefault="002737EF" w:rsidP="004C1365">
            <w:r>
              <w:t>A facility belongs to the aerospace sector if it is a facility which undertakes one or more of the following activities: (</w:t>
            </w:r>
            <w:proofErr w:type="spellStart"/>
            <w:r>
              <w:t>i</w:t>
            </w:r>
            <w:proofErr w:type="spellEnd"/>
            <w:r>
              <w:t xml:space="preserve">) casting of ferrous or non-ferrous metals in a foundry; (ii) melting ferrous or non-ferrous metals; (iii) hot-rolling of ferrous metals and their alloys; (iv) operating hammers in a forge; (v) surface treatment of substances, objects or products using organic solvents, in particular for dressing, printing, coating, degreasing, waterproofing, sizing, painting, cleaning or impregnating; (vi) surface treatment of metals and plastic materials using an electrolytic or chemical process; (vii) burning of any fuel in an appliance with a rated thermal input of 50 megawatts or more; (viii) manufacture or repair involving the use of beryllium or selenium or an alloy containing one or both of those metals; (ix) producing explosives; (x) activities involving carbonisation; or (xi) producing synthetic rubbers where the activity is in connection with the aerospace or defence industries. </w:t>
            </w:r>
          </w:p>
        </w:tc>
      </w:tr>
      <w:tr w:rsidR="00026E66" w14:paraId="65458D67" w14:textId="77777777" w:rsidTr="00E75C8E">
        <w:trPr>
          <w:cantSplit/>
        </w:trPr>
        <w:tc>
          <w:tcPr>
            <w:tcW w:w="0" w:type="auto"/>
          </w:tcPr>
          <w:p w14:paraId="68D10A21" w14:textId="77777777" w:rsidR="00026E66" w:rsidRPr="004C1365" w:rsidRDefault="002737EF" w:rsidP="004C1365">
            <w:pPr>
              <w:rPr>
                <w:b/>
                <w:bCs/>
              </w:rPr>
            </w:pPr>
            <w:r w:rsidRPr="004C1365">
              <w:rPr>
                <w:b/>
                <w:bCs/>
              </w:rPr>
              <w:t xml:space="preserve">AFED </w:t>
            </w:r>
          </w:p>
        </w:tc>
        <w:tc>
          <w:tcPr>
            <w:tcW w:w="1442" w:type="dxa"/>
          </w:tcPr>
          <w:p w14:paraId="367E8881" w14:textId="77777777" w:rsidR="00026E66" w:rsidRDefault="002737EF" w:rsidP="004C1365">
            <w:r>
              <w:t xml:space="preserve">Aluminium </w:t>
            </w:r>
          </w:p>
        </w:tc>
        <w:tc>
          <w:tcPr>
            <w:tcW w:w="6777" w:type="dxa"/>
          </w:tcPr>
          <w:p w14:paraId="2F4781A6" w14:textId="77777777" w:rsidR="00026E66" w:rsidRDefault="002737EF" w:rsidP="004C1365">
            <w:r>
              <w:t xml:space="preserve">A facility belongs to the aluminium, titanium and magnesium sector if it is a facility which - (a) produces aluminium, magnesium or titanium from ore, concentrates or secondary raw materials by metallurgical, chemical or electrolytic activities; (b) melts, including making alloys, aluminium, magnesium or titanium, including recovered products (refining, foundry casting, etc.); (c) refines aluminium, magnesium or titanium or any aluminium, magnesium or titanium alloy, except where the activity is related to the separation of aluminium, magnesium or titanium from mixed scrap by differential melting and no other activity in this list is carried out in the facility; (d) produces chemicals involving aluminium, magnesium or titanium; or (e) surface treats aluminium, magnesium or titanium or any aluminium, magnesium or titanium alloy using an electrolytic or chemical process. </w:t>
            </w:r>
          </w:p>
        </w:tc>
      </w:tr>
      <w:tr w:rsidR="00026E66" w14:paraId="5F6738EF" w14:textId="77777777" w:rsidTr="00E75C8E">
        <w:trPr>
          <w:cantSplit/>
        </w:trPr>
        <w:tc>
          <w:tcPr>
            <w:tcW w:w="0" w:type="auto"/>
          </w:tcPr>
          <w:p w14:paraId="384E88ED" w14:textId="77777777" w:rsidR="00026E66" w:rsidRPr="004C1365" w:rsidRDefault="002737EF" w:rsidP="004C1365">
            <w:pPr>
              <w:rPr>
                <w:b/>
                <w:bCs/>
              </w:rPr>
            </w:pPr>
            <w:r w:rsidRPr="004C1365">
              <w:rPr>
                <w:b/>
                <w:bCs/>
              </w:rPr>
              <w:t xml:space="preserve">AIC </w:t>
            </w:r>
          </w:p>
        </w:tc>
        <w:tc>
          <w:tcPr>
            <w:tcW w:w="1442" w:type="dxa"/>
          </w:tcPr>
          <w:p w14:paraId="37E7C424" w14:textId="77777777" w:rsidR="00026E66" w:rsidRDefault="002737EF" w:rsidP="004C1365">
            <w:r>
              <w:t xml:space="preserve">Agricultural Supply </w:t>
            </w:r>
          </w:p>
        </w:tc>
        <w:tc>
          <w:tcPr>
            <w:tcW w:w="6777" w:type="dxa"/>
          </w:tcPr>
          <w:p w14:paraId="515C5CF6" w14:textId="77777777" w:rsidR="00026E66" w:rsidRDefault="002737EF" w:rsidP="004C1365">
            <w:r>
              <w:t xml:space="preserve">A facility belongs to the agricultural supply sector if it is a facility in which the predominant activity is the manufacture of animal feeds for agricultural purposes. </w:t>
            </w:r>
          </w:p>
        </w:tc>
      </w:tr>
      <w:tr w:rsidR="00026E66" w14:paraId="7E0658F9" w14:textId="77777777" w:rsidTr="00E75C8E">
        <w:trPr>
          <w:cantSplit/>
        </w:trPr>
        <w:tc>
          <w:tcPr>
            <w:tcW w:w="0" w:type="auto"/>
          </w:tcPr>
          <w:p w14:paraId="1600146D" w14:textId="77777777" w:rsidR="00026E66" w:rsidRPr="004C1365" w:rsidRDefault="002737EF" w:rsidP="004C1365">
            <w:pPr>
              <w:rPr>
                <w:b/>
                <w:bCs/>
              </w:rPr>
            </w:pPr>
            <w:r w:rsidRPr="004C1365">
              <w:rPr>
                <w:b/>
                <w:bCs/>
              </w:rPr>
              <w:lastRenderedPageBreak/>
              <w:t xml:space="preserve">AWM </w:t>
            </w:r>
          </w:p>
        </w:tc>
        <w:tc>
          <w:tcPr>
            <w:tcW w:w="1442" w:type="dxa"/>
          </w:tcPr>
          <w:p w14:paraId="1C1C46C8" w14:textId="77777777" w:rsidR="00026E66" w:rsidRDefault="002737EF" w:rsidP="004C1365">
            <w:r>
              <w:t xml:space="preserve">Wallcoverings </w:t>
            </w:r>
          </w:p>
        </w:tc>
        <w:tc>
          <w:tcPr>
            <w:tcW w:w="6777" w:type="dxa"/>
          </w:tcPr>
          <w:p w14:paraId="03D42E71" w14:textId="77777777" w:rsidR="00026E66" w:rsidRDefault="002737EF" w:rsidP="004C1365">
            <w:r>
              <w:t xml:space="preserve">A facility belongs to the wallcovering sector if it is a facility that surface treats substances, objects and products using organic solvents in coatings, printing inks and finishes during the manufacture of wallcoverings and other flexible decorative surface materials in roll form. </w:t>
            </w:r>
          </w:p>
        </w:tc>
      </w:tr>
      <w:tr w:rsidR="00026E66" w14:paraId="57669F6C" w14:textId="77777777" w:rsidTr="00E75C8E">
        <w:trPr>
          <w:cantSplit/>
        </w:trPr>
        <w:tc>
          <w:tcPr>
            <w:tcW w:w="0" w:type="auto"/>
          </w:tcPr>
          <w:p w14:paraId="549043F0" w14:textId="77777777" w:rsidR="00026E66" w:rsidRPr="004C1365" w:rsidRDefault="002737EF" w:rsidP="004C1365">
            <w:pPr>
              <w:rPr>
                <w:b/>
                <w:bCs/>
              </w:rPr>
            </w:pPr>
            <w:r w:rsidRPr="004C1365">
              <w:rPr>
                <w:b/>
                <w:bCs/>
              </w:rPr>
              <w:t xml:space="preserve">BATC </w:t>
            </w:r>
          </w:p>
        </w:tc>
        <w:tc>
          <w:tcPr>
            <w:tcW w:w="1442" w:type="dxa"/>
          </w:tcPr>
          <w:p w14:paraId="3D8B3537" w14:textId="77777777" w:rsidR="00026E66" w:rsidRDefault="002737EF" w:rsidP="004C1365">
            <w:r>
              <w:t xml:space="preserve">Textiles </w:t>
            </w:r>
          </w:p>
        </w:tc>
        <w:tc>
          <w:tcPr>
            <w:tcW w:w="6777" w:type="dxa"/>
          </w:tcPr>
          <w:p w14:paraId="20854F75" w14:textId="77777777" w:rsidR="00026E66" w:rsidRDefault="002737EF" w:rsidP="004C1365">
            <w:r>
              <w:t xml:space="preserve">A facility belongs to the apparel and textiles sector if it is a facility that undertakes one or more of the following processes: </w:t>
            </w:r>
          </w:p>
          <w:p w14:paraId="3545F221" w14:textId="77777777" w:rsidR="00026E66" w:rsidRDefault="002737EF" w:rsidP="004C1365">
            <w:r>
              <w:t>the wet stages used in the preparation, processing (for example. mercerizing and scouring), and the dyeing and finishing of Apparel and Textiles (including, but not exclusively, fibres, threads, yarns, fabrics and carpets) and the dyeing of garments.</w:t>
            </w:r>
          </w:p>
        </w:tc>
      </w:tr>
      <w:tr w:rsidR="00026E66" w14:paraId="0FA1D53F" w14:textId="77777777" w:rsidTr="00E75C8E">
        <w:trPr>
          <w:cantSplit/>
        </w:trPr>
        <w:tc>
          <w:tcPr>
            <w:tcW w:w="0" w:type="auto"/>
          </w:tcPr>
          <w:p w14:paraId="16FEDE5C" w14:textId="77777777" w:rsidR="00026E66" w:rsidRPr="004C1365" w:rsidRDefault="002737EF" w:rsidP="004C1365">
            <w:pPr>
              <w:rPr>
                <w:b/>
                <w:bCs/>
              </w:rPr>
            </w:pPr>
            <w:r w:rsidRPr="004C1365">
              <w:rPr>
                <w:b/>
                <w:bCs/>
              </w:rPr>
              <w:t xml:space="preserve">BATE </w:t>
            </w:r>
          </w:p>
        </w:tc>
        <w:tc>
          <w:tcPr>
            <w:tcW w:w="1442" w:type="dxa"/>
          </w:tcPr>
          <w:p w14:paraId="4AA52705" w14:textId="77777777" w:rsidR="00026E66" w:rsidRDefault="002737EF" w:rsidP="004C1365">
            <w:r>
              <w:t xml:space="preserve">Textiles Energy Intensive </w:t>
            </w:r>
          </w:p>
        </w:tc>
        <w:tc>
          <w:tcPr>
            <w:tcW w:w="6777" w:type="dxa"/>
          </w:tcPr>
          <w:p w14:paraId="14FB8173" w14:textId="545E5AE4" w:rsidR="00026E66" w:rsidRDefault="002737EF" w:rsidP="004C1365">
            <w:r>
              <w:t xml:space="preserve">At an installation or site where textiles are manufactured: spinning, weaving, knitting, finishing but not printing or dyeing. </w:t>
            </w:r>
          </w:p>
        </w:tc>
      </w:tr>
      <w:tr w:rsidR="00026E66" w14:paraId="589F2B0B" w14:textId="77777777" w:rsidTr="00E75C8E">
        <w:trPr>
          <w:cantSplit/>
        </w:trPr>
        <w:tc>
          <w:tcPr>
            <w:tcW w:w="0" w:type="auto"/>
          </w:tcPr>
          <w:p w14:paraId="4E7E9BC4" w14:textId="77777777" w:rsidR="00026E66" w:rsidRPr="004C1365" w:rsidRDefault="002737EF" w:rsidP="004C1365">
            <w:pPr>
              <w:rPr>
                <w:b/>
                <w:bCs/>
              </w:rPr>
            </w:pPr>
            <w:r w:rsidRPr="004C1365">
              <w:rPr>
                <w:b/>
                <w:bCs/>
              </w:rPr>
              <w:t xml:space="preserve">BCA </w:t>
            </w:r>
          </w:p>
        </w:tc>
        <w:tc>
          <w:tcPr>
            <w:tcW w:w="1442" w:type="dxa"/>
          </w:tcPr>
          <w:p w14:paraId="6A2A8BC9" w14:textId="77777777" w:rsidR="00026E66" w:rsidRDefault="002737EF" w:rsidP="004C1365">
            <w:r>
              <w:t xml:space="preserve">Cement </w:t>
            </w:r>
          </w:p>
        </w:tc>
        <w:tc>
          <w:tcPr>
            <w:tcW w:w="6777" w:type="dxa"/>
          </w:tcPr>
          <w:p w14:paraId="7D419933" w14:textId="77777777" w:rsidR="00026E66" w:rsidRDefault="002737EF" w:rsidP="004C1365">
            <w:r>
              <w:t xml:space="preserve">A facility belongs to the cement sector if it is a facility at which the primary activity is producing or grinding cement clinker. </w:t>
            </w:r>
          </w:p>
        </w:tc>
      </w:tr>
      <w:tr w:rsidR="00026E66" w14:paraId="1799D8FD" w14:textId="77777777" w:rsidTr="00E75C8E">
        <w:trPr>
          <w:cantSplit/>
        </w:trPr>
        <w:tc>
          <w:tcPr>
            <w:tcW w:w="0" w:type="auto"/>
          </w:tcPr>
          <w:p w14:paraId="6D432607" w14:textId="77777777" w:rsidR="00026E66" w:rsidRPr="004C1365" w:rsidRDefault="002737EF" w:rsidP="004C1365">
            <w:pPr>
              <w:rPr>
                <w:b/>
                <w:bCs/>
              </w:rPr>
            </w:pPr>
            <w:r w:rsidRPr="004C1365">
              <w:rPr>
                <w:b/>
                <w:bCs/>
              </w:rPr>
              <w:t xml:space="preserve">BCC </w:t>
            </w:r>
          </w:p>
        </w:tc>
        <w:tc>
          <w:tcPr>
            <w:tcW w:w="1442" w:type="dxa"/>
          </w:tcPr>
          <w:p w14:paraId="4416BD00" w14:textId="77777777" w:rsidR="00026E66" w:rsidRDefault="002737EF" w:rsidP="004C1365">
            <w:r>
              <w:t xml:space="preserve">Ceramics </w:t>
            </w:r>
          </w:p>
        </w:tc>
        <w:tc>
          <w:tcPr>
            <w:tcW w:w="6777" w:type="dxa"/>
          </w:tcPr>
          <w:p w14:paraId="375D768D" w14:textId="77777777" w:rsidR="00026E66" w:rsidRDefault="002737EF" w:rsidP="004C1365">
            <w:r>
              <w:t xml:space="preserve">A facility belongs to the ceramics sector if it is a facility which manufactures ceramic products (including roofing tiles, bricks, refractory bricks, tiles, stoneware or porcelain) by firing in kilns. Or at an installation or site where silica sand in combination with any associated minerals is extracted, processed and packaged: blasting, quarrying, crushing, classifying, milling, pumping, grinding, acid leaching, drying and packaging. </w:t>
            </w:r>
          </w:p>
        </w:tc>
      </w:tr>
      <w:tr w:rsidR="00026E66" w14:paraId="6EA31D64" w14:textId="77777777" w:rsidTr="00E75C8E">
        <w:trPr>
          <w:cantSplit/>
        </w:trPr>
        <w:tc>
          <w:tcPr>
            <w:tcW w:w="0" w:type="auto"/>
          </w:tcPr>
          <w:p w14:paraId="04262C9E" w14:textId="77777777" w:rsidR="00026E66" w:rsidRPr="004C1365" w:rsidRDefault="002737EF" w:rsidP="004C1365">
            <w:pPr>
              <w:rPr>
                <w:b/>
                <w:bCs/>
              </w:rPr>
            </w:pPr>
            <w:r w:rsidRPr="004C1365">
              <w:rPr>
                <w:b/>
                <w:bCs/>
              </w:rPr>
              <w:t xml:space="preserve">BCCF </w:t>
            </w:r>
          </w:p>
        </w:tc>
        <w:tc>
          <w:tcPr>
            <w:tcW w:w="1442" w:type="dxa"/>
          </w:tcPr>
          <w:p w14:paraId="478A608C" w14:textId="77777777" w:rsidR="00026E66" w:rsidRDefault="002737EF" w:rsidP="004C1365">
            <w:r>
              <w:t xml:space="preserve">Calcium Carbonate </w:t>
            </w:r>
          </w:p>
        </w:tc>
        <w:tc>
          <w:tcPr>
            <w:tcW w:w="6777" w:type="dxa"/>
          </w:tcPr>
          <w:p w14:paraId="22A6A8B6" w14:textId="77777777" w:rsidR="00026E66" w:rsidRDefault="002737EF" w:rsidP="004C1365">
            <w:r>
              <w:t xml:space="preserve">At an installation or site where calcium carbonate based minerals are processed for use as filler or whitener for paper, plastics, pharmaceuticals, ceramics, food, paint or other products: crushing, drying, milling, classifying, screening, packaging. </w:t>
            </w:r>
          </w:p>
        </w:tc>
      </w:tr>
      <w:tr w:rsidR="00026E66" w14:paraId="516B6293" w14:textId="77777777" w:rsidTr="00E75C8E">
        <w:trPr>
          <w:cantSplit/>
        </w:trPr>
        <w:tc>
          <w:tcPr>
            <w:tcW w:w="0" w:type="auto"/>
          </w:tcPr>
          <w:p w14:paraId="02AB65EA" w14:textId="77777777" w:rsidR="00026E66" w:rsidRPr="004C1365" w:rsidRDefault="002737EF" w:rsidP="004C1365">
            <w:pPr>
              <w:rPr>
                <w:b/>
                <w:bCs/>
              </w:rPr>
            </w:pPr>
            <w:r w:rsidRPr="004C1365">
              <w:rPr>
                <w:b/>
                <w:bCs/>
              </w:rPr>
              <w:lastRenderedPageBreak/>
              <w:t xml:space="preserve">BCGA </w:t>
            </w:r>
          </w:p>
        </w:tc>
        <w:tc>
          <w:tcPr>
            <w:tcW w:w="1442" w:type="dxa"/>
          </w:tcPr>
          <w:p w14:paraId="04717ABC" w14:textId="77777777" w:rsidR="00026E66" w:rsidRDefault="002737EF" w:rsidP="004C1365">
            <w:r>
              <w:t xml:space="preserve">Compressed Gases </w:t>
            </w:r>
          </w:p>
        </w:tc>
        <w:tc>
          <w:tcPr>
            <w:tcW w:w="6777" w:type="dxa"/>
          </w:tcPr>
          <w:p w14:paraId="107E1EAC" w14:textId="77777777" w:rsidR="00026E66" w:rsidRDefault="002737EF" w:rsidP="004C1365">
            <w:r>
              <w:t xml:space="preserve">At an installation or site where— (a) nitrogen, oxygen or argon is separated from air, and then compressed or liquefied; or (b) nitrogen, oxygen and argon are separated from air, and then made into a compressed or liquefied mixture of at least two of the former, separating the above substances from air using one or more of the following air separation technologies: cryogenic distillation, pressure swing adsorption, vacuum swing absorption or membrane separation, compressing and liquefying the separated substances, pumping them (in a compressed or liquefied form) from within the installation for further use within or outside the installation. </w:t>
            </w:r>
          </w:p>
        </w:tc>
      </w:tr>
      <w:tr w:rsidR="00026E66" w14:paraId="76C94CAE" w14:textId="77777777" w:rsidTr="00E75C8E">
        <w:trPr>
          <w:cantSplit/>
        </w:trPr>
        <w:tc>
          <w:tcPr>
            <w:tcW w:w="0" w:type="auto"/>
          </w:tcPr>
          <w:p w14:paraId="1FB1718A" w14:textId="77777777" w:rsidR="00026E66" w:rsidRPr="004C1365" w:rsidRDefault="002737EF" w:rsidP="004C1365">
            <w:pPr>
              <w:rPr>
                <w:b/>
                <w:bCs/>
              </w:rPr>
            </w:pPr>
            <w:r w:rsidRPr="004C1365">
              <w:rPr>
                <w:b/>
                <w:bCs/>
              </w:rPr>
              <w:t xml:space="preserve">BEPA </w:t>
            </w:r>
          </w:p>
        </w:tc>
        <w:tc>
          <w:tcPr>
            <w:tcW w:w="1442" w:type="dxa"/>
          </w:tcPr>
          <w:p w14:paraId="755D8BE7" w14:textId="77777777" w:rsidR="00026E66" w:rsidRDefault="002737EF" w:rsidP="004C1365">
            <w:r>
              <w:t xml:space="preserve">Egg Processing </w:t>
            </w:r>
          </w:p>
        </w:tc>
        <w:tc>
          <w:tcPr>
            <w:tcW w:w="6777" w:type="dxa"/>
          </w:tcPr>
          <w:p w14:paraId="20CD15C8" w14:textId="77777777" w:rsidR="00026E66" w:rsidRDefault="002737EF" w:rsidP="004C1365">
            <w:r>
              <w:t xml:space="preserve">A facility belongs to the egg processing sector if it is a facility which processes eggs for the production of food. </w:t>
            </w:r>
          </w:p>
        </w:tc>
      </w:tr>
      <w:tr w:rsidR="00026E66" w14:paraId="562FE93E" w14:textId="77777777" w:rsidTr="00E75C8E">
        <w:trPr>
          <w:cantSplit/>
        </w:trPr>
        <w:tc>
          <w:tcPr>
            <w:tcW w:w="0" w:type="auto"/>
          </w:tcPr>
          <w:p w14:paraId="238FA3CD" w14:textId="77777777" w:rsidR="00026E66" w:rsidRPr="004C1365" w:rsidRDefault="002737EF" w:rsidP="004C1365">
            <w:pPr>
              <w:rPr>
                <w:b/>
                <w:bCs/>
              </w:rPr>
            </w:pPr>
            <w:r w:rsidRPr="004C1365">
              <w:rPr>
                <w:b/>
                <w:bCs/>
              </w:rPr>
              <w:t>BGMC</w:t>
            </w:r>
          </w:p>
        </w:tc>
        <w:tc>
          <w:tcPr>
            <w:tcW w:w="1442" w:type="dxa"/>
          </w:tcPr>
          <w:p w14:paraId="588BBB39" w14:textId="77777777" w:rsidR="00026E66" w:rsidRDefault="002737EF" w:rsidP="004C1365">
            <w:r>
              <w:t>Glass</w:t>
            </w:r>
          </w:p>
        </w:tc>
        <w:tc>
          <w:tcPr>
            <w:tcW w:w="6777" w:type="dxa"/>
          </w:tcPr>
          <w:p w14:paraId="039A6C0D" w14:textId="012D3609" w:rsidR="00026E66" w:rsidRDefault="002737EF" w:rsidP="004C1365">
            <w:r>
              <w:t>A facility belongs to the glass sector if it is a facility which (</w:t>
            </w:r>
            <w:proofErr w:type="spellStart"/>
            <w:r>
              <w:t>i</w:t>
            </w:r>
            <w:proofErr w:type="spellEnd"/>
            <w:r>
              <w:t>) manufactures glass or glass fibre; (ii) manufactures glass frit or enamel frit, or uses glass frit or enamel frit in any activity where that activity is related to its manufacture; (iii) carries out surface treatment of substances, objects or products using organic solvents during the manufacture of glass and/or glass products; (iv) produces salts such as sodium metasilicate; (v) carries out any activity of manufacture of glass and/or glass products</w:t>
            </w:r>
            <w:r w:rsidR="00FC355D">
              <w:t xml:space="preserve"> </w:t>
            </w:r>
            <w:r>
              <w:t>which involves the use of hydrogen fluoride, hydrogen chloride, hydrogen bromide or hydrogen iodide or any of their acids and which may result in the release of any of these compounds into the air; or (vi) carries on related activities of a description agreed between the sector association and the Secretary of State. At an installation or site where glass products or chemicals using glass as a base material are produced from raw materials, pre-formed glass or cullet for use as reflective additives in road markings or as toughened glass for the automotive market: partial melting, fusing, bending, toughening, cutting, grinding, etching, polishing (both mechanical and chemical), surface treating and drying.</w:t>
            </w:r>
          </w:p>
        </w:tc>
      </w:tr>
      <w:tr w:rsidR="00026E66" w14:paraId="585D9405" w14:textId="77777777" w:rsidTr="00E75C8E">
        <w:trPr>
          <w:cantSplit/>
        </w:trPr>
        <w:tc>
          <w:tcPr>
            <w:tcW w:w="0" w:type="auto"/>
          </w:tcPr>
          <w:p w14:paraId="0713C40C" w14:textId="77777777" w:rsidR="00026E66" w:rsidRPr="004C1365" w:rsidRDefault="002737EF" w:rsidP="004C1365">
            <w:pPr>
              <w:rPr>
                <w:b/>
                <w:bCs/>
              </w:rPr>
            </w:pPr>
            <w:r w:rsidRPr="004C1365">
              <w:rPr>
                <w:b/>
                <w:bCs/>
              </w:rPr>
              <w:t xml:space="preserve">BLA </w:t>
            </w:r>
          </w:p>
        </w:tc>
        <w:tc>
          <w:tcPr>
            <w:tcW w:w="1442" w:type="dxa"/>
          </w:tcPr>
          <w:p w14:paraId="1C54AFA4" w14:textId="77777777" w:rsidR="00026E66" w:rsidRDefault="002737EF" w:rsidP="004C1365">
            <w:r>
              <w:t xml:space="preserve">Lime </w:t>
            </w:r>
          </w:p>
        </w:tc>
        <w:tc>
          <w:tcPr>
            <w:tcW w:w="6777" w:type="dxa"/>
          </w:tcPr>
          <w:p w14:paraId="77E2F1A7" w14:textId="77777777" w:rsidR="00026E66" w:rsidRDefault="002737EF" w:rsidP="004C1365">
            <w:r>
              <w:t xml:space="preserve">A facility belongs to the lime sector if it is a facility which produces lime. </w:t>
            </w:r>
          </w:p>
        </w:tc>
      </w:tr>
      <w:tr w:rsidR="00026E66" w14:paraId="4F26BFB2" w14:textId="77777777" w:rsidTr="00E75C8E">
        <w:trPr>
          <w:cantSplit/>
        </w:trPr>
        <w:tc>
          <w:tcPr>
            <w:tcW w:w="0" w:type="auto"/>
          </w:tcPr>
          <w:p w14:paraId="19046381" w14:textId="77777777" w:rsidR="00026E66" w:rsidRPr="004C1365" w:rsidRDefault="002737EF" w:rsidP="004C1365">
            <w:pPr>
              <w:rPr>
                <w:b/>
                <w:bCs/>
              </w:rPr>
            </w:pPr>
            <w:r w:rsidRPr="004C1365">
              <w:rPr>
                <w:b/>
                <w:bCs/>
              </w:rPr>
              <w:t xml:space="preserve">BLRA </w:t>
            </w:r>
          </w:p>
        </w:tc>
        <w:tc>
          <w:tcPr>
            <w:tcW w:w="1442" w:type="dxa"/>
          </w:tcPr>
          <w:p w14:paraId="5869FD9D" w14:textId="77777777" w:rsidR="00026E66" w:rsidRDefault="002737EF" w:rsidP="004C1365">
            <w:r>
              <w:t xml:space="preserve">Brewing </w:t>
            </w:r>
          </w:p>
        </w:tc>
        <w:tc>
          <w:tcPr>
            <w:tcW w:w="6777" w:type="dxa"/>
          </w:tcPr>
          <w:p w14:paraId="75336140" w14:textId="77777777" w:rsidR="00026E66" w:rsidRDefault="002737EF" w:rsidP="004C1365">
            <w:r>
              <w:t xml:space="preserve">A facility belongs to the brewing sector if it is a facility which operates facilities for treating and processing vegetable raw material intended for the production of beer. </w:t>
            </w:r>
          </w:p>
        </w:tc>
      </w:tr>
      <w:tr w:rsidR="00026E66" w14:paraId="61920498" w14:textId="77777777" w:rsidTr="00E75C8E">
        <w:trPr>
          <w:cantSplit/>
        </w:trPr>
        <w:tc>
          <w:tcPr>
            <w:tcW w:w="0" w:type="auto"/>
          </w:tcPr>
          <w:p w14:paraId="1C94FBCA" w14:textId="77777777" w:rsidR="00026E66" w:rsidRPr="004C1365" w:rsidRDefault="002737EF" w:rsidP="004C1365">
            <w:pPr>
              <w:rPr>
                <w:b/>
                <w:bCs/>
              </w:rPr>
            </w:pPr>
            <w:r w:rsidRPr="004C1365">
              <w:rPr>
                <w:b/>
                <w:bCs/>
              </w:rPr>
              <w:lastRenderedPageBreak/>
              <w:t xml:space="preserve">BMPA </w:t>
            </w:r>
          </w:p>
        </w:tc>
        <w:tc>
          <w:tcPr>
            <w:tcW w:w="1442" w:type="dxa"/>
          </w:tcPr>
          <w:p w14:paraId="1A8C2BFB" w14:textId="77777777" w:rsidR="00026E66" w:rsidRDefault="002737EF" w:rsidP="004C1365">
            <w:r>
              <w:t xml:space="preserve">Meat </w:t>
            </w:r>
          </w:p>
        </w:tc>
        <w:tc>
          <w:tcPr>
            <w:tcW w:w="6777" w:type="dxa"/>
          </w:tcPr>
          <w:p w14:paraId="0E800D7C" w14:textId="77777777" w:rsidR="00026E66" w:rsidRDefault="002737EF" w:rsidP="004C1365">
            <w:r>
              <w:t xml:space="preserve">A facility belongs to the meat processing sector if it is a facility in which the predominant activity is the slaughtering of animals or the processing of red meat; the facility may also include standalone permanent storage buildings for controlling the inside temperature of the storage area below ambient temperature for the purposes of storing red meat, and which includes permanent machinery to cool or freeze products prior to storage or to produce ice for the purposes of storing red meat. </w:t>
            </w:r>
          </w:p>
        </w:tc>
      </w:tr>
      <w:tr w:rsidR="00026E66" w14:paraId="1AA6F53A" w14:textId="77777777" w:rsidTr="00E75C8E">
        <w:trPr>
          <w:cantSplit/>
        </w:trPr>
        <w:tc>
          <w:tcPr>
            <w:tcW w:w="0" w:type="auto"/>
          </w:tcPr>
          <w:p w14:paraId="39C71E0D" w14:textId="77777777" w:rsidR="00026E66" w:rsidRPr="004C1365" w:rsidRDefault="002737EF" w:rsidP="004C1365">
            <w:pPr>
              <w:rPr>
                <w:b/>
                <w:bCs/>
              </w:rPr>
            </w:pPr>
            <w:r w:rsidRPr="004C1365">
              <w:rPr>
                <w:b/>
                <w:bCs/>
              </w:rPr>
              <w:t xml:space="preserve">BNMA </w:t>
            </w:r>
          </w:p>
        </w:tc>
        <w:tc>
          <w:tcPr>
            <w:tcW w:w="1442" w:type="dxa"/>
          </w:tcPr>
          <w:p w14:paraId="26D8A29B" w14:textId="77777777" w:rsidR="00026E66" w:rsidRDefault="002737EF" w:rsidP="004C1365">
            <w:r>
              <w:t xml:space="preserve">Geosynthetics Non-Woven </w:t>
            </w:r>
          </w:p>
        </w:tc>
        <w:tc>
          <w:tcPr>
            <w:tcW w:w="6777" w:type="dxa"/>
          </w:tcPr>
          <w:p w14:paraId="5FE2CB87" w14:textId="77777777" w:rsidR="00026E66" w:rsidRDefault="002737EF" w:rsidP="004C1365">
            <w:r>
              <w:t xml:space="preserve">At an installation or site where geosynthetic materials comprising at least one component made from a synthetic or natural polymer in the form of a sheet, strip or other three- dimensional structure are manufactured for use in geotechnical or civil engineering applications: all processes and activities involved in the manufacture of such materials. </w:t>
            </w:r>
          </w:p>
        </w:tc>
      </w:tr>
      <w:tr w:rsidR="00026E66" w14:paraId="249D9769" w14:textId="77777777" w:rsidTr="00E75C8E">
        <w:trPr>
          <w:cantSplit/>
        </w:trPr>
        <w:tc>
          <w:tcPr>
            <w:tcW w:w="0" w:type="auto"/>
          </w:tcPr>
          <w:p w14:paraId="121A7D3A" w14:textId="77777777" w:rsidR="00026E66" w:rsidRPr="004C1365" w:rsidRDefault="002737EF" w:rsidP="004C1365">
            <w:pPr>
              <w:rPr>
                <w:b/>
                <w:bCs/>
              </w:rPr>
            </w:pPr>
            <w:r w:rsidRPr="004C1365">
              <w:rPr>
                <w:b/>
                <w:bCs/>
              </w:rPr>
              <w:t xml:space="preserve">BPC1 </w:t>
            </w:r>
          </w:p>
        </w:tc>
        <w:tc>
          <w:tcPr>
            <w:tcW w:w="1442" w:type="dxa"/>
          </w:tcPr>
          <w:p w14:paraId="1D42D4AB" w14:textId="77777777" w:rsidR="00026E66" w:rsidRDefault="002737EF" w:rsidP="004C1365">
            <w:r>
              <w:t xml:space="preserve">Poultry Meat Rearing </w:t>
            </w:r>
          </w:p>
        </w:tc>
        <w:tc>
          <w:tcPr>
            <w:tcW w:w="6777" w:type="dxa"/>
          </w:tcPr>
          <w:p w14:paraId="27E5593F" w14:textId="77777777" w:rsidR="00026E66" w:rsidRDefault="002737EF" w:rsidP="004C1365">
            <w:r>
              <w:t xml:space="preserve">A facility belongs to the poultry meat sector if it is a facility in which the predominant activity is the breeding or rearing of poultry for meat. </w:t>
            </w:r>
          </w:p>
        </w:tc>
      </w:tr>
      <w:tr w:rsidR="00026E66" w14:paraId="54CA29AA" w14:textId="77777777" w:rsidTr="00E75C8E">
        <w:trPr>
          <w:cantSplit/>
        </w:trPr>
        <w:tc>
          <w:tcPr>
            <w:tcW w:w="0" w:type="auto"/>
          </w:tcPr>
          <w:p w14:paraId="4CC66299" w14:textId="77777777" w:rsidR="00026E66" w:rsidRPr="004C1365" w:rsidRDefault="002737EF" w:rsidP="004C1365">
            <w:pPr>
              <w:rPr>
                <w:b/>
                <w:bCs/>
              </w:rPr>
            </w:pPr>
            <w:r w:rsidRPr="004C1365">
              <w:rPr>
                <w:b/>
                <w:bCs/>
              </w:rPr>
              <w:t xml:space="preserve">BPC2 </w:t>
            </w:r>
          </w:p>
        </w:tc>
        <w:tc>
          <w:tcPr>
            <w:tcW w:w="1442" w:type="dxa"/>
          </w:tcPr>
          <w:p w14:paraId="71C15E0C" w14:textId="77777777" w:rsidR="00026E66" w:rsidRDefault="002737EF" w:rsidP="004C1365">
            <w:r>
              <w:t xml:space="preserve">Poultry Meat Processing </w:t>
            </w:r>
          </w:p>
        </w:tc>
        <w:tc>
          <w:tcPr>
            <w:tcW w:w="6777" w:type="dxa"/>
          </w:tcPr>
          <w:p w14:paraId="2241E3BA" w14:textId="77777777" w:rsidR="00026E66" w:rsidRDefault="002737EF" w:rsidP="004C1365">
            <w:r>
              <w:t xml:space="preserve">A facility belongs to the poultry meat processing sector if it is a facility in which the predominant activity is one of the following: a) the slaughtering of poultry and/or the processing of poultry meat, b) the manufacture of animal feeds for use on poultry farms. </w:t>
            </w:r>
          </w:p>
        </w:tc>
      </w:tr>
      <w:tr w:rsidR="00026E66" w14:paraId="77F45C35" w14:textId="77777777" w:rsidTr="00E75C8E">
        <w:trPr>
          <w:cantSplit/>
        </w:trPr>
        <w:tc>
          <w:tcPr>
            <w:tcW w:w="0" w:type="auto"/>
          </w:tcPr>
          <w:p w14:paraId="6AAD4974" w14:textId="77777777" w:rsidR="00026E66" w:rsidRPr="004C1365" w:rsidRDefault="002737EF" w:rsidP="004C1365">
            <w:pPr>
              <w:rPr>
                <w:b/>
                <w:bCs/>
              </w:rPr>
            </w:pPr>
            <w:r w:rsidRPr="004C1365">
              <w:rPr>
                <w:b/>
                <w:bCs/>
              </w:rPr>
              <w:t xml:space="preserve">BPF </w:t>
            </w:r>
          </w:p>
        </w:tc>
        <w:tc>
          <w:tcPr>
            <w:tcW w:w="1442" w:type="dxa"/>
          </w:tcPr>
          <w:p w14:paraId="14E7DA29" w14:textId="77777777" w:rsidR="00026E66" w:rsidRDefault="002737EF" w:rsidP="004C1365">
            <w:r>
              <w:t xml:space="preserve">Plastics </w:t>
            </w:r>
          </w:p>
        </w:tc>
        <w:tc>
          <w:tcPr>
            <w:tcW w:w="6777" w:type="dxa"/>
          </w:tcPr>
          <w:p w14:paraId="1DA90368" w14:textId="54ADCF6A" w:rsidR="00026E66" w:rsidRDefault="002737EF" w:rsidP="004C1365">
            <w:r>
              <w:t>At an installation or site where plastic materials, or plastic products (whether or not these are finished products), are produced by</w:t>
            </w:r>
            <w:r w:rsidR="00814652">
              <w:t xml:space="preserve"> –</w:t>
            </w:r>
            <w:r>
              <w:t xml:space="preserve"> (a) the application of heat and pressure to; or (b) a chemical reaction involving plastics powder, granules, shredded waste or liquid: injection moulding, reaction injection moulding, compression moulding (including hot and cold press moulding), transfer moulding, structural foam moulding, direct screw transfer moulding, rotational moulding (including slush moulding), flexible foam moulding (including dual component processing), blow moulding, casting, expanded polystyrene moulding, expandable materials processing, mixing and compounding, </w:t>
            </w:r>
            <w:proofErr w:type="spellStart"/>
            <w:r>
              <w:t>calendering</w:t>
            </w:r>
            <w:proofErr w:type="spellEnd"/>
            <w:r>
              <w:t xml:space="preserve">, powder coating (including dip moulding), sintering, thermoforming (including vacuum forming), pultrusion, filament winding, spread coating, hand lay- up and resin transfer moulding. </w:t>
            </w:r>
          </w:p>
        </w:tc>
      </w:tr>
      <w:tr w:rsidR="00026E66" w14:paraId="54E6E486" w14:textId="77777777" w:rsidTr="00E75C8E">
        <w:trPr>
          <w:cantSplit/>
        </w:trPr>
        <w:tc>
          <w:tcPr>
            <w:tcW w:w="0" w:type="auto"/>
          </w:tcPr>
          <w:p w14:paraId="74825CA1" w14:textId="77777777" w:rsidR="00026E66" w:rsidRPr="004C1365" w:rsidRDefault="002737EF" w:rsidP="004C1365">
            <w:pPr>
              <w:rPr>
                <w:b/>
                <w:bCs/>
              </w:rPr>
            </w:pPr>
            <w:r w:rsidRPr="004C1365">
              <w:rPr>
                <w:b/>
                <w:bCs/>
              </w:rPr>
              <w:t xml:space="preserve">BPIF </w:t>
            </w:r>
          </w:p>
        </w:tc>
        <w:tc>
          <w:tcPr>
            <w:tcW w:w="1442" w:type="dxa"/>
          </w:tcPr>
          <w:p w14:paraId="48288499" w14:textId="77777777" w:rsidR="00026E66" w:rsidRDefault="002737EF" w:rsidP="004C1365">
            <w:r>
              <w:t xml:space="preserve">Printing </w:t>
            </w:r>
          </w:p>
        </w:tc>
        <w:tc>
          <w:tcPr>
            <w:tcW w:w="6777" w:type="dxa"/>
          </w:tcPr>
          <w:p w14:paraId="5573C204" w14:textId="77777777" w:rsidR="00026E66" w:rsidRDefault="002737EF" w:rsidP="004C1365">
            <w:r>
              <w:t>A facility belongs to the printing sector if it is a facility that undertakes printing using organic solvents in the following processes; lithography, letterpress, flexography, gravure and screen printing.</w:t>
            </w:r>
          </w:p>
        </w:tc>
      </w:tr>
      <w:tr w:rsidR="00814652" w14:paraId="62AE123D" w14:textId="77777777" w:rsidTr="00E75C8E">
        <w:trPr>
          <w:cantSplit/>
        </w:trPr>
        <w:tc>
          <w:tcPr>
            <w:tcW w:w="0" w:type="auto"/>
          </w:tcPr>
          <w:p w14:paraId="181BD68E" w14:textId="77777777" w:rsidR="00814652" w:rsidRPr="004C1365" w:rsidRDefault="00814652" w:rsidP="004C1365">
            <w:pPr>
              <w:rPr>
                <w:b/>
                <w:bCs/>
              </w:rPr>
            </w:pPr>
            <w:r w:rsidRPr="004C1365">
              <w:rPr>
                <w:b/>
                <w:bCs/>
              </w:rPr>
              <w:lastRenderedPageBreak/>
              <w:t xml:space="preserve">BTMA </w:t>
            </w:r>
          </w:p>
        </w:tc>
        <w:tc>
          <w:tcPr>
            <w:tcW w:w="1442" w:type="dxa"/>
          </w:tcPr>
          <w:p w14:paraId="7F02CE56" w14:textId="77777777" w:rsidR="00814652" w:rsidRDefault="00814652" w:rsidP="004C1365">
            <w:r>
              <w:t xml:space="preserve">Tyres </w:t>
            </w:r>
          </w:p>
        </w:tc>
        <w:tc>
          <w:tcPr>
            <w:tcW w:w="6777" w:type="dxa"/>
          </w:tcPr>
          <w:p w14:paraId="4AA62389" w14:textId="04C27385" w:rsidR="00814652" w:rsidRDefault="00814652" w:rsidP="004C1365">
            <w:r>
              <w:t xml:space="preserve">A facility belongs to the new rubber tyre manufacturing sector if it is a facility which manufactures new rubber tyres or manufactures intermediate products used in the manufacture of rubber tyres. </w:t>
            </w:r>
          </w:p>
        </w:tc>
      </w:tr>
      <w:tr w:rsidR="00814652" w14:paraId="7DFA6259" w14:textId="77777777" w:rsidTr="00E75C8E">
        <w:trPr>
          <w:cantSplit/>
        </w:trPr>
        <w:tc>
          <w:tcPr>
            <w:tcW w:w="0" w:type="auto"/>
          </w:tcPr>
          <w:p w14:paraId="23B3E2A7" w14:textId="77777777" w:rsidR="00814652" w:rsidRPr="004C1365" w:rsidRDefault="00814652" w:rsidP="004C1365">
            <w:pPr>
              <w:rPr>
                <w:b/>
                <w:bCs/>
              </w:rPr>
            </w:pPr>
            <w:r w:rsidRPr="004C1365">
              <w:rPr>
                <w:b/>
                <w:bCs/>
              </w:rPr>
              <w:t xml:space="preserve">CAST </w:t>
            </w:r>
          </w:p>
        </w:tc>
        <w:tc>
          <w:tcPr>
            <w:tcW w:w="1442" w:type="dxa"/>
          </w:tcPr>
          <w:p w14:paraId="470AF569" w14:textId="77777777" w:rsidR="00814652" w:rsidRDefault="00814652" w:rsidP="004C1365">
            <w:r>
              <w:t xml:space="preserve">Foundries </w:t>
            </w:r>
          </w:p>
        </w:tc>
        <w:tc>
          <w:tcPr>
            <w:tcW w:w="6777" w:type="dxa"/>
          </w:tcPr>
          <w:p w14:paraId="5EAF1661" w14:textId="0F299F54" w:rsidR="00814652" w:rsidRDefault="00814652" w:rsidP="004C1365">
            <w:r>
              <w:t xml:space="preserve">A facility belongs to the foundries sector if it is a facility which – (a) produces, melts or refines iron or steel or any ferrous alloy, including continuous casting, using electric arc furnaces or a cupola, crucible furnace, </w:t>
            </w:r>
            <w:proofErr w:type="spellStart"/>
            <w:r>
              <w:t>reverbatory</w:t>
            </w:r>
            <w:proofErr w:type="spellEnd"/>
            <w:r>
              <w:t xml:space="preserve"> furnace, rotary furnace, induction furnace or resistance furnace; (b) applies protective fused metal coatings; (c) casts ferrous metals at a foundry; or (d) melts, including making alloys, non-ferrous metals, including recovered products (refining, foundry casting, etc.). </w:t>
            </w:r>
          </w:p>
        </w:tc>
      </w:tr>
      <w:tr w:rsidR="00814652" w14:paraId="2F9EB4DF" w14:textId="77777777" w:rsidTr="00E75C8E">
        <w:trPr>
          <w:cantSplit/>
        </w:trPr>
        <w:tc>
          <w:tcPr>
            <w:tcW w:w="0" w:type="auto"/>
          </w:tcPr>
          <w:p w14:paraId="3DAF91CB" w14:textId="77777777" w:rsidR="00814652" w:rsidRPr="004C1365" w:rsidRDefault="00814652" w:rsidP="004C1365">
            <w:pPr>
              <w:rPr>
                <w:b/>
                <w:bCs/>
              </w:rPr>
            </w:pPr>
            <w:r w:rsidRPr="004C1365">
              <w:rPr>
                <w:b/>
                <w:bCs/>
              </w:rPr>
              <w:t xml:space="preserve">CBM </w:t>
            </w:r>
          </w:p>
        </w:tc>
        <w:tc>
          <w:tcPr>
            <w:tcW w:w="1442" w:type="dxa"/>
          </w:tcPr>
          <w:p w14:paraId="1378F450" w14:textId="77777777" w:rsidR="00814652" w:rsidRDefault="00814652" w:rsidP="004C1365">
            <w:proofErr w:type="spellStart"/>
            <w:r>
              <w:t>Metalforming</w:t>
            </w:r>
            <w:proofErr w:type="spellEnd"/>
            <w:r>
              <w:t xml:space="preserve"> </w:t>
            </w:r>
          </w:p>
        </w:tc>
        <w:tc>
          <w:tcPr>
            <w:tcW w:w="6777" w:type="dxa"/>
          </w:tcPr>
          <w:p w14:paraId="75E00EA5" w14:textId="0F2544D2" w:rsidR="00814652" w:rsidRDefault="00814652" w:rsidP="00150B05">
            <w:r>
              <w:t>A facility belongs to the metal forming sector if it is a facility which operates as a forge, producing from a cold or heated metal work piece by a blow or series of blows a product or component with enhanced physical and or metallurgical properties</w:t>
            </w:r>
            <w:r w:rsidR="00150B05">
              <w:t>,</w:t>
            </w:r>
            <w:r>
              <w:t xml:space="preserve"> including</w:t>
            </w:r>
            <w:r w:rsidR="00150B05">
              <w:t>:</w:t>
            </w:r>
            <w:r>
              <w:t xml:space="preserve"> Cold Forging, Warm Forging, Hot Forging; Heading, Upsetting; Stamping, Pressing; Blanking, Shearing,</w:t>
            </w:r>
            <w:r w:rsidR="00150B05">
              <w:t xml:space="preserve"> </w:t>
            </w:r>
            <w:r>
              <w:t xml:space="preserve">Trimming, Piercing, Punching, Notching; Coining; Deep Drawing; Precision Bending; and which may heat-treat pre- formed or manufactured metal components to facilitate their efficient formability or to enhance their service performance, all processes and activities involved in the heat treatment of pre- formed or manufactured metal components to facilitate their efficient formability or to enhance their service performance; and which may undertake (other than for the re-painting or re- spraying of or of parts of aircraft or road or railway vehicles) application of printing ink or paint or any other coating material to a substrate, or drying or curing after such application, as, or in the course of, a manufacturing activity, where the process may result in the release into the air of particulate matter or of any volatile organic compound. </w:t>
            </w:r>
          </w:p>
        </w:tc>
      </w:tr>
      <w:tr w:rsidR="00814652" w14:paraId="027EBCB0" w14:textId="77777777" w:rsidTr="00E75C8E">
        <w:trPr>
          <w:cantSplit/>
        </w:trPr>
        <w:tc>
          <w:tcPr>
            <w:tcW w:w="0" w:type="auto"/>
          </w:tcPr>
          <w:p w14:paraId="31B09A98" w14:textId="77777777" w:rsidR="00814652" w:rsidRPr="004C1365" w:rsidRDefault="00814652" w:rsidP="004C1365">
            <w:pPr>
              <w:rPr>
                <w:b/>
                <w:bCs/>
              </w:rPr>
            </w:pPr>
            <w:r w:rsidRPr="004C1365">
              <w:rPr>
                <w:b/>
                <w:bCs/>
              </w:rPr>
              <w:lastRenderedPageBreak/>
              <w:t xml:space="preserve">CIA </w:t>
            </w:r>
          </w:p>
        </w:tc>
        <w:tc>
          <w:tcPr>
            <w:tcW w:w="1442" w:type="dxa"/>
          </w:tcPr>
          <w:p w14:paraId="5F27948E" w14:textId="77777777" w:rsidR="00814652" w:rsidRDefault="00814652" w:rsidP="004C1365">
            <w:r>
              <w:t xml:space="preserve">Chemicals </w:t>
            </w:r>
          </w:p>
        </w:tc>
        <w:tc>
          <w:tcPr>
            <w:tcW w:w="6777" w:type="dxa"/>
          </w:tcPr>
          <w:p w14:paraId="6E40427F" w14:textId="77777777" w:rsidR="00814652" w:rsidRDefault="00814652" w:rsidP="004C1365">
            <w:r>
              <w:t xml:space="preserve">A facility belongs to the chemical sector if it is a facility which is used for: </w:t>
            </w:r>
          </w:p>
          <w:p w14:paraId="3243E784" w14:textId="77777777" w:rsidR="00814652" w:rsidRDefault="00814652" w:rsidP="004C1365">
            <w:r>
              <w:t xml:space="preserve">manufacturing organic or inorganic chemicals, chemical fertilisers, plant health products, biocides, pharmaceutical products or explosives; </w:t>
            </w:r>
          </w:p>
          <w:p w14:paraId="721583A6" w14:textId="77777777" w:rsidR="00814652" w:rsidRDefault="00814652" w:rsidP="004C1365">
            <w:r>
              <w:t xml:space="preserve">a manufacturing activity involving carbon disulphide or ammonia (but not ammonia used as a refrigerant); </w:t>
            </w:r>
          </w:p>
          <w:p w14:paraId="3E686932" w14:textId="77777777" w:rsidR="00814652" w:rsidRDefault="00814652" w:rsidP="004C1365">
            <w:r>
              <w:t xml:space="preserve">an activity involving chemical processing; </w:t>
            </w:r>
          </w:p>
          <w:p w14:paraId="46988099" w14:textId="77777777" w:rsidR="00814652" w:rsidRDefault="00814652" w:rsidP="004C1365">
            <w:r>
              <w:t xml:space="preserve">it produces potassium chloride from Sylvinite (potassium chloride) ore containing a mixture of potassium chloride, sodium chloride, clay and anhydrite, by sub-surface mining followed by separation and purification from the other constituents through a process of crushing/grinding, froth flotation and depending on the specific product, drying and compacting, followed by grading prior to dispatch; high grade soluble product is also obtained by the recrystallisation of KCl from supersaturated brine: or it produces potassium, sodium, magnesium and/or calcium salts from </w:t>
            </w:r>
            <w:proofErr w:type="spellStart"/>
            <w:r>
              <w:t>Polyhalite</w:t>
            </w:r>
            <w:proofErr w:type="spellEnd"/>
            <w:r>
              <w:t xml:space="preserve"> ore by a process of crushing/grinding, leaching, acid reaction, precipitation, evaporation, crystallisation and drying; or </w:t>
            </w:r>
          </w:p>
          <w:p w14:paraId="2A4A612D" w14:textId="638A5AD3" w:rsidR="00814652" w:rsidRDefault="00814652" w:rsidP="004C1365">
            <w:r>
              <w:t>(e) any other activity of a description which CIABATA and the Secretary of State have agreed is suitable for inclusion in the chemical sector.</w:t>
            </w:r>
          </w:p>
        </w:tc>
      </w:tr>
      <w:tr w:rsidR="00814652" w14:paraId="5CDEC54A" w14:textId="77777777" w:rsidTr="00E75C8E">
        <w:trPr>
          <w:cantSplit/>
        </w:trPr>
        <w:tc>
          <w:tcPr>
            <w:tcW w:w="0" w:type="auto"/>
          </w:tcPr>
          <w:p w14:paraId="11AD1D52" w14:textId="77777777" w:rsidR="00814652" w:rsidRPr="004C1365" w:rsidRDefault="00814652" w:rsidP="004C1365">
            <w:pPr>
              <w:rPr>
                <w:b/>
                <w:bCs/>
              </w:rPr>
            </w:pPr>
            <w:r w:rsidRPr="004C1365">
              <w:rPr>
                <w:b/>
                <w:bCs/>
              </w:rPr>
              <w:t xml:space="preserve">CONF </w:t>
            </w:r>
          </w:p>
        </w:tc>
        <w:tc>
          <w:tcPr>
            <w:tcW w:w="1442" w:type="dxa"/>
          </w:tcPr>
          <w:p w14:paraId="7BA60984" w14:textId="22F4C945" w:rsidR="00814652" w:rsidRDefault="00814652" w:rsidP="004C1365">
            <w:r>
              <w:t xml:space="preserve">Timber Sawmilling </w:t>
            </w:r>
          </w:p>
        </w:tc>
        <w:tc>
          <w:tcPr>
            <w:tcW w:w="6777" w:type="dxa"/>
          </w:tcPr>
          <w:p w14:paraId="5C5B83BE" w14:textId="77777777" w:rsidR="00814652" w:rsidRDefault="00814652" w:rsidP="004C1365">
            <w:r>
              <w:t xml:space="preserve">A facility belongs to the sawmill sector if it is a facility where: </w:t>
            </w:r>
          </w:p>
          <w:p w14:paraId="3DD9FE18" w14:textId="77777777" w:rsidR="00814652" w:rsidRDefault="00814652" w:rsidP="004C1365">
            <w:r>
              <w:t xml:space="preserve">an unprocessed log undergoes semi-processing (“a semi- processed log”); or </w:t>
            </w:r>
          </w:p>
          <w:p w14:paraId="6EF5B209" w14:textId="77777777" w:rsidR="00814652" w:rsidRDefault="00814652" w:rsidP="004C1365">
            <w:r>
              <w:t xml:space="preserve">a semi-processed log is kiln dried, graded, planed, shaped, or chemically treated where this occurs at the same installation or site where the log underwent semi-processing. </w:t>
            </w:r>
          </w:p>
          <w:p w14:paraId="62BC02DF" w14:textId="77777777" w:rsidR="00814652" w:rsidRDefault="00814652" w:rsidP="004C1365">
            <w:r>
              <w:t xml:space="preserve">“Semi-processing” means debarking and sawing an unprocessed log. </w:t>
            </w:r>
          </w:p>
          <w:p w14:paraId="29FCA8A7" w14:textId="61C70BBD" w:rsidR="00814652" w:rsidRDefault="00814652" w:rsidP="004C1365">
            <w:r>
              <w:t xml:space="preserve">“Unprocessed log” means a log from which the branches have been removed, but to which no other processing has been applied. </w:t>
            </w:r>
          </w:p>
        </w:tc>
      </w:tr>
      <w:tr w:rsidR="00814652" w14:paraId="45F5744B" w14:textId="77777777" w:rsidTr="00E75C8E">
        <w:trPr>
          <w:cantSplit/>
        </w:trPr>
        <w:tc>
          <w:tcPr>
            <w:tcW w:w="0" w:type="auto"/>
          </w:tcPr>
          <w:p w14:paraId="6038AC55" w14:textId="77777777" w:rsidR="00814652" w:rsidRPr="004C1365" w:rsidRDefault="00814652" w:rsidP="004C1365">
            <w:pPr>
              <w:rPr>
                <w:b/>
                <w:bCs/>
              </w:rPr>
            </w:pPr>
            <w:r w:rsidRPr="004C1365">
              <w:rPr>
                <w:b/>
                <w:bCs/>
              </w:rPr>
              <w:lastRenderedPageBreak/>
              <w:t xml:space="preserve">CPI </w:t>
            </w:r>
          </w:p>
        </w:tc>
        <w:tc>
          <w:tcPr>
            <w:tcW w:w="1442" w:type="dxa"/>
          </w:tcPr>
          <w:p w14:paraId="793816D6" w14:textId="77777777" w:rsidR="00814652" w:rsidRDefault="00814652" w:rsidP="004C1365">
            <w:r>
              <w:t xml:space="preserve">Paper </w:t>
            </w:r>
          </w:p>
        </w:tc>
        <w:tc>
          <w:tcPr>
            <w:tcW w:w="6777" w:type="dxa"/>
          </w:tcPr>
          <w:p w14:paraId="2915D768" w14:textId="3F07DD2C" w:rsidR="00814652" w:rsidRDefault="00814652" w:rsidP="004C1365">
            <w:r>
              <w:t xml:space="preserve">A facility belongs to the paper sector if it is a facility at which the primary activity is the manufacture of paper, pulp or cardboard. </w:t>
            </w:r>
          </w:p>
        </w:tc>
      </w:tr>
      <w:tr w:rsidR="00814652" w14:paraId="772E63F2" w14:textId="77777777" w:rsidTr="00E75C8E">
        <w:trPr>
          <w:cantSplit/>
        </w:trPr>
        <w:tc>
          <w:tcPr>
            <w:tcW w:w="0" w:type="auto"/>
          </w:tcPr>
          <w:p w14:paraId="349F834C" w14:textId="77777777" w:rsidR="00814652" w:rsidRPr="004C1365" w:rsidRDefault="00814652" w:rsidP="004C1365">
            <w:pPr>
              <w:rPr>
                <w:b/>
                <w:bCs/>
              </w:rPr>
            </w:pPr>
            <w:r w:rsidRPr="004C1365">
              <w:rPr>
                <w:b/>
                <w:bCs/>
              </w:rPr>
              <w:t xml:space="preserve">CSDF </w:t>
            </w:r>
          </w:p>
        </w:tc>
        <w:tc>
          <w:tcPr>
            <w:tcW w:w="1442" w:type="dxa"/>
          </w:tcPr>
          <w:p w14:paraId="667CCC5B" w14:textId="77777777" w:rsidR="00814652" w:rsidRDefault="00814652" w:rsidP="004C1365">
            <w:r>
              <w:t xml:space="preserve">Cold Storage </w:t>
            </w:r>
          </w:p>
        </w:tc>
        <w:tc>
          <w:tcPr>
            <w:tcW w:w="6777" w:type="dxa"/>
          </w:tcPr>
          <w:p w14:paraId="31C895FA" w14:textId="6D36214B" w:rsidR="00814652" w:rsidRDefault="00814652" w:rsidP="004C1365">
            <w:r>
              <w:t>At an installation (which must be a building where the predominant business activity is commercial temperature controlled storage or product freezing) or site upon which there is such an installation where— (a) products are cooled or frozen for the purposes of— (</w:t>
            </w:r>
            <w:proofErr w:type="spellStart"/>
            <w:r>
              <w:t>i</w:t>
            </w:r>
            <w:proofErr w:type="spellEnd"/>
            <w:r>
              <w:t xml:space="preserve">) storing them under controlled temperatures below ambient levels; or (ii) producing ice; or (b) products are stored under controlled temperatures below ambient levels, cooling and freezing products and all processes and activities involved in controlling temperatures below ambient levels. </w:t>
            </w:r>
          </w:p>
        </w:tc>
      </w:tr>
      <w:tr w:rsidR="00814652" w14:paraId="28BD3124" w14:textId="77777777" w:rsidTr="00E75C8E">
        <w:trPr>
          <w:cantSplit/>
        </w:trPr>
        <w:tc>
          <w:tcPr>
            <w:tcW w:w="0" w:type="auto"/>
          </w:tcPr>
          <w:p w14:paraId="78F6DDA5" w14:textId="77777777" w:rsidR="00814652" w:rsidRPr="004C1365" w:rsidRDefault="00814652" w:rsidP="004C1365">
            <w:pPr>
              <w:rPr>
                <w:b/>
                <w:bCs/>
              </w:rPr>
            </w:pPr>
            <w:r w:rsidRPr="004C1365">
              <w:rPr>
                <w:b/>
                <w:bCs/>
              </w:rPr>
              <w:t xml:space="preserve">DATC </w:t>
            </w:r>
          </w:p>
        </w:tc>
        <w:tc>
          <w:tcPr>
            <w:tcW w:w="1442" w:type="dxa"/>
          </w:tcPr>
          <w:p w14:paraId="31A206AB" w14:textId="77777777" w:rsidR="00814652" w:rsidRDefault="00814652" w:rsidP="004C1365">
            <w:r>
              <w:t xml:space="preserve">Data Centres </w:t>
            </w:r>
          </w:p>
        </w:tc>
        <w:tc>
          <w:tcPr>
            <w:tcW w:w="6777" w:type="dxa"/>
          </w:tcPr>
          <w:p w14:paraId="176B892B" w14:textId="77777777" w:rsidR="00814652" w:rsidRDefault="00814652" w:rsidP="004C1365">
            <w:r>
              <w:t xml:space="preserve">The business activity is the leasing or licensing of a data facility which is being used as a data centre. </w:t>
            </w:r>
          </w:p>
          <w:p w14:paraId="1379F08B" w14:textId="1D405F7F" w:rsidR="00814652" w:rsidRDefault="00814652" w:rsidP="004C1365">
            <w:r>
              <w:t>“</w:t>
            </w:r>
            <w:proofErr w:type="gramStart"/>
            <w:r>
              <w:t>data</w:t>
            </w:r>
            <w:proofErr w:type="gramEnd"/>
            <w:r>
              <w:t xml:space="preserve"> facility” means a room, or rooms sharing the same electricity supply circuit, occupied mainly or exclusively by computer </w:t>
            </w:r>
            <w:proofErr w:type="gramStart"/>
            <w:r>
              <w:t>equipment</w:t>
            </w:r>
            <w:proofErr w:type="gramEnd"/>
            <w:r>
              <w:t xml:space="preserve"> which is enabled to transfer data electronically, and where in respect of the room or rooms</w:t>
            </w:r>
            <w:r w:rsidR="00827D03">
              <w:t xml:space="preserve">: </w:t>
            </w:r>
          </w:p>
          <w:p w14:paraId="480DC7A2" w14:textId="77777777" w:rsidR="00814652" w:rsidRDefault="00814652" w:rsidP="004C1365">
            <w:r>
              <w:t xml:space="preserve">the temperature and humidity </w:t>
            </w:r>
            <w:proofErr w:type="gramStart"/>
            <w:r>
              <w:t>is</w:t>
            </w:r>
            <w:proofErr w:type="gramEnd"/>
            <w:r>
              <w:t xml:space="preserve"> regulated in connection with the operation of the computer equipment; </w:t>
            </w:r>
          </w:p>
          <w:p w14:paraId="53B06219" w14:textId="77777777" w:rsidR="00814652" w:rsidRDefault="00814652" w:rsidP="004C1365">
            <w:r>
              <w:t xml:space="preserve">the electricity supply is at least 200kW; and </w:t>
            </w:r>
          </w:p>
          <w:p w14:paraId="6F0833EE" w14:textId="30B04787" w:rsidR="00814652" w:rsidRDefault="00814652" w:rsidP="004C1365">
            <w:r>
              <w:t>electricity is supplied by a back-up electricity supply when the mains supply is interrupted.</w:t>
            </w:r>
          </w:p>
        </w:tc>
      </w:tr>
      <w:tr w:rsidR="00814652" w14:paraId="4D00612C" w14:textId="77777777" w:rsidTr="00E75C8E">
        <w:trPr>
          <w:cantSplit/>
        </w:trPr>
        <w:tc>
          <w:tcPr>
            <w:tcW w:w="0" w:type="auto"/>
          </w:tcPr>
          <w:p w14:paraId="5BF4281D" w14:textId="77777777" w:rsidR="00814652" w:rsidRPr="004C1365" w:rsidRDefault="00814652" w:rsidP="004C1365">
            <w:pPr>
              <w:rPr>
                <w:b/>
                <w:bCs/>
              </w:rPr>
            </w:pPr>
            <w:r w:rsidRPr="004C1365">
              <w:rPr>
                <w:b/>
                <w:bCs/>
              </w:rPr>
              <w:t xml:space="preserve">DIAL </w:t>
            </w:r>
          </w:p>
        </w:tc>
        <w:tc>
          <w:tcPr>
            <w:tcW w:w="1442" w:type="dxa"/>
          </w:tcPr>
          <w:p w14:paraId="40B3D2A7" w14:textId="77777777" w:rsidR="00814652" w:rsidRDefault="00814652" w:rsidP="004C1365">
            <w:r>
              <w:t xml:space="preserve">Dairy </w:t>
            </w:r>
          </w:p>
        </w:tc>
        <w:tc>
          <w:tcPr>
            <w:tcW w:w="6777" w:type="dxa"/>
          </w:tcPr>
          <w:p w14:paraId="5248C6D3" w14:textId="04A3F8A7" w:rsidR="00814652" w:rsidRDefault="00814652" w:rsidP="004C1365">
            <w:r>
              <w:t xml:space="preserve">A facility belongs to the dairy sector if it is a facility whose activities involve the purchase of raw milk or a commodity produced from raw milk in order to convert it into liquid drinking milk, dairy products, or composite dairy products, or any other commodity of which milk is a substantial ingredient; and, in the case of organisations which purchase raw milk and for whom the processing of milk is the dominant activity, the use of similar manufacturing processes to those used to produce dairy products in respect of other food or drink products. </w:t>
            </w:r>
          </w:p>
        </w:tc>
      </w:tr>
      <w:tr w:rsidR="00814652" w14:paraId="771E8979" w14:textId="77777777" w:rsidTr="00E75C8E">
        <w:trPr>
          <w:cantSplit/>
        </w:trPr>
        <w:tc>
          <w:tcPr>
            <w:tcW w:w="0" w:type="auto"/>
          </w:tcPr>
          <w:p w14:paraId="6F4AAD90" w14:textId="77777777" w:rsidR="00814652" w:rsidRPr="004C1365" w:rsidRDefault="00814652" w:rsidP="004C1365">
            <w:pPr>
              <w:rPr>
                <w:b/>
                <w:bCs/>
              </w:rPr>
            </w:pPr>
            <w:r w:rsidRPr="004C1365">
              <w:rPr>
                <w:b/>
                <w:bCs/>
              </w:rPr>
              <w:t xml:space="preserve">EUR </w:t>
            </w:r>
          </w:p>
        </w:tc>
        <w:tc>
          <w:tcPr>
            <w:tcW w:w="1442" w:type="dxa"/>
          </w:tcPr>
          <w:p w14:paraId="1EF16DAB" w14:textId="77777777" w:rsidR="00814652" w:rsidRDefault="00814652" w:rsidP="004C1365">
            <w:proofErr w:type="spellStart"/>
            <w:r>
              <w:t>Eurisol</w:t>
            </w:r>
            <w:proofErr w:type="spellEnd"/>
            <w:r>
              <w:t xml:space="preserve"> / Mineral Wool </w:t>
            </w:r>
          </w:p>
        </w:tc>
        <w:tc>
          <w:tcPr>
            <w:tcW w:w="6777" w:type="dxa"/>
          </w:tcPr>
          <w:p w14:paraId="0549B12C" w14:textId="747F5E00" w:rsidR="00814652" w:rsidRDefault="00814652" w:rsidP="004C1365">
            <w:r>
              <w:t xml:space="preserve">A facility belongs to the mineral wool sector if it is a facility which produces mineral wool insulation products for thermal, acoustic and fire applications manufactured using glass or rock. </w:t>
            </w:r>
          </w:p>
        </w:tc>
      </w:tr>
      <w:tr w:rsidR="00814652" w14:paraId="4C095B9D" w14:textId="77777777" w:rsidTr="00E75C8E">
        <w:trPr>
          <w:cantSplit/>
        </w:trPr>
        <w:tc>
          <w:tcPr>
            <w:tcW w:w="0" w:type="auto"/>
          </w:tcPr>
          <w:p w14:paraId="5A70A58A" w14:textId="77777777" w:rsidR="00814652" w:rsidRPr="004C1365" w:rsidRDefault="00814652" w:rsidP="004C1365">
            <w:pPr>
              <w:rPr>
                <w:b/>
                <w:bCs/>
              </w:rPr>
            </w:pPr>
            <w:r w:rsidRPr="004C1365">
              <w:rPr>
                <w:b/>
                <w:bCs/>
              </w:rPr>
              <w:lastRenderedPageBreak/>
              <w:t xml:space="preserve">FDF1 </w:t>
            </w:r>
          </w:p>
        </w:tc>
        <w:tc>
          <w:tcPr>
            <w:tcW w:w="1442" w:type="dxa"/>
          </w:tcPr>
          <w:p w14:paraId="2E8B7D18" w14:textId="77777777" w:rsidR="00814652" w:rsidRDefault="00814652" w:rsidP="004C1365">
            <w:r>
              <w:t xml:space="preserve">Food and Drink </w:t>
            </w:r>
          </w:p>
        </w:tc>
        <w:tc>
          <w:tcPr>
            <w:tcW w:w="6777" w:type="dxa"/>
          </w:tcPr>
          <w:p w14:paraId="298E1D5E" w14:textId="15A545EB" w:rsidR="00814652" w:rsidRDefault="00814652" w:rsidP="004C1365">
            <w:r>
              <w:t xml:space="preserve">A facility belongs to the food and drink sector if it is a facility which treats, and processes materials intended for the production of food products. For this </w:t>
            </w:r>
            <w:proofErr w:type="gramStart"/>
            <w:r>
              <w:t>purpose</w:t>
            </w:r>
            <w:proofErr w:type="gramEnd"/>
            <w:r>
              <w:t xml:space="preserve"> ‘food’ includes drink, articles and substances of no nutritional value which are used for human consumption and articles and substances used as ingredients in the preparation of food. At an installation or site where refined salt for use in food products or supplements is prepared or processed from minerals. </w:t>
            </w:r>
          </w:p>
        </w:tc>
      </w:tr>
      <w:tr w:rsidR="00814652" w14:paraId="4AB82C68" w14:textId="77777777" w:rsidTr="00E75C8E">
        <w:trPr>
          <w:cantSplit/>
        </w:trPr>
        <w:tc>
          <w:tcPr>
            <w:tcW w:w="0" w:type="auto"/>
          </w:tcPr>
          <w:p w14:paraId="61882F60" w14:textId="77777777" w:rsidR="00814652" w:rsidRPr="004C1365" w:rsidRDefault="00814652" w:rsidP="004C1365">
            <w:pPr>
              <w:rPr>
                <w:b/>
                <w:bCs/>
              </w:rPr>
            </w:pPr>
            <w:r w:rsidRPr="004C1365">
              <w:rPr>
                <w:b/>
                <w:bCs/>
              </w:rPr>
              <w:t xml:space="preserve">FDFS </w:t>
            </w:r>
          </w:p>
        </w:tc>
        <w:tc>
          <w:tcPr>
            <w:tcW w:w="1442" w:type="dxa"/>
          </w:tcPr>
          <w:p w14:paraId="408E710F" w14:textId="77777777" w:rsidR="00814652" w:rsidRDefault="00814652" w:rsidP="004C1365">
            <w:r>
              <w:t xml:space="preserve">Supermarkets </w:t>
            </w:r>
          </w:p>
        </w:tc>
        <w:tc>
          <w:tcPr>
            <w:tcW w:w="6777" w:type="dxa"/>
          </w:tcPr>
          <w:p w14:paraId="535A4FE7" w14:textId="75EDDFC4" w:rsidR="00814652" w:rsidRDefault="00814652" w:rsidP="004C1365">
            <w:r>
              <w:t xml:space="preserve">A facility belongs to the supermarket sector if it is a facility which treats and processes materials intended </w:t>
            </w:r>
            <w:proofErr w:type="gramStart"/>
            <w:r>
              <w:t>for the production of</w:t>
            </w:r>
            <w:proofErr w:type="gramEnd"/>
            <w:r>
              <w:t xml:space="preserve"> food products in supermarket stores. </w:t>
            </w:r>
          </w:p>
        </w:tc>
      </w:tr>
      <w:tr w:rsidR="00814652" w14:paraId="7D1F5896" w14:textId="77777777" w:rsidTr="00E75C8E">
        <w:trPr>
          <w:cantSplit/>
        </w:trPr>
        <w:tc>
          <w:tcPr>
            <w:tcW w:w="0" w:type="auto"/>
          </w:tcPr>
          <w:p w14:paraId="22CA72CA" w14:textId="77777777" w:rsidR="00814652" w:rsidRPr="004C1365" w:rsidRDefault="00814652" w:rsidP="004C1365">
            <w:pPr>
              <w:rPr>
                <w:b/>
                <w:bCs/>
              </w:rPr>
            </w:pPr>
            <w:r w:rsidRPr="004C1365">
              <w:rPr>
                <w:b/>
                <w:bCs/>
              </w:rPr>
              <w:t xml:space="preserve">GPDA </w:t>
            </w:r>
          </w:p>
        </w:tc>
        <w:tc>
          <w:tcPr>
            <w:tcW w:w="1442" w:type="dxa"/>
          </w:tcPr>
          <w:p w14:paraId="4BA285DA" w14:textId="77777777" w:rsidR="00814652" w:rsidRDefault="00814652" w:rsidP="004C1365">
            <w:r>
              <w:t xml:space="preserve">Gypsum Products </w:t>
            </w:r>
          </w:p>
        </w:tc>
        <w:tc>
          <w:tcPr>
            <w:tcW w:w="6777" w:type="dxa"/>
          </w:tcPr>
          <w:p w14:paraId="53E7C28C" w14:textId="4F1ADC5C" w:rsidR="00814652" w:rsidRDefault="00814652" w:rsidP="004C1365">
            <w:r>
              <w:t xml:space="preserve">A facility belongs to the gypsum manufacturing sector if it is a facility that burns fuels in Part A combustion plant that is integrated into the process of manufacturing gypsum. </w:t>
            </w:r>
          </w:p>
        </w:tc>
      </w:tr>
      <w:tr w:rsidR="00814652" w14:paraId="5EC6EADA" w14:textId="77777777" w:rsidTr="00E75C8E">
        <w:trPr>
          <w:cantSplit/>
        </w:trPr>
        <w:tc>
          <w:tcPr>
            <w:tcW w:w="0" w:type="auto"/>
          </w:tcPr>
          <w:p w14:paraId="435F1822" w14:textId="77777777" w:rsidR="00814652" w:rsidRPr="004C1365" w:rsidRDefault="00814652" w:rsidP="004C1365">
            <w:pPr>
              <w:rPr>
                <w:b/>
                <w:bCs/>
              </w:rPr>
            </w:pPr>
            <w:r w:rsidRPr="004C1365">
              <w:rPr>
                <w:b/>
                <w:bCs/>
              </w:rPr>
              <w:t xml:space="preserve">KABC </w:t>
            </w:r>
          </w:p>
        </w:tc>
        <w:tc>
          <w:tcPr>
            <w:tcW w:w="1442" w:type="dxa"/>
          </w:tcPr>
          <w:p w14:paraId="322DB79B" w14:textId="77777777" w:rsidR="00814652" w:rsidRDefault="00814652" w:rsidP="004C1365">
            <w:r>
              <w:t xml:space="preserve">Kaolin and Ball Clay </w:t>
            </w:r>
          </w:p>
        </w:tc>
        <w:tc>
          <w:tcPr>
            <w:tcW w:w="6777" w:type="dxa"/>
          </w:tcPr>
          <w:p w14:paraId="7D2064C6" w14:textId="61CE2C62" w:rsidR="00814652" w:rsidRDefault="00814652" w:rsidP="004C1365">
            <w:r>
              <w:t xml:space="preserve">At an installation or site where kaolinitic clay in combination with any of its accessory minerals is extracted and processed: blasting and crushing, dry mining or hydraulic mining, refining, blending, drying and packaging, classifying, </w:t>
            </w:r>
            <w:proofErr w:type="spellStart"/>
            <w:r>
              <w:t>hydrocloning</w:t>
            </w:r>
            <w:proofErr w:type="spellEnd"/>
            <w:r>
              <w:t xml:space="preserve">, pumping, centrifuging, grinding, shredding, magnetic separating, bleaching, pressing, pugging, milling, micro-separating. </w:t>
            </w:r>
          </w:p>
        </w:tc>
      </w:tr>
      <w:tr w:rsidR="00814652" w14:paraId="0468C2AF" w14:textId="77777777" w:rsidTr="00E75C8E">
        <w:trPr>
          <w:cantSplit/>
        </w:trPr>
        <w:tc>
          <w:tcPr>
            <w:tcW w:w="0" w:type="auto"/>
          </w:tcPr>
          <w:p w14:paraId="1870287F" w14:textId="77777777" w:rsidR="00814652" w:rsidRPr="004C1365" w:rsidRDefault="00814652" w:rsidP="004C1365">
            <w:pPr>
              <w:rPr>
                <w:b/>
                <w:bCs/>
              </w:rPr>
            </w:pPr>
            <w:r w:rsidRPr="004C1365">
              <w:rPr>
                <w:b/>
                <w:bCs/>
              </w:rPr>
              <w:t xml:space="preserve">MAGB </w:t>
            </w:r>
          </w:p>
        </w:tc>
        <w:tc>
          <w:tcPr>
            <w:tcW w:w="1442" w:type="dxa"/>
          </w:tcPr>
          <w:p w14:paraId="21CE3C92" w14:textId="77777777" w:rsidR="00814652" w:rsidRDefault="00814652" w:rsidP="004C1365">
            <w:r>
              <w:t xml:space="preserve">Malting </w:t>
            </w:r>
          </w:p>
        </w:tc>
        <w:tc>
          <w:tcPr>
            <w:tcW w:w="6777" w:type="dxa"/>
          </w:tcPr>
          <w:p w14:paraId="2DFAAA6C" w14:textId="1E3E696C" w:rsidR="00814652" w:rsidRDefault="00814652" w:rsidP="004C1365">
            <w:r>
              <w:t xml:space="preserve">A facility belongs to the malting sector if it is a facility which modifies cereal grain by the process of malting for use in the production of drinks and foodstuffs and whose predominant product is malt. </w:t>
            </w:r>
          </w:p>
        </w:tc>
      </w:tr>
      <w:tr w:rsidR="00814652" w14:paraId="0AD93BCE" w14:textId="77777777" w:rsidTr="00E75C8E">
        <w:trPr>
          <w:cantSplit/>
        </w:trPr>
        <w:tc>
          <w:tcPr>
            <w:tcW w:w="0" w:type="auto"/>
          </w:tcPr>
          <w:p w14:paraId="4D67B209" w14:textId="77777777" w:rsidR="00814652" w:rsidRPr="004C1365" w:rsidRDefault="00814652" w:rsidP="004C1365">
            <w:pPr>
              <w:rPr>
                <w:b/>
                <w:bCs/>
              </w:rPr>
            </w:pPr>
            <w:r w:rsidRPr="004C1365">
              <w:rPr>
                <w:b/>
                <w:bCs/>
              </w:rPr>
              <w:t xml:space="preserve">MPMA </w:t>
            </w:r>
          </w:p>
        </w:tc>
        <w:tc>
          <w:tcPr>
            <w:tcW w:w="1442" w:type="dxa"/>
          </w:tcPr>
          <w:p w14:paraId="1E25F444" w14:textId="77777777" w:rsidR="00814652" w:rsidRDefault="00814652" w:rsidP="004C1365">
            <w:r>
              <w:t xml:space="preserve">Metal Packaging </w:t>
            </w:r>
          </w:p>
        </w:tc>
        <w:tc>
          <w:tcPr>
            <w:tcW w:w="6777" w:type="dxa"/>
          </w:tcPr>
          <w:p w14:paraId="14AEA413" w14:textId="13064B40" w:rsidR="00814652" w:rsidRDefault="00814652" w:rsidP="004C1365">
            <w:r>
              <w:t xml:space="preserve">A facility belongs to the metal packaging sector if it is a facility which uses organic solvents for surface treating operations (such as protection, decoration, sealing and lubrication) during the manufacture of metal packaging products. </w:t>
            </w:r>
          </w:p>
        </w:tc>
      </w:tr>
      <w:tr w:rsidR="00814652" w14:paraId="48A6FE38" w14:textId="77777777" w:rsidTr="00E75C8E">
        <w:trPr>
          <w:cantSplit/>
        </w:trPr>
        <w:tc>
          <w:tcPr>
            <w:tcW w:w="0" w:type="auto"/>
          </w:tcPr>
          <w:p w14:paraId="5D40FA04" w14:textId="77777777" w:rsidR="00814652" w:rsidRPr="004C1365" w:rsidRDefault="00814652" w:rsidP="004C1365">
            <w:pPr>
              <w:rPr>
                <w:b/>
                <w:bCs/>
              </w:rPr>
            </w:pPr>
            <w:r w:rsidRPr="004C1365">
              <w:rPr>
                <w:b/>
                <w:bCs/>
              </w:rPr>
              <w:t xml:space="preserve">NAMB </w:t>
            </w:r>
          </w:p>
        </w:tc>
        <w:tc>
          <w:tcPr>
            <w:tcW w:w="1442" w:type="dxa"/>
          </w:tcPr>
          <w:p w14:paraId="20C44FB6" w14:textId="77777777" w:rsidR="00814652" w:rsidRDefault="00814652" w:rsidP="004C1365">
            <w:r>
              <w:t xml:space="preserve">Bakers </w:t>
            </w:r>
          </w:p>
        </w:tc>
        <w:tc>
          <w:tcPr>
            <w:tcW w:w="6777" w:type="dxa"/>
          </w:tcPr>
          <w:p w14:paraId="3B65BA40" w14:textId="499C53D1" w:rsidR="00814652" w:rsidRDefault="00814652" w:rsidP="004C1365">
            <w:r>
              <w:t xml:space="preserve">A facility belongs to the craft baking sector if it is a facility that produces bread, morning goods, flour confectionery and savoury products from animal and vegetable raw materials and using traditional bakery skills, rather than ‘industrial’ type baking processes. The facility may be either a) A ‘bakery’ that serves more than one retail outlet; or b) ‘A shop’ which is a retail outlet that processes part-finished products (‘bake off’) or is a ‘scratch’ bakery that produces product for no other retail outlet. </w:t>
            </w:r>
          </w:p>
        </w:tc>
      </w:tr>
      <w:tr w:rsidR="00814652" w14:paraId="6A741802" w14:textId="77777777" w:rsidTr="00E75C8E">
        <w:trPr>
          <w:cantSplit/>
        </w:trPr>
        <w:tc>
          <w:tcPr>
            <w:tcW w:w="0" w:type="auto"/>
          </w:tcPr>
          <w:p w14:paraId="713DDE40" w14:textId="77777777" w:rsidR="00814652" w:rsidRPr="004C1365" w:rsidRDefault="00814652" w:rsidP="004C1365">
            <w:pPr>
              <w:rPr>
                <w:b/>
                <w:bCs/>
              </w:rPr>
            </w:pPr>
            <w:r w:rsidRPr="004C1365">
              <w:rPr>
                <w:b/>
                <w:bCs/>
              </w:rPr>
              <w:t xml:space="preserve">NFA </w:t>
            </w:r>
          </w:p>
        </w:tc>
        <w:tc>
          <w:tcPr>
            <w:tcW w:w="1442" w:type="dxa"/>
          </w:tcPr>
          <w:p w14:paraId="6D842F23" w14:textId="77777777" w:rsidR="00814652" w:rsidRDefault="00814652" w:rsidP="004C1365">
            <w:r>
              <w:t xml:space="preserve">Non-Ferrous Metals </w:t>
            </w:r>
          </w:p>
        </w:tc>
        <w:tc>
          <w:tcPr>
            <w:tcW w:w="6777" w:type="dxa"/>
          </w:tcPr>
          <w:p w14:paraId="4B0A6FE9" w14:textId="748966B9" w:rsidR="00814652" w:rsidRDefault="00814652" w:rsidP="004C1365">
            <w:r>
              <w:t xml:space="preserve">A facility belongs to the non-ferrous sector if it is a facility which produces, processes or uses non-ferrous metals, or is engaged in related manufacturing activities. </w:t>
            </w:r>
          </w:p>
        </w:tc>
      </w:tr>
      <w:tr w:rsidR="00814652" w14:paraId="564E8D25" w14:textId="77777777" w:rsidTr="00E75C8E">
        <w:trPr>
          <w:cantSplit/>
        </w:trPr>
        <w:tc>
          <w:tcPr>
            <w:tcW w:w="0" w:type="auto"/>
          </w:tcPr>
          <w:p w14:paraId="1934E6C4" w14:textId="77777777" w:rsidR="00814652" w:rsidRPr="004C1365" w:rsidRDefault="00814652" w:rsidP="004C1365">
            <w:pPr>
              <w:rPr>
                <w:b/>
                <w:bCs/>
              </w:rPr>
            </w:pPr>
            <w:r w:rsidRPr="004C1365">
              <w:rPr>
                <w:b/>
                <w:bCs/>
              </w:rPr>
              <w:lastRenderedPageBreak/>
              <w:t xml:space="preserve">NFU1 </w:t>
            </w:r>
          </w:p>
        </w:tc>
        <w:tc>
          <w:tcPr>
            <w:tcW w:w="1442" w:type="dxa"/>
          </w:tcPr>
          <w:p w14:paraId="1D85BEE1" w14:textId="77777777" w:rsidR="00814652" w:rsidRDefault="00814652" w:rsidP="004C1365">
            <w:r>
              <w:t xml:space="preserve">Pigs </w:t>
            </w:r>
          </w:p>
        </w:tc>
        <w:tc>
          <w:tcPr>
            <w:tcW w:w="6777" w:type="dxa"/>
          </w:tcPr>
          <w:p w14:paraId="0F7D55BA" w14:textId="73D50C34" w:rsidR="00814652" w:rsidRDefault="00814652" w:rsidP="004C1365">
            <w:r>
              <w:t xml:space="preserve">A facility belongs to the pig farming sector if it is a facility which is specifically used in indoor pig production. </w:t>
            </w:r>
          </w:p>
        </w:tc>
      </w:tr>
      <w:tr w:rsidR="00814652" w14:paraId="4229913C" w14:textId="77777777" w:rsidTr="00E75C8E">
        <w:trPr>
          <w:cantSplit/>
        </w:trPr>
        <w:tc>
          <w:tcPr>
            <w:tcW w:w="0" w:type="auto"/>
          </w:tcPr>
          <w:p w14:paraId="243317AB" w14:textId="77777777" w:rsidR="00814652" w:rsidRPr="004C1365" w:rsidRDefault="00814652" w:rsidP="004C1365">
            <w:pPr>
              <w:rPr>
                <w:b/>
                <w:bCs/>
              </w:rPr>
            </w:pPr>
            <w:r w:rsidRPr="004C1365">
              <w:rPr>
                <w:b/>
                <w:bCs/>
              </w:rPr>
              <w:t xml:space="preserve">NFU4 </w:t>
            </w:r>
          </w:p>
        </w:tc>
        <w:tc>
          <w:tcPr>
            <w:tcW w:w="1442" w:type="dxa"/>
          </w:tcPr>
          <w:p w14:paraId="571FD3C3" w14:textId="77777777" w:rsidR="00814652" w:rsidRDefault="00814652" w:rsidP="004C1365">
            <w:r>
              <w:t xml:space="preserve">Horticulture </w:t>
            </w:r>
          </w:p>
        </w:tc>
        <w:tc>
          <w:tcPr>
            <w:tcW w:w="6777" w:type="dxa"/>
          </w:tcPr>
          <w:p w14:paraId="0B2FC1C6" w14:textId="3524DD15" w:rsidR="00814652" w:rsidRDefault="00814652" w:rsidP="004C1365">
            <w:r>
              <w:t xml:space="preserve">At an installation or site where (in controlled, environment– protected structures) horticultural crops are grown, harvested and receive primary preparation for market: planting, seeding, heating, lighting, ventilating, irrigating, fertilising, cooling, preparing and sterilising growing media, grading and conveying. </w:t>
            </w:r>
          </w:p>
        </w:tc>
      </w:tr>
      <w:tr w:rsidR="00814652" w14:paraId="04F775A8" w14:textId="77777777" w:rsidTr="00E75C8E">
        <w:trPr>
          <w:cantSplit/>
        </w:trPr>
        <w:tc>
          <w:tcPr>
            <w:tcW w:w="0" w:type="auto"/>
          </w:tcPr>
          <w:p w14:paraId="034F0023" w14:textId="77777777" w:rsidR="00814652" w:rsidRPr="004C1365" w:rsidRDefault="00814652" w:rsidP="004C1365">
            <w:pPr>
              <w:rPr>
                <w:b/>
                <w:bCs/>
              </w:rPr>
            </w:pPr>
            <w:r w:rsidRPr="004C1365">
              <w:rPr>
                <w:b/>
                <w:bCs/>
              </w:rPr>
              <w:t xml:space="preserve">NFU5 </w:t>
            </w:r>
          </w:p>
        </w:tc>
        <w:tc>
          <w:tcPr>
            <w:tcW w:w="1442" w:type="dxa"/>
          </w:tcPr>
          <w:p w14:paraId="08C50201" w14:textId="77777777" w:rsidR="00814652" w:rsidRDefault="00814652" w:rsidP="004C1365">
            <w:r>
              <w:t xml:space="preserve">Eggs &amp; Poultry Meat </w:t>
            </w:r>
          </w:p>
        </w:tc>
        <w:tc>
          <w:tcPr>
            <w:tcW w:w="6777" w:type="dxa"/>
          </w:tcPr>
          <w:p w14:paraId="2ADD4046" w14:textId="5198B3EF" w:rsidR="00814652" w:rsidRDefault="00814652" w:rsidP="004C1365">
            <w:r>
              <w:t xml:space="preserve">A facility belongs to the NFU poultry meat sector if it is a facility which is specifically used for rearing poultry for the production of meat. And/or A facility belongs to the egg production sector if it is a facility which is specifically used for rearing poultry for the production of eggs. </w:t>
            </w:r>
          </w:p>
        </w:tc>
      </w:tr>
      <w:tr w:rsidR="00814652" w14:paraId="7A211CB4" w14:textId="77777777" w:rsidTr="00E75C8E">
        <w:trPr>
          <w:cantSplit/>
        </w:trPr>
        <w:tc>
          <w:tcPr>
            <w:tcW w:w="0" w:type="auto"/>
          </w:tcPr>
          <w:p w14:paraId="7C3E4DD5" w14:textId="77777777" w:rsidR="00814652" w:rsidRPr="004C1365" w:rsidRDefault="00814652" w:rsidP="004C1365">
            <w:pPr>
              <w:rPr>
                <w:b/>
                <w:bCs/>
              </w:rPr>
            </w:pPr>
            <w:r w:rsidRPr="004C1365">
              <w:rPr>
                <w:b/>
                <w:bCs/>
              </w:rPr>
              <w:t xml:space="preserve">NMI </w:t>
            </w:r>
          </w:p>
        </w:tc>
        <w:tc>
          <w:tcPr>
            <w:tcW w:w="1442" w:type="dxa"/>
          </w:tcPr>
          <w:p w14:paraId="7D3CD837" w14:textId="77777777" w:rsidR="00814652" w:rsidRDefault="00814652" w:rsidP="004C1365">
            <w:r>
              <w:t xml:space="preserve">Semiconductors </w:t>
            </w:r>
          </w:p>
        </w:tc>
        <w:tc>
          <w:tcPr>
            <w:tcW w:w="6777" w:type="dxa"/>
          </w:tcPr>
          <w:p w14:paraId="003486B9" w14:textId="6C5E3B6F" w:rsidR="00814652" w:rsidRDefault="00814652" w:rsidP="004C1365">
            <w:r>
              <w:t xml:space="preserve">A facility belongs to the semiconductor sector if it is a facility which manufactures semiconductors and/or raw materials specific to the manufacture of semiconductor devices. </w:t>
            </w:r>
          </w:p>
        </w:tc>
      </w:tr>
      <w:tr w:rsidR="00814652" w14:paraId="74230CB3" w14:textId="77777777" w:rsidTr="00E75C8E">
        <w:trPr>
          <w:cantSplit/>
        </w:trPr>
        <w:tc>
          <w:tcPr>
            <w:tcW w:w="0" w:type="auto"/>
          </w:tcPr>
          <w:p w14:paraId="1F83ECCA" w14:textId="77777777" w:rsidR="00814652" w:rsidRPr="004C1365" w:rsidRDefault="00814652" w:rsidP="004C1365">
            <w:pPr>
              <w:rPr>
                <w:b/>
                <w:bCs/>
              </w:rPr>
            </w:pPr>
            <w:r w:rsidRPr="004C1365">
              <w:rPr>
                <w:b/>
                <w:bCs/>
              </w:rPr>
              <w:t xml:space="preserve">PIFA </w:t>
            </w:r>
          </w:p>
        </w:tc>
        <w:tc>
          <w:tcPr>
            <w:tcW w:w="1442" w:type="dxa"/>
          </w:tcPr>
          <w:p w14:paraId="12840C6F" w14:textId="0D734C9A" w:rsidR="00814652" w:rsidRDefault="00814652" w:rsidP="004C1365">
            <w:r>
              <w:t xml:space="preserve">Packaging &amp; Industrial Films </w:t>
            </w:r>
          </w:p>
        </w:tc>
        <w:tc>
          <w:tcPr>
            <w:tcW w:w="6777" w:type="dxa"/>
          </w:tcPr>
          <w:p w14:paraId="4A1A75B9" w14:textId="1609B50C" w:rsidR="00814652" w:rsidRDefault="00814652" w:rsidP="004C1365">
            <w:r>
              <w:t xml:space="preserve">An installation or site where plastic film is produced using extrusion to convert melted polymer into blown or cast film: all processes and activities involved in the production of plastic film using extrusion to convert melted polymer into blown or cast film, and which may include printing using organic solvents in the following processes; lithography, letterpress, flexography, gravure and screen printing on plastic film. </w:t>
            </w:r>
          </w:p>
        </w:tc>
      </w:tr>
      <w:tr w:rsidR="00E642D6" w14:paraId="70A12B4B" w14:textId="77777777" w:rsidTr="00E75C8E">
        <w:trPr>
          <w:cantSplit/>
        </w:trPr>
        <w:tc>
          <w:tcPr>
            <w:tcW w:w="0" w:type="auto"/>
          </w:tcPr>
          <w:p w14:paraId="652B9D02" w14:textId="77777777" w:rsidR="00E642D6" w:rsidRPr="004C1365" w:rsidRDefault="00E642D6" w:rsidP="004C1365">
            <w:pPr>
              <w:rPr>
                <w:b/>
                <w:bCs/>
              </w:rPr>
            </w:pPr>
            <w:r w:rsidRPr="004C1365">
              <w:rPr>
                <w:b/>
                <w:bCs/>
              </w:rPr>
              <w:t xml:space="preserve">SEA </w:t>
            </w:r>
          </w:p>
        </w:tc>
        <w:tc>
          <w:tcPr>
            <w:tcW w:w="1442" w:type="dxa"/>
          </w:tcPr>
          <w:p w14:paraId="2BF8EE35" w14:textId="1B4E6F1D" w:rsidR="00E642D6" w:rsidRDefault="00E642D6" w:rsidP="004C1365">
            <w:r>
              <w:t xml:space="preserve">Surface Engineering </w:t>
            </w:r>
          </w:p>
        </w:tc>
        <w:tc>
          <w:tcPr>
            <w:tcW w:w="6777" w:type="dxa"/>
          </w:tcPr>
          <w:p w14:paraId="63207E7B" w14:textId="469A2B68" w:rsidR="00E642D6" w:rsidRDefault="00E642D6" w:rsidP="004C1365">
            <w:r>
              <w:t xml:space="preserve">A facility belongs to the surface engineering sector if it is a facility which surface treats substances, objects or products using organic solvents, in particular for dressing, printing, coating, degreasing, waterproofing, sizing, painting, cleaning or impregnating or which surface treats metals and plastic materials using an electrolytic or chemical process. </w:t>
            </w:r>
          </w:p>
        </w:tc>
      </w:tr>
      <w:tr w:rsidR="00E642D6" w14:paraId="028ACCAB" w14:textId="77777777" w:rsidTr="00E75C8E">
        <w:trPr>
          <w:cantSplit/>
        </w:trPr>
        <w:tc>
          <w:tcPr>
            <w:tcW w:w="0" w:type="auto"/>
          </w:tcPr>
          <w:p w14:paraId="099AB841" w14:textId="77777777" w:rsidR="00E642D6" w:rsidRPr="004C1365" w:rsidRDefault="00E642D6" w:rsidP="004C1365">
            <w:pPr>
              <w:rPr>
                <w:b/>
                <w:bCs/>
              </w:rPr>
            </w:pPr>
            <w:r w:rsidRPr="004C1365">
              <w:rPr>
                <w:b/>
                <w:bCs/>
              </w:rPr>
              <w:lastRenderedPageBreak/>
              <w:t xml:space="preserve">SEEC </w:t>
            </w:r>
          </w:p>
        </w:tc>
        <w:tc>
          <w:tcPr>
            <w:tcW w:w="1442" w:type="dxa"/>
          </w:tcPr>
          <w:p w14:paraId="0F9B41E6" w14:textId="77777777" w:rsidR="00E642D6" w:rsidRDefault="00E642D6" w:rsidP="004C1365">
            <w:r>
              <w:t xml:space="preserve">Spirits </w:t>
            </w:r>
          </w:p>
        </w:tc>
        <w:tc>
          <w:tcPr>
            <w:tcW w:w="6777" w:type="dxa"/>
          </w:tcPr>
          <w:p w14:paraId="55B0CF60" w14:textId="77777777" w:rsidR="00E642D6" w:rsidRDefault="00E642D6" w:rsidP="004C1365">
            <w:r>
              <w:t xml:space="preserve">A facility belongs to the spirit drinks sector if it is a facility in the United Kingdom of Great Britain and Northern Ireland that is engaged in one or more of the following activities: </w:t>
            </w:r>
          </w:p>
          <w:p w14:paraId="7B1080B8" w14:textId="77777777" w:rsidR="00E642D6" w:rsidRDefault="00E642D6" w:rsidP="004C1365">
            <w:r>
              <w:t xml:space="preserve">the production and/or preparation of spirit drinks (as defined in EC Regulation 110/2008) (the ethyl alcohol, distillate or spirit of which is of agricultural origin); </w:t>
            </w:r>
          </w:p>
          <w:p w14:paraId="432713CC" w14:textId="77777777" w:rsidR="00E642D6" w:rsidRDefault="00E642D6" w:rsidP="004C1365">
            <w:r>
              <w:t xml:space="preserve">the distillation of ethyl alcohol of agricultural origin (as defined in EC Regulation 110/2008) intended for human consumption; </w:t>
            </w:r>
          </w:p>
          <w:p w14:paraId="38146C48" w14:textId="4D2F43D0" w:rsidR="00E642D6" w:rsidRDefault="00E642D6" w:rsidP="004C1365">
            <w:r>
              <w:t>the production of distillate of agricultural origin (as defined in EC Regulation 110/2008) intended for human consumption; iv) the processing of by-products from a distillery which is a facility engaged in any activity covered by (</w:t>
            </w:r>
            <w:proofErr w:type="spellStart"/>
            <w:r>
              <w:t>i</w:t>
            </w:r>
            <w:proofErr w:type="spellEnd"/>
            <w:r>
              <w:t xml:space="preserve">)-(iii) above. </w:t>
            </w:r>
          </w:p>
        </w:tc>
      </w:tr>
      <w:tr w:rsidR="00E642D6" w14:paraId="3A102FFA" w14:textId="77777777" w:rsidTr="00E75C8E">
        <w:trPr>
          <w:cantSplit/>
        </w:trPr>
        <w:tc>
          <w:tcPr>
            <w:tcW w:w="0" w:type="auto"/>
          </w:tcPr>
          <w:p w14:paraId="5387F74D" w14:textId="77777777" w:rsidR="00E642D6" w:rsidRPr="004C1365" w:rsidRDefault="00E642D6" w:rsidP="004C1365">
            <w:pPr>
              <w:rPr>
                <w:b/>
                <w:bCs/>
              </w:rPr>
            </w:pPr>
            <w:r w:rsidRPr="004C1365">
              <w:rPr>
                <w:b/>
                <w:bCs/>
              </w:rPr>
              <w:t xml:space="preserve">SEHT </w:t>
            </w:r>
          </w:p>
        </w:tc>
        <w:tc>
          <w:tcPr>
            <w:tcW w:w="1442" w:type="dxa"/>
          </w:tcPr>
          <w:p w14:paraId="7A2026A6" w14:textId="7EA024E2" w:rsidR="00E642D6" w:rsidRDefault="00E642D6" w:rsidP="004C1365">
            <w:r>
              <w:t xml:space="preserve">Surface Engineering Heat Treatment </w:t>
            </w:r>
          </w:p>
        </w:tc>
        <w:tc>
          <w:tcPr>
            <w:tcW w:w="6777" w:type="dxa"/>
          </w:tcPr>
          <w:p w14:paraId="0E0A3E99" w14:textId="2529227B" w:rsidR="00E642D6" w:rsidRDefault="00E642D6" w:rsidP="004C1365">
            <w:r>
              <w:t xml:space="preserve">A facility belongs to the heat treatment sector if it is a facility where pre-formed or manufactured metal components are heat- treated to facilitate their efficient formability or to enhance their service performance, all processes and activities involved in the heat treatment of pre-formed or manufactured metal components to facilitate their efficient formability to enhance their service performance. </w:t>
            </w:r>
          </w:p>
        </w:tc>
      </w:tr>
      <w:tr w:rsidR="00E642D6" w14:paraId="6C935B2A" w14:textId="77777777" w:rsidTr="00E75C8E">
        <w:trPr>
          <w:cantSplit/>
        </w:trPr>
        <w:tc>
          <w:tcPr>
            <w:tcW w:w="0" w:type="auto"/>
          </w:tcPr>
          <w:p w14:paraId="0B4583A5" w14:textId="77777777" w:rsidR="00E642D6" w:rsidRPr="004C1365" w:rsidRDefault="00E642D6" w:rsidP="004C1365">
            <w:pPr>
              <w:rPr>
                <w:b/>
                <w:bCs/>
              </w:rPr>
            </w:pPr>
            <w:r w:rsidRPr="004C1365">
              <w:rPr>
                <w:b/>
                <w:bCs/>
              </w:rPr>
              <w:t xml:space="preserve">SGS </w:t>
            </w:r>
          </w:p>
        </w:tc>
        <w:tc>
          <w:tcPr>
            <w:tcW w:w="1442" w:type="dxa"/>
          </w:tcPr>
          <w:p w14:paraId="04D7FF07" w14:textId="77777777" w:rsidR="00E642D6" w:rsidRDefault="00E642D6" w:rsidP="004C1365">
            <w:r>
              <w:t xml:space="preserve">Slag Grinding </w:t>
            </w:r>
          </w:p>
        </w:tc>
        <w:tc>
          <w:tcPr>
            <w:tcW w:w="6777" w:type="dxa"/>
          </w:tcPr>
          <w:p w14:paraId="7DBA3BC1" w14:textId="65F60D59" w:rsidR="00E642D6" w:rsidRDefault="00E642D6" w:rsidP="004C1365">
            <w:r>
              <w:t xml:space="preserve">A facility belongs to the slag grinders sector if it is a facility which grinds granulated blast furnace slag. </w:t>
            </w:r>
          </w:p>
        </w:tc>
      </w:tr>
      <w:tr w:rsidR="00E642D6" w14:paraId="77BD6EC0" w14:textId="77777777" w:rsidTr="00E75C8E">
        <w:trPr>
          <w:cantSplit/>
        </w:trPr>
        <w:tc>
          <w:tcPr>
            <w:tcW w:w="0" w:type="auto"/>
          </w:tcPr>
          <w:p w14:paraId="39D718A3" w14:textId="77777777" w:rsidR="00E642D6" w:rsidRPr="004C1365" w:rsidRDefault="00E642D6" w:rsidP="004C1365">
            <w:pPr>
              <w:rPr>
                <w:b/>
                <w:bCs/>
              </w:rPr>
            </w:pPr>
            <w:r w:rsidRPr="004C1365">
              <w:rPr>
                <w:b/>
                <w:bCs/>
              </w:rPr>
              <w:lastRenderedPageBreak/>
              <w:t xml:space="preserve">SMMT </w:t>
            </w:r>
          </w:p>
        </w:tc>
        <w:tc>
          <w:tcPr>
            <w:tcW w:w="1442" w:type="dxa"/>
          </w:tcPr>
          <w:p w14:paraId="1D535E0E" w14:textId="74F2804B" w:rsidR="00E642D6" w:rsidRDefault="00E642D6" w:rsidP="004C1365">
            <w:r>
              <w:t xml:space="preserve">Motor Manufacturing </w:t>
            </w:r>
          </w:p>
        </w:tc>
        <w:tc>
          <w:tcPr>
            <w:tcW w:w="6777" w:type="dxa"/>
          </w:tcPr>
          <w:p w14:paraId="48321687" w14:textId="77777777" w:rsidR="00E642D6" w:rsidRDefault="00E642D6" w:rsidP="004C1365">
            <w:r>
              <w:t xml:space="preserve">A facility belongs to the motor industry sector if it is a facility within the motor industry that undertakes one or more of the following activities: the casting of ferrous and non-ferrous metals in a foundry; the surface treatment of substances, objects or products using organic solvents, in particular for dressing, printing, coating degreasing, waterproofing, sizing, painting, cleaning or impregnating; the surface treating of metals and plastic materials using electrolytic or chemical process, operates as a forge, producing from a cold or heated metal work piece by a blow or series of blows a product or component with enhanced physical and or metallurgical properties, resin transfer moulding, plastic injection moulding, on-site nitrogen generation and the burning of fuels in a Part A combustion plants or if it is a facility where pre-formed or manufactured metal components are heat-treated to facilitate their formability or to enhance their service performance: the relevant processes and activities are all processes and activities involved in the heat treatment of pre-formed or manufactured metal components to facilitate their efficient formability or to enhance their service performance. </w:t>
            </w:r>
          </w:p>
          <w:p w14:paraId="10B12AA3" w14:textId="449721A5" w:rsidR="00E642D6" w:rsidRDefault="00E642D6" w:rsidP="004C1365">
            <w:r>
              <w:t xml:space="preserve">The motor industry shall mean motor vehicles, components and accessories and shall include chassis of motor vehicles, trailers, engines, vehicle bodywork, freight containers, tyres and transport service equipment, and engine components for marine craft. </w:t>
            </w:r>
          </w:p>
        </w:tc>
      </w:tr>
      <w:tr w:rsidR="00E642D6" w14:paraId="7E242BC4" w14:textId="77777777" w:rsidTr="00E75C8E">
        <w:trPr>
          <w:cantSplit/>
        </w:trPr>
        <w:tc>
          <w:tcPr>
            <w:tcW w:w="0" w:type="auto"/>
          </w:tcPr>
          <w:p w14:paraId="1CBB4F52" w14:textId="77777777" w:rsidR="00E642D6" w:rsidRPr="004C1365" w:rsidRDefault="00E642D6" w:rsidP="004C1365">
            <w:pPr>
              <w:rPr>
                <w:b/>
                <w:bCs/>
              </w:rPr>
            </w:pPr>
            <w:r w:rsidRPr="004C1365">
              <w:rPr>
                <w:b/>
                <w:bCs/>
              </w:rPr>
              <w:t xml:space="preserve">TSA </w:t>
            </w:r>
          </w:p>
        </w:tc>
        <w:tc>
          <w:tcPr>
            <w:tcW w:w="1442" w:type="dxa"/>
          </w:tcPr>
          <w:p w14:paraId="58DEC192" w14:textId="77777777" w:rsidR="00E642D6" w:rsidRDefault="00E642D6" w:rsidP="004C1365">
            <w:r>
              <w:t xml:space="preserve">Laundries </w:t>
            </w:r>
          </w:p>
        </w:tc>
        <w:tc>
          <w:tcPr>
            <w:tcW w:w="6777" w:type="dxa"/>
          </w:tcPr>
          <w:p w14:paraId="5D14B302" w14:textId="70FA3EF4" w:rsidR="00E642D6" w:rsidRDefault="00E642D6" w:rsidP="004C1365">
            <w:r>
              <w:t xml:space="preserve">At an installation or site, not being a launderette predominately offering self-service washes or predominately serving the domestic market, where textiles are laundered by washing with water, drying and smoothing except where such laundering is carried out in support of other activities carried out by the business (not being textile rental activities), whether or not such activities are carried out at the installation or site. </w:t>
            </w:r>
          </w:p>
        </w:tc>
      </w:tr>
      <w:tr w:rsidR="00E642D6" w14:paraId="1E05F670" w14:textId="77777777" w:rsidTr="00E75C8E">
        <w:trPr>
          <w:cantSplit/>
        </w:trPr>
        <w:tc>
          <w:tcPr>
            <w:tcW w:w="0" w:type="auto"/>
          </w:tcPr>
          <w:p w14:paraId="13757380" w14:textId="77777777" w:rsidR="00E642D6" w:rsidRPr="004C1365" w:rsidRDefault="00E642D6" w:rsidP="004C1365">
            <w:pPr>
              <w:rPr>
                <w:b/>
                <w:bCs/>
              </w:rPr>
            </w:pPr>
            <w:r w:rsidRPr="004C1365">
              <w:rPr>
                <w:b/>
                <w:bCs/>
              </w:rPr>
              <w:t xml:space="preserve">UKLF </w:t>
            </w:r>
          </w:p>
        </w:tc>
        <w:tc>
          <w:tcPr>
            <w:tcW w:w="1442" w:type="dxa"/>
          </w:tcPr>
          <w:p w14:paraId="1BDCA24F" w14:textId="77777777" w:rsidR="00E642D6" w:rsidRDefault="00E642D6" w:rsidP="004C1365">
            <w:r>
              <w:t xml:space="preserve">Leather </w:t>
            </w:r>
          </w:p>
        </w:tc>
        <w:tc>
          <w:tcPr>
            <w:tcW w:w="6777" w:type="dxa"/>
          </w:tcPr>
          <w:p w14:paraId="3CE0FAE5" w14:textId="3A87827E" w:rsidR="00E642D6" w:rsidRDefault="00E642D6" w:rsidP="004C1365">
            <w:r>
              <w:t xml:space="preserve">A facility belongs to the leather sector if it is a facility that processes, tans, dresses or finishes raw and part processed hides and skins to produce part processed leather intermediates or finished leather. </w:t>
            </w:r>
          </w:p>
        </w:tc>
      </w:tr>
      <w:tr w:rsidR="00E642D6" w14:paraId="7E05306E" w14:textId="77777777" w:rsidTr="00E75C8E">
        <w:trPr>
          <w:cantSplit/>
        </w:trPr>
        <w:tc>
          <w:tcPr>
            <w:tcW w:w="0" w:type="auto"/>
          </w:tcPr>
          <w:p w14:paraId="5D1AB9C6" w14:textId="77777777" w:rsidR="00E642D6" w:rsidRPr="004C1365" w:rsidRDefault="00E642D6" w:rsidP="004C1365">
            <w:pPr>
              <w:rPr>
                <w:b/>
                <w:bCs/>
              </w:rPr>
            </w:pPr>
            <w:r w:rsidRPr="004C1365">
              <w:rPr>
                <w:b/>
                <w:bCs/>
              </w:rPr>
              <w:lastRenderedPageBreak/>
              <w:t xml:space="preserve">UKRA </w:t>
            </w:r>
          </w:p>
        </w:tc>
        <w:tc>
          <w:tcPr>
            <w:tcW w:w="1442" w:type="dxa"/>
          </w:tcPr>
          <w:p w14:paraId="6555DAE9" w14:textId="77777777" w:rsidR="00E642D6" w:rsidRDefault="00E642D6" w:rsidP="004C1365">
            <w:r>
              <w:t xml:space="preserve">Rendering </w:t>
            </w:r>
          </w:p>
        </w:tc>
        <w:tc>
          <w:tcPr>
            <w:tcW w:w="6777" w:type="dxa"/>
          </w:tcPr>
          <w:p w14:paraId="2F0215A5" w14:textId="2A0CAFF7" w:rsidR="00E642D6" w:rsidRDefault="00E642D6" w:rsidP="004C1365">
            <w:r>
              <w:t xml:space="preserve">A facility belongs to the rendering sector if it is a facility which is engaged in rendering animal material not used for human consumption by utilising heat treatment to reduce moisture content and separation of animal protein from tallow by centrifuging and pressing. </w:t>
            </w:r>
          </w:p>
        </w:tc>
      </w:tr>
      <w:tr w:rsidR="00E642D6" w14:paraId="7AFBDA78" w14:textId="77777777" w:rsidTr="00E75C8E">
        <w:trPr>
          <w:cantSplit/>
        </w:trPr>
        <w:tc>
          <w:tcPr>
            <w:tcW w:w="0" w:type="auto"/>
          </w:tcPr>
          <w:p w14:paraId="6D26A83F" w14:textId="77777777" w:rsidR="00E642D6" w:rsidRPr="004C1365" w:rsidRDefault="00E642D6" w:rsidP="004C1365">
            <w:pPr>
              <w:rPr>
                <w:b/>
                <w:bCs/>
              </w:rPr>
            </w:pPr>
            <w:r w:rsidRPr="004C1365">
              <w:rPr>
                <w:b/>
                <w:bCs/>
              </w:rPr>
              <w:t xml:space="preserve">UKSA </w:t>
            </w:r>
          </w:p>
        </w:tc>
        <w:tc>
          <w:tcPr>
            <w:tcW w:w="1442" w:type="dxa"/>
          </w:tcPr>
          <w:p w14:paraId="7F1157BE" w14:textId="77777777" w:rsidR="00E642D6" w:rsidRDefault="00E642D6" w:rsidP="004C1365">
            <w:r>
              <w:t xml:space="preserve">Steel </w:t>
            </w:r>
          </w:p>
        </w:tc>
        <w:tc>
          <w:tcPr>
            <w:tcW w:w="6777" w:type="dxa"/>
          </w:tcPr>
          <w:p w14:paraId="1BBB4968" w14:textId="743B62D4" w:rsidR="00E642D6" w:rsidRDefault="00E642D6" w:rsidP="004C1365">
            <w:r>
              <w:t>A facility belongs to the steel sector if it is a facility which is used for manufacturing iron or steel products or carrying on related activities of a description agreed between the sector association and the Secretary of State. In this clause - ‘iron’ and ‘steel’ include any alloy where the iron content is at least 50% by weight; ‘iron or steel products‘ means – (</w:t>
            </w:r>
            <w:proofErr w:type="spellStart"/>
            <w:r>
              <w:t>i</w:t>
            </w:r>
            <w:proofErr w:type="spellEnd"/>
            <w:r>
              <w:t>) pig iron used for steelmaking or related purposes; (ii) steel ingots, blooms, billets and slabs; (iii) semi-finished steel for tube making; (iv) uncoated, and coated rolled products, bright steel bars, wire, tubes and pipes; (v) railway rails and accessories (including light rails), tyres, wheels, axles, rolled steel rings, wheel-pairs, steel arches and forgings; ‘manufacturing‘ means making, rolling, casting, forging, or drawing iron or steel or if it is a facility where pre- formed or manufactured metal components are heat-treated to facilitate their formability or to enhance their service performance: the relevant processes and activities are all processes and activities involved in the heat treatment of pre- formed or manufactured metal components to facilitate their efficient formability or to enhance their service performance.</w:t>
            </w:r>
          </w:p>
        </w:tc>
      </w:tr>
      <w:tr w:rsidR="00E642D6" w14:paraId="6B20FD3C" w14:textId="77777777" w:rsidTr="00E75C8E">
        <w:trPr>
          <w:cantSplit/>
        </w:trPr>
        <w:tc>
          <w:tcPr>
            <w:tcW w:w="0" w:type="auto"/>
          </w:tcPr>
          <w:p w14:paraId="30E3A4F3" w14:textId="77777777" w:rsidR="00E642D6" w:rsidRPr="004C1365" w:rsidRDefault="00E642D6" w:rsidP="004C1365">
            <w:pPr>
              <w:rPr>
                <w:b/>
                <w:bCs/>
              </w:rPr>
            </w:pPr>
            <w:r w:rsidRPr="004C1365">
              <w:rPr>
                <w:b/>
                <w:bCs/>
              </w:rPr>
              <w:t xml:space="preserve">WPIF </w:t>
            </w:r>
          </w:p>
        </w:tc>
        <w:tc>
          <w:tcPr>
            <w:tcW w:w="1442" w:type="dxa"/>
          </w:tcPr>
          <w:p w14:paraId="283BC3D0" w14:textId="77777777" w:rsidR="00E642D6" w:rsidRDefault="00E642D6" w:rsidP="004C1365">
            <w:r>
              <w:t xml:space="preserve">Wood Panels </w:t>
            </w:r>
          </w:p>
        </w:tc>
        <w:tc>
          <w:tcPr>
            <w:tcW w:w="6777" w:type="dxa"/>
          </w:tcPr>
          <w:p w14:paraId="33374A0F" w14:textId="1FA6D4F5" w:rsidR="00E642D6" w:rsidRDefault="00E642D6" w:rsidP="004C1365">
            <w:r>
              <w:t xml:space="preserve">A facility belongs to the composite wood-based boards sector if it is a facility which manufactures composite wood-based boards and products: wood particleboard, oriented strand board, wood fibreboard, plywood, cement bonded particleboard or any other composite wood based board. </w:t>
            </w:r>
          </w:p>
        </w:tc>
      </w:tr>
    </w:tbl>
    <w:p w14:paraId="487D1C57" w14:textId="77777777" w:rsidR="00E642D6" w:rsidRDefault="00E642D6">
      <w:pPr>
        <w:suppressAutoHyphens w:val="0"/>
        <w:spacing w:before="0" w:beforeAutospacing="0" w:after="160" w:afterAutospacing="0" w:line="256" w:lineRule="auto"/>
        <w:rPr>
          <w:color w:val="auto"/>
        </w:rPr>
      </w:pPr>
      <w:r>
        <w:rPr>
          <w:color w:val="auto"/>
        </w:rPr>
        <w:br w:type="page"/>
      </w:r>
    </w:p>
    <w:p w14:paraId="6557F094" w14:textId="77777777" w:rsidR="00026E66" w:rsidRDefault="002737EF" w:rsidP="00FF0098">
      <w:pPr>
        <w:pStyle w:val="Heading1"/>
        <w:tabs>
          <w:tab w:val="left" w:pos="0"/>
        </w:tabs>
      </w:pPr>
      <w:bookmarkStart w:id="390" w:name="_Appendix_B:_Register"/>
      <w:bookmarkStart w:id="391" w:name="_Toc94718680"/>
      <w:bookmarkStart w:id="392" w:name="_Toc94088928"/>
      <w:bookmarkStart w:id="393" w:name="_Toc95211893"/>
      <w:bookmarkEnd w:id="390"/>
      <w:r>
        <w:lastRenderedPageBreak/>
        <w:t>Appendix B: Register user guide for operators</w:t>
      </w:r>
      <w:bookmarkEnd w:id="391"/>
      <w:bookmarkEnd w:id="392"/>
      <w:bookmarkEnd w:id="393"/>
      <w:r>
        <w:t xml:space="preserve"> </w:t>
      </w:r>
    </w:p>
    <w:p w14:paraId="3CFFAEFC" w14:textId="788889CA" w:rsidR="00026E66" w:rsidRDefault="002737EF" w:rsidP="00E642D6">
      <w:pPr>
        <w:pStyle w:val="Heading2"/>
        <w:tabs>
          <w:tab w:val="left" w:pos="0"/>
        </w:tabs>
      </w:pPr>
      <w:bookmarkStart w:id="394" w:name="_Toc94718681"/>
      <w:bookmarkStart w:id="395" w:name="_Toc94088929"/>
      <w:bookmarkStart w:id="396" w:name="_Toc95211894"/>
      <w:r>
        <w:t>B.1 Requesting access to the register</w:t>
      </w:r>
      <w:bookmarkEnd w:id="394"/>
      <w:bookmarkEnd w:id="395"/>
      <w:bookmarkEnd w:id="396"/>
      <w:r>
        <w:t xml:space="preserve"> </w:t>
      </w:r>
    </w:p>
    <w:p w14:paraId="37E8BF4E" w14:textId="16E2E6E2" w:rsidR="00026E66" w:rsidRDefault="002737EF" w:rsidP="00FF0098">
      <w:pPr>
        <w:tabs>
          <w:tab w:val="left" w:pos="0"/>
        </w:tabs>
      </w:pPr>
      <w:r>
        <w:t>Requests for read access to an operator's account on the register should be sent via email to the CCA helpdesk (</w:t>
      </w:r>
      <w:hyperlink r:id="rId120" w:history="1">
        <w:r w:rsidR="00E642D6" w:rsidRPr="00267769">
          <w:rPr>
            <w:rStyle w:val="Hyperlink"/>
          </w:rPr>
          <w:t>cca-help@environment-agency.gov.uk</w:t>
        </w:r>
      </w:hyperlink>
      <w:r w:rsidR="00E642D6">
        <w:t>)</w:t>
      </w:r>
      <w:r>
        <w:t xml:space="preserve">. A request must come from either the operator's administrative contact or responsible person and must be from the email address recorded in the register. If your contact has changed, please contact your sector association first to ask them to update your account on the register. </w:t>
      </w:r>
    </w:p>
    <w:p w14:paraId="76FFF14B" w14:textId="77777777" w:rsidR="00026E66" w:rsidRDefault="002737EF" w:rsidP="00FF0098">
      <w:pPr>
        <w:tabs>
          <w:tab w:val="left" w:pos="0"/>
        </w:tabs>
      </w:pPr>
      <w:r>
        <w:t>Once we have processed your request, we will send you an email invite containing your username and a temporary password and PIN number.</w:t>
      </w:r>
    </w:p>
    <w:p w14:paraId="3D93BE45" w14:textId="7C9EEA61" w:rsidR="00026E66" w:rsidRDefault="002737EF" w:rsidP="00E642D6">
      <w:pPr>
        <w:pStyle w:val="Heading2"/>
        <w:tabs>
          <w:tab w:val="left" w:pos="0"/>
        </w:tabs>
      </w:pPr>
      <w:bookmarkStart w:id="397" w:name="_Toc94718682"/>
      <w:bookmarkStart w:id="398" w:name="_Toc94088930"/>
      <w:bookmarkStart w:id="399" w:name="_Toc95211895"/>
      <w:r>
        <w:t>B.2 Logging in to the register</w:t>
      </w:r>
      <w:bookmarkEnd w:id="397"/>
      <w:bookmarkEnd w:id="398"/>
      <w:bookmarkEnd w:id="399"/>
      <w:r>
        <w:t xml:space="preserve"> </w:t>
      </w:r>
    </w:p>
    <w:p w14:paraId="67F72080" w14:textId="77777777" w:rsidR="00026E66" w:rsidRDefault="002737EF" w:rsidP="00FF0098">
      <w:pPr>
        <w:tabs>
          <w:tab w:val="left" w:pos="0"/>
        </w:tabs>
      </w:pPr>
      <w:r>
        <w:rPr>
          <w:color w:val="auto"/>
        </w:rPr>
        <w:t>Go to the web link given in the invitation email or</w:t>
      </w:r>
      <w:hyperlink r:id="rId121" w:history="1">
        <w:r>
          <w:rPr>
            <w:color w:val="auto"/>
            <w:szCs w:val="24"/>
          </w:rPr>
          <w:t>:</w:t>
        </w:r>
      </w:hyperlink>
      <w:r>
        <w:t xml:space="preserve"> </w:t>
      </w:r>
      <w:hyperlink r:id="rId122" w:history="1">
        <w:r>
          <w:rPr>
            <w:rStyle w:val="Hyperlink"/>
          </w:rPr>
          <w:t>https://cca.environment-agency.gov.uk/</w:t>
        </w:r>
      </w:hyperlink>
    </w:p>
    <w:p w14:paraId="0EA6BAA0" w14:textId="77777777" w:rsidR="00026E66" w:rsidRDefault="002737EF" w:rsidP="00FF0098">
      <w:pPr>
        <w:tabs>
          <w:tab w:val="left" w:pos="0"/>
        </w:tabs>
        <w:ind w:right="182"/>
        <w:rPr>
          <w:color w:val="auto"/>
        </w:rPr>
      </w:pPr>
      <w:r>
        <w:rPr>
          <w:color w:val="auto"/>
        </w:rPr>
        <w:t xml:space="preserve">On the login screen: </w:t>
      </w:r>
    </w:p>
    <w:p w14:paraId="2D5243B9" w14:textId="77777777" w:rsidR="00026E66" w:rsidRDefault="002737EF" w:rsidP="0065356B">
      <w:pPr>
        <w:pStyle w:val="ListParagraph"/>
        <w:numPr>
          <w:ilvl w:val="0"/>
          <w:numId w:val="100"/>
        </w:numPr>
        <w:tabs>
          <w:tab w:val="left" w:pos="0"/>
        </w:tabs>
      </w:pPr>
      <w:r>
        <w:t>Enter your username and temporary password. Click login</w:t>
      </w:r>
    </w:p>
    <w:p w14:paraId="47FCE181" w14:textId="77777777" w:rsidR="00026E66" w:rsidRDefault="002737EF" w:rsidP="0065356B">
      <w:pPr>
        <w:pStyle w:val="ListParagraph"/>
        <w:numPr>
          <w:ilvl w:val="0"/>
          <w:numId w:val="100"/>
        </w:numPr>
        <w:tabs>
          <w:tab w:val="left" w:pos="0"/>
        </w:tabs>
      </w:pPr>
      <w:r>
        <w:t>Enter the requested digits from your pin number. Click login</w:t>
      </w:r>
    </w:p>
    <w:p w14:paraId="4B63EEC6" w14:textId="77777777" w:rsidR="00026E66" w:rsidRDefault="002737EF" w:rsidP="0065356B">
      <w:pPr>
        <w:pStyle w:val="ListParagraph"/>
        <w:numPr>
          <w:ilvl w:val="0"/>
          <w:numId w:val="100"/>
        </w:numPr>
        <w:tabs>
          <w:tab w:val="left" w:pos="0"/>
        </w:tabs>
      </w:pPr>
      <w:r>
        <w:t xml:space="preserve">You will be asked to read and accept the terms and conditions. </w:t>
      </w:r>
    </w:p>
    <w:p w14:paraId="53CC04C2" w14:textId="77777777" w:rsidR="00026E66" w:rsidRDefault="002737EF" w:rsidP="0065356B">
      <w:pPr>
        <w:pStyle w:val="ListParagraph"/>
        <w:numPr>
          <w:ilvl w:val="0"/>
          <w:numId w:val="100"/>
        </w:numPr>
        <w:tabs>
          <w:tab w:val="left" w:pos="0"/>
        </w:tabs>
      </w:pPr>
      <w:r>
        <w:t xml:space="preserve">You will be prompted to set your own password and pin number for future logins. </w:t>
      </w:r>
    </w:p>
    <w:p w14:paraId="1BDA4E6F" w14:textId="25401C45" w:rsidR="00026E66" w:rsidRPr="00E642D6" w:rsidRDefault="002737EF" w:rsidP="00E642D6">
      <w:pPr>
        <w:tabs>
          <w:tab w:val="left" w:pos="0"/>
        </w:tabs>
        <w:spacing w:after="0" w:line="256" w:lineRule="auto"/>
        <w:ind w:right="4618"/>
        <w:jc w:val="center"/>
      </w:pPr>
      <w:r>
        <w:rPr>
          <w:noProof/>
          <w:color w:val="auto"/>
        </w:rPr>
        <w:drawing>
          <wp:inline distT="0" distB="0" distL="0" distR="0" wp14:anchorId="10A3B010" wp14:editId="278949CE">
            <wp:extent cx="2703194" cy="1594356"/>
            <wp:effectExtent l="0" t="0" r="1906" b="5844"/>
            <wp:docPr id="3" name="Picture 1014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Picture 101470">
                      <a:extLst>
                        <a:ext uri="{C183D7F6-B498-43B3-948B-1728B52AA6E4}">
                          <adec:decorative xmlns:adec="http://schemas.microsoft.com/office/drawing/2017/decorative" val="1"/>
                        </a:ext>
                      </a:extLst>
                    </pic:cNvPr>
                    <pic:cNvPicPr/>
                  </pic:nvPicPr>
                  <pic:blipFill>
                    <a:blip r:embed="rId123"/>
                    <a:stretch>
                      <a:fillRect/>
                    </a:stretch>
                  </pic:blipFill>
                  <pic:spPr>
                    <a:xfrm>
                      <a:off x="0" y="0"/>
                      <a:ext cx="2703194" cy="1594356"/>
                    </a:xfrm>
                    <a:prstGeom prst="rect">
                      <a:avLst/>
                    </a:prstGeom>
                    <a:noFill/>
                    <a:ln>
                      <a:noFill/>
                      <a:prstDash/>
                    </a:ln>
                  </pic:spPr>
                </pic:pic>
              </a:graphicData>
            </a:graphic>
          </wp:inline>
        </w:drawing>
      </w:r>
      <w:r>
        <w:rPr>
          <w:color w:val="auto"/>
        </w:rPr>
        <w:t xml:space="preserve"> </w:t>
      </w:r>
    </w:p>
    <w:p w14:paraId="20FFA6C8" w14:textId="77777777" w:rsidR="00026E66" w:rsidRDefault="002737EF" w:rsidP="00FF0098">
      <w:pPr>
        <w:tabs>
          <w:tab w:val="left" w:pos="0"/>
        </w:tabs>
      </w:pPr>
      <w:r>
        <w:t xml:space="preserve">Note that usernames and passwords are case sensitive. </w:t>
      </w:r>
    </w:p>
    <w:p w14:paraId="0AAE11D0" w14:textId="77777777" w:rsidR="00026E66" w:rsidRDefault="002737EF" w:rsidP="00FF0098">
      <w:pPr>
        <w:tabs>
          <w:tab w:val="left" w:pos="0"/>
        </w:tabs>
      </w:pPr>
      <w:r>
        <w:t xml:space="preserve">All future logins will require you to use your username, new password and new PIN number. Once you click the login button, you'll be directed straight to your target unit home page. </w:t>
      </w:r>
    </w:p>
    <w:p w14:paraId="52EE1328" w14:textId="77777777" w:rsidR="00026E66" w:rsidRDefault="002737EF" w:rsidP="00FF0098">
      <w:pPr>
        <w:tabs>
          <w:tab w:val="left" w:pos="0"/>
        </w:tabs>
      </w:pPr>
      <w:r>
        <w:t xml:space="preserve">If you forget your password, you'll need to contact the CCA helpdesk to ask them to unlock your account. </w:t>
      </w:r>
    </w:p>
    <w:p w14:paraId="1261C106" w14:textId="77777777" w:rsidR="00026E66" w:rsidRDefault="002737EF" w:rsidP="00FF0098">
      <w:pPr>
        <w:pStyle w:val="Heading3"/>
        <w:tabs>
          <w:tab w:val="left" w:pos="0"/>
        </w:tabs>
      </w:pPr>
      <w:bookmarkStart w:id="400" w:name="_Toc95211896"/>
      <w:r>
        <w:lastRenderedPageBreak/>
        <w:t>B.3 Navigating around the register</w:t>
      </w:r>
      <w:bookmarkEnd w:id="400"/>
      <w:r>
        <w:t xml:space="preserve"> </w:t>
      </w:r>
    </w:p>
    <w:p w14:paraId="4B36AE57" w14:textId="77777777" w:rsidR="00026E66" w:rsidRDefault="002737EF" w:rsidP="00FF0098">
      <w:pPr>
        <w:tabs>
          <w:tab w:val="left" w:pos="0"/>
        </w:tabs>
      </w:pPr>
      <w:r>
        <w:t>Every time you login to the register you'll be taken to the welcome screen. From there you can update user account details, change your password and view alerts.</w:t>
      </w:r>
    </w:p>
    <w:p w14:paraId="0BCB0B10" w14:textId="77777777" w:rsidR="00026E66" w:rsidRDefault="002737EF" w:rsidP="00FF0098">
      <w:pPr>
        <w:tabs>
          <w:tab w:val="left" w:pos="0"/>
        </w:tabs>
      </w:pPr>
      <w:r>
        <w:t xml:space="preserve">The target units to which you have access will be listed on the right-hand side of the screen. </w:t>
      </w:r>
    </w:p>
    <w:p w14:paraId="077414EC" w14:textId="77777777" w:rsidR="00026E66" w:rsidRDefault="002737EF" w:rsidP="00FF0098">
      <w:pPr>
        <w:tabs>
          <w:tab w:val="left" w:pos="0"/>
        </w:tabs>
      </w:pPr>
      <w:r>
        <w:t xml:space="preserve">Clicking on the target unit you wish to view will take you to the target unit home page. </w:t>
      </w:r>
    </w:p>
    <w:p w14:paraId="0B534661" w14:textId="58E119EF" w:rsidR="00026E66" w:rsidRDefault="002737EF" w:rsidP="00FF0098">
      <w:pPr>
        <w:tabs>
          <w:tab w:val="left" w:pos="0"/>
        </w:tabs>
      </w:pPr>
      <w:r>
        <w:t xml:space="preserve">The home page displays the following information for the target unit: </w:t>
      </w:r>
    </w:p>
    <w:p w14:paraId="14BFA3E6" w14:textId="77777777" w:rsidR="00026E66" w:rsidRDefault="002737EF" w:rsidP="0065356B">
      <w:pPr>
        <w:pStyle w:val="ListParagraph"/>
        <w:numPr>
          <w:ilvl w:val="0"/>
          <w:numId w:val="101"/>
        </w:numPr>
        <w:tabs>
          <w:tab w:val="left" w:pos="0"/>
        </w:tabs>
      </w:pPr>
      <w:r>
        <w:t xml:space="preserve">operator name and address </w:t>
      </w:r>
    </w:p>
    <w:p w14:paraId="16FF6BEC" w14:textId="77777777" w:rsidR="00026E66" w:rsidRDefault="002737EF" w:rsidP="0065356B">
      <w:pPr>
        <w:pStyle w:val="ListParagraph"/>
        <w:numPr>
          <w:ilvl w:val="0"/>
          <w:numId w:val="101"/>
        </w:numPr>
        <w:tabs>
          <w:tab w:val="left" w:pos="0"/>
        </w:tabs>
      </w:pPr>
      <w:r>
        <w:t xml:space="preserve">details of the administrative contact and responsible person (bottom of page) </w:t>
      </w:r>
    </w:p>
    <w:p w14:paraId="5FDC0D81" w14:textId="77777777" w:rsidR="00026E66" w:rsidRDefault="002737EF" w:rsidP="0065356B">
      <w:pPr>
        <w:pStyle w:val="ListParagraph"/>
        <w:numPr>
          <w:ilvl w:val="0"/>
          <w:numId w:val="101"/>
        </w:numPr>
        <w:tabs>
          <w:tab w:val="left" w:pos="0"/>
        </w:tabs>
      </w:pPr>
      <w:r>
        <w:t xml:space="preserve">consultant's name – if a consultant operates on behalf of the target unit • sub-sector details </w:t>
      </w:r>
    </w:p>
    <w:p w14:paraId="17FF06BA" w14:textId="77777777" w:rsidR="00026E66" w:rsidRDefault="002737EF" w:rsidP="0065356B">
      <w:pPr>
        <w:pStyle w:val="ListParagraph"/>
        <w:numPr>
          <w:ilvl w:val="0"/>
          <w:numId w:val="101"/>
        </w:numPr>
        <w:tabs>
          <w:tab w:val="left" w:pos="0"/>
        </w:tabs>
      </w:pPr>
      <w:r>
        <w:t xml:space="preserve">target unit's status (for example, underlying agreement activated or terminated) </w:t>
      </w:r>
    </w:p>
    <w:p w14:paraId="2DB1C086" w14:textId="77777777" w:rsidR="00026E66" w:rsidRDefault="002737EF" w:rsidP="0065356B">
      <w:pPr>
        <w:pStyle w:val="ListParagraph"/>
        <w:numPr>
          <w:ilvl w:val="0"/>
          <w:numId w:val="101"/>
        </w:numPr>
        <w:tabs>
          <w:tab w:val="left" w:pos="0"/>
        </w:tabs>
      </w:pPr>
      <w:r>
        <w:t xml:space="preserve">financial independence, that is, whether the target unit pays its CCA fees directly to us </w:t>
      </w:r>
    </w:p>
    <w:p w14:paraId="17339BF0" w14:textId="77777777" w:rsidR="00026E66" w:rsidRDefault="002737EF" w:rsidP="0065356B">
      <w:pPr>
        <w:pStyle w:val="ListParagraph"/>
        <w:numPr>
          <w:ilvl w:val="0"/>
          <w:numId w:val="101"/>
        </w:numPr>
        <w:tabs>
          <w:tab w:val="left" w:pos="0"/>
        </w:tabs>
      </w:pPr>
      <w:r>
        <w:t xml:space="preserve">('independent') or whether it pays them via the sector association ('not independent') </w:t>
      </w:r>
    </w:p>
    <w:p w14:paraId="31F21610" w14:textId="77777777" w:rsidR="00026E66" w:rsidRDefault="002737EF" w:rsidP="0065356B">
      <w:pPr>
        <w:pStyle w:val="ListParagraph"/>
        <w:numPr>
          <w:ilvl w:val="0"/>
          <w:numId w:val="101"/>
        </w:numPr>
        <w:tabs>
          <w:tab w:val="left" w:pos="0"/>
        </w:tabs>
      </w:pPr>
      <w:r>
        <w:t>any surplus emissions – recorded in tonnes of CO</w:t>
      </w:r>
      <w:r w:rsidRPr="00E642D6">
        <w:rPr>
          <w:vertAlign w:val="subscript"/>
        </w:rPr>
        <w:t xml:space="preserve">2 </w:t>
      </w:r>
      <w:r>
        <w:t xml:space="preserve">equivalent </w:t>
      </w:r>
    </w:p>
    <w:p w14:paraId="2F452F6B" w14:textId="77777777" w:rsidR="00026E66" w:rsidRDefault="002737EF" w:rsidP="00FF0098">
      <w:pPr>
        <w:tabs>
          <w:tab w:val="left" w:pos="0"/>
        </w:tabs>
      </w:pPr>
      <w:r>
        <w:t>A previous target unit ID will be shown if the target unit has been in the scheme before. This will link the accounts and may be necessary if the owner of the operator changes. Note this doesn't apply to target unit IDs from the old scheme (pre April 2013).</w:t>
      </w:r>
    </w:p>
    <w:p w14:paraId="0C38D9EA" w14:textId="77777777" w:rsidR="00026E66" w:rsidRDefault="002737EF" w:rsidP="00FF0098">
      <w:pPr>
        <w:tabs>
          <w:tab w:val="left" w:pos="0"/>
        </w:tabs>
      </w:pPr>
      <w:r>
        <w:t xml:space="preserve">If you wish to change any of these details, please contact your sector association which can make the amendments on your behalf. </w:t>
      </w:r>
    </w:p>
    <w:p w14:paraId="7C0CA8C4" w14:textId="77777777" w:rsidR="00026E66" w:rsidRDefault="002737EF" w:rsidP="00FF0098">
      <w:pPr>
        <w:pStyle w:val="Heading4"/>
        <w:tabs>
          <w:tab w:val="left" w:pos="0"/>
        </w:tabs>
      </w:pPr>
      <w:r>
        <w:t xml:space="preserve">Left hand menu of target unit home page </w:t>
      </w:r>
    </w:p>
    <w:p w14:paraId="0CB36157" w14:textId="77777777" w:rsidR="00026E66" w:rsidRDefault="002737EF" w:rsidP="00FF0098">
      <w:pPr>
        <w:tabs>
          <w:tab w:val="left" w:pos="0"/>
        </w:tabs>
      </w:pPr>
      <w:r>
        <w:t xml:space="preserve">This menu contains links to key information about the target unit: </w:t>
      </w:r>
    </w:p>
    <w:p w14:paraId="58A9FD14" w14:textId="77777777" w:rsidR="00026E66" w:rsidRDefault="002737EF" w:rsidP="0065356B">
      <w:pPr>
        <w:pStyle w:val="ListParagraph"/>
        <w:numPr>
          <w:ilvl w:val="0"/>
          <w:numId w:val="102"/>
        </w:numPr>
        <w:tabs>
          <w:tab w:val="left" w:pos="0"/>
        </w:tabs>
      </w:pPr>
      <w:r>
        <w:t xml:space="preserve">underlying agreement </w:t>
      </w:r>
    </w:p>
    <w:p w14:paraId="0C5EC422" w14:textId="77777777" w:rsidR="00026E66" w:rsidRDefault="002737EF" w:rsidP="0065356B">
      <w:pPr>
        <w:pStyle w:val="ListParagraph"/>
        <w:numPr>
          <w:ilvl w:val="0"/>
          <w:numId w:val="102"/>
        </w:numPr>
        <w:tabs>
          <w:tab w:val="left" w:pos="0"/>
        </w:tabs>
      </w:pPr>
      <w:r>
        <w:t xml:space="preserve">agreement applications and change requests </w:t>
      </w:r>
    </w:p>
    <w:p w14:paraId="2A96F3FE" w14:textId="77777777" w:rsidR="00026E66" w:rsidRDefault="002737EF" w:rsidP="0065356B">
      <w:pPr>
        <w:pStyle w:val="ListParagraph"/>
        <w:numPr>
          <w:ilvl w:val="0"/>
          <w:numId w:val="102"/>
        </w:numPr>
        <w:tabs>
          <w:tab w:val="left" w:pos="0"/>
        </w:tabs>
      </w:pPr>
      <w:r>
        <w:t xml:space="preserve">facilities </w:t>
      </w:r>
    </w:p>
    <w:p w14:paraId="7C1B0E1E" w14:textId="77777777" w:rsidR="00026E66" w:rsidRDefault="002737EF" w:rsidP="0065356B">
      <w:pPr>
        <w:pStyle w:val="ListParagraph"/>
        <w:numPr>
          <w:ilvl w:val="0"/>
          <w:numId w:val="102"/>
        </w:numPr>
        <w:tabs>
          <w:tab w:val="left" w:pos="0"/>
        </w:tabs>
      </w:pPr>
      <w:r>
        <w:t xml:space="preserve">target unit targets </w:t>
      </w:r>
    </w:p>
    <w:p w14:paraId="34F9939A" w14:textId="77777777" w:rsidR="00026E66" w:rsidRDefault="002737EF" w:rsidP="0065356B">
      <w:pPr>
        <w:pStyle w:val="ListParagraph"/>
        <w:numPr>
          <w:ilvl w:val="0"/>
          <w:numId w:val="102"/>
        </w:numPr>
        <w:tabs>
          <w:tab w:val="left" w:pos="0"/>
        </w:tabs>
      </w:pPr>
      <w:r>
        <w:t xml:space="preserve">TP Reporting History </w:t>
      </w:r>
    </w:p>
    <w:p w14:paraId="65A05AC7" w14:textId="77777777" w:rsidR="00026E66" w:rsidRDefault="002737EF" w:rsidP="00E642D6">
      <w:pPr>
        <w:pStyle w:val="Heading4"/>
      </w:pPr>
      <w:r>
        <w:t xml:space="preserve">Viewing the target unit's underlying agreement </w:t>
      </w:r>
    </w:p>
    <w:p w14:paraId="53C76A58" w14:textId="77777777" w:rsidR="00026E66" w:rsidRDefault="002737EF" w:rsidP="00FF0098">
      <w:pPr>
        <w:tabs>
          <w:tab w:val="left" w:pos="0"/>
        </w:tabs>
      </w:pPr>
      <w:r>
        <w:t xml:space="preserve">Select the 'Underlying Agreement' option to download the latest version of the agreement as a PDF. Click on the document link to open or save the PDF. </w:t>
      </w:r>
    </w:p>
    <w:p w14:paraId="24479AF2" w14:textId="77777777" w:rsidR="00026E66" w:rsidRDefault="002737EF" w:rsidP="00FF0098">
      <w:pPr>
        <w:pStyle w:val="Heading4"/>
        <w:tabs>
          <w:tab w:val="left" w:pos="0"/>
        </w:tabs>
      </w:pPr>
      <w:r>
        <w:lastRenderedPageBreak/>
        <w:t xml:space="preserve">Viewing agreement applications and change requests </w:t>
      </w:r>
    </w:p>
    <w:p w14:paraId="0239B352" w14:textId="4F5E1DAD" w:rsidR="00026E66" w:rsidRPr="00E642D6" w:rsidRDefault="002737EF" w:rsidP="00E642D6">
      <w:pPr>
        <w:tabs>
          <w:tab w:val="left" w:pos="0"/>
        </w:tabs>
      </w:pPr>
      <w:r>
        <w:t xml:space="preserve">To view the application for the underlying agreement and any subsequent requests to change it since it was created, select the 'Application and Change Requests' option. This will open a new page listing the agreement's history under the new scheme. To view the history, click on the appropriate 'ID' link to reveal the information behind the change. </w:t>
      </w:r>
    </w:p>
    <w:p w14:paraId="7AA0F799" w14:textId="77777777" w:rsidR="00026E66" w:rsidRDefault="002737EF" w:rsidP="00FF0098">
      <w:pPr>
        <w:pStyle w:val="Heading4"/>
        <w:tabs>
          <w:tab w:val="left" w:pos="0"/>
        </w:tabs>
      </w:pPr>
      <w:r>
        <w:t xml:space="preserve">Viewing the facilities listed in the underlying agreement </w:t>
      </w:r>
    </w:p>
    <w:p w14:paraId="0C47AC3D" w14:textId="77777777" w:rsidR="00026E66" w:rsidRDefault="002737EF" w:rsidP="00FF0098">
      <w:pPr>
        <w:tabs>
          <w:tab w:val="left" w:pos="0"/>
        </w:tabs>
      </w:pPr>
      <w:r>
        <w:t xml:space="preserve">To view the facilities listed in the underlying agreement, select the 'Facilities' option. This will open a new page listing all the facilities along with the site name, address and CCA status. To view details of an individual facility, click on the appropriate 'Facility Code' link. </w:t>
      </w:r>
    </w:p>
    <w:p w14:paraId="34A749BF" w14:textId="77777777" w:rsidR="00026E66" w:rsidRDefault="002737EF" w:rsidP="00FF0098">
      <w:pPr>
        <w:tabs>
          <w:tab w:val="left" w:pos="0"/>
        </w:tabs>
      </w:pPr>
      <w:r>
        <w:t>If the 'status' field is shown as 'ineligible' this means an application was made but was refused by the Administrator because the process at that facility was not eligible for the CCA scheme.</w:t>
      </w:r>
    </w:p>
    <w:p w14:paraId="10C4F6F6" w14:textId="77777777" w:rsidR="00026E66" w:rsidRDefault="002737EF" w:rsidP="00FF0098">
      <w:pPr>
        <w:pStyle w:val="Heading4"/>
        <w:tabs>
          <w:tab w:val="left" w:pos="0"/>
        </w:tabs>
      </w:pPr>
      <w:r>
        <w:t>Viewing details of the Target Unit Targets</w:t>
      </w:r>
    </w:p>
    <w:p w14:paraId="6F42F549" w14:textId="77777777" w:rsidR="00026E66" w:rsidRDefault="002737EF" w:rsidP="00FF0098">
      <w:pPr>
        <w:tabs>
          <w:tab w:val="left" w:pos="0"/>
        </w:tabs>
      </w:pPr>
      <w:r>
        <w:t xml:space="preserve">To view the target unit's target, select the 'Target Unit Target' option. This will open a new page with a form showing the target unit targets for each target period in the new scheme. The page displays the following information: </w:t>
      </w:r>
    </w:p>
    <w:p w14:paraId="76C8DB04" w14:textId="77777777" w:rsidR="00026E66" w:rsidRDefault="002737EF" w:rsidP="0065356B">
      <w:pPr>
        <w:pStyle w:val="ListParagraph"/>
        <w:numPr>
          <w:ilvl w:val="0"/>
          <w:numId w:val="103"/>
        </w:numPr>
        <w:tabs>
          <w:tab w:val="left" w:pos="0"/>
        </w:tabs>
      </w:pPr>
      <w:r>
        <w:t xml:space="preserve">target currency – target type (absolute or relative), the unit used for throughput and the energy or carbon unit </w:t>
      </w:r>
    </w:p>
    <w:p w14:paraId="12871F11" w14:textId="77777777" w:rsidR="00026E66" w:rsidRDefault="002737EF" w:rsidP="0065356B">
      <w:pPr>
        <w:pStyle w:val="ListParagraph"/>
        <w:numPr>
          <w:ilvl w:val="0"/>
          <w:numId w:val="103"/>
        </w:numPr>
        <w:tabs>
          <w:tab w:val="left" w:pos="0"/>
        </w:tabs>
      </w:pPr>
      <w:r>
        <w:t xml:space="preserve">baseline data – throughput, energy or carbon, and base year </w:t>
      </w:r>
    </w:p>
    <w:p w14:paraId="64BF9754" w14:textId="5244A026" w:rsidR="00E642D6" w:rsidRDefault="002737EF" w:rsidP="0065356B">
      <w:pPr>
        <w:pStyle w:val="ListParagraph"/>
        <w:numPr>
          <w:ilvl w:val="0"/>
          <w:numId w:val="103"/>
        </w:numPr>
        <w:tabs>
          <w:tab w:val="left" w:pos="0"/>
        </w:tabs>
      </w:pPr>
      <w:r>
        <w:t>targets for each target period – assumed throughput and target improvement</w:t>
      </w:r>
    </w:p>
    <w:p w14:paraId="2DC0A7C0" w14:textId="77777777" w:rsidR="00E642D6" w:rsidRDefault="00E642D6">
      <w:pPr>
        <w:suppressAutoHyphens w:val="0"/>
        <w:spacing w:before="0" w:beforeAutospacing="0" w:after="160" w:afterAutospacing="0" w:line="256" w:lineRule="auto"/>
        <w:rPr>
          <w:rFonts w:eastAsia="Calibri" w:cs="Times New Roman"/>
          <w:color w:val="auto"/>
          <w:lang w:eastAsia="en-US"/>
        </w:rPr>
      </w:pPr>
      <w:r>
        <w:br w:type="page"/>
      </w:r>
    </w:p>
    <w:p w14:paraId="7DE8B8D2" w14:textId="77777777" w:rsidR="00026E66" w:rsidRDefault="002737EF" w:rsidP="00FF0098">
      <w:pPr>
        <w:pStyle w:val="Heading1"/>
        <w:tabs>
          <w:tab w:val="left" w:pos="0"/>
        </w:tabs>
      </w:pPr>
      <w:bookmarkStart w:id="401" w:name="_Toc94718683"/>
      <w:bookmarkStart w:id="402" w:name="_Toc94088931"/>
      <w:bookmarkStart w:id="403" w:name="_Toc95211897"/>
      <w:r>
        <w:lastRenderedPageBreak/>
        <w:t>Appendix C: Qualifying renewable fuels</w:t>
      </w:r>
      <w:bookmarkEnd w:id="401"/>
      <w:bookmarkEnd w:id="402"/>
      <w:bookmarkEnd w:id="403"/>
      <w:r>
        <w:t xml:space="preserve"> </w:t>
      </w:r>
    </w:p>
    <w:p w14:paraId="64075BE1" w14:textId="77777777" w:rsidR="00026E66" w:rsidRDefault="002737EF" w:rsidP="00FF0098">
      <w:pPr>
        <w:tabs>
          <w:tab w:val="left" w:pos="0"/>
        </w:tabs>
        <w:ind w:right="182"/>
      </w:pPr>
      <w:r>
        <w:rPr>
          <w:color w:val="auto"/>
        </w:rPr>
        <w:t xml:space="preserve">This list is as outlined in Annex A of the </w:t>
      </w:r>
      <w:hyperlink r:id="rId124" w:history="1">
        <w:r>
          <w:rPr>
            <w:rStyle w:val="Hyperlink"/>
            <w:color w:val="0070C0"/>
          </w:rPr>
          <w:t>Technical Annex</w:t>
        </w:r>
      </w:hyperlink>
      <w:r>
        <w:rPr>
          <w:color w:val="auto"/>
          <w:szCs w:val="24"/>
        </w:rPr>
        <w:t>.</w:t>
      </w:r>
      <w:r>
        <w:rPr>
          <w:color w:val="auto"/>
        </w:rPr>
        <w:t xml:space="preserve"> Please contact the CCA helpdesk </w:t>
      </w:r>
      <w:r>
        <w:rPr>
          <w:color w:val="auto"/>
          <w:szCs w:val="24"/>
        </w:rPr>
        <w:t>(</w:t>
      </w:r>
      <w:hyperlink r:id="rId125" w:history="1">
        <w:r>
          <w:rPr>
            <w:rStyle w:val="Hyperlink"/>
            <w:szCs w:val="24"/>
          </w:rPr>
          <w:t>cca-help@environment-agency.gov.uk</w:t>
        </w:r>
      </w:hyperlink>
      <w:r>
        <w:rPr>
          <w:color w:val="auto"/>
          <w:szCs w:val="24"/>
        </w:rPr>
        <w:t>)</w:t>
      </w:r>
      <w:r>
        <w:rPr>
          <w:color w:val="auto"/>
        </w:rPr>
        <w:t xml:space="preserve"> about any renewable fuels not listed here.</w:t>
      </w:r>
    </w:p>
    <w:p w14:paraId="095CAFDE" w14:textId="77777777" w:rsidR="00026E66" w:rsidRPr="00E642D6" w:rsidRDefault="002737EF" w:rsidP="00E642D6">
      <w:pPr>
        <w:pStyle w:val="Heading2"/>
        <w:rPr>
          <w:sz w:val="24"/>
          <w:szCs w:val="16"/>
        </w:rPr>
      </w:pPr>
      <w:bookmarkStart w:id="404" w:name="_Toc95211898"/>
      <w:r w:rsidRPr="00E642D6">
        <w:rPr>
          <w:sz w:val="24"/>
          <w:szCs w:val="16"/>
        </w:rPr>
        <w:t>Table D.1: Qualifying renewable fuels</w:t>
      </w:r>
      <w:bookmarkEnd w:id="404"/>
      <w:r w:rsidRPr="00E642D6">
        <w:rPr>
          <w:sz w:val="24"/>
          <w:szCs w:val="16"/>
        </w:rPr>
        <w:t xml:space="preserve"> </w:t>
      </w:r>
    </w:p>
    <w:tbl>
      <w:tblPr>
        <w:tblStyle w:val="TableGridLight"/>
        <w:tblW w:w="0" w:type="auto"/>
        <w:tblLook w:val="0020" w:firstRow="1" w:lastRow="0" w:firstColumn="0" w:lastColumn="0" w:noHBand="0" w:noVBand="0"/>
      </w:tblPr>
      <w:tblGrid>
        <w:gridCol w:w="3256"/>
        <w:gridCol w:w="5926"/>
      </w:tblGrid>
      <w:tr w:rsidR="00026E66" w14:paraId="4D3BE7DB" w14:textId="77777777" w:rsidTr="00E642D6">
        <w:trPr>
          <w:cantSplit/>
        </w:trPr>
        <w:tc>
          <w:tcPr>
            <w:tcW w:w="3256" w:type="dxa"/>
          </w:tcPr>
          <w:p w14:paraId="43D3850E" w14:textId="77777777" w:rsidR="00026E66" w:rsidRDefault="002737EF" w:rsidP="00FF0098">
            <w:pPr>
              <w:tabs>
                <w:tab w:val="left" w:pos="0"/>
              </w:tabs>
              <w:spacing w:after="0" w:line="256" w:lineRule="auto"/>
            </w:pPr>
            <w:r>
              <w:rPr>
                <w:b/>
                <w:color w:val="auto"/>
              </w:rPr>
              <w:t>Type</w:t>
            </w:r>
            <w:r>
              <w:rPr>
                <w:color w:val="auto"/>
              </w:rPr>
              <w:t xml:space="preserve"> </w:t>
            </w:r>
          </w:p>
        </w:tc>
        <w:tc>
          <w:tcPr>
            <w:tcW w:w="5926" w:type="dxa"/>
          </w:tcPr>
          <w:p w14:paraId="24A446C6" w14:textId="77777777" w:rsidR="00026E66" w:rsidRDefault="002737EF" w:rsidP="00FF0098">
            <w:pPr>
              <w:tabs>
                <w:tab w:val="left" w:pos="0"/>
              </w:tabs>
              <w:spacing w:after="0" w:line="256" w:lineRule="auto"/>
            </w:pPr>
            <w:r>
              <w:rPr>
                <w:b/>
                <w:color w:val="auto"/>
              </w:rPr>
              <w:t>Fuels</w:t>
            </w:r>
            <w:r>
              <w:rPr>
                <w:color w:val="auto"/>
              </w:rPr>
              <w:t xml:space="preserve"> </w:t>
            </w:r>
          </w:p>
        </w:tc>
      </w:tr>
      <w:tr w:rsidR="00026E66" w14:paraId="2246A022" w14:textId="77777777" w:rsidTr="00E642D6">
        <w:trPr>
          <w:cantSplit/>
        </w:trPr>
        <w:tc>
          <w:tcPr>
            <w:tcW w:w="3256" w:type="dxa"/>
          </w:tcPr>
          <w:p w14:paraId="0E3A92CE" w14:textId="77777777" w:rsidR="00026E66" w:rsidRDefault="002737EF" w:rsidP="00FF0098">
            <w:pPr>
              <w:tabs>
                <w:tab w:val="left" w:pos="0"/>
              </w:tabs>
              <w:spacing w:after="0" w:line="256" w:lineRule="auto"/>
            </w:pPr>
            <w:r>
              <w:rPr>
                <w:b/>
                <w:color w:val="auto"/>
              </w:rPr>
              <w:t>Biomass (plants or parts of plants)</w:t>
            </w:r>
            <w:r>
              <w:rPr>
                <w:color w:val="auto"/>
              </w:rPr>
              <w:t xml:space="preserve"> </w:t>
            </w:r>
          </w:p>
        </w:tc>
        <w:tc>
          <w:tcPr>
            <w:tcW w:w="5926" w:type="dxa"/>
          </w:tcPr>
          <w:p w14:paraId="781E9EEE" w14:textId="77777777" w:rsidR="00026E66" w:rsidRPr="00E642D6" w:rsidRDefault="002737EF" w:rsidP="0065356B">
            <w:pPr>
              <w:pStyle w:val="ListParagraph"/>
              <w:numPr>
                <w:ilvl w:val="0"/>
                <w:numId w:val="104"/>
              </w:numPr>
              <w:tabs>
                <w:tab w:val="left" w:pos="0"/>
              </w:tabs>
              <w:spacing w:after="47" w:line="256" w:lineRule="auto"/>
            </w:pPr>
            <w:r w:rsidRPr="00E642D6">
              <w:t xml:space="preserve">Straw </w:t>
            </w:r>
          </w:p>
          <w:p w14:paraId="49C41635" w14:textId="77777777" w:rsidR="00026E66" w:rsidRPr="00E642D6" w:rsidRDefault="002737EF" w:rsidP="0065356B">
            <w:pPr>
              <w:pStyle w:val="ListParagraph"/>
              <w:numPr>
                <w:ilvl w:val="0"/>
                <w:numId w:val="104"/>
              </w:numPr>
              <w:tabs>
                <w:tab w:val="left" w:pos="0"/>
              </w:tabs>
              <w:spacing w:after="49" w:line="256" w:lineRule="auto"/>
            </w:pPr>
            <w:r w:rsidRPr="00E642D6">
              <w:t xml:space="preserve">Hay and grass </w:t>
            </w:r>
          </w:p>
          <w:p w14:paraId="0294D1F0" w14:textId="77777777" w:rsidR="00026E66" w:rsidRPr="00E642D6" w:rsidRDefault="002737EF" w:rsidP="0065356B">
            <w:pPr>
              <w:pStyle w:val="ListParagraph"/>
              <w:numPr>
                <w:ilvl w:val="0"/>
                <w:numId w:val="104"/>
              </w:numPr>
              <w:tabs>
                <w:tab w:val="left" w:pos="0"/>
              </w:tabs>
              <w:spacing w:after="0" w:line="256" w:lineRule="auto"/>
            </w:pPr>
            <w:r w:rsidRPr="00E642D6">
              <w:t xml:space="preserve">Crops (for example, maize) </w:t>
            </w:r>
          </w:p>
        </w:tc>
      </w:tr>
      <w:tr w:rsidR="00026E66" w14:paraId="376574EA" w14:textId="77777777" w:rsidTr="00E642D6">
        <w:trPr>
          <w:cantSplit/>
        </w:trPr>
        <w:tc>
          <w:tcPr>
            <w:tcW w:w="3256" w:type="dxa"/>
          </w:tcPr>
          <w:p w14:paraId="0A79F7D2" w14:textId="77777777" w:rsidR="00026E66" w:rsidRDefault="002737EF" w:rsidP="00FF0098">
            <w:pPr>
              <w:tabs>
                <w:tab w:val="left" w:pos="0"/>
              </w:tabs>
              <w:spacing w:after="0" w:line="256" w:lineRule="auto"/>
            </w:pPr>
            <w:r>
              <w:rPr>
                <w:b/>
                <w:color w:val="auto"/>
              </w:rPr>
              <w:t>Biomass wastes</w:t>
            </w:r>
            <w:r>
              <w:rPr>
                <w:color w:val="auto"/>
              </w:rPr>
              <w:t xml:space="preserve"> </w:t>
            </w:r>
          </w:p>
        </w:tc>
        <w:tc>
          <w:tcPr>
            <w:tcW w:w="5926" w:type="dxa"/>
          </w:tcPr>
          <w:p w14:paraId="0424F801" w14:textId="77777777" w:rsidR="00026E66" w:rsidRPr="00E642D6" w:rsidRDefault="002737EF" w:rsidP="0065356B">
            <w:pPr>
              <w:pStyle w:val="ListParagraph"/>
              <w:numPr>
                <w:ilvl w:val="0"/>
                <w:numId w:val="105"/>
              </w:numPr>
              <w:tabs>
                <w:tab w:val="left" w:pos="0"/>
              </w:tabs>
              <w:spacing w:after="45" w:line="256" w:lineRule="auto"/>
            </w:pPr>
            <w:r w:rsidRPr="00E642D6">
              <w:t xml:space="preserve">Waste wood </w:t>
            </w:r>
          </w:p>
          <w:p w14:paraId="194AE122" w14:textId="77777777" w:rsidR="00026E66" w:rsidRPr="00E642D6" w:rsidRDefault="002737EF" w:rsidP="0065356B">
            <w:pPr>
              <w:pStyle w:val="ListParagraph"/>
              <w:numPr>
                <w:ilvl w:val="0"/>
                <w:numId w:val="105"/>
              </w:numPr>
              <w:tabs>
                <w:tab w:val="left" w:pos="0"/>
              </w:tabs>
              <w:spacing w:after="50" w:line="256" w:lineRule="auto"/>
            </w:pPr>
            <w:r w:rsidRPr="00E642D6">
              <w:t xml:space="preserve">Forestry residues </w:t>
            </w:r>
          </w:p>
          <w:p w14:paraId="68AB939D" w14:textId="77777777" w:rsidR="00026E66" w:rsidRPr="00E642D6" w:rsidRDefault="002737EF" w:rsidP="0065356B">
            <w:pPr>
              <w:pStyle w:val="ListParagraph"/>
              <w:numPr>
                <w:ilvl w:val="0"/>
                <w:numId w:val="105"/>
              </w:numPr>
              <w:tabs>
                <w:tab w:val="left" w:pos="0"/>
              </w:tabs>
              <w:spacing w:after="50" w:line="256" w:lineRule="auto"/>
            </w:pPr>
            <w:r w:rsidRPr="00E642D6">
              <w:t xml:space="preserve">Landfill gas </w:t>
            </w:r>
          </w:p>
          <w:p w14:paraId="194AEC11" w14:textId="77777777" w:rsidR="00026E66" w:rsidRPr="00E642D6" w:rsidRDefault="002737EF" w:rsidP="0065356B">
            <w:pPr>
              <w:pStyle w:val="ListParagraph"/>
              <w:numPr>
                <w:ilvl w:val="0"/>
                <w:numId w:val="105"/>
              </w:numPr>
              <w:tabs>
                <w:tab w:val="left" w:pos="0"/>
              </w:tabs>
              <w:spacing w:after="46" w:line="256" w:lineRule="auto"/>
            </w:pPr>
            <w:r w:rsidRPr="00E642D6">
              <w:t xml:space="preserve">Sewage sludge </w:t>
            </w:r>
          </w:p>
          <w:p w14:paraId="6A4F0F95" w14:textId="77777777" w:rsidR="00026E66" w:rsidRPr="00E642D6" w:rsidRDefault="002737EF" w:rsidP="0065356B">
            <w:pPr>
              <w:pStyle w:val="ListParagraph"/>
              <w:numPr>
                <w:ilvl w:val="0"/>
                <w:numId w:val="105"/>
              </w:numPr>
              <w:tabs>
                <w:tab w:val="left" w:pos="0"/>
              </w:tabs>
              <w:spacing w:after="63"/>
            </w:pPr>
            <w:r w:rsidRPr="00E642D6">
              <w:t xml:space="preserve">Biogas produced by digestion, fermentation or gasification of biomass </w:t>
            </w:r>
          </w:p>
          <w:p w14:paraId="7615A4F0" w14:textId="77777777" w:rsidR="00026E66" w:rsidRPr="00E642D6" w:rsidRDefault="002737EF" w:rsidP="0065356B">
            <w:pPr>
              <w:pStyle w:val="ListParagraph"/>
              <w:numPr>
                <w:ilvl w:val="0"/>
                <w:numId w:val="105"/>
              </w:numPr>
              <w:tabs>
                <w:tab w:val="left" w:pos="0"/>
              </w:tabs>
              <w:spacing w:after="0" w:line="256" w:lineRule="auto"/>
            </w:pPr>
            <w:r w:rsidRPr="00E642D6">
              <w:t xml:space="preserve">Animal and fish oils, fats and tallow </w:t>
            </w:r>
          </w:p>
        </w:tc>
      </w:tr>
      <w:tr w:rsidR="00026E66" w14:paraId="097DE006" w14:textId="77777777" w:rsidTr="00E642D6">
        <w:trPr>
          <w:cantSplit/>
        </w:trPr>
        <w:tc>
          <w:tcPr>
            <w:tcW w:w="3256" w:type="dxa"/>
          </w:tcPr>
          <w:p w14:paraId="4A42F3DF" w14:textId="77777777" w:rsidR="00026E66" w:rsidRDefault="002737EF" w:rsidP="00FF0098">
            <w:pPr>
              <w:tabs>
                <w:tab w:val="left" w:pos="0"/>
              </w:tabs>
              <w:spacing w:after="0" w:line="256" w:lineRule="auto"/>
            </w:pPr>
            <w:r>
              <w:rPr>
                <w:b/>
                <w:color w:val="auto"/>
              </w:rPr>
              <w:t>Biomass fraction of mixed materials</w:t>
            </w:r>
            <w:r>
              <w:rPr>
                <w:color w:val="auto"/>
              </w:rPr>
              <w:t xml:space="preserve"> </w:t>
            </w:r>
          </w:p>
        </w:tc>
        <w:tc>
          <w:tcPr>
            <w:tcW w:w="5926" w:type="dxa"/>
          </w:tcPr>
          <w:p w14:paraId="05929B11" w14:textId="77777777" w:rsidR="00026E66" w:rsidRPr="00E642D6" w:rsidRDefault="002737EF" w:rsidP="0065356B">
            <w:pPr>
              <w:pStyle w:val="ListParagraph"/>
              <w:numPr>
                <w:ilvl w:val="0"/>
                <w:numId w:val="106"/>
              </w:numPr>
              <w:tabs>
                <w:tab w:val="left" w:pos="0"/>
              </w:tabs>
              <w:spacing w:after="46" w:line="256" w:lineRule="auto"/>
            </w:pPr>
            <w:r w:rsidRPr="00E642D6">
              <w:t xml:space="preserve">Biomass fraction of textile wastes </w:t>
            </w:r>
          </w:p>
          <w:p w14:paraId="6453819D" w14:textId="77777777" w:rsidR="00026E66" w:rsidRPr="00E642D6" w:rsidRDefault="002737EF" w:rsidP="0065356B">
            <w:pPr>
              <w:pStyle w:val="ListParagraph"/>
              <w:numPr>
                <w:ilvl w:val="0"/>
                <w:numId w:val="106"/>
              </w:numPr>
              <w:tabs>
                <w:tab w:val="left" w:pos="0"/>
              </w:tabs>
              <w:spacing w:after="46" w:line="256" w:lineRule="auto"/>
            </w:pPr>
            <w:r w:rsidRPr="00E642D6">
              <w:t xml:space="preserve">Biomass fraction of composites containing wood </w:t>
            </w:r>
          </w:p>
          <w:p w14:paraId="72A044D7" w14:textId="77777777" w:rsidR="00026E66" w:rsidRPr="00E642D6" w:rsidRDefault="002737EF" w:rsidP="0065356B">
            <w:pPr>
              <w:pStyle w:val="ListParagraph"/>
              <w:numPr>
                <w:ilvl w:val="0"/>
                <w:numId w:val="106"/>
              </w:numPr>
              <w:tabs>
                <w:tab w:val="left" w:pos="0"/>
              </w:tabs>
              <w:spacing w:after="0" w:line="256" w:lineRule="auto"/>
            </w:pPr>
            <w:r w:rsidRPr="00E642D6">
              <w:t xml:space="preserve">Biomass fraction of municipal and industrial wastes </w:t>
            </w:r>
          </w:p>
        </w:tc>
      </w:tr>
      <w:tr w:rsidR="00026E66" w14:paraId="14463781" w14:textId="77777777" w:rsidTr="00E642D6">
        <w:trPr>
          <w:cantSplit/>
        </w:trPr>
        <w:tc>
          <w:tcPr>
            <w:tcW w:w="3256" w:type="dxa"/>
          </w:tcPr>
          <w:p w14:paraId="3D07F9A8" w14:textId="77777777" w:rsidR="00026E66" w:rsidRDefault="002737EF" w:rsidP="00FF0098">
            <w:pPr>
              <w:tabs>
                <w:tab w:val="left" w:pos="0"/>
              </w:tabs>
              <w:spacing w:after="0" w:line="256" w:lineRule="auto"/>
              <w:ind w:right="58"/>
              <w:jc w:val="both"/>
            </w:pPr>
            <w:r>
              <w:rPr>
                <w:b/>
                <w:color w:val="auto"/>
              </w:rPr>
              <w:t>Fuels whose components and intermediate products have all been produced from biomass</w:t>
            </w:r>
            <w:r>
              <w:rPr>
                <w:color w:val="auto"/>
              </w:rPr>
              <w:t xml:space="preserve"> </w:t>
            </w:r>
          </w:p>
        </w:tc>
        <w:tc>
          <w:tcPr>
            <w:tcW w:w="5926" w:type="dxa"/>
          </w:tcPr>
          <w:p w14:paraId="760173B3" w14:textId="77777777" w:rsidR="00026E66" w:rsidRPr="00E642D6" w:rsidRDefault="002737EF" w:rsidP="0065356B">
            <w:pPr>
              <w:pStyle w:val="ListParagraph"/>
              <w:numPr>
                <w:ilvl w:val="0"/>
                <w:numId w:val="107"/>
              </w:numPr>
              <w:tabs>
                <w:tab w:val="left" w:pos="0"/>
              </w:tabs>
              <w:spacing w:after="51" w:line="256" w:lineRule="auto"/>
            </w:pPr>
            <w:r w:rsidRPr="00E642D6">
              <w:t xml:space="preserve">Bioethanol </w:t>
            </w:r>
          </w:p>
          <w:p w14:paraId="30C099C8" w14:textId="77777777" w:rsidR="00026E66" w:rsidRPr="00E642D6" w:rsidRDefault="002737EF" w:rsidP="0065356B">
            <w:pPr>
              <w:pStyle w:val="ListParagraph"/>
              <w:numPr>
                <w:ilvl w:val="0"/>
                <w:numId w:val="107"/>
              </w:numPr>
              <w:tabs>
                <w:tab w:val="left" w:pos="0"/>
              </w:tabs>
              <w:spacing w:after="48" w:line="256" w:lineRule="auto"/>
            </w:pPr>
            <w:r w:rsidRPr="00E642D6">
              <w:t xml:space="preserve">Biodiesel </w:t>
            </w:r>
          </w:p>
          <w:p w14:paraId="67D85BF4" w14:textId="77777777" w:rsidR="00026E66" w:rsidRPr="00E642D6" w:rsidRDefault="002737EF" w:rsidP="0065356B">
            <w:pPr>
              <w:pStyle w:val="ListParagraph"/>
              <w:numPr>
                <w:ilvl w:val="0"/>
                <w:numId w:val="107"/>
              </w:numPr>
              <w:tabs>
                <w:tab w:val="left" w:pos="0"/>
              </w:tabs>
              <w:spacing w:after="51" w:line="256" w:lineRule="auto"/>
            </w:pPr>
            <w:proofErr w:type="spellStart"/>
            <w:r w:rsidRPr="00E642D6">
              <w:t>Biomethanol</w:t>
            </w:r>
            <w:proofErr w:type="spellEnd"/>
            <w:r w:rsidRPr="00E642D6">
              <w:t xml:space="preserve"> </w:t>
            </w:r>
          </w:p>
          <w:p w14:paraId="724C98B9" w14:textId="77777777" w:rsidR="00026E66" w:rsidRPr="00E642D6" w:rsidRDefault="002737EF" w:rsidP="0065356B">
            <w:pPr>
              <w:pStyle w:val="ListParagraph"/>
              <w:numPr>
                <w:ilvl w:val="0"/>
                <w:numId w:val="107"/>
              </w:numPr>
              <w:tabs>
                <w:tab w:val="left" w:pos="0"/>
              </w:tabs>
              <w:spacing w:after="49" w:line="256" w:lineRule="auto"/>
            </w:pPr>
            <w:r w:rsidRPr="00E642D6">
              <w:t xml:space="preserve">Biogas </w:t>
            </w:r>
          </w:p>
          <w:p w14:paraId="7F8BDF6C" w14:textId="77777777" w:rsidR="00026E66" w:rsidRPr="00E642D6" w:rsidRDefault="002737EF" w:rsidP="0065356B">
            <w:pPr>
              <w:pStyle w:val="ListParagraph"/>
              <w:numPr>
                <w:ilvl w:val="0"/>
                <w:numId w:val="107"/>
              </w:numPr>
              <w:tabs>
                <w:tab w:val="left" w:pos="0"/>
              </w:tabs>
              <w:spacing w:after="44" w:line="256" w:lineRule="auto"/>
            </w:pPr>
            <w:r w:rsidRPr="00E642D6">
              <w:t xml:space="preserve">Syngas via gasification or pyrolysis </w:t>
            </w:r>
          </w:p>
          <w:p w14:paraId="340739EE" w14:textId="77777777" w:rsidR="00026E66" w:rsidRPr="00E642D6" w:rsidRDefault="002737EF" w:rsidP="0065356B">
            <w:pPr>
              <w:pStyle w:val="ListParagraph"/>
              <w:numPr>
                <w:ilvl w:val="0"/>
                <w:numId w:val="107"/>
              </w:numPr>
              <w:tabs>
                <w:tab w:val="left" w:pos="0"/>
              </w:tabs>
              <w:spacing w:after="0" w:line="256" w:lineRule="auto"/>
            </w:pPr>
            <w:r w:rsidRPr="00E642D6">
              <w:t xml:space="preserve">Liquid fuels via pyrolysis </w:t>
            </w:r>
          </w:p>
        </w:tc>
      </w:tr>
    </w:tbl>
    <w:p w14:paraId="3A419819" w14:textId="77777777" w:rsidR="00E642D6" w:rsidRDefault="00E642D6">
      <w:pPr>
        <w:suppressAutoHyphens w:val="0"/>
        <w:spacing w:before="0" w:beforeAutospacing="0" w:after="160" w:afterAutospacing="0" w:line="256" w:lineRule="auto"/>
        <w:rPr>
          <w:b/>
          <w:color w:val="auto"/>
        </w:rPr>
      </w:pPr>
      <w:r>
        <w:rPr>
          <w:b/>
          <w:color w:val="auto"/>
        </w:rPr>
        <w:br w:type="page"/>
      </w:r>
    </w:p>
    <w:p w14:paraId="57C2E0B4" w14:textId="77777777" w:rsidR="00026E66" w:rsidRDefault="002737EF" w:rsidP="00FF0098">
      <w:pPr>
        <w:pStyle w:val="Heading1"/>
        <w:tabs>
          <w:tab w:val="left" w:pos="0"/>
        </w:tabs>
      </w:pPr>
      <w:bookmarkStart w:id="405" w:name="_Appendix_D:_Calculation"/>
      <w:bookmarkStart w:id="406" w:name="_Toc94718684"/>
      <w:bookmarkStart w:id="407" w:name="_Toc94088932"/>
      <w:bookmarkStart w:id="408" w:name="_Toc95211899"/>
      <w:bookmarkEnd w:id="405"/>
      <w:r>
        <w:lastRenderedPageBreak/>
        <w:t>Appendix D: Calculation methods</w:t>
      </w:r>
      <w:bookmarkEnd w:id="406"/>
      <w:bookmarkEnd w:id="407"/>
      <w:bookmarkEnd w:id="408"/>
      <w:r>
        <w:t xml:space="preserve"> </w:t>
      </w:r>
    </w:p>
    <w:p w14:paraId="4C4C2D0F" w14:textId="77777777" w:rsidR="00026E66" w:rsidRDefault="002737EF" w:rsidP="00FF0098">
      <w:pPr>
        <w:pStyle w:val="Heading2"/>
        <w:tabs>
          <w:tab w:val="left" w:pos="0"/>
        </w:tabs>
      </w:pPr>
      <w:bookmarkStart w:id="409" w:name="_D.1_Accounting_for"/>
      <w:bookmarkStart w:id="410" w:name="_Toc94718685"/>
      <w:bookmarkStart w:id="411" w:name="_Toc94088933"/>
      <w:bookmarkStart w:id="412" w:name="_Toc95211900"/>
      <w:bookmarkEnd w:id="409"/>
      <w:r>
        <w:t>D.1 Accounting for CHP in the CCA scheme</w:t>
      </w:r>
      <w:bookmarkEnd w:id="410"/>
      <w:bookmarkEnd w:id="411"/>
      <w:bookmarkEnd w:id="412"/>
    </w:p>
    <w:p w14:paraId="21696D92" w14:textId="77777777" w:rsidR="00026E66" w:rsidRDefault="002737EF" w:rsidP="00FF0098">
      <w:pPr>
        <w:pStyle w:val="Heading3"/>
        <w:tabs>
          <w:tab w:val="left" w:pos="0"/>
        </w:tabs>
      </w:pPr>
      <w:r>
        <w:t xml:space="preserve">CHP – where all fuel input is non-renewable </w:t>
      </w:r>
    </w:p>
    <w:p w14:paraId="649D3AB3" w14:textId="77777777" w:rsidR="00026E66" w:rsidRDefault="002737EF" w:rsidP="00FF0098">
      <w:pPr>
        <w:tabs>
          <w:tab w:val="left" w:pos="0"/>
        </w:tabs>
      </w:pPr>
      <w:r>
        <w:rPr>
          <w:color w:val="auto"/>
        </w:rPr>
        <w:t xml:space="preserve">Where all fuel inputs to the CHP plant are not renewable energy, they should be accounted for in CCA as stated in paragraphs 14 to 25 in </w:t>
      </w:r>
      <w:hyperlink r:id="rId126" w:history="1">
        <w:r>
          <w:rPr>
            <w:rStyle w:val="Hyperlink"/>
            <w:color w:val="0070C0"/>
          </w:rPr>
          <w:t>Technical Annex</w:t>
        </w:r>
      </w:hyperlink>
      <w:r>
        <w:rPr>
          <w:color w:val="auto"/>
        </w:rPr>
        <w:t xml:space="preserve">. </w:t>
      </w:r>
    </w:p>
    <w:p w14:paraId="7EE1DBDC" w14:textId="77777777" w:rsidR="00026E66" w:rsidRDefault="002737EF" w:rsidP="00FF0098">
      <w:pPr>
        <w:tabs>
          <w:tab w:val="left" w:pos="0"/>
        </w:tabs>
        <w:rPr>
          <w:color w:val="auto"/>
        </w:rPr>
      </w:pPr>
      <w:r>
        <w:rPr>
          <w:color w:val="auto"/>
        </w:rPr>
        <w:t xml:space="preserve">Where the electricity or heat outputs from a CHP plant are consumed within the target facility, the units of energy to report must be calculated on the basis of the units of energy input to the CHP plant, not the units of electricity or heat consumed. </w:t>
      </w:r>
    </w:p>
    <w:p w14:paraId="39BC8A46" w14:textId="29BBD113" w:rsidR="00026E66" w:rsidRDefault="002737EF" w:rsidP="00FF0098">
      <w:pPr>
        <w:tabs>
          <w:tab w:val="left" w:pos="0"/>
        </w:tabs>
        <w:rPr>
          <w:color w:val="auto"/>
        </w:rPr>
      </w:pPr>
      <w:r>
        <w:rPr>
          <w:color w:val="auto"/>
        </w:rPr>
        <w:t xml:space="preserve">Where a target facility is served by a CHP plant (whether the CHP plant is on the associated facility or whether the CHP plant is operated by a </w:t>
      </w:r>
      <w:r w:rsidR="004B7AA4">
        <w:rPr>
          <w:color w:val="auto"/>
        </w:rPr>
        <w:t>third</w:t>
      </w:r>
      <w:r>
        <w:rPr>
          <w:color w:val="auto"/>
        </w:rPr>
        <w:t xml:space="preserve"> party operator) and all of the energy from the</w:t>
      </w:r>
      <w:r w:rsidR="00FC355D">
        <w:rPr>
          <w:color w:val="auto"/>
        </w:rPr>
        <w:t xml:space="preserve">  </w:t>
      </w:r>
      <w:r>
        <w:rPr>
          <w:color w:val="auto"/>
        </w:rPr>
        <w:t xml:space="preserve"> CHP plant is consumed within the target facility, the target facility must be treated as consuming all of the units of energy input to the CHP and no allocation of those units is required. </w:t>
      </w:r>
    </w:p>
    <w:p w14:paraId="111162F1" w14:textId="77777777" w:rsidR="00026E66" w:rsidRDefault="002737EF" w:rsidP="00FF0098">
      <w:pPr>
        <w:tabs>
          <w:tab w:val="left" w:pos="0"/>
        </w:tabs>
        <w:rPr>
          <w:color w:val="auto"/>
        </w:rPr>
      </w:pPr>
      <w:r>
        <w:rPr>
          <w:color w:val="auto"/>
        </w:rPr>
        <w:t xml:space="preserve">Where a target facility is served by a CHP plant on the associated facility and some of the electricity or heat outputs from the CHP plant are exported from the facility, or where the target facility imports electricity or heat generated by a CHP plant that is not part of the facility, the energy input to the CHP must be allocated to each consumer of the heat or the electricity as follows: </w:t>
      </w:r>
    </w:p>
    <w:p w14:paraId="630D8447" w14:textId="77777777" w:rsidR="00026E66" w:rsidRDefault="002737EF" w:rsidP="00FF0098">
      <w:pPr>
        <w:tabs>
          <w:tab w:val="left" w:pos="0"/>
        </w:tabs>
        <w:rPr>
          <w:color w:val="auto"/>
        </w:rPr>
      </w:pPr>
      <w:r>
        <w:rPr>
          <w:color w:val="auto"/>
        </w:rPr>
        <w:t xml:space="preserve">First allocate the energy inputs to the CHP to the electricity and heat outputs using the following two formulae: </w:t>
      </w:r>
    </w:p>
    <w:p w14:paraId="189871A2" w14:textId="40565292" w:rsidR="00026E66" w:rsidRDefault="002737EF" w:rsidP="00FF0098">
      <w:pPr>
        <w:tabs>
          <w:tab w:val="left" w:pos="0"/>
        </w:tabs>
        <w:jc w:val="center"/>
      </w:pPr>
      <m:oMathPara>
        <m:oMathParaPr>
          <m:jc m:val="center"/>
        </m:oMathParaPr>
        <m:oMath>
          <m:r>
            <w:rPr>
              <w:rFonts w:ascii="Cambria Math" w:hAnsi="Cambria Math"/>
            </w:rPr>
            <m:t xml:space="preserve">Heat Energy = </m:t>
          </m:r>
          <m:d>
            <m:dPr>
              <m:ctrlPr>
                <w:rPr>
                  <w:rFonts w:ascii="Cambria Math" w:hAnsi="Cambria Math"/>
                </w:rPr>
              </m:ctrlPr>
            </m:dPr>
            <m:e>
              <m:f>
                <m:fPr>
                  <m:ctrlPr>
                    <w:rPr>
                      <w:rFonts w:ascii="Cambria Math" w:hAnsi="Cambria Math"/>
                    </w:rPr>
                  </m:ctrlPr>
                </m:fPr>
                <m:num>
                  <m:r>
                    <w:rPr>
                      <w:rFonts w:ascii="Cambria Math" w:hAnsi="Cambria Math"/>
                    </w:rPr>
                    <m:t>Fuel Input</m:t>
                  </m:r>
                </m:num>
                <m:den>
                  <m:d>
                    <m:dPr>
                      <m:ctrlPr>
                        <w:rPr>
                          <w:rFonts w:ascii="Cambria Math" w:hAnsi="Cambria Math"/>
                        </w:rPr>
                      </m:ctrlPr>
                    </m:dPr>
                    <m:e>
                      <m:r>
                        <w:rPr>
                          <w:rFonts w:ascii="Cambria Math" w:hAnsi="Cambria Math"/>
                        </w:rPr>
                        <m:t>2×Electricity Output</m:t>
                      </m:r>
                    </m:e>
                  </m:d>
                  <m:r>
                    <w:rPr>
                      <w:rFonts w:ascii="Cambria Math" w:hAnsi="Cambria Math"/>
                    </w:rPr>
                    <m:t>+ Heat output</m:t>
                  </m:r>
                </m:den>
              </m:f>
            </m:e>
          </m:d>
          <m:r>
            <w:rPr>
              <w:rFonts w:ascii="Cambria Math" w:hAnsi="Cambria Math"/>
            </w:rPr>
            <m:t>×Heat output</m:t>
          </m:r>
        </m:oMath>
      </m:oMathPara>
    </w:p>
    <w:p w14:paraId="2B4C2586" w14:textId="77777777" w:rsidR="00026E66" w:rsidRDefault="00026E66" w:rsidP="00FF0098">
      <w:pPr>
        <w:tabs>
          <w:tab w:val="left" w:pos="0"/>
        </w:tabs>
        <w:spacing w:after="0" w:line="247" w:lineRule="auto"/>
        <w:ind w:right="160"/>
        <w:rPr>
          <w:color w:val="auto"/>
          <w:shd w:val="clear" w:color="auto" w:fill="FFFF00"/>
        </w:rPr>
      </w:pPr>
    </w:p>
    <w:p w14:paraId="23485F12" w14:textId="77777777" w:rsidR="00026E66" w:rsidRDefault="002737EF" w:rsidP="00FF0098">
      <w:pPr>
        <w:tabs>
          <w:tab w:val="left" w:pos="0"/>
        </w:tabs>
        <w:spacing w:after="0" w:line="247" w:lineRule="auto"/>
        <w:ind w:right="160"/>
        <w:jc w:val="center"/>
      </w:pPr>
      <m:oMathPara>
        <m:oMathParaPr>
          <m:jc m:val="center"/>
        </m:oMathParaPr>
        <m:oMath>
          <m:r>
            <w:rPr>
              <w:rFonts w:ascii="Cambria Math" w:hAnsi="Cambria Math"/>
            </w:rPr>
            <m:t>Electricity Energy =</m:t>
          </m:r>
          <m:d>
            <m:dPr>
              <m:ctrlPr>
                <w:rPr>
                  <w:rFonts w:ascii="Cambria Math" w:hAnsi="Cambria Math"/>
                </w:rPr>
              </m:ctrlPr>
            </m:dPr>
            <m:e>
              <m:f>
                <m:fPr>
                  <m:ctrlPr>
                    <w:rPr>
                      <w:rFonts w:ascii="Cambria Math" w:hAnsi="Cambria Math"/>
                    </w:rPr>
                  </m:ctrlPr>
                </m:fPr>
                <m:num>
                  <m:r>
                    <w:rPr>
                      <w:rFonts w:ascii="Cambria Math" w:hAnsi="Cambria Math"/>
                    </w:rPr>
                    <m:t>2×Fuel input</m:t>
                  </m:r>
                </m:num>
                <m:den>
                  <m:d>
                    <m:dPr>
                      <m:ctrlPr>
                        <w:rPr>
                          <w:rFonts w:ascii="Cambria Math" w:hAnsi="Cambria Math"/>
                        </w:rPr>
                      </m:ctrlPr>
                    </m:dPr>
                    <m:e>
                      <m:r>
                        <w:rPr>
                          <w:rFonts w:ascii="Cambria Math" w:hAnsi="Cambria Math"/>
                        </w:rPr>
                        <m:t>2×Electricity Output</m:t>
                      </m:r>
                    </m:e>
                  </m:d>
                  <m:r>
                    <w:rPr>
                      <w:rFonts w:ascii="Cambria Math" w:hAnsi="Cambria Math"/>
                    </w:rPr>
                    <m:t>+ Heat output</m:t>
                  </m:r>
                </m:den>
              </m:f>
            </m:e>
          </m:d>
          <m:r>
            <w:rPr>
              <w:rFonts w:ascii="Cambria Math" w:hAnsi="Cambria Math"/>
            </w:rPr>
            <m:t>×Electricity output</m:t>
          </m:r>
        </m:oMath>
      </m:oMathPara>
    </w:p>
    <w:p w14:paraId="2A7403C4" w14:textId="5C80EBAE" w:rsidR="00026E66" w:rsidRDefault="00026E66" w:rsidP="00FF0098">
      <w:pPr>
        <w:tabs>
          <w:tab w:val="left" w:pos="0"/>
        </w:tabs>
        <w:spacing w:after="0" w:line="256" w:lineRule="auto"/>
        <w:rPr>
          <w:color w:val="auto"/>
          <w:shd w:val="clear" w:color="auto" w:fill="FFFF00"/>
        </w:rPr>
      </w:pPr>
    </w:p>
    <w:p w14:paraId="3FC141F5" w14:textId="77777777" w:rsidR="00026E66" w:rsidRDefault="002737EF" w:rsidP="00FF0098">
      <w:pPr>
        <w:tabs>
          <w:tab w:val="left" w:pos="0"/>
        </w:tabs>
      </w:pPr>
      <w:r>
        <w:t>Where:</w:t>
      </w:r>
    </w:p>
    <w:p w14:paraId="740C1FFA" w14:textId="77777777" w:rsidR="00026E66" w:rsidRDefault="002737EF" w:rsidP="0065356B">
      <w:pPr>
        <w:pStyle w:val="ListParagraph"/>
        <w:numPr>
          <w:ilvl w:val="0"/>
          <w:numId w:val="108"/>
        </w:numPr>
        <w:tabs>
          <w:tab w:val="left" w:pos="0"/>
        </w:tabs>
      </w:pPr>
      <w:r w:rsidRPr="00E642D6">
        <w:rPr>
          <w:b/>
        </w:rPr>
        <w:t xml:space="preserve">Heat Energy </w:t>
      </w:r>
      <w:r>
        <w:t xml:space="preserve">is the input energy allocated to the heat outputs of the CHP plant. </w:t>
      </w:r>
    </w:p>
    <w:p w14:paraId="1033C112" w14:textId="77777777" w:rsidR="00026E66" w:rsidRDefault="002737EF" w:rsidP="0065356B">
      <w:pPr>
        <w:pStyle w:val="ListParagraph"/>
        <w:numPr>
          <w:ilvl w:val="0"/>
          <w:numId w:val="108"/>
        </w:numPr>
        <w:tabs>
          <w:tab w:val="left" w:pos="0"/>
        </w:tabs>
      </w:pPr>
      <w:r w:rsidRPr="00E642D6">
        <w:rPr>
          <w:b/>
        </w:rPr>
        <w:t xml:space="preserve">Electricity Energy </w:t>
      </w:r>
      <w:r>
        <w:t xml:space="preserve">is the input energy allocated to the electricity outputs of the plant. </w:t>
      </w:r>
    </w:p>
    <w:p w14:paraId="2C827DC5" w14:textId="77777777" w:rsidR="00026E66" w:rsidRDefault="002737EF" w:rsidP="0065356B">
      <w:pPr>
        <w:pStyle w:val="ListParagraph"/>
        <w:numPr>
          <w:ilvl w:val="0"/>
          <w:numId w:val="108"/>
        </w:numPr>
        <w:tabs>
          <w:tab w:val="left" w:pos="0"/>
        </w:tabs>
      </w:pPr>
      <w:r w:rsidRPr="00E642D6">
        <w:rPr>
          <w:b/>
        </w:rPr>
        <w:lastRenderedPageBreak/>
        <w:t xml:space="preserve">Fuel Input </w:t>
      </w:r>
      <w:r>
        <w:t xml:space="preserve">is the total fuel supplied to the CHP plant, expressed in energy terms, using the </w:t>
      </w:r>
    </w:p>
    <w:p w14:paraId="251FCB2E" w14:textId="77777777" w:rsidR="00026E66" w:rsidRDefault="002737EF" w:rsidP="0065356B">
      <w:pPr>
        <w:pStyle w:val="ListParagraph"/>
        <w:numPr>
          <w:ilvl w:val="0"/>
          <w:numId w:val="108"/>
        </w:numPr>
        <w:tabs>
          <w:tab w:val="left" w:pos="0"/>
        </w:tabs>
      </w:pPr>
      <w:r>
        <w:t xml:space="preserve">Gross Calorific Value of the input fuels. For CHP schemes certified under the Combined Heat and Power Quality Assurance (CHPQA) programme it is the Total Fuel Input (TPI), as defined by the CHPQA Standard, 2009. </w:t>
      </w:r>
    </w:p>
    <w:p w14:paraId="4FC26AAB" w14:textId="77777777" w:rsidR="00026E66" w:rsidRDefault="002737EF" w:rsidP="0065356B">
      <w:pPr>
        <w:pStyle w:val="ListParagraph"/>
        <w:numPr>
          <w:ilvl w:val="0"/>
          <w:numId w:val="108"/>
        </w:numPr>
        <w:tabs>
          <w:tab w:val="left" w:pos="0"/>
        </w:tabs>
      </w:pPr>
      <w:r w:rsidRPr="00E642D6">
        <w:rPr>
          <w:b/>
        </w:rPr>
        <w:t xml:space="preserve">Heat Output </w:t>
      </w:r>
      <w:r>
        <w:t xml:space="preserve">is the quantity of heat produced by the CHP plant, expressed in energy terms. For CHP schemes certified under the Combined Heat and Power Quality Assurance (CHPQA) programme it is the Qualifying Heat Output (QHO), as defined by the CHPQA Standard, 2009. </w:t>
      </w:r>
    </w:p>
    <w:p w14:paraId="7082FC7B" w14:textId="77777777" w:rsidR="00026E66" w:rsidRDefault="002737EF" w:rsidP="0065356B">
      <w:pPr>
        <w:pStyle w:val="ListParagraph"/>
        <w:numPr>
          <w:ilvl w:val="0"/>
          <w:numId w:val="108"/>
        </w:numPr>
        <w:tabs>
          <w:tab w:val="left" w:pos="0"/>
        </w:tabs>
      </w:pPr>
      <w:r w:rsidRPr="00E642D6">
        <w:rPr>
          <w:b/>
        </w:rPr>
        <w:t xml:space="preserve">Electricity Output </w:t>
      </w:r>
      <w:r>
        <w:t xml:space="preserve">is the quantity of electricity generated by the CHP plant, expressed in energy terms. For CHP schemes certified under the Combined Heat and Power Quality Assurance (CHPQA) programme it is the Total Power Output (TPO), as defined by the CHPQA Standard, 2009. </w:t>
      </w:r>
    </w:p>
    <w:p w14:paraId="6C1CFD22" w14:textId="77777777" w:rsidR="00026E66" w:rsidRDefault="002737EF" w:rsidP="0065356B">
      <w:pPr>
        <w:pStyle w:val="ListParagraph"/>
        <w:numPr>
          <w:ilvl w:val="0"/>
          <w:numId w:val="108"/>
        </w:numPr>
        <w:tabs>
          <w:tab w:val="left" w:pos="0"/>
        </w:tabs>
      </w:pPr>
      <w:r>
        <w:t xml:space="preserve">Energy units must be consistent throughout. </w:t>
      </w:r>
    </w:p>
    <w:p w14:paraId="2F27E455" w14:textId="77777777" w:rsidR="00026E66" w:rsidRDefault="002737EF" w:rsidP="00FF0098">
      <w:pPr>
        <w:tabs>
          <w:tab w:val="left" w:pos="0"/>
        </w:tabs>
      </w:pPr>
      <w:r>
        <w:t xml:space="preserve">Where absorption cooling is used to produce a cooling supply, the heat input to the absorption chiller must be metered so far as is reasonably practicable. If the heat input to the absorption chiller is not metered, then the cooling output must be metered and divided by the average coefficient of performance (COP) of the cooling system to estimate the heat consumed. </w:t>
      </w:r>
    </w:p>
    <w:p w14:paraId="286F68C6" w14:textId="77777777" w:rsidR="00026E66" w:rsidRDefault="002737EF" w:rsidP="00FF0098">
      <w:pPr>
        <w:tabs>
          <w:tab w:val="left" w:pos="0"/>
        </w:tabs>
      </w:pPr>
      <w:r>
        <w:t xml:space="preserve">Then apportion the energy input to each consumer of heat and electricity as follows: </w:t>
      </w:r>
    </w:p>
    <w:p w14:paraId="551329E1" w14:textId="77777777" w:rsidR="00026E66" w:rsidRDefault="002737EF" w:rsidP="0065356B">
      <w:pPr>
        <w:pStyle w:val="ListParagraph"/>
        <w:numPr>
          <w:ilvl w:val="0"/>
          <w:numId w:val="109"/>
        </w:numPr>
        <w:tabs>
          <w:tab w:val="left" w:pos="0"/>
        </w:tabs>
      </w:pPr>
      <w:r>
        <w:t xml:space="preserve">Allocate the heat energy to each consumer of the heat in proportion to the quantity of heat from the CHP plant that each consumes. </w:t>
      </w:r>
    </w:p>
    <w:p w14:paraId="5B3A6E2F" w14:textId="77777777" w:rsidR="00026E66" w:rsidRDefault="002737EF" w:rsidP="0065356B">
      <w:pPr>
        <w:pStyle w:val="ListParagraph"/>
        <w:numPr>
          <w:ilvl w:val="0"/>
          <w:numId w:val="109"/>
        </w:numPr>
        <w:tabs>
          <w:tab w:val="left" w:pos="0"/>
        </w:tabs>
      </w:pPr>
      <w:r>
        <w:t xml:space="preserve">Allocate the electricity energy to each consumer of the electricity in proportion to the quantity of electricity from the CHP plant that each consumes. </w:t>
      </w:r>
    </w:p>
    <w:p w14:paraId="6BA1EBEB" w14:textId="77777777" w:rsidR="00026E66" w:rsidRDefault="002737EF" w:rsidP="00FF0098">
      <w:pPr>
        <w:tabs>
          <w:tab w:val="left" w:pos="0"/>
        </w:tabs>
      </w:pPr>
      <w:r>
        <w:t xml:space="preserve">If heat is distributed to a number of users (m), this is expressed: </w:t>
      </w:r>
    </w:p>
    <w:p w14:paraId="3DE49753" w14:textId="77777777" w:rsidR="00026E66" w:rsidRDefault="002737EF" w:rsidP="00FF0098">
      <w:pPr>
        <w:tabs>
          <w:tab w:val="left" w:pos="0"/>
        </w:tabs>
        <w:jc w:val="center"/>
      </w:pPr>
      <m:oMathPara>
        <m:oMathParaPr>
          <m:jc m:val="center"/>
        </m:oMathParaPr>
        <m:oMath>
          <m:r>
            <w:rPr>
              <w:rFonts w:ascii="Cambria Math" w:hAnsi="Cambria Math"/>
            </w:rPr>
            <m:t>Heat Output=Hea</m:t>
          </m:r>
          <m:sSub>
            <m:sSubPr>
              <m:ctrlPr>
                <w:rPr>
                  <w:rFonts w:ascii="Cambria Math" w:hAnsi="Cambria Math"/>
                </w:rPr>
              </m:ctrlPr>
            </m:sSubPr>
            <m:e>
              <m:r>
                <w:rPr>
                  <w:rFonts w:ascii="Cambria Math" w:hAnsi="Cambria Math"/>
                </w:rPr>
                <m:t>t</m:t>
              </m:r>
            </m:e>
            <m:sub>
              <m:r>
                <w:rPr>
                  <w:rFonts w:ascii="Cambria Math" w:hAnsi="Cambria Math"/>
                </w:rPr>
                <m:t>1</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2</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3</m:t>
              </m:r>
            </m:sub>
          </m:sSub>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m</m:t>
              </m:r>
            </m:sub>
          </m:sSub>
        </m:oMath>
      </m:oMathPara>
    </w:p>
    <w:p w14:paraId="058E15DC" w14:textId="77777777" w:rsidR="00026E66" w:rsidRDefault="002737EF" w:rsidP="00FF0098">
      <w:pPr>
        <w:tabs>
          <w:tab w:val="left" w:pos="0"/>
        </w:tabs>
      </w:pPr>
      <w:r>
        <w:t xml:space="preserve">If electricity is distributed to several electricity consumers (n), this is expressed: </w:t>
      </w:r>
    </w:p>
    <w:p w14:paraId="2FB19064" w14:textId="77777777" w:rsidR="00026E66" w:rsidRDefault="002737EF" w:rsidP="00FF0098">
      <w:pPr>
        <w:tabs>
          <w:tab w:val="left" w:pos="0"/>
        </w:tabs>
        <w:jc w:val="center"/>
      </w:pPr>
      <m:oMathPara>
        <m:oMathParaPr>
          <m:jc m:val="center"/>
        </m:oMathParaPr>
        <m:oMath>
          <m:r>
            <w:rPr>
              <w:rFonts w:ascii="Cambria Math" w:hAnsi="Cambria Math"/>
            </w:rPr>
            <m:t>Electricity Output =Electricit</m:t>
          </m:r>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3</m:t>
              </m:r>
            </m:sub>
          </m:sSub>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n</m:t>
              </m:r>
            </m:sub>
          </m:sSub>
        </m:oMath>
      </m:oMathPara>
    </w:p>
    <w:p w14:paraId="0E18C388" w14:textId="77777777" w:rsidR="00026E66" w:rsidRDefault="002737EF" w:rsidP="00FF0098">
      <w:pPr>
        <w:tabs>
          <w:tab w:val="left" w:pos="0"/>
        </w:tabs>
      </w:pPr>
      <w:r>
        <w:t>The energy inputs to the CHP plant are assigned to consumer, ‘</w:t>
      </w:r>
      <w:proofErr w:type="spellStart"/>
      <w:r>
        <w:t>i</w:t>
      </w:r>
      <w:proofErr w:type="spellEnd"/>
      <w:r>
        <w:t xml:space="preserve">’, according to the formula: </w:t>
      </w:r>
    </w:p>
    <w:p w14:paraId="6711F10D" w14:textId="77777777" w:rsidR="00026E66" w:rsidRDefault="002737EF" w:rsidP="00FF0098">
      <w:pPr>
        <w:tabs>
          <w:tab w:val="left" w:pos="0"/>
        </w:tabs>
        <w:jc w:val="center"/>
      </w:pPr>
      <m:oMathPara>
        <m:oMathParaPr>
          <m:jc m:val="center"/>
        </m:oMathParaPr>
        <m:oMath>
          <m:r>
            <w:rPr>
              <w:rFonts w:ascii="Cambria Math" w:hAnsi="Cambria Math"/>
            </w:rPr>
            <m:t>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i</m:t>
                      </m:r>
                    </m:sub>
                  </m:sSub>
                </m:num>
                <m:den>
                  <m:r>
                    <w:rPr>
                      <w:rFonts w:ascii="Cambria Math" w:hAnsi="Cambria Math"/>
                    </w:rPr>
                    <m:t>Heat Output</m:t>
                  </m:r>
                </m:den>
              </m:f>
            </m:e>
          </m:d>
          <m:r>
            <w:rPr>
              <w:rFonts w:ascii="Cambria Math" w:hAnsi="Cambria Math"/>
            </w:rPr>
            <m:t>×Heat Energy</m:t>
          </m:r>
        </m:oMath>
      </m:oMathPara>
    </w:p>
    <w:p w14:paraId="365965DA" w14:textId="77777777" w:rsidR="00026E66" w:rsidRDefault="002737EF" w:rsidP="00FF0098">
      <w:pPr>
        <w:tabs>
          <w:tab w:val="left" w:pos="0"/>
        </w:tabs>
      </w:pPr>
      <w:r>
        <w:t xml:space="preserve">The electricity energy inputs to the CHP plant are assigned to consumer, ‘j’, according to the formula: </w:t>
      </w:r>
    </w:p>
    <w:p w14:paraId="1EA525C7" w14:textId="77777777" w:rsidR="00026E66" w:rsidRDefault="002737EF" w:rsidP="00FF0098">
      <w:pPr>
        <w:tabs>
          <w:tab w:val="left" w:pos="0"/>
        </w:tabs>
        <w:jc w:val="center"/>
      </w:pPr>
      <w:r>
        <w:rPr>
          <w:rFonts w:ascii="Cambria Math" w:hAnsi="Cambria Math"/>
          <w:color w:val="auto"/>
        </w:rPr>
        <w:lastRenderedPageBreak/>
        <w:br/>
      </w:r>
      <m:oMathPara>
        <m:oMathParaPr>
          <m:jc m:val="center"/>
        </m:oMathParaPr>
        <m:oMath>
          <m:r>
            <w:rPr>
              <w:rFonts w:ascii="Cambria Math" w:hAnsi="Cambria Math"/>
            </w:rPr>
            <m:t>Electricity Energ</m:t>
          </m:r>
          <m:sSub>
            <m:sSubPr>
              <m:ctrlPr>
                <w:rPr>
                  <w:rFonts w:ascii="Cambria Math" w:hAnsi="Cambria Math"/>
                </w:rPr>
              </m:ctrlPr>
            </m:sSubPr>
            <m:e>
              <m:r>
                <w:rPr>
                  <w:rFonts w:ascii="Cambria Math" w:hAnsi="Cambria Math"/>
                </w:rPr>
                <m:t>y</m:t>
              </m:r>
            </m:e>
            <m:sub>
              <m:r>
                <w:rPr>
                  <w:rFonts w:ascii="Cambria Math" w:hAnsi="Cambria Math"/>
                </w:rPr>
                <m:t>j</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Electricit</m:t>
                  </m:r>
                  <m:sSub>
                    <m:sSubPr>
                      <m:ctrlPr>
                        <w:rPr>
                          <w:rFonts w:ascii="Cambria Math" w:hAnsi="Cambria Math"/>
                        </w:rPr>
                      </m:ctrlPr>
                    </m:sSubPr>
                    <m:e>
                      <m:r>
                        <w:rPr>
                          <w:rFonts w:ascii="Cambria Math" w:hAnsi="Cambria Math"/>
                        </w:rPr>
                        <m:t>y</m:t>
                      </m:r>
                    </m:e>
                    <m:sub>
                      <m:r>
                        <w:rPr>
                          <w:rFonts w:ascii="Cambria Math" w:hAnsi="Cambria Math"/>
                        </w:rPr>
                        <m:t>j</m:t>
                      </m:r>
                    </m:sub>
                  </m:sSub>
                </m:num>
                <m:den>
                  <m:r>
                    <w:rPr>
                      <w:rFonts w:ascii="Cambria Math" w:hAnsi="Cambria Math"/>
                    </w:rPr>
                    <m:t>Electricity Output</m:t>
                  </m:r>
                </m:den>
              </m:f>
            </m:e>
          </m:d>
          <m:r>
            <w:rPr>
              <w:rFonts w:ascii="Cambria Math" w:hAnsi="Cambria Math"/>
            </w:rPr>
            <m:t>×Electricity Energy</m:t>
          </m:r>
        </m:oMath>
      </m:oMathPara>
    </w:p>
    <w:p w14:paraId="6277DCAA" w14:textId="77777777" w:rsidR="00026E66" w:rsidRDefault="002737EF" w:rsidP="00FF0098">
      <w:pPr>
        <w:tabs>
          <w:tab w:val="left" w:pos="0"/>
        </w:tabs>
      </w:pPr>
      <w:r>
        <w:t xml:space="preserve">If some of the CHP generated electricity is exported to the public supply (that is the grid), and not directly to a known consumer, a credit must be allocated to each heat consumer in respect of all or part of this electricity exported to the grid. </w:t>
      </w:r>
    </w:p>
    <w:p w14:paraId="2B5955C7" w14:textId="77777777" w:rsidR="00026E66" w:rsidRDefault="002737EF" w:rsidP="00FF0098">
      <w:pPr>
        <w:tabs>
          <w:tab w:val="left" w:pos="0"/>
        </w:tabs>
      </w:pPr>
      <w:r>
        <w:t xml:space="preserve">The electricity exported to the grid in respect of which a credit must be allocated is the Good Quality CHP electricity (as defined by the CHPQA Standard, January 2009) exported to the grid. The Good Quality CHP electricity exported to the grid is given by: </w:t>
      </w:r>
    </w:p>
    <w:p w14:paraId="1D3C7BFA" w14:textId="77777777" w:rsidR="00026E66" w:rsidRDefault="002737EF" w:rsidP="00FF0098">
      <w:pPr>
        <w:tabs>
          <w:tab w:val="left" w:pos="0"/>
        </w:tabs>
        <w:spacing w:after="380" w:line="247" w:lineRule="auto"/>
        <w:ind w:right="160"/>
        <w:jc w:val="center"/>
      </w:pPr>
      <m:oMathPara>
        <m:oMathParaPr>
          <m:jc m:val="center"/>
        </m:oMathParaPr>
        <m:oMath>
          <m:r>
            <m:rPr>
              <m:sty m:val="p"/>
            </m:rPr>
            <w:rPr>
              <w:rFonts w:ascii="Cambria Math" w:hAnsi="Cambria Math"/>
            </w:rPr>
            <m:t xml:space="preserve">GQCHP electricity exported to the grid </m:t>
          </m:r>
          <m:r>
            <w:rPr>
              <w:rFonts w:ascii="Cambria Math" w:hAnsi="Cambria Math"/>
            </w:rPr>
            <m:t>=</m:t>
          </m:r>
          <m:r>
            <m:rPr>
              <m:sty m:val="p"/>
            </m:rPr>
            <w:rPr>
              <w:rFonts w:ascii="Cambria Math" w:hAnsi="Cambria Math"/>
            </w:rPr>
            <m:t xml:space="preserve"> QPO</m:t>
          </m:r>
          <m:r>
            <w:rPr>
              <w:rFonts w:ascii="Cambria Math" w:hAnsi="Cambria Math"/>
            </w:rPr>
            <m:t>-</m:t>
          </m:r>
          <m:r>
            <m:rPr>
              <m:sty m:val="p"/>
            </m:rPr>
            <w:rPr>
              <w:rFonts w:ascii="Cambria Math" w:hAnsi="Cambria Math"/>
            </w:rPr>
            <m:t xml:space="preserve"> QPO consumed by known consumers</m:t>
          </m:r>
        </m:oMath>
      </m:oMathPara>
    </w:p>
    <w:p w14:paraId="346CE0A4" w14:textId="77777777" w:rsidR="00026E66" w:rsidRDefault="002737EF" w:rsidP="00FF0098">
      <w:pPr>
        <w:tabs>
          <w:tab w:val="left" w:pos="0"/>
        </w:tabs>
      </w:pPr>
      <w:r>
        <w:t xml:space="preserve">Where: </w:t>
      </w:r>
    </w:p>
    <w:p w14:paraId="4FF2BD9B" w14:textId="77777777" w:rsidR="00026E66" w:rsidRDefault="002737EF" w:rsidP="0065356B">
      <w:pPr>
        <w:pStyle w:val="ListParagraph"/>
        <w:numPr>
          <w:ilvl w:val="0"/>
          <w:numId w:val="110"/>
        </w:numPr>
        <w:tabs>
          <w:tab w:val="left" w:pos="0"/>
        </w:tabs>
      </w:pPr>
      <w:r>
        <w:t xml:space="preserve">QPO is the Qualifying Power Output (as defined by the CHPQA Standard, January 2009) </w:t>
      </w:r>
    </w:p>
    <w:p w14:paraId="2E60CED5" w14:textId="77777777" w:rsidR="00026E66" w:rsidRDefault="002737EF" w:rsidP="0065356B">
      <w:pPr>
        <w:pStyle w:val="ListParagraph"/>
        <w:numPr>
          <w:ilvl w:val="0"/>
          <w:numId w:val="110"/>
        </w:numPr>
        <w:tabs>
          <w:tab w:val="left" w:pos="0"/>
        </w:tabs>
      </w:pPr>
      <w:r>
        <w:t xml:space="preserve">QPO consumed by known consumers is the CHP electricity on which the climate change levy is not paid </w:t>
      </w:r>
    </w:p>
    <w:p w14:paraId="52EB8DF4" w14:textId="77777777" w:rsidR="00026E66" w:rsidRDefault="002737EF" w:rsidP="00FF0098">
      <w:pPr>
        <w:tabs>
          <w:tab w:val="left" w:pos="0"/>
        </w:tabs>
      </w:pPr>
      <w:r>
        <w:t xml:space="preserve">The credit allocated to each heat consumer is calculated as follows: </w:t>
      </w:r>
    </w:p>
    <w:p w14:paraId="31B1BBE8" w14:textId="77777777" w:rsidR="00026E66" w:rsidRDefault="002737EF" w:rsidP="0065356B">
      <w:pPr>
        <w:pStyle w:val="ListParagraph"/>
        <w:numPr>
          <w:ilvl w:val="0"/>
          <w:numId w:val="111"/>
        </w:numPr>
        <w:tabs>
          <w:tab w:val="left" w:pos="0"/>
        </w:tabs>
      </w:pPr>
      <w:r>
        <w:t xml:space="preserve">Multiply the Good Quality CHP electricity exported to the grid by 2.6. </w:t>
      </w:r>
    </w:p>
    <w:p w14:paraId="0A828D33" w14:textId="77777777" w:rsidR="00026E66" w:rsidRDefault="002737EF" w:rsidP="0065356B">
      <w:pPr>
        <w:pStyle w:val="ListParagraph"/>
        <w:numPr>
          <w:ilvl w:val="0"/>
          <w:numId w:val="111"/>
        </w:numPr>
        <w:tabs>
          <w:tab w:val="left" w:pos="0"/>
        </w:tabs>
      </w:pPr>
      <w:r>
        <w:t xml:space="preserve">Subtract the energy apportioned to the Good Quality CHP electricity exported to the grid (as calculated in paragraph 19). This gives the primary energy that has been saved as a result of the grid exported CHP electricity displacing conventional grid electricity generated at a power station. </w:t>
      </w:r>
    </w:p>
    <w:p w14:paraId="4D6F8FCE" w14:textId="77777777" w:rsidR="00026E66" w:rsidRDefault="002737EF" w:rsidP="0065356B">
      <w:pPr>
        <w:pStyle w:val="ListParagraph"/>
        <w:numPr>
          <w:ilvl w:val="0"/>
          <w:numId w:val="111"/>
        </w:numPr>
        <w:tabs>
          <w:tab w:val="left" w:pos="0"/>
        </w:tabs>
      </w:pPr>
      <w:r>
        <w:t xml:space="preserve">Divide this saving among each of the consumers of heat from the CHP on a pro-rata basis according to the quantity of heat each uses. </w:t>
      </w:r>
    </w:p>
    <w:p w14:paraId="4BECA71B" w14:textId="77777777" w:rsidR="00026E66" w:rsidRDefault="002737EF" w:rsidP="0065356B">
      <w:pPr>
        <w:pStyle w:val="ListParagraph"/>
        <w:numPr>
          <w:ilvl w:val="0"/>
          <w:numId w:val="111"/>
        </w:numPr>
        <w:tabs>
          <w:tab w:val="left" w:pos="0"/>
        </w:tabs>
      </w:pPr>
      <w:r>
        <w:t xml:space="preserve">Subtract the pro-rata saving from each of the Heat Energy figures (as calculated in paragraph 19), to get a revised Heat Energy figure. </w:t>
      </w:r>
    </w:p>
    <w:p w14:paraId="50D38568" w14:textId="77777777" w:rsidR="00026E66" w:rsidRDefault="002737EF" w:rsidP="00FF0098">
      <w:pPr>
        <w:tabs>
          <w:tab w:val="left" w:pos="0"/>
        </w:tabs>
      </w:pPr>
      <w:r>
        <w:t>Thus, if QPO were exported to public supply instead of being supplied to consumer ‘k', then the revised Heat Energy figures for each consumer ‘</w:t>
      </w:r>
      <w:proofErr w:type="spellStart"/>
      <w:r>
        <w:t>i</w:t>
      </w:r>
      <w:proofErr w:type="spellEnd"/>
      <w:r>
        <w:t>’ (</w:t>
      </w:r>
      <w:proofErr w:type="spellStart"/>
      <w:r>
        <w:t>i</w:t>
      </w:r>
      <w:proofErr w:type="spellEnd"/>
      <w:r>
        <w:t xml:space="preserve"> = </w:t>
      </w:r>
      <w:proofErr w:type="gramStart"/>
      <w:r>
        <w:t>1,..</w:t>
      </w:r>
      <w:proofErr w:type="gramEnd"/>
      <w:r>
        <w:t xml:space="preserve">,m) would be as follows: </w:t>
      </w:r>
    </w:p>
    <w:p w14:paraId="5DB1D560" w14:textId="77777777" w:rsidR="00026E66" w:rsidRDefault="002737EF" w:rsidP="00FF0098">
      <w:pPr>
        <w:tabs>
          <w:tab w:val="left" w:pos="0"/>
        </w:tabs>
        <w:spacing w:after="215" w:line="247" w:lineRule="auto"/>
        <w:ind w:right="160"/>
        <w:jc w:val="center"/>
      </w:pPr>
      <m:oMathPara>
        <m:oMathParaPr>
          <m:jc m:val="center"/>
        </m:oMathParaPr>
        <m:oMath>
          <m:r>
            <w:rPr>
              <w:rFonts w:ascii="Cambria Math" w:hAnsi="Cambria Math"/>
            </w:rPr>
            <m:t>Revised 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 Heat Energ</m:t>
          </m:r>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d>
            <m:dPr>
              <m:ctrlPr>
                <w:rPr>
                  <w:rFonts w:ascii="Cambria Math" w:hAnsi="Cambria Math"/>
                </w:rPr>
              </m:ctrlPr>
            </m:dPr>
            <m:e>
              <m:d>
                <m:dPr>
                  <m:ctrlPr>
                    <w:rPr>
                      <w:rFonts w:ascii="Cambria Math" w:hAnsi="Cambria Math"/>
                    </w:rPr>
                  </m:ctrlPr>
                </m:dPr>
                <m:e>
                  <m:r>
                    <w:rPr>
                      <w:rFonts w:ascii="Cambria Math" w:hAnsi="Cambria Math"/>
                    </w:rPr>
                    <m:t>Exported QPO×2.6 - Electricity Energ</m:t>
                  </m:r>
                  <m:sSub>
                    <m:sSubPr>
                      <m:ctrlPr>
                        <w:rPr>
                          <w:rFonts w:ascii="Cambria Math" w:hAnsi="Cambria Math"/>
                        </w:rPr>
                      </m:ctrlPr>
                    </m:sSubPr>
                    <m:e>
                      <m:r>
                        <w:rPr>
                          <w:rFonts w:ascii="Cambria Math" w:hAnsi="Cambria Math"/>
                        </w:rPr>
                        <m:t>y</m:t>
                      </m:r>
                    </m:e>
                    <m:sub>
                      <m:r>
                        <w:rPr>
                          <w:rFonts w:ascii="Cambria Math" w:hAnsi="Cambria Math"/>
                        </w:rPr>
                        <m:t>k</m:t>
                      </m:r>
                    </m:sub>
                  </m:sSub>
                </m:e>
              </m:d>
              <m:r>
                <w:rPr>
                  <w:rFonts w:ascii="Cambria Math" w:hAnsi="Cambria Math"/>
                </w:rPr>
                <m:t>×</m:t>
              </m:r>
              <m:f>
                <m:fPr>
                  <m:ctrlPr>
                    <w:rPr>
                      <w:rFonts w:ascii="Cambria Math" w:hAnsi="Cambria Math"/>
                    </w:rPr>
                  </m:ctrlPr>
                </m:fPr>
                <m:num>
                  <m:r>
                    <w:rPr>
                      <w:rFonts w:ascii="Cambria Math" w:hAnsi="Cambria Math"/>
                    </w:rPr>
                    <m:t>Hea</m:t>
                  </m:r>
                  <m:sSub>
                    <m:sSubPr>
                      <m:ctrlPr>
                        <w:rPr>
                          <w:rFonts w:ascii="Cambria Math" w:hAnsi="Cambria Math"/>
                        </w:rPr>
                      </m:ctrlPr>
                    </m:sSubPr>
                    <m:e>
                      <m:r>
                        <w:rPr>
                          <w:rFonts w:ascii="Cambria Math" w:hAnsi="Cambria Math"/>
                        </w:rPr>
                        <m:t>t</m:t>
                      </m:r>
                    </m:e>
                    <m:sub>
                      <m:r>
                        <w:rPr>
                          <w:rFonts w:ascii="Cambria Math" w:hAnsi="Cambria Math"/>
                        </w:rPr>
                        <m:t>i</m:t>
                      </m:r>
                    </m:sub>
                  </m:sSub>
                </m:num>
                <m:den>
                  <m:r>
                    <w:rPr>
                      <w:rFonts w:ascii="Cambria Math" w:hAnsi="Cambria Math"/>
                    </w:rPr>
                    <m:t>Heat output</m:t>
                  </m:r>
                </m:den>
              </m:f>
            </m:e>
          </m:d>
        </m:oMath>
      </m:oMathPara>
    </w:p>
    <w:p w14:paraId="0A53A19D" w14:textId="77777777" w:rsidR="00026E66" w:rsidRDefault="002737EF" w:rsidP="00FF0098">
      <w:pPr>
        <w:tabs>
          <w:tab w:val="left" w:pos="0"/>
        </w:tabs>
      </w:pPr>
      <w:r>
        <w:t>In cases where there is export of CHP generated electricity to the grid, consumer ‘</w:t>
      </w:r>
      <w:proofErr w:type="spellStart"/>
      <w:r>
        <w:t>i</w:t>
      </w:r>
      <w:proofErr w:type="spellEnd"/>
      <w:r>
        <w:t xml:space="preserve">’ must report total primary energy consumption, as a result of the use of CHP generated electricity and heat, as Revised Heat </w:t>
      </w:r>
      <w:proofErr w:type="spellStart"/>
      <w:r>
        <w:t>Energy</w:t>
      </w:r>
      <w:r>
        <w:rPr>
          <w:vertAlign w:val="subscript"/>
        </w:rPr>
        <w:t>i</w:t>
      </w:r>
      <w:proofErr w:type="spellEnd"/>
      <w:r>
        <w:rPr>
          <w:vertAlign w:val="subscript"/>
        </w:rPr>
        <w:t xml:space="preserve"> </w:t>
      </w:r>
      <w:r>
        <w:t xml:space="preserve">plus Electricity </w:t>
      </w:r>
      <w:proofErr w:type="spellStart"/>
      <w:r>
        <w:t>Energy</w:t>
      </w:r>
      <w:r>
        <w:rPr>
          <w:vertAlign w:val="subscript"/>
        </w:rPr>
        <w:t>i</w:t>
      </w:r>
      <w:proofErr w:type="spellEnd"/>
      <w:r>
        <w:t xml:space="preserve">. </w:t>
      </w:r>
    </w:p>
    <w:p w14:paraId="456BC06D" w14:textId="77777777" w:rsidR="00026E66" w:rsidRDefault="002737EF" w:rsidP="00FF0098">
      <w:pPr>
        <w:tabs>
          <w:tab w:val="left" w:pos="0"/>
        </w:tabs>
      </w:pPr>
      <w:r>
        <w:lastRenderedPageBreak/>
        <w:t xml:space="preserve">When calculating credits for grid exported QPO: </w:t>
      </w:r>
    </w:p>
    <w:p w14:paraId="51C1FEDF" w14:textId="77777777" w:rsidR="00026E66" w:rsidRDefault="002737EF" w:rsidP="0065356B">
      <w:pPr>
        <w:pStyle w:val="ListParagraph"/>
        <w:numPr>
          <w:ilvl w:val="0"/>
          <w:numId w:val="112"/>
        </w:numPr>
        <w:tabs>
          <w:tab w:val="left" w:pos="0"/>
        </w:tabs>
      </w:pPr>
      <w:r>
        <w:t xml:space="preserve">if the fuel allocated to a heat user minus the credit for exported QPO results in an overall fuel figure of less than zero the user affected must set the overall fuel figure to zero; </w:t>
      </w:r>
    </w:p>
    <w:p w14:paraId="1A5B92B9" w14:textId="77777777" w:rsidR="00026E66" w:rsidRDefault="002737EF" w:rsidP="0065356B">
      <w:pPr>
        <w:pStyle w:val="ListParagraph"/>
        <w:numPr>
          <w:ilvl w:val="0"/>
          <w:numId w:val="112"/>
        </w:numPr>
        <w:tabs>
          <w:tab w:val="left" w:pos="0"/>
        </w:tabs>
      </w:pPr>
      <w:r>
        <w:t>if the heat credit itself for exported QPO to a heat user is negative the user affected must set the credit for exported QPO to zero.</w:t>
      </w:r>
    </w:p>
    <w:p w14:paraId="4618714A" w14:textId="77777777" w:rsidR="00026E66" w:rsidRDefault="002737EF" w:rsidP="00FF0098">
      <w:pPr>
        <w:tabs>
          <w:tab w:val="left" w:pos="0"/>
        </w:tabs>
      </w:pPr>
      <w:r>
        <w:t>When reporting primary energy (fuel) consumption associated with the consumption of CHP generated electricity or heat, this fuel consumption must be recorded under the same fuel type as the fuel inputs to the CHP. For example, if the fuel inputs to the CHP are natural gas, then the fuel consumption associated with the consumption of CHP electricity and heat will be reported under natural gas.</w:t>
      </w:r>
    </w:p>
    <w:p w14:paraId="32BEF28F" w14:textId="77777777" w:rsidR="00026E66" w:rsidRPr="00E931A9" w:rsidRDefault="002737EF" w:rsidP="00FF0098">
      <w:pPr>
        <w:pStyle w:val="Heading3"/>
        <w:tabs>
          <w:tab w:val="left" w:pos="0"/>
        </w:tabs>
      </w:pPr>
      <w:r w:rsidRPr="00E931A9">
        <w:t xml:space="preserve">CHP – where all fuel input is renewable </w:t>
      </w:r>
    </w:p>
    <w:p w14:paraId="626C2726" w14:textId="0A59A1AE" w:rsidR="00026E66" w:rsidRDefault="002737EF" w:rsidP="00FF0098">
      <w:pPr>
        <w:tabs>
          <w:tab w:val="left" w:pos="0"/>
        </w:tabs>
      </w:pPr>
      <w:r>
        <w:rPr>
          <w:color w:val="auto"/>
        </w:rPr>
        <w:t xml:space="preserve">Paragraphs 32 to 36 from </w:t>
      </w:r>
      <w:hyperlink r:id="rId127" w:history="1">
        <w:r>
          <w:rPr>
            <w:rStyle w:val="Hyperlink"/>
            <w:color w:val="0070C0"/>
          </w:rPr>
          <w:t>Technical Annex</w:t>
        </w:r>
      </w:hyperlink>
      <w:r w:rsidR="00FC355D">
        <w:rPr>
          <w:color w:val="auto"/>
        </w:rPr>
        <w:t xml:space="preserve"> </w:t>
      </w:r>
      <w:r>
        <w:rPr>
          <w:color w:val="auto"/>
        </w:rPr>
        <w:t xml:space="preserve">state that: </w:t>
      </w:r>
    </w:p>
    <w:p w14:paraId="6A26B66B" w14:textId="77777777" w:rsidR="00026E66" w:rsidRDefault="002737EF" w:rsidP="00FF0098">
      <w:pPr>
        <w:tabs>
          <w:tab w:val="left" w:pos="0"/>
        </w:tabs>
        <w:rPr>
          <w:color w:val="auto"/>
        </w:rPr>
      </w:pPr>
      <w:r>
        <w:rPr>
          <w:color w:val="auto"/>
        </w:rPr>
        <w:t xml:space="preserve">If the fuel input to the CHP is 100% renewable all of the electricity and heat outputs of the CHP must be considered renewable. This means that consumption of all of this electricity will be treated as if it were grid electricity. Consumption of CHP heat will lead to the reporting of primary energy consumption (in the form of some of the input fuels), but this energy consumption will be zero rated for carbon. </w:t>
      </w:r>
    </w:p>
    <w:p w14:paraId="6A310A00" w14:textId="77777777" w:rsidR="00026E66" w:rsidRDefault="002737EF" w:rsidP="00FF0098">
      <w:pPr>
        <w:tabs>
          <w:tab w:val="left" w:pos="0"/>
        </w:tabs>
        <w:rPr>
          <w:color w:val="auto"/>
        </w:rPr>
      </w:pPr>
      <w:r>
        <w:rPr>
          <w:color w:val="auto"/>
        </w:rPr>
        <w:t xml:space="preserve">For a CHP where the fuel inputs are 100% renewable, the primary energy for CHP heat is calculated as follows: </w:t>
      </w:r>
    </w:p>
    <w:p w14:paraId="765987C0" w14:textId="77777777" w:rsidR="00026E66" w:rsidRDefault="002737EF" w:rsidP="00FF0098">
      <w:pPr>
        <w:tabs>
          <w:tab w:val="left" w:pos="0"/>
        </w:tabs>
      </w:pPr>
      <w:r>
        <w:t xml:space="preserve">Primary energy for CHP heat = Total Fuel Input to CHP – (Total Power Output from CHP × 2.6) </w:t>
      </w:r>
    </w:p>
    <w:p w14:paraId="63B9C436" w14:textId="77777777" w:rsidR="00026E66" w:rsidRDefault="002737EF" w:rsidP="00FF0098">
      <w:pPr>
        <w:tabs>
          <w:tab w:val="left" w:pos="0"/>
        </w:tabs>
      </w:pPr>
      <w:r>
        <w:t>If Total Fuel Input to CHP &lt; (Total Power Output from CHP × 2.6), then primary energy for CHP heat must be set to zero.</w:t>
      </w:r>
    </w:p>
    <w:p w14:paraId="68A9485F" w14:textId="77777777" w:rsidR="00026E66" w:rsidRDefault="002737EF" w:rsidP="00FF0098">
      <w:pPr>
        <w:tabs>
          <w:tab w:val="left" w:pos="0"/>
        </w:tabs>
      </w:pPr>
      <w:r>
        <w:t>This means that the energy input to renewable CHP must be recorded in order that the primary energy for renewable CHP heat can be determined and reported.</w:t>
      </w:r>
    </w:p>
    <w:p w14:paraId="414A4EE9" w14:textId="77777777" w:rsidR="00026E66" w:rsidRDefault="002737EF" w:rsidP="00FF0098">
      <w:pPr>
        <w:tabs>
          <w:tab w:val="left" w:pos="0"/>
        </w:tabs>
      </w:pPr>
      <w:r>
        <w:t>When reporting primary energy (fuel) consumption associated with the consumption of CHP generated heat, this fuel consumption must be recorded under the same fuel type as the fuel inputs to the CHP. For example, if the fuel inputs to the CHP are biogas, then the fuel consumption associated with the consumption of CHP heat will be reported under biogas. The consumption of CHP generated electricity in this case would be reported as primary renewable electricity.</w:t>
      </w:r>
    </w:p>
    <w:p w14:paraId="5AC217C9" w14:textId="27EE454E" w:rsidR="00026E66" w:rsidRDefault="002737EF" w:rsidP="00FF0098">
      <w:pPr>
        <w:pStyle w:val="Heading3"/>
        <w:tabs>
          <w:tab w:val="left" w:pos="0"/>
        </w:tabs>
      </w:pPr>
      <w:r>
        <w:lastRenderedPageBreak/>
        <w:t>CHP – where fuel input is mix of renewable and non-renewable</w:t>
      </w:r>
      <w:r w:rsidR="00FC355D">
        <w:t xml:space="preserve"> </w:t>
      </w:r>
    </w:p>
    <w:p w14:paraId="63175D5F" w14:textId="77777777" w:rsidR="00026E66" w:rsidRDefault="002737EF" w:rsidP="00FF0098">
      <w:pPr>
        <w:tabs>
          <w:tab w:val="left" w:pos="0"/>
        </w:tabs>
      </w:pPr>
      <w:r>
        <w:rPr>
          <w:color w:val="auto"/>
        </w:rPr>
        <w:t xml:space="preserve">Paragraphs 37 to 340 from </w:t>
      </w:r>
      <w:hyperlink r:id="rId128" w:history="1">
        <w:r>
          <w:rPr>
            <w:rStyle w:val="Hyperlink"/>
            <w:color w:val="0070C0"/>
          </w:rPr>
          <w:t>Technical Annex</w:t>
        </w:r>
      </w:hyperlink>
      <w:r>
        <w:rPr>
          <w:color w:val="auto"/>
        </w:rPr>
        <w:t xml:space="preserve"> state that: </w:t>
      </w:r>
    </w:p>
    <w:p w14:paraId="1266002C" w14:textId="77777777" w:rsidR="00026E66" w:rsidRDefault="002737EF" w:rsidP="00FF0098">
      <w:pPr>
        <w:tabs>
          <w:tab w:val="left" w:pos="0"/>
        </w:tabs>
        <w:rPr>
          <w:color w:val="auto"/>
        </w:rPr>
      </w:pPr>
      <w:r>
        <w:rPr>
          <w:color w:val="auto"/>
        </w:rPr>
        <w:t xml:space="preserve">If the fuel input to the CHP is not 100% renewable, then a proportion of the electricity output must be treated as renewable and the balance as non-renewable. The proportion of the electricity output that is treated as renewable must be the same as the proportion of the fuel input that is deemed renewable, on an energy content basis. </w:t>
      </w:r>
    </w:p>
    <w:p w14:paraId="6E2158B8" w14:textId="77777777" w:rsidR="00026E66" w:rsidRDefault="002737EF" w:rsidP="00FF0098">
      <w:pPr>
        <w:tabs>
          <w:tab w:val="left" w:pos="0"/>
        </w:tabs>
      </w:pPr>
      <w:r>
        <w:t xml:space="preserve">If the fuel input to the CHP is not 100% renewable, then a proportion of the heat output must be considered renewable and the balance as non-renewable. The proportion of the heat output that is treated as renewable must be the same as the proportion of the fuel input that is treated as renewable, on an energy content basis. </w:t>
      </w:r>
    </w:p>
    <w:p w14:paraId="105588A7" w14:textId="77777777" w:rsidR="00026E66" w:rsidRDefault="002737EF" w:rsidP="00FF0098">
      <w:pPr>
        <w:tabs>
          <w:tab w:val="left" w:pos="0"/>
        </w:tabs>
      </w:pPr>
      <w:r>
        <w:t xml:space="preserve">The primary energy associated with electricity and heat outputs of the CHP treated as renewable must be determined as set out in the section above (CHP where all of the fuel input is renewable). </w:t>
      </w:r>
    </w:p>
    <w:p w14:paraId="3C68213F" w14:textId="77777777" w:rsidR="00026E66" w:rsidRDefault="002737EF" w:rsidP="00FF0098">
      <w:pPr>
        <w:tabs>
          <w:tab w:val="left" w:pos="0"/>
        </w:tabs>
      </w:pPr>
      <w:r>
        <w:t>The primary energy associated with the electricity and heat outputs of the CHP treated as non- renewable must be determined as set out in the section above (Combined Heat and Power where all of the fuel inputs are non-renewable).</w:t>
      </w:r>
    </w:p>
    <w:p w14:paraId="01D038AB" w14:textId="77777777" w:rsidR="00026E66" w:rsidRDefault="002737EF" w:rsidP="00FF0098">
      <w:pPr>
        <w:tabs>
          <w:tab w:val="left" w:pos="0"/>
        </w:tabs>
      </w:pPr>
      <w:r>
        <w:t xml:space="preserve">The following example illustrates how to determine the energy to report and how carbon will be accounted for in respect of the consumption of electricity and heat outputs of a CHP fuelled by a mix of renewable and non-renewable fuels. </w:t>
      </w:r>
    </w:p>
    <w:p w14:paraId="2C1AB63D" w14:textId="77777777" w:rsidR="00026E66" w:rsidRDefault="002737EF" w:rsidP="00E642D6">
      <w:pPr>
        <w:pStyle w:val="Heading3"/>
      </w:pPr>
      <w:r>
        <w:t xml:space="preserve">Example </w:t>
      </w:r>
    </w:p>
    <w:p w14:paraId="17CE0BE5" w14:textId="35599542" w:rsidR="00026E66" w:rsidRDefault="002737EF" w:rsidP="00FF0098">
      <w:pPr>
        <w:tabs>
          <w:tab w:val="left" w:pos="0"/>
        </w:tabs>
        <w:rPr>
          <w:color w:val="auto"/>
        </w:rPr>
      </w:pPr>
      <w:r>
        <w:rPr>
          <w:color w:val="auto"/>
        </w:rPr>
        <w:t xml:space="preserve">A reciprocating engine (CHP) situated on CCA facility A generates electricity through the combustion </w:t>
      </w:r>
      <w:r>
        <w:rPr>
          <w:color w:val="auto"/>
          <w:szCs w:val="24"/>
        </w:rPr>
        <w:t>and carbon is accounted for by facilities A and B as follows.</w:t>
      </w:r>
      <w:r>
        <w:rPr>
          <w:color w:val="auto"/>
        </w:rPr>
        <w:t xml:space="preserve"> </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00"/>
        <w:gridCol w:w="4606"/>
      </w:tblGrid>
      <w:tr w:rsidR="00E642D6" w14:paraId="3A48E917" w14:textId="77777777" w:rsidTr="004C1365">
        <w:trPr>
          <w:trHeight w:val="545"/>
        </w:trPr>
        <w:tc>
          <w:tcPr>
            <w:tcW w:w="4300" w:type="dxa"/>
          </w:tcPr>
          <w:p w14:paraId="360946DA" w14:textId="77777777" w:rsidR="00E642D6" w:rsidRDefault="00E642D6" w:rsidP="00F22E60">
            <w:r>
              <w:t xml:space="preserve">Total fuel input to CHP </w:t>
            </w:r>
          </w:p>
        </w:tc>
        <w:tc>
          <w:tcPr>
            <w:tcW w:w="4606" w:type="dxa"/>
          </w:tcPr>
          <w:p w14:paraId="1CEFE5A0" w14:textId="77777777" w:rsidR="00E642D6" w:rsidRDefault="00E642D6" w:rsidP="00B956DE">
            <w:pPr>
              <w:tabs>
                <w:tab w:val="left" w:pos="0"/>
              </w:tabs>
              <w:spacing w:after="0" w:line="256" w:lineRule="auto"/>
              <w:rPr>
                <w:color w:val="auto"/>
              </w:rPr>
            </w:pPr>
            <w:r>
              <w:rPr>
                <w:color w:val="auto"/>
              </w:rPr>
              <w:t xml:space="preserve">17,000 MWh </w:t>
            </w:r>
          </w:p>
        </w:tc>
      </w:tr>
      <w:tr w:rsidR="00E642D6" w14:paraId="662BC0FE" w14:textId="77777777" w:rsidTr="004C1365">
        <w:trPr>
          <w:trHeight w:val="560"/>
        </w:trPr>
        <w:tc>
          <w:tcPr>
            <w:tcW w:w="4300" w:type="dxa"/>
          </w:tcPr>
          <w:p w14:paraId="1A22F984" w14:textId="77777777" w:rsidR="00E642D6" w:rsidRDefault="00E642D6" w:rsidP="00F22E60">
            <w:r>
              <w:t xml:space="preserve">Biogas fuel input </w:t>
            </w:r>
          </w:p>
        </w:tc>
        <w:tc>
          <w:tcPr>
            <w:tcW w:w="4606" w:type="dxa"/>
          </w:tcPr>
          <w:p w14:paraId="4ACAEE7B" w14:textId="77777777" w:rsidR="00E642D6" w:rsidRDefault="00E642D6" w:rsidP="00B956DE">
            <w:pPr>
              <w:tabs>
                <w:tab w:val="left" w:pos="0"/>
              </w:tabs>
              <w:spacing w:after="0" w:line="256" w:lineRule="auto"/>
            </w:pPr>
            <w:r>
              <w:rPr>
                <w:color w:val="auto"/>
              </w:rPr>
              <w:t xml:space="preserve">17,000 </w:t>
            </w:r>
            <w:r>
              <w:rPr>
                <w:color w:val="auto"/>
                <w:szCs w:val="24"/>
              </w:rPr>
              <w:t>× 50</w:t>
            </w:r>
            <w:r>
              <w:rPr>
                <w:color w:val="auto"/>
              </w:rPr>
              <w:t xml:space="preserve">% = 8,500 MWh </w:t>
            </w:r>
          </w:p>
        </w:tc>
      </w:tr>
      <w:tr w:rsidR="00E642D6" w14:paraId="3F28FAE9" w14:textId="77777777" w:rsidTr="004C1365">
        <w:trPr>
          <w:trHeight w:val="559"/>
        </w:trPr>
        <w:tc>
          <w:tcPr>
            <w:tcW w:w="4300" w:type="dxa"/>
          </w:tcPr>
          <w:p w14:paraId="3797C816" w14:textId="77777777" w:rsidR="00E642D6" w:rsidRDefault="00E642D6" w:rsidP="00F22E60">
            <w:r>
              <w:t xml:space="preserve">Natural gas fuel input </w:t>
            </w:r>
          </w:p>
        </w:tc>
        <w:tc>
          <w:tcPr>
            <w:tcW w:w="4606" w:type="dxa"/>
          </w:tcPr>
          <w:p w14:paraId="54E3B87A" w14:textId="77777777" w:rsidR="00E642D6" w:rsidRDefault="00E642D6" w:rsidP="00B956DE">
            <w:pPr>
              <w:tabs>
                <w:tab w:val="left" w:pos="0"/>
              </w:tabs>
              <w:spacing w:after="0" w:line="256" w:lineRule="auto"/>
            </w:pPr>
            <w:r>
              <w:rPr>
                <w:color w:val="auto"/>
              </w:rPr>
              <w:t xml:space="preserve">17,000 </w:t>
            </w:r>
            <w:r>
              <w:rPr>
                <w:color w:val="auto"/>
                <w:szCs w:val="24"/>
              </w:rPr>
              <w:t>× 50</w:t>
            </w:r>
            <w:r>
              <w:rPr>
                <w:color w:val="auto"/>
              </w:rPr>
              <w:t xml:space="preserve">% = 8,500 MWh </w:t>
            </w:r>
          </w:p>
        </w:tc>
      </w:tr>
      <w:tr w:rsidR="00E642D6" w14:paraId="21577303" w14:textId="77777777" w:rsidTr="004C1365">
        <w:trPr>
          <w:trHeight w:val="1188"/>
        </w:trPr>
        <w:tc>
          <w:tcPr>
            <w:tcW w:w="4300" w:type="dxa"/>
          </w:tcPr>
          <w:p w14:paraId="222E8746" w14:textId="77777777" w:rsidR="00E642D6" w:rsidRDefault="00E642D6" w:rsidP="00F22E60">
            <w:r>
              <w:t xml:space="preserve">Renewable fuel input </w:t>
            </w:r>
          </w:p>
        </w:tc>
        <w:tc>
          <w:tcPr>
            <w:tcW w:w="4606" w:type="dxa"/>
          </w:tcPr>
          <w:p w14:paraId="6E085EF8" w14:textId="77777777" w:rsidR="00E642D6" w:rsidRDefault="00E642D6" w:rsidP="00B956DE">
            <w:pPr>
              <w:tabs>
                <w:tab w:val="left" w:pos="0"/>
              </w:tabs>
              <w:spacing w:after="117" w:line="256" w:lineRule="auto"/>
              <w:rPr>
                <w:color w:val="auto"/>
              </w:rPr>
            </w:pPr>
            <w:r>
              <w:rPr>
                <w:color w:val="auto"/>
              </w:rPr>
              <w:t xml:space="preserve">= 8,500/17,000 = 50% </w:t>
            </w:r>
          </w:p>
          <w:p w14:paraId="5230486E" w14:textId="77777777" w:rsidR="00E642D6" w:rsidRDefault="00E642D6" w:rsidP="00B956DE">
            <w:pPr>
              <w:tabs>
                <w:tab w:val="left" w:pos="0"/>
              </w:tabs>
              <w:spacing w:after="0" w:line="256" w:lineRule="auto"/>
              <w:rPr>
                <w:color w:val="auto"/>
              </w:rPr>
            </w:pPr>
            <w:r>
              <w:rPr>
                <w:color w:val="auto"/>
              </w:rPr>
              <w:t xml:space="preserve">Therefore, not all electricity and heat generated is considered renewable. </w:t>
            </w:r>
          </w:p>
        </w:tc>
      </w:tr>
      <w:tr w:rsidR="00E642D6" w14:paraId="4834BB68" w14:textId="77777777" w:rsidTr="004C1365">
        <w:trPr>
          <w:trHeight w:val="545"/>
        </w:trPr>
        <w:tc>
          <w:tcPr>
            <w:tcW w:w="4300" w:type="dxa"/>
          </w:tcPr>
          <w:p w14:paraId="32E405C5" w14:textId="77777777" w:rsidR="00E642D6" w:rsidRDefault="00E642D6" w:rsidP="00F22E60">
            <w:r>
              <w:t xml:space="preserve">Non-renewable fuel input </w:t>
            </w:r>
          </w:p>
        </w:tc>
        <w:tc>
          <w:tcPr>
            <w:tcW w:w="4606" w:type="dxa"/>
          </w:tcPr>
          <w:p w14:paraId="70BE1B93" w14:textId="77777777" w:rsidR="00E642D6" w:rsidRDefault="00E642D6" w:rsidP="00B956DE">
            <w:pPr>
              <w:tabs>
                <w:tab w:val="left" w:pos="0"/>
              </w:tabs>
              <w:spacing w:after="0" w:line="256" w:lineRule="auto"/>
              <w:rPr>
                <w:color w:val="auto"/>
              </w:rPr>
            </w:pPr>
            <w:r>
              <w:rPr>
                <w:color w:val="auto"/>
              </w:rPr>
              <w:t xml:space="preserve">= 8,500/17,000 = 50% </w:t>
            </w:r>
          </w:p>
        </w:tc>
      </w:tr>
    </w:tbl>
    <w:p w14:paraId="53E768B7" w14:textId="77777777" w:rsidR="004C1365" w:rsidRDefault="004C1365">
      <w:pPr>
        <w:suppressAutoHyphens w:val="0"/>
        <w:spacing w:before="0" w:beforeAutospacing="0" w:after="160" w:afterAutospacing="0" w:line="256" w:lineRule="auto"/>
        <w:rPr>
          <w:b/>
          <w:color w:val="auto"/>
        </w:rPr>
      </w:pPr>
      <w:r>
        <w:rPr>
          <w:b/>
          <w:color w:val="auto"/>
        </w:rPr>
        <w:br w:type="page"/>
      </w:r>
    </w:p>
    <w:p w14:paraId="68DB0986" w14:textId="77AA1B54" w:rsidR="00E642D6" w:rsidRDefault="00E642D6" w:rsidP="00FF0098">
      <w:pPr>
        <w:tabs>
          <w:tab w:val="left" w:pos="0"/>
        </w:tabs>
        <w:rPr>
          <w:b/>
          <w:color w:val="auto"/>
        </w:rPr>
      </w:pPr>
      <w:r>
        <w:rPr>
          <w:b/>
          <w:color w:val="auto"/>
        </w:rPr>
        <w:lastRenderedPageBreak/>
        <w:t>Renewable outputs</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8"/>
        <w:gridCol w:w="4228"/>
      </w:tblGrid>
      <w:tr w:rsidR="00E642D6" w14:paraId="0DA76C31" w14:textId="77777777" w:rsidTr="004C1365">
        <w:trPr>
          <w:trHeight w:val="797"/>
        </w:trPr>
        <w:tc>
          <w:tcPr>
            <w:tcW w:w="4678" w:type="dxa"/>
          </w:tcPr>
          <w:p w14:paraId="28A88D34" w14:textId="77777777" w:rsidR="00E642D6" w:rsidRDefault="00E642D6" w:rsidP="00F22E60">
            <w:r>
              <w:t xml:space="preserve">Proportion of electricity considered renewable </w:t>
            </w:r>
          </w:p>
        </w:tc>
        <w:tc>
          <w:tcPr>
            <w:tcW w:w="4228" w:type="dxa"/>
          </w:tcPr>
          <w:p w14:paraId="653DC47A" w14:textId="77777777" w:rsidR="00E642D6" w:rsidRDefault="00E642D6" w:rsidP="00B956DE">
            <w:pPr>
              <w:tabs>
                <w:tab w:val="left" w:pos="0"/>
              </w:tabs>
              <w:spacing w:after="0" w:line="256" w:lineRule="auto"/>
              <w:rPr>
                <w:color w:val="auto"/>
              </w:rPr>
            </w:pPr>
            <w:r>
              <w:rPr>
                <w:color w:val="auto"/>
              </w:rPr>
              <w:t xml:space="preserve">50% </w:t>
            </w:r>
          </w:p>
        </w:tc>
      </w:tr>
      <w:tr w:rsidR="00E642D6" w14:paraId="0F310E18" w14:textId="77777777" w:rsidTr="004C1365">
        <w:trPr>
          <w:trHeight w:val="542"/>
        </w:trPr>
        <w:tc>
          <w:tcPr>
            <w:tcW w:w="4678" w:type="dxa"/>
          </w:tcPr>
          <w:p w14:paraId="6AEE4E8B" w14:textId="77777777" w:rsidR="00E642D6" w:rsidRDefault="00E642D6" w:rsidP="00F22E60">
            <w:r>
              <w:t xml:space="preserve">Proportion of heat considered renewable </w:t>
            </w:r>
          </w:p>
        </w:tc>
        <w:tc>
          <w:tcPr>
            <w:tcW w:w="4228" w:type="dxa"/>
          </w:tcPr>
          <w:p w14:paraId="534813EB" w14:textId="77777777" w:rsidR="00E642D6" w:rsidRDefault="00E642D6" w:rsidP="00B956DE">
            <w:pPr>
              <w:tabs>
                <w:tab w:val="left" w:pos="0"/>
              </w:tabs>
              <w:spacing w:after="0" w:line="256" w:lineRule="auto"/>
              <w:rPr>
                <w:color w:val="auto"/>
              </w:rPr>
            </w:pPr>
            <w:r>
              <w:rPr>
                <w:color w:val="auto"/>
              </w:rPr>
              <w:t xml:space="preserve">50% </w:t>
            </w:r>
          </w:p>
        </w:tc>
      </w:tr>
      <w:tr w:rsidR="00E642D6" w14:paraId="4399BFDD" w14:textId="77777777" w:rsidTr="004C1365">
        <w:trPr>
          <w:trHeight w:val="562"/>
        </w:trPr>
        <w:tc>
          <w:tcPr>
            <w:tcW w:w="4678" w:type="dxa"/>
          </w:tcPr>
          <w:p w14:paraId="67F65B86" w14:textId="77777777" w:rsidR="00E642D6" w:rsidRDefault="00E642D6" w:rsidP="00F22E60">
            <w:r>
              <w:t xml:space="preserve">Electricity considered renewable </w:t>
            </w:r>
          </w:p>
        </w:tc>
        <w:tc>
          <w:tcPr>
            <w:tcW w:w="4228" w:type="dxa"/>
          </w:tcPr>
          <w:p w14:paraId="71221558" w14:textId="77777777" w:rsidR="00E642D6" w:rsidRDefault="00E642D6" w:rsidP="00B956DE">
            <w:pPr>
              <w:tabs>
                <w:tab w:val="left" w:pos="0"/>
              </w:tabs>
              <w:spacing w:after="0" w:line="256" w:lineRule="auto"/>
            </w:pPr>
            <w:r>
              <w:rPr>
                <w:color w:val="auto"/>
              </w:rPr>
              <w:t xml:space="preserve">= 50% </w:t>
            </w:r>
            <w:r>
              <w:rPr>
                <w:color w:val="auto"/>
                <w:szCs w:val="24"/>
              </w:rPr>
              <w:t>×</w:t>
            </w:r>
            <w:r>
              <w:rPr>
                <w:color w:val="auto"/>
              </w:rPr>
              <w:t xml:space="preserve"> 4,800 = 2,400 MWh </w:t>
            </w:r>
          </w:p>
        </w:tc>
      </w:tr>
      <w:tr w:rsidR="00E642D6" w14:paraId="510052C5" w14:textId="77777777" w:rsidTr="004C1365">
        <w:trPr>
          <w:trHeight w:val="559"/>
        </w:trPr>
        <w:tc>
          <w:tcPr>
            <w:tcW w:w="4678" w:type="dxa"/>
          </w:tcPr>
          <w:p w14:paraId="7C625487" w14:textId="77777777" w:rsidR="00E642D6" w:rsidRDefault="00E642D6" w:rsidP="00F22E60">
            <w:r>
              <w:t xml:space="preserve">Heat considered renewable </w:t>
            </w:r>
          </w:p>
        </w:tc>
        <w:tc>
          <w:tcPr>
            <w:tcW w:w="4228" w:type="dxa"/>
          </w:tcPr>
          <w:p w14:paraId="6351B7AD" w14:textId="77777777" w:rsidR="00E642D6" w:rsidRDefault="00E642D6" w:rsidP="00B956DE">
            <w:pPr>
              <w:tabs>
                <w:tab w:val="left" w:pos="0"/>
              </w:tabs>
              <w:spacing w:after="0" w:line="256" w:lineRule="auto"/>
            </w:pPr>
            <w:r>
              <w:rPr>
                <w:color w:val="auto"/>
              </w:rPr>
              <w:t xml:space="preserve">= 50% </w:t>
            </w:r>
            <w:r>
              <w:rPr>
                <w:rFonts w:eastAsia="Segoe UI Symbol"/>
                <w:color w:val="auto"/>
                <w:szCs w:val="24"/>
              </w:rPr>
              <w:t>×</w:t>
            </w:r>
            <w:r>
              <w:rPr>
                <w:color w:val="auto"/>
              </w:rPr>
              <w:t xml:space="preserve"> 7,000 = 3,500 MWh </w:t>
            </w:r>
          </w:p>
        </w:tc>
      </w:tr>
      <w:tr w:rsidR="00E642D6" w14:paraId="72877244" w14:textId="77777777" w:rsidTr="004C1365">
        <w:trPr>
          <w:trHeight w:val="559"/>
        </w:trPr>
        <w:tc>
          <w:tcPr>
            <w:tcW w:w="4678" w:type="dxa"/>
          </w:tcPr>
          <w:p w14:paraId="14743120" w14:textId="77777777" w:rsidR="00E642D6" w:rsidRDefault="00E642D6" w:rsidP="00F22E60">
            <w:r>
              <w:t xml:space="preserve">Total fuel for renewable outputs </w:t>
            </w:r>
          </w:p>
        </w:tc>
        <w:tc>
          <w:tcPr>
            <w:tcW w:w="4228" w:type="dxa"/>
          </w:tcPr>
          <w:p w14:paraId="488D5F22" w14:textId="77777777" w:rsidR="00E642D6" w:rsidRDefault="00E642D6" w:rsidP="00B956DE">
            <w:pPr>
              <w:tabs>
                <w:tab w:val="left" w:pos="0"/>
              </w:tabs>
              <w:spacing w:after="0" w:line="256" w:lineRule="auto"/>
            </w:pPr>
            <w:r>
              <w:rPr>
                <w:color w:val="auto"/>
              </w:rPr>
              <w:t xml:space="preserve">= 50% </w:t>
            </w:r>
            <w:r>
              <w:rPr>
                <w:rFonts w:eastAsia="Segoe UI Symbol"/>
                <w:color w:val="auto"/>
                <w:szCs w:val="24"/>
              </w:rPr>
              <w:t>×</w:t>
            </w:r>
            <w:r>
              <w:rPr>
                <w:color w:val="auto"/>
              </w:rPr>
              <w:t xml:space="preserve"> 17,000 = 8,500 MWh </w:t>
            </w:r>
          </w:p>
        </w:tc>
      </w:tr>
      <w:tr w:rsidR="00E642D6" w14:paraId="49267585" w14:textId="77777777" w:rsidTr="004C1365">
        <w:trPr>
          <w:trHeight w:val="559"/>
        </w:trPr>
        <w:tc>
          <w:tcPr>
            <w:tcW w:w="4678" w:type="dxa"/>
          </w:tcPr>
          <w:p w14:paraId="51378F84" w14:textId="77777777" w:rsidR="00E642D6" w:rsidRDefault="00E642D6" w:rsidP="00F22E60">
            <w:r>
              <w:t xml:space="preserve">Primary energy for renewable electricity </w:t>
            </w:r>
          </w:p>
        </w:tc>
        <w:tc>
          <w:tcPr>
            <w:tcW w:w="4228" w:type="dxa"/>
          </w:tcPr>
          <w:p w14:paraId="5B899BAF" w14:textId="77777777" w:rsidR="00E642D6" w:rsidRDefault="00E642D6" w:rsidP="00B956DE">
            <w:pPr>
              <w:tabs>
                <w:tab w:val="left" w:pos="0"/>
              </w:tabs>
              <w:spacing w:after="0" w:line="256" w:lineRule="auto"/>
            </w:pPr>
            <w:r>
              <w:rPr>
                <w:color w:val="auto"/>
              </w:rPr>
              <w:t xml:space="preserve">= 2,400 </w:t>
            </w:r>
            <w:r>
              <w:rPr>
                <w:rFonts w:eastAsia="Segoe UI Symbol"/>
                <w:color w:val="auto"/>
                <w:szCs w:val="24"/>
              </w:rPr>
              <w:t>×</w:t>
            </w:r>
            <w:r>
              <w:rPr>
                <w:color w:val="auto"/>
              </w:rPr>
              <w:t xml:space="preserve"> 2.6 = 6,240 MWh </w:t>
            </w:r>
          </w:p>
        </w:tc>
      </w:tr>
      <w:tr w:rsidR="00E642D6" w14:paraId="1F31DB61" w14:textId="77777777" w:rsidTr="004C1365">
        <w:trPr>
          <w:trHeight w:val="542"/>
        </w:trPr>
        <w:tc>
          <w:tcPr>
            <w:tcW w:w="4678" w:type="dxa"/>
          </w:tcPr>
          <w:p w14:paraId="63774D33" w14:textId="77777777" w:rsidR="00E642D6" w:rsidRDefault="00E642D6" w:rsidP="00F22E60">
            <w:r>
              <w:t xml:space="preserve">Primary energy for renewable heat </w:t>
            </w:r>
          </w:p>
        </w:tc>
        <w:tc>
          <w:tcPr>
            <w:tcW w:w="4228" w:type="dxa"/>
          </w:tcPr>
          <w:p w14:paraId="72D98E37" w14:textId="77777777" w:rsidR="00E642D6" w:rsidRDefault="00E642D6" w:rsidP="00B956DE">
            <w:pPr>
              <w:tabs>
                <w:tab w:val="left" w:pos="0"/>
              </w:tabs>
              <w:spacing w:after="0" w:line="256" w:lineRule="auto"/>
              <w:rPr>
                <w:color w:val="auto"/>
              </w:rPr>
            </w:pPr>
            <w:r>
              <w:rPr>
                <w:color w:val="auto"/>
              </w:rPr>
              <w:t xml:space="preserve">= 8,500 – 6,240 = 2,260 MWh </w:t>
            </w:r>
          </w:p>
        </w:tc>
      </w:tr>
    </w:tbl>
    <w:p w14:paraId="6A3C5C29" w14:textId="0697ACD8" w:rsidR="00E642D6" w:rsidRPr="00E642D6" w:rsidRDefault="00E642D6" w:rsidP="00FF0098">
      <w:pPr>
        <w:tabs>
          <w:tab w:val="left" w:pos="0"/>
        </w:tabs>
        <w:rPr>
          <w:b/>
        </w:rPr>
      </w:pPr>
      <w:r w:rsidRPr="00E642D6">
        <w:rPr>
          <w:b/>
        </w:rPr>
        <w:t>Non-renewable outputs</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8"/>
        <w:gridCol w:w="4228"/>
      </w:tblGrid>
      <w:tr w:rsidR="00026E66" w14:paraId="4C024A11" w14:textId="77777777" w:rsidTr="004C1365">
        <w:trPr>
          <w:trHeight w:val="797"/>
        </w:trPr>
        <w:tc>
          <w:tcPr>
            <w:tcW w:w="4678" w:type="dxa"/>
          </w:tcPr>
          <w:p w14:paraId="2663F885" w14:textId="77777777" w:rsidR="00026E66" w:rsidRDefault="002737EF" w:rsidP="00F22E60">
            <w:r>
              <w:t xml:space="preserve">Proportion of electricity considered non- renewable </w:t>
            </w:r>
          </w:p>
        </w:tc>
        <w:tc>
          <w:tcPr>
            <w:tcW w:w="4228" w:type="dxa"/>
          </w:tcPr>
          <w:p w14:paraId="6441D12B" w14:textId="77777777" w:rsidR="00026E66" w:rsidRDefault="002737EF" w:rsidP="00FF0098">
            <w:pPr>
              <w:tabs>
                <w:tab w:val="left" w:pos="0"/>
              </w:tabs>
              <w:spacing w:after="0" w:line="256" w:lineRule="auto"/>
              <w:rPr>
                <w:color w:val="auto"/>
              </w:rPr>
            </w:pPr>
            <w:r>
              <w:rPr>
                <w:color w:val="auto"/>
              </w:rPr>
              <w:t xml:space="preserve">50% </w:t>
            </w:r>
          </w:p>
        </w:tc>
      </w:tr>
      <w:tr w:rsidR="00026E66" w14:paraId="26A4258F" w14:textId="77777777" w:rsidTr="004C1365">
        <w:trPr>
          <w:trHeight w:val="797"/>
        </w:trPr>
        <w:tc>
          <w:tcPr>
            <w:tcW w:w="4678" w:type="dxa"/>
          </w:tcPr>
          <w:p w14:paraId="0EE05A27" w14:textId="77777777" w:rsidR="00026E66" w:rsidRDefault="002737EF" w:rsidP="00F22E60">
            <w:r>
              <w:t xml:space="preserve">Proportion of heat considered non- renewable </w:t>
            </w:r>
          </w:p>
        </w:tc>
        <w:tc>
          <w:tcPr>
            <w:tcW w:w="4228" w:type="dxa"/>
          </w:tcPr>
          <w:p w14:paraId="4FEF33D4" w14:textId="77777777" w:rsidR="00026E66" w:rsidRDefault="002737EF" w:rsidP="00FF0098">
            <w:pPr>
              <w:tabs>
                <w:tab w:val="left" w:pos="0"/>
              </w:tabs>
              <w:spacing w:after="0" w:line="256" w:lineRule="auto"/>
              <w:rPr>
                <w:color w:val="auto"/>
              </w:rPr>
            </w:pPr>
            <w:r>
              <w:rPr>
                <w:color w:val="auto"/>
              </w:rPr>
              <w:t xml:space="preserve">50% </w:t>
            </w:r>
          </w:p>
        </w:tc>
      </w:tr>
      <w:tr w:rsidR="00026E66" w14:paraId="3F44D012" w14:textId="77777777" w:rsidTr="004C1365">
        <w:trPr>
          <w:trHeight w:val="794"/>
        </w:trPr>
        <w:tc>
          <w:tcPr>
            <w:tcW w:w="4678" w:type="dxa"/>
          </w:tcPr>
          <w:p w14:paraId="024194C0" w14:textId="77777777" w:rsidR="00026E66" w:rsidRDefault="002737EF" w:rsidP="00F22E60">
            <w:r>
              <w:t xml:space="preserve">Electricity output considered non- renewable </w:t>
            </w:r>
          </w:p>
        </w:tc>
        <w:tc>
          <w:tcPr>
            <w:tcW w:w="4228" w:type="dxa"/>
          </w:tcPr>
          <w:p w14:paraId="28F44D43"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4,800 = 2,400 MWh </w:t>
            </w:r>
          </w:p>
        </w:tc>
      </w:tr>
      <w:tr w:rsidR="00026E66" w14:paraId="5181A673" w14:textId="77777777" w:rsidTr="004C1365">
        <w:trPr>
          <w:trHeight w:val="559"/>
        </w:trPr>
        <w:tc>
          <w:tcPr>
            <w:tcW w:w="4678" w:type="dxa"/>
          </w:tcPr>
          <w:p w14:paraId="4DEF0D04" w14:textId="77777777" w:rsidR="00026E66" w:rsidRDefault="002737EF" w:rsidP="00F22E60">
            <w:r>
              <w:t xml:space="preserve">Heat output considered non-renewable </w:t>
            </w:r>
          </w:p>
        </w:tc>
        <w:tc>
          <w:tcPr>
            <w:tcW w:w="4228" w:type="dxa"/>
          </w:tcPr>
          <w:p w14:paraId="66D3416B"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7,000 = 3,500 MWh </w:t>
            </w:r>
          </w:p>
        </w:tc>
      </w:tr>
      <w:tr w:rsidR="00026E66" w14:paraId="0D9AE323" w14:textId="77777777" w:rsidTr="004C1365">
        <w:trPr>
          <w:trHeight w:val="562"/>
        </w:trPr>
        <w:tc>
          <w:tcPr>
            <w:tcW w:w="4678" w:type="dxa"/>
          </w:tcPr>
          <w:p w14:paraId="75DB57ED" w14:textId="77777777" w:rsidR="00026E66" w:rsidRDefault="002737EF" w:rsidP="00F22E60">
            <w:r>
              <w:t xml:space="preserve">Total fuel for non-renewable outputs </w:t>
            </w:r>
          </w:p>
        </w:tc>
        <w:tc>
          <w:tcPr>
            <w:tcW w:w="4228" w:type="dxa"/>
          </w:tcPr>
          <w:p w14:paraId="7AC90A3E" w14:textId="77777777" w:rsidR="00026E66" w:rsidRDefault="002737EF" w:rsidP="00FF0098">
            <w:pPr>
              <w:tabs>
                <w:tab w:val="left" w:pos="0"/>
              </w:tabs>
              <w:spacing w:after="0" w:line="256" w:lineRule="auto"/>
            </w:pPr>
            <w:r>
              <w:rPr>
                <w:color w:val="auto"/>
              </w:rPr>
              <w:t xml:space="preserve">= 50% </w:t>
            </w:r>
            <w:r>
              <w:rPr>
                <w:color w:val="auto"/>
                <w:szCs w:val="24"/>
              </w:rPr>
              <w:t>×</w:t>
            </w:r>
            <w:r>
              <w:rPr>
                <w:color w:val="auto"/>
              </w:rPr>
              <w:t xml:space="preserve"> 17,000 = 8,500 MWh </w:t>
            </w:r>
          </w:p>
        </w:tc>
      </w:tr>
      <w:tr w:rsidR="00026E66" w14:paraId="40917B2B" w14:textId="77777777" w:rsidTr="004C1365">
        <w:trPr>
          <w:trHeight w:val="1490"/>
        </w:trPr>
        <w:tc>
          <w:tcPr>
            <w:tcW w:w="4678" w:type="dxa"/>
          </w:tcPr>
          <w:p w14:paraId="0A087DE0" w14:textId="77777777" w:rsidR="00026E66" w:rsidRDefault="002737EF" w:rsidP="00F22E60">
            <w:r>
              <w:t xml:space="preserve">Fuel for non-renewable electricity output (calculated using formula given in paragraph 17of the </w:t>
            </w:r>
            <w:hyperlink r:id="rId129" w:history="1">
              <w:r>
                <w:rPr>
                  <w:rStyle w:val="Hyperlink"/>
                  <w:color w:val="0070C0"/>
                </w:rPr>
                <w:t>Technical Annex</w:t>
              </w:r>
            </w:hyperlink>
            <w:r>
              <w:t xml:space="preserve">) </w:t>
            </w:r>
          </w:p>
        </w:tc>
        <w:tc>
          <w:tcPr>
            <w:tcW w:w="4228" w:type="dxa"/>
          </w:tcPr>
          <w:p w14:paraId="02D1AAC8" w14:textId="77777777" w:rsidR="00026E66" w:rsidRDefault="00000000" w:rsidP="00FF0098">
            <w:pPr>
              <w:tabs>
                <w:tab w:val="left" w:pos="0"/>
              </w:tabs>
              <w:spacing w:after="0" w:line="256" w:lineRule="auto"/>
              <w:jc w:val="center"/>
            </w:pPr>
            <m:oMathPara>
              <m:oMathParaPr>
                <m:jc m:val="center"/>
              </m:oMathParaPr>
              <m:oMath>
                <m:f>
                  <m:fPr>
                    <m:ctrlPr>
                      <w:rPr>
                        <w:rFonts w:ascii="Cambria Math" w:hAnsi="Cambria Math"/>
                      </w:rPr>
                    </m:ctrlPr>
                  </m:fPr>
                  <m:num>
                    <m:r>
                      <w:rPr>
                        <w:rFonts w:ascii="Cambria Math" w:hAnsi="Cambria Math"/>
                      </w:rPr>
                      <m:t>2×</m:t>
                    </m:r>
                    <m:r>
                      <m:rPr>
                        <m:sty m:val="p"/>
                      </m:rPr>
                      <w:rPr>
                        <w:rFonts w:ascii="Cambria Math" w:hAnsi="Cambria Math"/>
                      </w:rPr>
                      <m:t>8,500</m:t>
                    </m:r>
                  </m:num>
                  <m:den>
                    <m:d>
                      <m:dPr>
                        <m:ctrlPr>
                          <w:rPr>
                            <w:rFonts w:ascii="Cambria Math" w:hAnsi="Cambria Math"/>
                          </w:rPr>
                        </m:ctrlPr>
                      </m:dPr>
                      <m:e>
                        <m:r>
                          <w:rPr>
                            <w:rFonts w:ascii="Cambria Math" w:hAnsi="Cambria Math"/>
                          </w:rPr>
                          <m:t>2×</m:t>
                        </m:r>
                        <m:r>
                          <m:rPr>
                            <m:sty m:val="p"/>
                          </m:rPr>
                          <w:rPr>
                            <w:rFonts w:ascii="Cambria Math" w:hAnsi="Cambria Math"/>
                          </w:rPr>
                          <m:t>2,400</m:t>
                        </m:r>
                      </m:e>
                    </m:d>
                    <m:r>
                      <w:rPr>
                        <w:rFonts w:ascii="Cambria Math" w:hAnsi="Cambria Math"/>
                      </w:rPr>
                      <m:t>+</m:t>
                    </m:r>
                    <m:r>
                      <m:rPr>
                        <m:sty m:val="p"/>
                      </m:rPr>
                      <w:rPr>
                        <w:rFonts w:ascii="Cambria Math" w:hAnsi="Cambria Math"/>
                      </w:rPr>
                      <m:t>3,500</m:t>
                    </m:r>
                  </m:den>
                </m:f>
                <m:r>
                  <w:rPr>
                    <w:rFonts w:ascii="Cambria Math" w:hAnsi="Cambria Math"/>
                  </w:rPr>
                  <m:t>×</m:t>
                </m:r>
                <m:r>
                  <m:rPr>
                    <m:sty m:val="p"/>
                  </m:rPr>
                  <w:rPr>
                    <w:rFonts w:ascii="Cambria Math" w:hAnsi="Cambria Math"/>
                  </w:rPr>
                  <m:t>2,400</m:t>
                </m:r>
                <m:r>
                  <w:rPr>
                    <w:rFonts w:ascii="Cambria Math" w:hAnsi="Cambria Math"/>
                  </w:rPr>
                  <m:t>=</m:t>
                </m:r>
                <m:r>
                  <m:rPr>
                    <m:sty m:val="p"/>
                  </m:rPr>
                  <w:rPr>
                    <w:rFonts w:ascii="Cambria Math" w:hAnsi="Cambria Math"/>
                  </w:rPr>
                  <m:t>4,916</m:t>
                </m:r>
              </m:oMath>
            </m:oMathPara>
          </w:p>
        </w:tc>
      </w:tr>
      <w:tr w:rsidR="00026E66" w14:paraId="5665EDD7" w14:textId="77777777" w:rsidTr="004C1365">
        <w:trPr>
          <w:trHeight w:val="922"/>
        </w:trPr>
        <w:tc>
          <w:tcPr>
            <w:tcW w:w="4678" w:type="dxa"/>
          </w:tcPr>
          <w:p w14:paraId="282F0986" w14:textId="77777777" w:rsidR="00026E66" w:rsidRDefault="002737EF" w:rsidP="00F22E60">
            <w:r>
              <w:t xml:space="preserve">Fuel for non-renewable heat output (calculated using formula given in paragraph 17 of the </w:t>
            </w:r>
            <w:hyperlink r:id="rId130" w:history="1">
              <w:r>
                <w:rPr>
                  <w:rStyle w:val="Hyperlink"/>
                  <w:color w:val="0070C0"/>
                </w:rPr>
                <w:t>Technical Annex</w:t>
              </w:r>
            </w:hyperlink>
            <w:r>
              <w:t xml:space="preserve">) </w:t>
            </w:r>
          </w:p>
        </w:tc>
        <w:tc>
          <w:tcPr>
            <w:tcW w:w="4228" w:type="dxa"/>
          </w:tcPr>
          <w:p w14:paraId="2F8D2F8D" w14:textId="77777777" w:rsidR="00026E66" w:rsidRDefault="00000000" w:rsidP="00FF0098">
            <w:pPr>
              <w:tabs>
                <w:tab w:val="left" w:pos="0"/>
              </w:tabs>
              <w:spacing w:after="0" w:line="256" w:lineRule="auto"/>
              <w:jc w:val="center"/>
            </w:pPr>
            <m:oMathPara>
              <m:oMathParaPr>
                <m:jc m:val="center"/>
              </m:oMathParaPr>
              <m:oMath>
                <m:f>
                  <m:fPr>
                    <m:ctrlPr>
                      <w:rPr>
                        <w:rFonts w:ascii="Cambria Math" w:hAnsi="Cambria Math"/>
                      </w:rPr>
                    </m:ctrlPr>
                  </m:fPr>
                  <m:num>
                    <m:r>
                      <w:rPr>
                        <w:rFonts w:ascii="Cambria Math" w:hAnsi="Cambria Math"/>
                      </w:rPr>
                      <m:t>8500</m:t>
                    </m:r>
                  </m:num>
                  <m:den>
                    <m:d>
                      <m:dPr>
                        <m:ctrlPr>
                          <w:rPr>
                            <w:rFonts w:ascii="Cambria Math" w:hAnsi="Cambria Math"/>
                          </w:rPr>
                        </m:ctrlPr>
                      </m:dPr>
                      <m:e>
                        <m:r>
                          <w:rPr>
                            <w:rFonts w:ascii="Cambria Math" w:hAnsi="Cambria Math"/>
                          </w:rPr>
                          <m:t>2×</m:t>
                        </m:r>
                        <m:r>
                          <m:rPr>
                            <m:sty m:val="p"/>
                          </m:rPr>
                          <w:rPr>
                            <w:rFonts w:ascii="Cambria Math" w:hAnsi="Cambria Math"/>
                          </w:rPr>
                          <m:t>2,400</m:t>
                        </m:r>
                      </m:e>
                    </m:d>
                    <m:r>
                      <w:rPr>
                        <w:rFonts w:ascii="Cambria Math" w:hAnsi="Cambria Math"/>
                      </w:rPr>
                      <m:t>+</m:t>
                    </m:r>
                    <m:r>
                      <m:rPr>
                        <m:sty m:val="p"/>
                      </m:rPr>
                      <w:rPr>
                        <w:rFonts w:ascii="Cambria Math" w:hAnsi="Cambria Math"/>
                      </w:rPr>
                      <m:t>3,500</m:t>
                    </m:r>
                  </m:den>
                </m:f>
                <m:r>
                  <w:rPr>
                    <w:rFonts w:ascii="Cambria Math" w:hAnsi="Cambria Math"/>
                  </w:rPr>
                  <m:t>×3500=</m:t>
                </m:r>
                <m:r>
                  <m:rPr>
                    <m:sty m:val="p"/>
                  </m:rPr>
                  <w:rPr>
                    <w:rFonts w:ascii="Cambria Math" w:hAnsi="Cambria Math"/>
                  </w:rPr>
                  <m:t>3,584</m:t>
                </m:r>
              </m:oMath>
            </m:oMathPara>
          </w:p>
        </w:tc>
      </w:tr>
    </w:tbl>
    <w:p w14:paraId="1D46F2F5" w14:textId="77777777" w:rsidR="004C1365" w:rsidRDefault="004C1365">
      <w:pPr>
        <w:suppressAutoHyphens w:val="0"/>
        <w:spacing w:before="0" w:beforeAutospacing="0" w:after="160" w:afterAutospacing="0" w:line="256" w:lineRule="auto"/>
        <w:rPr>
          <w:b/>
          <w:color w:val="auto"/>
        </w:rPr>
      </w:pPr>
      <w:r>
        <w:rPr>
          <w:b/>
          <w:color w:val="auto"/>
        </w:rPr>
        <w:br w:type="page"/>
      </w:r>
    </w:p>
    <w:p w14:paraId="463B8756" w14:textId="792F0E5D" w:rsidR="00E642D6" w:rsidRDefault="00AE46A9" w:rsidP="00FF0098">
      <w:pPr>
        <w:tabs>
          <w:tab w:val="left" w:pos="0"/>
        </w:tabs>
        <w:rPr>
          <w:b/>
        </w:rPr>
      </w:pPr>
      <w:r>
        <w:rPr>
          <w:b/>
          <w:color w:val="auto"/>
        </w:rPr>
        <w:lastRenderedPageBreak/>
        <w:t>Facility A Consumption and accounting – electricity</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20"/>
        <w:gridCol w:w="4086"/>
      </w:tblGrid>
      <w:tr w:rsidR="00E642D6" w14:paraId="5F7B820B" w14:textId="77777777" w:rsidTr="004C1365">
        <w:trPr>
          <w:trHeight w:val="794"/>
        </w:trPr>
        <w:tc>
          <w:tcPr>
            <w:tcW w:w="4820" w:type="dxa"/>
          </w:tcPr>
          <w:p w14:paraId="2AA0242C" w14:textId="77777777" w:rsidR="00E642D6" w:rsidRDefault="00E642D6" w:rsidP="00F22E60">
            <w:r>
              <w:t xml:space="preserve">Total delivered electricity consumed (renewable and non-renewable) </w:t>
            </w:r>
          </w:p>
        </w:tc>
        <w:tc>
          <w:tcPr>
            <w:tcW w:w="4086" w:type="dxa"/>
          </w:tcPr>
          <w:p w14:paraId="5C9872DD" w14:textId="77777777" w:rsidR="00E642D6" w:rsidRDefault="00E642D6" w:rsidP="00B956DE">
            <w:pPr>
              <w:tabs>
                <w:tab w:val="left" w:pos="0"/>
              </w:tabs>
              <w:spacing w:after="0" w:line="256" w:lineRule="auto"/>
              <w:rPr>
                <w:color w:val="auto"/>
              </w:rPr>
            </w:pPr>
            <w:r>
              <w:rPr>
                <w:color w:val="auto"/>
              </w:rPr>
              <w:t xml:space="preserve">= 3,000 MWh </w:t>
            </w:r>
          </w:p>
        </w:tc>
      </w:tr>
      <w:tr w:rsidR="00E642D6" w14:paraId="759C9C9A" w14:textId="77777777" w:rsidTr="004C1365">
        <w:trPr>
          <w:trHeight w:val="799"/>
        </w:trPr>
        <w:tc>
          <w:tcPr>
            <w:tcW w:w="4820" w:type="dxa"/>
          </w:tcPr>
          <w:p w14:paraId="2038C035" w14:textId="77777777" w:rsidR="00E642D6" w:rsidRDefault="00E642D6" w:rsidP="00F22E60">
            <w:r>
              <w:t xml:space="preserve">Delivered electricity consumed – renewable </w:t>
            </w:r>
          </w:p>
        </w:tc>
        <w:tc>
          <w:tcPr>
            <w:tcW w:w="4086" w:type="dxa"/>
          </w:tcPr>
          <w:p w14:paraId="3C326D6C" w14:textId="77777777" w:rsidR="00E642D6" w:rsidRDefault="00E642D6" w:rsidP="00B956DE">
            <w:pPr>
              <w:tabs>
                <w:tab w:val="left" w:pos="0"/>
              </w:tabs>
              <w:spacing w:after="0" w:line="256" w:lineRule="auto"/>
            </w:pPr>
            <w:r>
              <w:rPr>
                <w:color w:val="auto"/>
              </w:rPr>
              <w:t xml:space="preserve">= 50% </w:t>
            </w:r>
            <w:r>
              <w:rPr>
                <w:color w:val="auto"/>
                <w:szCs w:val="24"/>
              </w:rPr>
              <w:t>×</w:t>
            </w:r>
            <w:r>
              <w:rPr>
                <w:color w:val="auto"/>
              </w:rPr>
              <w:t xml:space="preserve"> 3,000 = 1,500 MWh </w:t>
            </w:r>
          </w:p>
        </w:tc>
      </w:tr>
      <w:tr w:rsidR="00E642D6" w14:paraId="09C43F0B" w14:textId="77777777" w:rsidTr="004C1365">
        <w:trPr>
          <w:trHeight w:val="797"/>
        </w:trPr>
        <w:tc>
          <w:tcPr>
            <w:tcW w:w="4820" w:type="dxa"/>
          </w:tcPr>
          <w:p w14:paraId="1430AE05" w14:textId="77777777" w:rsidR="00E642D6" w:rsidRDefault="00E642D6" w:rsidP="00F22E60">
            <w:r>
              <w:t xml:space="preserve">Delivered electricity consumed – non- renewable </w:t>
            </w:r>
          </w:p>
        </w:tc>
        <w:tc>
          <w:tcPr>
            <w:tcW w:w="4086" w:type="dxa"/>
          </w:tcPr>
          <w:p w14:paraId="2A90A2DA" w14:textId="77777777" w:rsidR="00E642D6" w:rsidRDefault="00E642D6" w:rsidP="00B956DE">
            <w:pPr>
              <w:tabs>
                <w:tab w:val="left" w:pos="0"/>
              </w:tabs>
              <w:spacing w:after="0" w:line="256" w:lineRule="auto"/>
            </w:pPr>
            <w:r>
              <w:rPr>
                <w:color w:val="auto"/>
              </w:rPr>
              <w:t xml:space="preserve">= 50% </w:t>
            </w:r>
            <w:r>
              <w:rPr>
                <w:color w:val="auto"/>
                <w:szCs w:val="24"/>
              </w:rPr>
              <w:t>×</w:t>
            </w:r>
            <w:r>
              <w:rPr>
                <w:color w:val="auto"/>
              </w:rPr>
              <w:t xml:space="preserve"> 3,000 = 1,500 MWh </w:t>
            </w:r>
          </w:p>
        </w:tc>
      </w:tr>
      <w:tr w:rsidR="00E642D6" w14:paraId="31635832" w14:textId="77777777" w:rsidTr="004C1365">
        <w:trPr>
          <w:trHeight w:val="797"/>
        </w:trPr>
        <w:tc>
          <w:tcPr>
            <w:tcW w:w="4820" w:type="dxa"/>
          </w:tcPr>
          <w:p w14:paraId="48B3452A" w14:textId="77777777" w:rsidR="00E642D6" w:rsidRDefault="00E642D6" w:rsidP="00F22E60">
            <w:pPr>
              <w:rPr>
                <w:szCs w:val="24"/>
              </w:rPr>
            </w:pPr>
            <w:r>
              <w:rPr>
                <w:szCs w:val="24"/>
              </w:rPr>
              <w:t xml:space="preserve">Primary energy accounted for – renewable electricity </w:t>
            </w:r>
          </w:p>
        </w:tc>
        <w:tc>
          <w:tcPr>
            <w:tcW w:w="4086" w:type="dxa"/>
          </w:tcPr>
          <w:p w14:paraId="207130A1" w14:textId="77777777" w:rsidR="00E642D6" w:rsidRDefault="00E642D6" w:rsidP="00B956DE">
            <w:pPr>
              <w:tabs>
                <w:tab w:val="left" w:pos="0"/>
              </w:tabs>
              <w:spacing w:after="0" w:line="256" w:lineRule="auto"/>
              <w:rPr>
                <w:color w:val="auto"/>
                <w:szCs w:val="24"/>
              </w:rPr>
            </w:pPr>
            <w:r>
              <w:rPr>
                <w:color w:val="auto"/>
                <w:szCs w:val="24"/>
              </w:rPr>
              <w:t xml:space="preserve">= 1,500 × 2.6 = 3,900 MWh </w:t>
            </w:r>
          </w:p>
        </w:tc>
      </w:tr>
      <w:tr w:rsidR="00E642D6" w14:paraId="6D481E2B" w14:textId="77777777" w:rsidTr="004C1365">
        <w:trPr>
          <w:trHeight w:val="797"/>
        </w:trPr>
        <w:tc>
          <w:tcPr>
            <w:tcW w:w="4820" w:type="dxa"/>
          </w:tcPr>
          <w:p w14:paraId="4B3B497C" w14:textId="77777777" w:rsidR="00E642D6" w:rsidRDefault="00E642D6" w:rsidP="00F22E60">
            <w:r>
              <w:t xml:space="preserve">Primary energy accounted for – non- renewable electricity </w:t>
            </w:r>
          </w:p>
        </w:tc>
        <w:tc>
          <w:tcPr>
            <w:tcW w:w="4086" w:type="dxa"/>
          </w:tcPr>
          <w:p w14:paraId="3C7EF349" w14:textId="77777777" w:rsidR="00E642D6" w:rsidRDefault="00000000" w:rsidP="00B956DE">
            <w:pPr>
              <w:tabs>
                <w:tab w:val="left" w:pos="0"/>
              </w:tabs>
              <w:spacing w:after="0" w:line="256" w:lineRule="auto"/>
              <w:jc w:val="center"/>
            </w:pPr>
            <m:oMathPara>
              <m:oMathParaPr>
                <m:jc m:val="center"/>
              </m:oMathParaPr>
              <m:oMath>
                <m:d>
                  <m:dPr>
                    <m:ctrlPr>
                      <w:rPr>
                        <w:rFonts w:ascii="Cambria Math" w:hAnsi="Cambria Math"/>
                      </w:rPr>
                    </m:ctrlPr>
                  </m:dPr>
                  <m:e>
                    <m:f>
                      <m:fPr>
                        <m:ctrlPr>
                          <w:rPr>
                            <w:rFonts w:ascii="Cambria Math" w:hAnsi="Cambria Math"/>
                          </w:rPr>
                        </m:ctrlPr>
                      </m:fPr>
                      <m:num>
                        <m:r>
                          <m:rPr>
                            <m:sty m:val="p"/>
                          </m:rPr>
                          <w:rPr>
                            <w:rFonts w:ascii="Cambria Math" w:hAnsi="Cambria Math"/>
                          </w:rPr>
                          <m:t>1,500</m:t>
                        </m:r>
                      </m:num>
                      <m:den>
                        <m:r>
                          <m:rPr>
                            <m:sty m:val="p"/>
                          </m:rPr>
                          <w:rPr>
                            <w:rFonts w:ascii="Cambria Math" w:hAnsi="Cambria Math"/>
                          </w:rPr>
                          <m:t>2,400</m:t>
                        </m:r>
                      </m:den>
                    </m:f>
                  </m:e>
                </m:d>
                <m:r>
                  <w:rPr>
                    <w:rFonts w:ascii="Cambria Math" w:hAnsi="Cambria Math"/>
                  </w:rPr>
                  <m:t>×</m:t>
                </m:r>
                <m:r>
                  <m:rPr>
                    <m:sty m:val="p"/>
                  </m:rPr>
                  <w:rPr>
                    <w:rFonts w:ascii="Cambria Math" w:hAnsi="Cambria Math"/>
                  </w:rPr>
                  <m:t xml:space="preserve">4,916 </m:t>
                </m:r>
                <m:r>
                  <w:rPr>
                    <w:rFonts w:ascii="Cambria Math" w:hAnsi="Cambria Math"/>
                  </w:rPr>
                  <m:t>=</m:t>
                </m:r>
                <m:r>
                  <m:rPr>
                    <m:sty m:val="p"/>
                  </m:rPr>
                  <w:rPr>
                    <w:rFonts w:ascii="Cambria Math" w:hAnsi="Cambria Math"/>
                  </w:rPr>
                  <m:t xml:space="preserve"> 3,073 MWh</m:t>
                </m:r>
              </m:oMath>
            </m:oMathPara>
          </w:p>
        </w:tc>
      </w:tr>
    </w:tbl>
    <w:p w14:paraId="5C6B8A32" w14:textId="38BC4356" w:rsidR="00E642D6" w:rsidRDefault="00E642D6" w:rsidP="00FF0098">
      <w:pPr>
        <w:tabs>
          <w:tab w:val="left" w:pos="0"/>
        </w:tabs>
        <w:rPr>
          <w:b/>
        </w:rPr>
      </w:pPr>
      <w:r>
        <w:rPr>
          <w:b/>
          <w:color w:val="auto"/>
        </w:rPr>
        <w:t>Facility A Consumption and accounting – heat</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E642D6" w14:paraId="6A25BB6F" w14:textId="77777777" w:rsidTr="004C1365">
        <w:trPr>
          <w:trHeight w:val="542"/>
        </w:trPr>
        <w:tc>
          <w:tcPr>
            <w:tcW w:w="4962" w:type="dxa"/>
          </w:tcPr>
          <w:p w14:paraId="7717C622" w14:textId="77777777" w:rsidR="00E642D6" w:rsidRDefault="00E642D6" w:rsidP="00F22E60">
            <w:r>
              <w:t xml:space="preserve">Total delivered heat consumed </w:t>
            </w:r>
          </w:p>
        </w:tc>
        <w:tc>
          <w:tcPr>
            <w:tcW w:w="3944" w:type="dxa"/>
          </w:tcPr>
          <w:p w14:paraId="66190D72" w14:textId="77777777" w:rsidR="00E642D6" w:rsidRDefault="00E642D6" w:rsidP="00B956DE">
            <w:pPr>
              <w:tabs>
                <w:tab w:val="left" w:pos="0"/>
              </w:tabs>
              <w:spacing w:after="0" w:line="256" w:lineRule="auto"/>
              <w:rPr>
                <w:color w:val="auto"/>
              </w:rPr>
            </w:pPr>
            <w:r>
              <w:rPr>
                <w:color w:val="auto"/>
              </w:rPr>
              <w:t xml:space="preserve">= 3,500 MWh </w:t>
            </w:r>
          </w:p>
        </w:tc>
      </w:tr>
      <w:tr w:rsidR="00E642D6" w14:paraId="5A3F80C7" w14:textId="77777777" w:rsidTr="004C1365">
        <w:trPr>
          <w:trHeight w:val="559"/>
        </w:trPr>
        <w:tc>
          <w:tcPr>
            <w:tcW w:w="4962" w:type="dxa"/>
          </w:tcPr>
          <w:p w14:paraId="4494762E" w14:textId="77777777" w:rsidR="00E642D6" w:rsidRDefault="00E642D6" w:rsidP="00F22E60">
            <w:r>
              <w:t xml:space="preserve">Delivered heat consumed renewable </w:t>
            </w:r>
          </w:p>
        </w:tc>
        <w:tc>
          <w:tcPr>
            <w:tcW w:w="3944" w:type="dxa"/>
          </w:tcPr>
          <w:p w14:paraId="0E8688EC" w14:textId="77777777" w:rsidR="00E642D6" w:rsidRDefault="00E642D6" w:rsidP="00B956DE">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E642D6" w14:paraId="6CBA6E22" w14:textId="77777777" w:rsidTr="004C1365">
        <w:trPr>
          <w:trHeight w:val="562"/>
        </w:trPr>
        <w:tc>
          <w:tcPr>
            <w:tcW w:w="4962" w:type="dxa"/>
          </w:tcPr>
          <w:p w14:paraId="513C313A" w14:textId="77777777" w:rsidR="00E642D6" w:rsidRDefault="00E642D6" w:rsidP="00F22E60">
            <w:r>
              <w:t xml:space="preserve">Delivered heat consumed non-renewable </w:t>
            </w:r>
          </w:p>
        </w:tc>
        <w:tc>
          <w:tcPr>
            <w:tcW w:w="3944" w:type="dxa"/>
          </w:tcPr>
          <w:p w14:paraId="0D395D3C" w14:textId="77777777" w:rsidR="00E642D6" w:rsidRDefault="00E642D6" w:rsidP="00B956DE">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E642D6" w14:paraId="1EBF8E1F" w14:textId="77777777" w:rsidTr="004C1365">
        <w:trPr>
          <w:trHeight w:val="795"/>
        </w:trPr>
        <w:tc>
          <w:tcPr>
            <w:tcW w:w="4962" w:type="dxa"/>
          </w:tcPr>
          <w:p w14:paraId="471FF60D" w14:textId="77777777" w:rsidR="00E642D6" w:rsidRDefault="00E642D6" w:rsidP="00F22E60">
            <w:r>
              <w:t xml:space="preserve">Primary energy accounted for renewable heat </w:t>
            </w:r>
          </w:p>
        </w:tc>
        <w:tc>
          <w:tcPr>
            <w:tcW w:w="3944" w:type="dxa"/>
          </w:tcPr>
          <w:p w14:paraId="302F398C" w14:textId="77777777" w:rsidR="00E642D6" w:rsidRDefault="00E642D6" w:rsidP="00B956DE">
            <w:pPr>
              <w:tabs>
                <w:tab w:val="left" w:pos="0"/>
              </w:tabs>
              <w:spacing w:after="0" w:line="256" w:lineRule="auto"/>
            </w:pPr>
            <w:r>
              <w:rPr>
                <w:color w:val="auto"/>
              </w:rPr>
              <w:t xml:space="preserve">= (1,750/3,500) </w:t>
            </w:r>
            <w:r>
              <w:rPr>
                <w:color w:val="auto"/>
                <w:szCs w:val="24"/>
              </w:rPr>
              <w:t>× 2</w:t>
            </w:r>
            <w:r>
              <w:rPr>
                <w:color w:val="auto"/>
              </w:rPr>
              <w:t xml:space="preserve">,260 = 1,130 MWh </w:t>
            </w:r>
          </w:p>
        </w:tc>
      </w:tr>
      <w:tr w:rsidR="00E642D6" w14:paraId="389E400F" w14:textId="77777777" w:rsidTr="004C1365">
        <w:trPr>
          <w:trHeight w:val="797"/>
        </w:trPr>
        <w:tc>
          <w:tcPr>
            <w:tcW w:w="4962" w:type="dxa"/>
          </w:tcPr>
          <w:p w14:paraId="35BC0212" w14:textId="77777777" w:rsidR="00E642D6" w:rsidRDefault="00E642D6" w:rsidP="00F22E60">
            <w:r>
              <w:t xml:space="preserve">Primary energy accounted for non- renewable heat </w:t>
            </w:r>
          </w:p>
        </w:tc>
        <w:tc>
          <w:tcPr>
            <w:tcW w:w="3944" w:type="dxa"/>
          </w:tcPr>
          <w:p w14:paraId="08A838F8" w14:textId="77777777" w:rsidR="00E642D6" w:rsidRDefault="00E642D6" w:rsidP="00B956DE">
            <w:pPr>
              <w:tabs>
                <w:tab w:val="left" w:pos="0"/>
              </w:tabs>
              <w:spacing w:after="0" w:line="256" w:lineRule="auto"/>
            </w:pPr>
            <w:r>
              <w:rPr>
                <w:color w:val="auto"/>
              </w:rPr>
              <w:t xml:space="preserve">= (1,750/3,500) </w:t>
            </w:r>
            <w:r>
              <w:rPr>
                <w:color w:val="auto"/>
                <w:szCs w:val="24"/>
              </w:rPr>
              <w:t>× 3</w:t>
            </w:r>
            <w:r>
              <w:rPr>
                <w:color w:val="auto"/>
              </w:rPr>
              <w:t xml:space="preserve">,584 = 1,792 MWh </w:t>
            </w:r>
          </w:p>
        </w:tc>
      </w:tr>
    </w:tbl>
    <w:p w14:paraId="17CA72FB" w14:textId="77777777" w:rsidR="004C1365" w:rsidRDefault="004C1365">
      <w:pPr>
        <w:suppressAutoHyphens w:val="0"/>
        <w:spacing w:before="0" w:beforeAutospacing="0" w:after="160" w:afterAutospacing="0" w:line="256" w:lineRule="auto"/>
        <w:rPr>
          <w:b/>
          <w:color w:val="auto"/>
        </w:rPr>
      </w:pPr>
      <w:r>
        <w:rPr>
          <w:b/>
          <w:color w:val="auto"/>
        </w:rPr>
        <w:br w:type="page"/>
      </w:r>
    </w:p>
    <w:p w14:paraId="560BB356" w14:textId="3B6E76A5" w:rsidR="00E642D6" w:rsidRDefault="00AE46A9" w:rsidP="00FF0098">
      <w:pPr>
        <w:tabs>
          <w:tab w:val="left" w:pos="0"/>
        </w:tabs>
        <w:rPr>
          <w:b/>
        </w:rPr>
      </w:pPr>
      <w:r>
        <w:rPr>
          <w:b/>
          <w:color w:val="auto"/>
        </w:rPr>
        <w:lastRenderedPageBreak/>
        <w:t>Facility A Reporting</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AE46A9" w14:paraId="63A07F28" w14:textId="77777777" w:rsidTr="004C1365">
        <w:trPr>
          <w:trHeight w:val="542"/>
        </w:trPr>
        <w:tc>
          <w:tcPr>
            <w:tcW w:w="4962" w:type="dxa"/>
          </w:tcPr>
          <w:p w14:paraId="49B46297" w14:textId="77777777" w:rsidR="00AE46A9" w:rsidRDefault="00AE46A9" w:rsidP="00F22E60">
            <w:r>
              <w:t xml:space="preserve">Delivered renewable electricity </w:t>
            </w:r>
          </w:p>
        </w:tc>
        <w:tc>
          <w:tcPr>
            <w:tcW w:w="3944" w:type="dxa"/>
          </w:tcPr>
          <w:p w14:paraId="28371154" w14:textId="77777777" w:rsidR="00AE46A9" w:rsidRDefault="00AE46A9" w:rsidP="00B956DE">
            <w:pPr>
              <w:tabs>
                <w:tab w:val="left" w:pos="0"/>
              </w:tabs>
              <w:spacing w:after="0" w:line="256" w:lineRule="auto"/>
              <w:rPr>
                <w:color w:val="auto"/>
              </w:rPr>
            </w:pPr>
            <w:r>
              <w:rPr>
                <w:color w:val="auto"/>
              </w:rPr>
              <w:t xml:space="preserve">1,500 MWh </w:t>
            </w:r>
          </w:p>
        </w:tc>
      </w:tr>
      <w:tr w:rsidR="00AE46A9" w14:paraId="081E24AB" w14:textId="77777777" w:rsidTr="004C1365">
        <w:trPr>
          <w:trHeight w:val="545"/>
        </w:trPr>
        <w:tc>
          <w:tcPr>
            <w:tcW w:w="4962" w:type="dxa"/>
          </w:tcPr>
          <w:p w14:paraId="1F3B11DA" w14:textId="77777777" w:rsidR="00AE46A9" w:rsidRDefault="00AE46A9" w:rsidP="00F22E60">
            <w:r>
              <w:t xml:space="preserve">Non-renewable electricity </w:t>
            </w:r>
          </w:p>
        </w:tc>
        <w:tc>
          <w:tcPr>
            <w:tcW w:w="3944" w:type="dxa"/>
          </w:tcPr>
          <w:p w14:paraId="38289663" w14:textId="77777777" w:rsidR="00AE46A9" w:rsidRDefault="00AE46A9" w:rsidP="00B956DE">
            <w:pPr>
              <w:tabs>
                <w:tab w:val="left" w:pos="0"/>
              </w:tabs>
              <w:spacing w:after="0" w:line="256" w:lineRule="auto"/>
              <w:rPr>
                <w:color w:val="auto"/>
              </w:rPr>
            </w:pPr>
            <w:r>
              <w:rPr>
                <w:color w:val="auto"/>
              </w:rPr>
              <w:t xml:space="preserve">3,073 MWh (as natural gas) </w:t>
            </w:r>
          </w:p>
        </w:tc>
      </w:tr>
      <w:tr w:rsidR="00AE46A9" w14:paraId="68F8D7E2" w14:textId="77777777" w:rsidTr="004C1365">
        <w:trPr>
          <w:trHeight w:val="542"/>
        </w:trPr>
        <w:tc>
          <w:tcPr>
            <w:tcW w:w="4962" w:type="dxa"/>
          </w:tcPr>
          <w:p w14:paraId="0771594A" w14:textId="77777777" w:rsidR="00AE46A9" w:rsidRDefault="00AE46A9" w:rsidP="00F22E60">
            <w:r>
              <w:t xml:space="preserve">Renewable heat </w:t>
            </w:r>
          </w:p>
        </w:tc>
        <w:tc>
          <w:tcPr>
            <w:tcW w:w="3944" w:type="dxa"/>
          </w:tcPr>
          <w:p w14:paraId="227B22F5" w14:textId="77777777" w:rsidR="00AE46A9" w:rsidRDefault="00AE46A9" w:rsidP="00B956DE">
            <w:pPr>
              <w:tabs>
                <w:tab w:val="left" w:pos="0"/>
              </w:tabs>
              <w:spacing w:after="0" w:line="256" w:lineRule="auto"/>
              <w:rPr>
                <w:color w:val="auto"/>
              </w:rPr>
            </w:pPr>
            <w:r>
              <w:rPr>
                <w:color w:val="auto"/>
              </w:rPr>
              <w:t xml:space="preserve">1,130 MWh (as biogas) </w:t>
            </w:r>
          </w:p>
        </w:tc>
      </w:tr>
      <w:tr w:rsidR="00AE46A9" w14:paraId="481F4E85" w14:textId="77777777" w:rsidTr="004C1365">
        <w:trPr>
          <w:trHeight w:val="543"/>
        </w:trPr>
        <w:tc>
          <w:tcPr>
            <w:tcW w:w="4962" w:type="dxa"/>
          </w:tcPr>
          <w:p w14:paraId="2D7EF2DD" w14:textId="77777777" w:rsidR="00AE46A9" w:rsidRDefault="00AE46A9" w:rsidP="00F22E60">
            <w:r>
              <w:t xml:space="preserve">Non-renewable heat </w:t>
            </w:r>
          </w:p>
        </w:tc>
        <w:tc>
          <w:tcPr>
            <w:tcW w:w="3944" w:type="dxa"/>
          </w:tcPr>
          <w:p w14:paraId="7A37C220" w14:textId="77777777" w:rsidR="00AE46A9" w:rsidRDefault="00AE46A9" w:rsidP="00B956DE">
            <w:pPr>
              <w:tabs>
                <w:tab w:val="left" w:pos="0"/>
              </w:tabs>
              <w:spacing w:after="0" w:line="256" w:lineRule="auto"/>
              <w:rPr>
                <w:color w:val="auto"/>
              </w:rPr>
            </w:pPr>
            <w:r>
              <w:rPr>
                <w:color w:val="auto"/>
              </w:rPr>
              <w:t xml:space="preserve">1,792 MWh (as natural gas) </w:t>
            </w:r>
          </w:p>
        </w:tc>
      </w:tr>
      <w:tr w:rsidR="00AE46A9" w14:paraId="17EDFA4E" w14:textId="77777777" w:rsidTr="004C1365">
        <w:trPr>
          <w:trHeight w:val="1049"/>
        </w:trPr>
        <w:tc>
          <w:tcPr>
            <w:tcW w:w="4962" w:type="dxa"/>
          </w:tcPr>
          <w:p w14:paraId="741418C2" w14:textId="77777777" w:rsidR="00AE46A9" w:rsidRDefault="00AE46A9" w:rsidP="00F22E60">
            <w:r>
              <w:t>Reporting form would return total CO</w:t>
            </w:r>
            <w:r>
              <w:rPr>
                <w:vertAlign w:val="subscript"/>
              </w:rPr>
              <w:t xml:space="preserve">2 </w:t>
            </w:r>
            <w:r>
              <w:t xml:space="preserve">emissions associated with this energy consumption </w:t>
            </w:r>
          </w:p>
        </w:tc>
        <w:tc>
          <w:tcPr>
            <w:tcW w:w="3944" w:type="dxa"/>
          </w:tcPr>
          <w:p w14:paraId="4206BF84" w14:textId="77777777" w:rsidR="00AE46A9" w:rsidRDefault="00AE46A9" w:rsidP="00B956DE">
            <w:pPr>
              <w:tabs>
                <w:tab w:val="left" w:pos="0"/>
              </w:tabs>
              <w:spacing w:after="0" w:line="256" w:lineRule="auto"/>
            </w:pPr>
            <w:r>
              <w:rPr>
                <w:color w:val="auto"/>
              </w:rPr>
              <w:t>1,681,601 kgCO</w:t>
            </w:r>
            <w:r>
              <w:rPr>
                <w:color w:val="auto"/>
                <w:vertAlign w:val="subscript"/>
              </w:rPr>
              <w:t xml:space="preserve">2 </w:t>
            </w:r>
          </w:p>
        </w:tc>
      </w:tr>
      <w:tr w:rsidR="00AE46A9" w14:paraId="547E1DC5" w14:textId="77777777" w:rsidTr="004C1365">
        <w:trPr>
          <w:trHeight w:val="814"/>
        </w:trPr>
        <w:tc>
          <w:tcPr>
            <w:tcW w:w="4962" w:type="dxa"/>
          </w:tcPr>
          <w:p w14:paraId="1FA84387" w14:textId="77777777" w:rsidR="00AE46A9" w:rsidRDefault="00AE46A9" w:rsidP="00F22E60">
            <w:r>
              <w:t xml:space="preserve">Of which renewable electricity </w:t>
            </w:r>
          </w:p>
        </w:tc>
        <w:tc>
          <w:tcPr>
            <w:tcW w:w="3944" w:type="dxa"/>
          </w:tcPr>
          <w:p w14:paraId="15334692" w14:textId="77777777" w:rsidR="00AE46A9" w:rsidRDefault="00AE46A9" w:rsidP="00B956DE">
            <w:pPr>
              <w:tabs>
                <w:tab w:val="left" w:pos="0"/>
              </w:tabs>
              <w:spacing w:after="0" w:line="256" w:lineRule="auto"/>
            </w:pPr>
            <w:r>
              <w:rPr>
                <w:color w:val="auto"/>
              </w:rPr>
              <w:t xml:space="preserve">= 1,500 MWh </w:t>
            </w:r>
            <w:r>
              <w:rPr>
                <w:color w:val="auto"/>
                <w:szCs w:val="24"/>
              </w:rPr>
              <w:t>× 0</w:t>
            </w:r>
            <w:r>
              <w:rPr>
                <w:color w:val="auto"/>
              </w:rPr>
              <w:t>.52037 kgCO</w:t>
            </w:r>
            <w:r>
              <w:rPr>
                <w:color w:val="auto"/>
                <w:vertAlign w:val="subscript"/>
              </w:rPr>
              <w:t>2</w:t>
            </w:r>
            <w:r>
              <w:rPr>
                <w:color w:val="auto"/>
              </w:rPr>
              <w:t xml:space="preserve">/kWh </w:t>
            </w:r>
            <w:r>
              <w:rPr>
                <w:color w:val="auto"/>
                <w:szCs w:val="24"/>
              </w:rPr>
              <w:t xml:space="preserve">× </w:t>
            </w:r>
          </w:p>
          <w:p w14:paraId="6B270F2D" w14:textId="77777777" w:rsidR="00AE46A9" w:rsidRDefault="00AE46A9" w:rsidP="00B956DE">
            <w:pPr>
              <w:tabs>
                <w:tab w:val="left" w:pos="0"/>
              </w:tabs>
              <w:spacing w:after="0" w:line="256" w:lineRule="auto"/>
            </w:pPr>
            <w:r>
              <w:rPr>
                <w:color w:val="auto"/>
              </w:rPr>
              <w:t>1,000 = 780,555 kgCO</w:t>
            </w:r>
            <w:r>
              <w:rPr>
                <w:color w:val="auto"/>
                <w:vertAlign w:val="subscript"/>
              </w:rPr>
              <w:t xml:space="preserve">2 </w:t>
            </w:r>
          </w:p>
        </w:tc>
      </w:tr>
      <w:tr w:rsidR="00AE46A9" w14:paraId="3ED8B499" w14:textId="77777777" w:rsidTr="004C1365">
        <w:trPr>
          <w:trHeight w:val="811"/>
        </w:trPr>
        <w:tc>
          <w:tcPr>
            <w:tcW w:w="4962" w:type="dxa"/>
          </w:tcPr>
          <w:p w14:paraId="0548E21E" w14:textId="77777777" w:rsidR="00AE46A9" w:rsidRDefault="00AE46A9" w:rsidP="00F22E60">
            <w:r>
              <w:t xml:space="preserve">Of which non-renewable electricity </w:t>
            </w:r>
          </w:p>
        </w:tc>
        <w:tc>
          <w:tcPr>
            <w:tcW w:w="3944" w:type="dxa"/>
          </w:tcPr>
          <w:p w14:paraId="58173A51" w14:textId="77777777" w:rsidR="00AE46A9" w:rsidRDefault="00AE46A9" w:rsidP="00B956DE">
            <w:pPr>
              <w:tabs>
                <w:tab w:val="left" w:pos="0"/>
              </w:tabs>
              <w:spacing w:after="0" w:line="256" w:lineRule="auto"/>
            </w:pPr>
            <w:r>
              <w:rPr>
                <w:color w:val="auto"/>
              </w:rPr>
              <w:t xml:space="preserve">= 3,073 </w:t>
            </w:r>
            <w:r>
              <w:rPr>
                <w:color w:val="auto"/>
                <w:szCs w:val="24"/>
              </w:rPr>
              <w:t>× 0</w:t>
            </w:r>
            <w:r>
              <w:rPr>
                <w:color w:val="auto"/>
              </w:rPr>
              <w:t xml:space="preserve">.18521 </w:t>
            </w:r>
            <w:r>
              <w:rPr>
                <w:color w:val="auto"/>
                <w:szCs w:val="24"/>
              </w:rPr>
              <w:t>× 1</w:t>
            </w:r>
            <w:r>
              <w:rPr>
                <w:color w:val="auto"/>
              </w:rPr>
              <w:t xml:space="preserve">,000 = </w:t>
            </w:r>
          </w:p>
          <w:p w14:paraId="0E250FB8" w14:textId="77777777" w:rsidR="00AE46A9" w:rsidRDefault="00AE46A9" w:rsidP="00B956DE">
            <w:pPr>
              <w:tabs>
                <w:tab w:val="left" w:pos="0"/>
              </w:tabs>
              <w:spacing w:after="0" w:line="256" w:lineRule="auto"/>
            </w:pPr>
            <w:r>
              <w:rPr>
                <w:color w:val="auto"/>
              </w:rPr>
              <w:t>569,150 kgCO</w:t>
            </w:r>
            <w:r>
              <w:rPr>
                <w:color w:val="auto"/>
                <w:vertAlign w:val="subscript"/>
              </w:rPr>
              <w:t xml:space="preserve">2 </w:t>
            </w:r>
          </w:p>
        </w:tc>
      </w:tr>
      <w:tr w:rsidR="00AE46A9" w14:paraId="27FF2D6E" w14:textId="77777777" w:rsidTr="004C1365">
        <w:trPr>
          <w:trHeight w:val="542"/>
        </w:trPr>
        <w:tc>
          <w:tcPr>
            <w:tcW w:w="4962" w:type="dxa"/>
          </w:tcPr>
          <w:p w14:paraId="1A95389C" w14:textId="77777777" w:rsidR="00AE46A9" w:rsidRDefault="00AE46A9" w:rsidP="00F22E60">
            <w:r>
              <w:t xml:space="preserve">Of which renewable heat </w:t>
            </w:r>
          </w:p>
        </w:tc>
        <w:tc>
          <w:tcPr>
            <w:tcW w:w="3944" w:type="dxa"/>
          </w:tcPr>
          <w:p w14:paraId="69A98925" w14:textId="77777777" w:rsidR="00AE46A9" w:rsidRDefault="00AE46A9" w:rsidP="00B956DE">
            <w:pPr>
              <w:tabs>
                <w:tab w:val="left" w:pos="0"/>
              </w:tabs>
              <w:spacing w:after="0" w:line="256" w:lineRule="auto"/>
            </w:pPr>
            <w:r>
              <w:rPr>
                <w:color w:val="auto"/>
              </w:rPr>
              <w:t>0 kg CO</w:t>
            </w:r>
            <w:r>
              <w:rPr>
                <w:color w:val="auto"/>
                <w:vertAlign w:val="subscript"/>
              </w:rPr>
              <w:t xml:space="preserve">2 </w:t>
            </w:r>
          </w:p>
        </w:tc>
      </w:tr>
      <w:tr w:rsidR="00AE46A9" w14:paraId="350C20FA" w14:textId="77777777" w:rsidTr="004C1365">
        <w:trPr>
          <w:trHeight w:val="814"/>
        </w:trPr>
        <w:tc>
          <w:tcPr>
            <w:tcW w:w="4962" w:type="dxa"/>
          </w:tcPr>
          <w:p w14:paraId="037E9867" w14:textId="77777777" w:rsidR="00AE46A9" w:rsidRDefault="00AE46A9" w:rsidP="00F22E60">
            <w:r>
              <w:t xml:space="preserve">Of which non-renewable heat </w:t>
            </w:r>
          </w:p>
        </w:tc>
        <w:tc>
          <w:tcPr>
            <w:tcW w:w="3944" w:type="dxa"/>
          </w:tcPr>
          <w:p w14:paraId="2AA946D1" w14:textId="77777777" w:rsidR="00AE46A9" w:rsidRDefault="00AE46A9" w:rsidP="00B956DE">
            <w:pPr>
              <w:tabs>
                <w:tab w:val="left" w:pos="0"/>
              </w:tabs>
              <w:spacing w:after="0" w:line="256" w:lineRule="auto"/>
            </w:pPr>
            <w:r>
              <w:rPr>
                <w:color w:val="auto"/>
              </w:rPr>
              <w:t xml:space="preserve">= 1,792 MWh </w:t>
            </w:r>
            <w:r>
              <w:rPr>
                <w:rFonts w:eastAsia="Segoe UI Symbol"/>
                <w:color w:val="auto"/>
                <w:szCs w:val="24"/>
              </w:rPr>
              <w:t xml:space="preserve">× </w:t>
            </w:r>
            <w:r>
              <w:rPr>
                <w:color w:val="auto"/>
              </w:rPr>
              <w:t>0.18521 kgCO</w:t>
            </w:r>
            <w:r>
              <w:rPr>
                <w:color w:val="auto"/>
                <w:vertAlign w:val="subscript"/>
              </w:rPr>
              <w:t>2</w:t>
            </w:r>
            <w:r>
              <w:rPr>
                <w:color w:val="auto"/>
              </w:rPr>
              <w:t xml:space="preserve">/kWh </w:t>
            </w:r>
            <w:r>
              <w:rPr>
                <w:color w:val="auto"/>
                <w:szCs w:val="24"/>
              </w:rPr>
              <w:t xml:space="preserve">× </w:t>
            </w:r>
          </w:p>
          <w:p w14:paraId="3B0E7786" w14:textId="77777777" w:rsidR="00AE46A9" w:rsidRDefault="00AE46A9" w:rsidP="00B956DE">
            <w:pPr>
              <w:tabs>
                <w:tab w:val="left" w:pos="0"/>
              </w:tabs>
              <w:spacing w:after="0" w:line="256" w:lineRule="auto"/>
            </w:pPr>
            <w:r>
              <w:rPr>
                <w:color w:val="auto"/>
              </w:rPr>
              <w:t>1,000 = 331,896 kgCO</w:t>
            </w:r>
            <w:r>
              <w:rPr>
                <w:color w:val="auto"/>
                <w:vertAlign w:val="subscript"/>
              </w:rPr>
              <w:t xml:space="preserve">2 </w:t>
            </w:r>
          </w:p>
        </w:tc>
      </w:tr>
    </w:tbl>
    <w:p w14:paraId="477020E2" w14:textId="77777777" w:rsidR="004C1365" w:rsidRDefault="004C1365">
      <w:pPr>
        <w:suppressAutoHyphens w:val="0"/>
        <w:spacing w:before="0" w:beforeAutospacing="0" w:after="160" w:afterAutospacing="0" w:line="256" w:lineRule="auto"/>
        <w:rPr>
          <w:b/>
          <w:color w:val="auto"/>
        </w:rPr>
      </w:pPr>
      <w:r>
        <w:rPr>
          <w:b/>
          <w:color w:val="auto"/>
        </w:rPr>
        <w:br w:type="page"/>
      </w:r>
    </w:p>
    <w:p w14:paraId="57895498" w14:textId="52A2B7C0" w:rsidR="00AE46A9" w:rsidRDefault="00AE46A9" w:rsidP="00FF0098">
      <w:pPr>
        <w:tabs>
          <w:tab w:val="left" w:pos="0"/>
        </w:tabs>
        <w:rPr>
          <w:b/>
        </w:rPr>
      </w:pPr>
      <w:r>
        <w:rPr>
          <w:b/>
          <w:color w:val="auto"/>
        </w:rPr>
        <w:lastRenderedPageBreak/>
        <w:t>Facility B Consumption and accounting – electricity</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AE46A9" w14:paraId="5707F1BD" w14:textId="77777777" w:rsidTr="004C1365">
        <w:trPr>
          <w:trHeight w:val="542"/>
        </w:trPr>
        <w:tc>
          <w:tcPr>
            <w:tcW w:w="4962" w:type="dxa"/>
          </w:tcPr>
          <w:p w14:paraId="5937A200" w14:textId="77777777" w:rsidR="00AE46A9" w:rsidRDefault="00AE46A9" w:rsidP="00F22E60">
            <w:r>
              <w:t xml:space="preserve">Total delivered electricity consumed </w:t>
            </w:r>
          </w:p>
        </w:tc>
        <w:tc>
          <w:tcPr>
            <w:tcW w:w="3944" w:type="dxa"/>
          </w:tcPr>
          <w:p w14:paraId="464EC5D2" w14:textId="77777777" w:rsidR="00AE46A9" w:rsidRDefault="00AE46A9" w:rsidP="00B956DE">
            <w:pPr>
              <w:tabs>
                <w:tab w:val="left" w:pos="0"/>
              </w:tabs>
              <w:spacing w:after="0" w:line="256" w:lineRule="auto"/>
              <w:rPr>
                <w:color w:val="auto"/>
              </w:rPr>
            </w:pPr>
            <w:r>
              <w:rPr>
                <w:color w:val="auto"/>
              </w:rPr>
              <w:t xml:space="preserve">= 1,800 MWh </w:t>
            </w:r>
          </w:p>
        </w:tc>
      </w:tr>
      <w:tr w:rsidR="00AE46A9" w14:paraId="761A8AC8" w14:textId="77777777" w:rsidTr="004C1365">
        <w:trPr>
          <w:trHeight w:val="797"/>
        </w:trPr>
        <w:tc>
          <w:tcPr>
            <w:tcW w:w="4962" w:type="dxa"/>
          </w:tcPr>
          <w:p w14:paraId="66D1C171" w14:textId="77777777" w:rsidR="00AE46A9" w:rsidRDefault="00AE46A9" w:rsidP="00F22E60">
            <w:r>
              <w:t xml:space="preserve">Delivered electricity consumed – renewable </w:t>
            </w:r>
          </w:p>
        </w:tc>
        <w:tc>
          <w:tcPr>
            <w:tcW w:w="3944" w:type="dxa"/>
          </w:tcPr>
          <w:p w14:paraId="17F6E777" w14:textId="77777777" w:rsidR="00AE46A9" w:rsidRDefault="00AE46A9" w:rsidP="00B956DE">
            <w:pPr>
              <w:tabs>
                <w:tab w:val="left" w:pos="0"/>
              </w:tabs>
              <w:spacing w:after="0" w:line="256" w:lineRule="auto"/>
            </w:pPr>
            <w:r>
              <w:rPr>
                <w:color w:val="auto"/>
              </w:rPr>
              <w:t xml:space="preserve">= 50% </w:t>
            </w:r>
            <w:r>
              <w:rPr>
                <w:color w:val="auto"/>
                <w:szCs w:val="24"/>
              </w:rPr>
              <w:t>× 1</w:t>
            </w:r>
            <w:r>
              <w:rPr>
                <w:color w:val="auto"/>
              </w:rPr>
              <w:t xml:space="preserve">,800 = 900 MWh </w:t>
            </w:r>
          </w:p>
        </w:tc>
      </w:tr>
      <w:tr w:rsidR="00AE46A9" w14:paraId="211C2468" w14:textId="77777777" w:rsidTr="004C1365">
        <w:trPr>
          <w:trHeight w:val="797"/>
        </w:trPr>
        <w:tc>
          <w:tcPr>
            <w:tcW w:w="4962" w:type="dxa"/>
          </w:tcPr>
          <w:p w14:paraId="734B1097" w14:textId="77777777" w:rsidR="00AE46A9" w:rsidRDefault="00AE46A9" w:rsidP="00F22E60">
            <w:r>
              <w:t xml:space="preserve">Delivered electricity consumed – non- renewable </w:t>
            </w:r>
          </w:p>
        </w:tc>
        <w:tc>
          <w:tcPr>
            <w:tcW w:w="3944" w:type="dxa"/>
          </w:tcPr>
          <w:p w14:paraId="21C86D77" w14:textId="77777777" w:rsidR="00AE46A9" w:rsidRDefault="00AE46A9" w:rsidP="00B956DE">
            <w:pPr>
              <w:tabs>
                <w:tab w:val="left" w:pos="0"/>
              </w:tabs>
              <w:spacing w:after="0" w:line="256" w:lineRule="auto"/>
            </w:pPr>
            <w:r>
              <w:rPr>
                <w:color w:val="auto"/>
              </w:rPr>
              <w:t xml:space="preserve">= 50% </w:t>
            </w:r>
            <w:r>
              <w:rPr>
                <w:color w:val="auto"/>
                <w:szCs w:val="24"/>
              </w:rPr>
              <w:t>× 1</w:t>
            </w:r>
            <w:r>
              <w:rPr>
                <w:color w:val="auto"/>
              </w:rPr>
              <w:t xml:space="preserve">,800 = 900 MWh </w:t>
            </w:r>
          </w:p>
        </w:tc>
      </w:tr>
      <w:tr w:rsidR="00AE46A9" w14:paraId="30F99370" w14:textId="77777777" w:rsidTr="004C1365">
        <w:trPr>
          <w:trHeight w:val="797"/>
        </w:trPr>
        <w:tc>
          <w:tcPr>
            <w:tcW w:w="4962" w:type="dxa"/>
          </w:tcPr>
          <w:p w14:paraId="4FAD69C5" w14:textId="77777777" w:rsidR="00AE46A9" w:rsidRDefault="00AE46A9" w:rsidP="00F22E60">
            <w:r>
              <w:t xml:space="preserve">Primary energy accounted for – renewable electricity </w:t>
            </w:r>
          </w:p>
        </w:tc>
        <w:tc>
          <w:tcPr>
            <w:tcW w:w="3944" w:type="dxa"/>
          </w:tcPr>
          <w:p w14:paraId="4ABF890D" w14:textId="77777777" w:rsidR="00AE46A9" w:rsidRDefault="00AE46A9" w:rsidP="00B956DE">
            <w:pPr>
              <w:tabs>
                <w:tab w:val="left" w:pos="0"/>
              </w:tabs>
              <w:spacing w:after="0" w:line="256" w:lineRule="auto"/>
            </w:pPr>
            <w:r>
              <w:rPr>
                <w:color w:val="auto"/>
              </w:rPr>
              <w:t xml:space="preserve">= 900 </w:t>
            </w:r>
            <w:r>
              <w:rPr>
                <w:color w:val="auto"/>
                <w:szCs w:val="24"/>
              </w:rPr>
              <w:t>× 2</w:t>
            </w:r>
            <w:r>
              <w:rPr>
                <w:color w:val="auto"/>
              </w:rPr>
              <w:t xml:space="preserve">.6 = 2,340 MWh </w:t>
            </w:r>
          </w:p>
        </w:tc>
      </w:tr>
      <w:tr w:rsidR="00AE46A9" w14:paraId="50E968A2" w14:textId="77777777" w:rsidTr="004C1365">
        <w:trPr>
          <w:trHeight w:val="794"/>
        </w:trPr>
        <w:tc>
          <w:tcPr>
            <w:tcW w:w="4962" w:type="dxa"/>
          </w:tcPr>
          <w:p w14:paraId="7199EFC0" w14:textId="77777777" w:rsidR="00AE46A9" w:rsidRDefault="00AE46A9" w:rsidP="00F22E60">
            <w:r>
              <w:t xml:space="preserve">Primary energy accounted for – non- renewable electricity </w:t>
            </w:r>
          </w:p>
        </w:tc>
        <w:tc>
          <w:tcPr>
            <w:tcW w:w="3944" w:type="dxa"/>
          </w:tcPr>
          <w:p w14:paraId="398F7E34" w14:textId="77777777" w:rsidR="00AE46A9" w:rsidRDefault="00AE46A9" w:rsidP="00B956DE">
            <w:pPr>
              <w:tabs>
                <w:tab w:val="left" w:pos="0"/>
              </w:tabs>
              <w:spacing w:after="0" w:line="256" w:lineRule="auto"/>
            </w:pPr>
            <w:r>
              <w:rPr>
                <w:color w:val="auto"/>
              </w:rPr>
              <w:t xml:space="preserve">= (900/2,400) </w:t>
            </w:r>
            <w:r>
              <w:rPr>
                <w:color w:val="auto"/>
                <w:szCs w:val="24"/>
              </w:rPr>
              <w:t>× 4</w:t>
            </w:r>
            <w:r>
              <w:rPr>
                <w:color w:val="auto"/>
              </w:rPr>
              <w:t xml:space="preserve">,916 = 1,844 MWh </w:t>
            </w:r>
          </w:p>
        </w:tc>
      </w:tr>
    </w:tbl>
    <w:p w14:paraId="072BE5AB" w14:textId="31ED1E44" w:rsidR="00AE46A9" w:rsidRDefault="00AE46A9" w:rsidP="00FF0098">
      <w:pPr>
        <w:tabs>
          <w:tab w:val="left" w:pos="0"/>
        </w:tabs>
        <w:rPr>
          <w:b/>
        </w:rPr>
      </w:pPr>
      <w:r>
        <w:rPr>
          <w:b/>
          <w:color w:val="auto"/>
        </w:rPr>
        <w:t>Facility B Consumption and accounting –</w:t>
      </w:r>
      <w:r w:rsidR="00F22E60">
        <w:rPr>
          <w:b/>
          <w:color w:val="auto"/>
        </w:rPr>
        <w:t xml:space="preserve"> </w:t>
      </w:r>
      <w:r>
        <w:rPr>
          <w:b/>
          <w:color w:val="auto"/>
        </w:rPr>
        <w:t>heat</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AE46A9" w14:paraId="4980512E" w14:textId="77777777" w:rsidTr="004C1365">
        <w:trPr>
          <w:trHeight w:val="542"/>
        </w:trPr>
        <w:tc>
          <w:tcPr>
            <w:tcW w:w="4962" w:type="dxa"/>
          </w:tcPr>
          <w:p w14:paraId="3DE82D7F" w14:textId="77777777" w:rsidR="00AE46A9" w:rsidRDefault="00AE46A9" w:rsidP="00F22E60">
            <w:r>
              <w:t xml:space="preserve">Total delivered heat consumed </w:t>
            </w:r>
          </w:p>
        </w:tc>
        <w:tc>
          <w:tcPr>
            <w:tcW w:w="3944" w:type="dxa"/>
          </w:tcPr>
          <w:p w14:paraId="0F264060" w14:textId="77777777" w:rsidR="00AE46A9" w:rsidRDefault="00AE46A9" w:rsidP="00B956DE">
            <w:pPr>
              <w:tabs>
                <w:tab w:val="left" w:pos="0"/>
              </w:tabs>
              <w:spacing w:after="0" w:line="256" w:lineRule="auto"/>
              <w:rPr>
                <w:color w:val="auto"/>
              </w:rPr>
            </w:pPr>
            <w:r>
              <w:rPr>
                <w:color w:val="auto"/>
              </w:rPr>
              <w:t xml:space="preserve">= 3,500 MWh </w:t>
            </w:r>
          </w:p>
        </w:tc>
      </w:tr>
      <w:tr w:rsidR="00AE46A9" w14:paraId="09C19D5F" w14:textId="77777777" w:rsidTr="004C1365">
        <w:trPr>
          <w:trHeight w:val="559"/>
        </w:trPr>
        <w:tc>
          <w:tcPr>
            <w:tcW w:w="4962" w:type="dxa"/>
          </w:tcPr>
          <w:p w14:paraId="5AB7354A" w14:textId="77777777" w:rsidR="00AE46A9" w:rsidRDefault="00AE46A9" w:rsidP="00F22E60">
            <w:r>
              <w:t xml:space="preserve">Delivered heat consumed – renewable </w:t>
            </w:r>
          </w:p>
        </w:tc>
        <w:tc>
          <w:tcPr>
            <w:tcW w:w="3944" w:type="dxa"/>
          </w:tcPr>
          <w:p w14:paraId="41844115" w14:textId="77777777" w:rsidR="00AE46A9" w:rsidRDefault="00AE46A9" w:rsidP="00B956DE">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AE46A9" w14:paraId="07AECC61" w14:textId="77777777" w:rsidTr="004C1365">
        <w:trPr>
          <w:trHeight w:val="560"/>
        </w:trPr>
        <w:tc>
          <w:tcPr>
            <w:tcW w:w="4962" w:type="dxa"/>
          </w:tcPr>
          <w:p w14:paraId="63BEF7B6" w14:textId="77777777" w:rsidR="00AE46A9" w:rsidRDefault="00AE46A9" w:rsidP="00F22E60">
            <w:r>
              <w:t xml:space="preserve">Delivered heat consumed – non-renewable </w:t>
            </w:r>
          </w:p>
        </w:tc>
        <w:tc>
          <w:tcPr>
            <w:tcW w:w="3944" w:type="dxa"/>
          </w:tcPr>
          <w:p w14:paraId="3031F5C8" w14:textId="77777777" w:rsidR="00AE46A9" w:rsidRDefault="00AE46A9" w:rsidP="00B956DE">
            <w:pPr>
              <w:tabs>
                <w:tab w:val="left" w:pos="0"/>
              </w:tabs>
              <w:spacing w:after="0" w:line="256" w:lineRule="auto"/>
            </w:pPr>
            <w:r>
              <w:rPr>
                <w:color w:val="auto"/>
              </w:rPr>
              <w:t xml:space="preserve">= 50% </w:t>
            </w:r>
            <w:r>
              <w:rPr>
                <w:color w:val="auto"/>
                <w:szCs w:val="24"/>
              </w:rPr>
              <w:t>× 3</w:t>
            </w:r>
            <w:r>
              <w:rPr>
                <w:color w:val="auto"/>
              </w:rPr>
              <w:t xml:space="preserve">,500 = 1,750 MWh </w:t>
            </w:r>
          </w:p>
        </w:tc>
      </w:tr>
      <w:tr w:rsidR="00AE46A9" w14:paraId="1E2DD1D2" w14:textId="77777777" w:rsidTr="004C1365">
        <w:trPr>
          <w:trHeight w:val="797"/>
        </w:trPr>
        <w:tc>
          <w:tcPr>
            <w:tcW w:w="4962" w:type="dxa"/>
          </w:tcPr>
          <w:p w14:paraId="57E36D18" w14:textId="77777777" w:rsidR="00AE46A9" w:rsidRDefault="00AE46A9" w:rsidP="00F22E60">
            <w:r>
              <w:t xml:space="preserve">Primary energy accounted for – renewable heat </w:t>
            </w:r>
          </w:p>
        </w:tc>
        <w:tc>
          <w:tcPr>
            <w:tcW w:w="3944" w:type="dxa"/>
          </w:tcPr>
          <w:p w14:paraId="4ADD12FA" w14:textId="77777777" w:rsidR="00AE46A9" w:rsidRDefault="00AE46A9" w:rsidP="00B956DE">
            <w:pPr>
              <w:tabs>
                <w:tab w:val="left" w:pos="0"/>
              </w:tabs>
              <w:spacing w:after="0" w:line="256" w:lineRule="auto"/>
            </w:pPr>
            <w:r>
              <w:rPr>
                <w:color w:val="auto"/>
              </w:rPr>
              <w:t xml:space="preserve">= (1,750/3,500) </w:t>
            </w:r>
            <w:r>
              <w:rPr>
                <w:color w:val="auto"/>
                <w:szCs w:val="24"/>
              </w:rPr>
              <w:t>× 2</w:t>
            </w:r>
            <w:r>
              <w:rPr>
                <w:color w:val="auto"/>
              </w:rPr>
              <w:t xml:space="preserve">,260 = 1,130 MWh </w:t>
            </w:r>
          </w:p>
        </w:tc>
      </w:tr>
      <w:tr w:rsidR="00AE46A9" w14:paraId="600490F9" w14:textId="77777777" w:rsidTr="004C1365">
        <w:trPr>
          <w:trHeight w:val="794"/>
        </w:trPr>
        <w:tc>
          <w:tcPr>
            <w:tcW w:w="4962" w:type="dxa"/>
          </w:tcPr>
          <w:p w14:paraId="5ED72653" w14:textId="77777777" w:rsidR="00AE46A9" w:rsidRDefault="00AE46A9" w:rsidP="00F22E60">
            <w:r>
              <w:t xml:space="preserve">Primary energy accounted for – non- renewable heat </w:t>
            </w:r>
          </w:p>
        </w:tc>
        <w:tc>
          <w:tcPr>
            <w:tcW w:w="3944" w:type="dxa"/>
          </w:tcPr>
          <w:p w14:paraId="7EE63177" w14:textId="77777777" w:rsidR="00AE46A9" w:rsidRDefault="00AE46A9" w:rsidP="00B956DE">
            <w:pPr>
              <w:tabs>
                <w:tab w:val="left" w:pos="0"/>
              </w:tabs>
              <w:spacing w:after="0" w:line="256" w:lineRule="auto"/>
            </w:pPr>
            <w:r>
              <w:rPr>
                <w:color w:val="auto"/>
              </w:rPr>
              <w:t xml:space="preserve">= (1,750/3,500) </w:t>
            </w:r>
            <w:r>
              <w:rPr>
                <w:color w:val="auto"/>
                <w:szCs w:val="24"/>
              </w:rPr>
              <w:t>× 3</w:t>
            </w:r>
            <w:r>
              <w:rPr>
                <w:color w:val="auto"/>
              </w:rPr>
              <w:t xml:space="preserve">,584 = 1,792 MWh </w:t>
            </w:r>
          </w:p>
        </w:tc>
      </w:tr>
    </w:tbl>
    <w:p w14:paraId="00B36FFA" w14:textId="77777777" w:rsidR="004C1365" w:rsidRDefault="004C1365">
      <w:pPr>
        <w:suppressAutoHyphens w:val="0"/>
        <w:spacing w:before="0" w:beforeAutospacing="0" w:after="160" w:afterAutospacing="0" w:line="256" w:lineRule="auto"/>
        <w:rPr>
          <w:b/>
          <w:color w:val="auto"/>
        </w:rPr>
      </w:pPr>
      <w:r>
        <w:rPr>
          <w:b/>
          <w:color w:val="auto"/>
        </w:rPr>
        <w:br w:type="page"/>
      </w:r>
    </w:p>
    <w:p w14:paraId="28E8F1A3" w14:textId="63A30994" w:rsidR="00AE46A9" w:rsidRDefault="00AE46A9" w:rsidP="00FF0098">
      <w:pPr>
        <w:tabs>
          <w:tab w:val="left" w:pos="0"/>
        </w:tabs>
        <w:rPr>
          <w:b/>
        </w:rPr>
      </w:pPr>
      <w:r>
        <w:rPr>
          <w:b/>
          <w:color w:val="auto"/>
        </w:rPr>
        <w:lastRenderedPageBreak/>
        <w:t>Facility B Reporting</w:t>
      </w:r>
    </w:p>
    <w:tbl>
      <w:tblPr>
        <w:tblW w:w="890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962"/>
        <w:gridCol w:w="3944"/>
      </w:tblGrid>
      <w:tr w:rsidR="00AE46A9" w14:paraId="0C7405A3" w14:textId="77777777" w:rsidTr="004C1365">
        <w:trPr>
          <w:trHeight w:val="542"/>
        </w:trPr>
        <w:tc>
          <w:tcPr>
            <w:tcW w:w="4962" w:type="dxa"/>
          </w:tcPr>
          <w:p w14:paraId="1E3BE381" w14:textId="77777777" w:rsidR="00AE46A9" w:rsidRDefault="00AE46A9" w:rsidP="00F22E60">
            <w:r>
              <w:t xml:space="preserve">Delivered renewable electricity </w:t>
            </w:r>
          </w:p>
        </w:tc>
        <w:tc>
          <w:tcPr>
            <w:tcW w:w="3944" w:type="dxa"/>
          </w:tcPr>
          <w:p w14:paraId="7A93A028" w14:textId="77777777" w:rsidR="00AE46A9" w:rsidRDefault="00AE46A9" w:rsidP="00B956DE">
            <w:pPr>
              <w:tabs>
                <w:tab w:val="left" w:pos="0"/>
              </w:tabs>
              <w:spacing w:after="0" w:line="256" w:lineRule="auto"/>
              <w:rPr>
                <w:color w:val="auto"/>
              </w:rPr>
            </w:pPr>
            <w:r>
              <w:rPr>
                <w:color w:val="auto"/>
              </w:rPr>
              <w:t xml:space="preserve">900 MWh </w:t>
            </w:r>
          </w:p>
        </w:tc>
      </w:tr>
      <w:tr w:rsidR="00AE46A9" w14:paraId="208BC159" w14:textId="77777777" w:rsidTr="004C1365">
        <w:trPr>
          <w:trHeight w:val="543"/>
        </w:trPr>
        <w:tc>
          <w:tcPr>
            <w:tcW w:w="4962" w:type="dxa"/>
          </w:tcPr>
          <w:p w14:paraId="5A08EF4B" w14:textId="77777777" w:rsidR="00AE46A9" w:rsidRDefault="00AE46A9" w:rsidP="00F22E60">
            <w:r>
              <w:t xml:space="preserve">Non-renewable electricity </w:t>
            </w:r>
          </w:p>
        </w:tc>
        <w:tc>
          <w:tcPr>
            <w:tcW w:w="3944" w:type="dxa"/>
          </w:tcPr>
          <w:p w14:paraId="23D0E91D" w14:textId="77777777" w:rsidR="00AE46A9" w:rsidRDefault="00AE46A9" w:rsidP="00B956DE">
            <w:pPr>
              <w:tabs>
                <w:tab w:val="left" w:pos="0"/>
              </w:tabs>
              <w:spacing w:after="0" w:line="256" w:lineRule="auto"/>
              <w:rPr>
                <w:color w:val="auto"/>
              </w:rPr>
            </w:pPr>
            <w:r>
              <w:rPr>
                <w:color w:val="auto"/>
              </w:rPr>
              <w:t xml:space="preserve">1,844 MWh (as natural gas) </w:t>
            </w:r>
          </w:p>
        </w:tc>
      </w:tr>
      <w:tr w:rsidR="00AE46A9" w14:paraId="73A754DC" w14:textId="77777777" w:rsidTr="004C1365">
        <w:trPr>
          <w:trHeight w:val="542"/>
        </w:trPr>
        <w:tc>
          <w:tcPr>
            <w:tcW w:w="4962" w:type="dxa"/>
          </w:tcPr>
          <w:p w14:paraId="2C853592" w14:textId="77777777" w:rsidR="00AE46A9" w:rsidRDefault="00AE46A9" w:rsidP="00F22E60">
            <w:r>
              <w:t xml:space="preserve">Renewable heat </w:t>
            </w:r>
          </w:p>
        </w:tc>
        <w:tc>
          <w:tcPr>
            <w:tcW w:w="3944" w:type="dxa"/>
          </w:tcPr>
          <w:p w14:paraId="0D64EB66" w14:textId="77777777" w:rsidR="00AE46A9" w:rsidRDefault="00AE46A9" w:rsidP="00B956DE">
            <w:pPr>
              <w:tabs>
                <w:tab w:val="left" w:pos="0"/>
              </w:tabs>
              <w:spacing w:after="0" w:line="256" w:lineRule="auto"/>
              <w:rPr>
                <w:color w:val="auto"/>
              </w:rPr>
            </w:pPr>
            <w:r>
              <w:rPr>
                <w:color w:val="auto"/>
              </w:rPr>
              <w:t xml:space="preserve">1,130 MWh (as biogas) </w:t>
            </w:r>
          </w:p>
        </w:tc>
      </w:tr>
      <w:tr w:rsidR="00AE46A9" w14:paraId="03874329" w14:textId="77777777" w:rsidTr="004C1365">
        <w:trPr>
          <w:trHeight w:val="545"/>
        </w:trPr>
        <w:tc>
          <w:tcPr>
            <w:tcW w:w="4962" w:type="dxa"/>
          </w:tcPr>
          <w:p w14:paraId="756F6D96" w14:textId="77777777" w:rsidR="00AE46A9" w:rsidRDefault="00AE46A9" w:rsidP="00F22E60">
            <w:r>
              <w:t xml:space="preserve">Non-renewable heat </w:t>
            </w:r>
          </w:p>
        </w:tc>
        <w:tc>
          <w:tcPr>
            <w:tcW w:w="3944" w:type="dxa"/>
          </w:tcPr>
          <w:p w14:paraId="4ECC0276" w14:textId="77777777" w:rsidR="00AE46A9" w:rsidRDefault="00AE46A9" w:rsidP="00B956DE">
            <w:pPr>
              <w:tabs>
                <w:tab w:val="left" w:pos="0"/>
              </w:tabs>
              <w:spacing w:after="0" w:line="256" w:lineRule="auto"/>
              <w:rPr>
                <w:color w:val="auto"/>
              </w:rPr>
            </w:pPr>
            <w:r>
              <w:rPr>
                <w:color w:val="auto"/>
              </w:rPr>
              <w:t xml:space="preserve">1,792 MWh (as natural gas) </w:t>
            </w:r>
          </w:p>
        </w:tc>
      </w:tr>
      <w:tr w:rsidR="00AE46A9" w14:paraId="1EE7D26E" w14:textId="77777777" w:rsidTr="004C1365">
        <w:trPr>
          <w:trHeight w:val="1049"/>
        </w:trPr>
        <w:tc>
          <w:tcPr>
            <w:tcW w:w="4962" w:type="dxa"/>
          </w:tcPr>
          <w:p w14:paraId="77282AA6" w14:textId="77777777" w:rsidR="00AE46A9" w:rsidRDefault="00AE46A9" w:rsidP="00F22E60">
            <w:r>
              <w:t>Reporting form would return total CO</w:t>
            </w:r>
            <w:r>
              <w:rPr>
                <w:vertAlign w:val="subscript"/>
              </w:rPr>
              <w:t xml:space="preserve">2 </w:t>
            </w:r>
            <w:r>
              <w:t xml:space="preserve">emissions associated with this energy consumption </w:t>
            </w:r>
          </w:p>
        </w:tc>
        <w:tc>
          <w:tcPr>
            <w:tcW w:w="3944" w:type="dxa"/>
          </w:tcPr>
          <w:p w14:paraId="5AF90954" w14:textId="77777777" w:rsidR="00AE46A9" w:rsidRDefault="00AE46A9" w:rsidP="00B956DE">
            <w:pPr>
              <w:tabs>
                <w:tab w:val="left" w:pos="0"/>
              </w:tabs>
              <w:spacing w:after="0" w:line="256" w:lineRule="auto"/>
            </w:pPr>
            <w:r>
              <w:rPr>
                <w:color w:val="auto"/>
              </w:rPr>
              <w:t>1,141,756 kgCO</w:t>
            </w:r>
            <w:r>
              <w:rPr>
                <w:color w:val="auto"/>
                <w:vertAlign w:val="subscript"/>
              </w:rPr>
              <w:t xml:space="preserve">2 </w:t>
            </w:r>
          </w:p>
        </w:tc>
      </w:tr>
      <w:tr w:rsidR="00AE46A9" w14:paraId="021D662A" w14:textId="77777777" w:rsidTr="004C1365">
        <w:trPr>
          <w:trHeight w:val="811"/>
        </w:trPr>
        <w:tc>
          <w:tcPr>
            <w:tcW w:w="4962" w:type="dxa"/>
          </w:tcPr>
          <w:p w14:paraId="3E80838D" w14:textId="77777777" w:rsidR="00AE46A9" w:rsidRDefault="00AE46A9" w:rsidP="00F22E60">
            <w:r>
              <w:t xml:space="preserve">Of which renewable electricity </w:t>
            </w:r>
          </w:p>
        </w:tc>
        <w:tc>
          <w:tcPr>
            <w:tcW w:w="3944" w:type="dxa"/>
          </w:tcPr>
          <w:p w14:paraId="63439DE6" w14:textId="77777777" w:rsidR="00AE46A9" w:rsidRDefault="00AE46A9" w:rsidP="00B956DE">
            <w:pPr>
              <w:tabs>
                <w:tab w:val="left" w:pos="0"/>
              </w:tabs>
              <w:spacing w:after="0" w:line="256" w:lineRule="auto"/>
            </w:pPr>
            <w:r>
              <w:rPr>
                <w:color w:val="auto"/>
              </w:rPr>
              <w:t xml:space="preserve">= 900 MWh </w:t>
            </w:r>
            <w:r>
              <w:rPr>
                <w:color w:val="auto"/>
                <w:szCs w:val="24"/>
              </w:rPr>
              <w:t>× 0</w:t>
            </w:r>
            <w:r>
              <w:rPr>
                <w:color w:val="auto"/>
              </w:rPr>
              <w:t>.52037 kgCO</w:t>
            </w:r>
            <w:r>
              <w:rPr>
                <w:color w:val="auto"/>
                <w:vertAlign w:val="subscript"/>
              </w:rPr>
              <w:t>2</w:t>
            </w:r>
            <w:r>
              <w:rPr>
                <w:color w:val="auto"/>
              </w:rPr>
              <w:t xml:space="preserve">/kWh </w:t>
            </w:r>
            <w:r>
              <w:rPr>
                <w:color w:val="auto"/>
                <w:szCs w:val="24"/>
              </w:rPr>
              <w:t>× 1</w:t>
            </w:r>
            <w:r>
              <w:rPr>
                <w:color w:val="auto"/>
              </w:rPr>
              <w:t xml:space="preserve">,000 </w:t>
            </w:r>
          </w:p>
          <w:p w14:paraId="340D6D0D" w14:textId="77777777" w:rsidR="00AE46A9" w:rsidRDefault="00AE46A9" w:rsidP="00B956DE">
            <w:pPr>
              <w:tabs>
                <w:tab w:val="left" w:pos="0"/>
              </w:tabs>
              <w:spacing w:after="0" w:line="256" w:lineRule="auto"/>
            </w:pPr>
            <w:r>
              <w:rPr>
                <w:color w:val="auto"/>
              </w:rPr>
              <w:t>= 468,333 kgCO</w:t>
            </w:r>
            <w:r>
              <w:rPr>
                <w:color w:val="auto"/>
                <w:vertAlign w:val="subscript"/>
              </w:rPr>
              <w:t xml:space="preserve">2 </w:t>
            </w:r>
          </w:p>
        </w:tc>
      </w:tr>
      <w:tr w:rsidR="00AE46A9" w14:paraId="60AA5C82" w14:textId="77777777" w:rsidTr="004C1365">
        <w:trPr>
          <w:trHeight w:val="814"/>
        </w:trPr>
        <w:tc>
          <w:tcPr>
            <w:tcW w:w="4962" w:type="dxa"/>
          </w:tcPr>
          <w:p w14:paraId="3CE515F3" w14:textId="77777777" w:rsidR="00AE46A9" w:rsidRDefault="00AE46A9" w:rsidP="00F22E60">
            <w:r>
              <w:t xml:space="preserve">Of which non-renewable electricity </w:t>
            </w:r>
          </w:p>
        </w:tc>
        <w:tc>
          <w:tcPr>
            <w:tcW w:w="3944" w:type="dxa"/>
          </w:tcPr>
          <w:p w14:paraId="3B87EA11" w14:textId="77777777" w:rsidR="00AE46A9" w:rsidRDefault="00AE46A9" w:rsidP="00B956DE">
            <w:pPr>
              <w:tabs>
                <w:tab w:val="left" w:pos="0"/>
              </w:tabs>
              <w:spacing w:after="0" w:line="256" w:lineRule="auto"/>
            </w:pPr>
            <w:r>
              <w:rPr>
                <w:color w:val="auto"/>
              </w:rPr>
              <w:t xml:space="preserve">= 1,844 </w:t>
            </w:r>
            <w:r>
              <w:rPr>
                <w:color w:val="auto"/>
                <w:szCs w:val="24"/>
              </w:rPr>
              <w:t>× 0</w:t>
            </w:r>
            <w:r>
              <w:rPr>
                <w:color w:val="auto"/>
              </w:rPr>
              <w:t>.18521 kgCO</w:t>
            </w:r>
            <w:r>
              <w:rPr>
                <w:color w:val="auto"/>
                <w:vertAlign w:val="subscript"/>
              </w:rPr>
              <w:t>2</w:t>
            </w:r>
            <w:r>
              <w:rPr>
                <w:color w:val="auto"/>
              </w:rPr>
              <w:t xml:space="preserve">/kWh </w:t>
            </w:r>
            <w:r>
              <w:rPr>
                <w:color w:val="auto"/>
                <w:szCs w:val="24"/>
              </w:rPr>
              <w:t>× 1</w:t>
            </w:r>
            <w:r>
              <w:rPr>
                <w:color w:val="auto"/>
              </w:rPr>
              <w:t xml:space="preserve">,000 = </w:t>
            </w:r>
          </w:p>
          <w:p w14:paraId="682B5009" w14:textId="77777777" w:rsidR="00AE46A9" w:rsidRDefault="00AE46A9" w:rsidP="00B956DE">
            <w:pPr>
              <w:tabs>
                <w:tab w:val="left" w:pos="0"/>
              </w:tabs>
              <w:spacing w:after="0" w:line="256" w:lineRule="auto"/>
            </w:pPr>
            <w:r>
              <w:rPr>
                <w:color w:val="auto"/>
              </w:rPr>
              <w:t>341,527 kgCO</w:t>
            </w:r>
            <w:r>
              <w:rPr>
                <w:color w:val="auto"/>
                <w:vertAlign w:val="subscript"/>
              </w:rPr>
              <w:t xml:space="preserve">2 </w:t>
            </w:r>
          </w:p>
        </w:tc>
      </w:tr>
      <w:tr w:rsidR="00AE46A9" w14:paraId="3C109FE3" w14:textId="77777777" w:rsidTr="004C1365">
        <w:trPr>
          <w:trHeight w:val="542"/>
        </w:trPr>
        <w:tc>
          <w:tcPr>
            <w:tcW w:w="4962" w:type="dxa"/>
          </w:tcPr>
          <w:p w14:paraId="02ABCF02" w14:textId="77777777" w:rsidR="00AE46A9" w:rsidRDefault="00AE46A9" w:rsidP="00F22E60">
            <w:r>
              <w:t xml:space="preserve">Of which renewable heat </w:t>
            </w:r>
          </w:p>
        </w:tc>
        <w:tc>
          <w:tcPr>
            <w:tcW w:w="3944" w:type="dxa"/>
          </w:tcPr>
          <w:p w14:paraId="143122CC" w14:textId="77777777" w:rsidR="00AE46A9" w:rsidRDefault="00AE46A9" w:rsidP="00B956DE">
            <w:pPr>
              <w:tabs>
                <w:tab w:val="left" w:pos="0"/>
              </w:tabs>
              <w:spacing w:after="0" w:line="256" w:lineRule="auto"/>
            </w:pPr>
            <w:r>
              <w:rPr>
                <w:color w:val="auto"/>
              </w:rPr>
              <w:t>0 kg CO</w:t>
            </w:r>
            <w:r>
              <w:rPr>
                <w:color w:val="auto"/>
                <w:vertAlign w:val="subscript"/>
              </w:rPr>
              <w:t xml:space="preserve">2 </w:t>
            </w:r>
          </w:p>
        </w:tc>
      </w:tr>
      <w:tr w:rsidR="00AE46A9" w14:paraId="36E37DE3" w14:textId="77777777" w:rsidTr="004C1365">
        <w:trPr>
          <w:trHeight w:val="814"/>
        </w:trPr>
        <w:tc>
          <w:tcPr>
            <w:tcW w:w="4962" w:type="dxa"/>
          </w:tcPr>
          <w:p w14:paraId="64D2A5A6" w14:textId="77777777" w:rsidR="00AE46A9" w:rsidRDefault="00AE46A9" w:rsidP="00F22E60">
            <w:r>
              <w:t xml:space="preserve">Of which non-renewable heat </w:t>
            </w:r>
          </w:p>
        </w:tc>
        <w:tc>
          <w:tcPr>
            <w:tcW w:w="3944" w:type="dxa"/>
          </w:tcPr>
          <w:p w14:paraId="0029B783" w14:textId="77777777" w:rsidR="00AE46A9" w:rsidRDefault="00AE46A9" w:rsidP="00B956DE">
            <w:pPr>
              <w:tabs>
                <w:tab w:val="left" w:pos="0"/>
              </w:tabs>
              <w:spacing w:after="0" w:line="256" w:lineRule="auto"/>
            </w:pPr>
            <w:r>
              <w:rPr>
                <w:color w:val="auto"/>
              </w:rPr>
              <w:t xml:space="preserve">= 1,792 MWh </w:t>
            </w:r>
            <w:r>
              <w:rPr>
                <w:color w:val="auto"/>
                <w:szCs w:val="24"/>
              </w:rPr>
              <w:t xml:space="preserve">× </w:t>
            </w:r>
            <w:r>
              <w:rPr>
                <w:color w:val="auto"/>
              </w:rPr>
              <w:t>0.18521 kgCO</w:t>
            </w:r>
            <w:r>
              <w:rPr>
                <w:color w:val="auto"/>
                <w:vertAlign w:val="subscript"/>
              </w:rPr>
              <w:t>2</w:t>
            </w:r>
            <w:r>
              <w:rPr>
                <w:color w:val="auto"/>
              </w:rPr>
              <w:t xml:space="preserve">/kWh </w:t>
            </w:r>
            <w:r>
              <w:rPr>
                <w:color w:val="auto"/>
                <w:szCs w:val="24"/>
              </w:rPr>
              <w:t>×</w:t>
            </w:r>
          </w:p>
          <w:p w14:paraId="5B71C6C6" w14:textId="77777777" w:rsidR="00AE46A9" w:rsidRDefault="00AE46A9" w:rsidP="00B956DE">
            <w:pPr>
              <w:tabs>
                <w:tab w:val="left" w:pos="0"/>
              </w:tabs>
              <w:spacing w:after="0" w:line="256" w:lineRule="auto"/>
            </w:pPr>
            <w:r>
              <w:rPr>
                <w:color w:val="auto"/>
              </w:rPr>
              <w:t>1000 = 331,896 kgCO</w:t>
            </w:r>
            <w:r>
              <w:rPr>
                <w:color w:val="auto"/>
                <w:vertAlign w:val="subscript"/>
              </w:rPr>
              <w:t xml:space="preserve">2 </w:t>
            </w:r>
          </w:p>
        </w:tc>
      </w:tr>
    </w:tbl>
    <w:p w14:paraId="1C00AB44" w14:textId="77777777" w:rsidR="00AE46A9" w:rsidRDefault="00AE46A9">
      <w:pPr>
        <w:suppressAutoHyphens w:val="0"/>
        <w:spacing w:before="0" w:beforeAutospacing="0" w:after="160" w:afterAutospacing="0" w:line="256" w:lineRule="auto"/>
        <w:rPr>
          <w:b/>
        </w:rPr>
      </w:pPr>
      <w:r>
        <w:rPr>
          <w:b/>
        </w:rPr>
        <w:br w:type="page"/>
      </w:r>
    </w:p>
    <w:p w14:paraId="46E6968B" w14:textId="5FA6C5D7" w:rsidR="00026E66" w:rsidRDefault="002737EF" w:rsidP="00FF0098">
      <w:pPr>
        <w:tabs>
          <w:tab w:val="left" w:pos="0"/>
        </w:tabs>
        <w:rPr>
          <w:b/>
        </w:rPr>
      </w:pPr>
      <w:r>
        <w:rPr>
          <w:b/>
        </w:rPr>
        <w:lastRenderedPageBreak/>
        <w:t xml:space="preserve">Facility A reports: </w:t>
      </w:r>
    </w:p>
    <w:p w14:paraId="172A1BB4" w14:textId="77777777" w:rsidR="00026E66" w:rsidRDefault="002737EF" w:rsidP="0065356B">
      <w:pPr>
        <w:pStyle w:val="ListParagraph"/>
        <w:numPr>
          <w:ilvl w:val="0"/>
          <w:numId w:val="113"/>
        </w:numPr>
        <w:tabs>
          <w:tab w:val="left" w:pos="0"/>
        </w:tabs>
      </w:pPr>
      <w:r>
        <w:t xml:space="preserve">1,500 MWh of delivered renewable electricity (which will be treated exactly the same as grid electricity) </w:t>
      </w:r>
    </w:p>
    <w:p w14:paraId="45758DA0" w14:textId="77777777" w:rsidR="00026E66" w:rsidRDefault="002737EF" w:rsidP="0065356B">
      <w:pPr>
        <w:pStyle w:val="ListParagraph"/>
        <w:numPr>
          <w:ilvl w:val="0"/>
          <w:numId w:val="113"/>
        </w:numPr>
        <w:tabs>
          <w:tab w:val="left" w:pos="0"/>
        </w:tabs>
      </w:pPr>
      <w:r>
        <w:t xml:space="preserve">3,073 MWh natural gas for the non-renewable electricity it consumed </w:t>
      </w:r>
    </w:p>
    <w:p w14:paraId="49C706AB" w14:textId="77777777" w:rsidR="00026E66" w:rsidRDefault="002737EF" w:rsidP="0065356B">
      <w:pPr>
        <w:pStyle w:val="ListParagraph"/>
        <w:numPr>
          <w:ilvl w:val="0"/>
          <w:numId w:val="113"/>
        </w:numPr>
        <w:tabs>
          <w:tab w:val="left" w:pos="0"/>
        </w:tabs>
      </w:pPr>
      <w:r>
        <w:t xml:space="preserve">1,130 MWh of biogas for renewable heat </w:t>
      </w:r>
    </w:p>
    <w:p w14:paraId="7357BC43" w14:textId="77777777" w:rsidR="00026E66" w:rsidRDefault="002737EF" w:rsidP="0065356B">
      <w:pPr>
        <w:pStyle w:val="ListParagraph"/>
        <w:numPr>
          <w:ilvl w:val="0"/>
          <w:numId w:val="113"/>
        </w:numPr>
        <w:tabs>
          <w:tab w:val="left" w:pos="0"/>
        </w:tabs>
      </w:pPr>
      <w:r>
        <w:t xml:space="preserve">1,792 MWh of natural gas for non-renewable heat </w:t>
      </w:r>
    </w:p>
    <w:p w14:paraId="07DE56FF" w14:textId="77777777" w:rsidR="00026E66" w:rsidRDefault="002737EF" w:rsidP="00FF0098">
      <w:pPr>
        <w:tabs>
          <w:tab w:val="left" w:pos="0"/>
        </w:tabs>
      </w:pPr>
      <w:r>
        <w:t>The reporting form would calculate CO</w:t>
      </w:r>
      <w:r>
        <w:rPr>
          <w:vertAlign w:val="subscript"/>
        </w:rPr>
        <w:t xml:space="preserve">2 </w:t>
      </w:r>
      <w:r>
        <w:t>emissions associated with this energy consumption of 1,681,601 kgCO</w:t>
      </w:r>
      <w:r>
        <w:rPr>
          <w:vertAlign w:val="subscript"/>
        </w:rPr>
        <w:t>2</w:t>
      </w:r>
      <w:r>
        <w:t xml:space="preserve">. </w:t>
      </w:r>
    </w:p>
    <w:p w14:paraId="77BC2377" w14:textId="77777777" w:rsidR="00026E66" w:rsidRDefault="002737EF" w:rsidP="00FF0098">
      <w:pPr>
        <w:tabs>
          <w:tab w:val="left" w:pos="0"/>
        </w:tabs>
      </w:pPr>
      <w:r>
        <w:rPr>
          <w:b/>
          <w:color w:val="auto"/>
        </w:rPr>
        <w:t>Facility B reports:</w:t>
      </w:r>
      <w:r>
        <w:rPr>
          <w:color w:val="auto"/>
        </w:rPr>
        <w:t xml:space="preserve"> </w:t>
      </w:r>
    </w:p>
    <w:p w14:paraId="07A97A3B" w14:textId="77777777" w:rsidR="00026E66" w:rsidRDefault="002737EF" w:rsidP="0065356B">
      <w:pPr>
        <w:pStyle w:val="ListParagraph"/>
        <w:numPr>
          <w:ilvl w:val="0"/>
          <w:numId w:val="114"/>
        </w:numPr>
        <w:tabs>
          <w:tab w:val="left" w:pos="0"/>
        </w:tabs>
      </w:pPr>
      <w:r>
        <w:t xml:space="preserve">900 MWh of delivered renewable electricity (which will be treated exactly the same as grid electricity) </w:t>
      </w:r>
    </w:p>
    <w:p w14:paraId="0BC2CF6D" w14:textId="77777777" w:rsidR="00026E66" w:rsidRDefault="002737EF" w:rsidP="0065356B">
      <w:pPr>
        <w:pStyle w:val="ListParagraph"/>
        <w:numPr>
          <w:ilvl w:val="0"/>
          <w:numId w:val="114"/>
        </w:numPr>
        <w:tabs>
          <w:tab w:val="left" w:pos="0"/>
        </w:tabs>
      </w:pPr>
      <w:r>
        <w:t xml:space="preserve">1,844 MWh of natural gas for the non-renewable electricity it consumed </w:t>
      </w:r>
    </w:p>
    <w:p w14:paraId="4B9C3F98" w14:textId="77777777" w:rsidR="00026E66" w:rsidRDefault="002737EF" w:rsidP="0065356B">
      <w:pPr>
        <w:pStyle w:val="ListParagraph"/>
        <w:numPr>
          <w:ilvl w:val="0"/>
          <w:numId w:val="114"/>
        </w:numPr>
        <w:tabs>
          <w:tab w:val="left" w:pos="0"/>
        </w:tabs>
      </w:pPr>
      <w:r>
        <w:t xml:space="preserve">1,130 MWh of biogas for renewable heat </w:t>
      </w:r>
    </w:p>
    <w:p w14:paraId="4440907F" w14:textId="77777777" w:rsidR="00026E66" w:rsidRDefault="002737EF" w:rsidP="0065356B">
      <w:pPr>
        <w:pStyle w:val="ListParagraph"/>
        <w:numPr>
          <w:ilvl w:val="0"/>
          <w:numId w:val="114"/>
        </w:numPr>
        <w:tabs>
          <w:tab w:val="left" w:pos="0"/>
        </w:tabs>
      </w:pPr>
      <w:r>
        <w:t xml:space="preserve">1,792 MWh of natural gas for non-renewable heat </w:t>
      </w:r>
    </w:p>
    <w:p w14:paraId="7BF42FA6" w14:textId="77777777" w:rsidR="00026E66" w:rsidRDefault="002737EF" w:rsidP="00FF0098">
      <w:pPr>
        <w:tabs>
          <w:tab w:val="left" w:pos="0"/>
        </w:tabs>
      </w:pPr>
      <w:r>
        <w:t>The reporting form would calculate CO</w:t>
      </w:r>
      <w:r>
        <w:rPr>
          <w:vertAlign w:val="subscript"/>
        </w:rPr>
        <w:t xml:space="preserve">2 </w:t>
      </w:r>
      <w:r>
        <w:t>emissions associated with this energy consumption of 1,141,756 kgCO</w:t>
      </w:r>
      <w:r>
        <w:rPr>
          <w:vertAlign w:val="subscript"/>
        </w:rPr>
        <w:t>2</w:t>
      </w:r>
      <w:r>
        <w:t xml:space="preserve">. </w:t>
      </w:r>
    </w:p>
    <w:p w14:paraId="61D4F980" w14:textId="77777777" w:rsidR="00026E66" w:rsidRDefault="002737EF" w:rsidP="00FF0098">
      <w:pPr>
        <w:pStyle w:val="Heading2"/>
        <w:tabs>
          <w:tab w:val="left" w:pos="0"/>
        </w:tabs>
      </w:pPr>
      <w:bookmarkStart w:id="413" w:name="_Toc94718686"/>
      <w:bookmarkStart w:id="414" w:name="_Toc94088934"/>
      <w:bookmarkStart w:id="415" w:name="_Toc95211901"/>
      <w:r>
        <w:t>D.2 CHP special reporting methodology</w:t>
      </w:r>
      <w:bookmarkEnd w:id="413"/>
      <w:bookmarkEnd w:id="414"/>
      <w:bookmarkEnd w:id="415"/>
      <w:r>
        <w:t xml:space="preserve"> </w:t>
      </w:r>
    </w:p>
    <w:p w14:paraId="0BD0AF12" w14:textId="77777777" w:rsidR="00026E66" w:rsidRDefault="002737EF" w:rsidP="00FF0098">
      <w:pPr>
        <w:tabs>
          <w:tab w:val="left" w:pos="0"/>
        </w:tabs>
      </w:pPr>
      <w:r>
        <w:t xml:space="preserve">Fuel consumed in plant carrying out an Annex 1 activity under the Emissions Trading Directive is excluded from the CCA target facility. This means that such fuel is not included in the target facility's baseline and will not be reported by the target facility at future target periods. </w:t>
      </w:r>
    </w:p>
    <w:p w14:paraId="5FD90740" w14:textId="77777777" w:rsidR="00026E66" w:rsidRDefault="002737EF" w:rsidP="00FF0098">
      <w:pPr>
        <w:tabs>
          <w:tab w:val="left" w:pos="0"/>
        </w:tabs>
      </w:pPr>
      <w:r>
        <w:t xml:space="preserve">For </w:t>
      </w:r>
      <w:proofErr w:type="gramStart"/>
      <w:r>
        <w:t>a number of</w:t>
      </w:r>
      <w:proofErr w:type="gramEnd"/>
      <w:r>
        <w:t xml:space="preserve"> facilities, all fuel consumed for the generation of heat is covered by EU ETS. This means that, in many cases, grid electricity is the only energy included in the CCA target facility. </w:t>
      </w:r>
    </w:p>
    <w:p w14:paraId="23F8078E" w14:textId="77777777" w:rsidR="00026E66" w:rsidRDefault="002737EF" w:rsidP="00FF0098">
      <w:pPr>
        <w:tabs>
          <w:tab w:val="left" w:pos="0"/>
        </w:tabs>
      </w:pPr>
      <w:r>
        <w:t xml:space="preserve">However, at some facilities where all fuel for the generation of heat is covered by EU ETS, CHP plant is also used to meet all or a proportion of the facility’s electricity demand. Where the fuel consumption of this CHP is covered by EU ETS, the fuel consumed by the CHP plant is also excluded from the CCA target facility. </w:t>
      </w:r>
    </w:p>
    <w:p w14:paraId="7D469C3D" w14:textId="417347AD" w:rsidR="00026E66" w:rsidRDefault="002737EF" w:rsidP="00FF0098">
      <w:pPr>
        <w:tabs>
          <w:tab w:val="left" w:pos="0"/>
        </w:tabs>
      </w:pPr>
      <w:r>
        <w:t xml:space="preserve">Over a given period of time, such as a base year or a target period, the CHP plant may not meet all the facility’s electricity demand. This could be because the CHP plant has insufficient capacity to do this or it is not operating for maintenance or other reasons. In these </w:t>
      </w:r>
      <w:proofErr w:type="gramStart"/>
      <w:r>
        <w:t>situations</w:t>
      </w:r>
      <w:proofErr w:type="gramEnd"/>
      <w:r>
        <w:t xml:space="preserve"> the facility will have to import grid </w:t>
      </w:r>
      <w:proofErr w:type="gramStart"/>
      <w:r>
        <w:t>electricity</w:t>
      </w:r>
      <w:proofErr w:type="gramEnd"/>
      <w:r>
        <w:t xml:space="preserve"> and this electricity will be included in the CCA target facility. This means that the electricity consumption included in the CCA target facility could change appreciably over time even if its total electricity </w:t>
      </w:r>
      <w:r>
        <w:lastRenderedPageBreak/>
        <w:t xml:space="preserve">consumption remains the same. In these </w:t>
      </w:r>
      <w:proofErr w:type="gramStart"/>
      <w:r>
        <w:t>situations</w:t>
      </w:r>
      <w:proofErr w:type="gramEnd"/>
      <w:r>
        <w:t xml:space="preserve"> the apparent performance of the CCA target facility is subject to large movements, up or down, and for reasons unconnected with the efficiency with which electricity is consumed. This means that apparent performance may become uncoupled from actual performance. </w:t>
      </w:r>
    </w:p>
    <w:p w14:paraId="18E4BF35" w14:textId="77777777" w:rsidR="00026E66" w:rsidRDefault="002737EF" w:rsidP="00FF0098">
      <w:pPr>
        <w:tabs>
          <w:tab w:val="left" w:pos="0"/>
        </w:tabs>
      </w:pPr>
      <w:r>
        <w:t xml:space="preserve">A special reporting methodology (SRM) has been devised to reduce this volatility in apparent performance and for changes in apparent performance to more closely reflect changes in actual performance. </w:t>
      </w:r>
    </w:p>
    <w:p w14:paraId="1A880F3A" w14:textId="77777777" w:rsidR="00026E66" w:rsidRDefault="002737EF" w:rsidP="00FF0098">
      <w:pPr>
        <w:tabs>
          <w:tab w:val="left" w:pos="0"/>
        </w:tabs>
      </w:pPr>
      <w:r>
        <w:t xml:space="preserve">The SRM works by adjusting the throughput used in the calculation of performance of the target facility to reflect the proportion of total electricity consumption that is sourced from the grid. Actual grid electricity consumption is used as normal in the calculation of performance. </w:t>
      </w:r>
    </w:p>
    <w:p w14:paraId="70BCD5AC" w14:textId="77777777" w:rsidR="00026E66" w:rsidRDefault="002737EF" w:rsidP="00FF0098">
      <w:pPr>
        <w:tabs>
          <w:tab w:val="left" w:pos="0"/>
        </w:tabs>
      </w:pPr>
      <w:r>
        <w:t>As such, performance for the facility in the base year or at a future target period is expressed as follows:</w:t>
      </w:r>
    </w:p>
    <w:p w14:paraId="175E0AC4" w14:textId="77777777" w:rsidR="00026E66" w:rsidRDefault="002737EF" w:rsidP="00FF0098">
      <w:pPr>
        <w:tabs>
          <w:tab w:val="left" w:pos="0"/>
        </w:tabs>
        <w:spacing w:after="0" w:line="256" w:lineRule="auto"/>
        <w:ind w:right="19"/>
        <w:jc w:val="center"/>
      </w:pPr>
      <m:oMathPara>
        <m:oMathParaPr>
          <m:jc m:val="center"/>
        </m:oMathParaPr>
        <m:oMath>
          <m:r>
            <w:rPr>
              <w:rFonts w:ascii="Cambria Math" w:hAnsi="Cambria Math"/>
            </w:rPr>
            <m:t>Performance =</m:t>
          </m:r>
          <m:f>
            <m:fPr>
              <m:ctrlPr>
                <w:rPr>
                  <w:rFonts w:ascii="Cambria Math" w:hAnsi="Cambria Math"/>
                </w:rPr>
              </m:ctrlPr>
            </m:fPr>
            <m:num>
              <m:sSub>
                <m:sSubPr>
                  <m:ctrlPr>
                    <w:rPr>
                      <w:rFonts w:ascii="Cambria Math" w:hAnsi="Cambria Math"/>
                    </w:rPr>
                  </m:ctrlPr>
                </m:sSubPr>
                <m:e>
                  <m:r>
                    <w:rPr>
                      <w:rFonts w:ascii="Cambria Math" w:hAnsi="Cambria Math"/>
                    </w:rPr>
                    <m:t>Total grid imports</m:t>
                  </m:r>
                </m:e>
                <m:sub>
                  <m:r>
                    <w:rPr>
                      <w:rFonts w:ascii="Cambria Math" w:hAnsi="Cambria Math"/>
                    </w:rPr>
                    <m:t>primary</m:t>
                  </m:r>
                </m:sub>
              </m:sSub>
              <m:r>
                <m:rPr>
                  <m:sty m:val="p"/>
                </m:rPr>
                <w:rPr>
                  <w:rFonts w:ascii="Cambria Math" w:hAnsi="Cambria Math"/>
                </w:rPr>
                <m:t xml:space="preserve"> </m:t>
              </m:r>
            </m:num>
            <m:den>
              <m:r>
                <w:rPr>
                  <w:rFonts w:ascii="Cambria Math" w:hAnsi="Cambria Math"/>
                </w:rPr>
                <m:t>Total throughput ×Grid intensity factor</m:t>
              </m:r>
            </m:den>
          </m:f>
        </m:oMath>
      </m:oMathPara>
    </w:p>
    <w:p w14:paraId="0DCFCE9C" w14:textId="77777777" w:rsidR="00026E66" w:rsidRDefault="002737EF" w:rsidP="00FF0098">
      <w:pPr>
        <w:tabs>
          <w:tab w:val="left" w:pos="0"/>
        </w:tabs>
      </w:pPr>
      <w:r>
        <w:t xml:space="preserve">where: </w:t>
      </w:r>
    </w:p>
    <w:p w14:paraId="7835DC22" w14:textId="77777777" w:rsidR="00026E66" w:rsidRDefault="002737EF" w:rsidP="00FF0098">
      <w:pPr>
        <w:tabs>
          <w:tab w:val="left" w:pos="0"/>
        </w:tabs>
        <w:spacing w:after="0" w:line="256" w:lineRule="auto"/>
      </w:pPr>
      <w:r>
        <w:rPr>
          <w:color w:val="auto"/>
        </w:rPr>
        <w:t xml:space="preserve"> </w:t>
      </w:r>
      <m:oMath>
        <m:r>
          <w:rPr>
            <w:rFonts w:ascii="Cambria Math" w:hAnsi="Cambria Math"/>
          </w:rPr>
          <m:t xml:space="preserve">Grid intensity factor </m:t>
        </m:r>
      </m:oMath>
    </w:p>
    <w:p w14:paraId="454AFDA9" w14:textId="77777777" w:rsidR="00026E66" w:rsidRDefault="002737EF" w:rsidP="00FF0098">
      <w:pPr>
        <w:tabs>
          <w:tab w:val="left" w:pos="0"/>
        </w:tabs>
        <w:spacing w:after="0" w:line="256" w:lineRule="auto"/>
        <w:jc w:val="center"/>
      </w:pPr>
      <m:oMathPara>
        <m:oMathParaPr>
          <m:jc m:val="center"/>
        </m:oMathParaPr>
        <m:oMath>
          <m:r>
            <w:rPr>
              <w:rFonts w:ascii="Cambria Math" w:hAnsi="Cambria Math"/>
            </w:rPr>
            <m:t>=</m:t>
          </m:r>
          <m:f>
            <m:fPr>
              <m:ctrlPr>
                <w:rPr>
                  <w:rFonts w:ascii="Cambria Math" w:hAnsi="Cambria Math"/>
                </w:rPr>
              </m:ctrlPr>
            </m:fPr>
            <m:num>
              <m:r>
                <w:rPr>
                  <w:rFonts w:ascii="Cambria Math" w:hAnsi="Cambria Math"/>
                </w:rPr>
                <m:t>Total grid import</m:t>
              </m:r>
              <m:sSub>
                <m:sSubPr>
                  <m:ctrlPr>
                    <w:rPr>
                      <w:rFonts w:ascii="Cambria Math" w:hAnsi="Cambria Math"/>
                    </w:rPr>
                  </m:ctrlPr>
                </m:sSubPr>
                <m:e>
                  <m:r>
                    <w:rPr>
                      <w:rFonts w:ascii="Cambria Math" w:hAnsi="Cambria Math"/>
                    </w:rPr>
                    <m:t>s</m:t>
                  </m:r>
                </m:e>
                <m:sub>
                  <m:r>
                    <w:rPr>
                      <w:rFonts w:ascii="Cambria Math" w:hAnsi="Cambria Math"/>
                    </w:rPr>
                    <m:t>delivered</m:t>
                  </m:r>
                </m:sub>
              </m:sSub>
            </m:num>
            <m:den>
              <m:r>
                <w:rPr>
                  <w:rFonts w:ascii="Cambria Math" w:hAnsi="Cambria Math"/>
                </w:rPr>
                <m:t>Total grid imports</m:t>
              </m:r>
              <m:sSub>
                <m:sSubPr>
                  <m:ctrlPr>
                    <w:rPr>
                      <w:rFonts w:ascii="Cambria Math" w:hAnsi="Cambria Math"/>
                    </w:rPr>
                  </m:ctrlPr>
                </m:sSubPr>
                <m:e/>
                <m:sub>
                  <m:r>
                    <w:rPr>
                      <w:rFonts w:ascii="Cambria Math" w:hAnsi="Cambria Math"/>
                    </w:rPr>
                    <m:t>delivered</m:t>
                  </m:r>
                </m:sub>
              </m:sSub>
              <m:r>
                <w:rPr>
                  <w:rFonts w:ascii="Cambria Math" w:hAnsi="Cambria Math"/>
                </w:rPr>
                <m:t>+Total CHP electricit</m:t>
              </m:r>
              <m:sSub>
                <m:sSubPr>
                  <m:ctrlPr>
                    <w:rPr>
                      <w:rFonts w:ascii="Cambria Math" w:hAnsi="Cambria Math"/>
                    </w:rPr>
                  </m:ctrlPr>
                </m:sSubPr>
                <m:e>
                  <m:r>
                    <w:rPr>
                      <w:rFonts w:ascii="Cambria Math" w:hAnsi="Cambria Math"/>
                    </w:rPr>
                    <m:t>y</m:t>
                  </m:r>
                </m:e>
                <m:sub>
                  <m:r>
                    <w:rPr>
                      <w:rFonts w:ascii="Cambria Math" w:hAnsi="Cambria Math"/>
                    </w:rPr>
                    <m:t>delivered</m:t>
                  </m:r>
                </m:sub>
              </m:sSub>
            </m:den>
          </m:f>
        </m:oMath>
      </m:oMathPara>
    </w:p>
    <w:p w14:paraId="2ABEC84C" w14:textId="77777777" w:rsidR="00026E66" w:rsidRDefault="002737EF" w:rsidP="00FF0098">
      <w:pPr>
        <w:tabs>
          <w:tab w:val="left" w:pos="0"/>
        </w:tabs>
      </w:pPr>
      <w:r>
        <w:t xml:space="preserve">Where facilities meet the criteria, the operator may choose to use the SRM to calculate the performance for the facilities in the base year and at subsequent target periods. This means that all target units containing facilities meeting the criteria, and where the operator has chosen to use the SRM, must have their baseline data recalculated. </w:t>
      </w:r>
    </w:p>
    <w:p w14:paraId="7416D99B" w14:textId="77777777" w:rsidR="00026E66" w:rsidRDefault="002737EF" w:rsidP="00FF0098">
      <w:pPr>
        <w:pStyle w:val="Heading2"/>
        <w:tabs>
          <w:tab w:val="left" w:pos="0"/>
        </w:tabs>
      </w:pPr>
      <w:bookmarkStart w:id="416" w:name="_Toc94718687"/>
      <w:bookmarkStart w:id="417" w:name="_Toc94088935"/>
      <w:bookmarkStart w:id="418" w:name="_Toc95211902"/>
      <w:r>
        <w:t>D.3 Inclusion and exclusion of facilities in a target unit</w:t>
      </w:r>
      <w:bookmarkEnd w:id="416"/>
      <w:bookmarkEnd w:id="417"/>
      <w:bookmarkEnd w:id="418"/>
      <w:r>
        <w:t xml:space="preserve"> </w:t>
      </w:r>
    </w:p>
    <w:p w14:paraId="2BA712E2" w14:textId="77777777" w:rsidR="00026E66" w:rsidRDefault="002737EF" w:rsidP="00FF0098">
      <w:pPr>
        <w:pStyle w:val="Heading3"/>
        <w:tabs>
          <w:tab w:val="left" w:pos="0"/>
        </w:tabs>
      </w:pPr>
      <w:r>
        <w:t xml:space="preserve">Step 1 </w:t>
      </w:r>
    </w:p>
    <w:p w14:paraId="438C4071" w14:textId="77777777" w:rsidR="00026E66" w:rsidRDefault="002737EF" w:rsidP="00FF0098">
      <w:pPr>
        <w:tabs>
          <w:tab w:val="left" w:pos="0"/>
        </w:tabs>
      </w:pPr>
      <w:r>
        <w:t xml:space="preserve">Use the table below to collate the information for each individual target unit or new facility to be included in the target unit. </w:t>
      </w:r>
    </w:p>
    <w:p w14:paraId="35F1FA49" w14:textId="5A5247C0" w:rsidR="00AE46A9" w:rsidRDefault="002737EF" w:rsidP="00AE46A9">
      <w:pPr>
        <w:tabs>
          <w:tab w:val="left" w:pos="0"/>
        </w:tabs>
      </w:pPr>
      <w:r>
        <w:t xml:space="preserve">Original data from the start of the underlying agreement are needed plus data for the predicted base year throughput of any new facilities (A) and the target SEC (B) for the next target period. </w:t>
      </w:r>
    </w:p>
    <w:p w14:paraId="21977A8D" w14:textId="77777777" w:rsidR="00AE46A9" w:rsidRDefault="00AE46A9">
      <w:pPr>
        <w:suppressAutoHyphens w:val="0"/>
        <w:spacing w:before="0" w:beforeAutospacing="0" w:after="160" w:afterAutospacing="0" w:line="256" w:lineRule="auto"/>
      </w:pPr>
      <w:r>
        <w:br w:type="page"/>
      </w:r>
    </w:p>
    <w:tbl>
      <w:tblPr>
        <w:tblStyle w:val="TableGrid0"/>
        <w:tblW w:w="0" w:type="auto"/>
        <w:tblLook w:val="00A0" w:firstRow="1" w:lastRow="0" w:firstColumn="1" w:lastColumn="0" w:noHBand="0" w:noVBand="0"/>
      </w:tblPr>
      <w:tblGrid>
        <w:gridCol w:w="1417"/>
        <w:gridCol w:w="2818"/>
        <w:gridCol w:w="2463"/>
        <w:gridCol w:w="2931"/>
      </w:tblGrid>
      <w:tr w:rsidR="00150B05" w14:paraId="3DF6EA09" w14:textId="77777777" w:rsidTr="00150B05">
        <w:tc>
          <w:tcPr>
            <w:tcW w:w="0" w:type="auto"/>
          </w:tcPr>
          <w:p w14:paraId="3CC6901B" w14:textId="77777777" w:rsidR="00150B05" w:rsidRPr="00AE46A9" w:rsidRDefault="00150B05" w:rsidP="00FF0098">
            <w:pPr>
              <w:tabs>
                <w:tab w:val="left" w:pos="0"/>
              </w:tabs>
              <w:spacing w:after="0" w:line="256" w:lineRule="auto"/>
              <w:rPr>
                <w:b/>
                <w:bCs/>
                <w:color w:val="auto"/>
              </w:rPr>
            </w:pPr>
          </w:p>
        </w:tc>
        <w:tc>
          <w:tcPr>
            <w:tcW w:w="0" w:type="auto"/>
          </w:tcPr>
          <w:p w14:paraId="28932AA3" w14:textId="6A918253" w:rsidR="00150B05" w:rsidRDefault="00150B05" w:rsidP="00FF0098">
            <w:pPr>
              <w:tabs>
                <w:tab w:val="left" w:pos="0"/>
              </w:tabs>
              <w:spacing w:after="0" w:line="256" w:lineRule="auto"/>
              <w:rPr>
                <w:color w:val="auto"/>
              </w:rPr>
            </w:pPr>
            <w:r w:rsidRPr="00AE46A9">
              <w:rPr>
                <w:b/>
                <w:bCs/>
                <w:color w:val="auto"/>
              </w:rPr>
              <w:t>Base year</w:t>
            </w:r>
            <w:r>
              <w:rPr>
                <w:b/>
                <w:bCs/>
                <w:color w:val="auto"/>
              </w:rPr>
              <w:t xml:space="preserve">: </w:t>
            </w:r>
            <w:r w:rsidRPr="00AE46A9">
              <w:rPr>
                <w:b/>
                <w:bCs/>
                <w:color w:val="auto"/>
              </w:rPr>
              <w:t>Predicted throughput (A)</w:t>
            </w:r>
          </w:p>
        </w:tc>
        <w:tc>
          <w:tcPr>
            <w:tcW w:w="0" w:type="auto"/>
          </w:tcPr>
          <w:p w14:paraId="30D765FD" w14:textId="3496F493" w:rsidR="00150B05" w:rsidRDefault="00150B05" w:rsidP="00FF0098">
            <w:pPr>
              <w:tabs>
                <w:tab w:val="left" w:pos="0"/>
              </w:tabs>
              <w:spacing w:after="0" w:line="256" w:lineRule="auto"/>
              <w:rPr>
                <w:color w:val="auto"/>
              </w:rPr>
            </w:pPr>
            <w:r w:rsidRPr="00AE46A9">
              <w:rPr>
                <w:b/>
                <w:bCs/>
                <w:color w:val="auto"/>
              </w:rPr>
              <w:t>Next target period</w:t>
            </w:r>
            <w:r>
              <w:rPr>
                <w:b/>
                <w:bCs/>
                <w:color w:val="auto"/>
              </w:rPr>
              <w:t xml:space="preserve">: </w:t>
            </w:r>
            <w:r w:rsidRPr="00AE46A9">
              <w:rPr>
                <w:b/>
                <w:bCs/>
                <w:color w:val="auto"/>
              </w:rPr>
              <w:t>Target SEC (B)</w:t>
            </w:r>
          </w:p>
        </w:tc>
        <w:tc>
          <w:tcPr>
            <w:tcW w:w="0" w:type="auto"/>
          </w:tcPr>
          <w:p w14:paraId="52706C48" w14:textId="4F52FD00" w:rsidR="00150B05" w:rsidRDefault="00150B05" w:rsidP="00FF0098">
            <w:pPr>
              <w:tabs>
                <w:tab w:val="left" w:pos="0"/>
              </w:tabs>
              <w:spacing w:after="0" w:line="256" w:lineRule="auto"/>
              <w:rPr>
                <w:color w:val="auto"/>
              </w:rPr>
            </w:pPr>
            <w:r w:rsidRPr="00AE46A9">
              <w:rPr>
                <w:b/>
                <w:bCs/>
                <w:color w:val="auto"/>
              </w:rPr>
              <w:t>Next target period</w:t>
            </w:r>
            <w:r>
              <w:rPr>
                <w:b/>
                <w:bCs/>
                <w:color w:val="auto"/>
              </w:rPr>
              <w:t xml:space="preserve">: </w:t>
            </w:r>
            <w:r w:rsidRPr="00AE46A9">
              <w:rPr>
                <w:b/>
                <w:bCs/>
                <w:color w:val="auto"/>
              </w:rPr>
              <w:t>Target energy use (C)*</w:t>
            </w:r>
          </w:p>
        </w:tc>
      </w:tr>
      <w:tr w:rsidR="00026E66" w14:paraId="2FAF0999" w14:textId="77777777" w:rsidTr="00150B05">
        <w:tc>
          <w:tcPr>
            <w:tcW w:w="0" w:type="auto"/>
          </w:tcPr>
          <w:p w14:paraId="65EBA3D2" w14:textId="77777777" w:rsidR="00026E66" w:rsidRPr="00AE46A9" w:rsidRDefault="002737EF" w:rsidP="00FF0098">
            <w:pPr>
              <w:tabs>
                <w:tab w:val="left" w:pos="0"/>
              </w:tabs>
              <w:spacing w:after="0" w:line="256" w:lineRule="auto"/>
              <w:rPr>
                <w:b/>
                <w:bCs/>
                <w:color w:val="auto"/>
              </w:rPr>
            </w:pPr>
            <w:r w:rsidRPr="00AE46A9">
              <w:rPr>
                <w:b/>
                <w:bCs/>
                <w:color w:val="auto"/>
              </w:rPr>
              <w:t xml:space="preserve">Target unit 1 </w:t>
            </w:r>
          </w:p>
        </w:tc>
        <w:tc>
          <w:tcPr>
            <w:tcW w:w="0" w:type="auto"/>
          </w:tcPr>
          <w:p w14:paraId="1BF8980B" w14:textId="77777777" w:rsidR="00026E66" w:rsidRDefault="002737EF" w:rsidP="00FF0098">
            <w:pPr>
              <w:tabs>
                <w:tab w:val="left" w:pos="0"/>
              </w:tabs>
              <w:spacing w:after="0" w:line="256" w:lineRule="auto"/>
              <w:rPr>
                <w:color w:val="auto"/>
              </w:rPr>
            </w:pPr>
            <w:r>
              <w:rPr>
                <w:color w:val="auto"/>
              </w:rPr>
              <w:t xml:space="preserve">ATU1 </w:t>
            </w:r>
          </w:p>
        </w:tc>
        <w:tc>
          <w:tcPr>
            <w:tcW w:w="0" w:type="auto"/>
          </w:tcPr>
          <w:p w14:paraId="2AED8EED" w14:textId="77777777" w:rsidR="00026E66" w:rsidRDefault="002737EF" w:rsidP="00FF0098">
            <w:pPr>
              <w:tabs>
                <w:tab w:val="left" w:pos="0"/>
              </w:tabs>
              <w:spacing w:after="0" w:line="256" w:lineRule="auto"/>
              <w:rPr>
                <w:color w:val="auto"/>
              </w:rPr>
            </w:pPr>
            <w:r>
              <w:rPr>
                <w:color w:val="auto"/>
              </w:rPr>
              <w:t xml:space="preserve">BTU1 </w:t>
            </w:r>
          </w:p>
        </w:tc>
        <w:tc>
          <w:tcPr>
            <w:tcW w:w="0" w:type="auto"/>
          </w:tcPr>
          <w:p w14:paraId="7690E506" w14:textId="77777777" w:rsidR="00026E66" w:rsidRDefault="002737EF" w:rsidP="00FF0098">
            <w:pPr>
              <w:tabs>
                <w:tab w:val="left" w:pos="0"/>
              </w:tabs>
              <w:spacing w:after="0" w:line="256" w:lineRule="auto"/>
              <w:rPr>
                <w:color w:val="auto"/>
              </w:rPr>
            </w:pPr>
            <w:r>
              <w:rPr>
                <w:color w:val="auto"/>
              </w:rPr>
              <w:t xml:space="preserve">CTU1 </w:t>
            </w:r>
          </w:p>
        </w:tc>
      </w:tr>
      <w:tr w:rsidR="00026E66" w14:paraId="5B5D5350" w14:textId="77777777" w:rsidTr="00150B05">
        <w:tc>
          <w:tcPr>
            <w:tcW w:w="0" w:type="auto"/>
          </w:tcPr>
          <w:p w14:paraId="690FF424" w14:textId="77777777" w:rsidR="00026E66" w:rsidRPr="00AE46A9" w:rsidRDefault="002737EF" w:rsidP="00FF0098">
            <w:pPr>
              <w:tabs>
                <w:tab w:val="left" w:pos="0"/>
              </w:tabs>
              <w:spacing w:after="0" w:line="256" w:lineRule="auto"/>
              <w:rPr>
                <w:b/>
                <w:bCs/>
                <w:color w:val="auto"/>
              </w:rPr>
            </w:pPr>
            <w:r w:rsidRPr="00AE46A9">
              <w:rPr>
                <w:b/>
                <w:bCs/>
                <w:color w:val="auto"/>
              </w:rPr>
              <w:t xml:space="preserve">Target unit 2 </w:t>
            </w:r>
          </w:p>
        </w:tc>
        <w:tc>
          <w:tcPr>
            <w:tcW w:w="0" w:type="auto"/>
          </w:tcPr>
          <w:p w14:paraId="241606CF" w14:textId="77777777" w:rsidR="00026E66" w:rsidRDefault="002737EF" w:rsidP="00FF0098">
            <w:pPr>
              <w:tabs>
                <w:tab w:val="left" w:pos="0"/>
              </w:tabs>
              <w:spacing w:after="0" w:line="256" w:lineRule="auto"/>
              <w:rPr>
                <w:color w:val="auto"/>
              </w:rPr>
            </w:pPr>
            <w:r>
              <w:rPr>
                <w:color w:val="auto"/>
              </w:rPr>
              <w:t xml:space="preserve">ATU2 </w:t>
            </w:r>
          </w:p>
        </w:tc>
        <w:tc>
          <w:tcPr>
            <w:tcW w:w="0" w:type="auto"/>
          </w:tcPr>
          <w:p w14:paraId="7C100518" w14:textId="77777777" w:rsidR="00026E66" w:rsidRDefault="002737EF" w:rsidP="00FF0098">
            <w:pPr>
              <w:tabs>
                <w:tab w:val="left" w:pos="0"/>
              </w:tabs>
              <w:spacing w:after="0" w:line="256" w:lineRule="auto"/>
              <w:rPr>
                <w:color w:val="auto"/>
              </w:rPr>
            </w:pPr>
            <w:r>
              <w:rPr>
                <w:color w:val="auto"/>
              </w:rPr>
              <w:t xml:space="preserve">BTU2 </w:t>
            </w:r>
          </w:p>
        </w:tc>
        <w:tc>
          <w:tcPr>
            <w:tcW w:w="0" w:type="auto"/>
          </w:tcPr>
          <w:p w14:paraId="0DA05804" w14:textId="77777777" w:rsidR="00026E66" w:rsidRDefault="002737EF" w:rsidP="00FF0098">
            <w:pPr>
              <w:tabs>
                <w:tab w:val="left" w:pos="0"/>
              </w:tabs>
              <w:spacing w:after="0" w:line="256" w:lineRule="auto"/>
              <w:rPr>
                <w:color w:val="auto"/>
              </w:rPr>
            </w:pPr>
            <w:r>
              <w:rPr>
                <w:color w:val="auto"/>
              </w:rPr>
              <w:t xml:space="preserve">CTU2 </w:t>
            </w:r>
          </w:p>
        </w:tc>
      </w:tr>
      <w:tr w:rsidR="00026E66" w14:paraId="05C9BB75" w14:textId="77777777" w:rsidTr="00150B05">
        <w:tc>
          <w:tcPr>
            <w:tcW w:w="0" w:type="auto"/>
          </w:tcPr>
          <w:p w14:paraId="2652174E" w14:textId="77777777" w:rsidR="00026E66" w:rsidRPr="00AE46A9" w:rsidRDefault="002737EF" w:rsidP="00FF0098">
            <w:pPr>
              <w:tabs>
                <w:tab w:val="left" w:pos="0"/>
              </w:tabs>
              <w:spacing w:after="0" w:line="256" w:lineRule="auto"/>
              <w:rPr>
                <w:b/>
                <w:bCs/>
                <w:color w:val="auto"/>
              </w:rPr>
            </w:pPr>
            <w:r w:rsidRPr="00AE46A9">
              <w:rPr>
                <w:b/>
                <w:bCs/>
                <w:color w:val="auto"/>
              </w:rPr>
              <w:t xml:space="preserve">New facility 1** </w:t>
            </w:r>
          </w:p>
        </w:tc>
        <w:tc>
          <w:tcPr>
            <w:tcW w:w="0" w:type="auto"/>
          </w:tcPr>
          <w:p w14:paraId="3654CCC0" w14:textId="77777777" w:rsidR="00026E66" w:rsidRDefault="002737EF" w:rsidP="00FF0098">
            <w:pPr>
              <w:tabs>
                <w:tab w:val="left" w:pos="0"/>
              </w:tabs>
              <w:spacing w:after="0" w:line="256" w:lineRule="auto"/>
              <w:rPr>
                <w:color w:val="auto"/>
              </w:rPr>
            </w:pPr>
            <w:r>
              <w:rPr>
                <w:color w:val="auto"/>
              </w:rPr>
              <w:t xml:space="preserve">ANF1 </w:t>
            </w:r>
          </w:p>
        </w:tc>
        <w:tc>
          <w:tcPr>
            <w:tcW w:w="0" w:type="auto"/>
          </w:tcPr>
          <w:p w14:paraId="6E3FAB2D" w14:textId="77777777" w:rsidR="00026E66" w:rsidRDefault="002737EF" w:rsidP="00FF0098">
            <w:pPr>
              <w:tabs>
                <w:tab w:val="left" w:pos="0"/>
              </w:tabs>
              <w:spacing w:after="0" w:line="256" w:lineRule="auto"/>
              <w:rPr>
                <w:color w:val="auto"/>
              </w:rPr>
            </w:pPr>
            <w:r>
              <w:rPr>
                <w:color w:val="auto"/>
              </w:rPr>
              <w:t xml:space="preserve">BNF1 </w:t>
            </w:r>
          </w:p>
        </w:tc>
        <w:tc>
          <w:tcPr>
            <w:tcW w:w="0" w:type="auto"/>
          </w:tcPr>
          <w:p w14:paraId="1B96DDDA" w14:textId="77777777" w:rsidR="00026E66" w:rsidRDefault="002737EF" w:rsidP="00FF0098">
            <w:pPr>
              <w:tabs>
                <w:tab w:val="left" w:pos="0"/>
              </w:tabs>
              <w:spacing w:after="0" w:line="256" w:lineRule="auto"/>
              <w:rPr>
                <w:color w:val="auto"/>
              </w:rPr>
            </w:pPr>
            <w:r>
              <w:rPr>
                <w:color w:val="auto"/>
              </w:rPr>
              <w:t xml:space="preserve">CNF1 </w:t>
            </w:r>
          </w:p>
        </w:tc>
      </w:tr>
      <w:tr w:rsidR="00026E66" w14:paraId="1C8B7E8B" w14:textId="77777777" w:rsidTr="00150B05">
        <w:tc>
          <w:tcPr>
            <w:tcW w:w="0" w:type="auto"/>
          </w:tcPr>
          <w:p w14:paraId="27292104" w14:textId="77777777" w:rsidR="00026E66" w:rsidRPr="00AE46A9" w:rsidRDefault="002737EF" w:rsidP="00FF0098">
            <w:pPr>
              <w:tabs>
                <w:tab w:val="left" w:pos="0"/>
              </w:tabs>
              <w:spacing w:after="0" w:line="256" w:lineRule="auto"/>
              <w:rPr>
                <w:b/>
                <w:bCs/>
                <w:color w:val="auto"/>
              </w:rPr>
            </w:pPr>
            <w:r w:rsidRPr="00AE46A9">
              <w:rPr>
                <w:b/>
                <w:bCs/>
                <w:color w:val="auto"/>
              </w:rPr>
              <w:t xml:space="preserve">Total </w:t>
            </w:r>
          </w:p>
        </w:tc>
        <w:tc>
          <w:tcPr>
            <w:tcW w:w="0" w:type="auto"/>
          </w:tcPr>
          <w:p w14:paraId="6FE4620E" w14:textId="77777777" w:rsidR="00026E66" w:rsidRDefault="002737EF" w:rsidP="00FF0098">
            <w:pPr>
              <w:tabs>
                <w:tab w:val="left" w:pos="0"/>
              </w:tabs>
              <w:spacing w:after="0" w:line="256" w:lineRule="auto"/>
              <w:rPr>
                <w:color w:val="auto"/>
              </w:rPr>
            </w:pPr>
            <w:r>
              <w:rPr>
                <w:color w:val="auto"/>
              </w:rPr>
              <w:t xml:space="preserve">DTOTAL </w:t>
            </w:r>
          </w:p>
        </w:tc>
        <w:tc>
          <w:tcPr>
            <w:tcW w:w="0" w:type="auto"/>
          </w:tcPr>
          <w:p w14:paraId="2792977E" w14:textId="77777777" w:rsidR="00026E66" w:rsidRDefault="002737EF" w:rsidP="00FF0098">
            <w:pPr>
              <w:tabs>
                <w:tab w:val="left" w:pos="0"/>
              </w:tabs>
              <w:spacing w:after="0" w:line="256" w:lineRule="auto"/>
              <w:rPr>
                <w:color w:val="auto"/>
              </w:rPr>
            </w:pPr>
            <w:r>
              <w:rPr>
                <w:color w:val="auto"/>
              </w:rPr>
              <w:t xml:space="preserve"> </w:t>
            </w:r>
          </w:p>
        </w:tc>
        <w:tc>
          <w:tcPr>
            <w:tcW w:w="0" w:type="auto"/>
          </w:tcPr>
          <w:p w14:paraId="3DCA7F89" w14:textId="77777777" w:rsidR="00026E66" w:rsidRDefault="002737EF" w:rsidP="00FF0098">
            <w:pPr>
              <w:tabs>
                <w:tab w:val="left" w:pos="0"/>
              </w:tabs>
              <w:spacing w:after="0" w:line="256" w:lineRule="auto"/>
              <w:rPr>
                <w:color w:val="auto"/>
              </w:rPr>
            </w:pPr>
            <w:r>
              <w:rPr>
                <w:color w:val="auto"/>
              </w:rPr>
              <w:t xml:space="preserve">ETOTAL </w:t>
            </w:r>
          </w:p>
        </w:tc>
      </w:tr>
    </w:tbl>
    <w:p w14:paraId="58635637" w14:textId="77777777" w:rsidR="00026E66" w:rsidRDefault="002737EF" w:rsidP="00FF0098">
      <w:pPr>
        <w:tabs>
          <w:tab w:val="left" w:pos="0"/>
        </w:tabs>
      </w:pPr>
      <w:r>
        <w:t xml:space="preserve">* C = 2 × A × B (calculate this for each target unit/facility). </w:t>
      </w:r>
    </w:p>
    <w:p w14:paraId="75EF5238" w14:textId="77777777" w:rsidR="00026E66" w:rsidRDefault="002737EF" w:rsidP="00FF0098">
      <w:pPr>
        <w:tabs>
          <w:tab w:val="left" w:pos="0"/>
        </w:tabs>
      </w:pPr>
      <w:r>
        <w:t xml:space="preserve">** Operators will need to calculate a target SEC for the standalone new facility. </w:t>
      </w:r>
    </w:p>
    <w:p w14:paraId="7932312A" w14:textId="77777777" w:rsidR="00026E66" w:rsidRDefault="002737EF" w:rsidP="00FF0098">
      <w:pPr>
        <w:tabs>
          <w:tab w:val="left" w:pos="0"/>
        </w:tabs>
      </w:pPr>
      <w:r>
        <w:t xml:space="preserve">The protocols to be used to determine the percentage improvement target with respect to the baseline data that will be applied for the new facility are as follows. </w:t>
      </w:r>
    </w:p>
    <w:p w14:paraId="15951E28" w14:textId="77777777" w:rsidR="00026E66" w:rsidRDefault="002737EF" w:rsidP="0065356B">
      <w:pPr>
        <w:pStyle w:val="ListParagraph"/>
        <w:numPr>
          <w:ilvl w:val="0"/>
          <w:numId w:val="115"/>
        </w:numPr>
        <w:tabs>
          <w:tab w:val="left" w:pos="0"/>
        </w:tabs>
      </w:pPr>
      <w:r>
        <w:t xml:space="preserve">If it's a new entrant, the facility will take the same percentage target as the sector, adjusted as necessary if the new facility and the sector have different base years. The base year for the new facility will be deemed to be the calendar year containing the majority of the months of the new facility's base year. For example, if the base year for the new facility is September 2010 to August 2011, the base year for the new facility will be deemed to be 2011. </w:t>
      </w:r>
    </w:p>
    <w:p w14:paraId="14B2AECA" w14:textId="77777777" w:rsidR="00026E66" w:rsidRDefault="002737EF" w:rsidP="0065356B">
      <w:pPr>
        <w:pStyle w:val="ListParagraph"/>
        <w:numPr>
          <w:ilvl w:val="0"/>
          <w:numId w:val="115"/>
        </w:numPr>
        <w:tabs>
          <w:tab w:val="left" w:pos="0"/>
        </w:tabs>
      </w:pPr>
      <w:r>
        <w:t xml:space="preserve">If the facility is already covered by a CCA and is moving between target units with different operators (sale or purchase), the facility's percentage target will be the same as the target for the target unit it left. </w:t>
      </w:r>
    </w:p>
    <w:p w14:paraId="25E82F16" w14:textId="77777777" w:rsidR="00026E66" w:rsidRDefault="002737EF" w:rsidP="00FF0098">
      <w:pPr>
        <w:pStyle w:val="Heading3"/>
        <w:tabs>
          <w:tab w:val="left" w:pos="0"/>
        </w:tabs>
      </w:pPr>
      <w:r>
        <w:t xml:space="preserve">Step 2 </w:t>
      </w:r>
    </w:p>
    <w:p w14:paraId="57631F34" w14:textId="77777777" w:rsidR="00026E66" w:rsidRDefault="002737EF" w:rsidP="00FF0098">
      <w:pPr>
        <w:tabs>
          <w:tab w:val="left" w:pos="0"/>
        </w:tabs>
      </w:pPr>
      <w:r>
        <w:t xml:space="preserve">Perform the calculations in the table below. </w:t>
      </w:r>
    </w:p>
    <w:tbl>
      <w:tblPr>
        <w:tblStyle w:val="TableGrid0"/>
        <w:tblW w:w="9626" w:type="dxa"/>
        <w:tblLook w:val="0020" w:firstRow="1" w:lastRow="0" w:firstColumn="0" w:lastColumn="0" w:noHBand="0" w:noVBand="0"/>
      </w:tblPr>
      <w:tblGrid>
        <w:gridCol w:w="6901"/>
        <w:gridCol w:w="1479"/>
        <w:gridCol w:w="1246"/>
      </w:tblGrid>
      <w:tr w:rsidR="00026E66" w:rsidRPr="00E75C8E" w14:paraId="0673AF8D" w14:textId="77777777" w:rsidTr="00F22E60">
        <w:trPr>
          <w:trHeight w:val="526"/>
        </w:trPr>
        <w:tc>
          <w:tcPr>
            <w:tcW w:w="6901" w:type="dxa"/>
          </w:tcPr>
          <w:p w14:paraId="10B10149" w14:textId="77777777" w:rsidR="00026E66" w:rsidRPr="00E75C8E" w:rsidRDefault="002737EF" w:rsidP="00FF0098">
            <w:pPr>
              <w:tabs>
                <w:tab w:val="left" w:pos="0"/>
              </w:tabs>
              <w:spacing w:after="0" w:line="256" w:lineRule="auto"/>
              <w:rPr>
                <w:b/>
                <w:bCs/>
                <w:color w:val="auto"/>
              </w:rPr>
            </w:pPr>
            <w:r w:rsidRPr="00E75C8E">
              <w:rPr>
                <w:b/>
                <w:bCs/>
                <w:color w:val="auto"/>
              </w:rPr>
              <w:t xml:space="preserve">Calculation </w:t>
            </w:r>
          </w:p>
        </w:tc>
        <w:tc>
          <w:tcPr>
            <w:tcW w:w="1479" w:type="dxa"/>
          </w:tcPr>
          <w:p w14:paraId="718AF681" w14:textId="77777777" w:rsidR="00026E66" w:rsidRPr="00E75C8E" w:rsidRDefault="002737EF" w:rsidP="00FF0098">
            <w:pPr>
              <w:tabs>
                <w:tab w:val="left" w:pos="0"/>
              </w:tabs>
              <w:spacing w:after="0" w:line="256" w:lineRule="auto"/>
              <w:rPr>
                <w:b/>
                <w:bCs/>
                <w:color w:val="auto"/>
              </w:rPr>
            </w:pPr>
            <w:r w:rsidRPr="00E75C8E">
              <w:rPr>
                <w:b/>
                <w:bCs/>
                <w:color w:val="auto"/>
              </w:rPr>
              <w:t xml:space="preserve">Result </w:t>
            </w:r>
          </w:p>
        </w:tc>
        <w:tc>
          <w:tcPr>
            <w:tcW w:w="1246" w:type="dxa"/>
          </w:tcPr>
          <w:p w14:paraId="7B1F9A69" w14:textId="27607F6B" w:rsidR="00026E66" w:rsidRPr="00E75C8E" w:rsidRDefault="00A26401" w:rsidP="00FF0098">
            <w:pPr>
              <w:tabs>
                <w:tab w:val="left" w:pos="0"/>
              </w:tabs>
              <w:spacing w:after="0" w:line="256" w:lineRule="auto"/>
              <w:rPr>
                <w:b/>
                <w:bCs/>
                <w:color w:val="auto"/>
              </w:rPr>
            </w:pPr>
            <w:r>
              <w:rPr>
                <w:b/>
                <w:bCs/>
                <w:color w:val="auto"/>
              </w:rPr>
              <w:t>Total</w:t>
            </w:r>
          </w:p>
        </w:tc>
      </w:tr>
      <w:tr w:rsidR="00026E66" w14:paraId="44B6A451" w14:textId="77777777" w:rsidTr="00F22E60">
        <w:trPr>
          <w:trHeight w:val="794"/>
        </w:trPr>
        <w:tc>
          <w:tcPr>
            <w:tcW w:w="6901" w:type="dxa"/>
          </w:tcPr>
          <w:p w14:paraId="1F225C03" w14:textId="77777777" w:rsidR="00026E66" w:rsidRDefault="002737EF" w:rsidP="00FF0098">
            <w:pPr>
              <w:tabs>
                <w:tab w:val="left" w:pos="0"/>
              </w:tabs>
              <w:spacing w:after="0" w:line="256" w:lineRule="auto"/>
            </w:pPr>
            <w:r>
              <w:rPr>
                <w:color w:val="auto"/>
              </w:rPr>
              <w:t xml:space="preserve">Twice total base year throughput for all the target units/facilities you plan to include in the target unit: 2 </w:t>
            </w:r>
            <w:r>
              <w:rPr>
                <w:color w:val="auto"/>
                <w:szCs w:val="24"/>
              </w:rPr>
              <w:t xml:space="preserve">× </w:t>
            </w:r>
            <w:r>
              <w:rPr>
                <w:color w:val="auto"/>
              </w:rPr>
              <w:t xml:space="preserve">(ATU1 + ATU2 …+ ATUn) </w:t>
            </w:r>
          </w:p>
        </w:tc>
        <w:tc>
          <w:tcPr>
            <w:tcW w:w="1479" w:type="dxa"/>
          </w:tcPr>
          <w:p w14:paraId="590B9879" w14:textId="77777777" w:rsidR="00026E66" w:rsidRDefault="002737EF" w:rsidP="00FF0098">
            <w:pPr>
              <w:tabs>
                <w:tab w:val="left" w:pos="0"/>
              </w:tabs>
              <w:spacing w:after="0" w:line="256" w:lineRule="auto"/>
              <w:rPr>
                <w:color w:val="auto"/>
              </w:rPr>
            </w:pPr>
            <w:r>
              <w:rPr>
                <w:color w:val="auto"/>
              </w:rPr>
              <w:t xml:space="preserve">… </w:t>
            </w:r>
          </w:p>
        </w:tc>
        <w:tc>
          <w:tcPr>
            <w:tcW w:w="1246" w:type="dxa"/>
          </w:tcPr>
          <w:p w14:paraId="7100BF45" w14:textId="77777777" w:rsidR="00026E66" w:rsidRDefault="002737EF" w:rsidP="00FF0098">
            <w:pPr>
              <w:tabs>
                <w:tab w:val="left" w:pos="0"/>
              </w:tabs>
              <w:spacing w:after="0" w:line="256" w:lineRule="auto"/>
              <w:rPr>
                <w:color w:val="auto"/>
              </w:rPr>
            </w:pPr>
            <w:r>
              <w:rPr>
                <w:color w:val="auto"/>
              </w:rPr>
              <w:t xml:space="preserve">DTOTAL </w:t>
            </w:r>
          </w:p>
        </w:tc>
      </w:tr>
      <w:tr w:rsidR="00026E66" w14:paraId="1D21560F" w14:textId="77777777" w:rsidTr="00F22E60">
        <w:trPr>
          <w:trHeight w:val="780"/>
        </w:trPr>
        <w:tc>
          <w:tcPr>
            <w:tcW w:w="6901" w:type="dxa"/>
          </w:tcPr>
          <w:p w14:paraId="4CBB4BD4" w14:textId="77777777" w:rsidR="00026E66" w:rsidRDefault="002737EF" w:rsidP="00FF0098">
            <w:pPr>
              <w:tabs>
                <w:tab w:val="left" w:pos="0"/>
              </w:tabs>
              <w:spacing w:after="0" w:line="256" w:lineRule="auto"/>
              <w:rPr>
                <w:color w:val="auto"/>
              </w:rPr>
            </w:pPr>
            <w:r>
              <w:rPr>
                <w:color w:val="auto"/>
              </w:rPr>
              <w:t xml:space="preserve">Total target energy for all the target units/facilities you plan to include in the target unit (CTU1 + CTU2…+ </w:t>
            </w:r>
            <w:proofErr w:type="spellStart"/>
            <w:r>
              <w:rPr>
                <w:color w:val="auto"/>
              </w:rPr>
              <w:t>CTUn</w:t>
            </w:r>
            <w:proofErr w:type="spellEnd"/>
            <w:r>
              <w:rPr>
                <w:color w:val="auto"/>
              </w:rPr>
              <w:t xml:space="preserve">) </w:t>
            </w:r>
          </w:p>
        </w:tc>
        <w:tc>
          <w:tcPr>
            <w:tcW w:w="1479" w:type="dxa"/>
          </w:tcPr>
          <w:p w14:paraId="12164553" w14:textId="77777777" w:rsidR="00026E66" w:rsidRDefault="002737EF" w:rsidP="00FF0098">
            <w:pPr>
              <w:tabs>
                <w:tab w:val="left" w:pos="0"/>
              </w:tabs>
              <w:spacing w:after="0" w:line="256" w:lineRule="auto"/>
              <w:rPr>
                <w:color w:val="auto"/>
              </w:rPr>
            </w:pPr>
            <w:r>
              <w:rPr>
                <w:color w:val="auto"/>
              </w:rPr>
              <w:t xml:space="preserve">… </w:t>
            </w:r>
          </w:p>
        </w:tc>
        <w:tc>
          <w:tcPr>
            <w:tcW w:w="1246" w:type="dxa"/>
          </w:tcPr>
          <w:p w14:paraId="4CE8E18A" w14:textId="77777777" w:rsidR="00026E66" w:rsidRDefault="002737EF" w:rsidP="00FF0098">
            <w:pPr>
              <w:tabs>
                <w:tab w:val="left" w:pos="0"/>
              </w:tabs>
              <w:spacing w:after="0" w:line="256" w:lineRule="auto"/>
            </w:pPr>
            <w:r>
              <w:rPr>
                <w:color w:val="auto"/>
              </w:rPr>
              <w:t>ETOTAL</w:t>
            </w:r>
            <w:r>
              <w:rPr>
                <w:color w:val="auto"/>
                <w:vertAlign w:val="subscript"/>
              </w:rPr>
              <w:t xml:space="preserve"> </w:t>
            </w:r>
          </w:p>
        </w:tc>
      </w:tr>
      <w:tr w:rsidR="00026E66" w14:paraId="261D9D1E" w14:textId="77777777" w:rsidTr="00F22E60">
        <w:trPr>
          <w:trHeight w:val="526"/>
        </w:trPr>
        <w:tc>
          <w:tcPr>
            <w:tcW w:w="6901" w:type="dxa"/>
          </w:tcPr>
          <w:p w14:paraId="22EF38A5" w14:textId="77777777" w:rsidR="00026E66" w:rsidRDefault="002737EF" w:rsidP="00FF0098">
            <w:pPr>
              <w:tabs>
                <w:tab w:val="left" w:pos="0"/>
              </w:tabs>
              <w:spacing w:after="0" w:line="256" w:lineRule="auto"/>
              <w:rPr>
                <w:color w:val="auto"/>
              </w:rPr>
            </w:pPr>
            <w:r>
              <w:rPr>
                <w:color w:val="auto"/>
              </w:rPr>
              <w:t xml:space="preserve">ETOTAL/DTOTAL = target SEC for new target unit </w:t>
            </w:r>
          </w:p>
        </w:tc>
        <w:tc>
          <w:tcPr>
            <w:tcW w:w="1479" w:type="dxa"/>
          </w:tcPr>
          <w:p w14:paraId="4E5CD873" w14:textId="77777777" w:rsidR="00026E66" w:rsidRDefault="002737EF" w:rsidP="00FF0098">
            <w:pPr>
              <w:tabs>
                <w:tab w:val="left" w:pos="0"/>
              </w:tabs>
              <w:spacing w:after="0" w:line="256" w:lineRule="auto"/>
              <w:rPr>
                <w:color w:val="auto"/>
              </w:rPr>
            </w:pPr>
            <w:r>
              <w:rPr>
                <w:color w:val="auto"/>
              </w:rPr>
              <w:t xml:space="preserve">… </w:t>
            </w:r>
          </w:p>
        </w:tc>
        <w:tc>
          <w:tcPr>
            <w:tcW w:w="1246" w:type="dxa"/>
          </w:tcPr>
          <w:p w14:paraId="5AE88AB1" w14:textId="77777777" w:rsidR="00026E66" w:rsidRDefault="002737EF" w:rsidP="00FF0098">
            <w:pPr>
              <w:tabs>
                <w:tab w:val="left" w:pos="0"/>
              </w:tabs>
              <w:spacing w:after="0" w:line="256" w:lineRule="auto"/>
              <w:rPr>
                <w:color w:val="auto"/>
              </w:rPr>
            </w:pPr>
            <w:r>
              <w:rPr>
                <w:color w:val="auto"/>
              </w:rPr>
              <w:t xml:space="preserve">F </w:t>
            </w:r>
          </w:p>
        </w:tc>
      </w:tr>
    </w:tbl>
    <w:p w14:paraId="59214231" w14:textId="77777777" w:rsidR="00026E66" w:rsidRDefault="002737EF" w:rsidP="00FF0098">
      <w:pPr>
        <w:tabs>
          <w:tab w:val="left" w:pos="0"/>
        </w:tabs>
      </w:pPr>
      <w:r>
        <w:t xml:space="preserve">The proposed new target unit target (F) for the next target period from this calculation is the mathematically equivalent target that would have been set had the new target unit structure been in place from the start of the underlying agreement. </w:t>
      </w:r>
    </w:p>
    <w:p w14:paraId="6BF537C7" w14:textId="77777777" w:rsidR="00026E66" w:rsidRDefault="002737EF" w:rsidP="00FF0098">
      <w:pPr>
        <w:pStyle w:val="Heading3"/>
        <w:tabs>
          <w:tab w:val="left" w:pos="0"/>
        </w:tabs>
      </w:pPr>
      <w:r>
        <w:lastRenderedPageBreak/>
        <w:t xml:space="preserve">Step 3 </w:t>
      </w:r>
    </w:p>
    <w:p w14:paraId="3969AF4D" w14:textId="77777777" w:rsidR="00026E66" w:rsidRDefault="002737EF" w:rsidP="00FF0098">
      <w:pPr>
        <w:tabs>
          <w:tab w:val="left" w:pos="0"/>
        </w:tabs>
      </w:pPr>
      <w:r>
        <w:t xml:space="preserve">We apply a stringency test to the proposed target (F) for the next target period for the new target unit. This test checks whether the performance that the new target unit would have had at the last target period is better than the mathematically equivalent target for the new target unit for the following target period. If this is found to be the case, we will adjust the mathematically equivalent targets calculated for all future target periods for the new target unit. This step doesn't apply in target period 1 as there is no previous target period to compare against. </w:t>
      </w:r>
    </w:p>
    <w:p w14:paraId="2676E6EE" w14:textId="77777777" w:rsidR="00026E66" w:rsidRDefault="002737EF" w:rsidP="00FF0098">
      <w:pPr>
        <w:pStyle w:val="Heading3"/>
        <w:tabs>
          <w:tab w:val="left" w:pos="0"/>
        </w:tabs>
      </w:pPr>
      <w:r>
        <w:t xml:space="preserve">Step 4 </w:t>
      </w:r>
    </w:p>
    <w:p w14:paraId="3A85F6A7" w14:textId="77777777" w:rsidR="00026E66" w:rsidRDefault="002737EF" w:rsidP="00FF0098">
      <w:pPr>
        <w:tabs>
          <w:tab w:val="left" w:pos="0"/>
        </w:tabs>
      </w:pPr>
      <w:r>
        <w:t xml:space="preserve">The adjustment ratio to be applied to all future targets is calculated as follows: </w:t>
      </w:r>
    </w:p>
    <w:p w14:paraId="4054355E" w14:textId="77777777" w:rsidR="00026E66" w:rsidRDefault="002737EF" w:rsidP="00FF0098">
      <w:pPr>
        <w:tabs>
          <w:tab w:val="left" w:pos="0"/>
        </w:tabs>
        <w:jc w:val="center"/>
      </w:pPr>
      <m:oMathPara>
        <m:oMathParaPr>
          <m:jc m:val="center"/>
        </m:oMathParaPr>
        <m:oMath>
          <m:r>
            <w:rPr>
              <w:rFonts w:ascii="Cambria Math" w:hAnsi="Cambria Math"/>
            </w:rPr>
            <m:t xml:space="preserve">Adjustment ratio= </m:t>
          </m:r>
          <m:f>
            <m:fPr>
              <m:ctrlPr>
                <w:rPr>
                  <w:rFonts w:ascii="Cambria Math" w:hAnsi="Cambria Math"/>
                </w:rPr>
              </m:ctrlPr>
            </m:fPr>
            <m:num>
              <m:r>
                <w:rPr>
                  <w:rFonts w:ascii="Cambria Math" w:hAnsi="Cambria Math"/>
                </w:rPr>
                <m:t>Performance of proposed target unit at most recently completed target period</m:t>
              </m:r>
            </m:num>
            <m:den>
              <m:r>
                <w:rPr>
                  <w:rFonts w:ascii="Cambria Math" w:hAnsi="Cambria Math"/>
                </w:rPr>
                <m:t>Mathematically equivalent target for most recently completed target period</m:t>
              </m:r>
            </m:den>
          </m:f>
        </m:oMath>
      </m:oMathPara>
    </w:p>
    <w:p w14:paraId="799022AC" w14:textId="77777777" w:rsidR="00026E66" w:rsidRDefault="002737EF" w:rsidP="00FF0098">
      <w:pPr>
        <w:pStyle w:val="Heading2"/>
        <w:tabs>
          <w:tab w:val="left" w:pos="0"/>
        </w:tabs>
      </w:pPr>
      <w:bookmarkStart w:id="419" w:name="_Toc94718688"/>
      <w:bookmarkStart w:id="420" w:name="_Toc94088936"/>
      <w:bookmarkStart w:id="421" w:name="_Toc95211903"/>
      <w:r>
        <w:t>D.4 How to vary the target when including and excluding a facility</w:t>
      </w:r>
      <w:bookmarkEnd w:id="419"/>
      <w:bookmarkEnd w:id="420"/>
      <w:bookmarkEnd w:id="421"/>
      <w:r>
        <w:t xml:space="preserve"> </w:t>
      </w:r>
    </w:p>
    <w:p w14:paraId="736FCB79" w14:textId="77777777" w:rsidR="00026E66" w:rsidRDefault="002737EF" w:rsidP="00FF0098">
      <w:pPr>
        <w:tabs>
          <w:tab w:val="left" w:pos="0"/>
        </w:tabs>
      </w:pPr>
      <w:r>
        <w:t xml:space="preserve">If an eligible facility is added to a target unit, we may vary the target to take account of its addition. The </w:t>
      </w:r>
      <w:r>
        <w:rPr>
          <w:u w:val="single" w:color="0077B9"/>
        </w:rPr>
        <w:t xml:space="preserve">type of target </w:t>
      </w:r>
      <w:r>
        <w:t xml:space="preserve">held by the target unit will govern how we do this. </w:t>
      </w:r>
    </w:p>
    <w:p w14:paraId="22DDE1B0" w14:textId="77777777" w:rsidR="00026E66" w:rsidRDefault="002737EF" w:rsidP="00FF0098">
      <w:pPr>
        <w:tabs>
          <w:tab w:val="left" w:pos="0"/>
        </w:tabs>
      </w:pPr>
      <w:hyperlink r:id="rId131" w:history="1">
        <w:r>
          <w:rPr>
            <w:rStyle w:val="Hyperlink"/>
            <w:color w:val="0070C0"/>
          </w:rPr>
          <w:t>Technical Annex</w:t>
        </w:r>
      </w:hyperlink>
      <w:r>
        <w:t xml:space="preserve"> paragraphs 66 to 71 state that: </w:t>
      </w:r>
    </w:p>
    <w:p w14:paraId="3527D2D0" w14:textId="77777777" w:rsidR="00026E66" w:rsidRDefault="002737EF" w:rsidP="00FF0098">
      <w:pPr>
        <w:tabs>
          <w:tab w:val="left" w:pos="0"/>
        </w:tabs>
      </w:pPr>
      <w:r>
        <w:t xml:space="preserve">If a facility is added to a target unit, the Administrator may vary the target to take account of the addition of the facility, as follows. </w:t>
      </w:r>
    </w:p>
    <w:p w14:paraId="53CF400A" w14:textId="77777777" w:rsidR="00026E66" w:rsidRDefault="002737EF" w:rsidP="00FF0098">
      <w:pPr>
        <w:tabs>
          <w:tab w:val="left" w:pos="0"/>
        </w:tabs>
      </w:pPr>
      <w:r>
        <w:t xml:space="preserve">If the additional facility is to be added to a target unit with an absolute target, a new target must be calculated by adding the target energy or carbon for the additional facility to the target energy or carbon value for the existing target unit. </w:t>
      </w:r>
    </w:p>
    <w:p w14:paraId="50D8AE9A" w14:textId="77777777" w:rsidR="00026E66" w:rsidRDefault="002737EF" w:rsidP="00FF0098">
      <w:pPr>
        <w:tabs>
          <w:tab w:val="left" w:pos="0"/>
        </w:tabs>
      </w:pPr>
      <w:r>
        <w:t xml:space="preserve">If the additional facility is to be added to a target unit with a relative target, the Administrator may vary the target to take account of the addition of the facility using the following calculation: </w:t>
      </w:r>
    </w:p>
    <w:p w14:paraId="110B070C" w14:textId="77777777" w:rsidR="00026E66" w:rsidRDefault="002737EF" w:rsidP="00FF0098">
      <w:pPr>
        <w:tabs>
          <w:tab w:val="left" w:pos="0"/>
        </w:tabs>
      </w:pPr>
      <w:r>
        <w:t xml:space="preserve">Where: </w:t>
      </w:r>
    </w:p>
    <w:p w14:paraId="6F1A1C24" w14:textId="77777777" w:rsidR="00026E66" w:rsidRDefault="002737EF" w:rsidP="0065356B">
      <w:pPr>
        <w:pStyle w:val="ListParagraph"/>
        <w:numPr>
          <w:ilvl w:val="0"/>
          <w:numId w:val="116"/>
        </w:numPr>
        <w:tabs>
          <w:tab w:val="left" w:pos="0"/>
        </w:tabs>
      </w:pPr>
      <w:r>
        <w:t xml:space="preserve">New TU target = new target for the combined target unit </w:t>
      </w:r>
    </w:p>
    <w:p w14:paraId="57B6878A" w14:textId="77777777" w:rsidR="00026E66" w:rsidRDefault="002737EF" w:rsidP="0065356B">
      <w:pPr>
        <w:pStyle w:val="ListParagraph"/>
        <w:numPr>
          <w:ilvl w:val="0"/>
          <w:numId w:val="116"/>
        </w:numPr>
        <w:tabs>
          <w:tab w:val="left" w:pos="0"/>
        </w:tabs>
      </w:pPr>
      <w:r>
        <w:t xml:space="preserve">Old TU target = target unit target before adding the facility </w:t>
      </w:r>
    </w:p>
    <w:p w14:paraId="107A99B8" w14:textId="77777777" w:rsidR="00026E66" w:rsidRDefault="002737EF" w:rsidP="0065356B">
      <w:pPr>
        <w:pStyle w:val="ListParagraph"/>
        <w:numPr>
          <w:ilvl w:val="0"/>
          <w:numId w:val="116"/>
        </w:numPr>
        <w:tabs>
          <w:tab w:val="left" w:pos="0"/>
        </w:tabs>
      </w:pPr>
      <w:r>
        <w:t xml:space="preserve">Old TU BY T/P = target unit base year throughput before adding the facility </w:t>
      </w:r>
    </w:p>
    <w:p w14:paraId="4A67E07D" w14:textId="77777777" w:rsidR="00026E66" w:rsidRDefault="002737EF" w:rsidP="0065356B">
      <w:pPr>
        <w:pStyle w:val="ListParagraph"/>
        <w:numPr>
          <w:ilvl w:val="0"/>
          <w:numId w:val="116"/>
        </w:numPr>
        <w:tabs>
          <w:tab w:val="left" w:pos="0"/>
        </w:tabs>
      </w:pPr>
      <w:r>
        <w:t xml:space="preserve">AF target = target for the additional facility on its own </w:t>
      </w:r>
    </w:p>
    <w:p w14:paraId="0E1C018A" w14:textId="77777777" w:rsidR="00026E66" w:rsidRDefault="002737EF" w:rsidP="0065356B">
      <w:pPr>
        <w:pStyle w:val="ListParagraph"/>
        <w:numPr>
          <w:ilvl w:val="0"/>
          <w:numId w:val="116"/>
        </w:numPr>
        <w:tabs>
          <w:tab w:val="left" w:pos="0"/>
        </w:tabs>
      </w:pPr>
      <w:r>
        <w:t xml:space="preserve">AF BY T/P = base year throughput for the additional facility </w:t>
      </w:r>
    </w:p>
    <w:p w14:paraId="6373D4B6" w14:textId="77777777" w:rsidR="00026E66" w:rsidRDefault="002737EF" w:rsidP="0065356B">
      <w:pPr>
        <w:pStyle w:val="ListParagraph"/>
        <w:numPr>
          <w:ilvl w:val="0"/>
          <w:numId w:val="116"/>
        </w:numPr>
        <w:tabs>
          <w:tab w:val="left" w:pos="0"/>
        </w:tabs>
      </w:pPr>
      <w:r>
        <w:lastRenderedPageBreak/>
        <w:t xml:space="preserve">All the targets here are in relative terms (for example, kWh/tonne) </w:t>
      </w:r>
    </w:p>
    <w:p w14:paraId="6DB43231" w14:textId="77777777" w:rsidR="00026E66" w:rsidRDefault="002737EF" w:rsidP="00FF0098">
      <w:pPr>
        <w:tabs>
          <w:tab w:val="left" w:pos="0"/>
        </w:tabs>
      </w:pPr>
      <w:r>
        <w:t xml:space="preserve">If the additional facility is to be added to a target unit with a relative Novem target, the </w:t>
      </w:r>
    </w:p>
    <w:p w14:paraId="34F6671B" w14:textId="3DA8C30E" w:rsidR="00026E66" w:rsidRDefault="002737EF" w:rsidP="00FF0098">
      <w:pPr>
        <w:tabs>
          <w:tab w:val="left" w:pos="0"/>
        </w:tabs>
      </w:pPr>
      <w:r>
        <w:t xml:space="preserve">Administrator may vary the target to take account of the addition of the facility using the following </w:t>
      </w:r>
      <w:r>
        <w:rPr>
          <w:color w:val="auto"/>
        </w:rPr>
        <w:t>calculation</w:t>
      </w:r>
      <w:r>
        <w:rPr>
          <w:color w:val="auto"/>
          <w:szCs w:val="24"/>
        </w:rPr>
        <w:t>:</w:t>
      </w:r>
      <w:r w:rsidR="00FC355D">
        <w:rPr>
          <w:color w:val="auto"/>
        </w:rPr>
        <w:t xml:space="preserve"> </w:t>
      </w:r>
      <w:r>
        <w:rPr>
          <w:color w:val="auto"/>
        </w:rPr>
        <w:t xml:space="preserve"> </w:t>
      </w:r>
      <w:r>
        <w:rPr>
          <w:color w:val="auto"/>
        </w:rPr>
        <w:tab/>
      </w:r>
      <w:r w:rsidR="00FC355D">
        <w:rPr>
          <w:color w:val="auto"/>
          <w:vertAlign w:val="subscript"/>
        </w:rPr>
        <w:t xml:space="preserve"> </w:t>
      </w:r>
      <w:r>
        <w:rPr>
          <w:color w:val="auto"/>
          <w:vertAlign w:val="subscript"/>
        </w:rPr>
        <w:t xml:space="preserve"> </w:t>
      </w:r>
    </w:p>
    <w:p w14:paraId="6BDE4076" w14:textId="77777777" w:rsidR="00026E66" w:rsidRDefault="002737EF" w:rsidP="00FF0098">
      <w:pPr>
        <w:tabs>
          <w:tab w:val="left" w:pos="0"/>
          <w:tab w:val="center" w:pos="1113"/>
          <w:tab w:val="center" w:pos="3041"/>
        </w:tabs>
        <w:spacing w:after="271" w:line="247" w:lineRule="auto"/>
        <w:jc w:val="center"/>
      </w:pPr>
      <m:oMathPara>
        <m:oMathParaPr>
          <m:jc m:val="center"/>
        </m:oMathParaPr>
        <m:oMath>
          <m:r>
            <w:rPr>
              <w:rFonts w:ascii="Cambria Math" w:hAnsi="Cambria Math"/>
            </w:rPr>
            <m:t xml:space="preserve">New TU target = </m:t>
          </m:r>
          <m:f>
            <m:fPr>
              <m:ctrlPr>
                <w:rPr>
                  <w:rFonts w:ascii="Cambria Math" w:hAnsi="Cambria Math"/>
                </w:rPr>
              </m:ctrlPr>
            </m:fPr>
            <m:num>
              <m:d>
                <m:dPr>
                  <m:ctrlPr>
                    <w:rPr>
                      <w:rFonts w:ascii="Cambria Math" w:hAnsi="Cambria Math"/>
                    </w:rPr>
                  </m:ctrlPr>
                </m:dPr>
                <m:e>
                  <m:r>
                    <w:rPr>
                      <w:rFonts w:ascii="Cambria Math" w:hAnsi="Cambria Math"/>
                    </w:rPr>
                    <m:t>Old TU Target×Old TU BY Energy</m:t>
                  </m:r>
                </m:e>
              </m:d>
              <m:r>
                <w:rPr>
                  <w:rFonts w:ascii="Cambria Math" w:hAnsi="Cambria Math"/>
                </w:rPr>
                <m:t xml:space="preserve"> + </m:t>
              </m:r>
              <m:d>
                <m:dPr>
                  <m:ctrlPr>
                    <w:rPr>
                      <w:rFonts w:ascii="Cambria Math" w:hAnsi="Cambria Math"/>
                    </w:rPr>
                  </m:ctrlPr>
                </m:dPr>
                <m:e>
                  <m:r>
                    <w:rPr>
                      <w:rFonts w:ascii="Cambria Math" w:hAnsi="Cambria Math"/>
                    </w:rPr>
                    <m:t>AF Target×AF BY Energy</m:t>
                  </m:r>
                </m:e>
              </m:d>
            </m:num>
            <m:den>
              <m:r>
                <w:rPr>
                  <w:rFonts w:ascii="Cambria Math" w:hAnsi="Cambria Math"/>
                </w:rPr>
                <m:t>Old TU BY Energy + AF BY Energy</m:t>
              </m:r>
            </m:den>
          </m:f>
        </m:oMath>
      </m:oMathPara>
    </w:p>
    <w:p w14:paraId="485BDDE9" w14:textId="77777777" w:rsidR="00026E66" w:rsidRDefault="002737EF" w:rsidP="00FF0098">
      <w:pPr>
        <w:tabs>
          <w:tab w:val="left" w:pos="0"/>
        </w:tabs>
      </w:pPr>
      <w:r>
        <w:t xml:space="preserve">Where: </w:t>
      </w:r>
    </w:p>
    <w:p w14:paraId="075D14FB" w14:textId="77777777" w:rsidR="00026E66" w:rsidRDefault="002737EF" w:rsidP="0065356B">
      <w:pPr>
        <w:pStyle w:val="ListParagraph"/>
        <w:numPr>
          <w:ilvl w:val="0"/>
          <w:numId w:val="117"/>
        </w:numPr>
        <w:tabs>
          <w:tab w:val="left" w:pos="0"/>
        </w:tabs>
      </w:pPr>
      <w:r>
        <w:t xml:space="preserve">New TU target = new target for the combined target unit </w:t>
      </w:r>
    </w:p>
    <w:p w14:paraId="18FA92CA" w14:textId="77777777" w:rsidR="00026E66" w:rsidRDefault="002737EF" w:rsidP="0065356B">
      <w:pPr>
        <w:pStyle w:val="ListParagraph"/>
        <w:numPr>
          <w:ilvl w:val="0"/>
          <w:numId w:val="117"/>
        </w:numPr>
        <w:tabs>
          <w:tab w:val="left" w:pos="0"/>
        </w:tabs>
      </w:pPr>
      <w:r>
        <w:t xml:space="preserve">Old TU target = target unit target before adding the facility </w:t>
      </w:r>
    </w:p>
    <w:p w14:paraId="5FDE0C4C" w14:textId="77777777" w:rsidR="00026E66" w:rsidRDefault="002737EF" w:rsidP="0065356B">
      <w:pPr>
        <w:pStyle w:val="ListParagraph"/>
        <w:numPr>
          <w:ilvl w:val="0"/>
          <w:numId w:val="117"/>
        </w:numPr>
        <w:tabs>
          <w:tab w:val="left" w:pos="0"/>
        </w:tabs>
      </w:pPr>
      <w:r>
        <w:t xml:space="preserve">Old TU BY energy = target unit base year energy (or carbon) before adding the facility </w:t>
      </w:r>
    </w:p>
    <w:p w14:paraId="648AB34C" w14:textId="77777777" w:rsidR="00026E66" w:rsidRDefault="002737EF" w:rsidP="0065356B">
      <w:pPr>
        <w:pStyle w:val="ListParagraph"/>
        <w:numPr>
          <w:ilvl w:val="0"/>
          <w:numId w:val="117"/>
        </w:numPr>
        <w:tabs>
          <w:tab w:val="left" w:pos="0"/>
        </w:tabs>
      </w:pPr>
      <w:r>
        <w:t xml:space="preserve">AF target = target for the additional facility on its own </w:t>
      </w:r>
    </w:p>
    <w:p w14:paraId="380D55D5" w14:textId="77777777" w:rsidR="00026E66" w:rsidRDefault="002737EF" w:rsidP="0065356B">
      <w:pPr>
        <w:pStyle w:val="ListParagraph"/>
        <w:numPr>
          <w:ilvl w:val="0"/>
          <w:numId w:val="117"/>
        </w:numPr>
        <w:tabs>
          <w:tab w:val="left" w:pos="0"/>
        </w:tabs>
      </w:pPr>
      <w:r>
        <w:t xml:space="preserve">AF BY energy = base year throughput for the additional facility </w:t>
      </w:r>
    </w:p>
    <w:p w14:paraId="72A2A371" w14:textId="6AF8046F" w:rsidR="00AE46A9" w:rsidRDefault="002737EF" w:rsidP="0065356B">
      <w:pPr>
        <w:pStyle w:val="ListParagraph"/>
        <w:numPr>
          <w:ilvl w:val="0"/>
          <w:numId w:val="117"/>
        </w:numPr>
        <w:tabs>
          <w:tab w:val="left" w:pos="0"/>
        </w:tabs>
      </w:pPr>
      <w:r>
        <w:t xml:space="preserve">All the targets here are in Novem (ratio) terms (that is a value between 0 and 1) </w:t>
      </w:r>
    </w:p>
    <w:p w14:paraId="47CEF376" w14:textId="77777777" w:rsidR="00AE46A9" w:rsidRDefault="00AE46A9">
      <w:pPr>
        <w:suppressAutoHyphens w:val="0"/>
        <w:spacing w:before="0" w:beforeAutospacing="0" w:after="160" w:afterAutospacing="0" w:line="256" w:lineRule="auto"/>
        <w:rPr>
          <w:rFonts w:eastAsia="Calibri" w:cs="Times New Roman"/>
          <w:color w:val="auto"/>
          <w:lang w:eastAsia="en-US"/>
        </w:rPr>
      </w:pPr>
      <w:r>
        <w:br w:type="page"/>
      </w:r>
    </w:p>
    <w:p w14:paraId="17DB18F7" w14:textId="77777777" w:rsidR="00026E66" w:rsidRDefault="002737EF" w:rsidP="00FF0098">
      <w:pPr>
        <w:pStyle w:val="Heading1"/>
        <w:tabs>
          <w:tab w:val="left" w:pos="0"/>
        </w:tabs>
      </w:pPr>
      <w:bookmarkStart w:id="422" w:name="_Appendix_E:_Definition"/>
      <w:bookmarkStart w:id="423" w:name="_Toc94718689"/>
      <w:bookmarkStart w:id="424" w:name="_Toc94088937"/>
      <w:bookmarkStart w:id="425" w:name="_Toc95211904"/>
      <w:bookmarkEnd w:id="422"/>
      <w:r>
        <w:lastRenderedPageBreak/>
        <w:t>Appendix E: Definition of an installation in the CCA scheme</w:t>
      </w:r>
      <w:bookmarkEnd w:id="423"/>
      <w:bookmarkEnd w:id="424"/>
      <w:bookmarkEnd w:id="425"/>
      <w:r>
        <w:t xml:space="preserve"> </w:t>
      </w:r>
    </w:p>
    <w:p w14:paraId="4B598310" w14:textId="77777777" w:rsidR="00026E66" w:rsidRDefault="002737EF" w:rsidP="00FF0098">
      <w:pPr>
        <w:tabs>
          <w:tab w:val="left" w:pos="0"/>
        </w:tabs>
      </w:pPr>
      <w:r>
        <w:t xml:space="preserve">The definition below is taken from </w:t>
      </w:r>
      <w:r w:rsidRPr="00AE46A9">
        <w:rPr>
          <w:iCs/>
        </w:rPr>
        <w:t>Climate Change Agreements: Guidance on Eligibility via Pollution Prevention and Control</w:t>
      </w:r>
      <w:r>
        <w:rPr>
          <w:i/>
        </w:rPr>
        <w:t xml:space="preserve">, </w:t>
      </w:r>
      <w:r>
        <w:t>Guidance Paper CCA-B01, DECC, 2008</w:t>
      </w:r>
      <w:r>
        <w:rPr>
          <w:i/>
        </w:rPr>
        <w:t>.</w:t>
      </w:r>
      <w:r>
        <w:t xml:space="preserve"> </w:t>
      </w:r>
    </w:p>
    <w:p w14:paraId="4405D3A8" w14:textId="77777777" w:rsidR="00026E66" w:rsidRDefault="002737EF" w:rsidP="00FF0098">
      <w:pPr>
        <w:pStyle w:val="Heading2"/>
        <w:tabs>
          <w:tab w:val="left" w:pos="0"/>
        </w:tabs>
      </w:pPr>
      <w:bookmarkStart w:id="426" w:name="_Toc95211905"/>
      <w:r>
        <w:t>Limb (</w:t>
      </w:r>
      <w:proofErr w:type="spellStart"/>
      <w:r>
        <w:t>i</w:t>
      </w:r>
      <w:proofErr w:type="spellEnd"/>
      <w:r>
        <w:t>) of the definition</w:t>
      </w:r>
      <w:bookmarkEnd w:id="426"/>
      <w:r>
        <w:t xml:space="preserve"> </w:t>
      </w:r>
    </w:p>
    <w:p w14:paraId="2E959B84" w14:textId="77777777" w:rsidR="00026E66" w:rsidRDefault="002737EF" w:rsidP="00FF0098">
      <w:pPr>
        <w:tabs>
          <w:tab w:val="left" w:pos="0"/>
        </w:tabs>
      </w:pPr>
      <w:r>
        <w:t xml:space="preserve">23. Two criteria exist for the purpose of determining whether plant or machinery satisfy the first limb of this definition: </w:t>
      </w:r>
    </w:p>
    <w:p w14:paraId="3C7BD55E" w14:textId="77777777" w:rsidR="00026E66" w:rsidRDefault="002737EF" w:rsidP="0065356B">
      <w:pPr>
        <w:pStyle w:val="ListParagraph"/>
        <w:numPr>
          <w:ilvl w:val="0"/>
          <w:numId w:val="118"/>
        </w:numPr>
        <w:tabs>
          <w:tab w:val="left" w:pos="0"/>
        </w:tabs>
      </w:pPr>
      <w:r>
        <w:t xml:space="preserve">(1A) The plant or machinery must be a ‘technical unit’ where one or more activities listed in Part 2 of Schedule 1 to the PPC Regulations (‘listed activities’) are carried out. </w:t>
      </w:r>
    </w:p>
    <w:p w14:paraId="75B55CC0" w14:textId="29EE7847" w:rsidR="00026E66" w:rsidRDefault="002737EF" w:rsidP="0065356B">
      <w:pPr>
        <w:pStyle w:val="ListParagraph"/>
        <w:numPr>
          <w:ilvl w:val="0"/>
          <w:numId w:val="118"/>
        </w:numPr>
        <w:tabs>
          <w:tab w:val="left" w:pos="0"/>
        </w:tabs>
      </w:pPr>
      <w:r>
        <w:t>(1B) The technical unit must be stationary</w:t>
      </w:r>
    </w:p>
    <w:p w14:paraId="49B41747" w14:textId="77777777" w:rsidR="00026E66" w:rsidRDefault="002737EF" w:rsidP="00FF0098">
      <w:pPr>
        <w:tabs>
          <w:tab w:val="left" w:pos="0"/>
        </w:tabs>
      </w:pPr>
      <w:r>
        <w:t xml:space="preserve">For the purpose of criterion (1A), ‘technical unit’ can be taken to mean something which is functionally self-contained in the sense that the unit – which may consist of one component or a number of components functioning together – can carry out the Schedule 1 activity or activities on its own. </w:t>
      </w:r>
    </w:p>
    <w:p w14:paraId="1CEDDD6E" w14:textId="77777777" w:rsidR="00026E66" w:rsidRDefault="002737EF" w:rsidP="00FF0098">
      <w:pPr>
        <w:tabs>
          <w:tab w:val="left" w:pos="0"/>
        </w:tabs>
      </w:pPr>
      <w:r>
        <w:t xml:space="preserve">25. However, where there are two or more such units on the same site, those units should be regarded as a single technical unit for these purposes if: </w:t>
      </w:r>
    </w:p>
    <w:p w14:paraId="6C54883F" w14:textId="3DC0D040" w:rsidR="00026E66" w:rsidRDefault="002737EF" w:rsidP="0065356B">
      <w:pPr>
        <w:pStyle w:val="ListParagraph"/>
        <w:numPr>
          <w:ilvl w:val="0"/>
          <w:numId w:val="119"/>
        </w:numPr>
        <w:tabs>
          <w:tab w:val="left" w:pos="0"/>
        </w:tabs>
      </w:pPr>
      <w:r>
        <w:t>they carry out successive steps in one integrated industrial activity</w:t>
      </w:r>
    </w:p>
    <w:p w14:paraId="01FBB713" w14:textId="4EAB4D1C" w:rsidR="00026E66" w:rsidRDefault="002737EF" w:rsidP="0065356B">
      <w:pPr>
        <w:pStyle w:val="ListParagraph"/>
        <w:numPr>
          <w:ilvl w:val="0"/>
          <w:numId w:val="119"/>
        </w:numPr>
        <w:tabs>
          <w:tab w:val="left" w:pos="0"/>
        </w:tabs>
      </w:pPr>
      <w:r>
        <w:t>one of the listed activities is a directly associated activity of the other</w:t>
      </w:r>
    </w:p>
    <w:p w14:paraId="30AB13D1" w14:textId="77777777" w:rsidR="00026E66" w:rsidRDefault="002737EF" w:rsidP="0065356B">
      <w:pPr>
        <w:pStyle w:val="ListParagraph"/>
        <w:numPr>
          <w:ilvl w:val="0"/>
          <w:numId w:val="119"/>
        </w:numPr>
        <w:tabs>
          <w:tab w:val="left" w:pos="0"/>
        </w:tabs>
      </w:pPr>
      <w:r>
        <w:t xml:space="preserve">both units are served by the same directly associated activity. </w:t>
      </w:r>
    </w:p>
    <w:p w14:paraId="2E241072" w14:textId="77777777" w:rsidR="00026E66" w:rsidRDefault="002737EF" w:rsidP="00FF0098">
      <w:pPr>
        <w:pStyle w:val="Heading2"/>
        <w:tabs>
          <w:tab w:val="left" w:pos="0"/>
        </w:tabs>
      </w:pPr>
      <w:bookmarkStart w:id="427" w:name="_Toc95211906"/>
      <w:r>
        <w:t>Limb (ii) of the definition</w:t>
      </w:r>
      <w:bookmarkEnd w:id="427"/>
      <w:r>
        <w:t xml:space="preserve"> </w:t>
      </w:r>
    </w:p>
    <w:p w14:paraId="3897B5E3" w14:textId="77777777" w:rsidR="00026E66" w:rsidRDefault="002737EF" w:rsidP="00FF0098">
      <w:pPr>
        <w:tabs>
          <w:tab w:val="left" w:pos="0"/>
        </w:tabs>
      </w:pPr>
      <w:r>
        <w:t xml:space="preserve">26. An installation consists of the stationary technical unit, identified under the first limb of the definition, plus any location on the same site where activities that satisfy the second limb are carried out. Three criteria are proposed for the purpose of determining whether an activity satisfies the second limb: </w:t>
      </w:r>
    </w:p>
    <w:p w14:paraId="2F29A274" w14:textId="77777777" w:rsidR="00026E66" w:rsidRDefault="002737EF" w:rsidP="0065356B">
      <w:pPr>
        <w:pStyle w:val="ListParagraph"/>
        <w:numPr>
          <w:ilvl w:val="0"/>
          <w:numId w:val="120"/>
        </w:numPr>
        <w:tabs>
          <w:tab w:val="left" w:pos="0"/>
        </w:tabs>
      </w:pPr>
      <w:r>
        <w:t xml:space="preserve">(2A) The activity must be directly associated with the stationary technical unit. </w:t>
      </w:r>
    </w:p>
    <w:p w14:paraId="6B49FF93" w14:textId="77777777" w:rsidR="00026E66" w:rsidRDefault="002737EF" w:rsidP="0065356B">
      <w:pPr>
        <w:pStyle w:val="ListParagraph"/>
        <w:numPr>
          <w:ilvl w:val="0"/>
          <w:numId w:val="120"/>
        </w:numPr>
        <w:tabs>
          <w:tab w:val="left" w:pos="0"/>
        </w:tabs>
      </w:pPr>
      <w:r>
        <w:t xml:space="preserve">(2B) The activity must have a technical connection with the listed activities carried out in or by the stationary technical unit. </w:t>
      </w:r>
    </w:p>
    <w:p w14:paraId="10DE9687" w14:textId="77777777" w:rsidR="00026E66" w:rsidRDefault="002737EF" w:rsidP="0065356B">
      <w:pPr>
        <w:pStyle w:val="ListParagraph"/>
        <w:numPr>
          <w:ilvl w:val="0"/>
          <w:numId w:val="120"/>
        </w:numPr>
        <w:tabs>
          <w:tab w:val="left" w:pos="0"/>
        </w:tabs>
      </w:pPr>
      <w:r>
        <w:t xml:space="preserve">(2C) The activity must be capable of having an effect on emissions. </w:t>
      </w:r>
    </w:p>
    <w:p w14:paraId="464170B7" w14:textId="77777777" w:rsidR="00026E66" w:rsidRDefault="002737EF" w:rsidP="00FF0098">
      <w:pPr>
        <w:tabs>
          <w:tab w:val="left" w:pos="0"/>
        </w:tabs>
      </w:pPr>
      <w:r>
        <w:t xml:space="preserve">27. Criterion (2A) requires that the activity is carried out on the same site as the stationary technical unit and that the activity serves the stationary technical unit (that is, there is an asymmetrical relationship whereby the activity serves the stationary technical unit, but not </w:t>
      </w:r>
      <w:r>
        <w:lastRenderedPageBreak/>
        <w:t xml:space="preserve">vice versa). If an activity, such as operating a landfill, serves a stationary technical unit carrying out a listed activity and some other industrial unit or units on a different site or carrying out non-listed activities, then the activity will only be directly associated with the stationary technical unit if that unit is the principal user of the activity. </w:t>
      </w:r>
    </w:p>
    <w:p w14:paraId="578DF4BF" w14:textId="77777777" w:rsidR="00026E66" w:rsidRDefault="002737EF" w:rsidP="00FF0098">
      <w:pPr>
        <w:tabs>
          <w:tab w:val="left" w:pos="0"/>
        </w:tabs>
      </w:pPr>
      <w:r>
        <w:t xml:space="preserve">28. Criterion (2B) gives rise to four types of DAA which may be said to have a technical connection with a stationary technical unit: </w:t>
      </w:r>
    </w:p>
    <w:p w14:paraId="7BF31C2C" w14:textId="6F2A1AE3" w:rsidR="00026E66" w:rsidRDefault="002737EF" w:rsidP="0065356B">
      <w:pPr>
        <w:pStyle w:val="ListParagraph"/>
        <w:numPr>
          <w:ilvl w:val="0"/>
          <w:numId w:val="121"/>
        </w:numPr>
        <w:tabs>
          <w:tab w:val="left" w:pos="0"/>
        </w:tabs>
      </w:pPr>
      <w:r>
        <w:t>input activities concerned with the storage and treatment of inputs into the stationary technical unit</w:t>
      </w:r>
    </w:p>
    <w:p w14:paraId="388CCD8E" w14:textId="375E6387" w:rsidR="00026E66" w:rsidRDefault="002737EF" w:rsidP="0065356B">
      <w:pPr>
        <w:pStyle w:val="ListParagraph"/>
        <w:numPr>
          <w:ilvl w:val="0"/>
          <w:numId w:val="121"/>
        </w:numPr>
        <w:tabs>
          <w:tab w:val="left" w:pos="0"/>
        </w:tabs>
      </w:pPr>
      <w:r>
        <w:t xml:space="preserve">intermediate activities concerned with the storage and treatment of intermediate products during the carrying out of the listed activities – this might apply particularly where the stationary technical unit consists of a number of </w:t>
      </w:r>
      <w:proofErr w:type="gramStart"/>
      <w:r>
        <w:t>sub units</w:t>
      </w:r>
      <w:proofErr w:type="gramEnd"/>
      <w:r>
        <w:t xml:space="preserve">, with the product of one </w:t>
      </w:r>
      <w:proofErr w:type="gramStart"/>
      <w:r>
        <w:t>sub unit</w:t>
      </w:r>
      <w:proofErr w:type="gramEnd"/>
      <w:r>
        <w:t xml:space="preserve"> being stored or treated prior to being passed on to the next </w:t>
      </w:r>
      <w:proofErr w:type="gramStart"/>
      <w:r>
        <w:t>sub unit</w:t>
      </w:r>
      <w:proofErr w:type="gramEnd"/>
      <w:r>
        <w:t xml:space="preserve"> in the production chain</w:t>
      </w:r>
    </w:p>
    <w:p w14:paraId="0CB686F2" w14:textId="617AF002" w:rsidR="00026E66" w:rsidRDefault="002737EF" w:rsidP="0065356B">
      <w:pPr>
        <w:pStyle w:val="ListParagraph"/>
        <w:numPr>
          <w:ilvl w:val="0"/>
          <w:numId w:val="121"/>
        </w:numPr>
        <w:tabs>
          <w:tab w:val="left" w:pos="0"/>
        </w:tabs>
      </w:pPr>
      <w:r>
        <w:t>output activities concerned with the treatment of waste (or other emissions, like manure) from the stationary technical unit</w:t>
      </w:r>
    </w:p>
    <w:p w14:paraId="5163BAE5" w14:textId="42B082E7" w:rsidR="00026E66" w:rsidRDefault="002737EF" w:rsidP="0065356B">
      <w:pPr>
        <w:pStyle w:val="ListParagraph"/>
        <w:numPr>
          <w:ilvl w:val="0"/>
          <w:numId w:val="121"/>
        </w:numPr>
        <w:tabs>
          <w:tab w:val="left" w:pos="0"/>
        </w:tabs>
      </w:pPr>
      <w:r>
        <w:t>output activities concerned with the finishing, packaging and storage of the product from the stationary technical unit</w:t>
      </w:r>
    </w:p>
    <w:p w14:paraId="7A05B9E1" w14:textId="77777777" w:rsidR="00026E66" w:rsidRDefault="002737EF" w:rsidP="00FF0098">
      <w:pPr>
        <w:tabs>
          <w:tab w:val="left" w:pos="0"/>
        </w:tabs>
      </w:pPr>
      <w:r>
        <w:t xml:space="preserve">29. These activities have a technical connection in the sense that they are integral parts of the overall listed industrial activity. Often there will also be a physical connection, such as a conveyor belt or pipeline, but this does not have to be the case. </w:t>
      </w:r>
    </w:p>
    <w:p w14:paraId="48B8F302" w14:textId="77777777" w:rsidR="00026E66" w:rsidRDefault="002737EF" w:rsidP="00FF0098">
      <w:pPr>
        <w:tabs>
          <w:tab w:val="left" w:pos="0"/>
        </w:tabs>
      </w:pPr>
      <w:r>
        <w:t xml:space="preserve">30. The need for input, intermediate and output activities to be an integral part of a listed activity before it is caught by limb (ii) is presented as part of criterion (2B). Note, however, that the requirement for associated activities to be ‘directly’ associated in criterion (2A) also emphasises the need for associated activities to be an integral part of a listed activity before they are treated as part of an installation.) </w:t>
      </w:r>
    </w:p>
    <w:p w14:paraId="7A4F80BE" w14:textId="77777777" w:rsidR="00026E66" w:rsidRDefault="002737EF" w:rsidP="00FF0098">
      <w:pPr>
        <w:tabs>
          <w:tab w:val="left" w:pos="0"/>
        </w:tabs>
      </w:pPr>
      <w:r>
        <w:t xml:space="preserve">31. Criterion (2C) covers both activities that have an effect on emissions and pollution from the listed activities with which they are associated and activities that have such an effect in their own right. </w:t>
      </w:r>
    </w:p>
    <w:p w14:paraId="570B043D" w14:textId="77777777" w:rsidR="00026E66" w:rsidRDefault="002737EF" w:rsidP="00FF0098">
      <w:pPr>
        <w:pStyle w:val="Heading1"/>
        <w:pageBreakBefore/>
        <w:tabs>
          <w:tab w:val="left" w:pos="0"/>
        </w:tabs>
      </w:pPr>
      <w:bookmarkStart w:id="428" w:name="_Appendix_F:_Estimation"/>
      <w:bookmarkStart w:id="429" w:name="_Toc94718690"/>
      <w:bookmarkStart w:id="430" w:name="_Toc94088938"/>
      <w:bookmarkStart w:id="431" w:name="_Toc95211907"/>
      <w:bookmarkEnd w:id="428"/>
      <w:r>
        <w:lastRenderedPageBreak/>
        <w:t>Appendix F: Estimation techniques for meter failure or fault</w:t>
      </w:r>
      <w:bookmarkEnd w:id="429"/>
      <w:bookmarkEnd w:id="430"/>
      <w:bookmarkEnd w:id="431"/>
      <w:r>
        <w:t xml:space="preserve"> </w:t>
      </w:r>
    </w:p>
    <w:p w14:paraId="5CAE84E1" w14:textId="77777777" w:rsidR="00026E66" w:rsidRDefault="002737EF" w:rsidP="00FF0098">
      <w:pPr>
        <w:tabs>
          <w:tab w:val="left" w:pos="0"/>
        </w:tabs>
      </w:pPr>
      <w:r>
        <w:t xml:space="preserve">The estimation techniques described in this appendix should only be used when there are gaps in energy supply data, for example, when a meter fails or is subsequently found to have been faulty. </w:t>
      </w:r>
    </w:p>
    <w:p w14:paraId="00464B53" w14:textId="4DB4B993" w:rsidR="00026E66" w:rsidRDefault="002737EF" w:rsidP="00AE46A9">
      <w:pPr>
        <w:pStyle w:val="Heading2"/>
        <w:tabs>
          <w:tab w:val="left" w:pos="0"/>
        </w:tabs>
      </w:pPr>
      <w:bookmarkStart w:id="432" w:name="_Toc94718691"/>
      <w:bookmarkStart w:id="433" w:name="_Toc94088939"/>
      <w:bookmarkStart w:id="434" w:name="_Toc95211908"/>
      <w:r>
        <w:t>F.1 Introduction</w:t>
      </w:r>
      <w:bookmarkEnd w:id="432"/>
      <w:bookmarkEnd w:id="433"/>
      <w:bookmarkEnd w:id="434"/>
      <w:r>
        <w:t xml:space="preserve"> </w:t>
      </w:r>
    </w:p>
    <w:p w14:paraId="23C468B3" w14:textId="77777777" w:rsidR="00026E66" w:rsidRDefault="002737EF" w:rsidP="00FF0098">
      <w:pPr>
        <w:tabs>
          <w:tab w:val="left" w:pos="0"/>
        </w:tabs>
      </w:pPr>
      <w:r>
        <w:t xml:space="preserve">There are five basic steps you should follow when applying an estimation technique: </w:t>
      </w:r>
    </w:p>
    <w:p w14:paraId="40F161B0" w14:textId="77777777" w:rsidR="00026E66" w:rsidRDefault="002737EF" w:rsidP="0065356B">
      <w:pPr>
        <w:pStyle w:val="ListParagraph"/>
        <w:numPr>
          <w:ilvl w:val="0"/>
          <w:numId w:val="122"/>
        </w:numPr>
        <w:tabs>
          <w:tab w:val="left" w:pos="0"/>
        </w:tabs>
      </w:pPr>
      <w:r>
        <w:t xml:space="preserve">Identify gaps in energy supply data </w:t>
      </w:r>
    </w:p>
    <w:p w14:paraId="073D69D1" w14:textId="77777777" w:rsidR="00026E66" w:rsidRDefault="002737EF" w:rsidP="0065356B">
      <w:pPr>
        <w:pStyle w:val="ListParagraph"/>
        <w:numPr>
          <w:ilvl w:val="0"/>
          <w:numId w:val="122"/>
        </w:numPr>
        <w:tabs>
          <w:tab w:val="left" w:pos="0"/>
        </w:tabs>
      </w:pPr>
      <w:r>
        <w:t xml:space="preserve">Identify a suitable technique to address these gaps </w:t>
      </w:r>
    </w:p>
    <w:p w14:paraId="5A113856" w14:textId="77777777" w:rsidR="00026E66" w:rsidRDefault="002737EF" w:rsidP="0065356B">
      <w:pPr>
        <w:pStyle w:val="ListParagraph"/>
        <w:numPr>
          <w:ilvl w:val="0"/>
          <w:numId w:val="122"/>
        </w:numPr>
        <w:tabs>
          <w:tab w:val="left" w:pos="0"/>
        </w:tabs>
      </w:pPr>
      <w:r>
        <w:t xml:space="preserve">Quantify the missing data using the technique </w:t>
      </w:r>
    </w:p>
    <w:p w14:paraId="61AB2B09" w14:textId="77777777" w:rsidR="00026E66" w:rsidRDefault="002737EF" w:rsidP="0065356B">
      <w:pPr>
        <w:pStyle w:val="ListParagraph"/>
        <w:numPr>
          <w:ilvl w:val="0"/>
          <w:numId w:val="122"/>
        </w:numPr>
        <w:tabs>
          <w:tab w:val="left" w:pos="0"/>
        </w:tabs>
      </w:pPr>
      <w:r>
        <w:t xml:space="preserve">Use the data to complete target period reporting data </w:t>
      </w:r>
    </w:p>
    <w:p w14:paraId="7E9ED268" w14:textId="77777777" w:rsidR="00026E66" w:rsidRDefault="002737EF" w:rsidP="0065356B">
      <w:pPr>
        <w:pStyle w:val="ListParagraph"/>
        <w:numPr>
          <w:ilvl w:val="0"/>
          <w:numId w:val="122"/>
        </w:numPr>
        <w:tabs>
          <w:tab w:val="left" w:pos="0"/>
        </w:tabs>
      </w:pPr>
      <w:r>
        <w:t xml:space="preserve">Retain records for future reference and potential facility audit </w:t>
      </w:r>
    </w:p>
    <w:p w14:paraId="2DFACD54" w14:textId="77777777" w:rsidR="00026E66" w:rsidRDefault="002737EF" w:rsidP="00FF0098">
      <w:pPr>
        <w:tabs>
          <w:tab w:val="left" w:pos="0"/>
        </w:tabs>
      </w:pPr>
      <w:r>
        <w:t xml:space="preserve">To decide whether an approach is ‘reasonable’ or not, you should consider which technique will be the most accurate, that is, you should select the technique on the basis that it is limited to filling the data gaps, maximises the use of primary source data and acknowledges the levels of activity during the period of the data gaps. </w:t>
      </w:r>
    </w:p>
    <w:p w14:paraId="09A3D893" w14:textId="77777777" w:rsidR="00026E66" w:rsidRDefault="002737EF" w:rsidP="00FF0098">
      <w:pPr>
        <w:tabs>
          <w:tab w:val="left" w:pos="0"/>
        </w:tabs>
      </w:pPr>
      <w:r>
        <w:t xml:space="preserve">You must ensure that the reasons for your choice of technique and the steps in your estimation process are documented to provide an audit trail. </w:t>
      </w:r>
    </w:p>
    <w:p w14:paraId="6DB836B2" w14:textId="77777777" w:rsidR="00026E66" w:rsidRDefault="002737EF" w:rsidP="00FF0098">
      <w:pPr>
        <w:pStyle w:val="Heading2"/>
        <w:tabs>
          <w:tab w:val="left" w:pos="0"/>
        </w:tabs>
      </w:pPr>
      <w:bookmarkStart w:id="435" w:name="_Toc94718692"/>
      <w:bookmarkStart w:id="436" w:name="_Toc94088940"/>
      <w:bookmarkStart w:id="437" w:name="_Toc95211909"/>
      <w:r>
        <w:t>F.2 What are the estimation techniques?</w:t>
      </w:r>
      <w:bookmarkEnd w:id="435"/>
      <w:bookmarkEnd w:id="436"/>
      <w:bookmarkEnd w:id="437"/>
      <w:r>
        <w:t xml:space="preserve"> </w:t>
      </w:r>
    </w:p>
    <w:p w14:paraId="4F174CD0" w14:textId="77777777" w:rsidR="00026E66" w:rsidRDefault="002737EF" w:rsidP="00FF0098">
      <w:pPr>
        <w:tabs>
          <w:tab w:val="left" w:pos="0"/>
        </w:tabs>
      </w:pPr>
      <w:r>
        <w:t xml:space="preserve">The four techniques available to use are: </w:t>
      </w:r>
    </w:p>
    <w:p w14:paraId="4BEAB508" w14:textId="77777777" w:rsidR="00026E66" w:rsidRDefault="002737EF" w:rsidP="0065356B">
      <w:pPr>
        <w:pStyle w:val="ListParagraph"/>
        <w:numPr>
          <w:ilvl w:val="0"/>
          <w:numId w:val="123"/>
        </w:numPr>
        <w:tabs>
          <w:tab w:val="left" w:pos="0"/>
        </w:tabs>
      </w:pPr>
      <w:r>
        <w:t xml:space="preserve">estimated energy bills </w:t>
      </w:r>
    </w:p>
    <w:p w14:paraId="062FDC36" w14:textId="77777777" w:rsidR="00026E66" w:rsidRDefault="002737EF" w:rsidP="0065356B">
      <w:pPr>
        <w:pStyle w:val="ListParagraph"/>
        <w:numPr>
          <w:ilvl w:val="0"/>
          <w:numId w:val="123"/>
        </w:numPr>
        <w:tabs>
          <w:tab w:val="left" w:pos="0"/>
        </w:tabs>
      </w:pPr>
      <w:r>
        <w:t xml:space="preserve">pro-rata calculation </w:t>
      </w:r>
    </w:p>
    <w:p w14:paraId="751FB119" w14:textId="77777777" w:rsidR="00026E66" w:rsidRDefault="002737EF" w:rsidP="0065356B">
      <w:pPr>
        <w:pStyle w:val="ListParagraph"/>
        <w:numPr>
          <w:ilvl w:val="0"/>
          <w:numId w:val="123"/>
        </w:numPr>
        <w:tabs>
          <w:tab w:val="left" w:pos="0"/>
        </w:tabs>
      </w:pPr>
      <w:r>
        <w:t xml:space="preserve">direct comparison </w:t>
      </w:r>
    </w:p>
    <w:p w14:paraId="5BD9EFBC" w14:textId="77777777" w:rsidR="00026E66" w:rsidRDefault="002737EF" w:rsidP="0065356B">
      <w:pPr>
        <w:pStyle w:val="ListParagraph"/>
        <w:numPr>
          <w:ilvl w:val="0"/>
          <w:numId w:val="123"/>
        </w:numPr>
        <w:tabs>
          <w:tab w:val="left" w:pos="0"/>
        </w:tabs>
      </w:pPr>
      <w:r>
        <w:t xml:space="preserve">price settlement </w:t>
      </w:r>
    </w:p>
    <w:p w14:paraId="52CEEF9D" w14:textId="77777777" w:rsidR="00026E66" w:rsidRDefault="002737EF" w:rsidP="00FF0098">
      <w:pPr>
        <w:tabs>
          <w:tab w:val="left" w:pos="0"/>
        </w:tabs>
      </w:pPr>
      <w:r>
        <w:t xml:space="preserve">The ways in which you can apply these techniques are described in turn below with examples. They are not in a priority </w:t>
      </w:r>
      <w:proofErr w:type="gramStart"/>
      <w:r>
        <w:t>order</w:t>
      </w:r>
      <w:proofErr w:type="gramEnd"/>
      <w:r>
        <w:t xml:space="preserve"> and you should consider which method is most reasonable as outlined above. </w:t>
      </w:r>
    </w:p>
    <w:p w14:paraId="67CB3E96" w14:textId="77777777" w:rsidR="00026E66" w:rsidRDefault="002737EF" w:rsidP="00FF0098">
      <w:pPr>
        <w:tabs>
          <w:tab w:val="left" w:pos="0"/>
        </w:tabs>
      </w:pPr>
      <w:r>
        <w:t xml:space="preserve">Other techniques, such as benchmarking, are not valid as estimation techniques within the CCA scheme. This is because establishing benchmark data and then measuring estimated data against them would make effective verification (either by the operator or the Administrator) too complex. </w:t>
      </w:r>
    </w:p>
    <w:p w14:paraId="7B2CF78D" w14:textId="77777777" w:rsidR="00026E66" w:rsidRDefault="002737EF" w:rsidP="00FF0098">
      <w:pPr>
        <w:tabs>
          <w:tab w:val="left" w:pos="0"/>
        </w:tabs>
      </w:pPr>
      <w:r>
        <w:lastRenderedPageBreak/>
        <w:t xml:space="preserve">The four methods available to the CCA scheme replicate the four methods used in the CRC Energy Efficiency Scheme with the exception of the 10% uplift calculation in CRC which has been removed for the CCA scheme. </w:t>
      </w:r>
    </w:p>
    <w:p w14:paraId="0721CE1E" w14:textId="77777777" w:rsidR="00026E66" w:rsidRDefault="002737EF" w:rsidP="00FF0098">
      <w:pPr>
        <w:tabs>
          <w:tab w:val="left" w:pos="0"/>
        </w:tabs>
      </w:pPr>
      <w:r>
        <w:t xml:space="preserve">It is important to ensure the estimate resulting from your chosen method does not under-estimate supply. </w:t>
      </w:r>
    </w:p>
    <w:p w14:paraId="36ED0BF9" w14:textId="77777777" w:rsidR="00026E66" w:rsidRDefault="002737EF" w:rsidP="00FF0098">
      <w:pPr>
        <w:pStyle w:val="Heading3"/>
        <w:tabs>
          <w:tab w:val="left" w:pos="0"/>
        </w:tabs>
      </w:pPr>
      <w:r>
        <w:t xml:space="preserve">Technique 1: Estimated energy bills </w:t>
      </w:r>
    </w:p>
    <w:p w14:paraId="3EF11657" w14:textId="77777777" w:rsidR="00026E66" w:rsidRDefault="002737EF" w:rsidP="00FF0098">
      <w:pPr>
        <w:tabs>
          <w:tab w:val="left" w:pos="0"/>
        </w:tabs>
      </w:pPr>
      <w:r>
        <w:t xml:space="preserve">You can use estimated bills from suppliers to establish the energy supplied for electricity or fuels (in most cases this will be for natural gas). Suppliers may send these because they are unable to provide bills based on actual supply data for the entire period. All evidence for estimated bills should be kept </w:t>
      </w:r>
      <w:proofErr w:type="gramStart"/>
      <w:r>
        <w:t>to provide</w:t>
      </w:r>
      <w:proofErr w:type="gramEnd"/>
      <w:r>
        <w:t xml:space="preserve"> an audit trail. </w:t>
      </w:r>
    </w:p>
    <w:p w14:paraId="1CC86F36" w14:textId="2482920E" w:rsidR="00026E66" w:rsidRPr="00395FC6" w:rsidRDefault="002737EF" w:rsidP="00FF0098">
      <w:pPr>
        <w:pStyle w:val="Heading4"/>
        <w:tabs>
          <w:tab w:val="left" w:pos="0"/>
        </w:tabs>
      </w:pPr>
      <w:r>
        <w:t>Example – Operator A</w:t>
      </w:r>
    </w:p>
    <w:p w14:paraId="505F26C9" w14:textId="77777777" w:rsidR="00026E66" w:rsidRDefault="002737EF" w:rsidP="00FF0098">
      <w:pPr>
        <w:tabs>
          <w:tab w:val="left" w:pos="0"/>
        </w:tabs>
      </w:pPr>
      <w:r>
        <w:rPr>
          <w:b/>
        </w:rPr>
        <w:t>Step 1</w:t>
      </w:r>
      <w:r>
        <w:t>: Some time after the billing period, an invoice for natural gas supply to operator A is identified as being estimated.</w:t>
      </w:r>
    </w:p>
    <w:p w14:paraId="6D5FC163" w14:textId="77777777" w:rsidR="00026E66" w:rsidRDefault="002737EF" w:rsidP="00FF0098">
      <w:pPr>
        <w:tabs>
          <w:tab w:val="left" w:pos="0"/>
        </w:tabs>
      </w:pPr>
      <w:r>
        <w:t>Estimates are used where bills are issued more frequently than actual meter readings are recorded.</w:t>
      </w:r>
    </w:p>
    <w:p w14:paraId="0D8AE10A" w14:textId="77777777" w:rsidR="00026E66" w:rsidRDefault="002737EF" w:rsidP="00FF0098">
      <w:pPr>
        <w:tabs>
          <w:tab w:val="left" w:pos="0"/>
        </w:tabs>
      </w:pPr>
      <w:r>
        <w:t>Estimates are usually based on past supply and/or a meter profile.</w:t>
      </w:r>
    </w:p>
    <w:p w14:paraId="23E7E9AB" w14:textId="77777777" w:rsidR="00026E66" w:rsidRDefault="002737EF" w:rsidP="00FF0098">
      <w:pPr>
        <w:tabs>
          <w:tab w:val="left" w:pos="0"/>
        </w:tabs>
      </w:pPr>
      <w:r>
        <w:rPr>
          <w:b/>
        </w:rPr>
        <w:t>Step 2</w:t>
      </w:r>
      <w:r>
        <w:t>: Actual meter readings have not been taken for the billing period, so operator A uses estimated bills to cover that period.</w:t>
      </w:r>
    </w:p>
    <w:p w14:paraId="12FBFEF8" w14:textId="77777777" w:rsidR="00026E66" w:rsidRDefault="002737EF" w:rsidP="00FF0098">
      <w:pPr>
        <w:tabs>
          <w:tab w:val="left" w:pos="0"/>
        </w:tabs>
      </w:pPr>
      <w:r>
        <w:t>Operator A should check that the billed estimate is proportionally consistent with the supply actually recorded by the meter. For example, if you normally consume X m</w:t>
      </w:r>
      <w:r>
        <w:rPr>
          <w:vertAlign w:val="superscript"/>
        </w:rPr>
        <w:t xml:space="preserve">3 </w:t>
      </w:r>
      <w:r>
        <w:t>of gas per month and you are reading the meter two months after the end of the estimated period, the current reading should be greater than the billed estimate by approximately 2X m</w:t>
      </w:r>
      <w:r>
        <w:rPr>
          <w:vertAlign w:val="superscript"/>
        </w:rPr>
        <w:t>3</w:t>
      </w:r>
      <w:r>
        <w:t>.</w:t>
      </w:r>
    </w:p>
    <w:p w14:paraId="68712C42" w14:textId="77777777" w:rsidR="00026E66" w:rsidRDefault="002737EF" w:rsidP="00FF0098">
      <w:pPr>
        <w:tabs>
          <w:tab w:val="left" w:pos="0"/>
        </w:tabs>
      </w:pPr>
      <w:r>
        <w:t xml:space="preserve">If there is a large difference between estimated and actual </w:t>
      </w:r>
      <w:proofErr w:type="gramStart"/>
      <w:r>
        <w:t>supply</w:t>
      </w:r>
      <w:proofErr w:type="gramEnd"/>
      <w:r>
        <w:t xml:space="preserve"> then let your supplier know.</w:t>
      </w:r>
    </w:p>
    <w:p w14:paraId="58BBDAB5" w14:textId="77777777" w:rsidR="00026E66" w:rsidRDefault="002737EF" w:rsidP="00FF0098">
      <w:pPr>
        <w:tabs>
          <w:tab w:val="left" w:pos="0"/>
        </w:tabs>
      </w:pPr>
      <w:r>
        <w:rPr>
          <w:b/>
        </w:rPr>
        <w:t>Step 3</w:t>
      </w:r>
      <w:r>
        <w:t>: Calculate the amount of energy supplied for the period.</w:t>
      </w:r>
    </w:p>
    <w:p w14:paraId="39C23FD3" w14:textId="77777777" w:rsidR="00026E66" w:rsidRDefault="002737EF" w:rsidP="00FF0098">
      <w:pPr>
        <w:tabs>
          <w:tab w:val="left" w:pos="0"/>
        </w:tabs>
      </w:pPr>
      <w:r>
        <w:t>Supply data are taken from the estimated bills.</w:t>
      </w:r>
    </w:p>
    <w:p w14:paraId="6C1754F8" w14:textId="77777777" w:rsidR="00026E66" w:rsidRDefault="002737EF" w:rsidP="00FF0098">
      <w:pPr>
        <w:tabs>
          <w:tab w:val="left" w:pos="0"/>
        </w:tabs>
      </w:pPr>
      <w:r>
        <w:rPr>
          <w:b/>
        </w:rPr>
        <w:t>Step 4</w:t>
      </w:r>
      <w:r>
        <w:t>: Reporting</w:t>
      </w:r>
    </w:p>
    <w:p w14:paraId="5623ADB2" w14:textId="77777777" w:rsidR="00026E66" w:rsidRDefault="002737EF" w:rsidP="00FF0098">
      <w:pPr>
        <w:tabs>
          <w:tab w:val="left" w:pos="0"/>
        </w:tabs>
      </w:pPr>
      <w:r>
        <w:t>Operator A should report the estimated supply for the period where appropriate.</w:t>
      </w:r>
    </w:p>
    <w:p w14:paraId="31CB6C64" w14:textId="77777777" w:rsidR="00026E66" w:rsidRDefault="002737EF" w:rsidP="00FF0098">
      <w:pPr>
        <w:tabs>
          <w:tab w:val="left" w:pos="0"/>
        </w:tabs>
      </w:pPr>
      <w:r>
        <w:rPr>
          <w:b/>
        </w:rPr>
        <w:lastRenderedPageBreak/>
        <w:t>Step 5</w:t>
      </w:r>
      <w:r>
        <w:t>: Operator A should keep auditable records of the estimated bills as part of its records for the target period. These are:</w:t>
      </w:r>
    </w:p>
    <w:p w14:paraId="640A134A" w14:textId="77777777" w:rsidR="00026E66" w:rsidRDefault="002737EF" w:rsidP="0065356B">
      <w:pPr>
        <w:pStyle w:val="ListParagraph"/>
        <w:numPr>
          <w:ilvl w:val="0"/>
          <w:numId w:val="124"/>
        </w:numPr>
        <w:tabs>
          <w:tab w:val="left" w:pos="0"/>
        </w:tabs>
      </w:pPr>
      <w:r>
        <w:t>Supplier invoices for CCA reporting period giving estimated supply</w:t>
      </w:r>
    </w:p>
    <w:p w14:paraId="7192EB5A" w14:textId="77777777" w:rsidR="00026E66" w:rsidRDefault="002737EF" w:rsidP="0065356B">
      <w:pPr>
        <w:pStyle w:val="ListParagraph"/>
        <w:numPr>
          <w:ilvl w:val="0"/>
          <w:numId w:val="124"/>
        </w:numPr>
        <w:tabs>
          <w:tab w:val="left" w:pos="0"/>
        </w:tabs>
      </w:pPr>
      <w:r>
        <w:t>Actual meter readings taken for comparison with estimated bills and recorded on meter log sheets</w:t>
      </w:r>
    </w:p>
    <w:p w14:paraId="2C5BC3FF" w14:textId="77777777" w:rsidR="00026E66" w:rsidRDefault="002737EF" w:rsidP="0065356B">
      <w:pPr>
        <w:pStyle w:val="ListParagraph"/>
        <w:numPr>
          <w:ilvl w:val="0"/>
          <w:numId w:val="124"/>
        </w:numPr>
        <w:tabs>
          <w:tab w:val="left" w:pos="0"/>
        </w:tabs>
      </w:pPr>
      <w:r>
        <w:t>Correspondence notifying the suppliers of large discrepancies (where applicable)</w:t>
      </w:r>
    </w:p>
    <w:p w14:paraId="20290F57" w14:textId="77777777" w:rsidR="00026E66" w:rsidRDefault="002737EF" w:rsidP="00FF0098">
      <w:pPr>
        <w:pStyle w:val="Heading3"/>
        <w:tabs>
          <w:tab w:val="left" w:pos="0"/>
        </w:tabs>
      </w:pPr>
      <w:r>
        <w:t xml:space="preserve">Technique 2: Pro rata calculation </w:t>
      </w:r>
    </w:p>
    <w:p w14:paraId="623E4668" w14:textId="77777777" w:rsidR="00026E66" w:rsidRDefault="002737EF" w:rsidP="004C1365">
      <w:r>
        <w:t xml:space="preserve">The pro rata estimation technique involves quantifying the missing data for a data gap using a proportional method based on actual readings from another similar period. </w:t>
      </w:r>
    </w:p>
    <w:p w14:paraId="0A2000C4" w14:textId="77777777" w:rsidR="00026E66" w:rsidRDefault="002737EF" w:rsidP="004C1365">
      <w:r>
        <w:t xml:space="preserve">The energy supply for a CCA target period may be estimated pro rata against the supply for a similar, but shorter period. Actual meter readings should be used to derive a daily supply rate that is then used to fill in any data gaps. </w:t>
      </w:r>
    </w:p>
    <w:p w14:paraId="08CA11C9" w14:textId="77777777" w:rsidR="00026E66" w:rsidRDefault="002737EF" w:rsidP="004C1365">
      <w:r>
        <w:t xml:space="preserve">This method is less useful where seasonal effects come into play (for example, where there is a supply peak during one part of a year due to an external factor). </w:t>
      </w:r>
    </w:p>
    <w:p w14:paraId="4B18F06F" w14:textId="77777777" w:rsidR="00026E66" w:rsidRDefault="002737EF" w:rsidP="004C1365">
      <w:r>
        <w:t xml:space="preserve">To ensure that the data used to fill the supply gap remain relevant, the data must cover at least three months and be no more than 12 months outside the period to be estimated. You should keep all evidence to provide an audit trail. </w:t>
      </w:r>
    </w:p>
    <w:p w14:paraId="16CCB6CE" w14:textId="77777777" w:rsidR="00026E66" w:rsidRDefault="002737EF" w:rsidP="004C1365">
      <w:r>
        <w:t xml:space="preserve">This technique can also be used for situations where a gas meter corrector fails but the mechanical meter continues to operate, preventing the corrected energy consumption over a period of time from being known. Provided both corrected and mechanical meter readings have been collected over a reasonable period of time during which the whole metering system has been operating correctly, and a good correlation exists between the two, this correlation can be used to estimate the corrected energy consumption from the mechanical meter readings over the period of corrector failure. </w:t>
      </w:r>
    </w:p>
    <w:p w14:paraId="468DC691" w14:textId="77777777" w:rsidR="00026E66" w:rsidRDefault="002737EF" w:rsidP="00FF0098">
      <w:pPr>
        <w:pStyle w:val="Heading4"/>
        <w:tabs>
          <w:tab w:val="left" w:pos="0"/>
        </w:tabs>
      </w:pPr>
      <w:r>
        <w:t xml:space="preserve">Example – Operator B </w:t>
      </w:r>
    </w:p>
    <w:p w14:paraId="48077853" w14:textId="77777777" w:rsidR="00026E66" w:rsidRDefault="002737EF" w:rsidP="00FF0098">
      <w:pPr>
        <w:tabs>
          <w:tab w:val="left" w:pos="0"/>
        </w:tabs>
      </w:pPr>
      <w:r>
        <w:rPr>
          <w:b/>
        </w:rPr>
        <w:t>Step 1</w:t>
      </w:r>
      <w:r>
        <w:t xml:space="preserve">: Operator B is missing natural gas data for the final two months of a target period due to meter failure. </w:t>
      </w:r>
    </w:p>
    <w:p w14:paraId="619FE536" w14:textId="77777777" w:rsidR="00026E66" w:rsidRDefault="002737EF" w:rsidP="00FF0098">
      <w:pPr>
        <w:tabs>
          <w:tab w:val="left" w:pos="0"/>
        </w:tabs>
      </w:pPr>
      <w:r>
        <w:rPr>
          <w:b/>
        </w:rPr>
        <w:t>Step 2</w:t>
      </w:r>
      <w:r>
        <w:t xml:space="preserve">: Operator B has chosen to use the pro rata method based on actual meter readings for the 10 months before the meter failure. </w:t>
      </w:r>
    </w:p>
    <w:p w14:paraId="4E293962" w14:textId="77777777" w:rsidR="00026E66" w:rsidRDefault="002737EF" w:rsidP="00FF0098">
      <w:pPr>
        <w:tabs>
          <w:tab w:val="left" w:pos="0"/>
        </w:tabs>
      </w:pPr>
      <w:r>
        <w:rPr>
          <w:b/>
        </w:rPr>
        <w:t>Step 3</w:t>
      </w:r>
      <w:r>
        <w:t xml:space="preserve">: Operator B calculates the amount of energy supplied for the period. </w:t>
      </w:r>
    </w:p>
    <w:p w14:paraId="1E8B4C9B" w14:textId="77777777" w:rsidR="00026E66" w:rsidRDefault="002737EF" w:rsidP="00FF0098">
      <w:pPr>
        <w:tabs>
          <w:tab w:val="left" w:pos="0"/>
        </w:tabs>
      </w:pPr>
      <w:r>
        <w:t xml:space="preserve">Actual meter reads (corrected) in units of hundred cubic feet (HCF): </w:t>
      </w:r>
    </w:p>
    <w:p w14:paraId="61068E47" w14:textId="77777777" w:rsidR="00026E66" w:rsidRDefault="002737EF" w:rsidP="0065356B">
      <w:pPr>
        <w:pStyle w:val="ListParagraph"/>
        <w:numPr>
          <w:ilvl w:val="0"/>
          <w:numId w:val="14"/>
        </w:numPr>
        <w:tabs>
          <w:tab w:val="left" w:pos="0"/>
        </w:tabs>
        <w:ind w:left="0" w:firstLine="0"/>
      </w:pPr>
      <w:r>
        <w:t>1 January 2016: 2,090,658 HCF</w:t>
      </w:r>
    </w:p>
    <w:p w14:paraId="538D2DEE" w14:textId="77777777" w:rsidR="00026E66" w:rsidRDefault="002737EF" w:rsidP="0065356B">
      <w:pPr>
        <w:pStyle w:val="ListParagraph"/>
        <w:numPr>
          <w:ilvl w:val="0"/>
          <w:numId w:val="14"/>
        </w:numPr>
        <w:tabs>
          <w:tab w:val="left" w:pos="0"/>
        </w:tabs>
        <w:ind w:left="0" w:firstLine="0"/>
      </w:pPr>
      <w:r>
        <w:lastRenderedPageBreak/>
        <w:t xml:space="preserve">1 November 2016: 2,240,658 HCF </w:t>
      </w:r>
    </w:p>
    <w:p w14:paraId="6A27F221" w14:textId="77777777" w:rsidR="00026E66" w:rsidRDefault="002737EF" w:rsidP="00FF0098">
      <w:pPr>
        <w:tabs>
          <w:tab w:val="left" w:pos="0"/>
        </w:tabs>
      </w:pPr>
      <w:r>
        <w:t xml:space="preserve">Supply between 1 January 2016 and 1 November 2016 = 2,240,658 – 2,090,658 = 150,000 HCF </w:t>
      </w:r>
    </w:p>
    <w:p w14:paraId="1980C0B2" w14:textId="77777777" w:rsidR="00026E66" w:rsidRDefault="002737EF" w:rsidP="00FF0098">
      <w:pPr>
        <w:tabs>
          <w:tab w:val="left" w:pos="0"/>
        </w:tabs>
      </w:pPr>
      <w:r>
        <w:t xml:space="preserve">Metered period: 303 days, missing 62 days at the end of the period. </w:t>
      </w:r>
    </w:p>
    <w:p w14:paraId="7B6D24EF" w14:textId="77777777" w:rsidR="00026E66" w:rsidRDefault="002737EF" w:rsidP="00FF0098">
      <w:pPr>
        <w:tabs>
          <w:tab w:val="left" w:pos="0"/>
        </w:tabs>
      </w:pPr>
      <w:r>
        <w:t xml:space="preserve">Supply in period: 150,000 HCF </w:t>
      </w:r>
    </w:p>
    <w:p w14:paraId="252ECE7A" w14:textId="77777777" w:rsidR="00026E66" w:rsidRDefault="002737EF" w:rsidP="00FF0098">
      <w:pPr>
        <w:tabs>
          <w:tab w:val="left" w:pos="0"/>
        </w:tabs>
      </w:pPr>
      <w:r>
        <w:t>Pro rata for the January to December year = [(daily supply rate) × data gap in days] + rest of year supply = total year supply = [(150,000/303) × 62] + 150,000 = 180,693 HCF.</w:t>
      </w:r>
    </w:p>
    <w:p w14:paraId="0FB3D64C" w14:textId="77777777" w:rsidR="00026E66" w:rsidRDefault="002737EF" w:rsidP="00FF0098">
      <w:pPr>
        <w:tabs>
          <w:tab w:val="left" w:pos="0"/>
        </w:tabs>
        <w:spacing w:after="117" w:line="256" w:lineRule="auto"/>
      </w:pPr>
      <w:r>
        <w:rPr>
          <w:b/>
          <w:color w:val="auto"/>
        </w:rPr>
        <w:t>Or:</w:t>
      </w:r>
      <w:r>
        <w:rPr>
          <w:color w:val="auto"/>
        </w:rPr>
        <w:t xml:space="preserve"> </w:t>
      </w:r>
    </w:p>
    <w:p w14:paraId="0130C907" w14:textId="77777777" w:rsidR="00026E66" w:rsidRDefault="002737EF" w:rsidP="00FF0098">
      <w:pPr>
        <w:tabs>
          <w:tab w:val="left" w:pos="0"/>
        </w:tabs>
      </w:pPr>
      <w:r>
        <w:t xml:space="preserve">This can be calculated as kilowatt hours (kWh). Using the conversion factors given below for this example calculation, the supply in the period is calculated as 4,706,226 kWh. </w:t>
      </w:r>
    </w:p>
    <w:p w14:paraId="479CB37C" w14:textId="77777777" w:rsidR="00026E66" w:rsidRDefault="002737EF" w:rsidP="0065356B">
      <w:pPr>
        <w:pStyle w:val="ListParagraph"/>
        <w:numPr>
          <w:ilvl w:val="0"/>
          <w:numId w:val="135"/>
        </w:numPr>
        <w:tabs>
          <w:tab w:val="left" w:pos="0"/>
        </w:tabs>
        <w:spacing w:after="93" w:line="237" w:lineRule="auto"/>
      </w:pPr>
      <w:r>
        <w:t xml:space="preserve">Temperature and pressure correction factor = 1.02264 (usually the figures for temperature/pressure correction and calorific value are printed on the gas bill) </w:t>
      </w:r>
    </w:p>
    <w:p w14:paraId="619E80C0" w14:textId="77777777" w:rsidR="00026E66" w:rsidRDefault="002737EF" w:rsidP="0065356B">
      <w:pPr>
        <w:pStyle w:val="ListParagraph"/>
        <w:numPr>
          <w:ilvl w:val="0"/>
          <w:numId w:val="135"/>
        </w:numPr>
        <w:tabs>
          <w:tab w:val="left" w:pos="0"/>
        </w:tabs>
      </w:pPr>
      <w:r>
        <w:t xml:space="preserve">HCF (corrected) </w:t>
      </w:r>
      <w:r w:rsidRPr="00827D03">
        <w:rPr>
          <w:rFonts w:cs="Arial"/>
          <w:szCs w:val="24"/>
        </w:rPr>
        <w:t>×</w:t>
      </w:r>
      <w:r>
        <w:t xml:space="preserve"> 2.832 to convert to cubic metres (m</w:t>
      </w:r>
      <w:r w:rsidRPr="00827D03">
        <w:rPr>
          <w:vertAlign w:val="superscript"/>
        </w:rPr>
        <w:t>3</w:t>
      </w:r>
      <w:r>
        <w:t>)</w:t>
      </w:r>
    </w:p>
    <w:p w14:paraId="18BE2FDA" w14:textId="77777777" w:rsidR="00026E66" w:rsidRDefault="002737EF" w:rsidP="0065356B">
      <w:pPr>
        <w:pStyle w:val="ListParagraph"/>
        <w:numPr>
          <w:ilvl w:val="0"/>
          <w:numId w:val="135"/>
        </w:numPr>
        <w:tabs>
          <w:tab w:val="left" w:pos="0"/>
        </w:tabs>
      </w:pPr>
      <w:r>
        <w:t>m</w:t>
      </w:r>
      <w:r w:rsidRPr="00827D03">
        <w:rPr>
          <w:vertAlign w:val="superscript"/>
        </w:rPr>
        <w:t xml:space="preserve">3 </w:t>
      </w:r>
      <w:r w:rsidRPr="00827D03">
        <w:rPr>
          <w:rFonts w:cs="Arial"/>
          <w:szCs w:val="24"/>
        </w:rPr>
        <w:t>×</w:t>
      </w:r>
      <w:r>
        <w:t xml:space="preserve"> CV of 39.0000 MJ/m</w:t>
      </w:r>
      <w:r w:rsidRPr="00827D03">
        <w:rPr>
          <w:vertAlign w:val="superscript"/>
        </w:rPr>
        <w:t xml:space="preserve">3 </w:t>
      </w:r>
      <w:r>
        <w:t xml:space="preserve">to convert to megajoules (MJ) </w:t>
      </w:r>
    </w:p>
    <w:p w14:paraId="533E7976" w14:textId="77777777" w:rsidR="00026E66" w:rsidRDefault="002737EF" w:rsidP="0065356B">
      <w:pPr>
        <w:pStyle w:val="ListParagraph"/>
        <w:numPr>
          <w:ilvl w:val="0"/>
          <w:numId w:val="135"/>
        </w:numPr>
        <w:tabs>
          <w:tab w:val="left" w:pos="0"/>
        </w:tabs>
        <w:spacing w:after="67" w:line="256" w:lineRule="auto"/>
      </w:pPr>
      <w:r>
        <w:t xml:space="preserve">MJ divided by 1,000 to convert to GJ </w:t>
      </w:r>
    </w:p>
    <w:p w14:paraId="1EC697B5" w14:textId="77777777" w:rsidR="00026E66" w:rsidRDefault="002737EF" w:rsidP="0065356B">
      <w:pPr>
        <w:pStyle w:val="ListParagraph"/>
        <w:numPr>
          <w:ilvl w:val="0"/>
          <w:numId w:val="135"/>
        </w:numPr>
        <w:tabs>
          <w:tab w:val="left" w:pos="0"/>
        </w:tabs>
        <w:spacing w:after="91" w:line="256" w:lineRule="auto"/>
      </w:pPr>
      <w:r>
        <w:t xml:space="preserve">GJ </w:t>
      </w:r>
      <w:r w:rsidRPr="00827D03">
        <w:rPr>
          <w:rFonts w:cs="Arial"/>
          <w:szCs w:val="24"/>
        </w:rPr>
        <w:t>×</w:t>
      </w:r>
      <w:r>
        <w:t xml:space="preserve"> 277.78 (1 GJ = 277.78 kWh) to convert to kWh </w:t>
      </w:r>
    </w:p>
    <w:p w14:paraId="43B6CD8D" w14:textId="77777777" w:rsidR="00026E66" w:rsidRDefault="002737EF" w:rsidP="00FF0098">
      <w:pPr>
        <w:tabs>
          <w:tab w:val="left" w:pos="0"/>
        </w:tabs>
      </w:pPr>
      <w:r>
        <w:rPr>
          <w:color w:val="auto"/>
        </w:rPr>
        <w:t xml:space="preserve">Pro rata for the January </w:t>
      </w:r>
      <w:r>
        <w:t>to December year = [(daily supply rate) × data gap in days] + rest of year supply = total year supply = [(4,706,226/303) × 62] + 4,706,226 = 5,669,216 kWh Note that this figure is not</w:t>
      </w:r>
      <w:r>
        <w:rPr>
          <w:color w:val="auto"/>
        </w:rPr>
        <w:t xml:space="preserve"> for the whole target period. </w:t>
      </w:r>
    </w:p>
    <w:p w14:paraId="56F8690C" w14:textId="77777777" w:rsidR="00026E66" w:rsidRDefault="002737EF" w:rsidP="00FF0098">
      <w:pPr>
        <w:tabs>
          <w:tab w:val="left" w:pos="0"/>
        </w:tabs>
      </w:pPr>
      <w:r>
        <w:rPr>
          <w:b/>
        </w:rPr>
        <w:t>Step 4</w:t>
      </w:r>
      <w:r>
        <w:t xml:space="preserve">: Operator B reports the estimated supply as part of its submission for its target unit target period. This will need to include all metered data for year 1 of the target period as well as any other fuels consumed for the CCA target facility. </w:t>
      </w:r>
    </w:p>
    <w:p w14:paraId="12E2CE80" w14:textId="5DB03EE0" w:rsidR="00026E66" w:rsidRDefault="002737EF" w:rsidP="00FF0098">
      <w:pPr>
        <w:tabs>
          <w:tab w:val="left" w:pos="0"/>
        </w:tabs>
      </w:pPr>
      <w:r>
        <w:rPr>
          <w:b/>
        </w:rPr>
        <w:t>Step 5</w:t>
      </w:r>
      <w:r>
        <w:t xml:space="preserve">: Operator B records all meter readings and conversion factors used and documents these for its audit trail. This should also contain details of monthly gas supply and calorific values (CVs) for the reporting period. CVs can be obtained monthly from supplier’s invoices or daily from the </w:t>
      </w:r>
      <w:hyperlink r:id="rId132" w:history="1">
        <w:r w:rsidR="00395FC6" w:rsidRPr="00395FC6">
          <w:rPr>
            <w:rStyle w:val="Hyperlink"/>
          </w:rPr>
          <w:t>National Grid website</w:t>
        </w:r>
      </w:hyperlink>
      <w:r>
        <w:t>.</w:t>
      </w:r>
    </w:p>
    <w:p w14:paraId="2218AF83" w14:textId="77777777" w:rsidR="00026E66" w:rsidRDefault="002737EF" w:rsidP="00FF0098">
      <w:pPr>
        <w:pStyle w:val="Heading3"/>
        <w:tabs>
          <w:tab w:val="left" w:pos="0"/>
        </w:tabs>
      </w:pPr>
      <w:r>
        <w:t xml:space="preserve">Technique 3: Direct comparison </w:t>
      </w:r>
    </w:p>
    <w:p w14:paraId="2811F21C" w14:textId="77777777" w:rsidR="00026E66" w:rsidRDefault="002737EF" w:rsidP="00FF0098">
      <w:pPr>
        <w:tabs>
          <w:tab w:val="left" w:pos="0"/>
        </w:tabs>
      </w:pPr>
      <w:r>
        <w:t xml:space="preserve">The direct comparison method uses data that correspond with a similar period of supply. The advantage of this method is that it accommodates variability in energy demand (for example, due to annual weather patterns). For industry, it works best where production runs are long and constant and similar production levels are recorded in both periods. </w:t>
      </w:r>
    </w:p>
    <w:p w14:paraId="5381D484" w14:textId="77777777" w:rsidR="00026E66" w:rsidRDefault="002737EF" w:rsidP="00FF0098">
      <w:pPr>
        <w:tabs>
          <w:tab w:val="left" w:pos="0"/>
        </w:tabs>
      </w:pPr>
      <w:r>
        <w:lastRenderedPageBreak/>
        <w:t xml:space="preserve">To ensure the data are applicable and are not used repeatedly for an extended period, the data must be no more than 12 months from the period to be estimated. You should keep all evidence to provide an audit trail. </w:t>
      </w:r>
    </w:p>
    <w:p w14:paraId="36C2BC92" w14:textId="77777777" w:rsidR="00026E66" w:rsidRDefault="002737EF" w:rsidP="00FF0098">
      <w:pPr>
        <w:pStyle w:val="Heading4"/>
        <w:tabs>
          <w:tab w:val="left" w:pos="0"/>
        </w:tabs>
      </w:pPr>
      <w:r>
        <w:t xml:space="preserve">Example – Operator C </w:t>
      </w:r>
    </w:p>
    <w:p w14:paraId="67C9071A" w14:textId="77777777" w:rsidR="00026E66" w:rsidRDefault="002737EF" w:rsidP="00FF0098">
      <w:pPr>
        <w:tabs>
          <w:tab w:val="left" w:pos="0"/>
        </w:tabs>
      </w:pPr>
      <w:r>
        <w:rPr>
          <w:b/>
        </w:rPr>
        <w:t>Step 1</w:t>
      </w:r>
      <w:r>
        <w:t xml:space="preserve">: Operator C has inaccurate natural gas supply data caused by a meter fault. </w:t>
      </w:r>
    </w:p>
    <w:p w14:paraId="26225706" w14:textId="77777777" w:rsidR="00026E66" w:rsidRDefault="002737EF" w:rsidP="00FF0098">
      <w:pPr>
        <w:tabs>
          <w:tab w:val="left" w:pos="0"/>
        </w:tabs>
      </w:pPr>
      <w:r>
        <w:rPr>
          <w:b/>
        </w:rPr>
        <w:t>Step 2</w:t>
      </w:r>
      <w:r>
        <w:t xml:space="preserve">: Subsequent analysis by operator C or the supplier shows that natural gas supply was under-reported over a three-month period before the fault was noticed and rectified. </w:t>
      </w:r>
    </w:p>
    <w:p w14:paraId="0E714E36" w14:textId="77777777" w:rsidR="00026E66" w:rsidRDefault="002737EF" w:rsidP="00FF0098">
      <w:pPr>
        <w:tabs>
          <w:tab w:val="left" w:pos="0"/>
        </w:tabs>
      </w:pPr>
      <w:r>
        <w:rPr>
          <w:b/>
        </w:rPr>
        <w:t>Step 3</w:t>
      </w:r>
      <w:r>
        <w:t xml:space="preserve">: Operator C should calculate the amount of energy supplied in the period. </w:t>
      </w:r>
    </w:p>
    <w:p w14:paraId="2BD2169B" w14:textId="77777777" w:rsidR="00026E66" w:rsidRDefault="002737EF" w:rsidP="00FF0098">
      <w:pPr>
        <w:tabs>
          <w:tab w:val="left" w:pos="0"/>
        </w:tabs>
      </w:pPr>
      <w:r>
        <w:t xml:space="preserve">The fault related to a manufacturing operation which uses natural gas for drying a product. </w:t>
      </w:r>
    </w:p>
    <w:p w14:paraId="35B9F97F" w14:textId="77777777" w:rsidR="00026E66" w:rsidRDefault="002737EF" w:rsidP="00FF0098">
      <w:pPr>
        <w:tabs>
          <w:tab w:val="left" w:pos="0"/>
        </w:tabs>
      </w:pPr>
      <w:r>
        <w:t xml:space="preserve">Operator C notes that shift patterns and production volumes are similar to the previous year. </w:t>
      </w:r>
    </w:p>
    <w:p w14:paraId="3AA55806" w14:textId="77777777" w:rsidR="00026E66" w:rsidRDefault="002737EF" w:rsidP="00FF0098">
      <w:pPr>
        <w:tabs>
          <w:tab w:val="left" w:pos="0"/>
        </w:tabs>
      </w:pPr>
      <w:r>
        <w:t xml:space="preserve">Operator C selects best fit data for three months from the previous year with similar production volumes. </w:t>
      </w:r>
    </w:p>
    <w:p w14:paraId="742EC4AE" w14:textId="77777777" w:rsidR="00026E66" w:rsidRDefault="002737EF" w:rsidP="00FF0098">
      <w:pPr>
        <w:tabs>
          <w:tab w:val="left" w:pos="0"/>
        </w:tabs>
      </w:pPr>
      <w:r>
        <w:t xml:space="preserve">Adjustment to supply is made on straight-line basis for slight difference in production volumes (similarly this could be for temperature, for example, using degree days). </w:t>
      </w:r>
    </w:p>
    <w:p w14:paraId="413C33A2" w14:textId="77777777" w:rsidR="00026E66" w:rsidRDefault="002737EF" w:rsidP="00FF0098">
      <w:pPr>
        <w:tabs>
          <w:tab w:val="left" w:pos="0"/>
        </w:tabs>
      </w:pPr>
      <w:r>
        <w:rPr>
          <w:b/>
        </w:rPr>
        <w:t>Step 4</w:t>
      </w:r>
      <w:r>
        <w:t xml:space="preserve">: Operator C reports the supply for its target period reporting as follows: </w:t>
      </w:r>
    </w:p>
    <w:p w14:paraId="3D95A166" w14:textId="77777777" w:rsidR="00026E66" w:rsidRDefault="002737EF" w:rsidP="00FF0098">
      <w:pPr>
        <w:tabs>
          <w:tab w:val="left" w:pos="0"/>
        </w:tabs>
      </w:pPr>
      <w:r>
        <w:t xml:space="preserve">Reported supply in CCA target period: 21 months’ actual data and three months’ adjusted data </w:t>
      </w:r>
    </w:p>
    <w:p w14:paraId="305D8DD6" w14:textId="77777777" w:rsidR="00026E66" w:rsidRDefault="002737EF" w:rsidP="00FF0098">
      <w:pPr>
        <w:tabs>
          <w:tab w:val="left" w:pos="0"/>
        </w:tabs>
      </w:pPr>
      <w:r>
        <w:rPr>
          <w:b/>
        </w:rPr>
        <w:t>Step 5</w:t>
      </w:r>
      <w:r>
        <w:t xml:space="preserve">: Operator C should record the following: </w:t>
      </w:r>
    </w:p>
    <w:p w14:paraId="10172509" w14:textId="77777777" w:rsidR="00026E66" w:rsidRDefault="002737EF" w:rsidP="0065356B">
      <w:pPr>
        <w:pStyle w:val="ListParagraph"/>
        <w:numPr>
          <w:ilvl w:val="0"/>
          <w:numId w:val="136"/>
        </w:numPr>
        <w:tabs>
          <w:tab w:val="left" w:pos="0"/>
        </w:tabs>
      </w:pPr>
      <w:r>
        <w:t xml:space="preserve">evidence that a fault affected the gas meter and, if available, that it was repaired </w:t>
      </w:r>
    </w:p>
    <w:p w14:paraId="62F47906" w14:textId="77777777" w:rsidR="00026E66" w:rsidRDefault="002737EF" w:rsidP="0065356B">
      <w:pPr>
        <w:pStyle w:val="ListParagraph"/>
        <w:numPr>
          <w:ilvl w:val="0"/>
          <w:numId w:val="136"/>
        </w:numPr>
        <w:tabs>
          <w:tab w:val="left" w:pos="0"/>
        </w:tabs>
      </w:pPr>
      <w:r>
        <w:t xml:space="preserve">analysis showing the fault had affected three months’ data </w:t>
      </w:r>
    </w:p>
    <w:p w14:paraId="57D3C234" w14:textId="77777777" w:rsidR="00026E66" w:rsidRDefault="002737EF" w:rsidP="0065356B">
      <w:pPr>
        <w:pStyle w:val="ListParagraph"/>
        <w:numPr>
          <w:ilvl w:val="0"/>
          <w:numId w:val="136"/>
        </w:numPr>
        <w:tabs>
          <w:tab w:val="left" w:pos="0"/>
        </w:tabs>
      </w:pPr>
      <w:r>
        <w:t xml:space="preserve">the three months’ actual data selected from previous year for direct comparison </w:t>
      </w:r>
    </w:p>
    <w:p w14:paraId="71CE3BB9" w14:textId="77777777" w:rsidR="00026E66" w:rsidRDefault="002737EF" w:rsidP="00FF0098">
      <w:pPr>
        <w:tabs>
          <w:tab w:val="left" w:pos="0"/>
        </w:tabs>
      </w:pPr>
      <w:r>
        <w:t>adjustments – the basis for these as applied to the direct comparison data for example degree day corrections, production volumes and so on.</w:t>
      </w:r>
    </w:p>
    <w:p w14:paraId="0FD62B8F" w14:textId="77777777" w:rsidR="00026E66" w:rsidRDefault="002737EF" w:rsidP="00FF0098">
      <w:pPr>
        <w:pStyle w:val="Heading3"/>
        <w:tabs>
          <w:tab w:val="left" w:pos="0"/>
        </w:tabs>
      </w:pPr>
      <w:r>
        <w:t xml:space="preserve">Technique 4: Price settlement </w:t>
      </w:r>
    </w:p>
    <w:p w14:paraId="2651D076" w14:textId="77777777" w:rsidR="00026E66" w:rsidRDefault="002737EF" w:rsidP="00FF0098">
      <w:pPr>
        <w:tabs>
          <w:tab w:val="left" w:pos="0"/>
        </w:tabs>
      </w:pPr>
      <w:r>
        <w:t xml:space="preserve">As a last resort, you may use a price settlement (energy cost data) with suppliers as the basis for CCA target period reporting. However, this must be as the final backstop in the hierarchy of estimation techniques and must only be used if you are unable to use techniques 1, 2 or 3. </w:t>
      </w:r>
    </w:p>
    <w:p w14:paraId="2BB70B98" w14:textId="77777777" w:rsidR="00026E66" w:rsidRDefault="002737EF" w:rsidP="00FF0098">
      <w:pPr>
        <w:tabs>
          <w:tab w:val="left" w:pos="0"/>
        </w:tabs>
      </w:pPr>
      <w:r>
        <w:lastRenderedPageBreak/>
        <w:t xml:space="preserve">In cases of a simple price settlement the onus is on you, as the operator, to justify a reasonable unit price figure is used to convert this into a supply figure. You should keep all evidence as an audit trail. </w:t>
      </w:r>
    </w:p>
    <w:p w14:paraId="2844A00F" w14:textId="77777777" w:rsidR="00026E66" w:rsidRDefault="002737EF" w:rsidP="00FF0098">
      <w:pPr>
        <w:tabs>
          <w:tab w:val="left" w:pos="0"/>
        </w:tabs>
      </w:pPr>
      <w:r>
        <w:t xml:space="preserve">This technique would allow you to use aggregate cost data rather than requiring individual metered supply, which would be beneficial in cases of a large number of small consuming meters. For this method you need to demonstrate the use of an actual price figure (using the unit price shown on an earlier bill for this billing period) or an average price per unit (based on a set of price figures) to convert this aggregate cost into an aggregate supply figure. </w:t>
      </w:r>
    </w:p>
    <w:p w14:paraId="6BBD311E" w14:textId="77777777" w:rsidR="00026E66" w:rsidRDefault="002737EF" w:rsidP="00FF0098">
      <w:pPr>
        <w:pStyle w:val="Heading4"/>
        <w:tabs>
          <w:tab w:val="left" w:pos="0"/>
        </w:tabs>
      </w:pPr>
      <w:r>
        <w:t xml:space="preserve">Example – Operator D </w:t>
      </w:r>
    </w:p>
    <w:p w14:paraId="54124BA6" w14:textId="77777777" w:rsidR="00026E66" w:rsidRDefault="002737EF" w:rsidP="00FF0098">
      <w:pPr>
        <w:tabs>
          <w:tab w:val="left" w:pos="0"/>
        </w:tabs>
      </w:pPr>
      <w:r>
        <w:rPr>
          <w:b/>
        </w:rPr>
        <w:t>Step 1</w:t>
      </w:r>
      <w:r>
        <w:t xml:space="preserve">: Operator D has data available from a supplier on an aggregate cost </w:t>
      </w:r>
      <w:proofErr w:type="gramStart"/>
      <w:r>
        <w:t>basis</w:t>
      </w:r>
      <w:proofErr w:type="gramEnd"/>
      <w:r>
        <w:t xml:space="preserve"> but actual supply data cannot be accurately confirmed in the reporting period. </w:t>
      </w:r>
    </w:p>
    <w:p w14:paraId="5CED13F7" w14:textId="77777777" w:rsidR="00026E66" w:rsidRDefault="002737EF" w:rsidP="00FF0098">
      <w:pPr>
        <w:tabs>
          <w:tab w:val="left" w:pos="0"/>
        </w:tabs>
      </w:pPr>
      <w:r>
        <w:rPr>
          <w:b/>
        </w:rPr>
        <w:t>Step 2</w:t>
      </w:r>
      <w:r>
        <w:t xml:space="preserve">: Operator D can take the aggregated cost data and convert this into supply data using the unit price shown on an earlier bill for this billing period (pence per kWh). </w:t>
      </w:r>
    </w:p>
    <w:p w14:paraId="0E23E3D1" w14:textId="77777777" w:rsidR="00026E66" w:rsidRDefault="002737EF" w:rsidP="00FF0098">
      <w:pPr>
        <w:tabs>
          <w:tab w:val="left" w:pos="0"/>
        </w:tabs>
      </w:pPr>
      <w:r>
        <w:rPr>
          <w:b/>
        </w:rPr>
        <w:t>Step 3</w:t>
      </w:r>
      <w:r>
        <w:t xml:space="preserve">: Operator D should calculate the amount of energy supplied in the period: </w:t>
      </w:r>
    </w:p>
    <w:p w14:paraId="11E790C9" w14:textId="77777777" w:rsidR="00026E66" w:rsidRDefault="002737EF" w:rsidP="0065356B">
      <w:pPr>
        <w:pStyle w:val="ListParagraph"/>
        <w:numPr>
          <w:ilvl w:val="0"/>
          <w:numId w:val="125"/>
        </w:numPr>
        <w:tabs>
          <w:tab w:val="left" w:pos="0"/>
        </w:tabs>
      </w:pPr>
      <w:r>
        <w:t xml:space="preserve">Take the energy cost data provided by supplier (for example, £150,000). </w:t>
      </w:r>
    </w:p>
    <w:p w14:paraId="7BAA29E9" w14:textId="77777777" w:rsidR="00026E66" w:rsidRDefault="002737EF" w:rsidP="0065356B">
      <w:pPr>
        <w:pStyle w:val="ListParagraph"/>
        <w:numPr>
          <w:ilvl w:val="0"/>
          <w:numId w:val="125"/>
        </w:numPr>
        <w:tabs>
          <w:tab w:val="left" w:pos="0"/>
        </w:tabs>
      </w:pPr>
      <w:r>
        <w:t xml:space="preserve">Use an average price per unit figure to convert aggregated cost into kWh (for example 6.87 p/kWh (see Step 5: Records)). </w:t>
      </w:r>
    </w:p>
    <w:p w14:paraId="4A16C701" w14:textId="77777777" w:rsidR="00026E66" w:rsidRDefault="002737EF" w:rsidP="0065356B">
      <w:pPr>
        <w:pStyle w:val="ListParagraph"/>
        <w:numPr>
          <w:ilvl w:val="0"/>
          <w:numId w:val="125"/>
        </w:numPr>
        <w:tabs>
          <w:tab w:val="left" w:pos="0"/>
        </w:tabs>
      </w:pPr>
      <w:r>
        <w:t xml:space="preserve">Then calculate energy supply = £150,000 ∕ 0.0687 = 2,183,406 kWh </w:t>
      </w:r>
    </w:p>
    <w:p w14:paraId="66DD58D6" w14:textId="77777777" w:rsidR="00026E66" w:rsidRDefault="002737EF" w:rsidP="00FF0098">
      <w:pPr>
        <w:tabs>
          <w:tab w:val="left" w:pos="0"/>
        </w:tabs>
      </w:pPr>
      <w:r>
        <w:rPr>
          <w:b/>
        </w:rPr>
        <w:t>Step 4</w:t>
      </w:r>
      <w:r>
        <w:t xml:space="preserve">: Operator D reports the supply for the purpose of target period reporting as follows. </w:t>
      </w:r>
    </w:p>
    <w:p w14:paraId="54A60406" w14:textId="77777777" w:rsidR="00026E66" w:rsidRDefault="002737EF" w:rsidP="0065356B">
      <w:pPr>
        <w:pStyle w:val="ListParagraph"/>
        <w:numPr>
          <w:ilvl w:val="0"/>
          <w:numId w:val="15"/>
        </w:numPr>
        <w:tabs>
          <w:tab w:val="left" w:pos="0"/>
        </w:tabs>
        <w:ind w:left="0" w:firstLine="0"/>
      </w:pPr>
      <w:r>
        <w:t xml:space="preserve">Reported supply in period: 2,183,406 kWh </w:t>
      </w:r>
    </w:p>
    <w:p w14:paraId="7FF544CD" w14:textId="77777777" w:rsidR="00026E66" w:rsidRDefault="002737EF" w:rsidP="00FF0098">
      <w:pPr>
        <w:tabs>
          <w:tab w:val="left" w:pos="0"/>
        </w:tabs>
      </w:pPr>
      <w:r>
        <w:rPr>
          <w:b/>
        </w:rPr>
        <w:t>Step 5</w:t>
      </w:r>
      <w:r>
        <w:t xml:space="preserve">: Operator D should record the following: </w:t>
      </w:r>
    </w:p>
    <w:p w14:paraId="7F5D5884" w14:textId="77777777" w:rsidR="00026E66" w:rsidRDefault="002737EF" w:rsidP="0065356B">
      <w:pPr>
        <w:pStyle w:val="ListParagraph"/>
        <w:numPr>
          <w:ilvl w:val="0"/>
          <w:numId w:val="126"/>
        </w:numPr>
        <w:tabs>
          <w:tab w:val="left" w:pos="0"/>
        </w:tabs>
      </w:pPr>
      <w:r>
        <w:t xml:space="preserve">Supplier statements giving aggregated cost and other relevant data </w:t>
      </w:r>
    </w:p>
    <w:p w14:paraId="3B19BD75" w14:textId="77777777" w:rsidR="00026E66" w:rsidRDefault="002737EF" w:rsidP="0065356B">
      <w:pPr>
        <w:pStyle w:val="ListParagraph"/>
        <w:numPr>
          <w:ilvl w:val="0"/>
          <w:numId w:val="126"/>
        </w:numPr>
        <w:tabs>
          <w:tab w:val="left" w:pos="0"/>
        </w:tabs>
      </w:pPr>
      <w:r>
        <w:t xml:space="preserve">Unit price calculations and the basis for any weighting of unit price. Electricity may need to be weighted for weekend units, night units and other time units. Example unit costs operator D might use are as follows: </w:t>
      </w:r>
    </w:p>
    <w:p w14:paraId="658614EF" w14:textId="77777777" w:rsidR="00026E66" w:rsidRDefault="002737EF" w:rsidP="0065356B">
      <w:pPr>
        <w:pStyle w:val="ListParagraph"/>
        <w:numPr>
          <w:ilvl w:val="1"/>
          <w:numId w:val="126"/>
        </w:numPr>
        <w:tabs>
          <w:tab w:val="left" w:pos="0"/>
        </w:tabs>
      </w:pPr>
      <w:r>
        <w:t>weekend units: 8.69 p/kWh, estimated as 35.6% supply</w:t>
      </w:r>
    </w:p>
    <w:p w14:paraId="63DDF016" w14:textId="77777777" w:rsidR="00026E66" w:rsidRDefault="002737EF" w:rsidP="0065356B">
      <w:pPr>
        <w:pStyle w:val="ListParagraph"/>
        <w:numPr>
          <w:ilvl w:val="1"/>
          <w:numId w:val="126"/>
        </w:numPr>
        <w:tabs>
          <w:tab w:val="left" w:pos="0"/>
        </w:tabs>
      </w:pPr>
      <w:r>
        <w:t xml:space="preserve">night units: 4.78 p/kWh, estimated as 7.4% supply </w:t>
      </w:r>
    </w:p>
    <w:p w14:paraId="54505EF9" w14:textId="77777777" w:rsidR="00026E66" w:rsidRDefault="002737EF" w:rsidP="0065356B">
      <w:pPr>
        <w:pStyle w:val="ListParagraph"/>
        <w:numPr>
          <w:ilvl w:val="1"/>
          <w:numId w:val="126"/>
        </w:numPr>
        <w:tabs>
          <w:tab w:val="left" w:pos="0"/>
        </w:tabs>
      </w:pPr>
      <w:r>
        <w:t xml:space="preserve">other time units: 6.00 p/kWh, estimated as 57% supply </w:t>
      </w:r>
    </w:p>
    <w:p w14:paraId="2A584E46" w14:textId="77777777" w:rsidR="00026E66" w:rsidRDefault="002737EF" w:rsidP="0065356B">
      <w:pPr>
        <w:pStyle w:val="ListParagraph"/>
        <w:numPr>
          <w:ilvl w:val="1"/>
          <w:numId w:val="126"/>
        </w:numPr>
        <w:tabs>
          <w:tab w:val="left" w:pos="0"/>
        </w:tabs>
      </w:pPr>
      <w:r>
        <w:t xml:space="preserve">average unit price = (8.69 </w:t>
      </w:r>
      <w:r w:rsidRPr="00562A78">
        <w:rPr>
          <w:szCs w:val="24"/>
        </w:rPr>
        <w:t>×</w:t>
      </w:r>
      <w:r>
        <w:t xml:space="preserve"> 35.6) + (4.78 </w:t>
      </w:r>
      <w:r w:rsidRPr="00562A78">
        <w:rPr>
          <w:szCs w:val="24"/>
        </w:rPr>
        <w:t>×</w:t>
      </w:r>
      <w:r>
        <w:t xml:space="preserve"> 7.4) + (6.00 </w:t>
      </w:r>
      <w:r w:rsidRPr="00562A78">
        <w:rPr>
          <w:szCs w:val="24"/>
        </w:rPr>
        <w:t>×</w:t>
      </w:r>
      <w:r>
        <w:t xml:space="preserve"> 57</w:t>
      </w:r>
      <w:r w:rsidRPr="00562A78">
        <w:rPr>
          <w:szCs w:val="24"/>
        </w:rPr>
        <w:t xml:space="preserve">) ∕ </w:t>
      </w:r>
      <w:r>
        <w:t>100 = 6.87p</w:t>
      </w:r>
    </w:p>
    <w:p w14:paraId="0E39B79D" w14:textId="024E192C" w:rsidR="00395FC6" w:rsidRDefault="00395FC6" w:rsidP="00AE46A9">
      <w:pPr>
        <w:tabs>
          <w:tab w:val="left" w:pos="0"/>
        </w:tabs>
        <w:spacing w:after="0" w:line="256" w:lineRule="auto"/>
        <w:jc w:val="both"/>
        <w:rPr>
          <w:color w:val="auto"/>
        </w:rPr>
      </w:pPr>
      <w:r>
        <w:rPr>
          <w:color w:val="auto"/>
        </w:rPr>
        <w:br w:type="page"/>
      </w:r>
    </w:p>
    <w:p w14:paraId="5745B9C8" w14:textId="0C8BD5F3" w:rsidR="00026E66" w:rsidRDefault="002737EF" w:rsidP="00FF0098">
      <w:pPr>
        <w:pStyle w:val="Heading1"/>
        <w:tabs>
          <w:tab w:val="left" w:pos="0"/>
        </w:tabs>
      </w:pPr>
      <w:bookmarkStart w:id="438" w:name="_Appendix_G:_Facility"/>
      <w:bookmarkStart w:id="439" w:name="_Toc94718693"/>
      <w:bookmarkStart w:id="440" w:name="_Toc94088941"/>
      <w:bookmarkStart w:id="441" w:name="_Toc95211910"/>
      <w:bookmarkEnd w:id="438"/>
      <w:r>
        <w:lastRenderedPageBreak/>
        <w:t xml:space="preserve">Appendix G: Facility </w:t>
      </w:r>
      <w:r w:rsidR="00E75C8E">
        <w:t>e</w:t>
      </w:r>
      <w:r>
        <w:t xml:space="preserve">ligibility </w:t>
      </w:r>
      <w:r w:rsidR="00E75C8E">
        <w:t>f</w:t>
      </w:r>
      <w:r>
        <w:t>orm</w:t>
      </w:r>
      <w:bookmarkEnd w:id="439"/>
      <w:bookmarkEnd w:id="440"/>
      <w:bookmarkEnd w:id="441"/>
      <w:r>
        <w:t xml:space="preserve"> </w:t>
      </w:r>
    </w:p>
    <w:p w14:paraId="28F50CE4" w14:textId="7A3A0A12" w:rsidR="00026E66" w:rsidRDefault="002737EF" w:rsidP="004C1365">
      <w:r>
        <w:t xml:space="preserve">The </w:t>
      </w:r>
      <w:r w:rsidR="00E75C8E">
        <w:t>f</w:t>
      </w:r>
      <w:r>
        <w:t xml:space="preserve">acility </w:t>
      </w:r>
      <w:r w:rsidR="00E75C8E">
        <w:t>e</w:t>
      </w:r>
      <w:r>
        <w:t xml:space="preserve">ligibility </w:t>
      </w:r>
      <w:r w:rsidR="00E75C8E">
        <w:t>f</w:t>
      </w:r>
      <w:r>
        <w:t xml:space="preserve">orm (FEF) can be used by operators when supplying information to their sector association for a new facility application. The information will be used by the sector association when entering data into the CCA register. </w:t>
      </w:r>
    </w:p>
    <w:p w14:paraId="1FA14E73" w14:textId="79689505" w:rsidR="00904614" w:rsidRDefault="00904614" w:rsidP="00904614">
      <w:pPr>
        <w:pStyle w:val="Heading2"/>
      </w:pPr>
      <w:r>
        <w:t>Section 1 – CCA eligibility</w:t>
      </w:r>
    </w:p>
    <w:p w14:paraId="7FECCC76" w14:textId="5021EF07" w:rsidR="00904614" w:rsidRPr="00904614" w:rsidRDefault="00904614" w:rsidP="00904614">
      <w:pPr>
        <w:pStyle w:val="Heading3"/>
      </w:pPr>
      <w:r>
        <w:t>1</w:t>
      </w:r>
      <w:r w:rsidR="0007222A">
        <w:t>)</w:t>
      </w:r>
      <w:r>
        <w:t xml:space="preserve"> Facility</w:t>
      </w:r>
    </w:p>
    <w:tbl>
      <w:tblPr>
        <w:tblStyle w:val="TableGridLight"/>
        <w:tblW w:w="9786" w:type="dxa"/>
        <w:tblLook w:val="0020" w:firstRow="1" w:lastRow="0" w:firstColumn="0" w:lastColumn="0" w:noHBand="0" w:noVBand="0"/>
      </w:tblPr>
      <w:tblGrid>
        <w:gridCol w:w="5247"/>
        <w:gridCol w:w="4539"/>
      </w:tblGrid>
      <w:tr w:rsidR="00904614" w14:paraId="217E95AD" w14:textId="77777777" w:rsidTr="005853A3">
        <w:trPr>
          <w:trHeight w:val="514"/>
        </w:trPr>
        <w:tc>
          <w:tcPr>
            <w:tcW w:w="5247" w:type="dxa"/>
          </w:tcPr>
          <w:p w14:paraId="5F3FDE8F" w14:textId="77777777" w:rsidR="00904614" w:rsidRDefault="00904614" w:rsidP="0007222A">
            <w:r>
              <w:t xml:space="preserve">1a) Site Name </w:t>
            </w:r>
          </w:p>
        </w:tc>
        <w:tc>
          <w:tcPr>
            <w:tcW w:w="4539" w:type="dxa"/>
          </w:tcPr>
          <w:p w14:paraId="3049FD13" w14:textId="77777777" w:rsidR="00904614" w:rsidRDefault="00904614" w:rsidP="0007222A">
            <w:r>
              <w:t xml:space="preserve">Enter site name </w:t>
            </w:r>
          </w:p>
        </w:tc>
      </w:tr>
      <w:tr w:rsidR="00904614" w14:paraId="21C755E4" w14:textId="77777777" w:rsidTr="005853A3">
        <w:trPr>
          <w:trHeight w:val="516"/>
        </w:trPr>
        <w:tc>
          <w:tcPr>
            <w:tcW w:w="5247" w:type="dxa"/>
          </w:tcPr>
          <w:p w14:paraId="1040C42D" w14:textId="77777777" w:rsidR="00904614" w:rsidRDefault="00904614" w:rsidP="0007222A">
            <w:r>
              <w:t xml:space="preserve">1c) Facility Address </w:t>
            </w:r>
          </w:p>
        </w:tc>
        <w:tc>
          <w:tcPr>
            <w:tcW w:w="4539" w:type="dxa"/>
          </w:tcPr>
          <w:p w14:paraId="1FB299E9" w14:textId="77777777" w:rsidR="00904614" w:rsidRDefault="00904614" w:rsidP="0007222A">
            <w:r>
              <w:t xml:space="preserve">Enter facility address </w:t>
            </w:r>
          </w:p>
        </w:tc>
      </w:tr>
      <w:tr w:rsidR="00904614" w14:paraId="2FDFD15E" w14:textId="77777777" w:rsidTr="005853A3">
        <w:trPr>
          <w:trHeight w:val="514"/>
        </w:trPr>
        <w:tc>
          <w:tcPr>
            <w:tcW w:w="5247" w:type="dxa"/>
          </w:tcPr>
          <w:p w14:paraId="7736C1EC" w14:textId="77777777" w:rsidR="00904614" w:rsidRDefault="00904614" w:rsidP="0007222A">
            <w:r>
              <w:t xml:space="preserve">1d) Facility Postcode </w:t>
            </w:r>
          </w:p>
        </w:tc>
        <w:tc>
          <w:tcPr>
            <w:tcW w:w="4539" w:type="dxa"/>
          </w:tcPr>
          <w:p w14:paraId="0ABA807C" w14:textId="77777777" w:rsidR="00904614" w:rsidRDefault="00904614" w:rsidP="0007222A">
            <w:r>
              <w:t xml:space="preserve">Enter facility postcode </w:t>
            </w:r>
          </w:p>
        </w:tc>
      </w:tr>
      <w:tr w:rsidR="00904614" w14:paraId="2DD3CE25" w14:textId="77777777" w:rsidTr="005853A3">
        <w:trPr>
          <w:trHeight w:val="518"/>
        </w:trPr>
        <w:tc>
          <w:tcPr>
            <w:tcW w:w="5247" w:type="dxa"/>
          </w:tcPr>
          <w:p w14:paraId="386FBF18" w14:textId="77777777" w:rsidR="00904614" w:rsidRDefault="00904614" w:rsidP="0007222A">
            <w:r>
              <w:t xml:space="preserve">1e) Facilities Contact </w:t>
            </w:r>
          </w:p>
        </w:tc>
        <w:tc>
          <w:tcPr>
            <w:tcW w:w="4539" w:type="dxa"/>
          </w:tcPr>
          <w:p w14:paraId="3202BB2F" w14:textId="77777777" w:rsidR="00904614" w:rsidRDefault="00904614" w:rsidP="0007222A">
            <w:r>
              <w:t xml:space="preserve">Enter contact name </w:t>
            </w:r>
          </w:p>
        </w:tc>
      </w:tr>
      <w:tr w:rsidR="00904614" w14:paraId="5CC90F8E" w14:textId="77777777" w:rsidTr="005853A3">
        <w:trPr>
          <w:trHeight w:val="514"/>
        </w:trPr>
        <w:tc>
          <w:tcPr>
            <w:tcW w:w="5247" w:type="dxa"/>
          </w:tcPr>
          <w:p w14:paraId="319833A4" w14:textId="77777777" w:rsidR="00904614" w:rsidRDefault="00904614" w:rsidP="0007222A">
            <w:r>
              <w:t xml:space="preserve">1f) Facilities Contact email address </w:t>
            </w:r>
          </w:p>
        </w:tc>
        <w:tc>
          <w:tcPr>
            <w:tcW w:w="4539" w:type="dxa"/>
          </w:tcPr>
          <w:p w14:paraId="3701D805" w14:textId="77777777" w:rsidR="00904614" w:rsidRDefault="00904614" w:rsidP="0007222A">
            <w:r>
              <w:t xml:space="preserve">Enter contact email address </w:t>
            </w:r>
          </w:p>
        </w:tc>
      </w:tr>
      <w:tr w:rsidR="00904614" w14:paraId="4D050E34" w14:textId="77777777" w:rsidTr="005853A3">
        <w:trPr>
          <w:trHeight w:val="516"/>
        </w:trPr>
        <w:tc>
          <w:tcPr>
            <w:tcW w:w="5247" w:type="dxa"/>
          </w:tcPr>
          <w:p w14:paraId="2866AF53" w14:textId="77777777" w:rsidR="00904614" w:rsidRDefault="00904614" w:rsidP="0007222A">
            <w:r>
              <w:t xml:space="preserve">1g) Facilities Contact phone number </w:t>
            </w:r>
          </w:p>
        </w:tc>
        <w:tc>
          <w:tcPr>
            <w:tcW w:w="4539" w:type="dxa"/>
          </w:tcPr>
          <w:p w14:paraId="0660DCD8" w14:textId="77777777" w:rsidR="00904614" w:rsidRDefault="00904614" w:rsidP="0007222A">
            <w:r>
              <w:t xml:space="preserve">Enter contact phone number </w:t>
            </w:r>
          </w:p>
        </w:tc>
      </w:tr>
      <w:tr w:rsidR="00904614" w14:paraId="2FD13D54" w14:textId="77777777" w:rsidTr="005853A3">
        <w:trPr>
          <w:trHeight w:val="516"/>
        </w:trPr>
        <w:tc>
          <w:tcPr>
            <w:tcW w:w="5247" w:type="dxa"/>
          </w:tcPr>
          <w:p w14:paraId="55FEC285" w14:textId="77777777" w:rsidR="00904614" w:rsidRDefault="00904614" w:rsidP="0007222A">
            <w:r>
              <w:t xml:space="preserve">1h) Consultant Name (where applicable) </w:t>
            </w:r>
          </w:p>
        </w:tc>
        <w:tc>
          <w:tcPr>
            <w:tcW w:w="4539" w:type="dxa"/>
          </w:tcPr>
          <w:p w14:paraId="29795C28" w14:textId="77777777" w:rsidR="00904614" w:rsidRDefault="00904614" w:rsidP="0007222A">
            <w:r>
              <w:t xml:space="preserve">Enter consultant name (where applicable) </w:t>
            </w:r>
          </w:p>
        </w:tc>
      </w:tr>
      <w:tr w:rsidR="00904614" w14:paraId="5AF55665" w14:textId="77777777" w:rsidTr="005853A3">
        <w:trPr>
          <w:trHeight w:val="768"/>
        </w:trPr>
        <w:tc>
          <w:tcPr>
            <w:tcW w:w="5247" w:type="dxa"/>
          </w:tcPr>
          <w:p w14:paraId="092A8E58" w14:textId="77777777" w:rsidR="00904614" w:rsidRDefault="00904614" w:rsidP="0007222A">
            <w:r>
              <w:t xml:space="preserve">1i) Consultant Company (where applicable) </w:t>
            </w:r>
          </w:p>
        </w:tc>
        <w:tc>
          <w:tcPr>
            <w:tcW w:w="4539" w:type="dxa"/>
          </w:tcPr>
          <w:p w14:paraId="40A37CBE" w14:textId="77777777" w:rsidR="00904614" w:rsidRDefault="00904614" w:rsidP="0007222A">
            <w:r>
              <w:t xml:space="preserve">Enter consultant company name (where applicable) </w:t>
            </w:r>
          </w:p>
        </w:tc>
      </w:tr>
      <w:tr w:rsidR="00904614" w14:paraId="668C5700" w14:textId="77777777" w:rsidTr="005853A3">
        <w:trPr>
          <w:trHeight w:val="768"/>
        </w:trPr>
        <w:tc>
          <w:tcPr>
            <w:tcW w:w="5247" w:type="dxa"/>
          </w:tcPr>
          <w:p w14:paraId="11004493" w14:textId="77777777" w:rsidR="00904614" w:rsidRDefault="00904614" w:rsidP="0007222A">
            <w:r>
              <w:t xml:space="preserve">1j) Consultant email address (where applicable) </w:t>
            </w:r>
          </w:p>
        </w:tc>
        <w:tc>
          <w:tcPr>
            <w:tcW w:w="4539" w:type="dxa"/>
          </w:tcPr>
          <w:p w14:paraId="525373BF" w14:textId="77777777" w:rsidR="00904614" w:rsidRDefault="00904614" w:rsidP="0007222A">
            <w:r>
              <w:t xml:space="preserve">Enter consultant email address (where applicable) </w:t>
            </w:r>
          </w:p>
        </w:tc>
      </w:tr>
      <w:tr w:rsidR="00904614" w14:paraId="7B850A5F" w14:textId="77777777" w:rsidTr="005853A3">
        <w:trPr>
          <w:trHeight w:val="766"/>
        </w:trPr>
        <w:tc>
          <w:tcPr>
            <w:tcW w:w="5247" w:type="dxa"/>
          </w:tcPr>
          <w:p w14:paraId="30F29B6E" w14:textId="77777777" w:rsidR="00904614" w:rsidRDefault="00904614" w:rsidP="0007222A">
            <w:r>
              <w:t xml:space="preserve">1k) Consultant phone number (where applicable) </w:t>
            </w:r>
          </w:p>
        </w:tc>
        <w:tc>
          <w:tcPr>
            <w:tcW w:w="4539" w:type="dxa"/>
          </w:tcPr>
          <w:p w14:paraId="66418B2C" w14:textId="77777777" w:rsidR="00904614" w:rsidRDefault="00904614" w:rsidP="0007222A">
            <w:r>
              <w:t xml:space="preserve">Enter consultant phone number (where applicable) </w:t>
            </w:r>
          </w:p>
        </w:tc>
      </w:tr>
    </w:tbl>
    <w:p w14:paraId="611626C1" w14:textId="4BFB8CE4" w:rsidR="00904614" w:rsidRDefault="00904614" w:rsidP="00904614">
      <w:pPr>
        <w:pStyle w:val="Heading3"/>
      </w:pPr>
      <w:r>
        <w:t>2</w:t>
      </w:r>
      <w:r w:rsidR="0007222A">
        <w:t>)</w:t>
      </w:r>
      <w:r>
        <w:t xml:space="preserve"> Related agreements</w:t>
      </w:r>
    </w:p>
    <w:tbl>
      <w:tblPr>
        <w:tblStyle w:val="TableGridLight"/>
        <w:tblW w:w="9786" w:type="dxa"/>
        <w:tblLook w:val="0020" w:firstRow="1" w:lastRow="0" w:firstColumn="0" w:lastColumn="0" w:noHBand="0" w:noVBand="0"/>
      </w:tblPr>
      <w:tblGrid>
        <w:gridCol w:w="5247"/>
        <w:gridCol w:w="4539"/>
      </w:tblGrid>
      <w:tr w:rsidR="00904614" w14:paraId="196690F1" w14:textId="77777777" w:rsidTr="005853A3">
        <w:trPr>
          <w:trHeight w:val="768"/>
        </w:trPr>
        <w:tc>
          <w:tcPr>
            <w:tcW w:w="5247" w:type="dxa"/>
          </w:tcPr>
          <w:p w14:paraId="1FCE0E4D" w14:textId="77777777" w:rsidR="00904614" w:rsidRDefault="00904614" w:rsidP="005853A3">
            <w:pPr>
              <w:tabs>
                <w:tab w:val="left" w:pos="0"/>
              </w:tabs>
              <w:spacing w:after="0" w:line="256" w:lineRule="auto"/>
              <w:jc w:val="both"/>
              <w:rPr>
                <w:color w:val="auto"/>
              </w:rPr>
            </w:pPr>
            <w:r>
              <w:rPr>
                <w:color w:val="auto"/>
              </w:rPr>
              <w:t xml:space="preserve">2a) Is the facility adjacent to or connected to an existing CCA facility? </w:t>
            </w:r>
          </w:p>
        </w:tc>
        <w:tc>
          <w:tcPr>
            <w:tcW w:w="4539" w:type="dxa"/>
          </w:tcPr>
          <w:p w14:paraId="3F0762D0" w14:textId="77777777" w:rsidR="00904614" w:rsidRDefault="00904614" w:rsidP="005853A3">
            <w:pPr>
              <w:tabs>
                <w:tab w:val="left" w:pos="0"/>
              </w:tabs>
              <w:spacing w:after="0" w:line="256" w:lineRule="auto"/>
              <w:rPr>
                <w:color w:val="auto"/>
              </w:rPr>
            </w:pPr>
            <w:r>
              <w:rPr>
                <w:color w:val="auto"/>
              </w:rPr>
              <w:t xml:space="preserve">Yes/No </w:t>
            </w:r>
          </w:p>
        </w:tc>
      </w:tr>
      <w:tr w:rsidR="00904614" w14:paraId="3B13597B" w14:textId="77777777" w:rsidTr="005853A3">
        <w:trPr>
          <w:trHeight w:val="516"/>
        </w:trPr>
        <w:tc>
          <w:tcPr>
            <w:tcW w:w="5247" w:type="dxa"/>
          </w:tcPr>
          <w:p w14:paraId="0ED33D0E" w14:textId="77777777" w:rsidR="00904614" w:rsidRDefault="00904614" w:rsidP="005853A3">
            <w:pPr>
              <w:tabs>
                <w:tab w:val="left" w:pos="0"/>
              </w:tabs>
              <w:spacing w:after="0" w:line="256" w:lineRule="auto"/>
              <w:rPr>
                <w:color w:val="auto"/>
              </w:rPr>
            </w:pPr>
            <w:r>
              <w:rPr>
                <w:color w:val="auto"/>
              </w:rPr>
              <w:t xml:space="preserve">2b) Connected Facility Number </w:t>
            </w:r>
          </w:p>
        </w:tc>
        <w:tc>
          <w:tcPr>
            <w:tcW w:w="4539" w:type="dxa"/>
          </w:tcPr>
          <w:p w14:paraId="58D9EAD9"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2a - Supply </w:t>
            </w:r>
          </w:p>
        </w:tc>
      </w:tr>
    </w:tbl>
    <w:p w14:paraId="2023EEBB" w14:textId="49C1F43E" w:rsidR="00904614" w:rsidRDefault="00904614" w:rsidP="00904614">
      <w:pPr>
        <w:pStyle w:val="Heading3"/>
      </w:pPr>
      <w:r>
        <w:t>3</w:t>
      </w:r>
      <w:r w:rsidR="0007222A">
        <w:t>)</w:t>
      </w:r>
      <w:r>
        <w:t xml:space="preserve"> Previous agreements</w:t>
      </w:r>
    </w:p>
    <w:tbl>
      <w:tblPr>
        <w:tblStyle w:val="TableGridLight"/>
        <w:tblW w:w="9786" w:type="dxa"/>
        <w:tblLook w:val="0020" w:firstRow="1" w:lastRow="0" w:firstColumn="0" w:lastColumn="0" w:noHBand="0" w:noVBand="0"/>
      </w:tblPr>
      <w:tblGrid>
        <w:gridCol w:w="5247"/>
        <w:gridCol w:w="4539"/>
      </w:tblGrid>
      <w:tr w:rsidR="00904614" w14:paraId="12786677" w14:textId="77777777" w:rsidTr="005853A3">
        <w:trPr>
          <w:trHeight w:val="769"/>
        </w:trPr>
        <w:tc>
          <w:tcPr>
            <w:tcW w:w="5247" w:type="dxa"/>
          </w:tcPr>
          <w:p w14:paraId="60A65732" w14:textId="77777777" w:rsidR="00904614" w:rsidRDefault="00904614" w:rsidP="005853A3">
            <w:pPr>
              <w:tabs>
                <w:tab w:val="left" w:pos="0"/>
              </w:tabs>
              <w:spacing w:after="0" w:line="256" w:lineRule="auto"/>
              <w:rPr>
                <w:color w:val="auto"/>
              </w:rPr>
            </w:pPr>
            <w:r>
              <w:rPr>
                <w:color w:val="auto"/>
              </w:rPr>
              <w:t xml:space="preserve">3a) Has any part of the facility been previously covered by a CCA? </w:t>
            </w:r>
          </w:p>
        </w:tc>
        <w:tc>
          <w:tcPr>
            <w:tcW w:w="4539" w:type="dxa"/>
          </w:tcPr>
          <w:p w14:paraId="686C013D" w14:textId="77777777" w:rsidR="00904614" w:rsidRDefault="00904614" w:rsidP="005853A3">
            <w:pPr>
              <w:tabs>
                <w:tab w:val="left" w:pos="0"/>
              </w:tabs>
              <w:spacing w:after="0" w:line="256" w:lineRule="auto"/>
              <w:rPr>
                <w:color w:val="auto"/>
              </w:rPr>
            </w:pPr>
            <w:r>
              <w:rPr>
                <w:color w:val="auto"/>
              </w:rPr>
              <w:t xml:space="preserve">Yes/No </w:t>
            </w:r>
          </w:p>
        </w:tc>
      </w:tr>
      <w:tr w:rsidR="00904614" w14:paraId="333AF1A0" w14:textId="77777777" w:rsidTr="005853A3">
        <w:trPr>
          <w:trHeight w:val="770"/>
        </w:trPr>
        <w:tc>
          <w:tcPr>
            <w:tcW w:w="5247" w:type="dxa"/>
          </w:tcPr>
          <w:p w14:paraId="2FFFACE3" w14:textId="77777777" w:rsidR="00904614" w:rsidRDefault="00904614" w:rsidP="005853A3">
            <w:pPr>
              <w:tabs>
                <w:tab w:val="left" w:pos="0"/>
              </w:tabs>
              <w:spacing w:after="0" w:line="256" w:lineRule="auto"/>
              <w:rPr>
                <w:color w:val="auto"/>
              </w:rPr>
            </w:pPr>
            <w:r>
              <w:rPr>
                <w:color w:val="auto"/>
              </w:rPr>
              <w:lastRenderedPageBreak/>
              <w:t xml:space="preserve">3b) Has the facility recently had a change in ownership? </w:t>
            </w:r>
          </w:p>
        </w:tc>
        <w:tc>
          <w:tcPr>
            <w:tcW w:w="4539" w:type="dxa"/>
          </w:tcPr>
          <w:p w14:paraId="7E984924"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3a - Supply </w:t>
            </w:r>
          </w:p>
        </w:tc>
      </w:tr>
      <w:tr w:rsidR="00904614" w14:paraId="08312CC6" w14:textId="77777777" w:rsidTr="005853A3">
        <w:trPr>
          <w:trHeight w:val="516"/>
        </w:trPr>
        <w:tc>
          <w:tcPr>
            <w:tcW w:w="5247" w:type="dxa"/>
          </w:tcPr>
          <w:p w14:paraId="7754513A" w14:textId="77777777" w:rsidR="00904614" w:rsidRDefault="00904614" w:rsidP="005853A3">
            <w:pPr>
              <w:tabs>
                <w:tab w:val="left" w:pos="0"/>
              </w:tabs>
              <w:spacing w:after="0" w:line="256" w:lineRule="auto"/>
              <w:rPr>
                <w:color w:val="auto"/>
              </w:rPr>
            </w:pPr>
            <w:r>
              <w:rPr>
                <w:color w:val="auto"/>
              </w:rPr>
              <w:t xml:space="preserve">3c) Previous Facility Number </w:t>
            </w:r>
          </w:p>
        </w:tc>
        <w:tc>
          <w:tcPr>
            <w:tcW w:w="4539" w:type="dxa"/>
          </w:tcPr>
          <w:p w14:paraId="78BD108F"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3a and 3b - Supply </w:t>
            </w:r>
          </w:p>
        </w:tc>
      </w:tr>
      <w:tr w:rsidR="00904614" w14:paraId="76F4A535" w14:textId="77777777" w:rsidTr="005853A3">
        <w:trPr>
          <w:trHeight w:val="768"/>
        </w:trPr>
        <w:tc>
          <w:tcPr>
            <w:tcW w:w="5247" w:type="dxa"/>
          </w:tcPr>
          <w:p w14:paraId="618F4DEB" w14:textId="77777777" w:rsidR="00904614" w:rsidRDefault="00904614" w:rsidP="005853A3">
            <w:pPr>
              <w:tabs>
                <w:tab w:val="left" w:pos="0"/>
              </w:tabs>
              <w:spacing w:after="0" w:line="256" w:lineRule="auto"/>
              <w:rPr>
                <w:color w:val="auto"/>
              </w:rPr>
            </w:pPr>
            <w:r>
              <w:rPr>
                <w:color w:val="auto"/>
              </w:rPr>
              <w:t xml:space="preserve">3d) Has any part of the facility been covered by a CCA that has previously been terminated? </w:t>
            </w:r>
          </w:p>
        </w:tc>
        <w:tc>
          <w:tcPr>
            <w:tcW w:w="4539" w:type="dxa"/>
          </w:tcPr>
          <w:p w14:paraId="51AD0DBB" w14:textId="77777777" w:rsidR="00904614" w:rsidRDefault="00904614" w:rsidP="005853A3">
            <w:pPr>
              <w:tabs>
                <w:tab w:val="left" w:pos="0"/>
              </w:tabs>
              <w:spacing w:after="0" w:line="256" w:lineRule="auto"/>
              <w:rPr>
                <w:color w:val="auto"/>
              </w:rPr>
            </w:pPr>
            <w:r>
              <w:rPr>
                <w:color w:val="auto"/>
              </w:rPr>
              <w:t xml:space="preserve">Yes/No </w:t>
            </w:r>
          </w:p>
        </w:tc>
      </w:tr>
      <w:tr w:rsidR="00904614" w14:paraId="16FCE921" w14:textId="77777777" w:rsidTr="005853A3">
        <w:trPr>
          <w:trHeight w:val="514"/>
        </w:trPr>
        <w:tc>
          <w:tcPr>
            <w:tcW w:w="5247" w:type="dxa"/>
          </w:tcPr>
          <w:p w14:paraId="2272E023" w14:textId="77777777" w:rsidR="00904614" w:rsidRDefault="00904614" w:rsidP="005853A3">
            <w:pPr>
              <w:tabs>
                <w:tab w:val="left" w:pos="0"/>
              </w:tabs>
              <w:spacing w:after="0" w:line="256" w:lineRule="auto"/>
              <w:rPr>
                <w:color w:val="auto"/>
              </w:rPr>
            </w:pPr>
            <w:r>
              <w:rPr>
                <w:color w:val="auto"/>
              </w:rPr>
              <w:t xml:space="preserve">3e) Previous Facility Number </w:t>
            </w:r>
          </w:p>
        </w:tc>
        <w:tc>
          <w:tcPr>
            <w:tcW w:w="4539" w:type="dxa"/>
          </w:tcPr>
          <w:p w14:paraId="2C0D5830"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3d - Supply </w:t>
            </w:r>
          </w:p>
        </w:tc>
      </w:tr>
      <w:tr w:rsidR="00904614" w14:paraId="7C296D38" w14:textId="77777777" w:rsidTr="005853A3">
        <w:trPr>
          <w:trHeight w:val="516"/>
        </w:trPr>
        <w:tc>
          <w:tcPr>
            <w:tcW w:w="5247" w:type="dxa"/>
          </w:tcPr>
          <w:p w14:paraId="7F885999" w14:textId="77777777" w:rsidR="00904614" w:rsidRDefault="00904614" w:rsidP="005853A3">
            <w:pPr>
              <w:tabs>
                <w:tab w:val="left" w:pos="0"/>
              </w:tabs>
              <w:spacing w:after="0" w:line="256" w:lineRule="auto"/>
              <w:rPr>
                <w:color w:val="auto"/>
              </w:rPr>
            </w:pPr>
            <w:r>
              <w:rPr>
                <w:color w:val="auto"/>
              </w:rPr>
              <w:t xml:space="preserve">3f) Date agreement commenced </w:t>
            </w:r>
          </w:p>
        </w:tc>
        <w:tc>
          <w:tcPr>
            <w:tcW w:w="4539" w:type="dxa"/>
          </w:tcPr>
          <w:p w14:paraId="2CE22EC8"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3d - Supply Day/Month/Year </w:t>
            </w:r>
          </w:p>
        </w:tc>
      </w:tr>
      <w:tr w:rsidR="00904614" w14:paraId="79D0D403" w14:textId="77777777" w:rsidTr="005853A3">
        <w:trPr>
          <w:trHeight w:val="516"/>
        </w:trPr>
        <w:tc>
          <w:tcPr>
            <w:tcW w:w="5247" w:type="dxa"/>
          </w:tcPr>
          <w:p w14:paraId="5C4FF0E2" w14:textId="77777777" w:rsidR="00904614" w:rsidRDefault="00904614" w:rsidP="005853A3">
            <w:pPr>
              <w:tabs>
                <w:tab w:val="left" w:pos="0"/>
              </w:tabs>
              <w:spacing w:after="0" w:line="256" w:lineRule="auto"/>
              <w:rPr>
                <w:color w:val="auto"/>
              </w:rPr>
            </w:pPr>
            <w:r>
              <w:rPr>
                <w:color w:val="auto"/>
              </w:rPr>
              <w:t xml:space="preserve">3g) Date agreement was terminated (If applicable) </w:t>
            </w:r>
          </w:p>
        </w:tc>
        <w:tc>
          <w:tcPr>
            <w:tcW w:w="4539" w:type="dxa"/>
          </w:tcPr>
          <w:p w14:paraId="01D8EB8B"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3d - Supply Day/Month/Year </w:t>
            </w:r>
          </w:p>
        </w:tc>
      </w:tr>
      <w:tr w:rsidR="00904614" w14:paraId="37F67B76" w14:textId="77777777" w:rsidTr="005853A3">
        <w:trPr>
          <w:trHeight w:val="514"/>
        </w:trPr>
        <w:tc>
          <w:tcPr>
            <w:tcW w:w="5247" w:type="dxa"/>
          </w:tcPr>
          <w:p w14:paraId="5B6270D9" w14:textId="77777777" w:rsidR="00904614" w:rsidRDefault="00904614" w:rsidP="005853A3">
            <w:pPr>
              <w:tabs>
                <w:tab w:val="left" w:pos="0"/>
              </w:tabs>
              <w:spacing w:after="0" w:line="256" w:lineRule="auto"/>
              <w:rPr>
                <w:color w:val="auto"/>
              </w:rPr>
            </w:pPr>
            <w:r>
              <w:rPr>
                <w:color w:val="auto"/>
              </w:rPr>
              <w:t xml:space="preserve">3h) Reason for termination </w:t>
            </w:r>
          </w:p>
        </w:tc>
        <w:tc>
          <w:tcPr>
            <w:tcW w:w="4539" w:type="dxa"/>
          </w:tcPr>
          <w:p w14:paraId="6A902C0A"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3d - Supply </w:t>
            </w:r>
          </w:p>
        </w:tc>
      </w:tr>
    </w:tbl>
    <w:p w14:paraId="3D7C8052" w14:textId="74EFA1A8" w:rsidR="00904614" w:rsidRDefault="00904614" w:rsidP="00904614">
      <w:pPr>
        <w:pStyle w:val="Heading3"/>
      </w:pPr>
      <w:r>
        <w:t>4</w:t>
      </w:r>
      <w:r w:rsidR="0007222A">
        <w:t>)</w:t>
      </w:r>
      <w:r>
        <w:t xml:space="preserve"> EU emissions trading scheme (EU ETS) coverage</w:t>
      </w:r>
    </w:p>
    <w:tbl>
      <w:tblPr>
        <w:tblStyle w:val="TableGridLight"/>
        <w:tblW w:w="9786" w:type="dxa"/>
        <w:tblLook w:val="0020" w:firstRow="1" w:lastRow="0" w:firstColumn="0" w:lastColumn="0" w:noHBand="0" w:noVBand="0"/>
      </w:tblPr>
      <w:tblGrid>
        <w:gridCol w:w="5247"/>
        <w:gridCol w:w="4539"/>
      </w:tblGrid>
      <w:tr w:rsidR="00904614" w14:paraId="113D90D8" w14:textId="77777777" w:rsidTr="005853A3">
        <w:trPr>
          <w:trHeight w:val="514"/>
        </w:trPr>
        <w:tc>
          <w:tcPr>
            <w:tcW w:w="5247" w:type="dxa"/>
          </w:tcPr>
          <w:p w14:paraId="12D1156D" w14:textId="77777777" w:rsidR="00904614" w:rsidRDefault="00904614" w:rsidP="005853A3">
            <w:pPr>
              <w:tabs>
                <w:tab w:val="left" w:pos="0"/>
              </w:tabs>
              <w:spacing w:after="0" w:line="256" w:lineRule="auto"/>
              <w:rPr>
                <w:color w:val="auto"/>
              </w:rPr>
            </w:pPr>
            <w:r>
              <w:rPr>
                <w:color w:val="auto"/>
              </w:rPr>
              <w:t xml:space="preserve">4a) Is the facility covered by the EU ETS? </w:t>
            </w:r>
          </w:p>
        </w:tc>
        <w:tc>
          <w:tcPr>
            <w:tcW w:w="4539" w:type="dxa"/>
          </w:tcPr>
          <w:p w14:paraId="7A2FA799" w14:textId="77777777" w:rsidR="00904614" w:rsidRDefault="00904614" w:rsidP="005853A3">
            <w:pPr>
              <w:tabs>
                <w:tab w:val="left" w:pos="0"/>
              </w:tabs>
              <w:spacing w:after="0" w:line="256" w:lineRule="auto"/>
              <w:rPr>
                <w:color w:val="auto"/>
              </w:rPr>
            </w:pPr>
            <w:r>
              <w:rPr>
                <w:color w:val="auto"/>
              </w:rPr>
              <w:t xml:space="preserve">Yes/No </w:t>
            </w:r>
          </w:p>
        </w:tc>
      </w:tr>
      <w:tr w:rsidR="00904614" w14:paraId="361673ED" w14:textId="77777777" w:rsidTr="005853A3">
        <w:trPr>
          <w:trHeight w:val="516"/>
        </w:trPr>
        <w:tc>
          <w:tcPr>
            <w:tcW w:w="5247" w:type="dxa"/>
          </w:tcPr>
          <w:p w14:paraId="01EA767B" w14:textId="77777777" w:rsidR="00904614" w:rsidRDefault="00904614" w:rsidP="005853A3">
            <w:pPr>
              <w:tabs>
                <w:tab w:val="left" w:pos="0"/>
              </w:tabs>
              <w:spacing w:after="0" w:line="256" w:lineRule="auto"/>
              <w:rPr>
                <w:color w:val="auto"/>
              </w:rPr>
            </w:pPr>
            <w:r>
              <w:rPr>
                <w:color w:val="auto"/>
              </w:rPr>
              <w:t xml:space="preserve">4b) EU ETS Number </w:t>
            </w:r>
          </w:p>
        </w:tc>
        <w:tc>
          <w:tcPr>
            <w:tcW w:w="4539" w:type="dxa"/>
          </w:tcPr>
          <w:p w14:paraId="1ACFEF27"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4a - Supply </w:t>
            </w:r>
          </w:p>
        </w:tc>
      </w:tr>
      <w:tr w:rsidR="00904614" w14:paraId="03A6F2D9" w14:textId="77777777" w:rsidTr="005853A3">
        <w:trPr>
          <w:trHeight w:val="516"/>
        </w:trPr>
        <w:tc>
          <w:tcPr>
            <w:tcW w:w="5247" w:type="dxa"/>
          </w:tcPr>
          <w:p w14:paraId="166A23E4" w14:textId="77777777" w:rsidR="00904614" w:rsidRDefault="00904614" w:rsidP="005853A3">
            <w:pPr>
              <w:tabs>
                <w:tab w:val="left" w:pos="0"/>
              </w:tabs>
              <w:spacing w:after="0" w:line="256" w:lineRule="auto"/>
              <w:rPr>
                <w:color w:val="auto"/>
              </w:rPr>
            </w:pPr>
            <w:r>
              <w:rPr>
                <w:color w:val="auto"/>
              </w:rPr>
              <w:t xml:space="preserve">4c) Installation Name </w:t>
            </w:r>
          </w:p>
        </w:tc>
        <w:tc>
          <w:tcPr>
            <w:tcW w:w="4539" w:type="dxa"/>
          </w:tcPr>
          <w:p w14:paraId="00EF9EAD"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4a - Supply </w:t>
            </w:r>
          </w:p>
        </w:tc>
      </w:tr>
      <w:tr w:rsidR="00904614" w14:paraId="2801CCAF" w14:textId="77777777" w:rsidTr="005853A3">
        <w:trPr>
          <w:trHeight w:val="516"/>
        </w:trPr>
        <w:tc>
          <w:tcPr>
            <w:tcW w:w="5247" w:type="dxa"/>
          </w:tcPr>
          <w:p w14:paraId="36BF1173" w14:textId="77777777" w:rsidR="00904614" w:rsidRDefault="00904614" w:rsidP="005853A3">
            <w:pPr>
              <w:tabs>
                <w:tab w:val="left" w:pos="0"/>
              </w:tabs>
              <w:spacing w:after="0" w:line="256" w:lineRule="auto"/>
              <w:rPr>
                <w:color w:val="auto"/>
              </w:rPr>
            </w:pPr>
            <w:r>
              <w:rPr>
                <w:color w:val="auto"/>
              </w:rPr>
              <w:t xml:space="preserve">4d) Installation Postcode </w:t>
            </w:r>
          </w:p>
        </w:tc>
        <w:tc>
          <w:tcPr>
            <w:tcW w:w="4539" w:type="dxa"/>
          </w:tcPr>
          <w:p w14:paraId="5B0D4AF7"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4a - Supply </w:t>
            </w:r>
          </w:p>
        </w:tc>
      </w:tr>
    </w:tbl>
    <w:p w14:paraId="60DB7C19" w14:textId="79826A1D" w:rsidR="00904614" w:rsidRDefault="00904614" w:rsidP="00904614">
      <w:pPr>
        <w:pStyle w:val="Heading3"/>
      </w:pPr>
      <w:r>
        <w:t>5</w:t>
      </w:r>
      <w:r w:rsidR="0007222A">
        <w:t>)</w:t>
      </w:r>
      <w:r>
        <w:t xml:space="preserve"> Agreement type</w:t>
      </w:r>
    </w:p>
    <w:tbl>
      <w:tblPr>
        <w:tblStyle w:val="TableGridLight"/>
        <w:tblW w:w="9786" w:type="dxa"/>
        <w:tblLook w:val="0020" w:firstRow="1" w:lastRow="0" w:firstColumn="0" w:lastColumn="0" w:noHBand="0" w:noVBand="0"/>
      </w:tblPr>
      <w:tblGrid>
        <w:gridCol w:w="5247"/>
        <w:gridCol w:w="4539"/>
      </w:tblGrid>
      <w:tr w:rsidR="00904614" w14:paraId="1D2B99B6" w14:textId="77777777" w:rsidTr="005853A3">
        <w:trPr>
          <w:trHeight w:val="768"/>
        </w:trPr>
        <w:tc>
          <w:tcPr>
            <w:tcW w:w="5247" w:type="dxa"/>
          </w:tcPr>
          <w:p w14:paraId="7528159C" w14:textId="77777777" w:rsidR="00904614" w:rsidRDefault="00904614" w:rsidP="005853A3">
            <w:pPr>
              <w:tabs>
                <w:tab w:val="left" w:pos="0"/>
              </w:tabs>
              <w:spacing w:after="0" w:line="256" w:lineRule="auto"/>
              <w:rPr>
                <w:color w:val="auto"/>
              </w:rPr>
            </w:pPr>
            <w:r>
              <w:rPr>
                <w:color w:val="auto"/>
              </w:rPr>
              <w:t xml:space="preserve">5a) Eligible under </w:t>
            </w:r>
          </w:p>
        </w:tc>
        <w:tc>
          <w:tcPr>
            <w:tcW w:w="4539" w:type="dxa"/>
          </w:tcPr>
          <w:p w14:paraId="1DD2058C" w14:textId="77777777" w:rsidR="00904614" w:rsidRDefault="00904614" w:rsidP="005853A3">
            <w:pPr>
              <w:tabs>
                <w:tab w:val="left" w:pos="0"/>
              </w:tabs>
              <w:spacing w:after="0" w:line="256" w:lineRule="auto"/>
              <w:rPr>
                <w:color w:val="auto"/>
              </w:rPr>
            </w:pPr>
            <w:r>
              <w:rPr>
                <w:color w:val="auto"/>
              </w:rPr>
              <w:t xml:space="preserve">Environmental Permitting Regulations (EPR or Energy Intensive (EI) </w:t>
            </w:r>
          </w:p>
        </w:tc>
      </w:tr>
    </w:tbl>
    <w:p w14:paraId="0276BA19" w14:textId="761F4F2F" w:rsidR="00904614" w:rsidRDefault="00904614" w:rsidP="00904614">
      <w:pPr>
        <w:pStyle w:val="Heading2"/>
      </w:pPr>
      <w:r>
        <w:t>Section 2 – EPR or IPC (Integrated Pollution Control)</w:t>
      </w:r>
    </w:p>
    <w:p w14:paraId="2D92D5FD" w14:textId="46C35223" w:rsidR="00904614" w:rsidRDefault="00904614" w:rsidP="00904614">
      <w:pPr>
        <w:pStyle w:val="Heading3"/>
      </w:pPr>
      <w:r>
        <w:t>6</w:t>
      </w:r>
      <w:r w:rsidR="0007222A">
        <w:t>)</w:t>
      </w:r>
      <w:r>
        <w:t xml:space="preserve"> EPR authorisation – where applicable</w:t>
      </w:r>
    </w:p>
    <w:tbl>
      <w:tblPr>
        <w:tblStyle w:val="TableGridLight"/>
        <w:tblW w:w="9786" w:type="dxa"/>
        <w:tblLook w:val="0020" w:firstRow="1" w:lastRow="0" w:firstColumn="0" w:lastColumn="0" w:noHBand="0" w:noVBand="0"/>
      </w:tblPr>
      <w:tblGrid>
        <w:gridCol w:w="5247"/>
        <w:gridCol w:w="4539"/>
      </w:tblGrid>
      <w:tr w:rsidR="00904614" w14:paraId="0465F81E" w14:textId="77777777" w:rsidTr="005853A3">
        <w:trPr>
          <w:trHeight w:val="1023"/>
        </w:trPr>
        <w:tc>
          <w:tcPr>
            <w:tcW w:w="5247" w:type="dxa"/>
          </w:tcPr>
          <w:p w14:paraId="07E208B4" w14:textId="77777777" w:rsidR="00904614" w:rsidRDefault="00904614" w:rsidP="005853A3">
            <w:pPr>
              <w:tabs>
                <w:tab w:val="left" w:pos="0"/>
              </w:tabs>
              <w:spacing w:after="0" w:line="256" w:lineRule="auto"/>
              <w:rPr>
                <w:color w:val="auto"/>
              </w:rPr>
            </w:pPr>
            <w:r>
              <w:rPr>
                <w:color w:val="auto"/>
              </w:rPr>
              <w:t xml:space="preserve">6a) Do you currently hold an EPR or IPC </w:t>
            </w:r>
          </w:p>
          <w:p w14:paraId="05748D61" w14:textId="77777777" w:rsidR="00904614" w:rsidRDefault="00904614" w:rsidP="005853A3">
            <w:pPr>
              <w:tabs>
                <w:tab w:val="left" w:pos="0"/>
              </w:tabs>
              <w:spacing w:after="0" w:line="256" w:lineRule="auto"/>
              <w:rPr>
                <w:color w:val="auto"/>
              </w:rPr>
            </w:pPr>
            <w:r>
              <w:rPr>
                <w:color w:val="auto"/>
              </w:rPr>
              <w:t xml:space="preserve">authorisation for any activity being carried out in the facility? </w:t>
            </w:r>
          </w:p>
        </w:tc>
        <w:tc>
          <w:tcPr>
            <w:tcW w:w="4539" w:type="dxa"/>
          </w:tcPr>
          <w:p w14:paraId="63606740" w14:textId="77777777" w:rsidR="00904614" w:rsidRDefault="00904614" w:rsidP="005853A3">
            <w:pPr>
              <w:tabs>
                <w:tab w:val="left" w:pos="0"/>
              </w:tabs>
              <w:spacing w:after="0" w:line="256" w:lineRule="auto"/>
              <w:rPr>
                <w:color w:val="auto"/>
              </w:rPr>
            </w:pPr>
            <w:r>
              <w:rPr>
                <w:color w:val="auto"/>
              </w:rPr>
              <w:t xml:space="preserve">Yes/No </w:t>
            </w:r>
          </w:p>
        </w:tc>
      </w:tr>
      <w:tr w:rsidR="00904614" w14:paraId="4C8EABE2" w14:textId="77777777" w:rsidTr="005853A3">
        <w:trPr>
          <w:trHeight w:val="514"/>
        </w:trPr>
        <w:tc>
          <w:tcPr>
            <w:tcW w:w="5247" w:type="dxa"/>
          </w:tcPr>
          <w:p w14:paraId="56EC3FA9" w14:textId="77777777" w:rsidR="00904614" w:rsidRDefault="00904614" w:rsidP="005853A3">
            <w:pPr>
              <w:tabs>
                <w:tab w:val="left" w:pos="0"/>
              </w:tabs>
              <w:spacing w:after="0" w:line="256" w:lineRule="auto"/>
              <w:rPr>
                <w:color w:val="auto"/>
              </w:rPr>
            </w:pPr>
            <w:r>
              <w:rPr>
                <w:color w:val="auto"/>
              </w:rPr>
              <w:t xml:space="preserve">6b) Please provide authorisation number(s) </w:t>
            </w:r>
          </w:p>
        </w:tc>
        <w:tc>
          <w:tcPr>
            <w:tcW w:w="4539" w:type="dxa"/>
          </w:tcPr>
          <w:p w14:paraId="4053090A"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6a – Please Supply </w:t>
            </w:r>
          </w:p>
        </w:tc>
      </w:tr>
      <w:tr w:rsidR="00904614" w14:paraId="58DBF042" w14:textId="77777777" w:rsidTr="005853A3">
        <w:trPr>
          <w:trHeight w:val="768"/>
        </w:trPr>
        <w:tc>
          <w:tcPr>
            <w:tcW w:w="5247" w:type="dxa"/>
          </w:tcPr>
          <w:p w14:paraId="1864E27B" w14:textId="77777777" w:rsidR="00904614" w:rsidRDefault="00904614" w:rsidP="005853A3">
            <w:pPr>
              <w:tabs>
                <w:tab w:val="left" w:pos="0"/>
              </w:tabs>
              <w:spacing w:after="0" w:line="256" w:lineRule="auto"/>
              <w:ind w:right="35"/>
              <w:rPr>
                <w:color w:val="auto"/>
              </w:rPr>
            </w:pPr>
            <w:r>
              <w:rPr>
                <w:color w:val="auto"/>
              </w:rPr>
              <w:t xml:space="preserve">6c) State here the name of the regulator or the local authority name. </w:t>
            </w:r>
          </w:p>
        </w:tc>
        <w:tc>
          <w:tcPr>
            <w:tcW w:w="4539" w:type="dxa"/>
          </w:tcPr>
          <w:p w14:paraId="7151594E" w14:textId="77777777" w:rsidR="00904614" w:rsidRDefault="00904614" w:rsidP="005853A3">
            <w:pPr>
              <w:tabs>
                <w:tab w:val="left" w:pos="0"/>
              </w:tabs>
              <w:spacing w:after="0" w:line="256" w:lineRule="auto"/>
              <w:rPr>
                <w:color w:val="auto"/>
              </w:rPr>
            </w:pPr>
            <w:r>
              <w:rPr>
                <w:color w:val="auto"/>
              </w:rPr>
              <w:t xml:space="preserve">If </w:t>
            </w:r>
            <w:proofErr w:type="gramStart"/>
            <w:r>
              <w:rPr>
                <w:color w:val="auto"/>
              </w:rPr>
              <w:t>Yes</w:t>
            </w:r>
            <w:proofErr w:type="gramEnd"/>
            <w:r>
              <w:rPr>
                <w:color w:val="auto"/>
              </w:rPr>
              <w:t xml:space="preserve"> to 6a – Please Supply </w:t>
            </w:r>
          </w:p>
        </w:tc>
      </w:tr>
      <w:tr w:rsidR="00904614" w14:paraId="4528979A" w14:textId="77777777" w:rsidTr="005853A3">
        <w:trPr>
          <w:trHeight w:val="516"/>
        </w:trPr>
        <w:tc>
          <w:tcPr>
            <w:tcW w:w="5247" w:type="dxa"/>
          </w:tcPr>
          <w:p w14:paraId="089CF59D" w14:textId="77777777" w:rsidR="00904614" w:rsidRDefault="00904614" w:rsidP="005853A3">
            <w:pPr>
              <w:tabs>
                <w:tab w:val="left" w:pos="0"/>
              </w:tabs>
              <w:spacing w:after="0" w:line="256" w:lineRule="auto"/>
              <w:rPr>
                <w:color w:val="auto"/>
              </w:rPr>
            </w:pPr>
            <w:r>
              <w:rPr>
                <w:color w:val="auto"/>
              </w:rPr>
              <w:t xml:space="preserve">6d) If </w:t>
            </w:r>
            <w:proofErr w:type="gramStart"/>
            <w:r>
              <w:rPr>
                <w:color w:val="auto"/>
              </w:rPr>
              <w:t>Yes</w:t>
            </w:r>
            <w:proofErr w:type="gramEnd"/>
            <w:r>
              <w:rPr>
                <w:color w:val="auto"/>
              </w:rPr>
              <w:t xml:space="preserve"> to 6a please attach a copy of the permit </w:t>
            </w:r>
          </w:p>
        </w:tc>
        <w:tc>
          <w:tcPr>
            <w:tcW w:w="4539" w:type="dxa"/>
          </w:tcPr>
          <w:p w14:paraId="08872F27" w14:textId="77777777" w:rsidR="00904614" w:rsidRDefault="00904614" w:rsidP="005853A3">
            <w:pPr>
              <w:tabs>
                <w:tab w:val="left" w:pos="0"/>
              </w:tabs>
              <w:spacing w:after="0" w:line="256" w:lineRule="auto"/>
              <w:rPr>
                <w:color w:val="auto"/>
              </w:rPr>
            </w:pPr>
            <w:r>
              <w:rPr>
                <w:color w:val="auto"/>
              </w:rPr>
              <w:t xml:space="preserve">Attached/not attached </w:t>
            </w:r>
          </w:p>
        </w:tc>
      </w:tr>
    </w:tbl>
    <w:p w14:paraId="4C01B7AF" w14:textId="3478A1A2" w:rsidR="00904614" w:rsidRDefault="00904614" w:rsidP="00904614">
      <w:pPr>
        <w:pStyle w:val="Heading2"/>
      </w:pPr>
      <w:r>
        <w:lastRenderedPageBreak/>
        <w:t>Section 3 – Information on the extent of the facility</w:t>
      </w:r>
    </w:p>
    <w:p w14:paraId="0084232F" w14:textId="62E48BC4" w:rsidR="00904614" w:rsidRDefault="00904614" w:rsidP="00904614">
      <w:r>
        <w:t>We require a detailed description of the process from start to finish. For inclusion we need to identify the eligible activities and explain what activity or substance they use which makes them eligible under the sector's CCA eligibility criteria – see Appendix A of the operations manual. Likewise, to be included in the agreement, applicants need to demonstrate how any directly associated activities (DAA) meet the three determining criteria. You should provide all necessary additional information needed to identify what is being produced and how. A process flow map and site plan should be included with annotations to identify eligible, directly associated, ineligible and 70% areas.</w:t>
      </w:r>
    </w:p>
    <w:p w14:paraId="3BD713C3" w14:textId="11A5CDB3" w:rsidR="00904614" w:rsidRDefault="00904614" w:rsidP="00904614">
      <w:pPr>
        <w:pStyle w:val="Heading3"/>
      </w:pPr>
      <w:r>
        <w:t>7</w:t>
      </w:r>
      <w:r w:rsidR="0007222A">
        <w:t>)</w:t>
      </w:r>
      <w:r>
        <w:t xml:space="preserve"> The manufacturing process </w:t>
      </w:r>
    </w:p>
    <w:p w14:paraId="714F3CF2" w14:textId="16E35B4B" w:rsidR="00904614" w:rsidRDefault="00904614" w:rsidP="00904614">
      <w:pPr>
        <w:rPr>
          <w:color w:val="auto"/>
        </w:rPr>
      </w:pPr>
      <w:r>
        <w:rPr>
          <w:color w:val="auto"/>
        </w:rPr>
        <w:t>Please attach a description of the manufacturing process conducted at this site from receipt of raw materials to dispatch of final product. It should be of sufficient detail to allow an unambiguous interpretation of the extent of your process(es). The narrative should also describe the product or range of products being produced.</w:t>
      </w:r>
    </w:p>
    <w:tbl>
      <w:tblPr>
        <w:tblStyle w:val="TableGridLight"/>
        <w:tblW w:w="9786" w:type="dxa"/>
        <w:tblLook w:val="0020" w:firstRow="1" w:lastRow="0" w:firstColumn="0" w:lastColumn="0" w:noHBand="0" w:noVBand="0"/>
      </w:tblPr>
      <w:tblGrid>
        <w:gridCol w:w="5247"/>
        <w:gridCol w:w="4539"/>
      </w:tblGrid>
      <w:tr w:rsidR="00904614" w14:paraId="72EC7CF8" w14:textId="77777777" w:rsidTr="005853A3">
        <w:trPr>
          <w:trHeight w:val="516"/>
        </w:trPr>
        <w:tc>
          <w:tcPr>
            <w:tcW w:w="5247" w:type="dxa"/>
          </w:tcPr>
          <w:p w14:paraId="64794DD2" w14:textId="77777777" w:rsidR="00904614" w:rsidRDefault="00904614" w:rsidP="005853A3">
            <w:pPr>
              <w:tabs>
                <w:tab w:val="left" w:pos="0"/>
              </w:tabs>
              <w:spacing w:after="0" w:line="256" w:lineRule="auto"/>
              <w:rPr>
                <w:color w:val="auto"/>
              </w:rPr>
            </w:pPr>
            <w:r>
              <w:rPr>
                <w:color w:val="auto"/>
              </w:rPr>
              <w:t xml:space="preserve">7a) Manufacturing process description (PDF) </w:t>
            </w:r>
          </w:p>
        </w:tc>
        <w:tc>
          <w:tcPr>
            <w:tcW w:w="4539" w:type="dxa"/>
          </w:tcPr>
          <w:p w14:paraId="1CAB4E6D" w14:textId="77777777" w:rsidR="00904614" w:rsidRDefault="00904614" w:rsidP="005853A3">
            <w:pPr>
              <w:tabs>
                <w:tab w:val="left" w:pos="0"/>
              </w:tabs>
              <w:spacing w:after="0" w:line="256" w:lineRule="auto"/>
              <w:rPr>
                <w:color w:val="auto"/>
              </w:rPr>
            </w:pPr>
            <w:r>
              <w:rPr>
                <w:color w:val="auto"/>
              </w:rPr>
              <w:t xml:space="preserve">Attached/not attached </w:t>
            </w:r>
          </w:p>
        </w:tc>
      </w:tr>
      <w:tr w:rsidR="00904614" w14:paraId="23AECFD3" w14:textId="77777777" w:rsidTr="005853A3">
        <w:trPr>
          <w:trHeight w:val="516"/>
        </w:trPr>
        <w:tc>
          <w:tcPr>
            <w:tcW w:w="5247" w:type="dxa"/>
          </w:tcPr>
          <w:p w14:paraId="758319F8" w14:textId="77777777" w:rsidR="00904614" w:rsidRDefault="00904614" w:rsidP="005853A3">
            <w:pPr>
              <w:tabs>
                <w:tab w:val="left" w:pos="0"/>
              </w:tabs>
              <w:spacing w:after="0" w:line="256" w:lineRule="auto"/>
              <w:rPr>
                <w:color w:val="auto"/>
              </w:rPr>
            </w:pPr>
            <w:r>
              <w:rPr>
                <w:color w:val="auto"/>
              </w:rPr>
              <w:t xml:space="preserve">7b) Process flow maps (PDF) </w:t>
            </w:r>
          </w:p>
        </w:tc>
        <w:tc>
          <w:tcPr>
            <w:tcW w:w="4539" w:type="dxa"/>
          </w:tcPr>
          <w:p w14:paraId="4188443E" w14:textId="77777777" w:rsidR="00904614" w:rsidRDefault="00904614" w:rsidP="005853A3">
            <w:pPr>
              <w:tabs>
                <w:tab w:val="left" w:pos="0"/>
              </w:tabs>
              <w:spacing w:after="0" w:line="256" w:lineRule="auto"/>
              <w:rPr>
                <w:color w:val="auto"/>
              </w:rPr>
            </w:pPr>
            <w:r>
              <w:rPr>
                <w:color w:val="auto"/>
              </w:rPr>
              <w:t xml:space="preserve">Attached/not attached </w:t>
            </w:r>
          </w:p>
        </w:tc>
      </w:tr>
      <w:tr w:rsidR="00904614" w14:paraId="5A4B664D" w14:textId="77777777" w:rsidTr="005853A3">
        <w:trPr>
          <w:trHeight w:val="514"/>
        </w:trPr>
        <w:tc>
          <w:tcPr>
            <w:tcW w:w="5247" w:type="dxa"/>
          </w:tcPr>
          <w:p w14:paraId="04678834" w14:textId="77777777" w:rsidR="00904614" w:rsidRDefault="00904614" w:rsidP="005853A3">
            <w:pPr>
              <w:tabs>
                <w:tab w:val="left" w:pos="0"/>
              </w:tabs>
              <w:spacing w:after="0" w:line="256" w:lineRule="auto"/>
              <w:rPr>
                <w:color w:val="auto"/>
              </w:rPr>
            </w:pPr>
            <w:r>
              <w:rPr>
                <w:color w:val="auto"/>
              </w:rPr>
              <w:t xml:space="preserve">7c) Annotated site plans (PDF) </w:t>
            </w:r>
          </w:p>
        </w:tc>
        <w:tc>
          <w:tcPr>
            <w:tcW w:w="4539" w:type="dxa"/>
          </w:tcPr>
          <w:p w14:paraId="12E0EF5C" w14:textId="77777777" w:rsidR="00904614" w:rsidRDefault="00904614" w:rsidP="005853A3">
            <w:pPr>
              <w:tabs>
                <w:tab w:val="left" w:pos="0"/>
              </w:tabs>
              <w:spacing w:after="0" w:line="256" w:lineRule="auto"/>
              <w:rPr>
                <w:color w:val="auto"/>
              </w:rPr>
            </w:pPr>
            <w:r>
              <w:rPr>
                <w:color w:val="auto"/>
              </w:rPr>
              <w:t xml:space="preserve">Attached/not attached </w:t>
            </w:r>
          </w:p>
        </w:tc>
      </w:tr>
    </w:tbl>
    <w:p w14:paraId="0D2B4BEB" w14:textId="0F061119" w:rsidR="00904614" w:rsidRDefault="00904614" w:rsidP="00904614">
      <w:pPr>
        <w:pStyle w:val="Heading3"/>
      </w:pPr>
      <w:r>
        <w:t>8</w:t>
      </w:r>
      <w:r w:rsidR="0007222A">
        <w:t>)</w:t>
      </w:r>
      <w:r>
        <w:t xml:space="preserve"> The eligible process </w:t>
      </w:r>
    </w:p>
    <w:p w14:paraId="15070241" w14:textId="18F25BEA" w:rsidR="00904614" w:rsidRDefault="00904614" w:rsidP="00904614">
      <w:r>
        <w:rPr>
          <w:color w:val="auto"/>
        </w:rPr>
        <w:t>Please attach a brief description of the plant or processes directly used in the stationary technical unit, covered by the sector's eligibility criteria (see Appendix A of the operations manual). Do not include any directly associated activities at this stage.</w:t>
      </w:r>
    </w:p>
    <w:tbl>
      <w:tblPr>
        <w:tblStyle w:val="TableGridLight"/>
        <w:tblW w:w="9786" w:type="dxa"/>
        <w:tblLook w:val="0020" w:firstRow="1" w:lastRow="0" w:firstColumn="0" w:lastColumn="0" w:noHBand="0" w:noVBand="0"/>
      </w:tblPr>
      <w:tblGrid>
        <w:gridCol w:w="5247"/>
        <w:gridCol w:w="4539"/>
      </w:tblGrid>
      <w:tr w:rsidR="00904614" w14:paraId="0746FD64" w14:textId="77777777" w:rsidTr="005853A3">
        <w:trPr>
          <w:trHeight w:val="516"/>
        </w:trPr>
        <w:tc>
          <w:tcPr>
            <w:tcW w:w="5247" w:type="dxa"/>
          </w:tcPr>
          <w:p w14:paraId="2272C783" w14:textId="77777777" w:rsidR="00904614" w:rsidRDefault="00904614" w:rsidP="005853A3">
            <w:pPr>
              <w:tabs>
                <w:tab w:val="left" w:pos="0"/>
              </w:tabs>
              <w:spacing w:after="0" w:line="256" w:lineRule="auto"/>
              <w:rPr>
                <w:color w:val="auto"/>
              </w:rPr>
            </w:pPr>
            <w:r>
              <w:rPr>
                <w:color w:val="auto"/>
              </w:rPr>
              <w:t xml:space="preserve">8a) Eligible process description </w:t>
            </w:r>
          </w:p>
        </w:tc>
        <w:tc>
          <w:tcPr>
            <w:tcW w:w="4539" w:type="dxa"/>
          </w:tcPr>
          <w:p w14:paraId="285CB2E0" w14:textId="77777777" w:rsidR="00904614" w:rsidRDefault="00904614" w:rsidP="005853A3">
            <w:pPr>
              <w:tabs>
                <w:tab w:val="left" w:pos="0"/>
              </w:tabs>
              <w:spacing w:after="0" w:line="256" w:lineRule="auto"/>
              <w:rPr>
                <w:color w:val="auto"/>
              </w:rPr>
            </w:pPr>
            <w:r>
              <w:rPr>
                <w:color w:val="auto"/>
              </w:rPr>
              <w:t xml:space="preserve">Attached/not attached </w:t>
            </w:r>
          </w:p>
        </w:tc>
      </w:tr>
      <w:tr w:rsidR="00904614" w14:paraId="36A3D08D" w14:textId="77777777" w:rsidTr="005853A3">
        <w:trPr>
          <w:trHeight w:val="1275"/>
        </w:trPr>
        <w:tc>
          <w:tcPr>
            <w:tcW w:w="9786" w:type="dxa"/>
            <w:gridSpan w:val="2"/>
          </w:tcPr>
          <w:p w14:paraId="0E719668" w14:textId="77777777" w:rsidR="00904614" w:rsidRDefault="00904614" w:rsidP="005853A3">
            <w:pPr>
              <w:tabs>
                <w:tab w:val="left" w:pos="0"/>
              </w:tabs>
              <w:spacing w:after="0" w:line="256" w:lineRule="auto"/>
              <w:rPr>
                <w:color w:val="auto"/>
              </w:rPr>
            </w:pPr>
            <w:r>
              <w:rPr>
                <w:color w:val="auto"/>
              </w:rPr>
              <w:t xml:space="preserve">Enter eligible process description here if not attached. </w:t>
            </w:r>
          </w:p>
        </w:tc>
      </w:tr>
    </w:tbl>
    <w:p w14:paraId="04E10424" w14:textId="76CA937E" w:rsidR="00904614" w:rsidRDefault="00904614" w:rsidP="00904614">
      <w:pPr>
        <w:pStyle w:val="Heading3"/>
      </w:pPr>
      <w:r>
        <w:t>9</w:t>
      </w:r>
      <w:r w:rsidR="0007222A">
        <w:t>)</w:t>
      </w:r>
      <w:r>
        <w:t xml:space="preserve">. Directly associated activities </w:t>
      </w:r>
    </w:p>
    <w:p w14:paraId="452EC864" w14:textId="480D9BBC" w:rsidR="00904614" w:rsidRDefault="00904614" w:rsidP="00904614">
      <w:r>
        <w:rPr>
          <w:color w:val="auto"/>
        </w:rPr>
        <w:t>Please attach a description listing any activities that you consider to be 'directly associated'. The description should address how the activity or process meets the criteria for being directly associated. Any directly associated activities must be on the same site as the activities described above under 'The Eligible Process'. They must be technically connected, they must serve the activities described in 'The Eligible Process' and must be capable of having an effect on emissions.</w:t>
      </w:r>
    </w:p>
    <w:tbl>
      <w:tblPr>
        <w:tblStyle w:val="TableGridLight"/>
        <w:tblW w:w="9786" w:type="dxa"/>
        <w:tblLook w:val="0020" w:firstRow="1" w:lastRow="0" w:firstColumn="0" w:lastColumn="0" w:noHBand="0" w:noVBand="0"/>
      </w:tblPr>
      <w:tblGrid>
        <w:gridCol w:w="5247"/>
        <w:gridCol w:w="4539"/>
      </w:tblGrid>
      <w:tr w:rsidR="00904614" w14:paraId="7F9AE23A" w14:textId="77777777" w:rsidTr="005853A3">
        <w:trPr>
          <w:trHeight w:val="514"/>
        </w:trPr>
        <w:tc>
          <w:tcPr>
            <w:tcW w:w="5247" w:type="dxa"/>
          </w:tcPr>
          <w:p w14:paraId="5248F2FB" w14:textId="77777777" w:rsidR="00904614" w:rsidRDefault="00904614" w:rsidP="005853A3">
            <w:pPr>
              <w:tabs>
                <w:tab w:val="left" w:pos="0"/>
              </w:tabs>
              <w:spacing w:after="0" w:line="256" w:lineRule="auto"/>
              <w:rPr>
                <w:color w:val="auto"/>
              </w:rPr>
            </w:pPr>
            <w:r>
              <w:rPr>
                <w:color w:val="auto"/>
              </w:rPr>
              <w:lastRenderedPageBreak/>
              <w:t xml:space="preserve">9a) DAA description </w:t>
            </w:r>
          </w:p>
        </w:tc>
        <w:tc>
          <w:tcPr>
            <w:tcW w:w="4539" w:type="dxa"/>
          </w:tcPr>
          <w:p w14:paraId="539E6BD0" w14:textId="77777777" w:rsidR="00904614" w:rsidRDefault="00904614" w:rsidP="005853A3">
            <w:pPr>
              <w:tabs>
                <w:tab w:val="left" w:pos="0"/>
              </w:tabs>
              <w:spacing w:after="0" w:line="256" w:lineRule="auto"/>
              <w:rPr>
                <w:color w:val="auto"/>
              </w:rPr>
            </w:pPr>
            <w:r>
              <w:rPr>
                <w:color w:val="auto"/>
              </w:rPr>
              <w:t xml:space="preserve">Attached/not attached </w:t>
            </w:r>
          </w:p>
        </w:tc>
      </w:tr>
      <w:tr w:rsidR="00904614" w14:paraId="2FC2323A" w14:textId="77777777" w:rsidTr="005853A3">
        <w:trPr>
          <w:trHeight w:val="1344"/>
        </w:trPr>
        <w:tc>
          <w:tcPr>
            <w:tcW w:w="9786" w:type="dxa"/>
            <w:gridSpan w:val="2"/>
          </w:tcPr>
          <w:p w14:paraId="78AD69D6" w14:textId="77777777" w:rsidR="00904614" w:rsidRDefault="00904614" w:rsidP="005853A3">
            <w:pPr>
              <w:tabs>
                <w:tab w:val="left" w:pos="0"/>
              </w:tabs>
              <w:spacing w:after="0" w:line="256" w:lineRule="auto"/>
              <w:rPr>
                <w:color w:val="auto"/>
              </w:rPr>
            </w:pPr>
            <w:r>
              <w:rPr>
                <w:color w:val="auto"/>
              </w:rPr>
              <w:t xml:space="preserve">Enter DAA description here if not attached. </w:t>
            </w:r>
          </w:p>
        </w:tc>
      </w:tr>
    </w:tbl>
    <w:p w14:paraId="66022C7F" w14:textId="591E7CB9" w:rsidR="00026E66" w:rsidRDefault="00904614" w:rsidP="00904614">
      <w:pPr>
        <w:pStyle w:val="Heading2"/>
      </w:pPr>
      <w:r>
        <w:t>Section 4 – Application of the 70% rule (on basis of most recent 12 month continuous data)</w:t>
      </w:r>
    </w:p>
    <w:tbl>
      <w:tblPr>
        <w:tblStyle w:val="TableGridLight"/>
        <w:tblW w:w="9786" w:type="dxa"/>
        <w:tblLook w:val="0020" w:firstRow="1" w:lastRow="0" w:firstColumn="0" w:lastColumn="0" w:noHBand="0" w:noVBand="0"/>
      </w:tblPr>
      <w:tblGrid>
        <w:gridCol w:w="5247"/>
        <w:gridCol w:w="4539"/>
      </w:tblGrid>
      <w:tr w:rsidR="00904614" w14:paraId="3DE93808" w14:textId="77777777" w:rsidTr="005853A3">
        <w:trPr>
          <w:trHeight w:val="1527"/>
        </w:trPr>
        <w:tc>
          <w:tcPr>
            <w:tcW w:w="5247" w:type="dxa"/>
          </w:tcPr>
          <w:p w14:paraId="360E99B4" w14:textId="77777777" w:rsidR="00904614" w:rsidRDefault="00904614" w:rsidP="0007222A">
            <w:r>
              <w:t xml:space="preserve">10) The facility occupies the entire site, that is, the energy consumed by the installation defined above in the 'Extent of Facility' (section 3) is greater than or equal to 70% of the primary energy used within the site. </w:t>
            </w:r>
          </w:p>
        </w:tc>
        <w:tc>
          <w:tcPr>
            <w:tcW w:w="4539" w:type="dxa"/>
          </w:tcPr>
          <w:p w14:paraId="692B51AD" w14:textId="77777777" w:rsidR="00904614" w:rsidRDefault="00904614" w:rsidP="0007222A">
            <w:r>
              <w:t xml:space="preserve">Yes/No </w:t>
            </w:r>
          </w:p>
        </w:tc>
      </w:tr>
      <w:tr w:rsidR="00904614" w14:paraId="5576E9CC" w14:textId="77777777" w:rsidTr="005853A3">
        <w:trPr>
          <w:trHeight w:val="2033"/>
        </w:trPr>
        <w:tc>
          <w:tcPr>
            <w:tcW w:w="5247" w:type="dxa"/>
          </w:tcPr>
          <w:p w14:paraId="3717711C" w14:textId="77777777" w:rsidR="00904614" w:rsidRDefault="00904614" w:rsidP="0007222A">
            <w:r>
              <w:t xml:space="preserve">11) The facility occupies part of the site, that is, the energy consumed by the installation defined above in the 'Extent of Facility' (section 3) is less than 70% of the primary energy used within the site. In this case the eligible facility can be defined to include other activities that consume no more than 3/7ths of the consumption of the installation. </w:t>
            </w:r>
          </w:p>
        </w:tc>
        <w:tc>
          <w:tcPr>
            <w:tcW w:w="4539" w:type="dxa"/>
          </w:tcPr>
          <w:p w14:paraId="195B0FB9" w14:textId="77777777" w:rsidR="00904614" w:rsidRDefault="00904614" w:rsidP="0007222A">
            <w:r>
              <w:t xml:space="preserve">Yes/No </w:t>
            </w:r>
          </w:p>
        </w:tc>
      </w:tr>
      <w:tr w:rsidR="00904614" w14:paraId="2EBB9D65" w14:textId="77777777" w:rsidTr="005853A3">
        <w:trPr>
          <w:trHeight w:val="1529"/>
        </w:trPr>
        <w:tc>
          <w:tcPr>
            <w:tcW w:w="5247" w:type="dxa"/>
          </w:tcPr>
          <w:p w14:paraId="4DF41CC9" w14:textId="77777777" w:rsidR="00904614" w:rsidRDefault="00904614" w:rsidP="0007222A">
            <w:r>
              <w:t xml:space="preserve">12) Provide the exact percentage of energy consumed in the installation (STU + DAA) as a proportion of the whole site energy use, excluding any additional energy that can be claimed under the 3/7ths provision. </w:t>
            </w:r>
          </w:p>
        </w:tc>
        <w:tc>
          <w:tcPr>
            <w:tcW w:w="4539" w:type="dxa"/>
          </w:tcPr>
          <w:p w14:paraId="29013784" w14:textId="77777777" w:rsidR="00904614" w:rsidRDefault="00904614" w:rsidP="0007222A">
            <w:r>
              <w:t xml:space="preserve">Please enter a number between 0% and 100%. </w:t>
            </w:r>
          </w:p>
        </w:tc>
      </w:tr>
      <w:tr w:rsidR="00904614" w14:paraId="2C096543" w14:textId="77777777" w:rsidTr="005853A3">
        <w:trPr>
          <w:trHeight w:val="1272"/>
        </w:trPr>
        <w:tc>
          <w:tcPr>
            <w:tcW w:w="5247" w:type="dxa"/>
          </w:tcPr>
          <w:p w14:paraId="6E91E861" w14:textId="77777777" w:rsidR="00904614" w:rsidRDefault="00904614" w:rsidP="0007222A">
            <w:r>
              <w:t xml:space="preserve">13) Provide the percentage of energy consumed in relation to the 3/7ths provision as a proportion of the installation's (STU + DAA) energy use, where this is applicable (needs to be sub-metered). </w:t>
            </w:r>
          </w:p>
        </w:tc>
        <w:tc>
          <w:tcPr>
            <w:tcW w:w="4539" w:type="dxa"/>
          </w:tcPr>
          <w:p w14:paraId="6E8CD662" w14:textId="77777777" w:rsidR="00904614" w:rsidRDefault="00904614" w:rsidP="0007222A">
            <w:r>
              <w:t xml:space="preserve">If </w:t>
            </w:r>
            <w:proofErr w:type="gramStart"/>
            <w:r>
              <w:t>Yes</w:t>
            </w:r>
            <w:proofErr w:type="gramEnd"/>
            <w:r>
              <w:t xml:space="preserve"> to 11 – Please enter a number between 0% and 42.9%. </w:t>
            </w:r>
          </w:p>
        </w:tc>
      </w:tr>
      <w:tr w:rsidR="00904614" w14:paraId="2F3A0366" w14:textId="77777777" w:rsidTr="005853A3">
        <w:trPr>
          <w:trHeight w:val="768"/>
        </w:trPr>
        <w:tc>
          <w:tcPr>
            <w:tcW w:w="5247" w:type="dxa"/>
          </w:tcPr>
          <w:p w14:paraId="7F7E9853" w14:textId="77777777" w:rsidR="00904614" w:rsidRDefault="00904614" w:rsidP="0007222A">
            <w:r>
              <w:t xml:space="preserve">14) Is sub-metering in place for the eligible facility (STU + DAA + 3/7ths)? </w:t>
            </w:r>
          </w:p>
        </w:tc>
        <w:tc>
          <w:tcPr>
            <w:tcW w:w="4539" w:type="dxa"/>
          </w:tcPr>
          <w:p w14:paraId="36A691F4" w14:textId="77777777" w:rsidR="00904614" w:rsidRDefault="00904614" w:rsidP="0007222A">
            <w:r>
              <w:t xml:space="preserve">If </w:t>
            </w:r>
            <w:proofErr w:type="gramStart"/>
            <w:r>
              <w:t>Yes</w:t>
            </w:r>
            <w:proofErr w:type="gramEnd"/>
            <w:r>
              <w:t xml:space="preserve"> to 11 – Supply </w:t>
            </w:r>
          </w:p>
        </w:tc>
      </w:tr>
    </w:tbl>
    <w:p w14:paraId="52B28039" w14:textId="030A081C" w:rsidR="00904614" w:rsidRDefault="00904614" w:rsidP="00904614">
      <w:pPr>
        <w:pStyle w:val="Heading3"/>
      </w:pPr>
      <w:r>
        <w:t xml:space="preserve">70% evidence </w:t>
      </w:r>
    </w:p>
    <w:p w14:paraId="19EAE0BD" w14:textId="24EDFAF4" w:rsidR="00904614" w:rsidRDefault="00904614" w:rsidP="00904614">
      <w:r>
        <w:rPr>
          <w:color w:val="auto"/>
        </w:rPr>
        <w:t>You will need to provide data (for example, from permanent sub-metering or spot metering, or estimates). The origin of all data should be specified. Please give the basis of any estimates and show any formula used.</w:t>
      </w:r>
    </w:p>
    <w:tbl>
      <w:tblPr>
        <w:tblStyle w:val="TableGridLight"/>
        <w:tblW w:w="9786" w:type="dxa"/>
        <w:tblLook w:val="0020" w:firstRow="1" w:lastRow="0" w:firstColumn="0" w:lastColumn="0" w:noHBand="0" w:noVBand="0"/>
      </w:tblPr>
      <w:tblGrid>
        <w:gridCol w:w="5247"/>
        <w:gridCol w:w="4539"/>
      </w:tblGrid>
      <w:tr w:rsidR="0007222A" w14:paraId="667D418F" w14:textId="77777777" w:rsidTr="005853A3">
        <w:trPr>
          <w:trHeight w:val="2028"/>
        </w:trPr>
        <w:tc>
          <w:tcPr>
            <w:tcW w:w="5247" w:type="dxa"/>
          </w:tcPr>
          <w:p w14:paraId="38A64B28" w14:textId="77777777" w:rsidR="0007222A" w:rsidRDefault="0007222A" w:rsidP="0007222A">
            <w:r>
              <w:lastRenderedPageBreak/>
              <w:t xml:space="preserve">15) Please attach: </w:t>
            </w:r>
          </w:p>
          <w:p w14:paraId="5E9DFD25" w14:textId="77777777" w:rsidR="0007222A" w:rsidRDefault="0007222A" w:rsidP="0007222A">
            <w:r>
              <w:t xml:space="preserve">Evidence that the activities described in the 'Extent of Facility' section consume the percentage of primary energy stated in 12 and 13 </w:t>
            </w:r>
          </w:p>
          <w:p w14:paraId="6E055672" w14:textId="77777777" w:rsidR="0007222A" w:rsidRDefault="0007222A" w:rsidP="0007222A">
            <w:r>
              <w:t xml:space="preserve">Evidence that suitable sub-metering has been installed. </w:t>
            </w:r>
          </w:p>
        </w:tc>
        <w:tc>
          <w:tcPr>
            <w:tcW w:w="4539" w:type="dxa"/>
          </w:tcPr>
          <w:p w14:paraId="5DD243BB" w14:textId="77777777" w:rsidR="0007222A" w:rsidRDefault="0007222A" w:rsidP="0007222A">
            <w:r>
              <w:t xml:space="preserve">If No to 10 – Attach evidence </w:t>
            </w:r>
          </w:p>
        </w:tc>
      </w:tr>
      <w:tr w:rsidR="0007222A" w14:paraId="69DA0031" w14:textId="77777777" w:rsidTr="005853A3">
        <w:trPr>
          <w:trHeight w:val="2667"/>
        </w:trPr>
        <w:tc>
          <w:tcPr>
            <w:tcW w:w="5247" w:type="dxa"/>
          </w:tcPr>
          <w:p w14:paraId="6E4908FA" w14:textId="77777777" w:rsidR="0007222A" w:rsidRDefault="0007222A" w:rsidP="0007222A">
            <w:r>
              <w:t xml:space="preserve">16) Please attach either: </w:t>
            </w:r>
          </w:p>
          <w:p w14:paraId="02EA4C98" w14:textId="77777777" w:rsidR="0007222A" w:rsidRDefault="0007222A" w:rsidP="0007222A">
            <w:r>
              <w:t xml:space="preserve">Evidence that activities in the installation (STU + DAA) is greater or equal to 70% of the site's total energy use. </w:t>
            </w:r>
          </w:p>
          <w:p w14:paraId="71891ABD" w14:textId="77777777" w:rsidR="0007222A" w:rsidRDefault="0007222A" w:rsidP="0007222A">
            <w:r>
              <w:t xml:space="preserve">Or: </w:t>
            </w:r>
          </w:p>
          <w:p w14:paraId="33D3B55B" w14:textId="77777777" w:rsidR="0007222A" w:rsidRDefault="0007222A" w:rsidP="0007222A">
            <w:r>
              <w:t xml:space="preserve">Evidence that activities outside of the installation (STU + DAA) are less than 30% of the site’s total energy use. </w:t>
            </w:r>
          </w:p>
        </w:tc>
        <w:tc>
          <w:tcPr>
            <w:tcW w:w="4539" w:type="dxa"/>
          </w:tcPr>
          <w:p w14:paraId="5BE135CE" w14:textId="77777777" w:rsidR="0007222A" w:rsidRDefault="0007222A" w:rsidP="0007222A">
            <w:r>
              <w:t xml:space="preserve">If </w:t>
            </w:r>
            <w:proofErr w:type="gramStart"/>
            <w:r>
              <w:t>Yes</w:t>
            </w:r>
            <w:proofErr w:type="gramEnd"/>
            <w:r>
              <w:t xml:space="preserve"> to 10 – Attach evidence </w:t>
            </w:r>
          </w:p>
        </w:tc>
      </w:tr>
    </w:tbl>
    <w:p w14:paraId="706DA0F8" w14:textId="024F4B33" w:rsidR="00904614" w:rsidRDefault="0007222A" w:rsidP="0007222A">
      <w:pPr>
        <w:pStyle w:val="Heading2"/>
      </w:pPr>
      <w:r>
        <w:t>Section 5 – Submission</w:t>
      </w:r>
    </w:p>
    <w:p w14:paraId="670608E2" w14:textId="77777777" w:rsidR="0007222A" w:rsidRDefault="0007222A" w:rsidP="0007222A">
      <w:r>
        <w:t xml:space="preserve">I declare that to the best of my knowledge the information provided on this form is correct. </w:t>
      </w:r>
    </w:p>
    <w:p w14:paraId="6D8FB9CA" w14:textId="77777777" w:rsidR="0007222A" w:rsidRDefault="0007222A" w:rsidP="0007222A">
      <w:r>
        <w:t xml:space="preserve">I understand that the climate change agreement is bound by the process definition and description of eligible areas of the facility as described on this form. I accept that if there are any changes to the process or the eligible </w:t>
      </w:r>
      <w:proofErr w:type="gramStart"/>
      <w:r>
        <w:t>area</w:t>
      </w:r>
      <w:proofErr w:type="gramEnd"/>
      <w:r>
        <w:t xml:space="preserve"> I will notify this to the Administrator through the operator in order that an assessment can be made of the need to review the extent of a facility's eligibility. </w:t>
      </w:r>
    </w:p>
    <w:p w14:paraId="34E21D60" w14:textId="3DD7659B" w:rsidR="0007222A" w:rsidRDefault="0007222A" w:rsidP="0007222A">
      <w:r>
        <w:t>Please supply evidence that the target unit associated with this facility has authorised the submission of this information.</w:t>
      </w:r>
    </w:p>
    <w:tbl>
      <w:tblPr>
        <w:tblStyle w:val="TableGridLight"/>
        <w:tblW w:w="9786" w:type="dxa"/>
        <w:tblLook w:val="0020" w:firstRow="1" w:lastRow="0" w:firstColumn="0" w:lastColumn="0" w:noHBand="0" w:noVBand="0"/>
      </w:tblPr>
      <w:tblGrid>
        <w:gridCol w:w="5247"/>
        <w:gridCol w:w="4539"/>
      </w:tblGrid>
      <w:tr w:rsidR="00026E66" w14:paraId="0A87091E" w14:textId="77777777" w:rsidTr="0007222A">
        <w:trPr>
          <w:trHeight w:val="637"/>
        </w:trPr>
        <w:tc>
          <w:tcPr>
            <w:tcW w:w="5247" w:type="dxa"/>
          </w:tcPr>
          <w:p w14:paraId="41B27103" w14:textId="77777777" w:rsidR="00026E66" w:rsidRDefault="002737EF" w:rsidP="0007222A">
            <w:r>
              <w:t xml:space="preserve">Signed (electronic signature) </w:t>
            </w:r>
          </w:p>
        </w:tc>
        <w:tc>
          <w:tcPr>
            <w:tcW w:w="4539" w:type="dxa"/>
          </w:tcPr>
          <w:p w14:paraId="75A65E92" w14:textId="77777777" w:rsidR="00026E66" w:rsidRDefault="002737EF" w:rsidP="0007222A">
            <w:r>
              <w:t xml:space="preserve"> </w:t>
            </w:r>
          </w:p>
        </w:tc>
      </w:tr>
      <w:tr w:rsidR="00026E66" w14:paraId="3B06A508" w14:textId="77777777" w:rsidTr="00F22E60">
        <w:trPr>
          <w:trHeight w:val="516"/>
        </w:trPr>
        <w:tc>
          <w:tcPr>
            <w:tcW w:w="5247" w:type="dxa"/>
          </w:tcPr>
          <w:p w14:paraId="797583F5" w14:textId="77777777" w:rsidR="00026E66" w:rsidRDefault="002737EF" w:rsidP="0007222A">
            <w:r>
              <w:t xml:space="preserve">Name </w:t>
            </w:r>
          </w:p>
        </w:tc>
        <w:tc>
          <w:tcPr>
            <w:tcW w:w="4539" w:type="dxa"/>
          </w:tcPr>
          <w:p w14:paraId="2C5459D2" w14:textId="77777777" w:rsidR="00026E66" w:rsidRDefault="002737EF" w:rsidP="0007222A">
            <w:r>
              <w:t xml:space="preserve"> </w:t>
            </w:r>
          </w:p>
        </w:tc>
      </w:tr>
      <w:tr w:rsidR="00026E66" w14:paraId="1FBA8192" w14:textId="77777777" w:rsidTr="00F22E60">
        <w:trPr>
          <w:trHeight w:val="516"/>
        </w:trPr>
        <w:tc>
          <w:tcPr>
            <w:tcW w:w="5247" w:type="dxa"/>
          </w:tcPr>
          <w:p w14:paraId="08F5F249" w14:textId="77777777" w:rsidR="00026E66" w:rsidRDefault="002737EF" w:rsidP="0007222A">
            <w:r>
              <w:t xml:space="preserve">Position or title </w:t>
            </w:r>
          </w:p>
        </w:tc>
        <w:tc>
          <w:tcPr>
            <w:tcW w:w="4539" w:type="dxa"/>
          </w:tcPr>
          <w:p w14:paraId="5E5C8DD8" w14:textId="77777777" w:rsidR="00026E66" w:rsidRDefault="002737EF" w:rsidP="0007222A">
            <w:r>
              <w:t xml:space="preserve"> </w:t>
            </w:r>
          </w:p>
        </w:tc>
      </w:tr>
      <w:tr w:rsidR="00026E66" w14:paraId="01242626" w14:textId="77777777" w:rsidTr="00F22E60">
        <w:trPr>
          <w:trHeight w:val="517"/>
        </w:trPr>
        <w:tc>
          <w:tcPr>
            <w:tcW w:w="5247" w:type="dxa"/>
          </w:tcPr>
          <w:p w14:paraId="5109794E" w14:textId="77777777" w:rsidR="00026E66" w:rsidRDefault="002737EF" w:rsidP="0007222A">
            <w:r>
              <w:t xml:space="preserve">Date </w:t>
            </w:r>
          </w:p>
        </w:tc>
        <w:tc>
          <w:tcPr>
            <w:tcW w:w="4539" w:type="dxa"/>
          </w:tcPr>
          <w:p w14:paraId="737F992C" w14:textId="77777777" w:rsidR="00026E66" w:rsidRDefault="002737EF" w:rsidP="0007222A">
            <w:r>
              <w:t xml:space="preserve"> </w:t>
            </w:r>
          </w:p>
        </w:tc>
      </w:tr>
    </w:tbl>
    <w:p w14:paraId="74528E0E" w14:textId="77777777" w:rsidR="00562A78" w:rsidRDefault="00562A78">
      <w:pPr>
        <w:suppressAutoHyphens w:val="0"/>
        <w:spacing w:before="0" w:beforeAutospacing="0" w:after="160" w:afterAutospacing="0" w:line="256" w:lineRule="auto"/>
        <w:rPr>
          <w:color w:val="auto"/>
        </w:rPr>
      </w:pPr>
      <w:r>
        <w:rPr>
          <w:color w:val="auto"/>
        </w:rPr>
        <w:br w:type="page"/>
      </w:r>
    </w:p>
    <w:p w14:paraId="56009FD5" w14:textId="77777777" w:rsidR="00026E66" w:rsidRDefault="002737EF" w:rsidP="00FF0098">
      <w:pPr>
        <w:pStyle w:val="Heading1"/>
        <w:tabs>
          <w:tab w:val="left" w:pos="0"/>
        </w:tabs>
      </w:pPr>
      <w:bookmarkStart w:id="442" w:name="_Appendix_H:_Workbook"/>
      <w:bookmarkStart w:id="443" w:name="_Toc94718694"/>
      <w:bookmarkStart w:id="444" w:name="_Toc94088942"/>
      <w:bookmarkStart w:id="445" w:name="_Toc95211911"/>
      <w:bookmarkEnd w:id="442"/>
      <w:r>
        <w:lastRenderedPageBreak/>
        <w:t>Appendix H: Workbook tools</w:t>
      </w:r>
      <w:bookmarkEnd w:id="443"/>
      <w:bookmarkEnd w:id="444"/>
      <w:bookmarkEnd w:id="445"/>
      <w:r>
        <w:t xml:space="preserve"> </w:t>
      </w:r>
    </w:p>
    <w:p w14:paraId="71008A9D" w14:textId="0FF07FBD" w:rsidR="00026E66" w:rsidRDefault="002737EF" w:rsidP="00FF0098">
      <w:pPr>
        <w:pStyle w:val="Heading2"/>
        <w:tabs>
          <w:tab w:val="left" w:pos="0"/>
        </w:tabs>
      </w:pPr>
      <w:bookmarkStart w:id="446" w:name="_Toc95211912"/>
      <w:r>
        <w:t xml:space="preserve">New </w:t>
      </w:r>
      <w:r w:rsidR="00E75C8E">
        <w:t>e</w:t>
      </w:r>
      <w:r>
        <w:t>ntrant and variation target calculators</w:t>
      </w:r>
      <w:bookmarkEnd w:id="446"/>
      <w:r>
        <w:t xml:space="preserve"> </w:t>
      </w:r>
    </w:p>
    <w:tbl>
      <w:tblPr>
        <w:tblStyle w:val="TableGridLight"/>
        <w:tblW w:w="0" w:type="auto"/>
        <w:tblLook w:val="04A0" w:firstRow="1" w:lastRow="0" w:firstColumn="1" w:lastColumn="0" w:noHBand="0" w:noVBand="1"/>
      </w:tblPr>
      <w:tblGrid>
        <w:gridCol w:w="1980"/>
        <w:gridCol w:w="1984"/>
        <w:gridCol w:w="1560"/>
        <w:gridCol w:w="3658"/>
      </w:tblGrid>
      <w:tr w:rsidR="00562A78" w14:paraId="4ED4627A" w14:textId="77777777" w:rsidTr="0007222A">
        <w:tc>
          <w:tcPr>
            <w:tcW w:w="1980" w:type="dxa"/>
          </w:tcPr>
          <w:p w14:paraId="44456F08" w14:textId="47E3E55A" w:rsidR="00562A78" w:rsidRDefault="00562A78" w:rsidP="00562A78">
            <w:r>
              <w:rPr>
                <w:b/>
                <w:color w:val="auto"/>
              </w:rPr>
              <w:t>Workbook</w:t>
            </w:r>
            <w:r>
              <w:rPr>
                <w:color w:val="auto"/>
              </w:rPr>
              <w:t xml:space="preserve"> </w:t>
            </w:r>
          </w:p>
        </w:tc>
        <w:tc>
          <w:tcPr>
            <w:tcW w:w="1984" w:type="dxa"/>
          </w:tcPr>
          <w:p w14:paraId="36C14E10" w14:textId="04273A9C" w:rsidR="00562A78" w:rsidRDefault="00562A78" w:rsidP="00562A78">
            <w:r>
              <w:rPr>
                <w:b/>
                <w:color w:val="auto"/>
              </w:rPr>
              <w:t>Used for</w:t>
            </w:r>
            <w:r>
              <w:rPr>
                <w:color w:val="auto"/>
              </w:rPr>
              <w:t xml:space="preserve"> </w:t>
            </w:r>
          </w:p>
        </w:tc>
        <w:tc>
          <w:tcPr>
            <w:tcW w:w="1560" w:type="dxa"/>
          </w:tcPr>
          <w:p w14:paraId="30DC9295" w14:textId="0CE27F5F" w:rsidR="00562A78" w:rsidRPr="00FC355D" w:rsidRDefault="00562A78" w:rsidP="00562A78">
            <w:pPr>
              <w:rPr>
                <w:color w:val="0070C0"/>
              </w:rPr>
            </w:pPr>
            <w:r w:rsidRPr="00FC355D">
              <w:rPr>
                <w:b/>
                <w:color w:val="auto"/>
              </w:rPr>
              <w:t>File name</w:t>
            </w:r>
          </w:p>
        </w:tc>
        <w:tc>
          <w:tcPr>
            <w:tcW w:w="3658" w:type="dxa"/>
          </w:tcPr>
          <w:p w14:paraId="18F01EA5" w14:textId="5042F74C" w:rsidR="00562A78" w:rsidRDefault="00562A78" w:rsidP="00562A78">
            <w:r>
              <w:rPr>
                <w:b/>
                <w:color w:val="auto"/>
              </w:rPr>
              <w:t>Application</w:t>
            </w:r>
            <w:r>
              <w:rPr>
                <w:color w:val="auto"/>
              </w:rPr>
              <w:t xml:space="preserve"> </w:t>
            </w:r>
          </w:p>
        </w:tc>
      </w:tr>
      <w:tr w:rsidR="00562A78" w14:paraId="7B344B41" w14:textId="77777777" w:rsidTr="0007222A">
        <w:tc>
          <w:tcPr>
            <w:tcW w:w="1980" w:type="dxa"/>
          </w:tcPr>
          <w:p w14:paraId="44D2C78C" w14:textId="2700F111" w:rsidR="00562A78" w:rsidRPr="00A26401" w:rsidRDefault="00562A78" w:rsidP="00562A78">
            <w:r w:rsidRPr="00A26401">
              <w:rPr>
                <w:b/>
                <w:color w:val="auto"/>
              </w:rPr>
              <w:t>Target</w:t>
            </w:r>
            <w:hyperlink r:id="rId133" w:history="1">
              <w:r w:rsidRPr="00A26401">
                <w:rPr>
                  <w:b/>
                  <w:color w:val="auto"/>
                </w:rPr>
                <w:t xml:space="preserve"> </w:t>
              </w:r>
            </w:hyperlink>
            <w:hyperlink r:id="rId134" w:history="1">
              <w:r w:rsidRPr="00A26401">
                <w:rPr>
                  <w:b/>
                  <w:color w:val="auto"/>
                </w:rPr>
                <w:t>calculator</w:t>
              </w:r>
            </w:hyperlink>
            <w:hyperlink r:id="rId135" w:history="1">
              <w:r w:rsidRPr="00A26401">
                <w:rPr>
                  <w:color w:val="auto"/>
                </w:rPr>
                <w:t xml:space="preserve"> </w:t>
              </w:r>
            </w:hyperlink>
          </w:p>
        </w:tc>
        <w:tc>
          <w:tcPr>
            <w:tcW w:w="1984" w:type="dxa"/>
          </w:tcPr>
          <w:p w14:paraId="653E2EE8" w14:textId="1FA7569B" w:rsidR="00562A78" w:rsidRDefault="00562A78" w:rsidP="00827D03">
            <w:pPr>
              <w:tabs>
                <w:tab w:val="left" w:pos="0"/>
              </w:tabs>
              <w:spacing w:after="0" w:line="256" w:lineRule="auto"/>
            </w:pPr>
            <w:r>
              <w:rPr>
                <w:color w:val="auto"/>
              </w:rPr>
              <w:t xml:space="preserve">New applications and base line variations including data corrections, facility exits and entries for all target types </w:t>
            </w:r>
          </w:p>
        </w:tc>
        <w:tc>
          <w:tcPr>
            <w:tcW w:w="1560" w:type="dxa"/>
          </w:tcPr>
          <w:p w14:paraId="1D9A6D73" w14:textId="3B2F8E09" w:rsidR="00827D03" w:rsidRPr="00FC355D" w:rsidRDefault="00562A78" w:rsidP="00562A78">
            <w:pPr>
              <w:rPr>
                <w:color w:val="0070C0"/>
              </w:rPr>
            </w:pPr>
            <w:hyperlink r:id="rId136" w:history="1">
              <w:r w:rsidRPr="00FC355D">
                <w:rPr>
                  <w:color w:val="0070C0"/>
                  <w:u w:val="single" w:color="0077B9"/>
                </w:rPr>
                <w:t>LIT</w:t>
              </w:r>
            </w:hyperlink>
            <w:hyperlink r:id="rId137" w:history="1">
              <w:r w:rsidRPr="00FC355D">
                <w:rPr>
                  <w:color w:val="0070C0"/>
                  <w:u w:val="single" w:color="0077B9"/>
                </w:rPr>
                <w:t xml:space="preserve"> </w:t>
              </w:r>
            </w:hyperlink>
            <w:hyperlink r:id="rId138" w:history="1">
              <w:r w:rsidRPr="00FC355D">
                <w:rPr>
                  <w:color w:val="0070C0"/>
                  <w:u w:val="single" w:color="0077B9"/>
                </w:rPr>
                <w:t>10506</w:t>
              </w:r>
            </w:hyperlink>
            <w:hyperlink r:id="rId139" w:history="1">
              <w:r w:rsidRPr="00FC355D">
                <w:rPr>
                  <w:color w:val="0070C0"/>
                </w:rPr>
                <w:t xml:space="preserve"> </w:t>
              </w:r>
            </w:hyperlink>
          </w:p>
        </w:tc>
        <w:tc>
          <w:tcPr>
            <w:tcW w:w="3658" w:type="dxa"/>
          </w:tcPr>
          <w:p w14:paraId="48658F39" w14:textId="01B0D64D" w:rsidR="00562A78" w:rsidRDefault="00562A78" w:rsidP="00562A78">
            <w:r>
              <w:rPr>
                <w:color w:val="auto"/>
              </w:rPr>
              <w:t>This workbook is for working out the appropriate targets for new entrant TUs or for existing TUs. It may be used for baseline revisions due to eligibility changes, structural changes or errors. It may be used to adjust the facilities that are included in the TU. Some data has to remain fixed (</w:t>
            </w:r>
            <w:r w:rsidR="007A7512">
              <w:rPr>
                <w:color w:val="auto"/>
              </w:rPr>
              <w:t>for example</w:t>
            </w:r>
            <w:r>
              <w:rPr>
                <w:color w:val="auto"/>
              </w:rPr>
              <w:t xml:space="preserve"> target type, units, percentage improvement profile). It captures revised baseline energy and fuel split data and calculates the TU numerical targets by using the TU percentage targets. </w:t>
            </w:r>
          </w:p>
        </w:tc>
      </w:tr>
      <w:tr w:rsidR="00562A78" w14:paraId="0F59955E" w14:textId="77777777" w:rsidTr="0007222A">
        <w:tc>
          <w:tcPr>
            <w:tcW w:w="1980" w:type="dxa"/>
          </w:tcPr>
          <w:p w14:paraId="2037FCBE" w14:textId="311D47CD" w:rsidR="00562A78" w:rsidRDefault="00562A78" w:rsidP="00562A78">
            <w:r>
              <w:rPr>
                <w:b/>
                <w:color w:val="auto"/>
              </w:rPr>
              <w:t>Reconstructing base year to include 3/7ths</w:t>
            </w:r>
            <w:r>
              <w:rPr>
                <w:color w:val="auto"/>
              </w:rPr>
              <w:t xml:space="preserve"> </w:t>
            </w:r>
          </w:p>
        </w:tc>
        <w:tc>
          <w:tcPr>
            <w:tcW w:w="1984" w:type="dxa"/>
          </w:tcPr>
          <w:p w14:paraId="1EE7CFE1" w14:textId="4B585AEA" w:rsidR="00562A78" w:rsidRDefault="00562A78" w:rsidP="00562A78">
            <w:r>
              <w:rPr>
                <w:color w:val="auto"/>
              </w:rPr>
              <w:t xml:space="preserve">Correcting base year data </w:t>
            </w:r>
          </w:p>
        </w:tc>
        <w:tc>
          <w:tcPr>
            <w:tcW w:w="1560" w:type="dxa"/>
          </w:tcPr>
          <w:p w14:paraId="3E1EAFD3" w14:textId="63AF075C" w:rsidR="00562A78" w:rsidRPr="00FC355D" w:rsidRDefault="00562A78" w:rsidP="00562A78">
            <w:pPr>
              <w:rPr>
                <w:color w:val="0070C0"/>
              </w:rPr>
            </w:pPr>
            <w:hyperlink r:id="rId140" w:history="1">
              <w:r w:rsidRPr="00FC355D">
                <w:rPr>
                  <w:color w:val="0070C0"/>
                  <w:u w:val="single" w:color="0077B9"/>
                </w:rPr>
                <w:t>LIT</w:t>
              </w:r>
            </w:hyperlink>
            <w:hyperlink r:id="rId141" w:history="1">
              <w:r w:rsidRPr="00FC355D">
                <w:rPr>
                  <w:color w:val="0070C0"/>
                  <w:u w:val="single" w:color="0077B9"/>
                </w:rPr>
                <w:t xml:space="preserve"> </w:t>
              </w:r>
            </w:hyperlink>
            <w:hyperlink r:id="rId142" w:history="1">
              <w:r w:rsidRPr="00FC355D">
                <w:rPr>
                  <w:color w:val="0070C0"/>
                  <w:u w:val="single" w:color="0077B9"/>
                </w:rPr>
                <w:t>10081</w:t>
              </w:r>
            </w:hyperlink>
            <w:hyperlink r:id="rId143" w:history="1">
              <w:r w:rsidRPr="00FC355D">
                <w:rPr>
                  <w:color w:val="0070C0"/>
                </w:rPr>
                <w:t xml:space="preserve"> </w:t>
              </w:r>
            </w:hyperlink>
          </w:p>
        </w:tc>
        <w:tc>
          <w:tcPr>
            <w:tcW w:w="3658" w:type="dxa"/>
          </w:tcPr>
          <w:p w14:paraId="3A4BF743" w14:textId="20FCA430" w:rsidR="00562A78" w:rsidRDefault="00562A78" w:rsidP="00562A78">
            <w:r>
              <w:rPr>
                <w:color w:val="auto"/>
              </w:rPr>
              <w:t xml:space="preserve">This workbook is to reconstruct the base year performance when amending the 3/7ths provision. </w:t>
            </w:r>
          </w:p>
        </w:tc>
      </w:tr>
      <w:tr w:rsidR="00562A78" w14:paraId="13B6B1A2" w14:textId="77777777" w:rsidTr="0007222A">
        <w:tc>
          <w:tcPr>
            <w:tcW w:w="1980" w:type="dxa"/>
          </w:tcPr>
          <w:p w14:paraId="7AC3EA52" w14:textId="3248BB10" w:rsidR="00562A78" w:rsidRDefault="00562A78" w:rsidP="00562A78">
            <w:r>
              <w:rPr>
                <w:b/>
                <w:color w:val="auto"/>
              </w:rPr>
              <w:t>Reconstructing base year where eligibility crosses 70% threshold</w:t>
            </w:r>
          </w:p>
        </w:tc>
        <w:tc>
          <w:tcPr>
            <w:tcW w:w="1984" w:type="dxa"/>
          </w:tcPr>
          <w:p w14:paraId="49014E50" w14:textId="077C834C" w:rsidR="00562A78" w:rsidRDefault="00562A78" w:rsidP="00562A78">
            <w:r w:rsidRPr="00562A78">
              <w:t>Correcting base year data</w:t>
            </w:r>
          </w:p>
        </w:tc>
        <w:tc>
          <w:tcPr>
            <w:tcW w:w="1560" w:type="dxa"/>
          </w:tcPr>
          <w:p w14:paraId="52263D16" w14:textId="1906BCD7" w:rsidR="00562A78" w:rsidRPr="00FC355D" w:rsidRDefault="00562A78" w:rsidP="00562A78">
            <w:pPr>
              <w:rPr>
                <w:color w:val="0070C0"/>
              </w:rPr>
            </w:pPr>
            <w:hyperlink r:id="rId144" w:history="1">
              <w:r w:rsidRPr="00FC355D">
                <w:rPr>
                  <w:color w:val="0070C0"/>
                  <w:u w:val="single" w:color="0077B9"/>
                </w:rPr>
                <w:t>LIT</w:t>
              </w:r>
            </w:hyperlink>
            <w:hyperlink r:id="rId145" w:history="1">
              <w:r w:rsidRPr="00FC355D">
                <w:rPr>
                  <w:color w:val="0070C0"/>
                  <w:u w:val="single" w:color="0077B9"/>
                </w:rPr>
                <w:t xml:space="preserve"> </w:t>
              </w:r>
            </w:hyperlink>
            <w:hyperlink r:id="rId146" w:history="1">
              <w:r w:rsidRPr="00FC355D">
                <w:rPr>
                  <w:color w:val="0070C0"/>
                  <w:u w:val="single" w:color="0077B9"/>
                </w:rPr>
                <w:t>10082</w:t>
              </w:r>
            </w:hyperlink>
          </w:p>
        </w:tc>
        <w:tc>
          <w:tcPr>
            <w:tcW w:w="3658" w:type="dxa"/>
          </w:tcPr>
          <w:p w14:paraId="20024FA8" w14:textId="04E15591" w:rsidR="00562A78" w:rsidRDefault="00562A78" w:rsidP="00562A78">
            <w:r w:rsidRPr="00562A78">
              <w:t>This workbook is to reconstruct the base year performance where the eligibility crosses the 70% threshold due to a structural change</w:t>
            </w:r>
          </w:p>
        </w:tc>
      </w:tr>
    </w:tbl>
    <w:p w14:paraId="54234A16" w14:textId="77777777" w:rsidR="00562A78" w:rsidRDefault="00562A78">
      <w:pPr>
        <w:suppressAutoHyphens w:val="0"/>
        <w:spacing w:before="0" w:beforeAutospacing="0" w:after="160" w:afterAutospacing="0" w:line="256" w:lineRule="auto"/>
      </w:pPr>
      <w:r>
        <w:br w:type="page"/>
      </w:r>
    </w:p>
    <w:p w14:paraId="747A2D0A" w14:textId="45C4D058" w:rsidR="00026E66" w:rsidRDefault="002737EF" w:rsidP="00FF0098">
      <w:pPr>
        <w:pStyle w:val="Heading2"/>
        <w:tabs>
          <w:tab w:val="left" w:pos="0"/>
        </w:tabs>
      </w:pPr>
      <w:bookmarkStart w:id="447" w:name="_Toc95211913"/>
      <w:r>
        <w:lastRenderedPageBreak/>
        <w:t xml:space="preserve">Reporting </w:t>
      </w:r>
      <w:r w:rsidR="00E75C8E">
        <w:t>v</w:t>
      </w:r>
      <w:r>
        <w:t xml:space="preserve">ariation </w:t>
      </w:r>
      <w:r w:rsidR="00E75C8E">
        <w:t>t</w:t>
      </w:r>
      <w:r>
        <w:t>arget calculators</w:t>
      </w:r>
      <w:bookmarkEnd w:id="447"/>
      <w:r>
        <w:t xml:space="preserve"> </w:t>
      </w:r>
    </w:p>
    <w:tbl>
      <w:tblPr>
        <w:tblStyle w:val="TableGridLight"/>
        <w:tblW w:w="0" w:type="auto"/>
        <w:tblLook w:val="04A0" w:firstRow="1" w:lastRow="0" w:firstColumn="1" w:lastColumn="0" w:noHBand="0" w:noVBand="1"/>
      </w:tblPr>
      <w:tblGrid>
        <w:gridCol w:w="2122"/>
        <w:gridCol w:w="1471"/>
        <w:gridCol w:w="1505"/>
        <w:gridCol w:w="4093"/>
      </w:tblGrid>
      <w:tr w:rsidR="00562A78" w14:paraId="197C37E7" w14:textId="77777777" w:rsidTr="0007222A">
        <w:tc>
          <w:tcPr>
            <w:tcW w:w="2122" w:type="dxa"/>
          </w:tcPr>
          <w:p w14:paraId="2A436B59" w14:textId="101AC51C" w:rsidR="00562A78" w:rsidRDefault="00562A78" w:rsidP="00562A78">
            <w:r>
              <w:rPr>
                <w:b/>
                <w:color w:val="auto"/>
              </w:rPr>
              <w:t>Workbook</w:t>
            </w:r>
            <w:r>
              <w:rPr>
                <w:color w:val="auto"/>
              </w:rPr>
              <w:t xml:space="preserve"> </w:t>
            </w:r>
          </w:p>
        </w:tc>
        <w:tc>
          <w:tcPr>
            <w:tcW w:w="1471" w:type="dxa"/>
          </w:tcPr>
          <w:p w14:paraId="777A038E" w14:textId="6E086C74" w:rsidR="00562A78" w:rsidRDefault="00562A78" w:rsidP="00562A78">
            <w:r>
              <w:rPr>
                <w:b/>
                <w:color w:val="auto"/>
              </w:rPr>
              <w:t>Used for</w:t>
            </w:r>
            <w:r>
              <w:rPr>
                <w:color w:val="auto"/>
              </w:rPr>
              <w:t xml:space="preserve"> </w:t>
            </w:r>
          </w:p>
        </w:tc>
        <w:tc>
          <w:tcPr>
            <w:tcW w:w="1505" w:type="dxa"/>
          </w:tcPr>
          <w:p w14:paraId="1EE750B4" w14:textId="5435A190" w:rsidR="00562A78" w:rsidRPr="00E75C8E" w:rsidRDefault="00562A78" w:rsidP="00562A78">
            <w:pPr>
              <w:rPr>
                <w:color w:val="0070C0"/>
              </w:rPr>
            </w:pPr>
            <w:r w:rsidRPr="00E75C8E">
              <w:rPr>
                <w:b/>
                <w:color w:val="auto"/>
              </w:rPr>
              <w:t>File name</w:t>
            </w:r>
            <w:r w:rsidRPr="00E75C8E">
              <w:rPr>
                <w:color w:val="auto"/>
              </w:rPr>
              <w:t xml:space="preserve"> </w:t>
            </w:r>
          </w:p>
        </w:tc>
        <w:tc>
          <w:tcPr>
            <w:tcW w:w="4093" w:type="dxa"/>
          </w:tcPr>
          <w:p w14:paraId="2B0FD572" w14:textId="2884023B" w:rsidR="00562A78" w:rsidRDefault="00562A78" w:rsidP="00562A78">
            <w:r>
              <w:rPr>
                <w:b/>
                <w:color w:val="auto"/>
              </w:rPr>
              <w:t>Application</w:t>
            </w:r>
            <w:r>
              <w:rPr>
                <w:color w:val="auto"/>
              </w:rPr>
              <w:t xml:space="preserve"> </w:t>
            </w:r>
          </w:p>
        </w:tc>
      </w:tr>
      <w:tr w:rsidR="00562A78" w14:paraId="63BD0CBC" w14:textId="77777777" w:rsidTr="0007222A">
        <w:tc>
          <w:tcPr>
            <w:tcW w:w="2122" w:type="dxa"/>
          </w:tcPr>
          <w:p w14:paraId="4D796951" w14:textId="3AF2ADED" w:rsidR="00562A78" w:rsidRDefault="00562A78" w:rsidP="00562A78">
            <w:r>
              <w:rPr>
                <w:b/>
                <w:color w:val="auto"/>
              </w:rPr>
              <w:t>Supply disruption calculator</w:t>
            </w:r>
            <w:r>
              <w:rPr>
                <w:color w:val="auto"/>
              </w:rPr>
              <w:t xml:space="preserve"> </w:t>
            </w:r>
          </w:p>
        </w:tc>
        <w:tc>
          <w:tcPr>
            <w:tcW w:w="1471" w:type="dxa"/>
          </w:tcPr>
          <w:p w14:paraId="45CA1E72" w14:textId="0B07378A" w:rsidR="00562A78" w:rsidRDefault="00562A78" w:rsidP="00562A78">
            <w:r>
              <w:rPr>
                <w:color w:val="auto"/>
              </w:rPr>
              <w:t xml:space="preserve">Target adjustment </w:t>
            </w:r>
          </w:p>
        </w:tc>
        <w:tc>
          <w:tcPr>
            <w:tcW w:w="1505" w:type="dxa"/>
          </w:tcPr>
          <w:p w14:paraId="75FEC2F8" w14:textId="669BFD7A" w:rsidR="00562A78" w:rsidRPr="00E75C8E" w:rsidRDefault="00562A78" w:rsidP="00562A78">
            <w:pPr>
              <w:rPr>
                <w:color w:val="0070C0"/>
              </w:rPr>
            </w:pPr>
            <w:hyperlink r:id="rId147" w:history="1">
              <w:r w:rsidRPr="00E75C8E">
                <w:rPr>
                  <w:color w:val="0070C0"/>
                  <w:u w:val="single" w:color="0077B9"/>
                </w:rPr>
                <w:t>LIT</w:t>
              </w:r>
            </w:hyperlink>
            <w:hyperlink r:id="rId148" w:history="1">
              <w:r w:rsidRPr="00E75C8E">
                <w:rPr>
                  <w:color w:val="0070C0"/>
                  <w:u w:val="single" w:color="0077B9"/>
                </w:rPr>
                <w:t xml:space="preserve"> </w:t>
              </w:r>
            </w:hyperlink>
            <w:hyperlink r:id="rId149" w:history="1">
              <w:r w:rsidRPr="00E75C8E">
                <w:rPr>
                  <w:color w:val="0070C0"/>
                  <w:u w:val="single" w:color="0077B9"/>
                </w:rPr>
                <w:t>10083</w:t>
              </w:r>
            </w:hyperlink>
            <w:hyperlink r:id="rId150" w:history="1">
              <w:r w:rsidRPr="00E75C8E">
                <w:rPr>
                  <w:color w:val="0070C0"/>
                </w:rPr>
                <w:t xml:space="preserve"> </w:t>
              </w:r>
            </w:hyperlink>
          </w:p>
        </w:tc>
        <w:tc>
          <w:tcPr>
            <w:tcW w:w="4093" w:type="dxa"/>
          </w:tcPr>
          <w:p w14:paraId="498A8FD7" w14:textId="71512E6F" w:rsidR="00562A78" w:rsidRDefault="00562A78" w:rsidP="00562A78">
            <w:r>
              <w:rPr>
                <w:color w:val="auto"/>
              </w:rPr>
              <w:t xml:space="preserve">This workbook is mandatory for use in cases where an unexpected disruption in the supply of energy to a site, or an unexpected failure in on-site dedicated electricity generation has occurred. It enables the target to be adjusted in line with the extra energy associated with the disruption of power supply. </w:t>
            </w:r>
          </w:p>
        </w:tc>
      </w:tr>
      <w:tr w:rsidR="00562A78" w14:paraId="3B026F50" w14:textId="77777777" w:rsidTr="0007222A">
        <w:tc>
          <w:tcPr>
            <w:tcW w:w="2122" w:type="dxa"/>
          </w:tcPr>
          <w:p w14:paraId="669E7C22" w14:textId="386D5B52" w:rsidR="00562A78" w:rsidRDefault="00562A78" w:rsidP="00562A78">
            <w:r>
              <w:rPr>
                <w:b/>
                <w:color w:val="auto"/>
              </w:rPr>
              <w:t>Supply disruption plant shutdown example - no CHP</w:t>
            </w:r>
            <w:r>
              <w:rPr>
                <w:color w:val="auto"/>
              </w:rPr>
              <w:t xml:space="preserve"> </w:t>
            </w:r>
          </w:p>
        </w:tc>
        <w:tc>
          <w:tcPr>
            <w:tcW w:w="1471" w:type="dxa"/>
          </w:tcPr>
          <w:p w14:paraId="690D1D82" w14:textId="56553613" w:rsidR="00562A78" w:rsidRDefault="00562A78" w:rsidP="00562A78">
            <w:r>
              <w:rPr>
                <w:color w:val="auto"/>
              </w:rPr>
              <w:t xml:space="preserve">Example data and calculations </w:t>
            </w:r>
          </w:p>
        </w:tc>
        <w:tc>
          <w:tcPr>
            <w:tcW w:w="1505" w:type="dxa"/>
          </w:tcPr>
          <w:p w14:paraId="3731F96A" w14:textId="3C738319" w:rsidR="00562A78" w:rsidRPr="00E75C8E" w:rsidRDefault="00562A78" w:rsidP="00562A78">
            <w:pPr>
              <w:rPr>
                <w:color w:val="0070C0"/>
              </w:rPr>
            </w:pPr>
            <w:hyperlink r:id="rId151" w:history="1">
              <w:r w:rsidRPr="00E75C8E">
                <w:rPr>
                  <w:color w:val="0070C0"/>
                  <w:u w:val="single" w:color="0077B9"/>
                </w:rPr>
                <w:t>LIT</w:t>
              </w:r>
            </w:hyperlink>
            <w:hyperlink r:id="rId152" w:history="1">
              <w:r w:rsidRPr="00E75C8E">
                <w:rPr>
                  <w:color w:val="0070C0"/>
                  <w:u w:val="single" w:color="0077B9"/>
                </w:rPr>
                <w:t xml:space="preserve"> </w:t>
              </w:r>
            </w:hyperlink>
            <w:hyperlink r:id="rId153" w:history="1">
              <w:r w:rsidRPr="00E75C8E">
                <w:rPr>
                  <w:color w:val="0070C0"/>
                  <w:u w:val="single" w:color="0077B9"/>
                </w:rPr>
                <w:t>10084</w:t>
              </w:r>
            </w:hyperlink>
            <w:hyperlink r:id="rId154" w:history="1">
              <w:r w:rsidRPr="00E75C8E">
                <w:rPr>
                  <w:color w:val="0070C0"/>
                </w:rPr>
                <w:t xml:space="preserve"> </w:t>
              </w:r>
            </w:hyperlink>
          </w:p>
        </w:tc>
        <w:tc>
          <w:tcPr>
            <w:tcW w:w="4093" w:type="dxa"/>
          </w:tcPr>
          <w:p w14:paraId="133A34A6" w14:textId="40E03141" w:rsidR="00562A78" w:rsidRDefault="00562A78" w:rsidP="00562A78">
            <w:r>
              <w:rPr>
                <w:color w:val="auto"/>
              </w:rPr>
              <w:t xml:space="preserve">This workbook provides an example of data to be collected and calculations to be undertaken in cases where a supply disruption has occurred at a plant with no CHP. </w:t>
            </w:r>
          </w:p>
        </w:tc>
      </w:tr>
      <w:tr w:rsidR="00562A78" w14:paraId="0B6830BD" w14:textId="77777777" w:rsidTr="0007222A">
        <w:tc>
          <w:tcPr>
            <w:tcW w:w="2122" w:type="dxa"/>
          </w:tcPr>
          <w:p w14:paraId="677533F1" w14:textId="6AEC93D2" w:rsidR="00562A78" w:rsidRDefault="00562A78" w:rsidP="00562A78">
            <w:r>
              <w:rPr>
                <w:b/>
                <w:color w:val="auto"/>
              </w:rPr>
              <w:t>Supply disruption plant shutdown example - CHP</w:t>
            </w:r>
            <w:r>
              <w:rPr>
                <w:color w:val="auto"/>
              </w:rPr>
              <w:t xml:space="preserve"> </w:t>
            </w:r>
          </w:p>
        </w:tc>
        <w:tc>
          <w:tcPr>
            <w:tcW w:w="1471" w:type="dxa"/>
          </w:tcPr>
          <w:p w14:paraId="16568343" w14:textId="10EFD322" w:rsidR="00562A78" w:rsidRDefault="00562A78" w:rsidP="00562A78">
            <w:r>
              <w:rPr>
                <w:color w:val="auto"/>
              </w:rPr>
              <w:t xml:space="preserve">Example data and calculations </w:t>
            </w:r>
          </w:p>
        </w:tc>
        <w:tc>
          <w:tcPr>
            <w:tcW w:w="1505" w:type="dxa"/>
          </w:tcPr>
          <w:p w14:paraId="0FF66B99" w14:textId="6999F82F" w:rsidR="00562A78" w:rsidRPr="00E75C8E" w:rsidRDefault="00562A78" w:rsidP="00562A78">
            <w:pPr>
              <w:rPr>
                <w:color w:val="0070C0"/>
              </w:rPr>
            </w:pPr>
            <w:hyperlink r:id="rId155" w:history="1">
              <w:r w:rsidRPr="00E75C8E">
                <w:rPr>
                  <w:color w:val="0070C0"/>
                  <w:u w:val="single" w:color="0077B9"/>
                </w:rPr>
                <w:t>LIT</w:t>
              </w:r>
            </w:hyperlink>
            <w:hyperlink r:id="rId156" w:history="1">
              <w:r w:rsidRPr="00E75C8E">
                <w:rPr>
                  <w:color w:val="0070C0"/>
                  <w:u w:val="single" w:color="0077B9"/>
                </w:rPr>
                <w:t xml:space="preserve"> </w:t>
              </w:r>
            </w:hyperlink>
            <w:hyperlink r:id="rId157" w:history="1">
              <w:r w:rsidRPr="00E75C8E">
                <w:rPr>
                  <w:color w:val="0070C0"/>
                  <w:u w:val="single" w:color="0077B9"/>
                </w:rPr>
                <w:t>10085</w:t>
              </w:r>
            </w:hyperlink>
            <w:hyperlink r:id="rId158" w:history="1">
              <w:r w:rsidRPr="00E75C8E">
                <w:rPr>
                  <w:color w:val="0070C0"/>
                </w:rPr>
                <w:t xml:space="preserve"> </w:t>
              </w:r>
            </w:hyperlink>
          </w:p>
        </w:tc>
        <w:tc>
          <w:tcPr>
            <w:tcW w:w="4093" w:type="dxa"/>
          </w:tcPr>
          <w:p w14:paraId="7B8A8047" w14:textId="5BD08C96" w:rsidR="00562A78" w:rsidRDefault="00562A78" w:rsidP="00562A78">
            <w:r>
              <w:rPr>
                <w:color w:val="auto"/>
              </w:rPr>
              <w:t xml:space="preserve">This workbook provides an example of data to be collected and calculations to be undertaken in cases where a supply disruption has occurred at a plant with CHP. </w:t>
            </w:r>
          </w:p>
        </w:tc>
      </w:tr>
      <w:tr w:rsidR="00562A78" w14:paraId="380FD18B" w14:textId="77777777" w:rsidTr="0007222A">
        <w:tc>
          <w:tcPr>
            <w:tcW w:w="2122" w:type="dxa"/>
          </w:tcPr>
          <w:p w14:paraId="37226966" w14:textId="0EC09D83" w:rsidR="00562A78" w:rsidRDefault="00562A78" w:rsidP="00562A78">
            <w:r>
              <w:rPr>
                <w:b/>
                <w:color w:val="auto"/>
              </w:rPr>
              <w:t>Fall in throughput for absolute target unit</w:t>
            </w:r>
            <w:r>
              <w:rPr>
                <w:color w:val="auto"/>
              </w:rPr>
              <w:t xml:space="preserve"> </w:t>
            </w:r>
          </w:p>
        </w:tc>
        <w:tc>
          <w:tcPr>
            <w:tcW w:w="1471" w:type="dxa"/>
          </w:tcPr>
          <w:p w14:paraId="3E32445F" w14:textId="0E6771B3" w:rsidR="00562A78" w:rsidRDefault="00562A78" w:rsidP="00562A78">
            <w:r>
              <w:rPr>
                <w:color w:val="auto"/>
              </w:rPr>
              <w:t xml:space="preserve">Target adjustment </w:t>
            </w:r>
          </w:p>
        </w:tc>
        <w:tc>
          <w:tcPr>
            <w:tcW w:w="1505" w:type="dxa"/>
          </w:tcPr>
          <w:p w14:paraId="2975D3F1" w14:textId="3B1E3A41" w:rsidR="00562A78" w:rsidRPr="00E75C8E" w:rsidRDefault="00562A78" w:rsidP="00562A78">
            <w:pPr>
              <w:rPr>
                <w:color w:val="0070C0"/>
              </w:rPr>
            </w:pPr>
            <w:hyperlink r:id="rId159" w:history="1">
              <w:r w:rsidRPr="00E75C8E">
                <w:rPr>
                  <w:color w:val="0070C0"/>
                  <w:u w:val="single" w:color="0077B9"/>
                </w:rPr>
                <w:t>LIT</w:t>
              </w:r>
            </w:hyperlink>
            <w:hyperlink r:id="rId160" w:history="1">
              <w:r w:rsidRPr="00E75C8E">
                <w:rPr>
                  <w:color w:val="0070C0"/>
                  <w:u w:val="single" w:color="0077B9"/>
                </w:rPr>
                <w:t xml:space="preserve"> </w:t>
              </w:r>
            </w:hyperlink>
            <w:hyperlink r:id="rId161" w:history="1">
              <w:r w:rsidRPr="00E75C8E">
                <w:rPr>
                  <w:color w:val="0070C0"/>
                  <w:u w:val="single" w:color="0077B9"/>
                </w:rPr>
                <w:t>10086</w:t>
              </w:r>
            </w:hyperlink>
            <w:hyperlink r:id="rId162" w:history="1">
              <w:r w:rsidRPr="00E75C8E">
                <w:rPr>
                  <w:color w:val="0070C0"/>
                </w:rPr>
                <w:t xml:space="preserve"> </w:t>
              </w:r>
            </w:hyperlink>
          </w:p>
        </w:tc>
        <w:tc>
          <w:tcPr>
            <w:tcW w:w="4093" w:type="dxa"/>
          </w:tcPr>
          <w:p w14:paraId="28509FD1" w14:textId="552F5493" w:rsidR="00562A78" w:rsidRDefault="00562A78" w:rsidP="00562A78">
            <w:r>
              <w:rPr>
                <w:color w:val="auto"/>
              </w:rPr>
              <w:t xml:space="preserve">This workbook is for target adjustment in cases where the throughput of an absolute target unit falls by more than 10% of twice the base year throughput. </w:t>
            </w:r>
          </w:p>
        </w:tc>
      </w:tr>
      <w:tr w:rsidR="00562A78" w14:paraId="38E202F2" w14:textId="77777777" w:rsidTr="0007222A">
        <w:tc>
          <w:tcPr>
            <w:tcW w:w="2122" w:type="dxa"/>
          </w:tcPr>
          <w:p w14:paraId="51E69950" w14:textId="35AB4841" w:rsidR="00562A78" w:rsidRDefault="00562A78" w:rsidP="00562A78">
            <w:r>
              <w:rPr>
                <w:b/>
                <w:color w:val="auto"/>
              </w:rPr>
              <w:t>Fall in throughput for absolute target unit - Example method 1</w:t>
            </w:r>
            <w:r>
              <w:rPr>
                <w:color w:val="auto"/>
              </w:rPr>
              <w:t xml:space="preserve"> </w:t>
            </w:r>
          </w:p>
        </w:tc>
        <w:tc>
          <w:tcPr>
            <w:tcW w:w="1471" w:type="dxa"/>
          </w:tcPr>
          <w:p w14:paraId="16946769" w14:textId="06FFA921" w:rsidR="00562A78" w:rsidRDefault="00562A78" w:rsidP="00562A78">
            <w:r>
              <w:rPr>
                <w:color w:val="auto"/>
              </w:rPr>
              <w:t xml:space="preserve">Example data and calculations </w:t>
            </w:r>
          </w:p>
        </w:tc>
        <w:tc>
          <w:tcPr>
            <w:tcW w:w="1505" w:type="dxa"/>
          </w:tcPr>
          <w:p w14:paraId="564FD659" w14:textId="373A1DCE" w:rsidR="00562A78" w:rsidRPr="00E75C8E" w:rsidRDefault="00562A78" w:rsidP="00562A78">
            <w:pPr>
              <w:rPr>
                <w:color w:val="0070C0"/>
              </w:rPr>
            </w:pPr>
            <w:hyperlink r:id="rId163" w:history="1">
              <w:r w:rsidRPr="00E75C8E">
                <w:rPr>
                  <w:color w:val="0070C0"/>
                  <w:u w:val="single" w:color="0077B9"/>
                </w:rPr>
                <w:t>LIT</w:t>
              </w:r>
            </w:hyperlink>
            <w:hyperlink r:id="rId164" w:history="1">
              <w:r w:rsidRPr="00E75C8E">
                <w:rPr>
                  <w:color w:val="0070C0"/>
                  <w:u w:val="single" w:color="0077B9"/>
                </w:rPr>
                <w:t xml:space="preserve"> </w:t>
              </w:r>
            </w:hyperlink>
            <w:hyperlink r:id="rId165" w:history="1">
              <w:r w:rsidRPr="00E75C8E">
                <w:rPr>
                  <w:color w:val="0070C0"/>
                  <w:u w:val="single" w:color="0077B9"/>
                </w:rPr>
                <w:t>10087</w:t>
              </w:r>
            </w:hyperlink>
            <w:hyperlink r:id="rId166" w:history="1">
              <w:r w:rsidRPr="00E75C8E">
                <w:rPr>
                  <w:color w:val="0070C0"/>
                </w:rPr>
                <w:t xml:space="preserve"> </w:t>
              </w:r>
            </w:hyperlink>
          </w:p>
        </w:tc>
        <w:tc>
          <w:tcPr>
            <w:tcW w:w="4093" w:type="dxa"/>
          </w:tcPr>
          <w:p w14:paraId="4FDEFECE" w14:textId="628F3F88" w:rsidR="00562A78" w:rsidRDefault="00562A78" w:rsidP="00562A78">
            <w:r>
              <w:rPr>
                <w:color w:val="auto"/>
              </w:rPr>
              <w:t xml:space="preserve">This workbook provides an example of the use of adjustment method 1 for situations where an absolute target has experienced a drop in throughput of more than 10% of twice the base year throughput. </w:t>
            </w:r>
          </w:p>
        </w:tc>
      </w:tr>
      <w:tr w:rsidR="00562A78" w14:paraId="22F6ACD6" w14:textId="77777777" w:rsidTr="0007222A">
        <w:tc>
          <w:tcPr>
            <w:tcW w:w="2122" w:type="dxa"/>
          </w:tcPr>
          <w:p w14:paraId="5197DD26" w14:textId="2A473D2E" w:rsidR="00562A78" w:rsidRDefault="00562A78" w:rsidP="00562A78">
            <w:r>
              <w:rPr>
                <w:b/>
                <w:color w:val="auto"/>
              </w:rPr>
              <w:t>Fall in throughput for absolute target unit - Example method 2</w:t>
            </w:r>
            <w:r>
              <w:rPr>
                <w:color w:val="auto"/>
              </w:rPr>
              <w:t xml:space="preserve"> </w:t>
            </w:r>
          </w:p>
        </w:tc>
        <w:tc>
          <w:tcPr>
            <w:tcW w:w="1471" w:type="dxa"/>
          </w:tcPr>
          <w:p w14:paraId="4A0BCF79" w14:textId="0A02C922" w:rsidR="00562A78" w:rsidRDefault="00562A78" w:rsidP="00562A78">
            <w:r>
              <w:rPr>
                <w:color w:val="auto"/>
              </w:rPr>
              <w:t xml:space="preserve">Example data and calculations </w:t>
            </w:r>
          </w:p>
        </w:tc>
        <w:tc>
          <w:tcPr>
            <w:tcW w:w="1505" w:type="dxa"/>
          </w:tcPr>
          <w:p w14:paraId="42233889" w14:textId="3F4F45E4" w:rsidR="00562A78" w:rsidRPr="00E75C8E" w:rsidRDefault="00562A78" w:rsidP="00562A78">
            <w:pPr>
              <w:rPr>
                <w:color w:val="0070C0"/>
              </w:rPr>
            </w:pPr>
            <w:hyperlink r:id="rId167" w:history="1">
              <w:r w:rsidRPr="00E75C8E">
                <w:rPr>
                  <w:color w:val="0070C0"/>
                  <w:u w:val="single" w:color="0077B9"/>
                </w:rPr>
                <w:t>LIT</w:t>
              </w:r>
            </w:hyperlink>
            <w:hyperlink r:id="rId168" w:history="1">
              <w:r w:rsidRPr="00E75C8E">
                <w:rPr>
                  <w:color w:val="0070C0"/>
                  <w:u w:val="single" w:color="0077B9"/>
                </w:rPr>
                <w:t xml:space="preserve"> </w:t>
              </w:r>
            </w:hyperlink>
            <w:hyperlink r:id="rId169" w:history="1">
              <w:r w:rsidRPr="00E75C8E">
                <w:rPr>
                  <w:color w:val="0070C0"/>
                  <w:u w:val="single" w:color="0077B9"/>
                </w:rPr>
                <w:t>10088</w:t>
              </w:r>
            </w:hyperlink>
            <w:hyperlink r:id="rId170" w:history="1">
              <w:r w:rsidRPr="00E75C8E">
                <w:rPr>
                  <w:color w:val="0070C0"/>
                </w:rPr>
                <w:t xml:space="preserve"> </w:t>
              </w:r>
            </w:hyperlink>
          </w:p>
        </w:tc>
        <w:tc>
          <w:tcPr>
            <w:tcW w:w="4093" w:type="dxa"/>
          </w:tcPr>
          <w:p w14:paraId="5C3CC8F8" w14:textId="769683F8" w:rsidR="00562A78" w:rsidRDefault="00562A78" w:rsidP="00562A78">
            <w:r>
              <w:rPr>
                <w:color w:val="auto"/>
              </w:rPr>
              <w:t xml:space="preserve">This workbook provides an example of the use of adjustment method 2 for situations where an absolute target has experienced a drop in throughput of more than 10% of twice the base year throughput. </w:t>
            </w:r>
          </w:p>
        </w:tc>
      </w:tr>
    </w:tbl>
    <w:p w14:paraId="5187E529" w14:textId="77777777" w:rsidR="00562A78" w:rsidRDefault="00562A78">
      <w:pPr>
        <w:suppressAutoHyphens w:val="0"/>
        <w:spacing w:before="0" w:beforeAutospacing="0" w:after="160" w:afterAutospacing="0" w:line="256" w:lineRule="auto"/>
      </w:pPr>
      <w:bookmarkStart w:id="448" w:name="_Toc95211914"/>
      <w:r>
        <w:br w:type="page"/>
      </w:r>
    </w:p>
    <w:p w14:paraId="29D4C9DE" w14:textId="656F26F7" w:rsidR="00026E66" w:rsidRDefault="002737EF" w:rsidP="00FF0098">
      <w:pPr>
        <w:pStyle w:val="Heading2"/>
        <w:tabs>
          <w:tab w:val="left" w:pos="0"/>
        </w:tabs>
      </w:pPr>
      <w:r>
        <w:lastRenderedPageBreak/>
        <w:t>Reporting spreadsheet templates</w:t>
      </w:r>
      <w:bookmarkEnd w:id="448"/>
      <w:r>
        <w:t xml:space="preserve"> </w:t>
      </w:r>
    </w:p>
    <w:tbl>
      <w:tblPr>
        <w:tblStyle w:val="TableGridLight"/>
        <w:tblW w:w="0" w:type="auto"/>
        <w:tblLook w:val="04A0" w:firstRow="1" w:lastRow="0" w:firstColumn="1" w:lastColumn="0" w:noHBand="0" w:noVBand="1"/>
      </w:tblPr>
      <w:tblGrid>
        <w:gridCol w:w="1980"/>
        <w:gridCol w:w="1701"/>
        <w:gridCol w:w="1701"/>
        <w:gridCol w:w="3800"/>
      </w:tblGrid>
      <w:tr w:rsidR="00562A78" w14:paraId="5B504876" w14:textId="77777777" w:rsidTr="0007222A">
        <w:tc>
          <w:tcPr>
            <w:tcW w:w="1980" w:type="dxa"/>
          </w:tcPr>
          <w:p w14:paraId="1EC826E9" w14:textId="38EBAC68" w:rsidR="00562A78" w:rsidRDefault="00562A78" w:rsidP="00562A78">
            <w:r>
              <w:rPr>
                <w:b/>
                <w:color w:val="auto"/>
              </w:rPr>
              <w:t>Workbook</w:t>
            </w:r>
          </w:p>
        </w:tc>
        <w:tc>
          <w:tcPr>
            <w:tcW w:w="1701" w:type="dxa"/>
          </w:tcPr>
          <w:p w14:paraId="7F8986DE" w14:textId="637370DB" w:rsidR="00562A78" w:rsidRDefault="00562A78" w:rsidP="00562A78">
            <w:r>
              <w:rPr>
                <w:b/>
                <w:color w:val="auto"/>
              </w:rPr>
              <w:t>Used for</w:t>
            </w:r>
          </w:p>
        </w:tc>
        <w:tc>
          <w:tcPr>
            <w:tcW w:w="1701" w:type="dxa"/>
          </w:tcPr>
          <w:p w14:paraId="5A07E4C3" w14:textId="64D906A0" w:rsidR="00562A78" w:rsidRPr="00E75C8E" w:rsidRDefault="00562A78" w:rsidP="00562A78">
            <w:pPr>
              <w:rPr>
                <w:color w:val="0070C0"/>
              </w:rPr>
            </w:pPr>
            <w:r w:rsidRPr="00E75C8E">
              <w:rPr>
                <w:b/>
                <w:color w:val="auto"/>
              </w:rPr>
              <w:t>File name</w:t>
            </w:r>
          </w:p>
        </w:tc>
        <w:tc>
          <w:tcPr>
            <w:tcW w:w="3800" w:type="dxa"/>
          </w:tcPr>
          <w:p w14:paraId="7BDFFF41" w14:textId="688F70A0" w:rsidR="00562A78" w:rsidRDefault="00562A78" w:rsidP="00562A78">
            <w:r>
              <w:rPr>
                <w:b/>
                <w:color w:val="auto"/>
              </w:rPr>
              <w:t>Application</w:t>
            </w:r>
          </w:p>
        </w:tc>
      </w:tr>
      <w:tr w:rsidR="00562A78" w14:paraId="705BD0A3" w14:textId="77777777" w:rsidTr="0007222A">
        <w:tc>
          <w:tcPr>
            <w:tcW w:w="1980" w:type="dxa"/>
          </w:tcPr>
          <w:p w14:paraId="31F8CDC8" w14:textId="62BEAE33" w:rsidR="00562A78" w:rsidRDefault="00562A78" w:rsidP="00562A78">
            <w:r>
              <w:rPr>
                <w:b/>
                <w:color w:val="auto"/>
              </w:rPr>
              <w:t>Absolute energy reporting template</w:t>
            </w:r>
            <w:r>
              <w:rPr>
                <w:color w:val="auto"/>
              </w:rPr>
              <w:t xml:space="preserve"> </w:t>
            </w:r>
          </w:p>
        </w:tc>
        <w:tc>
          <w:tcPr>
            <w:tcW w:w="1701" w:type="dxa"/>
          </w:tcPr>
          <w:p w14:paraId="30FB2F40" w14:textId="482DD389" w:rsidR="00562A78" w:rsidRDefault="00562A78" w:rsidP="00562A78">
            <w:r>
              <w:rPr>
                <w:color w:val="auto"/>
              </w:rPr>
              <w:t xml:space="preserve">Reporting </w:t>
            </w:r>
          </w:p>
        </w:tc>
        <w:tc>
          <w:tcPr>
            <w:tcW w:w="1701" w:type="dxa"/>
          </w:tcPr>
          <w:p w14:paraId="2F506991" w14:textId="767B8BF3" w:rsidR="00562A78" w:rsidRPr="00E75C8E" w:rsidRDefault="00562A78" w:rsidP="00562A78">
            <w:pPr>
              <w:rPr>
                <w:color w:val="0070C0"/>
              </w:rPr>
            </w:pPr>
            <w:hyperlink r:id="rId171" w:history="1">
              <w:r w:rsidRPr="00E75C8E">
                <w:rPr>
                  <w:color w:val="0070C0"/>
                  <w:u w:val="single" w:color="0077B9"/>
                </w:rPr>
                <w:t>LIT</w:t>
              </w:r>
            </w:hyperlink>
            <w:hyperlink r:id="rId172" w:history="1">
              <w:r w:rsidRPr="00E75C8E">
                <w:rPr>
                  <w:color w:val="0070C0"/>
                  <w:u w:val="single" w:color="0077B9"/>
                </w:rPr>
                <w:t xml:space="preserve"> </w:t>
              </w:r>
            </w:hyperlink>
            <w:hyperlink r:id="rId173" w:history="1">
              <w:r w:rsidRPr="00E75C8E">
                <w:rPr>
                  <w:color w:val="0070C0"/>
                  <w:u w:val="single" w:color="0077B9"/>
                </w:rPr>
                <w:t>10089</w:t>
              </w:r>
            </w:hyperlink>
            <w:hyperlink r:id="rId174" w:history="1">
              <w:r w:rsidRPr="00E75C8E">
                <w:rPr>
                  <w:color w:val="0070C0"/>
                </w:rPr>
                <w:t xml:space="preserve"> </w:t>
              </w:r>
            </w:hyperlink>
          </w:p>
        </w:tc>
        <w:tc>
          <w:tcPr>
            <w:tcW w:w="3800" w:type="dxa"/>
          </w:tcPr>
          <w:p w14:paraId="3AEEA5CF" w14:textId="5A6EA331" w:rsidR="00562A78" w:rsidRDefault="00562A78" w:rsidP="00562A78">
            <w:r>
              <w:rPr>
                <w:color w:val="auto"/>
              </w:rPr>
              <w:t xml:space="preserve">This workbook is for target units with absolute energy targets to use for target period reporting. </w:t>
            </w:r>
          </w:p>
        </w:tc>
      </w:tr>
      <w:tr w:rsidR="00562A78" w14:paraId="09B99DEC" w14:textId="77777777" w:rsidTr="0007222A">
        <w:tc>
          <w:tcPr>
            <w:tcW w:w="1980" w:type="dxa"/>
          </w:tcPr>
          <w:p w14:paraId="0D5FE046" w14:textId="1D57217E" w:rsidR="00562A78" w:rsidRDefault="00562A78" w:rsidP="00562A78">
            <w:r>
              <w:rPr>
                <w:b/>
                <w:color w:val="auto"/>
              </w:rPr>
              <w:t>Relative energy reporting template</w:t>
            </w:r>
            <w:r>
              <w:rPr>
                <w:color w:val="auto"/>
              </w:rPr>
              <w:t xml:space="preserve"> </w:t>
            </w:r>
          </w:p>
        </w:tc>
        <w:tc>
          <w:tcPr>
            <w:tcW w:w="1701" w:type="dxa"/>
          </w:tcPr>
          <w:p w14:paraId="322B9600" w14:textId="32ACAF79" w:rsidR="00562A78" w:rsidRDefault="00562A78" w:rsidP="00562A78">
            <w:r>
              <w:rPr>
                <w:color w:val="auto"/>
              </w:rPr>
              <w:t xml:space="preserve">Reporting </w:t>
            </w:r>
          </w:p>
        </w:tc>
        <w:tc>
          <w:tcPr>
            <w:tcW w:w="1701" w:type="dxa"/>
          </w:tcPr>
          <w:p w14:paraId="4D265D29" w14:textId="116546DE" w:rsidR="00562A78" w:rsidRPr="00E75C8E" w:rsidRDefault="00562A78" w:rsidP="00562A78">
            <w:pPr>
              <w:rPr>
                <w:color w:val="0070C0"/>
              </w:rPr>
            </w:pPr>
            <w:hyperlink r:id="rId175" w:history="1">
              <w:r w:rsidRPr="00E75C8E">
                <w:rPr>
                  <w:color w:val="0070C0"/>
                  <w:u w:val="single" w:color="0077B9"/>
                </w:rPr>
                <w:t>LIT</w:t>
              </w:r>
            </w:hyperlink>
            <w:hyperlink r:id="rId176" w:history="1">
              <w:r w:rsidRPr="00E75C8E">
                <w:rPr>
                  <w:color w:val="0070C0"/>
                  <w:u w:val="single" w:color="0077B9"/>
                </w:rPr>
                <w:t xml:space="preserve"> </w:t>
              </w:r>
            </w:hyperlink>
            <w:hyperlink r:id="rId177" w:history="1">
              <w:r w:rsidRPr="00E75C8E">
                <w:rPr>
                  <w:color w:val="0070C0"/>
                  <w:u w:val="single" w:color="0077B9"/>
                </w:rPr>
                <w:t>10090</w:t>
              </w:r>
            </w:hyperlink>
            <w:hyperlink r:id="rId178" w:history="1">
              <w:r w:rsidRPr="00E75C8E">
                <w:rPr>
                  <w:color w:val="0070C0"/>
                </w:rPr>
                <w:t xml:space="preserve"> </w:t>
              </w:r>
            </w:hyperlink>
          </w:p>
        </w:tc>
        <w:tc>
          <w:tcPr>
            <w:tcW w:w="3800" w:type="dxa"/>
          </w:tcPr>
          <w:p w14:paraId="53D0BB98" w14:textId="6451F27B" w:rsidR="00562A78" w:rsidRDefault="00562A78" w:rsidP="00562A78">
            <w:r>
              <w:rPr>
                <w:color w:val="auto"/>
              </w:rPr>
              <w:t xml:space="preserve">This workbook is for target units with relative energy targets to use for target period reporting. </w:t>
            </w:r>
          </w:p>
        </w:tc>
      </w:tr>
      <w:tr w:rsidR="00562A78" w14:paraId="2F0C9074" w14:textId="77777777" w:rsidTr="0007222A">
        <w:tc>
          <w:tcPr>
            <w:tcW w:w="1980" w:type="dxa"/>
          </w:tcPr>
          <w:p w14:paraId="30EC2932" w14:textId="72D6B147" w:rsidR="00562A78" w:rsidRDefault="00562A78" w:rsidP="00562A78">
            <w:r>
              <w:rPr>
                <w:b/>
                <w:color w:val="auto"/>
              </w:rPr>
              <w:t>Novem carbon reporting template</w:t>
            </w:r>
            <w:r>
              <w:rPr>
                <w:color w:val="auto"/>
              </w:rPr>
              <w:t xml:space="preserve"> </w:t>
            </w:r>
          </w:p>
        </w:tc>
        <w:tc>
          <w:tcPr>
            <w:tcW w:w="1701" w:type="dxa"/>
          </w:tcPr>
          <w:p w14:paraId="6EF5416C" w14:textId="315BEAA1" w:rsidR="00562A78" w:rsidRDefault="00562A78" w:rsidP="00562A78">
            <w:r>
              <w:rPr>
                <w:color w:val="auto"/>
              </w:rPr>
              <w:t xml:space="preserve">Reporting </w:t>
            </w:r>
          </w:p>
        </w:tc>
        <w:tc>
          <w:tcPr>
            <w:tcW w:w="1701" w:type="dxa"/>
          </w:tcPr>
          <w:p w14:paraId="51DBB967" w14:textId="0F6B52FA" w:rsidR="00562A78" w:rsidRPr="00E75C8E" w:rsidRDefault="00562A78" w:rsidP="00562A78">
            <w:pPr>
              <w:rPr>
                <w:color w:val="0070C0"/>
              </w:rPr>
            </w:pPr>
            <w:hyperlink r:id="rId179" w:history="1">
              <w:r w:rsidRPr="00E75C8E">
                <w:rPr>
                  <w:color w:val="0070C0"/>
                  <w:u w:val="single" w:color="0077B9"/>
                </w:rPr>
                <w:t>LIT</w:t>
              </w:r>
            </w:hyperlink>
            <w:hyperlink r:id="rId180" w:history="1">
              <w:r w:rsidRPr="00E75C8E">
                <w:rPr>
                  <w:color w:val="0070C0"/>
                  <w:u w:val="single" w:color="0077B9"/>
                </w:rPr>
                <w:t xml:space="preserve"> </w:t>
              </w:r>
            </w:hyperlink>
            <w:hyperlink r:id="rId181" w:history="1">
              <w:r w:rsidRPr="00E75C8E">
                <w:rPr>
                  <w:color w:val="0070C0"/>
                  <w:u w:val="single" w:color="0077B9"/>
                </w:rPr>
                <w:t>10091</w:t>
              </w:r>
            </w:hyperlink>
            <w:hyperlink r:id="rId182" w:history="1">
              <w:r w:rsidRPr="00E75C8E">
                <w:rPr>
                  <w:color w:val="0070C0"/>
                </w:rPr>
                <w:t xml:space="preserve"> </w:t>
              </w:r>
            </w:hyperlink>
          </w:p>
        </w:tc>
        <w:tc>
          <w:tcPr>
            <w:tcW w:w="3800" w:type="dxa"/>
          </w:tcPr>
          <w:p w14:paraId="75649748" w14:textId="23D69F20" w:rsidR="00562A78" w:rsidRDefault="00562A78" w:rsidP="00562A78">
            <w:r>
              <w:rPr>
                <w:color w:val="auto"/>
              </w:rPr>
              <w:t xml:space="preserve">This workbook is for target units with Novem carbon targets to use for target period reporting. </w:t>
            </w:r>
          </w:p>
        </w:tc>
      </w:tr>
      <w:tr w:rsidR="00562A78" w14:paraId="0E95B048" w14:textId="77777777" w:rsidTr="0007222A">
        <w:tc>
          <w:tcPr>
            <w:tcW w:w="1980" w:type="dxa"/>
          </w:tcPr>
          <w:p w14:paraId="100E902E" w14:textId="04C6358E" w:rsidR="00562A78" w:rsidRDefault="00562A78" w:rsidP="00562A78">
            <w:r>
              <w:rPr>
                <w:b/>
                <w:color w:val="auto"/>
              </w:rPr>
              <w:t>Novem energy reporting template</w:t>
            </w:r>
            <w:r>
              <w:rPr>
                <w:color w:val="auto"/>
              </w:rPr>
              <w:t xml:space="preserve"> </w:t>
            </w:r>
          </w:p>
        </w:tc>
        <w:tc>
          <w:tcPr>
            <w:tcW w:w="1701" w:type="dxa"/>
          </w:tcPr>
          <w:p w14:paraId="19BDE69E" w14:textId="43014727" w:rsidR="00562A78" w:rsidRDefault="00562A78" w:rsidP="00562A78">
            <w:r>
              <w:rPr>
                <w:color w:val="auto"/>
              </w:rPr>
              <w:t xml:space="preserve">Reporting </w:t>
            </w:r>
          </w:p>
        </w:tc>
        <w:tc>
          <w:tcPr>
            <w:tcW w:w="1701" w:type="dxa"/>
          </w:tcPr>
          <w:p w14:paraId="2544EDD4" w14:textId="6E7450CC" w:rsidR="00562A78" w:rsidRPr="00E75C8E" w:rsidRDefault="00562A78" w:rsidP="00562A78">
            <w:pPr>
              <w:rPr>
                <w:color w:val="0070C0"/>
              </w:rPr>
            </w:pPr>
            <w:hyperlink r:id="rId183" w:history="1">
              <w:r w:rsidRPr="00E75C8E">
                <w:rPr>
                  <w:color w:val="0070C0"/>
                  <w:u w:val="single" w:color="0077B9"/>
                </w:rPr>
                <w:t>LIT</w:t>
              </w:r>
            </w:hyperlink>
            <w:hyperlink r:id="rId184" w:history="1">
              <w:r w:rsidRPr="00E75C8E">
                <w:rPr>
                  <w:color w:val="0070C0"/>
                  <w:u w:val="single" w:color="0077B9"/>
                </w:rPr>
                <w:t xml:space="preserve"> </w:t>
              </w:r>
            </w:hyperlink>
            <w:hyperlink r:id="rId185" w:history="1">
              <w:r w:rsidRPr="00E75C8E">
                <w:rPr>
                  <w:color w:val="0070C0"/>
                  <w:u w:val="single" w:color="0077B9"/>
                </w:rPr>
                <w:t>10092</w:t>
              </w:r>
            </w:hyperlink>
            <w:hyperlink r:id="rId186" w:history="1">
              <w:r w:rsidRPr="00E75C8E">
                <w:rPr>
                  <w:color w:val="0070C0"/>
                </w:rPr>
                <w:t xml:space="preserve"> </w:t>
              </w:r>
            </w:hyperlink>
          </w:p>
        </w:tc>
        <w:tc>
          <w:tcPr>
            <w:tcW w:w="3800" w:type="dxa"/>
          </w:tcPr>
          <w:p w14:paraId="60649ADB" w14:textId="3BC9BD41" w:rsidR="00562A78" w:rsidRDefault="00562A78" w:rsidP="00562A78">
            <w:r>
              <w:rPr>
                <w:color w:val="auto"/>
              </w:rPr>
              <w:t xml:space="preserve">This workbook is for target units with Novem energy targets to use for target period reporting. </w:t>
            </w:r>
          </w:p>
        </w:tc>
      </w:tr>
    </w:tbl>
    <w:p w14:paraId="03C3E492" w14:textId="77777777" w:rsidR="00562A78" w:rsidRDefault="00562A78">
      <w:pPr>
        <w:suppressAutoHyphens w:val="0"/>
        <w:spacing w:before="0" w:beforeAutospacing="0" w:after="160" w:afterAutospacing="0" w:line="256" w:lineRule="auto"/>
      </w:pPr>
      <w:r>
        <w:br w:type="page"/>
      </w:r>
    </w:p>
    <w:p w14:paraId="2ABD9082" w14:textId="78780B9A" w:rsidR="00026E66" w:rsidRDefault="002737EF" w:rsidP="00FF0098">
      <w:pPr>
        <w:pStyle w:val="Heading1"/>
        <w:tabs>
          <w:tab w:val="left" w:pos="0"/>
        </w:tabs>
      </w:pPr>
      <w:bookmarkStart w:id="449" w:name="_Appendix_I:_The"/>
      <w:bookmarkStart w:id="450" w:name="_Toc94718695"/>
      <w:bookmarkStart w:id="451" w:name="_Toc94088943"/>
      <w:bookmarkStart w:id="452" w:name="_Toc95211915"/>
      <w:bookmarkEnd w:id="449"/>
      <w:r>
        <w:lastRenderedPageBreak/>
        <w:t xml:space="preserve">Appendix I: The </w:t>
      </w:r>
      <w:r w:rsidR="00064719">
        <w:t>r</w:t>
      </w:r>
      <w:r>
        <w:t xml:space="preserve">eporting </w:t>
      </w:r>
      <w:r w:rsidR="00064719">
        <w:t>w</w:t>
      </w:r>
      <w:r>
        <w:t>orkbook</w:t>
      </w:r>
      <w:bookmarkEnd w:id="450"/>
      <w:bookmarkEnd w:id="451"/>
      <w:bookmarkEnd w:id="452"/>
    </w:p>
    <w:p w14:paraId="455D9DDF" w14:textId="77777777" w:rsidR="00026E66" w:rsidRDefault="002737EF" w:rsidP="00FF0098">
      <w:pPr>
        <w:pStyle w:val="Heading2"/>
        <w:tabs>
          <w:tab w:val="left" w:pos="0"/>
        </w:tabs>
      </w:pPr>
      <w:bookmarkStart w:id="453" w:name="_Toc94718696"/>
      <w:bookmarkStart w:id="454" w:name="_Toc94088944"/>
      <w:bookmarkStart w:id="455" w:name="_Toc95211916"/>
      <w:r>
        <w:t>I.1 Completing the reporting workbook</w:t>
      </w:r>
      <w:bookmarkEnd w:id="453"/>
      <w:bookmarkEnd w:id="454"/>
      <w:bookmarkEnd w:id="455"/>
      <w:r>
        <w:t xml:space="preserve"> </w:t>
      </w:r>
    </w:p>
    <w:p w14:paraId="337E5B44" w14:textId="77777777" w:rsidR="00026E66" w:rsidRDefault="002737EF" w:rsidP="00FF0098">
      <w:pPr>
        <w:tabs>
          <w:tab w:val="left" w:pos="0"/>
        </w:tabs>
      </w:pPr>
      <w:r>
        <w:t>Each reporting workbook contains two worksheets. The first worksheet presents instructions on how to complete the reporting task. The second worksheet ('Reporting Worksheet') is where data must be entered.</w:t>
      </w:r>
    </w:p>
    <w:p w14:paraId="117FFEB9" w14:textId="77777777" w:rsidR="00026E66" w:rsidRDefault="002737EF" w:rsidP="00FF0098">
      <w:pPr>
        <w:tabs>
          <w:tab w:val="left" w:pos="0"/>
        </w:tabs>
      </w:pPr>
      <w:r>
        <w:t xml:space="preserve">Sections 1 and 2 of the reporting </w:t>
      </w:r>
      <w:proofErr w:type="gramStart"/>
      <w:r>
        <w:t>worksheet</w:t>
      </w:r>
      <w:proofErr w:type="gramEnd"/>
      <w:r>
        <w:t xml:space="preserve"> are the same for all target </w:t>
      </w:r>
      <w:proofErr w:type="gramStart"/>
      <w:r>
        <w:t>types, and</w:t>
      </w:r>
      <w:proofErr w:type="gramEnd"/>
      <w:r>
        <w:t xml:space="preserve"> are shown below. They consist mostly of pre-populated data which will come from the information held in the register. The person completing the workbook will be required to enter a small amount of contact information.</w:t>
      </w:r>
    </w:p>
    <w:p w14:paraId="765BA977" w14:textId="77777777" w:rsidR="00026E66" w:rsidRDefault="002737EF" w:rsidP="00FF0098">
      <w:pPr>
        <w:tabs>
          <w:tab w:val="left" w:pos="0"/>
        </w:tabs>
      </w:pPr>
      <w:r>
        <w:rPr>
          <w:noProof/>
        </w:rPr>
        <w:drawing>
          <wp:anchor distT="0" distB="0" distL="114300" distR="114300" simplePos="0" relativeHeight="251659264" behindDoc="0" locked="0" layoutInCell="1" allowOverlap="1" wp14:anchorId="6A0C4788" wp14:editId="5C96E08F">
            <wp:simplePos x="0" y="0"/>
            <wp:positionH relativeFrom="column">
              <wp:posOffset>0</wp:posOffset>
            </wp:positionH>
            <wp:positionV relativeFrom="paragraph">
              <wp:posOffset>0</wp:posOffset>
            </wp:positionV>
            <wp:extent cx="5255998" cy="3974403"/>
            <wp:effectExtent l="0" t="0" r="1802" b="7047"/>
            <wp:wrapTopAndBottom/>
            <wp:docPr id="4" name="Picture 1220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Picture 122071">
                      <a:extLst>
                        <a:ext uri="{C183D7F6-B498-43B3-948B-1728B52AA6E4}">
                          <adec:decorative xmlns:adec="http://schemas.microsoft.com/office/drawing/2017/decorative" val="1"/>
                        </a:ext>
                      </a:extLst>
                    </pic:cNvPr>
                    <pic:cNvPicPr/>
                  </pic:nvPicPr>
                  <pic:blipFill>
                    <a:blip r:embed="rId187"/>
                    <a:stretch>
                      <a:fillRect/>
                    </a:stretch>
                  </pic:blipFill>
                  <pic:spPr>
                    <a:xfrm>
                      <a:off x="0" y="0"/>
                      <a:ext cx="5255998" cy="3974403"/>
                    </a:xfrm>
                    <a:prstGeom prst="rect">
                      <a:avLst/>
                    </a:prstGeom>
                    <a:noFill/>
                    <a:ln>
                      <a:noFill/>
                      <a:prstDash/>
                    </a:ln>
                  </pic:spPr>
                </pic:pic>
              </a:graphicData>
            </a:graphic>
          </wp:anchor>
        </w:drawing>
      </w:r>
      <w:r>
        <w:t xml:space="preserve">Section 3 of the reporting workbook requires information to be entered about the performance of the target facility within the target period. Data must be entered for the full 24-month target period, except in circumstances where a facility has entered the scheme during the target period (see </w:t>
      </w:r>
      <w:r w:rsidRPr="00562A78">
        <w:t xml:space="preserve">Section </w:t>
      </w:r>
      <w:r w:rsidRPr="00562A78">
        <w:rPr>
          <w:u w:color="0077B9"/>
        </w:rPr>
        <w:t>10.3</w:t>
      </w:r>
      <w:r>
        <w:t xml:space="preserve">). </w:t>
      </w:r>
    </w:p>
    <w:p w14:paraId="35812527" w14:textId="77777777" w:rsidR="00026E66" w:rsidRDefault="002737EF" w:rsidP="00FF0098">
      <w:pPr>
        <w:tabs>
          <w:tab w:val="left" w:pos="0"/>
        </w:tabs>
      </w:pPr>
      <w:r>
        <w:t xml:space="preserve">In this section the sector has the choice to enter aggregated performance data for the entire target unit or to enter the data on an individual facility basis. For a given target unit, sectors must do one or the other, not both. If facility level data are not provided in the reporting </w:t>
      </w:r>
      <w:proofErr w:type="gramStart"/>
      <w:r>
        <w:t>workbook</w:t>
      </w:r>
      <w:proofErr w:type="gramEnd"/>
      <w:r>
        <w:t xml:space="preserve"> they must be made available during an audit. </w:t>
      </w:r>
    </w:p>
    <w:p w14:paraId="2E25C7F3" w14:textId="23FCF20D" w:rsidR="00026E66" w:rsidRDefault="002737EF" w:rsidP="00FF0098">
      <w:pPr>
        <w:tabs>
          <w:tab w:val="left" w:pos="0"/>
        </w:tabs>
      </w:pPr>
      <w:r>
        <w:lastRenderedPageBreak/>
        <w:t xml:space="preserve">Fuel conversion factors are provided in </w:t>
      </w:r>
      <w:r w:rsidRPr="00395FC6">
        <w:rPr>
          <w:u w:color="0077B9"/>
        </w:rPr>
        <w:t>section 10.4.4</w:t>
      </w:r>
      <w:r>
        <w:t>.</w:t>
      </w:r>
      <w:r w:rsidR="00FC355D">
        <w:t xml:space="preserve"> </w:t>
      </w:r>
      <w:r>
        <w:t>Any fuels consumed that are not explicitly listed in the reporting workbook must nevertheless be identified as an 'Other Fuel' and the quantity of this fuel consumed entered in the reporting workbook. A fuel conversion factor for any 'Other Fuels' consumed should already have been agreed with the sector facilitator as part of the new entrant application or variation process. It should be noted that the conversion factors used for reporting should be the same as those used in the base year. Section 3 of the workbook is shown below.</w:t>
      </w:r>
    </w:p>
    <w:p w14:paraId="68892FB4" w14:textId="34E1FC06" w:rsidR="00026E66" w:rsidRDefault="002737EF" w:rsidP="00562A78">
      <w:pPr>
        <w:tabs>
          <w:tab w:val="left" w:pos="0"/>
        </w:tabs>
        <w:spacing w:after="91" w:line="256" w:lineRule="auto"/>
      </w:pPr>
      <w:r>
        <w:rPr>
          <w:noProof/>
        </w:rPr>
        <w:drawing>
          <wp:anchor distT="0" distB="0" distL="114300" distR="114300" simplePos="0" relativeHeight="251660288" behindDoc="0" locked="0" layoutInCell="1" allowOverlap="1" wp14:anchorId="344F55A9" wp14:editId="2331B7FA">
            <wp:simplePos x="0" y="0"/>
            <wp:positionH relativeFrom="column">
              <wp:posOffset>214627</wp:posOffset>
            </wp:positionH>
            <wp:positionV relativeFrom="paragraph">
              <wp:posOffset>448</wp:posOffset>
            </wp:positionV>
            <wp:extent cx="5684404" cy="4276804"/>
            <wp:effectExtent l="0" t="0" r="0" b="9446"/>
            <wp:wrapTopAndBottom/>
            <wp:docPr id="5" name="Picture 122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 name="Picture 122138">
                      <a:extLst>
                        <a:ext uri="{C183D7F6-B498-43B3-948B-1728B52AA6E4}">
                          <adec:decorative xmlns:adec="http://schemas.microsoft.com/office/drawing/2017/decorative" val="1"/>
                        </a:ext>
                      </a:extLst>
                    </pic:cNvPr>
                    <pic:cNvPicPr/>
                  </pic:nvPicPr>
                  <pic:blipFill>
                    <a:blip r:embed="rId188"/>
                    <a:stretch>
                      <a:fillRect/>
                    </a:stretch>
                  </pic:blipFill>
                  <pic:spPr>
                    <a:xfrm>
                      <a:off x="0" y="0"/>
                      <a:ext cx="5684404" cy="4276804"/>
                    </a:xfrm>
                    <a:prstGeom prst="rect">
                      <a:avLst/>
                    </a:prstGeom>
                    <a:noFill/>
                    <a:ln>
                      <a:noFill/>
                      <a:prstDash/>
                    </a:ln>
                  </pic:spPr>
                </pic:pic>
              </a:graphicData>
            </a:graphic>
          </wp:anchor>
        </w:drawing>
      </w:r>
      <w:r>
        <w:t xml:space="preserve">Section 3 of the workbook presents the list of standard fuels for reporting. In some </w:t>
      </w:r>
      <w:proofErr w:type="gramStart"/>
      <w:r>
        <w:t>cases</w:t>
      </w:r>
      <w:proofErr w:type="gramEnd"/>
      <w:r>
        <w:t xml:space="preserve"> these fuels may be known by other names - for example, kerosene is also known as burning oil, or paraffin. Where 'fuel oil' is shown, this includes both heavy fuel oil, medium fuel oil and light fuel oil. </w:t>
      </w:r>
    </w:p>
    <w:p w14:paraId="71F80420" w14:textId="77777777" w:rsidR="00026E66" w:rsidRDefault="002737EF" w:rsidP="00FF0098">
      <w:pPr>
        <w:tabs>
          <w:tab w:val="left" w:pos="0"/>
        </w:tabs>
      </w:pPr>
      <w:r>
        <w:t xml:space="preserve">Target units with Novem or relative targets may have chosen to apply the CHP Special Reporting Method (CHP SRM). This has been developed for target units containing facilities with the following characteristics: </w:t>
      </w:r>
    </w:p>
    <w:p w14:paraId="52C32381" w14:textId="77777777" w:rsidR="00026E66" w:rsidRDefault="002737EF" w:rsidP="0065356B">
      <w:pPr>
        <w:pStyle w:val="ListParagraph"/>
        <w:numPr>
          <w:ilvl w:val="0"/>
          <w:numId w:val="127"/>
        </w:numPr>
        <w:tabs>
          <w:tab w:val="left" w:pos="0"/>
        </w:tabs>
      </w:pPr>
      <w:r>
        <w:t xml:space="preserve">All the facility’s direct fuel consumption is covered by EU ETS. </w:t>
      </w:r>
    </w:p>
    <w:p w14:paraId="2335EAA6" w14:textId="77777777" w:rsidR="00026E66" w:rsidRDefault="002737EF" w:rsidP="0065356B">
      <w:pPr>
        <w:pStyle w:val="ListParagraph"/>
        <w:numPr>
          <w:ilvl w:val="0"/>
          <w:numId w:val="127"/>
        </w:numPr>
        <w:tabs>
          <w:tab w:val="left" w:pos="0"/>
        </w:tabs>
      </w:pPr>
      <w:r>
        <w:t xml:space="preserve">The facility consumes electricity generated in a CHP plant, and this CHP plant is covered by EU ETS. </w:t>
      </w:r>
    </w:p>
    <w:p w14:paraId="6677B386" w14:textId="77777777" w:rsidR="00026E66" w:rsidRDefault="002737EF" w:rsidP="0065356B">
      <w:pPr>
        <w:pStyle w:val="ListParagraph"/>
        <w:numPr>
          <w:ilvl w:val="0"/>
          <w:numId w:val="127"/>
        </w:numPr>
        <w:tabs>
          <w:tab w:val="left" w:pos="0"/>
        </w:tabs>
      </w:pPr>
      <w:r>
        <w:t xml:space="preserve">The facility is able to import electricity from the grid. </w:t>
      </w:r>
    </w:p>
    <w:p w14:paraId="192F17FD" w14:textId="77777777" w:rsidR="00026E66" w:rsidRDefault="002737EF" w:rsidP="00FF0098">
      <w:pPr>
        <w:tabs>
          <w:tab w:val="left" w:pos="0"/>
        </w:tabs>
      </w:pPr>
      <w:r>
        <w:rPr>
          <w:noProof/>
        </w:rPr>
        <w:lastRenderedPageBreak/>
        <w:drawing>
          <wp:anchor distT="0" distB="0" distL="114300" distR="114300" simplePos="0" relativeHeight="251661312" behindDoc="0" locked="0" layoutInCell="1" allowOverlap="1" wp14:anchorId="2FA77CC0" wp14:editId="456BA61F">
            <wp:simplePos x="0" y="0"/>
            <wp:positionH relativeFrom="column">
              <wp:posOffset>59911</wp:posOffset>
            </wp:positionH>
            <wp:positionV relativeFrom="paragraph">
              <wp:posOffset>1488103</wp:posOffset>
            </wp:positionV>
            <wp:extent cx="5763262" cy="1457955"/>
            <wp:effectExtent l="0" t="0" r="8888" b="8895"/>
            <wp:wrapTopAndBottom/>
            <wp:docPr id="6" name="Picture 1227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 name="Picture 122753">
                      <a:extLst>
                        <a:ext uri="{C183D7F6-B498-43B3-948B-1728B52AA6E4}">
                          <adec:decorative xmlns:adec="http://schemas.microsoft.com/office/drawing/2017/decorative" val="1"/>
                        </a:ext>
                      </a:extLst>
                    </pic:cNvPr>
                    <pic:cNvPicPr/>
                  </pic:nvPicPr>
                  <pic:blipFill>
                    <a:blip r:embed="rId189"/>
                    <a:stretch>
                      <a:fillRect/>
                    </a:stretch>
                  </pic:blipFill>
                  <pic:spPr>
                    <a:xfrm>
                      <a:off x="0" y="0"/>
                      <a:ext cx="5763262" cy="1457955"/>
                    </a:xfrm>
                    <a:prstGeom prst="rect">
                      <a:avLst/>
                    </a:prstGeom>
                    <a:noFill/>
                    <a:ln>
                      <a:noFill/>
                      <a:prstDash/>
                    </a:ln>
                  </pic:spPr>
                </pic:pic>
              </a:graphicData>
            </a:graphic>
          </wp:anchor>
        </w:drawing>
      </w:r>
      <w:r>
        <w:t>The reporting workbooks for target units with Novem or relative targets therefore contain an additional section (Section 3a) for the entry of data on the consumption of CHP generated electricity. Entry of these data leads to the calculation of an adjusted throughput for the target unit. This section must be completed for those target units that have agreed to use the CHP SRM. As with data entry in Section 3, data can be entered in Section 3a either for a whole target unit or at an individual facility level. Where data are entered at the individual facility level in Section 3, they should also be entered at the individual facility level in Section 3a, and vice versa. See below.</w:t>
      </w:r>
    </w:p>
    <w:p w14:paraId="3EB80580" w14:textId="77777777" w:rsidR="00026E66" w:rsidRDefault="002737EF" w:rsidP="00FF0098">
      <w:pPr>
        <w:tabs>
          <w:tab w:val="left" w:pos="0"/>
        </w:tabs>
      </w:pPr>
      <w:r>
        <w:t xml:space="preserve">For target units reporting at an individual facility level, a facility using the CHP SRM will need to report grid electricity consumption as its performance data. It will also need to report its delivered CHP electricity consumption to calculate its adjusted throughput. </w:t>
      </w:r>
    </w:p>
    <w:p w14:paraId="34B7C901" w14:textId="77777777" w:rsidR="00026E66" w:rsidRDefault="002737EF" w:rsidP="00FF0098">
      <w:pPr>
        <w:tabs>
          <w:tab w:val="left" w:pos="0"/>
        </w:tabs>
      </w:pPr>
      <w:r>
        <w:t xml:space="preserve">Where an operator reports at the target unit level and this contains some facilities that are not using the CHP SRM or consuming fuel not covered by EU ETS, both grid electricity and </w:t>
      </w:r>
      <w:proofErr w:type="gramStart"/>
      <w:r>
        <w:t>others</w:t>
      </w:r>
      <w:proofErr w:type="gramEnd"/>
      <w:r>
        <w:t xml:space="preserve"> fuels will need to be reported.</w:t>
      </w:r>
    </w:p>
    <w:p w14:paraId="09A70C79" w14:textId="1B9D0BBD" w:rsidR="00026E66" w:rsidRDefault="002737EF" w:rsidP="00FF0098">
      <w:pPr>
        <w:tabs>
          <w:tab w:val="left" w:pos="0"/>
        </w:tabs>
      </w:pPr>
      <w:r>
        <w:t>Target units with Novem targets may report base year and target period performance at the individual product level or at the aggregated product level. If they report at the individual product level, data will be entered in the light green cells of Section 4 of the Novem reporting workbook, as shown below (for non-Novem targets, section 4 provides the output of the reporting calculations). These data will be used by the workbook to calculate two quantities necessary for determining Novem targets and performance (Quantities E and F of Section 4).</w:t>
      </w:r>
    </w:p>
    <w:p w14:paraId="63C5A755" w14:textId="19BAE24D" w:rsidR="00562A78" w:rsidRDefault="00562A78" w:rsidP="00FF0098">
      <w:pPr>
        <w:tabs>
          <w:tab w:val="left" w:pos="0"/>
        </w:tabs>
        <w:rPr>
          <w:color w:val="auto"/>
        </w:rPr>
      </w:pPr>
      <w:r>
        <w:rPr>
          <w:noProof/>
        </w:rPr>
        <w:lastRenderedPageBreak/>
        <w:drawing>
          <wp:inline distT="0" distB="0" distL="0" distR="0" wp14:anchorId="318864B6" wp14:editId="4DD0C4DC">
            <wp:extent cx="5836920" cy="2879380"/>
            <wp:effectExtent l="0" t="0" r="0" b="0"/>
            <wp:docPr id="7" name="Picture 1237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 name="Picture 123748">
                      <a:extLst>
                        <a:ext uri="{C183D7F6-B498-43B3-948B-1728B52AA6E4}">
                          <adec:decorative xmlns:adec="http://schemas.microsoft.com/office/drawing/2017/decorative" val="1"/>
                        </a:ext>
                      </a:extLst>
                    </pic:cNvPr>
                    <pic:cNvPicPr/>
                  </pic:nvPicPr>
                  <pic:blipFill>
                    <a:blip r:embed="rId190">
                      <a:extLst>
                        <a:ext uri="{28A0092B-C50C-407E-A947-70E740481C1C}">
                          <a14:useLocalDpi xmlns:a14="http://schemas.microsoft.com/office/drawing/2010/main" val="0"/>
                        </a:ext>
                      </a:extLst>
                    </a:blip>
                    <a:srcRect l="426" b="11188"/>
                    <a:stretch>
                      <a:fillRect/>
                    </a:stretch>
                  </pic:blipFill>
                  <pic:spPr>
                    <a:xfrm>
                      <a:off x="0" y="0"/>
                      <a:ext cx="5836920" cy="2879380"/>
                    </a:xfrm>
                    <a:prstGeom prst="rect">
                      <a:avLst/>
                    </a:prstGeom>
                    <a:noFill/>
                    <a:ln>
                      <a:noFill/>
                      <a:prstDash/>
                    </a:ln>
                  </pic:spPr>
                </pic:pic>
              </a:graphicData>
            </a:graphic>
          </wp:inline>
        </w:drawing>
      </w:r>
    </w:p>
    <w:p w14:paraId="68964104" w14:textId="30B16563" w:rsidR="00026E66" w:rsidRDefault="002737EF" w:rsidP="00FF0098">
      <w:pPr>
        <w:tabs>
          <w:tab w:val="left" w:pos="0"/>
        </w:tabs>
        <w:rPr>
          <w:color w:val="auto"/>
        </w:rPr>
      </w:pPr>
      <w:r>
        <w:rPr>
          <w:color w:val="auto"/>
        </w:rPr>
        <w:t xml:space="preserve">If the target unit reports at the aggregate product level, it must enter aggregate values for the products in the bright green cells of Section 4, as below. These are the quantities E and F that would have been automatically calculated by the workbook if the target unit had entered data at the individual product level. If the target unit reports at the aggregate product level, then it must retain individual product performance data equivalent to that which would have been entered for individual products in the reporting workbook. If the target unit is audited, these individual product level records will be examined by Environment Agency auditors. </w:t>
      </w:r>
    </w:p>
    <w:p w14:paraId="67492618" w14:textId="2116D81C" w:rsidR="00917C55" w:rsidRDefault="002737EF" w:rsidP="00FF0098">
      <w:pPr>
        <w:tabs>
          <w:tab w:val="left" w:pos="0"/>
        </w:tabs>
        <w:spacing w:after="102" w:line="256" w:lineRule="auto"/>
      </w:pPr>
      <w:r>
        <w:rPr>
          <w:noProof/>
          <w:color w:val="auto"/>
          <w:szCs w:val="24"/>
        </w:rPr>
        <w:drawing>
          <wp:inline distT="0" distB="0" distL="0" distR="0" wp14:anchorId="559C2764" wp14:editId="020A9C3D">
            <wp:extent cx="6170398" cy="1292403"/>
            <wp:effectExtent l="0" t="0" r="1905" b="3175"/>
            <wp:docPr id="8" name="Picture 5423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Picture 542337">
                      <a:extLst>
                        <a:ext uri="{C183D7F6-B498-43B3-948B-1728B52AA6E4}">
                          <adec:decorative xmlns:adec="http://schemas.microsoft.com/office/drawing/2017/decorative" val="1"/>
                        </a:ext>
                      </a:extLst>
                    </pic:cNvPr>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6170398" cy="1292403"/>
                    </a:xfrm>
                    <a:prstGeom prst="rect">
                      <a:avLst/>
                    </a:prstGeom>
                    <a:noFill/>
                    <a:ln>
                      <a:noFill/>
                      <a:prstDash/>
                    </a:ln>
                  </pic:spPr>
                </pic:pic>
              </a:graphicData>
            </a:graphic>
          </wp:inline>
        </w:drawing>
      </w:r>
      <w:r w:rsidRPr="0007222A">
        <w:t>Once all the required information has been entered, the reporting workbook will calculate the performance of the target unit. Results will be provided to show how the target unit has performed against its target and will include information on any surplus generated or buy-out due. The format in which this will be presented is shown below (format will differ depending on the target type).</w:t>
      </w:r>
    </w:p>
    <w:p w14:paraId="046D769A" w14:textId="77777777" w:rsidR="00917C55" w:rsidRDefault="00917C55">
      <w:pPr>
        <w:suppressAutoHyphens w:val="0"/>
        <w:spacing w:before="0" w:beforeAutospacing="0" w:after="160" w:afterAutospacing="0" w:line="256" w:lineRule="auto"/>
      </w:pPr>
      <w:r>
        <w:br w:type="page"/>
      </w:r>
    </w:p>
    <w:p w14:paraId="7C475948" w14:textId="77777777" w:rsidR="00026E66" w:rsidRPr="002737EF" w:rsidRDefault="002737EF" w:rsidP="00FF0098">
      <w:pPr>
        <w:tabs>
          <w:tab w:val="left" w:pos="0"/>
        </w:tabs>
        <w:rPr>
          <w:b/>
          <w:bCs/>
        </w:rPr>
      </w:pPr>
      <w:r w:rsidRPr="002737EF">
        <w:rPr>
          <w:b/>
          <w:bCs/>
        </w:rPr>
        <w:lastRenderedPageBreak/>
        <w:t xml:space="preserve">Section 4: Target Period Performance Result </w:t>
      </w:r>
    </w:p>
    <w:p w14:paraId="583914F1" w14:textId="5F85528D" w:rsidR="00026E66" w:rsidRDefault="00562A78" w:rsidP="00FF0098">
      <w:pPr>
        <w:tabs>
          <w:tab w:val="left" w:pos="0"/>
        </w:tabs>
        <w:spacing w:after="270" w:line="256" w:lineRule="auto"/>
      </w:pPr>
      <w:r>
        <w:rPr>
          <w:noProof/>
          <w:color w:val="auto"/>
        </w:rPr>
        <w:drawing>
          <wp:inline distT="0" distB="0" distL="0" distR="0" wp14:anchorId="18BCD4A6" wp14:editId="3C564851">
            <wp:extent cx="5836920" cy="4529931"/>
            <wp:effectExtent l="0" t="0" r="0" b="0"/>
            <wp:docPr id="9" name="Picture 5423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542339">
                      <a:extLst>
                        <a:ext uri="{C183D7F6-B498-43B3-948B-1728B52AA6E4}">
                          <adec:decorative xmlns:adec="http://schemas.microsoft.com/office/drawing/2017/decorative" val="1"/>
                        </a:ext>
                      </a:extLst>
                    </pic:cNvPr>
                    <pic:cNvPicPr/>
                  </pic:nvPicPr>
                  <pic:blipFill>
                    <a:blip r:embed="rId192"/>
                    <a:srcRect t="4534" b="4534"/>
                    <a:stretch>
                      <a:fillRect/>
                    </a:stretch>
                  </pic:blipFill>
                  <pic:spPr>
                    <a:xfrm>
                      <a:off x="0" y="0"/>
                      <a:ext cx="5836920" cy="4529931"/>
                    </a:xfrm>
                    <a:prstGeom prst="rect">
                      <a:avLst/>
                    </a:prstGeom>
                    <a:noFill/>
                    <a:ln>
                      <a:noFill/>
                      <a:prstDash/>
                    </a:ln>
                  </pic:spPr>
                </pic:pic>
              </a:graphicData>
            </a:graphic>
          </wp:inline>
        </w:drawing>
      </w:r>
    </w:p>
    <w:p w14:paraId="20E55012" w14:textId="766BAFE8" w:rsidR="00026E66" w:rsidRDefault="002737EF" w:rsidP="00FF0098">
      <w:pPr>
        <w:pStyle w:val="Heading2"/>
        <w:tabs>
          <w:tab w:val="left" w:pos="0"/>
        </w:tabs>
      </w:pPr>
      <w:bookmarkStart w:id="456" w:name="_Toc94718697"/>
      <w:bookmarkStart w:id="457" w:name="_Toc94088945"/>
      <w:bookmarkStart w:id="458" w:name="_Toc95211917"/>
      <w:r>
        <w:t>I.2 Submitting data for reporting</w:t>
      </w:r>
      <w:bookmarkEnd w:id="456"/>
      <w:bookmarkEnd w:id="457"/>
      <w:bookmarkEnd w:id="458"/>
    </w:p>
    <w:p w14:paraId="183D994F" w14:textId="77777777" w:rsidR="00026E66" w:rsidRDefault="002737EF" w:rsidP="00FF0098">
      <w:pPr>
        <w:tabs>
          <w:tab w:val="left" w:pos="0"/>
        </w:tabs>
      </w:pPr>
      <w:r>
        <w:t>Completed reporting workbooks must be submitted by the sector or its consultant via the reporting area on the register. It is important to ensure that the correct workbook is uploaded for each target unit. As reporting workbooks are uploaded, they will appear in a submission results table, which will allow the sector to review its progress.</w:t>
      </w:r>
    </w:p>
    <w:p w14:paraId="0E2F2C37" w14:textId="77777777" w:rsidR="00026E66" w:rsidRDefault="002737EF" w:rsidP="00FF0098">
      <w:pPr>
        <w:tabs>
          <w:tab w:val="left" w:pos="0"/>
        </w:tabs>
      </w:pPr>
      <w:r>
        <w:t>To reduce the load on the CCA register and reduce the risk of not being able to correct any issues, we recommend sector associations do not wait until the end of the reporting period before submitting.</w:t>
      </w:r>
    </w:p>
    <w:p w14:paraId="42BFFC84" w14:textId="754972D6" w:rsidR="00917C55" w:rsidRDefault="002737EF" w:rsidP="00FF0098">
      <w:pPr>
        <w:tabs>
          <w:tab w:val="left" w:pos="0"/>
        </w:tabs>
      </w:pPr>
      <w:r>
        <w:t xml:space="preserve">When a report is uploaded, the register will run a series of automatic validation checks, and may reject the submission. This will allow issues to be identified and dealt with as soon as possible to allow re-submission to the register. The table below shows the possible errors that may be flagged by these checks, and the actions that must be taken to deal with them. </w:t>
      </w:r>
    </w:p>
    <w:p w14:paraId="1DC76B50" w14:textId="77777777" w:rsidR="00917C55" w:rsidRDefault="00917C55">
      <w:pPr>
        <w:suppressAutoHyphens w:val="0"/>
        <w:spacing w:before="0" w:beforeAutospacing="0" w:after="160" w:afterAutospacing="0" w:line="256" w:lineRule="auto"/>
      </w:pPr>
      <w:r>
        <w:br w:type="page"/>
      </w:r>
    </w:p>
    <w:tbl>
      <w:tblPr>
        <w:tblStyle w:val="TableGridLight"/>
        <w:tblW w:w="5000" w:type="pct"/>
        <w:tblLook w:val="0020" w:firstRow="1" w:lastRow="0" w:firstColumn="0" w:lastColumn="0" w:noHBand="0" w:noVBand="0"/>
      </w:tblPr>
      <w:tblGrid>
        <w:gridCol w:w="3116"/>
        <w:gridCol w:w="4098"/>
        <w:gridCol w:w="2415"/>
      </w:tblGrid>
      <w:tr w:rsidR="00026E66" w14:paraId="6CF85775" w14:textId="77777777" w:rsidTr="0007222A">
        <w:tc>
          <w:tcPr>
            <w:tcW w:w="1618" w:type="pct"/>
          </w:tcPr>
          <w:p w14:paraId="5A47392E" w14:textId="77777777" w:rsidR="00026E66" w:rsidRDefault="002737EF" w:rsidP="00FF0098">
            <w:pPr>
              <w:tabs>
                <w:tab w:val="left" w:pos="0"/>
              </w:tabs>
              <w:spacing w:after="0" w:line="256" w:lineRule="auto"/>
              <w:rPr>
                <w:b/>
                <w:color w:val="auto"/>
              </w:rPr>
            </w:pPr>
            <w:r>
              <w:rPr>
                <w:b/>
                <w:color w:val="auto"/>
              </w:rPr>
              <w:lastRenderedPageBreak/>
              <w:t xml:space="preserve">Validation check </w:t>
            </w:r>
          </w:p>
        </w:tc>
        <w:tc>
          <w:tcPr>
            <w:tcW w:w="2128" w:type="pct"/>
          </w:tcPr>
          <w:p w14:paraId="796982C2" w14:textId="77777777" w:rsidR="00026E66" w:rsidRDefault="002737EF" w:rsidP="00FF0098">
            <w:pPr>
              <w:tabs>
                <w:tab w:val="left" w:pos="0"/>
              </w:tabs>
              <w:spacing w:after="0" w:line="256" w:lineRule="auto"/>
              <w:rPr>
                <w:b/>
                <w:color w:val="auto"/>
              </w:rPr>
            </w:pPr>
            <w:r>
              <w:rPr>
                <w:b/>
                <w:color w:val="auto"/>
              </w:rPr>
              <w:t xml:space="preserve">Error text </w:t>
            </w:r>
          </w:p>
        </w:tc>
        <w:tc>
          <w:tcPr>
            <w:tcW w:w="1254" w:type="pct"/>
          </w:tcPr>
          <w:p w14:paraId="5FCA3FA4" w14:textId="77777777" w:rsidR="00026E66" w:rsidRDefault="002737EF" w:rsidP="00FF0098">
            <w:pPr>
              <w:tabs>
                <w:tab w:val="left" w:pos="0"/>
              </w:tabs>
              <w:spacing w:after="0" w:line="256" w:lineRule="auto"/>
              <w:rPr>
                <w:b/>
                <w:color w:val="auto"/>
              </w:rPr>
            </w:pPr>
            <w:r>
              <w:rPr>
                <w:b/>
                <w:color w:val="auto"/>
              </w:rPr>
              <w:t xml:space="preserve">Action required </w:t>
            </w:r>
          </w:p>
        </w:tc>
      </w:tr>
      <w:tr w:rsidR="00026E66" w14:paraId="395817BD" w14:textId="77777777" w:rsidTr="0007222A">
        <w:tc>
          <w:tcPr>
            <w:tcW w:w="1618" w:type="pct"/>
          </w:tcPr>
          <w:p w14:paraId="0E401E64" w14:textId="77777777" w:rsidR="00026E66" w:rsidRDefault="002737EF" w:rsidP="00FF0098">
            <w:pPr>
              <w:tabs>
                <w:tab w:val="left" w:pos="0"/>
              </w:tabs>
              <w:spacing w:after="0" w:line="256" w:lineRule="auto"/>
              <w:rPr>
                <w:color w:val="auto"/>
              </w:rPr>
            </w:pPr>
            <w:r>
              <w:rPr>
                <w:color w:val="auto"/>
              </w:rPr>
              <w:t xml:space="preserve">The TUID in the uploaded workbook must exist within the list of target units that need to submit reporting data for the specified reporting period. </w:t>
            </w:r>
          </w:p>
        </w:tc>
        <w:tc>
          <w:tcPr>
            <w:tcW w:w="2128" w:type="pct"/>
          </w:tcPr>
          <w:p w14:paraId="4CDA919C" w14:textId="77777777" w:rsidR="00026E66" w:rsidRDefault="002737EF" w:rsidP="00FF0098">
            <w:pPr>
              <w:tabs>
                <w:tab w:val="left" w:pos="0"/>
              </w:tabs>
              <w:spacing w:after="0" w:line="256" w:lineRule="auto"/>
              <w:rPr>
                <w:color w:val="auto"/>
              </w:rPr>
            </w:pPr>
            <w:r>
              <w:rPr>
                <w:color w:val="auto"/>
              </w:rPr>
              <w:t xml:space="preserve">ERROR: Target unit [TU identifier] cannot be found as a reportable target unit in this reporting period. </w:t>
            </w:r>
          </w:p>
        </w:tc>
        <w:tc>
          <w:tcPr>
            <w:tcW w:w="1254" w:type="pct"/>
          </w:tcPr>
          <w:p w14:paraId="7810D8BF" w14:textId="77777777" w:rsidR="00026E66" w:rsidRDefault="002737EF" w:rsidP="00FF0098">
            <w:pPr>
              <w:tabs>
                <w:tab w:val="left" w:pos="0"/>
              </w:tabs>
              <w:spacing w:after="0" w:line="256" w:lineRule="auto"/>
              <w:ind w:right="-81"/>
            </w:pPr>
            <w:r>
              <w:rPr>
                <w:color w:val="auto"/>
              </w:rPr>
              <w:t xml:space="preserve">Check TUID and confirm it is correct. Ensure that the TU had an agreement in place on </w:t>
            </w:r>
            <w:r>
              <w:rPr>
                <w:bCs/>
                <w:color w:val="auto"/>
                <w:szCs w:val="24"/>
              </w:rPr>
              <w:t>31</w:t>
            </w:r>
            <w:r>
              <w:rPr>
                <w:color w:val="auto"/>
              </w:rPr>
              <w:t xml:space="preserve"> December. </w:t>
            </w:r>
          </w:p>
        </w:tc>
      </w:tr>
      <w:tr w:rsidR="00026E66" w14:paraId="59AB50EA" w14:textId="77777777" w:rsidTr="0007222A">
        <w:tc>
          <w:tcPr>
            <w:tcW w:w="1618" w:type="pct"/>
          </w:tcPr>
          <w:p w14:paraId="03938D59" w14:textId="77777777" w:rsidR="00026E66" w:rsidRDefault="002737EF" w:rsidP="00FF0098">
            <w:pPr>
              <w:tabs>
                <w:tab w:val="left" w:pos="0"/>
              </w:tabs>
              <w:spacing w:after="0" w:line="256" w:lineRule="auto"/>
              <w:ind w:right="62"/>
              <w:rPr>
                <w:bCs/>
                <w:color w:val="auto"/>
                <w:szCs w:val="24"/>
              </w:rPr>
            </w:pPr>
            <w:r>
              <w:rPr>
                <w:bCs/>
                <w:color w:val="auto"/>
                <w:szCs w:val="24"/>
              </w:rPr>
              <w:t xml:space="preserve">The TUID in the uploaded workbook must exist within the sector for which it is being uploaded. </w:t>
            </w:r>
          </w:p>
        </w:tc>
        <w:tc>
          <w:tcPr>
            <w:tcW w:w="2128" w:type="pct"/>
          </w:tcPr>
          <w:p w14:paraId="4EA24115" w14:textId="77777777" w:rsidR="00026E66" w:rsidRDefault="002737EF" w:rsidP="00FF0098">
            <w:pPr>
              <w:tabs>
                <w:tab w:val="left" w:pos="0"/>
              </w:tabs>
              <w:spacing w:after="0" w:line="256" w:lineRule="auto"/>
              <w:rPr>
                <w:bCs/>
                <w:color w:val="auto"/>
                <w:szCs w:val="24"/>
              </w:rPr>
            </w:pPr>
            <w:r>
              <w:rPr>
                <w:bCs/>
                <w:color w:val="auto"/>
                <w:szCs w:val="24"/>
              </w:rPr>
              <w:t>ERROR: Target unit [TU identifier] does not belong to this sector. To upload a report for a different sector, navigate to the correct sector's target period reporting submissions page.</w:t>
            </w:r>
          </w:p>
        </w:tc>
        <w:tc>
          <w:tcPr>
            <w:tcW w:w="1254" w:type="pct"/>
          </w:tcPr>
          <w:p w14:paraId="41A7B3D9" w14:textId="77777777" w:rsidR="00026E66" w:rsidRDefault="002737EF" w:rsidP="00FF0098">
            <w:pPr>
              <w:tabs>
                <w:tab w:val="left" w:pos="0"/>
              </w:tabs>
              <w:spacing w:after="0" w:line="256" w:lineRule="auto"/>
              <w:ind w:right="-81"/>
              <w:rPr>
                <w:bCs/>
                <w:color w:val="auto"/>
                <w:szCs w:val="24"/>
              </w:rPr>
            </w:pPr>
            <w:r>
              <w:rPr>
                <w:bCs/>
                <w:color w:val="auto"/>
                <w:szCs w:val="24"/>
              </w:rPr>
              <w:t xml:space="preserve">Check that the TU report is being uploaded to the correct sector reporting page. </w:t>
            </w:r>
          </w:p>
        </w:tc>
      </w:tr>
      <w:tr w:rsidR="00026E66" w14:paraId="2FF50028" w14:textId="77777777" w:rsidTr="0007222A">
        <w:tc>
          <w:tcPr>
            <w:tcW w:w="1618" w:type="pct"/>
          </w:tcPr>
          <w:p w14:paraId="2C9AC935" w14:textId="21FA5E52" w:rsidR="00026E66" w:rsidRDefault="002737EF" w:rsidP="00917C55">
            <w:pPr>
              <w:tabs>
                <w:tab w:val="left" w:pos="0"/>
              </w:tabs>
              <w:spacing w:after="0" w:line="256" w:lineRule="auto"/>
              <w:rPr>
                <w:bCs/>
                <w:color w:val="auto"/>
                <w:szCs w:val="24"/>
              </w:rPr>
            </w:pPr>
            <w:r>
              <w:rPr>
                <w:bCs/>
                <w:color w:val="auto"/>
                <w:szCs w:val="24"/>
              </w:rPr>
              <w:t xml:space="preserve">The TUID is "locked" for reporting (either because the </w:t>
            </w:r>
            <w:r w:rsidR="004B7AA4">
              <w:rPr>
                <w:bCs/>
                <w:color w:val="auto"/>
                <w:szCs w:val="24"/>
              </w:rPr>
              <w:t xml:space="preserve">1 </w:t>
            </w:r>
            <w:r>
              <w:rPr>
                <w:bCs/>
                <w:color w:val="auto"/>
                <w:szCs w:val="24"/>
              </w:rPr>
              <w:t xml:space="preserve">May deadline has been reached, the TU has already uploaded data, or the administrator has manually locked the TU). </w:t>
            </w:r>
          </w:p>
        </w:tc>
        <w:tc>
          <w:tcPr>
            <w:tcW w:w="2128" w:type="pct"/>
          </w:tcPr>
          <w:p w14:paraId="4925CFCB" w14:textId="77777777" w:rsidR="00026E66" w:rsidRDefault="002737EF" w:rsidP="00FF0098">
            <w:pPr>
              <w:tabs>
                <w:tab w:val="left" w:pos="0"/>
              </w:tabs>
              <w:spacing w:after="0" w:line="256" w:lineRule="auto"/>
              <w:rPr>
                <w:bCs/>
                <w:color w:val="auto"/>
                <w:szCs w:val="24"/>
              </w:rPr>
            </w:pPr>
            <w:r>
              <w:rPr>
                <w:bCs/>
                <w:color w:val="auto"/>
                <w:szCs w:val="24"/>
              </w:rPr>
              <w:t xml:space="preserve">ERROR: Target unit [TU identifier] cannot be reported on at this time. To enable reporting submissions for this target unit, please contact the Administrator. </w:t>
            </w:r>
          </w:p>
        </w:tc>
        <w:tc>
          <w:tcPr>
            <w:tcW w:w="1254" w:type="pct"/>
          </w:tcPr>
          <w:p w14:paraId="4AA17AE8" w14:textId="77777777" w:rsidR="00026E66" w:rsidRDefault="002737EF" w:rsidP="00FF0098">
            <w:pPr>
              <w:tabs>
                <w:tab w:val="left" w:pos="0"/>
              </w:tabs>
              <w:spacing w:after="0" w:line="256" w:lineRule="auto"/>
              <w:rPr>
                <w:bCs/>
                <w:color w:val="auto"/>
                <w:szCs w:val="24"/>
              </w:rPr>
            </w:pPr>
            <w:r>
              <w:rPr>
                <w:bCs/>
                <w:color w:val="auto"/>
                <w:szCs w:val="24"/>
              </w:rPr>
              <w:t xml:space="preserve">Contact the Environment Agency to discuss reporting requirements. Under certain circumstances it will be possible to unlock the TUID to enter further reporting data. </w:t>
            </w:r>
          </w:p>
        </w:tc>
      </w:tr>
      <w:tr w:rsidR="00026E66" w14:paraId="59BCD9F8" w14:textId="77777777" w:rsidTr="0007222A">
        <w:tc>
          <w:tcPr>
            <w:tcW w:w="1618" w:type="pct"/>
          </w:tcPr>
          <w:p w14:paraId="6513CB42" w14:textId="77777777" w:rsidR="00026E66" w:rsidRDefault="002737EF" w:rsidP="00FF0098">
            <w:pPr>
              <w:tabs>
                <w:tab w:val="left" w:pos="0"/>
              </w:tabs>
              <w:spacing w:after="160" w:line="256" w:lineRule="auto"/>
              <w:rPr>
                <w:bCs/>
                <w:color w:val="auto"/>
                <w:szCs w:val="24"/>
              </w:rPr>
            </w:pPr>
            <w:r>
              <w:rPr>
                <w:bCs/>
                <w:color w:val="auto"/>
                <w:szCs w:val="24"/>
              </w:rPr>
              <w:t xml:space="preserve">The target period in the uploaded workbook must match the current target period being reported. </w:t>
            </w:r>
          </w:p>
        </w:tc>
        <w:tc>
          <w:tcPr>
            <w:tcW w:w="2128" w:type="pct"/>
          </w:tcPr>
          <w:p w14:paraId="43697CD1" w14:textId="77777777" w:rsidR="00026E66" w:rsidRDefault="002737EF" w:rsidP="00FF0098">
            <w:pPr>
              <w:tabs>
                <w:tab w:val="left" w:pos="0"/>
              </w:tabs>
              <w:spacing w:after="0" w:line="256" w:lineRule="auto"/>
              <w:rPr>
                <w:bCs/>
                <w:color w:val="auto"/>
                <w:szCs w:val="24"/>
              </w:rPr>
            </w:pPr>
            <w:r>
              <w:rPr>
                <w:bCs/>
                <w:color w:val="auto"/>
                <w:szCs w:val="24"/>
              </w:rPr>
              <w:t xml:space="preserve">ERROR: The workbook submitted is for target period [workbook TP]. Submissions can only be accepted for [the TP]. </w:t>
            </w:r>
          </w:p>
        </w:tc>
        <w:tc>
          <w:tcPr>
            <w:tcW w:w="1254" w:type="pct"/>
          </w:tcPr>
          <w:p w14:paraId="40E62F99" w14:textId="77777777" w:rsidR="00026E66" w:rsidRDefault="002737EF" w:rsidP="00FF0098">
            <w:pPr>
              <w:tabs>
                <w:tab w:val="left" w:pos="0"/>
              </w:tabs>
              <w:spacing w:after="0" w:line="256" w:lineRule="auto"/>
              <w:rPr>
                <w:bCs/>
                <w:color w:val="auto"/>
                <w:szCs w:val="24"/>
              </w:rPr>
            </w:pPr>
            <w:r>
              <w:rPr>
                <w:bCs/>
                <w:color w:val="auto"/>
                <w:szCs w:val="24"/>
              </w:rPr>
              <w:t xml:space="preserve">Check that the reporting workbook is for the current target period. If they do not match, download the latest workbook, re-enter the data and re-submit. </w:t>
            </w:r>
          </w:p>
        </w:tc>
      </w:tr>
      <w:tr w:rsidR="00026E66" w14:paraId="5B1F08A8" w14:textId="77777777" w:rsidTr="0007222A">
        <w:tc>
          <w:tcPr>
            <w:tcW w:w="1618" w:type="pct"/>
          </w:tcPr>
          <w:p w14:paraId="3D02F3AF" w14:textId="77777777" w:rsidR="00026E66" w:rsidRDefault="002737EF" w:rsidP="00FF0098">
            <w:pPr>
              <w:tabs>
                <w:tab w:val="left" w:pos="0"/>
              </w:tabs>
              <w:spacing w:after="160" w:line="256" w:lineRule="auto"/>
              <w:rPr>
                <w:bCs/>
                <w:color w:val="auto"/>
                <w:szCs w:val="24"/>
              </w:rPr>
            </w:pPr>
            <w:r>
              <w:rPr>
                <w:bCs/>
                <w:color w:val="auto"/>
                <w:szCs w:val="24"/>
              </w:rPr>
              <w:t xml:space="preserve">The template version in the uploaded workbook must match the version currently recorded in the register. If the template version has been upgraded, the sector cannot upload data in the old template, it must download the revised template, populate with data and re-submit. </w:t>
            </w:r>
          </w:p>
        </w:tc>
        <w:tc>
          <w:tcPr>
            <w:tcW w:w="2128" w:type="pct"/>
          </w:tcPr>
          <w:p w14:paraId="354B4C54" w14:textId="77777777" w:rsidR="00026E66" w:rsidRDefault="002737EF" w:rsidP="00FF0098">
            <w:pPr>
              <w:tabs>
                <w:tab w:val="left" w:pos="0"/>
              </w:tabs>
              <w:spacing w:after="0"/>
              <w:ind w:right="177"/>
              <w:rPr>
                <w:bCs/>
                <w:color w:val="auto"/>
                <w:szCs w:val="24"/>
              </w:rPr>
            </w:pPr>
            <w:r>
              <w:rPr>
                <w:bCs/>
                <w:color w:val="auto"/>
                <w:szCs w:val="24"/>
              </w:rPr>
              <w:t>ERROR: The template uploaded uses an old version of the target unit template. Version [</w:t>
            </w:r>
            <w:proofErr w:type="spellStart"/>
            <w:r>
              <w:rPr>
                <w:bCs/>
                <w:color w:val="auto"/>
                <w:szCs w:val="24"/>
              </w:rPr>
              <w:t>workbooktempversion</w:t>
            </w:r>
            <w:proofErr w:type="spellEnd"/>
            <w:r>
              <w:rPr>
                <w:bCs/>
                <w:color w:val="auto"/>
                <w:szCs w:val="24"/>
              </w:rPr>
              <w:t>] has been superseded by version [</w:t>
            </w:r>
            <w:proofErr w:type="spellStart"/>
            <w:r>
              <w:rPr>
                <w:bCs/>
                <w:color w:val="auto"/>
                <w:szCs w:val="24"/>
              </w:rPr>
              <w:t>workbooktempversion</w:t>
            </w:r>
            <w:proofErr w:type="spellEnd"/>
            <w:r>
              <w:rPr>
                <w:bCs/>
                <w:color w:val="auto"/>
                <w:szCs w:val="24"/>
              </w:rPr>
              <w:t xml:space="preserve">]. The latest version must be completed and uploaded to ensure correct reporting results. </w:t>
            </w:r>
          </w:p>
        </w:tc>
        <w:tc>
          <w:tcPr>
            <w:tcW w:w="1254" w:type="pct"/>
          </w:tcPr>
          <w:p w14:paraId="24BBFE7F" w14:textId="77777777" w:rsidR="00026E66" w:rsidRDefault="002737EF" w:rsidP="00FF0098">
            <w:pPr>
              <w:tabs>
                <w:tab w:val="left" w:pos="0"/>
              </w:tabs>
              <w:spacing w:after="0" w:line="256" w:lineRule="auto"/>
              <w:ind w:right="240"/>
              <w:rPr>
                <w:bCs/>
                <w:color w:val="auto"/>
                <w:szCs w:val="24"/>
              </w:rPr>
            </w:pPr>
            <w:r>
              <w:rPr>
                <w:bCs/>
                <w:color w:val="auto"/>
                <w:szCs w:val="24"/>
              </w:rPr>
              <w:t xml:space="preserve">Download the latest reporting workbook, re-enter the data and re-submit. </w:t>
            </w:r>
          </w:p>
        </w:tc>
      </w:tr>
      <w:tr w:rsidR="00026E66" w14:paraId="2779DF90" w14:textId="77777777" w:rsidTr="0007222A">
        <w:tc>
          <w:tcPr>
            <w:tcW w:w="1618" w:type="pct"/>
          </w:tcPr>
          <w:p w14:paraId="509BE98D" w14:textId="77777777" w:rsidR="00026E66" w:rsidRDefault="002737EF" w:rsidP="00FF0098">
            <w:pPr>
              <w:tabs>
                <w:tab w:val="left" w:pos="0"/>
              </w:tabs>
              <w:spacing w:after="160" w:line="256" w:lineRule="auto"/>
              <w:rPr>
                <w:bCs/>
                <w:color w:val="auto"/>
                <w:szCs w:val="24"/>
              </w:rPr>
            </w:pPr>
            <w:r>
              <w:rPr>
                <w:bCs/>
                <w:color w:val="auto"/>
                <w:szCs w:val="24"/>
              </w:rPr>
              <w:t xml:space="preserve">The workbook version in the uploaded workbook must match the current </w:t>
            </w:r>
            <w:r>
              <w:rPr>
                <w:bCs/>
                <w:color w:val="auto"/>
                <w:szCs w:val="24"/>
              </w:rPr>
              <w:lastRenderedPageBreak/>
              <w:t xml:space="preserve">workbook version for that TU, as held by the register. If a retrospective variation is assented before the data is submitted, a new workbook must be downloaded, populated and submitted. </w:t>
            </w:r>
          </w:p>
        </w:tc>
        <w:tc>
          <w:tcPr>
            <w:tcW w:w="2128" w:type="pct"/>
          </w:tcPr>
          <w:p w14:paraId="085B9BDF" w14:textId="77777777" w:rsidR="00026E66" w:rsidRDefault="002737EF" w:rsidP="00FF0098">
            <w:pPr>
              <w:tabs>
                <w:tab w:val="left" w:pos="0"/>
              </w:tabs>
              <w:spacing w:after="0" w:line="237" w:lineRule="auto"/>
              <w:ind w:right="449"/>
              <w:rPr>
                <w:bCs/>
                <w:color w:val="auto"/>
                <w:szCs w:val="24"/>
              </w:rPr>
            </w:pPr>
            <w:r>
              <w:rPr>
                <w:bCs/>
                <w:color w:val="auto"/>
                <w:szCs w:val="24"/>
              </w:rPr>
              <w:lastRenderedPageBreak/>
              <w:t xml:space="preserve">ERROR: The file uploaded uses an old version of the target unit's spreadsheet. Version </w:t>
            </w:r>
            <w:r>
              <w:rPr>
                <w:bCs/>
                <w:color w:val="auto"/>
                <w:szCs w:val="24"/>
              </w:rPr>
              <w:lastRenderedPageBreak/>
              <w:t>[</w:t>
            </w:r>
            <w:proofErr w:type="spellStart"/>
            <w:r>
              <w:rPr>
                <w:bCs/>
                <w:color w:val="auto"/>
                <w:szCs w:val="24"/>
              </w:rPr>
              <w:t>workbooktempversion</w:t>
            </w:r>
            <w:proofErr w:type="spellEnd"/>
            <w:r>
              <w:rPr>
                <w:bCs/>
                <w:color w:val="auto"/>
                <w:szCs w:val="24"/>
              </w:rPr>
              <w:t>] has been superseded by version [</w:t>
            </w:r>
            <w:proofErr w:type="spellStart"/>
            <w:r>
              <w:rPr>
                <w:bCs/>
                <w:color w:val="auto"/>
                <w:szCs w:val="24"/>
              </w:rPr>
              <w:t>workbooktempversion</w:t>
            </w:r>
            <w:proofErr w:type="spellEnd"/>
            <w:r>
              <w:rPr>
                <w:bCs/>
                <w:color w:val="auto"/>
                <w:szCs w:val="24"/>
              </w:rPr>
              <w:t xml:space="preserve">]. The latest version must be completed and uploaded to ensure correct reporting </w:t>
            </w:r>
          </w:p>
        </w:tc>
        <w:tc>
          <w:tcPr>
            <w:tcW w:w="1254" w:type="pct"/>
          </w:tcPr>
          <w:p w14:paraId="3D775EBA" w14:textId="77777777" w:rsidR="00026E66" w:rsidRDefault="002737EF" w:rsidP="00FF0098">
            <w:pPr>
              <w:tabs>
                <w:tab w:val="left" w:pos="0"/>
              </w:tabs>
              <w:spacing w:after="0" w:line="256" w:lineRule="auto"/>
              <w:ind w:right="-81"/>
              <w:rPr>
                <w:bCs/>
                <w:color w:val="auto"/>
                <w:szCs w:val="24"/>
              </w:rPr>
            </w:pPr>
            <w:r>
              <w:rPr>
                <w:bCs/>
                <w:color w:val="auto"/>
                <w:szCs w:val="24"/>
              </w:rPr>
              <w:lastRenderedPageBreak/>
              <w:t xml:space="preserve">Download the latest reporting workbook, </w:t>
            </w:r>
            <w:r>
              <w:rPr>
                <w:bCs/>
                <w:color w:val="auto"/>
                <w:szCs w:val="24"/>
              </w:rPr>
              <w:lastRenderedPageBreak/>
              <w:t xml:space="preserve">re-enter the data and re-submit. </w:t>
            </w:r>
          </w:p>
        </w:tc>
      </w:tr>
      <w:tr w:rsidR="00026E66" w14:paraId="6A98A128" w14:textId="77777777" w:rsidTr="0007222A">
        <w:tc>
          <w:tcPr>
            <w:tcW w:w="1618" w:type="pct"/>
          </w:tcPr>
          <w:p w14:paraId="09825090" w14:textId="77777777" w:rsidR="00026E66" w:rsidRDefault="002737EF" w:rsidP="00FF0098">
            <w:pPr>
              <w:tabs>
                <w:tab w:val="left" w:pos="0"/>
              </w:tabs>
              <w:spacing w:after="0" w:line="256" w:lineRule="auto"/>
              <w:rPr>
                <w:bCs/>
                <w:color w:val="auto"/>
                <w:szCs w:val="24"/>
              </w:rPr>
            </w:pPr>
            <w:r>
              <w:rPr>
                <w:bCs/>
                <w:color w:val="auto"/>
                <w:szCs w:val="24"/>
              </w:rPr>
              <w:lastRenderedPageBreak/>
              <w:t xml:space="preserve">User-entered data (green cells) extracted from the uploaded spreadsheet must be numeric (except the three cells at the top). </w:t>
            </w:r>
          </w:p>
        </w:tc>
        <w:tc>
          <w:tcPr>
            <w:tcW w:w="2128" w:type="pct"/>
          </w:tcPr>
          <w:p w14:paraId="67594F18" w14:textId="77777777" w:rsidR="00026E66" w:rsidRDefault="002737EF" w:rsidP="00FF0098">
            <w:pPr>
              <w:tabs>
                <w:tab w:val="left" w:pos="0"/>
              </w:tabs>
              <w:spacing w:after="0" w:line="256" w:lineRule="auto"/>
              <w:rPr>
                <w:bCs/>
                <w:color w:val="auto"/>
                <w:szCs w:val="24"/>
              </w:rPr>
            </w:pPr>
            <w:r>
              <w:rPr>
                <w:bCs/>
                <w:color w:val="auto"/>
                <w:szCs w:val="24"/>
              </w:rPr>
              <w:t xml:space="preserve">ERROR: Cells in the spreadsheet expecting numeric data contain invalid values. </w:t>
            </w:r>
          </w:p>
        </w:tc>
        <w:tc>
          <w:tcPr>
            <w:tcW w:w="1254" w:type="pct"/>
          </w:tcPr>
          <w:p w14:paraId="683C410E" w14:textId="77777777" w:rsidR="00026E66" w:rsidRDefault="002737EF" w:rsidP="00FF0098">
            <w:pPr>
              <w:tabs>
                <w:tab w:val="left" w:pos="0"/>
              </w:tabs>
              <w:spacing w:after="0" w:line="256" w:lineRule="auto"/>
              <w:rPr>
                <w:bCs/>
                <w:color w:val="auto"/>
                <w:szCs w:val="24"/>
              </w:rPr>
            </w:pPr>
            <w:r>
              <w:rPr>
                <w:bCs/>
                <w:color w:val="auto"/>
                <w:szCs w:val="24"/>
              </w:rPr>
              <w:t xml:space="preserve">Check data entry to ensure that the data entered meets the requirements of all elements of the reporting workbook. Amend any errors and re-submit. </w:t>
            </w:r>
          </w:p>
        </w:tc>
      </w:tr>
      <w:tr w:rsidR="00026E66" w14:paraId="296E88ED" w14:textId="77777777" w:rsidTr="0007222A">
        <w:tc>
          <w:tcPr>
            <w:tcW w:w="1618" w:type="pct"/>
          </w:tcPr>
          <w:p w14:paraId="7C6B6B05" w14:textId="77777777" w:rsidR="00026E66" w:rsidRDefault="002737EF" w:rsidP="00FF0098">
            <w:pPr>
              <w:tabs>
                <w:tab w:val="left" w:pos="0"/>
              </w:tabs>
              <w:spacing w:after="0" w:line="237" w:lineRule="auto"/>
              <w:rPr>
                <w:bCs/>
                <w:color w:val="auto"/>
                <w:szCs w:val="24"/>
              </w:rPr>
            </w:pPr>
            <w:r>
              <w:rPr>
                <w:bCs/>
                <w:color w:val="auto"/>
                <w:szCs w:val="24"/>
              </w:rPr>
              <w:t xml:space="preserve">All reportable data (bright orange cells) extracted from the uploaded spreadsheet must match the equivalent value extracted from the 'clean copy' spreadsheet. </w:t>
            </w:r>
          </w:p>
        </w:tc>
        <w:tc>
          <w:tcPr>
            <w:tcW w:w="2128" w:type="pct"/>
          </w:tcPr>
          <w:p w14:paraId="3FF5A9CF" w14:textId="77777777" w:rsidR="00026E66" w:rsidRDefault="002737EF" w:rsidP="00FF0098">
            <w:pPr>
              <w:tabs>
                <w:tab w:val="left" w:pos="0"/>
              </w:tabs>
              <w:spacing w:after="160" w:line="256" w:lineRule="auto"/>
              <w:rPr>
                <w:bCs/>
                <w:color w:val="auto"/>
                <w:szCs w:val="24"/>
              </w:rPr>
            </w:pPr>
            <w:r>
              <w:rPr>
                <w:bCs/>
                <w:color w:val="auto"/>
                <w:szCs w:val="24"/>
              </w:rPr>
              <w:t xml:space="preserve">ERROR: Results calculated in the register do not match values calculated in the submitted workbook. Please ensure that calculated cells within the workbook are not altered when entering data. The most likely way to fix this issue is to download the latest version of the spreadsheet template and re-enter the data. </w:t>
            </w:r>
          </w:p>
        </w:tc>
        <w:tc>
          <w:tcPr>
            <w:tcW w:w="1254" w:type="pct"/>
          </w:tcPr>
          <w:p w14:paraId="4E8041F1" w14:textId="77777777" w:rsidR="00026E66" w:rsidRDefault="002737EF" w:rsidP="00FF0098">
            <w:pPr>
              <w:tabs>
                <w:tab w:val="left" w:pos="0"/>
              </w:tabs>
              <w:spacing w:after="0" w:line="256" w:lineRule="auto"/>
              <w:ind w:right="-81"/>
              <w:rPr>
                <w:bCs/>
                <w:color w:val="auto"/>
                <w:szCs w:val="24"/>
              </w:rPr>
            </w:pPr>
            <w:r>
              <w:rPr>
                <w:bCs/>
                <w:color w:val="auto"/>
                <w:szCs w:val="24"/>
              </w:rPr>
              <w:t xml:space="preserve">Download the latest version of the reporting template and re- enter the data. </w:t>
            </w:r>
          </w:p>
        </w:tc>
      </w:tr>
      <w:tr w:rsidR="00026E66" w14:paraId="688EC8E5" w14:textId="77777777" w:rsidTr="0007222A">
        <w:tc>
          <w:tcPr>
            <w:tcW w:w="1618" w:type="pct"/>
          </w:tcPr>
          <w:p w14:paraId="1087C5CA" w14:textId="77777777" w:rsidR="00026E66" w:rsidRDefault="002737EF" w:rsidP="00FF0098">
            <w:pPr>
              <w:tabs>
                <w:tab w:val="left" w:pos="0"/>
              </w:tabs>
              <w:spacing w:after="160" w:line="256" w:lineRule="auto"/>
              <w:rPr>
                <w:bCs/>
                <w:color w:val="auto"/>
                <w:szCs w:val="24"/>
              </w:rPr>
            </w:pPr>
            <w:r>
              <w:rPr>
                <w:bCs/>
                <w:color w:val="auto"/>
                <w:szCs w:val="24"/>
              </w:rPr>
              <w:t xml:space="preserve">Internal system error </w:t>
            </w:r>
          </w:p>
        </w:tc>
        <w:tc>
          <w:tcPr>
            <w:tcW w:w="2128" w:type="pct"/>
          </w:tcPr>
          <w:p w14:paraId="43BB9A1E" w14:textId="77777777" w:rsidR="00026E66" w:rsidRDefault="002737EF" w:rsidP="00FF0098">
            <w:pPr>
              <w:tabs>
                <w:tab w:val="left" w:pos="0"/>
              </w:tabs>
              <w:spacing w:after="0" w:line="256" w:lineRule="auto"/>
              <w:rPr>
                <w:bCs/>
                <w:color w:val="auto"/>
                <w:szCs w:val="24"/>
              </w:rPr>
            </w:pPr>
            <w:r>
              <w:rPr>
                <w:bCs/>
                <w:color w:val="auto"/>
                <w:szCs w:val="24"/>
              </w:rPr>
              <w:t xml:space="preserve">ERROR: An unknown error </w:t>
            </w:r>
          </w:p>
          <w:p w14:paraId="0F145289" w14:textId="77777777" w:rsidR="00026E66" w:rsidRDefault="002737EF" w:rsidP="00FF0098">
            <w:pPr>
              <w:tabs>
                <w:tab w:val="left" w:pos="0"/>
              </w:tabs>
              <w:spacing w:after="160" w:line="256" w:lineRule="auto"/>
              <w:rPr>
                <w:bCs/>
                <w:color w:val="auto"/>
                <w:szCs w:val="24"/>
              </w:rPr>
            </w:pPr>
            <w:r>
              <w:rPr>
                <w:bCs/>
                <w:color w:val="auto"/>
                <w:szCs w:val="24"/>
              </w:rPr>
              <w:t xml:space="preserve">occurred processing this file. If it does not correct itself shortly, please contact the Administrator. </w:t>
            </w:r>
          </w:p>
        </w:tc>
        <w:tc>
          <w:tcPr>
            <w:tcW w:w="1254" w:type="pct"/>
          </w:tcPr>
          <w:p w14:paraId="19AEF8E3" w14:textId="77777777" w:rsidR="00026E66" w:rsidRDefault="002737EF" w:rsidP="00FF0098">
            <w:pPr>
              <w:tabs>
                <w:tab w:val="left" w:pos="0"/>
              </w:tabs>
              <w:spacing w:after="0" w:line="256" w:lineRule="auto"/>
              <w:rPr>
                <w:bCs/>
                <w:color w:val="auto"/>
                <w:szCs w:val="24"/>
              </w:rPr>
            </w:pPr>
            <w:r>
              <w:rPr>
                <w:bCs/>
                <w:color w:val="auto"/>
                <w:szCs w:val="24"/>
              </w:rPr>
              <w:t xml:space="preserve">Contact the Environment Agency if the error persists. </w:t>
            </w:r>
          </w:p>
        </w:tc>
      </w:tr>
    </w:tbl>
    <w:p w14:paraId="48BDEE61" w14:textId="77777777" w:rsidR="00026E66" w:rsidRDefault="002737EF" w:rsidP="00FF0098">
      <w:pPr>
        <w:tabs>
          <w:tab w:val="left" w:pos="0"/>
        </w:tabs>
      </w:pPr>
      <w:r>
        <w:t>Once successfully submitted, the reporting workbook will be locked. The sector can make a request to the Environment Agency helpdesk (</w:t>
      </w:r>
      <w:hyperlink r:id="rId193" w:history="1">
        <w:r>
          <w:rPr>
            <w:rStyle w:val="Hyperlink"/>
          </w:rPr>
          <w:t>cca-help@environment-agency.gov.uk</w:t>
        </w:r>
      </w:hyperlink>
      <w:r>
        <w:t xml:space="preserve">) to unlock any report that needs editing prior to the 1 May deadline. After the 1 May the Environment Agency will review and approve the reports, which will generate </w:t>
      </w:r>
      <w:proofErr w:type="spellStart"/>
      <w:r>
        <w:t>MoAs</w:t>
      </w:r>
      <w:proofErr w:type="spellEnd"/>
      <w:r>
        <w:t xml:space="preserve"> for buy-outs. Any that are not approved will be put on hold and the sector will be contacted. </w:t>
      </w:r>
    </w:p>
    <w:p w14:paraId="396EDC60" w14:textId="77777777" w:rsidR="00026E66" w:rsidRDefault="002737EF" w:rsidP="00FF0098">
      <w:pPr>
        <w:tabs>
          <w:tab w:val="left" w:pos="0"/>
        </w:tabs>
      </w:pPr>
      <w:r>
        <w:t xml:space="preserve">Any target units for which a submission has not been made by the 1 May deadline will not be able to submit data without permission from the Administrator. Failure to submit a report may result in a penalty and no recertification (anyone who doesn't pay the penalty may then have their agreement terminated). </w:t>
      </w:r>
    </w:p>
    <w:p w14:paraId="6D09203F" w14:textId="77777777" w:rsidR="00026E66" w:rsidRDefault="002737EF" w:rsidP="00FF0098">
      <w:pPr>
        <w:pStyle w:val="Heading2"/>
        <w:tabs>
          <w:tab w:val="left" w:pos="0"/>
        </w:tabs>
      </w:pPr>
      <w:bookmarkStart w:id="459" w:name="_Toc94718698"/>
      <w:bookmarkStart w:id="460" w:name="_Toc94088946"/>
      <w:bookmarkStart w:id="461" w:name="_Toc95211918"/>
      <w:r>
        <w:lastRenderedPageBreak/>
        <w:t>I.3 IT compatibility</w:t>
      </w:r>
      <w:bookmarkEnd w:id="459"/>
      <w:bookmarkEnd w:id="460"/>
      <w:bookmarkEnd w:id="461"/>
      <w:r>
        <w:t xml:space="preserve"> </w:t>
      </w:r>
    </w:p>
    <w:p w14:paraId="1226F4C5" w14:textId="77777777" w:rsidR="00026E66" w:rsidRDefault="002737EF" w:rsidP="00FF0098">
      <w:pPr>
        <w:tabs>
          <w:tab w:val="left" w:pos="0"/>
        </w:tabs>
      </w:pPr>
      <w:r>
        <w:t xml:space="preserve">The following web browsers are currently compatible with the target period reporting functions of the CCA register: </w:t>
      </w:r>
    </w:p>
    <w:p w14:paraId="7B88E1FC" w14:textId="77777777" w:rsidR="00026E66" w:rsidRDefault="002737EF" w:rsidP="0065356B">
      <w:pPr>
        <w:pStyle w:val="ListParagraph"/>
        <w:numPr>
          <w:ilvl w:val="0"/>
          <w:numId w:val="128"/>
        </w:numPr>
        <w:tabs>
          <w:tab w:val="left" w:pos="0"/>
        </w:tabs>
      </w:pPr>
      <w:r>
        <w:t xml:space="preserve">IE v8 and v11 (with JavaScript enabled for TPR bulk upload) </w:t>
      </w:r>
    </w:p>
    <w:p w14:paraId="4D527822" w14:textId="77777777" w:rsidR="00026E66" w:rsidRDefault="002737EF" w:rsidP="0065356B">
      <w:pPr>
        <w:pStyle w:val="ListParagraph"/>
        <w:numPr>
          <w:ilvl w:val="0"/>
          <w:numId w:val="128"/>
        </w:numPr>
        <w:tabs>
          <w:tab w:val="left" w:pos="0"/>
        </w:tabs>
      </w:pPr>
      <w:r>
        <w:t xml:space="preserve">Firefox v32 (with JavaScript enabled for TPR bulk upload) </w:t>
      </w:r>
    </w:p>
    <w:p w14:paraId="6FD7864B" w14:textId="77777777" w:rsidR="00026E66" w:rsidRDefault="002737EF" w:rsidP="0065356B">
      <w:pPr>
        <w:pStyle w:val="ListParagraph"/>
        <w:numPr>
          <w:ilvl w:val="0"/>
          <w:numId w:val="128"/>
        </w:numPr>
        <w:tabs>
          <w:tab w:val="left" w:pos="0"/>
        </w:tabs>
      </w:pPr>
      <w:r>
        <w:t xml:space="preserve">Chrome v37 (with JavaScript enabled for TPR bulk upload) </w:t>
      </w:r>
    </w:p>
    <w:p w14:paraId="3A47D233" w14:textId="77777777" w:rsidR="00026E66" w:rsidRDefault="002737EF" w:rsidP="0065356B">
      <w:pPr>
        <w:pStyle w:val="ListParagraph"/>
        <w:numPr>
          <w:ilvl w:val="0"/>
          <w:numId w:val="128"/>
        </w:numPr>
        <w:tabs>
          <w:tab w:val="left" w:pos="0"/>
        </w:tabs>
      </w:pPr>
      <w:r>
        <w:t xml:space="preserve">Safari v5 (with JavaScript enabled for TPR bulk upload) </w:t>
      </w:r>
    </w:p>
    <w:p w14:paraId="7057B82E" w14:textId="77777777" w:rsidR="00026E66" w:rsidRDefault="002737EF" w:rsidP="00FF0098">
      <w:pPr>
        <w:tabs>
          <w:tab w:val="left" w:pos="0"/>
        </w:tabs>
      </w:pPr>
      <w:r>
        <w:t>Note: JavaScript must be enabled to allow the bulk upload of reporting workbooks.</w:t>
      </w:r>
    </w:p>
    <w:p w14:paraId="7041ABC1" w14:textId="77777777" w:rsidR="00026E66" w:rsidRDefault="002737EF" w:rsidP="00FF0098">
      <w:pPr>
        <w:tabs>
          <w:tab w:val="left" w:pos="0"/>
        </w:tabs>
      </w:pPr>
      <w:r>
        <w:t>The reporting workbooks are compatible with Microsoft Excel 2003 and above. For target units with more than 250 facilities, it will be necessary to use Microsoft Excel 2007 and above.</w:t>
      </w:r>
    </w:p>
    <w:p w14:paraId="2266EC73" w14:textId="77777777" w:rsidR="00026E66" w:rsidRDefault="002737EF" w:rsidP="00FF0098">
      <w:pPr>
        <w:pStyle w:val="Heading2"/>
        <w:tabs>
          <w:tab w:val="left" w:pos="0"/>
        </w:tabs>
      </w:pPr>
      <w:bookmarkStart w:id="462" w:name="_Toc94718699"/>
      <w:bookmarkStart w:id="463" w:name="_Toc94088947"/>
      <w:bookmarkStart w:id="464" w:name="_Toc95211919"/>
      <w:r>
        <w:t>I.4 Register information</w:t>
      </w:r>
      <w:bookmarkEnd w:id="462"/>
      <w:bookmarkEnd w:id="463"/>
      <w:bookmarkEnd w:id="464"/>
      <w:r>
        <w:t xml:space="preserve"> </w:t>
      </w:r>
    </w:p>
    <w:p w14:paraId="6189A974" w14:textId="77777777" w:rsidR="00026E66" w:rsidRDefault="002737EF" w:rsidP="00FF0098">
      <w:pPr>
        <w:tabs>
          <w:tab w:val="left" w:pos="0"/>
        </w:tabs>
      </w:pPr>
      <w:r>
        <w:t xml:space="preserve">Following the submission of a report, sectors will be able to follow whether a target unit has been de-certified or re-certified by viewing the target unit details screen on the register. </w:t>
      </w:r>
    </w:p>
    <w:p w14:paraId="7936B163" w14:textId="77777777" w:rsidR="00026E66" w:rsidRDefault="002737EF" w:rsidP="00FF0098">
      <w:pPr>
        <w:pStyle w:val="Heading2"/>
        <w:tabs>
          <w:tab w:val="left" w:pos="0"/>
        </w:tabs>
      </w:pPr>
      <w:bookmarkStart w:id="465" w:name="_Toc94718700"/>
      <w:bookmarkStart w:id="466" w:name="_Toc94088948"/>
      <w:bookmarkStart w:id="467" w:name="_Toc95211920"/>
      <w:r>
        <w:t>I.5 Secondary reporting</w:t>
      </w:r>
      <w:bookmarkEnd w:id="465"/>
      <w:bookmarkEnd w:id="466"/>
      <w:bookmarkEnd w:id="467"/>
      <w:r>
        <w:t xml:space="preserve"> </w:t>
      </w:r>
    </w:p>
    <w:p w14:paraId="42401289" w14:textId="391095A0" w:rsidR="00917C55" w:rsidRDefault="002737EF" w:rsidP="007A7512">
      <w:r>
        <w:t>Any amendments required to the reported performance or target of a target unit after the 1 July, because of an audit of a facility connected with the target unit or the discovery of errors, will trigger the need for secondary reporting and require the completion of a secondary buy-out reporting workbook, as shown below.</w:t>
      </w:r>
    </w:p>
    <w:p w14:paraId="4C48E408" w14:textId="77777777" w:rsidR="00917C55" w:rsidRDefault="00917C55">
      <w:pPr>
        <w:suppressAutoHyphens w:val="0"/>
        <w:spacing w:before="0" w:beforeAutospacing="0" w:after="160" w:afterAutospacing="0" w:line="256" w:lineRule="auto"/>
      </w:pPr>
      <w:r>
        <w:br w:type="page"/>
      </w:r>
    </w:p>
    <w:p w14:paraId="2F13D714" w14:textId="7FBEC7E1" w:rsidR="00026E66" w:rsidRPr="002737EF" w:rsidRDefault="002737EF" w:rsidP="00FF0098">
      <w:pPr>
        <w:tabs>
          <w:tab w:val="left" w:pos="0"/>
        </w:tabs>
        <w:rPr>
          <w:b/>
          <w:bCs/>
        </w:rPr>
      </w:pPr>
      <w:r w:rsidRPr="002737EF">
        <w:rPr>
          <w:b/>
          <w:bCs/>
        </w:rPr>
        <w:lastRenderedPageBreak/>
        <w:t xml:space="preserve">Section 5: Supplementary MOA </w:t>
      </w:r>
      <w:r w:rsidR="003E7462">
        <w:rPr>
          <w:b/>
          <w:bCs/>
        </w:rPr>
        <w:t>s</w:t>
      </w:r>
      <w:r w:rsidRPr="002737EF">
        <w:rPr>
          <w:b/>
          <w:bCs/>
        </w:rPr>
        <w:t xml:space="preserve">urplus and </w:t>
      </w:r>
      <w:r w:rsidR="003E7462">
        <w:rPr>
          <w:b/>
          <w:bCs/>
        </w:rPr>
        <w:t>b</w:t>
      </w:r>
      <w:r w:rsidRPr="002737EF">
        <w:rPr>
          <w:b/>
          <w:bCs/>
        </w:rPr>
        <w:t>uy-</w:t>
      </w:r>
      <w:r w:rsidR="003E7462">
        <w:rPr>
          <w:b/>
          <w:bCs/>
        </w:rPr>
        <w:t>o</w:t>
      </w:r>
      <w:r w:rsidRPr="002737EF">
        <w:rPr>
          <w:b/>
          <w:bCs/>
        </w:rPr>
        <w:t xml:space="preserve">ut </w:t>
      </w:r>
    </w:p>
    <w:tbl>
      <w:tblPr>
        <w:tblW w:w="9214" w:type="dxa"/>
        <w:tblCellMar>
          <w:left w:w="10" w:type="dxa"/>
          <w:right w:w="10" w:type="dxa"/>
        </w:tblCellMar>
        <w:tblLook w:val="0000" w:firstRow="0" w:lastRow="0" w:firstColumn="0" w:lastColumn="0" w:noHBand="0" w:noVBand="0"/>
      </w:tblPr>
      <w:tblGrid>
        <w:gridCol w:w="1810"/>
        <w:gridCol w:w="6068"/>
        <w:gridCol w:w="1336"/>
      </w:tblGrid>
      <w:tr w:rsidR="00026E66" w14:paraId="2E35E554" w14:textId="77777777" w:rsidTr="00F22E60">
        <w:trPr>
          <w:trHeight w:val="280"/>
        </w:trPr>
        <w:tc>
          <w:tcPr>
            <w:tcW w:w="1810" w:type="dxa"/>
            <w:vMerge w:val="restart"/>
            <w:tcBorders>
              <w:top w:val="single" w:sz="6" w:space="0" w:color="000000"/>
              <w:right w:val="single" w:sz="6" w:space="0" w:color="000000"/>
            </w:tcBorders>
            <w:shd w:val="clear" w:color="auto" w:fill="B09FC6"/>
            <w:tcMar>
              <w:top w:w="46" w:type="dxa"/>
              <w:left w:w="0" w:type="dxa"/>
              <w:bottom w:w="0" w:type="dxa"/>
              <w:right w:w="16" w:type="dxa"/>
            </w:tcMar>
          </w:tcPr>
          <w:p w14:paraId="700A2028" w14:textId="623D3061" w:rsidR="00026E66" w:rsidRDefault="002737EF" w:rsidP="00F22E60">
            <w:pPr>
              <w:tabs>
                <w:tab w:val="left" w:pos="0"/>
              </w:tabs>
              <w:spacing w:after="0" w:line="256" w:lineRule="auto"/>
            </w:pPr>
            <w:r>
              <w:rPr>
                <w:b/>
                <w:color w:val="auto"/>
              </w:rPr>
              <w:t>Carbon Calculations</w:t>
            </w:r>
            <w:r>
              <w:rPr>
                <w:color w:val="auto"/>
              </w:rPr>
              <w:t xml:space="preserve"> </w:t>
            </w:r>
          </w:p>
        </w:tc>
        <w:tc>
          <w:tcPr>
            <w:tcW w:w="6068" w:type="dxa"/>
            <w:tcBorders>
              <w:top w:val="single" w:sz="6" w:space="0" w:color="000000"/>
              <w:left w:val="single" w:sz="6" w:space="0" w:color="000000"/>
              <w:bottom w:val="single" w:sz="8" w:space="0" w:color="000000"/>
              <w:right w:val="single" w:sz="6" w:space="0" w:color="000000"/>
            </w:tcBorders>
            <w:shd w:val="clear" w:color="auto" w:fill="B09FC6"/>
            <w:tcMar>
              <w:top w:w="46" w:type="dxa"/>
              <w:left w:w="0" w:type="dxa"/>
              <w:bottom w:w="0" w:type="dxa"/>
              <w:right w:w="16" w:type="dxa"/>
            </w:tcMar>
          </w:tcPr>
          <w:p w14:paraId="4F809046" w14:textId="77777777" w:rsidR="00026E66" w:rsidRDefault="002737EF" w:rsidP="00FF0098">
            <w:pPr>
              <w:tabs>
                <w:tab w:val="left" w:pos="0"/>
              </w:tabs>
              <w:spacing w:after="0" w:line="256" w:lineRule="auto"/>
            </w:pPr>
            <w:r>
              <w:rPr>
                <w:b/>
                <w:color w:val="auto"/>
              </w:rPr>
              <w:t>Target period energy to Carbon factor (tonne C/)</w:t>
            </w:r>
            <w:r>
              <w:rPr>
                <w:color w:val="auto"/>
              </w:rPr>
              <w:t xml:space="preserve"> </w:t>
            </w:r>
          </w:p>
        </w:tc>
        <w:tc>
          <w:tcPr>
            <w:tcW w:w="1336" w:type="dxa"/>
            <w:tcBorders>
              <w:top w:val="single" w:sz="6" w:space="0" w:color="000000"/>
              <w:left w:val="single" w:sz="6" w:space="0" w:color="000000"/>
              <w:bottom w:val="single" w:sz="8" w:space="0" w:color="000000"/>
              <w:right w:val="single" w:sz="6" w:space="0" w:color="000000"/>
            </w:tcBorders>
            <w:shd w:val="clear" w:color="auto" w:fill="E16B09"/>
            <w:tcMar>
              <w:top w:w="46" w:type="dxa"/>
              <w:left w:w="0" w:type="dxa"/>
              <w:bottom w:w="0" w:type="dxa"/>
              <w:right w:w="16" w:type="dxa"/>
            </w:tcMar>
          </w:tcPr>
          <w:p w14:paraId="122B9D15" w14:textId="77777777" w:rsidR="00026E66" w:rsidRDefault="002737EF" w:rsidP="00FF0098">
            <w:pPr>
              <w:tabs>
                <w:tab w:val="left" w:pos="0"/>
              </w:tabs>
              <w:spacing w:after="0" w:line="256" w:lineRule="auto"/>
              <w:ind w:right="7"/>
              <w:jc w:val="right"/>
              <w:rPr>
                <w:color w:val="auto"/>
              </w:rPr>
            </w:pPr>
            <w:r>
              <w:rPr>
                <w:color w:val="auto"/>
              </w:rPr>
              <w:t>0</w:t>
            </w:r>
          </w:p>
        </w:tc>
      </w:tr>
      <w:tr w:rsidR="00026E66" w14:paraId="7E2EF09B" w14:textId="77777777" w:rsidTr="00F22E60">
        <w:trPr>
          <w:trHeight w:val="282"/>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64AB91EB" w14:textId="77777777" w:rsidR="00026E66" w:rsidRDefault="00026E66" w:rsidP="00FF0098">
            <w:pPr>
              <w:tabs>
                <w:tab w:val="left" w:pos="0"/>
              </w:tabs>
              <w:spacing w:after="160" w:line="256" w:lineRule="auto"/>
              <w:rPr>
                <w:color w:val="auto"/>
              </w:rPr>
            </w:pPr>
          </w:p>
        </w:tc>
        <w:tc>
          <w:tcPr>
            <w:tcW w:w="6068" w:type="dxa"/>
            <w:tcBorders>
              <w:top w:val="single" w:sz="8"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2509CC60" w14:textId="77777777" w:rsidR="00026E66" w:rsidRDefault="002737EF" w:rsidP="00FF0098">
            <w:pPr>
              <w:tabs>
                <w:tab w:val="left" w:pos="0"/>
              </w:tabs>
              <w:spacing w:after="0" w:line="256" w:lineRule="auto"/>
            </w:pPr>
            <w:r>
              <w:rPr>
                <w:b/>
                <w:color w:val="auto"/>
              </w:rPr>
              <w:t>Equivalent Energy (for buy-out calculation) ()</w:t>
            </w:r>
            <w:r>
              <w:rPr>
                <w:color w:val="auto"/>
              </w:rPr>
              <w:t xml:space="preserve"> </w:t>
            </w:r>
          </w:p>
        </w:tc>
        <w:tc>
          <w:tcPr>
            <w:tcW w:w="1336" w:type="dxa"/>
            <w:tcBorders>
              <w:top w:val="single" w:sz="8" w:space="0" w:color="000000"/>
              <w:left w:val="single" w:sz="6" w:space="0" w:color="000000"/>
              <w:bottom w:val="single" w:sz="6" w:space="0" w:color="000000"/>
              <w:right w:val="single" w:sz="6" w:space="0" w:color="000000"/>
            </w:tcBorders>
            <w:shd w:val="clear" w:color="auto" w:fill="DA9593"/>
            <w:tcMar>
              <w:top w:w="46" w:type="dxa"/>
              <w:left w:w="0" w:type="dxa"/>
              <w:bottom w:w="0" w:type="dxa"/>
              <w:right w:w="16" w:type="dxa"/>
            </w:tcMar>
          </w:tcPr>
          <w:p w14:paraId="03F236DA" w14:textId="77777777" w:rsidR="00026E66" w:rsidRDefault="002737EF" w:rsidP="00FF0098">
            <w:pPr>
              <w:tabs>
                <w:tab w:val="left" w:pos="0"/>
              </w:tabs>
              <w:spacing w:after="0" w:line="256" w:lineRule="auto"/>
              <w:jc w:val="right"/>
              <w:rPr>
                <w:color w:val="auto"/>
              </w:rPr>
            </w:pPr>
            <w:r>
              <w:rPr>
                <w:color w:val="auto"/>
              </w:rPr>
              <w:t>0.000</w:t>
            </w:r>
          </w:p>
        </w:tc>
      </w:tr>
      <w:tr w:rsidR="00026E66" w14:paraId="5AF8C29A" w14:textId="77777777" w:rsidTr="00F22E60">
        <w:trPr>
          <w:trHeight w:val="281"/>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69D158FA"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1F4F539A" w14:textId="77777777" w:rsidR="00026E66" w:rsidRDefault="002737EF" w:rsidP="00FF0098">
            <w:pPr>
              <w:tabs>
                <w:tab w:val="left" w:pos="0"/>
              </w:tabs>
              <w:spacing w:after="0" w:line="256" w:lineRule="auto"/>
            </w:pPr>
            <w:r>
              <w:rPr>
                <w:b/>
                <w:color w:val="auto"/>
              </w:rPr>
              <w:t>Equivalent Energy (for surplus calculation) ()</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DA9593"/>
            <w:tcMar>
              <w:top w:w="46" w:type="dxa"/>
              <w:left w:w="0" w:type="dxa"/>
              <w:bottom w:w="0" w:type="dxa"/>
              <w:right w:w="16" w:type="dxa"/>
            </w:tcMar>
          </w:tcPr>
          <w:p w14:paraId="4146FA2F" w14:textId="77777777" w:rsidR="00026E66" w:rsidRDefault="002737EF" w:rsidP="00FF0098">
            <w:pPr>
              <w:tabs>
                <w:tab w:val="left" w:pos="0"/>
              </w:tabs>
              <w:spacing w:after="0" w:line="256" w:lineRule="auto"/>
              <w:jc w:val="right"/>
              <w:rPr>
                <w:color w:val="auto"/>
              </w:rPr>
            </w:pPr>
            <w:r>
              <w:rPr>
                <w:color w:val="auto"/>
              </w:rPr>
              <w:t>0.000</w:t>
            </w:r>
          </w:p>
        </w:tc>
      </w:tr>
      <w:tr w:rsidR="00026E66" w14:paraId="433D074D" w14:textId="77777777" w:rsidTr="00F22E60">
        <w:trPr>
          <w:trHeight w:val="366"/>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144E6C82"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1FA5738C" w14:textId="77777777" w:rsidR="00026E66" w:rsidRDefault="002737EF" w:rsidP="00FF0098">
            <w:pPr>
              <w:tabs>
                <w:tab w:val="left" w:pos="0"/>
              </w:tabs>
              <w:spacing w:after="0" w:line="256" w:lineRule="auto"/>
            </w:pPr>
            <w:r>
              <w:rPr>
                <w:b/>
                <w:color w:val="auto"/>
              </w:rPr>
              <w:t>Target Period (2 years) Carbon emitted (tonne CO</w:t>
            </w:r>
            <w:r>
              <w:rPr>
                <w:b/>
                <w:color w:val="auto"/>
                <w:vertAlign w:val="subscript"/>
              </w:rPr>
              <w:t>2</w:t>
            </w:r>
            <w:r>
              <w:rPr>
                <w:b/>
                <w:color w:val="auto"/>
              </w:rPr>
              <w:t>)</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E16B09"/>
            <w:tcMar>
              <w:top w:w="46" w:type="dxa"/>
              <w:left w:w="0" w:type="dxa"/>
              <w:bottom w:w="0" w:type="dxa"/>
              <w:right w:w="16" w:type="dxa"/>
            </w:tcMar>
          </w:tcPr>
          <w:p w14:paraId="294E7DCE" w14:textId="77777777" w:rsidR="00026E66" w:rsidRDefault="002737EF" w:rsidP="00FF0098">
            <w:pPr>
              <w:tabs>
                <w:tab w:val="left" w:pos="0"/>
              </w:tabs>
              <w:spacing w:after="0" w:line="256" w:lineRule="auto"/>
              <w:jc w:val="right"/>
              <w:rPr>
                <w:color w:val="auto"/>
              </w:rPr>
            </w:pPr>
            <w:r>
              <w:rPr>
                <w:color w:val="auto"/>
              </w:rPr>
              <w:t>0.000</w:t>
            </w:r>
          </w:p>
        </w:tc>
      </w:tr>
      <w:tr w:rsidR="00026E66" w14:paraId="44C1460D" w14:textId="77777777" w:rsidTr="00F22E60">
        <w:trPr>
          <w:trHeight w:val="352"/>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174DE90C"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22F21D32" w14:textId="77777777" w:rsidR="00026E66" w:rsidRDefault="002737EF" w:rsidP="00FF0098">
            <w:pPr>
              <w:tabs>
                <w:tab w:val="left" w:pos="0"/>
              </w:tabs>
              <w:spacing w:after="0" w:line="256" w:lineRule="auto"/>
            </w:pPr>
            <w:r>
              <w:rPr>
                <w:b/>
                <w:color w:val="auto"/>
              </w:rPr>
              <w:t>Total target period Buy-out required (tonne CO</w:t>
            </w:r>
            <w:r>
              <w:rPr>
                <w:b/>
                <w:color w:val="auto"/>
                <w:vertAlign w:val="subscript"/>
              </w:rPr>
              <w:t>2</w:t>
            </w:r>
            <w:r>
              <w:rPr>
                <w:b/>
                <w:color w:val="auto"/>
              </w:rPr>
              <w:t>)</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E16B09"/>
            <w:tcMar>
              <w:top w:w="46" w:type="dxa"/>
              <w:left w:w="0" w:type="dxa"/>
              <w:bottom w:w="0" w:type="dxa"/>
              <w:right w:w="16" w:type="dxa"/>
            </w:tcMar>
          </w:tcPr>
          <w:p w14:paraId="3D56C49B" w14:textId="77777777" w:rsidR="00026E66" w:rsidRDefault="002737EF" w:rsidP="00FF0098">
            <w:pPr>
              <w:tabs>
                <w:tab w:val="left" w:pos="0"/>
              </w:tabs>
              <w:spacing w:after="0" w:line="256" w:lineRule="auto"/>
              <w:ind w:right="7"/>
              <w:jc w:val="right"/>
              <w:rPr>
                <w:color w:val="auto"/>
              </w:rPr>
            </w:pPr>
            <w:r>
              <w:rPr>
                <w:color w:val="auto"/>
              </w:rPr>
              <w:t>0</w:t>
            </w:r>
          </w:p>
        </w:tc>
      </w:tr>
      <w:tr w:rsidR="00026E66" w14:paraId="744FF163" w14:textId="77777777" w:rsidTr="00F22E60">
        <w:trPr>
          <w:trHeight w:val="281"/>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45A92F19"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0680ABC6" w14:textId="77777777" w:rsidR="00026E66" w:rsidRDefault="002737EF" w:rsidP="00FF0098">
            <w:pPr>
              <w:tabs>
                <w:tab w:val="left" w:pos="0"/>
              </w:tabs>
              <w:spacing w:after="0" w:line="256" w:lineRule="auto"/>
            </w:pPr>
            <w:r>
              <w:rPr>
                <w:b/>
                <w:color w:val="auto"/>
              </w:rPr>
              <w:t>Previous Buy-out required after use of surplus (tonne CO</w:t>
            </w:r>
            <w:r>
              <w:rPr>
                <w:b/>
                <w:color w:val="auto"/>
                <w:vertAlign w:val="subscript"/>
              </w:rPr>
              <w:t>2</w:t>
            </w:r>
            <w:r>
              <w:rPr>
                <w:b/>
                <w:color w:val="auto"/>
              </w:rPr>
              <w:t>)</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B8CCE3"/>
            <w:tcMar>
              <w:top w:w="46" w:type="dxa"/>
              <w:left w:w="0" w:type="dxa"/>
              <w:bottom w:w="0" w:type="dxa"/>
              <w:right w:w="16" w:type="dxa"/>
            </w:tcMar>
          </w:tcPr>
          <w:p w14:paraId="114A8EAB" w14:textId="77777777" w:rsidR="00026E66" w:rsidRDefault="002737EF" w:rsidP="00FF0098">
            <w:pPr>
              <w:tabs>
                <w:tab w:val="left" w:pos="0"/>
              </w:tabs>
              <w:spacing w:after="0" w:line="256" w:lineRule="auto"/>
              <w:rPr>
                <w:color w:val="auto"/>
              </w:rPr>
            </w:pPr>
            <w:r>
              <w:rPr>
                <w:color w:val="auto"/>
              </w:rPr>
              <w:t xml:space="preserve"> </w:t>
            </w:r>
          </w:p>
        </w:tc>
      </w:tr>
      <w:tr w:rsidR="00026E66" w14:paraId="2212E5C4" w14:textId="77777777" w:rsidTr="00F22E60">
        <w:trPr>
          <w:trHeight w:val="281"/>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39EC56CE"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3ACAEFC8" w14:textId="77777777" w:rsidR="00026E66" w:rsidRDefault="002737EF" w:rsidP="00FF0098">
            <w:pPr>
              <w:tabs>
                <w:tab w:val="left" w:pos="0"/>
              </w:tabs>
              <w:spacing w:after="0" w:line="256" w:lineRule="auto"/>
            </w:pPr>
            <w:r>
              <w:rPr>
                <w:b/>
                <w:color w:val="auto"/>
              </w:rPr>
              <w:t>Previous surplus CO2 used (tonne CO</w:t>
            </w:r>
            <w:r>
              <w:rPr>
                <w:b/>
                <w:color w:val="auto"/>
                <w:vertAlign w:val="subscript"/>
              </w:rPr>
              <w:t>2</w:t>
            </w:r>
            <w:r>
              <w:rPr>
                <w:b/>
                <w:color w:val="auto"/>
              </w:rPr>
              <w:t>)</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B8CCE3"/>
            <w:tcMar>
              <w:top w:w="46" w:type="dxa"/>
              <w:left w:w="0" w:type="dxa"/>
              <w:bottom w:w="0" w:type="dxa"/>
              <w:right w:w="16" w:type="dxa"/>
            </w:tcMar>
          </w:tcPr>
          <w:p w14:paraId="165DA86C" w14:textId="77777777" w:rsidR="00026E66" w:rsidRDefault="002737EF" w:rsidP="00FF0098">
            <w:pPr>
              <w:tabs>
                <w:tab w:val="left" w:pos="0"/>
              </w:tabs>
              <w:spacing w:after="0" w:line="256" w:lineRule="auto"/>
              <w:rPr>
                <w:color w:val="auto"/>
              </w:rPr>
            </w:pPr>
            <w:r>
              <w:rPr>
                <w:color w:val="auto"/>
              </w:rPr>
              <w:t xml:space="preserve"> </w:t>
            </w:r>
          </w:p>
        </w:tc>
      </w:tr>
      <w:tr w:rsidR="00026E66" w14:paraId="1A7DA0EF" w14:textId="77777777" w:rsidTr="00F22E60">
        <w:trPr>
          <w:trHeight w:val="284"/>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4A056253"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8" w:space="0" w:color="000000"/>
              <w:right w:val="single" w:sz="6" w:space="0" w:color="000000"/>
            </w:tcBorders>
            <w:shd w:val="clear" w:color="auto" w:fill="B09FC6"/>
            <w:tcMar>
              <w:top w:w="46" w:type="dxa"/>
              <w:left w:w="0" w:type="dxa"/>
              <w:bottom w:w="0" w:type="dxa"/>
              <w:right w:w="16" w:type="dxa"/>
            </w:tcMar>
          </w:tcPr>
          <w:p w14:paraId="4B99E6FD" w14:textId="77777777" w:rsidR="00026E66" w:rsidRDefault="002737EF" w:rsidP="00FF0098">
            <w:pPr>
              <w:tabs>
                <w:tab w:val="left" w:pos="0"/>
              </w:tabs>
              <w:spacing w:after="0" w:line="256" w:lineRule="auto"/>
            </w:pPr>
            <w:r>
              <w:rPr>
                <w:b/>
                <w:color w:val="auto"/>
              </w:rPr>
              <w:t>Surplus CO</w:t>
            </w:r>
            <w:r>
              <w:rPr>
                <w:b/>
                <w:color w:val="auto"/>
                <w:vertAlign w:val="subscript"/>
              </w:rPr>
              <w:t xml:space="preserve">2 </w:t>
            </w:r>
            <w:r>
              <w:rPr>
                <w:b/>
                <w:color w:val="auto"/>
              </w:rPr>
              <w:t>gained in TP (tonne CO</w:t>
            </w:r>
            <w:r>
              <w:rPr>
                <w:b/>
                <w:color w:val="auto"/>
                <w:vertAlign w:val="subscript"/>
              </w:rPr>
              <w:t>2</w:t>
            </w:r>
            <w:r>
              <w:rPr>
                <w:b/>
                <w:color w:val="auto"/>
              </w:rPr>
              <w:t>)</w:t>
            </w:r>
            <w:r>
              <w:rPr>
                <w:color w:val="auto"/>
              </w:rPr>
              <w:t xml:space="preserve"> </w:t>
            </w:r>
          </w:p>
        </w:tc>
        <w:tc>
          <w:tcPr>
            <w:tcW w:w="1336" w:type="dxa"/>
            <w:tcBorders>
              <w:top w:val="single" w:sz="6" w:space="0" w:color="000000"/>
              <w:left w:val="single" w:sz="6" w:space="0" w:color="000000"/>
              <w:bottom w:val="single" w:sz="8" w:space="0" w:color="000000"/>
              <w:right w:val="single" w:sz="6" w:space="0" w:color="000000"/>
            </w:tcBorders>
            <w:shd w:val="clear" w:color="auto" w:fill="B8CCE3"/>
            <w:tcMar>
              <w:top w:w="46" w:type="dxa"/>
              <w:left w:w="0" w:type="dxa"/>
              <w:bottom w:w="0" w:type="dxa"/>
              <w:right w:w="16" w:type="dxa"/>
            </w:tcMar>
          </w:tcPr>
          <w:p w14:paraId="6A3F53C5" w14:textId="77777777" w:rsidR="00026E66" w:rsidRDefault="002737EF" w:rsidP="00FF0098">
            <w:pPr>
              <w:tabs>
                <w:tab w:val="left" w:pos="0"/>
              </w:tabs>
              <w:spacing w:after="0" w:line="256" w:lineRule="auto"/>
              <w:rPr>
                <w:color w:val="auto"/>
              </w:rPr>
            </w:pPr>
            <w:r>
              <w:rPr>
                <w:color w:val="auto"/>
              </w:rPr>
              <w:t xml:space="preserve"> </w:t>
            </w:r>
          </w:p>
        </w:tc>
      </w:tr>
      <w:tr w:rsidR="00026E66" w14:paraId="2D4CB23B" w14:textId="77777777" w:rsidTr="00F22E60">
        <w:trPr>
          <w:trHeight w:val="280"/>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6093A7AC" w14:textId="77777777" w:rsidR="00026E66" w:rsidRDefault="00026E66" w:rsidP="00FF0098">
            <w:pPr>
              <w:tabs>
                <w:tab w:val="left" w:pos="0"/>
              </w:tabs>
              <w:spacing w:after="160" w:line="256" w:lineRule="auto"/>
              <w:rPr>
                <w:color w:val="auto"/>
              </w:rPr>
            </w:pPr>
          </w:p>
        </w:tc>
        <w:tc>
          <w:tcPr>
            <w:tcW w:w="6068" w:type="dxa"/>
            <w:tcBorders>
              <w:top w:val="single" w:sz="8"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1B9449D4" w14:textId="77777777" w:rsidR="00026E66" w:rsidRDefault="002737EF" w:rsidP="00FF0098">
            <w:pPr>
              <w:tabs>
                <w:tab w:val="left" w:pos="0"/>
              </w:tabs>
              <w:spacing w:after="0" w:line="256" w:lineRule="auto"/>
            </w:pPr>
            <w:r>
              <w:rPr>
                <w:b/>
                <w:color w:val="auto"/>
              </w:rPr>
              <w:t>Secondary Buy-out required (tonne CO</w:t>
            </w:r>
            <w:r>
              <w:rPr>
                <w:b/>
                <w:color w:val="auto"/>
                <w:vertAlign w:val="subscript"/>
              </w:rPr>
              <w:t>2</w:t>
            </w:r>
            <w:r>
              <w:rPr>
                <w:b/>
                <w:color w:val="auto"/>
              </w:rPr>
              <w:t>)</w:t>
            </w:r>
            <w:r>
              <w:rPr>
                <w:color w:val="auto"/>
              </w:rPr>
              <w:t xml:space="preserve"> </w:t>
            </w:r>
          </w:p>
        </w:tc>
        <w:tc>
          <w:tcPr>
            <w:tcW w:w="1336" w:type="dxa"/>
            <w:tcBorders>
              <w:top w:val="single" w:sz="8" w:space="0" w:color="000000"/>
              <w:left w:val="single" w:sz="6" w:space="0" w:color="000000"/>
              <w:bottom w:val="single" w:sz="6" w:space="0" w:color="000000"/>
              <w:right w:val="single" w:sz="6" w:space="0" w:color="000000"/>
            </w:tcBorders>
            <w:shd w:val="clear" w:color="auto" w:fill="E16B09"/>
            <w:tcMar>
              <w:top w:w="46" w:type="dxa"/>
              <w:left w:w="0" w:type="dxa"/>
              <w:bottom w:w="0" w:type="dxa"/>
              <w:right w:w="16" w:type="dxa"/>
            </w:tcMar>
          </w:tcPr>
          <w:p w14:paraId="22E1036A" w14:textId="77777777" w:rsidR="00026E66" w:rsidRDefault="002737EF" w:rsidP="00FF0098">
            <w:pPr>
              <w:tabs>
                <w:tab w:val="left" w:pos="0"/>
              </w:tabs>
              <w:spacing w:after="0" w:line="256" w:lineRule="auto"/>
              <w:ind w:right="7"/>
              <w:jc w:val="right"/>
              <w:rPr>
                <w:color w:val="auto"/>
              </w:rPr>
            </w:pPr>
            <w:r>
              <w:rPr>
                <w:color w:val="auto"/>
              </w:rPr>
              <w:t>0</w:t>
            </w:r>
          </w:p>
        </w:tc>
      </w:tr>
      <w:tr w:rsidR="00026E66" w14:paraId="0304B023" w14:textId="77777777" w:rsidTr="00F22E60">
        <w:trPr>
          <w:trHeight w:val="280"/>
        </w:trPr>
        <w:tc>
          <w:tcPr>
            <w:tcW w:w="1810" w:type="dxa"/>
            <w:vMerge/>
            <w:tcBorders>
              <w:top w:val="single" w:sz="6" w:space="0" w:color="000000"/>
              <w:right w:val="single" w:sz="6" w:space="0" w:color="000000"/>
            </w:tcBorders>
            <w:shd w:val="clear" w:color="auto" w:fill="B09FC6"/>
            <w:tcMar>
              <w:top w:w="46" w:type="dxa"/>
              <w:left w:w="0" w:type="dxa"/>
              <w:bottom w:w="0" w:type="dxa"/>
              <w:right w:w="16" w:type="dxa"/>
            </w:tcMar>
          </w:tcPr>
          <w:p w14:paraId="725E482A" w14:textId="77777777" w:rsidR="00026E66" w:rsidRDefault="00026E66" w:rsidP="00FF0098">
            <w:pPr>
              <w:tabs>
                <w:tab w:val="left" w:pos="0"/>
              </w:tabs>
              <w:spacing w:after="160" w:line="256" w:lineRule="auto"/>
              <w:rPr>
                <w:color w:val="auto"/>
              </w:rPr>
            </w:pPr>
          </w:p>
        </w:tc>
        <w:tc>
          <w:tcPr>
            <w:tcW w:w="6068" w:type="dxa"/>
            <w:tcBorders>
              <w:top w:val="single" w:sz="6" w:space="0" w:color="000000"/>
              <w:left w:val="single" w:sz="6" w:space="0" w:color="000000"/>
              <w:bottom w:val="single" w:sz="6" w:space="0" w:color="000000"/>
              <w:right w:val="single" w:sz="6" w:space="0" w:color="000000"/>
            </w:tcBorders>
            <w:shd w:val="clear" w:color="auto" w:fill="B09FC6"/>
            <w:tcMar>
              <w:top w:w="46" w:type="dxa"/>
              <w:left w:w="0" w:type="dxa"/>
              <w:bottom w:w="0" w:type="dxa"/>
              <w:right w:w="16" w:type="dxa"/>
            </w:tcMar>
          </w:tcPr>
          <w:p w14:paraId="26035F15" w14:textId="77777777" w:rsidR="00026E66" w:rsidRDefault="002737EF" w:rsidP="00FF0098">
            <w:pPr>
              <w:tabs>
                <w:tab w:val="left" w:pos="0"/>
              </w:tabs>
              <w:spacing w:after="0" w:line="256" w:lineRule="auto"/>
            </w:pPr>
            <w:r>
              <w:rPr>
                <w:b/>
                <w:color w:val="auto"/>
              </w:rPr>
              <w:t>Secondary Buy-out Cost or Refund (£)</w:t>
            </w:r>
            <w:r>
              <w:rPr>
                <w:color w:val="auto"/>
              </w:rPr>
              <w:t xml:space="preserve"> </w:t>
            </w:r>
          </w:p>
        </w:tc>
        <w:tc>
          <w:tcPr>
            <w:tcW w:w="1336" w:type="dxa"/>
            <w:tcBorders>
              <w:top w:val="single" w:sz="6" w:space="0" w:color="000000"/>
              <w:left w:val="single" w:sz="6" w:space="0" w:color="000000"/>
              <w:bottom w:val="single" w:sz="6" w:space="0" w:color="000000"/>
              <w:right w:val="single" w:sz="6" w:space="0" w:color="000000"/>
            </w:tcBorders>
            <w:shd w:val="clear" w:color="auto" w:fill="E16B09"/>
            <w:tcMar>
              <w:top w:w="46" w:type="dxa"/>
              <w:left w:w="0" w:type="dxa"/>
              <w:bottom w:w="0" w:type="dxa"/>
              <w:right w:w="16" w:type="dxa"/>
            </w:tcMar>
          </w:tcPr>
          <w:p w14:paraId="6A636ACA" w14:textId="77777777" w:rsidR="00026E66" w:rsidRDefault="002737EF" w:rsidP="00FF0098">
            <w:pPr>
              <w:tabs>
                <w:tab w:val="left" w:pos="0"/>
              </w:tabs>
              <w:spacing w:after="0" w:line="256" w:lineRule="auto"/>
              <w:ind w:right="2"/>
              <w:jc w:val="right"/>
              <w:rPr>
                <w:color w:val="auto"/>
              </w:rPr>
            </w:pPr>
            <w:r>
              <w:rPr>
                <w:color w:val="auto"/>
              </w:rPr>
              <w:t>£0</w:t>
            </w:r>
          </w:p>
        </w:tc>
      </w:tr>
    </w:tbl>
    <w:p w14:paraId="3EC187DF" w14:textId="5516C284" w:rsidR="00026E66" w:rsidRDefault="002737EF" w:rsidP="007A7512">
      <w:r>
        <w:t xml:space="preserve">Surplus cannot be used to meet any shortfall between revised performance and revised target during secondary reporting. Any remaining deficit against the target will generate a secondary buy- out. Any buy-out paid for as part of the initial reporting will be </w:t>
      </w:r>
      <w:proofErr w:type="gramStart"/>
      <w:r>
        <w:t>taken into account</w:t>
      </w:r>
      <w:proofErr w:type="gramEnd"/>
      <w:r>
        <w:t xml:space="preserve"> when calculating the secondary buy-out. However, a penalty may also be issued for misreporting. No surplus can be generated from secondary reporting. However, if secondary reporting shows that too much buy-out was paid during initial reporting then the Administrator will send a letter stating the over-payment value to the operator who must then make a claim for this amount from BEIS.</w:t>
      </w:r>
    </w:p>
    <w:sectPr w:rsidR="00026E66" w:rsidSect="007A7512">
      <w:headerReference w:type="default" r:id="rId194"/>
      <w:footerReference w:type="default" r:id="rId195"/>
      <w:headerReference w:type="first" r:id="rId196"/>
      <w:footerReference w:type="first" r:id="rId197"/>
      <w:footnotePr>
        <w:numRestart w:val="eachPage"/>
      </w:footnotePr>
      <w:pgSz w:w="11899" w:h="16841"/>
      <w:pgMar w:top="1440" w:right="1126" w:bottom="1440"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83221" w14:textId="77777777" w:rsidR="00693C4E" w:rsidRDefault="00693C4E">
      <w:pPr>
        <w:spacing w:after="0"/>
      </w:pPr>
      <w:r>
        <w:separator/>
      </w:r>
    </w:p>
  </w:endnote>
  <w:endnote w:type="continuationSeparator" w:id="0">
    <w:p w14:paraId="4AA40CB6" w14:textId="77777777" w:rsidR="00693C4E" w:rsidRDefault="00693C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1D95" w14:textId="77777777" w:rsidR="001049E0" w:rsidRDefault="00104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E40E" w14:textId="77777777" w:rsidR="00FF0098" w:rsidRDefault="00FF0098" w:rsidP="006A0B36">
    <w:pPr>
      <w:pStyle w:val="Footer"/>
      <w:jc w:val="right"/>
    </w:pPr>
    <w:r w:rsidRPr="00F6274F">
      <w:fldChar w:fldCharType="begin"/>
    </w:r>
    <w:r w:rsidRPr="00F6274F">
      <w:instrText xml:space="preserve"> PAGE </w:instrText>
    </w:r>
    <w:r w:rsidRPr="00F6274F">
      <w:fldChar w:fldCharType="separate"/>
    </w:r>
    <w:r>
      <w:rPr>
        <w:noProof/>
      </w:rPr>
      <w:t>12</w:t>
    </w:r>
    <w:r w:rsidRPr="00F6274F">
      <w:fldChar w:fldCharType="end"/>
    </w:r>
    <w:r w:rsidRPr="00F6274F">
      <w:t xml:space="preserve"> of </w:t>
    </w:r>
    <w:r>
      <w:rPr>
        <w:noProof/>
      </w:rPr>
      <w:fldChar w:fldCharType="begin"/>
    </w:r>
    <w:r>
      <w:rPr>
        <w:noProof/>
      </w:rPr>
      <w:instrText xml:space="preserve"> NUMPAGES  </w:instrText>
    </w:r>
    <w:r>
      <w:rPr>
        <w:noProof/>
      </w:rPr>
      <w:fldChar w:fldCharType="separate"/>
    </w:r>
    <w:r>
      <w:rPr>
        <w:noProof/>
      </w:rPr>
      <w:t>12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D35C" w14:textId="77777777" w:rsidR="001049E0" w:rsidRDefault="001049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2EBC" w14:textId="4B0C5D08" w:rsidR="00000000" w:rsidRDefault="002737EF" w:rsidP="00DD721B">
    <w:pPr>
      <w:tabs>
        <w:tab w:val="center" w:pos="0"/>
        <w:tab w:val="center" w:pos="5465"/>
        <w:tab w:val="right" w:pos="8931"/>
      </w:tabs>
      <w:spacing w:after="0" w:line="256" w:lineRule="auto"/>
    </w:pPr>
    <w:r>
      <w:rPr>
        <w:rFonts w:ascii="Calibri" w:eastAsia="Calibri" w:hAnsi="Calibri" w:cs="Calibri"/>
      </w:rPr>
      <w:tab/>
    </w:r>
    <w:r>
      <w:rPr>
        <w:rFonts w:ascii="Calibri" w:eastAsia="Calibri" w:hAnsi="Calibri" w:cs="Calibri"/>
        <w:sz w:val="20"/>
      </w:rPr>
      <w:t xml:space="preserve"> </w:t>
    </w:r>
    <w:r>
      <w:rPr>
        <w:rFonts w:ascii="Calibri" w:eastAsia="Calibri" w:hAnsi="Calibri" w:cs="Calibri"/>
        <w:sz w:val="20"/>
      </w:rPr>
      <w:tab/>
    </w:r>
    <w:r>
      <w:fldChar w:fldCharType="begin"/>
    </w:r>
    <w:r>
      <w:instrText xml:space="preserve"> PAGE </w:instrText>
    </w:r>
    <w:r>
      <w:fldChar w:fldCharType="separate"/>
    </w:r>
    <w:r>
      <w:t>9</w:t>
    </w:r>
    <w:r>
      <w:fldChar w:fldCharType="end"/>
    </w:r>
    <w:r>
      <w:t xml:space="preserve"> of </w:t>
    </w:r>
    <w:r w:rsidR="00917C55">
      <w:t>1</w:t>
    </w:r>
    <w:r w:rsidR="0007222A">
      <w:t>66</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2A8E" w14:textId="0B9E8279" w:rsidR="00000000" w:rsidRPr="009A79A4" w:rsidRDefault="009A79A4" w:rsidP="009A79A4">
    <w:pPr>
      <w:tabs>
        <w:tab w:val="center" w:pos="0"/>
        <w:tab w:val="center" w:pos="5465"/>
        <w:tab w:val="right" w:pos="8931"/>
      </w:tabs>
      <w:spacing w:after="0" w:line="256" w:lineRule="auto"/>
    </w:pPr>
    <w:r>
      <w:rPr>
        <w:rFonts w:ascii="Calibri" w:eastAsia="Calibri" w:hAnsi="Calibri" w:cs="Calibri"/>
      </w:rPr>
      <w:tab/>
    </w:r>
    <w:r>
      <w:rPr>
        <w:rFonts w:ascii="Calibri" w:eastAsia="Calibri" w:hAnsi="Calibri" w:cs="Calibri"/>
        <w:sz w:val="20"/>
      </w:rPr>
      <w:t xml:space="preserve"> </w:t>
    </w:r>
    <w:r>
      <w:rPr>
        <w:rFonts w:ascii="Calibri" w:eastAsia="Calibri" w:hAnsi="Calibri" w:cs="Calibri"/>
        <w:sz w:val="20"/>
      </w:rPr>
      <w:tab/>
    </w:r>
    <w:r>
      <w:fldChar w:fldCharType="begin"/>
    </w:r>
    <w:r>
      <w:instrText xml:space="preserve"> PAGE </w:instrText>
    </w:r>
    <w:r>
      <w:fldChar w:fldCharType="separate"/>
    </w:r>
    <w:r>
      <w:t>4</w:t>
    </w:r>
    <w:r>
      <w:fldChar w:fldCharType="end"/>
    </w:r>
    <w:r>
      <w:t xml:space="preserve"> of 170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C60E0" w14:textId="77777777" w:rsidR="00693C4E" w:rsidRDefault="00693C4E">
      <w:pPr>
        <w:spacing w:after="0"/>
      </w:pPr>
      <w:r>
        <w:separator/>
      </w:r>
    </w:p>
  </w:footnote>
  <w:footnote w:type="continuationSeparator" w:id="0">
    <w:p w14:paraId="42511EF3" w14:textId="77777777" w:rsidR="00693C4E" w:rsidRDefault="00693C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58D2" w14:textId="77777777" w:rsidR="001049E0" w:rsidRDefault="00104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0651" w14:textId="77777777" w:rsidR="001049E0" w:rsidRDefault="00104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DD1D" w14:textId="0FB0D202" w:rsidR="00FF0098" w:rsidRPr="00777F4B" w:rsidRDefault="00FF0098" w:rsidP="00777F4B">
    <w:pPr>
      <w:pStyle w:val="Header"/>
    </w:pPr>
    <w:r w:rsidRPr="00F6274F">
      <w:rPr>
        <w:noProof/>
      </w:rPr>
      <w:drawing>
        <wp:anchor distT="0" distB="0" distL="114300" distR="114300" simplePos="0" relativeHeight="251659264" behindDoc="1" locked="0" layoutInCell="1" allowOverlap="1" wp14:anchorId="0794ED31" wp14:editId="4C9F40E8">
          <wp:simplePos x="0" y="0"/>
          <wp:positionH relativeFrom="margin">
            <wp:posOffset>3908747</wp:posOffset>
          </wp:positionH>
          <wp:positionV relativeFrom="page">
            <wp:posOffset>344805</wp:posOffset>
          </wp:positionV>
          <wp:extent cx="2286573" cy="9972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741"/>
                  <a:stretch/>
                </pic:blipFill>
                <pic:spPr bwMode="auto">
                  <a:xfrm>
                    <a:off x="0" y="0"/>
                    <a:ext cx="2286573" cy="9972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8D48" w14:textId="52878209" w:rsidR="00000000" w:rsidRPr="00457B98" w:rsidRDefault="00000000" w:rsidP="00457B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CB4B7" w14:textId="0F4D15F2" w:rsidR="00000000" w:rsidRPr="00457B98" w:rsidRDefault="00000000" w:rsidP="00457B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EFF"/>
    <w:multiLevelType w:val="hybridMultilevel"/>
    <w:tmpl w:val="5F083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92D26"/>
    <w:multiLevelType w:val="multilevel"/>
    <w:tmpl w:val="AC361F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050BF8"/>
    <w:multiLevelType w:val="hybridMultilevel"/>
    <w:tmpl w:val="94D66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44A40"/>
    <w:multiLevelType w:val="hybridMultilevel"/>
    <w:tmpl w:val="5986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A75232"/>
    <w:multiLevelType w:val="hybridMultilevel"/>
    <w:tmpl w:val="13C6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CC22B7"/>
    <w:multiLevelType w:val="hybridMultilevel"/>
    <w:tmpl w:val="F11A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8D3537"/>
    <w:multiLevelType w:val="hybridMultilevel"/>
    <w:tmpl w:val="9A0E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EC6552"/>
    <w:multiLevelType w:val="hybridMultilevel"/>
    <w:tmpl w:val="B3429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6E06FD0"/>
    <w:multiLevelType w:val="hybridMultilevel"/>
    <w:tmpl w:val="BD529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71E3642"/>
    <w:multiLevelType w:val="hybridMultilevel"/>
    <w:tmpl w:val="81C4A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1F6360"/>
    <w:multiLevelType w:val="hybridMultilevel"/>
    <w:tmpl w:val="5F94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613436"/>
    <w:multiLevelType w:val="hybridMultilevel"/>
    <w:tmpl w:val="5E344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DE7E15"/>
    <w:multiLevelType w:val="hybridMultilevel"/>
    <w:tmpl w:val="9ABCA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2071BC"/>
    <w:multiLevelType w:val="hybridMultilevel"/>
    <w:tmpl w:val="19CC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82E710D"/>
    <w:multiLevelType w:val="hybridMultilevel"/>
    <w:tmpl w:val="A7F01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4A640D"/>
    <w:multiLevelType w:val="hybridMultilevel"/>
    <w:tmpl w:val="42F4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D674C7"/>
    <w:multiLevelType w:val="hybridMultilevel"/>
    <w:tmpl w:val="8E34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1E1D4D"/>
    <w:multiLevelType w:val="hybridMultilevel"/>
    <w:tmpl w:val="B1081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DF64770"/>
    <w:multiLevelType w:val="multilevel"/>
    <w:tmpl w:val="CAC0E1B8"/>
    <w:lvl w:ilvl="0">
      <w:numFmt w:val="bullet"/>
      <w:lvlText w:val="•"/>
      <w:lvlJc w:val="left"/>
      <w:pPr>
        <w:ind w:left="97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9" w15:restartNumberingAfterBreak="0">
    <w:nsid w:val="0F2F226E"/>
    <w:multiLevelType w:val="hybridMultilevel"/>
    <w:tmpl w:val="1B02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00951EF"/>
    <w:multiLevelType w:val="hybridMultilevel"/>
    <w:tmpl w:val="15D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B76670"/>
    <w:multiLevelType w:val="hybridMultilevel"/>
    <w:tmpl w:val="2CE6E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1B8740C"/>
    <w:multiLevelType w:val="hybridMultilevel"/>
    <w:tmpl w:val="A19EC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3247494"/>
    <w:multiLevelType w:val="multilevel"/>
    <w:tmpl w:val="4F62DAD6"/>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24" w15:restartNumberingAfterBreak="0">
    <w:nsid w:val="13BA09C8"/>
    <w:multiLevelType w:val="hybridMultilevel"/>
    <w:tmpl w:val="F7B46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49420BF"/>
    <w:multiLevelType w:val="hybridMultilevel"/>
    <w:tmpl w:val="CF00B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53E3230"/>
    <w:multiLevelType w:val="hybridMultilevel"/>
    <w:tmpl w:val="2DBCD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300966"/>
    <w:multiLevelType w:val="hybridMultilevel"/>
    <w:tmpl w:val="877E6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95467A2"/>
    <w:multiLevelType w:val="hybridMultilevel"/>
    <w:tmpl w:val="226A8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9656A99"/>
    <w:multiLevelType w:val="hybridMultilevel"/>
    <w:tmpl w:val="8A16F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98956FD"/>
    <w:multiLevelType w:val="hybridMultilevel"/>
    <w:tmpl w:val="CAB04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A752DCC"/>
    <w:multiLevelType w:val="multilevel"/>
    <w:tmpl w:val="39746F6C"/>
    <w:lvl w:ilvl="0">
      <w:numFmt w:val="bullet"/>
      <w:lvlText w:val="-"/>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32" w15:restartNumberingAfterBreak="0">
    <w:nsid w:val="1AD230DB"/>
    <w:multiLevelType w:val="hybridMultilevel"/>
    <w:tmpl w:val="E7F6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276482"/>
    <w:multiLevelType w:val="multilevel"/>
    <w:tmpl w:val="28942A10"/>
    <w:lvl w:ilvl="0">
      <w:numFmt w:val="bullet"/>
      <w:lvlText w:val="-"/>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numFmt w:val="bullet"/>
      <w:lvlText w:val="o"/>
      <w:lvlJc w:val="left"/>
      <w:pPr>
        <w:ind w:left="11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numFmt w:val="bullet"/>
      <w:lvlText w:val="▪"/>
      <w:lvlJc w:val="left"/>
      <w:pPr>
        <w:ind w:left="19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numFmt w:val="bullet"/>
      <w:lvlText w:val="•"/>
      <w:lvlJc w:val="left"/>
      <w:pPr>
        <w:ind w:left="26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numFmt w:val="bullet"/>
      <w:lvlText w:val="o"/>
      <w:lvlJc w:val="left"/>
      <w:pPr>
        <w:ind w:left="335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numFmt w:val="bullet"/>
      <w:lvlText w:val="▪"/>
      <w:lvlJc w:val="left"/>
      <w:pPr>
        <w:ind w:left="407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numFmt w:val="bullet"/>
      <w:lvlText w:val="•"/>
      <w:lvlJc w:val="left"/>
      <w:pPr>
        <w:ind w:left="479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numFmt w:val="bullet"/>
      <w:lvlText w:val="o"/>
      <w:lvlJc w:val="left"/>
      <w:pPr>
        <w:ind w:left="551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numFmt w:val="bullet"/>
      <w:lvlText w:val="▪"/>
      <w:lvlJc w:val="left"/>
      <w:pPr>
        <w:ind w:left="6232"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34" w15:restartNumberingAfterBreak="0">
    <w:nsid w:val="1B9B3324"/>
    <w:multiLevelType w:val="hybridMultilevel"/>
    <w:tmpl w:val="2F449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BCF0212"/>
    <w:multiLevelType w:val="hybridMultilevel"/>
    <w:tmpl w:val="17046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1C485F"/>
    <w:multiLevelType w:val="hybridMultilevel"/>
    <w:tmpl w:val="64EC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303D52"/>
    <w:multiLevelType w:val="multilevel"/>
    <w:tmpl w:val="741CB4CE"/>
    <w:lvl w:ilvl="0">
      <w:start w:val="1"/>
      <w:numFmt w:val="lowerRoman"/>
      <w:lvlText w:val="%1)"/>
      <w:lvlJc w:val="left"/>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38" w15:restartNumberingAfterBreak="0">
    <w:nsid w:val="1ED218B2"/>
    <w:multiLevelType w:val="hybridMultilevel"/>
    <w:tmpl w:val="32CC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F38687F"/>
    <w:multiLevelType w:val="hybridMultilevel"/>
    <w:tmpl w:val="3F622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F7B7886"/>
    <w:multiLevelType w:val="hybridMultilevel"/>
    <w:tmpl w:val="F2483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FA52D33"/>
    <w:multiLevelType w:val="hybridMultilevel"/>
    <w:tmpl w:val="712E87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09C4956"/>
    <w:multiLevelType w:val="hybridMultilevel"/>
    <w:tmpl w:val="59A22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4DF4675"/>
    <w:multiLevelType w:val="hybridMultilevel"/>
    <w:tmpl w:val="6C9E81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6444ACD"/>
    <w:multiLevelType w:val="hybridMultilevel"/>
    <w:tmpl w:val="98D82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6AD6E66"/>
    <w:multiLevelType w:val="multilevel"/>
    <w:tmpl w:val="33689A86"/>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46" w15:restartNumberingAfterBreak="0">
    <w:nsid w:val="27193184"/>
    <w:multiLevelType w:val="hybridMultilevel"/>
    <w:tmpl w:val="8C028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0E4AEF"/>
    <w:multiLevelType w:val="hybridMultilevel"/>
    <w:tmpl w:val="E4563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2E14CB"/>
    <w:multiLevelType w:val="hybridMultilevel"/>
    <w:tmpl w:val="B6486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C962E9"/>
    <w:multiLevelType w:val="hybridMultilevel"/>
    <w:tmpl w:val="A6721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A930B56"/>
    <w:multiLevelType w:val="hybridMultilevel"/>
    <w:tmpl w:val="25664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B6B6BB0"/>
    <w:multiLevelType w:val="hybridMultilevel"/>
    <w:tmpl w:val="14A2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BF75BDA"/>
    <w:multiLevelType w:val="hybridMultilevel"/>
    <w:tmpl w:val="0F02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2A62B9"/>
    <w:multiLevelType w:val="hybridMultilevel"/>
    <w:tmpl w:val="376A4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E093C89"/>
    <w:multiLevelType w:val="hybridMultilevel"/>
    <w:tmpl w:val="2AC8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E3030E3"/>
    <w:multiLevelType w:val="hybridMultilevel"/>
    <w:tmpl w:val="41E0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E872F37"/>
    <w:multiLevelType w:val="hybridMultilevel"/>
    <w:tmpl w:val="1C54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0C7059B"/>
    <w:multiLevelType w:val="hybridMultilevel"/>
    <w:tmpl w:val="6B12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227500C"/>
    <w:multiLevelType w:val="hybridMultilevel"/>
    <w:tmpl w:val="52AE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2983ED8"/>
    <w:multiLevelType w:val="hybridMultilevel"/>
    <w:tmpl w:val="2B9C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3A62AB0"/>
    <w:multiLevelType w:val="hybridMultilevel"/>
    <w:tmpl w:val="C9C2B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4A1428E"/>
    <w:multiLevelType w:val="hybridMultilevel"/>
    <w:tmpl w:val="214A9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4FE347E"/>
    <w:multiLevelType w:val="hybridMultilevel"/>
    <w:tmpl w:val="1FE27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6290C9E"/>
    <w:multiLevelType w:val="hybridMultilevel"/>
    <w:tmpl w:val="868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6E10D11"/>
    <w:multiLevelType w:val="hybridMultilevel"/>
    <w:tmpl w:val="CB6C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71C5BB4"/>
    <w:multiLevelType w:val="hybridMultilevel"/>
    <w:tmpl w:val="A0A0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71D0332"/>
    <w:multiLevelType w:val="hybridMultilevel"/>
    <w:tmpl w:val="90C69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8F83C1A"/>
    <w:multiLevelType w:val="hybridMultilevel"/>
    <w:tmpl w:val="C504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8FC4A17"/>
    <w:multiLevelType w:val="hybridMultilevel"/>
    <w:tmpl w:val="55948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5E3F7D"/>
    <w:multiLevelType w:val="hybridMultilevel"/>
    <w:tmpl w:val="C87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654929"/>
    <w:multiLevelType w:val="hybridMultilevel"/>
    <w:tmpl w:val="C88AF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FF5998"/>
    <w:multiLevelType w:val="hybridMultilevel"/>
    <w:tmpl w:val="C786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D4E13B0"/>
    <w:multiLevelType w:val="hybridMultilevel"/>
    <w:tmpl w:val="05D86D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DD143C3"/>
    <w:multiLevelType w:val="hybridMultilevel"/>
    <w:tmpl w:val="A6489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DE957A5"/>
    <w:multiLevelType w:val="multilevel"/>
    <w:tmpl w:val="59E6636C"/>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1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34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06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78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0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29"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75" w15:restartNumberingAfterBreak="0">
    <w:nsid w:val="3E7716D1"/>
    <w:multiLevelType w:val="hybridMultilevel"/>
    <w:tmpl w:val="E8A24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ECD012E"/>
    <w:multiLevelType w:val="multilevel"/>
    <w:tmpl w:val="CEFC0EFC"/>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77" w15:restartNumberingAfterBreak="0">
    <w:nsid w:val="4048518E"/>
    <w:multiLevelType w:val="hybridMultilevel"/>
    <w:tmpl w:val="F4609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1186CD2"/>
    <w:multiLevelType w:val="hybridMultilevel"/>
    <w:tmpl w:val="F8D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23F31E7"/>
    <w:multiLevelType w:val="hybridMultilevel"/>
    <w:tmpl w:val="338A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2416719"/>
    <w:multiLevelType w:val="hybridMultilevel"/>
    <w:tmpl w:val="FAA8A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2E103AF"/>
    <w:multiLevelType w:val="hybridMultilevel"/>
    <w:tmpl w:val="0BA8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5F453B5"/>
    <w:multiLevelType w:val="hybridMultilevel"/>
    <w:tmpl w:val="FAFC4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9101D05"/>
    <w:multiLevelType w:val="hybridMultilevel"/>
    <w:tmpl w:val="03148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AA97F06"/>
    <w:multiLevelType w:val="hybridMultilevel"/>
    <w:tmpl w:val="C128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E7E6F80"/>
    <w:multiLevelType w:val="hybridMultilevel"/>
    <w:tmpl w:val="85989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E857A14"/>
    <w:multiLevelType w:val="multilevel"/>
    <w:tmpl w:val="4224CF5A"/>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87" w15:restartNumberingAfterBreak="0">
    <w:nsid w:val="4F4714BD"/>
    <w:multiLevelType w:val="hybridMultilevel"/>
    <w:tmpl w:val="823E0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01E5CEB"/>
    <w:multiLevelType w:val="hybridMultilevel"/>
    <w:tmpl w:val="DD46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0D847D6"/>
    <w:multiLevelType w:val="multilevel"/>
    <w:tmpl w:val="647A0698"/>
    <w:lvl w:ilvl="0">
      <w:start w:val="1"/>
      <w:numFmt w:val="lowerLetter"/>
      <w:lvlText w:val="(%1)"/>
      <w:lvlJc w:val="left"/>
      <w:pPr>
        <w:ind w:left="103"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37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209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81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53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25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97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69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414"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90" w15:restartNumberingAfterBreak="0">
    <w:nsid w:val="52EE2FB7"/>
    <w:multiLevelType w:val="hybridMultilevel"/>
    <w:tmpl w:val="69F41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41F01BF"/>
    <w:multiLevelType w:val="hybridMultilevel"/>
    <w:tmpl w:val="47C6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6AB2963"/>
    <w:multiLevelType w:val="hybridMultilevel"/>
    <w:tmpl w:val="FF5E8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6E552C2"/>
    <w:multiLevelType w:val="hybridMultilevel"/>
    <w:tmpl w:val="38765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78E2FBD"/>
    <w:multiLevelType w:val="hybridMultilevel"/>
    <w:tmpl w:val="53822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8963176"/>
    <w:multiLevelType w:val="hybridMultilevel"/>
    <w:tmpl w:val="66DC7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8B7342F"/>
    <w:multiLevelType w:val="hybridMultilevel"/>
    <w:tmpl w:val="7EE2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99E4A21"/>
    <w:multiLevelType w:val="hybridMultilevel"/>
    <w:tmpl w:val="0F30E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AD57184"/>
    <w:multiLevelType w:val="hybridMultilevel"/>
    <w:tmpl w:val="292CE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B701AFA"/>
    <w:multiLevelType w:val="hybridMultilevel"/>
    <w:tmpl w:val="3728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BBD2B16"/>
    <w:multiLevelType w:val="hybridMultilevel"/>
    <w:tmpl w:val="3BCA0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CB853D4"/>
    <w:multiLevelType w:val="hybridMultilevel"/>
    <w:tmpl w:val="86BE8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5CF61F05"/>
    <w:multiLevelType w:val="hybridMultilevel"/>
    <w:tmpl w:val="5FF0D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F5C21E4"/>
    <w:multiLevelType w:val="hybridMultilevel"/>
    <w:tmpl w:val="9FD05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F9059C7"/>
    <w:multiLevelType w:val="hybridMultilevel"/>
    <w:tmpl w:val="E7F09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19441C6"/>
    <w:multiLevelType w:val="hybridMultilevel"/>
    <w:tmpl w:val="F25EB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1A53F64"/>
    <w:multiLevelType w:val="hybridMultilevel"/>
    <w:tmpl w:val="3FE8F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1E00B5F"/>
    <w:multiLevelType w:val="hybridMultilevel"/>
    <w:tmpl w:val="E706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2CC79C7"/>
    <w:multiLevelType w:val="hybridMultilevel"/>
    <w:tmpl w:val="3A02B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3E21883"/>
    <w:multiLevelType w:val="hybridMultilevel"/>
    <w:tmpl w:val="28C8E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63E9381E"/>
    <w:multiLevelType w:val="hybridMultilevel"/>
    <w:tmpl w:val="36D4E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4404587"/>
    <w:multiLevelType w:val="hybridMultilevel"/>
    <w:tmpl w:val="3A74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4666ADB"/>
    <w:multiLevelType w:val="hybridMultilevel"/>
    <w:tmpl w:val="58EEF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46C5F44"/>
    <w:multiLevelType w:val="multilevel"/>
    <w:tmpl w:val="E5DA7648"/>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14" w15:restartNumberingAfterBreak="0">
    <w:nsid w:val="6616385E"/>
    <w:multiLevelType w:val="hybridMultilevel"/>
    <w:tmpl w:val="491C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6621C0B"/>
    <w:multiLevelType w:val="multilevel"/>
    <w:tmpl w:val="0532AD50"/>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16" w15:restartNumberingAfterBreak="0">
    <w:nsid w:val="6734778B"/>
    <w:multiLevelType w:val="hybridMultilevel"/>
    <w:tmpl w:val="AD80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9436FCC"/>
    <w:multiLevelType w:val="hybridMultilevel"/>
    <w:tmpl w:val="632C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A947AC2"/>
    <w:multiLevelType w:val="hybridMultilevel"/>
    <w:tmpl w:val="83DE8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AFB7A29"/>
    <w:multiLevelType w:val="hybridMultilevel"/>
    <w:tmpl w:val="B66A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B240E0B"/>
    <w:multiLevelType w:val="hybridMultilevel"/>
    <w:tmpl w:val="EB944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B70714D"/>
    <w:multiLevelType w:val="hybridMultilevel"/>
    <w:tmpl w:val="C5166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B8A6215"/>
    <w:multiLevelType w:val="hybridMultilevel"/>
    <w:tmpl w:val="154C7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EAB5E37"/>
    <w:multiLevelType w:val="hybridMultilevel"/>
    <w:tmpl w:val="4BA0A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EFE5A69"/>
    <w:multiLevelType w:val="multilevel"/>
    <w:tmpl w:val="61FA23A6"/>
    <w:lvl w:ilvl="0">
      <w:start w:val="1"/>
      <w:numFmt w:val="lowerLetter"/>
      <w:lvlText w:val="(%1)"/>
      <w:lvlJc w:val="left"/>
      <w:pPr>
        <w:ind w:left="1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24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2">
      <w:start w:val="1"/>
      <w:numFmt w:val="lowerRoman"/>
      <w:lvlText w:val="%3"/>
      <w:lvlJc w:val="left"/>
      <w:pPr>
        <w:ind w:left="19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3">
      <w:start w:val="1"/>
      <w:numFmt w:val="decimal"/>
      <w:lvlText w:val="%4"/>
      <w:lvlJc w:val="left"/>
      <w:pPr>
        <w:ind w:left="268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4">
      <w:start w:val="1"/>
      <w:numFmt w:val="lowerLetter"/>
      <w:lvlText w:val="%5"/>
      <w:lvlJc w:val="left"/>
      <w:pPr>
        <w:ind w:left="340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5">
      <w:start w:val="1"/>
      <w:numFmt w:val="lowerRoman"/>
      <w:lvlText w:val="%6"/>
      <w:lvlJc w:val="left"/>
      <w:pPr>
        <w:ind w:left="412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6">
      <w:start w:val="1"/>
      <w:numFmt w:val="decimal"/>
      <w:lvlText w:val="%7"/>
      <w:lvlJc w:val="left"/>
      <w:pPr>
        <w:ind w:left="484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7">
      <w:start w:val="1"/>
      <w:numFmt w:val="lowerLetter"/>
      <w:lvlText w:val="%8"/>
      <w:lvlJc w:val="left"/>
      <w:pPr>
        <w:ind w:left="556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lvl w:ilvl="8">
      <w:start w:val="1"/>
      <w:numFmt w:val="lowerRoman"/>
      <w:lvlText w:val="%9"/>
      <w:lvlJc w:val="left"/>
      <w:pPr>
        <w:ind w:left="6286" w:firstLine="0"/>
      </w:pPr>
      <w:rPr>
        <w:rFonts w:ascii="Arial" w:eastAsia="Arial" w:hAnsi="Arial" w:cs="Arial"/>
        <w:b w:val="0"/>
        <w:i w:val="0"/>
        <w:strike w:val="0"/>
        <w:dstrike w:val="0"/>
        <w:color w:val="000000"/>
        <w:position w:val="0"/>
        <w:sz w:val="22"/>
        <w:szCs w:val="22"/>
        <w:u w:val="none" w:color="000000"/>
        <w:shd w:val="clear" w:color="auto" w:fill="auto"/>
        <w:vertAlign w:val="baseline"/>
      </w:rPr>
    </w:lvl>
  </w:abstractNum>
  <w:abstractNum w:abstractNumId="125" w15:restartNumberingAfterBreak="0">
    <w:nsid w:val="6F392C79"/>
    <w:multiLevelType w:val="hybridMultilevel"/>
    <w:tmpl w:val="B10E1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FE158D9"/>
    <w:multiLevelType w:val="hybridMultilevel"/>
    <w:tmpl w:val="76BC8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0B764DF"/>
    <w:multiLevelType w:val="hybridMultilevel"/>
    <w:tmpl w:val="100C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1D12957"/>
    <w:multiLevelType w:val="hybridMultilevel"/>
    <w:tmpl w:val="3B3E4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3A70D80"/>
    <w:multiLevelType w:val="multilevel"/>
    <w:tmpl w:val="32684BF6"/>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30" w15:restartNumberingAfterBreak="0">
    <w:nsid w:val="73C87DAE"/>
    <w:multiLevelType w:val="hybridMultilevel"/>
    <w:tmpl w:val="A0E2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4466D98"/>
    <w:multiLevelType w:val="multilevel"/>
    <w:tmpl w:val="5658F23A"/>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32" w15:restartNumberingAfterBreak="0">
    <w:nsid w:val="754D642B"/>
    <w:multiLevelType w:val="hybridMultilevel"/>
    <w:tmpl w:val="34284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75AB7977"/>
    <w:multiLevelType w:val="multilevel"/>
    <w:tmpl w:val="39329210"/>
    <w:lvl w:ilvl="0">
      <w:numFmt w:val="bullet"/>
      <w:lvlText w:val=""/>
      <w:lvlJc w:val="left"/>
      <w:pPr>
        <w:ind w:left="833" w:hanging="360"/>
      </w:pPr>
      <w:rPr>
        <w:rFonts w:ascii="Symbol" w:hAnsi="Symbol"/>
      </w:rPr>
    </w:lvl>
    <w:lvl w:ilvl="1">
      <w:numFmt w:val="bullet"/>
      <w:lvlText w:val="o"/>
      <w:lvlJc w:val="left"/>
      <w:pPr>
        <w:ind w:left="1553" w:hanging="360"/>
      </w:pPr>
      <w:rPr>
        <w:rFonts w:ascii="Courier New" w:hAnsi="Courier New" w:cs="Courier New"/>
      </w:rPr>
    </w:lvl>
    <w:lvl w:ilvl="2">
      <w:numFmt w:val="bullet"/>
      <w:lvlText w:val=""/>
      <w:lvlJc w:val="left"/>
      <w:pPr>
        <w:ind w:left="2273" w:hanging="360"/>
      </w:pPr>
      <w:rPr>
        <w:rFonts w:ascii="Wingdings" w:hAnsi="Wingdings"/>
      </w:rPr>
    </w:lvl>
    <w:lvl w:ilvl="3">
      <w:numFmt w:val="bullet"/>
      <w:lvlText w:val=""/>
      <w:lvlJc w:val="left"/>
      <w:pPr>
        <w:ind w:left="2993" w:hanging="360"/>
      </w:pPr>
      <w:rPr>
        <w:rFonts w:ascii="Symbol" w:hAnsi="Symbol"/>
      </w:rPr>
    </w:lvl>
    <w:lvl w:ilvl="4">
      <w:numFmt w:val="bullet"/>
      <w:lvlText w:val="o"/>
      <w:lvlJc w:val="left"/>
      <w:pPr>
        <w:ind w:left="3713" w:hanging="360"/>
      </w:pPr>
      <w:rPr>
        <w:rFonts w:ascii="Courier New" w:hAnsi="Courier New" w:cs="Courier New"/>
      </w:rPr>
    </w:lvl>
    <w:lvl w:ilvl="5">
      <w:numFmt w:val="bullet"/>
      <w:lvlText w:val=""/>
      <w:lvlJc w:val="left"/>
      <w:pPr>
        <w:ind w:left="4433" w:hanging="360"/>
      </w:pPr>
      <w:rPr>
        <w:rFonts w:ascii="Wingdings" w:hAnsi="Wingdings"/>
      </w:rPr>
    </w:lvl>
    <w:lvl w:ilvl="6">
      <w:numFmt w:val="bullet"/>
      <w:lvlText w:val=""/>
      <w:lvlJc w:val="left"/>
      <w:pPr>
        <w:ind w:left="5153" w:hanging="360"/>
      </w:pPr>
      <w:rPr>
        <w:rFonts w:ascii="Symbol" w:hAnsi="Symbol"/>
      </w:rPr>
    </w:lvl>
    <w:lvl w:ilvl="7">
      <w:numFmt w:val="bullet"/>
      <w:lvlText w:val="o"/>
      <w:lvlJc w:val="left"/>
      <w:pPr>
        <w:ind w:left="5873" w:hanging="360"/>
      </w:pPr>
      <w:rPr>
        <w:rFonts w:ascii="Courier New" w:hAnsi="Courier New" w:cs="Courier New"/>
      </w:rPr>
    </w:lvl>
    <w:lvl w:ilvl="8">
      <w:numFmt w:val="bullet"/>
      <w:lvlText w:val=""/>
      <w:lvlJc w:val="left"/>
      <w:pPr>
        <w:ind w:left="6593" w:hanging="360"/>
      </w:pPr>
      <w:rPr>
        <w:rFonts w:ascii="Wingdings" w:hAnsi="Wingdings"/>
      </w:rPr>
    </w:lvl>
  </w:abstractNum>
  <w:abstractNum w:abstractNumId="134" w15:restartNumberingAfterBreak="0">
    <w:nsid w:val="78134357"/>
    <w:multiLevelType w:val="hybridMultilevel"/>
    <w:tmpl w:val="63A05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8D2706E"/>
    <w:multiLevelType w:val="hybridMultilevel"/>
    <w:tmpl w:val="FB34B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A754085"/>
    <w:multiLevelType w:val="hybridMultilevel"/>
    <w:tmpl w:val="FDA6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AB960CA"/>
    <w:multiLevelType w:val="hybridMultilevel"/>
    <w:tmpl w:val="DA4E7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B7C0E93"/>
    <w:multiLevelType w:val="hybridMultilevel"/>
    <w:tmpl w:val="8F82F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DDA5EDB"/>
    <w:multiLevelType w:val="hybridMultilevel"/>
    <w:tmpl w:val="872E8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F3A23C7"/>
    <w:multiLevelType w:val="hybridMultilevel"/>
    <w:tmpl w:val="9348B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435145">
    <w:abstractNumId w:val="133"/>
  </w:num>
  <w:num w:numId="2" w16cid:durableId="1953434211">
    <w:abstractNumId w:val="131"/>
  </w:num>
  <w:num w:numId="3" w16cid:durableId="1483808302">
    <w:abstractNumId w:val="18"/>
  </w:num>
  <w:num w:numId="4" w16cid:durableId="1791972836">
    <w:abstractNumId w:val="23"/>
  </w:num>
  <w:num w:numId="5" w16cid:durableId="810483978">
    <w:abstractNumId w:val="129"/>
  </w:num>
  <w:num w:numId="6" w16cid:durableId="1175195343">
    <w:abstractNumId w:val="86"/>
  </w:num>
  <w:num w:numId="7" w16cid:durableId="715201677">
    <w:abstractNumId w:val="115"/>
  </w:num>
  <w:num w:numId="8" w16cid:durableId="1280262706">
    <w:abstractNumId w:val="1"/>
  </w:num>
  <w:num w:numId="9" w16cid:durableId="2096201593">
    <w:abstractNumId w:val="124"/>
  </w:num>
  <w:num w:numId="10" w16cid:durableId="450394665">
    <w:abstractNumId w:val="45"/>
  </w:num>
  <w:num w:numId="11" w16cid:durableId="1007633993">
    <w:abstractNumId w:val="74"/>
  </w:num>
  <w:num w:numId="12" w16cid:durableId="1916091573">
    <w:abstractNumId w:val="89"/>
  </w:num>
  <w:num w:numId="13" w16cid:durableId="1432822465">
    <w:abstractNumId w:val="37"/>
  </w:num>
  <w:num w:numId="14" w16cid:durableId="1405881810">
    <w:abstractNumId w:val="113"/>
  </w:num>
  <w:num w:numId="15" w16cid:durableId="1242563468">
    <w:abstractNumId w:val="76"/>
  </w:num>
  <w:num w:numId="16" w16cid:durableId="1414661335">
    <w:abstractNumId w:val="33"/>
  </w:num>
  <w:num w:numId="17" w16cid:durableId="68044814">
    <w:abstractNumId w:val="31"/>
  </w:num>
  <w:num w:numId="18" w16cid:durableId="493840099">
    <w:abstractNumId w:val="11"/>
  </w:num>
  <w:num w:numId="19" w16cid:durableId="1511868634">
    <w:abstractNumId w:val="84"/>
  </w:num>
  <w:num w:numId="20" w16cid:durableId="826550730">
    <w:abstractNumId w:val="70"/>
  </w:num>
  <w:num w:numId="21" w16cid:durableId="242112182">
    <w:abstractNumId w:val="51"/>
  </w:num>
  <w:num w:numId="22" w16cid:durableId="100538690">
    <w:abstractNumId w:val="92"/>
  </w:num>
  <w:num w:numId="23" w16cid:durableId="1346323460">
    <w:abstractNumId w:val="44"/>
  </w:num>
  <w:num w:numId="24" w16cid:durableId="1448617081">
    <w:abstractNumId w:val="112"/>
  </w:num>
  <w:num w:numId="25" w16cid:durableId="1938101959">
    <w:abstractNumId w:val="63"/>
  </w:num>
  <w:num w:numId="26" w16cid:durableId="1618414809">
    <w:abstractNumId w:val="123"/>
  </w:num>
  <w:num w:numId="27" w16cid:durableId="1830097915">
    <w:abstractNumId w:val="94"/>
  </w:num>
  <w:num w:numId="28" w16cid:durableId="1753577618">
    <w:abstractNumId w:val="130"/>
  </w:num>
  <w:num w:numId="29" w16cid:durableId="203106729">
    <w:abstractNumId w:val="2"/>
  </w:num>
  <w:num w:numId="30" w16cid:durableId="486170041">
    <w:abstractNumId w:val="109"/>
  </w:num>
  <w:num w:numId="31" w16cid:durableId="1109276395">
    <w:abstractNumId w:val="73"/>
  </w:num>
  <w:num w:numId="32" w16cid:durableId="1831093013">
    <w:abstractNumId w:val="6"/>
  </w:num>
  <w:num w:numId="33" w16cid:durableId="719789855">
    <w:abstractNumId w:val="24"/>
  </w:num>
  <w:num w:numId="34" w16cid:durableId="682631924">
    <w:abstractNumId w:val="80"/>
  </w:num>
  <w:num w:numId="35" w16cid:durableId="1379549053">
    <w:abstractNumId w:val="38"/>
  </w:num>
  <w:num w:numId="36" w16cid:durableId="1108744808">
    <w:abstractNumId w:val="121"/>
  </w:num>
  <w:num w:numId="37" w16cid:durableId="417404262">
    <w:abstractNumId w:val="12"/>
  </w:num>
  <w:num w:numId="38" w16cid:durableId="1599870252">
    <w:abstractNumId w:val="87"/>
  </w:num>
  <w:num w:numId="39" w16cid:durableId="759134550">
    <w:abstractNumId w:val="56"/>
  </w:num>
  <w:num w:numId="40" w16cid:durableId="1599288728">
    <w:abstractNumId w:val="125"/>
  </w:num>
  <w:num w:numId="41" w16cid:durableId="821194497">
    <w:abstractNumId w:val="49"/>
  </w:num>
  <w:num w:numId="42" w16cid:durableId="466094754">
    <w:abstractNumId w:val="43"/>
  </w:num>
  <w:num w:numId="43" w16cid:durableId="1933196533">
    <w:abstractNumId w:val="101"/>
  </w:num>
  <w:num w:numId="44" w16cid:durableId="1628851805">
    <w:abstractNumId w:val="79"/>
  </w:num>
  <w:num w:numId="45" w16cid:durableId="2049377688">
    <w:abstractNumId w:val="28"/>
  </w:num>
  <w:num w:numId="46" w16cid:durableId="1577279034">
    <w:abstractNumId w:val="95"/>
  </w:num>
  <w:num w:numId="47" w16cid:durableId="1318807771">
    <w:abstractNumId w:val="46"/>
  </w:num>
  <w:num w:numId="48" w16cid:durableId="1109811542">
    <w:abstractNumId w:val="55"/>
  </w:num>
  <w:num w:numId="49" w16cid:durableId="1031691269">
    <w:abstractNumId w:val="61"/>
  </w:num>
  <w:num w:numId="50" w16cid:durableId="993484699">
    <w:abstractNumId w:val="36"/>
  </w:num>
  <w:num w:numId="51" w16cid:durableId="1348172258">
    <w:abstractNumId w:val="58"/>
  </w:num>
  <w:num w:numId="52" w16cid:durableId="2005742190">
    <w:abstractNumId w:val="32"/>
  </w:num>
  <w:num w:numId="53" w16cid:durableId="110979612">
    <w:abstractNumId w:val="97"/>
  </w:num>
  <w:num w:numId="54" w16cid:durableId="1649281120">
    <w:abstractNumId w:val="83"/>
  </w:num>
  <w:num w:numId="55" w16cid:durableId="209540560">
    <w:abstractNumId w:val="128"/>
  </w:num>
  <w:num w:numId="56" w16cid:durableId="973556970">
    <w:abstractNumId w:val="90"/>
  </w:num>
  <w:num w:numId="57" w16cid:durableId="1997613946">
    <w:abstractNumId w:val="117"/>
  </w:num>
  <w:num w:numId="58" w16cid:durableId="1253202457">
    <w:abstractNumId w:val="120"/>
  </w:num>
  <w:num w:numId="59" w16cid:durableId="2075278006">
    <w:abstractNumId w:val="25"/>
  </w:num>
  <w:num w:numId="60" w16cid:durableId="315652434">
    <w:abstractNumId w:val="135"/>
  </w:num>
  <w:num w:numId="61" w16cid:durableId="328681641">
    <w:abstractNumId w:val="42"/>
  </w:num>
  <w:num w:numId="62" w16cid:durableId="1249467219">
    <w:abstractNumId w:val="127"/>
  </w:num>
  <w:num w:numId="63" w16cid:durableId="1535733127">
    <w:abstractNumId w:val="105"/>
  </w:num>
  <w:num w:numId="64" w16cid:durableId="429350692">
    <w:abstractNumId w:val="21"/>
  </w:num>
  <w:num w:numId="65" w16cid:durableId="1325207749">
    <w:abstractNumId w:val="106"/>
  </w:num>
  <w:num w:numId="66" w16cid:durableId="1107625752">
    <w:abstractNumId w:val="108"/>
  </w:num>
  <w:num w:numId="67" w16cid:durableId="904802948">
    <w:abstractNumId w:val="41"/>
  </w:num>
  <w:num w:numId="68" w16cid:durableId="2014531087">
    <w:abstractNumId w:val="57"/>
  </w:num>
  <w:num w:numId="69" w16cid:durableId="2061128375">
    <w:abstractNumId w:val="103"/>
  </w:num>
  <w:num w:numId="70" w16cid:durableId="1229729018">
    <w:abstractNumId w:val="34"/>
  </w:num>
  <w:num w:numId="71" w16cid:durableId="953706845">
    <w:abstractNumId w:val="10"/>
  </w:num>
  <w:num w:numId="72" w16cid:durableId="1538464315">
    <w:abstractNumId w:val="27"/>
  </w:num>
  <w:num w:numId="73" w16cid:durableId="176501830">
    <w:abstractNumId w:val="139"/>
  </w:num>
  <w:num w:numId="74" w16cid:durableId="287202002">
    <w:abstractNumId w:val="99"/>
  </w:num>
  <w:num w:numId="75" w16cid:durableId="648750104">
    <w:abstractNumId w:val="67"/>
  </w:num>
  <w:num w:numId="76" w16cid:durableId="1802382356">
    <w:abstractNumId w:val="15"/>
  </w:num>
  <w:num w:numId="77" w16cid:durableId="2030327729">
    <w:abstractNumId w:val="8"/>
  </w:num>
  <w:num w:numId="78" w16cid:durableId="2145389008">
    <w:abstractNumId w:val="66"/>
  </w:num>
  <w:num w:numId="79" w16cid:durableId="972054996">
    <w:abstractNumId w:val="71"/>
  </w:num>
  <w:num w:numId="80" w16cid:durableId="716507617">
    <w:abstractNumId w:val="14"/>
  </w:num>
  <w:num w:numId="81" w16cid:durableId="1447389809">
    <w:abstractNumId w:val="16"/>
  </w:num>
  <w:num w:numId="82" w16cid:durableId="1342506372">
    <w:abstractNumId w:val="114"/>
  </w:num>
  <w:num w:numId="83" w16cid:durableId="1425884446">
    <w:abstractNumId w:val="9"/>
  </w:num>
  <w:num w:numId="84" w16cid:durableId="1506162893">
    <w:abstractNumId w:val="5"/>
  </w:num>
  <w:num w:numId="85" w16cid:durableId="1937207280">
    <w:abstractNumId w:val="119"/>
  </w:num>
  <w:num w:numId="86" w16cid:durableId="1140734046">
    <w:abstractNumId w:val="134"/>
  </w:num>
  <w:num w:numId="87" w16cid:durableId="259990390">
    <w:abstractNumId w:val="100"/>
  </w:num>
  <w:num w:numId="88" w16cid:durableId="565530084">
    <w:abstractNumId w:val="7"/>
  </w:num>
  <w:num w:numId="89" w16cid:durableId="2026324216">
    <w:abstractNumId w:val="69"/>
  </w:num>
  <w:num w:numId="90" w16cid:durableId="310519374">
    <w:abstractNumId w:val="72"/>
  </w:num>
  <w:num w:numId="91" w16cid:durableId="1027944077">
    <w:abstractNumId w:val="104"/>
  </w:num>
  <w:num w:numId="92" w16cid:durableId="1285774411">
    <w:abstractNumId w:val="19"/>
  </w:num>
  <w:num w:numId="93" w16cid:durableId="845286708">
    <w:abstractNumId w:val="116"/>
  </w:num>
  <w:num w:numId="94" w16cid:durableId="467668833">
    <w:abstractNumId w:val="140"/>
  </w:num>
  <w:num w:numId="95" w16cid:durableId="1808431654">
    <w:abstractNumId w:val="132"/>
  </w:num>
  <w:num w:numId="96" w16cid:durableId="578632965">
    <w:abstractNumId w:val="62"/>
  </w:num>
  <w:num w:numId="97" w16cid:durableId="4214844">
    <w:abstractNumId w:val="13"/>
  </w:num>
  <w:num w:numId="98" w16cid:durableId="636687650">
    <w:abstractNumId w:val="111"/>
  </w:num>
  <w:num w:numId="99" w16cid:durableId="1315337475">
    <w:abstractNumId w:val="30"/>
  </w:num>
  <w:num w:numId="100" w16cid:durableId="1807965823">
    <w:abstractNumId w:val="81"/>
  </w:num>
  <w:num w:numId="101" w16cid:durableId="773133116">
    <w:abstractNumId w:val="54"/>
  </w:num>
  <w:num w:numId="102" w16cid:durableId="442505167">
    <w:abstractNumId w:val="88"/>
  </w:num>
  <w:num w:numId="103" w16cid:durableId="1643346487">
    <w:abstractNumId w:val="0"/>
  </w:num>
  <w:num w:numId="104" w16cid:durableId="1807316196">
    <w:abstractNumId w:val="136"/>
  </w:num>
  <w:num w:numId="105" w16cid:durableId="1819221703">
    <w:abstractNumId w:val="53"/>
  </w:num>
  <w:num w:numId="106" w16cid:durableId="1199584158">
    <w:abstractNumId w:val="29"/>
  </w:num>
  <w:num w:numId="107" w16cid:durableId="134765471">
    <w:abstractNumId w:val="40"/>
  </w:num>
  <w:num w:numId="108" w16cid:durableId="318392056">
    <w:abstractNumId w:val="50"/>
  </w:num>
  <w:num w:numId="109" w16cid:durableId="1810827514">
    <w:abstractNumId w:val="35"/>
  </w:num>
  <w:num w:numId="110" w16cid:durableId="1137603002">
    <w:abstractNumId w:val="96"/>
  </w:num>
  <w:num w:numId="111" w16cid:durableId="2033526919">
    <w:abstractNumId w:val="65"/>
  </w:num>
  <w:num w:numId="112" w16cid:durableId="762604741">
    <w:abstractNumId w:val="68"/>
  </w:num>
  <w:num w:numId="113" w16cid:durableId="1592006803">
    <w:abstractNumId w:val="4"/>
  </w:num>
  <w:num w:numId="114" w16cid:durableId="137262671">
    <w:abstractNumId w:val="91"/>
  </w:num>
  <w:num w:numId="115" w16cid:durableId="2033535335">
    <w:abstractNumId w:val="52"/>
  </w:num>
  <w:num w:numId="116" w16cid:durableId="1497575960">
    <w:abstractNumId w:val="75"/>
  </w:num>
  <w:num w:numId="117" w16cid:durableId="277374860">
    <w:abstractNumId w:val="78"/>
  </w:num>
  <w:num w:numId="118" w16cid:durableId="510066803">
    <w:abstractNumId w:val="48"/>
  </w:num>
  <w:num w:numId="119" w16cid:durableId="1949072780">
    <w:abstractNumId w:val="39"/>
  </w:num>
  <w:num w:numId="120" w16cid:durableId="1528174448">
    <w:abstractNumId w:val="17"/>
  </w:num>
  <w:num w:numId="121" w16cid:durableId="1960530038">
    <w:abstractNumId w:val="47"/>
  </w:num>
  <w:num w:numId="122" w16cid:durableId="1830319399">
    <w:abstractNumId w:val="85"/>
  </w:num>
  <w:num w:numId="123" w16cid:durableId="500581731">
    <w:abstractNumId w:val="3"/>
  </w:num>
  <w:num w:numId="124" w16cid:durableId="852065240">
    <w:abstractNumId w:val="20"/>
  </w:num>
  <w:num w:numId="125" w16cid:durableId="1733307685">
    <w:abstractNumId w:val="102"/>
  </w:num>
  <w:num w:numId="126" w16cid:durableId="1940408782">
    <w:abstractNumId w:val="77"/>
  </w:num>
  <w:num w:numId="127" w16cid:durableId="663703114">
    <w:abstractNumId w:val="110"/>
  </w:num>
  <w:num w:numId="128" w16cid:durableId="978877726">
    <w:abstractNumId w:val="22"/>
  </w:num>
  <w:num w:numId="129" w16cid:durableId="1633361412">
    <w:abstractNumId w:val="118"/>
  </w:num>
  <w:num w:numId="130" w16cid:durableId="2001814317">
    <w:abstractNumId w:val="137"/>
  </w:num>
  <w:num w:numId="131" w16cid:durableId="1389525657">
    <w:abstractNumId w:val="98"/>
  </w:num>
  <w:num w:numId="132" w16cid:durableId="468673366">
    <w:abstractNumId w:val="64"/>
  </w:num>
  <w:num w:numId="133" w16cid:durableId="80564344">
    <w:abstractNumId w:val="122"/>
  </w:num>
  <w:num w:numId="134" w16cid:durableId="1312637192">
    <w:abstractNumId w:val="82"/>
  </w:num>
  <w:num w:numId="135" w16cid:durableId="1527595814">
    <w:abstractNumId w:val="60"/>
  </w:num>
  <w:num w:numId="136" w16cid:durableId="845903210">
    <w:abstractNumId w:val="107"/>
  </w:num>
  <w:num w:numId="137" w16cid:durableId="1421756979">
    <w:abstractNumId w:val="59"/>
  </w:num>
  <w:num w:numId="138" w16cid:durableId="595601093">
    <w:abstractNumId w:val="26"/>
  </w:num>
  <w:num w:numId="139" w16cid:durableId="710305963">
    <w:abstractNumId w:val="138"/>
  </w:num>
  <w:num w:numId="140" w16cid:durableId="1280065470">
    <w:abstractNumId w:val="93"/>
  </w:num>
  <w:num w:numId="141" w16cid:durableId="83961337">
    <w:abstractNumId w:val="126"/>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E66"/>
    <w:rsid w:val="00026E66"/>
    <w:rsid w:val="00064719"/>
    <w:rsid w:val="0007222A"/>
    <w:rsid w:val="00073139"/>
    <w:rsid w:val="00097088"/>
    <w:rsid w:val="000C4F42"/>
    <w:rsid w:val="001049E0"/>
    <w:rsid w:val="00114E0E"/>
    <w:rsid w:val="00150B05"/>
    <w:rsid w:val="00164C83"/>
    <w:rsid w:val="0017613C"/>
    <w:rsid w:val="00197F03"/>
    <w:rsid w:val="00221D65"/>
    <w:rsid w:val="00272D7C"/>
    <w:rsid w:val="002737EF"/>
    <w:rsid w:val="00316F01"/>
    <w:rsid w:val="00395FC6"/>
    <w:rsid w:val="003A74E9"/>
    <w:rsid w:val="003B23F0"/>
    <w:rsid w:val="003E7238"/>
    <w:rsid w:val="003E7462"/>
    <w:rsid w:val="003F6F2F"/>
    <w:rsid w:val="00457B98"/>
    <w:rsid w:val="00466AD3"/>
    <w:rsid w:val="004B7AA4"/>
    <w:rsid w:val="004C1365"/>
    <w:rsid w:val="00511031"/>
    <w:rsid w:val="00562A78"/>
    <w:rsid w:val="00581CC8"/>
    <w:rsid w:val="005A4AE8"/>
    <w:rsid w:val="0065356B"/>
    <w:rsid w:val="00686217"/>
    <w:rsid w:val="00693C4E"/>
    <w:rsid w:val="006B6B41"/>
    <w:rsid w:val="006D069E"/>
    <w:rsid w:val="00771B6F"/>
    <w:rsid w:val="007A6160"/>
    <w:rsid w:val="007A7512"/>
    <w:rsid w:val="00814652"/>
    <w:rsid w:val="008251CA"/>
    <w:rsid w:val="00827932"/>
    <w:rsid w:val="00827D03"/>
    <w:rsid w:val="008871FD"/>
    <w:rsid w:val="00892362"/>
    <w:rsid w:val="008A43E3"/>
    <w:rsid w:val="00904614"/>
    <w:rsid w:val="00917C55"/>
    <w:rsid w:val="0096209B"/>
    <w:rsid w:val="009A79A4"/>
    <w:rsid w:val="00A25DF5"/>
    <w:rsid w:val="00A26401"/>
    <w:rsid w:val="00AB1DC4"/>
    <w:rsid w:val="00AE46A9"/>
    <w:rsid w:val="00B739EF"/>
    <w:rsid w:val="00D446AD"/>
    <w:rsid w:val="00DC1007"/>
    <w:rsid w:val="00DD721B"/>
    <w:rsid w:val="00DE4CD7"/>
    <w:rsid w:val="00E037CE"/>
    <w:rsid w:val="00E452ED"/>
    <w:rsid w:val="00E642D6"/>
    <w:rsid w:val="00E72993"/>
    <w:rsid w:val="00E75C8E"/>
    <w:rsid w:val="00E931A9"/>
    <w:rsid w:val="00E955A3"/>
    <w:rsid w:val="00F22E60"/>
    <w:rsid w:val="00F665D2"/>
    <w:rsid w:val="00FC355D"/>
    <w:rsid w:val="00FF0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6C0B6"/>
  <w15:docId w15:val="{4AE2863A-3F3F-4F3B-860E-BE12F8EE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512"/>
    <w:pPr>
      <w:suppressAutoHyphens/>
      <w:spacing w:before="100" w:beforeAutospacing="1" w:after="100" w:afterAutospacing="1" w:line="276" w:lineRule="auto"/>
    </w:pPr>
    <w:rPr>
      <w:rFonts w:ascii="Arial" w:eastAsia="Arial" w:hAnsi="Arial" w:cs="Arial"/>
      <w:color w:val="000000"/>
      <w:sz w:val="24"/>
      <w:lang w:eastAsia="en-GB"/>
    </w:rPr>
  </w:style>
  <w:style w:type="paragraph" w:styleId="Heading1">
    <w:name w:val="heading 1"/>
    <w:next w:val="Normal"/>
    <w:uiPriority w:val="9"/>
    <w:qFormat/>
    <w:rsid w:val="0096209B"/>
    <w:pPr>
      <w:keepNext/>
      <w:keepLines/>
      <w:suppressAutoHyphens/>
      <w:spacing w:before="100" w:beforeAutospacing="1" w:after="100" w:afterAutospacing="1" w:line="240" w:lineRule="auto"/>
      <w:outlineLvl w:val="0"/>
    </w:pPr>
    <w:rPr>
      <w:rFonts w:ascii="Arial" w:eastAsia="Arial" w:hAnsi="Arial" w:cs="Arial"/>
      <w:b/>
      <w:color w:val="008938"/>
      <w:sz w:val="44"/>
      <w:lang w:eastAsia="en-GB"/>
    </w:rPr>
  </w:style>
  <w:style w:type="paragraph" w:styleId="Heading2">
    <w:name w:val="heading 2"/>
    <w:next w:val="Normal"/>
    <w:uiPriority w:val="9"/>
    <w:unhideWhenUsed/>
    <w:qFormat/>
    <w:rsid w:val="0096209B"/>
    <w:pPr>
      <w:keepNext/>
      <w:keepLines/>
      <w:suppressAutoHyphens/>
      <w:spacing w:before="100" w:beforeAutospacing="1" w:after="100" w:afterAutospacing="1" w:line="240" w:lineRule="auto"/>
      <w:outlineLvl w:val="1"/>
    </w:pPr>
    <w:rPr>
      <w:rFonts w:ascii="Arial" w:eastAsia="Arial" w:hAnsi="Arial" w:cs="Arial"/>
      <w:b/>
      <w:color w:val="008938"/>
      <w:sz w:val="36"/>
      <w:lang w:eastAsia="en-GB"/>
    </w:rPr>
  </w:style>
  <w:style w:type="paragraph" w:styleId="Heading3">
    <w:name w:val="heading 3"/>
    <w:next w:val="Normal"/>
    <w:uiPriority w:val="9"/>
    <w:unhideWhenUsed/>
    <w:qFormat/>
    <w:rsid w:val="00DD721B"/>
    <w:pPr>
      <w:keepNext/>
      <w:keepLines/>
      <w:suppressAutoHyphens/>
      <w:spacing w:before="100" w:beforeAutospacing="1" w:after="100" w:afterAutospacing="1" w:line="240" w:lineRule="auto"/>
      <w:outlineLvl w:val="2"/>
    </w:pPr>
    <w:rPr>
      <w:rFonts w:ascii="Arial" w:eastAsia="Arial" w:hAnsi="Arial" w:cs="Arial"/>
      <w:b/>
      <w:sz w:val="28"/>
      <w:lang w:eastAsia="en-GB"/>
    </w:rPr>
  </w:style>
  <w:style w:type="paragraph" w:styleId="Heading4">
    <w:name w:val="heading 4"/>
    <w:next w:val="Normal"/>
    <w:uiPriority w:val="9"/>
    <w:unhideWhenUsed/>
    <w:qFormat/>
    <w:rsid w:val="0096209B"/>
    <w:pPr>
      <w:keepNext/>
      <w:keepLines/>
      <w:suppressAutoHyphens/>
      <w:spacing w:after="116" w:line="257" w:lineRule="auto"/>
      <w:outlineLvl w:val="3"/>
    </w:pPr>
    <w:rPr>
      <w:rFonts w:ascii="Arial" w:eastAsia="Arial" w:hAnsi="Arial" w:cs="Arial"/>
      <w:b/>
      <w:color w:val="000000"/>
      <w:sz w:val="26"/>
      <w:lang w:eastAsia="en-GB"/>
    </w:rPr>
  </w:style>
  <w:style w:type="paragraph" w:styleId="Heading5">
    <w:name w:val="heading 5"/>
    <w:next w:val="Normal"/>
    <w:uiPriority w:val="9"/>
    <w:unhideWhenUsed/>
    <w:qFormat/>
    <w:rsid w:val="00E931A9"/>
    <w:pPr>
      <w:keepNext/>
      <w:keepLines/>
      <w:suppressAutoHyphens/>
      <w:spacing w:after="5" w:line="247" w:lineRule="auto"/>
      <w:outlineLvl w:val="4"/>
    </w:pPr>
    <w:rPr>
      <w:rFonts w:ascii="Arial" w:eastAsia="Arial" w:hAnsi="Arial" w:cs="Arial"/>
      <w:b/>
      <w:sz w:val="24"/>
      <w:lang w:eastAsia="en-GB"/>
    </w:rPr>
  </w:style>
  <w:style w:type="paragraph" w:styleId="Heading6">
    <w:name w:val="heading 6"/>
    <w:next w:val="Normal"/>
    <w:uiPriority w:val="9"/>
    <w:unhideWhenUsed/>
    <w:qFormat/>
    <w:pPr>
      <w:keepNext/>
      <w:keepLines/>
      <w:suppressAutoHyphens/>
      <w:spacing w:after="148" w:line="247" w:lineRule="auto"/>
      <w:ind w:left="202" w:hanging="10"/>
      <w:outlineLvl w:val="5"/>
    </w:pPr>
    <w:rPr>
      <w:rFonts w:ascii="Arial" w:eastAsia="Arial" w:hAnsi="Arial" w:cs="Arial"/>
      <w:i/>
      <w:color w:val="455A20"/>
      <w:sz w:val="26"/>
      <w:lang w:eastAsia="en-GB"/>
    </w:rPr>
  </w:style>
  <w:style w:type="paragraph" w:styleId="Heading7">
    <w:name w:val="heading 7"/>
    <w:next w:val="Normal"/>
    <w:pPr>
      <w:keepNext/>
      <w:keepLines/>
      <w:pBdr>
        <w:top w:val="single" w:sz="6" w:space="0" w:color="000000"/>
        <w:left w:val="single" w:sz="6" w:space="0" w:color="000000"/>
        <w:bottom w:val="single" w:sz="6" w:space="0" w:color="000000"/>
        <w:right w:val="single" w:sz="6" w:space="0" w:color="000000"/>
      </w:pBdr>
      <w:suppressAutoHyphens/>
      <w:spacing w:after="116"/>
      <w:ind w:left="790" w:hanging="10"/>
      <w:outlineLvl w:val="6"/>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Arial" w:hAnsi="Arial" w:cs="Arial"/>
      <w:color w:val="455A20"/>
      <w:sz w:val="56"/>
      <w:lang w:eastAsia="en-GB"/>
    </w:rPr>
  </w:style>
  <w:style w:type="character" w:customStyle="1" w:styleId="Heading2Char">
    <w:name w:val="Heading 2 Char"/>
    <w:basedOn w:val="DefaultParagraphFont"/>
    <w:rPr>
      <w:rFonts w:ascii="Arial" w:eastAsia="Arial" w:hAnsi="Arial" w:cs="Arial"/>
      <w:color w:val="455A20"/>
      <w:sz w:val="32"/>
      <w:lang w:eastAsia="en-GB"/>
    </w:rPr>
  </w:style>
  <w:style w:type="character" w:customStyle="1" w:styleId="Heading3Char">
    <w:name w:val="Heading 3 Char"/>
    <w:basedOn w:val="DefaultParagraphFont"/>
    <w:rPr>
      <w:rFonts w:ascii="Arial" w:eastAsia="Arial" w:hAnsi="Arial" w:cs="Arial"/>
      <w:sz w:val="32"/>
      <w:lang w:eastAsia="en-GB"/>
    </w:rPr>
  </w:style>
  <w:style w:type="character" w:customStyle="1" w:styleId="Heading4Char">
    <w:name w:val="Heading 4 Char"/>
    <w:basedOn w:val="DefaultParagraphFont"/>
    <w:rPr>
      <w:rFonts w:ascii="Arial" w:eastAsia="Arial" w:hAnsi="Arial" w:cs="Arial"/>
      <w:b/>
      <w:color w:val="000000"/>
      <w:lang w:eastAsia="en-GB"/>
    </w:rPr>
  </w:style>
  <w:style w:type="character" w:customStyle="1" w:styleId="Heading5Char">
    <w:name w:val="Heading 5 Char"/>
    <w:basedOn w:val="DefaultParagraphFont"/>
    <w:rPr>
      <w:rFonts w:ascii="Arial" w:eastAsia="Arial" w:hAnsi="Arial" w:cs="Arial"/>
      <w:b/>
      <w:color w:val="455A20"/>
      <w:lang w:eastAsia="en-GB"/>
    </w:rPr>
  </w:style>
  <w:style w:type="character" w:customStyle="1" w:styleId="Heading6Char">
    <w:name w:val="Heading 6 Char"/>
    <w:basedOn w:val="DefaultParagraphFont"/>
    <w:rPr>
      <w:rFonts w:ascii="Arial" w:eastAsia="Arial" w:hAnsi="Arial" w:cs="Arial"/>
      <w:i/>
      <w:color w:val="455A20"/>
      <w:sz w:val="26"/>
      <w:lang w:eastAsia="en-GB"/>
    </w:rPr>
  </w:style>
  <w:style w:type="character" w:customStyle="1" w:styleId="Heading7Char">
    <w:name w:val="Heading 7 Char"/>
    <w:basedOn w:val="DefaultParagraphFont"/>
    <w:rPr>
      <w:rFonts w:ascii="Arial" w:eastAsia="Arial" w:hAnsi="Arial" w:cs="Arial"/>
      <w:b/>
      <w:color w:val="000000"/>
      <w:lang w:eastAsia="en-GB"/>
    </w:rPr>
  </w:style>
  <w:style w:type="paragraph" w:customStyle="1" w:styleId="footnotedescription">
    <w:name w:val="footnote description"/>
    <w:next w:val="Normal"/>
    <w:pPr>
      <w:suppressAutoHyphens/>
      <w:spacing w:after="0" w:line="242" w:lineRule="auto"/>
      <w:ind w:left="653" w:right="90"/>
      <w:jc w:val="both"/>
    </w:pPr>
    <w:rPr>
      <w:rFonts w:ascii="Arial" w:eastAsia="Arial" w:hAnsi="Arial" w:cs="Arial"/>
      <w:color w:val="455A20"/>
      <w:lang w:eastAsia="en-GB"/>
    </w:rPr>
  </w:style>
  <w:style w:type="character" w:customStyle="1" w:styleId="footnotedescriptionChar">
    <w:name w:val="footnote description Char"/>
    <w:rPr>
      <w:rFonts w:ascii="Arial" w:eastAsia="Arial" w:hAnsi="Arial" w:cs="Arial"/>
      <w:color w:val="455A20"/>
      <w:lang w:eastAsia="en-GB"/>
    </w:rPr>
  </w:style>
  <w:style w:type="paragraph" w:styleId="TOC1">
    <w:name w:val="toc 1"/>
    <w:uiPriority w:val="39"/>
    <w:pPr>
      <w:suppressAutoHyphens/>
      <w:spacing w:after="93" w:line="333" w:lineRule="auto"/>
      <w:ind w:left="217" w:right="23" w:hanging="10"/>
      <w:jc w:val="both"/>
    </w:pPr>
    <w:rPr>
      <w:rFonts w:ascii="Arial" w:eastAsia="Arial" w:hAnsi="Arial" w:cs="Arial"/>
      <w:b/>
      <w:color w:val="000000"/>
      <w:lang w:eastAsia="en-GB"/>
    </w:rPr>
  </w:style>
  <w:style w:type="paragraph" w:styleId="TOC2">
    <w:name w:val="toc 2"/>
    <w:uiPriority w:val="39"/>
    <w:pPr>
      <w:suppressAutoHyphens/>
      <w:spacing w:after="90" w:line="244" w:lineRule="auto"/>
      <w:ind w:left="428" w:right="15"/>
    </w:pPr>
    <w:rPr>
      <w:rFonts w:ascii="Arial" w:eastAsia="Arial" w:hAnsi="Arial" w:cs="Arial"/>
      <w:color w:val="000000"/>
      <w:lang w:eastAsia="en-GB"/>
    </w:rPr>
  </w:style>
  <w:style w:type="character" w:customStyle="1" w:styleId="footnotemark">
    <w:name w:val="footnote mark"/>
    <w:rPr>
      <w:rFonts w:ascii="Arial" w:eastAsia="Arial" w:hAnsi="Arial" w:cs="Arial"/>
      <w:color w:val="455A20"/>
      <w:position w:val="0"/>
      <w:sz w:val="22"/>
      <w:vertAlign w:val="superscript"/>
    </w:rPr>
  </w:style>
  <w:style w:type="character" w:styleId="Hyperlink">
    <w:name w:val="Hyperlink"/>
    <w:basedOn w:val="DefaultParagraphFont"/>
    <w:uiPriority w:val="99"/>
    <w:rPr>
      <w:color w:val="0563C1"/>
      <w:u w:val="single"/>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eastAsia="Arial" w:hAnsi="Arial" w:cs="Arial"/>
      <w:color w:val="000000"/>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eastAsia="Arial" w:hAnsi="Arial" w:cs="Arial"/>
      <w:b/>
      <w:bCs/>
      <w:color w:val="000000"/>
      <w:sz w:val="20"/>
      <w:szCs w:val="20"/>
      <w:lang w:eastAsia="en-GB"/>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eastAsia="Arial" w:hAnsi="Segoe UI" w:cs="Segoe UI"/>
      <w:color w:val="000000"/>
      <w:sz w:val="18"/>
      <w:szCs w:val="18"/>
      <w:lang w:eastAsia="en-GB"/>
    </w:rPr>
  </w:style>
  <w:style w:type="paragraph" w:styleId="ListParagraph">
    <w:name w:val="List Paragraph"/>
    <w:basedOn w:val="Normal"/>
    <w:rsid w:val="007A7512"/>
    <w:pPr>
      <w:ind w:left="567"/>
    </w:pPr>
    <w:rPr>
      <w:rFonts w:eastAsia="Calibri" w:cs="Times New Roman"/>
      <w:color w:val="auto"/>
      <w:lang w:eastAsia="en-US"/>
    </w:rPr>
  </w:style>
  <w:style w:type="paragraph" w:styleId="BodyText">
    <w:name w:val="Body Text"/>
    <w:basedOn w:val="Normal"/>
    <w:pPr>
      <w:spacing w:line="240" w:lineRule="atLeast"/>
    </w:pPr>
    <w:rPr>
      <w:rFonts w:eastAsia="Times New Roman" w:cs="Times New Roman"/>
      <w:color w:val="auto"/>
      <w:szCs w:val="24"/>
      <w:lang w:eastAsia="en-US"/>
    </w:rPr>
  </w:style>
  <w:style w:type="character" w:customStyle="1" w:styleId="BodyTextChar">
    <w:name w:val="Body Text Char"/>
    <w:basedOn w:val="DefaultParagraphFont"/>
    <w:rPr>
      <w:rFonts w:ascii="Arial" w:eastAsia="Times New Roman" w:hAnsi="Arial" w:cs="Times New Roman"/>
      <w:sz w:val="24"/>
      <w:szCs w:val="24"/>
    </w:rPr>
  </w:style>
  <w:style w:type="paragraph" w:styleId="FootnoteText">
    <w:name w:val="footnote text"/>
    <w:basedOn w:val="Normal"/>
    <w:pPr>
      <w:spacing w:after="0" w:line="240" w:lineRule="atLeast"/>
    </w:pPr>
    <w:rPr>
      <w:rFonts w:eastAsia="Calibri" w:cs="Times New Roman"/>
      <w:color w:val="auto"/>
      <w:sz w:val="20"/>
      <w:szCs w:val="20"/>
      <w:lang w:eastAsia="en-US"/>
    </w:rPr>
  </w:style>
  <w:style w:type="character" w:customStyle="1" w:styleId="FootnoteTextChar">
    <w:name w:val="Footnote Text Char"/>
    <w:basedOn w:val="DefaultParagraphFont"/>
    <w:rPr>
      <w:rFonts w:ascii="Arial" w:hAnsi="Arial"/>
      <w:sz w:val="20"/>
      <w:szCs w:val="20"/>
    </w:rPr>
  </w:style>
  <w:style w:type="character" w:styleId="FootnoteReference">
    <w:name w:val="footnote reference"/>
    <w:basedOn w:val="DefaultParagraphFont"/>
    <w:rPr>
      <w:position w:val="0"/>
      <w:vertAlign w:val="superscript"/>
    </w:rPr>
  </w:style>
  <w:style w:type="paragraph" w:customStyle="1" w:styleId="Default">
    <w:name w:val="Default"/>
    <w:pPr>
      <w:suppressAutoHyphens/>
      <w:autoSpaceDE w:val="0"/>
      <w:spacing w:after="0" w:line="240" w:lineRule="auto"/>
    </w:pPr>
    <w:rPr>
      <w:rFonts w:ascii="Times New Roman" w:hAnsi="Times New Roman"/>
      <w:color w:val="000000"/>
      <w:sz w:val="24"/>
      <w:szCs w:val="24"/>
    </w:rPr>
  </w:style>
  <w:style w:type="paragraph" w:styleId="Header">
    <w:name w:val="header"/>
    <w:basedOn w:val="Normal"/>
    <w:uiPriority w:val="99"/>
    <w:pPr>
      <w:tabs>
        <w:tab w:val="center" w:pos="4513"/>
        <w:tab w:val="right" w:pos="9026"/>
      </w:tabs>
      <w:spacing w:after="0"/>
    </w:pPr>
  </w:style>
  <w:style w:type="character" w:customStyle="1" w:styleId="HeaderChar">
    <w:name w:val="Header Char"/>
    <w:basedOn w:val="DefaultParagraphFont"/>
    <w:uiPriority w:val="99"/>
    <w:rPr>
      <w:rFonts w:ascii="Arial" w:eastAsia="Arial" w:hAnsi="Arial" w:cs="Arial"/>
      <w:color w:val="000000"/>
      <w:sz w:val="24"/>
      <w:lang w:eastAsia="en-GB"/>
    </w:rPr>
  </w:style>
  <w:style w:type="paragraph" w:styleId="Footer">
    <w:name w:val="footer"/>
    <w:basedOn w:val="Normal"/>
    <w:uiPriority w:val="99"/>
    <w:pPr>
      <w:tabs>
        <w:tab w:val="center" w:pos="4513"/>
        <w:tab w:val="right" w:pos="9026"/>
      </w:tabs>
      <w:spacing w:after="0"/>
    </w:pPr>
  </w:style>
  <w:style w:type="character" w:customStyle="1" w:styleId="FooterChar">
    <w:name w:val="Footer Char"/>
    <w:basedOn w:val="DefaultParagraphFont"/>
    <w:uiPriority w:val="99"/>
    <w:rPr>
      <w:rFonts w:ascii="Arial" w:eastAsia="Arial" w:hAnsi="Arial" w:cs="Arial"/>
      <w:color w:val="000000"/>
      <w:sz w:val="24"/>
      <w:lang w:eastAsia="en-GB"/>
    </w:rPr>
  </w:style>
  <w:style w:type="paragraph" w:styleId="NormalWeb">
    <w:name w:val="Normal (Web)"/>
    <w:basedOn w:val="Normal"/>
    <w:rPr>
      <w:rFonts w:ascii="Times New Roman" w:eastAsia="Times New Roman" w:hAnsi="Times New Roman" w:cs="Times New Roman"/>
      <w:color w:val="auto"/>
      <w:szCs w:val="24"/>
    </w:rPr>
  </w:style>
  <w:style w:type="paragraph" w:styleId="Revision">
    <w:name w:val="Revision"/>
    <w:pPr>
      <w:suppressAutoHyphens/>
      <w:spacing w:after="0" w:line="240" w:lineRule="auto"/>
    </w:pPr>
    <w:rPr>
      <w:rFonts w:ascii="Arial" w:eastAsia="Arial" w:hAnsi="Arial" w:cs="Arial"/>
      <w:color w:val="000000"/>
      <w:lang w:eastAsia="en-GB"/>
    </w:rPr>
  </w:style>
  <w:style w:type="character" w:styleId="PlaceholderText">
    <w:name w:val="Placeholder Text"/>
    <w:basedOn w:val="DefaultParagraphFont"/>
    <w:rPr>
      <w:color w:val="808080"/>
    </w:rPr>
  </w:style>
  <w:style w:type="character" w:styleId="UnresolvedMention">
    <w:name w:val="Unresolved Mention"/>
    <w:basedOn w:val="DefaultParagraphFont"/>
    <w:uiPriority w:val="99"/>
    <w:rPr>
      <w:color w:val="605E5C"/>
      <w:shd w:val="clear" w:color="auto" w:fill="E1DFDD"/>
    </w:rPr>
  </w:style>
  <w:style w:type="character" w:styleId="FollowedHyperlink">
    <w:name w:val="FollowedHyperlink"/>
    <w:basedOn w:val="DefaultParagraphFont"/>
    <w:rPr>
      <w:color w:val="954F72"/>
      <w:u w:val="single"/>
    </w:rPr>
  </w:style>
  <w:style w:type="paragraph" w:customStyle="1" w:styleId="Maintextblack">
    <w:name w:val="Main text black"/>
    <w:basedOn w:val="Normal"/>
    <w:rPr>
      <w:rFonts w:cs="Times New Roman"/>
      <w:lang w:eastAsia="en-US"/>
    </w:rPr>
  </w:style>
  <w:style w:type="table" w:customStyle="1" w:styleId="TableGrid">
    <w:name w:val="TableGrid"/>
    <w:rsid w:val="00AB1DC4"/>
    <w:pPr>
      <w:autoSpaceDN/>
      <w:spacing w:after="0"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2737EF"/>
    <w:pPr>
      <w:suppressAutoHyphens w:val="0"/>
      <w:autoSpaceDN/>
      <w:spacing w:before="240" w:after="0" w:line="259" w:lineRule="auto"/>
      <w:outlineLvl w:val="9"/>
    </w:pPr>
    <w:rPr>
      <w:rFonts w:asciiTheme="majorHAnsi" w:eastAsiaTheme="majorEastAsia" w:hAnsiTheme="majorHAnsi" w:cstheme="majorBidi"/>
      <w:color w:val="2F5496" w:themeColor="accent1" w:themeShade="BF"/>
      <w:sz w:val="32"/>
      <w:szCs w:val="32"/>
      <w:lang w:val="en-US" w:eastAsia="en-US"/>
    </w:rPr>
  </w:style>
  <w:style w:type="paragraph" w:styleId="TOC3">
    <w:name w:val="toc 3"/>
    <w:basedOn w:val="Normal"/>
    <w:next w:val="Normal"/>
    <w:autoRedefine/>
    <w:uiPriority w:val="39"/>
    <w:unhideWhenUsed/>
    <w:rsid w:val="00FF0098"/>
    <w:pPr>
      <w:tabs>
        <w:tab w:val="left" w:pos="0"/>
        <w:tab w:val="right" w:leader="dot" w:pos="9639"/>
      </w:tabs>
    </w:pPr>
  </w:style>
  <w:style w:type="paragraph" w:styleId="TOC4">
    <w:name w:val="toc 4"/>
    <w:basedOn w:val="Normal"/>
    <w:next w:val="Normal"/>
    <w:autoRedefine/>
    <w:uiPriority w:val="39"/>
    <w:unhideWhenUsed/>
    <w:rsid w:val="002737EF"/>
    <w:pPr>
      <w:suppressAutoHyphens w:val="0"/>
      <w:autoSpaceDN/>
      <w:spacing w:line="259" w:lineRule="auto"/>
      <w:ind w:left="660"/>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2737EF"/>
    <w:pPr>
      <w:suppressAutoHyphens w:val="0"/>
      <w:autoSpaceDN/>
      <w:spacing w:line="259" w:lineRule="auto"/>
      <w:ind w:left="880"/>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2737EF"/>
    <w:pPr>
      <w:suppressAutoHyphens w:val="0"/>
      <w:autoSpaceDN/>
      <w:spacing w:line="259" w:lineRule="auto"/>
      <w:ind w:left="1100"/>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2737EF"/>
    <w:pPr>
      <w:suppressAutoHyphens w:val="0"/>
      <w:autoSpaceDN/>
      <w:spacing w:line="259" w:lineRule="auto"/>
      <w:ind w:left="1320"/>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2737EF"/>
    <w:pPr>
      <w:suppressAutoHyphens w:val="0"/>
      <w:autoSpaceDN/>
      <w:spacing w:line="259" w:lineRule="auto"/>
      <w:ind w:left="1540"/>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2737EF"/>
    <w:pPr>
      <w:suppressAutoHyphens w:val="0"/>
      <w:autoSpaceDN/>
      <w:spacing w:line="259" w:lineRule="auto"/>
      <w:ind w:left="1760"/>
    </w:pPr>
    <w:rPr>
      <w:rFonts w:asciiTheme="minorHAnsi" w:eastAsiaTheme="minorEastAsia" w:hAnsiTheme="minorHAnsi" w:cstheme="minorBidi"/>
      <w:color w:val="auto"/>
      <w:sz w:val="22"/>
    </w:rPr>
  </w:style>
  <w:style w:type="table" w:styleId="TableGrid0">
    <w:name w:val="Table Grid"/>
    <w:basedOn w:val="TableNormal"/>
    <w:uiPriority w:val="39"/>
    <w:rsid w:val="00771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71B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827D03"/>
    <w:pPr>
      <w:spacing w:before="0" w:after="0"/>
    </w:pPr>
    <w:rPr>
      <w:sz w:val="20"/>
      <w:szCs w:val="20"/>
    </w:rPr>
  </w:style>
  <w:style w:type="character" w:customStyle="1" w:styleId="EndnoteTextChar">
    <w:name w:val="Endnote Text Char"/>
    <w:basedOn w:val="DefaultParagraphFont"/>
    <w:link w:val="EndnoteText"/>
    <w:uiPriority w:val="99"/>
    <w:semiHidden/>
    <w:rsid w:val="00827D03"/>
    <w:rPr>
      <w:rFonts w:ascii="Arial" w:eastAsia="Arial" w:hAnsi="Arial" w:cs="Arial"/>
      <w:color w:val="000000"/>
      <w:sz w:val="20"/>
      <w:szCs w:val="20"/>
      <w:lang w:eastAsia="en-GB"/>
    </w:rPr>
  </w:style>
  <w:style w:type="character" w:styleId="EndnoteReference">
    <w:name w:val="endnote reference"/>
    <w:basedOn w:val="DefaultParagraphFont"/>
    <w:uiPriority w:val="99"/>
    <w:semiHidden/>
    <w:unhideWhenUsed/>
    <w:rsid w:val="00827D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climate-change-agreements-it-user-guide" TargetMode="External"/><Relationship Id="rId21" Type="http://schemas.openxmlformats.org/officeDocument/2006/relationships/hyperlink" Target="https://www.gov.uk/government/publications/climate-change-agreements-it-user-guide" TargetMode="External"/><Relationship Id="rId42" Type="http://schemas.openxmlformats.org/officeDocument/2006/relationships/hyperlink" Target="https://www.gov.uk/government/uploads/system/uploads/attachment_data/file/221044/pb13898-epr-guidance-part-a-130222.pdf" TargetMode="External"/><Relationship Id="rId63" Type="http://schemas.openxmlformats.org/officeDocument/2006/relationships/hyperlink" Target="mailto:cca-help@environment-agency.gov.uk" TargetMode="External"/><Relationship Id="rId84" Type="http://schemas.openxmlformats.org/officeDocument/2006/relationships/hyperlink" Target="https://www.gov.uk/government/publications/climate-change-agreements-technical-guidance" TargetMode="External"/><Relationship Id="rId138" Type="http://schemas.openxmlformats.org/officeDocument/2006/relationships/hyperlink" Target="https://www.gov.uk/government/uploads/system/uploads/attachment_data/file/554761/LIT_10506.xlsx" TargetMode="External"/><Relationship Id="rId159" Type="http://schemas.openxmlformats.org/officeDocument/2006/relationships/hyperlink" Target="https://www.gov.uk/government/uploads/system/uploads/attachment_data/file/401050/LIT_10086.xlsx" TargetMode="External"/><Relationship Id="rId170" Type="http://schemas.openxmlformats.org/officeDocument/2006/relationships/hyperlink" Target="https://www.gov.uk/government/uploads/system/uploads/attachment_data/file/401052/LIT_10088.xlsx" TargetMode="External"/><Relationship Id="rId191" Type="http://schemas.openxmlformats.org/officeDocument/2006/relationships/image" Target="media/image8.png"/><Relationship Id="rId107" Type="http://schemas.openxmlformats.org/officeDocument/2006/relationships/hyperlink" Target="https://www.gov.uk/government/organisations/ministry-of-justice" TargetMode="External"/><Relationship Id="rId11" Type="http://schemas.openxmlformats.org/officeDocument/2006/relationships/footer" Target="footer1.xml"/><Relationship Id="rId32" Type="http://schemas.openxmlformats.org/officeDocument/2006/relationships/hyperlink" Target="https://www.gov.uk/government/publications/exemptions-from-climate-change-levy-for-mineralogical-and-metallurgical-processes-guidance" TargetMode="External"/><Relationship Id="rId53" Type="http://schemas.openxmlformats.org/officeDocument/2006/relationships/hyperlink" Target="https://www.gov.uk/government/publications/2012-greenhouse-gas-conversion-factors-for-company-reporting" TargetMode="External"/><Relationship Id="rId74" Type="http://schemas.openxmlformats.org/officeDocument/2006/relationships/hyperlink" Target="https://www.gov.uk/government/collections/climate-change-agreements-umbrella-agreements" TargetMode="External"/><Relationship Id="rId128" Type="http://schemas.openxmlformats.org/officeDocument/2006/relationships/hyperlink" Target="https://www.gov.uk/government/publications/climate-change-agreements-technical-guidance" TargetMode="External"/><Relationship Id="rId149" Type="http://schemas.openxmlformats.org/officeDocument/2006/relationships/hyperlink" Target="https://www.gov.uk/government/uploads/system/uploads/attachment_data/file/401046/LIT_10083.xlsx" TargetMode="External"/><Relationship Id="rId5" Type="http://schemas.openxmlformats.org/officeDocument/2006/relationships/webSettings" Target="webSettings.xml"/><Relationship Id="rId95" Type="http://schemas.openxmlformats.org/officeDocument/2006/relationships/hyperlink" Target="https://www.gov.uk/government/organisations/hm-courts-and-tribunals-service/about" TargetMode="External"/><Relationship Id="rId160" Type="http://schemas.openxmlformats.org/officeDocument/2006/relationships/hyperlink" Target="https://www.gov.uk/government/uploads/system/uploads/attachment_data/file/401050/LIT_10086.xlsx" TargetMode="External"/><Relationship Id="rId181" Type="http://schemas.openxmlformats.org/officeDocument/2006/relationships/hyperlink" Target="https://www.gov.uk/government/uploads/system/uploads/attachment_data/file/401055/LIT_10091.xlsx" TargetMode="External"/><Relationship Id="rId22" Type="http://schemas.openxmlformats.org/officeDocument/2006/relationships/hyperlink" Target="https://www.gov.uk/government/publications/climate-change-agreements-it-user-guide" TargetMode="External"/><Relationship Id="rId43" Type="http://schemas.openxmlformats.org/officeDocument/2006/relationships/hyperlink" Target="https://www.gov.uk/government/uploads/system/uploads/attachment_data/file/221044/pb13898-epr-guidance-part-a-130222.pdf" TargetMode="External"/><Relationship Id="rId64" Type="http://schemas.openxmlformats.org/officeDocument/2006/relationships/hyperlink" Target="https://www.gov.uk/government/publications/climate-change-agreements-technical-guidance" TargetMode="External"/><Relationship Id="rId118" Type="http://schemas.openxmlformats.org/officeDocument/2006/relationships/hyperlink" Target="https://www.gov.uk/government/publications/climate-change-agreements-it-user-guide" TargetMode="External"/><Relationship Id="rId139" Type="http://schemas.openxmlformats.org/officeDocument/2006/relationships/hyperlink" Target="https://www.gov.uk/government/uploads/system/uploads/attachment_data/file/554761/LIT_10506.xlsx" TargetMode="External"/><Relationship Id="rId85" Type="http://schemas.openxmlformats.org/officeDocument/2006/relationships/hyperlink" Target="https://www.gov.uk/government/publications/climate-change-agreements-technical-guidance" TargetMode="External"/><Relationship Id="rId150" Type="http://schemas.openxmlformats.org/officeDocument/2006/relationships/hyperlink" Target="https://www.gov.uk/government/uploads/system/uploads/attachment_data/file/401046/LIT_10083.xlsx" TargetMode="External"/><Relationship Id="rId171" Type="http://schemas.openxmlformats.org/officeDocument/2006/relationships/hyperlink" Target="https://www.gov.uk/government/uploads/system/uploads/attachment_data/file/401053/LIT_10089.xlsx" TargetMode="External"/><Relationship Id="rId192" Type="http://schemas.openxmlformats.org/officeDocument/2006/relationships/image" Target="media/image9.png"/><Relationship Id="rId12" Type="http://schemas.openxmlformats.org/officeDocument/2006/relationships/footer" Target="footer2.xml"/><Relationship Id="rId33" Type="http://schemas.openxmlformats.org/officeDocument/2006/relationships/hyperlink" Target="https://www.gov.uk/government/publications/exemptions-from-climate-change-levy-for-mineralogical-and-metallurgical-processes-guidance" TargetMode="External"/><Relationship Id="rId108" Type="http://schemas.openxmlformats.org/officeDocument/2006/relationships/hyperlink" Target="https://www.gov.uk/government/organisations/ministry-of-justice" TargetMode="External"/><Relationship Id="rId129" Type="http://schemas.openxmlformats.org/officeDocument/2006/relationships/hyperlink" Target="https://www.gov.uk/government/publications/climate-change-agreements-technical-guidance" TargetMode="External"/><Relationship Id="rId54" Type="http://schemas.openxmlformats.org/officeDocument/2006/relationships/hyperlink" Target="https://www.gov.uk/government/publications/2012-greenhouse-gas-conversion-factors-for-company-reporting" TargetMode="External"/><Relationship Id="rId75" Type="http://schemas.openxmlformats.org/officeDocument/2006/relationships/hyperlink" Target="https://www.gov.uk/government/collections/climate-change-agreements-umbrella-agreements" TargetMode="External"/><Relationship Id="rId96" Type="http://schemas.openxmlformats.org/officeDocument/2006/relationships/hyperlink" Target="https://www.gov.uk/government/organisations/hm-courts-and-tribunals-service/about" TargetMode="External"/><Relationship Id="rId140" Type="http://schemas.openxmlformats.org/officeDocument/2006/relationships/hyperlink" Target="https://www.gov.uk/government/uploads/system/uploads/attachment_data/file/401044/LIT_10081.xlsx" TargetMode="External"/><Relationship Id="rId161" Type="http://schemas.openxmlformats.org/officeDocument/2006/relationships/hyperlink" Target="https://www.gov.uk/government/uploads/system/uploads/attachment_data/file/401050/LIT_10086.xlsx" TargetMode="External"/><Relationship Id="rId182" Type="http://schemas.openxmlformats.org/officeDocument/2006/relationships/hyperlink" Target="https://www.gov.uk/government/uploads/system/uploads/attachment_data/file/401055/LIT_10091.xlsx" TargetMode="External"/><Relationship Id="rId6" Type="http://schemas.openxmlformats.org/officeDocument/2006/relationships/footnotes" Target="footnotes.xml"/><Relationship Id="rId23" Type="http://schemas.openxmlformats.org/officeDocument/2006/relationships/hyperlink" Target="https://www.gov.uk/government/publications/climate-change-agreements-it-user-guide" TargetMode="External"/><Relationship Id="rId119" Type="http://schemas.openxmlformats.org/officeDocument/2006/relationships/hyperlink" Target="https://www.gov.uk/government/publications/climate-change-agreements-it-user-guide" TargetMode="External"/><Relationship Id="rId44" Type="http://schemas.openxmlformats.org/officeDocument/2006/relationships/hyperlink" Target="https://www.gov.uk/guidance/energy-efficiency-standards-for-industrial-plants-to-get-environmental-permits" TargetMode="External"/><Relationship Id="rId65" Type="http://schemas.openxmlformats.org/officeDocument/2006/relationships/hyperlink" Target="https://www.gov.uk/government/publications/climate-change-agreements-technical-guidance" TargetMode="External"/><Relationship Id="rId86" Type="http://schemas.openxmlformats.org/officeDocument/2006/relationships/hyperlink" Target="https://www.gov.uk/government/publications/climate-change-agreements-technical-guidance" TargetMode="External"/><Relationship Id="rId130" Type="http://schemas.openxmlformats.org/officeDocument/2006/relationships/hyperlink" Target="https://www.gov.uk/government/publications/climate-change-agreements-technical-guidance" TargetMode="External"/><Relationship Id="rId151" Type="http://schemas.openxmlformats.org/officeDocument/2006/relationships/hyperlink" Target="https://www.gov.uk/government/uploads/system/uploads/attachment_data/file/401047/LIT_10084.xlsx" TargetMode="External"/><Relationship Id="rId172" Type="http://schemas.openxmlformats.org/officeDocument/2006/relationships/hyperlink" Target="https://www.gov.uk/government/uploads/system/uploads/attachment_data/file/401053/LIT_10089.xlsx" TargetMode="External"/><Relationship Id="rId193" Type="http://schemas.openxmlformats.org/officeDocument/2006/relationships/hyperlink" Target="mailto:cca-help@environment-agency.gov.uk" TargetMode="External"/><Relationship Id="rId13" Type="http://schemas.openxmlformats.org/officeDocument/2006/relationships/header" Target="header3.xml"/><Relationship Id="rId109" Type="http://schemas.openxmlformats.org/officeDocument/2006/relationships/hyperlink" Target="https://www.gov.uk/government/organisations/ministry-of-justice" TargetMode="External"/><Relationship Id="rId34" Type="http://schemas.openxmlformats.org/officeDocument/2006/relationships/hyperlink" Target="https://www.gov.uk/government/uploads/system/uploads/attachment_data/file/221044/pb13898-epr-guidance-part-a-130222.pdf" TargetMode="External"/><Relationship Id="rId55" Type="http://schemas.openxmlformats.org/officeDocument/2006/relationships/hyperlink" Target="https://www.gov.uk/government/publications/2012-greenhouse-gas-conversion-factors-for-company-reporting" TargetMode="External"/><Relationship Id="rId76" Type="http://schemas.openxmlformats.org/officeDocument/2006/relationships/hyperlink" Target="https://www.gov.uk/government/collections/climate-change-agreements-umbrella-agreements" TargetMode="External"/><Relationship Id="rId97" Type="http://schemas.openxmlformats.org/officeDocument/2006/relationships/hyperlink" Target="https://www.gov.uk/government/organisations/hm-courts-and-tribunals-service/about" TargetMode="External"/><Relationship Id="rId120" Type="http://schemas.openxmlformats.org/officeDocument/2006/relationships/hyperlink" Target="mailto:cca-help@environment-agency.gov.uk" TargetMode="External"/><Relationship Id="rId141" Type="http://schemas.openxmlformats.org/officeDocument/2006/relationships/hyperlink" Target="https://www.gov.uk/government/uploads/system/uploads/attachment_data/file/401044/LIT_10081.xlsx" TargetMode="External"/><Relationship Id="rId7" Type="http://schemas.openxmlformats.org/officeDocument/2006/relationships/endnotes" Target="endnotes.xml"/><Relationship Id="rId71" Type="http://schemas.openxmlformats.org/officeDocument/2006/relationships/hyperlink" Target="https://www.gov.uk/government/publications/climate-change-agreements-technical-guidance" TargetMode="External"/><Relationship Id="rId92" Type="http://schemas.openxmlformats.org/officeDocument/2006/relationships/hyperlink" Target="https://www.gov.uk/government/publications/climate-change-agreements-technical-guidance" TargetMode="External"/><Relationship Id="rId162" Type="http://schemas.openxmlformats.org/officeDocument/2006/relationships/hyperlink" Target="https://www.gov.uk/government/uploads/system/uploads/attachment_data/file/401050/LIT_10086.xlsx" TargetMode="External"/><Relationship Id="rId183" Type="http://schemas.openxmlformats.org/officeDocument/2006/relationships/hyperlink" Target="https://www.gov.uk/government/uploads/system/uploads/attachment_data/file/401056/LIT_10092.xlsx" TargetMode="External"/><Relationship Id="rId2" Type="http://schemas.openxmlformats.org/officeDocument/2006/relationships/numbering" Target="numbering.xml"/><Relationship Id="rId29" Type="http://schemas.openxmlformats.org/officeDocument/2006/relationships/hyperlink" Target="https://www.gov.uk/guidance/legal-operator-and-competence-requirements-environmental-permits" TargetMode="External"/><Relationship Id="rId24" Type="http://schemas.openxmlformats.org/officeDocument/2006/relationships/hyperlink" Target="https://www.gov.uk/government/publications/climate-change-agreements-it-user-guide" TargetMode="External"/><Relationship Id="rId40" Type="http://schemas.openxmlformats.org/officeDocument/2006/relationships/hyperlink" Target="https://www.gov.uk/government/uploads/system/uploads/attachment_data/file/221044/pb13898-epr-guidance-part-a-130222.pdf" TargetMode="External"/><Relationship Id="rId45" Type="http://schemas.openxmlformats.org/officeDocument/2006/relationships/hyperlink" Target="https://www.gov.uk/government/publications/climate-change-agreements-technical-guidance" TargetMode="External"/><Relationship Id="rId66" Type="http://schemas.openxmlformats.org/officeDocument/2006/relationships/hyperlink" Target="https://www.gov.uk/government/publications/climate-change-agreements-technical-guidance" TargetMode="External"/><Relationship Id="rId87" Type="http://schemas.openxmlformats.org/officeDocument/2006/relationships/hyperlink" Target="https://www.gov.uk/government/publications/environment-agency-enforcement-and-sanctions-policy" TargetMode="External"/><Relationship Id="rId110" Type="http://schemas.openxmlformats.org/officeDocument/2006/relationships/hyperlink" Target="https://www.gov.uk/government/organisations/ministry-of-justice" TargetMode="External"/><Relationship Id="rId115" Type="http://schemas.openxmlformats.org/officeDocument/2006/relationships/hyperlink" Target="https://www.gov.uk/government/publications/climate-change-agreements-technical-guidance" TargetMode="External"/><Relationship Id="rId131" Type="http://schemas.openxmlformats.org/officeDocument/2006/relationships/hyperlink" Target="https://www.gov.uk/government/publications/climate-change-agreements-technical-guidance" TargetMode="External"/><Relationship Id="rId136" Type="http://schemas.openxmlformats.org/officeDocument/2006/relationships/hyperlink" Target="https://www.gov.uk/government/uploads/system/uploads/attachment_data/file/554761/LIT_10506.xlsx" TargetMode="External"/><Relationship Id="rId157" Type="http://schemas.openxmlformats.org/officeDocument/2006/relationships/hyperlink" Target="https://www.gov.uk/government/uploads/system/uploads/attachment_data/file/401048/LIT_10085.xlsx" TargetMode="External"/><Relationship Id="rId178" Type="http://schemas.openxmlformats.org/officeDocument/2006/relationships/hyperlink" Target="https://www.gov.uk/government/uploads/system/uploads/attachment_data/file/401054/LIT_10090.xlsx" TargetMode="External"/><Relationship Id="rId61" Type="http://schemas.openxmlformats.org/officeDocument/2006/relationships/hyperlink" Target="https://www.gov.uk/government/publications/2012-greenhouse-gas-conversion-factors-for-company-reporting" TargetMode="External"/><Relationship Id="rId82" Type="http://schemas.openxmlformats.org/officeDocument/2006/relationships/hyperlink" Target="https://www.gov.uk/government/publications/climate-change-agreements-it-user-guide" TargetMode="External"/><Relationship Id="rId152" Type="http://schemas.openxmlformats.org/officeDocument/2006/relationships/hyperlink" Target="https://www.gov.uk/government/uploads/system/uploads/attachment_data/file/401047/LIT_10084.xlsx" TargetMode="External"/><Relationship Id="rId173" Type="http://schemas.openxmlformats.org/officeDocument/2006/relationships/hyperlink" Target="https://www.gov.uk/government/uploads/system/uploads/attachment_data/file/401053/LIT_10089.xlsx" TargetMode="External"/><Relationship Id="rId194" Type="http://schemas.openxmlformats.org/officeDocument/2006/relationships/header" Target="header4.xml"/><Relationship Id="rId199" Type="http://schemas.openxmlformats.org/officeDocument/2006/relationships/theme" Target="theme/theme1.xml"/><Relationship Id="rId19" Type="http://schemas.openxmlformats.org/officeDocument/2006/relationships/hyperlink" Target="https://cca.environment-agency.gov.uk/Public/Logon.aspx" TargetMode="External"/><Relationship Id="rId14" Type="http://schemas.openxmlformats.org/officeDocument/2006/relationships/footer" Target="footer3.xml"/><Relationship Id="rId30" Type="http://schemas.openxmlformats.org/officeDocument/2006/relationships/hyperlink" Target="https://www.gov.uk/guidance/legal-operator-and-competence-requirements-environmental-permits" TargetMode="External"/><Relationship Id="rId35" Type="http://schemas.openxmlformats.org/officeDocument/2006/relationships/hyperlink" Target="https://www.gov.uk/government/uploads/system/uploads/attachment_data/file/221044/pb13898-epr-guidance-part-a-130222.pdf" TargetMode="External"/><Relationship Id="rId56" Type="http://schemas.openxmlformats.org/officeDocument/2006/relationships/hyperlink" Target="https://www.gov.uk/government/publications/2012-greenhouse-gas-conversion-factors-for-company-reporting" TargetMode="External"/><Relationship Id="rId77" Type="http://schemas.openxmlformats.org/officeDocument/2006/relationships/hyperlink" Target="https://www.gov.uk/government/publications/climate-change-agreements-charging-scheme-april-2013" TargetMode="External"/><Relationship Id="rId100" Type="http://schemas.openxmlformats.org/officeDocument/2006/relationships/hyperlink" Target="https://www.gov.uk/government/organisations/hm-courts-and-tribunals-service/about" TargetMode="External"/><Relationship Id="rId105" Type="http://schemas.openxmlformats.org/officeDocument/2006/relationships/hyperlink" Target="https://www.gov.uk/government/organisations/ministry-of-justice" TargetMode="External"/><Relationship Id="rId126" Type="http://schemas.openxmlformats.org/officeDocument/2006/relationships/hyperlink" Target="https://www.gov.uk/government/publications/climate-change-agreements-technical-guidance" TargetMode="External"/><Relationship Id="rId147" Type="http://schemas.openxmlformats.org/officeDocument/2006/relationships/hyperlink" Target="https://www.gov.uk/government/uploads/system/uploads/attachment_data/file/401046/LIT_10083.xlsx" TargetMode="External"/><Relationship Id="rId168" Type="http://schemas.openxmlformats.org/officeDocument/2006/relationships/hyperlink" Target="https://www.gov.uk/government/uploads/system/uploads/attachment_data/file/401052/LIT_10088.xlsx" TargetMode="External"/><Relationship Id="rId8" Type="http://schemas.openxmlformats.org/officeDocument/2006/relationships/image" Target="media/image1.jpeg"/><Relationship Id="rId51" Type="http://schemas.openxmlformats.org/officeDocument/2006/relationships/hyperlink" Target="https://www.gov.uk/government/publications/2012-greenhouse-gas-conversion-factors-for-company-reporting" TargetMode="External"/><Relationship Id="rId72" Type="http://schemas.openxmlformats.org/officeDocument/2006/relationships/hyperlink" Target="https://www.gov.uk/government/publications/climate-change-agreements-technical-guidance" TargetMode="External"/><Relationship Id="rId93" Type="http://schemas.openxmlformats.org/officeDocument/2006/relationships/hyperlink" Target="https://www.gov.uk/government/organisations/hm-courts-and-tribunals-service/about" TargetMode="External"/><Relationship Id="rId98" Type="http://schemas.openxmlformats.org/officeDocument/2006/relationships/hyperlink" Target="https://www.gov.uk/government/organisations/hm-courts-and-tribunals-service/about" TargetMode="External"/><Relationship Id="rId121" Type="http://schemas.openxmlformats.org/officeDocument/2006/relationships/hyperlink" Target="https://cca.environment-agency.gov.uk/Public/Logon.aspx" TargetMode="External"/><Relationship Id="rId142" Type="http://schemas.openxmlformats.org/officeDocument/2006/relationships/hyperlink" Target="https://www.gov.uk/government/uploads/system/uploads/attachment_data/file/401044/LIT_10081.xlsx" TargetMode="External"/><Relationship Id="rId163" Type="http://schemas.openxmlformats.org/officeDocument/2006/relationships/hyperlink" Target="https://www.gov.uk/government/uploads/system/uploads/attachment_data/file/401051/LIT_10087.xlsx" TargetMode="External"/><Relationship Id="rId184" Type="http://schemas.openxmlformats.org/officeDocument/2006/relationships/hyperlink" Target="https://www.gov.uk/government/uploads/system/uploads/attachment_data/file/401056/LIT_10092.xlsx" TargetMode="External"/><Relationship Id="rId189" Type="http://schemas.openxmlformats.org/officeDocument/2006/relationships/image" Target="media/image6.jpeg"/><Relationship Id="rId3" Type="http://schemas.openxmlformats.org/officeDocument/2006/relationships/styles" Target="styles.xml"/><Relationship Id="rId25" Type="http://schemas.openxmlformats.org/officeDocument/2006/relationships/hyperlink" Target="https://www.gov.uk/government/publications/climate-change-agreements-it-user-guide" TargetMode="External"/><Relationship Id="rId46" Type="http://schemas.openxmlformats.org/officeDocument/2006/relationships/hyperlink" Target="https://www.gov.uk/government/publications/climate-change-agreements-technical-guidance" TargetMode="External"/><Relationship Id="rId67" Type="http://schemas.openxmlformats.org/officeDocument/2006/relationships/hyperlink" Target="https://www.gov.uk/government/publications/climate-change-agreements-technical-guidance" TargetMode="External"/><Relationship Id="rId116" Type="http://schemas.openxmlformats.org/officeDocument/2006/relationships/hyperlink" Target="https://www.gov.uk/government/publications/climate-change-agreements-technical-guidance" TargetMode="External"/><Relationship Id="rId137" Type="http://schemas.openxmlformats.org/officeDocument/2006/relationships/hyperlink" Target="https://www.gov.uk/government/uploads/system/uploads/attachment_data/file/554761/LIT_10506.xlsx" TargetMode="External"/><Relationship Id="rId158" Type="http://schemas.openxmlformats.org/officeDocument/2006/relationships/hyperlink" Target="https://www.gov.uk/government/uploads/system/uploads/attachment_data/file/401048/LIT_10085.xlsx" TargetMode="External"/><Relationship Id="rId20" Type="http://schemas.openxmlformats.org/officeDocument/2006/relationships/hyperlink" Target="https://www.gov.uk/government/publications/climate-change-agreements-it-user-guide" TargetMode="External"/><Relationship Id="rId41" Type="http://schemas.openxmlformats.org/officeDocument/2006/relationships/hyperlink" Target="https://www.gov.uk/government/uploads/system/uploads/attachment_data/file/221044/pb13898-epr-guidance-part-a-130222.pdf" TargetMode="External"/><Relationship Id="rId62" Type="http://schemas.openxmlformats.org/officeDocument/2006/relationships/hyperlink" Target="https://www.gov.uk/government/publications/2012-greenhouse-gas-conversion-factors-for-company-reporting" TargetMode="External"/><Relationship Id="rId83" Type="http://schemas.openxmlformats.org/officeDocument/2006/relationships/hyperlink" Target="https://www.gov.uk/government/publications/climate-change-agreements-technical-guidance" TargetMode="External"/><Relationship Id="rId88" Type="http://schemas.openxmlformats.org/officeDocument/2006/relationships/hyperlink" Target="https://www.gov.uk/guidance/climate-change-levy-application-rates-and-exemptions" TargetMode="External"/><Relationship Id="rId111" Type="http://schemas.openxmlformats.org/officeDocument/2006/relationships/hyperlink" Target="mailto:grc@justice.gov.uk" TargetMode="External"/><Relationship Id="rId132" Type="http://schemas.openxmlformats.org/officeDocument/2006/relationships/hyperlink" Target="http://www.nationalgrid.com/uk" TargetMode="External"/><Relationship Id="rId153" Type="http://schemas.openxmlformats.org/officeDocument/2006/relationships/hyperlink" Target="https://www.gov.uk/government/uploads/system/uploads/attachment_data/file/401047/LIT_10084.xlsx" TargetMode="External"/><Relationship Id="rId174" Type="http://schemas.openxmlformats.org/officeDocument/2006/relationships/hyperlink" Target="https://www.gov.uk/government/uploads/system/uploads/attachment_data/file/401053/LIT_10089.xlsx" TargetMode="External"/><Relationship Id="rId179" Type="http://schemas.openxmlformats.org/officeDocument/2006/relationships/hyperlink" Target="https://www.gov.uk/government/uploads/system/uploads/attachment_data/file/401055/LIT_10091.xlsx" TargetMode="External"/><Relationship Id="rId195" Type="http://schemas.openxmlformats.org/officeDocument/2006/relationships/footer" Target="footer4.xml"/><Relationship Id="rId190" Type="http://schemas.openxmlformats.org/officeDocument/2006/relationships/image" Target="media/image7.jpeg"/><Relationship Id="rId15" Type="http://schemas.openxmlformats.org/officeDocument/2006/relationships/hyperlink" Target="http://www.gov.uk/environment-agency" TargetMode="External"/><Relationship Id="rId36" Type="http://schemas.openxmlformats.org/officeDocument/2006/relationships/hyperlink" Target="https://www.gov.uk/government/uploads/system/uploads/attachment_data/file/221044/pb13898-epr-guidance-part-a-130222.pdf" TargetMode="External"/><Relationship Id="rId57" Type="http://schemas.openxmlformats.org/officeDocument/2006/relationships/hyperlink" Target="https://www.gov.uk/government/publications/2012-greenhouse-gas-conversion-factors-for-company-reporting" TargetMode="External"/><Relationship Id="rId106" Type="http://schemas.openxmlformats.org/officeDocument/2006/relationships/hyperlink" Target="https://www.gov.uk/government/organisations/ministry-of-justice" TargetMode="External"/><Relationship Id="rId127" Type="http://schemas.openxmlformats.org/officeDocument/2006/relationships/hyperlink" Target="https://www.gov.uk/government/publications/climate-change-agreements-technical-guidance" TargetMode="External"/><Relationship Id="rId10" Type="http://schemas.openxmlformats.org/officeDocument/2006/relationships/header" Target="header2.xml"/><Relationship Id="rId31" Type="http://schemas.openxmlformats.org/officeDocument/2006/relationships/hyperlink" Target="https://www.gov.uk/government/publications/exemptions-from-climate-change-levy-for-mineralogical-and-metallurgical-processes-guidance" TargetMode="External"/><Relationship Id="rId52" Type="http://schemas.openxmlformats.org/officeDocument/2006/relationships/hyperlink" Target="https://www.gov.uk/government/publications/2012-greenhouse-gas-conversion-factors-for-company-reporting" TargetMode="External"/><Relationship Id="rId73" Type="http://schemas.openxmlformats.org/officeDocument/2006/relationships/hyperlink" Target="https://www.gov.uk/government/publications/climate-change-agreements-technical-guidance" TargetMode="External"/><Relationship Id="rId78" Type="http://schemas.openxmlformats.org/officeDocument/2006/relationships/hyperlink" Target="https://www.gov.uk/government/publications/climate-change-agreements-charging-scheme-april-2013" TargetMode="External"/><Relationship Id="rId94" Type="http://schemas.openxmlformats.org/officeDocument/2006/relationships/hyperlink" Target="https://www.gov.uk/government/organisations/hm-courts-and-tribunals-service/about" TargetMode="External"/><Relationship Id="rId99" Type="http://schemas.openxmlformats.org/officeDocument/2006/relationships/hyperlink" Target="https://www.gov.uk/government/organisations/hm-courts-and-tribunals-service/about" TargetMode="External"/><Relationship Id="rId101" Type="http://schemas.openxmlformats.org/officeDocument/2006/relationships/hyperlink" Target="https://www.gov.uk/government/organisations/hm-courts-and-tribunals-service/about" TargetMode="External"/><Relationship Id="rId122" Type="http://schemas.openxmlformats.org/officeDocument/2006/relationships/hyperlink" Target="https://cca.environment-agency.gov.uk/" TargetMode="External"/><Relationship Id="rId143" Type="http://schemas.openxmlformats.org/officeDocument/2006/relationships/hyperlink" Target="https://www.gov.uk/government/uploads/system/uploads/attachment_data/file/401044/LIT_10081.xlsx" TargetMode="External"/><Relationship Id="rId148" Type="http://schemas.openxmlformats.org/officeDocument/2006/relationships/hyperlink" Target="https://www.gov.uk/government/uploads/system/uploads/attachment_data/file/401046/LIT_10083.xlsx" TargetMode="External"/><Relationship Id="rId164" Type="http://schemas.openxmlformats.org/officeDocument/2006/relationships/hyperlink" Target="https://www.gov.uk/government/uploads/system/uploads/attachment_data/file/401051/LIT_10087.xlsx" TargetMode="External"/><Relationship Id="rId169" Type="http://schemas.openxmlformats.org/officeDocument/2006/relationships/hyperlink" Target="https://www.gov.uk/government/uploads/system/uploads/attachment_data/file/401052/LIT_10088.xlsx" TargetMode="External"/><Relationship Id="rId185" Type="http://schemas.openxmlformats.org/officeDocument/2006/relationships/hyperlink" Target="https://www.gov.uk/government/uploads/system/uploads/attachment_data/file/401056/LIT_10092.xlsx"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www.gov.uk/government/uploads/system/uploads/attachment_data/file/401055/LIT_10091.xlsx" TargetMode="External"/><Relationship Id="rId26" Type="http://schemas.openxmlformats.org/officeDocument/2006/relationships/hyperlink" Target="https://www.gov.uk/government/publications/climate-change-agreements-it-user-guide" TargetMode="External"/><Relationship Id="rId47" Type="http://schemas.openxmlformats.org/officeDocument/2006/relationships/hyperlink" Target="https://www.gov.uk/government/publications/2012-greenhouse-gas-conversion-factors-for-company-reporting" TargetMode="External"/><Relationship Id="rId68" Type="http://schemas.openxmlformats.org/officeDocument/2006/relationships/hyperlink" Target="https://www.gov.uk/government/publications/climate-change-agreements-technical-guidance" TargetMode="External"/><Relationship Id="rId89" Type="http://schemas.openxmlformats.org/officeDocument/2006/relationships/hyperlink" Target="https://www.gov.uk/guidance/climate-change-levy-rates" TargetMode="External"/><Relationship Id="rId112" Type="http://schemas.openxmlformats.org/officeDocument/2006/relationships/hyperlink" Target="https://www.gov.uk/government/publications/climate-change-agreements-technical-guidance" TargetMode="External"/><Relationship Id="rId133" Type="http://schemas.openxmlformats.org/officeDocument/2006/relationships/hyperlink" Target="https://www.gov.uk/government/uploads/system/uploads/attachment_data/file/350366/LIT_7914.xlsx" TargetMode="External"/><Relationship Id="rId154" Type="http://schemas.openxmlformats.org/officeDocument/2006/relationships/hyperlink" Target="https://www.gov.uk/government/uploads/system/uploads/attachment_data/file/401047/LIT_10084.xlsx" TargetMode="External"/><Relationship Id="rId175" Type="http://schemas.openxmlformats.org/officeDocument/2006/relationships/hyperlink" Target="https://www.gov.uk/government/uploads/system/uploads/attachment_data/file/401054/LIT_10090.xlsx" TargetMode="External"/><Relationship Id="rId196" Type="http://schemas.openxmlformats.org/officeDocument/2006/relationships/header" Target="header5.xml"/><Relationship Id="rId16" Type="http://schemas.openxmlformats.org/officeDocument/2006/relationships/hyperlink" Target="http://www.gov.uk/government/publications" TargetMode="External"/><Relationship Id="rId37" Type="http://schemas.openxmlformats.org/officeDocument/2006/relationships/hyperlink" Target="https://www.gov.uk/government/uploads/system/uploads/attachment_data/file/221044/pb13898-epr-guidance-part-a-130222.pdf" TargetMode="External"/><Relationship Id="rId58" Type="http://schemas.openxmlformats.org/officeDocument/2006/relationships/hyperlink" Target="https://www.gov.uk/government/publications/2012-greenhouse-gas-conversion-factors-for-company-reporting" TargetMode="External"/><Relationship Id="rId79" Type="http://schemas.openxmlformats.org/officeDocument/2006/relationships/hyperlink" Target="https://www.gov.uk/government/publications/climate-change-agreements-charging-scheme-april-2013" TargetMode="External"/><Relationship Id="rId102" Type="http://schemas.openxmlformats.org/officeDocument/2006/relationships/hyperlink" Target="https://www.gov.uk/government/organisations/hm-courts-and-tribunals-service/about" TargetMode="External"/><Relationship Id="rId123" Type="http://schemas.openxmlformats.org/officeDocument/2006/relationships/image" Target="media/image3.jpeg"/><Relationship Id="rId144" Type="http://schemas.openxmlformats.org/officeDocument/2006/relationships/hyperlink" Target="https://www.gov.uk/government/uploads/system/uploads/attachment_data/file/401045/LIT_10082.xlsx" TargetMode="External"/><Relationship Id="rId90" Type="http://schemas.openxmlformats.org/officeDocument/2006/relationships/hyperlink" Target="https://www.gov.uk/guidance/climate-change-levy-application-rates-and-exemptions" TargetMode="External"/><Relationship Id="rId165" Type="http://schemas.openxmlformats.org/officeDocument/2006/relationships/hyperlink" Target="https://www.gov.uk/government/uploads/system/uploads/attachment_data/file/401051/LIT_10087.xlsx" TargetMode="External"/><Relationship Id="rId186" Type="http://schemas.openxmlformats.org/officeDocument/2006/relationships/hyperlink" Target="https://www.gov.uk/government/uploads/system/uploads/attachment_data/file/401056/LIT_10092.xlsx" TargetMode="External"/><Relationship Id="rId27" Type="http://schemas.openxmlformats.org/officeDocument/2006/relationships/hyperlink" Target="https://www.gov.uk/government/publications/climate-change-agreements-it-user-guide" TargetMode="External"/><Relationship Id="rId48" Type="http://schemas.openxmlformats.org/officeDocument/2006/relationships/hyperlink" Target="https://www.gov.uk/government/publications/2012-greenhouse-gas-conversion-factors-for-company-reporting" TargetMode="External"/><Relationship Id="rId69" Type="http://schemas.openxmlformats.org/officeDocument/2006/relationships/hyperlink" Target="https://www.gov.uk/government/publications/climate-change-agreements-technical-guidance" TargetMode="External"/><Relationship Id="rId113" Type="http://schemas.openxmlformats.org/officeDocument/2006/relationships/hyperlink" Target="https://www.gov.uk/government/publications/climate-change-agreements-technical-guidance" TargetMode="External"/><Relationship Id="rId134" Type="http://schemas.openxmlformats.org/officeDocument/2006/relationships/hyperlink" Target="https://www.gov.uk/government/uploads/system/uploads/attachment_data/file/350366/LIT_7914.xlsx" TargetMode="External"/><Relationship Id="rId80" Type="http://schemas.openxmlformats.org/officeDocument/2006/relationships/hyperlink" Target="mailto:cca-help@environment-agency.gov.uk" TargetMode="External"/><Relationship Id="rId155" Type="http://schemas.openxmlformats.org/officeDocument/2006/relationships/hyperlink" Target="https://www.gov.uk/government/uploads/system/uploads/attachment_data/file/401048/LIT_10085.xlsx" TargetMode="External"/><Relationship Id="rId176" Type="http://schemas.openxmlformats.org/officeDocument/2006/relationships/hyperlink" Target="https://www.gov.uk/government/uploads/system/uploads/attachment_data/file/401054/LIT_10090.xlsx" TargetMode="External"/><Relationship Id="rId197" Type="http://schemas.openxmlformats.org/officeDocument/2006/relationships/footer" Target="footer5.xml"/><Relationship Id="rId17" Type="http://schemas.openxmlformats.org/officeDocument/2006/relationships/hyperlink" Target="mailto:enquiries@environment-agency.gov.uk" TargetMode="External"/><Relationship Id="rId38" Type="http://schemas.openxmlformats.org/officeDocument/2006/relationships/hyperlink" Target="https://www.gov.uk/government/uploads/system/uploads/attachment_data/file/221044/pb13898-epr-guidance-part-a-130222.pdf" TargetMode="External"/><Relationship Id="rId59" Type="http://schemas.openxmlformats.org/officeDocument/2006/relationships/hyperlink" Target="https://www.gov.uk/government/publications/2012-greenhouse-gas-conversion-factors-for-company-reporting" TargetMode="External"/><Relationship Id="rId103" Type="http://schemas.openxmlformats.org/officeDocument/2006/relationships/hyperlink" Target="https://www.gov.uk/government/organisations/hm-courts-and-tribunals-service/about" TargetMode="External"/><Relationship Id="rId124" Type="http://schemas.openxmlformats.org/officeDocument/2006/relationships/hyperlink" Target="https://www.gov.uk/government/publications/climate-change-agreements-technical-guidance" TargetMode="External"/><Relationship Id="rId70" Type="http://schemas.openxmlformats.org/officeDocument/2006/relationships/hyperlink" Target="https://www.gov.uk/government/publications/climate-change-agreements-technical-guidance" TargetMode="External"/><Relationship Id="rId91" Type="http://schemas.openxmlformats.org/officeDocument/2006/relationships/hyperlink" Target="https://www.gov.uk/government/publications/climate-change-agreements-technical-guidance" TargetMode="External"/><Relationship Id="rId145" Type="http://schemas.openxmlformats.org/officeDocument/2006/relationships/hyperlink" Target="https://www.gov.uk/government/uploads/system/uploads/attachment_data/file/401045/LIT_10082.xlsx" TargetMode="External"/><Relationship Id="rId166" Type="http://schemas.openxmlformats.org/officeDocument/2006/relationships/hyperlink" Target="https://www.gov.uk/government/uploads/system/uploads/attachment_data/file/401051/LIT_10087.xlsx" TargetMode="External"/><Relationship Id="rId187" Type="http://schemas.openxmlformats.org/officeDocument/2006/relationships/image" Target="media/image4.jpeg"/><Relationship Id="rId1" Type="http://schemas.openxmlformats.org/officeDocument/2006/relationships/customXml" Target="../customXml/item1.xml"/><Relationship Id="rId28" Type="http://schemas.openxmlformats.org/officeDocument/2006/relationships/hyperlink" Target="https://www.gov.uk/government/publications/climate-change-agreements-it-user-guide" TargetMode="External"/><Relationship Id="rId49" Type="http://schemas.openxmlformats.org/officeDocument/2006/relationships/hyperlink" Target="https://www.gov.uk/government/publications/2012-greenhouse-gas-conversion-factors-for-company-reporting" TargetMode="External"/><Relationship Id="rId114" Type="http://schemas.openxmlformats.org/officeDocument/2006/relationships/hyperlink" Target="https://www.gov.uk/government/publications/climate-change-agreements-technical-guidance" TargetMode="External"/><Relationship Id="rId60" Type="http://schemas.openxmlformats.org/officeDocument/2006/relationships/hyperlink" Target="https://www.gov.uk/government/publications/2012-greenhouse-gas-conversion-factors-for-company-reporting" TargetMode="External"/><Relationship Id="rId81" Type="http://schemas.openxmlformats.org/officeDocument/2006/relationships/hyperlink" Target="mailto:cca-help@environment-agency.gov.uk" TargetMode="External"/><Relationship Id="rId135" Type="http://schemas.openxmlformats.org/officeDocument/2006/relationships/hyperlink" Target="https://www.gov.uk/government/uploads/system/uploads/attachment_data/file/350366/LIT_7914.xlsx" TargetMode="External"/><Relationship Id="rId156" Type="http://schemas.openxmlformats.org/officeDocument/2006/relationships/hyperlink" Target="https://www.gov.uk/government/uploads/system/uploads/attachment_data/file/401048/LIT_10085.xlsx" TargetMode="External"/><Relationship Id="rId177" Type="http://schemas.openxmlformats.org/officeDocument/2006/relationships/hyperlink" Target="https://www.gov.uk/government/uploads/system/uploads/attachment_data/file/401054/LIT_10090.xlsx" TargetMode="External"/><Relationship Id="rId198" Type="http://schemas.openxmlformats.org/officeDocument/2006/relationships/fontTable" Target="fontTable.xml"/><Relationship Id="rId18" Type="http://schemas.openxmlformats.org/officeDocument/2006/relationships/hyperlink" Target="https://www.gov.uk/government/publications/climate-change-agreements-operations-manual--2" TargetMode="External"/><Relationship Id="rId39" Type="http://schemas.openxmlformats.org/officeDocument/2006/relationships/hyperlink" Target="https://www.gov.uk/government/uploads/system/uploads/attachment_data/file/221044/pb13898-epr-guidance-part-a-130222.pdf" TargetMode="External"/><Relationship Id="rId50" Type="http://schemas.openxmlformats.org/officeDocument/2006/relationships/hyperlink" Target="https://www.gov.uk/government/publications/2012-greenhouse-gas-conversion-factors-for-company-reporting" TargetMode="External"/><Relationship Id="rId104" Type="http://schemas.openxmlformats.org/officeDocument/2006/relationships/hyperlink" Target="https://www.gov.uk/government/organisations/ministry-of-justice" TargetMode="External"/><Relationship Id="rId125" Type="http://schemas.openxmlformats.org/officeDocument/2006/relationships/hyperlink" Target="mailto:cca-help@environment-agency.gov.uk" TargetMode="External"/><Relationship Id="rId146" Type="http://schemas.openxmlformats.org/officeDocument/2006/relationships/hyperlink" Target="https://www.gov.uk/government/uploads/system/uploads/attachment_data/file/401045/LIT_10082.xlsx" TargetMode="External"/><Relationship Id="rId167" Type="http://schemas.openxmlformats.org/officeDocument/2006/relationships/hyperlink" Target="https://www.gov.uk/government/uploads/system/uploads/attachment_data/file/401052/LIT_10088.xlsx" TargetMode="External"/><Relationship Id="rId188"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9551B-5A34-4A13-B4E9-8F1C57C63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166</Pages>
  <Words>53357</Words>
  <Characters>304135</Characters>
  <Application>Microsoft Office Word</Application>
  <DocSecurity>0</DocSecurity>
  <Lines>2534</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Change Agreements Operations Manual</dc:title>
  <dc:subject/>
  <dc:creator>Environment Agency</dc:creator>
  <dc:description/>
  <cp:lastModifiedBy>Alicia Crawford-Quinn</cp:lastModifiedBy>
  <cp:revision>2</cp:revision>
  <cp:lastPrinted>2026-10-08T14:02:00Z</cp:lastPrinted>
  <dcterms:created xsi:type="dcterms:W3CDTF">2026-10-08T14:03:00Z</dcterms:created>
  <dcterms:modified xsi:type="dcterms:W3CDTF">2026-10-08T14:03:00Z</dcterms:modified>
</cp:coreProperties>
</file>