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337C" w14:textId="0943CA64" w:rsidR="009B2B39" w:rsidRPr="00985933" w:rsidRDefault="009B2B39" w:rsidP="00985933">
      <w:r w:rsidRPr="00985933">
        <w:rPr>
          <w:noProof/>
        </w:rPr>
        <w:drawing>
          <wp:inline distT="0" distB="0" distL="0" distR="0" wp14:anchorId="5D09B281" wp14:editId="74420284">
            <wp:extent cx="3032965" cy="359623"/>
            <wp:effectExtent l="0" t="0" r="0" b="2540"/>
            <wp:docPr id="4" name="Picture 1" descr="Planning Inspectorat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Planning Inspectorate logo. "/>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32965" cy="359623"/>
                    </a:xfrm>
                    <a:prstGeom prst="rect">
                      <a:avLst/>
                    </a:prstGeom>
                    <a:noFill/>
                    <a:ln>
                      <a:noFill/>
                    </a:ln>
                  </pic:spPr>
                </pic:pic>
              </a:graphicData>
            </a:graphic>
          </wp:inline>
        </w:drawing>
      </w:r>
      <w:r>
        <w:br/>
      </w:r>
    </w:p>
    <w:p w14:paraId="7FB6DECE" w14:textId="77777777" w:rsidR="009B2B39" w:rsidRPr="00985933" w:rsidRDefault="009B2B39" w:rsidP="00985933"/>
    <w:tbl>
      <w:tblPr>
        <w:tblW w:w="0" w:type="auto"/>
        <w:tblBorders>
          <w:top w:val="single" w:sz="4" w:space="0" w:color="auto"/>
          <w:bottom w:val="single" w:sz="4" w:space="0" w:color="auto"/>
        </w:tblBorders>
        <w:tblLayout w:type="fixed"/>
        <w:tblLook w:val="0000" w:firstRow="0" w:lastRow="0" w:firstColumn="0" w:lastColumn="0" w:noHBand="0" w:noVBand="0"/>
      </w:tblPr>
      <w:tblGrid>
        <w:gridCol w:w="9356"/>
      </w:tblGrid>
      <w:tr w:rsidR="009B2B39" w:rsidRPr="00985933" w14:paraId="66A9CCEE" w14:textId="77777777" w:rsidTr="00214CD4">
        <w:trPr>
          <w:cantSplit/>
          <w:trHeight w:val="23"/>
        </w:trPr>
        <w:tc>
          <w:tcPr>
            <w:tcW w:w="9356" w:type="dxa"/>
          </w:tcPr>
          <w:p w14:paraId="04A3B416" w14:textId="77777777" w:rsidR="009B2B39" w:rsidRDefault="009B2B39" w:rsidP="00C65AD2">
            <w:pPr>
              <w:spacing w:before="120"/>
              <w:ind w:left="-108" w:right="34"/>
              <w:rPr>
                <w:b/>
                <w:color w:val="000000"/>
                <w:sz w:val="40"/>
                <w:szCs w:val="40"/>
              </w:rPr>
            </w:pPr>
            <w:r>
              <w:rPr>
                <w:b/>
                <w:color w:val="000000"/>
                <w:sz w:val="40"/>
                <w:szCs w:val="40"/>
              </w:rPr>
              <w:t>Order Decision</w:t>
            </w:r>
          </w:p>
          <w:p w14:paraId="3F0F1F90" w14:textId="3C8109AA" w:rsidR="0095049D" w:rsidRDefault="002C58DF" w:rsidP="00C65AD2">
            <w:pPr>
              <w:spacing w:before="120"/>
              <w:ind w:left="-108" w:right="34"/>
              <w:rPr>
                <w:rFonts w:cs="Arial"/>
                <w:color w:val="000000"/>
                <w:szCs w:val="24"/>
              </w:rPr>
            </w:pPr>
            <w:r>
              <w:rPr>
                <w:rFonts w:cs="Arial"/>
                <w:color w:val="000000"/>
                <w:szCs w:val="24"/>
              </w:rPr>
              <w:t>Inquiry</w:t>
            </w:r>
            <w:r w:rsidR="0095049D" w:rsidRPr="0095049D">
              <w:rPr>
                <w:rFonts w:cs="Arial"/>
                <w:color w:val="000000"/>
                <w:szCs w:val="24"/>
              </w:rPr>
              <w:t xml:space="preserve"> held on 15 July 2025, 17 February 2026 and 4-5 August 2026.</w:t>
            </w:r>
          </w:p>
          <w:p w14:paraId="258E7EF9" w14:textId="50DCBB6D" w:rsidR="0018674C" w:rsidRPr="00C65AD2" w:rsidRDefault="0018674C" w:rsidP="00C65AD2">
            <w:pPr>
              <w:spacing w:before="120"/>
              <w:ind w:left="-108" w:right="34"/>
              <w:rPr>
                <w:rFonts w:cs="Arial"/>
                <w:color w:val="000000"/>
                <w:szCs w:val="24"/>
              </w:rPr>
            </w:pPr>
            <w:r w:rsidRPr="0018674C">
              <w:rPr>
                <w:rFonts w:cs="Arial"/>
                <w:color w:val="000000"/>
                <w:szCs w:val="24"/>
              </w:rPr>
              <w:t xml:space="preserve">Site visit made on </w:t>
            </w:r>
            <w:r w:rsidR="00BD7A2B">
              <w:rPr>
                <w:rFonts w:cs="Arial"/>
                <w:color w:val="000000"/>
                <w:szCs w:val="24"/>
              </w:rPr>
              <w:t>3 August</w:t>
            </w:r>
            <w:r w:rsidRPr="0018674C">
              <w:rPr>
                <w:rFonts w:cs="Arial"/>
                <w:color w:val="000000"/>
                <w:szCs w:val="24"/>
              </w:rPr>
              <w:t xml:space="preserve"> 202</w:t>
            </w:r>
            <w:r>
              <w:rPr>
                <w:rFonts w:cs="Arial"/>
                <w:color w:val="000000"/>
                <w:szCs w:val="24"/>
              </w:rPr>
              <w:t>6</w:t>
            </w:r>
          </w:p>
        </w:tc>
      </w:tr>
      <w:tr w:rsidR="009B2B39" w:rsidRPr="00985933" w14:paraId="5A8B1827" w14:textId="77777777" w:rsidTr="00214CD4">
        <w:trPr>
          <w:cantSplit/>
          <w:trHeight w:val="23"/>
        </w:trPr>
        <w:tc>
          <w:tcPr>
            <w:tcW w:w="9356" w:type="dxa"/>
          </w:tcPr>
          <w:p w14:paraId="1B27A253" w14:textId="613CAA7C" w:rsidR="009B2B39" w:rsidRPr="004A61B1" w:rsidRDefault="009B2B39" w:rsidP="00985933">
            <w:pPr>
              <w:spacing w:before="180"/>
              <w:ind w:left="-108" w:right="34"/>
              <w:rPr>
                <w:rFonts w:cs="Arial"/>
                <w:b/>
                <w:color w:val="000000"/>
                <w:szCs w:val="24"/>
              </w:rPr>
            </w:pPr>
            <w:r w:rsidRPr="004A61B1">
              <w:rPr>
                <w:rFonts w:cs="Arial"/>
                <w:b/>
                <w:color w:val="000000"/>
                <w:szCs w:val="24"/>
              </w:rPr>
              <w:t xml:space="preserve">by </w:t>
            </w:r>
            <w:r>
              <w:rPr>
                <w:b/>
                <w:color w:val="000000"/>
                <w:szCs w:val="22"/>
              </w:rPr>
              <w:t>D M Young JP BSc (Hons) MPlan MRTPI MIHE</w:t>
            </w:r>
          </w:p>
        </w:tc>
      </w:tr>
      <w:tr w:rsidR="009B2B39" w:rsidRPr="00985933" w14:paraId="67B2FA94" w14:textId="77777777" w:rsidTr="00214CD4">
        <w:trPr>
          <w:cantSplit/>
          <w:trHeight w:val="23"/>
        </w:trPr>
        <w:tc>
          <w:tcPr>
            <w:tcW w:w="9356" w:type="dxa"/>
          </w:tcPr>
          <w:p w14:paraId="252A6D61" w14:textId="2CC8D1EA" w:rsidR="009B2B39" w:rsidRPr="002E2687" w:rsidRDefault="009B2B39" w:rsidP="00985933">
            <w:pPr>
              <w:spacing w:before="120"/>
              <w:ind w:left="-108" w:right="34"/>
              <w:rPr>
                <w:rFonts w:cs="Arial"/>
                <w:b/>
                <w:color w:val="000000"/>
                <w:sz w:val="16"/>
                <w:szCs w:val="16"/>
              </w:rPr>
            </w:pPr>
            <w:r w:rsidRPr="002E2687">
              <w:rPr>
                <w:rFonts w:cs="Arial"/>
                <w:b/>
                <w:color w:val="000000"/>
                <w:sz w:val="16"/>
                <w:szCs w:val="16"/>
              </w:rPr>
              <w:t xml:space="preserve">an Inspector appointed by the Secretary of State </w:t>
            </w:r>
            <w:r>
              <w:rPr>
                <w:rFonts w:cs="Arial"/>
                <w:b/>
                <w:color w:val="000000"/>
                <w:sz w:val="16"/>
                <w:szCs w:val="16"/>
              </w:rPr>
              <w:t xml:space="preserve">for </w:t>
            </w:r>
            <w:r>
              <w:rPr>
                <w:b/>
                <w:color w:val="000000"/>
                <w:sz w:val="16"/>
                <w:szCs w:val="16"/>
              </w:rPr>
              <w:t>Environment, Food and Rural Affairs</w:t>
            </w:r>
          </w:p>
        </w:tc>
      </w:tr>
      <w:tr w:rsidR="009B2B39" w:rsidRPr="00985933" w14:paraId="3EE2F6C4" w14:textId="77777777" w:rsidTr="00214CD4">
        <w:trPr>
          <w:cantSplit/>
          <w:trHeight w:val="23"/>
        </w:trPr>
        <w:tc>
          <w:tcPr>
            <w:tcW w:w="9356" w:type="dxa"/>
          </w:tcPr>
          <w:p w14:paraId="5843DF86" w14:textId="5BE7671F" w:rsidR="009B2B39" w:rsidRPr="002E2687" w:rsidRDefault="009B2B39" w:rsidP="00985933">
            <w:pPr>
              <w:spacing w:before="120"/>
              <w:ind w:left="-108" w:right="176"/>
              <w:rPr>
                <w:rFonts w:cs="Arial"/>
                <w:b/>
                <w:color w:val="000000"/>
                <w:sz w:val="16"/>
                <w:szCs w:val="16"/>
              </w:rPr>
            </w:pPr>
            <w:r w:rsidRPr="002E2687">
              <w:rPr>
                <w:rFonts w:cs="Arial"/>
                <w:b/>
                <w:color w:val="000000"/>
                <w:sz w:val="16"/>
                <w:szCs w:val="16"/>
              </w:rPr>
              <w:t xml:space="preserve">Decision date: </w:t>
            </w:r>
            <w:r w:rsidR="005520CF">
              <w:rPr>
                <w:rFonts w:cs="Arial"/>
                <w:b/>
                <w:color w:val="000000"/>
                <w:sz w:val="16"/>
                <w:szCs w:val="16"/>
              </w:rPr>
              <w:t>19 August 2026</w:t>
            </w:r>
          </w:p>
        </w:tc>
      </w:tr>
    </w:tbl>
    <w:p w14:paraId="110F112C" w14:textId="77777777" w:rsidR="009B2B39" w:rsidRDefault="009B2B39" w:rsidP="00985933">
      <w:pPr>
        <w:rPr>
          <w:b/>
          <w:bCs/>
        </w:rPr>
      </w:pPr>
    </w:p>
    <w:tbl>
      <w:tblPr>
        <w:tblW w:w="0" w:type="auto"/>
        <w:tblLayout w:type="fixed"/>
        <w:tblLook w:val="0000" w:firstRow="0" w:lastRow="0" w:firstColumn="0" w:lastColumn="0" w:noHBand="0" w:noVBand="0"/>
      </w:tblPr>
      <w:tblGrid>
        <w:gridCol w:w="9520"/>
      </w:tblGrid>
      <w:tr w:rsidR="009B2B39" w:rsidRPr="009B2B39" w14:paraId="5F74BED4" w14:textId="77777777" w:rsidTr="005223BB">
        <w:tc>
          <w:tcPr>
            <w:tcW w:w="9520" w:type="dxa"/>
          </w:tcPr>
          <w:p w14:paraId="4B24D7B9" w14:textId="6627B73E" w:rsidR="009B2B39" w:rsidRPr="009B2B39" w:rsidRDefault="009B2B39" w:rsidP="009B2B39">
            <w:pPr>
              <w:spacing w:after="60"/>
              <w:rPr>
                <w:rFonts w:cs="Arial"/>
                <w:b/>
                <w:color w:val="000000"/>
                <w:szCs w:val="24"/>
                <w14:ligatures w14:val="none"/>
              </w:rPr>
            </w:pPr>
            <w:r w:rsidRPr="009B2B39">
              <w:rPr>
                <w:rFonts w:cs="Arial"/>
                <w:b/>
                <w:color w:val="000000"/>
                <w:szCs w:val="24"/>
                <w14:ligatures w14:val="none"/>
              </w:rPr>
              <w:t>Order Ref: ROW/3</w:t>
            </w:r>
            <w:r w:rsidR="00BF6929">
              <w:rPr>
                <w:rFonts w:cs="Arial"/>
                <w:b/>
                <w:color w:val="000000"/>
                <w:szCs w:val="24"/>
                <w14:ligatures w14:val="none"/>
              </w:rPr>
              <w:t>3</w:t>
            </w:r>
            <w:r w:rsidR="00375AD5">
              <w:rPr>
                <w:rFonts w:cs="Arial"/>
                <w:b/>
                <w:color w:val="000000"/>
                <w:szCs w:val="24"/>
                <w14:ligatures w14:val="none"/>
              </w:rPr>
              <w:t>21</w:t>
            </w:r>
            <w:r w:rsidR="00394F21">
              <w:rPr>
                <w:rFonts w:cs="Arial"/>
                <w:b/>
                <w:color w:val="000000"/>
                <w:szCs w:val="24"/>
                <w14:ligatures w14:val="none"/>
              </w:rPr>
              <w:t>757</w:t>
            </w:r>
          </w:p>
        </w:tc>
      </w:tr>
      <w:tr w:rsidR="009B2B39" w:rsidRPr="009B2B39" w14:paraId="0180B7CF" w14:textId="77777777" w:rsidTr="005223BB">
        <w:tc>
          <w:tcPr>
            <w:tcW w:w="9520" w:type="dxa"/>
          </w:tcPr>
          <w:p w14:paraId="1CC9B711" w14:textId="02434FFD" w:rsidR="009B2B39" w:rsidRPr="009B2B39" w:rsidRDefault="009B2B39" w:rsidP="00DA04F3">
            <w:pPr>
              <w:pStyle w:val="ListParagraph"/>
              <w:numPr>
                <w:ilvl w:val="0"/>
                <w:numId w:val="10"/>
              </w:numPr>
              <w:tabs>
                <w:tab w:val="left" w:pos="851"/>
              </w:tabs>
              <w:rPr>
                <w:rFonts w:cs="Arial"/>
                <w:color w:val="000000"/>
                <w:sz w:val="20"/>
                <w14:ligatures w14:val="none"/>
              </w:rPr>
            </w:pPr>
            <w:r w:rsidRPr="009B2B39">
              <w:rPr>
                <w:rFonts w:cs="Arial"/>
                <w:color w:val="000000"/>
                <w:sz w:val="20"/>
                <w14:ligatures w14:val="none"/>
              </w:rPr>
              <w:t>This Order is made under Section 53 (2) of the Wildlife and Countryside Act 1981 (the 1981 Act) and is known as the</w:t>
            </w:r>
            <w:r w:rsidR="004E086D">
              <w:rPr>
                <w:rFonts w:cs="Arial"/>
                <w:color w:val="000000"/>
                <w:sz w:val="20"/>
                <w14:ligatures w14:val="none"/>
              </w:rPr>
              <w:t xml:space="preserve"> </w:t>
            </w:r>
            <w:r w:rsidR="004E086D" w:rsidRPr="004E086D">
              <w:rPr>
                <w:rFonts w:cs="Arial"/>
                <w:color w:val="000000"/>
                <w:sz w:val="20"/>
                <w14:ligatures w14:val="none"/>
              </w:rPr>
              <w:t>Kirklees Metropolitan Council</w:t>
            </w:r>
            <w:r w:rsidR="004E086D">
              <w:rPr>
                <w:rFonts w:cs="Arial"/>
                <w:color w:val="000000"/>
                <w:sz w:val="20"/>
                <w14:ligatures w14:val="none"/>
              </w:rPr>
              <w:t xml:space="preserve"> </w:t>
            </w:r>
            <w:r w:rsidR="004E086D" w:rsidRPr="004E086D">
              <w:rPr>
                <w:rFonts w:cs="Arial"/>
                <w:color w:val="000000"/>
                <w:sz w:val="20"/>
                <w14:ligatures w14:val="none"/>
              </w:rPr>
              <w:t>(Holmfirth 60 – Wolfstones Road to Brown Hill, Netherthong) Definitive Map Modification Order 2021</w:t>
            </w:r>
            <w:r w:rsidR="00E735D1">
              <w:rPr>
                <w:rFonts w:cs="Arial"/>
                <w:color w:val="000000"/>
                <w:sz w:val="20"/>
                <w14:ligatures w14:val="none"/>
              </w:rPr>
              <w:t>.</w:t>
            </w:r>
          </w:p>
        </w:tc>
      </w:tr>
      <w:tr w:rsidR="009B2B39" w:rsidRPr="009B2B39" w14:paraId="34D9AD27" w14:textId="77777777" w:rsidTr="005223BB">
        <w:tc>
          <w:tcPr>
            <w:tcW w:w="9520" w:type="dxa"/>
          </w:tcPr>
          <w:p w14:paraId="42182F41" w14:textId="22C92D2A" w:rsidR="009B2B39" w:rsidRPr="008E4E71" w:rsidRDefault="00C72C01" w:rsidP="008E4E71">
            <w:pPr>
              <w:pStyle w:val="ListParagraph"/>
              <w:numPr>
                <w:ilvl w:val="0"/>
                <w:numId w:val="10"/>
              </w:numPr>
              <w:tabs>
                <w:tab w:val="left" w:pos="851"/>
              </w:tabs>
              <w:rPr>
                <w:rFonts w:cs="Arial"/>
                <w:color w:val="000000"/>
                <w:sz w:val="20"/>
                <w14:ligatures w14:val="none"/>
              </w:rPr>
            </w:pPr>
            <w:r w:rsidRPr="00C72C01">
              <w:rPr>
                <w:rFonts w:cs="Arial"/>
                <w:color w:val="000000"/>
                <w:sz w:val="20"/>
                <w14:ligatures w14:val="none"/>
              </w:rPr>
              <w:t xml:space="preserve">The Order is dated </w:t>
            </w:r>
            <w:r w:rsidR="002A327A" w:rsidRPr="006C1521">
              <w:rPr>
                <w:rFonts w:cs="Arial"/>
                <w:sz w:val="20"/>
                <w14:ligatures w14:val="none"/>
              </w:rPr>
              <w:t>8</w:t>
            </w:r>
            <w:r w:rsidR="00EB577F" w:rsidRPr="006C1521">
              <w:rPr>
                <w:rFonts w:cs="Arial"/>
                <w:sz w:val="20"/>
                <w14:ligatures w14:val="none"/>
              </w:rPr>
              <w:t xml:space="preserve"> July 2021 </w:t>
            </w:r>
            <w:r w:rsidRPr="00C72C01">
              <w:rPr>
                <w:rFonts w:cs="Arial"/>
                <w:color w:val="000000"/>
                <w:sz w:val="20"/>
                <w14:ligatures w14:val="none"/>
              </w:rPr>
              <w:t xml:space="preserve">and proposes to modify the Definitive Map and </w:t>
            </w:r>
            <w:r w:rsidRPr="008E4E71">
              <w:rPr>
                <w:rFonts w:cs="Arial"/>
                <w:color w:val="000000"/>
                <w:sz w:val="20"/>
                <w14:ligatures w14:val="none"/>
              </w:rPr>
              <w:t>Statement for the area by modifying the width of the Order route as shown in the Order plan and described in the Order Schedule.</w:t>
            </w:r>
          </w:p>
        </w:tc>
      </w:tr>
      <w:tr w:rsidR="009B2B39" w:rsidRPr="009B2B39" w14:paraId="7BBDB63A" w14:textId="77777777" w:rsidTr="005223BB">
        <w:tc>
          <w:tcPr>
            <w:tcW w:w="9520" w:type="dxa"/>
          </w:tcPr>
          <w:p w14:paraId="1DD47CA0" w14:textId="60B164D5" w:rsidR="009B2B39" w:rsidRPr="009B2B39" w:rsidRDefault="009B2B39" w:rsidP="00DA04F3">
            <w:pPr>
              <w:pStyle w:val="ListParagraph"/>
              <w:numPr>
                <w:ilvl w:val="0"/>
                <w:numId w:val="10"/>
              </w:numPr>
              <w:tabs>
                <w:tab w:val="num" w:pos="360"/>
                <w:tab w:val="left" w:pos="851"/>
              </w:tabs>
              <w:rPr>
                <w:rFonts w:cs="Arial"/>
                <w:color w:val="000000"/>
                <w:sz w:val="20"/>
                <w14:ligatures w14:val="none"/>
              </w:rPr>
            </w:pPr>
            <w:r w:rsidRPr="009B2B39">
              <w:rPr>
                <w:rFonts w:cs="Arial"/>
                <w:color w:val="000000"/>
                <w:sz w:val="20"/>
                <w14:ligatures w14:val="none"/>
              </w:rPr>
              <w:t>There w</w:t>
            </w:r>
            <w:r w:rsidR="008B2C1C">
              <w:rPr>
                <w:rFonts w:cs="Arial"/>
                <w:color w:val="000000"/>
                <w:sz w:val="20"/>
                <w14:ligatures w14:val="none"/>
              </w:rPr>
              <w:t xml:space="preserve">ere </w:t>
            </w:r>
            <w:r w:rsidR="006C1521">
              <w:rPr>
                <w:rFonts w:cs="Arial"/>
                <w:color w:val="000000"/>
                <w:sz w:val="20"/>
                <w14:ligatures w14:val="none"/>
              </w:rPr>
              <w:t>eight</w:t>
            </w:r>
            <w:r w:rsidR="008B2C1C">
              <w:rPr>
                <w:rFonts w:cs="Arial"/>
                <w:color w:val="000000"/>
                <w:sz w:val="20"/>
                <w14:ligatures w14:val="none"/>
              </w:rPr>
              <w:t xml:space="preserve"> </w:t>
            </w:r>
            <w:r w:rsidRPr="009B2B39">
              <w:rPr>
                <w:rFonts w:cs="Arial"/>
                <w:color w:val="000000"/>
                <w:sz w:val="20"/>
                <w14:ligatures w14:val="none"/>
              </w:rPr>
              <w:t>objection</w:t>
            </w:r>
            <w:r w:rsidR="008B2C1C">
              <w:rPr>
                <w:rFonts w:cs="Arial"/>
                <w:color w:val="000000"/>
                <w:sz w:val="20"/>
                <w14:ligatures w14:val="none"/>
              </w:rPr>
              <w:t>s</w:t>
            </w:r>
            <w:r w:rsidRPr="009B2B39">
              <w:rPr>
                <w:rFonts w:cs="Arial"/>
                <w:color w:val="000000"/>
                <w:sz w:val="20"/>
                <w14:ligatures w14:val="none"/>
              </w:rPr>
              <w:t xml:space="preserve"> outstanding </w:t>
            </w:r>
            <w:r>
              <w:rPr>
                <w:rFonts w:cs="Arial"/>
                <w:color w:val="000000"/>
                <w:sz w:val="20"/>
                <w14:ligatures w14:val="none"/>
              </w:rPr>
              <w:t>when the Order was submitted to the Secretary of State</w:t>
            </w:r>
            <w:r w:rsidR="003F0D6B">
              <w:rPr>
                <w:rFonts w:cs="Arial"/>
                <w:color w:val="000000"/>
                <w:sz w:val="20"/>
                <w14:ligatures w14:val="none"/>
              </w:rPr>
              <w:t>.</w:t>
            </w:r>
            <w:r w:rsidR="00A12507">
              <w:rPr>
                <w:rFonts w:cs="Arial"/>
                <w:color w:val="000000"/>
                <w:sz w:val="20"/>
                <w14:ligatures w14:val="none"/>
              </w:rPr>
              <w:t xml:space="preserve"> One of these has since been withdrawn.</w:t>
            </w:r>
          </w:p>
        </w:tc>
      </w:tr>
      <w:tr w:rsidR="009B2B39" w:rsidRPr="009B2B39" w14:paraId="29575BC9" w14:textId="77777777" w:rsidTr="00120F1E">
        <w:trPr>
          <w:trHeight w:val="226"/>
        </w:trPr>
        <w:tc>
          <w:tcPr>
            <w:tcW w:w="9520" w:type="dxa"/>
          </w:tcPr>
          <w:p w14:paraId="3804C070" w14:textId="0E2A8763" w:rsidR="009B2B39" w:rsidRPr="009B2B39" w:rsidRDefault="009B2B39" w:rsidP="009B2B39">
            <w:pPr>
              <w:spacing w:before="60"/>
              <w:rPr>
                <w:rFonts w:cs="Arial"/>
                <w:b/>
                <w:color w:val="000000"/>
                <w:szCs w:val="24"/>
                <w14:ligatures w14:val="none"/>
              </w:rPr>
            </w:pPr>
            <w:r w:rsidRPr="009B2B39">
              <w:rPr>
                <w:rFonts w:cs="Arial"/>
                <w:b/>
                <w:color w:val="000000"/>
                <w:szCs w:val="24"/>
                <w14:ligatures w14:val="none"/>
              </w:rPr>
              <w:t xml:space="preserve">Summary of Decision: The </w:t>
            </w:r>
            <w:r w:rsidRPr="009B2B39">
              <w:rPr>
                <w:rFonts w:cs="Arial"/>
                <w:b/>
                <w:bCs/>
                <w:color w:val="000000"/>
                <w:szCs w:val="24"/>
                <w14:ligatures w14:val="none"/>
              </w:rPr>
              <w:t xml:space="preserve">Order is </w:t>
            </w:r>
            <w:r w:rsidR="00CA4B4A">
              <w:rPr>
                <w:rFonts w:cs="Arial"/>
                <w:b/>
                <w:bCs/>
                <w:color w:val="000000"/>
                <w:szCs w:val="24"/>
                <w14:ligatures w14:val="none"/>
              </w:rPr>
              <w:t>C</w:t>
            </w:r>
            <w:r w:rsidRPr="009B2B39">
              <w:rPr>
                <w:rFonts w:cs="Arial"/>
                <w:b/>
                <w:bCs/>
                <w:color w:val="000000"/>
                <w:szCs w:val="24"/>
                <w14:ligatures w14:val="none"/>
              </w:rPr>
              <w:t>onfirm</w:t>
            </w:r>
            <w:r w:rsidR="00CA4B4A">
              <w:rPr>
                <w:rFonts w:cs="Arial"/>
                <w:b/>
                <w:bCs/>
                <w:color w:val="000000"/>
                <w:szCs w:val="24"/>
                <w14:ligatures w14:val="none"/>
              </w:rPr>
              <w:t>ed</w:t>
            </w:r>
            <w:r w:rsidR="00120F1E">
              <w:rPr>
                <w:rFonts w:cs="Arial"/>
                <w:b/>
                <w:bCs/>
                <w:color w:val="000000"/>
                <w:szCs w:val="24"/>
                <w14:ligatures w14:val="none"/>
              </w:rPr>
              <w:t>.</w:t>
            </w:r>
          </w:p>
        </w:tc>
      </w:tr>
    </w:tbl>
    <w:p w14:paraId="34CF53A6" w14:textId="1AD5CBAF" w:rsidR="009B2B39" w:rsidRPr="004A61B1" w:rsidRDefault="009B2B39" w:rsidP="00491AAB">
      <w:pPr>
        <w:rPr>
          <w:rFonts w:cs="Arial"/>
          <w:b/>
          <w:bCs/>
          <w:szCs w:val="24"/>
        </w:rPr>
      </w:pPr>
    </w:p>
    <w:tbl>
      <w:tblPr>
        <w:tblW w:w="5024" w:type="pct"/>
        <w:tblBorders>
          <w:top w:val="single" w:sz="4" w:space="0" w:color="auto"/>
        </w:tblBorders>
        <w:tblLayout w:type="fixed"/>
        <w:tblCellMar>
          <w:left w:w="0" w:type="dxa"/>
          <w:right w:w="0" w:type="dxa"/>
        </w:tblCellMar>
        <w:tblLook w:val="04A0" w:firstRow="1" w:lastRow="0" w:firstColumn="1" w:lastColumn="0" w:noHBand="0" w:noVBand="1"/>
      </w:tblPr>
      <w:tblGrid>
        <w:gridCol w:w="9349"/>
      </w:tblGrid>
      <w:tr w:rsidR="009B2B39" w:rsidRPr="00985933" w14:paraId="01E2E31D" w14:textId="77777777" w:rsidTr="00491AAB">
        <w:tc>
          <w:tcPr>
            <w:tcW w:w="9349" w:type="dxa"/>
            <w:vAlign w:val="center"/>
            <w:hideMark/>
          </w:tcPr>
          <w:p w14:paraId="10C8C965" w14:textId="77777777" w:rsidR="009B2B39" w:rsidRPr="00985933" w:rsidRDefault="009B2B39" w:rsidP="00985933">
            <w:bookmarkStart w:id="0" w:name="bmk_Decisions"/>
            <w:bookmarkStart w:id="1" w:name="bmk_Conditions"/>
          </w:p>
        </w:tc>
      </w:tr>
    </w:tbl>
    <w:p w14:paraId="31248BA8" w14:textId="77777777" w:rsidR="00491AAB" w:rsidRPr="004A61B1" w:rsidRDefault="00491AAB" w:rsidP="00491AAB">
      <w:pPr>
        <w:pStyle w:val="Heading6blackfont"/>
        <w:rPr>
          <w:rFonts w:cs="Arial"/>
          <w:szCs w:val="24"/>
        </w:rPr>
      </w:pPr>
      <w:r w:rsidRPr="004A61B1">
        <w:rPr>
          <w:rFonts w:cs="Arial"/>
          <w:szCs w:val="24"/>
        </w:rPr>
        <w:t>Preliminary Matters</w:t>
      </w:r>
    </w:p>
    <w:p w14:paraId="47E74A1E" w14:textId="10918C3A" w:rsidR="00DB781C" w:rsidRDefault="0038325A" w:rsidP="00DB781C">
      <w:pPr>
        <w:pStyle w:val="Style1"/>
      </w:pPr>
      <w:r>
        <w:t>An</w:t>
      </w:r>
      <w:r w:rsidR="00A1043B">
        <w:t xml:space="preserve"> application </w:t>
      </w:r>
      <w:r>
        <w:t xml:space="preserve">was made </w:t>
      </w:r>
      <w:r w:rsidR="004A6AF4">
        <w:t>by</w:t>
      </w:r>
      <w:r w:rsidR="00D73ACA">
        <w:t xml:space="preserve"> </w:t>
      </w:r>
      <w:r w:rsidR="002D2BDB">
        <w:t xml:space="preserve">Peak &amp; Northern Footpaths Society (PNFS) </w:t>
      </w:r>
      <w:r w:rsidR="0050005E">
        <w:t xml:space="preserve">in </w:t>
      </w:r>
      <w:r w:rsidR="002D2BDB">
        <w:t xml:space="preserve">September 2020 </w:t>
      </w:r>
      <w:r w:rsidR="00A1043B">
        <w:t>to</w:t>
      </w:r>
      <w:r w:rsidR="0078229B">
        <w:t xml:space="preserve"> amend the</w:t>
      </w:r>
      <w:r w:rsidR="00A1043B">
        <w:t xml:space="preserve"> </w:t>
      </w:r>
      <w:r w:rsidR="0078229B">
        <w:t xml:space="preserve">Definitive Map and Statement (DMS) by varying </w:t>
      </w:r>
      <w:r w:rsidR="002D2BDB">
        <w:t xml:space="preserve">the width of part of </w:t>
      </w:r>
      <w:r w:rsidR="00EF69D1">
        <w:t>public footpath Holmfirth 60 (</w:t>
      </w:r>
      <w:r w:rsidR="003F5A4E">
        <w:t>P</w:t>
      </w:r>
      <w:r w:rsidR="00EF69D1">
        <w:t>ath 60).</w:t>
      </w:r>
      <w:r w:rsidR="00EF69D1" w:rsidRPr="00EF69D1">
        <w:t xml:space="preserve"> </w:t>
      </w:r>
    </w:p>
    <w:p w14:paraId="25DC58DF" w14:textId="6B5CBF66" w:rsidR="001F0899" w:rsidRDefault="00EF69D1" w:rsidP="001F0899">
      <w:pPr>
        <w:pStyle w:val="Style1"/>
      </w:pPr>
      <w:r w:rsidRPr="006C135E">
        <w:t>The application</w:t>
      </w:r>
      <w:r>
        <w:t xml:space="preserve"> was made in response to the erection </w:t>
      </w:r>
      <w:r w:rsidR="0008791C">
        <w:t>of fencing along the former driveway to Wolfstones Heights Farm</w:t>
      </w:r>
      <w:r w:rsidR="001F0899">
        <w:t xml:space="preserve"> in</w:t>
      </w:r>
      <w:r w:rsidR="009E37BE">
        <w:t xml:space="preserve"> September 2020</w:t>
      </w:r>
      <w:r w:rsidR="001F0899">
        <w:t xml:space="preserve">. </w:t>
      </w:r>
      <w:r w:rsidR="0078229B">
        <w:t xml:space="preserve">The application </w:t>
      </w:r>
      <w:r w:rsidRPr="006C135E">
        <w:t xml:space="preserve">was </w:t>
      </w:r>
      <w:r w:rsidR="0008791C">
        <w:t xml:space="preserve">initially </w:t>
      </w:r>
      <w:r w:rsidR="000F35E0" w:rsidRPr="006C135E">
        <w:t>based</w:t>
      </w:r>
      <w:r w:rsidR="000F35E0">
        <w:t xml:space="preserve"> </w:t>
      </w:r>
      <w:r w:rsidR="0008791C">
        <w:t xml:space="preserve">on evidence </w:t>
      </w:r>
      <w:r w:rsidR="006111A6">
        <w:t xml:space="preserve">from 14 </w:t>
      </w:r>
      <w:r w:rsidR="000F35E0">
        <w:t>individuals</w:t>
      </w:r>
      <w:r w:rsidR="006111A6">
        <w:t xml:space="preserve"> who completed User Evidence Forms (UEFs)</w:t>
      </w:r>
      <w:r w:rsidR="000F35E0">
        <w:t xml:space="preserve"> and a small </w:t>
      </w:r>
      <w:r w:rsidR="00F9240C">
        <w:t xml:space="preserve">quantity of documentary evidence. </w:t>
      </w:r>
    </w:p>
    <w:p w14:paraId="399EC95A" w14:textId="11C49D7C" w:rsidR="00EF69D1" w:rsidRDefault="00EF69D1" w:rsidP="001F0899">
      <w:pPr>
        <w:pStyle w:val="Style1"/>
      </w:pPr>
      <w:r>
        <w:t xml:space="preserve">Following investigation by </w:t>
      </w:r>
      <w:r w:rsidR="00F9240C">
        <w:t xml:space="preserve">Kirklees </w:t>
      </w:r>
      <w:r>
        <w:t xml:space="preserve">Council (the Order Making Authority (OMA)), a report was considered by </w:t>
      </w:r>
      <w:r w:rsidR="009A7138">
        <w:t xml:space="preserve">the Planning Sub-Committee (Huddersfield Area) </w:t>
      </w:r>
      <w:r>
        <w:t xml:space="preserve">on </w:t>
      </w:r>
      <w:r w:rsidR="009A7138">
        <w:t xml:space="preserve">17 June 2021 </w:t>
      </w:r>
      <w:r>
        <w:t>(</w:t>
      </w:r>
      <w:r w:rsidR="009A7138">
        <w:t>CD4.2 to the OMA’s evidence bundle</w:t>
      </w:r>
      <w:r>
        <w:t xml:space="preserve">). </w:t>
      </w:r>
      <w:r w:rsidR="009A7138">
        <w:t>Upon consideration of the report</w:t>
      </w:r>
      <w:r>
        <w:t xml:space="preserve">, </w:t>
      </w:r>
      <w:r w:rsidR="00E33EF1">
        <w:t xml:space="preserve">the </w:t>
      </w:r>
      <w:r w:rsidR="00BF77F7">
        <w:t xml:space="preserve">Committee </w:t>
      </w:r>
      <w:r w:rsidR="009A7138">
        <w:t xml:space="preserve">accepted that </w:t>
      </w:r>
      <w:r w:rsidR="004708BD">
        <w:t>it was likely the width of the Order route between points A-</w:t>
      </w:r>
      <w:r w:rsidR="00D97233">
        <w:t>E</w:t>
      </w:r>
      <w:r w:rsidR="004708BD">
        <w:t xml:space="preserve"> (see Appendix 1) was under recorded in the first DMS in the early 1950s. It was further accepted that the full available width of 3-4m had been available and used by the public over the full 20-year period 2000-2020</w:t>
      </w:r>
      <w:r>
        <w:t xml:space="preserve">. The Order was subsequently made on </w:t>
      </w:r>
      <w:r w:rsidR="004708BD">
        <w:t>8 July 2021</w:t>
      </w:r>
      <w:r>
        <w:t>.</w:t>
      </w:r>
    </w:p>
    <w:p w14:paraId="4D3CCAFE" w14:textId="7E707232" w:rsidR="00DB781C" w:rsidRDefault="00DB781C" w:rsidP="005E2D43">
      <w:pPr>
        <w:pStyle w:val="Style1"/>
      </w:pPr>
      <w:r>
        <w:t>In addition to increasing the width between points A-</w:t>
      </w:r>
      <w:r w:rsidR="00D97233">
        <w:t>E</w:t>
      </w:r>
      <w:r>
        <w:t xml:space="preserve">, the Order also removes from the </w:t>
      </w:r>
      <w:r w:rsidR="001F0899">
        <w:t xml:space="preserve">DMS </w:t>
      </w:r>
      <w:r>
        <w:t>the symbol ‘S’ (indicating a stile) at point B</w:t>
      </w:r>
      <w:r w:rsidR="00762EAE">
        <w:t xml:space="preserve"> and </w:t>
      </w:r>
      <w:r>
        <w:t>reference</w:t>
      </w:r>
      <w:r w:rsidR="00762EAE">
        <w:t>s</w:t>
      </w:r>
      <w:r>
        <w:t xml:space="preserve"> to limitations of two stiles (previously at B and C) and </w:t>
      </w:r>
      <w:r w:rsidR="00762EAE">
        <w:t xml:space="preserve">a </w:t>
      </w:r>
      <w:r>
        <w:t>wicket gate (at point D). The Order also adds the limitations of a 1.2m wide gap and adjoining gate at point B.</w:t>
      </w:r>
    </w:p>
    <w:p w14:paraId="171D768F" w14:textId="44AA7424" w:rsidR="00E41FE4" w:rsidRDefault="00E41FE4" w:rsidP="005E2D43">
      <w:pPr>
        <w:pStyle w:val="Style1"/>
      </w:pPr>
      <w:r>
        <w:t xml:space="preserve">The </w:t>
      </w:r>
      <w:r w:rsidR="002C58DF">
        <w:t>Inquiry</w:t>
      </w:r>
      <w:r>
        <w:t xml:space="preserve"> sat for two days on </w:t>
      </w:r>
      <w:r w:rsidR="0046081A">
        <w:t xml:space="preserve">4 and 5 August 2026. </w:t>
      </w:r>
      <w:r w:rsidR="00825871">
        <w:t xml:space="preserve">A previous </w:t>
      </w:r>
      <w:r w:rsidR="002C58DF">
        <w:t>Inquiry</w:t>
      </w:r>
      <w:r w:rsidR="00825871">
        <w:t xml:space="preserve"> </w:t>
      </w:r>
      <w:r w:rsidR="004A753A">
        <w:t xml:space="preserve">was </w:t>
      </w:r>
      <w:r w:rsidR="00825871">
        <w:t xml:space="preserve">held by a different </w:t>
      </w:r>
      <w:r w:rsidR="002C58DF">
        <w:t>I</w:t>
      </w:r>
      <w:r w:rsidR="00825871">
        <w:t xml:space="preserve">nspector </w:t>
      </w:r>
      <w:r w:rsidR="004A753A">
        <w:t xml:space="preserve">in </w:t>
      </w:r>
      <w:r w:rsidR="002B1046">
        <w:t xml:space="preserve">November 2024. This was </w:t>
      </w:r>
      <w:r w:rsidR="00E644ED">
        <w:t>subsequently</w:t>
      </w:r>
      <w:r w:rsidR="00825871">
        <w:t xml:space="preserve"> </w:t>
      </w:r>
      <w:r w:rsidR="009A332B">
        <w:t xml:space="preserve">re-opened </w:t>
      </w:r>
      <w:r w:rsidR="00E644ED">
        <w:t>for a single day in February 2026 to consider additional evidence submitted by the landowner</w:t>
      </w:r>
      <w:r w:rsidR="0095049D">
        <w:t>-</w:t>
      </w:r>
      <w:r w:rsidR="00E644ED">
        <w:t>objectors</w:t>
      </w:r>
      <w:r w:rsidR="0095049D">
        <w:t xml:space="preserve"> (LO)</w:t>
      </w:r>
      <w:r w:rsidR="00E644ED">
        <w:t>. Following the closure of th</w:t>
      </w:r>
      <w:r w:rsidR="005718E0">
        <w:t>at</w:t>
      </w:r>
      <w:r w:rsidR="00E644ED">
        <w:t xml:space="preserve"> </w:t>
      </w:r>
      <w:r w:rsidR="002C58DF">
        <w:t>Inquiry</w:t>
      </w:r>
      <w:r w:rsidR="00603080">
        <w:t xml:space="preserve">, the case </w:t>
      </w:r>
      <w:r w:rsidR="00EE62C9">
        <w:t xml:space="preserve">could not be completed by the original </w:t>
      </w:r>
      <w:r w:rsidR="00CE4780">
        <w:t>I</w:t>
      </w:r>
      <w:r w:rsidR="00EE62C9">
        <w:t xml:space="preserve">nspector, and </w:t>
      </w:r>
      <w:r w:rsidR="00CE4780">
        <w:t xml:space="preserve">a new </w:t>
      </w:r>
      <w:r w:rsidR="00E33EF1">
        <w:t>I</w:t>
      </w:r>
      <w:r w:rsidR="00CE4780">
        <w:t>nquiry was arranged</w:t>
      </w:r>
      <w:r w:rsidR="00EE62C9">
        <w:t>.</w:t>
      </w:r>
      <w:r w:rsidR="005718E0" w:rsidRPr="005718E0">
        <w:t xml:space="preserve"> I have not </w:t>
      </w:r>
      <w:r w:rsidR="005718E0" w:rsidRPr="005718E0">
        <w:lastRenderedPageBreak/>
        <w:t xml:space="preserve">had access to the discussions or evidence presented at the original </w:t>
      </w:r>
      <w:r w:rsidR="002C58DF">
        <w:t>Inquiry</w:t>
      </w:r>
      <w:r w:rsidR="005718E0" w:rsidRPr="005718E0">
        <w:t xml:space="preserve"> and have instead considered the matter afresh, taking into account all of the written evidence on file as well as the oral evidence presented at the new </w:t>
      </w:r>
      <w:r w:rsidR="002C58DF">
        <w:t>Inquiry</w:t>
      </w:r>
      <w:r w:rsidR="00E33EF1">
        <w:t xml:space="preserve">. </w:t>
      </w:r>
    </w:p>
    <w:p w14:paraId="4AF7318E" w14:textId="3C7E0793" w:rsidR="00E86B1B" w:rsidRPr="00E86B1B" w:rsidRDefault="00E86B1B" w:rsidP="00E86B1B">
      <w:pPr>
        <w:pStyle w:val="Style1"/>
        <w:numPr>
          <w:ilvl w:val="0"/>
          <w:numId w:val="0"/>
        </w:numPr>
        <w:rPr>
          <w:b/>
          <w:bCs/>
        </w:rPr>
      </w:pPr>
      <w:r w:rsidRPr="00E86B1B">
        <w:rPr>
          <w:b/>
          <w:bCs/>
        </w:rPr>
        <w:t xml:space="preserve">The Order Route and Background </w:t>
      </w:r>
    </w:p>
    <w:bookmarkEnd w:id="0"/>
    <w:bookmarkEnd w:id="1"/>
    <w:p w14:paraId="0D0693BE" w14:textId="1D72A383" w:rsidR="000378C4" w:rsidRDefault="000378C4" w:rsidP="00827347">
      <w:pPr>
        <w:pStyle w:val="Style1"/>
      </w:pPr>
      <w:r w:rsidRPr="000378C4">
        <w:t xml:space="preserve">The </w:t>
      </w:r>
      <w:r w:rsidR="00E2042F">
        <w:t>O</w:t>
      </w:r>
      <w:r w:rsidRPr="000378C4">
        <w:t xml:space="preserve">rder route concerns public </w:t>
      </w:r>
      <w:r w:rsidR="003F5A4E">
        <w:t>P</w:t>
      </w:r>
      <w:r w:rsidR="00E2042F">
        <w:t>ath</w:t>
      </w:r>
      <w:r w:rsidRPr="000378C4">
        <w:t xml:space="preserve"> 60, running </w:t>
      </w:r>
      <w:r w:rsidR="00522081">
        <w:t>in an easterly</w:t>
      </w:r>
      <w:r w:rsidR="000440C9">
        <w:t xml:space="preserve"> direction</w:t>
      </w:r>
      <w:r w:rsidR="00522081">
        <w:t xml:space="preserve"> </w:t>
      </w:r>
      <w:r w:rsidRPr="000378C4">
        <w:t>from Wolfstones Road to Brown Hill in Netherthong.</w:t>
      </w:r>
      <w:r>
        <w:t xml:space="preserve"> </w:t>
      </w:r>
      <w:r w:rsidR="00522081">
        <w:t>Section A-B runs</w:t>
      </w:r>
      <w:r w:rsidR="00827347" w:rsidRPr="00827347">
        <w:t xml:space="preserve"> along the asphalt driveway to Wolfstones Heights Farm</w:t>
      </w:r>
      <w:r w:rsidR="005C6186">
        <w:t>,</w:t>
      </w:r>
      <w:r w:rsidR="00827347">
        <w:t xml:space="preserve"> </w:t>
      </w:r>
      <w:r w:rsidR="005837DF">
        <w:t>thereafter,</w:t>
      </w:r>
      <w:r w:rsidR="00827347">
        <w:t xml:space="preserve"> </w:t>
      </w:r>
      <w:r w:rsidR="00827347" w:rsidRPr="00827347">
        <w:t>continuing along a grass surfaced track to a stile at Point E</w:t>
      </w:r>
      <w:r w:rsidR="00827347">
        <w:t xml:space="preserve">. </w:t>
      </w:r>
      <w:r w:rsidRPr="000378C4">
        <w:t>The route is depicted on the Order Map with key points labelled A, B, C, D, and E</w:t>
      </w:r>
      <w:r>
        <w:t xml:space="preserve"> (see Order Plan at Appendix A).</w:t>
      </w:r>
    </w:p>
    <w:p w14:paraId="7DC66426" w14:textId="57CAC8A2" w:rsidR="00827347" w:rsidRDefault="000378C4" w:rsidP="00827347">
      <w:pPr>
        <w:pStyle w:val="Style1"/>
      </w:pPr>
      <w:r w:rsidRPr="000378C4">
        <w:t>Historically, the footpath was recorded as approximately 4 feet (1.2 met</w:t>
      </w:r>
      <w:r w:rsidR="005C6186">
        <w:t>re</w:t>
      </w:r>
      <w:r w:rsidRPr="000378C4">
        <w:t xml:space="preserve">s) wide in both the 1952 and 1985 </w:t>
      </w:r>
      <w:r w:rsidR="00827347">
        <w:t>DMS</w:t>
      </w:r>
      <w:r w:rsidRPr="000378C4">
        <w:t>.</w:t>
      </w:r>
      <w:r>
        <w:t xml:space="preserve"> </w:t>
      </w:r>
      <w:r w:rsidRPr="000378C4">
        <w:t>The section between points B and E was originally an unenclosed field edge path but became enclosed by fencing to the south by the early 1950s (to point D) and fully enclosed to point E by 2000</w:t>
      </w:r>
      <w:r w:rsidR="00827347">
        <w:t>.</w:t>
      </w:r>
    </w:p>
    <w:p w14:paraId="79E71AE7" w14:textId="4463E8A9" w:rsidR="003777FD" w:rsidRDefault="000378C4" w:rsidP="00FA0F48">
      <w:pPr>
        <w:pStyle w:val="Style1"/>
      </w:pPr>
      <w:r w:rsidRPr="000378C4">
        <w:t>The original maps indicated stiles at points B and C, and a wicket gate at point D. However, these have not been present for over 20 years, and the route has been used without these limitations.</w:t>
      </w:r>
      <w:r w:rsidR="00827347">
        <w:t xml:space="preserve"> </w:t>
      </w:r>
      <w:r w:rsidRPr="000378C4">
        <w:t>A pair of gates currently exists at point B, replacing the former stile, with a gap alongside for pedestrian access.</w:t>
      </w:r>
    </w:p>
    <w:p w14:paraId="0FCBA878" w14:textId="6FBD9F0B" w:rsidR="00FA0F48" w:rsidRPr="00FA0F48" w:rsidRDefault="009B2B39" w:rsidP="00FA0F48">
      <w:pPr>
        <w:pStyle w:val="Heading6blackfont"/>
        <w:rPr>
          <w:rFonts w:cs="Arial"/>
          <w:szCs w:val="24"/>
        </w:rPr>
      </w:pPr>
      <w:r w:rsidRPr="004A61B1">
        <w:rPr>
          <w:rFonts w:cs="Arial"/>
          <w:szCs w:val="24"/>
        </w:rPr>
        <w:t>Main Issues</w:t>
      </w:r>
    </w:p>
    <w:p w14:paraId="626A0C0F" w14:textId="2F632D7B" w:rsidR="00163C20" w:rsidRDefault="00867022" w:rsidP="00704662">
      <w:pPr>
        <w:pStyle w:val="Style1"/>
      </w:pPr>
      <w:r w:rsidRPr="00867022">
        <w:t>The Order has been made under section 53(2)(b) of the 1981 Act in consequence of an event specified in section 53(3)(c)(i).</w:t>
      </w:r>
      <w:r w:rsidR="00242DFE">
        <w:t xml:space="preserve"> This</w:t>
      </w:r>
      <w:r w:rsidR="00242DFE" w:rsidRPr="00242DFE">
        <w:t xml:space="preserve"> requires me to consider if, on the balance of probabilities, the evidence shows a </w:t>
      </w:r>
      <w:r w:rsidR="005E2D43">
        <w:t xml:space="preserve">public footpath </w:t>
      </w:r>
      <w:r w:rsidR="00242DFE" w:rsidRPr="00242DFE">
        <w:t>subsists along</w:t>
      </w:r>
      <w:r w:rsidR="005E2D43">
        <w:t xml:space="preserve"> a wider section of </w:t>
      </w:r>
      <w:r w:rsidR="00FD087A">
        <w:t>P</w:t>
      </w:r>
      <w:r w:rsidR="005E2D43">
        <w:t xml:space="preserve">ath 60 than that recorded in the DMS. </w:t>
      </w:r>
      <w:r w:rsidR="00242DFE" w:rsidRPr="00242DFE">
        <w:t>This is a higher standard of proof than the reasonably alleged to subsist test to determine if an Order should be made.</w:t>
      </w:r>
      <w:r w:rsidR="00163C20">
        <w:t xml:space="preserve"> The burden of proof lies with the claimant.</w:t>
      </w:r>
    </w:p>
    <w:p w14:paraId="195D8D58" w14:textId="4F933D19" w:rsidR="00163C20" w:rsidRDefault="00163C20" w:rsidP="00FD087A">
      <w:pPr>
        <w:pStyle w:val="Style1"/>
      </w:pPr>
      <w:r>
        <w:t>In making the Order</w:t>
      </w:r>
      <w:r w:rsidR="00040F0A">
        <w:t>,</w:t>
      </w:r>
      <w:r>
        <w:t xml:space="preserve"> the OMA relies on both </w:t>
      </w:r>
      <w:r w:rsidR="009E0CBC">
        <w:t>documentary and user evidence.</w:t>
      </w:r>
      <w:r>
        <w:t xml:space="preserve"> </w:t>
      </w:r>
      <w:r w:rsidR="009E0CBC">
        <w:t>With regard to the latter, s</w:t>
      </w:r>
      <w:r>
        <w:t xml:space="preserve">tatutory dedication of the way under section 31 of the Highways Act 1980 </w:t>
      </w:r>
      <w:r w:rsidR="009A6635">
        <w:t xml:space="preserve">(the 1980 Act) </w:t>
      </w:r>
      <w:r>
        <w:t>which provides that where a way, other than a way of such a character that use of it could not give rise at common law to any presumption of dedication, has been actually enjoyed by the public, ‘</w:t>
      </w:r>
      <w:r w:rsidRPr="00FD087A">
        <w:rPr>
          <w:i/>
          <w:iCs/>
        </w:rPr>
        <w:t>as of right</w:t>
      </w:r>
      <w:r>
        <w:t xml:space="preserve">’ and without interruption, for a period of twenty years, the way is deemed to have been dedicated as a highway unless there is sufficient evidence that the landowner demonstrated a lack of intention during this period to dedicate the route. ‘As of right’ means without force, secrecy and permission. The 20-year period applies retrospectively from the date on which the right of the route was brought into question. </w:t>
      </w:r>
    </w:p>
    <w:p w14:paraId="0BADFC3F" w14:textId="225C5527" w:rsidR="00040F0A" w:rsidRDefault="00163C20" w:rsidP="009E0CBC">
      <w:pPr>
        <w:pStyle w:val="Style1"/>
      </w:pPr>
      <w:r>
        <w:t>In relation to documentary evidence, section 32 of the 1980</w:t>
      </w:r>
      <w:r w:rsidR="00FD087A">
        <w:t xml:space="preserve"> Act</w:t>
      </w:r>
      <w:r w:rsidR="009A6635">
        <w:t xml:space="preserve"> </w:t>
      </w:r>
      <w:r>
        <w:t>requires a court or tribunal to take into consideration any map, plan or history of the locality, or other relevant document, which is tendered in evidence, giving it such weight as appropriate, before determining whether a way has been dedicated as a highway.</w:t>
      </w:r>
      <w:r w:rsidR="009E0CBC">
        <w:t xml:space="preserve"> </w:t>
      </w:r>
    </w:p>
    <w:p w14:paraId="661856A8" w14:textId="77777777" w:rsidR="00D14781" w:rsidRDefault="00163C20" w:rsidP="009E0CBC">
      <w:pPr>
        <w:pStyle w:val="Style1"/>
      </w:pPr>
      <w:r>
        <w:t>In addition to considering the user evidence with regard to the provisions of section 31 of the 1980 Act, I am also required to consider whether dedication of the claimed routes has taken place at common law. The evidential test to be applied, at common law or under the statutory provisions, is the civil standard of proof; that is, the balance of probabilities.</w:t>
      </w:r>
      <w:r w:rsidR="00D14781" w:rsidRPr="00D14781">
        <w:t xml:space="preserve"> </w:t>
      </w:r>
    </w:p>
    <w:p w14:paraId="5571B4E0" w14:textId="32B2C9C7" w:rsidR="003D109D" w:rsidRDefault="00D14781" w:rsidP="009E0CBC">
      <w:pPr>
        <w:pStyle w:val="Style1"/>
      </w:pPr>
      <w:r w:rsidRPr="00D14781">
        <w:lastRenderedPageBreak/>
        <w:t>The</w:t>
      </w:r>
      <w:r>
        <w:t xml:space="preserve"> </w:t>
      </w:r>
      <w:r w:rsidRPr="00D14781">
        <w:t>dispute i</w:t>
      </w:r>
      <w:r>
        <w:t>n this case is</w:t>
      </w:r>
      <w:r w:rsidRPr="00D14781">
        <w:t xml:space="preserve"> not primarily about the physical existence of the route on the ground, but about whether the historical documentary and </w:t>
      </w:r>
      <w:r>
        <w:t>use</w:t>
      </w:r>
      <w:r w:rsidR="00FD087A">
        <w:t>r</w:t>
      </w:r>
      <w:r>
        <w:t xml:space="preserve"> </w:t>
      </w:r>
      <w:r w:rsidRPr="00D14781">
        <w:t xml:space="preserve">evidence is sufficient to justify its recording on the </w:t>
      </w:r>
      <w:r>
        <w:t xml:space="preserve">DMS at a greater width </w:t>
      </w:r>
      <w:r w:rsidR="00514002">
        <w:t>than is currently recorded</w:t>
      </w:r>
      <w:r>
        <w:t xml:space="preserve">. </w:t>
      </w:r>
    </w:p>
    <w:p w14:paraId="50572054" w14:textId="77777777" w:rsidR="009B2B39" w:rsidRDefault="009B2B39" w:rsidP="00F67D35">
      <w:pPr>
        <w:pStyle w:val="Heading6blackfont"/>
        <w:rPr>
          <w:rFonts w:cs="Arial"/>
          <w:szCs w:val="24"/>
        </w:rPr>
      </w:pPr>
      <w:r w:rsidRPr="004A61B1">
        <w:rPr>
          <w:rFonts w:cs="Arial"/>
          <w:szCs w:val="24"/>
        </w:rPr>
        <w:t>Reasons</w:t>
      </w:r>
    </w:p>
    <w:p w14:paraId="24B4CEA4" w14:textId="2B95CC12" w:rsidR="0061445C" w:rsidRPr="004C4C28" w:rsidRDefault="00376CB4" w:rsidP="0061445C">
      <w:pPr>
        <w:pStyle w:val="Style1"/>
        <w:numPr>
          <w:ilvl w:val="0"/>
          <w:numId w:val="0"/>
        </w:numPr>
        <w:rPr>
          <w:b/>
          <w:bCs/>
          <w:i/>
          <w:iCs/>
        </w:rPr>
      </w:pPr>
      <w:r w:rsidRPr="00E97540">
        <w:rPr>
          <w:b/>
          <w:bCs/>
          <w:i/>
          <w:iCs/>
        </w:rPr>
        <w:t>Documentary Evidence</w:t>
      </w:r>
    </w:p>
    <w:p w14:paraId="5C8B3402" w14:textId="36743D7C" w:rsidR="000565DB" w:rsidRDefault="000565DB" w:rsidP="000565DB">
      <w:pPr>
        <w:pStyle w:val="Style1"/>
      </w:pPr>
      <w:r>
        <w:t xml:space="preserve">The OMA sets out the relevant documentary </w:t>
      </w:r>
      <w:r w:rsidR="009F0356">
        <w:t>evidence at</w:t>
      </w:r>
      <w:r w:rsidR="006851E1">
        <w:t xml:space="preserve"> Appendix A </w:t>
      </w:r>
      <w:r w:rsidR="009F0356">
        <w:t>of its Co</w:t>
      </w:r>
      <w:r>
        <w:t xml:space="preserve">mmittee Report (pages </w:t>
      </w:r>
      <w:r w:rsidR="009F0356">
        <w:t>5</w:t>
      </w:r>
      <w:r>
        <w:t>-</w:t>
      </w:r>
      <w:r w:rsidR="009F0356">
        <w:t>16</w:t>
      </w:r>
      <w:r>
        <w:t xml:space="preserve">). The salient evidence is set out below. </w:t>
      </w:r>
    </w:p>
    <w:p w14:paraId="0A2D805D" w14:textId="5F034C32" w:rsidR="00695B95" w:rsidRPr="004E6E33" w:rsidRDefault="00695B95" w:rsidP="00695B95">
      <w:pPr>
        <w:pStyle w:val="Style1"/>
        <w:numPr>
          <w:ilvl w:val="0"/>
          <w:numId w:val="0"/>
        </w:numPr>
        <w:rPr>
          <w:b/>
          <w:bCs/>
          <w:i/>
          <w:iCs/>
        </w:rPr>
      </w:pPr>
      <w:r w:rsidRPr="004E6E33">
        <w:rPr>
          <w:b/>
          <w:bCs/>
          <w:i/>
          <w:iCs/>
        </w:rPr>
        <w:t xml:space="preserve">Historical mapping </w:t>
      </w:r>
    </w:p>
    <w:p w14:paraId="285F42B6" w14:textId="679B3279" w:rsidR="0061445C" w:rsidRDefault="0061445C" w:rsidP="0061445C">
      <w:pPr>
        <w:pStyle w:val="Style1"/>
      </w:pPr>
      <w:r>
        <w:t>The earliest documentary evidence comprises the Netherthong Inclosure Map (1829), Township Map (1831) and Tithe Map (1850). These depict a "</w:t>
      </w:r>
      <w:r w:rsidRPr="00BB409B">
        <w:rPr>
          <w:i/>
          <w:iCs/>
        </w:rPr>
        <w:t>foot road</w:t>
      </w:r>
      <w:r>
        <w:t xml:space="preserve">" connecting with an enclosed access route leading towards Wolfstones, suggesting a long-established route on substantially the same alignment as </w:t>
      </w:r>
      <w:r w:rsidR="00853284">
        <w:t>P</w:t>
      </w:r>
      <w:r w:rsidR="00C8663C">
        <w:t>ath</w:t>
      </w:r>
      <w:r>
        <w:t xml:space="preserve"> 60. Importantly, the enclosed route between Wolfstones Road and the farm appears significantly wider than the currently recorded 1.2m footpath.</w:t>
      </w:r>
    </w:p>
    <w:p w14:paraId="2D79F081" w14:textId="7B1F5E57" w:rsidR="0061445C" w:rsidRDefault="0061445C" w:rsidP="00B05975">
      <w:pPr>
        <w:pStyle w:val="Style1"/>
      </w:pPr>
      <w:r>
        <w:t xml:space="preserve">Successive Ordnance Survey </w:t>
      </w:r>
      <w:r w:rsidR="00441DFE">
        <w:t>(OS) m</w:t>
      </w:r>
      <w:r>
        <w:t>aps (1854, 1893, 1906, 1931 and 1964) show the route consistently. The 1964 map in particular depicts an enclosed track approximately 3.6</w:t>
      </w:r>
      <w:r w:rsidR="00BB409B">
        <w:t>-</w:t>
      </w:r>
      <w:r>
        <w:t>4.6 metres wide between physical boundaries, corresponding closely with the width claimed by the Order. None of the maps indicate that public use was confined to a narrow strip on one side of the track.</w:t>
      </w:r>
    </w:p>
    <w:p w14:paraId="25F6AC94" w14:textId="77777777" w:rsidR="00D059C9" w:rsidRDefault="00D059C9" w:rsidP="00D059C9">
      <w:pPr>
        <w:pStyle w:val="Style1"/>
      </w:pPr>
      <w:r>
        <w:t xml:space="preserve">A </w:t>
      </w:r>
      <w:r w:rsidRPr="001C4003">
        <w:t xml:space="preserve">1972 publication, </w:t>
      </w:r>
      <w:r>
        <w:t>‘</w:t>
      </w:r>
      <w:r w:rsidRPr="00695B95">
        <w:rPr>
          <w:i/>
          <w:iCs/>
        </w:rPr>
        <w:t>Circular Walks in and Around the Holme Valley’</w:t>
      </w:r>
      <w:r w:rsidRPr="001C4003">
        <w:t>, includes the Order route. The guidebook</w:t>
      </w:r>
      <w:r>
        <w:t xml:space="preserve"> </w:t>
      </w:r>
      <w:r w:rsidRPr="001C4003">
        <w:t>describe</w:t>
      </w:r>
      <w:r>
        <w:t>s</w:t>
      </w:r>
      <w:r w:rsidRPr="001C4003">
        <w:t xml:space="preserve"> the route as proceeding “</w:t>
      </w:r>
      <w:r w:rsidRPr="001C4003">
        <w:rPr>
          <w:i/>
          <w:iCs/>
        </w:rPr>
        <w:t>along a track</w:t>
      </w:r>
      <w:r w:rsidRPr="001C4003">
        <w:t xml:space="preserve">” past Wolfstones Heights Farm, and the accompanying sketch map depicts the route as a broad track. </w:t>
      </w:r>
    </w:p>
    <w:p w14:paraId="1B28F164" w14:textId="2E5FEDD6" w:rsidR="00BE7520" w:rsidRPr="004E6E33" w:rsidRDefault="00BE7520" w:rsidP="00BE7520">
      <w:pPr>
        <w:pStyle w:val="Style1"/>
        <w:numPr>
          <w:ilvl w:val="0"/>
          <w:numId w:val="0"/>
        </w:numPr>
        <w:rPr>
          <w:b/>
          <w:bCs/>
          <w:i/>
          <w:iCs/>
        </w:rPr>
      </w:pPr>
      <w:r w:rsidRPr="004E6E33">
        <w:rPr>
          <w:b/>
          <w:bCs/>
          <w:i/>
          <w:iCs/>
        </w:rPr>
        <w:t xml:space="preserve">Photographic evidence </w:t>
      </w:r>
    </w:p>
    <w:p w14:paraId="3947B835" w14:textId="2B75687E" w:rsidR="00350A04" w:rsidRDefault="00350A04" w:rsidP="00E24320">
      <w:pPr>
        <w:pStyle w:val="Style1"/>
      </w:pPr>
      <w:r w:rsidRPr="00350A04">
        <w:t>The photographic evidence</w:t>
      </w:r>
      <w:r>
        <w:t xml:space="preserve"> </w:t>
      </w:r>
      <w:r w:rsidR="00EA3643">
        <w:t xml:space="preserve">is </w:t>
      </w:r>
      <w:r w:rsidR="00001243">
        <w:t>contained</w:t>
      </w:r>
      <w:r w:rsidR="00EA3643">
        <w:t xml:space="preserve"> in Appendix B to the Council’s </w:t>
      </w:r>
      <w:r w:rsidR="00001243">
        <w:t xml:space="preserve">Committee Report. </w:t>
      </w:r>
      <w:r w:rsidR="004D28FB" w:rsidRPr="004D28FB">
        <w:t>Photographs dating from 2000 to 2020 consistently show</w:t>
      </w:r>
      <w:r w:rsidRPr="00350A04">
        <w:t xml:space="preserve"> </w:t>
      </w:r>
      <w:r w:rsidR="00853284">
        <w:t xml:space="preserve">Path 60 </w:t>
      </w:r>
      <w:r w:rsidRPr="00350A04">
        <w:t xml:space="preserve">available over </w:t>
      </w:r>
      <w:r w:rsidR="0049685C">
        <w:t>the full width</w:t>
      </w:r>
      <w:r w:rsidR="00C33073">
        <w:t xml:space="preserve"> between point</w:t>
      </w:r>
      <w:r w:rsidR="00852450">
        <w:t xml:space="preserve">s </w:t>
      </w:r>
      <w:r w:rsidR="00C33073">
        <w:t>A</w:t>
      </w:r>
      <w:r w:rsidR="00852450">
        <w:t xml:space="preserve"> and </w:t>
      </w:r>
      <w:r w:rsidR="00C33073">
        <w:t>E</w:t>
      </w:r>
      <w:r w:rsidR="0049685C">
        <w:t>.</w:t>
      </w:r>
      <w:r w:rsidRPr="00350A04">
        <w:t xml:space="preserve"> Whilst the photographs record occasional building activity and other temporary features, they do not provide support for assertions that the southern side of the route was habitually obstructed or unavailable for public use. Rather, </w:t>
      </w:r>
      <w:r w:rsidR="00CE57E4" w:rsidRPr="00CE57E4">
        <w:t>the photographs broadly corroborate the user evidence relied upon by the Council</w:t>
      </w:r>
      <w:r w:rsidRPr="00350A04">
        <w:t>.</w:t>
      </w:r>
    </w:p>
    <w:p w14:paraId="6E52C995" w14:textId="43CB817C" w:rsidR="00AB14D2" w:rsidRDefault="00D059C9" w:rsidP="0049685C">
      <w:pPr>
        <w:pStyle w:val="Style1"/>
      </w:pPr>
      <w:r>
        <w:t xml:space="preserve">Aerial photographs from 2000–2018 and ground photographs from 2007 onwards generally show the route clear and available across its full width. </w:t>
      </w:r>
      <w:r w:rsidR="00AB14D2">
        <w:t>Although vegetation obscures parts of the driveway section between A and B in some aerial photographs, where visible</w:t>
      </w:r>
      <w:r w:rsidR="0049685C">
        <w:t>,</w:t>
      </w:r>
      <w:r w:rsidR="00AB14D2">
        <w:t xml:space="preserve"> there is no evidence of features that would have restricted public use to a particular line or width. This accords with later ground-level photographs.</w:t>
      </w:r>
    </w:p>
    <w:p w14:paraId="452DD5DB" w14:textId="131E21E8" w:rsidR="00AB14D2" w:rsidRDefault="00AB14D2" w:rsidP="00C07865">
      <w:pPr>
        <w:pStyle w:val="Style1"/>
      </w:pPr>
      <w:r>
        <w:t>The section between B and E is clearly visible in all aerial photographs. Throughout the period, it appears as an enclosed corridor bounded by fencing to the south and a wall to the north. The route has a predominantly grass surface, with worn tracks of varying width and position within the corridor. These worn lines are not confined to a narrow strip along the northern edge, contrary to the objectors' contention that pedestrian use was restricted to that area.</w:t>
      </w:r>
      <w:r w:rsidR="001749B9" w:rsidRPr="001749B9">
        <w:t xml:space="preserve"> </w:t>
      </w:r>
      <w:r w:rsidR="001749B9" w:rsidRPr="00874304">
        <w:t>Nor do</w:t>
      </w:r>
      <w:r w:rsidR="00C07865">
        <w:t xml:space="preserve"> the photographs </w:t>
      </w:r>
      <w:r w:rsidR="001749B9" w:rsidRPr="00874304">
        <w:t xml:space="preserve">reveal any </w:t>
      </w:r>
      <w:r w:rsidR="001749B9" w:rsidRPr="00874304">
        <w:lastRenderedPageBreak/>
        <w:t xml:space="preserve">persistent or longstanding obstructions occupying the southern part of the corridor. </w:t>
      </w:r>
      <w:r w:rsidR="00C07865">
        <w:t>Small areas of bare earth or stone are evident near points B and C in 2000 and 2002. There is no indication that these would have prevented use.</w:t>
      </w:r>
      <w:r w:rsidR="00C07865" w:rsidRPr="00874304">
        <w:t xml:space="preserve"> </w:t>
      </w:r>
      <w:r w:rsidR="001749B9" w:rsidRPr="00874304">
        <w:t>While occasional items associated with agricultural or domestic activity may have been present from time to time, the photographic evidence as a whole tends to support the availability of the full width of the route for public us</w:t>
      </w:r>
      <w:r w:rsidR="001749B9">
        <w:t xml:space="preserve">e. </w:t>
      </w:r>
    </w:p>
    <w:p w14:paraId="4E904202" w14:textId="799D3A3C" w:rsidR="00AB14D2" w:rsidRDefault="00B64CE3" w:rsidP="0049685C">
      <w:pPr>
        <w:pStyle w:val="Style1"/>
      </w:pPr>
      <w:r>
        <w:t>T</w:t>
      </w:r>
      <w:r w:rsidRPr="00B64CE3">
        <w:t>he photographic evidence thus indicates</w:t>
      </w:r>
      <w:r w:rsidR="00AB14D2">
        <w:t xml:space="preserve"> that a route corresponding with the claimed way existed and was physically available throughout the period from 2000 to 20</w:t>
      </w:r>
      <w:r w:rsidR="0049685C">
        <w:t xml:space="preserve">20. </w:t>
      </w:r>
      <w:r w:rsidRPr="00B64CE3">
        <w:t>There is little or no support for the objectors' contention</w:t>
      </w:r>
      <w:r w:rsidR="0049685C">
        <w:t xml:space="preserve"> that </w:t>
      </w:r>
      <w:r w:rsidR="00AB14D2">
        <w:t>public use was generally confined to a narrow strip on the northern side.</w:t>
      </w:r>
    </w:p>
    <w:p w14:paraId="6691D26A" w14:textId="77777777" w:rsidR="004E6E33" w:rsidRPr="004E6E33" w:rsidRDefault="004E6E33" w:rsidP="004E6E33">
      <w:pPr>
        <w:pStyle w:val="Style1"/>
        <w:numPr>
          <w:ilvl w:val="0"/>
          <w:numId w:val="0"/>
        </w:numPr>
        <w:rPr>
          <w:b/>
          <w:bCs/>
        </w:rPr>
      </w:pPr>
      <w:r w:rsidRPr="004E6E33">
        <w:rPr>
          <w:b/>
          <w:bCs/>
          <w:i/>
          <w:iCs/>
        </w:rPr>
        <w:t>Survey of public rights of way 1949</w:t>
      </w:r>
    </w:p>
    <w:p w14:paraId="06710975" w14:textId="14BC7C51" w:rsidR="00CE1172" w:rsidRDefault="00295B12" w:rsidP="00CE1172">
      <w:pPr>
        <w:pStyle w:val="Style1"/>
      </w:pPr>
      <w:r>
        <w:t xml:space="preserve">The width of </w:t>
      </w:r>
      <w:r w:rsidR="00853284">
        <w:t>P</w:t>
      </w:r>
      <w:r>
        <w:t xml:space="preserve">ath 60 was recorded in the 1952 Statement as </w:t>
      </w:r>
      <w:r w:rsidR="00CE1172">
        <w:t>“</w:t>
      </w:r>
      <w:r w:rsidRPr="00CE1172">
        <w:rPr>
          <w:i/>
          <w:iCs/>
        </w:rPr>
        <w:t>approximately 4ft</w:t>
      </w:r>
      <w:r w:rsidR="00283892">
        <w:t xml:space="preserve">” </w:t>
      </w:r>
      <w:r>
        <w:t xml:space="preserve">along its whole length. </w:t>
      </w:r>
      <w:r w:rsidR="0049685C">
        <w:t xml:space="preserve">However, given </w:t>
      </w:r>
      <w:r w:rsidR="00283892">
        <w:t>the</w:t>
      </w:r>
      <w:r w:rsidR="00853284">
        <w:t xml:space="preserve"> physical</w:t>
      </w:r>
      <w:r w:rsidR="00283892">
        <w:t xml:space="preserve"> </w:t>
      </w:r>
      <w:r w:rsidR="00853284">
        <w:t>characteristics of</w:t>
      </w:r>
      <w:r w:rsidR="00283892">
        <w:t xml:space="preserve"> the path, it</w:t>
      </w:r>
      <w:r w:rsidR="00C14CA5">
        <w:t xml:space="preserve"> seem</w:t>
      </w:r>
      <w:r w:rsidR="000440C9">
        <w:t>s</w:t>
      </w:r>
      <w:r w:rsidR="00C14CA5">
        <w:t xml:space="preserve"> </w:t>
      </w:r>
      <w:r w:rsidR="00283892">
        <w:t xml:space="preserve">unlikely </w:t>
      </w:r>
      <w:r w:rsidR="00CE1172">
        <w:t xml:space="preserve">that public rights </w:t>
      </w:r>
      <w:r w:rsidR="00C14CA5">
        <w:t xml:space="preserve">would have been </w:t>
      </w:r>
      <w:r w:rsidR="00CE1172">
        <w:t xml:space="preserve">confined to a uniform and strict 4ft width along </w:t>
      </w:r>
      <w:r w:rsidR="00853284">
        <w:t xml:space="preserve">its whole length. </w:t>
      </w:r>
    </w:p>
    <w:p w14:paraId="3D741B46" w14:textId="77777777" w:rsidR="0049685C" w:rsidRDefault="00FD60C6" w:rsidP="00CE1172">
      <w:pPr>
        <w:pStyle w:val="Style1"/>
      </w:pPr>
      <w:r>
        <w:t>A key document in this case is the</w:t>
      </w:r>
      <w:r w:rsidR="0061445C">
        <w:t xml:space="preserve"> 1950 Walking Schedule</w:t>
      </w:r>
      <w:r>
        <w:t xml:space="preserve">. This was </w:t>
      </w:r>
      <w:r w:rsidR="000705AC">
        <w:t>a</w:t>
      </w:r>
      <w:r w:rsidR="000705AC" w:rsidRPr="000705AC">
        <w:t xml:space="preserve"> survey carried out as part of the preparation of the first </w:t>
      </w:r>
      <w:r w:rsidR="00697A37">
        <w:t xml:space="preserve">DMS </w:t>
      </w:r>
      <w:r w:rsidR="000705AC" w:rsidRPr="000705AC">
        <w:t>under the National Parks and Access to the Countryside Act 1949</w:t>
      </w:r>
      <w:r w:rsidR="00853284">
        <w:t xml:space="preserve"> (the 1949 Act)</w:t>
      </w:r>
      <w:r w:rsidR="000705AC" w:rsidRPr="000705AC">
        <w:t xml:space="preserve">. </w:t>
      </w:r>
      <w:r w:rsidR="000705AC">
        <w:t xml:space="preserve">It </w:t>
      </w:r>
      <w:r w:rsidR="000705AC" w:rsidRPr="000705AC">
        <w:t>recorded details such as</w:t>
      </w:r>
      <w:r w:rsidR="001F6042">
        <w:t xml:space="preserve">; the route followed, its width, surface condition, gates, stiles and other structures and the basis on which it was considered a public right of way. </w:t>
      </w:r>
    </w:p>
    <w:p w14:paraId="48CC82E2" w14:textId="11CFA74E" w:rsidR="00873FAA" w:rsidRDefault="001F6042" w:rsidP="00CE1172">
      <w:pPr>
        <w:pStyle w:val="Style1"/>
      </w:pPr>
      <w:r>
        <w:t xml:space="preserve">In this area the survey was carried out by </w:t>
      </w:r>
      <w:r w:rsidR="00873FAA" w:rsidRPr="00873FAA">
        <w:t xml:space="preserve">Holmfirth Urban District Council (Holmfirth UDC) and then submitted to the West Riding of Yorkshire County Council (WRYCC), which was the surveying authority responsible for preparing the </w:t>
      </w:r>
      <w:r w:rsidR="00873FAA">
        <w:t xml:space="preserve">DMS. </w:t>
      </w:r>
      <w:r w:rsidR="00C3422B">
        <w:t>The first</w:t>
      </w:r>
      <w:r w:rsidR="00C3422B" w:rsidRPr="00C3422B">
        <w:t xml:space="preserve"> DMS for the Holmfirth area </w:t>
      </w:r>
      <w:r w:rsidR="00C3422B">
        <w:t xml:space="preserve">was </w:t>
      </w:r>
      <w:r w:rsidR="00C3422B" w:rsidRPr="00C3422B">
        <w:t>published by WRYCC</w:t>
      </w:r>
      <w:r w:rsidR="00C3422B">
        <w:t xml:space="preserve"> in 1952. </w:t>
      </w:r>
    </w:p>
    <w:p w14:paraId="21929C51" w14:textId="2A36B7CB" w:rsidR="00F05269" w:rsidRDefault="00873FAA" w:rsidP="001C26B2">
      <w:pPr>
        <w:pStyle w:val="Style1"/>
      </w:pPr>
      <w:r>
        <w:t xml:space="preserve">The </w:t>
      </w:r>
      <w:r w:rsidR="00F05269">
        <w:t xml:space="preserve">Walking Schedule </w:t>
      </w:r>
      <w:r w:rsidR="0061445C">
        <w:t>records "</w:t>
      </w:r>
      <w:r w:rsidR="0061445C" w:rsidRPr="00C14CA5">
        <w:rPr>
          <w:i/>
          <w:iCs/>
        </w:rPr>
        <w:t>uninterrupted user by public for 50 years</w:t>
      </w:r>
      <w:r w:rsidR="0061445C">
        <w:t>" and</w:t>
      </w:r>
      <w:r w:rsidR="00CE1172">
        <w:t xml:space="preserve"> </w:t>
      </w:r>
      <w:r w:rsidR="001C26B2" w:rsidRPr="001C26B2">
        <w:t>distinguish</w:t>
      </w:r>
      <w:r w:rsidR="001C26B2">
        <w:t>es</w:t>
      </w:r>
      <w:r w:rsidR="001C26B2" w:rsidRPr="001C26B2">
        <w:t xml:space="preserve"> between the two sections of the route. </w:t>
      </w:r>
      <w:r w:rsidR="001C26B2">
        <w:t>T</w:t>
      </w:r>
      <w:r w:rsidR="0061445C">
        <w:t xml:space="preserve">he western section (A–B) </w:t>
      </w:r>
      <w:r w:rsidR="001C26B2">
        <w:t xml:space="preserve">is recorded </w:t>
      </w:r>
      <w:r w:rsidR="0061445C">
        <w:t xml:space="preserve">as a </w:t>
      </w:r>
      <w:r w:rsidR="00621C5F">
        <w:t>“</w:t>
      </w:r>
      <w:r w:rsidR="00621C5F" w:rsidRPr="001C26B2">
        <w:rPr>
          <w:i/>
          <w:iCs/>
        </w:rPr>
        <w:t>C.R.B</w:t>
      </w:r>
      <w:r w:rsidR="00621C5F">
        <w:t>” (</w:t>
      </w:r>
      <w:r w:rsidR="0061445C" w:rsidRPr="00621C5F">
        <w:t>Carriage Road Bridleway</w:t>
      </w:r>
      <w:r w:rsidR="00621C5F">
        <w:t xml:space="preserve">) </w:t>
      </w:r>
      <w:r w:rsidR="0061445C">
        <w:t>rather than a footpath.</w:t>
      </w:r>
      <w:r w:rsidR="00697A37">
        <w:t xml:space="preserve"> N</w:t>
      </w:r>
      <w:r w:rsidR="00697A37" w:rsidRPr="00697A37">
        <w:t>o gate or stile was recorded at the Wolfstones Road entrance</w:t>
      </w:r>
      <w:r w:rsidR="00697A37">
        <w:t xml:space="preserve"> at point A. </w:t>
      </w:r>
      <w:r w:rsidR="00C3422B">
        <w:t xml:space="preserve">No </w:t>
      </w:r>
      <w:r w:rsidR="007A4E4E">
        <w:t>obstruction</w:t>
      </w:r>
      <w:r w:rsidR="00C3422B">
        <w:t xml:space="preserve"> to </w:t>
      </w:r>
      <w:r w:rsidR="007A4E4E">
        <w:t>public</w:t>
      </w:r>
      <w:r w:rsidR="00C3422B">
        <w:t xml:space="preserve"> use was noted between </w:t>
      </w:r>
      <w:r w:rsidR="007A4E4E">
        <w:t>points A-B.</w:t>
      </w:r>
      <w:r w:rsidR="00C14CA5">
        <w:t xml:space="preserve"> </w:t>
      </w:r>
      <w:r w:rsidR="001C26B2">
        <w:t>S</w:t>
      </w:r>
      <w:r w:rsidR="00C14CA5">
        <w:t>ection B-E is noted to be a field edge path</w:t>
      </w:r>
      <w:r w:rsidR="00EF6A9F">
        <w:t xml:space="preserve"> </w:t>
      </w:r>
      <w:r w:rsidR="00CD3F46" w:rsidRPr="00CD3F46">
        <w:t>passing through a series of field boundaries marked by gates, gaps, stiles and a wicket gate before reaching parcel 1333 at Point B.</w:t>
      </w:r>
      <w:r w:rsidR="00EF6A9F">
        <w:t xml:space="preserve"> </w:t>
      </w:r>
      <w:r w:rsidR="00737FA8">
        <w:t>As a detailed contemporaneous document</w:t>
      </w:r>
      <w:r w:rsidR="00403830">
        <w:t>,</w:t>
      </w:r>
      <w:r w:rsidR="00295B12">
        <w:t xml:space="preserve"> </w:t>
      </w:r>
      <w:r w:rsidR="00737FA8">
        <w:t>I give the Walking Schedule significant weight.</w:t>
      </w:r>
    </w:p>
    <w:p w14:paraId="4558E7FC" w14:textId="7B7A7624" w:rsidR="00E76FD6" w:rsidRDefault="007A4E4E" w:rsidP="00D641DC">
      <w:pPr>
        <w:pStyle w:val="Style1"/>
      </w:pPr>
      <w:r>
        <w:t>In light of the above</w:t>
      </w:r>
      <w:r w:rsidR="00403830">
        <w:t>, a</w:t>
      </w:r>
      <w:r w:rsidR="0004440E" w:rsidRPr="0004440E">
        <w:t xml:space="preserve"> key issue i</w:t>
      </w:r>
      <w:r w:rsidR="0004440E">
        <w:t xml:space="preserve">s why a route that was recorded </w:t>
      </w:r>
      <w:r w:rsidR="008E4747">
        <w:t xml:space="preserve">as a </w:t>
      </w:r>
      <w:r w:rsidR="00346867">
        <w:t>‘</w:t>
      </w:r>
      <w:r w:rsidR="008E4747" w:rsidRPr="00D641DC">
        <w:rPr>
          <w:i/>
          <w:iCs/>
        </w:rPr>
        <w:t>Carriage Road Bridleway</w:t>
      </w:r>
      <w:r w:rsidR="007B1751">
        <w:t>’</w:t>
      </w:r>
      <w:r w:rsidR="008E4747">
        <w:t xml:space="preserve"> between points </w:t>
      </w:r>
      <w:r w:rsidR="0004440E" w:rsidRPr="0004440E">
        <w:t>A-B</w:t>
      </w:r>
      <w:r w:rsidR="008E4747">
        <w:t xml:space="preserve"> </w:t>
      </w:r>
      <w:r w:rsidR="00C14CA5">
        <w:t xml:space="preserve">and a field edge path between points B-E </w:t>
      </w:r>
      <w:r w:rsidR="008E4747">
        <w:t xml:space="preserve">was later recorded </w:t>
      </w:r>
      <w:r w:rsidR="0004440E" w:rsidRPr="0004440E">
        <w:t>as only approximately 4 feet (1.2 m) wide</w:t>
      </w:r>
      <w:r w:rsidR="008E4747">
        <w:t xml:space="preserve"> in the DMS. </w:t>
      </w:r>
      <w:r w:rsidR="007B1751">
        <w:t xml:space="preserve">There is undoubtedly some tension between the Walking </w:t>
      </w:r>
      <w:r w:rsidR="00BF1B5E">
        <w:t>Schedule</w:t>
      </w:r>
      <w:r w:rsidR="007B1751">
        <w:t xml:space="preserve"> and th</w:t>
      </w:r>
      <w:r w:rsidR="00BF1B5E">
        <w:t xml:space="preserve">e </w:t>
      </w:r>
      <w:r w:rsidR="007B1751">
        <w:t>DMS</w:t>
      </w:r>
      <w:r w:rsidR="00BF1B5E">
        <w:t xml:space="preserve"> bearing in mind</w:t>
      </w:r>
      <w:r w:rsidR="007B1751">
        <w:t xml:space="preserve"> </w:t>
      </w:r>
      <w:r w:rsidR="00BF1B5E">
        <w:t xml:space="preserve">the </w:t>
      </w:r>
      <w:r w:rsidR="001A5874">
        <w:t>well-established principle that if a</w:t>
      </w:r>
      <w:r w:rsidR="001A5874" w:rsidRPr="001A5874">
        <w:t xml:space="preserve"> path r</w:t>
      </w:r>
      <w:r w:rsidR="001A5874">
        <w:t>an</w:t>
      </w:r>
      <w:r w:rsidR="001A5874" w:rsidRPr="001A5874">
        <w:t xml:space="preserve"> between walls or fences there </w:t>
      </w:r>
      <w:r w:rsidR="001A5874">
        <w:t xml:space="preserve">was </w:t>
      </w:r>
      <w:r w:rsidR="001A5874" w:rsidRPr="001A5874">
        <w:t xml:space="preserve">a presumption that the whole area between </w:t>
      </w:r>
      <w:r w:rsidR="00D641DC">
        <w:t>boundaries w</w:t>
      </w:r>
      <w:r w:rsidR="001A5874" w:rsidRPr="001A5874">
        <w:t xml:space="preserve">as </w:t>
      </w:r>
      <w:r w:rsidR="00D641DC">
        <w:t xml:space="preserve">presumed to be </w:t>
      </w:r>
      <w:r w:rsidR="001A5874" w:rsidRPr="001A5874">
        <w:t xml:space="preserve">dedicated to the public, provided those boundaries were laid out with reference to the highway. </w:t>
      </w:r>
      <w:r w:rsidR="002D6451">
        <w:t>As t</w:t>
      </w:r>
      <w:r w:rsidR="00DB133A">
        <w:t xml:space="preserve">hat appears to be the case </w:t>
      </w:r>
      <w:r w:rsidR="00D641DC">
        <w:t xml:space="preserve">between points A-B, </w:t>
      </w:r>
      <w:r w:rsidR="002D6451">
        <w:t xml:space="preserve">there is a presumption that the </w:t>
      </w:r>
      <w:r w:rsidR="00E55E54" w:rsidRPr="00E55E54">
        <w:t>whole</w:t>
      </w:r>
      <w:r w:rsidR="00E55E54">
        <w:t xml:space="preserve"> width of the</w:t>
      </w:r>
      <w:r w:rsidR="00E55E54" w:rsidRPr="00E55E54">
        <w:t xml:space="preserve"> </w:t>
      </w:r>
      <w:r w:rsidR="00D641DC">
        <w:t>‘</w:t>
      </w:r>
      <w:r w:rsidR="00E55E54" w:rsidRPr="00D641DC">
        <w:rPr>
          <w:i/>
          <w:iCs/>
        </w:rPr>
        <w:t>Carriage Road Bridleway</w:t>
      </w:r>
      <w:r w:rsidR="00D641DC">
        <w:t>’</w:t>
      </w:r>
      <w:r w:rsidR="00E55E54">
        <w:t xml:space="preserve"> was</w:t>
      </w:r>
      <w:r w:rsidR="00E55E54" w:rsidRPr="00E55E54">
        <w:t xml:space="preserve"> dedicated to the public</w:t>
      </w:r>
      <w:r w:rsidR="00E55E54">
        <w:t xml:space="preserve">. </w:t>
      </w:r>
    </w:p>
    <w:p w14:paraId="1B9B22B0" w14:textId="4A69208E" w:rsidR="008753A6" w:rsidRDefault="00D641DC" w:rsidP="008753A6">
      <w:pPr>
        <w:pStyle w:val="Style1"/>
      </w:pPr>
      <w:r>
        <w:t>T</w:t>
      </w:r>
      <w:r w:rsidR="00200A8C">
        <w:t>he</w:t>
      </w:r>
      <w:r w:rsidR="0061445C">
        <w:t xml:space="preserve"> 1954 West Riding</w:t>
      </w:r>
      <w:r w:rsidR="00655A03">
        <w:t xml:space="preserve"> M</w:t>
      </w:r>
      <w:r w:rsidR="0061445C">
        <w:t>emorandum</w:t>
      </w:r>
      <w:r w:rsidR="00200A8C">
        <w:t xml:space="preserve"> </w:t>
      </w:r>
      <w:r w:rsidR="00655A03">
        <w:t xml:space="preserve">(the </w:t>
      </w:r>
      <w:r w:rsidR="009059E0">
        <w:t xml:space="preserve">WRM) </w:t>
      </w:r>
      <w:r>
        <w:t xml:space="preserve">is a document that offers </w:t>
      </w:r>
      <w:r w:rsidR="006A259C">
        <w:t xml:space="preserve">an explanation </w:t>
      </w:r>
      <w:r w:rsidR="00200A8C">
        <w:t xml:space="preserve">to </w:t>
      </w:r>
      <w:r w:rsidR="006A259C">
        <w:t xml:space="preserve">the </w:t>
      </w:r>
      <w:r w:rsidR="00200A8C">
        <w:t>discrepancy</w:t>
      </w:r>
      <w:r w:rsidR="00E55E54">
        <w:t xml:space="preserve"> between the Walking Schedule and </w:t>
      </w:r>
      <w:r w:rsidR="007F5043">
        <w:t>DMS</w:t>
      </w:r>
      <w:r w:rsidR="00200A8C">
        <w:t xml:space="preserve">. </w:t>
      </w:r>
      <w:r w:rsidR="008F7F5E">
        <w:t>This was</w:t>
      </w:r>
      <w:r w:rsidR="008F7F5E" w:rsidRPr="008F7F5E">
        <w:t xml:space="preserve"> an internal memo</w:t>
      </w:r>
      <w:r w:rsidR="008F7F5E">
        <w:t>randum</w:t>
      </w:r>
      <w:r w:rsidR="008F7F5E" w:rsidRPr="008F7F5E">
        <w:t xml:space="preserve"> fro</w:t>
      </w:r>
      <w:r w:rsidR="003717CC">
        <w:t>m</w:t>
      </w:r>
      <w:r w:rsidR="008F7F5E" w:rsidRPr="008F7F5E">
        <w:t xml:space="preserve"> W</w:t>
      </w:r>
      <w:r w:rsidR="003717CC">
        <w:t>RYCC’s C</w:t>
      </w:r>
      <w:r w:rsidR="008F7F5E" w:rsidRPr="008F7F5E">
        <w:t>ounty Engineer and Surveyor to the County Clerk, dated 2 December 1954</w:t>
      </w:r>
      <w:r w:rsidR="008F7F5E">
        <w:t xml:space="preserve"> and </w:t>
      </w:r>
      <w:r w:rsidR="008F7F5E" w:rsidRPr="008F7F5E">
        <w:t xml:space="preserve">concerned the widths that should be </w:t>
      </w:r>
      <w:r w:rsidR="008F7F5E" w:rsidRPr="008F7F5E">
        <w:lastRenderedPageBreak/>
        <w:t>recorded in the Draft</w:t>
      </w:r>
      <w:r w:rsidR="008F7F5E">
        <w:t xml:space="preserve"> DMS. </w:t>
      </w:r>
      <w:r w:rsidR="008753A6">
        <w:t xml:space="preserve">In the memorandum the following blanket reduction of recorded widths </w:t>
      </w:r>
      <w:r w:rsidR="003717CC">
        <w:t xml:space="preserve">were </w:t>
      </w:r>
      <w:r w:rsidR="008753A6">
        <w:t>proposed:</w:t>
      </w:r>
    </w:p>
    <w:p w14:paraId="4F8EABC0" w14:textId="77777777" w:rsidR="008753A6" w:rsidRDefault="008753A6" w:rsidP="00DA04F3">
      <w:pPr>
        <w:pStyle w:val="Style1"/>
        <w:numPr>
          <w:ilvl w:val="0"/>
          <w:numId w:val="11"/>
        </w:numPr>
      </w:pPr>
      <w:r>
        <w:t>Footpaths recorded at more than 6 feet wide should generally be reduced to 4 feet, described as the "</w:t>
      </w:r>
      <w:r w:rsidRPr="008753A6">
        <w:rPr>
          <w:i/>
          <w:iCs/>
        </w:rPr>
        <w:t>normal width for a footpath</w:t>
      </w:r>
      <w:r>
        <w:t>".</w:t>
      </w:r>
    </w:p>
    <w:p w14:paraId="47E4328A" w14:textId="14D1CC13" w:rsidR="00126ABD" w:rsidRDefault="008753A6" w:rsidP="00DA04F3">
      <w:pPr>
        <w:pStyle w:val="Style1"/>
        <w:numPr>
          <w:ilvl w:val="0"/>
          <w:numId w:val="11"/>
        </w:numPr>
      </w:pPr>
      <w:r>
        <w:t>Bridleways recorded at more than 10 feet wide should generally be reduced to 8 feet.</w:t>
      </w:r>
    </w:p>
    <w:p w14:paraId="7C901D11" w14:textId="4A161F00" w:rsidR="00557F3D" w:rsidRDefault="001C491C" w:rsidP="003A6C23">
      <w:pPr>
        <w:pStyle w:val="Style1"/>
      </w:pPr>
      <w:r>
        <w:t>The reason for the reductions was "</w:t>
      </w:r>
      <w:r w:rsidRPr="001C491C">
        <w:rPr>
          <w:i/>
          <w:iCs/>
        </w:rPr>
        <w:t>...in order to define the liability of the highway authority within the limits of way which in some cases are 20, 30 ... and sometimes more feet between fences</w:t>
      </w:r>
      <w:r>
        <w:t>.”</w:t>
      </w:r>
      <w:r w:rsidR="00557F3D">
        <w:t xml:space="preserve"> </w:t>
      </w:r>
      <w:r w:rsidR="00076824">
        <w:t xml:space="preserve">While I acknowledge the memorandum is an internal administrative document and does not refer specifically to </w:t>
      </w:r>
      <w:r w:rsidR="00853284">
        <w:t>P</w:t>
      </w:r>
      <w:r w:rsidR="00076824">
        <w:t xml:space="preserve">ath 60, it is nonetheless </w:t>
      </w:r>
      <w:r w:rsidR="00557F3D">
        <w:t xml:space="preserve">reasonable to infer that </w:t>
      </w:r>
      <w:r w:rsidR="0061445C">
        <w:t>many path widths were standardised down to 4ft for administrative reasons rather than because they reflected the true legal width.</w:t>
      </w:r>
      <w:r w:rsidR="003717CC">
        <w:t xml:space="preserve"> </w:t>
      </w:r>
    </w:p>
    <w:p w14:paraId="03E433FA" w14:textId="7AC0B975" w:rsidR="005F5A7F" w:rsidRDefault="00770331" w:rsidP="005F5A7F">
      <w:pPr>
        <w:pStyle w:val="Style1"/>
      </w:pPr>
      <w:r w:rsidRPr="00770331">
        <w:t>The</w:t>
      </w:r>
      <w:r w:rsidR="009059E0">
        <w:t xml:space="preserve"> WRM </w:t>
      </w:r>
      <w:r w:rsidR="00962C24">
        <w:t>was reference</w:t>
      </w:r>
      <w:r w:rsidR="003A6C23">
        <w:t>d</w:t>
      </w:r>
      <w:r w:rsidR="00962C24">
        <w:t xml:space="preserve"> in the </w:t>
      </w:r>
      <w:r w:rsidR="004F3604">
        <w:t xml:space="preserve">1957 </w:t>
      </w:r>
      <w:r w:rsidRPr="00770331">
        <w:t>Ripponden Memorandum</w:t>
      </w:r>
      <w:r w:rsidR="004F3604">
        <w:t xml:space="preserve"> (the </w:t>
      </w:r>
      <w:r w:rsidR="00695DB2">
        <w:t>RM)</w:t>
      </w:r>
      <w:r w:rsidR="00962C24">
        <w:t>. This</w:t>
      </w:r>
      <w:r w:rsidRPr="00770331">
        <w:t xml:space="preserve"> </w:t>
      </w:r>
      <w:r w:rsidRPr="007D49B4">
        <w:t>compris</w:t>
      </w:r>
      <w:r>
        <w:t xml:space="preserve">ed </w:t>
      </w:r>
      <w:r w:rsidRPr="007D49B4">
        <w:t xml:space="preserve">a letter dated 11 April 1957 from </w:t>
      </w:r>
      <w:r w:rsidR="00655A03">
        <w:t xml:space="preserve">WRYCC </w:t>
      </w:r>
      <w:r w:rsidRPr="007D49B4">
        <w:t>to Ripponden Urban District Council, concern</w:t>
      </w:r>
      <w:r w:rsidR="00695DB2">
        <w:t>ing</w:t>
      </w:r>
      <w:r w:rsidRPr="007D49B4">
        <w:t xml:space="preserve"> proposed amendments to the </w:t>
      </w:r>
      <w:r>
        <w:t xml:space="preserve">DMS. </w:t>
      </w:r>
      <w:r w:rsidR="00C6338B" w:rsidRPr="00C6338B">
        <w:t>The RM is of evidential interest insofar as it indicates that the WRYCC treated reductions in recorded widths as reflecting its understanding that public rights subsisted only within the narrower width recorded.</w:t>
      </w:r>
    </w:p>
    <w:p w14:paraId="2810EB4A" w14:textId="631E7FF9" w:rsidR="005F5A7F" w:rsidRDefault="005F5A7F" w:rsidP="005F5A7F">
      <w:pPr>
        <w:pStyle w:val="Style1"/>
      </w:pPr>
      <w:r>
        <w:t xml:space="preserve">The </w:t>
      </w:r>
      <w:r w:rsidR="007D04AB">
        <w:t>RM</w:t>
      </w:r>
      <w:r>
        <w:t xml:space="preserve"> was considered as part of a recent Interim Order Decision</w:t>
      </w:r>
      <w:r w:rsidR="00B76DDB">
        <w:t xml:space="preserve"> (PINS Ref: ROW/</w:t>
      </w:r>
      <w:r w:rsidR="00EE2338">
        <w:t>3354848)</w:t>
      </w:r>
      <w:r>
        <w:t>.</w:t>
      </w:r>
      <w:r w:rsidR="00EE2338">
        <w:t xml:space="preserve"> </w:t>
      </w:r>
      <w:r w:rsidR="007D04AB">
        <w:t xml:space="preserve">In that case the Inspector relied upon the </w:t>
      </w:r>
      <w:r w:rsidR="009A5C17">
        <w:t>RM together with the WRM</w:t>
      </w:r>
      <w:r w:rsidRPr="00613FA2">
        <w:t>, as substantive evidence that the original definitive map widths had been altered through a policy of standardisation rather than by route-specific assessment.</w:t>
      </w:r>
      <w:r w:rsidR="009A5C17">
        <w:t xml:space="preserve"> She concluded: “</w:t>
      </w:r>
      <w:r w:rsidR="009A5C17" w:rsidRPr="00BB1470">
        <w:rPr>
          <w:i/>
          <w:iCs/>
        </w:rPr>
        <w:t xml:space="preserve">I consider it shows that WRCC </w:t>
      </w:r>
      <w:r w:rsidR="00613F79">
        <w:rPr>
          <w:i/>
          <w:iCs/>
        </w:rPr>
        <w:t xml:space="preserve">[WRYCC] </w:t>
      </w:r>
      <w:r w:rsidR="009A5C17" w:rsidRPr="00BB1470">
        <w:rPr>
          <w:i/>
          <w:iCs/>
        </w:rPr>
        <w:t>were acting ultra vires when they introduced a standard width to reduce maintenance liability in the first DMS</w:t>
      </w:r>
      <w:r w:rsidR="009A5C17">
        <w:t>”.</w:t>
      </w:r>
    </w:p>
    <w:p w14:paraId="1CBCB042" w14:textId="77777777" w:rsidR="00836F2C" w:rsidRDefault="009A5C17" w:rsidP="0033581D">
      <w:pPr>
        <w:pStyle w:val="Style1"/>
      </w:pPr>
      <w:r>
        <w:t xml:space="preserve">While the </w:t>
      </w:r>
      <w:r w:rsidR="00670C75">
        <w:t>W</w:t>
      </w:r>
      <w:r w:rsidR="006663F1">
        <w:t>R</w:t>
      </w:r>
      <w:r w:rsidR="00670C75">
        <w:t xml:space="preserve">M and </w:t>
      </w:r>
      <w:r>
        <w:t xml:space="preserve">RM </w:t>
      </w:r>
      <w:r w:rsidR="00670C75">
        <w:t xml:space="preserve">do not </w:t>
      </w:r>
      <w:r w:rsidR="00670C75" w:rsidRPr="00770331">
        <w:t>provi</w:t>
      </w:r>
      <w:r w:rsidR="00670C75">
        <w:t>de</w:t>
      </w:r>
      <w:r w:rsidR="00670C75" w:rsidRPr="00770331">
        <w:t xml:space="preserve"> direct evidence of the width or status of the </w:t>
      </w:r>
      <w:r w:rsidR="00670C75">
        <w:t xml:space="preserve">Path 60 </w:t>
      </w:r>
      <w:r w:rsidR="00670C75" w:rsidRPr="00770331">
        <w:t>itself</w:t>
      </w:r>
      <w:r w:rsidR="00670C75">
        <w:t xml:space="preserve">, they </w:t>
      </w:r>
      <w:r w:rsidR="00670C75" w:rsidRPr="00404AA4">
        <w:t>support the proposition that widths were reduced</w:t>
      </w:r>
      <w:r w:rsidR="00670C75">
        <w:t xml:space="preserve"> by WRYCC</w:t>
      </w:r>
      <w:r w:rsidR="00670C75" w:rsidRPr="00404AA4">
        <w:t xml:space="preserve"> through a standardisation exercise rather than because they reflected the true extent of the public right</w:t>
      </w:r>
      <w:r w:rsidR="00670C75">
        <w:t xml:space="preserve"> of way</w:t>
      </w:r>
      <w:r w:rsidR="00670C75" w:rsidRPr="00404AA4">
        <w:t xml:space="preserve">. </w:t>
      </w:r>
      <w:r w:rsidR="00670C75">
        <w:t>When considered alongside the historical mapping evidence and the Walking Schedule</w:t>
      </w:r>
      <w:r w:rsidR="007A28B0">
        <w:t xml:space="preserve">, the memoranda clearly support the OMA’s case that the </w:t>
      </w:r>
      <w:r w:rsidR="00C370B2">
        <w:t xml:space="preserve">width of the Order route was not recorded correctly in the DMS and should have been </w:t>
      </w:r>
      <w:r w:rsidR="0033581D">
        <w:t xml:space="preserve">between 3-4m to reflect the true situation on the ground. </w:t>
      </w:r>
    </w:p>
    <w:p w14:paraId="2650A52A" w14:textId="71AFD869" w:rsidR="00670C75" w:rsidRDefault="00836F2C" w:rsidP="0033581D">
      <w:pPr>
        <w:pStyle w:val="Style1"/>
      </w:pPr>
      <w:r>
        <w:t xml:space="preserve">In coming to that view, I have carefully considered Mr Dunlop’s submissions on the WRM. In the main, those submissions were unconvincing and appear </w:t>
      </w:r>
      <w:r w:rsidR="00063ACA">
        <w:t>at least in part</w:t>
      </w:r>
      <w:r w:rsidR="00B45EF2">
        <w:t xml:space="preserve">, to be </w:t>
      </w:r>
      <w:r>
        <w:t xml:space="preserve">based on a misunderstanding of the relevant administrative geography of the South Crosland case. </w:t>
      </w:r>
    </w:p>
    <w:p w14:paraId="0EFCD393" w14:textId="54C57923" w:rsidR="003F1C26" w:rsidRPr="0033581D" w:rsidRDefault="00040D68" w:rsidP="003F1C26">
      <w:pPr>
        <w:pStyle w:val="Style1"/>
        <w:numPr>
          <w:ilvl w:val="0"/>
          <w:numId w:val="0"/>
        </w:numPr>
        <w:rPr>
          <w:b/>
          <w:bCs/>
          <w:i/>
          <w:iCs/>
        </w:rPr>
      </w:pPr>
      <w:r w:rsidRPr="0033581D">
        <w:rPr>
          <w:b/>
          <w:bCs/>
          <w:i/>
          <w:iCs/>
        </w:rPr>
        <w:t xml:space="preserve">Additional </w:t>
      </w:r>
      <w:r w:rsidR="00447B8D" w:rsidRPr="0033581D">
        <w:rPr>
          <w:b/>
          <w:bCs/>
          <w:i/>
          <w:iCs/>
        </w:rPr>
        <w:t>documents</w:t>
      </w:r>
      <w:r w:rsidR="003F1C26" w:rsidRPr="0033581D">
        <w:rPr>
          <w:b/>
          <w:bCs/>
          <w:i/>
          <w:iCs/>
        </w:rPr>
        <w:t xml:space="preserve"> August 2025</w:t>
      </w:r>
    </w:p>
    <w:p w14:paraId="62CBCA9E" w14:textId="7425A449" w:rsidR="00B45EF2" w:rsidRDefault="003F1C26" w:rsidP="00770F8B">
      <w:pPr>
        <w:pStyle w:val="Style1"/>
        <w:spacing w:after="180"/>
      </w:pPr>
      <w:r>
        <w:t xml:space="preserve">The objectors submitted a suite of documents </w:t>
      </w:r>
      <w:r w:rsidR="00E41FE4">
        <w:t xml:space="preserve">in August 2025 </w:t>
      </w:r>
      <w:r>
        <w:t xml:space="preserve">which they argue expose wider problems in the way </w:t>
      </w:r>
      <w:r w:rsidR="003D6921">
        <w:t xml:space="preserve">the </w:t>
      </w:r>
      <w:r>
        <w:t>DM</w:t>
      </w:r>
      <w:r w:rsidR="003D6921">
        <w:t xml:space="preserve">S was </w:t>
      </w:r>
      <w:r>
        <w:t xml:space="preserve">compiled and reviewed. I consider these documents below. However, before I do so I </w:t>
      </w:r>
      <w:r w:rsidR="0048319E">
        <w:t>set out</w:t>
      </w:r>
      <w:r w:rsidR="006B293D">
        <w:t xml:space="preserve"> </w:t>
      </w:r>
      <w:r w:rsidR="00AB13DB">
        <w:t>a chronology of events</w:t>
      </w:r>
      <w:r w:rsidR="0048319E">
        <w:t xml:space="preserve"> below</w:t>
      </w:r>
      <w:r w:rsidR="00AB13DB">
        <w:t xml:space="preserve">. </w:t>
      </w:r>
    </w:p>
    <w:p w14:paraId="2C43535D" w14:textId="77777777" w:rsidR="00770F8B" w:rsidRDefault="00770F8B" w:rsidP="00770F8B">
      <w:pPr>
        <w:pStyle w:val="Style1"/>
        <w:numPr>
          <w:ilvl w:val="0"/>
          <w:numId w:val="0"/>
        </w:numPr>
        <w:spacing w:after="180"/>
        <w:ind w:left="431" w:hanging="431"/>
      </w:pPr>
    </w:p>
    <w:p w14:paraId="5E0EB392" w14:textId="77777777" w:rsidR="00770F8B" w:rsidRDefault="00770F8B" w:rsidP="00770F8B">
      <w:pPr>
        <w:pStyle w:val="Style1"/>
        <w:numPr>
          <w:ilvl w:val="0"/>
          <w:numId w:val="0"/>
        </w:numPr>
        <w:spacing w:after="180"/>
        <w:ind w:left="431" w:hanging="431"/>
      </w:pPr>
    </w:p>
    <w:tbl>
      <w:tblPr>
        <w:tblStyle w:val="GridTable1Light-Accent1"/>
        <w:tblW w:w="0" w:type="auto"/>
        <w:tblLook w:val="04A0" w:firstRow="1" w:lastRow="0" w:firstColumn="1" w:lastColumn="0" w:noHBand="0" w:noVBand="1"/>
      </w:tblPr>
      <w:tblGrid>
        <w:gridCol w:w="4432"/>
        <w:gridCol w:w="4431"/>
      </w:tblGrid>
      <w:tr w:rsidR="007F0808" w14:paraId="1FBC52A8" w14:textId="77777777" w:rsidTr="00F6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2" w:type="dxa"/>
            <w:shd w:val="clear" w:color="auto" w:fill="EEECE1" w:themeFill="background2"/>
          </w:tcPr>
          <w:p w14:paraId="375C5137" w14:textId="76111195" w:rsidR="007F0808" w:rsidRDefault="007F0808" w:rsidP="003F1C26">
            <w:pPr>
              <w:pStyle w:val="Style1"/>
              <w:numPr>
                <w:ilvl w:val="0"/>
                <w:numId w:val="0"/>
              </w:numPr>
            </w:pPr>
            <w:r>
              <w:lastRenderedPageBreak/>
              <w:t>Year</w:t>
            </w:r>
          </w:p>
        </w:tc>
        <w:tc>
          <w:tcPr>
            <w:tcW w:w="4431" w:type="dxa"/>
            <w:shd w:val="clear" w:color="auto" w:fill="EEECE1" w:themeFill="background2"/>
          </w:tcPr>
          <w:p w14:paraId="6BA478D4" w14:textId="05588BAC" w:rsidR="007F0808" w:rsidRDefault="007F0808" w:rsidP="003F1C26">
            <w:pPr>
              <w:pStyle w:val="Style1"/>
              <w:numPr>
                <w:ilvl w:val="0"/>
                <w:numId w:val="0"/>
              </w:numPr>
              <w:cnfStyle w:val="100000000000" w:firstRow="1" w:lastRow="0" w:firstColumn="0" w:lastColumn="0" w:oddVBand="0" w:evenVBand="0" w:oddHBand="0" w:evenHBand="0" w:firstRowFirstColumn="0" w:firstRowLastColumn="0" w:lastRowFirstColumn="0" w:lastRowLastColumn="0"/>
            </w:pPr>
            <w:r>
              <w:t xml:space="preserve">Event </w:t>
            </w:r>
          </w:p>
        </w:tc>
      </w:tr>
      <w:tr w:rsidR="007F0808" w14:paraId="1E5B74E3"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16BBB167" w14:textId="26E0CE07" w:rsidR="007F0808" w:rsidRDefault="007F0808" w:rsidP="003F1C26">
            <w:pPr>
              <w:pStyle w:val="Style1"/>
              <w:numPr>
                <w:ilvl w:val="0"/>
                <w:numId w:val="0"/>
              </w:numPr>
            </w:pPr>
            <w:r>
              <w:t>1952</w:t>
            </w:r>
          </w:p>
        </w:tc>
        <w:tc>
          <w:tcPr>
            <w:tcW w:w="4431" w:type="dxa"/>
          </w:tcPr>
          <w:p w14:paraId="39918300" w14:textId="15463C8E" w:rsidR="007F0808"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 xml:space="preserve">First DMS for the Holmfirth area prepared and published by </w:t>
            </w:r>
            <w:r w:rsidRPr="00374E83">
              <w:t>W</w:t>
            </w:r>
            <w:r>
              <w:t>RY</w:t>
            </w:r>
            <w:r w:rsidRPr="00374E83">
              <w:t>CC</w:t>
            </w:r>
            <w:r>
              <w:t xml:space="preserve">. </w:t>
            </w:r>
          </w:p>
        </w:tc>
      </w:tr>
      <w:tr w:rsidR="007F0808" w14:paraId="256C52C0"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359FF2CB" w14:textId="459129BA" w:rsidR="007F0808" w:rsidRDefault="007F0808" w:rsidP="003F1C26">
            <w:pPr>
              <w:pStyle w:val="Style1"/>
              <w:numPr>
                <w:ilvl w:val="0"/>
                <w:numId w:val="0"/>
              </w:numPr>
            </w:pPr>
            <w:r>
              <w:t>1950-1974</w:t>
            </w:r>
          </w:p>
        </w:tc>
        <w:tc>
          <w:tcPr>
            <w:tcW w:w="4431" w:type="dxa"/>
          </w:tcPr>
          <w:p w14:paraId="26FED90F" w14:textId="77777777" w:rsidR="00F6467D" w:rsidRDefault="00F6467D" w:rsidP="00F6467D">
            <w:pPr>
              <w:pStyle w:val="Style1"/>
              <w:numPr>
                <w:ilvl w:val="0"/>
                <w:numId w:val="0"/>
              </w:numPr>
              <w:cnfStyle w:val="000000000000" w:firstRow="0" w:lastRow="0" w:firstColumn="0" w:lastColumn="0" w:oddVBand="0" w:evenVBand="0" w:oddHBand="0" w:evenHBand="0" w:firstRowFirstColumn="0" w:firstRowLastColumn="0" w:lastRowFirstColumn="0" w:lastRowLastColumn="0"/>
            </w:pPr>
            <w:r>
              <w:t>Rights-of-way surveying responsibilities remain separate between:</w:t>
            </w:r>
          </w:p>
          <w:p w14:paraId="19D9D8C9" w14:textId="0EC230BB" w:rsidR="00F6467D" w:rsidRDefault="00F6467D" w:rsidP="00F6467D">
            <w:pPr>
              <w:pStyle w:val="Style1"/>
              <w:numPr>
                <w:ilvl w:val="0"/>
                <w:numId w:val="0"/>
              </w:numPr>
              <w:ind w:left="431" w:hanging="431"/>
              <w:cnfStyle w:val="000000000000" w:firstRow="0" w:lastRow="0" w:firstColumn="0" w:lastColumn="0" w:oddVBand="0" w:evenVBand="0" w:oddHBand="0" w:evenHBand="0" w:firstRowFirstColumn="0" w:firstRowLastColumn="0" w:lastRowFirstColumn="0" w:lastRowLastColumn="0"/>
            </w:pPr>
            <w:r>
              <w:t>WRYCC (Holmfirth area); and</w:t>
            </w:r>
          </w:p>
          <w:p w14:paraId="543236C7" w14:textId="4B0D74FF" w:rsidR="007F0808"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Huddersfield County Borough Council (HCBC) for the Huddersfield area</w:t>
            </w:r>
          </w:p>
        </w:tc>
      </w:tr>
      <w:tr w:rsidR="007F0808" w14:paraId="58834595"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47AF5D27" w14:textId="0F5530F6" w:rsidR="007F0808" w:rsidRDefault="007F0808" w:rsidP="003F1C26">
            <w:pPr>
              <w:pStyle w:val="Style1"/>
              <w:numPr>
                <w:ilvl w:val="0"/>
                <w:numId w:val="0"/>
              </w:numPr>
            </w:pPr>
            <w:r>
              <w:t>1974</w:t>
            </w:r>
          </w:p>
        </w:tc>
        <w:tc>
          <w:tcPr>
            <w:tcW w:w="4431" w:type="dxa"/>
          </w:tcPr>
          <w:p w14:paraId="2D956CFF" w14:textId="62BA66AF" w:rsidR="007F0808"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Local government reorganisation abolishes HCBC and Holmfirth UDC and transfers rights of way responsibilities to</w:t>
            </w:r>
            <w:r w:rsidRPr="00063604">
              <w:t xml:space="preserve"> </w:t>
            </w:r>
            <w:r>
              <w:t xml:space="preserve">the </w:t>
            </w:r>
            <w:r w:rsidRPr="00063604">
              <w:t xml:space="preserve">West </w:t>
            </w:r>
            <w:r w:rsidR="00BD680A">
              <w:t>Yorkshire Metropolitan</w:t>
            </w:r>
            <w:r w:rsidRPr="00063604">
              <w:t xml:space="preserve"> County Council</w:t>
            </w:r>
            <w:r>
              <w:t xml:space="preserve"> (WYMCC).</w:t>
            </w:r>
          </w:p>
        </w:tc>
      </w:tr>
      <w:tr w:rsidR="007F0808" w14:paraId="359E3754"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3F1141E4" w14:textId="7C5D3967" w:rsidR="007F0808" w:rsidRDefault="007F0808" w:rsidP="003F1C26">
            <w:pPr>
              <w:pStyle w:val="Style1"/>
              <w:numPr>
                <w:ilvl w:val="0"/>
                <w:numId w:val="0"/>
              </w:numPr>
            </w:pPr>
            <w:r>
              <w:t>197</w:t>
            </w:r>
            <w:r w:rsidR="00F6467D">
              <w:t>9</w:t>
            </w:r>
          </w:p>
        </w:tc>
        <w:tc>
          <w:tcPr>
            <w:tcW w:w="4431" w:type="dxa"/>
          </w:tcPr>
          <w:p w14:paraId="14199CBA" w14:textId="671420C2" w:rsidR="007F0808"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WYMCC Draft Revision Map prepared as part of a county-wide review. The route forming Holmfirth 60 appears within that review material.</w:t>
            </w:r>
          </w:p>
        </w:tc>
      </w:tr>
      <w:tr w:rsidR="007F0808" w14:paraId="36B591F3"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11BD6E5B" w14:textId="7C048506" w:rsidR="007F0808" w:rsidRDefault="00F6467D" w:rsidP="003F1C26">
            <w:pPr>
              <w:pStyle w:val="Style1"/>
              <w:numPr>
                <w:ilvl w:val="0"/>
                <w:numId w:val="0"/>
              </w:numPr>
            </w:pPr>
            <w:r>
              <w:t>1984</w:t>
            </w:r>
          </w:p>
        </w:tc>
        <w:tc>
          <w:tcPr>
            <w:tcW w:w="4431" w:type="dxa"/>
          </w:tcPr>
          <w:p w14:paraId="2B3F4E8F" w14:textId="21C5D5E1" w:rsidR="007F0808"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Secretary of State directs WYMCC to abandon the review process.</w:t>
            </w:r>
          </w:p>
        </w:tc>
      </w:tr>
      <w:tr w:rsidR="00F6467D" w14:paraId="3C6A85B0" w14:textId="77777777" w:rsidTr="00F6467D">
        <w:tc>
          <w:tcPr>
            <w:cnfStyle w:val="001000000000" w:firstRow="0" w:lastRow="0" w:firstColumn="1" w:lastColumn="0" w:oddVBand="0" w:evenVBand="0" w:oddHBand="0" w:evenHBand="0" w:firstRowFirstColumn="0" w:firstRowLastColumn="0" w:lastRowFirstColumn="0" w:lastRowLastColumn="0"/>
            <w:tcW w:w="4432" w:type="dxa"/>
          </w:tcPr>
          <w:p w14:paraId="5F1AD8BD" w14:textId="089F8651" w:rsidR="00F6467D" w:rsidRDefault="00F6467D" w:rsidP="003F1C26">
            <w:pPr>
              <w:pStyle w:val="Style1"/>
              <w:numPr>
                <w:ilvl w:val="0"/>
                <w:numId w:val="0"/>
              </w:numPr>
            </w:pPr>
            <w:r>
              <w:t>1985</w:t>
            </w:r>
          </w:p>
        </w:tc>
        <w:tc>
          <w:tcPr>
            <w:tcW w:w="4431" w:type="dxa"/>
          </w:tcPr>
          <w:p w14:paraId="23F9ACE5" w14:textId="642B38A3" w:rsidR="00F6467D" w:rsidRDefault="00F6467D" w:rsidP="003F1C26">
            <w:pPr>
              <w:pStyle w:val="Style1"/>
              <w:numPr>
                <w:ilvl w:val="0"/>
                <w:numId w:val="0"/>
              </w:numPr>
              <w:cnfStyle w:val="000000000000" w:firstRow="0" w:lastRow="0" w:firstColumn="0" w:lastColumn="0" w:oddVBand="0" w:evenVBand="0" w:oddHBand="0" w:evenHBand="0" w:firstRowFirstColumn="0" w:firstRowLastColumn="0" w:lastRowFirstColumn="0" w:lastRowLastColumn="0"/>
            </w:pPr>
            <w:r>
              <w:t xml:space="preserve">Publication of the WYMCC Modified Definitive Map and Statement. This was the first definitive map covering both former Huddersfield and Holmfirth areas within a single record. </w:t>
            </w:r>
          </w:p>
        </w:tc>
      </w:tr>
    </w:tbl>
    <w:p w14:paraId="1210A6BA" w14:textId="3CE340A6" w:rsidR="007362E9" w:rsidRDefault="00CF37EB" w:rsidP="00CF37EB">
      <w:pPr>
        <w:pStyle w:val="Style1"/>
      </w:pPr>
      <w:r w:rsidRPr="00EB0B9C">
        <w:t xml:space="preserve">The </w:t>
      </w:r>
      <w:r w:rsidR="00BE715A">
        <w:t xml:space="preserve">Order </w:t>
      </w:r>
      <w:r w:rsidRPr="00EB0B9C">
        <w:t xml:space="preserve">route is situated within the area formerly administered by Holmfirth </w:t>
      </w:r>
      <w:r>
        <w:t>UDC</w:t>
      </w:r>
      <w:r w:rsidR="00BE715A">
        <w:t xml:space="preserve"> </w:t>
      </w:r>
      <w:r w:rsidRPr="00EB0B9C">
        <w:t xml:space="preserve">rather than the former </w:t>
      </w:r>
      <w:r w:rsidR="008A3584">
        <w:t xml:space="preserve">HCBC. </w:t>
      </w:r>
      <w:r w:rsidR="00770891">
        <w:t>For purposes of the 1949 Act, the surveying authority was WR</w:t>
      </w:r>
      <w:r w:rsidR="007362E9">
        <w:t>Y</w:t>
      </w:r>
      <w:r w:rsidR="00770891">
        <w:t>CC</w:t>
      </w:r>
      <w:r w:rsidR="00357D17">
        <w:t>. This is because</w:t>
      </w:r>
      <w:r w:rsidR="00770891">
        <w:t xml:space="preserve"> </w:t>
      </w:r>
      <w:r w:rsidR="00770891" w:rsidRPr="00C64C12">
        <w:t>Holmfirth</w:t>
      </w:r>
      <w:r w:rsidR="007362E9">
        <w:t xml:space="preserve"> UDC</w:t>
      </w:r>
      <w:r w:rsidR="00770891" w:rsidRPr="00C64C12">
        <w:t xml:space="preserve"> was not a County Borough</w:t>
      </w:r>
      <w:r w:rsidR="007362E9">
        <w:t>.</w:t>
      </w:r>
      <w:r w:rsidR="00770891" w:rsidRPr="00EB0B9C">
        <w:t xml:space="preserve"> </w:t>
      </w:r>
      <w:r w:rsidR="00357D17">
        <w:t xml:space="preserve">As a </w:t>
      </w:r>
      <w:r w:rsidR="007362E9" w:rsidRPr="001F1A6C">
        <w:t>County Borough</w:t>
      </w:r>
      <w:r w:rsidR="00357D17">
        <w:t>,</w:t>
      </w:r>
      <w:r w:rsidR="007362E9" w:rsidRPr="001F1A6C">
        <w:t xml:space="preserve"> </w:t>
      </w:r>
      <w:r w:rsidR="00357D17">
        <w:t>HCBC</w:t>
      </w:r>
      <w:r w:rsidR="00357D17" w:rsidRPr="001F1A6C">
        <w:t xml:space="preserve"> </w:t>
      </w:r>
      <w:r w:rsidR="007362E9" w:rsidRPr="001F1A6C">
        <w:t>adopted its own survey provisions under section 35(2) of the 1949 Act and prepared its own draft maps and statements.</w:t>
      </w:r>
      <w:r w:rsidR="007362E9" w:rsidRPr="0007727B">
        <w:t xml:space="preserve"> </w:t>
      </w:r>
      <w:r w:rsidR="007362E9">
        <w:t xml:space="preserve">At no point was </w:t>
      </w:r>
      <w:r w:rsidR="00853284">
        <w:t>P</w:t>
      </w:r>
      <w:r w:rsidR="007362E9">
        <w:t>ath 60 within HCBC</w:t>
      </w:r>
      <w:r w:rsidR="00357D17">
        <w:t>’s</w:t>
      </w:r>
      <w:r w:rsidR="007362E9">
        <w:t xml:space="preserve"> administrative area. </w:t>
      </w:r>
    </w:p>
    <w:p w14:paraId="51C683E5" w14:textId="77B4EE98" w:rsidR="00CF37EB" w:rsidRDefault="007362E9" w:rsidP="007362E9">
      <w:pPr>
        <w:pStyle w:val="Style1"/>
      </w:pPr>
      <w:r>
        <w:t xml:space="preserve">There were thus two separate and distinct rights of way regimes; one covering </w:t>
      </w:r>
      <w:r w:rsidR="00357D17">
        <w:t xml:space="preserve">Path 60 and the wider Holmfirth area </w:t>
      </w:r>
      <w:r>
        <w:t>by WR</w:t>
      </w:r>
      <w:r w:rsidR="006663F1">
        <w:t>Y</w:t>
      </w:r>
      <w:r>
        <w:t xml:space="preserve">CC and another covering Huddersfield. That </w:t>
      </w:r>
      <w:r w:rsidR="00CF37EB" w:rsidRPr="00EB0B9C">
        <w:t xml:space="preserve">distinction </w:t>
      </w:r>
      <w:r w:rsidR="00CF37EB">
        <w:t xml:space="preserve">is </w:t>
      </w:r>
      <w:r w:rsidR="00CF37EB" w:rsidRPr="00EB0B9C">
        <w:t>important</w:t>
      </w:r>
      <w:r w:rsidR="007C3481">
        <w:t>,</w:t>
      </w:r>
      <w:r w:rsidR="00CF37EB" w:rsidRPr="00EB0B9C">
        <w:t xml:space="preserve"> </w:t>
      </w:r>
      <w:r w:rsidR="00CF37EB">
        <w:t xml:space="preserve">as </w:t>
      </w:r>
      <w:r w:rsidR="008A3584">
        <w:t xml:space="preserve">the evidence bundle submitted by the </w:t>
      </w:r>
      <w:r w:rsidR="00357D17">
        <w:t>o</w:t>
      </w:r>
      <w:r w:rsidR="008A3584">
        <w:t>bjectors</w:t>
      </w:r>
      <w:r w:rsidR="00357D17">
        <w:t xml:space="preserve"> pertains to</w:t>
      </w:r>
      <w:r w:rsidR="008A3584">
        <w:t xml:space="preserve"> </w:t>
      </w:r>
      <w:r w:rsidR="00CF37EB" w:rsidRPr="00EB0B9C">
        <w:t>the Huddersfield definitive map process.</w:t>
      </w:r>
      <w:r w:rsidR="00CF37EB">
        <w:t xml:space="preserve"> </w:t>
      </w:r>
    </w:p>
    <w:p w14:paraId="63DB349D" w14:textId="4E7ABEF6" w:rsidR="005837DF" w:rsidRPr="009400E3" w:rsidRDefault="007362E9" w:rsidP="009400E3">
      <w:pPr>
        <w:pStyle w:val="Style1"/>
        <w:rPr>
          <w:u w:val="single"/>
        </w:rPr>
      </w:pPr>
      <w:r>
        <w:t xml:space="preserve">The </w:t>
      </w:r>
      <w:r w:rsidR="002B23C3">
        <w:t xml:space="preserve">South Crosland </w:t>
      </w:r>
      <w:r>
        <w:t xml:space="preserve">decision which has </w:t>
      </w:r>
      <w:r w:rsidR="00DC433B">
        <w:t>been</w:t>
      </w:r>
      <w:r>
        <w:t xml:space="preserve"> referred to by the objector</w:t>
      </w:r>
      <w:r w:rsidR="00357D17">
        <w:t>s</w:t>
      </w:r>
      <w:r>
        <w:t xml:space="preserve"> (PINS Ref: </w:t>
      </w:r>
      <w:r w:rsidRPr="00120C51">
        <w:t>ROW/3278454</w:t>
      </w:r>
      <w:r>
        <w:t xml:space="preserve">) </w:t>
      </w:r>
      <w:r w:rsidR="00A444BB">
        <w:t>relates to an area that was within the HCBC area.</w:t>
      </w:r>
      <w:r w:rsidR="00DC433B">
        <w:t xml:space="preserve"> </w:t>
      </w:r>
      <w:r w:rsidR="008713F9">
        <w:t xml:space="preserve">Aware of geographical and administrative </w:t>
      </w:r>
      <w:r w:rsidR="00DC433B">
        <w:t xml:space="preserve">context </w:t>
      </w:r>
      <w:r w:rsidR="000750BD">
        <w:t>set out above</w:t>
      </w:r>
      <w:r w:rsidR="008713F9">
        <w:t xml:space="preserve">, the </w:t>
      </w:r>
      <w:r w:rsidR="00401F5E">
        <w:t xml:space="preserve">Inspector </w:t>
      </w:r>
      <w:r w:rsidR="000750BD">
        <w:t xml:space="preserve">in </w:t>
      </w:r>
      <w:r w:rsidR="00DC433B">
        <w:t xml:space="preserve">that </w:t>
      </w:r>
      <w:r w:rsidR="000750BD">
        <w:t xml:space="preserve">case found that </w:t>
      </w:r>
      <w:r w:rsidR="00803454">
        <w:t xml:space="preserve">while the </w:t>
      </w:r>
      <w:r w:rsidR="000750BD">
        <w:t xml:space="preserve">documents </w:t>
      </w:r>
      <w:r w:rsidR="005A4281">
        <w:t xml:space="preserve">discussed </w:t>
      </w:r>
      <w:r w:rsidR="000750BD">
        <w:t>below were relevant</w:t>
      </w:r>
      <w:r w:rsidR="006C2DEC">
        <w:t xml:space="preserve">, the WRM and RM were not </w:t>
      </w:r>
      <w:r w:rsidR="00A7569C">
        <w:t xml:space="preserve">as they related to a different administrative area. </w:t>
      </w:r>
    </w:p>
    <w:p w14:paraId="6304D946" w14:textId="77777777" w:rsidR="00770F8B" w:rsidRDefault="00770F8B" w:rsidP="00D23025">
      <w:pPr>
        <w:pStyle w:val="Style1"/>
        <w:numPr>
          <w:ilvl w:val="0"/>
          <w:numId w:val="0"/>
        </w:numPr>
        <w:rPr>
          <w:u w:val="single"/>
        </w:rPr>
      </w:pPr>
    </w:p>
    <w:p w14:paraId="265F03A2" w14:textId="77777777" w:rsidR="00770F8B" w:rsidRDefault="00770F8B" w:rsidP="00D23025">
      <w:pPr>
        <w:pStyle w:val="Style1"/>
        <w:numPr>
          <w:ilvl w:val="0"/>
          <w:numId w:val="0"/>
        </w:numPr>
        <w:rPr>
          <w:u w:val="single"/>
        </w:rPr>
      </w:pPr>
    </w:p>
    <w:p w14:paraId="4BF8938B" w14:textId="4C103F73" w:rsidR="00577D9D" w:rsidRPr="000565DB" w:rsidRDefault="00577D9D" w:rsidP="00D23025">
      <w:pPr>
        <w:pStyle w:val="Style1"/>
        <w:numPr>
          <w:ilvl w:val="0"/>
          <w:numId w:val="0"/>
        </w:numPr>
        <w:rPr>
          <w:u w:val="single"/>
        </w:rPr>
      </w:pPr>
      <w:r w:rsidRPr="000565DB">
        <w:rPr>
          <w:u w:val="single"/>
        </w:rPr>
        <w:lastRenderedPageBreak/>
        <w:t>1965 Huddersfield Memorandum</w:t>
      </w:r>
    </w:p>
    <w:p w14:paraId="4E3B31A5" w14:textId="7AC21511" w:rsidR="00577D9D" w:rsidRDefault="004E3A60" w:rsidP="00577D9D">
      <w:pPr>
        <w:pStyle w:val="Style1"/>
      </w:pPr>
      <w:r>
        <w:t xml:space="preserve">This </w:t>
      </w:r>
      <w:r w:rsidRPr="004E3A60">
        <w:t>was an internal memorandum dated 28 July 1965 from Arthur Leslie Percy,</w:t>
      </w:r>
      <w:r w:rsidR="005D0EEC">
        <w:t xml:space="preserve"> the </w:t>
      </w:r>
      <w:r w:rsidRPr="004E3A60">
        <w:t>Borough Engineer and Surveyor of Huddersfield County Borough Council, to the Town Clerk of Huddersfield. It concerned the status of the County Borough's stalled Rights of Way survey and draft map proces</w:t>
      </w:r>
      <w:r>
        <w:t xml:space="preserve">s. </w:t>
      </w:r>
    </w:p>
    <w:p w14:paraId="37BDB950" w14:textId="5A284A3F" w:rsidR="00332BB7" w:rsidRDefault="00577D9D" w:rsidP="00332BB7">
      <w:pPr>
        <w:pStyle w:val="Style1"/>
      </w:pPr>
      <w:r>
        <w:t>The memorandum discussed the status of a draft rights-of-way map prepared for Huddersfield and whether a fresh survey should be undertaken following a substantial delay.</w:t>
      </w:r>
      <w:r w:rsidR="00332BB7">
        <w:t xml:space="preserve"> According to the objectors, the memorandum revealed a disorganised and irregular rights of way process</w:t>
      </w:r>
      <w:r w:rsidR="00EF4CA4">
        <w:t xml:space="preserve"> </w:t>
      </w:r>
      <w:r w:rsidR="004B4BD7" w:rsidRPr="004B4BD7">
        <w:t>a</w:t>
      </w:r>
      <w:r w:rsidR="004B4BD7">
        <w:t xml:space="preserve">nd that </w:t>
      </w:r>
      <w:r w:rsidR="00332BB7">
        <w:t>later definitive map records may have depended on that later survey rather than earlier West Riding width policie</w:t>
      </w:r>
      <w:r w:rsidR="004F1700">
        <w:t xml:space="preserve">s. </w:t>
      </w:r>
    </w:p>
    <w:p w14:paraId="7F881715" w14:textId="7F140273" w:rsidR="00577D9D" w:rsidRDefault="0040235B" w:rsidP="00577D9D">
      <w:pPr>
        <w:pStyle w:val="Style1"/>
      </w:pPr>
      <w:r>
        <w:t>As the</w:t>
      </w:r>
      <w:r w:rsidR="00577D9D">
        <w:t xml:space="preserve"> </w:t>
      </w:r>
      <w:r>
        <w:t xml:space="preserve">Memorandum </w:t>
      </w:r>
      <w:r w:rsidR="00577D9D">
        <w:t>dea</w:t>
      </w:r>
      <w:r w:rsidR="001162EA">
        <w:t xml:space="preserve">ls </w:t>
      </w:r>
      <w:r w:rsidR="00577D9D">
        <w:t xml:space="preserve">solely with </w:t>
      </w:r>
      <w:r>
        <w:t xml:space="preserve">the DMS </w:t>
      </w:r>
      <w:r w:rsidR="00577D9D">
        <w:t>in the former County Borough of Huddersfield</w:t>
      </w:r>
      <w:r>
        <w:t xml:space="preserve">, it has little </w:t>
      </w:r>
      <w:r w:rsidR="00577D9D">
        <w:t>relevance to</w:t>
      </w:r>
      <w:r>
        <w:t xml:space="preserve"> </w:t>
      </w:r>
      <w:r w:rsidR="00853284">
        <w:t>P</w:t>
      </w:r>
      <w:r>
        <w:t>ath 60</w:t>
      </w:r>
      <w:r w:rsidR="002213AB">
        <w:t xml:space="preserve">. </w:t>
      </w:r>
    </w:p>
    <w:p w14:paraId="34E4A1CB" w14:textId="0F7B1439" w:rsidR="00577D9D" w:rsidRPr="000565DB" w:rsidRDefault="00577D9D" w:rsidP="00577D9D">
      <w:pPr>
        <w:pStyle w:val="Style1"/>
        <w:numPr>
          <w:ilvl w:val="0"/>
          <w:numId w:val="0"/>
        </w:numPr>
        <w:rPr>
          <w:u w:val="single"/>
        </w:rPr>
      </w:pPr>
      <w:r w:rsidRPr="000565DB">
        <w:rPr>
          <w:u w:val="single"/>
        </w:rPr>
        <w:t>Leeds Report Memorandum</w:t>
      </w:r>
    </w:p>
    <w:p w14:paraId="561FAF92" w14:textId="40E08EDB" w:rsidR="00AC771A" w:rsidRDefault="00577D9D" w:rsidP="00AC771A">
      <w:pPr>
        <w:pStyle w:val="Style1"/>
      </w:pPr>
      <w:r>
        <w:t>A second document was a memorandum dated 31 July 1965 prepared for the Huddersfield Town Clerk concerning the same subject</w:t>
      </w:r>
      <w:r w:rsidR="00FB020C">
        <w:t xml:space="preserve"> as the Huddersfield Memorandum. I</w:t>
      </w:r>
      <w:r w:rsidR="00FB020C" w:rsidRPr="00FB020C">
        <w:t xml:space="preserve">t records that the Ministry advised Huddersfield to continue with the original survey process rather than start again. </w:t>
      </w:r>
      <w:r w:rsidR="006D05F3">
        <w:t xml:space="preserve">That </w:t>
      </w:r>
      <w:r w:rsidR="00FB020C" w:rsidRPr="00FB020C">
        <w:t>advice was disregarded and a fresh survey was instead undertaken by the Huddersfield Civic Society around 1965-66</w:t>
      </w:r>
      <w:r w:rsidR="006D05F3">
        <w:t xml:space="preserve">. </w:t>
      </w:r>
      <w:r w:rsidR="001162EA">
        <w:t>Again,</w:t>
      </w:r>
      <w:r w:rsidR="006D05F3">
        <w:t xml:space="preserve"> this document r</w:t>
      </w:r>
      <w:r>
        <w:t>elate</w:t>
      </w:r>
      <w:r w:rsidR="001162EA">
        <w:t>s</w:t>
      </w:r>
      <w:r>
        <w:t xml:space="preserve"> exclusively to </w:t>
      </w:r>
      <w:r w:rsidR="00D7738F">
        <w:t xml:space="preserve">the </w:t>
      </w:r>
      <w:r>
        <w:t>Huddersfield</w:t>
      </w:r>
      <w:r w:rsidR="00D7738F">
        <w:t xml:space="preserve"> area and </w:t>
      </w:r>
      <w:r>
        <w:t xml:space="preserve">therefore </w:t>
      </w:r>
      <w:r w:rsidR="006D05F3">
        <w:t xml:space="preserve">carries limited </w:t>
      </w:r>
      <w:r>
        <w:t>weight</w:t>
      </w:r>
      <w:r w:rsidR="00D7738F">
        <w:t xml:space="preserve"> in this case</w:t>
      </w:r>
      <w:r w:rsidR="00D857E1">
        <w:t xml:space="preserve">. </w:t>
      </w:r>
    </w:p>
    <w:p w14:paraId="529F2904" w14:textId="7CA5235D" w:rsidR="00A932A9" w:rsidRPr="00A932A9" w:rsidRDefault="00F51955" w:rsidP="00F51955">
      <w:pPr>
        <w:pStyle w:val="Style1"/>
        <w:numPr>
          <w:ilvl w:val="0"/>
          <w:numId w:val="0"/>
        </w:numPr>
        <w:ind w:left="431" w:hanging="431"/>
        <w:rPr>
          <w:u w:val="single"/>
        </w:rPr>
      </w:pPr>
      <w:r>
        <w:rPr>
          <w:u w:val="single"/>
        </w:rPr>
        <w:t>1974 Eggins</w:t>
      </w:r>
      <w:r w:rsidR="00A932A9" w:rsidRPr="00A932A9">
        <w:rPr>
          <w:u w:val="single"/>
        </w:rPr>
        <w:t xml:space="preserve"> Memorandum </w:t>
      </w:r>
    </w:p>
    <w:p w14:paraId="1C55414A" w14:textId="6EE6AB41" w:rsidR="00917211" w:rsidRDefault="00577D9D" w:rsidP="00035D1B">
      <w:pPr>
        <w:pStyle w:val="Style1"/>
      </w:pPr>
      <w:r>
        <w:t>The objector also relie</w:t>
      </w:r>
      <w:r w:rsidR="009253C3">
        <w:t>s</w:t>
      </w:r>
      <w:r>
        <w:t xml:space="preserve"> upon a memorandum dated 5 June 1974, likely written by John Eggins, concerning the Huddersfield provisional map.</w:t>
      </w:r>
      <w:r w:rsidR="009253C3">
        <w:t xml:space="preserve"> It reveals concerns </w:t>
      </w:r>
      <w:r w:rsidR="003F5941">
        <w:t>about the work carried out to date by Huddersfield County Borough Council</w:t>
      </w:r>
      <w:r w:rsidR="00035D1B">
        <w:t xml:space="preserve"> on its DMS.</w:t>
      </w:r>
      <w:r w:rsidR="00954320">
        <w:t xml:space="preserve"> </w:t>
      </w:r>
      <w:r w:rsidR="00035D1B">
        <w:t>Those concerns included</w:t>
      </w:r>
      <w:r w:rsidR="00954320">
        <w:t xml:space="preserve">, </w:t>
      </w:r>
      <w:r w:rsidR="00917211">
        <w:t>amongst other things</w:t>
      </w:r>
      <w:r w:rsidR="00954320">
        <w:t>,</w:t>
      </w:r>
      <w:r w:rsidR="00917211">
        <w:t xml:space="preserve"> uncertainty over recorded widths.</w:t>
      </w:r>
      <w:r w:rsidR="00AC771A">
        <w:t xml:space="preserve"> </w:t>
      </w:r>
    </w:p>
    <w:p w14:paraId="75565550" w14:textId="0F6B0D82" w:rsidR="00FF166F" w:rsidRDefault="000C3E62" w:rsidP="000C3E62">
      <w:pPr>
        <w:pStyle w:val="Style1"/>
      </w:pPr>
      <w:r>
        <w:t>The OMA argue that the inclusion of the words "...</w:t>
      </w:r>
      <w:r w:rsidRPr="00D7738F">
        <w:rPr>
          <w:i/>
          <w:iCs/>
        </w:rPr>
        <w:t>the minimum width of path that should be recorded</w:t>
      </w:r>
      <w:r>
        <w:t>" support</w:t>
      </w:r>
      <w:r w:rsidR="001B7FEE">
        <w:t>s</w:t>
      </w:r>
      <w:r>
        <w:t xml:space="preserve"> the earlier </w:t>
      </w:r>
      <w:r w:rsidR="00A7569C">
        <w:t xml:space="preserve">WRM </w:t>
      </w:r>
      <w:r>
        <w:t xml:space="preserve">by suggesting </w:t>
      </w:r>
      <w:r w:rsidR="00FF166F">
        <w:t xml:space="preserve">that </w:t>
      </w:r>
      <w:r w:rsidR="007E7A2C">
        <w:t xml:space="preserve">WYMCC </w:t>
      </w:r>
      <w:r w:rsidR="00FF166F">
        <w:t xml:space="preserve">officers in the 1970s may have had a similar approach to recording widths as </w:t>
      </w:r>
      <w:r w:rsidR="007E7A2C">
        <w:t xml:space="preserve">WRYCC </w:t>
      </w:r>
      <w:r w:rsidR="00FF166F">
        <w:t>officers in the 1950s. In other words, it supports the idea that recorded widths were sometimes standardised and may not always reflect true on-the-ground widths.</w:t>
      </w:r>
    </w:p>
    <w:p w14:paraId="502F933F" w14:textId="517135BB" w:rsidR="00585C62" w:rsidRDefault="000C3E62" w:rsidP="00F51955">
      <w:pPr>
        <w:pStyle w:val="Style1"/>
      </w:pPr>
      <w:r>
        <w:t xml:space="preserve">Aside from that </w:t>
      </w:r>
      <w:r w:rsidR="00375089">
        <w:t xml:space="preserve">single </w:t>
      </w:r>
      <w:r>
        <w:t>reference,</w:t>
      </w:r>
      <w:r w:rsidR="00954320">
        <w:t xml:space="preserve"> </w:t>
      </w:r>
      <w:r w:rsidR="00493AF1">
        <w:t xml:space="preserve">I do not consider the documents listed above </w:t>
      </w:r>
      <w:r w:rsidR="00375089">
        <w:t xml:space="preserve">have any </w:t>
      </w:r>
      <w:r w:rsidR="00954320">
        <w:t>relevance to the</w:t>
      </w:r>
      <w:r w:rsidR="008D4F10">
        <w:t xml:space="preserve"> current case </w:t>
      </w:r>
      <w:r w:rsidR="00375089">
        <w:t xml:space="preserve">as they </w:t>
      </w:r>
      <w:r>
        <w:t>concern</w:t>
      </w:r>
      <w:r w:rsidR="00D7738F">
        <w:t xml:space="preserve"> </w:t>
      </w:r>
      <w:r w:rsidR="00375089">
        <w:t xml:space="preserve">matters </w:t>
      </w:r>
      <w:r>
        <w:t xml:space="preserve">in </w:t>
      </w:r>
      <w:r w:rsidR="00975C4F">
        <w:t>th</w:t>
      </w:r>
      <w:r w:rsidR="00577D9D">
        <w:t xml:space="preserve">e former County Borough of Huddersfield </w:t>
      </w:r>
      <w:r w:rsidR="00D7738F">
        <w:t xml:space="preserve">and </w:t>
      </w:r>
      <w:r w:rsidR="00975C4F">
        <w:t xml:space="preserve">not Holmfirth. </w:t>
      </w:r>
      <w:r w:rsidR="00375089">
        <w:t xml:space="preserve">Even putting that </w:t>
      </w:r>
      <w:r w:rsidR="00432E2D">
        <w:t>administrative</w:t>
      </w:r>
      <w:r w:rsidR="006634D9">
        <w:t xml:space="preserve"> </w:t>
      </w:r>
      <w:r w:rsidR="0054031E">
        <w:t>geography</w:t>
      </w:r>
      <w:r w:rsidR="006634D9">
        <w:t xml:space="preserve"> to one side, </w:t>
      </w:r>
      <w:r w:rsidR="00663BC2" w:rsidRPr="00663BC2">
        <w:t>there is little within those documents that materially assists the objectors' case</w:t>
      </w:r>
      <w:r w:rsidR="0054031E">
        <w:t xml:space="preserve"> that</w:t>
      </w:r>
      <w:r w:rsidR="002213AB">
        <w:t xml:space="preserve"> </w:t>
      </w:r>
      <w:r w:rsidR="005148EF">
        <w:t>proper procedures w</w:t>
      </w:r>
      <w:r w:rsidR="005222F8">
        <w:t>e</w:t>
      </w:r>
      <w:r w:rsidR="005148EF">
        <w:t xml:space="preserve">re followed by </w:t>
      </w:r>
      <w:r w:rsidR="005222F8">
        <w:t xml:space="preserve">WRYCC and that the width of Path 60 was accurately recorded in the first DMS. </w:t>
      </w:r>
    </w:p>
    <w:p w14:paraId="67B1C533" w14:textId="7AE80802" w:rsidR="005837DF" w:rsidRPr="00770F8B" w:rsidRDefault="00924EC3" w:rsidP="00770F8B">
      <w:pPr>
        <w:pStyle w:val="Style1"/>
      </w:pPr>
      <w:r>
        <w:t>O</w:t>
      </w:r>
      <w:r w:rsidR="00585C62">
        <w:t>n</w:t>
      </w:r>
      <w:r>
        <w:t xml:space="preserve"> the contrary</w:t>
      </w:r>
      <w:r w:rsidR="00186614">
        <w:t>,</w:t>
      </w:r>
      <w:r>
        <w:t xml:space="preserve"> the </w:t>
      </w:r>
      <w:r w:rsidR="00186614">
        <w:t>documents</w:t>
      </w:r>
      <w:r>
        <w:t xml:space="preserve"> </w:t>
      </w:r>
      <w:r w:rsidR="00CD2069">
        <w:t xml:space="preserve">clearly set out that the survey work connected to the preparation of the first DMS in </w:t>
      </w:r>
      <w:r w:rsidR="005540EC">
        <w:t xml:space="preserve">the Huddersfield area was </w:t>
      </w:r>
      <w:r w:rsidR="00186614">
        <w:t>substandard</w:t>
      </w:r>
      <w:r w:rsidR="00800BF2">
        <w:t xml:space="preserve">, </w:t>
      </w:r>
      <w:r w:rsidR="0079002B" w:rsidRPr="0079002B">
        <w:t>which supports the case put forward by the OMA</w:t>
      </w:r>
      <w:r w:rsidR="00800BF2">
        <w:t xml:space="preserve"> in connection with this </w:t>
      </w:r>
      <w:r w:rsidR="002C58DF">
        <w:t>Inquiry</w:t>
      </w:r>
      <w:r w:rsidR="00800BF2">
        <w:t xml:space="preserve"> where similar </w:t>
      </w:r>
      <w:r w:rsidR="00585C62">
        <w:t xml:space="preserve">concerns were raised about the way widths were downgraded. </w:t>
      </w:r>
    </w:p>
    <w:p w14:paraId="7A4334DA" w14:textId="77777777" w:rsidR="00770F8B" w:rsidRDefault="00770F8B" w:rsidP="008C0991">
      <w:pPr>
        <w:pStyle w:val="Style1"/>
        <w:numPr>
          <w:ilvl w:val="0"/>
          <w:numId w:val="0"/>
        </w:numPr>
        <w:ind w:left="431" w:hanging="431"/>
        <w:rPr>
          <w:i/>
          <w:iCs/>
        </w:rPr>
      </w:pPr>
    </w:p>
    <w:p w14:paraId="5C880635" w14:textId="261B2410" w:rsidR="00B46AA8" w:rsidRPr="008C0991" w:rsidRDefault="00B46AA8" w:rsidP="008C0991">
      <w:pPr>
        <w:pStyle w:val="Style1"/>
        <w:numPr>
          <w:ilvl w:val="0"/>
          <w:numId w:val="0"/>
        </w:numPr>
        <w:ind w:left="431" w:hanging="431"/>
        <w:rPr>
          <w:i/>
          <w:iCs/>
        </w:rPr>
      </w:pPr>
      <w:r w:rsidRPr="008C0991">
        <w:rPr>
          <w:i/>
          <w:iCs/>
        </w:rPr>
        <w:lastRenderedPageBreak/>
        <w:t xml:space="preserve">Conclusions on </w:t>
      </w:r>
      <w:r w:rsidR="008C0991">
        <w:rPr>
          <w:i/>
          <w:iCs/>
        </w:rPr>
        <w:t>D</w:t>
      </w:r>
      <w:r w:rsidRPr="008C0991">
        <w:rPr>
          <w:i/>
          <w:iCs/>
        </w:rPr>
        <w:t xml:space="preserve">ocumentary </w:t>
      </w:r>
      <w:r w:rsidR="008C0991">
        <w:rPr>
          <w:i/>
          <w:iCs/>
        </w:rPr>
        <w:t>E</w:t>
      </w:r>
      <w:r w:rsidRPr="008C0991">
        <w:rPr>
          <w:i/>
          <w:iCs/>
        </w:rPr>
        <w:t xml:space="preserve">vidence </w:t>
      </w:r>
    </w:p>
    <w:p w14:paraId="5A7D8805" w14:textId="77777777" w:rsidR="004C370E" w:rsidRDefault="004C370E" w:rsidP="004C370E">
      <w:pPr>
        <w:pStyle w:val="Style1"/>
      </w:pPr>
      <w:r w:rsidRPr="003C156B">
        <w:t xml:space="preserve">Section 53(3)(c)(i) requires that there be some discovered evidence, and the implication is that the new evidence may alter the way in which all the other available evidence is interpreted. </w:t>
      </w:r>
    </w:p>
    <w:p w14:paraId="2E941DB7" w14:textId="49B87CCE" w:rsidR="00E25DAD" w:rsidRDefault="002C4AC1" w:rsidP="00E25DAD">
      <w:pPr>
        <w:pStyle w:val="Style1"/>
      </w:pPr>
      <w:r>
        <w:t>The historical maps consistently depict a route on the same alignment a</w:t>
      </w:r>
      <w:r w:rsidR="00D64FB0">
        <w:t>s P</w:t>
      </w:r>
      <w:r>
        <w:t xml:space="preserve">ath 60 and, where physical boundaries are shown, indicate a track substantially wider than the recorded width of 1.2 metres. The 1950 Walking Schedule is particularly significant. As a contemporaneous document prepared during the compilation of the first </w:t>
      </w:r>
      <w:r w:rsidR="00D17CE8">
        <w:t>DMS</w:t>
      </w:r>
      <w:r>
        <w:t>, it records the section between points A and B as a “</w:t>
      </w:r>
      <w:r w:rsidRPr="00FD568D">
        <w:rPr>
          <w:i/>
          <w:iCs/>
        </w:rPr>
        <w:t>Carriage Road Bridleway</w:t>
      </w:r>
      <w:r>
        <w:t xml:space="preserve">” </w:t>
      </w:r>
      <w:r w:rsidR="007C5435">
        <w:t>and between point B-E as a field edge path. There was</w:t>
      </w:r>
      <w:r>
        <w:t xml:space="preserve"> no indication that </w:t>
      </w:r>
      <w:r w:rsidR="00D17CE8">
        <w:t xml:space="preserve">the route was </w:t>
      </w:r>
      <w:r w:rsidR="004C370E">
        <w:t>partially</w:t>
      </w:r>
      <w:r w:rsidR="00D17CE8">
        <w:t xml:space="preserve"> blocked</w:t>
      </w:r>
      <w:r w:rsidR="007C5435">
        <w:t xml:space="preserve"> along any of its length</w:t>
      </w:r>
      <w:r w:rsidR="004C370E">
        <w:t xml:space="preserve">. </w:t>
      </w:r>
      <w:r w:rsidR="004D4294" w:rsidRPr="004C370E">
        <w:t xml:space="preserve">The photographic evidence </w:t>
      </w:r>
      <w:r w:rsidR="004D4294">
        <w:t xml:space="preserve">shows the Order route </w:t>
      </w:r>
      <w:r w:rsidR="004D4294" w:rsidRPr="004C370E">
        <w:t xml:space="preserve">existed and was physically available </w:t>
      </w:r>
      <w:r w:rsidR="004D4294">
        <w:t xml:space="preserve">across its full width between </w:t>
      </w:r>
      <w:r w:rsidR="004D4294" w:rsidRPr="004C370E">
        <w:t xml:space="preserve">2000 </w:t>
      </w:r>
      <w:r w:rsidR="004D4294">
        <w:t>and</w:t>
      </w:r>
      <w:r w:rsidR="004D4294" w:rsidRPr="004C370E">
        <w:t xml:space="preserve"> 2020</w:t>
      </w:r>
      <w:r w:rsidR="004D4294">
        <w:t xml:space="preserve">. </w:t>
      </w:r>
      <w:r w:rsidR="00035096" w:rsidRPr="00035096">
        <w:t>The section between points B and E later became enclosed</w:t>
      </w:r>
      <w:r w:rsidR="00035096">
        <w:t xml:space="preserve"> </w:t>
      </w:r>
      <w:r w:rsidR="007C5435">
        <w:t>by a fence on its southern side.</w:t>
      </w:r>
      <w:r w:rsidR="00F863A6">
        <w:t xml:space="preserve"> </w:t>
      </w:r>
    </w:p>
    <w:p w14:paraId="7BC02A50" w14:textId="3857F49D" w:rsidR="006E64A4" w:rsidRDefault="004C370E" w:rsidP="002C4AC1">
      <w:pPr>
        <w:pStyle w:val="Style1"/>
      </w:pPr>
      <w:r>
        <w:t xml:space="preserve">I acknowledge there was no objection or representation in relation to the depiction of Path 60 in the Draft, Provisional or Final DMS. That is a matter which weighs in favour of the objectors. However, </w:t>
      </w:r>
      <w:r w:rsidR="002C4AC1">
        <w:t xml:space="preserve">the </w:t>
      </w:r>
      <w:r>
        <w:t>WRM and R</w:t>
      </w:r>
      <w:r w:rsidR="002A19F4">
        <w:t xml:space="preserve">M </w:t>
      </w:r>
      <w:r w:rsidR="002C4AC1">
        <w:t>provide a credible explanation as to why a wider route may subsequently have been recorded at a standardised width of four feet for administrative purposes.</w:t>
      </w:r>
      <w:r w:rsidR="00624CBE">
        <w:t xml:space="preserve"> </w:t>
      </w:r>
      <w:r w:rsidR="00BA67D8">
        <w:t xml:space="preserve">I consider the </w:t>
      </w:r>
      <w:r>
        <w:t>WRM</w:t>
      </w:r>
      <w:r w:rsidR="00BA67D8">
        <w:t xml:space="preserve"> provides strong support for the proposition that </w:t>
      </w:r>
      <w:r w:rsidR="005B4B54">
        <w:t>proper procedures were not followed by W</w:t>
      </w:r>
      <w:r w:rsidR="00FD568D">
        <w:t>RY</w:t>
      </w:r>
      <w:r w:rsidR="005B4B54">
        <w:t>CC</w:t>
      </w:r>
      <w:r w:rsidR="008165A3">
        <w:t xml:space="preserve"> and </w:t>
      </w:r>
      <w:r w:rsidR="006E64A4">
        <w:t>the widths in the original DMS cannot be relied upon. In my view</w:t>
      </w:r>
      <w:r w:rsidR="00A15E3D">
        <w:t>,</w:t>
      </w:r>
      <w:r w:rsidR="006E64A4">
        <w:t xml:space="preserve"> th</w:t>
      </w:r>
      <w:r w:rsidR="00FD568D">
        <w:t>e</w:t>
      </w:r>
      <w:r w:rsidR="006E64A4">
        <w:t xml:space="preserve"> evidence </w:t>
      </w:r>
      <w:r>
        <w:t xml:space="preserve">of procedural irregularity </w:t>
      </w:r>
      <w:r w:rsidR="006E64A4">
        <w:t>is sufficient to displace the presumption of regularity</w:t>
      </w:r>
      <w:r>
        <w:t xml:space="preserve"> that would ordinarily apply to the processes that were undertaken to produce the first DMS in the early 1950s</w:t>
      </w:r>
      <w:r w:rsidR="001B7FEE">
        <w:t>.</w:t>
      </w:r>
    </w:p>
    <w:p w14:paraId="5EF684E1" w14:textId="3DE077D0" w:rsidR="002C4AC1" w:rsidRDefault="002C4AC1" w:rsidP="002C4AC1">
      <w:pPr>
        <w:pStyle w:val="Style1"/>
      </w:pPr>
      <w:r>
        <w:t xml:space="preserve">By contrast, the Huddersfield and Eggins memoranda relied upon by the </w:t>
      </w:r>
      <w:r w:rsidR="0095049D">
        <w:t xml:space="preserve">LO </w:t>
      </w:r>
      <w:r>
        <w:t>relate to different administrative areas and processes and therefore carry limited weight in relation to Path 60.</w:t>
      </w:r>
    </w:p>
    <w:p w14:paraId="5FBBD02B" w14:textId="06078804" w:rsidR="00E305C8" w:rsidRDefault="00D17CE8" w:rsidP="002C4AC1">
      <w:pPr>
        <w:pStyle w:val="Style1"/>
      </w:pPr>
      <w:r>
        <w:t>Tak</w:t>
      </w:r>
      <w:r w:rsidR="00BB69E8">
        <w:t xml:space="preserve">en as a whole, </w:t>
      </w:r>
      <w:r>
        <w:t xml:space="preserve">the documentary evidence </w:t>
      </w:r>
      <w:r w:rsidR="00BB69E8">
        <w:t xml:space="preserve">strongly supports the </w:t>
      </w:r>
      <w:r w:rsidR="002C4AC1">
        <w:t>view that the recorded width</w:t>
      </w:r>
      <w:r w:rsidR="00BB69E8">
        <w:t xml:space="preserve"> in the DMS</w:t>
      </w:r>
      <w:r w:rsidR="002C4AC1">
        <w:t xml:space="preserve"> understates the historical extent of </w:t>
      </w:r>
      <w:r w:rsidR="00BB69E8">
        <w:t>Path 60</w:t>
      </w:r>
      <w:r w:rsidR="001749B9">
        <w:t xml:space="preserve"> and that</w:t>
      </w:r>
      <w:r w:rsidR="00E221E6">
        <w:t xml:space="preserve"> </w:t>
      </w:r>
      <w:r w:rsidR="001749B9" w:rsidRPr="001749B9">
        <w:t>a public footpath likely existed over the whole available width of A-E by the early 1950s</w:t>
      </w:r>
      <w:r w:rsidR="001749B9">
        <w:t xml:space="preserve">. </w:t>
      </w:r>
    </w:p>
    <w:p w14:paraId="1BA60D06" w14:textId="56773153" w:rsidR="003A6786" w:rsidRPr="003A6786" w:rsidRDefault="00A46058" w:rsidP="003A6786">
      <w:pPr>
        <w:pStyle w:val="Style1"/>
        <w:numPr>
          <w:ilvl w:val="0"/>
          <w:numId w:val="0"/>
        </w:numPr>
        <w:ind w:left="510" w:hanging="510"/>
        <w:rPr>
          <w:b/>
          <w:bCs/>
        </w:rPr>
      </w:pPr>
      <w:r>
        <w:rPr>
          <w:b/>
          <w:bCs/>
          <w:i/>
          <w:iCs/>
        </w:rPr>
        <w:t>User Evidence</w:t>
      </w:r>
    </w:p>
    <w:p w14:paraId="749A7F21" w14:textId="0468776C" w:rsidR="003A6786" w:rsidRPr="003A6786" w:rsidRDefault="003A6786" w:rsidP="003A6786">
      <w:pPr>
        <w:pStyle w:val="Style1"/>
        <w:numPr>
          <w:ilvl w:val="0"/>
          <w:numId w:val="0"/>
        </w:numPr>
        <w:ind w:left="510" w:hanging="510"/>
        <w:rPr>
          <w:i/>
          <w:iCs/>
        </w:rPr>
      </w:pPr>
      <w:r w:rsidRPr="003A6786">
        <w:rPr>
          <w:i/>
          <w:iCs/>
        </w:rPr>
        <w:t>When the right to use the way was brought into question</w:t>
      </w:r>
    </w:p>
    <w:p w14:paraId="69FDFF07" w14:textId="77777777" w:rsidR="004D4294" w:rsidRDefault="000C77E0" w:rsidP="004D4294">
      <w:pPr>
        <w:pStyle w:val="Style1"/>
        <w:tabs>
          <w:tab w:val="clear" w:pos="720"/>
        </w:tabs>
      </w:pPr>
      <w:r>
        <w:t>U</w:t>
      </w:r>
      <w:r w:rsidR="003D109D" w:rsidRPr="00867022">
        <w:t>nder section 31 of the 1980</w:t>
      </w:r>
      <w:r w:rsidR="004D4294">
        <w:t xml:space="preserve"> Act the </w:t>
      </w:r>
      <w:r w:rsidR="004D4294" w:rsidRPr="00867022">
        <w:t>20-year period applies retrospectively from the date on which the right of the route was brought into question</w:t>
      </w:r>
      <w:r w:rsidR="004D4294">
        <w:t xml:space="preserve">. </w:t>
      </w:r>
      <w:r w:rsidR="00B75EFF">
        <w:t xml:space="preserve">In this case </w:t>
      </w:r>
      <w:r w:rsidR="00F83C41">
        <w:t>the</w:t>
      </w:r>
      <w:r w:rsidR="00703620">
        <w:t xml:space="preserve"> date of challenge is to be taken from </w:t>
      </w:r>
      <w:r w:rsidR="00040D68">
        <w:t>when fencing was first erected between points A-B in</w:t>
      </w:r>
      <w:r w:rsidR="004D4294">
        <w:t xml:space="preserve"> September </w:t>
      </w:r>
      <w:r w:rsidR="00703620">
        <w:t>20</w:t>
      </w:r>
      <w:r w:rsidR="006F39BB">
        <w:t>20</w:t>
      </w:r>
      <w:r w:rsidR="00703620">
        <w:t xml:space="preserve">. </w:t>
      </w:r>
      <w:r w:rsidR="008221FC">
        <w:t xml:space="preserve">The 20-year period </w:t>
      </w:r>
      <w:r w:rsidR="008F1EB5" w:rsidRPr="009E5934">
        <w:t>under consideration is therefore</w:t>
      </w:r>
      <w:r w:rsidR="008221FC">
        <w:t xml:space="preserve"> </w:t>
      </w:r>
      <w:r w:rsidR="006F39BB">
        <w:t>2000</w:t>
      </w:r>
      <w:r w:rsidR="008221FC">
        <w:t xml:space="preserve"> to 20</w:t>
      </w:r>
      <w:r w:rsidR="006F39BB">
        <w:t>20</w:t>
      </w:r>
      <w:r w:rsidR="008221FC">
        <w:t>.</w:t>
      </w:r>
      <w:r w:rsidR="00F708CC">
        <w:t xml:space="preserve"> </w:t>
      </w:r>
    </w:p>
    <w:p w14:paraId="660A81A3" w14:textId="7C2D98D1" w:rsidR="005837DF" w:rsidRDefault="002A19F4" w:rsidP="002A19F4">
      <w:pPr>
        <w:pStyle w:val="Style1"/>
        <w:tabs>
          <w:tab w:val="clear" w:pos="720"/>
        </w:tabs>
      </w:pPr>
      <w:r>
        <w:t>Fourteen</w:t>
      </w:r>
      <w:r w:rsidR="006F39BB">
        <w:t xml:space="preserve"> UEFs were submitted </w:t>
      </w:r>
      <w:r w:rsidR="006315D0">
        <w:t>with the application. Following the Council's informal consultation e</w:t>
      </w:r>
      <w:r w:rsidR="006F39BB">
        <w:t xml:space="preserve">vidence </w:t>
      </w:r>
      <w:r w:rsidR="006315D0">
        <w:t xml:space="preserve">was submitted </w:t>
      </w:r>
      <w:r w:rsidR="006F39BB">
        <w:t xml:space="preserve">from a further 11 consultees. Collectively, they describe use of </w:t>
      </w:r>
      <w:r w:rsidR="00853284">
        <w:t>P</w:t>
      </w:r>
      <w:r w:rsidR="006315D0">
        <w:t xml:space="preserve">ath </w:t>
      </w:r>
      <w:r w:rsidR="006F39BB">
        <w:t>60 over several decades, with some use dating back to the 1960s and most witnesses providing evidence covering all or part of the period 2000</w:t>
      </w:r>
      <w:r w:rsidR="00C51A95">
        <w:t>-</w:t>
      </w:r>
      <w:r w:rsidR="006F39BB">
        <w:t>2020.</w:t>
      </w:r>
      <w:r w:rsidR="007A72AD">
        <w:t xml:space="preserve"> </w:t>
      </w:r>
      <w:r w:rsidR="00CB7A59">
        <w:t xml:space="preserve">The evidence of those who spoke at the </w:t>
      </w:r>
      <w:r w:rsidR="002C58DF">
        <w:t>Inquiry</w:t>
      </w:r>
      <w:r w:rsidR="00CB7A59">
        <w:t xml:space="preserve"> is summarised below.</w:t>
      </w:r>
    </w:p>
    <w:p w14:paraId="1F7E642F" w14:textId="77777777" w:rsidR="002A19F4" w:rsidRDefault="002A19F4" w:rsidP="002A19F4">
      <w:pPr>
        <w:pStyle w:val="Style1"/>
        <w:numPr>
          <w:ilvl w:val="0"/>
          <w:numId w:val="0"/>
        </w:numPr>
        <w:ind w:left="431"/>
      </w:pPr>
    </w:p>
    <w:p w14:paraId="5DC664EF" w14:textId="7D1692CB" w:rsidR="007C2F96" w:rsidRPr="007C2F96" w:rsidRDefault="007C2F96" w:rsidP="00441DFE">
      <w:pPr>
        <w:pStyle w:val="Style1"/>
        <w:numPr>
          <w:ilvl w:val="0"/>
          <w:numId w:val="0"/>
        </w:numPr>
        <w:rPr>
          <w:u w:val="single"/>
        </w:rPr>
      </w:pPr>
      <w:r w:rsidRPr="007C2F96">
        <w:rPr>
          <w:u w:val="single"/>
        </w:rPr>
        <w:lastRenderedPageBreak/>
        <w:t>John Ingham</w:t>
      </w:r>
    </w:p>
    <w:p w14:paraId="2A2210EA" w14:textId="7AD4249E" w:rsidR="007C2F96" w:rsidRDefault="007C2F96" w:rsidP="00770F8B">
      <w:pPr>
        <w:pStyle w:val="Style1"/>
        <w:tabs>
          <w:tab w:val="clear" w:pos="720"/>
        </w:tabs>
      </w:pPr>
      <w:r>
        <w:t xml:space="preserve">Mr Ingham stated that he had used the route as a resident of Upperthong since 2009 and had led organised walking groups over the route since 2014. He estimated the width between the stile and Wolfstones Road to have been consistently between 3 and 4 metres throughout that period. He described the route as well used by members of the public and walking groups. According to his evidence, no significant obstructions were encountered until shortly before 2020, when a fence was erected restricting the available width to around 1.5 metres. Thereafter, he observed various objects and vehicles placed on the route, which he considered obstructive. </w:t>
      </w:r>
    </w:p>
    <w:p w14:paraId="640A09E9" w14:textId="77777777" w:rsidR="00E00349" w:rsidRPr="00E00349" w:rsidRDefault="00E00349" w:rsidP="00441DFE">
      <w:pPr>
        <w:pStyle w:val="Style1"/>
        <w:numPr>
          <w:ilvl w:val="0"/>
          <w:numId w:val="0"/>
        </w:numPr>
        <w:rPr>
          <w:u w:val="single"/>
        </w:rPr>
      </w:pPr>
      <w:r w:rsidRPr="00E00349">
        <w:rPr>
          <w:u w:val="single"/>
        </w:rPr>
        <w:t>Malcolm Sizer</w:t>
      </w:r>
    </w:p>
    <w:p w14:paraId="702B23C8" w14:textId="366F0855" w:rsidR="00E00349" w:rsidRDefault="00E00349" w:rsidP="00E00349">
      <w:pPr>
        <w:pStyle w:val="Style1"/>
      </w:pPr>
      <w:r>
        <w:t xml:space="preserve">Mr Sizer stated that he first used the route in 1985 whilst running with Holmfirth Harriers and continued to do so regularly until around 2010. He estimated the width of the route in question to have been between 3 and 4 metres throughout that period, functioning as an access drive to Wolfstones Heights Farm. He did not recall any significant obstructions apart from occasional farm-related vehicle movements and stated that an unlocked gate was usually present at the Wolfstones Road end. He never </w:t>
      </w:r>
      <w:r w:rsidR="00441DFE">
        <w:t xml:space="preserve">saw </w:t>
      </w:r>
      <w:r>
        <w:t xml:space="preserve">signs indicating a restricted width. </w:t>
      </w:r>
    </w:p>
    <w:p w14:paraId="407BA40D" w14:textId="005EEF16" w:rsidR="007C2F96" w:rsidRPr="00E53DBC" w:rsidRDefault="007C2F96" w:rsidP="00441DFE">
      <w:pPr>
        <w:pStyle w:val="Style1"/>
        <w:numPr>
          <w:ilvl w:val="0"/>
          <w:numId w:val="0"/>
        </w:numPr>
        <w:rPr>
          <w:u w:val="single"/>
        </w:rPr>
      </w:pPr>
      <w:r w:rsidRPr="00E53DBC">
        <w:rPr>
          <w:u w:val="single"/>
        </w:rPr>
        <w:t>Robert Neil Midgley</w:t>
      </w:r>
    </w:p>
    <w:p w14:paraId="66348E85" w14:textId="70417F00" w:rsidR="007C2F96" w:rsidRDefault="007C2F96" w:rsidP="00E53DBC">
      <w:pPr>
        <w:pStyle w:val="Style1"/>
      </w:pPr>
      <w:r>
        <w:t>Mr Midgley gave evidence of regular use of the route from 1975 to the present day, including recreational walking, Duke of Edinburgh activities and running with Holmfirth Harriers. He described the route throughout that period as being of vehicle width, estimating it to be approximately four yards wide, and stated that the whole width was generally available and used by individuals and groups alike. Whilst he recalled occasional temporary encroachments, such as horse boxes or building materials, he regarded these as non-contentious and not deliberately obstructive. More recently, however, he observed the erection of fencing and other obstructions that restricted use to a narrower width</w:t>
      </w:r>
      <w:r w:rsidR="00441DFE">
        <w:t>.</w:t>
      </w:r>
    </w:p>
    <w:p w14:paraId="77172900" w14:textId="77777777" w:rsidR="007B7776" w:rsidRPr="00E00349" w:rsidRDefault="007B7776" w:rsidP="00441DFE">
      <w:pPr>
        <w:pStyle w:val="Style1"/>
        <w:numPr>
          <w:ilvl w:val="0"/>
          <w:numId w:val="0"/>
        </w:numPr>
        <w:rPr>
          <w:u w:val="single"/>
        </w:rPr>
      </w:pPr>
      <w:r w:rsidRPr="00E00349">
        <w:rPr>
          <w:u w:val="single"/>
        </w:rPr>
        <w:t>Marilyn Clee</w:t>
      </w:r>
    </w:p>
    <w:p w14:paraId="12F70530" w14:textId="77777777" w:rsidR="00441DFE" w:rsidRDefault="007B7776" w:rsidP="00770F8B">
      <w:pPr>
        <w:pStyle w:val="Style1"/>
      </w:pPr>
      <w:r>
        <w:t xml:space="preserve">Mrs Clee stated that she had lived locally since 1978 and had used the area’s footpaths for many years. She recalled no difficulties in using </w:t>
      </w:r>
      <w:r w:rsidR="00853284">
        <w:t>P</w:t>
      </w:r>
      <w:r>
        <w:t xml:space="preserve">ath 60 prior to 2020. According to her evidence, the first significant restriction occurred in September 2020 when fencing was erected through the centre of the route between the buildings at Wolfstones Heights. She stated that, following this work, access became confined to the northern side of the route and that the traditional pedestrian access arrangement was altered. She also referred to signs directing users towards an alternative route and later to the appearance of pallets, hay bales, bins, skips and other items which she regarded as obstructions. </w:t>
      </w:r>
    </w:p>
    <w:p w14:paraId="5237F107" w14:textId="75CEA0AD" w:rsidR="007C2F96" w:rsidRPr="00441DFE" w:rsidRDefault="007C2F96" w:rsidP="00441DFE">
      <w:pPr>
        <w:pStyle w:val="Style1"/>
        <w:numPr>
          <w:ilvl w:val="0"/>
          <w:numId w:val="0"/>
        </w:numPr>
        <w:ind w:left="431" w:hanging="431"/>
        <w:rPr>
          <w:u w:val="single"/>
        </w:rPr>
      </w:pPr>
      <w:r w:rsidRPr="00441DFE">
        <w:rPr>
          <w:u w:val="single"/>
        </w:rPr>
        <w:t>Robert Kersey</w:t>
      </w:r>
    </w:p>
    <w:p w14:paraId="5B98AA60" w14:textId="58A5D5E6" w:rsidR="00040D68" w:rsidRDefault="007C2F96" w:rsidP="00441DFE">
      <w:pPr>
        <w:pStyle w:val="Style1"/>
      </w:pPr>
      <w:r>
        <w:t xml:space="preserve">Mr Kersey stated that he had used the route intermittently since 1985, principally whilst running with Holmfirth Harriers. He recalled that access had always been available across the full width of the path or track, save for a period when fencing was erected which reduced the available width. Whilst he acknowledged that there may have occasionally been temporary encroachments by vehicles or building </w:t>
      </w:r>
      <w:r>
        <w:lastRenderedPageBreak/>
        <w:t xml:space="preserve">materials, he could not recall any occasion when use was prevented or when he was directed to keep to a particular side of the route. </w:t>
      </w:r>
    </w:p>
    <w:p w14:paraId="4D2D7522" w14:textId="711C55FF" w:rsidR="006F39BB" w:rsidRDefault="00441DFE" w:rsidP="00441DFE">
      <w:pPr>
        <w:pStyle w:val="Style1"/>
      </w:pPr>
      <w:r>
        <w:t>T</w:t>
      </w:r>
      <w:r w:rsidR="007C2F96">
        <w:t>he</w:t>
      </w:r>
      <w:r>
        <w:t xml:space="preserve"> written and oral </w:t>
      </w:r>
      <w:r w:rsidR="007C2F96">
        <w:t>user evidence span</w:t>
      </w:r>
      <w:r>
        <w:t>s</w:t>
      </w:r>
      <w:r w:rsidR="007C2F96">
        <w:t xml:space="preserve"> the period from 1975 to the present day. The witnesses </w:t>
      </w:r>
      <w:r w:rsidR="00A15E3D">
        <w:t xml:space="preserve">generally </w:t>
      </w:r>
      <w:r w:rsidR="007C2F96">
        <w:t>stated that the full width was available and used by pedestrians, including organised walking and running groups, for many years. Most considered that significant restrictions only arose from around 2020 onwards, when fencing and other physical items were introduced which, in their view, reduced the width available for public use</w:t>
      </w:r>
      <w:r w:rsidR="00714DE9">
        <w:t>.</w:t>
      </w:r>
    </w:p>
    <w:p w14:paraId="6C7E97D3" w14:textId="6A98AFF7" w:rsidR="007A72AD" w:rsidRPr="007A72AD" w:rsidRDefault="007A72AD" w:rsidP="007A72AD">
      <w:pPr>
        <w:pStyle w:val="Style1"/>
        <w:numPr>
          <w:ilvl w:val="0"/>
          <w:numId w:val="0"/>
        </w:numPr>
        <w:rPr>
          <w:i/>
          <w:iCs/>
        </w:rPr>
      </w:pPr>
      <w:r w:rsidRPr="007A72AD">
        <w:rPr>
          <w:i/>
          <w:iCs/>
        </w:rPr>
        <w:t>Landowner evidence</w:t>
      </w:r>
    </w:p>
    <w:p w14:paraId="71F80FF6" w14:textId="77777777" w:rsidR="007402F5" w:rsidRDefault="00A91EAF" w:rsidP="007402F5">
      <w:pPr>
        <w:pStyle w:val="Style1"/>
      </w:pPr>
      <w:r>
        <w:t xml:space="preserve">The objectors' case is founded upon the contention that the legal route of </w:t>
      </w:r>
      <w:r w:rsidR="00853284">
        <w:t>Path</w:t>
      </w:r>
      <w:r>
        <w:t xml:space="preserve"> 60 has always been confined to a strip approximately four feet (1.2 metres) wide located on the northern side of the track and former driveway. The objectors maintain that the southern side of the route has, for many decades, been deliberately used for the storage of agricultural equipment, vehicles, trailers, horse boxes, hay bales, building materials and other items associated with the operation of the farmstead.</w:t>
      </w:r>
      <w:r w:rsidR="00F1315D" w:rsidRPr="00F1315D">
        <w:t xml:space="preserve"> </w:t>
      </w:r>
      <w:r w:rsidR="00F1315D">
        <w:t xml:space="preserve">Several objectors refer to historic advice, long-established management practices, signage, the former pedestrian and vehicular gate arrangement near Point B </w:t>
      </w:r>
      <w:r>
        <w:t>to demonstrate a lack of intention to dedicate any wider public right of way.</w:t>
      </w:r>
      <w:r w:rsidR="00F1315D">
        <w:t xml:space="preserve"> </w:t>
      </w:r>
    </w:p>
    <w:p w14:paraId="534D204F" w14:textId="623B694E" w:rsidR="007402F5" w:rsidRDefault="007402F5" w:rsidP="007402F5">
      <w:pPr>
        <w:pStyle w:val="Style1"/>
      </w:pPr>
      <w:r>
        <w:t xml:space="preserve">Written evidence from the late Greg Cropper, a local builder who undertook works on the site over many years, describes regular storage of machinery, scaffolding, skips, trailers, building materials and agricultural equipment on the southern side of the route and recalls historic signs directing users to remain on the far side of the track. He also states that following the house fire in </w:t>
      </w:r>
      <w:r w:rsidR="007C3481">
        <w:t xml:space="preserve">December </w:t>
      </w:r>
      <w:r>
        <w:t xml:space="preserve">2013, scaffolding occupied the southern side of the driveway for an extended period whilst a passable route was maintained on the northern side. </w:t>
      </w:r>
    </w:p>
    <w:p w14:paraId="42FA5109" w14:textId="06374B86" w:rsidR="00A91EAF" w:rsidRDefault="00841175" w:rsidP="002E02F3">
      <w:pPr>
        <w:pStyle w:val="Style1"/>
        <w:tabs>
          <w:tab w:val="clear" w:pos="720"/>
        </w:tabs>
      </w:pPr>
      <w:r>
        <w:t xml:space="preserve">While several witnesses were unable to attend the </w:t>
      </w:r>
      <w:r w:rsidR="002C58DF">
        <w:t>Inquiry</w:t>
      </w:r>
      <w:r>
        <w:t xml:space="preserve"> for various reasons, I have carefully considered all the written evidence. </w:t>
      </w:r>
      <w:r w:rsidR="00F1315D">
        <w:t xml:space="preserve">The </w:t>
      </w:r>
      <w:r w:rsidR="002560CD">
        <w:t>following</w:t>
      </w:r>
      <w:r w:rsidR="00F1315D">
        <w:t xml:space="preserve"> </w:t>
      </w:r>
      <w:r w:rsidR="002560CD">
        <w:t xml:space="preserve">objectors gave evidence at the </w:t>
      </w:r>
      <w:r w:rsidR="002C58DF">
        <w:t>Inquiry</w:t>
      </w:r>
      <w:r w:rsidR="002560CD">
        <w:t xml:space="preserve">: </w:t>
      </w:r>
    </w:p>
    <w:p w14:paraId="33FDE4B4" w14:textId="1F8CAAFD" w:rsidR="00714DE9" w:rsidRPr="007402F5" w:rsidRDefault="002560CD" w:rsidP="002560CD">
      <w:pPr>
        <w:pStyle w:val="Style1"/>
        <w:numPr>
          <w:ilvl w:val="0"/>
          <w:numId w:val="0"/>
        </w:numPr>
        <w:rPr>
          <w:u w:val="single"/>
        </w:rPr>
      </w:pPr>
      <w:r w:rsidRPr="007402F5">
        <w:rPr>
          <w:u w:val="single"/>
        </w:rPr>
        <w:t>Ric</w:t>
      </w:r>
      <w:r w:rsidR="007402F5" w:rsidRPr="007402F5">
        <w:rPr>
          <w:u w:val="single"/>
        </w:rPr>
        <w:t>h</w:t>
      </w:r>
      <w:r w:rsidRPr="007402F5">
        <w:rPr>
          <w:u w:val="single"/>
        </w:rPr>
        <w:t xml:space="preserve">ard Butterfield </w:t>
      </w:r>
    </w:p>
    <w:p w14:paraId="670DDFE9" w14:textId="414F1BA6" w:rsidR="0008630E" w:rsidRDefault="0008630E" w:rsidP="004421FC">
      <w:pPr>
        <w:pStyle w:val="Style1"/>
      </w:pPr>
      <w:r>
        <w:t>Mr Butterfield has been the owner of Wolfstones Heights Farm since 1995 and stated that the public footpath has always been limited to the recorded 4-foot width on the northern side of the track and driveway. He states that, when purchasing the property, he was informed by the previous owner that successive landowners had deliberately placed vehicles, trailers, farm equipment and other items on the southern side of the route to prevent any wider public rights from arising. He says that he continued that practice on the advice of both former owners and his professional advisers.</w:t>
      </w:r>
      <w:r w:rsidR="00D373B8">
        <w:t xml:space="preserve"> Mr Butterfield states that he did not </w:t>
      </w:r>
      <w:r w:rsidR="00B56CF0">
        <w:t xml:space="preserve">make a deposit under s31(6) of the 1980 Act </w:t>
      </w:r>
      <w:r w:rsidR="004D64E6">
        <w:t xml:space="preserve">as he considered it would be too time consuming and complex. </w:t>
      </w:r>
    </w:p>
    <w:p w14:paraId="0D4A89C3" w14:textId="3637B6FC" w:rsidR="004421FC" w:rsidRPr="004421FC" w:rsidRDefault="004421FC" w:rsidP="004421FC">
      <w:pPr>
        <w:pStyle w:val="Style1"/>
        <w:numPr>
          <w:ilvl w:val="0"/>
          <w:numId w:val="0"/>
        </w:numPr>
        <w:rPr>
          <w:u w:val="single"/>
        </w:rPr>
      </w:pPr>
      <w:r w:rsidRPr="004421FC">
        <w:rPr>
          <w:u w:val="single"/>
        </w:rPr>
        <w:t xml:space="preserve">Sandra Butterfield </w:t>
      </w:r>
    </w:p>
    <w:p w14:paraId="019238B2" w14:textId="14682497" w:rsidR="002B0FD2" w:rsidRDefault="004421FC" w:rsidP="004E521D">
      <w:pPr>
        <w:pStyle w:val="Style1"/>
      </w:pPr>
      <w:r>
        <w:t>Mrs Butterfield</w:t>
      </w:r>
      <w:r w:rsidR="00D1071A">
        <w:t>,</w:t>
      </w:r>
      <w:r>
        <w:t xml:space="preserve"> </w:t>
      </w:r>
      <w:r w:rsidR="00AD36FE" w:rsidRPr="00AD36FE">
        <w:t>who has lived at and managed the property on a daily basis</w:t>
      </w:r>
      <w:r w:rsidR="00AD36FE">
        <w:t xml:space="preserve"> since the mid-1990s</w:t>
      </w:r>
      <w:r w:rsidR="00AD36FE" w:rsidRPr="00AD36FE">
        <w:t xml:space="preserve">, stated that vehicles, hay bales, trailers, building materials and other equipment were routinely stored on the southern side of the track for operational </w:t>
      </w:r>
      <w:r w:rsidR="004E521D" w:rsidRPr="00AD36FE">
        <w:t>reason</w:t>
      </w:r>
      <w:r w:rsidR="004E521D">
        <w:t>s</w:t>
      </w:r>
      <w:r w:rsidR="00AD36FE" w:rsidRPr="00AD36FE">
        <w:t xml:space="preserve">. </w:t>
      </w:r>
      <w:r w:rsidR="004E521D" w:rsidRPr="004E521D">
        <w:t xml:space="preserve">She maintained that many such items were inherently temporary and that </w:t>
      </w:r>
      <w:r w:rsidR="004E521D" w:rsidRPr="004E521D">
        <w:lastRenderedPageBreak/>
        <w:t>there were periods when the route was entirely clea</w:t>
      </w:r>
      <w:r w:rsidR="004E521D">
        <w:t xml:space="preserve">r. </w:t>
      </w:r>
      <w:r w:rsidR="00AD36FE" w:rsidRPr="00AD36FE">
        <w:t>She considered this to be consistent with a long</w:t>
      </w:r>
      <w:r w:rsidR="00AD36FE">
        <w:t>-</w:t>
      </w:r>
      <w:r w:rsidR="00AD36FE" w:rsidRPr="00AD36FE">
        <w:t xml:space="preserve">standing practice intended both to facilitate management of the property and to demonstrate that the public footpath was confined to the northern side of the track. </w:t>
      </w:r>
    </w:p>
    <w:p w14:paraId="4D66E25B" w14:textId="11F4D13B" w:rsidR="004E521D" w:rsidRDefault="00AD36FE" w:rsidP="00B406A6">
      <w:pPr>
        <w:pStyle w:val="Style1"/>
      </w:pPr>
      <w:r w:rsidRPr="00AD36FE">
        <w:t xml:space="preserve">She </w:t>
      </w:r>
      <w:r w:rsidR="002B0FD2">
        <w:t xml:space="preserve">also </w:t>
      </w:r>
      <w:r w:rsidRPr="00AD36FE">
        <w:t>recalled the presence of signs referring to private property, requests to keep to one side of the route and not to feed animals.</w:t>
      </w:r>
      <w:r w:rsidR="004E521D">
        <w:t xml:space="preserve"> However, she accepted that the signs were not renewed</w:t>
      </w:r>
      <w:r w:rsidR="00D373B8">
        <w:t xml:space="preserve"> and </w:t>
      </w:r>
      <w:r w:rsidR="004D64E6">
        <w:t xml:space="preserve">had they been </w:t>
      </w:r>
      <w:r w:rsidR="00D373B8">
        <w:t>this would have been a fa</w:t>
      </w:r>
      <w:r w:rsidR="004D64E6">
        <w:t>r</w:t>
      </w:r>
      <w:r w:rsidR="00D373B8">
        <w:t xml:space="preserve"> simpler way of demonstrating an intention not </w:t>
      </w:r>
      <w:r w:rsidR="004D64E6">
        <w:t xml:space="preserve">to </w:t>
      </w:r>
      <w:r w:rsidR="00D373B8">
        <w:t xml:space="preserve">dedicate. </w:t>
      </w:r>
    </w:p>
    <w:p w14:paraId="1BDC5856" w14:textId="04D14EF9" w:rsidR="004D64E6" w:rsidRPr="001A7BA2" w:rsidRDefault="006C1AC6" w:rsidP="004D64E6">
      <w:pPr>
        <w:pStyle w:val="Style1"/>
        <w:numPr>
          <w:ilvl w:val="0"/>
          <w:numId w:val="0"/>
        </w:numPr>
        <w:rPr>
          <w:u w:val="single"/>
        </w:rPr>
      </w:pPr>
      <w:r>
        <w:rPr>
          <w:u w:val="single"/>
        </w:rPr>
        <w:t>Richard</w:t>
      </w:r>
      <w:r w:rsidR="004D64E6" w:rsidRPr="001A7BA2">
        <w:rPr>
          <w:u w:val="single"/>
        </w:rPr>
        <w:t xml:space="preserve"> Paxman</w:t>
      </w:r>
    </w:p>
    <w:p w14:paraId="6F3593E3" w14:textId="77777777" w:rsidR="004D64E6" w:rsidRDefault="004D64E6" w:rsidP="004D64E6">
      <w:pPr>
        <w:pStyle w:val="Style1"/>
        <w:tabs>
          <w:tab w:val="clear" w:pos="720"/>
        </w:tabs>
      </w:pPr>
      <w:r>
        <w:t>Mr Paxman's evidence was directed principally to the issue of width and obstruction. He maintained that the southern side of Path 60 was frequently occupied by farm equipment, trailers, scaffolding and other materials, but that the northern side remained available for pedestrian use throughout the relevant period. He stated that, save for a short Council-authorised closure, the northern side had "</w:t>
      </w:r>
      <w:r w:rsidRPr="004D64E6">
        <w:rPr>
          <w:i/>
          <w:iCs/>
        </w:rPr>
        <w:t>never been blocked</w:t>
      </w:r>
      <w:r>
        <w:t>" and that the public could always pass along the route.</w:t>
      </w:r>
    </w:p>
    <w:p w14:paraId="75775197" w14:textId="77777777" w:rsidR="004D64E6" w:rsidRDefault="004D64E6" w:rsidP="004D64E6">
      <w:pPr>
        <w:pStyle w:val="Style1"/>
        <w:tabs>
          <w:tab w:val="clear" w:pos="720"/>
        </w:tabs>
      </w:pPr>
      <w:r>
        <w:t>In relation to aerial photographs showing the route unobstructed, Mr Paxman accepted that they accurately depicted conditions at the time they were taken, but considered them unrepresentative of normal day-to-day circumstances, asserting that obstructions were commonly present. He also recalled the existence of signage associated with the route, although he was unable to provide detailed recollection of its wording or precise purpose. Overall, his evidence was that public passage remained possible notwithstanding the regular presence of obstructions.</w:t>
      </w:r>
    </w:p>
    <w:p w14:paraId="6E6DD000" w14:textId="48DF95D8" w:rsidR="004D64E6" w:rsidRPr="006C1AC6" w:rsidRDefault="004D64E6" w:rsidP="004D64E6">
      <w:pPr>
        <w:pStyle w:val="Style1"/>
        <w:numPr>
          <w:ilvl w:val="0"/>
          <w:numId w:val="0"/>
        </w:numPr>
        <w:rPr>
          <w:u w:val="single"/>
        </w:rPr>
      </w:pPr>
      <w:r w:rsidRPr="006C1AC6">
        <w:rPr>
          <w:u w:val="single"/>
        </w:rPr>
        <w:t xml:space="preserve">Russell Earnshaw </w:t>
      </w:r>
    </w:p>
    <w:p w14:paraId="0BB72451" w14:textId="188B7A0A" w:rsidR="007A72AD" w:rsidRDefault="002D358D" w:rsidP="00A91EAF">
      <w:pPr>
        <w:pStyle w:val="Style1"/>
      </w:pPr>
      <w:r>
        <w:t>Mr</w:t>
      </w:r>
      <w:r w:rsidR="00A91EAF">
        <w:t xml:space="preserve"> Earnshaw, the architect involved with the site since the mid-1990s, relies on planning drawings and discussions with Council officers to support the proposition that the footpath was understood to be confined to the northern side of the track. In particular, he refers to planning documents that identify the public footpath on one side of the driveway and to a 2011 drawing showing a pedestrian gate of approximately 1.2 metres in width.</w:t>
      </w:r>
    </w:p>
    <w:p w14:paraId="03F5EE02" w14:textId="7F89B089" w:rsidR="002D358D" w:rsidRPr="002D358D" w:rsidRDefault="002D358D" w:rsidP="006C1AC6">
      <w:pPr>
        <w:pStyle w:val="Style1"/>
        <w:numPr>
          <w:ilvl w:val="0"/>
          <w:numId w:val="0"/>
        </w:numPr>
        <w:rPr>
          <w:u w:val="single"/>
        </w:rPr>
      </w:pPr>
      <w:r w:rsidRPr="002D358D">
        <w:rPr>
          <w:u w:val="single"/>
        </w:rPr>
        <w:t xml:space="preserve">Andrew Dunlop </w:t>
      </w:r>
    </w:p>
    <w:p w14:paraId="5461259D" w14:textId="3756E0C7" w:rsidR="002D358D" w:rsidRDefault="002D358D" w:rsidP="00B406A6">
      <w:pPr>
        <w:pStyle w:val="Style1"/>
      </w:pPr>
      <w:r w:rsidRPr="002D358D">
        <w:t xml:space="preserve">Mr Dunlop's evidence concerned the historical preparation of the </w:t>
      </w:r>
      <w:r>
        <w:t xml:space="preserve">DMS </w:t>
      </w:r>
      <w:r w:rsidRPr="002D358D">
        <w:t xml:space="preserve">and the significance of the </w:t>
      </w:r>
      <w:r>
        <w:t xml:space="preserve">WRM and RM </w:t>
      </w:r>
      <w:r w:rsidRPr="002D358D">
        <w:t xml:space="preserve">and related documents. </w:t>
      </w:r>
      <w:r w:rsidR="001934B8" w:rsidRPr="001934B8">
        <w:t>He argued that the documents reveal shortcomings in the recording of rights of way widths and that they refer to reductions in width rather than increases</w:t>
      </w:r>
      <w:r w:rsidRPr="002D358D">
        <w:t xml:space="preserve">. He contended that, if later standardised widths were introduced without proper authority or evidence, the correct starting point should be the original survey information. </w:t>
      </w:r>
    </w:p>
    <w:p w14:paraId="4FA7AA40" w14:textId="7BBF4359" w:rsidR="00443757" w:rsidRDefault="002D358D" w:rsidP="002D358D">
      <w:pPr>
        <w:pStyle w:val="Style1"/>
      </w:pPr>
      <w:r w:rsidRPr="002D358D">
        <w:t xml:space="preserve">In relation to </w:t>
      </w:r>
      <w:r w:rsidR="00EA5FE1">
        <w:t xml:space="preserve">the </w:t>
      </w:r>
      <w:r>
        <w:t>Order route</w:t>
      </w:r>
      <w:r w:rsidRPr="002D358D">
        <w:t xml:space="preserve">, </w:t>
      </w:r>
      <w:r w:rsidR="0001143E">
        <w:t>Mr Dunlop</w:t>
      </w:r>
      <w:r w:rsidRPr="002D358D">
        <w:t xml:space="preserve"> considered that the evidence supports a route on the northern side of the track and does not justify any increase in its recorded width. He further argued that developments arising from the </w:t>
      </w:r>
      <w:r>
        <w:t xml:space="preserve">Ripponden </w:t>
      </w:r>
      <w:r w:rsidR="002C58DF">
        <w:t>Inquiry</w:t>
      </w:r>
      <w:r w:rsidRPr="002D358D">
        <w:t xml:space="preserve"> </w:t>
      </w:r>
      <w:r w:rsidR="000E1210">
        <w:t xml:space="preserve">(PINS Ref: </w:t>
      </w:r>
      <w:r w:rsidR="000E1210" w:rsidRPr="000E1210">
        <w:t>ROW/3354858</w:t>
      </w:r>
      <w:r w:rsidR="000E1210">
        <w:t xml:space="preserve">) </w:t>
      </w:r>
      <w:r w:rsidRPr="002D358D">
        <w:t xml:space="preserve">and related documentation cast doubt on the evidential basis for the Order and support his view that the </w:t>
      </w:r>
      <w:r>
        <w:t>Order</w:t>
      </w:r>
      <w:r w:rsidRPr="002D358D">
        <w:t xml:space="preserve"> should not be confirmed.</w:t>
      </w:r>
    </w:p>
    <w:p w14:paraId="4B3CAADC" w14:textId="77777777" w:rsidR="002E02F3" w:rsidRDefault="002E02F3" w:rsidP="00443757">
      <w:pPr>
        <w:pStyle w:val="Style1"/>
        <w:numPr>
          <w:ilvl w:val="0"/>
          <w:numId w:val="0"/>
        </w:numPr>
        <w:rPr>
          <w:i/>
          <w:iCs/>
        </w:rPr>
      </w:pPr>
    </w:p>
    <w:p w14:paraId="7A62CCB9" w14:textId="77777777" w:rsidR="002E02F3" w:rsidRDefault="002E02F3" w:rsidP="00443757">
      <w:pPr>
        <w:pStyle w:val="Style1"/>
        <w:numPr>
          <w:ilvl w:val="0"/>
          <w:numId w:val="0"/>
        </w:numPr>
        <w:rPr>
          <w:i/>
          <w:iCs/>
        </w:rPr>
      </w:pPr>
    </w:p>
    <w:p w14:paraId="684426FC" w14:textId="71739688" w:rsidR="007A72AD" w:rsidRPr="00443757" w:rsidRDefault="00B406A6" w:rsidP="00443757">
      <w:pPr>
        <w:pStyle w:val="Style1"/>
        <w:numPr>
          <w:ilvl w:val="0"/>
          <w:numId w:val="0"/>
        </w:numPr>
      </w:pPr>
      <w:r w:rsidRPr="00443757">
        <w:rPr>
          <w:i/>
          <w:iCs/>
        </w:rPr>
        <w:lastRenderedPageBreak/>
        <w:t xml:space="preserve">Inspector’s conclusions on the </w:t>
      </w:r>
      <w:r w:rsidR="00507292" w:rsidRPr="00443757">
        <w:rPr>
          <w:i/>
          <w:iCs/>
        </w:rPr>
        <w:t xml:space="preserve">user evidence </w:t>
      </w:r>
    </w:p>
    <w:p w14:paraId="11936EAA" w14:textId="50066929" w:rsidR="007A72AD" w:rsidRDefault="007A72AD" w:rsidP="007A72AD">
      <w:pPr>
        <w:pStyle w:val="Style1"/>
        <w:tabs>
          <w:tab w:val="clear" w:pos="720"/>
        </w:tabs>
      </w:pPr>
      <w:r w:rsidRPr="00E42CD2">
        <w:t xml:space="preserve">Whilst witness evidence may be given honestly and in good faith, </w:t>
      </w:r>
      <w:r w:rsidR="005A5898">
        <w:t xml:space="preserve">the Courts have recognised </w:t>
      </w:r>
      <w:r w:rsidRPr="00E42CD2">
        <w:t>that human memory is fallible, particularly where events occurred many years previously. Recollections may fade, become reconstructed, or be influenced by later events and discussions. Consequently, the weight to be attached to user evidence is generally enhanced where it is supported by contemporaneous documentary, photographic or other objective evidence, and reduced where it is inconsistent with such materia</w:t>
      </w:r>
      <w:r>
        <w:t xml:space="preserve">l. </w:t>
      </w:r>
      <w:r w:rsidR="005A5898">
        <w:t>I have approached the user evidence on that basis</w:t>
      </w:r>
      <w:r w:rsidR="00867316">
        <w:t>,</w:t>
      </w:r>
      <w:r w:rsidR="005A5898">
        <w:t xml:space="preserve"> </w:t>
      </w:r>
      <w:r w:rsidR="00C57B7D" w:rsidRPr="00C57B7D">
        <w:t>placing greater weight on evidence supported by documentary evidence, particularly the photographic record</w:t>
      </w:r>
      <w:r w:rsidR="00C57B7D">
        <w:t xml:space="preserve"> </w:t>
      </w:r>
      <w:r w:rsidR="00460945">
        <w:t>spanning the period 2000</w:t>
      </w:r>
      <w:r w:rsidR="00C57B7D">
        <w:t xml:space="preserve"> to </w:t>
      </w:r>
      <w:r w:rsidR="00460945">
        <w:t xml:space="preserve">2020. </w:t>
      </w:r>
    </w:p>
    <w:p w14:paraId="26DE802F" w14:textId="32DEF103" w:rsidR="005F43D4" w:rsidRDefault="005F43D4" w:rsidP="005F43D4">
      <w:pPr>
        <w:pStyle w:val="Style1"/>
      </w:pPr>
      <w:r>
        <w:t>I have carefully considered the evidence of obstructions along the widened section of the Order route between 2000</w:t>
      </w:r>
      <w:r w:rsidR="00C57B7D">
        <w:t xml:space="preserve"> and </w:t>
      </w:r>
      <w:r>
        <w:t>2020</w:t>
      </w:r>
      <w:r w:rsidR="00460945">
        <w:t xml:space="preserve"> as claimed by the objectors</w:t>
      </w:r>
      <w:r>
        <w:t xml:space="preserve">. The Courts have held </w:t>
      </w:r>
      <w:r w:rsidR="00425E76">
        <w:t xml:space="preserve">that </w:t>
      </w:r>
      <w:r>
        <w:t>not every physical obstruction amounts to an ‘</w:t>
      </w:r>
      <w:r w:rsidRPr="00460945">
        <w:rPr>
          <w:i/>
          <w:iCs/>
        </w:rPr>
        <w:t>interruption</w:t>
      </w:r>
      <w:r>
        <w:t xml:space="preserve">’ for the purposes of section 31 of the 1980 Act. The salient questions that need to be addressed are: </w:t>
      </w:r>
    </w:p>
    <w:p w14:paraId="40E84A17" w14:textId="77777777" w:rsidR="005F43D4" w:rsidRPr="00507292" w:rsidRDefault="005F43D4" w:rsidP="00DA04F3">
      <w:pPr>
        <w:pStyle w:val="Style1"/>
        <w:numPr>
          <w:ilvl w:val="0"/>
          <w:numId w:val="12"/>
        </w:numPr>
        <w:rPr>
          <w:i/>
          <w:iCs/>
        </w:rPr>
      </w:pPr>
      <w:r w:rsidRPr="00507292">
        <w:rPr>
          <w:i/>
          <w:iCs/>
        </w:rPr>
        <w:t xml:space="preserve">Was there an actual and physical stopping of public use? </w:t>
      </w:r>
    </w:p>
    <w:p w14:paraId="2A6F24FB" w14:textId="77777777" w:rsidR="005F43D4" w:rsidRDefault="005F43D4" w:rsidP="005F43D4">
      <w:pPr>
        <w:pStyle w:val="Style1"/>
        <w:numPr>
          <w:ilvl w:val="0"/>
          <w:numId w:val="0"/>
        </w:numPr>
        <w:ind w:left="791"/>
      </w:pPr>
      <w:r>
        <w:t>There must be a real interruption of public enjoyment of the route. Mere inconvenience, narrowing, temporary difficulty or sparse use will not necessarily suffice;</w:t>
      </w:r>
    </w:p>
    <w:p w14:paraId="04EA75BF" w14:textId="77777777" w:rsidR="005F43D4" w:rsidRPr="00507292" w:rsidRDefault="005F43D4" w:rsidP="00DA04F3">
      <w:pPr>
        <w:pStyle w:val="Style1"/>
        <w:numPr>
          <w:ilvl w:val="0"/>
          <w:numId w:val="12"/>
        </w:numPr>
        <w:rPr>
          <w:i/>
          <w:iCs/>
        </w:rPr>
      </w:pPr>
      <w:r w:rsidRPr="00507292">
        <w:rPr>
          <w:i/>
          <w:iCs/>
        </w:rPr>
        <w:t>Was the interruption ‘effective’?</w:t>
      </w:r>
    </w:p>
    <w:p w14:paraId="31B3DB95" w14:textId="77777777" w:rsidR="005F43D4" w:rsidRDefault="005F43D4" w:rsidP="005F43D4">
      <w:pPr>
        <w:pStyle w:val="Style1"/>
        <w:numPr>
          <w:ilvl w:val="0"/>
          <w:numId w:val="0"/>
        </w:numPr>
        <w:ind w:left="791"/>
      </w:pPr>
      <w:r>
        <w:t>An interruption which the public ignores, bypasses or overcomes may carry much less weight than one which genuinely prevents use.</w:t>
      </w:r>
      <w:r w:rsidRPr="00505D32">
        <w:t xml:space="preserve"> As Cohen LJ explained in </w:t>
      </w:r>
      <w:r w:rsidRPr="00505D32">
        <w:rPr>
          <w:i/>
          <w:iCs/>
        </w:rPr>
        <w:t>Lewis v Thomas</w:t>
      </w:r>
      <w:r w:rsidRPr="00505D32">
        <w:t>, an interruption must be "</w:t>
      </w:r>
      <w:r w:rsidRPr="00460945">
        <w:rPr>
          <w:i/>
          <w:iCs/>
        </w:rPr>
        <w:t>effective</w:t>
      </w:r>
      <w:r w:rsidRPr="00505D32">
        <w:t>". If the public refuse to acquiesce in it, that may actually support the existence of public rights rather than negate them</w:t>
      </w:r>
      <w:r>
        <w:t xml:space="preserve">, and </w:t>
      </w:r>
    </w:p>
    <w:p w14:paraId="5BFBA9A3" w14:textId="77777777" w:rsidR="005F43D4" w:rsidRPr="00507292" w:rsidRDefault="005F43D4" w:rsidP="00DA04F3">
      <w:pPr>
        <w:pStyle w:val="Style1"/>
        <w:numPr>
          <w:ilvl w:val="0"/>
          <w:numId w:val="12"/>
        </w:numPr>
        <w:rPr>
          <w:i/>
          <w:iCs/>
        </w:rPr>
      </w:pPr>
      <w:r w:rsidRPr="00507292">
        <w:rPr>
          <w:i/>
          <w:iCs/>
        </w:rPr>
        <w:t>What was the purpose of the obstruction?</w:t>
      </w:r>
    </w:p>
    <w:p w14:paraId="6086E975" w14:textId="5FC37747" w:rsidR="002C7A1E" w:rsidRPr="002C7A1E" w:rsidRDefault="005F43D4" w:rsidP="002C7A1E">
      <w:pPr>
        <w:pStyle w:val="Style1"/>
        <w:numPr>
          <w:ilvl w:val="0"/>
          <w:numId w:val="0"/>
        </w:numPr>
        <w:ind w:left="791"/>
      </w:pPr>
      <w:r>
        <w:t xml:space="preserve">In </w:t>
      </w:r>
      <w:r w:rsidRPr="00B22B9B">
        <w:rPr>
          <w:i/>
          <w:iCs/>
        </w:rPr>
        <w:t>Lewis v Thomas</w:t>
      </w:r>
      <w:r>
        <w:t>, it was explained that a blockage caused by a broken-down vehicle would not be the sort of interruption contemplated by the statute because it was not intended to stop the public asserting a right. Similarly, the courts have held that obstructions arising from: building works; repairs; parked vehicles; livestock control and safety measures;</w:t>
      </w:r>
      <w:r w:rsidRPr="005F43D4">
        <w:t xml:space="preserve"> may not amount to a legally effective interruption if they were not intended to challenge public rights.</w:t>
      </w:r>
    </w:p>
    <w:p w14:paraId="43563872" w14:textId="5F755164" w:rsidR="007F183B" w:rsidRDefault="002C7A1E" w:rsidP="007F183B">
      <w:pPr>
        <w:pStyle w:val="Style1"/>
      </w:pPr>
      <w:r w:rsidRPr="002C7A1E">
        <w:t xml:space="preserve">The objectors </w:t>
      </w:r>
      <w:r w:rsidR="00460945">
        <w:t>argued</w:t>
      </w:r>
      <w:r w:rsidRPr="002C7A1E">
        <w:t xml:space="preserve"> that </w:t>
      </w:r>
      <w:r w:rsidR="00460945">
        <w:t xml:space="preserve">the full width of Path 60 </w:t>
      </w:r>
      <w:r w:rsidRPr="002C7A1E">
        <w:t xml:space="preserve">had not been available for continuous public use during the relevant </w:t>
      </w:r>
      <w:r w:rsidR="00460945">
        <w:t xml:space="preserve">20-year </w:t>
      </w:r>
      <w:r w:rsidRPr="002C7A1E">
        <w:t xml:space="preserve">period because it was frequently occupied by agricultural equipment, vehicles and materials associated with the management of the farmstead. </w:t>
      </w:r>
      <w:r w:rsidR="00460945">
        <w:t xml:space="preserve">However, despite </w:t>
      </w:r>
      <w:r w:rsidR="00C57B7D">
        <w:t xml:space="preserve">this, </w:t>
      </w:r>
      <w:r w:rsidR="00460945">
        <w:t xml:space="preserve">not one </w:t>
      </w:r>
      <w:r w:rsidR="0035513B">
        <w:t>photograph of any obstructions of the Order route ha</w:t>
      </w:r>
      <w:r w:rsidR="00692FF5">
        <w:t>s</w:t>
      </w:r>
      <w:r w:rsidR="0035513B">
        <w:t xml:space="preserve"> been submitted. </w:t>
      </w:r>
      <w:r w:rsidR="00460945">
        <w:t xml:space="preserve">I find that </w:t>
      </w:r>
      <w:r w:rsidR="00236341">
        <w:t xml:space="preserve">unusual </w:t>
      </w:r>
      <w:r w:rsidR="0008245B">
        <w:t xml:space="preserve">since some of the witnesses had a working relationship with the land. </w:t>
      </w:r>
    </w:p>
    <w:p w14:paraId="6EC88DCA" w14:textId="26871562" w:rsidR="00C0063D" w:rsidRDefault="0008245B" w:rsidP="00C0063D">
      <w:pPr>
        <w:pStyle w:val="Style1"/>
      </w:pPr>
      <w:r>
        <w:t xml:space="preserve">It is </w:t>
      </w:r>
      <w:r w:rsidR="0090748C">
        <w:t xml:space="preserve">perhaps more surprising that the </w:t>
      </w:r>
      <w:r w:rsidR="005837DF">
        <w:t xml:space="preserve">LO </w:t>
      </w:r>
      <w:r w:rsidR="009E6D38">
        <w:t>themselves could not produce any</w:t>
      </w:r>
      <w:r w:rsidR="00B22289">
        <w:t xml:space="preserve"> </w:t>
      </w:r>
      <w:r w:rsidR="00692FF5">
        <w:t xml:space="preserve">photographic </w:t>
      </w:r>
      <w:r w:rsidR="009E6D38">
        <w:t>evidence</w:t>
      </w:r>
      <w:r w:rsidR="00B22289">
        <w:t>.</w:t>
      </w:r>
      <w:r w:rsidR="00B929F9">
        <w:t xml:space="preserve"> I accept </w:t>
      </w:r>
      <w:r w:rsidR="00D8468F">
        <w:t xml:space="preserve">the December 2013 </w:t>
      </w:r>
      <w:r w:rsidR="00B929F9">
        <w:t>fire may have destroyed some photographs</w:t>
      </w:r>
      <w:r w:rsidR="00D8468F">
        <w:t>, however</w:t>
      </w:r>
      <w:r w:rsidR="00692FF5">
        <w:t>,</w:t>
      </w:r>
      <w:r w:rsidR="00D8468F">
        <w:t xml:space="preserve"> th</w:t>
      </w:r>
      <w:r w:rsidR="005441DC">
        <w:t xml:space="preserve">at was only part way through the 20-year period. </w:t>
      </w:r>
      <w:r w:rsidR="00D91285">
        <w:t xml:space="preserve">Moreover, the </w:t>
      </w:r>
      <w:r w:rsidR="00692FF5">
        <w:t xml:space="preserve">use of digital photography was prevalent throughout most of the </w:t>
      </w:r>
      <w:r w:rsidR="00D91285">
        <w:t>20-year period</w:t>
      </w:r>
      <w:r w:rsidR="00692FF5">
        <w:t>.</w:t>
      </w:r>
      <w:r w:rsidR="00C0063D">
        <w:t xml:space="preserve"> </w:t>
      </w:r>
      <w:r w:rsidR="00692FF5">
        <w:t xml:space="preserve">The lack of </w:t>
      </w:r>
      <w:r w:rsidR="002644C6">
        <w:t xml:space="preserve">hard photographic evidence from the objectors </w:t>
      </w:r>
      <w:r w:rsidR="002E143A">
        <w:t xml:space="preserve">contrasts markedly with the OMA’s evidence which includes aerial images and other </w:t>
      </w:r>
      <w:r w:rsidR="002E143A">
        <w:lastRenderedPageBreak/>
        <w:t xml:space="preserve">photographs showing the route remained open and available for public use across its full width. </w:t>
      </w:r>
    </w:p>
    <w:p w14:paraId="221488D9" w14:textId="5F861B3E" w:rsidR="0094688B" w:rsidRDefault="002E143A" w:rsidP="005837DF">
      <w:pPr>
        <w:pStyle w:val="Style1"/>
      </w:pPr>
      <w:r>
        <w:t>Even if there had been a photographic record of the claimed obstructions</w:t>
      </w:r>
      <w:r w:rsidR="002644C6">
        <w:t>,</w:t>
      </w:r>
      <w:r>
        <w:t xml:space="preserve"> this does not necessarily mean they were effective in the terms set out above.</w:t>
      </w:r>
      <w:r w:rsidR="00E331DB">
        <w:t xml:space="preserve"> </w:t>
      </w:r>
      <w:r w:rsidR="007403FD" w:rsidRPr="007403FD">
        <w:t>In my view, hay bales, parked vehicles and farm equipment, especially if only present periodically, would not have been effective interruptions.</w:t>
      </w:r>
      <w:r w:rsidR="001048A1">
        <w:t xml:space="preserve"> It is also pertinent that many of the items referred to are common features </w:t>
      </w:r>
      <w:r w:rsidR="00AC0FF3">
        <w:t xml:space="preserve">within a rural setting. Without </w:t>
      </w:r>
      <w:r w:rsidR="0094688B">
        <w:t xml:space="preserve">explanatory </w:t>
      </w:r>
      <w:r w:rsidR="00AC0FF3">
        <w:t>signage</w:t>
      </w:r>
      <w:r w:rsidR="0094688B">
        <w:t xml:space="preserve"> or verbal challenges</w:t>
      </w:r>
      <w:r w:rsidR="00AC0FF3">
        <w:t>, there is simply no reason why users of the path</w:t>
      </w:r>
      <w:r w:rsidR="0094688B">
        <w:t xml:space="preserve"> would have considered their right to use the full width of </w:t>
      </w:r>
      <w:r w:rsidR="00212489">
        <w:t>Path 60</w:t>
      </w:r>
      <w:r w:rsidR="0094688B">
        <w:t xml:space="preserve"> was being challenged. </w:t>
      </w:r>
      <w:r w:rsidR="00064314">
        <w:t xml:space="preserve">Evidence regarding signage is </w:t>
      </w:r>
      <w:r w:rsidR="0016290C">
        <w:t xml:space="preserve">extremely </w:t>
      </w:r>
      <w:r w:rsidR="008F779D">
        <w:t xml:space="preserve">weak </w:t>
      </w:r>
      <w:r w:rsidR="0016290C">
        <w:t>and without knowing what the signs might have said</w:t>
      </w:r>
      <w:r w:rsidR="008F779D">
        <w:t xml:space="preserve"> or </w:t>
      </w:r>
      <w:r w:rsidR="00885E46">
        <w:t>where they were placed,</w:t>
      </w:r>
      <w:r w:rsidR="0016290C">
        <w:t xml:space="preserve"> I </w:t>
      </w:r>
      <w:r w:rsidR="008F779D">
        <w:t xml:space="preserve">give the objectors’ </w:t>
      </w:r>
      <w:r w:rsidR="005837DF">
        <w:t>evidence</w:t>
      </w:r>
      <w:r w:rsidR="008F779D">
        <w:t xml:space="preserve"> very limited weight in this regard. </w:t>
      </w:r>
    </w:p>
    <w:p w14:paraId="06DD050D" w14:textId="32FAB701" w:rsidR="00732F5C" w:rsidRDefault="006B2740" w:rsidP="004811A2">
      <w:pPr>
        <w:pStyle w:val="Style1"/>
      </w:pPr>
      <w:r>
        <w:t>It seems to me that</w:t>
      </w:r>
      <w:r w:rsidR="002E143A">
        <w:t xml:space="preserve"> even</w:t>
      </w:r>
      <w:r>
        <w:t xml:space="preserve"> </w:t>
      </w:r>
      <w:r w:rsidR="002E143A">
        <w:t xml:space="preserve">if there were </w:t>
      </w:r>
      <w:r>
        <w:t>obstructions</w:t>
      </w:r>
      <w:r w:rsidR="002E143A">
        <w:t xml:space="preserve">, these </w:t>
      </w:r>
      <w:r w:rsidR="001C2DD3">
        <w:t>were</w:t>
      </w:r>
      <w:r w:rsidR="0077291A">
        <w:t xml:space="preserve"> incidental uses of the land rather than actions directed at preventing public access.</w:t>
      </w:r>
      <w:r w:rsidR="00C25593">
        <w:t xml:space="preserve"> </w:t>
      </w:r>
      <w:r w:rsidR="001C2DD3">
        <w:t xml:space="preserve">The storage of wheelie bins at the top of the driveway, accepted as being a </w:t>
      </w:r>
      <w:r w:rsidR="004811A2">
        <w:t>convenient</w:t>
      </w:r>
      <w:r w:rsidR="001C2DD3">
        <w:t xml:space="preserve"> location by the </w:t>
      </w:r>
      <w:r w:rsidR="0095049D">
        <w:t xml:space="preserve">LO </w:t>
      </w:r>
      <w:r w:rsidR="001C2DD3">
        <w:t xml:space="preserve">and scaffolding connected to </w:t>
      </w:r>
      <w:r w:rsidR="004811A2">
        <w:t xml:space="preserve">on-going </w:t>
      </w:r>
      <w:r w:rsidR="001C2DD3">
        <w:t>building work were not</w:t>
      </w:r>
      <w:r w:rsidR="004811A2" w:rsidRPr="004811A2">
        <w:t xml:space="preserve"> intended to stop the public asserting a right</w:t>
      </w:r>
      <w:r w:rsidR="004811A2">
        <w:t xml:space="preserve">. As explained in </w:t>
      </w:r>
      <w:r w:rsidR="004811A2" w:rsidRPr="004811A2">
        <w:t>Trevelyan</w:t>
      </w:r>
      <w:r w:rsidR="00047D03">
        <w:t xml:space="preserve"> (</w:t>
      </w:r>
      <w:r w:rsidR="00047D03" w:rsidRPr="004811A2">
        <w:rPr>
          <w:i/>
          <w:iCs/>
        </w:rPr>
        <w:t>Rights of Way: A Guide to Law &amp; Practice Fourth Edition</w:t>
      </w:r>
      <w:r w:rsidR="00047D03" w:rsidRPr="00047D03">
        <w:t>” Riddall and Trevelyan</w:t>
      </w:r>
      <w:r w:rsidR="004811A2">
        <w:t>,</w:t>
      </w:r>
      <w:r w:rsidR="00047D03" w:rsidRPr="00047D03">
        <w:t xml:space="preserve"> 2007</w:t>
      </w:r>
      <w:r w:rsidR="00047D03">
        <w:t>)</w:t>
      </w:r>
      <w:r w:rsidR="004811A2">
        <w:t>:</w:t>
      </w:r>
    </w:p>
    <w:p w14:paraId="4A598FFA" w14:textId="64DB2783" w:rsidR="00047D03" w:rsidRDefault="00047D03" w:rsidP="00047D03">
      <w:pPr>
        <w:pStyle w:val="Style1"/>
        <w:numPr>
          <w:ilvl w:val="0"/>
          <w:numId w:val="0"/>
        </w:numPr>
        <w:ind w:left="431"/>
      </w:pPr>
      <w:r>
        <w:t>“</w:t>
      </w:r>
      <w:r w:rsidRPr="00047D03">
        <w:rPr>
          <w:i/>
          <w:iCs/>
        </w:rPr>
        <w:t>the interruption must be with intent to prevent public use of the way. It will not be sufficient if the interruption is shown to have been for some other purpose, e.g. the conduct of longstanding building works, to prevent cattle straying, or to provide parking spaces for lorries or broken-down vehicles</w:t>
      </w:r>
      <w:r>
        <w:t xml:space="preserve">". </w:t>
      </w:r>
    </w:p>
    <w:p w14:paraId="708C970C" w14:textId="4BBA05F0" w:rsidR="00D334CD" w:rsidRDefault="00D334CD" w:rsidP="00395BFF">
      <w:pPr>
        <w:pStyle w:val="Style1"/>
      </w:pPr>
      <w:r w:rsidRPr="00D334CD">
        <w:t xml:space="preserve">Even if I were to take the objectors' evidence at its highest, users of the Order route would have had no reasonable basis for concluding that their right to use the full width of the way was being challenged by the landowner. The obstructions were therefore not effective in communicating a lack of intention to dedicate. In my view, </w:t>
      </w:r>
      <w:r w:rsidR="00AF2DC0" w:rsidRPr="00AF2DC0">
        <w:t xml:space="preserve">the erection of the fence in September 2020 suggests that the </w:t>
      </w:r>
      <w:r w:rsidR="0095049D">
        <w:t xml:space="preserve">LO </w:t>
      </w:r>
      <w:r w:rsidR="00AF2DC0" w:rsidRPr="00AF2DC0">
        <w:t>considered further measures necessary.</w:t>
      </w:r>
      <w:r w:rsidRPr="00D334CD">
        <w:t xml:space="preserve"> Up to that point, members of the public appear to have continued using the full width of the route in the belief that a public right of way existed, and no sufficiently clear steps had been taken to disabuse them of that belief.</w:t>
      </w:r>
    </w:p>
    <w:p w14:paraId="69E317F5" w14:textId="3EE9D9E4" w:rsidR="007F183B" w:rsidRDefault="00B9093E" w:rsidP="000826A6">
      <w:pPr>
        <w:pStyle w:val="Style1"/>
      </w:pPr>
      <w:r w:rsidRPr="00B9093E">
        <w:t>Something as simple as the erection of notices at either end of the</w:t>
      </w:r>
      <w:r w:rsidR="001D08FE">
        <w:t xml:space="preserve"> route</w:t>
      </w:r>
      <w:r w:rsidRPr="00B9093E">
        <w:t>, or the making of a highway</w:t>
      </w:r>
      <w:r>
        <w:t xml:space="preserve"> deposit </w:t>
      </w:r>
      <w:r w:rsidRPr="00B9093E">
        <w:t>under section 31(6) of the 1980</w:t>
      </w:r>
      <w:r w:rsidR="00212489">
        <w:t xml:space="preserve"> Act</w:t>
      </w:r>
      <w:r w:rsidRPr="00B9093E">
        <w:t>, would in all likelihood have been sufficient to defeat the claim. Such measures are generally recognised as among the clearest means by which a landowner may demonstrate a lack of intention to dedicate and thereby rebut a claim based on presumed dedication. The</w:t>
      </w:r>
      <w:r w:rsidR="0095049D">
        <w:t xml:space="preserve"> LO</w:t>
      </w:r>
      <w:r>
        <w:t xml:space="preserve"> here </w:t>
      </w:r>
      <w:r w:rsidR="00135A88">
        <w:t xml:space="preserve">are likely to have </w:t>
      </w:r>
      <w:r w:rsidR="00D05F0C">
        <w:t xml:space="preserve">had </w:t>
      </w:r>
      <w:r w:rsidRPr="00B9093E">
        <w:t xml:space="preserve">access to professional advice on these matters. While I accept that </w:t>
      </w:r>
      <w:r w:rsidR="00D05F0C">
        <w:t>personal</w:t>
      </w:r>
      <w:r w:rsidRPr="00B9093E">
        <w:t xml:space="preserve"> issues assumed greater importance at various times during the relevant </w:t>
      </w:r>
      <w:r w:rsidR="00D05F0C">
        <w:t xml:space="preserve">20-year </w:t>
      </w:r>
      <w:r w:rsidRPr="00B9093E">
        <w:t>period, the</w:t>
      </w:r>
      <w:r w:rsidR="005D7686">
        <w:t xml:space="preserve"> oral </w:t>
      </w:r>
      <w:r w:rsidRPr="00B9093E">
        <w:t xml:space="preserve">evidence </w:t>
      </w:r>
      <w:r w:rsidR="005D7686">
        <w:t xml:space="preserve">of the LO </w:t>
      </w:r>
      <w:r w:rsidRPr="00B9093E">
        <w:t>indicates that effort was nevertheless expended in placing obstructions along part of the driveway. In comparison, the alternative measures referred to above would have provided a clearer</w:t>
      </w:r>
      <w:r w:rsidR="00D05F0C">
        <w:t xml:space="preserve">, </w:t>
      </w:r>
      <w:r w:rsidRPr="00B9093E">
        <w:t>more direct</w:t>
      </w:r>
      <w:r w:rsidR="00D05F0C">
        <w:t xml:space="preserve"> and less time-consuming</w:t>
      </w:r>
      <w:r w:rsidRPr="00B9093E">
        <w:t xml:space="preserve"> means of communicating a lack of intention to dedicate.</w:t>
      </w:r>
    </w:p>
    <w:p w14:paraId="6BEE22B4" w14:textId="0AB61D36" w:rsidR="00874304" w:rsidRDefault="00874304" w:rsidP="00874304">
      <w:pPr>
        <w:pStyle w:val="Style1"/>
      </w:pPr>
      <w:r>
        <w:t>W</w:t>
      </w:r>
      <w:r w:rsidRPr="00DA361B">
        <w:t>hatever the reason for not adopting those measures, the critical point is that the actions actually taken were not sufficient to communicate to reasonable users of the route that the landowners lacked any intention to dedicate the full width of the way as a public right of wa</w:t>
      </w:r>
      <w:r>
        <w:t xml:space="preserve">y. Overall, the user evidence consistently supports the </w:t>
      </w:r>
      <w:r>
        <w:lastRenderedPageBreak/>
        <w:t xml:space="preserve">proposition that the public used and enjoyed a route approximately 3 to 4 metres wide, across its full available width, openly and without challenge between 2000 and 2020. </w:t>
      </w:r>
    </w:p>
    <w:p w14:paraId="4ACBD183" w14:textId="3091AB60" w:rsidR="00C101C4" w:rsidRPr="006A57CC" w:rsidRDefault="00C101C4" w:rsidP="00C101C4">
      <w:pPr>
        <w:pStyle w:val="Style1"/>
        <w:numPr>
          <w:ilvl w:val="0"/>
          <w:numId w:val="0"/>
        </w:numPr>
        <w:rPr>
          <w:b/>
          <w:bCs/>
        </w:rPr>
      </w:pPr>
      <w:r w:rsidRPr="006A57CC">
        <w:rPr>
          <w:b/>
          <w:bCs/>
        </w:rPr>
        <w:t>Other Matters</w:t>
      </w:r>
    </w:p>
    <w:p w14:paraId="38091DD5" w14:textId="3A77F5C1" w:rsidR="004D2CC1" w:rsidRDefault="006063D2" w:rsidP="00840975">
      <w:pPr>
        <w:pStyle w:val="Style1"/>
        <w:tabs>
          <w:tab w:val="clear" w:pos="720"/>
        </w:tabs>
      </w:pPr>
      <w:r>
        <w:t>I</w:t>
      </w:r>
      <w:r w:rsidR="00AC6BE0">
        <w:t>ssues raised by the objectors include the effect th</w:t>
      </w:r>
      <w:r w:rsidR="00135A88">
        <w:t>at</w:t>
      </w:r>
      <w:r w:rsidR="00AC6BE0">
        <w:t xml:space="preserve"> confirmation of the Order would have on </w:t>
      </w:r>
      <w:r>
        <w:t>access to their land,</w:t>
      </w:r>
      <w:r w:rsidR="000A2164">
        <w:t xml:space="preserve"> public safety, </w:t>
      </w:r>
      <w:r w:rsidR="00E8164F">
        <w:t xml:space="preserve">the existence of </w:t>
      </w:r>
      <w:r w:rsidR="001D4F9B">
        <w:t xml:space="preserve">permissive </w:t>
      </w:r>
      <w:r w:rsidR="008A5214">
        <w:t>routes and future maintenance of the Order route</w:t>
      </w:r>
      <w:r w:rsidR="004D2CC1">
        <w:t>. Whilst I note, and can appreciate some of these concerns</w:t>
      </w:r>
      <w:r w:rsidR="004D2CC1" w:rsidRPr="004D2CC1">
        <w:t xml:space="preserve">, these are not matters which can be taken into consideration under section 53 of the 1981 Act. </w:t>
      </w:r>
    </w:p>
    <w:p w14:paraId="32522F3E" w14:textId="61BDF7D2" w:rsidR="00C441A9" w:rsidRPr="006F6BFF" w:rsidRDefault="00C441A9" w:rsidP="00810BAC">
      <w:pPr>
        <w:pStyle w:val="Style1"/>
        <w:numPr>
          <w:ilvl w:val="0"/>
          <w:numId w:val="0"/>
        </w:numPr>
        <w:rPr>
          <w:b/>
          <w:bCs/>
        </w:rPr>
      </w:pPr>
      <w:r w:rsidRPr="006F6BFF">
        <w:rPr>
          <w:b/>
          <w:bCs/>
        </w:rPr>
        <w:t>Conclusions</w:t>
      </w:r>
    </w:p>
    <w:p w14:paraId="1D43EC61" w14:textId="77777777" w:rsidR="00E25DAD" w:rsidRDefault="00D318DD" w:rsidP="00B05975">
      <w:pPr>
        <w:pStyle w:val="Style1"/>
      </w:pPr>
      <w:r>
        <w:t xml:space="preserve">Taking the documentary evidence and user evidence together, I am satisfied that the recorded width </w:t>
      </w:r>
      <w:r w:rsidR="007F633C">
        <w:t xml:space="preserve">of </w:t>
      </w:r>
      <w:r w:rsidR="00853284">
        <w:t>P</w:t>
      </w:r>
      <w:r w:rsidR="007F633C">
        <w:t xml:space="preserve">ath </w:t>
      </w:r>
      <w:r>
        <w:t xml:space="preserve">60 between points A and </w:t>
      </w:r>
      <w:r w:rsidR="00C07865">
        <w:t>E</w:t>
      </w:r>
      <w:r>
        <w:t xml:space="preserve"> does not accurately reflect the full extent of the public highway. The historical mapping consistently depicts a route physically wider than the recorded 1.2 metres, and the 1950 Walking Schedule is particularly persuasive in describing the </w:t>
      </w:r>
      <w:r w:rsidR="00B05975">
        <w:t xml:space="preserve">route as </w:t>
      </w:r>
      <w:r>
        <w:t>a “</w:t>
      </w:r>
      <w:r w:rsidRPr="00B05975">
        <w:rPr>
          <w:i/>
          <w:iCs/>
        </w:rPr>
        <w:t>Carriage Road Bridleway</w:t>
      </w:r>
      <w:r>
        <w:t xml:space="preserve">” </w:t>
      </w:r>
      <w:r w:rsidR="00C07865">
        <w:t>and</w:t>
      </w:r>
      <w:r w:rsidR="00B05975">
        <w:t xml:space="preserve"> a</w:t>
      </w:r>
      <w:r w:rsidR="00C07865">
        <w:t xml:space="preserve"> field edge footpath</w:t>
      </w:r>
      <w:r w:rsidR="00D7350D">
        <w:t xml:space="preserve"> </w:t>
      </w:r>
      <w:r w:rsidR="00840975">
        <w:t>w</w:t>
      </w:r>
      <w:r>
        <w:t xml:space="preserve">ithout any indication that public rights were confined to a narrow strip along one side of the track. </w:t>
      </w:r>
    </w:p>
    <w:p w14:paraId="2E276DD6" w14:textId="6F541610" w:rsidR="007F633C" w:rsidRDefault="00E25DAD" w:rsidP="002D0F39">
      <w:pPr>
        <w:pStyle w:val="Style1"/>
      </w:pPr>
      <w:r w:rsidRPr="00E25DAD">
        <w:t>The documentary evidence is strongest in relation to the carriage-road section between points A and B. Nevertheless, when considered alongside the later photographic and user evidence, I am satisfied that the public right of way extended across the full available width of the enclosed corridor between points B and E.</w:t>
      </w:r>
      <w:r w:rsidR="002D0F39">
        <w:t xml:space="preserve"> </w:t>
      </w:r>
      <w:r w:rsidR="00D318DD">
        <w:t xml:space="preserve">I also attach </w:t>
      </w:r>
      <w:r w:rsidR="00A43043">
        <w:t xml:space="preserve">significant </w:t>
      </w:r>
      <w:r w:rsidR="00D318DD">
        <w:t xml:space="preserve">weight to the </w:t>
      </w:r>
      <w:r w:rsidR="00A43043">
        <w:t>WRM</w:t>
      </w:r>
      <w:r w:rsidR="00D318DD">
        <w:t xml:space="preserve">, which provides a plausible explanation as to why greater widths </w:t>
      </w:r>
      <w:r w:rsidR="0038175C">
        <w:t xml:space="preserve">were </w:t>
      </w:r>
      <w:r w:rsidR="00D318DD">
        <w:t xml:space="preserve">reduced to standardised dimensions during the preparation of the </w:t>
      </w:r>
      <w:r w:rsidR="007F633C">
        <w:t>DMS</w:t>
      </w:r>
      <w:r w:rsidR="00D318DD">
        <w:t xml:space="preserve">. </w:t>
      </w:r>
    </w:p>
    <w:p w14:paraId="6C3FE17A" w14:textId="4F4FAD39" w:rsidR="002D0F39" w:rsidRDefault="00D318DD" w:rsidP="002D0F39">
      <w:pPr>
        <w:pStyle w:val="Style1"/>
      </w:pPr>
      <w:r>
        <w:t>The documentary evidence is reinforced by</w:t>
      </w:r>
      <w:r w:rsidR="007F633C">
        <w:t xml:space="preserve"> a</w:t>
      </w:r>
      <w:r>
        <w:t xml:space="preserve"> body of </w:t>
      </w:r>
      <w:r w:rsidR="007F633C">
        <w:t xml:space="preserve">credible </w:t>
      </w:r>
      <w:r>
        <w:t>user evidence</w:t>
      </w:r>
      <w:r w:rsidR="007F633C">
        <w:t xml:space="preserve"> that</w:t>
      </w:r>
      <w:r w:rsidR="00645D57">
        <w:t xml:space="preserve"> has </w:t>
      </w:r>
      <w:r w:rsidR="007F633C">
        <w:t>stood up to s</w:t>
      </w:r>
      <w:r w:rsidR="00645D57">
        <w:t>crutiny. This</w:t>
      </w:r>
      <w:r>
        <w:t xml:space="preserve"> consistently describes uninterrupted public use across the full available width of the track for many years prior to 2020.</w:t>
      </w:r>
      <w:r w:rsidR="00645D57">
        <w:t xml:space="preserve"> </w:t>
      </w:r>
      <w:r w:rsidR="00967EFF" w:rsidRPr="00967EFF">
        <w:t>While there may have been occasional obstructions to the full width of the track, I am not persuaded on the evidence that these were either effective interruptions for the purposes of section 31 of the 1980</w:t>
      </w:r>
      <w:r w:rsidR="00580436">
        <w:t xml:space="preserve"> Act</w:t>
      </w:r>
      <w:r w:rsidR="00967EFF" w:rsidRPr="00967EFF">
        <w:t xml:space="preserve"> or sufficient to communicate a lack of intention to </w:t>
      </w:r>
      <w:r w:rsidR="00F76AC0">
        <w:t xml:space="preserve">be </w:t>
      </w:r>
      <w:r w:rsidR="00967EFF" w:rsidRPr="00967EFF">
        <w:t>dedicate</w:t>
      </w:r>
      <w:r w:rsidR="002D0F39">
        <w:t xml:space="preserve">d. </w:t>
      </w:r>
    </w:p>
    <w:p w14:paraId="3ED33D8F" w14:textId="16769A31" w:rsidR="002E02F3" w:rsidRPr="002D0F39" w:rsidRDefault="002D0F39" w:rsidP="002D0F39">
      <w:pPr>
        <w:pStyle w:val="Style1"/>
      </w:pPr>
      <w:r w:rsidRPr="002D0F39">
        <w:t xml:space="preserve">Having considered all the evidence before me, including the objections, I am satisfied on the balance of probabilities that a public right of way has been established through statutory dedication under section 31 of the Highways Act 1980 during the period 2000 to 2020. I am also satisfied that the proposed amendments to the recorded limitations accurately reflect both the historic and current position on the ground. Accordingly, the </w:t>
      </w:r>
      <w:r w:rsidR="0038175C">
        <w:t xml:space="preserve">DMS </w:t>
      </w:r>
      <w:r w:rsidRPr="002D0F39">
        <w:t>requires modification as set out in the Order, which should be confirmed.</w:t>
      </w:r>
    </w:p>
    <w:p w14:paraId="035E9B5C" w14:textId="111A73A5" w:rsidR="00057D96" w:rsidRPr="00C37E27" w:rsidRDefault="00057D96" w:rsidP="00C37E27">
      <w:pPr>
        <w:pStyle w:val="Style1"/>
        <w:numPr>
          <w:ilvl w:val="0"/>
          <w:numId w:val="0"/>
        </w:numPr>
        <w:rPr>
          <w:b/>
          <w:bCs/>
        </w:rPr>
      </w:pPr>
      <w:r w:rsidRPr="00C37E27">
        <w:rPr>
          <w:b/>
          <w:bCs/>
        </w:rPr>
        <w:t>Formal Decision</w:t>
      </w:r>
    </w:p>
    <w:p w14:paraId="0E49E59A" w14:textId="086C9749" w:rsidR="000F4D5D" w:rsidRPr="002D0F39" w:rsidRDefault="00057D96" w:rsidP="002D0F39">
      <w:pPr>
        <w:pStyle w:val="Style1"/>
      </w:pPr>
      <w:r>
        <w:t>The Order is confirmed</w:t>
      </w:r>
      <w:r w:rsidR="004D5C4F">
        <w:t xml:space="preserve">. </w:t>
      </w:r>
    </w:p>
    <w:p w14:paraId="1F5ED6DF" w14:textId="77777777" w:rsidR="002D0F39" w:rsidRDefault="002D0F39" w:rsidP="00985933">
      <w:pPr>
        <w:tabs>
          <w:tab w:val="left" w:pos="432"/>
        </w:tabs>
        <w:spacing w:before="180"/>
        <w:outlineLvl w:val="0"/>
        <w:rPr>
          <w:rFonts w:ascii="Monotype Corsiva" w:hAnsi="Monotype Corsiva"/>
          <w:color w:val="000000"/>
          <w:kern w:val="28"/>
          <w:sz w:val="36"/>
          <w:szCs w:val="36"/>
        </w:rPr>
      </w:pPr>
    </w:p>
    <w:p w14:paraId="2254396E" w14:textId="4F6CE375" w:rsidR="009B2B39" w:rsidRPr="00985933" w:rsidRDefault="009B2B39" w:rsidP="002D0F39">
      <w:pPr>
        <w:tabs>
          <w:tab w:val="left" w:pos="432"/>
        </w:tabs>
        <w:spacing w:before="120"/>
        <w:outlineLvl w:val="0"/>
        <w:rPr>
          <w:rFonts w:ascii="Monotype Corsiva" w:hAnsi="Monotype Corsiva"/>
          <w:color w:val="000000"/>
          <w:kern w:val="28"/>
          <w:sz w:val="36"/>
          <w:szCs w:val="36"/>
        </w:rPr>
      </w:pPr>
      <w:r>
        <w:rPr>
          <w:rFonts w:ascii="Monotype Corsiva" w:hAnsi="Monotype Corsiva"/>
          <w:color w:val="000000"/>
          <w:kern w:val="28"/>
          <w:sz w:val="36"/>
          <w:szCs w:val="36"/>
        </w:rPr>
        <w:t xml:space="preserve">D M Young </w:t>
      </w:r>
    </w:p>
    <w:p w14:paraId="06CCAF3C" w14:textId="3074F771" w:rsidR="00B1571F" w:rsidRDefault="009B2B39" w:rsidP="002D0F39">
      <w:pPr>
        <w:tabs>
          <w:tab w:val="left" w:pos="432"/>
        </w:tabs>
        <w:spacing w:before="180"/>
        <w:outlineLvl w:val="0"/>
        <w:rPr>
          <w:color w:val="000000"/>
          <w:kern w:val="28"/>
          <w:u w:val="single"/>
        </w:rPr>
        <w:sectPr w:rsidR="00B1571F" w:rsidSect="009B2B39">
          <w:headerReference w:type="default" r:id="rId9"/>
          <w:footerReference w:type="even" r:id="rId10"/>
          <w:footerReference w:type="default" r:id="rId11"/>
          <w:footerReference w:type="first" r:id="rId12"/>
          <w:pgSz w:w="11906" w:h="16838" w:code="9"/>
          <w:pgMar w:top="680" w:right="1077" w:bottom="1276" w:left="1525" w:header="624" w:footer="816" w:gutter="0"/>
          <w:cols w:space="720"/>
          <w:titlePg/>
        </w:sectPr>
      </w:pPr>
      <w:r w:rsidRPr="004A61B1">
        <w:rPr>
          <w:rFonts w:cs="Arial"/>
          <w:color w:val="000000"/>
          <w:kern w:val="28"/>
          <w:szCs w:val="24"/>
        </w:rPr>
        <w:t>INSPECTOR</w:t>
      </w:r>
    </w:p>
    <w:p w14:paraId="2035EFB5" w14:textId="20F6F249" w:rsidR="007845FA" w:rsidRDefault="0086721A" w:rsidP="007845FA">
      <w:pPr>
        <w:rPr>
          <w:color w:val="000000"/>
          <w:kern w:val="28"/>
          <w:u w:val="single"/>
        </w:rPr>
      </w:pPr>
      <w:r w:rsidRPr="0086721A">
        <w:rPr>
          <w:color w:val="000000"/>
          <w:kern w:val="28"/>
          <w:u w:val="single"/>
        </w:rPr>
        <w:lastRenderedPageBreak/>
        <w:t>Appendix A –</w:t>
      </w:r>
      <w:r w:rsidR="005B6558">
        <w:rPr>
          <w:color w:val="000000"/>
          <w:kern w:val="28"/>
          <w:u w:val="single"/>
        </w:rPr>
        <w:t xml:space="preserve"> </w:t>
      </w:r>
      <w:r w:rsidR="00E50469">
        <w:rPr>
          <w:color w:val="000000"/>
          <w:kern w:val="28"/>
          <w:u w:val="single"/>
        </w:rPr>
        <w:t xml:space="preserve">Order </w:t>
      </w:r>
      <w:r w:rsidRPr="0086721A">
        <w:rPr>
          <w:color w:val="000000"/>
          <w:kern w:val="28"/>
          <w:u w:val="single"/>
        </w:rPr>
        <w:t xml:space="preserve">Plan </w:t>
      </w:r>
    </w:p>
    <w:p w14:paraId="63DE4B9F" w14:textId="012A6DF3" w:rsidR="003B30DA" w:rsidRDefault="003B30DA" w:rsidP="007845FA"/>
    <w:p w14:paraId="3717C66C" w14:textId="39169A79" w:rsidR="00540AB6" w:rsidRPr="00985933" w:rsidRDefault="00663B2C" w:rsidP="00663B2C">
      <w:pPr>
        <w:jc w:val="center"/>
      </w:pPr>
      <w:r>
        <w:rPr>
          <w:noProof/>
        </w:rPr>
        <w:drawing>
          <wp:inline distT="0" distB="0" distL="0" distR="0" wp14:anchorId="6822A5BB" wp14:editId="7D345260">
            <wp:extent cx="5347840" cy="7870190"/>
            <wp:effectExtent l="0" t="4127" r="1587" b="1588"/>
            <wp:docPr id="23530881" name="Picture 4" descr="A copy of Appendix A - Order Pl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0881" name="Picture 4" descr="A copy of Appendix A - Order Pla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5350212" cy="7873681"/>
                    </a:xfrm>
                    <a:prstGeom prst="rect">
                      <a:avLst/>
                    </a:prstGeom>
                    <a:noFill/>
                  </pic:spPr>
                </pic:pic>
              </a:graphicData>
            </a:graphic>
          </wp:inline>
        </w:drawing>
      </w:r>
    </w:p>
    <w:sectPr w:rsidR="00540AB6" w:rsidRPr="00985933" w:rsidSect="00B1571F">
      <w:pgSz w:w="16838" w:h="11906" w:orient="landscape" w:code="9"/>
      <w:pgMar w:top="1525" w:right="680" w:bottom="1077" w:left="1276" w:header="624" w:footer="81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0B64" w14:textId="77777777" w:rsidR="00C81FE4" w:rsidRDefault="00C81FE4">
      <w:r>
        <w:separator/>
      </w:r>
    </w:p>
  </w:endnote>
  <w:endnote w:type="continuationSeparator" w:id="0">
    <w:p w14:paraId="0205174F" w14:textId="77777777" w:rsidR="00C81FE4" w:rsidRDefault="00C8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7708" w14:textId="77777777" w:rsidR="006E4A8A" w:rsidRDefault="004859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252AF9" w14:textId="77777777" w:rsidR="006E4A8A" w:rsidRDefault="006E4A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0ED3" w14:textId="77777777" w:rsidR="006E4A8A" w:rsidRDefault="0048599B">
    <w:pPr>
      <w:pStyle w:val="Noindent"/>
      <w:spacing w:before="120"/>
      <w:jc w:val="center"/>
      <w:rPr>
        <w:rStyle w:val="PageNumber"/>
      </w:rPr>
    </w:pPr>
    <w:r>
      <w:rPr>
        <w:noProof/>
        <w:sz w:val="18"/>
      </w:rPr>
      <mc:AlternateContent>
        <mc:Choice Requires="wps">
          <w:drawing>
            <wp:anchor distT="0" distB="0" distL="114300" distR="114300" simplePos="0" relativeHeight="251665408" behindDoc="0" locked="0" layoutInCell="1" allowOverlap="1" wp14:anchorId="617A0A0F" wp14:editId="21E0DD4F">
              <wp:simplePos x="0" y="0"/>
              <wp:positionH relativeFrom="column">
                <wp:posOffset>-2540</wp:posOffset>
              </wp:positionH>
              <wp:positionV relativeFrom="paragraph">
                <wp:posOffset>159385</wp:posOffset>
              </wp:positionV>
              <wp:extent cx="5943600" cy="0"/>
              <wp:effectExtent l="0" t="0" r="0" b="0"/>
              <wp:wrapNone/>
              <wp:docPr id="137925210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6E439" id="Line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5E98C79" w14:textId="77777777" w:rsidR="006E4A8A" w:rsidRPr="00E45340" w:rsidRDefault="006E4A8A" w:rsidP="00E45340">
    <w:pPr>
      <w:pStyle w:val="Footer"/>
      <w:ind w:right="-52"/>
      <w:rPr>
        <w:sz w:val="16"/>
        <w:szCs w:val="16"/>
      </w:rPr>
    </w:pPr>
    <w:hyperlink r:id="rId1" w:history="1">
      <w:r w:rsidRPr="00026922">
        <w:rPr>
          <w:rStyle w:val="Hyperlink"/>
          <w:sz w:val="16"/>
          <w:szCs w:val="16"/>
        </w:rPr>
        <w:t>https://www.gov.uk/planning-inspectorate</w:t>
      </w:r>
    </w:hyperlink>
    <w:r w:rsidR="0048599B">
      <w:rPr>
        <w:sz w:val="16"/>
        <w:szCs w:val="16"/>
      </w:rPr>
      <w:t xml:space="preserve">                          </w:t>
    </w:r>
    <w:r w:rsidR="0048599B">
      <w:rPr>
        <w:rStyle w:val="PageNumber"/>
      </w:rPr>
      <w:fldChar w:fldCharType="begin"/>
    </w:r>
    <w:r w:rsidR="0048599B">
      <w:rPr>
        <w:rStyle w:val="PageNumber"/>
      </w:rPr>
      <w:instrText xml:space="preserve"> PAGE </w:instrText>
    </w:r>
    <w:r w:rsidR="0048599B">
      <w:rPr>
        <w:rStyle w:val="PageNumber"/>
      </w:rPr>
      <w:fldChar w:fldCharType="separate"/>
    </w:r>
    <w:r w:rsidR="0048599B">
      <w:rPr>
        <w:rStyle w:val="PageNumber"/>
        <w:noProof/>
      </w:rPr>
      <w:t>2</w:t>
    </w:r>
    <w:r w:rsidR="0048599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5E59" w14:textId="77777777" w:rsidR="006E4A8A" w:rsidRDefault="0048599B">
    <w:pPr>
      <w:pStyle w:val="Footer"/>
      <w:ind w:right="-52"/>
    </w:pPr>
    <w:r>
      <w:rPr>
        <w:noProof/>
      </w:rPr>
      <mc:AlternateContent>
        <mc:Choice Requires="wps">
          <w:drawing>
            <wp:anchor distT="0" distB="0" distL="114300" distR="114300" simplePos="0" relativeHeight="251663360" behindDoc="0" locked="0" layoutInCell="1" allowOverlap="1" wp14:anchorId="4A96DCD7" wp14:editId="18A30657">
              <wp:simplePos x="0" y="0"/>
              <wp:positionH relativeFrom="column">
                <wp:posOffset>-2540</wp:posOffset>
              </wp:positionH>
              <wp:positionV relativeFrom="paragraph">
                <wp:posOffset>121285</wp:posOffset>
              </wp:positionV>
              <wp:extent cx="5943600" cy="0"/>
              <wp:effectExtent l="0" t="0" r="0" b="0"/>
              <wp:wrapNone/>
              <wp:docPr id="7364331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F2074" id="Line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CA12D1C" w14:textId="77777777" w:rsidR="006E4A8A" w:rsidRPr="002E2687" w:rsidRDefault="006E4A8A">
    <w:pPr>
      <w:pStyle w:val="Footer"/>
      <w:ind w:right="-52"/>
      <w:rPr>
        <w:rFonts w:cs="Arial"/>
        <w:sz w:val="16"/>
        <w:szCs w:val="16"/>
      </w:rPr>
    </w:pPr>
    <w:hyperlink r:id="rId1" w:history="1">
      <w:r w:rsidRPr="002E2687">
        <w:rPr>
          <w:rStyle w:val="Hyperlink"/>
          <w:rFonts w:cs="Arial"/>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5DE8" w14:textId="77777777" w:rsidR="00C81FE4" w:rsidRDefault="00C81FE4">
      <w:r>
        <w:separator/>
      </w:r>
    </w:p>
  </w:footnote>
  <w:footnote w:type="continuationSeparator" w:id="0">
    <w:p w14:paraId="1B44E816" w14:textId="77777777" w:rsidR="00C81FE4" w:rsidRDefault="00C81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CE5A1BF" w14:textId="77777777">
      <w:tc>
        <w:tcPr>
          <w:tcW w:w="9520" w:type="dxa"/>
        </w:tcPr>
        <w:p w14:paraId="43DAD336" w14:textId="412576D3" w:rsidR="00157B6C" w:rsidRPr="005E2503" w:rsidRDefault="00A47436">
          <w:pPr>
            <w:pStyle w:val="Footer"/>
            <w:rPr>
              <w:rFonts w:ascii="Verdana" w:hAnsi="Verdana" w:cs="Arial"/>
              <w:bCs/>
              <w:color w:val="000000"/>
              <w:szCs w:val="24"/>
              <w14:ligatures w14:val="none"/>
            </w:rPr>
          </w:pPr>
          <w:r w:rsidRPr="005E2503">
            <w:rPr>
              <w:rFonts w:ascii="Verdana" w:hAnsi="Verdana" w:cs="Arial"/>
              <w:bCs/>
              <w:color w:val="000000"/>
              <w:szCs w:val="24"/>
              <w14:ligatures w14:val="none"/>
            </w:rPr>
            <w:t xml:space="preserve">Order Decision </w:t>
          </w:r>
          <w:r w:rsidR="00915DB9" w:rsidRPr="005E2503">
            <w:rPr>
              <w:rFonts w:ascii="Verdana" w:hAnsi="Verdana" w:cs="Arial"/>
              <w:bCs/>
              <w:color w:val="000000"/>
              <w:szCs w:val="24"/>
              <w14:ligatures w14:val="none"/>
            </w:rPr>
            <w:t>ROW/3321757</w:t>
          </w:r>
        </w:p>
      </w:tc>
    </w:tr>
  </w:tbl>
  <w:p w14:paraId="507B0223" w14:textId="77777777" w:rsidR="006E4A8A" w:rsidRDefault="0048599B" w:rsidP="00087477">
    <w:pPr>
      <w:pStyle w:val="Footer"/>
      <w:spacing w:after="180"/>
    </w:pPr>
    <w:r>
      <w:rPr>
        <w:noProof/>
      </w:rPr>
      <mc:AlternateContent>
        <mc:Choice Requires="wps">
          <w:drawing>
            <wp:anchor distT="0" distB="0" distL="114300" distR="114300" simplePos="0" relativeHeight="251664384" behindDoc="0" locked="0" layoutInCell="1" allowOverlap="1" wp14:anchorId="5539057C" wp14:editId="07945B2A">
              <wp:simplePos x="0" y="0"/>
              <wp:positionH relativeFrom="column">
                <wp:posOffset>0</wp:posOffset>
              </wp:positionH>
              <wp:positionV relativeFrom="paragraph">
                <wp:posOffset>114300</wp:posOffset>
              </wp:positionV>
              <wp:extent cx="5943600" cy="0"/>
              <wp:effectExtent l="0" t="0" r="0" b="0"/>
              <wp:wrapNone/>
              <wp:docPr id="110043934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7D115" id="Line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2"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3" w15:restartNumberingAfterBreak="0">
    <w:nsid w:val="2C207DE7"/>
    <w:multiLevelType w:val="hybridMultilevel"/>
    <w:tmpl w:val="94E4833C"/>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4" w15:restartNumberingAfterBreak="0">
    <w:nsid w:val="3F3A6336"/>
    <w:multiLevelType w:val="hybridMultilevel"/>
    <w:tmpl w:val="CC28AD56"/>
    <w:lvl w:ilvl="0" w:tplc="27684A5A">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5"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9" w15:restartNumberingAfterBreak="0">
    <w:nsid w:val="65B7639F"/>
    <w:multiLevelType w:val="multilevel"/>
    <w:tmpl w:val="A22611FC"/>
    <w:numStyleLink w:val="ConditionsList"/>
  </w:abstractNum>
  <w:abstractNum w:abstractNumId="10" w15:restartNumberingAfterBreak="0">
    <w:nsid w:val="664B0C65"/>
    <w:multiLevelType w:val="hybridMultilevel"/>
    <w:tmpl w:val="7E3C5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2079400393">
    <w:abstractNumId w:val="11"/>
  </w:num>
  <w:num w:numId="2" w16cid:durableId="1840267079">
    <w:abstractNumId w:val="6"/>
  </w:num>
  <w:num w:numId="3" w16cid:durableId="554509576">
    <w:abstractNumId w:val="8"/>
  </w:num>
  <w:num w:numId="4" w16cid:durableId="587732463">
    <w:abstractNumId w:val="0"/>
  </w:num>
  <w:num w:numId="5" w16cid:durableId="1595553506">
    <w:abstractNumId w:val="5"/>
  </w:num>
  <w:num w:numId="6" w16cid:durableId="1273855403">
    <w:abstractNumId w:val="7"/>
  </w:num>
  <w:num w:numId="7" w16cid:durableId="546259836">
    <w:abstractNumId w:val="1"/>
  </w:num>
  <w:num w:numId="8" w16cid:durableId="1291401211">
    <w:abstractNumId w:val="2"/>
  </w:num>
  <w:num w:numId="9" w16cid:durableId="516693881">
    <w:abstractNumId w:val="9"/>
  </w:num>
  <w:num w:numId="10" w16cid:durableId="1514494834">
    <w:abstractNumId w:val="10"/>
  </w:num>
  <w:num w:numId="11" w16cid:durableId="908416373">
    <w:abstractNumId w:val="3"/>
  </w:num>
  <w:num w:numId="12" w16cid:durableId="846288601">
    <w:abstractNumId w:val="4"/>
  </w:num>
  <w:num w:numId="13" w16cid:durableId="411585352">
    <w:abstractNumId w:val="6"/>
  </w:num>
  <w:num w:numId="14" w16cid:durableId="132350715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39"/>
    <w:rsid w:val="00001243"/>
    <w:rsid w:val="00004980"/>
    <w:rsid w:val="000060D9"/>
    <w:rsid w:val="000071D1"/>
    <w:rsid w:val="0001143E"/>
    <w:rsid w:val="00016512"/>
    <w:rsid w:val="00017DB7"/>
    <w:rsid w:val="00020E4E"/>
    <w:rsid w:val="000249AF"/>
    <w:rsid w:val="00024E7A"/>
    <w:rsid w:val="000279BD"/>
    <w:rsid w:val="00030668"/>
    <w:rsid w:val="00035096"/>
    <w:rsid w:val="00035D1B"/>
    <w:rsid w:val="00036D2D"/>
    <w:rsid w:val="00036F88"/>
    <w:rsid w:val="000378C4"/>
    <w:rsid w:val="00040D68"/>
    <w:rsid w:val="00040F0A"/>
    <w:rsid w:val="00040F9F"/>
    <w:rsid w:val="000416CD"/>
    <w:rsid w:val="000440C9"/>
    <w:rsid w:val="000441EB"/>
    <w:rsid w:val="0004440E"/>
    <w:rsid w:val="00047D03"/>
    <w:rsid w:val="000525B8"/>
    <w:rsid w:val="000565DB"/>
    <w:rsid w:val="00056C55"/>
    <w:rsid w:val="00057D96"/>
    <w:rsid w:val="00061F4D"/>
    <w:rsid w:val="00062374"/>
    <w:rsid w:val="00063604"/>
    <w:rsid w:val="00063ACA"/>
    <w:rsid w:val="00064314"/>
    <w:rsid w:val="000705AC"/>
    <w:rsid w:val="000716A8"/>
    <w:rsid w:val="00071A7A"/>
    <w:rsid w:val="000720A0"/>
    <w:rsid w:val="000750BD"/>
    <w:rsid w:val="00075A25"/>
    <w:rsid w:val="00076824"/>
    <w:rsid w:val="0007727B"/>
    <w:rsid w:val="0007779A"/>
    <w:rsid w:val="0008245B"/>
    <w:rsid w:val="00082633"/>
    <w:rsid w:val="000826A6"/>
    <w:rsid w:val="0008619D"/>
    <w:rsid w:val="0008630E"/>
    <w:rsid w:val="000865EF"/>
    <w:rsid w:val="000872F4"/>
    <w:rsid w:val="0008791C"/>
    <w:rsid w:val="00092FF6"/>
    <w:rsid w:val="000958F7"/>
    <w:rsid w:val="00095B7A"/>
    <w:rsid w:val="00097587"/>
    <w:rsid w:val="000A2164"/>
    <w:rsid w:val="000A3E04"/>
    <w:rsid w:val="000A7F86"/>
    <w:rsid w:val="000B2C6F"/>
    <w:rsid w:val="000B38F0"/>
    <w:rsid w:val="000B687F"/>
    <w:rsid w:val="000C0CE4"/>
    <w:rsid w:val="000C1EE6"/>
    <w:rsid w:val="000C2899"/>
    <w:rsid w:val="000C3E62"/>
    <w:rsid w:val="000C7480"/>
    <w:rsid w:val="000C77E0"/>
    <w:rsid w:val="000D1EB1"/>
    <w:rsid w:val="000D203A"/>
    <w:rsid w:val="000D5855"/>
    <w:rsid w:val="000D6414"/>
    <w:rsid w:val="000E1210"/>
    <w:rsid w:val="000E1E35"/>
    <w:rsid w:val="000E4E5D"/>
    <w:rsid w:val="000E5A9C"/>
    <w:rsid w:val="000E700E"/>
    <w:rsid w:val="000F35E0"/>
    <w:rsid w:val="000F4D5D"/>
    <w:rsid w:val="000F6883"/>
    <w:rsid w:val="0010109A"/>
    <w:rsid w:val="00101B65"/>
    <w:rsid w:val="001048A1"/>
    <w:rsid w:val="0010538B"/>
    <w:rsid w:val="00106158"/>
    <w:rsid w:val="001062FC"/>
    <w:rsid w:val="001065DA"/>
    <w:rsid w:val="001119DC"/>
    <w:rsid w:val="00112FCE"/>
    <w:rsid w:val="00113509"/>
    <w:rsid w:val="00114B7B"/>
    <w:rsid w:val="001162EA"/>
    <w:rsid w:val="00120C51"/>
    <w:rsid w:val="00120F1E"/>
    <w:rsid w:val="001215E5"/>
    <w:rsid w:val="00125CBC"/>
    <w:rsid w:val="00126ABD"/>
    <w:rsid w:val="00126BA5"/>
    <w:rsid w:val="00127A57"/>
    <w:rsid w:val="00132E91"/>
    <w:rsid w:val="00135A88"/>
    <w:rsid w:val="001403DF"/>
    <w:rsid w:val="001407E0"/>
    <w:rsid w:val="00142393"/>
    <w:rsid w:val="0014415A"/>
    <w:rsid w:val="00144397"/>
    <w:rsid w:val="001517CE"/>
    <w:rsid w:val="00151FF3"/>
    <w:rsid w:val="00153DCA"/>
    <w:rsid w:val="00157B6C"/>
    <w:rsid w:val="00161410"/>
    <w:rsid w:val="0016290C"/>
    <w:rsid w:val="001634FE"/>
    <w:rsid w:val="0016396C"/>
    <w:rsid w:val="00163C20"/>
    <w:rsid w:val="001648AE"/>
    <w:rsid w:val="001649D5"/>
    <w:rsid w:val="00164BD0"/>
    <w:rsid w:val="00165882"/>
    <w:rsid w:val="0016773E"/>
    <w:rsid w:val="00171EDB"/>
    <w:rsid w:val="001749B9"/>
    <w:rsid w:val="001775FC"/>
    <w:rsid w:val="001841B3"/>
    <w:rsid w:val="00186614"/>
    <w:rsid w:val="0018674C"/>
    <w:rsid w:val="00186AE8"/>
    <w:rsid w:val="0019250B"/>
    <w:rsid w:val="001926A9"/>
    <w:rsid w:val="001934B8"/>
    <w:rsid w:val="00194CDB"/>
    <w:rsid w:val="001962A0"/>
    <w:rsid w:val="00196AA9"/>
    <w:rsid w:val="00197903"/>
    <w:rsid w:val="001A318F"/>
    <w:rsid w:val="001A504E"/>
    <w:rsid w:val="001A5874"/>
    <w:rsid w:val="001A5B6D"/>
    <w:rsid w:val="001A6136"/>
    <w:rsid w:val="001A7522"/>
    <w:rsid w:val="001A7BA2"/>
    <w:rsid w:val="001B0B9A"/>
    <w:rsid w:val="001B0E94"/>
    <w:rsid w:val="001B3660"/>
    <w:rsid w:val="001B3AC6"/>
    <w:rsid w:val="001B3BF8"/>
    <w:rsid w:val="001B726A"/>
    <w:rsid w:val="001B7FEE"/>
    <w:rsid w:val="001C26B2"/>
    <w:rsid w:val="001C2DD3"/>
    <w:rsid w:val="001C2FC2"/>
    <w:rsid w:val="001C4003"/>
    <w:rsid w:val="001C491C"/>
    <w:rsid w:val="001C57A7"/>
    <w:rsid w:val="001C74B6"/>
    <w:rsid w:val="001D08FE"/>
    <w:rsid w:val="001D1333"/>
    <w:rsid w:val="001D4F9B"/>
    <w:rsid w:val="001D71D3"/>
    <w:rsid w:val="001D753A"/>
    <w:rsid w:val="001D7B77"/>
    <w:rsid w:val="001E18F2"/>
    <w:rsid w:val="001E3DCD"/>
    <w:rsid w:val="001E40A3"/>
    <w:rsid w:val="001E4745"/>
    <w:rsid w:val="001E484E"/>
    <w:rsid w:val="001E5E5A"/>
    <w:rsid w:val="001F0899"/>
    <w:rsid w:val="001F1359"/>
    <w:rsid w:val="001F1A6C"/>
    <w:rsid w:val="001F1F77"/>
    <w:rsid w:val="001F2F70"/>
    <w:rsid w:val="001F55AA"/>
    <w:rsid w:val="001F6042"/>
    <w:rsid w:val="00200710"/>
    <w:rsid w:val="00200A8C"/>
    <w:rsid w:val="0020235D"/>
    <w:rsid w:val="00203540"/>
    <w:rsid w:val="0020507B"/>
    <w:rsid w:val="00212489"/>
    <w:rsid w:val="002144EF"/>
    <w:rsid w:val="00215EDB"/>
    <w:rsid w:val="0021647D"/>
    <w:rsid w:val="0021734A"/>
    <w:rsid w:val="002213AB"/>
    <w:rsid w:val="00221C0D"/>
    <w:rsid w:val="0022365B"/>
    <w:rsid w:val="002276DF"/>
    <w:rsid w:val="00230BE7"/>
    <w:rsid w:val="00230D9D"/>
    <w:rsid w:val="00236341"/>
    <w:rsid w:val="002375DF"/>
    <w:rsid w:val="00240EFA"/>
    <w:rsid w:val="00240FF3"/>
    <w:rsid w:val="00242DFE"/>
    <w:rsid w:val="002433FB"/>
    <w:rsid w:val="00244E34"/>
    <w:rsid w:val="00246DFA"/>
    <w:rsid w:val="002473D9"/>
    <w:rsid w:val="00250DA7"/>
    <w:rsid w:val="00251D89"/>
    <w:rsid w:val="002529C2"/>
    <w:rsid w:val="002560CD"/>
    <w:rsid w:val="002642DF"/>
    <w:rsid w:val="002644C6"/>
    <w:rsid w:val="0026519F"/>
    <w:rsid w:val="00265710"/>
    <w:rsid w:val="002713CE"/>
    <w:rsid w:val="00273B02"/>
    <w:rsid w:val="00273CAC"/>
    <w:rsid w:val="0027680B"/>
    <w:rsid w:val="00276CE3"/>
    <w:rsid w:val="00276E31"/>
    <w:rsid w:val="0027734B"/>
    <w:rsid w:val="00282948"/>
    <w:rsid w:val="002836AD"/>
    <w:rsid w:val="00283892"/>
    <w:rsid w:val="00283955"/>
    <w:rsid w:val="00285F13"/>
    <w:rsid w:val="00287F6B"/>
    <w:rsid w:val="0029355D"/>
    <w:rsid w:val="00293D99"/>
    <w:rsid w:val="00295B12"/>
    <w:rsid w:val="00296563"/>
    <w:rsid w:val="002966AF"/>
    <w:rsid w:val="002A1021"/>
    <w:rsid w:val="002A1885"/>
    <w:rsid w:val="002A19F4"/>
    <w:rsid w:val="002A327A"/>
    <w:rsid w:val="002A548D"/>
    <w:rsid w:val="002B0FD2"/>
    <w:rsid w:val="002B1046"/>
    <w:rsid w:val="002B23C3"/>
    <w:rsid w:val="002B2E1B"/>
    <w:rsid w:val="002C4AC1"/>
    <w:rsid w:val="002C58DF"/>
    <w:rsid w:val="002C7A1E"/>
    <w:rsid w:val="002D0F39"/>
    <w:rsid w:val="002D1E09"/>
    <w:rsid w:val="002D2BDB"/>
    <w:rsid w:val="002D356C"/>
    <w:rsid w:val="002D358D"/>
    <w:rsid w:val="002D5D88"/>
    <w:rsid w:val="002D6451"/>
    <w:rsid w:val="002D72BA"/>
    <w:rsid w:val="002E02F3"/>
    <w:rsid w:val="002E08AA"/>
    <w:rsid w:val="002E143A"/>
    <w:rsid w:val="002E26F8"/>
    <w:rsid w:val="002E7C4B"/>
    <w:rsid w:val="002F2407"/>
    <w:rsid w:val="002F4453"/>
    <w:rsid w:val="002F75F0"/>
    <w:rsid w:val="00304790"/>
    <w:rsid w:val="003121E0"/>
    <w:rsid w:val="00320459"/>
    <w:rsid w:val="003237D8"/>
    <w:rsid w:val="00326945"/>
    <w:rsid w:val="00332BB7"/>
    <w:rsid w:val="0033581D"/>
    <w:rsid w:val="00335828"/>
    <w:rsid w:val="00335FDC"/>
    <w:rsid w:val="00340AFC"/>
    <w:rsid w:val="00340D91"/>
    <w:rsid w:val="00341FD3"/>
    <w:rsid w:val="003428A9"/>
    <w:rsid w:val="00345C19"/>
    <w:rsid w:val="00345C3C"/>
    <w:rsid w:val="00346867"/>
    <w:rsid w:val="00350A04"/>
    <w:rsid w:val="00350D7E"/>
    <w:rsid w:val="00350DE7"/>
    <w:rsid w:val="003510A8"/>
    <w:rsid w:val="00353848"/>
    <w:rsid w:val="0035513B"/>
    <w:rsid w:val="003565AA"/>
    <w:rsid w:val="00357D17"/>
    <w:rsid w:val="003602D1"/>
    <w:rsid w:val="00362692"/>
    <w:rsid w:val="003637D2"/>
    <w:rsid w:val="0036450B"/>
    <w:rsid w:val="00367165"/>
    <w:rsid w:val="003679FA"/>
    <w:rsid w:val="003717CC"/>
    <w:rsid w:val="00371FB8"/>
    <w:rsid w:val="00374E83"/>
    <w:rsid w:val="00375022"/>
    <w:rsid w:val="00375089"/>
    <w:rsid w:val="00375AD5"/>
    <w:rsid w:val="00376CB4"/>
    <w:rsid w:val="003777FD"/>
    <w:rsid w:val="00380950"/>
    <w:rsid w:val="00381170"/>
    <w:rsid w:val="0038175C"/>
    <w:rsid w:val="00381BB6"/>
    <w:rsid w:val="00383065"/>
    <w:rsid w:val="0038325A"/>
    <w:rsid w:val="00387FB3"/>
    <w:rsid w:val="00390A3A"/>
    <w:rsid w:val="00390F27"/>
    <w:rsid w:val="00390FCA"/>
    <w:rsid w:val="00394270"/>
    <w:rsid w:val="00394F21"/>
    <w:rsid w:val="00395BFF"/>
    <w:rsid w:val="00395F18"/>
    <w:rsid w:val="00396A0E"/>
    <w:rsid w:val="003A27C5"/>
    <w:rsid w:val="003A59AB"/>
    <w:rsid w:val="003A6786"/>
    <w:rsid w:val="003A6C23"/>
    <w:rsid w:val="003A7667"/>
    <w:rsid w:val="003B0707"/>
    <w:rsid w:val="003B0B8F"/>
    <w:rsid w:val="003B2783"/>
    <w:rsid w:val="003B30DA"/>
    <w:rsid w:val="003B363F"/>
    <w:rsid w:val="003B3C98"/>
    <w:rsid w:val="003B6D93"/>
    <w:rsid w:val="003C1012"/>
    <w:rsid w:val="003C156B"/>
    <w:rsid w:val="003C2B7A"/>
    <w:rsid w:val="003C45A5"/>
    <w:rsid w:val="003C5ABB"/>
    <w:rsid w:val="003C6DF4"/>
    <w:rsid w:val="003D109D"/>
    <w:rsid w:val="003D1125"/>
    <w:rsid w:val="003D1D0B"/>
    <w:rsid w:val="003D2267"/>
    <w:rsid w:val="003D25FB"/>
    <w:rsid w:val="003D482C"/>
    <w:rsid w:val="003D5457"/>
    <w:rsid w:val="003D5B9D"/>
    <w:rsid w:val="003D6667"/>
    <w:rsid w:val="003D68C8"/>
    <w:rsid w:val="003D6921"/>
    <w:rsid w:val="003E03C6"/>
    <w:rsid w:val="003E056C"/>
    <w:rsid w:val="003E13F3"/>
    <w:rsid w:val="003E47CB"/>
    <w:rsid w:val="003E4BF3"/>
    <w:rsid w:val="003E4C5A"/>
    <w:rsid w:val="003F0A69"/>
    <w:rsid w:val="003F0B14"/>
    <w:rsid w:val="003F0D6B"/>
    <w:rsid w:val="003F12DA"/>
    <w:rsid w:val="003F1AA4"/>
    <w:rsid w:val="003F1C26"/>
    <w:rsid w:val="003F4EA7"/>
    <w:rsid w:val="003F5941"/>
    <w:rsid w:val="003F5A4E"/>
    <w:rsid w:val="003F6B64"/>
    <w:rsid w:val="003F7842"/>
    <w:rsid w:val="0040066B"/>
    <w:rsid w:val="00401F5E"/>
    <w:rsid w:val="0040235B"/>
    <w:rsid w:val="00403830"/>
    <w:rsid w:val="00404AA4"/>
    <w:rsid w:val="00404D70"/>
    <w:rsid w:val="00404DC8"/>
    <w:rsid w:val="004073D5"/>
    <w:rsid w:val="00411F02"/>
    <w:rsid w:val="00412968"/>
    <w:rsid w:val="00412F72"/>
    <w:rsid w:val="0041675A"/>
    <w:rsid w:val="004230CE"/>
    <w:rsid w:val="00425E76"/>
    <w:rsid w:val="0042601B"/>
    <w:rsid w:val="00432E2D"/>
    <w:rsid w:val="00434F4D"/>
    <w:rsid w:val="00435BA0"/>
    <w:rsid w:val="00436254"/>
    <w:rsid w:val="0043757E"/>
    <w:rsid w:val="00437C8B"/>
    <w:rsid w:val="00440D2B"/>
    <w:rsid w:val="00441D31"/>
    <w:rsid w:val="00441DFE"/>
    <w:rsid w:val="00441E19"/>
    <w:rsid w:val="004421FC"/>
    <w:rsid w:val="00443757"/>
    <w:rsid w:val="0044504C"/>
    <w:rsid w:val="00445759"/>
    <w:rsid w:val="00446531"/>
    <w:rsid w:val="00447B8D"/>
    <w:rsid w:val="00450A2E"/>
    <w:rsid w:val="0045190F"/>
    <w:rsid w:val="00454AC5"/>
    <w:rsid w:val="00460194"/>
    <w:rsid w:val="0046081A"/>
    <w:rsid w:val="00460945"/>
    <w:rsid w:val="00461E1C"/>
    <w:rsid w:val="00463CC3"/>
    <w:rsid w:val="00463D1D"/>
    <w:rsid w:val="004708BD"/>
    <w:rsid w:val="004725FF"/>
    <w:rsid w:val="004733F2"/>
    <w:rsid w:val="00480A6F"/>
    <w:rsid w:val="004811A2"/>
    <w:rsid w:val="00482B46"/>
    <w:rsid w:val="0048319E"/>
    <w:rsid w:val="00485694"/>
    <w:rsid w:val="0048599B"/>
    <w:rsid w:val="00485DBE"/>
    <w:rsid w:val="00491AAB"/>
    <w:rsid w:val="00491FF1"/>
    <w:rsid w:val="00493AF1"/>
    <w:rsid w:val="004956F2"/>
    <w:rsid w:val="00496058"/>
    <w:rsid w:val="00496138"/>
    <w:rsid w:val="0049685C"/>
    <w:rsid w:val="004A6AF4"/>
    <w:rsid w:val="004A753A"/>
    <w:rsid w:val="004B1C2E"/>
    <w:rsid w:val="004B1E5B"/>
    <w:rsid w:val="004B2B30"/>
    <w:rsid w:val="004B4BD7"/>
    <w:rsid w:val="004B7A89"/>
    <w:rsid w:val="004B7F59"/>
    <w:rsid w:val="004C3239"/>
    <w:rsid w:val="004C370E"/>
    <w:rsid w:val="004C4C28"/>
    <w:rsid w:val="004C6DCA"/>
    <w:rsid w:val="004D28FB"/>
    <w:rsid w:val="004D2905"/>
    <w:rsid w:val="004D2CC1"/>
    <w:rsid w:val="004D4294"/>
    <w:rsid w:val="004D5C4F"/>
    <w:rsid w:val="004D5D5C"/>
    <w:rsid w:val="004D63E9"/>
    <w:rsid w:val="004D64E6"/>
    <w:rsid w:val="004D7D8B"/>
    <w:rsid w:val="004D7FA4"/>
    <w:rsid w:val="004E086D"/>
    <w:rsid w:val="004E3210"/>
    <w:rsid w:val="004E3A60"/>
    <w:rsid w:val="004E521D"/>
    <w:rsid w:val="004E592D"/>
    <w:rsid w:val="004E63EE"/>
    <w:rsid w:val="004E6E33"/>
    <w:rsid w:val="004E73E7"/>
    <w:rsid w:val="004F1700"/>
    <w:rsid w:val="004F3604"/>
    <w:rsid w:val="0050005E"/>
    <w:rsid w:val="00500BDE"/>
    <w:rsid w:val="00502460"/>
    <w:rsid w:val="005027C1"/>
    <w:rsid w:val="00503BE1"/>
    <w:rsid w:val="00503CB4"/>
    <w:rsid w:val="00504B2C"/>
    <w:rsid w:val="00505D32"/>
    <w:rsid w:val="00507292"/>
    <w:rsid w:val="00510AEA"/>
    <w:rsid w:val="005131B1"/>
    <w:rsid w:val="00514002"/>
    <w:rsid w:val="005148EF"/>
    <w:rsid w:val="00521262"/>
    <w:rsid w:val="00522081"/>
    <w:rsid w:val="005222F8"/>
    <w:rsid w:val="00522DFF"/>
    <w:rsid w:val="005249E9"/>
    <w:rsid w:val="00524AD5"/>
    <w:rsid w:val="0052516B"/>
    <w:rsid w:val="0052589D"/>
    <w:rsid w:val="00530B04"/>
    <w:rsid w:val="00531438"/>
    <w:rsid w:val="00535364"/>
    <w:rsid w:val="0054031E"/>
    <w:rsid w:val="00540AB6"/>
    <w:rsid w:val="00541617"/>
    <w:rsid w:val="00542596"/>
    <w:rsid w:val="005429D4"/>
    <w:rsid w:val="00542B36"/>
    <w:rsid w:val="005441DC"/>
    <w:rsid w:val="00546D7F"/>
    <w:rsid w:val="00547A01"/>
    <w:rsid w:val="005504A7"/>
    <w:rsid w:val="00551577"/>
    <w:rsid w:val="00551BB9"/>
    <w:rsid w:val="005520CF"/>
    <w:rsid w:val="005540EC"/>
    <w:rsid w:val="005548C7"/>
    <w:rsid w:val="00555096"/>
    <w:rsid w:val="00557ADF"/>
    <w:rsid w:val="00557F3D"/>
    <w:rsid w:val="00561E17"/>
    <w:rsid w:val="00563A1A"/>
    <w:rsid w:val="0056632B"/>
    <w:rsid w:val="00567DE2"/>
    <w:rsid w:val="0057083E"/>
    <w:rsid w:val="005718E0"/>
    <w:rsid w:val="00575EBE"/>
    <w:rsid w:val="00577D9D"/>
    <w:rsid w:val="00577EEC"/>
    <w:rsid w:val="00580173"/>
    <w:rsid w:val="00580436"/>
    <w:rsid w:val="00581CBF"/>
    <w:rsid w:val="00582291"/>
    <w:rsid w:val="005825C8"/>
    <w:rsid w:val="005837DF"/>
    <w:rsid w:val="00584D78"/>
    <w:rsid w:val="00585C62"/>
    <w:rsid w:val="00585C92"/>
    <w:rsid w:val="00587FB4"/>
    <w:rsid w:val="00591E13"/>
    <w:rsid w:val="005A212B"/>
    <w:rsid w:val="005A4281"/>
    <w:rsid w:val="005A5369"/>
    <w:rsid w:val="005A5898"/>
    <w:rsid w:val="005A6460"/>
    <w:rsid w:val="005A68C2"/>
    <w:rsid w:val="005A77F9"/>
    <w:rsid w:val="005B0150"/>
    <w:rsid w:val="005B0170"/>
    <w:rsid w:val="005B0B75"/>
    <w:rsid w:val="005B343D"/>
    <w:rsid w:val="005B3822"/>
    <w:rsid w:val="005B4B54"/>
    <w:rsid w:val="005B64E2"/>
    <w:rsid w:val="005B6558"/>
    <w:rsid w:val="005B672C"/>
    <w:rsid w:val="005C02E7"/>
    <w:rsid w:val="005C0446"/>
    <w:rsid w:val="005C1CE2"/>
    <w:rsid w:val="005C38DA"/>
    <w:rsid w:val="005C6186"/>
    <w:rsid w:val="005D0EEC"/>
    <w:rsid w:val="005D3CDB"/>
    <w:rsid w:val="005D552F"/>
    <w:rsid w:val="005D6C13"/>
    <w:rsid w:val="005D7686"/>
    <w:rsid w:val="005E1846"/>
    <w:rsid w:val="005E2503"/>
    <w:rsid w:val="005E2D43"/>
    <w:rsid w:val="005E3F67"/>
    <w:rsid w:val="005F3EB0"/>
    <w:rsid w:val="005F43D4"/>
    <w:rsid w:val="005F4894"/>
    <w:rsid w:val="005F5807"/>
    <w:rsid w:val="005F5A7F"/>
    <w:rsid w:val="005F5EB7"/>
    <w:rsid w:val="005F6E05"/>
    <w:rsid w:val="00603080"/>
    <w:rsid w:val="006063D2"/>
    <w:rsid w:val="006109C9"/>
    <w:rsid w:val="006111A6"/>
    <w:rsid w:val="00612A88"/>
    <w:rsid w:val="00613F79"/>
    <w:rsid w:val="00613FA2"/>
    <w:rsid w:val="0061445C"/>
    <w:rsid w:val="00614532"/>
    <w:rsid w:val="00614F6A"/>
    <w:rsid w:val="00616421"/>
    <w:rsid w:val="0061667D"/>
    <w:rsid w:val="0061701B"/>
    <w:rsid w:val="00621C5F"/>
    <w:rsid w:val="006224F8"/>
    <w:rsid w:val="00623558"/>
    <w:rsid w:val="00624CBE"/>
    <w:rsid w:val="00626865"/>
    <w:rsid w:val="00627015"/>
    <w:rsid w:val="00627EE8"/>
    <w:rsid w:val="00630862"/>
    <w:rsid w:val="006315D0"/>
    <w:rsid w:val="00632005"/>
    <w:rsid w:val="00634B41"/>
    <w:rsid w:val="00635A0E"/>
    <w:rsid w:val="00640EC5"/>
    <w:rsid w:val="00641A79"/>
    <w:rsid w:val="00644AB2"/>
    <w:rsid w:val="00645D57"/>
    <w:rsid w:val="00652CD4"/>
    <w:rsid w:val="00654042"/>
    <w:rsid w:val="00654AB3"/>
    <w:rsid w:val="00655A03"/>
    <w:rsid w:val="00655AE2"/>
    <w:rsid w:val="0066145F"/>
    <w:rsid w:val="006634D9"/>
    <w:rsid w:val="00663B2C"/>
    <w:rsid w:val="00663BC2"/>
    <w:rsid w:val="00664F55"/>
    <w:rsid w:val="00665CF9"/>
    <w:rsid w:val="006663F1"/>
    <w:rsid w:val="00666CE9"/>
    <w:rsid w:val="00670773"/>
    <w:rsid w:val="00670C75"/>
    <w:rsid w:val="00676DBC"/>
    <w:rsid w:val="0068157A"/>
    <w:rsid w:val="006847B0"/>
    <w:rsid w:val="00684F03"/>
    <w:rsid w:val="006851E1"/>
    <w:rsid w:val="0068580A"/>
    <w:rsid w:val="00685E1F"/>
    <w:rsid w:val="006873A5"/>
    <w:rsid w:val="00692DAB"/>
    <w:rsid w:val="00692FF5"/>
    <w:rsid w:val="00693A97"/>
    <w:rsid w:val="00693FC5"/>
    <w:rsid w:val="00695B95"/>
    <w:rsid w:val="00695DB2"/>
    <w:rsid w:val="00696BA0"/>
    <w:rsid w:val="00697A37"/>
    <w:rsid w:val="006A08B2"/>
    <w:rsid w:val="006A20FF"/>
    <w:rsid w:val="006A259C"/>
    <w:rsid w:val="006A57CC"/>
    <w:rsid w:val="006A66CB"/>
    <w:rsid w:val="006A6F99"/>
    <w:rsid w:val="006A7395"/>
    <w:rsid w:val="006B1E46"/>
    <w:rsid w:val="006B2740"/>
    <w:rsid w:val="006B293D"/>
    <w:rsid w:val="006B3B00"/>
    <w:rsid w:val="006B555F"/>
    <w:rsid w:val="006B5568"/>
    <w:rsid w:val="006B7AE5"/>
    <w:rsid w:val="006C0848"/>
    <w:rsid w:val="006C135E"/>
    <w:rsid w:val="006C1521"/>
    <w:rsid w:val="006C1AC6"/>
    <w:rsid w:val="006C2DEC"/>
    <w:rsid w:val="006C4C65"/>
    <w:rsid w:val="006C56F4"/>
    <w:rsid w:val="006C664F"/>
    <w:rsid w:val="006C70E7"/>
    <w:rsid w:val="006C7137"/>
    <w:rsid w:val="006C7E45"/>
    <w:rsid w:val="006D05F3"/>
    <w:rsid w:val="006D40D3"/>
    <w:rsid w:val="006E0A60"/>
    <w:rsid w:val="006E3D54"/>
    <w:rsid w:val="006E4A8A"/>
    <w:rsid w:val="006E64A4"/>
    <w:rsid w:val="006E7269"/>
    <w:rsid w:val="006E7EA5"/>
    <w:rsid w:val="006F39BB"/>
    <w:rsid w:val="006F4120"/>
    <w:rsid w:val="006F5EC9"/>
    <w:rsid w:val="006F6BFF"/>
    <w:rsid w:val="007014AF"/>
    <w:rsid w:val="00703620"/>
    <w:rsid w:val="0070409D"/>
    <w:rsid w:val="00704662"/>
    <w:rsid w:val="007048EF"/>
    <w:rsid w:val="00705670"/>
    <w:rsid w:val="007068CC"/>
    <w:rsid w:val="007110FB"/>
    <w:rsid w:val="00711E14"/>
    <w:rsid w:val="0071396D"/>
    <w:rsid w:val="00714DE9"/>
    <w:rsid w:val="00721F77"/>
    <w:rsid w:val="00725343"/>
    <w:rsid w:val="007262F2"/>
    <w:rsid w:val="00730170"/>
    <w:rsid w:val="007329B2"/>
    <w:rsid w:val="00732F5C"/>
    <w:rsid w:val="007362E9"/>
    <w:rsid w:val="0073689F"/>
    <w:rsid w:val="00737FA8"/>
    <w:rsid w:val="007402F5"/>
    <w:rsid w:val="007403FD"/>
    <w:rsid w:val="00743D67"/>
    <w:rsid w:val="007505AA"/>
    <w:rsid w:val="00754ED8"/>
    <w:rsid w:val="00754F98"/>
    <w:rsid w:val="00755024"/>
    <w:rsid w:val="00756D7F"/>
    <w:rsid w:val="007629AF"/>
    <w:rsid w:val="00762EAE"/>
    <w:rsid w:val="007642E3"/>
    <w:rsid w:val="00765D56"/>
    <w:rsid w:val="00765DEB"/>
    <w:rsid w:val="0076697B"/>
    <w:rsid w:val="007679C3"/>
    <w:rsid w:val="0077030D"/>
    <w:rsid w:val="00770331"/>
    <w:rsid w:val="00770548"/>
    <w:rsid w:val="00770891"/>
    <w:rsid w:val="00770F8B"/>
    <w:rsid w:val="00772842"/>
    <w:rsid w:val="0077291A"/>
    <w:rsid w:val="00772B0B"/>
    <w:rsid w:val="007741D5"/>
    <w:rsid w:val="00780B71"/>
    <w:rsid w:val="00781F8F"/>
    <w:rsid w:val="0078229B"/>
    <w:rsid w:val="00782A0B"/>
    <w:rsid w:val="00783D21"/>
    <w:rsid w:val="007845FA"/>
    <w:rsid w:val="00784C05"/>
    <w:rsid w:val="00784EF4"/>
    <w:rsid w:val="0079002B"/>
    <w:rsid w:val="00791D8B"/>
    <w:rsid w:val="00793CE3"/>
    <w:rsid w:val="0079485B"/>
    <w:rsid w:val="007A0C3D"/>
    <w:rsid w:val="007A28B0"/>
    <w:rsid w:val="007A3DE5"/>
    <w:rsid w:val="007A4831"/>
    <w:rsid w:val="007A4E4E"/>
    <w:rsid w:val="007A5F2D"/>
    <w:rsid w:val="007A61D4"/>
    <w:rsid w:val="007A72AD"/>
    <w:rsid w:val="007A7BD1"/>
    <w:rsid w:val="007B1751"/>
    <w:rsid w:val="007B3574"/>
    <w:rsid w:val="007B5F86"/>
    <w:rsid w:val="007B666F"/>
    <w:rsid w:val="007B7776"/>
    <w:rsid w:val="007B7A74"/>
    <w:rsid w:val="007C22D0"/>
    <w:rsid w:val="007C2F96"/>
    <w:rsid w:val="007C3481"/>
    <w:rsid w:val="007C350A"/>
    <w:rsid w:val="007C37EB"/>
    <w:rsid w:val="007C4974"/>
    <w:rsid w:val="007C4E02"/>
    <w:rsid w:val="007C5435"/>
    <w:rsid w:val="007D04AB"/>
    <w:rsid w:val="007D25D0"/>
    <w:rsid w:val="007D37CB"/>
    <w:rsid w:val="007D4236"/>
    <w:rsid w:val="007D49B4"/>
    <w:rsid w:val="007D6579"/>
    <w:rsid w:val="007D6EF2"/>
    <w:rsid w:val="007D7D74"/>
    <w:rsid w:val="007E0AA8"/>
    <w:rsid w:val="007E0B41"/>
    <w:rsid w:val="007E1445"/>
    <w:rsid w:val="007E16A1"/>
    <w:rsid w:val="007E1B6C"/>
    <w:rsid w:val="007E4BCA"/>
    <w:rsid w:val="007E65E8"/>
    <w:rsid w:val="007E7A2C"/>
    <w:rsid w:val="007E7A37"/>
    <w:rsid w:val="007F0808"/>
    <w:rsid w:val="007F183B"/>
    <w:rsid w:val="007F5043"/>
    <w:rsid w:val="007F633C"/>
    <w:rsid w:val="00800BF2"/>
    <w:rsid w:val="00803454"/>
    <w:rsid w:val="00804F03"/>
    <w:rsid w:val="00806799"/>
    <w:rsid w:val="00807368"/>
    <w:rsid w:val="008103A7"/>
    <w:rsid w:val="00810BAC"/>
    <w:rsid w:val="00814190"/>
    <w:rsid w:val="008165A3"/>
    <w:rsid w:val="008173CE"/>
    <w:rsid w:val="00817AEB"/>
    <w:rsid w:val="00820C0E"/>
    <w:rsid w:val="008221FC"/>
    <w:rsid w:val="00822788"/>
    <w:rsid w:val="00822886"/>
    <w:rsid w:val="00825871"/>
    <w:rsid w:val="00827347"/>
    <w:rsid w:val="00834A4A"/>
    <w:rsid w:val="00836F2C"/>
    <w:rsid w:val="00840975"/>
    <w:rsid w:val="00840A5C"/>
    <w:rsid w:val="00841175"/>
    <w:rsid w:val="00841B2D"/>
    <w:rsid w:val="00841ECF"/>
    <w:rsid w:val="0084298A"/>
    <w:rsid w:val="00844A81"/>
    <w:rsid w:val="00852450"/>
    <w:rsid w:val="00853284"/>
    <w:rsid w:val="00854CB4"/>
    <w:rsid w:val="008552AB"/>
    <w:rsid w:val="008559B2"/>
    <w:rsid w:val="00855C7D"/>
    <w:rsid w:val="0086006E"/>
    <w:rsid w:val="00860519"/>
    <w:rsid w:val="00860FE3"/>
    <w:rsid w:val="00861099"/>
    <w:rsid w:val="00864715"/>
    <w:rsid w:val="0086630A"/>
    <w:rsid w:val="00867022"/>
    <w:rsid w:val="0086721A"/>
    <w:rsid w:val="00867316"/>
    <w:rsid w:val="00867EAF"/>
    <w:rsid w:val="008706D4"/>
    <w:rsid w:val="008713F9"/>
    <w:rsid w:val="00871F9E"/>
    <w:rsid w:val="00873341"/>
    <w:rsid w:val="00873A4B"/>
    <w:rsid w:val="00873FAA"/>
    <w:rsid w:val="00874304"/>
    <w:rsid w:val="008753A6"/>
    <w:rsid w:val="008811D1"/>
    <w:rsid w:val="00885E46"/>
    <w:rsid w:val="00890A87"/>
    <w:rsid w:val="00891EF4"/>
    <w:rsid w:val="008964CD"/>
    <w:rsid w:val="00896803"/>
    <w:rsid w:val="008A1697"/>
    <w:rsid w:val="008A1E2F"/>
    <w:rsid w:val="008A3584"/>
    <w:rsid w:val="008A5214"/>
    <w:rsid w:val="008B14CE"/>
    <w:rsid w:val="008B20B9"/>
    <w:rsid w:val="008B2C1C"/>
    <w:rsid w:val="008B683D"/>
    <w:rsid w:val="008C0991"/>
    <w:rsid w:val="008C6832"/>
    <w:rsid w:val="008D3E4F"/>
    <w:rsid w:val="008D4F10"/>
    <w:rsid w:val="008D5D3B"/>
    <w:rsid w:val="008D62B1"/>
    <w:rsid w:val="008D7706"/>
    <w:rsid w:val="008E4747"/>
    <w:rsid w:val="008E4E71"/>
    <w:rsid w:val="008E728E"/>
    <w:rsid w:val="008F084C"/>
    <w:rsid w:val="008F1EB5"/>
    <w:rsid w:val="008F3B02"/>
    <w:rsid w:val="008F5290"/>
    <w:rsid w:val="008F779D"/>
    <w:rsid w:val="008F7F5E"/>
    <w:rsid w:val="00901114"/>
    <w:rsid w:val="00902E36"/>
    <w:rsid w:val="009059E0"/>
    <w:rsid w:val="00905B3B"/>
    <w:rsid w:val="0090748C"/>
    <w:rsid w:val="00911534"/>
    <w:rsid w:val="00912C36"/>
    <w:rsid w:val="00915108"/>
    <w:rsid w:val="00915DB9"/>
    <w:rsid w:val="00916E43"/>
    <w:rsid w:val="00917211"/>
    <w:rsid w:val="00920E1E"/>
    <w:rsid w:val="00924EC3"/>
    <w:rsid w:val="009253C3"/>
    <w:rsid w:val="00930CFB"/>
    <w:rsid w:val="00935257"/>
    <w:rsid w:val="009400E3"/>
    <w:rsid w:val="00942500"/>
    <w:rsid w:val="00943BD4"/>
    <w:rsid w:val="00944771"/>
    <w:rsid w:val="0094688B"/>
    <w:rsid w:val="00946F5A"/>
    <w:rsid w:val="0095049D"/>
    <w:rsid w:val="009532AA"/>
    <w:rsid w:val="009540F8"/>
    <w:rsid w:val="00954320"/>
    <w:rsid w:val="00956EDC"/>
    <w:rsid w:val="00957355"/>
    <w:rsid w:val="0096014E"/>
    <w:rsid w:val="0096148E"/>
    <w:rsid w:val="00962C24"/>
    <w:rsid w:val="00964954"/>
    <w:rsid w:val="00967EFF"/>
    <w:rsid w:val="00972FEF"/>
    <w:rsid w:val="0097584D"/>
    <w:rsid w:val="00975C4F"/>
    <w:rsid w:val="00976CC3"/>
    <w:rsid w:val="00982DAD"/>
    <w:rsid w:val="00984511"/>
    <w:rsid w:val="00984CEF"/>
    <w:rsid w:val="0098781A"/>
    <w:rsid w:val="0099275D"/>
    <w:rsid w:val="00993857"/>
    <w:rsid w:val="0099750A"/>
    <w:rsid w:val="009A1A47"/>
    <w:rsid w:val="009A1DB7"/>
    <w:rsid w:val="009A332B"/>
    <w:rsid w:val="009A5C17"/>
    <w:rsid w:val="009A6635"/>
    <w:rsid w:val="009A7138"/>
    <w:rsid w:val="009A79F9"/>
    <w:rsid w:val="009B0681"/>
    <w:rsid w:val="009B2B39"/>
    <w:rsid w:val="009C01D7"/>
    <w:rsid w:val="009C58BD"/>
    <w:rsid w:val="009C6751"/>
    <w:rsid w:val="009C70E9"/>
    <w:rsid w:val="009D1FE9"/>
    <w:rsid w:val="009D2832"/>
    <w:rsid w:val="009D3F5C"/>
    <w:rsid w:val="009D46F8"/>
    <w:rsid w:val="009E0529"/>
    <w:rsid w:val="009E0CBC"/>
    <w:rsid w:val="009E207B"/>
    <w:rsid w:val="009E23B8"/>
    <w:rsid w:val="009E37BE"/>
    <w:rsid w:val="009E5934"/>
    <w:rsid w:val="009E6D04"/>
    <w:rsid w:val="009E6D38"/>
    <w:rsid w:val="009E7375"/>
    <w:rsid w:val="009E7B76"/>
    <w:rsid w:val="009F0356"/>
    <w:rsid w:val="009F15EA"/>
    <w:rsid w:val="009F1B2D"/>
    <w:rsid w:val="009F28C3"/>
    <w:rsid w:val="009F47B9"/>
    <w:rsid w:val="009F6B32"/>
    <w:rsid w:val="009F7466"/>
    <w:rsid w:val="009F7FB1"/>
    <w:rsid w:val="00A002F3"/>
    <w:rsid w:val="00A01059"/>
    <w:rsid w:val="00A027F2"/>
    <w:rsid w:val="00A062D6"/>
    <w:rsid w:val="00A06905"/>
    <w:rsid w:val="00A07A12"/>
    <w:rsid w:val="00A1043B"/>
    <w:rsid w:val="00A10C5F"/>
    <w:rsid w:val="00A10D10"/>
    <w:rsid w:val="00A12294"/>
    <w:rsid w:val="00A12507"/>
    <w:rsid w:val="00A158E8"/>
    <w:rsid w:val="00A15E3D"/>
    <w:rsid w:val="00A17E26"/>
    <w:rsid w:val="00A206CE"/>
    <w:rsid w:val="00A2202B"/>
    <w:rsid w:val="00A227F3"/>
    <w:rsid w:val="00A23020"/>
    <w:rsid w:val="00A25B4A"/>
    <w:rsid w:val="00A2637C"/>
    <w:rsid w:val="00A276CE"/>
    <w:rsid w:val="00A27D82"/>
    <w:rsid w:val="00A347F6"/>
    <w:rsid w:val="00A370EF"/>
    <w:rsid w:val="00A4130E"/>
    <w:rsid w:val="00A42282"/>
    <w:rsid w:val="00A43043"/>
    <w:rsid w:val="00A431DE"/>
    <w:rsid w:val="00A444BB"/>
    <w:rsid w:val="00A46058"/>
    <w:rsid w:val="00A468CF"/>
    <w:rsid w:val="00A47436"/>
    <w:rsid w:val="00A50367"/>
    <w:rsid w:val="00A56080"/>
    <w:rsid w:val="00A57D18"/>
    <w:rsid w:val="00A57E8D"/>
    <w:rsid w:val="00A627CF"/>
    <w:rsid w:val="00A62F5E"/>
    <w:rsid w:val="00A67AEE"/>
    <w:rsid w:val="00A71371"/>
    <w:rsid w:val="00A73277"/>
    <w:rsid w:val="00A741F1"/>
    <w:rsid w:val="00A7456F"/>
    <w:rsid w:val="00A74D34"/>
    <w:rsid w:val="00A7569C"/>
    <w:rsid w:val="00A80538"/>
    <w:rsid w:val="00A83D62"/>
    <w:rsid w:val="00A858FD"/>
    <w:rsid w:val="00A85C72"/>
    <w:rsid w:val="00A879B7"/>
    <w:rsid w:val="00A90E99"/>
    <w:rsid w:val="00A91EAF"/>
    <w:rsid w:val="00A932A9"/>
    <w:rsid w:val="00A933A2"/>
    <w:rsid w:val="00A9356F"/>
    <w:rsid w:val="00A9614E"/>
    <w:rsid w:val="00AA0435"/>
    <w:rsid w:val="00AA2A9E"/>
    <w:rsid w:val="00AA2F69"/>
    <w:rsid w:val="00AA352E"/>
    <w:rsid w:val="00AA487B"/>
    <w:rsid w:val="00AA4DC8"/>
    <w:rsid w:val="00AA5674"/>
    <w:rsid w:val="00AB03F4"/>
    <w:rsid w:val="00AB0D5F"/>
    <w:rsid w:val="00AB13DB"/>
    <w:rsid w:val="00AB14D2"/>
    <w:rsid w:val="00AB1527"/>
    <w:rsid w:val="00AB38D6"/>
    <w:rsid w:val="00AB3927"/>
    <w:rsid w:val="00AB5D9D"/>
    <w:rsid w:val="00AC0FF3"/>
    <w:rsid w:val="00AC6BE0"/>
    <w:rsid w:val="00AC771A"/>
    <w:rsid w:val="00AD0849"/>
    <w:rsid w:val="00AD1A4D"/>
    <w:rsid w:val="00AD2772"/>
    <w:rsid w:val="00AD2F42"/>
    <w:rsid w:val="00AD3672"/>
    <w:rsid w:val="00AD36FE"/>
    <w:rsid w:val="00AD44A7"/>
    <w:rsid w:val="00AD44CA"/>
    <w:rsid w:val="00AD5767"/>
    <w:rsid w:val="00AD5A32"/>
    <w:rsid w:val="00AD5F8E"/>
    <w:rsid w:val="00AE3482"/>
    <w:rsid w:val="00AF2DC0"/>
    <w:rsid w:val="00AF54EC"/>
    <w:rsid w:val="00B00849"/>
    <w:rsid w:val="00B010CE"/>
    <w:rsid w:val="00B01EA1"/>
    <w:rsid w:val="00B05975"/>
    <w:rsid w:val="00B05AE9"/>
    <w:rsid w:val="00B0620F"/>
    <w:rsid w:val="00B1172F"/>
    <w:rsid w:val="00B1571F"/>
    <w:rsid w:val="00B15ABF"/>
    <w:rsid w:val="00B17396"/>
    <w:rsid w:val="00B22289"/>
    <w:rsid w:val="00B22B9B"/>
    <w:rsid w:val="00B333AE"/>
    <w:rsid w:val="00B3692A"/>
    <w:rsid w:val="00B406A6"/>
    <w:rsid w:val="00B407E1"/>
    <w:rsid w:val="00B44C4D"/>
    <w:rsid w:val="00B44C7E"/>
    <w:rsid w:val="00B44D62"/>
    <w:rsid w:val="00B45EF2"/>
    <w:rsid w:val="00B46AA8"/>
    <w:rsid w:val="00B470F9"/>
    <w:rsid w:val="00B5111D"/>
    <w:rsid w:val="00B52163"/>
    <w:rsid w:val="00B52994"/>
    <w:rsid w:val="00B56CF0"/>
    <w:rsid w:val="00B577DD"/>
    <w:rsid w:val="00B60765"/>
    <w:rsid w:val="00B60992"/>
    <w:rsid w:val="00B64CE3"/>
    <w:rsid w:val="00B650A3"/>
    <w:rsid w:val="00B67F5E"/>
    <w:rsid w:val="00B73395"/>
    <w:rsid w:val="00B73A1F"/>
    <w:rsid w:val="00B75EFF"/>
    <w:rsid w:val="00B76DDB"/>
    <w:rsid w:val="00B81DD6"/>
    <w:rsid w:val="00B823FF"/>
    <w:rsid w:val="00B8495D"/>
    <w:rsid w:val="00B86575"/>
    <w:rsid w:val="00B877AF"/>
    <w:rsid w:val="00B87C95"/>
    <w:rsid w:val="00B9093E"/>
    <w:rsid w:val="00B91B4B"/>
    <w:rsid w:val="00B929F9"/>
    <w:rsid w:val="00B93290"/>
    <w:rsid w:val="00B95A89"/>
    <w:rsid w:val="00BA179D"/>
    <w:rsid w:val="00BA17C6"/>
    <w:rsid w:val="00BA67D8"/>
    <w:rsid w:val="00BB1470"/>
    <w:rsid w:val="00BB2146"/>
    <w:rsid w:val="00BB2AB4"/>
    <w:rsid w:val="00BB34FF"/>
    <w:rsid w:val="00BB379A"/>
    <w:rsid w:val="00BB409B"/>
    <w:rsid w:val="00BB44A5"/>
    <w:rsid w:val="00BB69E8"/>
    <w:rsid w:val="00BC1569"/>
    <w:rsid w:val="00BC29AB"/>
    <w:rsid w:val="00BC2EBE"/>
    <w:rsid w:val="00BC33C1"/>
    <w:rsid w:val="00BC70A3"/>
    <w:rsid w:val="00BD2BCC"/>
    <w:rsid w:val="00BD4B08"/>
    <w:rsid w:val="00BD62DD"/>
    <w:rsid w:val="00BD680A"/>
    <w:rsid w:val="00BD73CE"/>
    <w:rsid w:val="00BD7A2B"/>
    <w:rsid w:val="00BE1215"/>
    <w:rsid w:val="00BE2A19"/>
    <w:rsid w:val="00BE35C7"/>
    <w:rsid w:val="00BE4582"/>
    <w:rsid w:val="00BE715A"/>
    <w:rsid w:val="00BE73A3"/>
    <w:rsid w:val="00BE745A"/>
    <w:rsid w:val="00BE7520"/>
    <w:rsid w:val="00BF1B5E"/>
    <w:rsid w:val="00BF481E"/>
    <w:rsid w:val="00BF6929"/>
    <w:rsid w:val="00BF77F7"/>
    <w:rsid w:val="00BF7B72"/>
    <w:rsid w:val="00C0063D"/>
    <w:rsid w:val="00C00A78"/>
    <w:rsid w:val="00C01B4A"/>
    <w:rsid w:val="00C020FD"/>
    <w:rsid w:val="00C07865"/>
    <w:rsid w:val="00C101C4"/>
    <w:rsid w:val="00C11112"/>
    <w:rsid w:val="00C131D3"/>
    <w:rsid w:val="00C14CA5"/>
    <w:rsid w:val="00C1520E"/>
    <w:rsid w:val="00C154AE"/>
    <w:rsid w:val="00C16766"/>
    <w:rsid w:val="00C1676E"/>
    <w:rsid w:val="00C17716"/>
    <w:rsid w:val="00C21D8C"/>
    <w:rsid w:val="00C23C1A"/>
    <w:rsid w:val="00C23F35"/>
    <w:rsid w:val="00C24D49"/>
    <w:rsid w:val="00C25593"/>
    <w:rsid w:val="00C2682D"/>
    <w:rsid w:val="00C30B79"/>
    <w:rsid w:val="00C33073"/>
    <w:rsid w:val="00C337C3"/>
    <w:rsid w:val="00C3422B"/>
    <w:rsid w:val="00C35FA0"/>
    <w:rsid w:val="00C370B2"/>
    <w:rsid w:val="00C372D5"/>
    <w:rsid w:val="00C37E27"/>
    <w:rsid w:val="00C43A3B"/>
    <w:rsid w:val="00C441A9"/>
    <w:rsid w:val="00C4435F"/>
    <w:rsid w:val="00C446FB"/>
    <w:rsid w:val="00C452FB"/>
    <w:rsid w:val="00C51A95"/>
    <w:rsid w:val="00C51B3C"/>
    <w:rsid w:val="00C56D7A"/>
    <w:rsid w:val="00C57B7D"/>
    <w:rsid w:val="00C6338B"/>
    <w:rsid w:val="00C64C12"/>
    <w:rsid w:val="00C65AD2"/>
    <w:rsid w:val="00C667C1"/>
    <w:rsid w:val="00C70633"/>
    <w:rsid w:val="00C7081E"/>
    <w:rsid w:val="00C72516"/>
    <w:rsid w:val="00C72C01"/>
    <w:rsid w:val="00C72D3D"/>
    <w:rsid w:val="00C74CA7"/>
    <w:rsid w:val="00C8106A"/>
    <w:rsid w:val="00C81FE4"/>
    <w:rsid w:val="00C8663C"/>
    <w:rsid w:val="00C8783E"/>
    <w:rsid w:val="00C90263"/>
    <w:rsid w:val="00C933CB"/>
    <w:rsid w:val="00C9522A"/>
    <w:rsid w:val="00CA15C1"/>
    <w:rsid w:val="00CA2C5B"/>
    <w:rsid w:val="00CA3614"/>
    <w:rsid w:val="00CA4B4A"/>
    <w:rsid w:val="00CA587E"/>
    <w:rsid w:val="00CA6E33"/>
    <w:rsid w:val="00CA7AB5"/>
    <w:rsid w:val="00CB7A59"/>
    <w:rsid w:val="00CC07C2"/>
    <w:rsid w:val="00CD0D23"/>
    <w:rsid w:val="00CD2069"/>
    <w:rsid w:val="00CD3F46"/>
    <w:rsid w:val="00CD71D5"/>
    <w:rsid w:val="00CE1049"/>
    <w:rsid w:val="00CE1172"/>
    <w:rsid w:val="00CE3289"/>
    <w:rsid w:val="00CE4780"/>
    <w:rsid w:val="00CE57E4"/>
    <w:rsid w:val="00CF37EB"/>
    <w:rsid w:val="00CF5FFF"/>
    <w:rsid w:val="00CF69D3"/>
    <w:rsid w:val="00CF7489"/>
    <w:rsid w:val="00CF7731"/>
    <w:rsid w:val="00D02B63"/>
    <w:rsid w:val="00D035E8"/>
    <w:rsid w:val="00D059C9"/>
    <w:rsid w:val="00D05F0C"/>
    <w:rsid w:val="00D079A4"/>
    <w:rsid w:val="00D1071A"/>
    <w:rsid w:val="00D10C7E"/>
    <w:rsid w:val="00D11FD8"/>
    <w:rsid w:val="00D126FB"/>
    <w:rsid w:val="00D12DC7"/>
    <w:rsid w:val="00D14781"/>
    <w:rsid w:val="00D15B68"/>
    <w:rsid w:val="00D17CE8"/>
    <w:rsid w:val="00D23025"/>
    <w:rsid w:val="00D23313"/>
    <w:rsid w:val="00D23C0F"/>
    <w:rsid w:val="00D24232"/>
    <w:rsid w:val="00D25C4E"/>
    <w:rsid w:val="00D267A8"/>
    <w:rsid w:val="00D30F6A"/>
    <w:rsid w:val="00D318DD"/>
    <w:rsid w:val="00D32DA0"/>
    <w:rsid w:val="00D334CD"/>
    <w:rsid w:val="00D3384A"/>
    <w:rsid w:val="00D33E63"/>
    <w:rsid w:val="00D350AA"/>
    <w:rsid w:val="00D35721"/>
    <w:rsid w:val="00D37099"/>
    <w:rsid w:val="00D373B8"/>
    <w:rsid w:val="00D37C4B"/>
    <w:rsid w:val="00D40A46"/>
    <w:rsid w:val="00D420D5"/>
    <w:rsid w:val="00D420D9"/>
    <w:rsid w:val="00D454A9"/>
    <w:rsid w:val="00D463F2"/>
    <w:rsid w:val="00D50533"/>
    <w:rsid w:val="00D51AEC"/>
    <w:rsid w:val="00D52022"/>
    <w:rsid w:val="00D53972"/>
    <w:rsid w:val="00D539D8"/>
    <w:rsid w:val="00D53D82"/>
    <w:rsid w:val="00D551E8"/>
    <w:rsid w:val="00D5709C"/>
    <w:rsid w:val="00D60887"/>
    <w:rsid w:val="00D62F61"/>
    <w:rsid w:val="00D63409"/>
    <w:rsid w:val="00D641DC"/>
    <w:rsid w:val="00D64FB0"/>
    <w:rsid w:val="00D67C61"/>
    <w:rsid w:val="00D7133D"/>
    <w:rsid w:val="00D72FFC"/>
    <w:rsid w:val="00D7350D"/>
    <w:rsid w:val="00D73ACA"/>
    <w:rsid w:val="00D7587C"/>
    <w:rsid w:val="00D7738F"/>
    <w:rsid w:val="00D8468F"/>
    <w:rsid w:val="00D84965"/>
    <w:rsid w:val="00D857E1"/>
    <w:rsid w:val="00D90BC4"/>
    <w:rsid w:val="00D91285"/>
    <w:rsid w:val="00D9338D"/>
    <w:rsid w:val="00D97233"/>
    <w:rsid w:val="00DA04F3"/>
    <w:rsid w:val="00DA361B"/>
    <w:rsid w:val="00DA6BDE"/>
    <w:rsid w:val="00DB133A"/>
    <w:rsid w:val="00DB1F68"/>
    <w:rsid w:val="00DB34CB"/>
    <w:rsid w:val="00DB4A04"/>
    <w:rsid w:val="00DB646D"/>
    <w:rsid w:val="00DB781C"/>
    <w:rsid w:val="00DC2423"/>
    <w:rsid w:val="00DC3F3E"/>
    <w:rsid w:val="00DC433B"/>
    <w:rsid w:val="00DC6076"/>
    <w:rsid w:val="00DC746E"/>
    <w:rsid w:val="00DD402A"/>
    <w:rsid w:val="00DE048D"/>
    <w:rsid w:val="00DE0C34"/>
    <w:rsid w:val="00DE1B1E"/>
    <w:rsid w:val="00DE1E16"/>
    <w:rsid w:val="00DE2A76"/>
    <w:rsid w:val="00DE2F7C"/>
    <w:rsid w:val="00DE3FD7"/>
    <w:rsid w:val="00DE4F47"/>
    <w:rsid w:val="00DE7037"/>
    <w:rsid w:val="00DF6B30"/>
    <w:rsid w:val="00DF7F4F"/>
    <w:rsid w:val="00E00349"/>
    <w:rsid w:val="00E00B64"/>
    <w:rsid w:val="00E05A56"/>
    <w:rsid w:val="00E07705"/>
    <w:rsid w:val="00E07989"/>
    <w:rsid w:val="00E11F2E"/>
    <w:rsid w:val="00E173BA"/>
    <w:rsid w:val="00E17513"/>
    <w:rsid w:val="00E2042F"/>
    <w:rsid w:val="00E221E6"/>
    <w:rsid w:val="00E24320"/>
    <w:rsid w:val="00E2495E"/>
    <w:rsid w:val="00E25DAD"/>
    <w:rsid w:val="00E305C8"/>
    <w:rsid w:val="00E31E88"/>
    <w:rsid w:val="00E331DB"/>
    <w:rsid w:val="00E33EF1"/>
    <w:rsid w:val="00E35B98"/>
    <w:rsid w:val="00E407E8"/>
    <w:rsid w:val="00E41FE4"/>
    <w:rsid w:val="00E42727"/>
    <w:rsid w:val="00E42CD2"/>
    <w:rsid w:val="00E42E31"/>
    <w:rsid w:val="00E43E14"/>
    <w:rsid w:val="00E461ED"/>
    <w:rsid w:val="00E476B9"/>
    <w:rsid w:val="00E50469"/>
    <w:rsid w:val="00E526AD"/>
    <w:rsid w:val="00E53DBC"/>
    <w:rsid w:val="00E55E54"/>
    <w:rsid w:val="00E57173"/>
    <w:rsid w:val="00E576A3"/>
    <w:rsid w:val="00E6079B"/>
    <w:rsid w:val="00E611DC"/>
    <w:rsid w:val="00E644ED"/>
    <w:rsid w:val="00E67FDF"/>
    <w:rsid w:val="00E709B9"/>
    <w:rsid w:val="00E73182"/>
    <w:rsid w:val="00E735D1"/>
    <w:rsid w:val="00E752E2"/>
    <w:rsid w:val="00E76FD6"/>
    <w:rsid w:val="00E8164F"/>
    <w:rsid w:val="00E86B1B"/>
    <w:rsid w:val="00E87036"/>
    <w:rsid w:val="00E87A93"/>
    <w:rsid w:val="00E922B9"/>
    <w:rsid w:val="00E9313F"/>
    <w:rsid w:val="00E934BE"/>
    <w:rsid w:val="00E94BF2"/>
    <w:rsid w:val="00E96744"/>
    <w:rsid w:val="00E97540"/>
    <w:rsid w:val="00EA2B4F"/>
    <w:rsid w:val="00EA3643"/>
    <w:rsid w:val="00EA395C"/>
    <w:rsid w:val="00EA3C3A"/>
    <w:rsid w:val="00EA5BA3"/>
    <w:rsid w:val="00EA5FE1"/>
    <w:rsid w:val="00EB0B9C"/>
    <w:rsid w:val="00EB463C"/>
    <w:rsid w:val="00EB577F"/>
    <w:rsid w:val="00EB79BA"/>
    <w:rsid w:val="00EC31AA"/>
    <w:rsid w:val="00EC5C74"/>
    <w:rsid w:val="00EC6105"/>
    <w:rsid w:val="00EC62CD"/>
    <w:rsid w:val="00EC653C"/>
    <w:rsid w:val="00EC6A2D"/>
    <w:rsid w:val="00ED39D4"/>
    <w:rsid w:val="00ED4AE4"/>
    <w:rsid w:val="00EE2338"/>
    <w:rsid w:val="00EE2A7E"/>
    <w:rsid w:val="00EE37C6"/>
    <w:rsid w:val="00EE5738"/>
    <w:rsid w:val="00EE62C9"/>
    <w:rsid w:val="00EE66AB"/>
    <w:rsid w:val="00EF0678"/>
    <w:rsid w:val="00EF12AF"/>
    <w:rsid w:val="00EF2BE9"/>
    <w:rsid w:val="00EF3D51"/>
    <w:rsid w:val="00EF496D"/>
    <w:rsid w:val="00EF4B6F"/>
    <w:rsid w:val="00EF4CA4"/>
    <w:rsid w:val="00EF5988"/>
    <w:rsid w:val="00EF69D1"/>
    <w:rsid w:val="00EF6A9F"/>
    <w:rsid w:val="00EF6DD3"/>
    <w:rsid w:val="00EF702C"/>
    <w:rsid w:val="00F001E2"/>
    <w:rsid w:val="00F0275D"/>
    <w:rsid w:val="00F05269"/>
    <w:rsid w:val="00F05E50"/>
    <w:rsid w:val="00F07DD3"/>
    <w:rsid w:val="00F11BEF"/>
    <w:rsid w:val="00F1315D"/>
    <w:rsid w:val="00F132DA"/>
    <w:rsid w:val="00F25BD4"/>
    <w:rsid w:val="00F264F5"/>
    <w:rsid w:val="00F30071"/>
    <w:rsid w:val="00F318F5"/>
    <w:rsid w:val="00F35F34"/>
    <w:rsid w:val="00F361EA"/>
    <w:rsid w:val="00F36E61"/>
    <w:rsid w:val="00F36FFF"/>
    <w:rsid w:val="00F51337"/>
    <w:rsid w:val="00F51955"/>
    <w:rsid w:val="00F53620"/>
    <w:rsid w:val="00F54A39"/>
    <w:rsid w:val="00F56C8D"/>
    <w:rsid w:val="00F57186"/>
    <w:rsid w:val="00F6198F"/>
    <w:rsid w:val="00F64586"/>
    <w:rsid w:val="00F6467D"/>
    <w:rsid w:val="00F64754"/>
    <w:rsid w:val="00F64B86"/>
    <w:rsid w:val="00F66E8C"/>
    <w:rsid w:val="00F708CC"/>
    <w:rsid w:val="00F72533"/>
    <w:rsid w:val="00F737B8"/>
    <w:rsid w:val="00F76AC0"/>
    <w:rsid w:val="00F8132E"/>
    <w:rsid w:val="00F83C41"/>
    <w:rsid w:val="00F849A0"/>
    <w:rsid w:val="00F8602C"/>
    <w:rsid w:val="00F863A6"/>
    <w:rsid w:val="00F9240C"/>
    <w:rsid w:val="00F94D9C"/>
    <w:rsid w:val="00F95AA8"/>
    <w:rsid w:val="00F967CD"/>
    <w:rsid w:val="00FA0F48"/>
    <w:rsid w:val="00FA4454"/>
    <w:rsid w:val="00FA5020"/>
    <w:rsid w:val="00FA55B6"/>
    <w:rsid w:val="00FA69E6"/>
    <w:rsid w:val="00FA7C72"/>
    <w:rsid w:val="00FB020C"/>
    <w:rsid w:val="00FB2266"/>
    <w:rsid w:val="00FB31A3"/>
    <w:rsid w:val="00FB479E"/>
    <w:rsid w:val="00FB4E4C"/>
    <w:rsid w:val="00FC0524"/>
    <w:rsid w:val="00FC1DD3"/>
    <w:rsid w:val="00FC3539"/>
    <w:rsid w:val="00FD087A"/>
    <w:rsid w:val="00FD3828"/>
    <w:rsid w:val="00FD568D"/>
    <w:rsid w:val="00FD60C6"/>
    <w:rsid w:val="00FD6589"/>
    <w:rsid w:val="00FE075C"/>
    <w:rsid w:val="00FE1AC5"/>
    <w:rsid w:val="00FE3112"/>
    <w:rsid w:val="00FE5033"/>
    <w:rsid w:val="00FF043A"/>
    <w:rsid w:val="00FF055D"/>
    <w:rsid w:val="00FF166F"/>
    <w:rsid w:val="00FF6C97"/>
    <w:rsid w:val="00FF7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0F46"/>
  <w15:chartTrackingRefBased/>
  <w15:docId w15:val="{39948CA1-E081-44E9-9B43-87B62198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B39"/>
    <w:rPr>
      <w:rFonts w:ascii="Arial" w:eastAsia="Times New Roman" w:hAnsi="Arial" w:cs="Times New Roman"/>
      <w:kern w:val="0"/>
      <w:sz w:val="24"/>
      <w:szCs w:val="20"/>
      <w:lang w:eastAsia="en-GB"/>
    </w:rPr>
  </w:style>
  <w:style w:type="paragraph" w:styleId="Heading1">
    <w:name w:val="heading 1"/>
    <w:basedOn w:val="Normal"/>
    <w:next w:val="Normal"/>
    <w:link w:val="Heading1Char"/>
    <w:qFormat/>
    <w:rsid w:val="009B2B39"/>
    <w:pPr>
      <w:keepNext/>
      <w:widowControl w:val="0"/>
      <w:spacing w:before="480" w:after="60"/>
      <w:outlineLvl w:val="0"/>
    </w:pPr>
    <w:rPr>
      <w:color w:val="808080"/>
      <w:kern w:val="28"/>
      <w:sz w:val="72"/>
    </w:rPr>
  </w:style>
  <w:style w:type="paragraph" w:styleId="Heading2">
    <w:name w:val="heading 2"/>
    <w:basedOn w:val="Normal"/>
    <w:next w:val="Normal"/>
    <w:link w:val="Heading2Char"/>
    <w:uiPriority w:val="9"/>
    <w:qFormat/>
    <w:rsid w:val="009B2B39"/>
    <w:pPr>
      <w:keepNext/>
      <w:numPr>
        <w:ilvl w:val="1"/>
        <w:numId w:val="2"/>
      </w:numPr>
      <w:spacing w:before="360" w:after="60"/>
      <w:outlineLvl w:val="1"/>
    </w:pPr>
    <w:rPr>
      <w:color w:val="000000"/>
      <w:sz w:val="44"/>
    </w:rPr>
  </w:style>
  <w:style w:type="paragraph" w:styleId="Heading3">
    <w:name w:val="heading 3"/>
    <w:basedOn w:val="Normal"/>
    <w:next w:val="Normal"/>
    <w:link w:val="Heading3Char"/>
    <w:uiPriority w:val="9"/>
    <w:qFormat/>
    <w:rsid w:val="009B2B39"/>
    <w:pPr>
      <w:keepNext/>
      <w:widowControl w:val="0"/>
      <w:numPr>
        <w:ilvl w:val="2"/>
        <w:numId w:val="2"/>
      </w:numPr>
      <w:spacing w:before="320" w:after="60"/>
      <w:outlineLvl w:val="2"/>
    </w:pPr>
    <w:rPr>
      <w:caps/>
      <w:color w:val="000000"/>
      <w:sz w:val="28"/>
    </w:rPr>
  </w:style>
  <w:style w:type="paragraph" w:styleId="Heading4">
    <w:name w:val="heading 4"/>
    <w:basedOn w:val="Normal"/>
    <w:next w:val="Normal"/>
    <w:link w:val="Heading4Char"/>
    <w:uiPriority w:val="9"/>
    <w:qFormat/>
    <w:rsid w:val="009B2B39"/>
    <w:pPr>
      <w:keepNext/>
      <w:widowControl w:val="0"/>
      <w:numPr>
        <w:ilvl w:val="3"/>
        <w:numId w:val="2"/>
      </w:numPr>
      <w:spacing w:before="240" w:after="40"/>
      <w:outlineLvl w:val="3"/>
    </w:pPr>
    <w:rPr>
      <w:b/>
      <w:i/>
      <w:color w:val="000000"/>
    </w:rPr>
  </w:style>
  <w:style w:type="paragraph" w:styleId="Heading5">
    <w:name w:val="heading 5"/>
    <w:basedOn w:val="Normal"/>
    <w:next w:val="Normal"/>
    <w:link w:val="Heading5Char"/>
    <w:uiPriority w:val="9"/>
    <w:qFormat/>
    <w:rsid w:val="009B2B39"/>
    <w:pPr>
      <w:keepNext/>
      <w:numPr>
        <w:ilvl w:val="4"/>
        <w:numId w:val="2"/>
      </w:numPr>
      <w:spacing w:before="220" w:after="40"/>
      <w:outlineLvl w:val="4"/>
    </w:pPr>
    <w:rPr>
      <w:color w:val="000000"/>
    </w:rPr>
  </w:style>
  <w:style w:type="paragraph" w:styleId="Heading6">
    <w:name w:val="heading 6"/>
    <w:basedOn w:val="Normal"/>
    <w:next w:val="Style1"/>
    <w:link w:val="Heading6Char"/>
    <w:qFormat/>
    <w:rsid w:val="009B2B39"/>
    <w:pPr>
      <w:keepNext/>
      <w:widowControl w:val="0"/>
      <w:spacing w:before="180"/>
      <w:outlineLvl w:val="5"/>
    </w:pPr>
    <w:rPr>
      <w:b/>
      <w:color w:val="000000"/>
      <w:szCs w:val="22"/>
    </w:rPr>
  </w:style>
  <w:style w:type="paragraph" w:styleId="Heading7">
    <w:name w:val="heading 7"/>
    <w:basedOn w:val="Normal"/>
    <w:next w:val="Normal"/>
    <w:link w:val="Heading7Char"/>
    <w:uiPriority w:val="9"/>
    <w:qFormat/>
    <w:rsid w:val="009B2B39"/>
    <w:pPr>
      <w:numPr>
        <w:ilvl w:val="6"/>
        <w:numId w:val="2"/>
      </w:numPr>
      <w:tabs>
        <w:tab w:val="left" w:pos="993"/>
      </w:tabs>
      <w:spacing w:after="60"/>
      <w:outlineLvl w:val="6"/>
    </w:pPr>
    <w:rPr>
      <w:color w:val="000000"/>
      <w:sz w:val="20"/>
    </w:rPr>
  </w:style>
  <w:style w:type="paragraph" w:styleId="Heading8">
    <w:name w:val="heading 8"/>
    <w:basedOn w:val="Normal"/>
    <w:next w:val="Normal"/>
    <w:link w:val="Heading8Char"/>
    <w:uiPriority w:val="9"/>
    <w:qFormat/>
    <w:rsid w:val="009B2B39"/>
    <w:pPr>
      <w:numPr>
        <w:ilvl w:val="7"/>
        <w:numId w:val="2"/>
      </w:numPr>
      <w:spacing w:before="140" w:after="20"/>
      <w:outlineLvl w:val="7"/>
    </w:pPr>
    <w:rPr>
      <w:i/>
      <w:color w:val="000000"/>
      <w:sz w:val="18"/>
    </w:rPr>
  </w:style>
  <w:style w:type="paragraph" w:styleId="Heading9">
    <w:name w:val="heading 9"/>
    <w:basedOn w:val="Normal"/>
    <w:next w:val="Normal"/>
    <w:link w:val="Heading9Char"/>
    <w:uiPriority w:val="9"/>
    <w:qFormat/>
    <w:rsid w:val="009B2B39"/>
    <w:pPr>
      <w:keepNext/>
      <w:widowControl w:val="0"/>
      <w:numPr>
        <w:ilvl w:val="8"/>
        <w:numId w:val="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2B39"/>
    <w:rPr>
      <w:rFonts w:ascii="Arial" w:eastAsia="Times New Roman" w:hAnsi="Arial" w:cs="Times New Roman"/>
      <w:color w:val="808080"/>
      <w:kern w:val="28"/>
      <w:sz w:val="72"/>
      <w:szCs w:val="20"/>
      <w:lang w:eastAsia="en-GB"/>
    </w:rPr>
  </w:style>
  <w:style w:type="character" w:customStyle="1" w:styleId="Heading2Char">
    <w:name w:val="Heading 2 Char"/>
    <w:basedOn w:val="DefaultParagraphFont"/>
    <w:link w:val="Heading2"/>
    <w:uiPriority w:val="9"/>
    <w:rsid w:val="009B2B39"/>
    <w:rPr>
      <w:rFonts w:ascii="Arial" w:eastAsia="Times New Roman" w:hAnsi="Arial" w:cs="Times New Roman"/>
      <w:color w:val="000000"/>
      <w:kern w:val="0"/>
      <w:sz w:val="44"/>
      <w:szCs w:val="20"/>
      <w:lang w:eastAsia="en-GB"/>
    </w:rPr>
  </w:style>
  <w:style w:type="character" w:customStyle="1" w:styleId="Heading3Char">
    <w:name w:val="Heading 3 Char"/>
    <w:basedOn w:val="DefaultParagraphFont"/>
    <w:link w:val="Heading3"/>
    <w:uiPriority w:val="9"/>
    <w:rsid w:val="009B2B39"/>
    <w:rPr>
      <w:rFonts w:ascii="Arial" w:eastAsia="Times New Roman" w:hAnsi="Arial" w:cs="Times New Roman"/>
      <w:caps/>
      <w:color w:val="000000"/>
      <w:kern w:val="0"/>
      <w:sz w:val="28"/>
      <w:szCs w:val="20"/>
      <w:lang w:eastAsia="en-GB"/>
    </w:rPr>
  </w:style>
  <w:style w:type="character" w:customStyle="1" w:styleId="Heading4Char">
    <w:name w:val="Heading 4 Char"/>
    <w:basedOn w:val="DefaultParagraphFont"/>
    <w:link w:val="Heading4"/>
    <w:uiPriority w:val="9"/>
    <w:rsid w:val="009B2B39"/>
    <w:rPr>
      <w:rFonts w:ascii="Arial" w:eastAsia="Times New Roman" w:hAnsi="Arial" w:cs="Times New Roman"/>
      <w:b/>
      <w:i/>
      <w:color w:val="000000"/>
      <w:kern w:val="0"/>
      <w:sz w:val="24"/>
      <w:szCs w:val="20"/>
      <w:lang w:eastAsia="en-GB"/>
    </w:rPr>
  </w:style>
  <w:style w:type="character" w:customStyle="1" w:styleId="Heading5Char">
    <w:name w:val="Heading 5 Char"/>
    <w:basedOn w:val="DefaultParagraphFont"/>
    <w:link w:val="Heading5"/>
    <w:uiPriority w:val="9"/>
    <w:rsid w:val="009B2B39"/>
    <w:rPr>
      <w:rFonts w:ascii="Arial" w:eastAsia="Times New Roman" w:hAnsi="Arial" w:cs="Times New Roman"/>
      <w:color w:val="000000"/>
      <w:kern w:val="0"/>
      <w:sz w:val="24"/>
      <w:szCs w:val="20"/>
      <w:lang w:eastAsia="en-GB"/>
    </w:rPr>
  </w:style>
  <w:style w:type="character" w:customStyle="1" w:styleId="Heading6Char">
    <w:name w:val="Heading 6 Char"/>
    <w:basedOn w:val="DefaultParagraphFont"/>
    <w:link w:val="Heading6"/>
    <w:rsid w:val="009B2B39"/>
    <w:rPr>
      <w:rFonts w:ascii="Arial" w:eastAsia="Times New Roman" w:hAnsi="Arial" w:cs="Times New Roman"/>
      <w:b/>
      <w:color w:val="000000"/>
      <w:kern w:val="0"/>
      <w:sz w:val="24"/>
      <w:lang w:eastAsia="en-GB"/>
    </w:rPr>
  </w:style>
  <w:style w:type="character" w:customStyle="1" w:styleId="Heading7Char">
    <w:name w:val="Heading 7 Char"/>
    <w:basedOn w:val="DefaultParagraphFont"/>
    <w:link w:val="Heading7"/>
    <w:uiPriority w:val="9"/>
    <w:rsid w:val="009B2B39"/>
    <w:rPr>
      <w:rFonts w:ascii="Arial" w:eastAsia="Times New Roman" w:hAnsi="Arial" w:cs="Times New Roman"/>
      <w:color w:val="000000"/>
      <w:kern w:val="0"/>
      <w:sz w:val="20"/>
      <w:szCs w:val="20"/>
      <w:lang w:eastAsia="en-GB"/>
    </w:rPr>
  </w:style>
  <w:style w:type="character" w:customStyle="1" w:styleId="Heading8Char">
    <w:name w:val="Heading 8 Char"/>
    <w:basedOn w:val="DefaultParagraphFont"/>
    <w:link w:val="Heading8"/>
    <w:uiPriority w:val="9"/>
    <w:rsid w:val="009B2B39"/>
    <w:rPr>
      <w:rFonts w:ascii="Arial" w:eastAsia="Times New Roman" w:hAnsi="Arial" w:cs="Times New Roman"/>
      <w:i/>
      <w:color w:val="000000"/>
      <w:kern w:val="0"/>
      <w:sz w:val="18"/>
      <w:szCs w:val="20"/>
      <w:lang w:eastAsia="en-GB"/>
    </w:rPr>
  </w:style>
  <w:style w:type="character" w:customStyle="1" w:styleId="Heading9Char">
    <w:name w:val="Heading 9 Char"/>
    <w:basedOn w:val="DefaultParagraphFont"/>
    <w:link w:val="Heading9"/>
    <w:uiPriority w:val="9"/>
    <w:rsid w:val="009B2B39"/>
    <w:rPr>
      <w:rFonts w:ascii="Arial" w:eastAsia="Times New Roman" w:hAnsi="Arial" w:cs="Times New Roman"/>
      <w:color w:val="000000"/>
      <w:kern w:val="0"/>
      <w:sz w:val="14"/>
      <w:szCs w:val="20"/>
      <w:lang w:eastAsia="en-GB"/>
    </w:rPr>
  </w:style>
  <w:style w:type="paragraph" w:styleId="Title">
    <w:name w:val="Title"/>
    <w:basedOn w:val="Normal"/>
    <w:next w:val="Normal"/>
    <w:link w:val="TitleChar"/>
    <w:uiPriority w:val="10"/>
    <w:qFormat/>
    <w:rsid w:val="009B2B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39"/>
    <w:pPr>
      <w:spacing w:before="160"/>
      <w:jc w:val="center"/>
    </w:pPr>
    <w:rPr>
      <w:i/>
      <w:iCs/>
      <w:color w:val="404040" w:themeColor="text1" w:themeTint="BF"/>
    </w:rPr>
  </w:style>
  <w:style w:type="character" w:customStyle="1" w:styleId="QuoteChar">
    <w:name w:val="Quote Char"/>
    <w:basedOn w:val="DefaultParagraphFont"/>
    <w:link w:val="Quote"/>
    <w:uiPriority w:val="29"/>
    <w:rsid w:val="009B2B39"/>
    <w:rPr>
      <w:i/>
      <w:iCs/>
      <w:color w:val="404040" w:themeColor="text1" w:themeTint="BF"/>
    </w:rPr>
  </w:style>
  <w:style w:type="paragraph" w:styleId="ListParagraph">
    <w:name w:val="List Paragraph"/>
    <w:basedOn w:val="Normal"/>
    <w:uiPriority w:val="34"/>
    <w:qFormat/>
    <w:rsid w:val="009B2B39"/>
    <w:pPr>
      <w:ind w:left="720"/>
      <w:contextualSpacing/>
    </w:pPr>
  </w:style>
  <w:style w:type="character" w:styleId="IntenseEmphasis">
    <w:name w:val="Intense Emphasis"/>
    <w:basedOn w:val="DefaultParagraphFont"/>
    <w:uiPriority w:val="21"/>
    <w:qFormat/>
    <w:rsid w:val="009B2B39"/>
    <w:rPr>
      <w:i/>
      <w:iCs/>
      <w:color w:val="365F91" w:themeColor="accent1" w:themeShade="BF"/>
    </w:rPr>
  </w:style>
  <w:style w:type="paragraph" w:styleId="IntenseQuote">
    <w:name w:val="Intense Quote"/>
    <w:basedOn w:val="Normal"/>
    <w:next w:val="Normal"/>
    <w:link w:val="IntenseQuoteChar"/>
    <w:uiPriority w:val="30"/>
    <w:qFormat/>
    <w:rsid w:val="009B2B3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B2B39"/>
    <w:rPr>
      <w:i/>
      <w:iCs/>
      <w:color w:val="365F91" w:themeColor="accent1" w:themeShade="BF"/>
    </w:rPr>
  </w:style>
  <w:style w:type="character" w:styleId="IntenseReference">
    <w:name w:val="Intense Reference"/>
    <w:basedOn w:val="DefaultParagraphFont"/>
    <w:uiPriority w:val="32"/>
    <w:qFormat/>
    <w:rsid w:val="009B2B39"/>
    <w:rPr>
      <w:b/>
      <w:bCs/>
      <w:smallCaps/>
      <w:color w:val="365F91" w:themeColor="accent1" w:themeShade="BF"/>
      <w:spacing w:val="5"/>
    </w:rPr>
  </w:style>
  <w:style w:type="paragraph" w:styleId="Header">
    <w:name w:val="header"/>
    <w:basedOn w:val="Normal"/>
    <w:link w:val="HeaderChar"/>
    <w:uiPriority w:val="99"/>
    <w:rsid w:val="009B2B39"/>
    <w:pPr>
      <w:tabs>
        <w:tab w:val="center" w:pos="4153"/>
        <w:tab w:val="right" w:pos="8306"/>
      </w:tabs>
    </w:pPr>
  </w:style>
  <w:style w:type="character" w:customStyle="1" w:styleId="HeaderChar">
    <w:name w:val="Header Char"/>
    <w:basedOn w:val="DefaultParagraphFont"/>
    <w:link w:val="Header"/>
    <w:uiPriority w:val="99"/>
    <w:rsid w:val="009B2B39"/>
    <w:rPr>
      <w:rFonts w:ascii="Arial" w:eastAsia="Times New Roman" w:hAnsi="Arial" w:cs="Times New Roman"/>
      <w:kern w:val="0"/>
      <w:sz w:val="24"/>
      <w:szCs w:val="20"/>
      <w:lang w:eastAsia="en-GB"/>
    </w:rPr>
  </w:style>
  <w:style w:type="paragraph" w:styleId="Footer">
    <w:name w:val="footer"/>
    <w:basedOn w:val="Normal"/>
    <w:link w:val="FooterChar"/>
    <w:rsid w:val="009B2B39"/>
    <w:pPr>
      <w:tabs>
        <w:tab w:val="center" w:pos="4153"/>
        <w:tab w:val="right" w:pos="8306"/>
      </w:tabs>
    </w:pPr>
    <w:rPr>
      <w:sz w:val="18"/>
    </w:rPr>
  </w:style>
  <w:style w:type="character" w:customStyle="1" w:styleId="FooterChar">
    <w:name w:val="Footer Char"/>
    <w:basedOn w:val="DefaultParagraphFont"/>
    <w:link w:val="Footer"/>
    <w:rsid w:val="009B2B39"/>
    <w:rPr>
      <w:rFonts w:ascii="Arial" w:eastAsia="Times New Roman" w:hAnsi="Arial" w:cs="Times New Roman"/>
      <w:kern w:val="0"/>
      <w:sz w:val="18"/>
      <w:szCs w:val="20"/>
      <w:lang w:eastAsia="en-GB"/>
    </w:rPr>
  </w:style>
  <w:style w:type="character" w:styleId="PageNumber">
    <w:name w:val="page number"/>
    <w:basedOn w:val="DefaultParagraphFont"/>
    <w:rsid w:val="009B2B39"/>
    <w:rPr>
      <w:rFonts w:ascii="Arial" w:hAnsi="Arial"/>
      <w:sz w:val="18"/>
    </w:rPr>
  </w:style>
  <w:style w:type="paragraph" w:customStyle="1" w:styleId="Noindent">
    <w:name w:val="No indent"/>
    <w:basedOn w:val="Normal"/>
    <w:rsid w:val="009B2B39"/>
    <w:pPr>
      <w:tabs>
        <w:tab w:val="left" w:pos="426"/>
      </w:tabs>
    </w:pPr>
  </w:style>
  <w:style w:type="paragraph" w:customStyle="1" w:styleId="TBullet">
    <w:name w:val="T_Bullet"/>
    <w:basedOn w:val="Normal"/>
    <w:rsid w:val="009B2B39"/>
    <w:pPr>
      <w:numPr>
        <w:numId w:val="1"/>
      </w:numPr>
      <w:tabs>
        <w:tab w:val="left" w:pos="851"/>
      </w:tabs>
    </w:pPr>
    <w:rPr>
      <w:color w:val="000000"/>
      <w:sz w:val="20"/>
    </w:rPr>
  </w:style>
  <w:style w:type="paragraph" w:customStyle="1" w:styleId="Style1">
    <w:name w:val="Style1"/>
    <w:basedOn w:val="Heading1"/>
    <w:rsid w:val="009B2B39"/>
    <w:pPr>
      <w:keepNext w:val="0"/>
      <w:widowControl/>
      <w:numPr>
        <w:numId w:val="2"/>
      </w:numPr>
      <w:tabs>
        <w:tab w:val="left" w:pos="510"/>
      </w:tabs>
      <w:spacing w:before="180" w:after="0"/>
    </w:pPr>
    <w:rPr>
      <w:color w:val="000000"/>
      <w:sz w:val="24"/>
    </w:rPr>
  </w:style>
  <w:style w:type="paragraph" w:customStyle="1" w:styleId="Heading6blackfont">
    <w:name w:val="Heading 6 + black font"/>
    <w:basedOn w:val="Heading6"/>
    <w:next w:val="Style1"/>
    <w:rsid w:val="009B2B39"/>
  </w:style>
  <w:style w:type="character" w:styleId="Hyperlink">
    <w:name w:val="Hyperlink"/>
    <w:basedOn w:val="DefaultParagraphFont"/>
    <w:rsid w:val="009B2B39"/>
    <w:rPr>
      <w:color w:val="0000FF"/>
      <w:u w:val="single"/>
    </w:rPr>
  </w:style>
  <w:style w:type="numbering" w:customStyle="1" w:styleId="StylesList">
    <w:name w:val="StylesList"/>
    <w:uiPriority w:val="99"/>
    <w:rsid w:val="009B2B39"/>
    <w:pPr>
      <w:numPr>
        <w:numId w:val="2"/>
      </w:numPr>
    </w:pPr>
  </w:style>
  <w:style w:type="paragraph" w:customStyle="1" w:styleId="Nblock">
    <w:name w:val="N_block"/>
    <w:basedOn w:val="Normal"/>
    <w:rsid w:val="009B2B39"/>
    <w:pPr>
      <w:tabs>
        <w:tab w:val="left" w:pos="851"/>
      </w:tabs>
      <w:spacing w:before="120"/>
      <w:ind w:left="851" w:right="515"/>
    </w:pPr>
  </w:style>
  <w:style w:type="paragraph" w:customStyle="1" w:styleId="Ninset">
    <w:name w:val="N_inset"/>
    <w:basedOn w:val="Normal"/>
    <w:rsid w:val="009B2B39"/>
    <w:pPr>
      <w:tabs>
        <w:tab w:val="left" w:pos="425"/>
      </w:tabs>
      <w:ind w:left="426"/>
    </w:pPr>
  </w:style>
  <w:style w:type="paragraph" w:customStyle="1" w:styleId="Nlista">
    <w:name w:val="N_list (a)"/>
    <w:basedOn w:val="Normal"/>
    <w:rsid w:val="009B2B39"/>
    <w:pPr>
      <w:numPr>
        <w:ilvl w:val="1"/>
        <w:numId w:val="8"/>
      </w:numPr>
      <w:spacing w:before="80"/>
      <w:ind w:right="369"/>
    </w:pPr>
  </w:style>
  <w:style w:type="paragraph" w:customStyle="1" w:styleId="Nlisti">
    <w:name w:val="N_list (i)"/>
    <w:basedOn w:val="Normal"/>
    <w:rsid w:val="009B2B39"/>
    <w:pPr>
      <w:numPr>
        <w:ilvl w:val="2"/>
        <w:numId w:val="7"/>
      </w:numPr>
      <w:spacing w:before="60"/>
      <w:ind w:right="511"/>
    </w:pPr>
    <w:rPr>
      <w:sz w:val="20"/>
    </w:rPr>
  </w:style>
  <w:style w:type="paragraph" w:customStyle="1" w:styleId="Singleline">
    <w:name w:val="Single line"/>
    <w:basedOn w:val="Normal"/>
    <w:rsid w:val="009B2B39"/>
  </w:style>
  <w:style w:type="paragraph" w:customStyle="1" w:styleId="Nnumber">
    <w:name w:val="N_number"/>
    <w:rsid w:val="009B2B39"/>
    <w:pPr>
      <w:tabs>
        <w:tab w:val="left" w:pos="426"/>
        <w:tab w:val="num" w:pos="720"/>
      </w:tabs>
      <w:spacing w:before="180"/>
      <w:ind w:left="425" w:hanging="425"/>
    </w:pPr>
    <w:rPr>
      <w:rFonts w:ascii="Arial" w:eastAsia="Times New Roman" w:hAnsi="Arial" w:cs="Times New Roman"/>
      <w:kern w:val="0"/>
      <w:sz w:val="24"/>
      <w:szCs w:val="20"/>
      <w:lang w:eastAsia="en-GB"/>
    </w:rPr>
  </w:style>
  <w:style w:type="paragraph" w:customStyle="1" w:styleId="Table">
    <w:name w:val="Table"/>
    <w:basedOn w:val="Normal"/>
    <w:rsid w:val="009B2B39"/>
    <w:pPr>
      <w:numPr>
        <w:numId w:val="8"/>
      </w:numPr>
      <w:tabs>
        <w:tab w:val="left" w:pos="851"/>
      </w:tabs>
      <w:spacing w:before="60" w:after="60"/>
    </w:pPr>
    <w:rPr>
      <w:sz w:val="20"/>
    </w:rPr>
  </w:style>
  <w:style w:type="paragraph" w:customStyle="1" w:styleId="Nlisti0">
    <w:name w:val="N_list i"/>
    <w:rsid w:val="009B2B39"/>
    <w:pPr>
      <w:numPr>
        <w:ilvl w:val="3"/>
        <w:numId w:val="3"/>
      </w:numPr>
      <w:spacing w:before="40"/>
      <w:ind w:right="516"/>
    </w:pPr>
    <w:rPr>
      <w:rFonts w:ascii="Arial" w:eastAsia="Times New Roman" w:hAnsi="Arial" w:cs="Times New Roman"/>
      <w:noProof/>
      <w:kern w:val="0"/>
      <w:sz w:val="24"/>
      <w:szCs w:val="20"/>
      <w:lang w:eastAsia="en-GB"/>
    </w:rPr>
  </w:style>
  <w:style w:type="paragraph" w:customStyle="1" w:styleId="Style5">
    <w:name w:val="Style5"/>
    <w:basedOn w:val="Normal"/>
    <w:rsid w:val="009B2B39"/>
    <w:pPr>
      <w:spacing w:after="60"/>
    </w:pPr>
    <w:rPr>
      <w:b/>
      <w:color w:val="000000"/>
    </w:rPr>
  </w:style>
  <w:style w:type="paragraph" w:customStyle="1" w:styleId="Style2">
    <w:name w:val="Style2"/>
    <w:basedOn w:val="Heading2"/>
    <w:rsid w:val="009B2B39"/>
    <w:pPr>
      <w:keepNext w:val="0"/>
      <w:spacing w:before="180" w:after="0"/>
    </w:pPr>
    <w:rPr>
      <w:sz w:val="24"/>
    </w:rPr>
  </w:style>
  <w:style w:type="paragraph" w:customStyle="1" w:styleId="Style3">
    <w:name w:val="Style3"/>
    <w:basedOn w:val="Heading3"/>
    <w:rsid w:val="009B2B39"/>
    <w:pPr>
      <w:keepNext w:val="0"/>
      <w:widowControl/>
      <w:spacing w:before="180" w:after="0"/>
      <w:ind w:left="432" w:hanging="432"/>
    </w:pPr>
    <w:rPr>
      <w:caps w:val="0"/>
      <w:sz w:val="24"/>
    </w:rPr>
  </w:style>
  <w:style w:type="paragraph" w:customStyle="1" w:styleId="Style4">
    <w:name w:val="Style4"/>
    <w:basedOn w:val="Heading4"/>
    <w:rsid w:val="009B2B39"/>
    <w:pPr>
      <w:keepNext w:val="0"/>
      <w:widowControl/>
      <w:spacing w:before="180" w:after="0"/>
      <w:ind w:left="288" w:hanging="288"/>
    </w:pPr>
    <w:rPr>
      <w:b w:val="0"/>
      <w:i w:val="0"/>
    </w:rPr>
  </w:style>
  <w:style w:type="paragraph" w:customStyle="1" w:styleId="Conditions1">
    <w:name w:val="Conditions1"/>
    <w:rsid w:val="009B2B39"/>
    <w:pPr>
      <w:numPr>
        <w:numId w:val="9"/>
      </w:numPr>
      <w:spacing w:before="120"/>
    </w:pPr>
    <w:rPr>
      <w:rFonts w:ascii="Arial" w:eastAsia="Times New Roman" w:hAnsi="Arial" w:cs="Times New Roman"/>
      <w:kern w:val="0"/>
      <w:sz w:val="24"/>
      <w:szCs w:val="20"/>
      <w:lang w:eastAsia="en-GB"/>
    </w:rPr>
  </w:style>
  <w:style w:type="paragraph" w:customStyle="1" w:styleId="Conditions2">
    <w:name w:val="Conditions2"/>
    <w:rsid w:val="009B2B39"/>
    <w:pPr>
      <w:numPr>
        <w:ilvl w:val="2"/>
        <w:numId w:val="9"/>
      </w:numPr>
      <w:spacing w:before="60"/>
    </w:pPr>
    <w:rPr>
      <w:rFonts w:ascii="Arial" w:eastAsia="Times New Roman" w:hAnsi="Arial" w:cs="Times New Roman"/>
      <w:kern w:val="0"/>
      <w:sz w:val="24"/>
      <w:szCs w:val="20"/>
      <w:lang w:eastAsia="en-GB"/>
    </w:rPr>
  </w:style>
  <w:style w:type="paragraph" w:customStyle="1" w:styleId="Conditions3">
    <w:name w:val="Conditions3"/>
    <w:rsid w:val="009B2B39"/>
    <w:pPr>
      <w:numPr>
        <w:numId w:val="5"/>
      </w:numPr>
      <w:tabs>
        <w:tab w:val="clear" w:pos="720"/>
      </w:tabs>
      <w:spacing w:before="60"/>
      <w:ind w:left="2174" w:hanging="547"/>
    </w:pPr>
    <w:rPr>
      <w:rFonts w:ascii="Arial" w:eastAsia="Times New Roman" w:hAnsi="Arial" w:cs="Times New Roman"/>
      <w:kern w:val="0"/>
      <w:sz w:val="24"/>
      <w:szCs w:val="20"/>
      <w:lang w:eastAsia="en-GB"/>
    </w:rPr>
  </w:style>
  <w:style w:type="paragraph" w:styleId="ListNumber">
    <w:name w:val="List Number"/>
    <w:basedOn w:val="Normal"/>
    <w:rsid w:val="009B2B39"/>
    <w:pPr>
      <w:numPr>
        <w:numId w:val="4"/>
      </w:numPr>
    </w:pPr>
  </w:style>
  <w:style w:type="paragraph" w:customStyle="1" w:styleId="Long1">
    <w:name w:val="Long1"/>
    <w:basedOn w:val="Normal"/>
    <w:next w:val="Style1"/>
    <w:rsid w:val="009B2B39"/>
    <w:pPr>
      <w:keepNext/>
      <w:spacing w:before="180"/>
    </w:pPr>
    <w:rPr>
      <w:b/>
      <w:caps/>
      <w:color w:val="000000"/>
    </w:rPr>
  </w:style>
  <w:style w:type="paragraph" w:customStyle="1" w:styleId="Long2">
    <w:name w:val="Long2"/>
    <w:basedOn w:val="Normal"/>
    <w:next w:val="Style2"/>
    <w:rsid w:val="009B2B39"/>
    <w:pPr>
      <w:keepNext/>
      <w:spacing w:before="180"/>
    </w:pPr>
    <w:rPr>
      <w:b/>
      <w:color w:val="000000"/>
    </w:rPr>
  </w:style>
  <w:style w:type="paragraph" w:customStyle="1" w:styleId="Long3">
    <w:name w:val="Long3"/>
    <w:basedOn w:val="Normal"/>
    <w:next w:val="Style3"/>
    <w:rsid w:val="009B2B39"/>
    <w:pPr>
      <w:keepNext/>
      <w:spacing w:before="180"/>
    </w:pPr>
    <w:rPr>
      <w:b/>
      <w:i/>
      <w:color w:val="000000"/>
    </w:rPr>
  </w:style>
  <w:style w:type="paragraph" w:customStyle="1" w:styleId="Long4">
    <w:name w:val="Long4"/>
    <w:basedOn w:val="Normal"/>
    <w:next w:val="Style4"/>
    <w:rsid w:val="009B2B39"/>
    <w:pPr>
      <w:keepNext/>
      <w:spacing w:before="180"/>
    </w:pPr>
    <w:rPr>
      <w:i/>
      <w:color w:val="000000"/>
    </w:rPr>
  </w:style>
  <w:style w:type="character" w:customStyle="1" w:styleId="StyleVerdana7ptBlack">
    <w:name w:val="Style Verdana 7 pt Black"/>
    <w:basedOn w:val="DefaultParagraphFont"/>
    <w:rsid w:val="009B2B39"/>
    <w:rPr>
      <w:rFonts w:ascii="Verdana" w:hAnsi="Verdana"/>
      <w:color w:val="000000"/>
      <w:sz w:val="14"/>
      <w:szCs w:val="14"/>
    </w:rPr>
  </w:style>
  <w:style w:type="paragraph" w:customStyle="1" w:styleId="StyleSinglelineTimesNewRoman">
    <w:name w:val="Style Single line + Times New Roman"/>
    <w:basedOn w:val="Singleline"/>
    <w:rsid w:val="009B2B39"/>
    <w:rPr>
      <w:sz w:val="20"/>
    </w:rPr>
  </w:style>
  <w:style w:type="paragraph" w:customStyle="1" w:styleId="Style20ptBoldGreenRight031cmBefore12pt">
    <w:name w:val="Style 20 pt Bold Green Right:  0.31 cm Before:  12 pt"/>
    <w:basedOn w:val="Normal"/>
    <w:rsid w:val="009B2B39"/>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9B2B39"/>
    <w:pPr>
      <w:spacing w:before="240"/>
      <w:ind w:right="176"/>
    </w:pPr>
    <w:rPr>
      <w:b/>
      <w:bCs/>
      <w:color w:val="000000"/>
      <w:sz w:val="40"/>
      <w:szCs w:val="40"/>
    </w:rPr>
  </w:style>
  <w:style w:type="paragraph" w:styleId="FootnoteText">
    <w:name w:val="footnote text"/>
    <w:basedOn w:val="Normal"/>
    <w:link w:val="FootnoteTextChar"/>
    <w:semiHidden/>
    <w:rsid w:val="009B2B39"/>
    <w:rPr>
      <w:sz w:val="16"/>
    </w:rPr>
  </w:style>
  <w:style w:type="character" w:customStyle="1" w:styleId="FootnoteTextChar">
    <w:name w:val="Footnote Text Char"/>
    <w:basedOn w:val="DefaultParagraphFont"/>
    <w:link w:val="FootnoteText"/>
    <w:semiHidden/>
    <w:rsid w:val="009B2B39"/>
    <w:rPr>
      <w:rFonts w:ascii="Arial" w:eastAsia="Times New Roman" w:hAnsi="Arial" w:cs="Times New Roman"/>
      <w:kern w:val="0"/>
      <w:sz w:val="16"/>
      <w:szCs w:val="20"/>
      <w:lang w:eastAsia="en-GB"/>
    </w:rPr>
  </w:style>
  <w:style w:type="paragraph" w:styleId="BalloonText">
    <w:name w:val="Balloon Text"/>
    <w:basedOn w:val="Normal"/>
    <w:link w:val="BalloonTextChar"/>
    <w:rsid w:val="009B2B39"/>
    <w:rPr>
      <w:rFonts w:ascii="Tahoma" w:hAnsi="Tahoma" w:cs="Tahoma"/>
      <w:sz w:val="16"/>
      <w:szCs w:val="16"/>
    </w:rPr>
  </w:style>
  <w:style w:type="character" w:customStyle="1" w:styleId="BalloonTextChar">
    <w:name w:val="Balloon Text Char"/>
    <w:basedOn w:val="DefaultParagraphFont"/>
    <w:link w:val="BalloonText"/>
    <w:rsid w:val="009B2B39"/>
    <w:rPr>
      <w:rFonts w:ascii="Tahoma" w:eastAsia="Times New Roman" w:hAnsi="Tahoma" w:cs="Tahoma"/>
      <w:kern w:val="0"/>
      <w:sz w:val="16"/>
      <w:szCs w:val="16"/>
      <w:lang w:eastAsia="en-GB"/>
    </w:rPr>
  </w:style>
  <w:style w:type="paragraph" w:customStyle="1" w:styleId="ConditionsA">
    <w:name w:val="ConditionsA"/>
    <w:basedOn w:val="Conditions2"/>
    <w:qFormat/>
    <w:rsid w:val="009B2B39"/>
  </w:style>
  <w:style w:type="paragraph" w:customStyle="1" w:styleId="ConditionsBullet">
    <w:name w:val="ConditionsBullet"/>
    <w:basedOn w:val="Conditions2"/>
    <w:qFormat/>
    <w:rsid w:val="009B2B39"/>
    <w:pPr>
      <w:numPr>
        <w:ilvl w:val="3"/>
      </w:numPr>
      <w:spacing w:before="0"/>
    </w:pPr>
  </w:style>
  <w:style w:type="numbering" w:customStyle="1" w:styleId="ConditionsList">
    <w:name w:val="ConditionsList"/>
    <w:uiPriority w:val="99"/>
    <w:rsid w:val="009B2B39"/>
    <w:pPr>
      <w:numPr>
        <w:numId w:val="6"/>
      </w:numPr>
    </w:pPr>
  </w:style>
  <w:style w:type="paragraph" w:customStyle="1" w:styleId="ConditionsNoNumber">
    <w:name w:val="ConditionsNoNumber"/>
    <w:basedOn w:val="Normal"/>
    <w:qFormat/>
    <w:rsid w:val="009B2B39"/>
    <w:pPr>
      <w:numPr>
        <w:ilvl w:val="1"/>
        <w:numId w:val="9"/>
      </w:numPr>
      <w:spacing w:before="120"/>
    </w:pPr>
  </w:style>
  <w:style w:type="paragraph" w:customStyle="1" w:styleId="ConditionsNoNumberNoSpaceBefore">
    <w:name w:val="ConditionsNoNumberNoSpaceBefore"/>
    <w:basedOn w:val="ConditionsNoNumber"/>
    <w:qFormat/>
    <w:rsid w:val="009B2B39"/>
    <w:pPr>
      <w:numPr>
        <w:ilvl w:val="4"/>
      </w:numPr>
      <w:spacing w:before="0"/>
    </w:pPr>
  </w:style>
  <w:style w:type="numbering" w:customStyle="1" w:styleId="nListiList">
    <w:name w:val="nList(i)List"/>
    <w:uiPriority w:val="99"/>
    <w:rsid w:val="009B2B39"/>
    <w:pPr>
      <w:numPr>
        <w:numId w:val="7"/>
      </w:numPr>
    </w:pPr>
  </w:style>
  <w:style w:type="numbering" w:customStyle="1" w:styleId="nListaList">
    <w:name w:val="nList(a)List"/>
    <w:uiPriority w:val="99"/>
    <w:rsid w:val="009B2B39"/>
    <w:pPr>
      <w:numPr>
        <w:numId w:val="8"/>
      </w:numPr>
    </w:pPr>
  </w:style>
  <w:style w:type="table" w:styleId="TableGrid">
    <w:name w:val="Table Grid"/>
    <w:basedOn w:val="TableNormal"/>
    <w:uiPriority w:val="39"/>
    <w:rsid w:val="007F0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646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E05B39-D6BF-468C-8DD8-784F5FB10814}">
  <we:reference id="5b395aeb-6d28-4a27-9c69-a73d67695275"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E6127E-F14C-4733-8F65-9635DFA1EFCD}">
  <ds:schemaRefs>
    <ds:schemaRef ds:uri="http://schemas.openxmlformats.org/officeDocument/2006/bibliography"/>
  </ds:schemaRefs>
</ds:datastoreItem>
</file>

<file path=customXml/itemProps2.xml><?xml version="1.0" encoding="utf-8"?>
<ds:datastoreItem xmlns:ds="http://schemas.openxmlformats.org/officeDocument/2006/customXml" ds:itemID="{143BBA59-47C4-4AA8-BB52-2AB97E58D59B}"/>
</file>

<file path=customXml/itemProps3.xml><?xml version="1.0" encoding="utf-8"?>
<ds:datastoreItem xmlns:ds="http://schemas.openxmlformats.org/officeDocument/2006/customXml" ds:itemID="{89AB2FC0-F156-46CA-9087-8BAF89EF4D15}"/>
</file>

<file path=customXml/itemProps4.xml><?xml version="1.0" encoding="utf-8"?>
<ds:datastoreItem xmlns:ds="http://schemas.openxmlformats.org/officeDocument/2006/customXml" ds:itemID="{39650C4E-FA39-4858-A601-19F14CAA1D35}"/>
</file>

<file path=docProps/app.xml><?xml version="1.0" encoding="utf-8"?>
<Properties xmlns="http://schemas.openxmlformats.org/officeDocument/2006/extended-properties" xmlns:vt="http://schemas.openxmlformats.org/officeDocument/2006/docPropsVTypes">
  <Template>Normal</Template>
  <TotalTime>10639</TotalTime>
  <Pages>15</Pages>
  <Words>6232</Words>
  <Characters>35523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Dominic</dc:creator>
  <cp:keywords/>
  <dc:description/>
  <cp:lastModifiedBy>McPhail, Zoe</cp:lastModifiedBy>
  <cp:revision>567</cp:revision>
  <cp:lastPrinted>2025-02-25T15:21:00Z</cp:lastPrinted>
  <dcterms:created xsi:type="dcterms:W3CDTF">2026-07-27T09:23:00Z</dcterms:created>
  <dcterms:modified xsi:type="dcterms:W3CDTF">2026-08-19T12:53:00Z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