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34D6A" w14:textId="1B77D169" w:rsidR="00A3311D" w:rsidRDefault="00A3311D" w:rsidP="00A3311D">
      <w:pPr>
        <w:pStyle w:val="Conditions1"/>
        <w:numPr>
          <w:ilvl w:val="0"/>
          <w:numId w:val="0"/>
        </w:numPr>
      </w:pPr>
      <w:r>
        <w:rPr>
          <w:noProof/>
        </w:rPr>
        <w:drawing>
          <wp:inline distT="0" distB="0" distL="0" distR="0" wp14:anchorId="6E3D76D1" wp14:editId="6D45EB74">
            <wp:extent cx="3420110" cy="402590"/>
            <wp:effectExtent l="0" t="0" r="8890" b="0"/>
            <wp:docPr id="141361055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10556"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578DB5B8" w14:textId="77777777" w:rsidR="00A3311D" w:rsidRPr="008C4663" w:rsidRDefault="00A3311D" w:rsidP="00A3311D">
      <w:pPr>
        <w:spacing w:before="60" w:after="60"/>
        <w:rPr>
          <w:sz w:val="16"/>
          <w:szCs w:val="16"/>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A3311D" w:rsidRPr="00D46B11" w14:paraId="64C1B634" w14:textId="77777777" w:rsidTr="00820530">
        <w:trPr>
          <w:cantSplit/>
          <w:trHeight w:val="23"/>
        </w:trPr>
        <w:tc>
          <w:tcPr>
            <w:tcW w:w="9356" w:type="dxa"/>
          </w:tcPr>
          <w:p w14:paraId="7281485B" w14:textId="31EA3B38" w:rsidR="00D92722" w:rsidRPr="00D46B11" w:rsidRDefault="00502A14" w:rsidP="00D92722">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Order</w:t>
            </w:r>
            <w:r w:rsidR="00A3311D" w:rsidRPr="00D46B11">
              <w:rPr>
                <w:rFonts w:ascii="Arial" w:hAnsi="Arial" w:cs="Arial"/>
                <w:b/>
                <w:color w:val="000000"/>
                <w:sz w:val="40"/>
                <w:szCs w:val="40"/>
              </w:rPr>
              <w:t xml:space="preserve"> Decision</w:t>
            </w:r>
          </w:p>
        </w:tc>
      </w:tr>
      <w:tr w:rsidR="00A3311D" w:rsidRPr="00D46B11" w14:paraId="6D452EEE" w14:textId="77777777" w:rsidTr="00820530">
        <w:trPr>
          <w:cantSplit/>
          <w:trHeight w:val="23"/>
        </w:trPr>
        <w:tc>
          <w:tcPr>
            <w:tcW w:w="9356" w:type="dxa"/>
          </w:tcPr>
          <w:p w14:paraId="3843A61D" w14:textId="039B24FF" w:rsidR="00D92722" w:rsidRPr="00D92722" w:rsidRDefault="00D92722" w:rsidP="00820530">
            <w:pPr>
              <w:spacing w:before="180"/>
              <w:ind w:left="-108" w:right="34"/>
              <w:rPr>
                <w:rFonts w:ascii="Arial" w:hAnsi="Arial" w:cs="Arial"/>
                <w:bCs/>
                <w:color w:val="000000"/>
                <w:sz w:val="24"/>
                <w:szCs w:val="24"/>
              </w:rPr>
            </w:pPr>
            <w:r>
              <w:rPr>
                <w:rFonts w:ascii="Arial" w:hAnsi="Arial" w:cs="Arial"/>
                <w:bCs/>
                <w:color w:val="000000"/>
                <w:sz w:val="24"/>
                <w:szCs w:val="24"/>
              </w:rPr>
              <w:t>Site visit made on 25 March 2026</w:t>
            </w:r>
          </w:p>
          <w:p w14:paraId="1EC456DD" w14:textId="01EE912A" w:rsidR="00A3311D" w:rsidRPr="00D46B11" w:rsidRDefault="00A3311D" w:rsidP="00820530">
            <w:pPr>
              <w:spacing w:before="180"/>
              <w:ind w:left="-108" w:right="34"/>
              <w:rPr>
                <w:rFonts w:ascii="Arial" w:hAnsi="Arial" w:cs="Arial"/>
                <w:b/>
                <w:color w:val="000000"/>
                <w:sz w:val="24"/>
                <w:szCs w:val="24"/>
              </w:rPr>
            </w:pPr>
            <w:r w:rsidRPr="00D46B11">
              <w:rPr>
                <w:rFonts w:ascii="Arial" w:hAnsi="Arial" w:cs="Arial"/>
                <w:b/>
                <w:color w:val="000000"/>
                <w:sz w:val="24"/>
                <w:szCs w:val="24"/>
              </w:rPr>
              <w:t xml:space="preserve">by </w:t>
            </w:r>
            <w:r>
              <w:rPr>
                <w:rFonts w:ascii="Arial" w:hAnsi="Arial" w:cs="Arial"/>
                <w:b/>
                <w:color w:val="000000"/>
                <w:sz w:val="24"/>
                <w:szCs w:val="24"/>
              </w:rPr>
              <w:t>Laura Renaudon LLM LARTPI Solicitor</w:t>
            </w:r>
          </w:p>
        </w:tc>
      </w:tr>
      <w:tr w:rsidR="00A3311D" w:rsidRPr="00D46B11" w14:paraId="6199F6A5" w14:textId="77777777" w:rsidTr="00820530">
        <w:trPr>
          <w:cantSplit/>
          <w:trHeight w:val="23"/>
        </w:trPr>
        <w:tc>
          <w:tcPr>
            <w:tcW w:w="9356" w:type="dxa"/>
          </w:tcPr>
          <w:p w14:paraId="122647B7" w14:textId="4508B7B5" w:rsidR="00A3311D" w:rsidRPr="002F6518" w:rsidRDefault="00D92722" w:rsidP="00820530">
            <w:pPr>
              <w:spacing w:before="120"/>
              <w:ind w:left="-108" w:right="34"/>
              <w:rPr>
                <w:rFonts w:ascii="Arial" w:hAnsi="Arial" w:cs="Arial"/>
                <w:b/>
                <w:color w:val="000000"/>
                <w:sz w:val="18"/>
                <w:szCs w:val="18"/>
              </w:rPr>
            </w:pPr>
            <w:r>
              <w:rPr>
                <w:rFonts w:ascii="Arial" w:hAnsi="Arial" w:cs="Arial"/>
                <w:b/>
                <w:color w:val="000000"/>
                <w:sz w:val="18"/>
                <w:szCs w:val="18"/>
              </w:rPr>
              <w:t>a</w:t>
            </w:r>
            <w:r w:rsidR="00A3311D" w:rsidRPr="002F6518">
              <w:rPr>
                <w:rFonts w:ascii="Arial" w:hAnsi="Arial" w:cs="Arial"/>
                <w:b/>
                <w:color w:val="000000"/>
                <w:sz w:val="18"/>
                <w:szCs w:val="18"/>
              </w:rPr>
              <w:t>n Inspector appointed by the Secretary of State for Environment, Food and Rural Affairs</w:t>
            </w:r>
          </w:p>
        </w:tc>
      </w:tr>
      <w:tr w:rsidR="00A3311D" w:rsidRPr="00D46B11" w14:paraId="62D86F2E" w14:textId="77777777" w:rsidTr="00820530">
        <w:trPr>
          <w:cantSplit/>
          <w:trHeight w:val="23"/>
        </w:trPr>
        <w:tc>
          <w:tcPr>
            <w:tcW w:w="9356" w:type="dxa"/>
          </w:tcPr>
          <w:p w14:paraId="6A97F680" w14:textId="1B886A42" w:rsidR="00A3311D" w:rsidRPr="002F6518" w:rsidRDefault="00A3311D" w:rsidP="00820530">
            <w:pPr>
              <w:spacing w:before="120"/>
              <w:ind w:left="-108" w:right="176"/>
              <w:rPr>
                <w:rFonts w:ascii="Arial" w:hAnsi="Arial" w:cs="Arial"/>
                <w:b/>
                <w:color w:val="000000"/>
                <w:sz w:val="18"/>
                <w:szCs w:val="18"/>
              </w:rPr>
            </w:pPr>
            <w:r w:rsidRPr="002F6518">
              <w:rPr>
                <w:rFonts w:ascii="Arial" w:hAnsi="Arial" w:cs="Arial"/>
                <w:b/>
                <w:color w:val="000000"/>
                <w:sz w:val="18"/>
                <w:szCs w:val="18"/>
              </w:rPr>
              <w:t>Decision date:</w:t>
            </w:r>
            <w:r>
              <w:rPr>
                <w:rFonts w:ascii="Arial" w:hAnsi="Arial" w:cs="Arial"/>
                <w:b/>
                <w:color w:val="000000"/>
                <w:sz w:val="18"/>
                <w:szCs w:val="18"/>
              </w:rPr>
              <w:t xml:space="preserve"> </w:t>
            </w:r>
            <w:r w:rsidR="00223777">
              <w:rPr>
                <w:rFonts w:ascii="Arial" w:hAnsi="Arial" w:cs="Arial"/>
                <w:b/>
                <w:color w:val="000000"/>
                <w:sz w:val="18"/>
                <w:szCs w:val="18"/>
              </w:rPr>
              <w:t>22 June 2026</w:t>
            </w:r>
          </w:p>
        </w:tc>
      </w:tr>
    </w:tbl>
    <w:p w14:paraId="242E1A05" w14:textId="77777777" w:rsidR="00A3311D" w:rsidRPr="008C4663" w:rsidRDefault="00A3311D" w:rsidP="00A3311D">
      <w:pPr>
        <w:rPr>
          <w:rFonts w:ascii="Arial" w:hAnsi="Arial" w:cs="Arial"/>
          <w:sz w:val="16"/>
          <w:szCs w:val="16"/>
        </w:rPr>
      </w:pPr>
    </w:p>
    <w:tbl>
      <w:tblPr>
        <w:tblW w:w="9520" w:type="dxa"/>
        <w:tblLayout w:type="fixed"/>
        <w:tblLook w:val="0000" w:firstRow="0" w:lastRow="0" w:firstColumn="0" w:lastColumn="0" w:noHBand="0" w:noVBand="0"/>
      </w:tblPr>
      <w:tblGrid>
        <w:gridCol w:w="9520"/>
      </w:tblGrid>
      <w:tr w:rsidR="00A3311D" w:rsidRPr="00D46B11" w14:paraId="10B02245" w14:textId="77777777" w:rsidTr="00820530">
        <w:tc>
          <w:tcPr>
            <w:tcW w:w="9520" w:type="dxa"/>
          </w:tcPr>
          <w:p w14:paraId="17A8F149" w14:textId="71363F3A" w:rsidR="00A3311D" w:rsidRPr="00D166C1" w:rsidRDefault="00D92722" w:rsidP="00820530">
            <w:pPr>
              <w:rPr>
                <w:rFonts w:ascii="Arial" w:hAnsi="Arial" w:cs="Arial"/>
                <w:b/>
                <w:color w:val="000000"/>
                <w:szCs w:val="22"/>
              </w:rPr>
            </w:pPr>
            <w:r>
              <w:rPr>
                <w:rFonts w:ascii="Arial" w:hAnsi="Arial" w:cs="Arial"/>
                <w:b/>
                <w:color w:val="000000"/>
                <w:szCs w:val="22"/>
              </w:rPr>
              <w:t>Order</w:t>
            </w:r>
            <w:r w:rsidR="00A3311D" w:rsidRPr="00D166C1">
              <w:rPr>
                <w:rFonts w:ascii="Arial" w:hAnsi="Arial" w:cs="Arial"/>
                <w:b/>
                <w:color w:val="000000"/>
                <w:szCs w:val="22"/>
              </w:rPr>
              <w:t xml:space="preserve"> Ref: ROW/33</w:t>
            </w:r>
            <w:r w:rsidR="000C7FB3">
              <w:rPr>
                <w:rFonts w:ascii="Arial" w:hAnsi="Arial" w:cs="Arial"/>
                <w:b/>
                <w:color w:val="000000"/>
                <w:szCs w:val="22"/>
              </w:rPr>
              <w:t>50875</w:t>
            </w:r>
            <w:r w:rsidR="00A3311D" w:rsidRPr="00D166C1">
              <w:rPr>
                <w:rFonts w:ascii="Arial" w:hAnsi="Arial" w:cs="Arial"/>
                <w:b/>
                <w:color w:val="000000"/>
                <w:szCs w:val="22"/>
              </w:rPr>
              <w:t xml:space="preserve">                                                                    </w:t>
            </w:r>
          </w:p>
          <w:p w14:paraId="473D2B3A" w14:textId="77777777" w:rsidR="00A3311D" w:rsidRPr="008C4663" w:rsidRDefault="00A3311D" w:rsidP="00820530">
            <w:pPr>
              <w:spacing w:after="60"/>
              <w:rPr>
                <w:rFonts w:ascii="Arial" w:hAnsi="Arial" w:cs="Arial"/>
                <w:b/>
                <w:color w:val="000000"/>
                <w:sz w:val="16"/>
                <w:szCs w:val="16"/>
              </w:rPr>
            </w:pPr>
          </w:p>
        </w:tc>
      </w:tr>
      <w:tr w:rsidR="00A3311D" w:rsidRPr="00D46B11" w14:paraId="068D7549" w14:textId="77777777" w:rsidTr="00820530">
        <w:tc>
          <w:tcPr>
            <w:tcW w:w="9520" w:type="dxa"/>
          </w:tcPr>
          <w:p w14:paraId="501F6E82" w14:textId="31A1E795" w:rsidR="00A3311D" w:rsidRPr="00D166C1" w:rsidRDefault="00A3311D" w:rsidP="00820530">
            <w:pPr>
              <w:pStyle w:val="TBullet"/>
              <w:rPr>
                <w:rFonts w:ascii="Arial" w:hAnsi="Arial" w:cs="Arial"/>
                <w:sz w:val="22"/>
                <w:szCs w:val="22"/>
              </w:rPr>
            </w:pPr>
            <w:r w:rsidRPr="00D166C1">
              <w:rPr>
                <w:rFonts w:ascii="Arial" w:hAnsi="Arial" w:cs="Arial"/>
                <w:sz w:val="22"/>
                <w:szCs w:val="22"/>
              </w:rPr>
              <w:t xml:space="preserve">This </w:t>
            </w:r>
            <w:r w:rsidR="00D92722">
              <w:rPr>
                <w:rFonts w:ascii="Arial" w:hAnsi="Arial" w:cs="Arial"/>
                <w:sz w:val="22"/>
                <w:szCs w:val="22"/>
              </w:rPr>
              <w:t xml:space="preserve">Order is made under Section 53(2)(b) of the Wildlife and Countryside Act 1981 (‘the 1981 Act’) and is known as the Lancashire County Council </w:t>
            </w:r>
            <w:r w:rsidR="00146681">
              <w:rPr>
                <w:rFonts w:ascii="Arial" w:hAnsi="Arial" w:cs="Arial"/>
                <w:sz w:val="22"/>
                <w:szCs w:val="22"/>
              </w:rPr>
              <w:t xml:space="preserve">Restricted Byway along Sod Hall Lane, South Ribble </w:t>
            </w:r>
            <w:r w:rsidR="00940760">
              <w:rPr>
                <w:rFonts w:ascii="Arial" w:hAnsi="Arial" w:cs="Arial"/>
                <w:sz w:val="22"/>
                <w:szCs w:val="22"/>
              </w:rPr>
              <w:t>Definitive Map Modification Order 2022</w:t>
            </w:r>
            <w:r w:rsidRPr="00D166C1">
              <w:rPr>
                <w:rFonts w:ascii="Arial" w:hAnsi="Arial" w:cs="Arial"/>
                <w:sz w:val="22"/>
                <w:szCs w:val="22"/>
              </w:rPr>
              <w:t>.</w:t>
            </w:r>
          </w:p>
          <w:p w14:paraId="60DF48F7" w14:textId="18CB2699" w:rsidR="00A3311D" w:rsidRPr="00D166C1" w:rsidRDefault="00940760" w:rsidP="00820530">
            <w:pPr>
              <w:pStyle w:val="TBullet"/>
              <w:rPr>
                <w:rFonts w:ascii="Arial" w:hAnsi="Arial" w:cs="Arial"/>
                <w:sz w:val="22"/>
                <w:szCs w:val="22"/>
              </w:rPr>
            </w:pPr>
            <w:r>
              <w:rPr>
                <w:rFonts w:ascii="Arial" w:hAnsi="Arial" w:cs="Arial"/>
                <w:sz w:val="22"/>
                <w:szCs w:val="22"/>
              </w:rPr>
              <w:t xml:space="preserve">The Order is dated </w:t>
            </w:r>
            <w:r w:rsidR="00C57916">
              <w:rPr>
                <w:rFonts w:ascii="Arial" w:hAnsi="Arial" w:cs="Arial"/>
                <w:sz w:val="22"/>
                <w:szCs w:val="22"/>
              </w:rPr>
              <w:t xml:space="preserve">20 July 2022 and proposes to modify the </w:t>
            </w:r>
            <w:r w:rsidR="00F456EF">
              <w:rPr>
                <w:rFonts w:ascii="Arial" w:hAnsi="Arial" w:cs="Arial"/>
                <w:sz w:val="22"/>
                <w:szCs w:val="22"/>
              </w:rPr>
              <w:t xml:space="preserve">Definitive Map and Statement (‘the DMS’) for the area by </w:t>
            </w:r>
            <w:r w:rsidR="0037188F">
              <w:rPr>
                <w:rFonts w:ascii="Arial" w:hAnsi="Arial" w:cs="Arial"/>
                <w:sz w:val="22"/>
                <w:szCs w:val="22"/>
              </w:rPr>
              <w:t>adding a restricted byway and by upgrading a footpath to restricted byway as shown on the Order plan and described in the Order Schedule</w:t>
            </w:r>
            <w:r w:rsidR="00FB144B" w:rsidRPr="00D166C1">
              <w:rPr>
                <w:rFonts w:ascii="Arial" w:hAnsi="Arial" w:cs="Arial"/>
                <w:sz w:val="22"/>
                <w:szCs w:val="22"/>
              </w:rPr>
              <w:t>.</w:t>
            </w:r>
          </w:p>
          <w:p w14:paraId="70FF2077" w14:textId="5679933E" w:rsidR="00A3311D" w:rsidRPr="00D166C1" w:rsidRDefault="00A3311D" w:rsidP="00820530">
            <w:pPr>
              <w:pStyle w:val="TBullet"/>
              <w:rPr>
                <w:rFonts w:ascii="Arial" w:hAnsi="Arial" w:cs="Arial"/>
                <w:sz w:val="22"/>
                <w:szCs w:val="22"/>
              </w:rPr>
            </w:pPr>
            <w:r w:rsidRPr="00D166C1">
              <w:rPr>
                <w:rFonts w:ascii="Arial" w:hAnsi="Arial" w:cs="Arial"/>
                <w:sz w:val="22"/>
                <w:szCs w:val="22"/>
              </w:rPr>
              <w:t>Th</w:t>
            </w:r>
            <w:r w:rsidR="00417226">
              <w:rPr>
                <w:rFonts w:ascii="Arial" w:hAnsi="Arial" w:cs="Arial"/>
                <w:sz w:val="22"/>
                <w:szCs w:val="22"/>
              </w:rPr>
              <w:t xml:space="preserve">ere was </w:t>
            </w:r>
            <w:r w:rsidR="00EE71CE">
              <w:rPr>
                <w:rFonts w:ascii="Arial" w:hAnsi="Arial" w:cs="Arial"/>
                <w:sz w:val="22"/>
                <w:szCs w:val="22"/>
              </w:rPr>
              <w:t>one outstanding objection when the Lancashire County Council (‘the Council’) submitted the Order to the Secretary of State for Environment, Food and Rural Affairs for confirmation</w:t>
            </w:r>
            <w:r w:rsidRPr="00D166C1">
              <w:rPr>
                <w:rFonts w:ascii="Arial" w:hAnsi="Arial" w:cs="Arial"/>
                <w:sz w:val="22"/>
                <w:szCs w:val="22"/>
              </w:rPr>
              <w:t xml:space="preserve">. </w:t>
            </w:r>
          </w:p>
        </w:tc>
      </w:tr>
      <w:tr w:rsidR="00A3311D" w:rsidRPr="00D46B11" w14:paraId="60DA0840" w14:textId="77777777" w:rsidTr="00820530">
        <w:tc>
          <w:tcPr>
            <w:tcW w:w="9520" w:type="dxa"/>
          </w:tcPr>
          <w:p w14:paraId="7BD93554" w14:textId="77777777" w:rsidR="00A3311D" w:rsidRPr="00D166C1" w:rsidRDefault="00A3311D" w:rsidP="00820530">
            <w:pPr>
              <w:pStyle w:val="TBullet"/>
              <w:numPr>
                <w:ilvl w:val="0"/>
                <w:numId w:val="0"/>
              </w:numPr>
              <w:rPr>
                <w:rFonts w:ascii="Arial" w:hAnsi="Arial" w:cs="Arial"/>
                <w:sz w:val="22"/>
                <w:szCs w:val="22"/>
              </w:rPr>
            </w:pPr>
          </w:p>
          <w:p w14:paraId="56DFC01D" w14:textId="2A624B92" w:rsidR="00A3311D" w:rsidRPr="00D166C1" w:rsidRDefault="00A3311D" w:rsidP="00820530">
            <w:pPr>
              <w:pStyle w:val="TBullet"/>
              <w:numPr>
                <w:ilvl w:val="0"/>
                <w:numId w:val="0"/>
              </w:numPr>
              <w:ind w:left="360" w:hanging="360"/>
              <w:rPr>
                <w:rFonts w:ascii="Arial" w:hAnsi="Arial" w:cs="Arial"/>
                <w:b/>
                <w:bCs/>
                <w:sz w:val="22"/>
                <w:szCs w:val="22"/>
              </w:rPr>
            </w:pPr>
            <w:r w:rsidRPr="00D166C1">
              <w:rPr>
                <w:rFonts w:ascii="Arial" w:hAnsi="Arial" w:cs="Arial"/>
                <w:b/>
                <w:bCs/>
                <w:sz w:val="22"/>
                <w:szCs w:val="22"/>
              </w:rPr>
              <w:t xml:space="preserve">Summary of Decision: </w:t>
            </w:r>
            <w:r w:rsidR="007F2349">
              <w:rPr>
                <w:rFonts w:ascii="Arial" w:hAnsi="Arial" w:cs="Arial"/>
                <w:b/>
                <w:bCs/>
                <w:sz w:val="22"/>
                <w:szCs w:val="22"/>
              </w:rPr>
              <w:t>t</w:t>
            </w:r>
            <w:r w:rsidRPr="00D166C1">
              <w:rPr>
                <w:rFonts w:ascii="Arial" w:hAnsi="Arial" w:cs="Arial"/>
                <w:b/>
                <w:bCs/>
                <w:sz w:val="22"/>
                <w:szCs w:val="22"/>
              </w:rPr>
              <w:t xml:space="preserve">he </w:t>
            </w:r>
            <w:r w:rsidR="00EE71CE">
              <w:rPr>
                <w:rFonts w:ascii="Arial" w:hAnsi="Arial" w:cs="Arial"/>
                <w:b/>
                <w:bCs/>
                <w:sz w:val="22"/>
                <w:szCs w:val="22"/>
              </w:rPr>
              <w:t xml:space="preserve">Order is </w:t>
            </w:r>
            <w:r w:rsidR="00EB3878">
              <w:rPr>
                <w:rFonts w:ascii="Arial" w:hAnsi="Arial" w:cs="Arial"/>
                <w:b/>
                <w:bCs/>
                <w:sz w:val="22"/>
                <w:szCs w:val="22"/>
              </w:rPr>
              <w:t>confirmed with a minor modification</w:t>
            </w:r>
            <w:r w:rsidRPr="00D166C1">
              <w:rPr>
                <w:rFonts w:ascii="Arial" w:hAnsi="Arial" w:cs="Arial"/>
                <w:b/>
                <w:bCs/>
                <w:sz w:val="22"/>
                <w:szCs w:val="22"/>
              </w:rPr>
              <w:t>.</w:t>
            </w:r>
          </w:p>
        </w:tc>
      </w:tr>
      <w:tr w:rsidR="00A3311D" w14:paraId="46D58253" w14:textId="77777777" w:rsidTr="00820530">
        <w:tc>
          <w:tcPr>
            <w:tcW w:w="9520" w:type="dxa"/>
            <w:tcBorders>
              <w:bottom w:val="single" w:sz="6" w:space="0" w:color="000000"/>
            </w:tcBorders>
          </w:tcPr>
          <w:p w14:paraId="277B78C9" w14:textId="77777777" w:rsidR="00A3311D" w:rsidRPr="00D46B11" w:rsidRDefault="00A3311D" w:rsidP="00820530">
            <w:pPr>
              <w:rPr>
                <w:b/>
                <w:color w:val="000000"/>
                <w:sz w:val="4"/>
              </w:rPr>
            </w:pPr>
            <w:bookmarkStart w:id="1" w:name="bmkReturn"/>
            <w:bookmarkEnd w:id="1"/>
          </w:p>
        </w:tc>
      </w:tr>
    </w:tbl>
    <w:p w14:paraId="3C8ED88F" w14:textId="5FAFC539" w:rsidR="002B0443" w:rsidRPr="009B1520" w:rsidRDefault="00867C86" w:rsidP="00A3311D">
      <w:pPr>
        <w:pStyle w:val="Style1"/>
        <w:rPr>
          <w:rFonts w:ascii="Arial" w:hAnsi="Arial" w:cs="Arial"/>
          <w:b/>
          <w:bCs/>
          <w:szCs w:val="22"/>
        </w:rPr>
      </w:pPr>
      <w:r w:rsidRPr="009B1520">
        <w:rPr>
          <w:rFonts w:ascii="Arial" w:hAnsi="Arial" w:cs="Arial"/>
          <w:b/>
          <w:bCs/>
          <w:szCs w:val="22"/>
        </w:rPr>
        <w:t>Preliminary Matters</w:t>
      </w:r>
    </w:p>
    <w:p w14:paraId="3E4E89FF" w14:textId="303D8B8A" w:rsidR="00C14A07" w:rsidRPr="00EB3878" w:rsidRDefault="00200B2C" w:rsidP="00C14A07">
      <w:pPr>
        <w:pStyle w:val="Style1"/>
        <w:numPr>
          <w:ilvl w:val="0"/>
          <w:numId w:val="4"/>
        </w:numPr>
        <w:rPr>
          <w:rFonts w:ascii="Arial" w:hAnsi="Arial" w:cs="Arial"/>
          <w:szCs w:val="22"/>
        </w:rPr>
      </w:pPr>
      <w:r w:rsidRPr="00EB3878">
        <w:rPr>
          <w:rFonts w:ascii="Arial" w:hAnsi="Arial" w:cs="Arial"/>
          <w:szCs w:val="22"/>
        </w:rPr>
        <w:t xml:space="preserve">I have been </w:t>
      </w:r>
      <w:r w:rsidR="00F47FF6">
        <w:rPr>
          <w:rFonts w:ascii="Arial" w:hAnsi="Arial" w:cs="Arial"/>
          <w:szCs w:val="22"/>
        </w:rPr>
        <w:t>appointe</w:t>
      </w:r>
      <w:r w:rsidRPr="00EB3878">
        <w:rPr>
          <w:rFonts w:ascii="Arial" w:hAnsi="Arial" w:cs="Arial"/>
          <w:szCs w:val="22"/>
        </w:rPr>
        <w:t xml:space="preserve">d by the Secretary of State for Environment, Food and Rural Affairs to determine </w:t>
      </w:r>
      <w:r w:rsidR="00EB3878" w:rsidRPr="00EB3878">
        <w:rPr>
          <w:rFonts w:ascii="Arial" w:hAnsi="Arial" w:cs="Arial"/>
          <w:szCs w:val="22"/>
        </w:rPr>
        <w:t xml:space="preserve">whether to confirm this Order. </w:t>
      </w:r>
      <w:r w:rsidR="00F47FF6">
        <w:rPr>
          <w:rFonts w:ascii="Arial" w:hAnsi="Arial" w:cs="Arial"/>
          <w:szCs w:val="22"/>
        </w:rPr>
        <w:t xml:space="preserve">I </w:t>
      </w:r>
      <w:r w:rsidR="004241E4">
        <w:rPr>
          <w:rFonts w:ascii="Arial" w:hAnsi="Arial" w:cs="Arial"/>
          <w:szCs w:val="22"/>
        </w:rPr>
        <w:t xml:space="preserve">walked the Order route, unaccompanied, on 25 March 2026. </w:t>
      </w:r>
      <w:r w:rsidR="00E20DAF" w:rsidRPr="00EB3878">
        <w:rPr>
          <w:rFonts w:ascii="Arial" w:hAnsi="Arial" w:cs="Arial"/>
          <w:szCs w:val="22"/>
        </w:rPr>
        <w:t xml:space="preserve">A copy of the Order Plans are appended to this decision for ease of reference, and </w:t>
      </w:r>
      <w:r w:rsidR="004F259F" w:rsidRPr="00EB3878">
        <w:rPr>
          <w:rFonts w:ascii="Arial" w:hAnsi="Arial" w:cs="Arial"/>
          <w:szCs w:val="22"/>
        </w:rPr>
        <w:t xml:space="preserve">I use the points of reference annotated on those Plans in my decision where relevant. </w:t>
      </w:r>
    </w:p>
    <w:p w14:paraId="34923388" w14:textId="0F3389EC" w:rsidR="002B0443" w:rsidRPr="009B1520" w:rsidRDefault="00F03440" w:rsidP="00867C86">
      <w:pPr>
        <w:pStyle w:val="Style1"/>
        <w:numPr>
          <w:ilvl w:val="0"/>
          <w:numId w:val="4"/>
        </w:numPr>
        <w:rPr>
          <w:rFonts w:ascii="Arial" w:hAnsi="Arial" w:cs="Arial"/>
          <w:szCs w:val="22"/>
        </w:rPr>
      </w:pPr>
      <w:r>
        <w:rPr>
          <w:rFonts w:ascii="Arial" w:hAnsi="Arial" w:cs="Arial"/>
          <w:szCs w:val="22"/>
        </w:rPr>
        <w:t>The preamble of the Order refers to</w:t>
      </w:r>
      <w:r w:rsidR="00993F20">
        <w:rPr>
          <w:rFonts w:ascii="Arial" w:hAnsi="Arial" w:cs="Arial"/>
          <w:szCs w:val="22"/>
        </w:rPr>
        <w:t xml:space="preserve"> the occurrence of an event specified in Section 53(2)(b) of the 1981 Act as a matter prompting </w:t>
      </w:r>
      <w:r w:rsidR="00A502AF">
        <w:rPr>
          <w:rFonts w:ascii="Arial" w:hAnsi="Arial" w:cs="Arial"/>
          <w:szCs w:val="22"/>
        </w:rPr>
        <w:t xml:space="preserve">the </w:t>
      </w:r>
      <w:r w:rsidR="00993F20">
        <w:rPr>
          <w:rFonts w:ascii="Arial" w:hAnsi="Arial" w:cs="Arial"/>
          <w:szCs w:val="22"/>
        </w:rPr>
        <w:t>Order</w:t>
      </w:r>
      <w:r w:rsidR="00624BA7">
        <w:rPr>
          <w:rFonts w:ascii="Arial" w:hAnsi="Arial" w:cs="Arial"/>
          <w:szCs w:val="22"/>
        </w:rPr>
        <w:t xml:space="preserve">. </w:t>
      </w:r>
      <w:r w:rsidR="00C6027B">
        <w:rPr>
          <w:rFonts w:ascii="Arial" w:hAnsi="Arial" w:cs="Arial"/>
          <w:szCs w:val="22"/>
        </w:rPr>
        <w:t>Although the Order is made under that section, t</w:t>
      </w:r>
      <w:r w:rsidR="00624BA7">
        <w:rPr>
          <w:rFonts w:ascii="Arial" w:hAnsi="Arial" w:cs="Arial"/>
          <w:szCs w:val="22"/>
        </w:rPr>
        <w:t xml:space="preserve">hat </w:t>
      </w:r>
      <w:r w:rsidR="00C6027B">
        <w:rPr>
          <w:rFonts w:ascii="Arial" w:hAnsi="Arial" w:cs="Arial"/>
          <w:szCs w:val="22"/>
        </w:rPr>
        <w:t xml:space="preserve">particular </w:t>
      </w:r>
      <w:r w:rsidR="00624BA7">
        <w:rPr>
          <w:rFonts w:ascii="Arial" w:hAnsi="Arial" w:cs="Arial"/>
          <w:szCs w:val="22"/>
        </w:rPr>
        <w:t xml:space="preserve">paragraph does not specify any relevant event and it appears to have been included in error. </w:t>
      </w:r>
      <w:r w:rsidR="00030C90">
        <w:rPr>
          <w:rFonts w:ascii="Arial" w:hAnsi="Arial" w:cs="Arial"/>
          <w:szCs w:val="22"/>
        </w:rPr>
        <w:t xml:space="preserve">I understand the </w:t>
      </w:r>
      <w:r w:rsidR="00A02D82">
        <w:rPr>
          <w:rFonts w:ascii="Arial" w:hAnsi="Arial" w:cs="Arial"/>
          <w:szCs w:val="22"/>
        </w:rPr>
        <w:t>relevant events</w:t>
      </w:r>
      <w:r w:rsidR="00E61DB6">
        <w:rPr>
          <w:rFonts w:ascii="Arial" w:hAnsi="Arial" w:cs="Arial"/>
          <w:szCs w:val="22"/>
        </w:rPr>
        <w:t xml:space="preserve"> relied on to make the </w:t>
      </w:r>
      <w:r w:rsidR="00030C90">
        <w:rPr>
          <w:rFonts w:ascii="Arial" w:hAnsi="Arial" w:cs="Arial"/>
          <w:szCs w:val="22"/>
        </w:rPr>
        <w:t xml:space="preserve">Order to </w:t>
      </w:r>
      <w:r w:rsidR="00E61DB6">
        <w:rPr>
          <w:rFonts w:ascii="Arial" w:hAnsi="Arial" w:cs="Arial"/>
          <w:szCs w:val="22"/>
        </w:rPr>
        <w:t>have been the</w:t>
      </w:r>
      <w:r w:rsidR="00030C90">
        <w:rPr>
          <w:rFonts w:ascii="Arial" w:hAnsi="Arial" w:cs="Arial"/>
          <w:szCs w:val="22"/>
        </w:rPr>
        <w:t xml:space="preserve"> discovery of evidence falling within paragraphs </w:t>
      </w:r>
      <w:r w:rsidR="000416D9">
        <w:rPr>
          <w:rFonts w:ascii="Arial" w:hAnsi="Arial" w:cs="Arial"/>
          <w:szCs w:val="22"/>
        </w:rPr>
        <w:t xml:space="preserve">(3)(c)(i) and (3)(c)(ii) of section 53 of the 1981 Act, both of which are identified in the Order. If the Order is to be confirmed, it will </w:t>
      </w:r>
      <w:r w:rsidR="00171AB3">
        <w:rPr>
          <w:rFonts w:ascii="Arial" w:hAnsi="Arial" w:cs="Arial"/>
          <w:szCs w:val="22"/>
        </w:rPr>
        <w:t>require a small correction in this regard</w:t>
      </w:r>
      <w:r w:rsidR="00F73C9F" w:rsidRPr="009B1520">
        <w:rPr>
          <w:rFonts w:ascii="Arial" w:hAnsi="Arial" w:cs="Arial"/>
          <w:szCs w:val="22"/>
        </w:rPr>
        <w:t>.</w:t>
      </w:r>
    </w:p>
    <w:p w14:paraId="07F572B0" w14:textId="3A88725A" w:rsidR="00A3311D" w:rsidRPr="009B1520" w:rsidRDefault="00A3311D" w:rsidP="00C4785C">
      <w:pPr>
        <w:pStyle w:val="Style1"/>
        <w:tabs>
          <w:tab w:val="left" w:pos="3840"/>
        </w:tabs>
        <w:rPr>
          <w:rFonts w:ascii="Arial" w:hAnsi="Arial" w:cs="Arial"/>
          <w:b/>
          <w:bCs/>
          <w:szCs w:val="22"/>
        </w:rPr>
      </w:pPr>
      <w:r w:rsidRPr="009B1520">
        <w:rPr>
          <w:rFonts w:ascii="Arial" w:hAnsi="Arial" w:cs="Arial"/>
          <w:b/>
          <w:bCs/>
          <w:szCs w:val="22"/>
        </w:rPr>
        <w:t>Main Issues</w:t>
      </w:r>
      <w:r w:rsidR="00C4785C">
        <w:rPr>
          <w:rFonts w:ascii="Arial" w:hAnsi="Arial" w:cs="Arial"/>
          <w:b/>
          <w:bCs/>
          <w:szCs w:val="22"/>
        </w:rPr>
        <w:tab/>
      </w:r>
    </w:p>
    <w:p w14:paraId="35B51D7D" w14:textId="56E9593D" w:rsidR="00626A33" w:rsidRDefault="00113FB2" w:rsidP="007827EA">
      <w:pPr>
        <w:pStyle w:val="Style1"/>
        <w:numPr>
          <w:ilvl w:val="0"/>
          <w:numId w:val="4"/>
        </w:numPr>
        <w:rPr>
          <w:rFonts w:ascii="Arial" w:hAnsi="Arial" w:cs="Arial"/>
          <w:szCs w:val="22"/>
        </w:rPr>
      </w:pPr>
      <w:r>
        <w:rPr>
          <w:rFonts w:ascii="Arial" w:hAnsi="Arial" w:cs="Arial"/>
          <w:szCs w:val="22"/>
        </w:rPr>
        <w:t xml:space="preserve">A number of competing interpretations </w:t>
      </w:r>
      <w:r w:rsidR="00D2154B">
        <w:rPr>
          <w:rFonts w:ascii="Arial" w:hAnsi="Arial" w:cs="Arial"/>
          <w:szCs w:val="22"/>
        </w:rPr>
        <w:t xml:space="preserve">of the evidence </w:t>
      </w:r>
      <w:r>
        <w:rPr>
          <w:rFonts w:ascii="Arial" w:hAnsi="Arial" w:cs="Arial"/>
          <w:szCs w:val="22"/>
        </w:rPr>
        <w:t xml:space="preserve">are put before me. The Council have </w:t>
      </w:r>
      <w:r w:rsidR="003C67CC">
        <w:rPr>
          <w:rFonts w:ascii="Arial" w:hAnsi="Arial" w:cs="Arial"/>
          <w:szCs w:val="22"/>
        </w:rPr>
        <w:t xml:space="preserve">made an Order that, if confirmed, would result in the recording of a Restricted Byway (‘RB’) for </w:t>
      </w:r>
      <w:r w:rsidR="00E72236">
        <w:rPr>
          <w:rFonts w:ascii="Arial" w:hAnsi="Arial" w:cs="Arial"/>
          <w:szCs w:val="22"/>
        </w:rPr>
        <w:t>most of the</w:t>
      </w:r>
      <w:r w:rsidR="003C67CC">
        <w:rPr>
          <w:rFonts w:ascii="Arial" w:hAnsi="Arial" w:cs="Arial"/>
          <w:szCs w:val="22"/>
        </w:rPr>
        <w:t xml:space="preserve"> length of</w:t>
      </w:r>
      <w:r w:rsidR="00390898">
        <w:rPr>
          <w:rFonts w:ascii="Arial" w:hAnsi="Arial" w:cs="Arial"/>
          <w:szCs w:val="22"/>
        </w:rPr>
        <w:t xml:space="preserve"> a track (to use a neutral term) </w:t>
      </w:r>
      <w:r w:rsidR="00427EBA">
        <w:rPr>
          <w:rFonts w:ascii="Arial" w:hAnsi="Arial" w:cs="Arial"/>
          <w:szCs w:val="22"/>
        </w:rPr>
        <w:t xml:space="preserve">about a kilometre long </w:t>
      </w:r>
      <w:r w:rsidR="00390898">
        <w:rPr>
          <w:rFonts w:ascii="Arial" w:hAnsi="Arial" w:cs="Arial"/>
          <w:szCs w:val="22"/>
        </w:rPr>
        <w:t xml:space="preserve">between Long Moss Lane and </w:t>
      </w:r>
      <w:r w:rsidR="00E72236">
        <w:rPr>
          <w:rFonts w:ascii="Arial" w:hAnsi="Arial" w:cs="Arial"/>
          <w:szCs w:val="22"/>
        </w:rPr>
        <w:t>Long</w:t>
      </w:r>
      <w:r w:rsidR="00FC6070">
        <w:rPr>
          <w:rFonts w:ascii="Arial" w:hAnsi="Arial" w:cs="Arial"/>
          <w:szCs w:val="22"/>
        </w:rPr>
        <w:t>m</w:t>
      </w:r>
      <w:r w:rsidR="00E72236">
        <w:rPr>
          <w:rFonts w:ascii="Arial" w:hAnsi="Arial" w:cs="Arial"/>
          <w:szCs w:val="22"/>
        </w:rPr>
        <w:t>eanygate</w:t>
      </w:r>
      <w:r w:rsidR="00FC6070">
        <w:rPr>
          <w:rFonts w:ascii="Arial" w:hAnsi="Arial" w:cs="Arial"/>
          <w:szCs w:val="22"/>
        </w:rPr>
        <w:t>, both adopted carriageways respectively in the parishes of Longton and Leyland. The remainder of the length of the track</w:t>
      </w:r>
      <w:r w:rsidR="0077076C">
        <w:rPr>
          <w:rFonts w:ascii="Arial" w:hAnsi="Arial" w:cs="Arial"/>
          <w:szCs w:val="22"/>
        </w:rPr>
        <w:t>, at the southern end,</w:t>
      </w:r>
      <w:r w:rsidR="00FC6070">
        <w:rPr>
          <w:rFonts w:ascii="Arial" w:hAnsi="Arial" w:cs="Arial"/>
          <w:szCs w:val="22"/>
        </w:rPr>
        <w:t xml:space="preserve"> is known as Jane Lane, and a small part of that, </w:t>
      </w:r>
      <w:r w:rsidR="007E6635">
        <w:rPr>
          <w:rFonts w:ascii="Arial" w:hAnsi="Arial" w:cs="Arial"/>
          <w:szCs w:val="22"/>
        </w:rPr>
        <w:t>connecting</w:t>
      </w:r>
      <w:r w:rsidR="00972C70">
        <w:rPr>
          <w:rFonts w:ascii="Arial" w:hAnsi="Arial" w:cs="Arial"/>
          <w:szCs w:val="22"/>
        </w:rPr>
        <w:t xml:space="preserve"> </w:t>
      </w:r>
      <w:r w:rsidR="003F5AB1">
        <w:rPr>
          <w:rFonts w:ascii="Arial" w:hAnsi="Arial" w:cs="Arial"/>
          <w:szCs w:val="22"/>
        </w:rPr>
        <w:t>the Order route t</w:t>
      </w:r>
      <w:r w:rsidR="007E6635">
        <w:rPr>
          <w:rFonts w:ascii="Arial" w:hAnsi="Arial" w:cs="Arial"/>
          <w:szCs w:val="22"/>
        </w:rPr>
        <w:t>o Longmeanygate, is adopted</w:t>
      </w:r>
      <w:r w:rsidR="000336F2">
        <w:rPr>
          <w:rFonts w:ascii="Arial" w:hAnsi="Arial" w:cs="Arial"/>
          <w:szCs w:val="22"/>
        </w:rPr>
        <w:t xml:space="preserve"> by the Local Highway Authority</w:t>
      </w:r>
      <w:r w:rsidR="00626A33">
        <w:rPr>
          <w:rFonts w:ascii="Arial" w:hAnsi="Arial" w:cs="Arial"/>
          <w:szCs w:val="22"/>
        </w:rPr>
        <w:t xml:space="preserve">. </w:t>
      </w:r>
    </w:p>
    <w:p w14:paraId="38074085" w14:textId="481466AD" w:rsidR="007827EA" w:rsidRDefault="00874CF4" w:rsidP="007827EA">
      <w:pPr>
        <w:pStyle w:val="Style1"/>
        <w:numPr>
          <w:ilvl w:val="0"/>
          <w:numId w:val="4"/>
        </w:numPr>
        <w:rPr>
          <w:rFonts w:ascii="Arial" w:hAnsi="Arial" w:cs="Arial"/>
          <w:szCs w:val="22"/>
        </w:rPr>
      </w:pPr>
      <w:r>
        <w:rPr>
          <w:rFonts w:ascii="Arial" w:hAnsi="Arial" w:cs="Arial"/>
          <w:szCs w:val="22"/>
        </w:rPr>
        <w:lastRenderedPageBreak/>
        <w:t>Another small p</w:t>
      </w:r>
      <w:r w:rsidR="00626A33">
        <w:rPr>
          <w:rFonts w:ascii="Arial" w:hAnsi="Arial" w:cs="Arial"/>
          <w:szCs w:val="22"/>
        </w:rPr>
        <w:t>art of what is known as Jane Lane, but not adopted, forms the southern end of the Order route</w:t>
      </w:r>
      <w:r w:rsidR="00972C70">
        <w:rPr>
          <w:rFonts w:ascii="Arial" w:hAnsi="Arial" w:cs="Arial"/>
          <w:szCs w:val="22"/>
        </w:rPr>
        <w:t xml:space="preserve"> (Points A – B)</w:t>
      </w:r>
      <w:r w:rsidR="00D94624">
        <w:rPr>
          <w:rFonts w:ascii="Arial" w:hAnsi="Arial" w:cs="Arial"/>
          <w:szCs w:val="22"/>
        </w:rPr>
        <w:t>. The remainder of the Order route is now know</w:t>
      </w:r>
      <w:r w:rsidR="00972C70">
        <w:rPr>
          <w:rFonts w:ascii="Arial" w:hAnsi="Arial" w:cs="Arial"/>
          <w:szCs w:val="22"/>
        </w:rPr>
        <w:t>n</w:t>
      </w:r>
      <w:r w:rsidR="00D94624">
        <w:rPr>
          <w:rFonts w:ascii="Arial" w:hAnsi="Arial" w:cs="Arial"/>
          <w:szCs w:val="22"/>
        </w:rPr>
        <w:t xml:space="preserve"> as Sod Hall Lane and crosses</w:t>
      </w:r>
      <w:r w:rsidR="00C859DA">
        <w:rPr>
          <w:rFonts w:ascii="Arial" w:hAnsi="Arial" w:cs="Arial"/>
          <w:szCs w:val="22"/>
        </w:rPr>
        <w:t xml:space="preserve"> the moss land (known respectively as Longton and Leyland Mosses) on a broadly north-south alignment</w:t>
      </w:r>
      <w:r w:rsidR="00972C70">
        <w:rPr>
          <w:rFonts w:ascii="Arial" w:hAnsi="Arial" w:cs="Arial"/>
          <w:szCs w:val="22"/>
        </w:rPr>
        <w:t xml:space="preserve"> between the two main carriageways</w:t>
      </w:r>
      <w:r w:rsidR="00D94624">
        <w:rPr>
          <w:rFonts w:ascii="Arial" w:hAnsi="Arial" w:cs="Arial"/>
          <w:szCs w:val="22"/>
        </w:rPr>
        <w:t>. Historically a</w:t>
      </w:r>
      <w:r w:rsidR="00972C70">
        <w:rPr>
          <w:rFonts w:ascii="Arial" w:hAnsi="Arial" w:cs="Arial"/>
          <w:szCs w:val="22"/>
        </w:rPr>
        <w:t xml:space="preserve"> reasonably important house, Sod Hall, lay about half way along (</w:t>
      </w:r>
      <w:r w:rsidR="00447E5B">
        <w:rPr>
          <w:rFonts w:ascii="Arial" w:hAnsi="Arial" w:cs="Arial"/>
          <w:szCs w:val="22"/>
        </w:rPr>
        <w:t>just north of</w:t>
      </w:r>
      <w:r w:rsidR="00972C70">
        <w:rPr>
          <w:rFonts w:ascii="Arial" w:hAnsi="Arial" w:cs="Arial"/>
          <w:szCs w:val="22"/>
        </w:rPr>
        <w:t xml:space="preserve"> Point</w:t>
      </w:r>
      <w:r w:rsidR="00447E5B">
        <w:rPr>
          <w:rFonts w:ascii="Arial" w:hAnsi="Arial" w:cs="Arial"/>
          <w:szCs w:val="22"/>
        </w:rPr>
        <w:t>s G and</w:t>
      </w:r>
      <w:r w:rsidR="00972C70">
        <w:rPr>
          <w:rFonts w:ascii="Arial" w:hAnsi="Arial" w:cs="Arial"/>
          <w:szCs w:val="22"/>
        </w:rPr>
        <w:t xml:space="preserve"> H)</w:t>
      </w:r>
      <w:r w:rsidR="004D5D7F">
        <w:rPr>
          <w:rFonts w:ascii="Arial" w:hAnsi="Arial" w:cs="Arial"/>
          <w:szCs w:val="22"/>
        </w:rPr>
        <w:t>, immediately north of the parish boundary</w:t>
      </w:r>
      <w:r w:rsidR="00447E5B">
        <w:rPr>
          <w:rFonts w:ascii="Arial" w:hAnsi="Arial" w:cs="Arial"/>
          <w:szCs w:val="22"/>
        </w:rPr>
        <w:t xml:space="preserve">. The track to its south was known as Sod Hall Meanygate, and the track to its north was known as Sod Hall </w:t>
      </w:r>
      <w:r w:rsidR="0049216F">
        <w:rPr>
          <w:rFonts w:ascii="Arial" w:hAnsi="Arial" w:cs="Arial"/>
          <w:szCs w:val="22"/>
        </w:rPr>
        <w:t>Road.</w:t>
      </w:r>
      <w:r w:rsidR="00C6606C">
        <w:rPr>
          <w:rFonts w:ascii="Arial" w:hAnsi="Arial" w:cs="Arial"/>
          <w:szCs w:val="22"/>
        </w:rPr>
        <w:t xml:space="preserve"> </w:t>
      </w:r>
      <w:r w:rsidR="003E6D10">
        <w:rPr>
          <w:rFonts w:ascii="Arial" w:hAnsi="Arial" w:cs="Arial"/>
          <w:szCs w:val="22"/>
        </w:rPr>
        <w:t>T</w:t>
      </w:r>
      <w:r w:rsidR="00C6606C">
        <w:rPr>
          <w:rFonts w:ascii="Arial" w:hAnsi="Arial" w:cs="Arial"/>
          <w:szCs w:val="22"/>
        </w:rPr>
        <w:t>h</w:t>
      </w:r>
      <w:r w:rsidR="00493D23">
        <w:rPr>
          <w:rFonts w:ascii="Arial" w:hAnsi="Arial" w:cs="Arial"/>
          <w:szCs w:val="22"/>
        </w:rPr>
        <w:t>is</w:t>
      </w:r>
      <w:r w:rsidR="00C6606C">
        <w:rPr>
          <w:rFonts w:ascii="Arial" w:hAnsi="Arial" w:cs="Arial"/>
          <w:szCs w:val="22"/>
        </w:rPr>
        <w:t xml:space="preserve"> change of name occur</w:t>
      </w:r>
      <w:r w:rsidR="00A83B9C">
        <w:rPr>
          <w:rFonts w:ascii="Arial" w:hAnsi="Arial" w:cs="Arial"/>
          <w:szCs w:val="22"/>
        </w:rPr>
        <w:t>red</w:t>
      </w:r>
      <w:r w:rsidR="00C6606C">
        <w:rPr>
          <w:rFonts w:ascii="Arial" w:hAnsi="Arial" w:cs="Arial"/>
          <w:szCs w:val="22"/>
        </w:rPr>
        <w:t xml:space="preserve"> at the parish</w:t>
      </w:r>
      <w:r w:rsidR="00493D23">
        <w:rPr>
          <w:rFonts w:ascii="Arial" w:hAnsi="Arial" w:cs="Arial"/>
          <w:szCs w:val="22"/>
        </w:rPr>
        <w:t xml:space="preserve"> and </w:t>
      </w:r>
      <w:r w:rsidR="00B066F8">
        <w:rPr>
          <w:rFonts w:ascii="Arial" w:hAnsi="Arial" w:cs="Arial"/>
          <w:szCs w:val="22"/>
        </w:rPr>
        <w:t>(</w:t>
      </w:r>
      <w:r w:rsidR="00493D23">
        <w:rPr>
          <w:rFonts w:ascii="Arial" w:hAnsi="Arial" w:cs="Arial"/>
          <w:szCs w:val="22"/>
        </w:rPr>
        <w:t>former</w:t>
      </w:r>
      <w:r w:rsidR="00B066F8">
        <w:rPr>
          <w:rFonts w:ascii="Arial" w:hAnsi="Arial" w:cs="Arial"/>
          <w:szCs w:val="22"/>
        </w:rPr>
        <w:t>)</w:t>
      </w:r>
      <w:r w:rsidR="00493D23">
        <w:rPr>
          <w:rFonts w:ascii="Arial" w:hAnsi="Arial" w:cs="Arial"/>
          <w:szCs w:val="22"/>
        </w:rPr>
        <w:t xml:space="preserve"> local administrative</w:t>
      </w:r>
      <w:r w:rsidR="00C6606C">
        <w:rPr>
          <w:rFonts w:ascii="Arial" w:hAnsi="Arial" w:cs="Arial"/>
          <w:szCs w:val="22"/>
        </w:rPr>
        <w:t xml:space="preserve"> boundary</w:t>
      </w:r>
      <w:r w:rsidR="00493D23">
        <w:rPr>
          <w:rFonts w:ascii="Arial" w:hAnsi="Arial" w:cs="Arial"/>
          <w:szCs w:val="22"/>
        </w:rPr>
        <w:t>.</w:t>
      </w:r>
    </w:p>
    <w:p w14:paraId="1EE2CF1F" w14:textId="235A5E13" w:rsidR="0049216F" w:rsidRDefault="0049216F" w:rsidP="007827EA">
      <w:pPr>
        <w:pStyle w:val="Style1"/>
        <w:numPr>
          <w:ilvl w:val="0"/>
          <w:numId w:val="4"/>
        </w:numPr>
        <w:rPr>
          <w:rFonts w:ascii="Arial" w:hAnsi="Arial" w:cs="Arial"/>
          <w:szCs w:val="22"/>
        </w:rPr>
      </w:pPr>
      <w:r>
        <w:rPr>
          <w:rFonts w:ascii="Arial" w:hAnsi="Arial" w:cs="Arial"/>
          <w:szCs w:val="22"/>
        </w:rPr>
        <w:t xml:space="preserve">Close to Sod Hall, just south of </w:t>
      </w:r>
      <w:r w:rsidR="00A84478">
        <w:rPr>
          <w:rFonts w:ascii="Arial" w:hAnsi="Arial" w:cs="Arial"/>
          <w:szCs w:val="22"/>
        </w:rPr>
        <w:t>the parish boundary</w:t>
      </w:r>
      <w:r>
        <w:rPr>
          <w:rFonts w:ascii="Arial" w:hAnsi="Arial" w:cs="Arial"/>
          <w:szCs w:val="22"/>
        </w:rPr>
        <w:t xml:space="preserve">, there was for many years a </w:t>
      </w:r>
      <w:r w:rsidR="00D1321B">
        <w:rPr>
          <w:rFonts w:ascii="Arial" w:hAnsi="Arial" w:cs="Arial"/>
          <w:szCs w:val="22"/>
        </w:rPr>
        <w:t>small</w:t>
      </w:r>
      <w:r w:rsidR="00A502AF">
        <w:rPr>
          <w:rFonts w:ascii="Arial" w:hAnsi="Arial" w:cs="Arial"/>
          <w:szCs w:val="22"/>
        </w:rPr>
        <w:t xml:space="preserve"> </w:t>
      </w:r>
      <w:r>
        <w:rPr>
          <w:rFonts w:ascii="Arial" w:hAnsi="Arial" w:cs="Arial"/>
          <w:szCs w:val="22"/>
        </w:rPr>
        <w:t>round building</w:t>
      </w:r>
      <w:r w:rsidR="008C4663">
        <w:rPr>
          <w:rFonts w:ascii="Arial" w:hAnsi="Arial" w:cs="Arial"/>
          <w:szCs w:val="22"/>
        </w:rPr>
        <w:t xml:space="preserve"> adjacent to the track</w:t>
      </w:r>
      <w:r>
        <w:rPr>
          <w:rFonts w:ascii="Arial" w:hAnsi="Arial" w:cs="Arial"/>
          <w:szCs w:val="22"/>
        </w:rPr>
        <w:t xml:space="preserve"> which may or may not have been a toll house. </w:t>
      </w:r>
      <w:r w:rsidR="00386288">
        <w:rPr>
          <w:rFonts w:ascii="Arial" w:hAnsi="Arial" w:cs="Arial"/>
          <w:szCs w:val="22"/>
        </w:rPr>
        <w:t xml:space="preserve">About half way south of that, the railway line </w:t>
      </w:r>
      <w:r w:rsidR="00556976">
        <w:rPr>
          <w:rFonts w:ascii="Arial" w:hAnsi="Arial" w:cs="Arial"/>
          <w:szCs w:val="22"/>
        </w:rPr>
        <w:t xml:space="preserve">built in the 1840s </w:t>
      </w:r>
      <w:r w:rsidR="00386288">
        <w:rPr>
          <w:rFonts w:ascii="Arial" w:hAnsi="Arial" w:cs="Arial"/>
          <w:szCs w:val="22"/>
        </w:rPr>
        <w:t>crosses the track</w:t>
      </w:r>
      <w:r w:rsidR="00732D27">
        <w:rPr>
          <w:rFonts w:ascii="Arial" w:hAnsi="Arial" w:cs="Arial"/>
          <w:szCs w:val="22"/>
        </w:rPr>
        <w:t>, where there is an adjacent cottage</w:t>
      </w:r>
      <w:r w:rsidR="0066496D">
        <w:rPr>
          <w:rFonts w:ascii="Arial" w:hAnsi="Arial" w:cs="Arial"/>
          <w:szCs w:val="22"/>
        </w:rPr>
        <w:t xml:space="preserve"> that has</w:t>
      </w:r>
      <w:r w:rsidR="00D83B68">
        <w:rPr>
          <w:rFonts w:ascii="Arial" w:hAnsi="Arial" w:cs="Arial"/>
          <w:szCs w:val="22"/>
        </w:rPr>
        <w:t xml:space="preserve"> at times in the past been occupied by railway workers including by a gatekeeper</w:t>
      </w:r>
      <w:r w:rsidR="00732D27">
        <w:rPr>
          <w:rFonts w:ascii="Arial" w:hAnsi="Arial" w:cs="Arial"/>
          <w:szCs w:val="22"/>
        </w:rPr>
        <w:t>.</w:t>
      </w:r>
    </w:p>
    <w:p w14:paraId="47C1F2E6" w14:textId="77777777" w:rsidR="00A84478" w:rsidRDefault="00A84478" w:rsidP="007827EA">
      <w:pPr>
        <w:pStyle w:val="Style1"/>
        <w:numPr>
          <w:ilvl w:val="0"/>
          <w:numId w:val="4"/>
        </w:numPr>
        <w:rPr>
          <w:rFonts w:ascii="Arial" w:hAnsi="Arial" w:cs="Arial"/>
          <w:szCs w:val="22"/>
        </w:rPr>
      </w:pPr>
      <w:r>
        <w:rPr>
          <w:rFonts w:ascii="Arial" w:hAnsi="Arial" w:cs="Arial"/>
          <w:szCs w:val="22"/>
        </w:rPr>
        <w:t>T</w:t>
      </w:r>
      <w:r w:rsidR="006576EB">
        <w:rPr>
          <w:rFonts w:ascii="Arial" w:hAnsi="Arial" w:cs="Arial"/>
          <w:szCs w:val="22"/>
        </w:rPr>
        <w:t>he Council have resolved, against the advice of its officers, to record a RB over the Order route</w:t>
      </w:r>
      <w:r w:rsidR="00EA6EFB">
        <w:rPr>
          <w:rFonts w:ascii="Arial" w:hAnsi="Arial" w:cs="Arial"/>
          <w:szCs w:val="22"/>
        </w:rPr>
        <w:t xml:space="preserve">. This was the basis of the application made by the British Horse Society (‘BHS’) who are supported by the </w:t>
      </w:r>
      <w:r w:rsidR="00A93443">
        <w:rPr>
          <w:rFonts w:ascii="Arial" w:hAnsi="Arial" w:cs="Arial"/>
          <w:szCs w:val="22"/>
        </w:rPr>
        <w:t>Ulnes Walton Bridleways Association, a local user group</w:t>
      </w:r>
      <w:r w:rsidR="00556976">
        <w:rPr>
          <w:rFonts w:ascii="Arial" w:hAnsi="Arial" w:cs="Arial"/>
          <w:szCs w:val="22"/>
        </w:rPr>
        <w:t>.</w:t>
      </w:r>
      <w:r w:rsidR="00EA6EFB">
        <w:rPr>
          <w:rFonts w:ascii="Arial" w:hAnsi="Arial" w:cs="Arial"/>
          <w:szCs w:val="22"/>
        </w:rPr>
        <w:t xml:space="preserve"> Although the application itself relied only on historical documents, that local user group have </w:t>
      </w:r>
      <w:r w:rsidR="00EC150A">
        <w:rPr>
          <w:rFonts w:ascii="Arial" w:hAnsi="Arial" w:cs="Arial"/>
          <w:szCs w:val="22"/>
        </w:rPr>
        <w:t xml:space="preserve">since </w:t>
      </w:r>
      <w:r w:rsidR="00EA6EFB">
        <w:rPr>
          <w:rFonts w:ascii="Arial" w:hAnsi="Arial" w:cs="Arial"/>
          <w:szCs w:val="22"/>
        </w:rPr>
        <w:t>adduced a number of User Evidence Forms concerning the more recent use of the track</w:t>
      </w:r>
      <w:r w:rsidR="006576EB">
        <w:rPr>
          <w:rFonts w:ascii="Arial" w:hAnsi="Arial" w:cs="Arial"/>
          <w:szCs w:val="22"/>
        </w:rPr>
        <w:t xml:space="preserve">. </w:t>
      </w:r>
    </w:p>
    <w:p w14:paraId="2590AEB2" w14:textId="4E2E1A55" w:rsidR="00CE3E7B" w:rsidRDefault="00A81EC1" w:rsidP="007827EA">
      <w:pPr>
        <w:pStyle w:val="Style1"/>
        <w:numPr>
          <w:ilvl w:val="0"/>
          <w:numId w:val="4"/>
        </w:numPr>
        <w:rPr>
          <w:rFonts w:ascii="Arial" w:hAnsi="Arial" w:cs="Arial"/>
          <w:szCs w:val="22"/>
        </w:rPr>
      </w:pPr>
      <w:r>
        <w:rPr>
          <w:rFonts w:ascii="Arial" w:hAnsi="Arial" w:cs="Arial"/>
          <w:szCs w:val="22"/>
        </w:rPr>
        <w:t xml:space="preserve">The Trail Riders </w:t>
      </w:r>
      <w:r w:rsidR="003415E2">
        <w:rPr>
          <w:rFonts w:ascii="Arial" w:hAnsi="Arial" w:cs="Arial"/>
          <w:szCs w:val="22"/>
        </w:rPr>
        <w:t>Fellowship</w:t>
      </w:r>
      <w:r w:rsidR="00A84478">
        <w:rPr>
          <w:rFonts w:ascii="Arial" w:hAnsi="Arial" w:cs="Arial"/>
          <w:szCs w:val="22"/>
        </w:rPr>
        <w:t xml:space="preserve"> (‘TRF’)</w:t>
      </w:r>
      <w:r w:rsidR="003415E2">
        <w:rPr>
          <w:rFonts w:ascii="Arial" w:hAnsi="Arial" w:cs="Arial"/>
          <w:szCs w:val="22"/>
        </w:rPr>
        <w:t xml:space="preserve"> </w:t>
      </w:r>
      <w:r w:rsidR="00003A6D">
        <w:rPr>
          <w:rFonts w:ascii="Arial" w:hAnsi="Arial" w:cs="Arial"/>
          <w:szCs w:val="22"/>
        </w:rPr>
        <w:t xml:space="preserve">also </w:t>
      </w:r>
      <w:r w:rsidR="003415E2">
        <w:rPr>
          <w:rFonts w:ascii="Arial" w:hAnsi="Arial" w:cs="Arial"/>
          <w:szCs w:val="22"/>
        </w:rPr>
        <w:t xml:space="preserve">support </w:t>
      </w:r>
      <w:r w:rsidR="00EC150A">
        <w:rPr>
          <w:rFonts w:ascii="Arial" w:hAnsi="Arial" w:cs="Arial"/>
          <w:szCs w:val="22"/>
        </w:rPr>
        <w:t>the route’s</w:t>
      </w:r>
      <w:r w:rsidR="003415E2">
        <w:rPr>
          <w:rFonts w:ascii="Arial" w:hAnsi="Arial" w:cs="Arial"/>
          <w:szCs w:val="22"/>
        </w:rPr>
        <w:t xml:space="preserve"> addition as a RB. </w:t>
      </w:r>
      <w:r w:rsidR="006576EB">
        <w:rPr>
          <w:rFonts w:ascii="Arial" w:hAnsi="Arial" w:cs="Arial"/>
          <w:szCs w:val="22"/>
        </w:rPr>
        <w:t xml:space="preserve">The Green Lanes Association </w:t>
      </w:r>
      <w:r w:rsidR="00EA6EFB">
        <w:rPr>
          <w:rFonts w:ascii="Arial" w:hAnsi="Arial" w:cs="Arial"/>
          <w:szCs w:val="22"/>
        </w:rPr>
        <w:t xml:space="preserve">(‘GLA’) </w:t>
      </w:r>
      <w:r w:rsidR="006576EB">
        <w:rPr>
          <w:rFonts w:ascii="Arial" w:hAnsi="Arial" w:cs="Arial"/>
          <w:szCs w:val="22"/>
        </w:rPr>
        <w:t>contend for higher rights</w:t>
      </w:r>
      <w:r w:rsidR="00386288">
        <w:rPr>
          <w:rFonts w:ascii="Arial" w:hAnsi="Arial" w:cs="Arial"/>
          <w:szCs w:val="22"/>
        </w:rPr>
        <w:t xml:space="preserve"> over the route</w:t>
      </w:r>
      <w:r w:rsidR="004A4542">
        <w:rPr>
          <w:rFonts w:ascii="Arial" w:hAnsi="Arial" w:cs="Arial"/>
          <w:szCs w:val="22"/>
        </w:rPr>
        <w:t xml:space="preserve"> and say that at least section A – B should be recorded as a Byway Open to All Traffic (‘BOAT’). </w:t>
      </w:r>
      <w:r w:rsidR="00D72D22">
        <w:rPr>
          <w:rFonts w:ascii="Arial" w:hAnsi="Arial" w:cs="Arial"/>
          <w:szCs w:val="22"/>
        </w:rPr>
        <w:t xml:space="preserve">This involves consideration of </w:t>
      </w:r>
      <w:r w:rsidR="004F10FF">
        <w:rPr>
          <w:rFonts w:ascii="Arial" w:hAnsi="Arial" w:cs="Arial"/>
          <w:szCs w:val="22"/>
        </w:rPr>
        <w:t xml:space="preserve">certain provisions of </w:t>
      </w:r>
      <w:r w:rsidR="00D72D22">
        <w:rPr>
          <w:rFonts w:ascii="Arial" w:hAnsi="Arial" w:cs="Arial"/>
          <w:szCs w:val="22"/>
        </w:rPr>
        <w:t xml:space="preserve">the Natural Environment and Rural Communities Act </w:t>
      </w:r>
      <w:r w:rsidR="001E7716">
        <w:rPr>
          <w:rFonts w:ascii="Arial" w:hAnsi="Arial" w:cs="Arial"/>
          <w:szCs w:val="22"/>
        </w:rPr>
        <w:t xml:space="preserve">2006 </w:t>
      </w:r>
      <w:r w:rsidR="009B324A">
        <w:rPr>
          <w:rFonts w:ascii="Arial" w:hAnsi="Arial" w:cs="Arial"/>
          <w:szCs w:val="22"/>
        </w:rPr>
        <w:t xml:space="preserve">(‘NERC’) </w:t>
      </w:r>
      <w:r w:rsidR="001E7716">
        <w:rPr>
          <w:rFonts w:ascii="Arial" w:hAnsi="Arial" w:cs="Arial"/>
          <w:szCs w:val="22"/>
        </w:rPr>
        <w:t xml:space="preserve">as to </w:t>
      </w:r>
      <w:r w:rsidR="004F10FF">
        <w:rPr>
          <w:rFonts w:ascii="Arial" w:hAnsi="Arial" w:cs="Arial"/>
          <w:szCs w:val="22"/>
        </w:rPr>
        <w:t>their</w:t>
      </w:r>
      <w:r w:rsidR="001E7716">
        <w:rPr>
          <w:rFonts w:ascii="Arial" w:hAnsi="Arial" w:cs="Arial"/>
          <w:szCs w:val="22"/>
        </w:rPr>
        <w:t xml:space="preserve"> application to extinguish </w:t>
      </w:r>
      <w:r w:rsidR="00B015EB">
        <w:rPr>
          <w:rFonts w:ascii="Arial" w:hAnsi="Arial" w:cs="Arial"/>
          <w:szCs w:val="22"/>
        </w:rPr>
        <w:t>any rights of use by mechanically</w:t>
      </w:r>
      <w:r w:rsidR="00D331C7">
        <w:rPr>
          <w:rFonts w:ascii="Arial" w:hAnsi="Arial" w:cs="Arial"/>
          <w:szCs w:val="22"/>
        </w:rPr>
        <w:t xml:space="preserve"> </w:t>
      </w:r>
      <w:r w:rsidR="00B015EB">
        <w:rPr>
          <w:rFonts w:ascii="Arial" w:hAnsi="Arial" w:cs="Arial"/>
          <w:szCs w:val="22"/>
        </w:rPr>
        <w:t>propelled vehicles</w:t>
      </w:r>
      <w:r w:rsidR="001E7716">
        <w:rPr>
          <w:rFonts w:ascii="Arial" w:hAnsi="Arial" w:cs="Arial"/>
          <w:szCs w:val="22"/>
        </w:rPr>
        <w:t xml:space="preserve">. </w:t>
      </w:r>
      <w:r w:rsidR="004A4542">
        <w:rPr>
          <w:rFonts w:ascii="Arial" w:hAnsi="Arial" w:cs="Arial"/>
          <w:szCs w:val="22"/>
        </w:rPr>
        <w:t xml:space="preserve">The principal objector to the </w:t>
      </w:r>
      <w:r w:rsidR="00EA6EFB">
        <w:rPr>
          <w:rFonts w:ascii="Arial" w:hAnsi="Arial" w:cs="Arial"/>
          <w:szCs w:val="22"/>
        </w:rPr>
        <w:t xml:space="preserve">making of any Order at all is Network Rail (‘NR’) who contend that the historic evidence does not support it and also argue that to record a RB (or a BOAT) would be incompatible with their statutory functions. </w:t>
      </w:r>
    </w:p>
    <w:p w14:paraId="3A052216" w14:textId="58E8D7F3" w:rsidR="00EA6EFB" w:rsidRDefault="00EA6EFB" w:rsidP="007827EA">
      <w:pPr>
        <w:pStyle w:val="Style1"/>
        <w:numPr>
          <w:ilvl w:val="0"/>
          <w:numId w:val="4"/>
        </w:numPr>
        <w:rPr>
          <w:rFonts w:ascii="Arial" w:hAnsi="Arial" w:cs="Arial"/>
          <w:szCs w:val="22"/>
        </w:rPr>
      </w:pPr>
      <w:r>
        <w:rPr>
          <w:rFonts w:ascii="Arial" w:hAnsi="Arial" w:cs="Arial"/>
          <w:szCs w:val="22"/>
        </w:rPr>
        <w:t>There is an evidential presumption in favour of the Definitive Map and Statement (‘DMS’) for the area, which presently records a footpath along the length of most of the track forming the Order route. I do not understand the Order to have relied on any of the ‘user evidence’ in its making</w:t>
      </w:r>
      <w:r w:rsidR="00F03440">
        <w:rPr>
          <w:rFonts w:ascii="Arial" w:hAnsi="Arial" w:cs="Arial"/>
          <w:szCs w:val="22"/>
        </w:rPr>
        <w:t xml:space="preserve">, </w:t>
      </w:r>
      <w:r w:rsidR="004F10FF">
        <w:rPr>
          <w:rFonts w:ascii="Arial" w:hAnsi="Arial" w:cs="Arial"/>
          <w:szCs w:val="22"/>
        </w:rPr>
        <w:t xml:space="preserve">not least </w:t>
      </w:r>
      <w:r w:rsidR="00F03440">
        <w:rPr>
          <w:rFonts w:ascii="Arial" w:hAnsi="Arial" w:cs="Arial"/>
          <w:szCs w:val="22"/>
        </w:rPr>
        <w:t>because the submission of those forms followed the making of the Order</w:t>
      </w:r>
      <w:r>
        <w:rPr>
          <w:rFonts w:ascii="Arial" w:hAnsi="Arial" w:cs="Arial"/>
          <w:szCs w:val="22"/>
        </w:rPr>
        <w:t>. The first question arising therefore is whether there has been the discovery of any new evidence that, when taken together with all the other evidence, could displace the presumption that the DMS is correct.</w:t>
      </w:r>
    </w:p>
    <w:p w14:paraId="130EB0AB" w14:textId="5D08208B" w:rsidR="00EA6EFB" w:rsidRDefault="00EA6EFB" w:rsidP="00DE3F00">
      <w:pPr>
        <w:pStyle w:val="Style1"/>
        <w:numPr>
          <w:ilvl w:val="0"/>
          <w:numId w:val="4"/>
        </w:numPr>
        <w:rPr>
          <w:rFonts w:ascii="Arial" w:hAnsi="Arial" w:cs="Arial"/>
          <w:szCs w:val="22"/>
        </w:rPr>
      </w:pPr>
      <w:r>
        <w:rPr>
          <w:rFonts w:ascii="Arial" w:hAnsi="Arial" w:cs="Arial"/>
          <w:szCs w:val="22"/>
        </w:rPr>
        <w:t>The next question is then what that evidence shows, on the balance of probabilities; and specifically whether the route presently recorded on the DMS as a footpath</w:t>
      </w:r>
      <w:r w:rsidR="00DE3F00">
        <w:rPr>
          <w:rFonts w:ascii="Arial" w:hAnsi="Arial" w:cs="Arial"/>
          <w:szCs w:val="22"/>
        </w:rPr>
        <w:t xml:space="preserve"> should be shown as a highway of a different description. At this stage, of confirmation, the same test – the balance of probabilities – </w:t>
      </w:r>
      <w:r w:rsidR="00DE3F00" w:rsidRPr="00DE3F00">
        <w:rPr>
          <w:rFonts w:ascii="Arial" w:hAnsi="Arial" w:cs="Arial"/>
          <w:szCs w:val="22"/>
        </w:rPr>
        <w:t>applies to the small section</w:t>
      </w:r>
      <w:r w:rsidR="00DE3F00">
        <w:rPr>
          <w:rFonts w:ascii="Arial" w:hAnsi="Arial" w:cs="Arial"/>
          <w:szCs w:val="22"/>
        </w:rPr>
        <w:t xml:space="preserve"> (A – B) that is not presently on the DMS at all. </w:t>
      </w:r>
    </w:p>
    <w:p w14:paraId="6CA09745" w14:textId="7625F92B" w:rsidR="00BF258D" w:rsidRDefault="00C95C1D" w:rsidP="00DE3F00">
      <w:pPr>
        <w:pStyle w:val="Style1"/>
        <w:numPr>
          <w:ilvl w:val="0"/>
          <w:numId w:val="4"/>
        </w:numPr>
        <w:rPr>
          <w:rFonts w:ascii="Arial" w:hAnsi="Arial" w:cs="Arial"/>
          <w:szCs w:val="22"/>
        </w:rPr>
      </w:pPr>
      <w:r>
        <w:rPr>
          <w:rFonts w:ascii="Arial" w:hAnsi="Arial" w:cs="Arial"/>
          <w:szCs w:val="22"/>
        </w:rPr>
        <w:t xml:space="preserve">When considering the documentary evidence, the question is whether it is sufficient to infer the dedication of a public right of way (being a RB, or </w:t>
      </w:r>
      <w:r w:rsidR="009B324A">
        <w:rPr>
          <w:rFonts w:ascii="Arial" w:hAnsi="Arial" w:cs="Arial"/>
          <w:szCs w:val="22"/>
        </w:rPr>
        <w:t xml:space="preserve">any higher rights whether or not now affected by the </w:t>
      </w:r>
      <w:r w:rsidR="00543E71">
        <w:rPr>
          <w:rFonts w:ascii="Arial" w:hAnsi="Arial" w:cs="Arial"/>
          <w:szCs w:val="22"/>
        </w:rPr>
        <w:t xml:space="preserve">extinguishment </w:t>
      </w:r>
      <w:r w:rsidR="009B324A">
        <w:rPr>
          <w:rFonts w:ascii="Arial" w:hAnsi="Arial" w:cs="Arial"/>
          <w:szCs w:val="22"/>
        </w:rPr>
        <w:t xml:space="preserve">provisions of NERC) at some point in the past. </w:t>
      </w:r>
      <w:r w:rsidR="00B3217B">
        <w:rPr>
          <w:rFonts w:ascii="Arial" w:hAnsi="Arial" w:cs="Arial"/>
          <w:szCs w:val="22"/>
        </w:rPr>
        <w:t xml:space="preserve">Section 32 of the Highways Act 1980 (‘the 1980 Act’) </w:t>
      </w:r>
      <w:r w:rsidR="0074171F">
        <w:rPr>
          <w:rFonts w:ascii="Arial" w:hAnsi="Arial" w:cs="Arial"/>
          <w:szCs w:val="22"/>
        </w:rPr>
        <w:t>requires me to take into consideration any map, plan or history of the locality, or other relevant documents, giving them such weight as appropriate</w:t>
      </w:r>
      <w:r w:rsidR="00716932">
        <w:rPr>
          <w:rFonts w:ascii="Arial" w:hAnsi="Arial" w:cs="Arial"/>
          <w:szCs w:val="22"/>
        </w:rPr>
        <w:t>.</w:t>
      </w:r>
    </w:p>
    <w:p w14:paraId="11AA2340" w14:textId="3F3FD939" w:rsidR="000D7AF1" w:rsidRDefault="000D7AF1" w:rsidP="00DE3F00">
      <w:pPr>
        <w:pStyle w:val="Style1"/>
        <w:numPr>
          <w:ilvl w:val="0"/>
          <w:numId w:val="4"/>
        </w:numPr>
        <w:rPr>
          <w:rFonts w:ascii="Arial" w:hAnsi="Arial" w:cs="Arial"/>
          <w:szCs w:val="22"/>
        </w:rPr>
      </w:pPr>
      <w:r>
        <w:rPr>
          <w:rFonts w:ascii="Arial" w:hAnsi="Arial" w:cs="Arial"/>
          <w:szCs w:val="22"/>
        </w:rPr>
        <w:t xml:space="preserve">Having considered what changes, if any, to the DMS are warranted by a consideration of the historic evidence, I would then need to consider what difference, </w:t>
      </w:r>
      <w:r>
        <w:rPr>
          <w:rFonts w:ascii="Arial" w:hAnsi="Arial" w:cs="Arial"/>
          <w:szCs w:val="22"/>
        </w:rPr>
        <w:lastRenderedPageBreak/>
        <w:t>if any, the more recent user evidence might make to the result. In considering that user evidence,</w:t>
      </w:r>
      <w:r w:rsidR="00DC1D48">
        <w:rPr>
          <w:rFonts w:ascii="Arial" w:hAnsi="Arial" w:cs="Arial"/>
          <w:szCs w:val="22"/>
        </w:rPr>
        <w:t xml:space="preserve"> the provisions of section 31 of the 1980 Act would apply. </w:t>
      </w:r>
      <w:r w:rsidR="00716932">
        <w:rPr>
          <w:rFonts w:ascii="Arial" w:hAnsi="Arial" w:cs="Arial"/>
          <w:szCs w:val="22"/>
        </w:rPr>
        <w:t>That requires consideration be given to whether there has been use of a way by the public, as of right and without interruption, for a period of 20 years before its status was brought into question. If so, the additional question</w:t>
      </w:r>
      <w:r w:rsidR="004A2A83">
        <w:rPr>
          <w:rFonts w:ascii="Arial" w:hAnsi="Arial" w:cs="Arial"/>
          <w:szCs w:val="22"/>
        </w:rPr>
        <w:t>s</w:t>
      </w:r>
      <w:r w:rsidR="00716932">
        <w:rPr>
          <w:rFonts w:ascii="Arial" w:hAnsi="Arial" w:cs="Arial"/>
          <w:szCs w:val="22"/>
        </w:rPr>
        <w:t xml:space="preserve"> arise</w:t>
      </w:r>
      <w:r w:rsidR="004A2A83">
        <w:rPr>
          <w:rFonts w:ascii="Arial" w:hAnsi="Arial" w:cs="Arial"/>
          <w:szCs w:val="22"/>
        </w:rPr>
        <w:t xml:space="preserve"> whether there is evidence that any landowner demonstrated a lack of intention during this period to dedicate a public right of way or, having regard to the position of Network Rail, whether </w:t>
      </w:r>
      <w:r w:rsidR="00EE22B1">
        <w:rPr>
          <w:rFonts w:ascii="Arial" w:hAnsi="Arial" w:cs="Arial"/>
          <w:szCs w:val="22"/>
        </w:rPr>
        <w:t>the existence of</w:t>
      </w:r>
      <w:r w:rsidR="00754BF4">
        <w:rPr>
          <w:rFonts w:ascii="Arial" w:hAnsi="Arial" w:cs="Arial"/>
          <w:szCs w:val="22"/>
        </w:rPr>
        <w:t xml:space="preserve"> a highway would be incompatible with its public or statutory purposes. </w:t>
      </w:r>
      <w:r w:rsidR="008C0B51">
        <w:rPr>
          <w:rFonts w:ascii="Arial" w:hAnsi="Arial" w:cs="Arial"/>
          <w:szCs w:val="22"/>
        </w:rPr>
        <w:t xml:space="preserve">This particular question involves consideration of the provisions of section 31 </w:t>
      </w:r>
      <w:r w:rsidR="00726E5E">
        <w:rPr>
          <w:rFonts w:ascii="Arial" w:hAnsi="Arial" w:cs="Arial"/>
          <w:szCs w:val="22"/>
        </w:rPr>
        <w:t xml:space="preserve">(specifically sub-section 8) </w:t>
      </w:r>
      <w:r w:rsidR="008C0B51">
        <w:rPr>
          <w:rFonts w:ascii="Arial" w:hAnsi="Arial" w:cs="Arial"/>
          <w:szCs w:val="22"/>
        </w:rPr>
        <w:t>against the background of ‘a highway’ being already in existence</w:t>
      </w:r>
      <w:r w:rsidR="00A64B28">
        <w:rPr>
          <w:rFonts w:ascii="Arial" w:hAnsi="Arial" w:cs="Arial"/>
          <w:szCs w:val="22"/>
        </w:rPr>
        <w:t>, in the form of the footpath already recorded</w:t>
      </w:r>
      <w:r w:rsidR="004A2A83">
        <w:rPr>
          <w:rFonts w:ascii="Arial" w:hAnsi="Arial" w:cs="Arial"/>
          <w:szCs w:val="22"/>
        </w:rPr>
        <w:t>.</w:t>
      </w:r>
    </w:p>
    <w:p w14:paraId="5AA9843C" w14:textId="3B0C3D4A" w:rsidR="004A2A83" w:rsidRPr="00DE3F00" w:rsidRDefault="004A2A83" w:rsidP="00DE3F00">
      <w:pPr>
        <w:pStyle w:val="Style1"/>
        <w:numPr>
          <w:ilvl w:val="0"/>
          <w:numId w:val="4"/>
        </w:numPr>
        <w:rPr>
          <w:rFonts w:ascii="Arial" w:hAnsi="Arial" w:cs="Arial"/>
          <w:szCs w:val="22"/>
        </w:rPr>
      </w:pPr>
      <w:r>
        <w:rPr>
          <w:rFonts w:ascii="Arial" w:hAnsi="Arial" w:cs="Arial"/>
          <w:szCs w:val="22"/>
        </w:rPr>
        <w:t xml:space="preserve">The section is enacted without prejudice to the position at common law. </w:t>
      </w:r>
      <w:r w:rsidR="00E370A2">
        <w:rPr>
          <w:rFonts w:ascii="Arial" w:hAnsi="Arial" w:cs="Arial"/>
          <w:szCs w:val="22"/>
        </w:rPr>
        <w:t xml:space="preserve">That requires the establishment of whether the owner/s of the land had the capacity to dedicate a highway, whether there was express or implied dedication by the landowner and whether there has been acceptance of any dedication by the public. Evidence of the use of a way by the public as of right may support an inference of </w:t>
      </w:r>
      <w:r w:rsidR="002C2039">
        <w:rPr>
          <w:rFonts w:ascii="Arial" w:hAnsi="Arial" w:cs="Arial"/>
          <w:szCs w:val="22"/>
        </w:rPr>
        <w:t xml:space="preserve">dedication having occurred, and may also demonstrate acceptance of that dedication by the public. </w:t>
      </w:r>
    </w:p>
    <w:p w14:paraId="4DBC61A7" w14:textId="164533DB" w:rsidR="00EB569A" w:rsidRDefault="00EB569A" w:rsidP="00113FB2">
      <w:pPr>
        <w:pStyle w:val="Style1"/>
        <w:rPr>
          <w:rFonts w:ascii="Arial" w:hAnsi="Arial" w:cs="Arial"/>
          <w:b/>
          <w:bCs/>
          <w:szCs w:val="22"/>
        </w:rPr>
      </w:pPr>
      <w:r>
        <w:rPr>
          <w:rFonts w:ascii="Arial" w:hAnsi="Arial" w:cs="Arial"/>
          <w:b/>
          <w:bCs/>
          <w:szCs w:val="22"/>
        </w:rPr>
        <w:t>Reasons</w:t>
      </w:r>
    </w:p>
    <w:p w14:paraId="5F2BA617" w14:textId="1E8EAD41" w:rsidR="00EB569A" w:rsidRPr="00EB569A" w:rsidRDefault="00F56498" w:rsidP="00EB569A">
      <w:pPr>
        <w:pStyle w:val="Style1"/>
        <w:ind w:left="360" w:firstLine="0"/>
        <w:rPr>
          <w:rFonts w:ascii="Arial" w:hAnsi="Arial" w:cs="Arial"/>
          <w:i/>
          <w:iCs/>
          <w:szCs w:val="22"/>
        </w:rPr>
      </w:pPr>
      <w:r>
        <w:rPr>
          <w:rFonts w:ascii="Arial" w:hAnsi="Arial" w:cs="Arial"/>
          <w:i/>
          <w:iCs/>
          <w:szCs w:val="22"/>
        </w:rPr>
        <w:t>Discovery of evidence</w:t>
      </w:r>
    </w:p>
    <w:p w14:paraId="240EB5F6" w14:textId="14106D89" w:rsidR="0082728B" w:rsidRDefault="00B9281C" w:rsidP="00511680">
      <w:pPr>
        <w:pStyle w:val="Style1"/>
        <w:numPr>
          <w:ilvl w:val="0"/>
          <w:numId w:val="4"/>
        </w:numPr>
        <w:rPr>
          <w:rFonts w:ascii="Arial" w:hAnsi="Arial" w:cs="Arial"/>
          <w:szCs w:val="22"/>
        </w:rPr>
      </w:pPr>
      <w:r>
        <w:rPr>
          <w:rFonts w:ascii="Arial" w:hAnsi="Arial" w:cs="Arial"/>
          <w:szCs w:val="22"/>
        </w:rPr>
        <w:t xml:space="preserve">The </w:t>
      </w:r>
      <w:r w:rsidR="00DD4637">
        <w:rPr>
          <w:rFonts w:ascii="Arial" w:hAnsi="Arial" w:cs="Arial"/>
          <w:szCs w:val="22"/>
        </w:rPr>
        <w:t>southern</w:t>
      </w:r>
      <w:r w:rsidR="0046136C">
        <w:rPr>
          <w:rFonts w:ascii="Arial" w:hAnsi="Arial" w:cs="Arial"/>
          <w:szCs w:val="22"/>
        </w:rPr>
        <w:t xml:space="preserve"> half of the route lies within Leyland, </w:t>
      </w:r>
      <w:r w:rsidR="00572C7A">
        <w:rPr>
          <w:rFonts w:ascii="Arial" w:hAnsi="Arial" w:cs="Arial"/>
          <w:szCs w:val="22"/>
        </w:rPr>
        <w:t>which is a former urban district for which no 1929 Handover Maps (</w:t>
      </w:r>
      <w:r w:rsidR="00A658F2">
        <w:rPr>
          <w:rFonts w:ascii="Arial" w:hAnsi="Arial" w:cs="Arial"/>
          <w:szCs w:val="22"/>
        </w:rPr>
        <w:t>maps of the rural district highways then to be pass</w:t>
      </w:r>
      <w:r w:rsidR="001439FD">
        <w:rPr>
          <w:rFonts w:ascii="Arial" w:hAnsi="Arial" w:cs="Arial"/>
          <w:szCs w:val="22"/>
        </w:rPr>
        <w:t>ed to the County Council</w:t>
      </w:r>
      <w:r w:rsidR="0024395F">
        <w:rPr>
          <w:rFonts w:ascii="Arial" w:hAnsi="Arial" w:cs="Arial"/>
          <w:szCs w:val="22"/>
        </w:rPr>
        <w:t xml:space="preserve">) </w:t>
      </w:r>
      <w:r w:rsidR="00197FA2">
        <w:rPr>
          <w:rFonts w:ascii="Arial" w:hAnsi="Arial" w:cs="Arial"/>
          <w:szCs w:val="22"/>
        </w:rPr>
        <w:t xml:space="preserve">were produced, and which did not conduct any ‘parish surveys’ in the preparation of the Definitive Map in the 1950s. </w:t>
      </w:r>
      <w:r w:rsidR="00206DB1">
        <w:rPr>
          <w:rFonts w:ascii="Arial" w:hAnsi="Arial" w:cs="Arial"/>
          <w:szCs w:val="22"/>
        </w:rPr>
        <w:t xml:space="preserve">The urban district council recorded the </w:t>
      </w:r>
      <w:r w:rsidR="00DD4637">
        <w:rPr>
          <w:rFonts w:ascii="Arial" w:hAnsi="Arial" w:cs="Arial"/>
          <w:szCs w:val="22"/>
        </w:rPr>
        <w:t xml:space="preserve">relevant part of the route as a footpath, ‘from Leyland Boundary at Sod Hall along Sod Hall Meanygate south across the railway to Jane Lane opposite Gate House Farm’. No </w:t>
      </w:r>
      <w:r w:rsidR="00C70BDA">
        <w:rPr>
          <w:rFonts w:ascii="Arial" w:hAnsi="Arial" w:cs="Arial"/>
          <w:szCs w:val="22"/>
        </w:rPr>
        <w:t>detailed explanation of why it was decided to record it as a footpath is given.</w:t>
      </w:r>
      <w:r w:rsidR="00E10D1E">
        <w:rPr>
          <w:rFonts w:ascii="Arial" w:hAnsi="Arial" w:cs="Arial"/>
          <w:szCs w:val="22"/>
        </w:rPr>
        <w:t xml:space="preserve"> Nor is there any explanation for the apparent discrepancy between the end of the recorded footpath and the beginning of the adopted carriageway of Jane Lane</w:t>
      </w:r>
      <w:r w:rsidR="00C47160">
        <w:rPr>
          <w:rFonts w:ascii="Arial" w:hAnsi="Arial" w:cs="Arial"/>
          <w:szCs w:val="22"/>
        </w:rPr>
        <w:t>, resulting in the hiatus that is section A – B of the Order route.</w:t>
      </w:r>
    </w:p>
    <w:p w14:paraId="56D4E3CB" w14:textId="451CC815" w:rsidR="00C70BDA" w:rsidRDefault="00C70BDA" w:rsidP="00511680">
      <w:pPr>
        <w:pStyle w:val="Style1"/>
        <w:numPr>
          <w:ilvl w:val="0"/>
          <w:numId w:val="4"/>
        </w:numPr>
        <w:rPr>
          <w:rFonts w:ascii="Arial" w:hAnsi="Arial" w:cs="Arial"/>
          <w:szCs w:val="22"/>
        </w:rPr>
      </w:pPr>
      <w:r>
        <w:rPr>
          <w:rFonts w:ascii="Arial" w:hAnsi="Arial" w:cs="Arial"/>
          <w:szCs w:val="22"/>
        </w:rPr>
        <w:t xml:space="preserve">Parish survey cards do exist for the northern part of the route, in the parish of Longton. The recording was of a </w:t>
      </w:r>
      <w:r w:rsidR="008214A0">
        <w:rPr>
          <w:rFonts w:ascii="Arial" w:hAnsi="Arial" w:cs="Arial"/>
          <w:szCs w:val="22"/>
        </w:rPr>
        <w:t>footpath ‘Sod Hall Road to Leyland Boundary’ but the parish survey card itself indicates some doubt</w:t>
      </w:r>
      <w:r w:rsidR="00C52153">
        <w:rPr>
          <w:rFonts w:ascii="Arial" w:hAnsi="Arial" w:cs="Arial"/>
          <w:szCs w:val="22"/>
        </w:rPr>
        <w:t xml:space="preserve"> as to its status, describing it as ‘Cart tracks &amp; FP’ and </w:t>
      </w:r>
      <w:r w:rsidR="00417633">
        <w:rPr>
          <w:rFonts w:ascii="Arial" w:hAnsi="Arial" w:cs="Arial"/>
          <w:szCs w:val="22"/>
        </w:rPr>
        <w:t>attributing to it the status of ‘? FP</w:t>
      </w:r>
      <w:r w:rsidR="005D08C8">
        <w:rPr>
          <w:rFonts w:ascii="Arial" w:hAnsi="Arial" w:cs="Arial"/>
          <w:szCs w:val="22"/>
        </w:rPr>
        <w:t>’. The card describes deeply rutted cart tracks above the level of the adjacent fields. It describes ‘no access from bend’ at Sod Hall</w:t>
      </w:r>
      <w:r w:rsidR="005C55A6">
        <w:rPr>
          <w:rFonts w:ascii="Arial" w:hAnsi="Arial" w:cs="Arial"/>
          <w:szCs w:val="22"/>
        </w:rPr>
        <w:t>, but it is not clear which bend or where exactly there is ‘no access’, because at point G</w:t>
      </w:r>
      <w:r w:rsidR="00342EB0">
        <w:rPr>
          <w:rFonts w:ascii="Arial" w:hAnsi="Arial" w:cs="Arial"/>
          <w:szCs w:val="22"/>
        </w:rPr>
        <w:t>, immediately south of Sod Hall,</w:t>
      </w:r>
      <w:r w:rsidR="005C55A6">
        <w:rPr>
          <w:rFonts w:ascii="Arial" w:hAnsi="Arial" w:cs="Arial"/>
          <w:szCs w:val="22"/>
        </w:rPr>
        <w:t xml:space="preserve"> the route meets another footpath also</w:t>
      </w:r>
      <w:r w:rsidR="001A3E22">
        <w:rPr>
          <w:rFonts w:ascii="Arial" w:hAnsi="Arial" w:cs="Arial"/>
          <w:szCs w:val="22"/>
        </w:rPr>
        <w:t xml:space="preserve"> </w:t>
      </w:r>
      <w:r w:rsidR="005C55A6">
        <w:rPr>
          <w:rFonts w:ascii="Arial" w:hAnsi="Arial" w:cs="Arial"/>
          <w:szCs w:val="22"/>
        </w:rPr>
        <w:t xml:space="preserve">within Longton Parish. </w:t>
      </w:r>
      <w:r w:rsidR="001A3E22">
        <w:rPr>
          <w:rFonts w:ascii="Arial" w:hAnsi="Arial" w:cs="Arial"/>
          <w:szCs w:val="22"/>
        </w:rPr>
        <w:t xml:space="preserve">The card for that path describes it as overgrown. As the surveyors were concerned only with the </w:t>
      </w:r>
      <w:r w:rsidR="00577179">
        <w:rPr>
          <w:rFonts w:ascii="Arial" w:hAnsi="Arial" w:cs="Arial"/>
          <w:szCs w:val="22"/>
        </w:rPr>
        <w:t xml:space="preserve">routes within Longton Parish, I consider it likely that the ‘no access’ was related to that other footpath (no. 45) rather than </w:t>
      </w:r>
      <w:r w:rsidR="00383B15">
        <w:rPr>
          <w:rFonts w:ascii="Arial" w:hAnsi="Arial" w:cs="Arial"/>
          <w:szCs w:val="22"/>
        </w:rPr>
        <w:t xml:space="preserve">to </w:t>
      </w:r>
      <w:r w:rsidR="00577179">
        <w:rPr>
          <w:rFonts w:ascii="Arial" w:hAnsi="Arial" w:cs="Arial"/>
          <w:szCs w:val="22"/>
        </w:rPr>
        <w:t xml:space="preserve">the continuation of the </w:t>
      </w:r>
      <w:r w:rsidR="001568D4">
        <w:rPr>
          <w:rFonts w:ascii="Arial" w:hAnsi="Arial" w:cs="Arial"/>
          <w:szCs w:val="22"/>
        </w:rPr>
        <w:t xml:space="preserve">Order </w:t>
      </w:r>
      <w:r w:rsidR="00577179">
        <w:rPr>
          <w:rFonts w:ascii="Arial" w:hAnsi="Arial" w:cs="Arial"/>
          <w:szCs w:val="22"/>
        </w:rPr>
        <w:t>route into Leyland</w:t>
      </w:r>
      <w:r w:rsidR="00383B15">
        <w:rPr>
          <w:rFonts w:ascii="Arial" w:hAnsi="Arial" w:cs="Arial"/>
          <w:szCs w:val="22"/>
        </w:rPr>
        <w:t>.</w:t>
      </w:r>
    </w:p>
    <w:p w14:paraId="4FB2FAC7" w14:textId="7861920D" w:rsidR="00C50D76" w:rsidRDefault="008E0805" w:rsidP="00511680">
      <w:pPr>
        <w:pStyle w:val="Style1"/>
        <w:numPr>
          <w:ilvl w:val="0"/>
          <w:numId w:val="4"/>
        </w:numPr>
        <w:rPr>
          <w:rFonts w:ascii="Arial" w:hAnsi="Arial" w:cs="Arial"/>
          <w:szCs w:val="22"/>
        </w:rPr>
      </w:pPr>
      <w:r>
        <w:rPr>
          <w:rFonts w:ascii="Arial" w:hAnsi="Arial" w:cs="Arial"/>
          <w:szCs w:val="22"/>
        </w:rPr>
        <w:t xml:space="preserve">The Council have produced a note explaining how the Definitive Map was put together for its area, and the </w:t>
      </w:r>
      <w:r w:rsidR="0092676D">
        <w:rPr>
          <w:rFonts w:ascii="Arial" w:hAnsi="Arial" w:cs="Arial"/>
          <w:szCs w:val="22"/>
        </w:rPr>
        <w:t>consultation arrangement</w:t>
      </w:r>
      <w:r w:rsidR="00B826E1">
        <w:rPr>
          <w:rFonts w:ascii="Arial" w:hAnsi="Arial" w:cs="Arial"/>
          <w:szCs w:val="22"/>
        </w:rPr>
        <w:t>s</w:t>
      </w:r>
      <w:r w:rsidR="0092676D">
        <w:rPr>
          <w:rFonts w:ascii="Arial" w:hAnsi="Arial" w:cs="Arial"/>
          <w:szCs w:val="22"/>
        </w:rPr>
        <w:t xml:space="preserve"> with parish and district councils which included the initial surveys conducted by those lower-tier authorities. </w:t>
      </w:r>
      <w:r w:rsidR="004E3F14">
        <w:rPr>
          <w:rFonts w:ascii="Arial" w:hAnsi="Arial" w:cs="Arial"/>
          <w:szCs w:val="22"/>
        </w:rPr>
        <w:t xml:space="preserve">The note does not explain how, if at all, any historic maps or other documents relating to the area would have been considered as part of the process. </w:t>
      </w:r>
    </w:p>
    <w:p w14:paraId="20A85C06" w14:textId="77777777" w:rsidR="00B826E1" w:rsidRDefault="000D0F2B" w:rsidP="00511680">
      <w:pPr>
        <w:pStyle w:val="Style1"/>
        <w:numPr>
          <w:ilvl w:val="0"/>
          <w:numId w:val="4"/>
        </w:numPr>
        <w:rPr>
          <w:rFonts w:ascii="Arial" w:hAnsi="Arial" w:cs="Arial"/>
          <w:szCs w:val="22"/>
        </w:rPr>
      </w:pPr>
      <w:r>
        <w:rPr>
          <w:rFonts w:ascii="Arial" w:hAnsi="Arial" w:cs="Arial"/>
          <w:szCs w:val="22"/>
        </w:rPr>
        <w:t xml:space="preserve">Not all of those documents now available were likely to have been available to the surveying authority at the time. The 1910 Finance Act records, for example, were not widely available until after the first Definitive Maps were produced. Although central </w:t>
      </w:r>
      <w:r>
        <w:rPr>
          <w:rFonts w:ascii="Arial" w:hAnsi="Arial" w:cs="Arial"/>
          <w:szCs w:val="22"/>
        </w:rPr>
        <w:lastRenderedPageBreak/>
        <w:t xml:space="preserve">Government circulars at the time encouraged surveying authorities to consider the evidence of earlier maps, there is no particular evidence that they did so in this case. </w:t>
      </w:r>
    </w:p>
    <w:p w14:paraId="4BAA8D4C" w14:textId="522CEDB7" w:rsidR="000D0F2B" w:rsidRDefault="006722DA" w:rsidP="00511680">
      <w:pPr>
        <w:pStyle w:val="Style1"/>
        <w:numPr>
          <w:ilvl w:val="0"/>
          <w:numId w:val="4"/>
        </w:numPr>
        <w:rPr>
          <w:rFonts w:ascii="Arial" w:hAnsi="Arial" w:cs="Arial"/>
          <w:szCs w:val="22"/>
        </w:rPr>
      </w:pPr>
      <w:r>
        <w:rPr>
          <w:rFonts w:ascii="Arial" w:hAnsi="Arial" w:cs="Arial"/>
          <w:szCs w:val="22"/>
        </w:rPr>
        <w:t xml:space="preserve">Also now available, but </w:t>
      </w:r>
      <w:r w:rsidR="0056030B">
        <w:rPr>
          <w:rFonts w:ascii="Arial" w:hAnsi="Arial" w:cs="Arial"/>
          <w:szCs w:val="22"/>
        </w:rPr>
        <w:t xml:space="preserve">not </w:t>
      </w:r>
      <w:r>
        <w:rPr>
          <w:rFonts w:ascii="Arial" w:hAnsi="Arial" w:cs="Arial"/>
          <w:szCs w:val="22"/>
        </w:rPr>
        <w:t xml:space="preserve">available in the 1950s, are the recent user evidence forms adduced by the </w:t>
      </w:r>
      <w:r w:rsidRPr="00A05504">
        <w:rPr>
          <w:rFonts w:ascii="Arial" w:hAnsi="Arial" w:cs="Arial"/>
          <w:szCs w:val="22"/>
        </w:rPr>
        <w:t>Ulne</w:t>
      </w:r>
      <w:r w:rsidR="007461DA" w:rsidRPr="00A05504">
        <w:rPr>
          <w:rFonts w:ascii="Arial" w:hAnsi="Arial" w:cs="Arial"/>
          <w:szCs w:val="22"/>
        </w:rPr>
        <w:t>s</w:t>
      </w:r>
      <w:r w:rsidRPr="00A05504">
        <w:rPr>
          <w:rFonts w:ascii="Arial" w:hAnsi="Arial" w:cs="Arial"/>
          <w:szCs w:val="22"/>
        </w:rPr>
        <w:t xml:space="preserve"> Walton</w:t>
      </w:r>
      <w:r>
        <w:rPr>
          <w:rFonts w:ascii="Arial" w:hAnsi="Arial" w:cs="Arial"/>
          <w:szCs w:val="22"/>
        </w:rPr>
        <w:t xml:space="preserve"> </w:t>
      </w:r>
      <w:r w:rsidR="00790658">
        <w:rPr>
          <w:rFonts w:ascii="Arial" w:hAnsi="Arial" w:cs="Arial"/>
          <w:szCs w:val="22"/>
        </w:rPr>
        <w:t>users, and the history of the ‘</w:t>
      </w:r>
      <w:r w:rsidR="00A23ACF">
        <w:rPr>
          <w:rFonts w:ascii="Arial" w:hAnsi="Arial" w:cs="Arial"/>
          <w:szCs w:val="22"/>
        </w:rPr>
        <w:t>round</w:t>
      </w:r>
      <w:r w:rsidR="00790658">
        <w:rPr>
          <w:rFonts w:ascii="Arial" w:hAnsi="Arial" w:cs="Arial"/>
          <w:szCs w:val="22"/>
        </w:rPr>
        <w:t>house’</w:t>
      </w:r>
      <w:r w:rsidR="00A6704B">
        <w:rPr>
          <w:rFonts w:ascii="Arial" w:hAnsi="Arial" w:cs="Arial"/>
          <w:szCs w:val="22"/>
        </w:rPr>
        <w:t xml:space="preserve"> by Joan Langford, found in the ‘Lailand Chronicle no. 60’ </w:t>
      </w:r>
      <w:r w:rsidR="008C33EC">
        <w:rPr>
          <w:rFonts w:ascii="Arial" w:hAnsi="Arial" w:cs="Arial"/>
          <w:szCs w:val="22"/>
        </w:rPr>
        <w:t xml:space="preserve">which I understand to be </w:t>
      </w:r>
      <w:r w:rsidR="0086532D">
        <w:rPr>
          <w:rFonts w:ascii="Arial" w:hAnsi="Arial" w:cs="Arial"/>
          <w:szCs w:val="22"/>
        </w:rPr>
        <w:t>a local history society publication</w:t>
      </w:r>
      <w:r w:rsidR="004172DC">
        <w:rPr>
          <w:rFonts w:ascii="Arial" w:hAnsi="Arial" w:cs="Arial"/>
          <w:szCs w:val="22"/>
        </w:rPr>
        <w:t xml:space="preserve">. It is undated, but refers to events in the 1980s so cannot have been available in the 1950s. </w:t>
      </w:r>
      <w:r w:rsidR="00790658">
        <w:rPr>
          <w:rFonts w:ascii="Arial" w:hAnsi="Arial" w:cs="Arial"/>
          <w:szCs w:val="22"/>
        </w:rPr>
        <w:t xml:space="preserve"> </w:t>
      </w:r>
    </w:p>
    <w:p w14:paraId="37A80CBC" w14:textId="2A83C78E" w:rsidR="002C1712" w:rsidRDefault="00E53AA8" w:rsidP="00B23B3E">
      <w:pPr>
        <w:pStyle w:val="Style1"/>
        <w:numPr>
          <w:ilvl w:val="0"/>
          <w:numId w:val="4"/>
        </w:numPr>
        <w:rPr>
          <w:rFonts w:ascii="Arial" w:hAnsi="Arial" w:cs="Arial"/>
          <w:szCs w:val="22"/>
        </w:rPr>
      </w:pPr>
      <w:r>
        <w:rPr>
          <w:rFonts w:ascii="Arial" w:hAnsi="Arial" w:cs="Arial"/>
          <w:szCs w:val="22"/>
        </w:rPr>
        <w:t xml:space="preserve">Therefore I accept that there has been a ‘discovery of evidence’ </w:t>
      </w:r>
      <w:r w:rsidR="005F4C1F">
        <w:rPr>
          <w:rFonts w:ascii="Arial" w:hAnsi="Arial" w:cs="Arial"/>
          <w:szCs w:val="22"/>
        </w:rPr>
        <w:t>for the purposes of section 53(3)(c) of the 1981 Act</w:t>
      </w:r>
      <w:r w:rsidR="00CC635A">
        <w:rPr>
          <w:rFonts w:ascii="Arial" w:hAnsi="Arial" w:cs="Arial"/>
          <w:szCs w:val="22"/>
        </w:rPr>
        <w:t xml:space="preserve">. </w:t>
      </w:r>
      <w:r w:rsidR="00044F44">
        <w:rPr>
          <w:rFonts w:ascii="Arial" w:hAnsi="Arial" w:cs="Arial"/>
          <w:szCs w:val="22"/>
        </w:rPr>
        <w:t xml:space="preserve">It is thus necessary to consider all relevant evidence available to determine whether </w:t>
      </w:r>
      <w:r w:rsidR="00C14479">
        <w:rPr>
          <w:rFonts w:ascii="Arial" w:hAnsi="Arial" w:cs="Arial"/>
          <w:szCs w:val="22"/>
        </w:rPr>
        <w:t xml:space="preserve">additional rights of way exist over the Order route. </w:t>
      </w:r>
    </w:p>
    <w:p w14:paraId="43765584" w14:textId="3F4F81ED" w:rsidR="00CC635A" w:rsidRDefault="007E30A5" w:rsidP="00CC635A">
      <w:pPr>
        <w:pStyle w:val="Style1"/>
        <w:ind w:left="360" w:firstLine="0"/>
        <w:rPr>
          <w:rFonts w:ascii="Arial" w:hAnsi="Arial" w:cs="Arial"/>
          <w:i/>
          <w:iCs/>
          <w:szCs w:val="22"/>
        </w:rPr>
      </w:pPr>
      <w:r>
        <w:rPr>
          <w:rFonts w:ascii="Arial" w:hAnsi="Arial" w:cs="Arial"/>
          <w:i/>
          <w:iCs/>
          <w:szCs w:val="22"/>
        </w:rPr>
        <w:t>The documentary evidence</w:t>
      </w:r>
    </w:p>
    <w:p w14:paraId="5070C12B" w14:textId="3079C4D3" w:rsidR="00BB6389" w:rsidRPr="00CC635A" w:rsidRDefault="00161F37" w:rsidP="006113CF">
      <w:pPr>
        <w:pStyle w:val="Style1"/>
        <w:ind w:left="360" w:firstLine="0"/>
        <w:rPr>
          <w:rFonts w:ascii="Arial" w:hAnsi="Arial" w:cs="Arial"/>
          <w:i/>
          <w:iCs/>
          <w:szCs w:val="22"/>
        </w:rPr>
      </w:pPr>
      <w:r>
        <w:rPr>
          <w:rFonts w:ascii="Arial" w:hAnsi="Arial" w:cs="Arial"/>
          <w:i/>
          <w:iCs/>
          <w:szCs w:val="22"/>
        </w:rPr>
        <w:t>Maps to the mid-C1</w:t>
      </w:r>
      <w:r w:rsidR="00801BBD">
        <w:rPr>
          <w:rFonts w:ascii="Arial" w:hAnsi="Arial" w:cs="Arial"/>
          <w:i/>
          <w:iCs/>
          <w:szCs w:val="22"/>
        </w:rPr>
        <w:t>9</w:t>
      </w:r>
      <w:r>
        <w:rPr>
          <w:rFonts w:ascii="Arial" w:hAnsi="Arial" w:cs="Arial"/>
          <w:i/>
          <w:iCs/>
          <w:szCs w:val="22"/>
        </w:rPr>
        <w:t>th</w:t>
      </w:r>
    </w:p>
    <w:p w14:paraId="47A4F6EE" w14:textId="3843BC02" w:rsidR="00511680" w:rsidRDefault="00D77191" w:rsidP="00511680">
      <w:pPr>
        <w:pStyle w:val="Style1"/>
        <w:numPr>
          <w:ilvl w:val="0"/>
          <w:numId w:val="4"/>
        </w:numPr>
        <w:rPr>
          <w:rFonts w:ascii="Arial" w:hAnsi="Arial" w:cs="Arial"/>
          <w:szCs w:val="22"/>
        </w:rPr>
      </w:pPr>
      <w:r>
        <w:rPr>
          <w:rFonts w:ascii="Arial" w:hAnsi="Arial" w:cs="Arial"/>
          <w:szCs w:val="22"/>
        </w:rPr>
        <w:t xml:space="preserve">The first available map, Yates’ of Lancashire from 1786, shows Sod Hall standing in the </w:t>
      </w:r>
      <w:r w:rsidR="00A800D4">
        <w:rPr>
          <w:rFonts w:ascii="Arial" w:hAnsi="Arial" w:cs="Arial"/>
          <w:szCs w:val="22"/>
        </w:rPr>
        <w:t xml:space="preserve">mossland. Any means of access is not depicted, and nor is Longmeanygate to the south. </w:t>
      </w:r>
      <w:r w:rsidR="008D4658">
        <w:rPr>
          <w:rFonts w:ascii="Arial" w:hAnsi="Arial" w:cs="Arial"/>
          <w:szCs w:val="22"/>
        </w:rPr>
        <w:t xml:space="preserve">A number of roads leading to the mossland are depicted, </w:t>
      </w:r>
      <w:r w:rsidR="009542E0">
        <w:rPr>
          <w:rFonts w:ascii="Arial" w:hAnsi="Arial" w:cs="Arial"/>
          <w:szCs w:val="22"/>
        </w:rPr>
        <w:t xml:space="preserve">but none at the connecting points to the Order route. Sod Hall itself stands to the northern end of the moss. </w:t>
      </w:r>
      <w:r w:rsidR="001649E0">
        <w:rPr>
          <w:rFonts w:ascii="Arial" w:hAnsi="Arial" w:cs="Arial"/>
          <w:szCs w:val="22"/>
        </w:rPr>
        <w:t xml:space="preserve">Cary’s map of the following year similarly did not depict the Order route. </w:t>
      </w:r>
    </w:p>
    <w:p w14:paraId="5F46C530" w14:textId="101A0358" w:rsidR="00E61B85" w:rsidRDefault="00E61B85" w:rsidP="00511680">
      <w:pPr>
        <w:pStyle w:val="Style1"/>
        <w:numPr>
          <w:ilvl w:val="0"/>
          <w:numId w:val="4"/>
        </w:numPr>
        <w:rPr>
          <w:rFonts w:ascii="Arial" w:hAnsi="Arial" w:cs="Arial"/>
          <w:szCs w:val="22"/>
        </w:rPr>
      </w:pPr>
      <w:r>
        <w:rPr>
          <w:rFonts w:ascii="Arial" w:hAnsi="Arial" w:cs="Arial"/>
          <w:szCs w:val="22"/>
        </w:rPr>
        <w:t xml:space="preserve">By Greenwood’s Map of 1818, </w:t>
      </w:r>
      <w:r w:rsidR="00DE7D54">
        <w:rPr>
          <w:rFonts w:ascii="Arial" w:hAnsi="Arial" w:cs="Arial"/>
          <w:szCs w:val="22"/>
        </w:rPr>
        <w:t xml:space="preserve">some of the former mossland appears </w:t>
      </w:r>
      <w:r w:rsidR="00701B3F">
        <w:rPr>
          <w:rFonts w:ascii="Arial" w:hAnsi="Arial" w:cs="Arial"/>
          <w:szCs w:val="22"/>
        </w:rPr>
        <w:t xml:space="preserve">enclosed and </w:t>
      </w:r>
      <w:r w:rsidR="00DE7D54">
        <w:rPr>
          <w:rFonts w:ascii="Arial" w:hAnsi="Arial" w:cs="Arial"/>
          <w:szCs w:val="22"/>
        </w:rPr>
        <w:t xml:space="preserve">developed and in particular a through route is shown aligning with the Order Route. As well as Sod Hall, other properties are depicted alongside the route, including the substantial Heath House, to the south of Sod Hall, and </w:t>
      </w:r>
      <w:r w:rsidR="00584915">
        <w:rPr>
          <w:rFonts w:ascii="Arial" w:hAnsi="Arial" w:cs="Arial"/>
          <w:szCs w:val="22"/>
        </w:rPr>
        <w:t>gatehouse</w:t>
      </w:r>
      <w:r w:rsidR="00561E3E">
        <w:rPr>
          <w:rFonts w:ascii="Arial" w:hAnsi="Arial" w:cs="Arial"/>
          <w:szCs w:val="22"/>
        </w:rPr>
        <w:t>s</w:t>
      </w:r>
      <w:r w:rsidR="00584915">
        <w:rPr>
          <w:rFonts w:ascii="Arial" w:hAnsi="Arial" w:cs="Arial"/>
          <w:szCs w:val="22"/>
        </w:rPr>
        <w:t xml:space="preserve"> apparently at either end but certainly to the south. </w:t>
      </w:r>
      <w:r w:rsidR="00DC0502">
        <w:rPr>
          <w:rFonts w:ascii="Arial" w:hAnsi="Arial" w:cs="Arial"/>
          <w:szCs w:val="22"/>
        </w:rPr>
        <w:t>The route was depicted as a cross road (rather than as a turnpike road). The map does not claim only to depict public rights of way.</w:t>
      </w:r>
    </w:p>
    <w:p w14:paraId="2B3C440A" w14:textId="2E9C91D7" w:rsidR="00DC0502" w:rsidRDefault="00557F75" w:rsidP="00511680">
      <w:pPr>
        <w:pStyle w:val="Style1"/>
        <w:numPr>
          <w:ilvl w:val="0"/>
          <w:numId w:val="4"/>
        </w:numPr>
        <w:rPr>
          <w:rFonts w:ascii="Arial" w:hAnsi="Arial" w:cs="Arial"/>
          <w:szCs w:val="22"/>
        </w:rPr>
      </w:pPr>
      <w:r>
        <w:rPr>
          <w:rFonts w:ascii="Arial" w:hAnsi="Arial" w:cs="Arial"/>
          <w:szCs w:val="22"/>
        </w:rPr>
        <w:t>The route is similarly depicted on Hennet’s Map of 1830, although with some discrepancies at the southern end</w:t>
      </w:r>
      <w:r w:rsidR="008D4A63">
        <w:rPr>
          <w:rFonts w:ascii="Arial" w:hAnsi="Arial" w:cs="Arial"/>
          <w:szCs w:val="22"/>
        </w:rPr>
        <w:t xml:space="preserve">. No </w:t>
      </w:r>
      <w:r w:rsidR="00701B3F">
        <w:rPr>
          <w:rFonts w:ascii="Arial" w:hAnsi="Arial" w:cs="Arial"/>
          <w:szCs w:val="22"/>
        </w:rPr>
        <w:t>I</w:t>
      </w:r>
      <w:r w:rsidR="008D4A63">
        <w:rPr>
          <w:rFonts w:ascii="Arial" w:hAnsi="Arial" w:cs="Arial"/>
          <w:szCs w:val="22"/>
        </w:rPr>
        <w:t xml:space="preserve">nclosure </w:t>
      </w:r>
      <w:r w:rsidR="00C24597">
        <w:rPr>
          <w:rFonts w:ascii="Arial" w:hAnsi="Arial" w:cs="Arial"/>
          <w:szCs w:val="22"/>
        </w:rPr>
        <w:t xml:space="preserve">Act </w:t>
      </w:r>
      <w:r w:rsidR="008D4A63">
        <w:rPr>
          <w:rFonts w:ascii="Arial" w:hAnsi="Arial" w:cs="Arial"/>
          <w:szCs w:val="22"/>
        </w:rPr>
        <w:t xml:space="preserve">maps have been found, although the Council consider it likely that the route came about as part of the </w:t>
      </w:r>
      <w:r w:rsidR="00701B3F">
        <w:rPr>
          <w:rFonts w:ascii="Arial" w:hAnsi="Arial" w:cs="Arial"/>
          <w:szCs w:val="22"/>
        </w:rPr>
        <w:t>e</w:t>
      </w:r>
      <w:r w:rsidR="008D4A63">
        <w:rPr>
          <w:rFonts w:ascii="Arial" w:hAnsi="Arial" w:cs="Arial"/>
          <w:szCs w:val="22"/>
        </w:rPr>
        <w:t>nclosure of the moss lands.</w:t>
      </w:r>
      <w:r w:rsidR="00C24597">
        <w:rPr>
          <w:rFonts w:ascii="Arial" w:hAnsi="Arial" w:cs="Arial"/>
          <w:szCs w:val="22"/>
        </w:rPr>
        <w:t xml:space="preserve"> No </w:t>
      </w:r>
      <w:r w:rsidR="00133CF2">
        <w:rPr>
          <w:rFonts w:ascii="Arial" w:hAnsi="Arial" w:cs="Arial"/>
          <w:szCs w:val="22"/>
        </w:rPr>
        <w:t>specific</w:t>
      </w:r>
      <w:r w:rsidR="001D6E08">
        <w:rPr>
          <w:rFonts w:ascii="Arial" w:hAnsi="Arial" w:cs="Arial"/>
          <w:szCs w:val="22"/>
        </w:rPr>
        <w:t xml:space="preserve"> authority for </w:t>
      </w:r>
      <w:r w:rsidR="00B25289">
        <w:rPr>
          <w:rFonts w:ascii="Arial" w:hAnsi="Arial" w:cs="Arial"/>
          <w:szCs w:val="22"/>
        </w:rPr>
        <w:t>those</w:t>
      </w:r>
      <w:r w:rsidR="001D6E08">
        <w:rPr>
          <w:rFonts w:ascii="Arial" w:hAnsi="Arial" w:cs="Arial"/>
          <w:szCs w:val="22"/>
        </w:rPr>
        <w:t xml:space="preserve"> enclosure</w:t>
      </w:r>
      <w:r w:rsidR="00B25289">
        <w:rPr>
          <w:rFonts w:ascii="Arial" w:hAnsi="Arial" w:cs="Arial"/>
          <w:szCs w:val="22"/>
        </w:rPr>
        <w:t>s</w:t>
      </w:r>
      <w:r w:rsidR="001D6E08">
        <w:rPr>
          <w:rFonts w:ascii="Arial" w:hAnsi="Arial" w:cs="Arial"/>
          <w:szCs w:val="22"/>
        </w:rPr>
        <w:t xml:space="preserve"> has been provided to me.</w:t>
      </w:r>
    </w:p>
    <w:p w14:paraId="659E24C1" w14:textId="77777777" w:rsidR="001D6E08" w:rsidRDefault="0025770C" w:rsidP="00511680">
      <w:pPr>
        <w:pStyle w:val="Style1"/>
        <w:numPr>
          <w:ilvl w:val="0"/>
          <w:numId w:val="4"/>
        </w:numPr>
        <w:rPr>
          <w:rFonts w:ascii="Arial" w:hAnsi="Arial" w:cs="Arial"/>
          <w:szCs w:val="22"/>
        </w:rPr>
      </w:pPr>
      <w:r>
        <w:rPr>
          <w:rFonts w:ascii="Arial" w:hAnsi="Arial" w:cs="Arial"/>
          <w:szCs w:val="22"/>
        </w:rPr>
        <w:t>The Tithe Map</w:t>
      </w:r>
      <w:r w:rsidR="003E068F">
        <w:rPr>
          <w:rFonts w:ascii="Arial" w:hAnsi="Arial" w:cs="Arial"/>
          <w:szCs w:val="22"/>
        </w:rPr>
        <w:t>s</w:t>
      </w:r>
      <w:r>
        <w:rPr>
          <w:rFonts w:ascii="Arial" w:hAnsi="Arial" w:cs="Arial"/>
          <w:szCs w:val="22"/>
        </w:rPr>
        <w:t xml:space="preserve"> of 1838 </w:t>
      </w:r>
      <w:r w:rsidR="00A910CE">
        <w:rPr>
          <w:rFonts w:ascii="Arial" w:hAnsi="Arial" w:cs="Arial"/>
          <w:szCs w:val="22"/>
        </w:rPr>
        <w:t xml:space="preserve">depict the route in a manner generally consistent with </w:t>
      </w:r>
      <w:r w:rsidR="00904F80">
        <w:rPr>
          <w:rFonts w:ascii="Arial" w:hAnsi="Arial" w:cs="Arial"/>
          <w:szCs w:val="22"/>
        </w:rPr>
        <w:t>carriageways of the time. A section to the south, broadly corresponding to the section known as Jane Lane, is specifically identified as a highway.</w:t>
      </w:r>
      <w:r w:rsidR="002770D4">
        <w:rPr>
          <w:rFonts w:ascii="Arial" w:hAnsi="Arial" w:cs="Arial"/>
          <w:szCs w:val="22"/>
        </w:rPr>
        <w:t xml:space="preserve"> The GLA discuss the tithe records at some length, considering that the ‘a’ suffix to the relevant parcel number in the Leyland Tithe Map may be significant in that it possibly indicates a road, even if not a publicly maintainable one. It is described in the apportionment as ‘Sod Hall Road’ and </w:t>
      </w:r>
      <w:r w:rsidR="00561E3E">
        <w:rPr>
          <w:rFonts w:ascii="Arial" w:hAnsi="Arial" w:cs="Arial"/>
          <w:szCs w:val="22"/>
        </w:rPr>
        <w:t xml:space="preserve">as </w:t>
      </w:r>
      <w:r w:rsidR="002770D4">
        <w:rPr>
          <w:rFonts w:ascii="Arial" w:hAnsi="Arial" w:cs="Arial"/>
          <w:szCs w:val="22"/>
        </w:rPr>
        <w:t xml:space="preserve">privately owned and occupied. </w:t>
      </w:r>
    </w:p>
    <w:p w14:paraId="05382815" w14:textId="6247553E" w:rsidR="0025770C" w:rsidRDefault="002770D4" w:rsidP="00511680">
      <w:pPr>
        <w:pStyle w:val="Style1"/>
        <w:numPr>
          <w:ilvl w:val="0"/>
          <w:numId w:val="4"/>
        </w:numPr>
        <w:rPr>
          <w:rFonts w:ascii="Arial" w:hAnsi="Arial" w:cs="Arial"/>
          <w:szCs w:val="22"/>
        </w:rPr>
      </w:pPr>
      <w:r>
        <w:rPr>
          <w:rFonts w:ascii="Arial" w:hAnsi="Arial" w:cs="Arial"/>
          <w:szCs w:val="22"/>
        </w:rPr>
        <w:t>Nonetheless no tithes were payable</w:t>
      </w:r>
      <w:r w:rsidR="0050520F">
        <w:rPr>
          <w:rFonts w:ascii="Arial" w:hAnsi="Arial" w:cs="Arial"/>
          <w:szCs w:val="22"/>
        </w:rPr>
        <w:t xml:space="preserve"> on any of the Order route. As the GLA conclude, this indicates</w:t>
      </w:r>
      <w:r w:rsidR="00E109E0">
        <w:rPr>
          <w:rFonts w:ascii="Arial" w:hAnsi="Arial" w:cs="Arial"/>
          <w:szCs w:val="22"/>
        </w:rPr>
        <w:t xml:space="preserve"> at the least that the land was not financially productive, meaning </w:t>
      </w:r>
      <w:r w:rsidR="00561E3E">
        <w:rPr>
          <w:rFonts w:ascii="Arial" w:hAnsi="Arial" w:cs="Arial"/>
          <w:szCs w:val="22"/>
        </w:rPr>
        <w:t xml:space="preserve">not only that it was a road of some sort but also </w:t>
      </w:r>
      <w:r w:rsidR="00E109E0">
        <w:rPr>
          <w:rFonts w:ascii="Arial" w:hAnsi="Arial" w:cs="Arial"/>
          <w:szCs w:val="22"/>
        </w:rPr>
        <w:t xml:space="preserve">that any tolls were unlikely. Although privately owned and maintainable, the tithe documents </w:t>
      </w:r>
      <w:r w:rsidR="00683344">
        <w:rPr>
          <w:rFonts w:ascii="Arial" w:hAnsi="Arial" w:cs="Arial"/>
          <w:szCs w:val="22"/>
        </w:rPr>
        <w:t>do not in themselves suggest that no public rights of user existed at the time. The GLA refer me to the ‘thoroughfare principle’</w:t>
      </w:r>
      <w:r w:rsidR="00F86566">
        <w:rPr>
          <w:rFonts w:ascii="Arial" w:hAnsi="Arial" w:cs="Arial"/>
          <w:szCs w:val="22"/>
        </w:rPr>
        <w:t>, essentially to conclude that because public carriage rights are specifically confirmed on sections at either end of the route</w:t>
      </w:r>
      <w:r w:rsidR="008B4CF3">
        <w:rPr>
          <w:rFonts w:ascii="Arial" w:hAnsi="Arial" w:cs="Arial"/>
          <w:szCs w:val="22"/>
        </w:rPr>
        <w:t xml:space="preserve">, a presumption arises that such rights existed on the entire length. </w:t>
      </w:r>
      <w:r>
        <w:rPr>
          <w:rFonts w:ascii="Arial" w:hAnsi="Arial" w:cs="Arial"/>
          <w:szCs w:val="22"/>
        </w:rPr>
        <w:t xml:space="preserve"> </w:t>
      </w:r>
    </w:p>
    <w:p w14:paraId="69183019" w14:textId="7BA73759" w:rsidR="005F7BC9" w:rsidRPr="005F7BC9" w:rsidRDefault="005F7BC9" w:rsidP="005F7BC9">
      <w:pPr>
        <w:pStyle w:val="Style1"/>
        <w:ind w:left="360" w:firstLine="0"/>
        <w:rPr>
          <w:rFonts w:ascii="Arial" w:hAnsi="Arial" w:cs="Arial"/>
          <w:i/>
          <w:iCs/>
          <w:szCs w:val="22"/>
        </w:rPr>
      </w:pPr>
      <w:r>
        <w:rPr>
          <w:rFonts w:ascii="Arial" w:hAnsi="Arial" w:cs="Arial"/>
          <w:i/>
          <w:iCs/>
          <w:szCs w:val="22"/>
        </w:rPr>
        <w:t>Tolls</w:t>
      </w:r>
    </w:p>
    <w:p w14:paraId="386BC4C3" w14:textId="763C5992" w:rsidR="00700952" w:rsidRDefault="005F7BC9" w:rsidP="005F7BC9">
      <w:pPr>
        <w:pStyle w:val="Style1"/>
        <w:numPr>
          <w:ilvl w:val="0"/>
          <w:numId w:val="4"/>
        </w:numPr>
        <w:rPr>
          <w:rFonts w:ascii="Arial" w:hAnsi="Arial" w:cs="Arial"/>
          <w:szCs w:val="22"/>
        </w:rPr>
      </w:pPr>
      <w:r>
        <w:rPr>
          <w:rFonts w:ascii="Arial" w:hAnsi="Arial" w:cs="Arial"/>
          <w:szCs w:val="22"/>
        </w:rPr>
        <w:t>The question of tolls arises because it</w:t>
      </w:r>
      <w:r w:rsidRPr="00D95940">
        <w:rPr>
          <w:rFonts w:ascii="Arial" w:hAnsi="Arial" w:cs="Arial"/>
          <w:szCs w:val="22"/>
        </w:rPr>
        <w:t xml:space="preserve"> appears that some attempts were made to control the use of the route, by the construction of a toll house in the form of the ‘roundhouse’, possibly constructed in the C18th and appearing on historic maps. It </w:t>
      </w:r>
      <w:r w:rsidRPr="00D95940">
        <w:rPr>
          <w:rFonts w:ascii="Arial" w:hAnsi="Arial" w:cs="Arial"/>
          <w:szCs w:val="22"/>
        </w:rPr>
        <w:lastRenderedPageBreak/>
        <w:t xml:space="preserve">was eventually demolished following storm damage in the 1980s. On historic maps and in a 1904 photograph, this house is shown adjacent to a gate on the route, and it is suggested that it was a toll house. Certainly its reputation as such appears to have been known, as related </w:t>
      </w:r>
      <w:r w:rsidR="00700952">
        <w:rPr>
          <w:rFonts w:ascii="Arial" w:hAnsi="Arial" w:cs="Arial"/>
          <w:szCs w:val="22"/>
        </w:rPr>
        <w:t xml:space="preserve">by </w:t>
      </w:r>
      <w:r w:rsidRPr="00D95940">
        <w:rPr>
          <w:rFonts w:ascii="Arial" w:hAnsi="Arial" w:cs="Arial"/>
          <w:szCs w:val="22"/>
        </w:rPr>
        <w:t xml:space="preserve">the ‘Lailand Chronicle’ in </w:t>
      </w:r>
      <w:r w:rsidR="0087278B">
        <w:rPr>
          <w:rFonts w:ascii="Arial" w:hAnsi="Arial" w:cs="Arial"/>
          <w:szCs w:val="22"/>
        </w:rPr>
        <w:t xml:space="preserve">more </w:t>
      </w:r>
      <w:r w:rsidRPr="00D95940">
        <w:rPr>
          <w:rFonts w:ascii="Arial" w:hAnsi="Arial" w:cs="Arial"/>
          <w:szCs w:val="22"/>
        </w:rPr>
        <w:t xml:space="preserve">recent years. </w:t>
      </w:r>
    </w:p>
    <w:p w14:paraId="6DFC4C37" w14:textId="5082AAFA" w:rsidR="005F7BC9" w:rsidRDefault="005F7BC9" w:rsidP="005F7BC9">
      <w:pPr>
        <w:pStyle w:val="Style1"/>
        <w:numPr>
          <w:ilvl w:val="0"/>
          <w:numId w:val="4"/>
        </w:numPr>
        <w:rPr>
          <w:rFonts w:ascii="Arial" w:hAnsi="Arial" w:cs="Arial"/>
          <w:szCs w:val="22"/>
        </w:rPr>
      </w:pPr>
      <w:r w:rsidRPr="00D95940">
        <w:rPr>
          <w:rFonts w:ascii="Arial" w:hAnsi="Arial" w:cs="Arial"/>
          <w:szCs w:val="22"/>
        </w:rPr>
        <w:t xml:space="preserve">However, there is no evidence that any tolls were ever collected, and the only </w:t>
      </w:r>
      <w:r w:rsidR="00F51077">
        <w:rPr>
          <w:rFonts w:ascii="Arial" w:hAnsi="Arial" w:cs="Arial"/>
          <w:szCs w:val="22"/>
        </w:rPr>
        <w:t xml:space="preserve">historic </w:t>
      </w:r>
      <w:r w:rsidRPr="00D95940">
        <w:rPr>
          <w:rFonts w:ascii="Arial" w:hAnsi="Arial" w:cs="Arial"/>
          <w:szCs w:val="22"/>
        </w:rPr>
        <w:t xml:space="preserve">census returns identifying </w:t>
      </w:r>
      <w:r w:rsidR="00700952">
        <w:rPr>
          <w:rFonts w:ascii="Arial" w:hAnsi="Arial" w:cs="Arial"/>
          <w:szCs w:val="22"/>
        </w:rPr>
        <w:t>the</w:t>
      </w:r>
      <w:r w:rsidRPr="00D95940">
        <w:rPr>
          <w:rFonts w:ascii="Arial" w:hAnsi="Arial" w:cs="Arial"/>
          <w:szCs w:val="22"/>
        </w:rPr>
        <w:t xml:space="preserve"> occupants</w:t>
      </w:r>
      <w:r w:rsidR="00700952">
        <w:rPr>
          <w:rFonts w:ascii="Arial" w:hAnsi="Arial" w:cs="Arial"/>
          <w:szCs w:val="22"/>
        </w:rPr>
        <w:t xml:space="preserve"> of the house</w:t>
      </w:r>
      <w:r w:rsidRPr="00D95940">
        <w:rPr>
          <w:rFonts w:ascii="Arial" w:hAnsi="Arial" w:cs="Arial"/>
          <w:szCs w:val="22"/>
        </w:rPr>
        <w:t xml:space="preserve"> appear to have identified the head of the household respectively as a farmer and as a</w:t>
      </w:r>
      <w:r w:rsidR="00F51077">
        <w:rPr>
          <w:rFonts w:ascii="Arial" w:hAnsi="Arial" w:cs="Arial"/>
          <w:szCs w:val="22"/>
        </w:rPr>
        <w:t>n</w:t>
      </w:r>
      <w:r w:rsidRPr="00D95940">
        <w:rPr>
          <w:rFonts w:ascii="Arial" w:hAnsi="Arial" w:cs="Arial"/>
          <w:szCs w:val="22"/>
        </w:rPr>
        <w:t xml:space="preserve"> iron foundry labourer (in 1861 and 19</w:t>
      </w:r>
      <w:r>
        <w:rPr>
          <w:rFonts w:ascii="Arial" w:hAnsi="Arial" w:cs="Arial"/>
          <w:szCs w:val="22"/>
        </w:rPr>
        <w:t xml:space="preserve">11) rather than as toll collectors. </w:t>
      </w:r>
    </w:p>
    <w:p w14:paraId="0304C249" w14:textId="38A5042F" w:rsidR="005F7BC9" w:rsidRPr="00D95940" w:rsidRDefault="005F7BC9" w:rsidP="005F7BC9">
      <w:pPr>
        <w:pStyle w:val="Style1"/>
        <w:numPr>
          <w:ilvl w:val="0"/>
          <w:numId w:val="4"/>
        </w:numPr>
        <w:rPr>
          <w:rFonts w:ascii="Arial" w:hAnsi="Arial" w:cs="Arial"/>
          <w:szCs w:val="22"/>
        </w:rPr>
      </w:pPr>
      <w:r>
        <w:rPr>
          <w:rFonts w:ascii="Arial" w:hAnsi="Arial" w:cs="Arial"/>
          <w:szCs w:val="22"/>
        </w:rPr>
        <w:t xml:space="preserve">The </w:t>
      </w:r>
      <w:r w:rsidRPr="00D95940">
        <w:rPr>
          <w:rFonts w:ascii="Arial" w:hAnsi="Arial" w:cs="Arial"/>
          <w:szCs w:val="22"/>
        </w:rPr>
        <w:t xml:space="preserve">GLA refer me to a 1966 Hansard entry listing all private toll roads, on which the route does not appear. It was said to be unproductive land at the time of the Tithe Award, which should not have been the case if it was financially productive by way of tolls. It was also </w:t>
      </w:r>
      <w:r w:rsidR="00911227">
        <w:rPr>
          <w:rFonts w:ascii="Arial" w:hAnsi="Arial" w:cs="Arial"/>
          <w:szCs w:val="22"/>
        </w:rPr>
        <w:t xml:space="preserve">later </w:t>
      </w:r>
      <w:r w:rsidRPr="00D95940">
        <w:rPr>
          <w:rFonts w:ascii="Arial" w:hAnsi="Arial" w:cs="Arial"/>
          <w:szCs w:val="22"/>
        </w:rPr>
        <w:t xml:space="preserve">excluded from taxation under the provisions of the 1910 Finance Act, again indicating that it was financially unproductive. </w:t>
      </w:r>
    </w:p>
    <w:p w14:paraId="1917A913" w14:textId="19D55DF3" w:rsidR="005F7BC9" w:rsidRDefault="005F7BC9" w:rsidP="005F7BC9">
      <w:pPr>
        <w:pStyle w:val="Style1"/>
        <w:numPr>
          <w:ilvl w:val="0"/>
          <w:numId w:val="4"/>
        </w:numPr>
        <w:rPr>
          <w:rFonts w:ascii="Arial" w:hAnsi="Arial" w:cs="Arial"/>
          <w:szCs w:val="22"/>
        </w:rPr>
      </w:pPr>
      <w:r>
        <w:rPr>
          <w:rFonts w:ascii="Arial" w:hAnsi="Arial" w:cs="Arial"/>
          <w:szCs w:val="22"/>
        </w:rPr>
        <w:t xml:space="preserve">The apparent attempt to control the public’s use of the route by gating it and providing a toll house, and yet not producing any claim from the Exchequer to tithe or, later, taxation, all indicates that the public were using the route (because tolls were unlikely to have been </w:t>
      </w:r>
      <w:r w:rsidR="00BD2FCE">
        <w:rPr>
          <w:rFonts w:ascii="Arial" w:hAnsi="Arial" w:cs="Arial"/>
          <w:szCs w:val="22"/>
        </w:rPr>
        <w:t>in contemplation</w:t>
      </w:r>
      <w:r>
        <w:rPr>
          <w:rFonts w:ascii="Arial" w:hAnsi="Arial" w:cs="Arial"/>
          <w:szCs w:val="22"/>
        </w:rPr>
        <w:t xml:space="preserve"> otherwise) and yet any efforts that may have been made to control this use by levying tolls were unsuccessful and eventually abandoned</w:t>
      </w:r>
      <w:r w:rsidR="00911227">
        <w:rPr>
          <w:rFonts w:ascii="Arial" w:hAnsi="Arial" w:cs="Arial"/>
          <w:szCs w:val="22"/>
        </w:rPr>
        <w:t xml:space="preserve">. </w:t>
      </w:r>
      <w:r w:rsidR="00A46E0E">
        <w:rPr>
          <w:rFonts w:ascii="Arial" w:hAnsi="Arial" w:cs="Arial"/>
          <w:szCs w:val="22"/>
        </w:rPr>
        <w:t xml:space="preserve">There is no evidence of any collection of tolls, or even of anyone living in the ‘roundhouse’ who was said to be responsible for such collection. </w:t>
      </w:r>
    </w:p>
    <w:p w14:paraId="5DD22638" w14:textId="253199AB" w:rsidR="00161F37" w:rsidRPr="00161F37" w:rsidRDefault="00161F37" w:rsidP="00161F37">
      <w:pPr>
        <w:pStyle w:val="Style1"/>
        <w:ind w:left="360" w:firstLine="0"/>
        <w:rPr>
          <w:rFonts w:ascii="Arial" w:hAnsi="Arial" w:cs="Arial"/>
          <w:i/>
          <w:iCs/>
          <w:szCs w:val="22"/>
        </w:rPr>
      </w:pPr>
      <w:r>
        <w:rPr>
          <w:rFonts w:ascii="Arial" w:hAnsi="Arial" w:cs="Arial"/>
          <w:i/>
          <w:iCs/>
          <w:szCs w:val="22"/>
        </w:rPr>
        <w:t>Railway Plans and Book of Reference</w:t>
      </w:r>
    </w:p>
    <w:p w14:paraId="3BBF774B" w14:textId="599C99D3" w:rsidR="00A275BA" w:rsidRDefault="009D0B1A" w:rsidP="00B23B3E">
      <w:pPr>
        <w:pStyle w:val="Style1"/>
        <w:numPr>
          <w:ilvl w:val="0"/>
          <w:numId w:val="4"/>
        </w:numPr>
        <w:rPr>
          <w:rFonts w:ascii="Arial" w:hAnsi="Arial" w:cs="Arial"/>
          <w:szCs w:val="22"/>
        </w:rPr>
      </w:pPr>
      <w:r>
        <w:rPr>
          <w:rFonts w:ascii="Arial" w:hAnsi="Arial" w:cs="Arial"/>
          <w:szCs w:val="22"/>
        </w:rPr>
        <w:t>More or less contemporaneously</w:t>
      </w:r>
      <w:r w:rsidR="00164582">
        <w:rPr>
          <w:rFonts w:ascii="Arial" w:hAnsi="Arial" w:cs="Arial"/>
          <w:szCs w:val="22"/>
        </w:rPr>
        <w:t xml:space="preserve"> with the preparation of the Tithe documents</w:t>
      </w:r>
      <w:r>
        <w:rPr>
          <w:rFonts w:ascii="Arial" w:hAnsi="Arial" w:cs="Arial"/>
          <w:szCs w:val="22"/>
        </w:rPr>
        <w:t>, plans were being drawn up for what became the Liverpool, Ormskirk and Preston Railway</w:t>
      </w:r>
      <w:r w:rsidR="001A389D">
        <w:rPr>
          <w:rFonts w:ascii="Arial" w:hAnsi="Arial" w:cs="Arial"/>
          <w:szCs w:val="22"/>
        </w:rPr>
        <w:t>. The Ormskirk-Preston line b</w:t>
      </w:r>
      <w:r w:rsidR="00713FB6">
        <w:rPr>
          <w:rFonts w:ascii="Arial" w:hAnsi="Arial" w:cs="Arial"/>
          <w:szCs w:val="22"/>
        </w:rPr>
        <w:t>i</w:t>
      </w:r>
      <w:r w:rsidR="00701B3F">
        <w:rPr>
          <w:rFonts w:ascii="Arial" w:hAnsi="Arial" w:cs="Arial"/>
          <w:szCs w:val="22"/>
        </w:rPr>
        <w:t>sect</w:t>
      </w:r>
      <w:r w:rsidR="001A389D">
        <w:rPr>
          <w:rFonts w:ascii="Arial" w:hAnsi="Arial" w:cs="Arial"/>
          <w:szCs w:val="22"/>
        </w:rPr>
        <w:t>s the Order route</w:t>
      </w:r>
      <w:r w:rsidR="001D123C">
        <w:rPr>
          <w:rFonts w:ascii="Arial" w:hAnsi="Arial" w:cs="Arial"/>
          <w:szCs w:val="22"/>
        </w:rPr>
        <w:t xml:space="preserve"> towards its southern end. A gate house adjoins an unprotected crossing of the route on a bi-directional section </w:t>
      </w:r>
      <w:r w:rsidR="007E4E0C">
        <w:rPr>
          <w:rFonts w:ascii="Arial" w:hAnsi="Arial" w:cs="Arial"/>
          <w:szCs w:val="22"/>
        </w:rPr>
        <w:t xml:space="preserve">where train speeds are presently limited to 50mph with 34 trains daily between 0620 and 2330. </w:t>
      </w:r>
    </w:p>
    <w:p w14:paraId="10C6660F" w14:textId="07529E0B" w:rsidR="00A275BA" w:rsidRDefault="00A275BA" w:rsidP="00B23B3E">
      <w:pPr>
        <w:pStyle w:val="Style1"/>
        <w:numPr>
          <w:ilvl w:val="0"/>
          <w:numId w:val="4"/>
        </w:numPr>
        <w:rPr>
          <w:rFonts w:ascii="Arial" w:hAnsi="Arial" w:cs="Arial"/>
          <w:szCs w:val="22"/>
        </w:rPr>
      </w:pPr>
      <w:r>
        <w:rPr>
          <w:rFonts w:ascii="Arial" w:hAnsi="Arial" w:cs="Arial"/>
          <w:szCs w:val="22"/>
        </w:rPr>
        <w:t xml:space="preserve">The railway obtained its Act of Parliament in 1846, incorporating the Rail Clauses Consolidation Act of 1845. The </w:t>
      </w:r>
      <w:r w:rsidR="00561E3E">
        <w:rPr>
          <w:rFonts w:ascii="Arial" w:hAnsi="Arial" w:cs="Arial"/>
          <w:szCs w:val="22"/>
        </w:rPr>
        <w:t>O</w:t>
      </w:r>
      <w:r>
        <w:rPr>
          <w:rFonts w:ascii="Arial" w:hAnsi="Arial" w:cs="Arial"/>
          <w:szCs w:val="22"/>
        </w:rPr>
        <w:t>rder route is described in the Book of Reference as a ‘private or occupation road’. The ownership of the route is described consistently with the Tithe documents, and there were six named occupiers</w:t>
      </w:r>
      <w:r w:rsidR="00880C78">
        <w:rPr>
          <w:rFonts w:ascii="Arial" w:hAnsi="Arial" w:cs="Arial"/>
          <w:szCs w:val="22"/>
        </w:rPr>
        <w:t xml:space="preserve">. </w:t>
      </w:r>
    </w:p>
    <w:p w14:paraId="5FA37D5C" w14:textId="02E1C44D" w:rsidR="00441EFD" w:rsidRDefault="003706E5" w:rsidP="00B23B3E">
      <w:pPr>
        <w:pStyle w:val="Style1"/>
        <w:numPr>
          <w:ilvl w:val="0"/>
          <w:numId w:val="4"/>
        </w:numPr>
        <w:rPr>
          <w:rFonts w:ascii="Arial" w:hAnsi="Arial" w:cs="Arial"/>
          <w:szCs w:val="22"/>
        </w:rPr>
      </w:pPr>
      <w:r>
        <w:rPr>
          <w:rFonts w:ascii="Arial" w:hAnsi="Arial" w:cs="Arial"/>
          <w:szCs w:val="22"/>
        </w:rPr>
        <w:t xml:space="preserve">The description of the route in the Book of Reference leads NR to contend that there could have been no acknowledged public use of it in 1846. </w:t>
      </w:r>
      <w:r w:rsidR="00441EFD">
        <w:rPr>
          <w:rFonts w:ascii="Arial" w:hAnsi="Arial" w:cs="Arial"/>
          <w:szCs w:val="22"/>
        </w:rPr>
        <w:t>The fact that the railway company acquired title to the relevant land is a further indication</w:t>
      </w:r>
      <w:r w:rsidR="00E90147">
        <w:rPr>
          <w:rFonts w:ascii="Arial" w:hAnsi="Arial" w:cs="Arial"/>
          <w:szCs w:val="22"/>
        </w:rPr>
        <w:t>, they say,</w:t>
      </w:r>
      <w:r w:rsidR="00441EFD">
        <w:rPr>
          <w:rFonts w:ascii="Arial" w:hAnsi="Arial" w:cs="Arial"/>
          <w:szCs w:val="22"/>
        </w:rPr>
        <w:t xml:space="preserve"> that it was not a public highway</w:t>
      </w:r>
      <w:r w:rsidR="00593C88">
        <w:rPr>
          <w:rFonts w:ascii="Arial" w:hAnsi="Arial" w:cs="Arial"/>
          <w:szCs w:val="22"/>
        </w:rPr>
        <w:t xml:space="preserve">, because where land was vested in the local highway authority, the railway company </w:t>
      </w:r>
      <w:r w:rsidR="00E95D2B">
        <w:rPr>
          <w:rFonts w:ascii="Arial" w:hAnsi="Arial" w:cs="Arial"/>
          <w:szCs w:val="22"/>
        </w:rPr>
        <w:t>would not have acquired the title</w:t>
      </w:r>
      <w:r w:rsidR="00441EFD">
        <w:rPr>
          <w:rFonts w:ascii="Arial" w:hAnsi="Arial" w:cs="Arial"/>
          <w:szCs w:val="22"/>
        </w:rPr>
        <w:t>. No Order for a Level Crossing was made</w:t>
      </w:r>
      <w:r w:rsidR="00713FB6">
        <w:rPr>
          <w:rFonts w:ascii="Arial" w:hAnsi="Arial" w:cs="Arial"/>
          <w:szCs w:val="22"/>
        </w:rPr>
        <w:t>,</w:t>
      </w:r>
      <w:r w:rsidR="00441EFD">
        <w:rPr>
          <w:rFonts w:ascii="Arial" w:hAnsi="Arial" w:cs="Arial"/>
          <w:szCs w:val="22"/>
        </w:rPr>
        <w:t xml:space="preserve"> </w:t>
      </w:r>
      <w:r w:rsidR="00D204AD">
        <w:rPr>
          <w:rFonts w:ascii="Arial" w:hAnsi="Arial" w:cs="Arial"/>
          <w:szCs w:val="22"/>
        </w:rPr>
        <w:t xml:space="preserve">which </w:t>
      </w:r>
      <w:r w:rsidR="00151A42">
        <w:rPr>
          <w:rFonts w:ascii="Arial" w:hAnsi="Arial" w:cs="Arial"/>
          <w:szCs w:val="22"/>
        </w:rPr>
        <w:t>sh</w:t>
      </w:r>
      <w:r w:rsidR="00D204AD">
        <w:rPr>
          <w:rFonts w:ascii="Arial" w:hAnsi="Arial" w:cs="Arial"/>
          <w:szCs w:val="22"/>
        </w:rPr>
        <w:t xml:space="preserve">ould have been required had it been an acknowledged public carriageway. </w:t>
      </w:r>
    </w:p>
    <w:p w14:paraId="020D9137" w14:textId="584E2FD4" w:rsidR="00D204AD" w:rsidRDefault="00927671" w:rsidP="00B23B3E">
      <w:pPr>
        <w:pStyle w:val="Style1"/>
        <w:numPr>
          <w:ilvl w:val="0"/>
          <w:numId w:val="4"/>
        </w:numPr>
        <w:rPr>
          <w:rFonts w:ascii="Arial" w:hAnsi="Arial" w:cs="Arial"/>
          <w:szCs w:val="22"/>
        </w:rPr>
      </w:pPr>
      <w:r>
        <w:rPr>
          <w:rFonts w:ascii="Arial" w:hAnsi="Arial" w:cs="Arial"/>
          <w:szCs w:val="22"/>
        </w:rPr>
        <w:t xml:space="preserve">NR point out that it is not unusual </w:t>
      </w:r>
      <w:r w:rsidR="00DB77F8">
        <w:rPr>
          <w:rFonts w:ascii="Arial" w:hAnsi="Arial" w:cs="Arial"/>
          <w:szCs w:val="22"/>
        </w:rPr>
        <w:t xml:space="preserve">for them to have provided a gate house at a private crossing. Public user rights may not require it, but there is no preclusion and safety reasons </w:t>
      </w:r>
      <w:r w:rsidR="00A80808">
        <w:rPr>
          <w:rFonts w:ascii="Arial" w:hAnsi="Arial" w:cs="Arial"/>
          <w:szCs w:val="22"/>
        </w:rPr>
        <w:t xml:space="preserve">could indicate a requirement for it. There are, according to NR, numerous such examples nationally. </w:t>
      </w:r>
    </w:p>
    <w:p w14:paraId="0BEBEC84" w14:textId="1A59F31E" w:rsidR="00031C09" w:rsidRDefault="00F2469A" w:rsidP="00B23B3E">
      <w:pPr>
        <w:pStyle w:val="Style1"/>
        <w:numPr>
          <w:ilvl w:val="0"/>
          <w:numId w:val="4"/>
        </w:numPr>
        <w:rPr>
          <w:rFonts w:ascii="Arial" w:hAnsi="Arial" w:cs="Arial"/>
          <w:szCs w:val="22"/>
        </w:rPr>
      </w:pPr>
      <w:r>
        <w:rPr>
          <w:rFonts w:ascii="Arial" w:hAnsi="Arial" w:cs="Arial"/>
          <w:szCs w:val="22"/>
        </w:rPr>
        <w:t>The extensive publicity and consultation requirements</w:t>
      </w:r>
      <w:r w:rsidR="0046292E">
        <w:rPr>
          <w:rFonts w:ascii="Arial" w:hAnsi="Arial" w:cs="Arial"/>
          <w:szCs w:val="22"/>
        </w:rPr>
        <w:t xml:space="preserve"> on the construction of the railways </w:t>
      </w:r>
      <w:r w:rsidR="00B215DF">
        <w:rPr>
          <w:rFonts w:ascii="Arial" w:hAnsi="Arial" w:cs="Arial"/>
          <w:szCs w:val="22"/>
        </w:rPr>
        <w:t>lead to the comfortable inference that the route had no reputation as a public</w:t>
      </w:r>
      <w:r w:rsidR="00510489">
        <w:rPr>
          <w:rFonts w:ascii="Arial" w:hAnsi="Arial" w:cs="Arial"/>
          <w:szCs w:val="22"/>
        </w:rPr>
        <w:t>ly maintainable</w:t>
      </w:r>
      <w:r w:rsidR="00B215DF">
        <w:rPr>
          <w:rFonts w:ascii="Arial" w:hAnsi="Arial" w:cs="Arial"/>
          <w:szCs w:val="22"/>
        </w:rPr>
        <w:t xml:space="preserve"> route at the relevant time. The Surveyor of Highways could have been expected to have asserted </w:t>
      </w:r>
      <w:r w:rsidR="00E90147">
        <w:rPr>
          <w:rFonts w:ascii="Arial" w:hAnsi="Arial" w:cs="Arial"/>
          <w:szCs w:val="22"/>
        </w:rPr>
        <w:t xml:space="preserve">an interest in </w:t>
      </w:r>
      <w:r w:rsidR="00530E87">
        <w:rPr>
          <w:rFonts w:ascii="Arial" w:hAnsi="Arial" w:cs="Arial"/>
          <w:szCs w:val="22"/>
        </w:rPr>
        <w:t>the route if it had been</w:t>
      </w:r>
      <w:r w:rsidR="00E645BF">
        <w:rPr>
          <w:rFonts w:ascii="Arial" w:hAnsi="Arial" w:cs="Arial"/>
          <w:szCs w:val="22"/>
        </w:rPr>
        <w:t xml:space="preserve">. </w:t>
      </w:r>
      <w:r w:rsidR="00031C09">
        <w:rPr>
          <w:rFonts w:ascii="Arial" w:hAnsi="Arial" w:cs="Arial"/>
          <w:szCs w:val="22"/>
        </w:rPr>
        <w:t xml:space="preserve">As the GLA point out, however, the Book of Reference was concerned to ascertain </w:t>
      </w:r>
      <w:r w:rsidR="00560B27">
        <w:rPr>
          <w:rFonts w:ascii="Arial" w:hAnsi="Arial" w:cs="Arial"/>
          <w:szCs w:val="22"/>
        </w:rPr>
        <w:t xml:space="preserve">the </w:t>
      </w:r>
      <w:r w:rsidR="00560B27">
        <w:rPr>
          <w:rFonts w:ascii="Arial" w:hAnsi="Arial" w:cs="Arial"/>
          <w:szCs w:val="22"/>
        </w:rPr>
        <w:lastRenderedPageBreak/>
        <w:t>relevant property interests in the land</w:t>
      </w:r>
      <w:r w:rsidR="005D5147">
        <w:rPr>
          <w:rFonts w:ascii="Arial" w:hAnsi="Arial" w:cs="Arial"/>
          <w:szCs w:val="22"/>
        </w:rPr>
        <w:t xml:space="preserve"> and not necessarily the status of any route</w:t>
      </w:r>
      <w:r w:rsidR="00560B27">
        <w:rPr>
          <w:rFonts w:ascii="Arial" w:hAnsi="Arial" w:cs="Arial"/>
          <w:szCs w:val="22"/>
        </w:rPr>
        <w:t xml:space="preserve">. The Surveyor of Highways would not have been expected to have asserted an interest in </w:t>
      </w:r>
      <w:r w:rsidR="0090704C">
        <w:rPr>
          <w:rFonts w:ascii="Arial" w:hAnsi="Arial" w:cs="Arial"/>
          <w:szCs w:val="22"/>
        </w:rPr>
        <w:t>any carriageway that was not publicly maintainable.</w:t>
      </w:r>
    </w:p>
    <w:p w14:paraId="4C513769" w14:textId="56E1BDE7" w:rsidR="00F2469A" w:rsidRDefault="0090704C" w:rsidP="00B23B3E">
      <w:pPr>
        <w:pStyle w:val="Style1"/>
        <w:numPr>
          <w:ilvl w:val="0"/>
          <w:numId w:val="4"/>
        </w:numPr>
        <w:rPr>
          <w:rFonts w:ascii="Arial" w:hAnsi="Arial" w:cs="Arial"/>
          <w:szCs w:val="22"/>
        </w:rPr>
      </w:pPr>
      <w:r>
        <w:rPr>
          <w:rFonts w:ascii="Arial" w:hAnsi="Arial" w:cs="Arial"/>
          <w:szCs w:val="22"/>
        </w:rPr>
        <w:t>As to whether</w:t>
      </w:r>
      <w:r w:rsidR="00E645BF">
        <w:rPr>
          <w:rFonts w:ascii="Arial" w:hAnsi="Arial" w:cs="Arial"/>
          <w:szCs w:val="22"/>
        </w:rPr>
        <w:t xml:space="preserve"> public carriageway rights </w:t>
      </w:r>
      <w:r>
        <w:rPr>
          <w:rFonts w:ascii="Arial" w:hAnsi="Arial" w:cs="Arial"/>
          <w:szCs w:val="22"/>
        </w:rPr>
        <w:t xml:space="preserve">existed by then, if they had </w:t>
      </w:r>
      <w:r w:rsidR="00E645BF">
        <w:rPr>
          <w:rFonts w:ascii="Arial" w:hAnsi="Arial" w:cs="Arial"/>
          <w:szCs w:val="22"/>
        </w:rPr>
        <w:t>been acknowledge</w:t>
      </w:r>
      <w:r w:rsidR="00031C09">
        <w:rPr>
          <w:rFonts w:ascii="Arial" w:hAnsi="Arial" w:cs="Arial"/>
          <w:szCs w:val="22"/>
        </w:rPr>
        <w:t>d</w:t>
      </w:r>
      <w:r>
        <w:rPr>
          <w:rFonts w:ascii="Arial" w:hAnsi="Arial" w:cs="Arial"/>
          <w:szCs w:val="22"/>
        </w:rPr>
        <w:t xml:space="preserve"> then it appears that</w:t>
      </w:r>
      <w:r w:rsidR="00E645BF">
        <w:rPr>
          <w:rFonts w:ascii="Arial" w:hAnsi="Arial" w:cs="Arial"/>
          <w:szCs w:val="22"/>
        </w:rPr>
        <w:t xml:space="preserve"> </w:t>
      </w:r>
      <w:r w:rsidR="00E06CFF">
        <w:rPr>
          <w:rFonts w:ascii="Arial" w:hAnsi="Arial" w:cs="Arial"/>
          <w:szCs w:val="22"/>
        </w:rPr>
        <w:t>formal arrangement</w:t>
      </w:r>
      <w:r w:rsidR="00561E3E">
        <w:rPr>
          <w:rFonts w:ascii="Arial" w:hAnsi="Arial" w:cs="Arial"/>
          <w:szCs w:val="22"/>
        </w:rPr>
        <w:t>s</w:t>
      </w:r>
      <w:r w:rsidR="00E06CFF">
        <w:rPr>
          <w:rFonts w:ascii="Arial" w:hAnsi="Arial" w:cs="Arial"/>
          <w:szCs w:val="22"/>
        </w:rPr>
        <w:t xml:space="preserve"> for a Level Crossing would have been required (as </w:t>
      </w:r>
      <w:r w:rsidR="000A188B">
        <w:rPr>
          <w:rFonts w:ascii="Arial" w:hAnsi="Arial" w:cs="Arial"/>
          <w:szCs w:val="22"/>
        </w:rPr>
        <w:t>at Maghull and Rufford)</w:t>
      </w:r>
      <w:r w:rsidR="00530E87">
        <w:rPr>
          <w:rFonts w:ascii="Arial" w:hAnsi="Arial" w:cs="Arial"/>
          <w:szCs w:val="22"/>
        </w:rPr>
        <w:t>. Nonetheless the provision of the adjoining gate house and its occupation for some years (including at the 1851 census) by a gatekeeper</w:t>
      </w:r>
      <w:r w:rsidR="007B373E">
        <w:rPr>
          <w:rFonts w:ascii="Arial" w:hAnsi="Arial" w:cs="Arial"/>
          <w:szCs w:val="22"/>
        </w:rPr>
        <w:t xml:space="preserve"> is some indication that it will have been well-used</w:t>
      </w:r>
      <w:r w:rsidR="00D1007B">
        <w:rPr>
          <w:rFonts w:ascii="Arial" w:hAnsi="Arial" w:cs="Arial"/>
          <w:szCs w:val="22"/>
        </w:rPr>
        <w:t>, and likely with carriages,</w:t>
      </w:r>
      <w:r w:rsidR="007B373E">
        <w:rPr>
          <w:rFonts w:ascii="Arial" w:hAnsi="Arial" w:cs="Arial"/>
          <w:szCs w:val="22"/>
        </w:rPr>
        <w:t xml:space="preserve"> at the time. </w:t>
      </w:r>
      <w:r w:rsidR="00144688">
        <w:rPr>
          <w:rFonts w:ascii="Arial" w:hAnsi="Arial" w:cs="Arial"/>
          <w:szCs w:val="22"/>
        </w:rPr>
        <w:t>Although NR say there are numerous examples nationally of such arrangements having been made</w:t>
      </w:r>
      <w:r w:rsidR="009E6D38">
        <w:rPr>
          <w:rFonts w:ascii="Arial" w:hAnsi="Arial" w:cs="Arial"/>
          <w:szCs w:val="22"/>
        </w:rPr>
        <w:t xml:space="preserve"> in relation to private crossings</w:t>
      </w:r>
      <w:r w:rsidR="00144688">
        <w:rPr>
          <w:rFonts w:ascii="Arial" w:hAnsi="Arial" w:cs="Arial"/>
          <w:szCs w:val="22"/>
        </w:rPr>
        <w:t xml:space="preserve">, it seems unlikely that the railway companies will have gone to such expense in the absence of a persuasive safety case. </w:t>
      </w:r>
      <w:r w:rsidR="00151A42">
        <w:rPr>
          <w:rFonts w:ascii="Arial" w:hAnsi="Arial" w:cs="Arial"/>
          <w:szCs w:val="22"/>
        </w:rPr>
        <w:t xml:space="preserve">I understand that the crossing was attended until 1968. </w:t>
      </w:r>
      <w:r w:rsidR="0078738E">
        <w:rPr>
          <w:rFonts w:ascii="Arial" w:hAnsi="Arial" w:cs="Arial"/>
          <w:szCs w:val="22"/>
        </w:rPr>
        <w:t xml:space="preserve">The GLA draw my attention to </w:t>
      </w:r>
      <w:r w:rsidR="00E43C7F">
        <w:rPr>
          <w:rFonts w:ascii="Arial" w:hAnsi="Arial" w:cs="Arial"/>
          <w:szCs w:val="22"/>
        </w:rPr>
        <w:t>a further level crossing at Midge Hall Lane, which was not mandated by the 1846 Act</w:t>
      </w:r>
      <w:r w:rsidR="001967BA">
        <w:rPr>
          <w:rFonts w:ascii="Arial" w:hAnsi="Arial" w:cs="Arial"/>
          <w:szCs w:val="22"/>
        </w:rPr>
        <w:t xml:space="preserve"> but which nonetheless crosses a public carriage road, and point out that the named crossings at Maghull and Rufford</w:t>
      </w:r>
      <w:r w:rsidR="001507A5">
        <w:rPr>
          <w:rFonts w:ascii="Arial" w:hAnsi="Arial" w:cs="Arial"/>
          <w:szCs w:val="22"/>
        </w:rPr>
        <w:t xml:space="preserve"> are adjacent to railway stations which may have had some </w:t>
      </w:r>
      <w:r w:rsidR="00CC77F4">
        <w:rPr>
          <w:rFonts w:ascii="Arial" w:hAnsi="Arial" w:cs="Arial"/>
          <w:szCs w:val="22"/>
        </w:rPr>
        <w:t xml:space="preserve">particular </w:t>
      </w:r>
      <w:r w:rsidR="001507A5">
        <w:rPr>
          <w:rFonts w:ascii="Arial" w:hAnsi="Arial" w:cs="Arial"/>
          <w:szCs w:val="22"/>
        </w:rPr>
        <w:t>significance.</w:t>
      </w:r>
      <w:r w:rsidR="001967BA">
        <w:rPr>
          <w:rFonts w:ascii="Arial" w:hAnsi="Arial" w:cs="Arial"/>
          <w:szCs w:val="22"/>
        </w:rPr>
        <w:t xml:space="preserve"> </w:t>
      </w:r>
    </w:p>
    <w:p w14:paraId="6873A301" w14:textId="2E018820" w:rsidR="005847E1" w:rsidRDefault="005847E1" w:rsidP="00B23B3E">
      <w:pPr>
        <w:pStyle w:val="Style1"/>
        <w:numPr>
          <w:ilvl w:val="0"/>
          <w:numId w:val="4"/>
        </w:numPr>
        <w:rPr>
          <w:rFonts w:ascii="Arial" w:hAnsi="Arial" w:cs="Arial"/>
          <w:szCs w:val="22"/>
        </w:rPr>
      </w:pPr>
      <w:r>
        <w:rPr>
          <w:rFonts w:ascii="Arial" w:hAnsi="Arial" w:cs="Arial"/>
          <w:szCs w:val="22"/>
        </w:rPr>
        <w:t>Although a ‘</w:t>
      </w:r>
      <w:r w:rsidR="006D4D0B">
        <w:rPr>
          <w:rFonts w:ascii="Arial" w:hAnsi="Arial" w:cs="Arial"/>
          <w:szCs w:val="22"/>
        </w:rPr>
        <w:t xml:space="preserve">private or </w:t>
      </w:r>
      <w:r>
        <w:rPr>
          <w:rFonts w:ascii="Arial" w:hAnsi="Arial" w:cs="Arial"/>
          <w:szCs w:val="22"/>
        </w:rPr>
        <w:t>occupation road’</w:t>
      </w:r>
      <w:r w:rsidR="006D4D0B">
        <w:rPr>
          <w:rFonts w:ascii="Arial" w:hAnsi="Arial" w:cs="Arial"/>
          <w:szCs w:val="22"/>
        </w:rPr>
        <w:t xml:space="preserve"> (in itself a somewhat equivocal description, as the GLA point out)</w:t>
      </w:r>
      <w:r>
        <w:rPr>
          <w:rFonts w:ascii="Arial" w:hAnsi="Arial" w:cs="Arial"/>
          <w:szCs w:val="22"/>
        </w:rPr>
        <w:t xml:space="preserve"> the </w:t>
      </w:r>
      <w:r w:rsidR="00E53CF7">
        <w:rPr>
          <w:rFonts w:ascii="Arial" w:hAnsi="Arial" w:cs="Arial"/>
          <w:szCs w:val="22"/>
        </w:rPr>
        <w:t>Book of Reference refers to six different occupiers</w:t>
      </w:r>
      <w:r w:rsidR="00561952">
        <w:rPr>
          <w:rFonts w:ascii="Arial" w:hAnsi="Arial" w:cs="Arial"/>
          <w:szCs w:val="22"/>
        </w:rPr>
        <w:t xml:space="preserve">. Such a number </w:t>
      </w:r>
      <w:r w:rsidR="00C1432D">
        <w:rPr>
          <w:rFonts w:ascii="Arial" w:hAnsi="Arial" w:cs="Arial"/>
          <w:szCs w:val="22"/>
        </w:rPr>
        <w:t xml:space="preserve">potentially </w:t>
      </w:r>
      <w:r w:rsidR="006D4D0B">
        <w:rPr>
          <w:rFonts w:ascii="Arial" w:hAnsi="Arial" w:cs="Arial"/>
          <w:szCs w:val="22"/>
        </w:rPr>
        <w:t xml:space="preserve">suggests </w:t>
      </w:r>
      <w:r w:rsidR="003A7D23">
        <w:rPr>
          <w:rFonts w:ascii="Arial" w:hAnsi="Arial" w:cs="Arial"/>
          <w:szCs w:val="22"/>
        </w:rPr>
        <w:t>a lack of overall control over the route, suggesting</w:t>
      </w:r>
      <w:r w:rsidR="001B471C">
        <w:rPr>
          <w:rFonts w:ascii="Arial" w:hAnsi="Arial" w:cs="Arial"/>
          <w:szCs w:val="22"/>
        </w:rPr>
        <w:t xml:space="preserve"> it is less likely that the</w:t>
      </w:r>
      <w:r w:rsidR="003A7D23">
        <w:rPr>
          <w:rFonts w:ascii="Arial" w:hAnsi="Arial" w:cs="Arial"/>
          <w:szCs w:val="22"/>
        </w:rPr>
        <w:t xml:space="preserve"> public using the route</w:t>
      </w:r>
      <w:r w:rsidR="001B471C">
        <w:rPr>
          <w:rFonts w:ascii="Arial" w:hAnsi="Arial" w:cs="Arial"/>
          <w:szCs w:val="22"/>
        </w:rPr>
        <w:t xml:space="preserve"> would have been challenged than if the route was in single occupation. One occupier would be perhaps unlikely to know whether other users were </w:t>
      </w:r>
      <w:r w:rsidR="00C44596">
        <w:rPr>
          <w:rFonts w:ascii="Arial" w:hAnsi="Arial" w:cs="Arial"/>
          <w:szCs w:val="22"/>
        </w:rPr>
        <w:t xml:space="preserve">using the route at the invitation of other occupiers or simply as a thoroughfare. </w:t>
      </w:r>
    </w:p>
    <w:p w14:paraId="1486DD02" w14:textId="7A8B08C9" w:rsidR="00560DAF" w:rsidRDefault="002437DF" w:rsidP="00B23B3E">
      <w:pPr>
        <w:pStyle w:val="Style1"/>
        <w:numPr>
          <w:ilvl w:val="0"/>
          <w:numId w:val="4"/>
        </w:numPr>
        <w:rPr>
          <w:rFonts w:ascii="Arial" w:hAnsi="Arial" w:cs="Arial"/>
          <w:szCs w:val="22"/>
        </w:rPr>
      </w:pPr>
      <w:r>
        <w:rPr>
          <w:rFonts w:ascii="Arial" w:hAnsi="Arial" w:cs="Arial"/>
          <w:szCs w:val="22"/>
        </w:rPr>
        <w:t>I infer that</w:t>
      </w:r>
      <w:r w:rsidR="00560DAF">
        <w:rPr>
          <w:rFonts w:ascii="Arial" w:hAnsi="Arial" w:cs="Arial"/>
          <w:szCs w:val="22"/>
        </w:rPr>
        <w:t xml:space="preserve"> at some point, probably </w:t>
      </w:r>
      <w:r w:rsidR="00BC5771">
        <w:rPr>
          <w:rFonts w:ascii="Arial" w:hAnsi="Arial" w:cs="Arial"/>
          <w:szCs w:val="22"/>
        </w:rPr>
        <w:t>before</w:t>
      </w:r>
      <w:r w:rsidR="00560DAF">
        <w:rPr>
          <w:rFonts w:ascii="Arial" w:hAnsi="Arial" w:cs="Arial"/>
          <w:szCs w:val="22"/>
        </w:rPr>
        <w:t xml:space="preserve"> the railway was constructed</w:t>
      </w:r>
      <w:r w:rsidR="002A0CC0">
        <w:rPr>
          <w:rFonts w:ascii="Arial" w:hAnsi="Arial" w:cs="Arial"/>
          <w:szCs w:val="22"/>
        </w:rPr>
        <w:t xml:space="preserve"> and certainly by the 1930s (see below)</w:t>
      </w:r>
      <w:r w:rsidR="00560DAF">
        <w:rPr>
          <w:rFonts w:ascii="Arial" w:hAnsi="Arial" w:cs="Arial"/>
          <w:szCs w:val="22"/>
        </w:rPr>
        <w:t xml:space="preserve">, the </w:t>
      </w:r>
      <w:r w:rsidR="00E07DDA">
        <w:rPr>
          <w:rFonts w:ascii="Arial" w:hAnsi="Arial" w:cs="Arial"/>
          <w:szCs w:val="22"/>
        </w:rPr>
        <w:t xml:space="preserve">route </w:t>
      </w:r>
      <w:r w:rsidR="00A01F32">
        <w:rPr>
          <w:rFonts w:ascii="Arial" w:hAnsi="Arial" w:cs="Arial"/>
          <w:szCs w:val="22"/>
        </w:rPr>
        <w:t>became</w:t>
      </w:r>
      <w:r w:rsidR="00E07DDA">
        <w:rPr>
          <w:rFonts w:ascii="Arial" w:hAnsi="Arial" w:cs="Arial"/>
          <w:szCs w:val="22"/>
        </w:rPr>
        <w:t xml:space="preserve"> subject to unfettered enjoyment by the public</w:t>
      </w:r>
      <w:r w:rsidR="00ED6F47">
        <w:rPr>
          <w:rFonts w:ascii="Arial" w:hAnsi="Arial" w:cs="Arial"/>
          <w:szCs w:val="22"/>
        </w:rPr>
        <w:t>, and this is likely to have been with carts or carriages</w:t>
      </w:r>
      <w:r w:rsidR="00215281">
        <w:rPr>
          <w:rFonts w:ascii="Arial" w:hAnsi="Arial" w:cs="Arial"/>
          <w:szCs w:val="22"/>
        </w:rPr>
        <w:t xml:space="preserve"> given the width of the route and </w:t>
      </w:r>
      <w:r w:rsidR="007476E9">
        <w:rPr>
          <w:rFonts w:ascii="Arial" w:hAnsi="Arial" w:cs="Arial"/>
          <w:szCs w:val="22"/>
        </w:rPr>
        <w:t>its description by the Longton parish surveyors of 1951</w:t>
      </w:r>
      <w:r w:rsidR="00E07DDA">
        <w:rPr>
          <w:rFonts w:ascii="Arial" w:hAnsi="Arial" w:cs="Arial"/>
          <w:szCs w:val="22"/>
        </w:rPr>
        <w:t xml:space="preserve">. </w:t>
      </w:r>
    </w:p>
    <w:p w14:paraId="78CDE6E3" w14:textId="1082299D" w:rsidR="00F02130" w:rsidRPr="00F02130" w:rsidRDefault="00F02130" w:rsidP="00F02130">
      <w:pPr>
        <w:pStyle w:val="Style1"/>
        <w:ind w:left="360" w:firstLine="0"/>
        <w:rPr>
          <w:rFonts w:ascii="Arial" w:hAnsi="Arial" w:cs="Arial"/>
          <w:i/>
          <w:iCs/>
          <w:szCs w:val="22"/>
        </w:rPr>
      </w:pPr>
      <w:r>
        <w:rPr>
          <w:rFonts w:ascii="Arial" w:hAnsi="Arial" w:cs="Arial"/>
          <w:i/>
          <w:iCs/>
          <w:szCs w:val="22"/>
        </w:rPr>
        <w:t>Later maps</w:t>
      </w:r>
    </w:p>
    <w:p w14:paraId="1E23F561" w14:textId="5C5505E2" w:rsidR="00A91F2F" w:rsidRDefault="0010655D" w:rsidP="00B23B3E">
      <w:pPr>
        <w:pStyle w:val="Style1"/>
        <w:numPr>
          <w:ilvl w:val="0"/>
          <w:numId w:val="4"/>
        </w:numPr>
        <w:rPr>
          <w:rFonts w:ascii="Arial" w:hAnsi="Arial" w:cs="Arial"/>
          <w:szCs w:val="22"/>
        </w:rPr>
      </w:pPr>
      <w:r>
        <w:rPr>
          <w:rFonts w:ascii="Arial" w:hAnsi="Arial" w:cs="Arial"/>
          <w:szCs w:val="22"/>
        </w:rPr>
        <w:t xml:space="preserve">This interpretation appears consistent with what is shown on the later maps. </w:t>
      </w:r>
      <w:r w:rsidR="00ED6F47">
        <w:rPr>
          <w:rFonts w:ascii="Arial" w:hAnsi="Arial" w:cs="Arial"/>
          <w:szCs w:val="22"/>
        </w:rPr>
        <w:t>The earliest Ordnance Survey (‘OS’) map published at</w:t>
      </w:r>
      <w:r w:rsidR="00E97240">
        <w:rPr>
          <w:rFonts w:ascii="Arial" w:hAnsi="Arial" w:cs="Arial"/>
          <w:szCs w:val="22"/>
        </w:rPr>
        <w:t xml:space="preserve"> a scale of 25 inches to the mile was published in 1894. That depicts the roundhouse with a “RH” annotation, and </w:t>
      </w:r>
      <w:r w:rsidR="001D75B5">
        <w:rPr>
          <w:rFonts w:ascii="Arial" w:hAnsi="Arial" w:cs="Arial"/>
          <w:szCs w:val="22"/>
        </w:rPr>
        <w:t>an adjoining</w:t>
      </w:r>
      <w:r w:rsidR="00E97240">
        <w:rPr>
          <w:rFonts w:ascii="Arial" w:hAnsi="Arial" w:cs="Arial"/>
          <w:szCs w:val="22"/>
        </w:rPr>
        <w:t xml:space="preserve"> gate is shown across the track</w:t>
      </w:r>
      <w:r w:rsidR="005F3430">
        <w:rPr>
          <w:rFonts w:ascii="Arial" w:hAnsi="Arial" w:cs="Arial"/>
          <w:szCs w:val="22"/>
        </w:rPr>
        <w:t xml:space="preserve">. This is likely to reflect its </w:t>
      </w:r>
      <w:r w:rsidR="00F02130">
        <w:rPr>
          <w:rFonts w:ascii="Arial" w:hAnsi="Arial" w:cs="Arial"/>
          <w:szCs w:val="22"/>
        </w:rPr>
        <w:t xml:space="preserve">intended </w:t>
      </w:r>
      <w:r w:rsidR="005F3430">
        <w:rPr>
          <w:rFonts w:ascii="Arial" w:hAnsi="Arial" w:cs="Arial"/>
          <w:szCs w:val="22"/>
        </w:rPr>
        <w:t>purpose as a toll house, although is inconclusive as to the collection of any tolls</w:t>
      </w:r>
      <w:r w:rsidR="00A91F2F">
        <w:rPr>
          <w:rFonts w:ascii="Arial" w:hAnsi="Arial" w:cs="Arial"/>
          <w:szCs w:val="22"/>
        </w:rPr>
        <w:t xml:space="preserve">, </w:t>
      </w:r>
      <w:r w:rsidR="005F3430">
        <w:rPr>
          <w:rFonts w:ascii="Arial" w:hAnsi="Arial" w:cs="Arial"/>
          <w:szCs w:val="22"/>
        </w:rPr>
        <w:t xml:space="preserve">with the earlier Tithe and later Finance Act documents indicating otherwise. The existence of a gate by itself </w:t>
      </w:r>
      <w:r w:rsidR="009F2560">
        <w:rPr>
          <w:rFonts w:ascii="Arial" w:hAnsi="Arial" w:cs="Arial"/>
          <w:szCs w:val="22"/>
        </w:rPr>
        <w:t>is not particularly persuasive either way.</w:t>
      </w:r>
    </w:p>
    <w:p w14:paraId="10FD985C" w14:textId="0386B5EE" w:rsidR="00810724" w:rsidRDefault="00A91F2F" w:rsidP="00B23B3E">
      <w:pPr>
        <w:pStyle w:val="Style1"/>
        <w:numPr>
          <w:ilvl w:val="0"/>
          <w:numId w:val="4"/>
        </w:numPr>
        <w:rPr>
          <w:rFonts w:ascii="Arial" w:hAnsi="Arial" w:cs="Arial"/>
          <w:szCs w:val="22"/>
        </w:rPr>
      </w:pPr>
      <w:r>
        <w:rPr>
          <w:rFonts w:ascii="Arial" w:hAnsi="Arial" w:cs="Arial"/>
          <w:szCs w:val="22"/>
        </w:rPr>
        <w:t>On commercial maps around the turn of the century the route was depicted as enabling clear passage</w:t>
      </w:r>
      <w:r w:rsidR="00C426CB">
        <w:rPr>
          <w:rFonts w:ascii="Arial" w:hAnsi="Arial" w:cs="Arial"/>
          <w:szCs w:val="22"/>
        </w:rPr>
        <w:t xml:space="preserve"> from end to end. </w:t>
      </w:r>
      <w:r w:rsidR="009F2560">
        <w:rPr>
          <w:rFonts w:ascii="Arial" w:hAnsi="Arial" w:cs="Arial"/>
          <w:szCs w:val="22"/>
        </w:rPr>
        <w:t xml:space="preserve"> </w:t>
      </w:r>
      <w:r w:rsidR="0002650B">
        <w:rPr>
          <w:rFonts w:ascii="Arial" w:hAnsi="Arial" w:cs="Arial"/>
          <w:szCs w:val="22"/>
        </w:rPr>
        <w:t>In particular, although the early Bartholomew maps</w:t>
      </w:r>
      <w:r w:rsidR="001735AD">
        <w:rPr>
          <w:rFonts w:ascii="Arial" w:hAnsi="Arial" w:cs="Arial"/>
          <w:szCs w:val="22"/>
        </w:rPr>
        <w:t xml:space="preserve"> identify the route as being unsuitable for cyclists, this appears to proceed from the premise that the route was nonetheless </w:t>
      </w:r>
      <w:r w:rsidR="00161397">
        <w:rPr>
          <w:rFonts w:ascii="Arial" w:hAnsi="Arial" w:cs="Arial"/>
          <w:szCs w:val="22"/>
        </w:rPr>
        <w:t>available</w:t>
      </w:r>
      <w:r w:rsidR="001735AD">
        <w:rPr>
          <w:rFonts w:ascii="Arial" w:hAnsi="Arial" w:cs="Arial"/>
          <w:szCs w:val="22"/>
        </w:rPr>
        <w:t xml:space="preserve"> to cyclists (the </w:t>
      </w:r>
      <w:r w:rsidR="006B121C">
        <w:rPr>
          <w:rFonts w:ascii="Arial" w:hAnsi="Arial" w:cs="Arial"/>
          <w:szCs w:val="22"/>
        </w:rPr>
        <w:t xml:space="preserve">purpose of the </w:t>
      </w:r>
      <w:r w:rsidR="001735AD">
        <w:rPr>
          <w:rFonts w:ascii="Arial" w:hAnsi="Arial" w:cs="Arial"/>
          <w:szCs w:val="22"/>
        </w:rPr>
        <w:t>map</w:t>
      </w:r>
      <w:r w:rsidR="006B121C">
        <w:rPr>
          <w:rFonts w:ascii="Arial" w:hAnsi="Arial" w:cs="Arial"/>
          <w:szCs w:val="22"/>
        </w:rPr>
        <w:t>s</w:t>
      </w:r>
      <w:r w:rsidR="001735AD">
        <w:rPr>
          <w:rFonts w:ascii="Arial" w:hAnsi="Arial" w:cs="Arial"/>
          <w:szCs w:val="22"/>
        </w:rPr>
        <w:t xml:space="preserve"> being for use by cyclists and tourists)</w:t>
      </w:r>
      <w:r w:rsidR="008413C8">
        <w:rPr>
          <w:rFonts w:ascii="Arial" w:hAnsi="Arial" w:cs="Arial"/>
          <w:szCs w:val="22"/>
        </w:rPr>
        <w:t xml:space="preserve">. On this I agree with the GLA that the maps are </w:t>
      </w:r>
      <w:r w:rsidR="004241E4">
        <w:rPr>
          <w:rFonts w:ascii="Arial" w:hAnsi="Arial" w:cs="Arial"/>
          <w:szCs w:val="22"/>
        </w:rPr>
        <w:t xml:space="preserve">suggestive </w:t>
      </w:r>
      <w:r w:rsidR="008413C8">
        <w:rPr>
          <w:rFonts w:ascii="Arial" w:hAnsi="Arial" w:cs="Arial"/>
          <w:szCs w:val="22"/>
        </w:rPr>
        <w:t xml:space="preserve">of the route’s </w:t>
      </w:r>
      <w:r w:rsidR="00B45207">
        <w:rPr>
          <w:rFonts w:ascii="Arial" w:hAnsi="Arial" w:cs="Arial"/>
          <w:szCs w:val="22"/>
        </w:rPr>
        <w:t>reputation as a public one at the time of their publication (respectively in 1904 and 1920)</w:t>
      </w:r>
      <w:r w:rsidR="002E7AE8">
        <w:rPr>
          <w:rFonts w:ascii="Arial" w:hAnsi="Arial" w:cs="Arial"/>
          <w:szCs w:val="22"/>
        </w:rPr>
        <w:t>.</w:t>
      </w:r>
      <w:r w:rsidR="001735AD">
        <w:rPr>
          <w:rFonts w:ascii="Arial" w:hAnsi="Arial" w:cs="Arial"/>
          <w:szCs w:val="22"/>
        </w:rPr>
        <w:t xml:space="preserve"> </w:t>
      </w:r>
      <w:r w:rsidR="005F3430">
        <w:rPr>
          <w:rFonts w:ascii="Arial" w:hAnsi="Arial" w:cs="Arial"/>
          <w:szCs w:val="22"/>
        </w:rPr>
        <w:t xml:space="preserve"> </w:t>
      </w:r>
      <w:r w:rsidR="0048123F">
        <w:rPr>
          <w:rFonts w:ascii="Arial" w:hAnsi="Arial" w:cs="Arial"/>
          <w:szCs w:val="22"/>
        </w:rPr>
        <w:t xml:space="preserve">There is some anecdotal evidence that </w:t>
      </w:r>
      <w:r w:rsidR="00E572A9">
        <w:rPr>
          <w:rFonts w:ascii="Arial" w:hAnsi="Arial" w:cs="Arial"/>
          <w:szCs w:val="22"/>
        </w:rPr>
        <w:t>any attempt to collect tolls was abandoned by the 1930s and the gate removed (the</w:t>
      </w:r>
      <w:r w:rsidR="00161397">
        <w:rPr>
          <w:rFonts w:ascii="Arial" w:hAnsi="Arial" w:cs="Arial"/>
          <w:szCs w:val="22"/>
        </w:rPr>
        <w:t xml:space="preserve"> source for this being the</w:t>
      </w:r>
      <w:r w:rsidR="00E572A9">
        <w:rPr>
          <w:rFonts w:ascii="Arial" w:hAnsi="Arial" w:cs="Arial"/>
          <w:szCs w:val="22"/>
        </w:rPr>
        <w:t xml:space="preserve"> ‘Lailand Chronicle’ article).</w:t>
      </w:r>
    </w:p>
    <w:p w14:paraId="3F935E66" w14:textId="77777777" w:rsidR="00C14A02" w:rsidRDefault="00810724" w:rsidP="00B23B3E">
      <w:pPr>
        <w:pStyle w:val="Style1"/>
        <w:numPr>
          <w:ilvl w:val="0"/>
          <w:numId w:val="4"/>
        </w:numPr>
        <w:rPr>
          <w:rFonts w:ascii="Arial" w:hAnsi="Arial" w:cs="Arial"/>
          <w:szCs w:val="22"/>
        </w:rPr>
      </w:pPr>
      <w:r>
        <w:rPr>
          <w:rFonts w:ascii="Arial" w:hAnsi="Arial" w:cs="Arial"/>
          <w:szCs w:val="22"/>
        </w:rPr>
        <w:t>The census of 1911 identified the occupant of the roundhouse as an iron foundry worker</w:t>
      </w:r>
      <w:r w:rsidR="002A0CC0">
        <w:rPr>
          <w:rFonts w:ascii="Arial" w:hAnsi="Arial" w:cs="Arial"/>
          <w:szCs w:val="22"/>
        </w:rPr>
        <w:t>,</w:t>
      </w:r>
      <w:r w:rsidR="009A7FA9">
        <w:rPr>
          <w:rFonts w:ascii="Arial" w:hAnsi="Arial" w:cs="Arial"/>
          <w:szCs w:val="22"/>
        </w:rPr>
        <w:t xml:space="preserve"> which is likely to have been at the nearby Leyland Motors plant</w:t>
      </w:r>
      <w:r w:rsidR="00E572A9">
        <w:rPr>
          <w:rFonts w:ascii="Arial" w:hAnsi="Arial" w:cs="Arial"/>
          <w:szCs w:val="22"/>
        </w:rPr>
        <w:t xml:space="preserve">. This was </w:t>
      </w:r>
      <w:r w:rsidR="0048123F">
        <w:rPr>
          <w:rFonts w:ascii="Arial" w:hAnsi="Arial" w:cs="Arial"/>
          <w:szCs w:val="22"/>
        </w:rPr>
        <w:t xml:space="preserve">founded </w:t>
      </w:r>
      <w:r w:rsidR="002A0CC0">
        <w:rPr>
          <w:rFonts w:ascii="Arial" w:hAnsi="Arial" w:cs="Arial"/>
          <w:szCs w:val="22"/>
        </w:rPr>
        <w:t>around</w:t>
      </w:r>
      <w:r w:rsidR="00E572A9">
        <w:rPr>
          <w:rFonts w:ascii="Arial" w:hAnsi="Arial" w:cs="Arial"/>
          <w:szCs w:val="22"/>
        </w:rPr>
        <w:t xml:space="preserve"> the turn of the century, and the </w:t>
      </w:r>
      <w:r w:rsidR="008B078F">
        <w:rPr>
          <w:rFonts w:ascii="Arial" w:hAnsi="Arial" w:cs="Arial"/>
          <w:szCs w:val="22"/>
        </w:rPr>
        <w:t xml:space="preserve">‘Lailand Chronicle’ article describes </w:t>
      </w:r>
      <w:r w:rsidR="00AB377D">
        <w:rPr>
          <w:rFonts w:ascii="Arial" w:hAnsi="Arial" w:cs="Arial"/>
          <w:szCs w:val="22"/>
        </w:rPr>
        <w:t xml:space="preserve">the Order route, </w:t>
      </w:r>
      <w:r w:rsidR="008B078F">
        <w:rPr>
          <w:rFonts w:ascii="Arial" w:hAnsi="Arial" w:cs="Arial"/>
          <w:szCs w:val="22"/>
        </w:rPr>
        <w:t>again anecdotally, as</w:t>
      </w:r>
      <w:r w:rsidR="00091809">
        <w:rPr>
          <w:rFonts w:ascii="Arial" w:hAnsi="Arial" w:cs="Arial"/>
          <w:szCs w:val="22"/>
        </w:rPr>
        <w:t xml:space="preserve"> a busy commuter route by cyclists and pedestrians during the heyday of the factory in the early years of the C20th.</w:t>
      </w:r>
    </w:p>
    <w:p w14:paraId="66EA7933" w14:textId="2010304F" w:rsidR="00F62E4F" w:rsidRDefault="00C14A02" w:rsidP="00B23B3E">
      <w:pPr>
        <w:pStyle w:val="Style1"/>
        <w:numPr>
          <w:ilvl w:val="0"/>
          <w:numId w:val="4"/>
        </w:numPr>
        <w:rPr>
          <w:rFonts w:ascii="Arial" w:hAnsi="Arial" w:cs="Arial"/>
          <w:szCs w:val="22"/>
        </w:rPr>
      </w:pPr>
      <w:r>
        <w:rPr>
          <w:rFonts w:ascii="Arial" w:hAnsi="Arial" w:cs="Arial"/>
          <w:szCs w:val="22"/>
        </w:rPr>
        <w:lastRenderedPageBreak/>
        <w:t>The Longton parish survey card</w:t>
      </w:r>
      <w:r w:rsidR="009A7FA9">
        <w:rPr>
          <w:rFonts w:ascii="Arial" w:hAnsi="Arial" w:cs="Arial"/>
          <w:szCs w:val="22"/>
        </w:rPr>
        <w:t xml:space="preserve"> </w:t>
      </w:r>
      <w:r>
        <w:rPr>
          <w:rFonts w:ascii="Arial" w:hAnsi="Arial" w:cs="Arial"/>
          <w:szCs w:val="22"/>
        </w:rPr>
        <w:t>of June 1951</w:t>
      </w:r>
      <w:r w:rsidR="00A17E3D">
        <w:rPr>
          <w:rFonts w:ascii="Arial" w:hAnsi="Arial" w:cs="Arial"/>
          <w:szCs w:val="22"/>
        </w:rPr>
        <w:t xml:space="preserve"> described that part of the route as ‘cart tracks &amp; FP’, with the more detailed description stating that the cart tracks were ‘deeply rutted’</w:t>
      </w:r>
      <w:r w:rsidR="00EC5621">
        <w:rPr>
          <w:rFonts w:ascii="Arial" w:hAnsi="Arial" w:cs="Arial"/>
          <w:szCs w:val="22"/>
        </w:rPr>
        <w:t xml:space="preserve">. With relatively few occupiers of properties along the route, it </w:t>
      </w:r>
      <w:r w:rsidR="00582F82">
        <w:rPr>
          <w:rFonts w:ascii="Arial" w:hAnsi="Arial" w:cs="Arial"/>
          <w:szCs w:val="22"/>
        </w:rPr>
        <w:t>might</w:t>
      </w:r>
      <w:r w:rsidR="00EC5621">
        <w:rPr>
          <w:rFonts w:ascii="Arial" w:hAnsi="Arial" w:cs="Arial"/>
          <w:szCs w:val="22"/>
        </w:rPr>
        <w:t xml:space="preserve"> be surprising to note such ‘deeply rutted’ tracks</w:t>
      </w:r>
      <w:r w:rsidR="00582F82">
        <w:rPr>
          <w:rFonts w:ascii="Arial" w:hAnsi="Arial" w:cs="Arial"/>
          <w:szCs w:val="22"/>
        </w:rPr>
        <w:t xml:space="preserve"> in the summer if</w:t>
      </w:r>
      <w:r>
        <w:rPr>
          <w:rFonts w:ascii="Arial" w:hAnsi="Arial" w:cs="Arial"/>
          <w:szCs w:val="22"/>
        </w:rPr>
        <w:t xml:space="preserve"> </w:t>
      </w:r>
      <w:r w:rsidR="00582F82">
        <w:rPr>
          <w:rFonts w:ascii="Arial" w:hAnsi="Arial" w:cs="Arial"/>
          <w:szCs w:val="22"/>
        </w:rPr>
        <w:t>only private use was being made of the route.</w:t>
      </w:r>
      <w:r w:rsidR="00E97240">
        <w:rPr>
          <w:rFonts w:ascii="Arial" w:hAnsi="Arial" w:cs="Arial"/>
          <w:szCs w:val="22"/>
        </w:rPr>
        <w:t xml:space="preserve"> </w:t>
      </w:r>
    </w:p>
    <w:p w14:paraId="1B6E240D" w14:textId="2485BC65" w:rsidR="009B7578" w:rsidRPr="009B7578" w:rsidRDefault="009B7578" w:rsidP="009B7578">
      <w:pPr>
        <w:pStyle w:val="Style1"/>
        <w:ind w:left="360" w:firstLine="0"/>
        <w:rPr>
          <w:rFonts w:ascii="Arial" w:hAnsi="Arial" w:cs="Arial"/>
          <w:b/>
          <w:bCs/>
          <w:szCs w:val="22"/>
        </w:rPr>
      </w:pPr>
      <w:r>
        <w:rPr>
          <w:rFonts w:ascii="Arial" w:hAnsi="Arial" w:cs="Arial"/>
          <w:b/>
          <w:bCs/>
          <w:szCs w:val="22"/>
        </w:rPr>
        <w:t>Conclusions on the Documentary Evidence</w:t>
      </w:r>
    </w:p>
    <w:p w14:paraId="550B2E45" w14:textId="38C0F32B" w:rsidR="00561C81" w:rsidRPr="003623F9" w:rsidRDefault="005D0516" w:rsidP="00B23B3E">
      <w:pPr>
        <w:pStyle w:val="Style1"/>
        <w:numPr>
          <w:ilvl w:val="0"/>
          <w:numId w:val="4"/>
        </w:numPr>
        <w:rPr>
          <w:rFonts w:ascii="Arial" w:hAnsi="Arial" w:cs="Arial"/>
          <w:szCs w:val="22"/>
        </w:rPr>
      </w:pPr>
      <w:r w:rsidRPr="003623F9">
        <w:rPr>
          <w:rFonts w:ascii="Arial" w:hAnsi="Arial" w:cs="Arial"/>
          <w:szCs w:val="22"/>
        </w:rPr>
        <w:t xml:space="preserve">All of this is persuasive </w:t>
      </w:r>
      <w:r w:rsidR="002474A7" w:rsidRPr="003623F9">
        <w:rPr>
          <w:rFonts w:ascii="Arial" w:hAnsi="Arial" w:cs="Arial"/>
          <w:szCs w:val="22"/>
        </w:rPr>
        <w:t>evidence that by the middle of the C20th the Order route was freely used by the public</w:t>
      </w:r>
      <w:r w:rsidR="00414887" w:rsidRPr="003623F9">
        <w:rPr>
          <w:rFonts w:ascii="Arial" w:hAnsi="Arial" w:cs="Arial"/>
          <w:szCs w:val="22"/>
        </w:rPr>
        <w:t xml:space="preserve"> including with carts</w:t>
      </w:r>
      <w:r w:rsidR="002474A7" w:rsidRPr="003623F9">
        <w:rPr>
          <w:rFonts w:ascii="Arial" w:hAnsi="Arial" w:cs="Arial"/>
          <w:szCs w:val="22"/>
        </w:rPr>
        <w:t xml:space="preserve">. There is some evidence of express dedication, by </w:t>
      </w:r>
      <w:r w:rsidR="001954A4" w:rsidRPr="003623F9">
        <w:rPr>
          <w:rFonts w:ascii="Arial" w:hAnsi="Arial" w:cs="Arial"/>
          <w:szCs w:val="22"/>
        </w:rPr>
        <w:t xml:space="preserve">the report of the owner in the 1930s having </w:t>
      </w:r>
      <w:r w:rsidR="002A0CC0" w:rsidRPr="003623F9">
        <w:rPr>
          <w:rFonts w:ascii="Arial" w:hAnsi="Arial" w:cs="Arial"/>
          <w:szCs w:val="22"/>
        </w:rPr>
        <w:t xml:space="preserve">abandoned any attempts to collect tolls and having </w:t>
      </w:r>
      <w:r w:rsidR="001954A4" w:rsidRPr="003623F9">
        <w:rPr>
          <w:rFonts w:ascii="Arial" w:hAnsi="Arial" w:cs="Arial"/>
          <w:szCs w:val="22"/>
        </w:rPr>
        <w:t>removed the gate adjoining the roundhous</w:t>
      </w:r>
      <w:r w:rsidR="00561C81" w:rsidRPr="003623F9">
        <w:rPr>
          <w:rFonts w:ascii="Arial" w:hAnsi="Arial" w:cs="Arial"/>
          <w:szCs w:val="22"/>
        </w:rPr>
        <w:t>e</w:t>
      </w:r>
      <w:r w:rsidR="00F6356B" w:rsidRPr="003623F9">
        <w:rPr>
          <w:rFonts w:ascii="Arial" w:hAnsi="Arial" w:cs="Arial"/>
          <w:szCs w:val="22"/>
        </w:rPr>
        <w:t>.</w:t>
      </w:r>
      <w:r w:rsidR="003623F9" w:rsidRPr="003623F9">
        <w:rPr>
          <w:rFonts w:ascii="Arial" w:hAnsi="Arial" w:cs="Arial"/>
          <w:szCs w:val="22"/>
        </w:rPr>
        <w:t xml:space="preserve"> </w:t>
      </w:r>
      <w:r w:rsidR="00561C81" w:rsidRPr="003623F9">
        <w:rPr>
          <w:rFonts w:ascii="Arial" w:hAnsi="Arial" w:cs="Arial"/>
          <w:szCs w:val="22"/>
        </w:rPr>
        <w:t xml:space="preserve">On the balance of probability, however, I find that apparent </w:t>
      </w:r>
      <w:r w:rsidR="00BB6CEB" w:rsidRPr="003623F9">
        <w:rPr>
          <w:rFonts w:ascii="Arial" w:hAnsi="Arial" w:cs="Arial"/>
          <w:szCs w:val="22"/>
        </w:rPr>
        <w:t xml:space="preserve">act of </w:t>
      </w:r>
      <w:r w:rsidR="00561C81" w:rsidRPr="003623F9">
        <w:rPr>
          <w:rFonts w:ascii="Arial" w:hAnsi="Arial" w:cs="Arial"/>
          <w:szCs w:val="22"/>
        </w:rPr>
        <w:t>express dedication in the 1930s to have been otiose</w:t>
      </w:r>
      <w:r w:rsidR="00C716EC" w:rsidRPr="003623F9">
        <w:rPr>
          <w:rFonts w:ascii="Arial" w:hAnsi="Arial" w:cs="Arial"/>
          <w:szCs w:val="22"/>
        </w:rPr>
        <w:t xml:space="preserve">. The balance of the evidence leads me to conclude that public carriageway rights had </w:t>
      </w:r>
      <w:r w:rsidR="00BB6CEB" w:rsidRPr="003623F9">
        <w:rPr>
          <w:rFonts w:ascii="Arial" w:hAnsi="Arial" w:cs="Arial"/>
          <w:szCs w:val="22"/>
        </w:rPr>
        <w:t xml:space="preserve">already </w:t>
      </w:r>
      <w:r w:rsidR="00C716EC" w:rsidRPr="003623F9">
        <w:rPr>
          <w:rFonts w:ascii="Arial" w:hAnsi="Arial" w:cs="Arial"/>
          <w:szCs w:val="22"/>
        </w:rPr>
        <w:t>been acquired</w:t>
      </w:r>
      <w:r w:rsidR="00400DE1" w:rsidRPr="003623F9">
        <w:rPr>
          <w:rFonts w:ascii="Arial" w:hAnsi="Arial" w:cs="Arial"/>
          <w:szCs w:val="22"/>
        </w:rPr>
        <w:t>, as a result of no (or insufficiently) contested user</w:t>
      </w:r>
      <w:r w:rsidR="00C716EC" w:rsidRPr="003623F9">
        <w:rPr>
          <w:rFonts w:ascii="Arial" w:hAnsi="Arial" w:cs="Arial"/>
          <w:szCs w:val="22"/>
        </w:rPr>
        <w:t xml:space="preserve"> </w:t>
      </w:r>
      <w:r w:rsidR="00400DE1" w:rsidRPr="003623F9">
        <w:rPr>
          <w:rFonts w:ascii="Arial" w:hAnsi="Arial" w:cs="Arial"/>
          <w:szCs w:val="22"/>
        </w:rPr>
        <w:t>since the creation of the route following enclosure</w:t>
      </w:r>
      <w:r w:rsidR="00377A61" w:rsidRPr="003623F9">
        <w:rPr>
          <w:rFonts w:ascii="Arial" w:hAnsi="Arial" w:cs="Arial"/>
          <w:szCs w:val="22"/>
        </w:rPr>
        <w:t xml:space="preserve">. Those rights </w:t>
      </w:r>
      <w:r w:rsidR="009B7578" w:rsidRPr="003623F9">
        <w:rPr>
          <w:rFonts w:ascii="Arial" w:hAnsi="Arial" w:cs="Arial"/>
          <w:szCs w:val="22"/>
        </w:rPr>
        <w:t>had arisen</w:t>
      </w:r>
      <w:r w:rsidR="00C716EC" w:rsidRPr="003623F9">
        <w:rPr>
          <w:rFonts w:ascii="Arial" w:hAnsi="Arial" w:cs="Arial"/>
          <w:szCs w:val="22"/>
        </w:rPr>
        <w:t xml:space="preserve"> before the railway was constructed in the 1840s. </w:t>
      </w:r>
    </w:p>
    <w:p w14:paraId="56494C93" w14:textId="53F64190" w:rsidR="002E7D78" w:rsidRPr="002E7D78" w:rsidRDefault="002E7D78" w:rsidP="002E7D78">
      <w:pPr>
        <w:pStyle w:val="Style1"/>
        <w:ind w:left="360" w:firstLine="0"/>
        <w:rPr>
          <w:rFonts w:ascii="Arial" w:hAnsi="Arial" w:cs="Arial"/>
          <w:i/>
          <w:iCs/>
          <w:szCs w:val="22"/>
        </w:rPr>
      </w:pPr>
      <w:r>
        <w:rPr>
          <w:rFonts w:ascii="Arial" w:hAnsi="Arial" w:cs="Arial"/>
          <w:i/>
          <w:iCs/>
          <w:szCs w:val="22"/>
        </w:rPr>
        <w:t>Statutory Incompatibility</w:t>
      </w:r>
    </w:p>
    <w:p w14:paraId="4C446895" w14:textId="2AECC207" w:rsidR="002E7D78" w:rsidRDefault="00F6356B" w:rsidP="00B23B3E">
      <w:pPr>
        <w:pStyle w:val="Style1"/>
        <w:numPr>
          <w:ilvl w:val="0"/>
          <w:numId w:val="4"/>
        </w:numPr>
        <w:rPr>
          <w:rFonts w:ascii="Arial" w:hAnsi="Arial" w:cs="Arial"/>
          <w:szCs w:val="22"/>
        </w:rPr>
      </w:pPr>
      <w:r>
        <w:rPr>
          <w:rFonts w:ascii="Arial" w:hAnsi="Arial" w:cs="Arial"/>
          <w:szCs w:val="22"/>
        </w:rPr>
        <w:t>NR’s predecessors purchased the part of the route over which the line was carried</w:t>
      </w:r>
      <w:r w:rsidR="0036141D">
        <w:rPr>
          <w:rFonts w:ascii="Arial" w:hAnsi="Arial" w:cs="Arial"/>
          <w:szCs w:val="22"/>
        </w:rPr>
        <w:t>.</w:t>
      </w:r>
      <w:r w:rsidR="004F3DD5">
        <w:rPr>
          <w:rFonts w:ascii="Arial" w:hAnsi="Arial" w:cs="Arial"/>
          <w:szCs w:val="22"/>
        </w:rPr>
        <w:t xml:space="preserve"> The Council and the GLA are </w:t>
      </w:r>
      <w:r w:rsidR="00C76679">
        <w:rPr>
          <w:rFonts w:ascii="Arial" w:hAnsi="Arial" w:cs="Arial"/>
          <w:szCs w:val="22"/>
        </w:rPr>
        <w:t>each of the view that any RB along the route was dedicated before the construction of the railway</w:t>
      </w:r>
      <w:r w:rsidR="00DB3331">
        <w:rPr>
          <w:rFonts w:ascii="Arial" w:hAnsi="Arial" w:cs="Arial"/>
          <w:szCs w:val="22"/>
        </w:rPr>
        <w:t>, and I agree that this is more probable than not to have been the case</w:t>
      </w:r>
      <w:r w:rsidR="00C76679">
        <w:rPr>
          <w:rFonts w:ascii="Arial" w:hAnsi="Arial" w:cs="Arial"/>
          <w:szCs w:val="22"/>
        </w:rPr>
        <w:t>. If that is correct then, as NR concede, no argument as to statutory incompatibility can arise</w:t>
      </w:r>
      <w:r w:rsidR="00DB3331">
        <w:rPr>
          <w:rFonts w:ascii="Arial" w:hAnsi="Arial" w:cs="Arial"/>
          <w:szCs w:val="22"/>
        </w:rPr>
        <w:t>.</w:t>
      </w:r>
    </w:p>
    <w:p w14:paraId="59872FBA" w14:textId="77777777" w:rsidR="00E85F06" w:rsidRPr="00377A61" w:rsidRDefault="00E85F06" w:rsidP="00E85F06">
      <w:pPr>
        <w:pStyle w:val="Style1"/>
        <w:ind w:left="360" w:firstLine="0"/>
        <w:rPr>
          <w:rFonts w:ascii="Arial" w:hAnsi="Arial" w:cs="Arial"/>
          <w:i/>
          <w:iCs/>
          <w:szCs w:val="22"/>
        </w:rPr>
      </w:pPr>
      <w:r>
        <w:rPr>
          <w:rFonts w:ascii="Arial" w:hAnsi="Arial" w:cs="Arial"/>
          <w:i/>
          <w:iCs/>
          <w:szCs w:val="22"/>
        </w:rPr>
        <w:t>User evidence</w:t>
      </w:r>
    </w:p>
    <w:p w14:paraId="323EDD45" w14:textId="5FAE3E93" w:rsidR="00E85F06" w:rsidRDefault="00E85F06" w:rsidP="00E85F06">
      <w:pPr>
        <w:pStyle w:val="Style1"/>
        <w:numPr>
          <w:ilvl w:val="0"/>
          <w:numId w:val="4"/>
        </w:numPr>
        <w:rPr>
          <w:rFonts w:ascii="Arial" w:hAnsi="Arial" w:cs="Arial"/>
          <w:szCs w:val="22"/>
        </w:rPr>
      </w:pPr>
      <w:r>
        <w:rPr>
          <w:rFonts w:ascii="Arial" w:hAnsi="Arial" w:cs="Arial"/>
          <w:szCs w:val="22"/>
        </w:rPr>
        <w:t xml:space="preserve">The user evidence supplied by the Ulnes Walton Bridleways Association does not suggest that any higher rights could have been acquired in more recent years. If I had concluded differently on the historic documentary evidence, </w:t>
      </w:r>
      <w:r w:rsidR="00A72C39">
        <w:rPr>
          <w:rFonts w:ascii="Arial" w:hAnsi="Arial" w:cs="Arial"/>
          <w:szCs w:val="22"/>
        </w:rPr>
        <w:t xml:space="preserve">it would have been necessary to consider </w:t>
      </w:r>
      <w:r w:rsidR="001B2164">
        <w:rPr>
          <w:rFonts w:ascii="Arial" w:hAnsi="Arial" w:cs="Arial"/>
          <w:szCs w:val="22"/>
        </w:rPr>
        <w:t xml:space="preserve">how their user evidence would have been affected by the statutory functions of Network Rail. </w:t>
      </w:r>
    </w:p>
    <w:p w14:paraId="28385E1F" w14:textId="285131AB" w:rsidR="005D0516" w:rsidRDefault="002E7D78" w:rsidP="002E7D78">
      <w:pPr>
        <w:pStyle w:val="Style1"/>
        <w:ind w:left="360" w:firstLine="0"/>
        <w:rPr>
          <w:rFonts w:ascii="Arial" w:hAnsi="Arial" w:cs="Arial"/>
          <w:szCs w:val="22"/>
        </w:rPr>
      </w:pPr>
      <w:r>
        <w:rPr>
          <w:rFonts w:ascii="Arial" w:hAnsi="Arial" w:cs="Arial"/>
          <w:i/>
          <w:iCs/>
          <w:szCs w:val="22"/>
        </w:rPr>
        <w:t>NERC</w:t>
      </w:r>
      <w:r w:rsidR="00F6356B">
        <w:rPr>
          <w:rFonts w:ascii="Arial" w:hAnsi="Arial" w:cs="Arial"/>
          <w:szCs w:val="22"/>
        </w:rPr>
        <w:t xml:space="preserve"> </w:t>
      </w:r>
      <w:r w:rsidR="00751CF2">
        <w:rPr>
          <w:rFonts w:ascii="Arial" w:hAnsi="Arial" w:cs="Arial"/>
          <w:szCs w:val="22"/>
        </w:rPr>
        <w:t xml:space="preserve"> </w:t>
      </w:r>
    </w:p>
    <w:p w14:paraId="2100B25B" w14:textId="327601AC" w:rsidR="002F7309" w:rsidRPr="00796D32" w:rsidRDefault="006A212D" w:rsidP="00B23B3E">
      <w:pPr>
        <w:pStyle w:val="Style1"/>
        <w:numPr>
          <w:ilvl w:val="0"/>
          <w:numId w:val="4"/>
        </w:numPr>
        <w:rPr>
          <w:rFonts w:ascii="Arial" w:hAnsi="Arial" w:cs="Arial"/>
          <w:szCs w:val="22"/>
        </w:rPr>
      </w:pPr>
      <w:r w:rsidRPr="00796D32">
        <w:rPr>
          <w:rFonts w:ascii="Arial" w:hAnsi="Arial" w:cs="Arial"/>
          <w:szCs w:val="22"/>
        </w:rPr>
        <w:t>The principal issue arising under this heading relates to whether the part of Jane Lane that forms section A – B of the Order route is (or was, at the relevant date) on the List of Streets. Although</w:t>
      </w:r>
      <w:r w:rsidR="00E65FC1" w:rsidRPr="00796D32">
        <w:rPr>
          <w:rFonts w:ascii="Arial" w:hAnsi="Arial" w:cs="Arial"/>
          <w:szCs w:val="22"/>
        </w:rPr>
        <w:t xml:space="preserve"> digital records may appear to suggest otherwise, the Council’s position is that the relevant section was not on the List of Streets and therefore cannot benefit from the relevant exemption under section 67 of NERC to the extinguishment of </w:t>
      </w:r>
      <w:r w:rsidR="00706751" w:rsidRPr="00796D32">
        <w:rPr>
          <w:rFonts w:ascii="Arial" w:hAnsi="Arial" w:cs="Arial"/>
          <w:szCs w:val="22"/>
        </w:rPr>
        <w:t>any right of way for mechanically</w:t>
      </w:r>
      <w:r w:rsidR="002B69C5" w:rsidRPr="00796D32">
        <w:rPr>
          <w:rFonts w:ascii="Arial" w:hAnsi="Arial" w:cs="Arial"/>
          <w:szCs w:val="22"/>
        </w:rPr>
        <w:t xml:space="preserve"> </w:t>
      </w:r>
      <w:r w:rsidR="00706751" w:rsidRPr="00796D32">
        <w:rPr>
          <w:rFonts w:ascii="Arial" w:hAnsi="Arial" w:cs="Arial"/>
          <w:szCs w:val="22"/>
        </w:rPr>
        <w:t xml:space="preserve">propelled vehicles. I have no sufficient evidence to </w:t>
      </w:r>
      <w:r w:rsidR="002F7309" w:rsidRPr="00796D32">
        <w:rPr>
          <w:rFonts w:ascii="Arial" w:hAnsi="Arial" w:cs="Arial"/>
          <w:szCs w:val="22"/>
        </w:rPr>
        <w:t xml:space="preserve">disagree with this. It is also suggested that an exemption applies as a result of the main lawful use of </w:t>
      </w:r>
      <w:r w:rsidR="00EB3878" w:rsidRPr="00796D32">
        <w:rPr>
          <w:rFonts w:ascii="Arial" w:hAnsi="Arial" w:cs="Arial"/>
          <w:szCs w:val="22"/>
        </w:rPr>
        <w:t>the route</w:t>
      </w:r>
      <w:r w:rsidR="002F7309" w:rsidRPr="00796D32">
        <w:rPr>
          <w:rFonts w:ascii="Arial" w:hAnsi="Arial" w:cs="Arial"/>
          <w:szCs w:val="22"/>
        </w:rPr>
        <w:t xml:space="preserve"> by the public</w:t>
      </w:r>
      <w:r w:rsidR="002B69C5" w:rsidRPr="00796D32">
        <w:rPr>
          <w:rFonts w:ascii="Arial" w:hAnsi="Arial" w:cs="Arial"/>
          <w:szCs w:val="22"/>
        </w:rPr>
        <w:t xml:space="preserve"> (being for mechanically propelled vehicles) during the five years before the commencement of the section. There is no sufficient evidence before me to </w:t>
      </w:r>
      <w:r w:rsidR="0000683C" w:rsidRPr="00796D32">
        <w:rPr>
          <w:rFonts w:ascii="Arial" w:hAnsi="Arial" w:cs="Arial"/>
          <w:szCs w:val="22"/>
        </w:rPr>
        <w:t xml:space="preserve">enable me to find </w:t>
      </w:r>
      <w:r w:rsidR="002B69C5" w:rsidRPr="00796D32">
        <w:rPr>
          <w:rFonts w:ascii="Arial" w:hAnsi="Arial" w:cs="Arial"/>
          <w:szCs w:val="22"/>
        </w:rPr>
        <w:t>that this was the case</w:t>
      </w:r>
      <w:r w:rsidR="00B93108" w:rsidRPr="00796D32">
        <w:rPr>
          <w:rFonts w:ascii="Arial" w:hAnsi="Arial" w:cs="Arial"/>
          <w:szCs w:val="22"/>
        </w:rPr>
        <w:t>.</w:t>
      </w:r>
    </w:p>
    <w:p w14:paraId="0CE10972" w14:textId="368ABC7B" w:rsidR="002765B0" w:rsidRPr="002765B0" w:rsidRDefault="002765B0" w:rsidP="002765B0">
      <w:pPr>
        <w:pStyle w:val="Style1"/>
        <w:ind w:left="360" w:firstLine="0"/>
        <w:rPr>
          <w:rFonts w:ascii="Arial" w:hAnsi="Arial" w:cs="Arial"/>
          <w:b/>
          <w:bCs/>
          <w:szCs w:val="22"/>
        </w:rPr>
      </w:pPr>
      <w:r>
        <w:rPr>
          <w:rFonts w:ascii="Arial" w:hAnsi="Arial" w:cs="Arial"/>
          <w:b/>
          <w:bCs/>
          <w:szCs w:val="22"/>
        </w:rPr>
        <w:t>Conclusion and Formal Decision</w:t>
      </w:r>
    </w:p>
    <w:p w14:paraId="6B5B9AEF" w14:textId="659B4C7D" w:rsidR="00733BDD" w:rsidRDefault="00EC4C8A" w:rsidP="00B23B3E">
      <w:pPr>
        <w:pStyle w:val="Style1"/>
        <w:numPr>
          <w:ilvl w:val="0"/>
          <w:numId w:val="4"/>
        </w:numPr>
        <w:rPr>
          <w:rFonts w:ascii="Arial" w:hAnsi="Arial" w:cs="Arial"/>
          <w:szCs w:val="22"/>
        </w:rPr>
      </w:pPr>
      <w:r>
        <w:rPr>
          <w:rFonts w:ascii="Arial" w:hAnsi="Arial" w:cs="Arial"/>
          <w:szCs w:val="22"/>
        </w:rPr>
        <w:t xml:space="preserve">In the light of all the foregoing considerations and having regard to all </w:t>
      </w:r>
      <w:r w:rsidR="00497E13">
        <w:rPr>
          <w:rFonts w:ascii="Arial" w:hAnsi="Arial" w:cs="Arial"/>
          <w:szCs w:val="22"/>
        </w:rPr>
        <w:t xml:space="preserve">the </w:t>
      </w:r>
      <w:r>
        <w:rPr>
          <w:rFonts w:ascii="Arial" w:hAnsi="Arial" w:cs="Arial"/>
          <w:szCs w:val="22"/>
        </w:rPr>
        <w:t>matters raised in</w:t>
      </w:r>
      <w:r w:rsidR="00497E13">
        <w:rPr>
          <w:rFonts w:ascii="Arial" w:hAnsi="Arial" w:cs="Arial"/>
          <w:szCs w:val="22"/>
        </w:rPr>
        <w:t xml:space="preserve"> the parties’</w:t>
      </w:r>
      <w:r>
        <w:rPr>
          <w:rFonts w:ascii="Arial" w:hAnsi="Arial" w:cs="Arial"/>
          <w:szCs w:val="22"/>
        </w:rPr>
        <w:t xml:space="preserve"> </w:t>
      </w:r>
      <w:r w:rsidR="000E50EC">
        <w:rPr>
          <w:rFonts w:ascii="Arial" w:hAnsi="Arial" w:cs="Arial"/>
          <w:szCs w:val="22"/>
        </w:rPr>
        <w:t>correspondence, I</w:t>
      </w:r>
      <w:r w:rsidR="00EB3878">
        <w:rPr>
          <w:rFonts w:ascii="Arial" w:hAnsi="Arial" w:cs="Arial"/>
          <w:szCs w:val="22"/>
        </w:rPr>
        <w:t xml:space="preserve"> confirm the Order, subject to the minor modification consisting of the deletion of “53(2)(b) and” from the </w:t>
      </w:r>
      <w:r w:rsidR="00CE0154">
        <w:rPr>
          <w:rFonts w:ascii="Arial" w:hAnsi="Arial" w:cs="Arial"/>
          <w:szCs w:val="22"/>
        </w:rPr>
        <w:t>fifth</w:t>
      </w:r>
      <w:r w:rsidR="00EB3878">
        <w:rPr>
          <w:rFonts w:ascii="Arial" w:hAnsi="Arial" w:cs="Arial"/>
          <w:szCs w:val="22"/>
        </w:rPr>
        <w:t xml:space="preserve"> line of the preamble to the Order</w:t>
      </w:r>
      <w:r w:rsidR="000E50EC">
        <w:rPr>
          <w:rFonts w:ascii="Arial" w:hAnsi="Arial" w:cs="Arial"/>
          <w:szCs w:val="22"/>
        </w:rPr>
        <w:t xml:space="preserve">. </w:t>
      </w:r>
    </w:p>
    <w:p w14:paraId="682AB3FD" w14:textId="11D23D64" w:rsidR="000E50EC" w:rsidRPr="000E50EC" w:rsidRDefault="000E50EC" w:rsidP="00CE0154">
      <w:pPr>
        <w:pStyle w:val="Style1"/>
        <w:tabs>
          <w:tab w:val="left" w:pos="4130"/>
        </w:tabs>
        <w:spacing w:before="0"/>
        <w:ind w:left="360" w:firstLine="0"/>
        <w:rPr>
          <w:rFonts w:ascii="Monotype Corsiva" w:hAnsi="Monotype Corsiva" w:cs="Arial"/>
          <w:sz w:val="36"/>
          <w:szCs w:val="36"/>
        </w:rPr>
      </w:pPr>
      <w:r>
        <w:rPr>
          <w:rFonts w:ascii="Monotype Corsiva" w:hAnsi="Monotype Corsiva" w:cs="Arial"/>
          <w:sz w:val="36"/>
          <w:szCs w:val="36"/>
        </w:rPr>
        <w:t>Laura Renaudon</w:t>
      </w:r>
      <w:r w:rsidR="00CE0154">
        <w:rPr>
          <w:rFonts w:ascii="Monotype Corsiva" w:hAnsi="Monotype Corsiva" w:cs="Arial"/>
          <w:sz w:val="36"/>
          <w:szCs w:val="36"/>
        </w:rPr>
        <w:tab/>
      </w:r>
    </w:p>
    <w:p w14:paraId="173EAA25" w14:textId="16A738E0" w:rsidR="000E50EC" w:rsidRPr="00796D32" w:rsidRDefault="000E50EC" w:rsidP="002210ED">
      <w:pPr>
        <w:pStyle w:val="Style1"/>
        <w:spacing w:before="0"/>
        <w:ind w:left="360" w:firstLine="0"/>
        <w:rPr>
          <w:rFonts w:ascii="Arial" w:hAnsi="Arial" w:cs="Arial"/>
          <w:szCs w:val="22"/>
        </w:rPr>
      </w:pPr>
      <w:r w:rsidRPr="00796D32">
        <w:rPr>
          <w:rFonts w:ascii="Arial" w:hAnsi="Arial" w:cs="Arial"/>
          <w:szCs w:val="22"/>
        </w:rPr>
        <w:t>INSPECTOR</w:t>
      </w:r>
    </w:p>
    <w:p w14:paraId="53CE2A6B" w14:textId="77777777" w:rsidR="004A1CB3" w:rsidRDefault="004A1CB3" w:rsidP="000E50EC">
      <w:pPr>
        <w:pStyle w:val="Style1"/>
        <w:ind w:left="360" w:firstLine="0"/>
        <w:rPr>
          <w:rFonts w:ascii="Arial" w:hAnsi="Arial" w:cs="Arial"/>
          <w:szCs w:val="22"/>
        </w:rPr>
      </w:pPr>
    </w:p>
    <w:p w14:paraId="525FEE84" w14:textId="7E0C5792" w:rsidR="006834C6" w:rsidRDefault="006136E5">
      <w:pPr>
        <w:rPr>
          <w:b/>
          <w:bCs/>
        </w:rPr>
      </w:pPr>
      <w:r>
        <w:rPr>
          <w:b/>
          <w:bCs/>
        </w:rPr>
        <w:t xml:space="preserve">THE ORDER </w:t>
      </w:r>
      <w:r w:rsidR="00C4785C">
        <w:rPr>
          <w:b/>
          <w:bCs/>
        </w:rPr>
        <w:t>PLANS</w:t>
      </w:r>
    </w:p>
    <w:p w14:paraId="567C650D" w14:textId="77777777" w:rsidR="00D31468" w:rsidRDefault="00D31468">
      <w:pPr>
        <w:rPr>
          <w:b/>
          <w:bCs/>
        </w:rPr>
      </w:pPr>
    </w:p>
    <w:p w14:paraId="3BE42507" w14:textId="0D0E5185" w:rsidR="00D31468" w:rsidRDefault="00D31468">
      <w:pPr>
        <w:rPr>
          <w:b/>
          <w:bCs/>
        </w:rPr>
      </w:pPr>
      <w:r w:rsidRPr="00D31468">
        <w:rPr>
          <w:b/>
          <w:bCs/>
          <w:noProof/>
        </w:rPr>
        <w:drawing>
          <wp:inline distT="0" distB="0" distL="0" distR="0" wp14:anchorId="795A262B" wp14:editId="2A8CC34A">
            <wp:extent cx="5746203" cy="8152326"/>
            <wp:effectExtent l="0" t="0" r="6985" b="1270"/>
            <wp:docPr id="396623918" name="Picture 1" descr="ORDE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23918" name="Picture 1" descr="ORDER MAP 1"/>
                    <pic:cNvPicPr/>
                  </pic:nvPicPr>
                  <pic:blipFill>
                    <a:blip r:embed="rId12"/>
                    <a:stretch>
                      <a:fillRect/>
                    </a:stretch>
                  </pic:blipFill>
                  <pic:spPr>
                    <a:xfrm>
                      <a:off x="0" y="0"/>
                      <a:ext cx="5754371" cy="8163914"/>
                    </a:xfrm>
                    <a:prstGeom prst="rect">
                      <a:avLst/>
                    </a:prstGeom>
                  </pic:spPr>
                </pic:pic>
              </a:graphicData>
            </a:graphic>
          </wp:inline>
        </w:drawing>
      </w:r>
    </w:p>
    <w:p w14:paraId="7C7EB539" w14:textId="77777777" w:rsidR="00D31468" w:rsidRDefault="00D31468">
      <w:pPr>
        <w:rPr>
          <w:b/>
          <w:bCs/>
        </w:rPr>
      </w:pPr>
    </w:p>
    <w:p w14:paraId="776BA01E" w14:textId="24217BEC" w:rsidR="00D31468" w:rsidRPr="006136E5" w:rsidRDefault="006648A5">
      <w:pPr>
        <w:rPr>
          <w:b/>
          <w:bCs/>
        </w:rPr>
      </w:pPr>
      <w:r w:rsidRPr="006648A5">
        <w:rPr>
          <w:b/>
          <w:bCs/>
          <w:noProof/>
        </w:rPr>
        <w:drawing>
          <wp:inline distT="0" distB="0" distL="0" distR="0" wp14:anchorId="339BC7C7" wp14:editId="14468142">
            <wp:extent cx="5766481" cy="8126569"/>
            <wp:effectExtent l="0" t="0" r="5715" b="8255"/>
            <wp:docPr id="499732285" name="Picture 1" descr="ORD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32285" name="Picture 1" descr="ORDER MAP 2"/>
                    <pic:cNvPicPr/>
                  </pic:nvPicPr>
                  <pic:blipFill>
                    <a:blip r:embed="rId13"/>
                    <a:stretch>
                      <a:fillRect/>
                    </a:stretch>
                  </pic:blipFill>
                  <pic:spPr>
                    <a:xfrm>
                      <a:off x="0" y="0"/>
                      <a:ext cx="5775757" cy="8139641"/>
                    </a:xfrm>
                    <a:prstGeom prst="rect">
                      <a:avLst/>
                    </a:prstGeom>
                  </pic:spPr>
                </pic:pic>
              </a:graphicData>
            </a:graphic>
          </wp:inline>
        </w:drawing>
      </w:r>
    </w:p>
    <w:sectPr w:rsidR="00D31468" w:rsidRPr="006136E5" w:rsidSect="00CE0154">
      <w:headerReference w:type="default" r:id="rId14"/>
      <w:footerReference w:type="default" r:id="rId15"/>
      <w:footerReference w:type="first" r:id="rId16"/>
      <w:pgSz w:w="11906" w:h="16838"/>
      <w:pgMar w:top="1276" w:right="1440" w:bottom="141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CBE6B" w14:textId="77777777" w:rsidR="0099460F" w:rsidRDefault="0099460F" w:rsidP="00D166C1">
      <w:r>
        <w:separator/>
      </w:r>
    </w:p>
  </w:endnote>
  <w:endnote w:type="continuationSeparator" w:id="0">
    <w:p w14:paraId="62E67584" w14:textId="77777777" w:rsidR="0099460F" w:rsidRDefault="0099460F" w:rsidP="00D16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5D6F" w14:textId="230D67D9" w:rsidR="00F45185" w:rsidRDefault="00F45185">
    <w:pPr>
      <w:pStyle w:val="Footer"/>
      <w:pBdr>
        <w:bottom w:val="single" w:sz="12" w:space="1" w:color="auto"/>
      </w:pBdr>
      <w:jc w:val="center"/>
    </w:pPr>
  </w:p>
  <w:p w14:paraId="24168A21" w14:textId="3DFD0177" w:rsidR="00F45185" w:rsidRDefault="00F45185" w:rsidP="00F45185">
    <w:pPr>
      <w:pStyle w:val="Footer"/>
    </w:pPr>
    <w:hyperlink r:id="rId1" w:history="1">
      <w:r w:rsidRPr="007C36DF">
        <w:rPr>
          <w:rStyle w:val="Hyperlink"/>
        </w:rPr>
        <w:t>www.planninginspectorate.gov.uk</w:t>
      </w:r>
    </w:hyperlink>
  </w:p>
  <w:sdt>
    <w:sdtPr>
      <w:id w:val="317843409"/>
      <w:docPartObj>
        <w:docPartGallery w:val="Page Numbers (Bottom of Page)"/>
        <w:docPartUnique/>
      </w:docPartObj>
    </w:sdtPr>
    <w:sdtEndPr>
      <w:rPr>
        <w:noProof/>
      </w:rPr>
    </w:sdtEndPr>
    <w:sdtContent>
      <w:p w14:paraId="1C5F7C57" w14:textId="50CC0BA3" w:rsidR="00F45185" w:rsidRDefault="00F451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9A9427" w14:textId="77777777" w:rsidR="00572482" w:rsidRDefault="00572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50B50" w14:textId="0FCFD27B" w:rsidR="00ED4579" w:rsidRPr="00ED4579" w:rsidRDefault="00ED4579">
    <w:pPr>
      <w:pStyle w:val="Footer"/>
      <w:pBdr>
        <w:bottom w:val="single" w:sz="12" w:space="1" w:color="auto"/>
      </w:pBdr>
      <w:rPr>
        <w:sz w:val="18"/>
        <w:szCs w:val="18"/>
      </w:rPr>
    </w:pPr>
  </w:p>
  <w:p w14:paraId="20C3BA53" w14:textId="7A30F659" w:rsidR="00ED4579" w:rsidRPr="00ED4579" w:rsidRDefault="00ED4579">
    <w:pPr>
      <w:pStyle w:val="Footer"/>
      <w:rPr>
        <w:sz w:val="18"/>
        <w:szCs w:val="18"/>
      </w:rPr>
    </w:pPr>
    <w:hyperlink r:id="rId1" w:history="1">
      <w:r w:rsidRPr="00ED4579">
        <w:rPr>
          <w:rStyle w:val="Hyperlink"/>
          <w:sz w:val="18"/>
          <w:szCs w:val="18"/>
        </w:rPr>
        <w:t>www.planninginspectorate.gov.uk</w:t>
      </w:r>
    </w:hyperlink>
  </w:p>
  <w:p w14:paraId="0154A6B6" w14:textId="77777777" w:rsidR="00ED4579" w:rsidRDefault="00ED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0820D" w14:textId="77777777" w:rsidR="0099460F" w:rsidRDefault="0099460F" w:rsidP="00D166C1">
      <w:r>
        <w:separator/>
      </w:r>
    </w:p>
  </w:footnote>
  <w:footnote w:type="continuationSeparator" w:id="0">
    <w:p w14:paraId="6CE3F05D" w14:textId="77777777" w:rsidR="0099460F" w:rsidRDefault="0099460F" w:rsidP="00D16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1638" w14:textId="067DC7B5" w:rsidR="00D166C1" w:rsidRDefault="00C90AC6">
    <w:pPr>
      <w:pStyle w:val="Header"/>
      <w:pBdr>
        <w:bottom w:val="single" w:sz="12" w:space="1" w:color="auto"/>
      </w:pBdr>
    </w:pPr>
    <w:r>
      <w:t>ROW/</w:t>
    </w:r>
    <w:r w:rsidR="006136E5">
      <w:t>3350875</w:t>
    </w:r>
  </w:p>
  <w:p w14:paraId="132A1E4C" w14:textId="77777777" w:rsidR="00C90AC6" w:rsidRDefault="00C90A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80FF3"/>
    <w:multiLevelType w:val="hybridMultilevel"/>
    <w:tmpl w:val="99280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DD7A15"/>
    <w:multiLevelType w:val="multilevel"/>
    <w:tmpl w:val="1784AC4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5B7639F"/>
    <w:multiLevelType w:val="multilevel"/>
    <w:tmpl w:val="A22611FC"/>
    <w:numStyleLink w:val="ConditionsList"/>
  </w:abstractNum>
  <w:abstractNum w:abstractNumId="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738090125">
    <w:abstractNumId w:val="4"/>
  </w:num>
  <w:num w:numId="2" w16cid:durableId="1660814304">
    <w:abstractNumId w:val="2"/>
  </w:num>
  <w:num w:numId="3" w16cid:durableId="1584220149">
    <w:abstractNumId w:val="3"/>
  </w:num>
  <w:num w:numId="4" w16cid:durableId="1016231472">
    <w:abstractNumId w:val="0"/>
  </w:num>
  <w:num w:numId="5" w16cid:durableId="64308365">
    <w:abstractNumId w:val="1"/>
    <w:lvlOverride w:ilvl="0">
      <w:lvl w:ilvl="0">
        <w:start w:val="1"/>
        <w:numFmt w:val="decimal"/>
        <w:lvlText w:val="%1."/>
        <w:lvlJc w:val="left"/>
        <w:pPr>
          <w:tabs>
            <w:tab w:val="num" w:pos="720"/>
          </w:tabs>
          <w:ind w:left="431" w:hanging="431"/>
        </w:pPr>
        <w:rPr>
          <w:rFonts w:ascii="Arial" w:hAnsi="Arial" w:cs="Arial" w:hint="default"/>
        </w:rPr>
      </w:lvl>
    </w:lvlOverride>
  </w:num>
  <w:num w:numId="6" w16cid:durableId="1303147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FE1"/>
    <w:rsid w:val="00003A6D"/>
    <w:rsid w:val="0000683C"/>
    <w:rsid w:val="0000799A"/>
    <w:rsid w:val="0002650B"/>
    <w:rsid w:val="000301D2"/>
    <w:rsid w:val="00030C90"/>
    <w:rsid w:val="00031C09"/>
    <w:rsid w:val="000336F2"/>
    <w:rsid w:val="000416D9"/>
    <w:rsid w:val="00044F44"/>
    <w:rsid w:val="00052F03"/>
    <w:rsid w:val="00072342"/>
    <w:rsid w:val="00076C69"/>
    <w:rsid w:val="00082F52"/>
    <w:rsid w:val="00091809"/>
    <w:rsid w:val="000937A0"/>
    <w:rsid w:val="000A188B"/>
    <w:rsid w:val="000A299E"/>
    <w:rsid w:val="000A2DA6"/>
    <w:rsid w:val="000B624E"/>
    <w:rsid w:val="000C7FB3"/>
    <w:rsid w:val="000D0F2B"/>
    <w:rsid w:val="000D7AF1"/>
    <w:rsid w:val="000E50EC"/>
    <w:rsid w:val="000F1C60"/>
    <w:rsid w:val="0010655D"/>
    <w:rsid w:val="00113FB2"/>
    <w:rsid w:val="00115E8A"/>
    <w:rsid w:val="00117016"/>
    <w:rsid w:val="001318FB"/>
    <w:rsid w:val="00133CF2"/>
    <w:rsid w:val="00135925"/>
    <w:rsid w:val="00140114"/>
    <w:rsid w:val="001439FD"/>
    <w:rsid w:val="00144688"/>
    <w:rsid w:val="00146681"/>
    <w:rsid w:val="001507A5"/>
    <w:rsid w:val="00151A42"/>
    <w:rsid w:val="00152035"/>
    <w:rsid w:val="001568D4"/>
    <w:rsid w:val="0016006D"/>
    <w:rsid w:val="00161397"/>
    <w:rsid w:val="00161D1B"/>
    <w:rsid w:val="00161F37"/>
    <w:rsid w:val="00164582"/>
    <w:rsid w:val="001649E0"/>
    <w:rsid w:val="00164F21"/>
    <w:rsid w:val="00171AB3"/>
    <w:rsid w:val="001735AD"/>
    <w:rsid w:val="001954A4"/>
    <w:rsid w:val="001967BA"/>
    <w:rsid w:val="00197FA2"/>
    <w:rsid w:val="001A389D"/>
    <w:rsid w:val="001A3E22"/>
    <w:rsid w:val="001A50C3"/>
    <w:rsid w:val="001A75A1"/>
    <w:rsid w:val="001B2164"/>
    <w:rsid w:val="001B471C"/>
    <w:rsid w:val="001C19DE"/>
    <w:rsid w:val="001C2057"/>
    <w:rsid w:val="001D123C"/>
    <w:rsid w:val="001D6E08"/>
    <w:rsid w:val="001D75B5"/>
    <w:rsid w:val="001E0C1C"/>
    <w:rsid w:val="001E2E6F"/>
    <w:rsid w:val="001E7693"/>
    <w:rsid w:val="001E7716"/>
    <w:rsid w:val="001E7ADE"/>
    <w:rsid w:val="001F3924"/>
    <w:rsid w:val="001F5161"/>
    <w:rsid w:val="00200B2C"/>
    <w:rsid w:val="00204AF3"/>
    <w:rsid w:val="00206DB1"/>
    <w:rsid w:val="00206DBB"/>
    <w:rsid w:val="00215281"/>
    <w:rsid w:val="002210ED"/>
    <w:rsid w:val="00223777"/>
    <w:rsid w:val="00236AC1"/>
    <w:rsid w:val="002437DF"/>
    <w:rsid w:val="0024395F"/>
    <w:rsid w:val="002474A7"/>
    <w:rsid w:val="0025770C"/>
    <w:rsid w:val="00261C9E"/>
    <w:rsid w:val="00264BF1"/>
    <w:rsid w:val="0026674F"/>
    <w:rsid w:val="00270721"/>
    <w:rsid w:val="0027387F"/>
    <w:rsid w:val="00274762"/>
    <w:rsid w:val="00275B7C"/>
    <w:rsid w:val="002765B0"/>
    <w:rsid w:val="002770D4"/>
    <w:rsid w:val="00282968"/>
    <w:rsid w:val="00285A8F"/>
    <w:rsid w:val="0028748F"/>
    <w:rsid w:val="00290C9D"/>
    <w:rsid w:val="002A0CC0"/>
    <w:rsid w:val="002B0443"/>
    <w:rsid w:val="002B5177"/>
    <w:rsid w:val="002B69C5"/>
    <w:rsid w:val="002C1712"/>
    <w:rsid w:val="002C2039"/>
    <w:rsid w:val="002C2CD6"/>
    <w:rsid w:val="002E6724"/>
    <w:rsid w:val="002E754E"/>
    <w:rsid w:val="002E7AE8"/>
    <w:rsid w:val="002E7D78"/>
    <w:rsid w:val="002F7309"/>
    <w:rsid w:val="00311A0B"/>
    <w:rsid w:val="00323EBC"/>
    <w:rsid w:val="0032737A"/>
    <w:rsid w:val="003303D1"/>
    <w:rsid w:val="00336B7D"/>
    <w:rsid w:val="003415E2"/>
    <w:rsid w:val="00341793"/>
    <w:rsid w:val="00342EB0"/>
    <w:rsid w:val="0036141D"/>
    <w:rsid w:val="003623F9"/>
    <w:rsid w:val="00363F00"/>
    <w:rsid w:val="00365FCE"/>
    <w:rsid w:val="00367750"/>
    <w:rsid w:val="003706E5"/>
    <w:rsid w:val="00370B83"/>
    <w:rsid w:val="0037188F"/>
    <w:rsid w:val="00375792"/>
    <w:rsid w:val="00377A61"/>
    <w:rsid w:val="00383B15"/>
    <w:rsid w:val="00386288"/>
    <w:rsid w:val="00390898"/>
    <w:rsid w:val="00397054"/>
    <w:rsid w:val="003A7D23"/>
    <w:rsid w:val="003C4D69"/>
    <w:rsid w:val="003C67CC"/>
    <w:rsid w:val="003D17CF"/>
    <w:rsid w:val="003D2358"/>
    <w:rsid w:val="003D7F6B"/>
    <w:rsid w:val="003E068F"/>
    <w:rsid w:val="003E67CA"/>
    <w:rsid w:val="003E6D10"/>
    <w:rsid w:val="003F5AB1"/>
    <w:rsid w:val="003F5E1A"/>
    <w:rsid w:val="00400DE1"/>
    <w:rsid w:val="00403C26"/>
    <w:rsid w:val="00407723"/>
    <w:rsid w:val="00414887"/>
    <w:rsid w:val="0041546C"/>
    <w:rsid w:val="00417226"/>
    <w:rsid w:val="004172DC"/>
    <w:rsid w:val="00417633"/>
    <w:rsid w:val="004241E4"/>
    <w:rsid w:val="00424F69"/>
    <w:rsid w:val="00427EBA"/>
    <w:rsid w:val="004337E2"/>
    <w:rsid w:val="00441EFD"/>
    <w:rsid w:val="00447E5B"/>
    <w:rsid w:val="00447F21"/>
    <w:rsid w:val="0046136C"/>
    <w:rsid w:val="0046292E"/>
    <w:rsid w:val="0048123F"/>
    <w:rsid w:val="00487825"/>
    <w:rsid w:val="0049216F"/>
    <w:rsid w:val="00493D23"/>
    <w:rsid w:val="00497E13"/>
    <w:rsid w:val="004A1CB3"/>
    <w:rsid w:val="004A2916"/>
    <w:rsid w:val="004A2A83"/>
    <w:rsid w:val="004A4542"/>
    <w:rsid w:val="004A4B14"/>
    <w:rsid w:val="004D5D7F"/>
    <w:rsid w:val="004E3F14"/>
    <w:rsid w:val="004E70ED"/>
    <w:rsid w:val="004F10FF"/>
    <w:rsid w:val="004F259F"/>
    <w:rsid w:val="004F3DD5"/>
    <w:rsid w:val="004F6457"/>
    <w:rsid w:val="00502A14"/>
    <w:rsid w:val="0050520F"/>
    <w:rsid w:val="00510489"/>
    <w:rsid w:val="00511680"/>
    <w:rsid w:val="00513A1C"/>
    <w:rsid w:val="005151EC"/>
    <w:rsid w:val="005224C6"/>
    <w:rsid w:val="00524759"/>
    <w:rsid w:val="00524F76"/>
    <w:rsid w:val="00530E87"/>
    <w:rsid w:val="005319D6"/>
    <w:rsid w:val="00533D4B"/>
    <w:rsid w:val="00541F99"/>
    <w:rsid w:val="00543E71"/>
    <w:rsid w:val="00550940"/>
    <w:rsid w:val="00556976"/>
    <w:rsid w:val="00557F75"/>
    <w:rsid w:val="0056030B"/>
    <w:rsid w:val="00560B27"/>
    <w:rsid w:val="00560DAF"/>
    <w:rsid w:val="00561952"/>
    <w:rsid w:val="00561C81"/>
    <w:rsid w:val="00561E3E"/>
    <w:rsid w:val="00570175"/>
    <w:rsid w:val="00572482"/>
    <w:rsid w:val="00572C7A"/>
    <w:rsid w:val="00577179"/>
    <w:rsid w:val="00582F82"/>
    <w:rsid w:val="005847E1"/>
    <w:rsid w:val="00584915"/>
    <w:rsid w:val="005865DC"/>
    <w:rsid w:val="00586994"/>
    <w:rsid w:val="00593C88"/>
    <w:rsid w:val="005B2524"/>
    <w:rsid w:val="005C55A6"/>
    <w:rsid w:val="005D0516"/>
    <w:rsid w:val="005D08C8"/>
    <w:rsid w:val="005D5147"/>
    <w:rsid w:val="005D5C51"/>
    <w:rsid w:val="005F330D"/>
    <w:rsid w:val="005F3430"/>
    <w:rsid w:val="005F4C1F"/>
    <w:rsid w:val="005F7BC9"/>
    <w:rsid w:val="00604533"/>
    <w:rsid w:val="00604743"/>
    <w:rsid w:val="00605BFA"/>
    <w:rsid w:val="006113CF"/>
    <w:rsid w:val="006136E5"/>
    <w:rsid w:val="00616AC0"/>
    <w:rsid w:val="00624BA7"/>
    <w:rsid w:val="00626A33"/>
    <w:rsid w:val="00641384"/>
    <w:rsid w:val="006479E8"/>
    <w:rsid w:val="00655629"/>
    <w:rsid w:val="006576EB"/>
    <w:rsid w:val="006648A5"/>
    <w:rsid w:val="0066496D"/>
    <w:rsid w:val="006722DA"/>
    <w:rsid w:val="00675977"/>
    <w:rsid w:val="00683344"/>
    <w:rsid w:val="006834C6"/>
    <w:rsid w:val="006926CA"/>
    <w:rsid w:val="006A212D"/>
    <w:rsid w:val="006A67A8"/>
    <w:rsid w:val="006A7F46"/>
    <w:rsid w:val="006B121C"/>
    <w:rsid w:val="006B22D0"/>
    <w:rsid w:val="006B6468"/>
    <w:rsid w:val="006C6664"/>
    <w:rsid w:val="006D4D0B"/>
    <w:rsid w:val="006D686D"/>
    <w:rsid w:val="006E2887"/>
    <w:rsid w:val="006E3BBF"/>
    <w:rsid w:val="006E57DF"/>
    <w:rsid w:val="00700952"/>
    <w:rsid w:val="0070183E"/>
    <w:rsid w:val="00701B3F"/>
    <w:rsid w:val="00706751"/>
    <w:rsid w:val="00711213"/>
    <w:rsid w:val="007136C8"/>
    <w:rsid w:val="00713FB6"/>
    <w:rsid w:val="00716932"/>
    <w:rsid w:val="00726E5E"/>
    <w:rsid w:val="00732D27"/>
    <w:rsid w:val="00733BDD"/>
    <w:rsid w:val="0074171F"/>
    <w:rsid w:val="007461DA"/>
    <w:rsid w:val="007476E9"/>
    <w:rsid w:val="00751CF2"/>
    <w:rsid w:val="00754BF4"/>
    <w:rsid w:val="00763404"/>
    <w:rsid w:val="00763433"/>
    <w:rsid w:val="00765AFC"/>
    <w:rsid w:val="007670F5"/>
    <w:rsid w:val="0077076C"/>
    <w:rsid w:val="00775F5B"/>
    <w:rsid w:val="007768D6"/>
    <w:rsid w:val="007827EA"/>
    <w:rsid w:val="007831A7"/>
    <w:rsid w:val="0078738E"/>
    <w:rsid w:val="00790658"/>
    <w:rsid w:val="00791DF9"/>
    <w:rsid w:val="00796D32"/>
    <w:rsid w:val="007A7C1F"/>
    <w:rsid w:val="007B0271"/>
    <w:rsid w:val="007B373E"/>
    <w:rsid w:val="007B49F8"/>
    <w:rsid w:val="007C54A4"/>
    <w:rsid w:val="007E14A9"/>
    <w:rsid w:val="007E30A5"/>
    <w:rsid w:val="007E4E0C"/>
    <w:rsid w:val="007E6635"/>
    <w:rsid w:val="007F2349"/>
    <w:rsid w:val="00801BBD"/>
    <w:rsid w:val="00810724"/>
    <w:rsid w:val="008214A0"/>
    <w:rsid w:val="008264AA"/>
    <w:rsid w:val="0082728B"/>
    <w:rsid w:val="008413C8"/>
    <w:rsid w:val="00844113"/>
    <w:rsid w:val="0086532D"/>
    <w:rsid w:val="00867C86"/>
    <w:rsid w:val="00870033"/>
    <w:rsid w:val="0087278B"/>
    <w:rsid w:val="00874CF4"/>
    <w:rsid w:val="00880C78"/>
    <w:rsid w:val="00883D5B"/>
    <w:rsid w:val="008B078F"/>
    <w:rsid w:val="008B4CF3"/>
    <w:rsid w:val="008B54AD"/>
    <w:rsid w:val="008C047D"/>
    <w:rsid w:val="008C0B51"/>
    <w:rsid w:val="008C33EC"/>
    <w:rsid w:val="008C4663"/>
    <w:rsid w:val="008D4658"/>
    <w:rsid w:val="008D4A63"/>
    <w:rsid w:val="008D4DF2"/>
    <w:rsid w:val="008E0805"/>
    <w:rsid w:val="008E0EF5"/>
    <w:rsid w:val="008F4EC5"/>
    <w:rsid w:val="00904F80"/>
    <w:rsid w:val="0090704C"/>
    <w:rsid w:val="00911227"/>
    <w:rsid w:val="0092676D"/>
    <w:rsid w:val="00927671"/>
    <w:rsid w:val="00940760"/>
    <w:rsid w:val="00940FB6"/>
    <w:rsid w:val="00943A0D"/>
    <w:rsid w:val="009542E0"/>
    <w:rsid w:val="0095785C"/>
    <w:rsid w:val="00962E80"/>
    <w:rsid w:val="009679FE"/>
    <w:rsid w:val="009726D7"/>
    <w:rsid w:val="00972C70"/>
    <w:rsid w:val="00980D3F"/>
    <w:rsid w:val="0098449F"/>
    <w:rsid w:val="00984FCF"/>
    <w:rsid w:val="00993F20"/>
    <w:rsid w:val="0099460F"/>
    <w:rsid w:val="009A2403"/>
    <w:rsid w:val="009A5118"/>
    <w:rsid w:val="009A7FA9"/>
    <w:rsid w:val="009B00BE"/>
    <w:rsid w:val="009B1520"/>
    <w:rsid w:val="009B324A"/>
    <w:rsid w:val="009B7578"/>
    <w:rsid w:val="009C0C55"/>
    <w:rsid w:val="009D0B1A"/>
    <w:rsid w:val="009E6D38"/>
    <w:rsid w:val="009E737B"/>
    <w:rsid w:val="009F2560"/>
    <w:rsid w:val="00A01F32"/>
    <w:rsid w:val="00A02D82"/>
    <w:rsid w:val="00A05504"/>
    <w:rsid w:val="00A17E3D"/>
    <w:rsid w:val="00A23ACF"/>
    <w:rsid w:val="00A275BA"/>
    <w:rsid w:val="00A278A2"/>
    <w:rsid w:val="00A30733"/>
    <w:rsid w:val="00A3311D"/>
    <w:rsid w:val="00A335D7"/>
    <w:rsid w:val="00A34762"/>
    <w:rsid w:val="00A400C6"/>
    <w:rsid w:val="00A46E0E"/>
    <w:rsid w:val="00A502AF"/>
    <w:rsid w:val="00A52B09"/>
    <w:rsid w:val="00A55A50"/>
    <w:rsid w:val="00A61C6C"/>
    <w:rsid w:val="00A63049"/>
    <w:rsid w:val="00A64B28"/>
    <w:rsid w:val="00A658F2"/>
    <w:rsid w:val="00A6704B"/>
    <w:rsid w:val="00A70F03"/>
    <w:rsid w:val="00A72C39"/>
    <w:rsid w:val="00A800D4"/>
    <w:rsid w:val="00A80808"/>
    <w:rsid w:val="00A81EC1"/>
    <w:rsid w:val="00A82330"/>
    <w:rsid w:val="00A83B9C"/>
    <w:rsid w:val="00A84478"/>
    <w:rsid w:val="00A84ADC"/>
    <w:rsid w:val="00A910CE"/>
    <w:rsid w:val="00A91F2F"/>
    <w:rsid w:val="00A93443"/>
    <w:rsid w:val="00A934EB"/>
    <w:rsid w:val="00A947B8"/>
    <w:rsid w:val="00AA2C73"/>
    <w:rsid w:val="00AB377D"/>
    <w:rsid w:val="00AD1856"/>
    <w:rsid w:val="00AD3373"/>
    <w:rsid w:val="00B01430"/>
    <w:rsid w:val="00B015EB"/>
    <w:rsid w:val="00B05C6F"/>
    <w:rsid w:val="00B066F8"/>
    <w:rsid w:val="00B07274"/>
    <w:rsid w:val="00B100F8"/>
    <w:rsid w:val="00B13669"/>
    <w:rsid w:val="00B215DF"/>
    <w:rsid w:val="00B23B3E"/>
    <w:rsid w:val="00B25289"/>
    <w:rsid w:val="00B27E11"/>
    <w:rsid w:val="00B31F6A"/>
    <w:rsid w:val="00B3217B"/>
    <w:rsid w:val="00B33584"/>
    <w:rsid w:val="00B33FE7"/>
    <w:rsid w:val="00B45207"/>
    <w:rsid w:val="00B502C8"/>
    <w:rsid w:val="00B578FE"/>
    <w:rsid w:val="00B61D39"/>
    <w:rsid w:val="00B826E1"/>
    <w:rsid w:val="00B82979"/>
    <w:rsid w:val="00B9281C"/>
    <w:rsid w:val="00B93108"/>
    <w:rsid w:val="00BB0052"/>
    <w:rsid w:val="00BB6389"/>
    <w:rsid w:val="00BB6CEB"/>
    <w:rsid w:val="00BC5771"/>
    <w:rsid w:val="00BD0415"/>
    <w:rsid w:val="00BD2FCE"/>
    <w:rsid w:val="00BD4416"/>
    <w:rsid w:val="00BF258D"/>
    <w:rsid w:val="00BF43E1"/>
    <w:rsid w:val="00C1432D"/>
    <w:rsid w:val="00C14479"/>
    <w:rsid w:val="00C14A02"/>
    <w:rsid w:val="00C14A07"/>
    <w:rsid w:val="00C1790B"/>
    <w:rsid w:val="00C24597"/>
    <w:rsid w:val="00C32583"/>
    <w:rsid w:val="00C35E07"/>
    <w:rsid w:val="00C426CB"/>
    <w:rsid w:val="00C44596"/>
    <w:rsid w:val="00C47160"/>
    <w:rsid w:val="00C4785C"/>
    <w:rsid w:val="00C50D76"/>
    <w:rsid w:val="00C5122F"/>
    <w:rsid w:val="00C52153"/>
    <w:rsid w:val="00C57916"/>
    <w:rsid w:val="00C6027B"/>
    <w:rsid w:val="00C63D35"/>
    <w:rsid w:val="00C6606C"/>
    <w:rsid w:val="00C70BDA"/>
    <w:rsid w:val="00C716EC"/>
    <w:rsid w:val="00C75B17"/>
    <w:rsid w:val="00C76679"/>
    <w:rsid w:val="00C7721F"/>
    <w:rsid w:val="00C8081D"/>
    <w:rsid w:val="00C82B4F"/>
    <w:rsid w:val="00C859DA"/>
    <w:rsid w:val="00C8702A"/>
    <w:rsid w:val="00C90AC6"/>
    <w:rsid w:val="00C92D46"/>
    <w:rsid w:val="00C95C1D"/>
    <w:rsid w:val="00CC0EC8"/>
    <w:rsid w:val="00CC635A"/>
    <w:rsid w:val="00CC77F4"/>
    <w:rsid w:val="00CE0154"/>
    <w:rsid w:val="00CE3DD6"/>
    <w:rsid w:val="00CE3E7B"/>
    <w:rsid w:val="00CF0E00"/>
    <w:rsid w:val="00D1007B"/>
    <w:rsid w:val="00D1321B"/>
    <w:rsid w:val="00D166C1"/>
    <w:rsid w:val="00D1758A"/>
    <w:rsid w:val="00D204AD"/>
    <w:rsid w:val="00D2154B"/>
    <w:rsid w:val="00D31468"/>
    <w:rsid w:val="00D331C7"/>
    <w:rsid w:val="00D37C4D"/>
    <w:rsid w:val="00D40494"/>
    <w:rsid w:val="00D64B3D"/>
    <w:rsid w:val="00D72D22"/>
    <w:rsid w:val="00D74FFA"/>
    <w:rsid w:val="00D77191"/>
    <w:rsid w:val="00D82A79"/>
    <w:rsid w:val="00D83B68"/>
    <w:rsid w:val="00D92722"/>
    <w:rsid w:val="00D94624"/>
    <w:rsid w:val="00D95940"/>
    <w:rsid w:val="00DA4341"/>
    <w:rsid w:val="00DB3331"/>
    <w:rsid w:val="00DB77F8"/>
    <w:rsid w:val="00DC0502"/>
    <w:rsid w:val="00DC0D6A"/>
    <w:rsid w:val="00DC1D48"/>
    <w:rsid w:val="00DC3CFE"/>
    <w:rsid w:val="00DD4637"/>
    <w:rsid w:val="00DE3F00"/>
    <w:rsid w:val="00DE6CA1"/>
    <w:rsid w:val="00DE7D54"/>
    <w:rsid w:val="00DF2C8D"/>
    <w:rsid w:val="00DF54D5"/>
    <w:rsid w:val="00DF787C"/>
    <w:rsid w:val="00E0281B"/>
    <w:rsid w:val="00E06CFF"/>
    <w:rsid w:val="00E07DDA"/>
    <w:rsid w:val="00E109E0"/>
    <w:rsid w:val="00E10D1E"/>
    <w:rsid w:val="00E15BCE"/>
    <w:rsid w:val="00E20DAF"/>
    <w:rsid w:val="00E20FEC"/>
    <w:rsid w:val="00E370A2"/>
    <w:rsid w:val="00E37F22"/>
    <w:rsid w:val="00E41827"/>
    <w:rsid w:val="00E423D8"/>
    <w:rsid w:val="00E43C7F"/>
    <w:rsid w:val="00E46B3B"/>
    <w:rsid w:val="00E53AA8"/>
    <w:rsid w:val="00E53CF7"/>
    <w:rsid w:val="00E55EE1"/>
    <w:rsid w:val="00E572A9"/>
    <w:rsid w:val="00E61482"/>
    <w:rsid w:val="00E61B85"/>
    <w:rsid w:val="00E61DB6"/>
    <w:rsid w:val="00E631AC"/>
    <w:rsid w:val="00E63573"/>
    <w:rsid w:val="00E645BF"/>
    <w:rsid w:val="00E65FC1"/>
    <w:rsid w:val="00E67911"/>
    <w:rsid w:val="00E70173"/>
    <w:rsid w:val="00E72236"/>
    <w:rsid w:val="00E77775"/>
    <w:rsid w:val="00E85F06"/>
    <w:rsid w:val="00E86C01"/>
    <w:rsid w:val="00E90147"/>
    <w:rsid w:val="00E922DF"/>
    <w:rsid w:val="00E95D2B"/>
    <w:rsid w:val="00E97240"/>
    <w:rsid w:val="00EA1BB9"/>
    <w:rsid w:val="00EA6EFB"/>
    <w:rsid w:val="00EB3878"/>
    <w:rsid w:val="00EB569A"/>
    <w:rsid w:val="00EC150A"/>
    <w:rsid w:val="00EC4C8A"/>
    <w:rsid w:val="00EC5621"/>
    <w:rsid w:val="00ED0FFE"/>
    <w:rsid w:val="00ED36AD"/>
    <w:rsid w:val="00ED4579"/>
    <w:rsid w:val="00ED47F6"/>
    <w:rsid w:val="00ED6B18"/>
    <w:rsid w:val="00ED6F47"/>
    <w:rsid w:val="00EE0BE8"/>
    <w:rsid w:val="00EE1753"/>
    <w:rsid w:val="00EE22B1"/>
    <w:rsid w:val="00EE71CE"/>
    <w:rsid w:val="00EF5032"/>
    <w:rsid w:val="00F02130"/>
    <w:rsid w:val="00F03440"/>
    <w:rsid w:val="00F17478"/>
    <w:rsid w:val="00F2469A"/>
    <w:rsid w:val="00F422BC"/>
    <w:rsid w:val="00F436C9"/>
    <w:rsid w:val="00F44522"/>
    <w:rsid w:val="00F45185"/>
    <w:rsid w:val="00F456EF"/>
    <w:rsid w:val="00F47FF6"/>
    <w:rsid w:val="00F51077"/>
    <w:rsid w:val="00F55BE8"/>
    <w:rsid w:val="00F56498"/>
    <w:rsid w:val="00F62E4F"/>
    <w:rsid w:val="00F6356B"/>
    <w:rsid w:val="00F72FE1"/>
    <w:rsid w:val="00F73C9F"/>
    <w:rsid w:val="00F75049"/>
    <w:rsid w:val="00F75310"/>
    <w:rsid w:val="00F86566"/>
    <w:rsid w:val="00FB144B"/>
    <w:rsid w:val="00FB59EA"/>
    <w:rsid w:val="00FC5C6D"/>
    <w:rsid w:val="00FC6070"/>
    <w:rsid w:val="00FD1DFA"/>
    <w:rsid w:val="00FE57AC"/>
    <w:rsid w:val="00FF1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A5A1F"/>
  <w15:chartTrackingRefBased/>
  <w15:docId w15:val="{2A0F46A9-524D-43EE-AD85-A1615B26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11D"/>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F72F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2F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2F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2F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2F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2F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2F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2F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2F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F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2F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2F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2F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2F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2F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2F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2F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2FE1"/>
    <w:rPr>
      <w:rFonts w:eastAsiaTheme="majorEastAsia" w:cstheme="majorBidi"/>
      <w:color w:val="272727" w:themeColor="text1" w:themeTint="D8"/>
    </w:rPr>
  </w:style>
  <w:style w:type="paragraph" w:styleId="Title">
    <w:name w:val="Title"/>
    <w:basedOn w:val="Normal"/>
    <w:next w:val="Normal"/>
    <w:link w:val="TitleChar"/>
    <w:uiPriority w:val="10"/>
    <w:qFormat/>
    <w:rsid w:val="00F72F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2F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F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2F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2FE1"/>
    <w:pPr>
      <w:spacing w:before="160"/>
      <w:jc w:val="center"/>
    </w:pPr>
    <w:rPr>
      <w:i/>
      <w:iCs/>
      <w:color w:val="404040" w:themeColor="text1" w:themeTint="BF"/>
    </w:rPr>
  </w:style>
  <w:style w:type="character" w:customStyle="1" w:styleId="QuoteChar">
    <w:name w:val="Quote Char"/>
    <w:basedOn w:val="DefaultParagraphFont"/>
    <w:link w:val="Quote"/>
    <w:uiPriority w:val="29"/>
    <w:rsid w:val="00F72FE1"/>
    <w:rPr>
      <w:i/>
      <w:iCs/>
      <w:color w:val="404040" w:themeColor="text1" w:themeTint="BF"/>
    </w:rPr>
  </w:style>
  <w:style w:type="paragraph" w:styleId="ListParagraph">
    <w:name w:val="List Paragraph"/>
    <w:basedOn w:val="Normal"/>
    <w:uiPriority w:val="34"/>
    <w:qFormat/>
    <w:rsid w:val="00F72FE1"/>
    <w:pPr>
      <w:ind w:left="720"/>
      <w:contextualSpacing/>
    </w:pPr>
  </w:style>
  <w:style w:type="character" w:styleId="IntenseEmphasis">
    <w:name w:val="Intense Emphasis"/>
    <w:basedOn w:val="DefaultParagraphFont"/>
    <w:uiPriority w:val="21"/>
    <w:qFormat/>
    <w:rsid w:val="00F72FE1"/>
    <w:rPr>
      <w:i/>
      <w:iCs/>
      <w:color w:val="0F4761" w:themeColor="accent1" w:themeShade="BF"/>
    </w:rPr>
  </w:style>
  <w:style w:type="paragraph" w:styleId="IntenseQuote">
    <w:name w:val="Intense Quote"/>
    <w:basedOn w:val="Normal"/>
    <w:next w:val="Normal"/>
    <w:link w:val="IntenseQuoteChar"/>
    <w:uiPriority w:val="30"/>
    <w:qFormat/>
    <w:rsid w:val="00F72F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2FE1"/>
    <w:rPr>
      <w:i/>
      <w:iCs/>
      <w:color w:val="0F4761" w:themeColor="accent1" w:themeShade="BF"/>
    </w:rPr>
  </w:style>
  <w:style w:type="character" w:styleId="IntenseReference">
    <w:name w:val="Intense Reference"/>
    <w:basedOn w:val="DefaultParagraphFont"/>
    <w:uiPriority w:val="32"/>
    <w:qFormat/>
    <w:rsid w:val="00F72FE1"/>
    <w:rPr>
      <w:b/>
      <w:bCs/>
      <w:smallCaps/>
      <w:color w:val="0F4761" w:themeColor="accent1" w:themeShade="BF"/>
      <w:spacing w:val="5"/>
    </w:rPr>
  </w:style>
  <w:style w:type="paragraph" w:customStyle="1" w:styleId="TBullet">
    <w:name w:val="T_Bullet"/>
    <w:basedOn w:val="Normal"/>
    <w:rsid w:val="00A3311D"/>
    <w:pPr>
      <w:numPr>
        <w:numId w:val="1"/>
      </w:numPr>
      <w:tabs>
        <w:tab w:val="left" w:pos="851"/>
      </w:tabs>
    </w:pPr>
    <w:rPr>
      <w:color w:val="000000"/>
      <w:sz w:val="20"/>
    </w:rPr>
  </w:style>
  <w:style w:type="paragraph" w:customStyle="1" w:styleId="Style1">
    <w:name w:val="Style1"/>
    <w:basedOn w:val="Heading1"/>
    <w:link w:val="Style1Char"/>
    <w:rsid w:val="00A3311D"/>
    <w:pPr>
      <w:keepNext w:val="0"/>
      <w:keepLines w:val="0"/>
      <w:tabs>
        <w:tab w:val="left" w:pos="432"/>
      </w:tabs>
      <w:spacing w:before="180" w:after="0"/>
      <w:ind w:left="431" w:hanging="431"/>
    </w:pPr>
    <w:rPr>
      <w:rFonts w:ascii="Verdana" w:eastAsia="Times New Roman" w:hAnsi="Verdana" w:cs="Times New Roman"/>
      <w:color w:val="000000"/>
      <w:kern w:val="28"/>
      <w:sz w:val="22"/>
      <w:szCs w:val="20"/>
    </w:rPr>
  </w:style>
  <w:style w:type="paragraph" w:customStyle="1" w:styleId="Conditions1">
    <w:name w:val="Conditions1"/>
    <w:rsid w:val="00A3311D"/>
    <w:pPr>
      <w:numPr>
        <w:numId w:val="3"/>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A3311D"/>
    <w:pPr>
      <w:numPr>
        <w:ilvl w:val="2"/>
        <w:numId w:val="3"/>
      </w:numPr>
      <w:spacing w:before="60" w:after="0" w:line="240" w:lineRule="auto"/>
    </w:pPr>
    <w:rPr>
      <w:rFonts w:ascii="Verdana" w:eastAsia="Times New Roman" w:hAnsi="Verdana" w:cs="Times New Roman"/>
      <w:kern w:val="0"/>
      <w:szCs w:val="20"/>
      <w:lang w:eastAsia="en-GB"/>
      <w14:ligatures w14:val="none"/>
    </w:rPr>
  </w:style>
  <w:style w:type="paragraph" w:customStyle="1" w:styleId="ConditionsBullet">
    <w:name w:val="ConditionsBullet"/>
    <w:basedOn w:val="Conditions2"/>
    <w:qFormat/>
    <w:rsid w:val="00A3311D"/>
    <w:pPr>
      <w:numPr>
        <w:ilvl w:val="3"/>
      </w:numPr>
      <w:spacing w:before="0"/>
    </w:pPr>
  </w:style>
  <w:style w:type="numbering" w:customStyle="1" w:styleId="ConditionsList">
    <w:name w:val="ConditionsList"/>
    <w:uiPriority w:val="99"/>
    <w:rsid w:val="00A3311D"/>
    <w:pPr>
      <w:numPr>
        <w:numId w:val="2"/>
      </w:numPr>
    </w:pPr>
  </w:style>
  <w:style w:type="paragraph" w:customStyle="1" w:styleId="ConditionsNoNumber">
    <w:name w:val="ConditionsNoNumber"/>
    <w:basedOn w:val="Normal"/>
    <w:qFormat/>
    <w:rsid w:val="00A3311D"/>
    <w:pPr>
      <w:numPr>
        <w:ilvl w:val="1"/>
        <w:numId w:val="3"/>
      </w:numPr>
      <w:spacing w:before="120"/>
    </w:pPr>
  </w:style>
  <w:style w:type="paragraph" w:customStyle="1" w:styleId="ConditionsNoNumberNoSpaceBefore">
    <w:name w:val="ConditionsNoNumberNoSpaceBefore"/>
    <w:basedOn w:val="ConditionsNoNumber"/>
    <w:qFormat/>
    <w:rsid w:val="00A3311D"/>
    <w:pPr>
      <w:numPr>
        <w:ilvl w:val="4"/>
      </w:numPr>
      <w:spacing w:before="0"/>
    </w:pPr>
  </w:style>
  <w:style w:type="character" w:customStyle="1" w:styleId="Style1Char">
    <w:name w:val="Style1 Char"/>
    <w:basedOn w:val="DefaultParagraphFont"/>
    <w:link w:val="Style1"/>
    <w:locked/>
    <w:rsid w:val="00A3311D"/>
    <w:rPr>
      <w:rFonts w:ascii="Verdana" w:eastAsia="Times New Roman" w:hAnsi="Verdana" w:cs="Times New Roman"/>
      <w:color w:val="000000"/>
      <w:kern w:val="28"/>
      <w:szCs w:val="20"/>
      <w:lang w:eastAsia="en-GB"/>
      <w14:ligatures w14:val="none"/>
    </w:rPr>
  </w:style>
  <w:style w:type="numbering" w:customStyle="1" w:styleId="StylesList">
    <w:name w:val="StylesList"/>
    <w:uiPriority w:val="99"/>
    <w:rsid w:val="00200B2C"/>
    <w:pPr>
      <w:numPr>
        <w:numId w:val="6"/>
      </w:numPr>
    </w:pPr>
  </w:style>
  <w:style w:type="paragraph" w:styleId="Header">
    <w:name w:val="header"/>
    <w:basedOn w:val="Normal"/>
    <w:link w:val="HeaderChar"/>
    <w:uiPriority w:val="99"/>
    <w:unhideWhenUsed/>
    <w:rsid w:val="00D166C1"/>
    <w:pPr>
      <w:tabs>
        <w:tab w:val="center" w:pos="4513"/>
        <w:tab w:val="right" w:pos="9026"/>
      </w:tabs>
    </w:pPr>
  </w:style>
  <w:style w:type="character" w:customStyle="1" w:styleId="HeaderChar">
    <w:name w:val="Header Char"/>
    <w:basedOn w:val="DefaultParagraphFont"/>
    <w:link w:val="Header"/>
    <w:uiPriority w:val="99"/>
    <w:rsid w:val="00D166C1"/>
    <w:rPr>
      <w:rFonts w:ascii="Verdana" w:eastAsia="Times New Roman" w:hAnsi="Verdana" w:cs="Times New Roman"/>
      <w:kern w:val="0"/>
      <w:szCs w:val="20"/>
      <w:lang w:eastAsia="en-GB"/>
      <w14:ligatures w14:val="none"/>
    </w:rPr>
  </w:style>
  <w:style w:type="paragraph" w:styleId="Footer">
    <w:name w:val="footer"/>
    <w:basedOn w:val="Normal"/>
    <w:link w:val="FooterChar"/>
    <w:uiPriority w:val="99"/>
    <w:unhideWhenUsed/>
    <w:rsid w:val="00D166C1"/>
    <w:pPr>
      <w:tabs>
        <w:tab w:val="center" w:pos="4513"/>
        <w:tab w:val="right" w:pos="9026"/>
      </w:tabs>
    </w:pPr>
  </w:style>
  <w:style w:type="character" w:customStyle="1" w:styleId="FooterChar">
    <w:name w:val="Footer Char"/>
    <w:basedOn w:val="DefaultParagraphFont"/>
    <w:link w:val="Footer"/>
    <w:uiPriority w:val="99"/>
    <w:rsid w:val="00D166C1"/>
    <w:rPr>
      <w:rFonts w:ascii="Verdana" w:eastAsia="Times New Roman" w:hAnsi="Verdana" w:cs="Times New Roman"/>
      <w:kern w:val="0"/>
      <w:szCs w:val="20"/>
      <w:lang w:eastAsia="en-GB"/>
      <w14:ligatures w14:val="none"/>
    </w:rPr>
  </w:style>
  <w:style w:type="character" w:styleId="Hyperlink">
    <w:name w:val="Hyperlink"/>
    <w:basedOn w:val="DefaultParagraphFont"/>
    <w:uiPriority w:val="99"/>
    <w:unhideWhenUsed/>
    <w:rsid w:val="00572482"/>
    <w:rPr>
      <w:color w:val="467886" w:themeColor="hyperlink"/>
      <w:u w:val="single"/>
    </w:rPr>
  </w:style>
  <w:style w:type="character" w:styleId="UnresolvedMention">
    <w:name w:val="Unresolved Mention"/>
    <w:basedOn w:val="DefaultParagraphFont"/>
    <w:uiPriority w:val="99"/>
    <w:semiHidden/>
    <w:unhideWhenUsed/>
    <w:rsid w:val="00572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lanninginspectorate.gov.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lanninginspectorat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7F101A-CFB5-4EE0-ADA1-2AD08A1B6EED}">
  <ds:schemaRefs>
    <ds:schemaRef ds:uri="http://schemas.microsoft.com/sharepoint/v3/contenttype/forms"/>
  </ds:schemaRefs>
</ds:datastoreItem>
</file>

<file path=customXml/itemProps2.xml><?xml version="1.0" encoding="utf-8"?>
<ds:datastoreItem xmlns:ds="http://schemas.openxmlformats.org/officeDocument/2006/customXml" ds:itemID="{989B321D-E6EC-4EAB-B1A1-FF40C85EFA45}">
  <ds:schemaRefs>
    <ds:schemaRef ds:uri="http://schemas.microsoft.com/office/2006/metadata/properties"/>
    <ds:schemaRef ds:uri="http://schemas.microsoft.com/office/infopath/2007/PartnerControls"/>
    <ds:schemaRef ds:uri="c9a31704-8876-44e3-a39c-721bd2a9d2da"/>
  </ds:schemaRefs>
</ds:datastoreItem>
</file>

<file path=customXml/itemProps3.xml><?xml version="1.0" encoding="utf-8"?>
<ds:datastoreItem xmlns:ds="http://schemas.openxmlformats.org/officeDocument/2006/customXml" ds:itemID="{DF2DDFF6-E62A-4FEF-9857-EF88F8E80630}">
  <ds:schemaRefs>
    <ds:schemaRef ds:uri="http://schemas.openxmlformats.org/officeDocument/2006/bibliography"/>
  </ds:schemaRefs>
</ds:datastoreItem>
</file>

<file path=customXml/itemProps4.xml><?xml version="1.0" encoding="utf-8"?>
<ds:datastoreItem xmlns:ds="http://schemas.openxmlformats.org/officeDocument/2006/customXml" ds:itemID="{2B48F438-3E43-4253-9123-D00187F97A5F}"/>
</file>

<file path=docProps/app.xml><?xml version="1.0" encoding="utf-8"?>
<Properties xmlns="http://schemas.openxmlformats.org/officeDocument/2006/extended-properties" xmlns:vt="http://schemas.openxmlformats.org/officeDocument/2006/docPropsVTypes">
  <Template>Normal.dotm</Template>
  <TotalTime>3</TotalTime>
  <Pages>9</Pages>
  <Words>3631</Words>
  <Characters>20701</Characters>
  <Application>Microsoft Office Word</Application>
  <DocSecurity>0</DocSecurity>
  <Lines>172</Lines>
  <Paragraphs>48</Paragraphs>
  <ScaleCrop>false</ScaleCrop>
  <Company/>
  <LinksUpToDate>false</LinksUpToDate>
  <CharactersWithSpaces>24284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Renaudon</dc:creator>
  <cp:keywords/>
  <dc:description/>
  <cp:lastModifiedBy>Clive Richards</cp:lastModifiedBy>
  <cp:revision>5</cp:revision>
  <cp:lastPrinted>2026-05-05T09:19:00Z</cp:lastPrinted>
  <dcterms:created xsi:type="dcterms:W3CDTF">2026-06-22T06:15:00Z</dcterms:created>
  <dcterms:modified xsi:type="dcterms:W3CDTF">2026-06-22T06:17:00Z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