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3F42A" w14:textId="25866F46" w:rsidR="00AE7ED8" w:rsidRDefault="00C90E3A">
      <w:pPr>
        <w:rPr>
          <w:rFonts w:ascii="Arial" w:hAnsi="Arial" w:cs="Arial"/>
          <w:b/>
          <w:bCs/>
          <w:sz w:val="32"/>
          <w:szCs w:val="32"/>
        </w:rPr>
      </w:pPr>
      <w:r>
        <w:rPr>
          <w:rFonts w:ascii="Arial" w:hAnsi="Arial" w:cs="Arial"/>
          <w:b/>
          <w:bCs/>
          <w:sz w:val="32"/>
          <w:szCs w:val="32"/>
        </w:rPr>
        <w:t xml:space="preserve">Example summary statement of academy trusts’ financial arrangements </w:t>
      </w:r>
      <w:r w:rsidRPr="00C90E3A">
        <w:rPr>
          <w:rFonts w:ascii="Arial" w:hAnsi="Arial" w:cs="Arial"/>
          <w:b/>
          <w:bCs/>
          <w:sz w:val="32"/>
          <w:szCs w:val="32"/>
        </w:rPr>
        <w:t>–</w:t>
      </w:r>
      <w:r>
        <w:rPr>
          <w:rFonts w:ascii="Arial" w:hAnsi="Arial" w:cs="Arial"/>
          <w:b/>
          <w:bCs/>
          <w:sz w:val="32"/>
          <w:szCs w:val="32"/>
        </w:rPr>
        <w:t xml:space="preserve"> </w:t>
      </w:r>
      <w:proofErr w:type="spellStart"/>
      <w:r>
        <w:rPr>
          <w:rFonts w:ascii="Arial" w:hAnsi="Arial" w:cs="Arial"/>
          <w:b/>
          <w:bCs/>
          <w:sz w:val="32"/>
          <w:szCs w:val="32"/>
        </w:rPr>
        <w:t>Coketown</w:t>
      </w:r>
      <w:proofErr w:type="spellEnd"/>
      <w:r>
        <w:rPr>
          <w:rFonts w:ascii="Arial" w:hAnsi="Arial" w:cs="Arial"/>
          <w:b/>
          <w:bCs/>
          <w:sz w:val="32"/>
          <w:szCs w:val="32"/>
        </w:rPr>
        <w:t xml:space="preserve"> Academy Trust</w:t>
      </w:r>
    </w:p>
    <w:p w14:paraId="6F891B6B" w14:textId="40517634" w:rsidR="00C90E3A" w:rsidRDefault="00C90E3A">
      <w:pPr>
        <w:rPr>
          <w:rFonts w:ascii="Arial" w:hAnsi="Arial" w:cs="Arial"/>
        </w:rPr>
      </w:pPr>
      <w:r>
        <w:rPr>
          <w:rFonts w:ascii="Arial" w:hAnsi="Arial" w:cs="Arial"/>
        </w:rPr>
        <w:t xml:space="preserve">This example draws its data from the </w:t>
      </w:r>
      <w:hyperlink r:id="rId7" w:history="1">
        <w:r w:rsidRPr="00C90E3A">
          <w:rPr>
            <w:rStyle w:val="Hyperlink"/>
            <w:rFonts w:ascii="Arial" w:hAnsi="Arial" w:cs="Arial"/>
          </w:rPr>
          <w:t>Academies accounts direction</w:t>
        </w:r>
      </w:hyperlink>
      <w:r>
        <w:rPr>
          <w:rFonts w:ascii="Arial" w:hAnsi="Arial" w:cs="Arial"/>
        </w:rPr>
        <w:t xml:space="preserve"> (AAD) model accounts and general annual grant (GAG) statements. </w:t>
      </w:r>
    </w:p>
    <w:p w14:paraId="30E3084C" w14:textId="5AA690B9" w:rsidR="00C90E3A" w:rsidRPr="00C90E3A" w:rsidRDefault="00C90E3A">
      <w:pPr>
        <w:rPr>
          <w:rFonts w:ascii="Arial" w:hAnsi="Arial" w:cs="Arial"/>
          <w:b/>
          <w:bCs/>
        </w:rPr>
      </w:pPr>
      <w:r w:rsidRPr="00C90E3A">
        <w:rPr>
          <w:rFonts w:ascii="Arial" w:hAnsi="Arial" w:cs="Arial"/>
          <w:b/>
          <w:bCs/>
        </w:rPr>
        <w:t>Introduction</w:t>
      </w:r>
    </w:p>
    <w:p w14:paraId="130E5C89" w14:textId="6E8A354E" w:rsidR="00C90E3A" w:rsidRDefault="00C90E3A">
      <w:pPr>
        <w:rPr>
          <w:rFonts w:ascii="Arial" w:hAnsi="Arial" w:cs="Arial"/>
        </w:rPr>
      </w:pPr>
      <w:r>
        <w:rPr>
          <w:rFonts w:ascii="Arial" w:hAnsi="Arial" w:cs="Arial"/>
        </w:rPr>
        <w:t xml:space="preserve">This summary statement outlines how some of the funds are distributed across academies within </w:t>
      </w:r>
      <w:proofErr w:type="spellStart"/>
      <w:r>
        <w:rPr>
          <w:rFonts w:ascii="Arial" w:hAnsi="Arial" w:cs="Arial"/>
        </w:rPr>
        <w:t>Coketown</w:t>
      </w:r>
      <w:proofErr w:type="spellEnd"/>
      <w:r>
        <w:rPr>
          <w:rFonts w:ascii="Arial" w:hAnsi="Arial" w:cs="Arial"/>
        </w:rPr>
        <w:t xml:space="preserve"> Academy Trust. </w:t>
      </w:r>
    </w:p>
    <w:p w14:paraId="159335F0" w14:textId="3CA58494" w:rsidR="00C90E3A" w:rsidRDefault="00C90E3A">
      <w:pPr>
        <w:rPr>
          <w:rFonts w:ascii="Arial" w:hAnsi="Arial" w:cs="Arial"/>
        </w:rPr>
      </w:pPr>
      <w:r>
        <w:rPr>
          <w:rFonts w:ascii="Arial" w:hAnsi="Arial" w:cs="Arial"/>
        </w:rPr>
        <w:t xml:space="preserve">The information provided matches that as set out in our annual accounts for period XXX, which provides further details and can be found [insert trust website address]. </w:t>
      </w:r>
    </w:p>
    <w:p w14:paraId="784A2437" w14:textId="50662A1B" w:rsidR="00C90E3A" w:rsidRDefault="00C90E3A">
      <w:pPr>
        <w:rPr>
          <w:rFonts w:ascii="Arial" w:hAnsi="Arial" w:cs="Arial"/>
          <w:b/>
          <w:bCs/>
        </w:rPr>
      </w:pPr>
      <w:r>
        <w:rPr>
          <w:rFonts w:ascii="Arial" w:hAnsi="Arial" w:cs="Arial"/>
          <w:b/>
          <w:bCs/>
        </w:rPr>
        <w:t>Theme 1: trust overview</w:t>
      </w:r>
    </w:p>
    <w:p w14:paraId="26BFBA42" w14:textId="77777777" w:rsidR="00C90E3A" w:rsidRPr="00B17F99" w:rsidRDefault="00C90E3A" w:rsidP="00C90E3A">
      <w:pPr>
        <w:rPr>
          <w:rStyle w:val="normaltextrun"/>
          <w:rFonts w:ascii="Arial" w:hAnsi="Arial" w:cs="Arial"/>
        </w:rPr>
      </w:pPr>
      <w:r w:rsidRPr="00B17F99">
        <w:rPr>
          <w:rStyle w:val="normaltextrun"/>
          <w:rFonts w:ascii="Arial" w:hAnsi="Arial" w:cs="Arial"/>
        </w:rPr>
        <w:t xml:space="preserve">Details about the trust and our academies can be found on </w:t>
      </w:r>
      <w:hyperlink r:id="rId8" w:history="1">
        <w:r w:rsidRPr="00031390">
          <w:rPr>
            <w:rStyle w:val="Hyperlink"/>
            <w:rFonts w:ascii="Arial" w:hAnsi="Arial" w:cs="Arial"/>
          </w:rPr>
          <w:t>Get Information About Schools</w:t>
        </w:r>
      </w:hyperlink>
      <w:r>
        <w:rPr>
          <w:rStyle w:val="normaltextrun"/>
          <w:rFonts w:ascii="Arial" w:hAnsi="Arial" w:cs="Arial"/>
        </w:rPr>
        <w:t>.</w:t>
      </w:r>
    </w:p>
    <w:tbl>
      <w:tblPr>
        <w:tblStyle w:val="TableGrid"/>
        <w:tblW w:w="0" w:type="auto"/>
        <w:tblLook w:val="04A0" w:firstRow="1" w:lastRow="0" w:firstColumn="1" w:lastColumn="0" w:noHBand="0" w:noVBand="1"/>
      </w:tblPr>
      <w:tblGrid>
        <w:gridCol w:w="4508"/>
        <w:gridCol w:w="4508"/>
      </w:tblGrid>
      <w:tr w:rsidR="00D55F87" w:rsidRPr="00B17F99" w14:paraId="29EFE7C9" w14:textId="77777777">
        <w:tc>
          <w:tcPr>
            <w:tcW w:w="4508" w:type="dxa"/>
          </w:tcPr>
          <w:p w14:paraId="337524C9" w14:textId="77777777" w:rsidR="00D55F87" w:rsidRPr="00B17F99" w:rsidRDefault="00D55F87">
            <w:pPr>
              <w:rPr>
                <w:rFonts w:ascii="Arial" w:hAnsi="Arial" w:cs="Arial"/>
              </w:rPr>
            </w:pPr>
            <w:r w:rsidRPr="00B17F99">
              <w:rPr>
                <w:rFonts w:ascii="Arial" w:hAnsi="Arial" w:cs="Arial"/>
              </w:rPr>
              <w:t xml:space="preserve">Statement authorised by – </w:t>
            </w:r>
          </w:p>
          <w:p w14:paraId="3010F82E" w14:textId="77777777" w:rsidR="00D55F87" w:rsidRPr="00B17F99" w:rsidRDefault="00D55F87">
            <w:pPr>
              <w:rPr>
                <w:rFonts w:ascii="Arial" w:hAnsi="Arial" w:cs="Arial"/>
              </w:rPr>
            </w:pPr>
            <w:r w:rsidRPr="00B17F99">
              <w:rPr>
                <w:rFonts w:ascii="Arial" w:hAnsi="Arial" w:cs="Arial"/>
              </w:rPr>
              <w:t>Chief Financial Officer (CFO)</w:t>
            </w:r>
          </w:p>
        </w:tc>
        <w:tc>
          <w:tcPr>
            <w:tcW w:w="4508" w:type="dxa"/>
          </w:tcPr>
          <w:p w14:paraId="160DC94A" w14:textId="77777777" w:rsidR="00D55F87" w:rsidRPr="00B17F99" w:rsidRDefault="00D55F87">
            <w:pPr>
              <w:rPr>
                <w:rFonts w:ascii="Arial" w:hAnsi="Arial" w:cs="Arial"/>
              </w:rPr>
            </w:pPr>
            <w:r w:rsidRPr="00B17F99">
              <w:rPr>
                <w:rFonts w:ascii="Arial" w:hAnsi="Arial" w:cs="Arial"/>
              </w:rPr>
              <w:t>Joe Bloggs</w:t>
            </w:r>
          </w:p>
        </w:tc>
      </w:tr>
    </w:tbl>
    <w:p w14:paraId="56269579" w14:textId="5E55DD9A" w:rsidR="00C90E3A" w:rsidRDefault="00C90E3A">
      <w:pPr>
        <w:rPr>
          <w:rFonts w:ascii="Arial" w:hAnsi="Arial" w:cs="Arial"/>
          <w:b/>
          <w:bCs/>
        </w:rPr>
      </w:pPr>
    </w:p>
    <w:p w14:paraId="3E842077" w14:textId="4023A88E" w:rsidR="00D55F87" w:rsidRDefault="00D55F87">
      <w:pPr>
        <w:rPr>
          <w:rFonts w:ascii="Arial" w:hAnsi="Arial" w:cs="Arial"/>
          <w:b/>
          <w:bCs/>
        </w:rPr>
      </w:pPr>
      <w:r w:rsidRPr="00D55F87">
        <w:rPr>
          <w:rFonts w:ascii="Arial" w:hAnsi="Arial" w:cs="Arial"/>
          <w:b/>
          <w:bCs/>
        </w:rPr>
        <w:t>Theme 2: financial operating model</w:t>
      </w:r>
    </w:p>
    <w:p w14:paraId="0B1D328E" w14:textId="6496CEAF" w:rsidR="00D55F87" w:rsidRDefault="00D55F87">
      <w:pPr>
        <w:rPr>
          <w:rFonts w:ascii="Arial" w:hAnsi="Arial" w:cs="Arial"/>
        </w:rPr>
      </w:pPr>
      <w:r>
        <w:rPr>
          <w:rFonts w:ascii="Arial" w:hAnsi="Arial" w:cs="Arial"/>
        </w:rPr>
        <w:t xml:space="preserve">Financial operating models are decided by academy trustees with input from academy leaders. </w:t>
      </w:r>
    </w:p>
    <w:p w14:paraId="4C194594" w14:textId="30795E83" w:rsidR="00D55F87" w:rsidRDefault="00D55F87">
      <w:pPr>
        <w:rPr>
          <w:rFonts w:ascii="Arial" w:hAnsi="Arial" w:cs="Arial"/>
        </w:rPr>
      </w:pPr>
      <w:proofErr w:type="spellStart"/>
      <w:r>
        <w:rPr>
          <w:rFonts w:ascii="Arial" w:hAnsi="Arial" w:cs="Arial"/>
        </w:rPr>
        <w:t>Coketown</w:t>
      </w:r>
      <w:proofErr w:type="spellEnd"/>
      <w:r>
        <w:rPr>
          <w:rFonts w:ascii="Arial" w:hAnsi="Arial" w:cs="Arial"/>
        </w:rPr>
        <w:t xml:space="preserve"> Academy Trust’s model is explained in the following table. </w:t>
      </w:r>
    </w:p>
    <w:tbl>
      <w:tblPr>
        <w:tblStyle w:val="TableGrid"/>
        <w:tblW w:w="9067" w:type="dxa"/>
        <w:tblLayout w:type="fixed"/>
        <w:tblLook w:val="04A0" w:firstRow="1" w:lastRow="0" w:firstColumn="1" w:lastColumn="0" w:noHBand="0" w:noVBand="1"/>
      </w:tblPr>
      <w:tblGrid>
        <w:gridCol w:w="9067"/>
      </w:tblGrid>
      <w:tr w:rsidR="00C70875" w:rsidRPr="005D30EF" w14:paraId="5918BC24" w14:textId="77777777" w:rsidTr="00595F8D">
        <w:trPr>
          <w:cantSplit/>
          <w:tblHeader/>
        </w:trPr>
        <w:tc>
          <w:tcPr>
            <w:tcW w:w="9067" w:type="dxa"/>
            <w:shd w:val="clear" w:color="auto" w:fill="CFDCE3"/>
            <w:vAlign w:val="center"/>
          </w:tcPr>
          <w:p w14:paraId="24031BFF" w14:textId="4BABD00A" w:rsidR="00C70875" w:rsidRPr="002D1EA6" w:rsidRDefault="002D1EA6">
            <w:pPr>
              <w:pStyle w:val="TableHeader"/>
            </w:pPr>
            <w:r>
              <w:t>Financial operating model (derived from note 11 in AAD model accounts academy GAG statements)</w:t>
            </w:r>
          </w:p>
        </w:tc>
      </w:tr>
      <w:tr w:rsidR="00C70875" w14:paraId="1E82FFB0" w14:textId="77777777" w:rsidTr="002A7887">
        <w:tc>
          <w:tcPr>
            <w:tcW w:w="9067" w:type="dxa"/>
            <w:vAlign w:val="center"/>
          </w:tcPr>
          <w:p w14:paraId="5577FEBE" w14:textId="77777777" w:rsidR="0097731A" w:rsidRPr="00E0107A" w:rsidRDefault="007D2975" w:rsidP="0052423D">
            <w:pPr>
              <w:pStyle w:val="TableRow"/>
              <w:rPr>
                <w:rFonts w:ascii="Arial" w:hAnsi="Arial" w:cs="Arial"/>
              </w:rPr>
            </w:pPr>
            <w:proofErr w:type="spellStart"/>
            <w:r w:rsidRPr="00E0107A">
              <w:rPr>
                <w:rFonts w:ascii="Arial" w:hAnsi="Arial" w:cs="Arial"/>
              </w:rPr>
              <w:t>Coketown</w:t>
            </w:r>
            <w:proofErr w:type="spellEnd"/>
            <w:r w:rsidRPr="00E0107A">
              <w:rPr>
                <w:rFonts w:ascii="Arial" w:hAnsi="Arial" w:cs="Arial"/>
              </w:rPr>
              <w:t xml:space="preserve"> Academy Trust pools all DfE grant revenue income across its academies and operates a single pooled funding model. </w:t>
            </w:r>
          </w:p>
          <w:p w14:paraId="44C6C056" w14:textId="1508BEF9" w:rsidR="007D2975" w:rsidRPr="00E0107A" w:rsidRDefault="007D2975" w:rsidP="0052423D">
            <w:pPr>
              <w:pStyle w:val="TableRow"/>
              <w:rPr>
                <w:rFonts w:ascii="Arial" w:hAnsi="Arial" w:cs="Arial"/>
              </w:rPr>
            </w:pPr>
            <w:r w:rsidRPr="00E0107A">
              <w:rPr>
                <w:rFonts w:ascii="Arial" w:hAnsi="Arial" w:cs="Arial"/>
              </w:rPr>
              <w:t>This includes</w:t>
            </w:r>
            <w:r w:rsidR="0052423D" w:rsidRPr="00E0107A">
              <w:rPr>
                <w:rFonts w:ascii="Arial" w:hAnsi="Arial" w:cs="Arial"/>
              </w:rPr>
              <w:t xml:space="preserve"> GAG, other DfE grants and other funding from local authorities. It does not include the letting of trust facilities or other locally generated funds. </w:t>
            </w:r>
            <w:r w:rsidR="00BD49D3" w:rsidRPr="00E0107A">
              <w:rPr>
                <w:rFonts w:ascii="Arial" w:hAnsi="Arial" w:cs="Arial"/>
              </w:rPr>
              <w:t>As such, centralised services are no longer charged individually</w:t>
            </w:r>
            <w:r w:rsidR="00754D27" w:rsidRPr="00E0107A">
              <w:rPr>
                <w:rFonts w:ascii="Arial" w:hAnsi="Arial" w:cs="Arial"/>
              </w:rPr>
              <w:t xml:space="preserve"> to academies. Any unspent funds at year end are also pooled and held in a central reserve. </w:t>
            </w:r>
          </w:p>
          <w:p w14:paraId="19F1902C" w14:textId="77777777" w:rsidR="00C70875" w:rsidRDefault="00C70875" w:rsidP="00C70875"/>
          <w:p w14:paraId="73990DE9" w14:textId="07BEBD4E" w:rsidR="00C70875" w:rsidRPr="00651FD4" w:rsidRDefault="00E0107A" w:rsidP="00C70875">
            <w:pPr>
              <w:rPr>
                <w:rFonts w:ascii="Arial" w:hAnsi="Arial" w:cs="Arial"/>
              </w:rPr>
            </w:pPr>
            <w:r w:rsidRPr="00651FD4">
              <w:rPr>
                <w:rFonts w:ascii="Arial" w:hAnsi="Arial" w:cs="Arial"/>
              </w:rPr>
              <w:t>[or]</w:t>
            </w:r>
          </w:p>
          <w:p w14:paraId="7B9512C4" w14:textId="77777777" w:rsidR="00E0107A" w:rsidRPr="00651FD4" w:rsidRDefault="00E0107A" w:rsidP="00C70875">
            <w:pPr>
              <w:rPr>
                <w:rFonts w:ascii="Arial" w:hAnsi="Arial" w:cs="Arial"/>
              </w:rPr>
            </w:pPr>
          </w:p>
          <w:p w14:paraId="45BCA5E0" w14:textId="15C61769" w:rsidR="00E0107A" w:rsidRPr="00651FD4" w:rsidRDefault="00E0107A" w:rsidP="00C70875">
            <w:pPr>
              <w:rPr>
                <w:rFonts w:ascii="Arial" w:hAnsi="Arial" w:cs="Arial"/>
              </w:rPr>
            </w:pPr>
            <w:proofErr w:type="spellStart"/>
            <w:r w:rsidRPr="00651FD4">
              <w:rPr>
                <w:rFonts w:ascii="Arial" w:hAnsi="Arial" w:cs="Arial"/>
              </w:rPr>
              <w:t>Coketown</w:t>
            </w:r>
            <w:proofErr w:type="spellEnd"/>
            <w:r w:rsidRPr="00651FD4">
              <w:rPr>
                <w:rFonts w:ascii="Arial" w:hAnsi="Arial" w:cs="Arial"/>
              </w:rPr>
              <w:t xml:space="preserve"> Academy Trust funds its central </w:t>
            </w:r>
            <w:r w:rsidR="004F46CB" w:rsidRPr="00651FD4">
              <w:rPr>
                <w:rFonts w:ascii="Arial" w:hAnsi="Arial" w:cs="Arial"/>
              </w:rPr>
              <w:t xml:space="preserve">services and staff through a top slice on academy income of 5% of GAG. Unspent funds at year end are pooled and held in a central reserve. </w:t>
            </w:r>
          </w:p>
          <w:p w14:paraId="0C5D95DC" w14:textId="77777777" w:rsidR="00C70875" w:rsidRDefault="00C70875" w:rsidP="00C70875"/>
          <w:p w14:paraId="39D253C1" w14:textId="5BE89EC2" w:rsidR="00C70875" w:rsidRDefault="00595F8D" w:rsidP="00C70875">
            <w:r>
              <w:t>…</w:t>
            </w:r>
          </w:p>
          <w:p w14:paraId="7E3DE67E" w14:textId="77777777" w:rsidR="002A7887" w:rsidRDefault="002A7887" w:rsidP="00C70875"/>
          <w:p w14:paraId="1ACE7001" w14:textId="619A0AE8" w:rsidR="002A7887" w:rsidRDefault="002A7887" w:rsidP="00C70875"/>
          <w:p w14:paraId="5E1FF731" w14:textId="77777777" w:rsidR="00D808F2" w:rsidRDefault="00D808F2" w:rsidP="00C70875"/>
          <w:p w14:paraId="3B6013CD" w14:textId="076EF0A9" w:rsidR="00D808F2" w:rsidRDefault="00D808F2" w:rsidP="00C70875">
            <w:pPr>
              <w:rPr>
                <w:rFonts w:ascii="Arial" w:hAnsi="Arial" w:cs="Arial"/>
              </w:rPr>
            </w:pPr>
            <w:r w:rsidRPr="00D808F2">
              <w:rPr>
                <w:rFonts w:ascii="Arial" w:hAnsi="Arial" w:cs="Arial"/>
              </w:rPr>
              <w:t xml:space="preserve">By pooling income and purchasing centrally, the academy trust can provide better value in delivering the things its schools need and moves procurement away from frontline teaching staff. </w:t>
            </w:r>
          </w:p>
          <w:p w14:paraId="5F296411" w14:textId="77777777" w:rsidR="00D808F2" w:rsidRDefault="00D808F2" w:rsidP="00C70875">
            <w:pPr>
              <w:rPr>
                <w:rFonts w:ascii="Arial" w:hAnsi="Arial" w:cs="Arial"/>
              </w:rPr>
            </w:pPr>
          </w:p>
          <w:p w14:paraId="1AB2AD60" w14:textId="4835FD42" w:rsidR="00D808F2" w:rsidRDefault="00D808F2" w:rsidP="00C70875">
            <w:pPr>
              <w:rPr>
                <w:rFonts w:ascii="Arial" w:hAnsi="Arial" w:cs="Arial"/>
              </w:rPr>
            </w:pPr>
            <w:r>
              <w:rPr>
                <w:rFonts w:ascii="Arial" w:hAnsi="Arial" w:cs="Arial"/>
              </w:rPr>
              <w:t>[or]</w:t>
            </w:r>
          </w:p>
          <w:p w14:paraId="223C6206" w14:textId="77777777" w:rsidR="00D808F2" w:rsidRDefault="00D808F2" w:rsidP="00C70875">
            <w:pPr>
              <w:rPr>
                <w:rFonts w:ascii="Arial" w:hAnsi="Arial" w:cs="Arial"/>
              </w:rPr>
            </w:pPr>
          </w:p>
          <w:p w14:paraId="7F6B6821" w14:textId="66A6B9DC" w:rsidR="00595F8D" w:rsidRDefault="005863BC" w:rsidP="00C70875">
            <w:pPr>
              <w:rPr>
                <w:rFonts w:ascii="Arial" w:hAnsi="Arial" w:cs="Arial"/>
              </w:rPr>
            </w:pPr>
            <w:r>
              <w:rPr>
                <w:rFonts w:ascii="Arial" w:hAnsi="Arial" w:cs="Arial"/>
              </w:rPr>
              <w:t xml:space="preserve">Top slicing GAG allows the trust to fund centralised administrative support for schools so that school-level budgets can be used wholly for the provision of education. </w:t>
            </w:r>
          </w:p>
          <w:p w14:paraId="015675BA" w14:textId="77777777" w:rsidR="005863BC" w:rsidRDefault="005863BC" w:rsidP="00C70875">
            <w:pPr>
              <w:rPr>
                <w:rFonts w:ascii="Arial" w:hAnsi="Arial" w:cs="Arial"/>
              </w:rPr>
            </w:pPr>
          </w:p>
          <w:p w14:paraId="2B67FBF5" w14:textId="25E64ABE" w:rsidR="005863BC" w:rsidRDefault="005863BC" w:rsidP="00C70875">
            <w:pPr>
              <w:rPr>
                <w:rFonts w:ascii="Arial" w:hAnsi="Arial" w:cs="Arial"/>
              </w:rPr>
            </w:pPr>
            <w:r>
              <w:rPr>
                <w:rFonts w:ascii="Arial" w:hAnsi="Arial" w:cs="Arial"/>
              </w:rPr>
              <w:t>…</w:t>
            </w:r>
          </w:p>
          <w:p w14:paraId="1767589E" w14:textId="77777777" w:rsidR="005863BC" w:rsidRDefault="005863BC" w:rsidP="00C70875">
            <w:pPr>
              <w:rPr>
                <w:rFonts w:ascii="Arial" w:hAnsi="Arial" w:cs="Arial"/>
              </w:rPr>
            </w:pPr>
          </w:p>
          <w:p w14:paraId="30ECA49E" w14:textId="2E473CA5" w:rsidR="005863BC" w:rsidRDefault="005863BC" w:rsidP="00C70875">
            <w:pPr>
              <w:rPr>
                <w:rFonts w:ascii="Arial" w:hAnsi="Arial" w:cs="Arial"/>
              </w:rPr>
            </w:pPr>
            <w:r>
              <w:rPr>
                <w:rFonts w:ascii="Arial" w:hAnsi="Arial" w:cs="Arial"/>
              </w:rPr>
              <w:t>In pooling reserves, the academy trust believes that this model</w:t>
            </w:r>
            <w:r w:rsidR="00F241A7">
              <w:rPr>
                <w:rFonts w:ascii="Arial" w:hAnsi="Arial" w:cs="Arial"/>
              </w:rPr>
              <w:t xml:space="preserve"> </w:t>
            </w:r>
            <w:r>
              <w:rPr>
                <w:rFonts w:ascii="Arial" w:hAnsi="Arial" w:cs="Arial"/>
              </w:rPr>
              <w:t xml:space="preserve">gives the maximum flexibility for individual academies to target improvement projects that will benefit their </w:t>
            </w:r>
            <w:proofErr w:type="gramStart"/>
            <w:r>
              <w:rPr>
                <w:rFonts w:ascii="Arial" w:hAnsi="Arial" w:cs="Arial"/>
              </w:rPr>
              <w:t>particular contexts</w:t>
            </w:r>
            <w:proofErr w:type="gramEnd"/>
            <w:r>
              <w:rPr>
                <w:rFonts w:ascii="Arial" w:hAnsi="Arial" w:cs="Arial"/>
              </w:rPr>
              <w:t xml:space="preserve"> and pupil cohorts. </w:t>
            </w:r>
          </w:p>
          <w:p w14:paraId="6C54ABB9" w14:textId="77777777" w:rsidR="005863BC" w:rsidRDefault="005863BC" w:rsidP="00C70875">
            <w:pPr>
              <w:rPr>
                <w:rFonts w:ascii="Arial" w:hAnsi="Arial" w:cs="Arial"/>
              </w:rPr>
            </w:pPr>
          </w:p>
          <w:p w14:paraId="263192B2" w14:textId="40D1725A" w:rsidR="005863BC" w:rsidRDefault="005863BC" w:rsidP="00C70875">
            <w:pPr>
              <w:rPr>
                <w:rFonts w:ascii="Arial" w:hAnsi="Arial" w:cs="Arial"/>
              </w:rPr>
            </w:pPr>
            <w:r>
              <w:rPr>
                <w:rFonts w:ascii="Arial" w:hAnsi="Arial" w:cs="Arial"/>
              </w:rPr>
              <w:t>This aligns with</w:t>
            </w:r>
            <w:r w:rsidR="00F241A7">
              <w:rPr>
                <w:rFonts w:ascii="Arial" w:hAnsi="Arial" w:cs="Arial"/>
              </w:rPr>
              <w:t xml:space="preserve"> the trust strategy that academy leaders are best placed to understand the needs of their settings, with central oversight aimed at sharing best practice across our academies. </w:t>
            </w:r>
          </w:p>
          <w:p w14:paraId="143CE01E" w14:textId="77777777" w:rsidR="00F241A7" w:rsidRDefault="00F241A7" w:rsidP="00C70875">
            <w:pPr>
              <w:rPr>
                <w:rFonts w:ascii="Arial" w:hAnsi="Arial" w:cs="Arial"/>
              </w:rPr>
            </w:pPr>
          </w:p>
          <w:p w14:paraId="76171A55" w14:textId="4581DACD" w:rsidR="00F241A7" w:rsidRDefault="00F241A7" w:rsidP="00C70875">
            <w:r>
              <w:rPr>
                <w:rFonts w:ascii="Arial" w:hAnsi="Arial" w:cs="Arial"/>
              </w:rPr>
              <w:t xml:space="preserve">Where a project </w:t>
            </w:r>
            <w:r w:rsidR="00EB73BB">
              <w:rPr>
                <w:rFonts w:ascii="Arial" w:hAnsi="Arial" w:cs="Arial"/>
              </w:rPr>
              <w:t xml:space="preserve">or initiative would benefit the whole trust, we maintain a small central fund to finance trust-wide initiatives, procuring them centrally rather than at each of our academies individually to ensure maximum value for money. </w:t>
            </w:r>
          </w:p>
          <w:p w14:paraId="24F68FCA" w14:textId="77777777" w:rsidR="00C70875" w:rsidRPr="00C70875" w:rsidRDefault="00C70875" w:rsidP="00C70875"/>
        </w:tc>
      </w:tr>
    </w:tbl>
    <w:p w14:paraId="13C2EBCD" w14:textId="77777777" w:rsidR="00D55F87" w:rsidRDefault="00D55F87">
      <w:pPr>
        <w:rPr>
          <w:rFonts w:ascii="Arial" w:hAnsi="Arial" w:cs="Arial"/>
        </w:rPr>
      </w:pPr>
    </w:p>
    <w:p w14:paraId="07A76C70" w14:textId="11BCBD91" w:rsidR="00EB73BB" w:rsidRDefault="00EB73BB">
      <w:pPr>
        <w:rPr>
          <w:rFonts w:ascii="Arial" w:hAnsi="Arial" w:cs="Arial"/>
          <w:b/>
          <w:bCs/>
        </w:rPr>
      </w:pPr>
      <w:r>
        <w:rPr>
          <w:rFonts w:ascii="Arial" w:hAnsi="Arial" w:cs="Arial"/>
          <w:b/>
          <w:bCs/>
        </w:rPr>
        <w:t>Theme 3 – central services</w:t>
      </w:r>
    </w:p>
    <w:p w14:paraId="5918368E" w14:textId="649FC12C" w:rsidR="00EB73BB" w:rsidRDefault="00EB73BB">
      <w:pPr>
        <w:rPr>
          <w:rFonts w:ascii="Arial" w:hAnsi="Arial" w:cs="Arial"/>
        </w:rPr>
      </w:pPr>
      <w:r>
        <w:rPr>
          <w:rFonts w:ascii="Arial" w:hAnsi="Arial" w:cs="Arial"/>
        </w:rPr>
        <w:t xml:space="preserve">Academy trusts can operate central services that support all (or some) of the academies in their trust. </w:t>
      </w:r>
    </w:p>
    <w:p w14:paraId="46BCFD03" w14:textId="21AF0C96" w:rsidR="00EB73BB" w:rsidRDefault="00EB73BB">
      <w:pPr>
        <w:rPr>
          <w:rFonts w:ascii="Arial" w:hAnsi="Arial" w:cs="Arial"/>
        </w:rPr>
      </w:pPr>
      <w:r>
        <w:rPr>
          <w:rFonts w:ascii="Arial" w:hAnsi="Arial" w:cs="Arial"/>
        </w:rPr>
        <w:t>We have outlined our central services and charging basis in the following table:</w:t>
      </w:r>
    </w:p>
    <w:tbl>
      <w:tblPr>
        <w:tblStyle w:val="TableGrid"/>
        <w:tblW w:w="9067" w:type="dxa"/>
        <w:tblLayout w:type="fixed"/>
        <w:tblLook w:val="04A0" w:firstRow="1" w:lastRow="0" w:firstColumn="1" w:lastColumn="0" w:noHBand="0" w:noVBand="1"/>
      </w:tblPr>
      <w:tblGrid>
        <w:gridCol w:w="9067"/>
      </w:tblGrid>
      <w:tr w:rsidR="00D45756" w:rsidRPr="002D1EA6" w14:paraId="7D9C87C8" w14:textId="77777777" w:rsidTr="00BB532D">
        <w:trPr>
          <w:cantSplit/>
          <w:tblHeader/>
        </w:trPr>
        <w:tc>
          <w:tcPr>
            <w:tcW w:w="9067" w:type="dxa"/>
            <w:shd w:val="clear" w:color="auto" w:fill="CFDCE3"/>
            <w:vAlign w:val="center"/>
          </w:tcPr>
          <w:p w14:paraId="43D2809B" w14:textId="0EE5CDAC" w:rsidR="00D45756" w:rsidRPr="002D1EA6" w:rsidRDefault="00885473" w:rsidP="00BB532D">
            <w:pPr>
              <w:pStyle w:val="TableHeader"/>
            </w:pPr>
            <w:r>
              <w:t>Central services (derived from note 11 in AAD model accounts)</w:t>
            </w:r>
          </w:p>
        </w:tc>
      </w:tr>
      <w:tr w:rsidR="00D45756" w:rsidRPr="00C70875" w14:paraId="4B21DBEC" w14:textId="77777777" w:rsidTr="00BB532D">
        <w:tc>
          <w:tcPr>
            <w:tcW w:w="9067" w:type="dxa"/>
            <w:vAlign w:val="center"/>
          </w:tcPr>
          <w:p w14:paraId="6757944A" w14:textId="77777777" w:rsidR="000E5346" w:rsidRDefault="000E5346" w:rsidP="00BB532D">
            <w:pPr>
              <w:rPr>
                <w:rFonts w:ascii="Arial" w:hAnsi="Arial" w:cs="Arial"/>
              </w:rPr>
            </w:pPr>
          </w:p>
          <w:p w14:paraId="7A8CC8AF" w14:textId="21878720" w:rsidR="00885473" w:rsidRDefault="00885473" w:rsidP="00BB532D">
            <w:pPr>
              <w:rPr>
                <w:rFonts w:ascii="Arial" w:hAnsi="Arial" w:cs="Arial"/>
              </w:rPr>
            </w:pPr>
            <w:r>
              <w:rPr>
                <w:rFonts w:ascii="Arial" w:hAnsi="Arial" w:cs="Arial"/>
              </w:rPr>
              <w:t xml:space="preserve">The trust provides the following central services to its academies through a top slice charge of 5% of GAG to each academy: </w:t>
            </w:r>
          </w:p>
          <w:p w14:paraId="4B7DF0E1" w14:textId="77777777" w:rsidR="00885473" w:rsidRDefault="00885473" w:rsidP="00BB532D">
            <w:pPr>
              <w:rPr>
                <w:rFonts w:ascii="Arial" w:hAnsi="Arial" w:cs="Arial"/>
              </w:rPr>
            </w:pPr>
          </w:p>
          <w:p w14:paraId="3351EBB3" w14:textId="7F6F515C" w:rsidR="00885473" w:rsidRDefault="00885473" w:rsidP="00BB532D">
            <w:pPr>
              <w:rPr>
                <w:rFonts w:ascii="Arial" w:hAnsi="Arial" w:cs="Arial"/>
              </w:rPr>
            </w:pPr>
            <w:r>
              <w:rPr>
                <w:rFonts w:ascii="Arial" w:hAnsi="Arial" w:cs="Arial"/>
              </w:rPr>
              <w:t>[or]</w:t>
            </w:r>
          </w:p>
          <w:p w14:paraId="17CA2264" w14:textId="77777777" w:rsidR="00885473" w:rsidRDefault="00885473" w:rsidP="00BB532D">
            <w:pPr>
              <w:rPr>
                <w:rFonts w:ascii="Arial" w:hAnsi="Arial" w:cs="Arial"/>
              </w:rPr>
            </w:pPr>
          </w:p>
          <w:p w14:paraId="40BC40BD" w14:textId="1A8B18FA" w:rsidR="00885473" w:rsidRDefault="00885473" w:rsidP="00BB532D">
            <w:pPr>
              <w:rPr>
                <w:rFonts w:ascii="Arial" w:hAnsi="Arial" w:cs="Arial"/>
              </w:rPr>
            </w:pPr>
            <w:r>
              <w:rPr>
                <w:rFonts w:ascii="Arial" w:hAnsi="Arial" w:cs="Arial"/>
              </w:rPr>
              <w:t>The trust provides the following central services to its academies, paid through pooled income from all academies:</w:t>
            </w:r>
          </w:p>
          <w:p w14:paraId="5E22334A" w14:textId="77777777" w:rsidR="00885473" w:rsidRDefault="00885473" w:rsidP="00BB532D">
            <w:pPr>
              <w:rPr>
                <w:rFonts w:ascii="Arial" w:hAnsi="Arial" w:cs="Arial"/>
              </w:rPr>
            </w:pPr>
          </w:p>
          <w:p w14:paraId="37D050CD" w14:textId="6DDF18DD" w:rsidR="00885473" w:rsidRDefault="00885473" w:rsidP="00BB532D">
            <w:pPr>
              <w:rPr>
                <w:rFonts w:ascii="Arial" w:hAnsi="Arial" w:cs="Arial"/>
              </w:rPr>
            </w:pPr>
            <w:r>
              <w:rPr>
                <w:rFonts w:ascii="Arial" w:hAnsi="Arial" w:cs="Arial"/>
              </w:rPr>
              <w:t xml:space="preserve">[Insert </w:t>
            </w:r>
            <w:r w:rsidR="005602B4">
              <w:rPr>
                <w:rFonts w:ascii="Arial" w:hAnsi="Arial" w:cs="Arial"/>
              </w:rPr>
              <w:t xml:space="preserve">a list of </w:t>
            </w:r>
            <w:hyperlink r:id="rId9" w:history="1">
              <w:r w:rsidRPr="009561EF">
                <w:rPr>
                  <w:rStyle w:val="Hyperlink"/>
                  <w:rFonts w:ascii="Arial" w:hAnsi="Arial" w:cs="Arial"/>
                </w:rPr>
                <w:t>applicable central services</w:t>
              </w:r>
            </w:hyperlink>
            <w:r>
              <w:rPr>
                <w:rFonts w:ascii="Arial" w:hAnsi="Arial" w:cs="Arial"/>
              </w:rPr>
              <w:t>]</w:t>
            </w:r>
          </w:p>
          <w:p w14:paraId="336588DD" w14:textId="77777777" w:rsidR="00885473" w:rsidRDefault="00885473" w:rsidP="00BB532D">
            <w:pPr>
              <w:rPr>
                <w:rFonts w:ascii="Arial" w:hAnsi="Arial" w:cs="Arial"/>
              </w:rPr>
            </w:pPr>
          </w:p>
          <w:p w14:paraId="024FD16C" w14:textId="77777777" w:rsidR="00D45756" w:rsidRPr="00C70875" w:rsidRDefault="00D45756" w:rsidP="00D45756"/>
        </w:tc>
      </w:tr>
    </w:tbl>
    <w:p w14:paraId="1337194E" w14:textId="04E47AC0" w:rsidR="00D45756" w:rsidRDefault="009A402A">
      <w:pPr>
        <w:rPr>
          <w:rFonts w:ascii="Arial" w:hAnsi="Arial" w:cs="Arial"/>
          <w:b/>
          <w:bCs/>
        </w:rPr>
      </w:pPr>
      <w:r>
        <w:rPr>
          <w:rFonts w:ascii="Arial" w:hAnsi="Arial" w:cs="Arial"/>
          <w:b/>
          <w:bCs/>
        </w:rPr>
        <w:lastRenderedPageBreak/>
        <w:t xml:space="preserve">Theme 4 – expenditure </w:t>
      </w:r>
      <w:r w:rsidR="003D3DDC">
        <w:rPr>
          <w:rFonts w:ascii="Arial" w:hAnsi="Arial" w:cs="Arial"/>
          <w:b/>
          <w:bCs/>
        </w:rPr>
        <w:t>by academy</w:t>
      </w:r>
    </w:p>
    <w:p w14:paraId="2C3645E2" w14:textId="7CA66225" w:rsidR="003D3DDC" w:rsidRDefault="00894B18">
      <w:pPr>
        <w:rPr>
          <w:rFonts w:ascii="Arial" w:hAnsi="Arial" w:cs="Arial"/>
        </w:rPr>
      </w:pPr>
      <w:r>
        <w:rPr>
          <w:rFonts w:ascii="Arial" w:hAnsi="Arial" w:cs="Arial"/>
        </w:rPr>
        <w:t xml:space="preserve">We have provided the following information on income and expenditure by academy, including the amount spent on central services to support </w:t>
      </w:r>
      <w:proofErr w:type="gramStart"/>
      <w:r>
        <w:rPr>
          <w:rFonts w:ascii="Arial" w:hAnsi="Arial" w:cs="Arial"/>
        </w:rPr>
        <w:t>all of</w:t>
      </w:r>
      <w:proofErr w:type="gramEnd"/>
      <w:r>
        <w:rPr>
          <w:rFonts w:ascii="Arial" w:hAnsi="Arial" w:cs="Arial"/>
        </w:rPr>
        <w:t xml:space="preserve"> our academies. </w:t>
      </w:r>
    </w:p>
    <w:p w14:paraId="0561329B" w14:textId="2C233F7A" w:rsidR="00894B18" w:rsidRDefault="00AF5FEE">
      <w:pPr>
        <w:rPr>
          <w:rFonts w:ascii="Arial" w:hAnsi="Arial" w:cs="Arial"/>
          <w:b/>
          <w:bCs/>
        </w:rPr>
      </w:pPr>
      <w:r>
        <w:rPr>
          <w:rFonts w:ascii="Arial" w:hAnsi="Arial" w:cs="Arial"/>
          <w:b/>
          <w:bCs/>
        </w:rPr>
        <w:t>Expenditure by academy (derived from note 20 in AAD model accounts)</w:t>
      </w:r>
    </w:p>
    <w:p w14:paraId="3E5978B6" w14:textId="0292BAA0" w:rsidR="00AF5FEE" w:rsidRDefault="00670D68">
      <w:pPr>
        <w:rPr>
          <w:rFonts w:ascii="Arial" w:hAnsi="Arial" w:cs="Arial"/>
        </w:rPr>
      </w:pPr>
      <w:r>
        <w:rPr>
          <w:rFonts w:ascii="Arial" w:hAnsi="Arial" w:cs="Arial"/>
        </w:rPr>
        <w:t xml:space="preserve">The following table shows the total DfE revenue income for each academy, split by GAG and other income. It then shows the actual amount charged as a top slice to fund central </w:t>
      </w:r>
      <w:r w:rsidR="00D01632">
        <w:rPr>
          <w:rFonts w:ascii="Arial" w:hAnsi="Arial" w:cs="Arial"/>
        </w:rPr>
        <w:t xml:space="preserve">services and the total expenditure for each academy. </w:t>
      </w:r>
    </w:p>
    <w:tbl>
      <w:tblPr>
        <w:tblStyle w:val="TableGrid"/>
        <w:tblW w:w="9067" w:type="dxa"/>
        <w:tblLayout w:type="fixed"/>
        <w:tblLook w:val="04A0" w:firstRow="1" w:lastRow="0" w:firstColumn="1" w:lastColumn="0" w:noHBand="0" w:noVBand="1"/>
      </w:tblPr>
      <w:tblGrid>
        <w:gridCol w:w="1555"/>
        <w:gridCol w:w="1701"/>
        <w:gridCol w:w="1701"/>
        <w:gridCol w:w="1842"/>
        <w:gridCol w:w="2268"/>
      </w:tblGrid>
      <w:tr w:rsidR="00732469" w:rsidRPr="005D30EF" w14:paraId="430B6551" w14:textId="77777777" w:rsidTr="00732469">
        <w:trPr>
          <w:cantSplit/>
          <w:tblHeader/>
        </w:trPr>
        <w:tc>
          <w:tcPr>
            <w:tcW w:w="1555" w:type="dxa"/>
            <w:shd w:val="clear" w:color="auto" w:fill="CFDCE3"/>
            <w:vAlign w:val="center"/>
          </w:tcPr>
          <w:p w14:paraId="3986AC3D" w14:textId="24A19264" w:rsidR="00732469" w:rsidRPr="0040025C" w:rsidRDefault="00732469" w:rsidP="00BB532D">
            <w:pPr>
              <w:pStyle w:val="TableHeader"/>
              <w:rPr>
                <w:rFonts w:cs="Arial"/>
              </w:rPr>
            </w:pPr>
            <w:r w:rsidRPr="0040025C">
              <w:rPr>
                <w:rFonts w:cs="Arial"/>
              </w:rPr>
              <w:t>-</w:t>
            </w:r>
          </w:p>
        </w:tc>
        <w:tc>
          <w:tcPr>
            <w:tcW w:w="1701" w:type="dxa"/>
            <w:shd w:val="clear" w:color="auto" w:fill="CFDCE3"/>
            <w:vAlign w:val="center"/>
          </w:tcPr>
          <w:p w14:paraId="7E8A8217" w14:textId="35967B37" w:rsidR="00732469" w:rsidRPr="0040025C" w:rsidRDefault="00732469" w:rsidP="00BB532D">
            <w:pPr>
              <w:pStyle w:val="TableHeader"/>
              <w:rPr>
                <w:rFonts w:cs="Arial"/>
              </w:rPr>
            </w:pPr>
            <w:r w:rsidRPr="0040025C">
              <w:rPr>
                <w:rFonts w:cs="Arial"/>
              </w:rPr>
              <w:t>Funding received from DfE</w:t>
            </w:r>
          </w:p>
        </w:tc>
        <w:tc>
          <w:tcPr>
            <w:tcW w:w="1701" w:type="dxa"/>
            <w:shd w:val="clear" w:color="auto" w:fill="CFDCE3"/>
            <w:vAlign w:val="center"/>
          </w:tcPr>
          <w:p w14:paraId="22AD95B5" w14:textId="6B96DE93" w:rsidR="00732469" w:rsidRPr="0040025C" w:rsidRDefault="00732469" w:rsidP="00BB532D">
            <w:pPr>
              <w:pStyle w:val="TableHeader"/>
              <w:rPr>
                <w:rFonts w:cs="Arial"/>
              </w:rPr>
            </w:pPr>
            <w:r w:rsidRPr="0040025C">
              <w:rPr>
                <w:rFonts w:cs="Arial"/>
              </w:rPr>
              <w:t>Funding received from DfE</w:t>
            </w:r>
          </w:p>
        </w:tc>
        <w:tc>
          <w:tcPr>
            <w:tcW w:w="1842" w:type="dxa"/>
            <w:shd w:val="clear" w:color="auto" w:fill="CFDCE3"/>
            <w:vAlign w:val="center"/>
          </w:tcPr>
          <w:p w14:paraId="78550336" w14:textId="5AC720C7" w:rsidR="00732469" w:rsidRPr="0040025C" w:rsidRDefault="002844DA" w:rsidP="00BB532D">
            <w:pPr>
              <w:pStyle w:val="TableHeader"/>
              <w:rPr>
                <w:rFonts w:cs="Arial"/>
              </w:rPr>
            </w:pPr>
            <w:r>
              <w:rPr>
                <w:rFonts w:cs="Arial"/>
              </w:rPr>
              <w:t>-</w:t>
            </w:r>
          </w:p>
        </w:tc>
        <w:tc>
          <w:tcPr>
            <w:tcW w:w="2268" w:type="dxa"/>
            <w:shd w:val="clear" w:color="auto" w:fill="CFDCE3"/>
            <w:vAlign w:val="center"/>
          </w:tcPr>
          <w:p w14:paraId="7069333D" w14:textId="2441659C" w:rsidR="00732469" w:rsidRPr="0040025C" w:rsidRDefault="002844DA" w:rsidP="00BB532D">
            <w:pPr>
              <w:pStyle w:val="TableHeader"/>
              <w:rPr>
                <w:rFonts w:cs="Arial"/>
              </w:rPr>
            </w:pPr>
            <w:r>
              <w:rPr>
                <w:rFonts w:cs="Arial"/>
              </w:rPr>
              <w:t>-</w:t>
            </w:r>
          </w:p>
        </w:tc>
      </w:tr>
      <w:tr w:rsidR="00732469" w14:paraId="0D9209EA" w14:textId="77777777" w:rsidTr="00732469">
        <w:trPr>
          <w:cantSplit/>
          <w:tblHeader/>
        </w:trPr>
        <w:tc>
          <w:tcPr>
            <w:tcW w:w="1555" w:type="dxa"/>
            <w:vAlign w:val="center"/>
          </w:tcPr>
          <w:p w14:paraId="273AB336" w14:textId="229EC611" w:rsidR="00732469" w:rsidRPr="0040025C" w:rsidRDefault="00732469" w:rsidP="00BB532D">
            <w:pPr>
              <w:pStyle w:val="TableRow"/>
              <w:rPr>
                <w:rFonts w:ascii="Arial" w:hAnsi="Arial" w:cs="Arial"/>
              </w:rPr>
            </w:pPr>
            <w:r w:rsidRPr="0040025C">
              <w:rPr>
                <w:rFonts w:ascii="Arial" w:hAnsi="Arial" w:cs="Arial"/>
              </w:rPr>
              <w:t>School</w:t>
            </w:r>
          </w:p>
        </w:tc>
        <w:tc>
          <w:tcPr>
            <w:tcW w:w="1701" w:type="dxa"/>
            <w:vAlign w:val="center"/>
          </w:tcPr>
          <w:p w14:paraId="11F9EFD8" w14:textId="2E6E6C59" w:rsidR="00732469" w:rsidRPr="0040025C" w:rsidRDefault="00732469" w:rsidP="00BB532D">
            <w:pPr>
              <w:pStyle w:val="TableRow"/>
              <w:rPr>
                <w:rFonts w:ascii="Arial" w:hAnsi="Arial" w:cs="Arial"/>
              </w:rPr>
            </w:pPr>
            <w:r w:rsidRPr="0040025C">
              <w:rPr>
                <w:rFonts w:ascii="Arial" w:hAnsi="Arial" w:cs="Arial"/>
              </w:rPr>
              <w:t>Total GAG received including 16 to 19 funding</w:t>
            </w:r>
          </w:p>
        </w:tc>
        <w:tc>
          <w:tcPr>
            <w:tcW w:w="1701" w:type="dxa"/>
            <w:vAlign w:val="center"/>
          </w:tcPr>
          <w:p w14:paraId="67A8F9AF" w14:textId="77777777" w:rsidR="00732469" w:rsidRPr="0040025C" w:rsidRDefault="00732469" w:rsidP="00BB532D">
            <w:pPr>
              <w:pStyle w:val="TableRow"/>
              <w:rPr>
                <w:rFonts w:ascii="Arial" w:hAnsi="Arial" w:cs="Arial"/>
              </w:rPr>
            </w:pPr>
            <w:r w:rsidRPr="0040025C">
              <w:rPr>
                <w:rFonts w:ascii="Arial" w:hAnsi="Arial" w:cs="Arial"/>
              </w:rPr>
              <w:t>Total other DfE grants (*1)</w:t>
            </w:r>
          </w:p>
          <w:p w14:paraId="304D946C" w14:textId="77777777" w:rsidR="00732469" w:rsidRPr="0040025C" w:rsidRDefault="00732469" w:rsidP="00517726">
            <w:pPr>
              <w:rPr>
                <w:rFonts w:ascii="Arial" w:hAnsi="Arial" w:cs="Arial"/>
              </w:rPr>
            </w:pPr>
          </w:p>
          <w:p w14:paraId="3C72E10C" w14:textId="33581024" w:rsidR="00732469" w:rsidRPr="0040025C" w:rsidRDefault="00732469" w:rsidP="00517726">
            <w:pPr>
              <w:rPr>
                <w:rFonts w:ascii="Arial" w:hAnsi="Arial" w:cs="Arial"/>
              </w:rPr>
            </w:pPr>
          </w:p>
        </w:tc>
        <w:tc>
          <w:tcPr>
            <w:tcW w:w="1842" w:type="dxa"/>
            <w:vAlign w:val="center"/>
          </w:tcPr>
          <w:p w14:paraId="1E307050" w14:textId="43E75FD7" w:rsidR="00732469" w:rsidRPr="0040025C" w:rsidRDefault="00732469" w:rsidP="00BB532D">
            <w:pPr>
              <w:pStyle w:val="TableRow"/>
              <w:rPr>
                <w:rFonts w:ascii="Arial" w:hAnsi="Arial" w:cs="Arial"/>
              </w:rPr>
            </w:pPr>
            <w:r w:rsidRPr="0040025C">
              <w:rPr>
                <w:rFonts w:ascii="Arial" w:hAnsi="Arial" w:cs="Arial"/>
              </w:rPr>
              <w:t>Amount taken as top slice to fund central services</w:t>
            </w:r>
          </w:p>
        </w:tc>
        <w:tc>
          <w:tcPr>
            <w:tcW w:w="2268" w:type="dxa"/>
            <w:vAlign w:val="center"/>
          </w:tcPr>
          <w:p w14:paraId="6CF1E27F" w14:textId="77777777" w:rsidR="00732469" w:rsidRPr="0040025C" w:rsidRDefault="00732469" w:rsidP="00BB532D">
            <w:pPr>
              <w:pStyle w:val="TableRow"/>
              <w:rPr>
                <w:rFonts w:ascii="Arial" w:hAnsi="Arial" w:cs="Arial"/>
              </w:rPr>
            </w:pPr>
            <w:r w:rsidRPr="0040025C">
              <w:rPr>
                <w:rFonts w:ascii="Arial" w:hAnsi="Arial" w:cs="Arial"/>
              </w:rPr>
              <w:t>Total expenditure</w:t>
            </w:r>
          </w:p>
          <w:p w14:paraId="7346AEA0" w14:textId="77777777" w:rsidR="00732469" w:rsidRPr="0040025C" w:rsidRDefault="00732469" w:rsidP="00F56940">
            <w:pPr>
              <w:rPr>
                <w:rFonts w:ascii="Arial" w:hAnsi="Arial" w:cs="Arial"/>
              </w:rPr>
            </w:pPr>
          </w:p>
          <w:p w14:paraId="753493E1" w14:textId="77777777" w:rsidR="00732469" w:rsidRPr="0040025C" w:rsidRDefault="00732469" w:rsidP="00F56940">
            <w:pPr>
              <w:rPr>
                <w:rFonts w:ascii="Arial" w:hAnsi="Arial" w:cs="Arial"/>
              </w:rPr>
            </w:pPr>
          </w:p>
          <w:p w14:paraId="43517691" w14:textId="2A28CDC5" w:rsidR="00732469" w:rsidRPr="0040025C" w:rsidRDefault="00732469" w:rsidP="00F56940">
            <w:pPr>
              <w:rPr>
                <w:rFonts w:ascii="Arial" w:hAnsi="Arial" w:cs="Arial"/>
              </w:rPr>
            </w:pPr>
          </w:p>
        </w:tc>
      </w:tr>
      <w:tr w:rsidR="00732469" w14:paraId="70C84892" w14:textId="77777777" w:rsidTr="00732469">
        <w:trPr>
          <w:cantSplit/>
          <w:tblHeader/>
        </w:trPr>
        <w:tc>
          <w:tcPr>
            <w:tcW w:w="1555" w:type="dxa"/>
            <w:vAlign w:val="center"/>
          </w:tcPr>
          <w:p w14:paraId="3692FBD9" w14:textId="728B3A0B" w:rsidR="00732469" w:rsidRPr="0040025C" w:rsidRDefault="00732469" w:rsidP="00BB532D">
            <w:pPr>
              <w:pStyle w:val="TableRow"/>
              <w:rPr>
                <w:rFonts w:ascii="Arial" w:hAnsi="Arial" w:cs="Arial"/>
              </w:rPr>
            </w:pPr>
            <w:r w:rsidRPr="0040025C">
              <w:rPr>
                <w:rFonts w:ascii="Arial" w:hAnsi="Arial" w:cs="Arial"/>
              </w:rPr>
              <w:t>Boomtown Academy</w:t>
            </w:r>
          </w:p>
        </w:tc>
        <w:tc>
          <w:tcPr>
            <w:tcW w:w="1701" w:type="dxa"/>
            <w:vAlign w:val="center"/>
          </w:tcPr>
          <w:p w14:paraId="3FD48342" w14:textId="65EA7D24" w:rsidR="00732469" w:rsidRPr="0040025C" w:rsidRDefault="00732469" w:rsidP="00BB532D">
            <w:pPr>
              <w:pStyle w:val="TableRow"/>
              <w:rPr>
                <w:rFonts w:ascii="Arial" w:hAnsi="Arial" w:cs="Arial"/>
              </w:rPr>
            </w:pPr>
            <w:r w:rsidRPr="0040025C">
              <w:rPr>
                <w:rFonts w:ascii="Arial" w:hAnsi="Arial" w:cs="Arial"/>
              </w:rPr>
              <w:t>£1,300,000</w:t>
            </w:r>
          </w:p>
        </w:tc>
        <w:tc>
          <w:tcPr>
            <w:tcW w:w="1701" w:type="dxa"/>
            <w:vAlign w:val="center"/>
          </w:tcPr>
          <w:p w14:paraId="56BC4322" w14:textId="730E0DFA" w:rsidR="00732469" w:rsidRPr="0040025C" w:rsidRDefault="00732469" w:rsidP="00BB532D">
            <w:pPr>
              <w:pStyle w:val="TableRow"/>
              <w:rPr>
                <w:rFonts w:ascii="Arial" w:hAnsi="Arial" w:cs="Arial"/>
              </w:rPr>
            </w:pPr>
            <w:r w:rsidRPr="0040025C">
              <w:rPr>
                <w:rFonts w:ascii="Arial" w:hAnsi="Arial" w:cs="Arial"/>
              </w:rPr>
              <w:t>£123,000</w:t>
            </w:r>
          </w:p>
        </w:tc>
        <w:tc>
          <w:tcPr>
            <w:tcW w:w="1842" w:type="dxa"/>
            <w:vAlign w:val="center"/>
          </w:tcPr>
          <w:p w14:paraId="0F68461F" w14:textId="3CA60E5D" w:rsidR="00732469" w:rsidRPr="0040025C" w:rsidRDefault="00732469" w:rsidP="00BB532D">
            <w:pPr>
              <w:pStyle w:val="TableRow"/>
              <w:rPr>
                <w:rFonts w:ascii="Arial" w:hAnsi="Arial" w:cs="Arial"/>
              </w:rPr>
            </w:pPr>
            <w:r w:rsidRPr="0040025C">
              <w:rPr>
                <w:rFonts w:ascii="Arial" w:hAnsi="Arial" w:cs="Arial"/>
              </w:rPr>
              <w:t>£65,000</w:t>
            </w:r>
          </w:p>
        </w:tc>
        <w:tc>
          <w:tcPr>
            <w:tcW w:w="2268" w:type="dxa"/>
            <w:vAlign w:val="center"/>
          </w:tcPr>
          <w:p w14:paraId="2E56D3C7" w14:textId="454028AF" w:rsidR="00732469" w:rsidRPr="0040025C" w:rsidRDefault="00732469" w:rsidP="00BB532D">
            <w:pPr>
              <w:pStyle w:val="TableRow"/>
              <w:rPr>
                <w:rFonts w:ascii="Arial" w:hAnsi="Arial" w:cs="Arial"/>
              </w:rPr>
            </w:pPr>
            <w:r w:rsidRPr="0040025C">
              <w:rPr>
                <w:rFonts w:ascii="Arial" w:hAnsi="Arial" w:cs="Arial"/>
              </w:rPr>
              <w:t>£1,500,000</w:t>
            </w:r>
          </w:p>
        </w:tc>
      </w:tr>
      <w:tr w:rsidR="00732469" w14:paraId="4D714907" w14:textId="77777777" w:rsidTr="00732469">
        <w:trPr>
          <w:cantSplit/>
          <w:tblHeader/>
        </w:trPr>
        <w:tc>
          <w:tcPr>
            <w:tcW w:w="1555" w:type="dxa"/>
            <w:vAlign w:val="center"/>
          </w:tcPr>
          <w:p w14:paraId="4E94FC34" w14:textId="314A8E60" w:rsidR="00732469" w:rsidRPr="0040025C" w:rsidRDefault="00732469" w:rsidP="00BB532D">
            <w:pPr>
              <w:pStyle w:val="TableRow"/>
              <w:rPr>
                <w:rFonts w:ascii="Arial" w:hAnsi="Arial" w:cs="Arial"/>
              </w:rPr>
            </w:pPr>
            <w:r w:rsidRPr="0040025C">
              <w:rPr>
                <w:rFonts w:ascii="Arial" w:hAnsi="Arial" w:cs="Arial"/>
              </w:rPr>
              <w:t>Hopetown Academy</w:t>
            </w:r>
          </w:p>
        </w:tc>
        <w:tc>
          <w:tcPr>
            <w:tcW w:w="1701" w:type="dxa"/>
            <w:vAlign w:val="center"/>
          </w:tcPr>
          <w:p w14:paraId="449C37C6" w14:textId="06F7328A" w:rsidR="00732469" w:rsidRPr="0040025C" w:rsidRDefault="00732469" w:rsidP="00BB532D">
            <w:pPr>
              <w:pStyle w:val="TableRow"/>
              <w:rPr>
                <w:rFonts w:ascii="Arial" w:hAnsi="Arial" w:cs="Arial"/>
              </w:rPr>
            </w:pPr>
            <w:r w:rsidRPr="0040025C">
              <w:rPr>
                <w:rFonts w:ascii="Arial" w:hAnsi="Arial" w:cs="Arial"/>
              </w:rPr>
              <w:t>£800,000</w:t>
            </w:r>
          </w:p>
        </w:tc>
        <w:tc>
          <w:tcPr>
            <w:tcW w:w="1701" w:type="dxa"/>
            <w:vAlign w:val="center"/>
          </w:tcPr>
          <w:p w14:paraId="38147B73" w14:textId="479A9393" w:rsidR="00732469" w:rsidRPr="0040025C" w:rsidRDefault="00732469" w:rsidP="00BB532D">
            <w:pPr>
              <w:pStyle w:val="TableRow"/>
              <w:rPr>
                <w:rFonts w:ascii="Arial" w:hAnsi="Arial" w:cs="Arial"/>
              </w:rPr>
            </w:pPr>
            <w:r w:rsidRPr="0040025C">
              <w:rPr>
                <w:rFonts w:ascii="Arial" w:hAnsi="Arial" w:cs="Arial"/>
              </w:rPr>
              <w:t>£115,000</w:t>
            </w:r>
          </w:p>
        </w:tc>
        <w:tc>
          <w:tcPr>
            <w:tcW w:w="1842" w:type="dxa"/>
            <w:vAlign w:val="center"/>
          </w:tcPr>
          <w:p w14:paraId="04D0C06D" w14:textId="26ACBA36" w:rsidR="00732469" w:rsidRPr="0040025C" w:rsidRDefault="00732469" w:rsidP="00BB532D">
            <w:pPr>
              <w:pStyle w:val="TableRow"/>
              <w:rPr>
                <w:rFonts w:ascii="Arial" w:hAnsi="Arial" w:cs="Arial"/>
              </w:rPr>
            </w:pPr>
            <w:r w:rsidRPr="0040025C">
              <w:rPr>
                <w:rFonts w:ascii="Arial" w:hAnsi="Arial" w:cs="Arial"/>
              </w:rPr>
              <w:t>£40,000</w:t>
            </w:r>
          </w:p>
        </w:tc>
        <w:tc>
          <w:tcPr>
            <w:tcW w:w="2268" w:type="dxa"/>
            <w:vAlign w:val="center"/>
          </w:tcPr>
          <w:p w14:paraId="5772BA50" w14:textId="75F75952" w:rsidR="00732469" w:rsidRPr="0040025C" w:rsidRDefault="00732469" w:rsidP="00BB532D">
            <w:pPr>
              <w:pStyle w:val="TableRow"/>
              <w:rPr>
                <w:rFonts w:ascii="Arial" w:hAnsi="Arial" w:cs="Arial"/>
              </w:rPr>
            </w:pPr>
            <w:r w:rsidRPr="0040025C">
              <w:rPr>
                <w:rFonts w:ascii="Arial" w:hAnsi="Arial" w:cs="Arial"/>
              </w:rPr>
              <w:t>£950,000</w:t>
            </w:r>
          </w:p>
        </w:tc>
      </w:tr>
      <w:tr w:rsidR="00732469" w14:paraId="4A024F90" w14:textId="77777777" w:rsidTr="00732469">
        <w:trPr>
          <w:cantSplit/>
          <w:tblHeader/>
        </w:trPr>
        <w:tc>
          <w:tcPr>
            <w:tcW w:w="1555" w:type="dxa"/>
            <w:vAlign w:val="center"/>
          </w:tcPr>
          <w:p w14:paraId="14FE5B97" w14:textId="31D5F52C" w:rsidR="00732469" w:rsidRPr="0040025C" w:rsidRDefault="00732469" w:rsidP="00BB532D">
            <w:pPr>
              <w:pStyle w:val="TableRow"/>
              <w:rPr>
                <w:rFonts w:ascii="Arial" w:hAnsi="Arial" w:cs="Arial"/>
              </w:rPr>
            </w:pPr>
            <w:r w:rsidRPr="0040025C">
              <w:rPr>
                <w:rFonts w:ascii="Arial" w:hAnsi="Arial" w:cs="Arial"/>
              </w:rPr>
              <w:t>Newtown Academy</w:t>
            </w:r>
          </w:p>
        </w:tc>
        <w:tc>
          <w:tcPr>
            <w:tcW w:w="1701" w:type="dxa"/>
            <w:vAlign w:val="center"/>
          </w:tcPr>
          <w:p w14:paraId="7D0C6547" w14:textId="08C11737" w:rsidR="00732469" w:rsidRPr="0040025C" w:rsidRDefault="00732469" w:rsidP="00BB532D">
            <w:pPr>
              <w:pStyle w:val="TableRow"/>
              <w:rPr>
                <w:rFonts w:ascii="Arial" w:hAnsi="Arial" w:cs="Arial"/>
              </w:rPr>
            </w:pPr>
            <w:r w:rsidRPr="0040025C">
              <w:rPr>
                <w:rFonts w:ascii="Arial" w:hAnsi="Arial" w:cs="Arial"/>
              </w:rPr>
              <w:t>£2,400,000</w:t>
            </w:r>
          </w:p>
        </w:tc>
        <w:tc>
          <w:tcPr>
            <w:tcW w:w="1701" w:type="dxa"/>
            <w:vAlign w:val="center"/>
          </w:tcPr>
          <w:p w14:paraId="5F964230" w14:textId="1AB97DC5" w:rsidR="00732469" w:rsidRPr="0040025C" w:rsidRDefault="00732469" w:rsidP="00BB532D">
            <w:pPr>
              <w:pStyle w:val="TableRow"/>
              <w:rPr>
                <w:rFonts w:ascii="Arial" w:hAnsi="Arial" w:cs="Arial"/>
              </w:rPr>
            </w:pPr>
            <w:r w:rsidRPr="0040025C">
              <w:rPr>
                <w:rFonts w:ascii="Arial" w:hAnsi="Arial" w:cs="Arial"/>
              </w:rPr>
              <w:t>£247,000</w:t>
            </w:r>
          </w:p>
        </w:tc>
        <w:tc>
          <w:tcPr>
            <w:tcW w:w="1842" w:type="dxa"/>
            <w:vAlign w:val="center"/>
          </w:tcPr>
          <w:p w14:paraId="22760CC5" w14:textId="6E7A5FC4" w:rsidR="00732469" w:rsidRPr="0040025C" w:rsidRDefault="00732469" w:rsidP="00BB532D">
            <w:pPr>
              <w:pStyle w:val="TableRow"/>
              <w:rPr>
                <w:rFonts w:ascii="Arial" w:hAnsi="Arial" w:cs="Arial"/>
              </w:rPr>
            </w:pPr>
            <w:r w:rsidRPr="0040025C">
              <w:rPr>
                <w:rFonts w:ascii="Arial" w:hAnsi="Arial" w:cs="Arial"/>
              </w:rPr>
              <w:t>£120,000</w:t>
            </w:r>
          </w:p>
        </w:tc>
        <w:tc>
          <w:tcPr>
            <w:tcW w:w="2268" w:type="dxa"/>
            <w:vAlign w:val="center"/>
          </w:tcPr>
          <w:p w14:paraId="25D4B989" w14:textId="7054D684" w:rsidR="00732469" w:rsidRPr="0040025C" w:rsidRDefault="00732469" w:rsidP="00BB532D">
            <w:pPr>
              <w:pStyle w:val="TableRow"/>
              <w:rPr>
                <w:rFonts w:ascii="Arial" w:hAnsi="Arial" w:cs="Arial"/>
              </w:rPr>
            </w:pPr>
            <w:r w:rsidRPr="0040025C">
              <w:rPr>
                <w:rFonts w:ascii="Arial" w:hAnsi="Arial" w:cs="Arial"/>
              </w:rPr>
              <w:t>£2,600,000</w:t>
            </w:r>
          </w:p>
        </w:tc>
      </w:tr>
      <w:tr w:rsidR="00732469" w14:paraId="63072399" w14:textId="77777777" w:rsidTr="00732469">
        <w:trPr>
          <w:cantSplit/>
          <w:tblHeader/>
        </w:trPr>
        <w:tc>
          <w:tcPr>
            <w:tcW w:w="1555" w:type="dxa"/>
            <w:vAlign w:val="center"/>
          </w:tcPr>
          <w:p w14:paraId="2E643B4E" w14:textId="2A55A1D9" w:rsidR="00732469" w:rsidRPr="0040025C" w:rsidRDefault="00732469" w:rsidP="00BB532D">
            <w:pPr>
              <w:pStyle w:val="TableRow"/>
              <w:rPr>
                <w:rFonts w:ascii="Arial" w:hAnsi="Arial" w:cs="Arial"/>
              </w:rPr>
            </w:pPr>
            <w:r w:rsidRPr="0040025C">
              <w:rPr>
                <w:rFonts w:ascii="Arial" w:hAnsi="Arial" w:cs="Arial"/>
              </w:rPr>
              <w:t>Central services (*2)</w:t>
            </w:r>
          </w:p>
        </w:tc>
        <w:tc>
          <w:tcPr>
            <w:tcW w:w="1701" w:type="dxa"/>
            <w:vAlign w:val="center"/>
          </w:tcPr>
          <w:p w14:paraId="5643F44E" w14:textId="5418C86C" w:rsidR="00732469" w:rsidRPr="0040025C" w:rsidRDefault="00732469" w:rsidP="00BB532D">
            <w:pPr>
              <w:pStyle w:val="TableRow"/>
              <w:rPr>
                <w:rFonts w:ascii="Arial" w:hAnsi="Arial" w:cs="Arial"/>
              </w:rPr>
            </w:pPr>
            <w:r w:rsidRPr="0040025C">
              <w:rPr>
                <w:rFonts w:ascii="Arial" w:hAnsi="Arial" w:cs="Arial"/>
              </w:rPr>
              <w:t>Nil</w:t>
            </w:r>
          </w:p>
        </w:tc>
        <w:tc>
          <w:tcPr>
            <w:tcW w:w="1701" w:type="dxa"/>
            <w:vAlign w:val="center"/>
          </w:tcPr>
          <w:p w14:paraId="08002D6E" w14:textId="4D24C9E8" w:rsidR="00732469" w:rsidRPr="0040025C" w:rsidRDefault="00732469" w:rsidP="00BB532D">
            <w:pPr>
              <w:pStyle w:val="TableRow"/>
              <w:rPr>
                <w:rFonts w:ascii="Arial" w:hAnsi="Arial" w:cs="Arial"/>
              </w:rPr>
            </w:pPr>
            <w:r w:rsidRPr="0040025C">
              <w:rPr>
                <w:rFonts w:ascii="Arial" w:hAnsi="Arial" w:cs="Arial"/>
              </w:rPr>
              <w:t>Nil</w:t>
            </w:r>
          </w:p>
        </w:tc>
        <w:tc>
          <w:tcPr>
            <w:tcW w:w="1842" w:type="dxa"/>
            <w:vAlign w:val="center"/>
          </w:tcPr>
          <w:p w14:paraId="09DB8751" w14:textId="64896384" w:rsidR="00732469" w:rsidRPr="0040025C" w:rsidRDefault="00732469" w:rsidP="00BB532D">
            <w:pPr>
              <w:pStyle w:val="TableRow"/>
              <w:rPr>
                <w:rFonts w:ascii="Arial" w:hAnsi="Arial" w:cs="Arial"/>
              </w:rPr>
            </w:pPr>
            <w:r w:rsidRPr="0040025C">
              <w:rPr>
                <w:rFonts w:ascii="Arial" w:hAnsi="Arial" w:cs="Arial"/>
              </w:rPr>
              <w:t>Nil</w:t>
            </w:r>
          </w:p>
        </w:tc>
        <w:tc>
          <w:tcPr>
            <w:tcW w:w="2268" w:type="dxa"/>
            <w:vAlign w:val="center"/>
          </w:tcPr>
          <w:p w14:paraId="45E2E44D" w14:textId="76F12F71" w:rsidR="00732469" w:rsidRPr="0040025C" w:rsidRDefault="00732469" w:rsidP="00BB532D">
            <w:pPr>
              <w:pStyle w:val="TableRow"/>
              <w:rPr>
                <w:rFonts w:ascii="Arial" w:hAnsi="Arial" w:cs="Arial"/>
              </w:rPr>
            </w:pPr>
            <w:r w:rsidRPr="0040025C">
              <w:rPr>
                <w:rFonts w:ascii="Arial" w:hAnsi="Arial" w:cs="Arial"/>
              </w:rPr>
              <w:t>£210,000</w:t>
            </w:r>
          </w:p>
        </w:tc>
      </w:tr>
      <w:tr w:rsidR="00732469" w14:paraId="570B7E2C" w14:textId="77777777" w:rsidTr="00732469">
        <w:trPr>
          <w:cantSplit/>
          <w:tblHeader/>
        </w:trPr>
        <w:tc>
          <w:tcPr>
            <w:tcW w:w="1555" w:type="dxa"/>
            <w:vAlign w:val="center"/>
          </w:tcPr>
          <w:p w14:paraId="00DC306A" w14:textId="2D6D3221" w:rsidR="00732469" w:rsidRPr="0040025C" w:rsidRDefault="00732469" w:rsidP="00BB532D">
            <w:pPr>
              <w:pStyle w:val="TableRow"/>
              <w:rPr>
                <w:rFonts w:ascii="Arial" w:hAnsi="Arial" w:cs="Arial"/>
              </w:rPr>
            </w:pPr>
            <w:r w:rsidRPr="0040025C">
              <w:rPr>
                <w:rFonts w:ascii="Arial" w:hAnsi="Arial" w:cs="Arial"/>
              </w:rPr>
              <w:t>Total</w:t>
            </w:r>
          </w:p>
        </w:tc>
        <w:tc>
          <w:tcPr>
            <w:tcW w:w="1701" w:type="dxa"/>
            <w:vAlign w:val="center"/>
          </w:tcPr>
          <w:p w14:paraId="1A39F906" w14:textId="63237674" w:rsidR="00732469" w:rsidRPr="0040025C" w:rsidRDefault="00732469" w:rsidP="00BB532D">
            <w:pPr>
              <w:pStyle w:val="TableRow"/>
              <w:rPr>
                <w:rFonts w:ascii="Arial" w:hAnsi="Arial" w:cs="Arial"/>
              </w:rPr>
            </w:pPr>
            <w:r w:rsidRPr="0040025C">
              <w:rPr>
                <w:rFonts w:ascii="Arial" w:hAnsi="Arial" w:cs="Arial"/>
              </w:rPr>
              <w:t>£4,500,000</w:t>
            </w:r>
          </w:p>
        </w:tc>
        <w:tc>
          <w:tcPr>
            <w:tcW w:w="1701" w:type="dxa"/>
            <w:vAlign w:val="center"/>
          </w:tcPr>
          <w:p w14:paraId="3D131C98" w14:textId="6A494323" w:rsidR="00732469" w:rsidRPr="0040025C" w:rsidRDefault="00732469" w:rsidP="00BB532D">
            <w:pPr>
              <w:pStyle w:val="TableRow"/>
              <w:rPr>
                <w:rFonts w:ascii="Arial" w:hAnsi="Arial" w:cs="Arial"/>
              </w:rPr>
            </w:pPr>
            <w:r w:rsidRPr="0040025C">
              <w:rPr>
                <w:rFonts w:ascii="Arial" w:hAnsi="Arial" w:cs="Arial"/>
              </w:rPr>
              <w:t>£485,000</w:t>
            </w:r>
          </w:p>
        </w:tc>
        <w:tc>
          <w:tcPr>
            <w:tcW w:w="1842" w:type="dxa"/>
            <w:vAlign w:val="center"/>
          </w:tcPr>
          <w:p w14:paraId="213CC827" w14:textId="121FEAA3" w:rsidR="00732469" w:rsidRPr="0040025C" w:rsidRDefault="00732469" w:rsidP="00BB532D">
            <w:pPr>
              <w:pStyle w:val="TableRow"/>
              <w:rPr>
                <w:rFonts w:ascii="Arial" w:hAnsi="Arial" w:cs="Arial"/>
              </w:rPr>
            </w:pPr>
            <w:r w:rsidRPr="0040025C">
              <w:rPr>
                <w:rFonts w:ascii="Arial" w:hAnsi="Arial" w:cs="Arial"/>
              </w:rPr>
              <w:t>£225,000</w:t>
            </w:r>
          </w:p>
        </w:tc>
        <w:tc>
          <w:tcPr>
            <w:tcW w:w="2268" w:type="dxa"/>
            <w:vAlign w:val="center"/>
          </w:tcPr>
          <w:p w14:paraId="33D7428E" w14:textId="6493F803" w:rsidR="00732469" w:rsidRPr="0040025C" w:rsidRDefault="00732469" w:rsidP="00BB532D">
            <w:pPr>
              <w:pStyle w:val="TableRow"/>
              <w:rPr>
                <w:rFonts w:ascii="Arial" w:hAnsi="Arial" w:cs="Arial"/>
              </w:rPr>
            </w:pPr>
            <w:r w:rsidRPr="0040025C">
              <w:rPr>
                <w:rFonts w:ascii="Arial" w:hAnsi="Arial" w:cs="Arial"/>
              </w:rPr>
              <w:t>£5,260,000</w:t>
            </w:r>
          </w:p>
        </w:tc>
      </w:tr>
    </w:tbl>
    <w:p w14:paraId="094E75BE" w14:textId="7EEEF79E" w:rsidR="00D01632" w:rsidRDefault="00D15A1B" w:rsidP="00A23A62">
      <w:pPr>
        <w:spacing w:after="120" w:line="240" w:lineRule="auto"/>
        <w:rPr>
          <w:rFonts w:ascii="Arial" w:hAnsi="Arial" w:cs="Arial"/>
        </w:rPr>
      </w:pPr>
      <w:r>
        <w:rPr>
          <w:rFonts w:ascii="Arial" w:hAnsi="Arial" w:cs="Arial"/>
        </w:rPr>
        <w:t>*</w:t>
      </w:r>
      <w:r w:rsidR="00487635">
        <w:rPr>
          <w:rFonts w:ascii="Arial" w:hAnsi="Arial" w:cs="Arial"/>
        </w:rPr>
        <w:t xml:space="preserve">1: Includes universal infant free school meals and Pupil Premium funding. </w:t>
      </w:r>
    </w:p>
    <w:p w14:paraId="4698BF48" w14:textId="0278F528" w:rsidR="00487635" w:rsidRDefault="00487635" w:rsidP="002844DA">
      <w:pPr>
        <w:spacing w:before="120" w:after="240" w:line="240" w:lineRule="auto"/>
        <w:rPr>
          <w:rFonts w:ascii="Arial" w:hAnsi="Arial" w:cs="Arial"/>
        </w:rPr>
      </w:pPr>
      <w:r>
        <w:rPr>
          <w:rFonts w:ascii="Arial" w:hAnsi="Arial" w:cs="Arial"/>
        </w:rPr>
        <w:t>*2: Central services do not receive direct DfE income</w:t>
      </w:r>
      <w:r w:rsidR="00AD2BB6">
        <w:rPr>
          <w:rFonts w:ascii="Arial" w:hAnsi="Arial" w:cs="Arial"/>
        </w:rPr>
        <w:t xml:space="preserve"> – the total top slice figure represents incoming resources for central costs. Unspent top slice funds go into the central reserves to support trust-wide improvement projects. </w:t>
      </w:r>
    </w:p>
    <w:p w14:paraId="1C55AB1A" w14:textId="77777777" w:rsidR="002844DA" w:rsidRDefault="002844DA" w:rsidP="002844DA">
      <w:pPr>
        <w:spacing w:before="120" w:after="240" w:line="240" w:lineRule="auto"/>
        <w:rPr>
          <w:rFonts w:ascii="Arial" w:hAnsi="Arial" w:cs="Arial"/>
        </w:rPr>
      </w:pPr>
    </w:p>
    <w:p w14:paraId="10C7A0BD" w14:textId="4112CCBD" w:rsidR="000A0E35" w:rsidRDefault="000A0E35" w:rsidP="002844DA">
      <w:pPr>
        <w:spacing w:before="120" w:after="240" w:line="240" w:lineRule="auto"/>
        <w:rPr>
          <w:rFonts w:ascii="Arial" w:hAnsi="Arial" w:cs="Arial"/>
        </w:rPr>
      </w:pPr>
      <w:r>
        <w:rPr>
          <w:rFonts w:ascii="Arial" w:hAnsi="Arial" w:cs="Arial"/>
        </w:rPr>
        <w:t>[or]</w:t>
      </w:r>
    </w:p>
    <w:p w14:paraId="40EFD433" w14:textId="77777777" w:rsidR="000A0E35" w:rsidRDefault="000A0E35" w:rsidP="002844DA">
      <w:pPr>
        <w:spacing w:before="120" w:after="240" w:line="240" w:lineRule="auto"/>
        <w:rPr>
          <w:rFonts w:ascii="Arial" w:hAnsi="Arial" w:cs="Arial"/>
        </w:rPr>
      </w:pPr>
    </w:p>
    <w:p w14:paraId="33F2833E" w14:textId="4470FB85" w:rsidR="000A0E35" w:rsidRDefault="000A0E35" w:rsidP="002844DA">
      <w:pPr>
        <w:spacing w:before="120" w:after="240" w:line="240" w:lineRule="auto"/>
        <w:rPr>
          <w:rFonts w:ascii="Arial" w:hAnsi="Arial" w:cs="Arial"/>
        </w:rPr>
      </w:pPr>
      <w:r>
        <w:rPr>
          <w:rFonts w:ascii="Arial" w:hAnsi="Arial" w:cs="Arial"/>
        </w:rPr>
        <w:t xml:space="preserve">The following table shows the DfE revenue income for each academy, split by </w:t>
      </w:r>
      <w:r w:rsidR="007D5D41">
        <w:rPr>
          <w:rFonts w:ascii="Arial" w:hAnsi="Arial" w:cs="Arial"/>
        </w:rPr>
        <w:t>GAG and other income. As the academy trust pools all revenue income, including all DfE income, no central charges are made to individual academies. Total expenditure is given for each academy,</w:t>
      </w:r>
      <w:r w:rsidR="00BC2A06">
        <w:rPr>
          <w:rFonts w:ascii="Arial" w:hAnsi="Arial" w:cs="Arial"/>
        </w:rPr>
        <w:t xml:space="preserve"> and for central services, and this reflects other income sources not shown in the table. </w:t>
      </w:r>
    </w:p>
    <w:tbl>
      <w:tblPr>
        <w:tblStyle w:val="TableGrid"/>
        <w:tblW w:w="7225" w:type="dxa"/>
        <w:tblLayout w:type="fixed"/>
        <w:tblLook w:val="04A0" w:firstRow="1" w:lastRow="0" w:firstColumn="1" w:lastColumn="0" w:noHBand="0" w:noVBand="1"/>
      </w:tblPr>
      <w:tblGrid>
        <w:gridCol w:w="1555"/>
        <w:gridCol w:w="1701"/>
        <w:gridCol w:w="1701"/>
        <w:gridCol w:w="2268"/>
      </w:tblGrid>
      <w:tr w:rsidR="00C931F3" w:rsidRPr="0040025C" w14:paraId="1D4AA425" w14:textId="77777777" w:rsidTr="00A23A62">
        <w:trPr>
          <w:cantSplit/>
          <w:tblHeader/>
        </w:trPr>
        <w:tc>
          <w:tcPr>
            <w:tcW w:w="1555" w:type="dxa"/>
            <w:shd w:val="clear" w:color="auto" w:fill="CFDCE3"/>
            <w:vAlign w:val="center"/>
          </w:tcPr>
          <w:p w14:paraId="29B425DB" w14:textId="77777777" w:rsidR="00C931F3" w:rsidRPr="0040025C" w:rsidRDefault="00C931F3" w:rsidP="00BB532D">
            <w:pPr>
              <w:pStyle w:val="TableHeader"/>
              <w:rPr>
                <w:rFonts w:cs="Arial"/>
              </w:rPr>
            </w:pPr>
            <w:r w:rsidRPr="0040025C">
              <w:rPr>
                <w:rFonts w:cs="Arial"/>
              </w:rPr>
              <w:lastRenderedPageBreak/>
              <w:t>-</w:t>
            </w:r>
          </w:p>
        </w:tc>
        <w:tc>
          <w:tcPr>
            <w:tcW w:w="1701" w:type="dxa"/>
            <w:shd w:val="clear" w:color="auto" w:fill="CFDCE3"/>
            <w:vAlign w:val="center"/>
          </w:tcPr>
          <w:p w14:paraId="7F1D1726" w14:textId="77777777" w:rsidR="00C931F3" w:rsidRPr="0040025C" w:rsidRDefault="00C931F3" w:rsidP="00BB532D">
            <w:pPr>
              <w:pStyle w:val="TableHeader"/>
              <w:rPr>
                <w:rFonts w:cs="Arial"/>
              </w:rPr>
            </w:pPr>
            <w:r w:rsidRPr="0040025C">
              <w:rPr>
                <w:rFonts w:cs="Arial"/>
              </w:rPr>
              <w:t>Funding received from DfE</w:t>
            </w:r>
          </w:p>
        </w:tc>
        <w:tc>
          <w:tcPr>
            <w:tcW w:w="1701" w:type="dxa"/>
            <w:shd w:val="clear" w:color="auto" w:fill="CFDCE3"/>
            <w:vAlign w:val="center"/>
          </w:tcPr>
          <w:p w14:paraId="1A0E0FC8" w14:textId="77777777" w:rsidR="00C931F3" w:rsidRPr="0040025C" w:rsidRDefault="00C931F3" w:rsidP="00BB532D">
            <w:pPr>
              <w:pStyle w:val="TableHeader"/>
              <w:rPr>
                <w:rFonts w:cs="Arial"/>
              </w:rPr>
            </w:pPr>
            <w:r w:rsidRPr="0040025C">
              <w:rPr>
                <w:rFonts w:cs="Arial"/>
              </w:rPr>
              <w:t>Funding received from DfE</w:t>
            </w:r>
          </w:p>
        </w:tc>
        <w:tc>
          <w:tcPr>
            <w:tcW w:w="2268" w:type="dxa"/>
            <w:shd w:val="clear" w:color="auto" w:fill="CFDCE3"/>
            <w:vAlign w:val="center"/>
          </w:tcPr>
          <w:p w14:paraId="59228B66" w14:textId="77777777" w:rsidR="00C931F3" w:rsidRPr="0040025C" w:rsidRDefault="00C931F3" w:rsidP="00BB532D">
            <w:pPr>
              <w:pStyle w:val="TableHeader"/>
              <w:rPr>
                <w:rFonts w:cs="Arial"/>
              </w:rPr>
            </w:pPr>
            <w:r>
              <w:rPr>
                <w:rFonts w:cs="Arial"/>
              </w:rPr>
              <w:t>-</w:t>
            </w:r>
          </w:p>
        </w:tc>
      </w:tr>
      <w:tr w:rsidR="00C931F3" w:rsidRPr="0040025C" w14:paraId="52FBC756" w14:textId="77777777" w:rsidTr="00A23A62">
        <w:trPr>
          <w:cantSplit/>
          <w:tblHeader/>
        </w:trPr>
        <w:tc>
          <w:tcPr>
            <w:tcW w:w="1555" w:type="dxa"/>
            <w:vAlign w:val="center"/>
          </w:tcPr>
          <w:p w14:paraId="5387DBFC" w14:textId="77777777" w:rsidR="00C931F3" w:rsidRPr="0040025C" w:rsidRDefault="00C931F3" w:rsidP="00BB532D">
            <w:pPr>
              <w:pStyle w:val="TableRow"/>
              <w:rPr>
                <w:rFonts w:ascii="Arial" w:hAnsi="Arial" w:cs="Arial"/>
              </w:rPr>
            </w:pPr>
            <w:r w:rsidRPr="0040025C">
              <w:rPr>
                <w:rFonts w:ascii="Arial" w:hAnsi="Arial" w:cs="Arial"/>
              </w:rPr>
              <w:t>School</w:t>
            </w:r>
          </w:p>
        </w:tc>
        <w:tc>
          <w:tcPr>
            <w:tcW w:w="1701" w:type="dxa"/>
            <w:vAlign w:val="center"/>
          </w:tcPr>
          <w:p w14:paraId="1E0F2366" w14:textId="77777777" w:rsidR="00C931F3" w:rsidRPr="0040025C" w:rsidRDefault="00C931F3" w:rsidP="00BB532D">
            <w:pPr>
              <w:pStyle w:val="TableRow"/>
              <w:rPr>
                <w:rFonts w:ascii="Arial" w:hAnsi="Arial" w:cs="Arial"/>
              </w:rPr>
            </w:pPr>
            <w:r w:rsidRPr="0040025C">
              <w:rPr>
                <w:rFonts w:ascii="Arial" w:hAnsi="Arial" w:cs="Arial"/>
              </w:rPr>
              <w:t>Total GAG received including 16 to 19 funding</w:t>
            </w:r>
          </w:p>
        </w:tc>
        <w:tc>
          <w:tcPr>
            <w:tcW w:w="1701" w:type="dxa"/>
            <w:vAlign w:val="center"/>
          </w:tcPr>
          <w:p w14:paraId="45CDB328" w14:textId="77777777" w:rsidR="00C931F3" w:rsidRPr="0040025C" w:rsidRDefault="00C931F3" w:rsidP="00BB532D">
            <w:pPr>
              <w:pStyle w:val="TableRow"/>
              <w:rPr>
                <w:rFonts w:ascii="Arial" w:hAnsi="Arial" w:cs="Arial"/>
              </w:rPr>
            </w:pPr>
            <w:r w:rsidRPr="0040025C">
              <w:rPr>
                <w:rFonts w:ascii="Arial" w:hAnsi="Arial" w:cs="Arial"/>
              </w:rPr>
              <w:t>Total other DfE grants (*1)</w:t>
            </w:r>
          </w:p>
          <w:p w14:paraId="7F5EDAB9" w14:textId="77777777" w:rsidR="00C931F3" w:rsidRPr="0040025C" w:rsidRDefault="00C931F3" w:rsidP="00BB532D">
            <w:pPr>
              <w:rPr>
                <w:rFonts w:ascii="Arial" w:hAnsi="Arial" w:cs="Arial"/>
              </w:rPr>
            </w:pPr>
          </w:p>
          <w:p w14:paraId="74F9D933" w14:textId="77777777" w:rsidR="00C931F3" w:rsidRPr="0040025C" w:rsidRDefault="00C931F3" w:rsidP="00BB532D">
            <w:pPr>
              <w:rPr>
                <w:rFonts w:ascii="Arial" w:hAnsi="Arial" w:cs="Arial"/>
              </w:rPr>
            </w:pPr>
          </w:p>
        </w:tc>
        <w:tc>
          <w:tcPr>
            <w:tcW w:w="2268" w:type="dxa"/>
            <w:vAlign w:val="center"/>
          </w:tcPr>
          <w:p w14:paraId="345B63F6" w14:textId="77777777" w:rsidR="00C931F3" w:rsidRPr="0040025C" w:rsidRDefault="00C931F3" w:rsidP="00BB532D">
            <w:pPr>
              <w:pStyle w:val="TableRow"/>
              <w:rPr>
                <w:rFonts w:ascii="Arial" w:hAnsi="Arial" w:cs="Arial"/>
              </w:rPr>
            </w:pPr>
            <w:r w:rsidRPr="0040025C">
              <w:rPr>
                <w:rFonts w:ascii="Arial" w:hAnsi="Arial" w:cs="Arial"/>
              </w:rPr>
              <w:t>Total expenditure</w:t>
            </w:r>
          </w:p>
          <w:p w14:paraId="31169B40" w14:textId="77777777" w:rsidR="00C931F3" w:rsidRPr="0040025C" w:rsidRDefault="00C931F3" w:rsidP="00BB532D">
            <w:pPr>
              <w:rPr>
                <w:rFonts w:ascii="Arial" w:hAnsi="Arial" w:cs="Arial"/>
              </w:rPr>
            </w:pPr>
          </w:p>
          <w:p w14:paraId="4B4EB9A5" w14:textId="77777777" w:rsidR="00C931F3" w:rsidRPr="0040025C" w:rsidRDefault="00C931F3" w:rsidP="00BB532D">
            <w:pPr>
              <w:rPr>
                <w:rFonts w:ascii="Arial" w:hAnsi="Arial" w:cs="Arial"/>
              </w:rPr>
            </w:pPr>
          </w:p>
          <w:p w14:paraId="2634CF27" w14:textId="77777777" w:rsidR="00C931F3" w:rsidRPr="0040025C" w:rsidRDefault="00C931F3" w:rsidP="00BB532D">
            <w:pPr>
              <w:rPr>
                <w:rFonts w:ascii="Arial" w:hAnsi="Arial" w:cs="Arial"/>
              </w:rPr>
            </w:pPr>
          </w:p>
        </w:tc>
      </w:tr>
      <w:tr w:rsidR="00C931F3" w:rsidRPr="0040025C" w14:paraId="1E71A826" w14:textId="77777777" w:rsidTr="00A23A62">
        <w:trPr>
          <w:cantSplit/>
          <w:tblHeader/>
        </w:trPr>
        <w:tc>
          <w:tcPr>
            <w:tcW w:w="1555" w:type="dxa"/>
            <w:vAlign w:val="center"/>
          </w:tcPr>
          <w:p w14:paraId="201B029D" w14:textId="77777777" w:rsidR="00C931F3" w:rsidRPr="0040025C" w:rsidRDefault="00C931F3" w:rsidP="00BB532D">
            <w:pPr>
              <w:pStyle w:val="TableRow"/>
              <w:rPr>
                <w:rFonts w:ascii="Arial" w:hAnsi="Arial" w:cs="Arial"/>
              </w:rPr>
            </w:pPr>
            <w:r w:rsidRPr="0040025C">
              <w:rPr>
                <w:rFonts w:ascii="Arial" w:hAnsi="Arial" w:cs="Arial"/>
              </w:rPr>
              <w:t>Boomtown Academy</w:t>
            </w:r>
          </w:p>
        </w:tc>
        <w:tc>
          <w:tcPr>
            <w:tcW w:w="1701" w:type="dxa"/>
            <w:vAlign w:val="center"/>
          </w:tcPr>
          <w:p w14:paraId="474008BE" w14:textId="77777777" w:rsidR="00C931F3" w:rsidRPr="0040025C" w:rsidRDefault="00C931F3" w:rsidP="00BB532D">
            <w:pPr>
              <w:pStyle w:val="TableRow"/>
              <w:rPr>
                <w:rFonts w:ascii="Arial" w:hAnsi="Arial" w:cs="Arial"/>
              </w:rPr>
            </w:pPr>
            <w:r w:rsidRPr="0040025C">
              <w:rPr>
                <w:rFonts w:ascii="Arial" w:hAnsi="Arial" w:cs="Arial"/>
              </w:rPr>
              <w:t>£1,300,000</w:t>
            </w:r>
          </w:p>
        </w:tc>
        <w:tc>
          <w:tcPr>
            <w:tcW w:w="1701" w:type="dxa"/>
            <w:vAlign w:val="center"/>
          </w:tcPr>
          <w:p w14:paraId="7E9C3457" w14:textId="77777777" w:rsidR="00C931F3" w:rsidRPr="0040025C" w:rsidRDefault="00C931F3" w:rsidP="00BB532D">
            <w:pPr>
              <w:pStyle w:val="TableRow"/>
              <w:rPr>
                <w:rFonts w:ascii="Arial" w:hAnsi="Arial" w:cs="Arial"/>
              </w:rPr>
            </w:pPr>
            <w:r w:rsidRPr="0040025C">
              <w:rPr>
                <w:rFonts w:ascii="Arial" w:hAnsi="Arial" w:cs="Arial"/>
              </w:rPr>
              <w:t>£123,000</w:t>
            </w:r>
          </w:p>
        </w:tc>
        <w:tc>
          <w:tcPr>
            <w:tcW w:w="2268" w:type="dxa"/>
            <w:vAlign w:val="center"/>
          </w:tcPr>
          <w:p w14:paraId="57E8F0FB" w14:textId="77777777" w:rsidR="00C931F3" w:rsidRPr="0040025C" w:rsidRDefault="00C931F3" w:rsidP="00BB532D">
            <w:pPr>
              <w:pStyle w:val="TableRow"/>
              <w:rPr>
                <w:rFonts w:ascii="Arial" w:hAnsi="Arial" w:cs="Arial"/>
              </w:rPr>
            </w:pPr>
            <w:r w:rsidRPr="0040025C">
              <w:rPr>
                <w:rFonts w:ascii="Arial" w:hAnsi="Arial" w:cs="Arial"/>
              </w:rPr>
              <w:t>£1,500,000</w:t>
            </w:r>
          </w:p>
        </w:tc>
      </w:tr>
      <w:tr w:rsidR="00C931F3" w:rsidRPr="0040025C" w14:paraId="40F67A26" w14:textId="77777777" w:rsidTr="00A23A62">
        <w:trPr>
          <w:cantSplit/>
          <w:tblHeader/>
        </w:trPr>
        <w:tc>
          <w:tcPr>
            <w:tcW w:w="1555" w:type="dxa"/>
            <w:vAlign w:val="center"/>
          </w:tcPr>
          <w:p w14:paraId="094C80EA" w14:textId="77777777" w:rsidR="00C931F3" w:rsidRPr="0040025C" w:rsidRDefault="00C931F3" w:rsidP="00BB532D">
            <w:pPr>
              <w:pStyle w:val="TableRow"/>
              <w:rPr>
                <w:rFonts w:ascii="Arial" w:hAnsi="Arial" w:cs="Arial"/>
              </w:rPr>
            </w:pPr>
            <w:r w:rsidRPr="0040025C">
              <w:rPr>
                <w:rFonts w:ascii="Arial" w:hAnsi="Arial" w:cs="Arial"/>
              </w:rPr>
              <w:t>Hopetown Academy</w:t>
            </w:r>
          </w:p>
        </w:tc>
        <w:tc>
          <w:tcPr>
            <w:tcW w:w="1701" w:type="dxa"/>
            <w:vAlign w:val="center"/>
          </w:tcPr>
          <w:p w14:paraId="56FA52F2" w14:textId="77777777" w:rsidR="00C931F3" w:rsidRPr="0040025C" w:rsidRDefault="00C931F3" w:rsidP="00BB532D">
            <w:pPr>
              <w:pStyle w:val="TableRow"/>
              <w:rPr>
                <w:rFonts w:ascii="Arial" w:hAnsi="Arial" w:cs="Arial"/>
              </w:rPr>
            </w:pPr>
            <w:r w:rsidRPr="0040025C">
              <w:rPr>
                <w:rFonts w:ascii="Arial" w:hAnsi="Arial" w:cs="Arial"/>
              </w:rPr>
              <w:t>£800,000</w:t>
            </w:r>
          </w:p>
        </w:tc>
        <w:tc>
          <w:tcPr>
            <w:tcW w:w="1701" w:type="dxa"/>
            <w:vAlign w:val="center"/>
          </w:tcPr>
          <w:p w14:paraId="5C4CE1C2" w14:textId="77777777" w:rsidR="00C931F3" w:rsidRPr="0040025C" w:rsidRDefault="00C931F3" w:rsidP="00BB532D">
            <w:pPr>
              <w:pStyle w:val="TableRow"/>
              <w:rPr>
                <w:rFonts w:ascii="Arial" w:hAnsi="Arial" w:cs="Arial"/>
              </w:rPr>
            </w:pPr>
            <w:r w:rsidRPr="0040025C">
              <w:rPr>
                <w:rFonts w:ascii="Arial" w:hAnsi="Arial" w:cs="Arial"/>
              </w:rPr>
              <w:t>£115,000</w:t>
            </w:r>
          </w:p>
        </w:tc>
        <w:tc>
          <w:tcPr>
            <w:tcW w:w="2268" w:type="dxa"/>
            <w:vAlign w:val="center"/>
          </w:tcPr>
          <w:p w14:paraId="4D4DE928" w14:textId="77777777" w:rsidR="00C931F3" w:rsidRPr="0040025C" w:rsidRDefault="00C931F3" w:rsidP="00BB532D">
            <w:pPr>
              <w:pStyle w:val="TableRow"/>
              <w:rPr>
                <w:rFonts w:ascii="Arial" w:hAnsi="Arial" w:cs="Arial"/>
              </w:rPr>
            </w:pPr>
            <w:r w:rsidRPr="0040025C">
              <w:rPr>
                <w:rFonts w:ascii="Arial" w:hAnsi="Arial" w:cs="Arial"/>
              </w:rPr>
              <w:t>£950,000</w:t>
            </w:r>
          </w:p>
        </w:tc>
      </w:tr>
      <w:tr w:rsidR="00C931F3" w:rsidRPr="0040025C" w14:paraId="73A12FF4" w14:textId="77777777" w:rsidTr="00A23A62">
        <w:trPr>
          <w:cantSplit/>
          <w:tblHeader/>
        </w:trPr>
        <w:tc>
          <w:tcPr>
            <w:tcW w:w="1555" w:type="dxa"/>
            <w:vAlign w:val="center"/>
          </w:tcPr>
          <w:p w14:paraId="4AB8DCBF" w14:textId="77777777" w:rsidR="00C931F3" w:rsidRPr="0040025C" w:rsidRDefault="00C931F3" w:rsidP="00BB532D">
            <w:pPr>
              <w:pStyle w:val="TableRow"/>
              <w:rPr>
                <w:rFonts w:ascii="Arial" w:hAnsi="Arial" w:cs="Arial"/>
              </w:rPr>
            </w:pPr>
            <w:r w:rsidRPr="0040025C">
              <w:rPr>
                <w:rFonts w:ascii="Arial" w:hAnsi="Arial" w:cs="Arial"/>
              </w:rPr>
              <w:t>Newtown Academy</w:t>
            </w:r>
          </w:p>
        </w:tc>
        <w:tc>
          <w:tcPr>
            <w:tcW w:w="1701" w:type="dxa"/>
            <w:vAlign w:val="center"/>
          </w:tcPr>
          <w:p w14:paraId="30F9562B" w14:textId="77777777" w:rsidR="00C931F3" w:rsidRPr="0040025C" w:rsidRDefault="00C931F3" w:rsidP="00BB532D">
            <w:pPr>
              <w:pStyle w:val="TableRow"/>
              <w:rPr>
                <w:rFonts w:ascii="Arial" w:hAnsi="Arial" w:cs="Arial"/>
              </w:rPr>
            </w:pPr>
            <w:r w:rsidRPr="0040025C">
              <w:rPr>
                <w:rFonts w:ascii="Arial" w:hAnsi="Arial" w:cs="Arial"/>
              </w:rPr>
              <w:t>£2,400,000</w:t>
            </w:r>
          </w:p>
        </w:tc>
        <w:tc>
          <w:tcPr>
            <w:tcW w:w="1701" w:type="dxa"/>
            <w:vAlign w:val="center"/>
          </w:tcPr>
          <w:p w14:paraId="686B6DBC" w14:textId="77777777" w:rsidR="00C931F3" w:rsidRPr="0040025C" w:rsidRDefault="00C931F3" w:rsidP="00BB532D">
            <w:pPr>
              <w:pStyle w:val="TableRow"/>
              <w:rPr>
                <w:rFonts w:ascii="Arial" w:hAnsi="Arial" w:cs="Arial"/>
              </w:rPr>
            </w:pPr>
            <w:r w:rsidRPr="0040025C">
              <w:rPr>
                <w:rFonts w:ascii="Arial" w:hAnsi="Arial" w:cs="Arial"/>
              </w:rPr>
              <w:t>£247,000</w:t>
            </w:r>
          </w:p>
        </w:tc>
        <w:tc>
          <w:tcPr>
            <w:tcW w:w="2268" w:type="dxa"/>
            <w:vAlign w:val="center"/>
          </w:tcPr>
          <w:p w14:paraId="32048CFA" w14:textId="77777777" w:rsidR="00C931F3" w:rsidRPr="0040025C" w:rsidRDefault="00C931F3" w:rsidP="00BB532D">
            <w:pPr>
              <w:pStyle w:val="TableRow"/>
              <w:rPr>
                <w:rFonts w:ascii="Arial" w:hAnsi="Arial" w:cs="Arial"/>
              </w:rPr>
            </w:pPr>
            <w:r w:rsidRPr="0040025C">
              <w:rPr>
                <w:rFonts w:ascii="Arial" w:hAnsi="Arial" w:cs="Arial"/>
              </w:rPr>
              <w:t>£2,600,000</w:t>
            </w:r>
          </w:p>
        </w:tc>
      </w:tr>
      <w:tr w:rsidR="00C931F3" w:rsidRPr="0040025C" w14:paraId="7F796A48" w14:textId="77777777" w:rsidTr="00A23A62">
        <w:trPr>
          <w:cantSplit/>
          <w:tblHeader/>
        </w:trPr>
        <w:tc>
          <w:tcPr>
            <w:tcW w:w="1555" w:type="dxa"/>
            <w:vAlign w:val="center"/>
          </w:tcPr>
          <w:p w14:paraId="09B99B61" w14:textId="77777777" w:rsidR="00C931F3" w:rsidRPr="0040025C" w:rsidRDefault="00C931F3" w:rsidP="00BB532D">
            <w:pPr>
              <w:pStyle w:val="TableRow"/>
              <w:rPr>
                <w:rFonts w:ascii="Arial" w:hAnsi="Arial" w:cs="Arial"/>
              </w:rPr>
            </w:pPr>
            <w:r w:rsidRPr="0040025C">
              <w:rPr>
                <w:rFonts w:ascii="Arial" w:hAnsi="Arial" w:cs="Arial"/>
              </w:rPr>
              <w:t>Central services (*2)</w:t>
            </w:r>
          </w:p>
        </w:tc>
        <w:tc>
          <w:tcPr>
            <w:tcW w:w="1701" w:type="dxa"/>
            <w:vAlign w:val="center"/>
          </w:tcPr>
          <w:p w14:paraId="308A95E8" w14:textId="77777777" w:rsidR="00C931F3" w:rsidRPr="0040025C" w:rsidRDefault="00C931F3" w:rsidP="00BB532D">
            <w:pPr>
              <w:pStyle w:val="TableRow"/>
              <w:rPr>
                <w:rFonts w:ascii="Arial" w:hAnsi="Arial" w:cs="Arial"/>
              </w:rPr>
            </w:pPr>
            <w:r w:rsidRPr="0040025C">
              <w:rPr>
                <w:rFonts w:ascii="Arial" w:hAnsi="Arial" w:cs="Arial"/>
              </w:rPr>
              <w:t>Nil</w:t>
            </w:r>
          </w:p>
        </w:tc>
        <w:tc>
          <w:tcPr>
            <w:tcW w:w="1701" w:type="dxa"/>
            <w:vAlign w:val="center"/>
          </w:tcPr>
          <w:p w14:paraId="4FA5AB90" w14:textId="77777777" w:rsidR="00C931F3" w:rsidRPr="0040025C" w:rsidRDefault="00C931F3" w:rsidP="00BB532D">
            <w:pPr>
              <w:pStyle w:val="TableRow"/>
              <w:rPr>
                <w:rFonts w:ascii="Arial" w:hAnsi="Arial" w:cs="Arial"/>
              </w:rPr>
            </w:pPr>
            <w:r w:rsidRPr="0040025C">
              <w:rPr>
                <w:rFonts w:ascii="Arial" w:hAnsi="Arial" w:cs="Arial"/>
              </w:rPr>
              <w:t>Nil</w:t>
            </w:r>
          </w:p>
        </w:tc>
        <w:tc>
          <w:tcPr>
            <w:tcW w:w="2268" w:type="dxa"/>
            <w:vAlign w:val="center"/>
          </w:tcPr>
          <w:p w14:paraId="026889C1" w14:textId="77777777" w:rsidR="00C931F3" w:rsidRPr="0040025C" w:rsidRDefault="00C931F3" w:rsidP="00BB532D">
            <w:pPr>
              <w:pStyle w:val="TableRow"/>
              <w:rPr>
                <w:rFonts w:ascii="Arial" w:hAnsi="Arial" w:cs="Arial"/>
              </w:rPr>
            </w:pPr>
            <w:r w:rsidRPr="0040025C">
              <w:rPr>
                <w:rFonts w:ascii="Arial" w:hAnsi="Arial" w:cs="Arial"/>
              </w:rPr>
              <w:t>£210,000</w:t>
            </w:r>
          </w:p>
        </w:tc>
      </w:tr>
      <w:tr w:rsidR="00C931F3" w:rsidRPr="0040025C" w14:paraId="5DD40495" w14:textId="77777777" w:rsidTr="00A23A62">
        <w:trPr>
          <w:cantSplit/>
          <w:tblHeader/>
        </w:trPr>
        <w:tc>
          <w:tcPr>
            <w:tcW w:w="1555" w:type="dxa"/>
            <w:vAlign w:val="center"/>
          </w:tcPr>
          <w:p w14:paraId="6FEF3CB3" w14:textId="77777777" w:rsidR="00C931F3" w:rsidRPr="0040025C" w:rsidRDefault="00C931F3" w:rsidP="00BB532D">
            <w:pPr>
              <w:pStyle w:val="TableRow"/>
              <w:rPr>
                <w:rFonts w:ascii="Arial" w:hAnsi="Arial" w:cs="Arial"/>
              </w:rPr>
            </w:pPr>
            <w:r w:rsidRPr="0040025C">
              <w:rPr>
                <w:rFonts w:ascii="Arial" w:hAnsi="Arial" w:cs="Arial"/>
              </w:rPr>
              <w:t>Total</w:t>
            </w:r>
          </w:p>
        </w:tc>
        <w:tc>
          <w:tcPr>
            <w:tcW w:w="1701" w:type="dxa"/>
            <w:vAlign w:val="center"/>
          </w:tcPr>
          <w:p w14:paraId="47F88933" w14:textId="77777777" w:rsidR="00C931F3" w:rsidRPr="0040025C" w:rsidRDefault="00C931F3" w:rsidP="00BB532D">
            <w:pPr>
              <w:pStyle w:val="TableRow"/>
              <w:rPr>
                <w:rFonts w:ascii="Arial" w:hAnsi="Arial" w:cs="Arial"/>
              </w:rPr>
            </w:pPr>
            <w:r w:rsidRPr="0040025C">
              <w:rPr>
                <w:rFonts w:ascii="Arial" w:hAnsi="Arial" w:cs="Arial"/>
              </w:rPr>
              <w:t>£4,500,000</w:t>
            </w:r>
          </w:p>
        </w:tc>
        <w:tc>
          <w:tcPr>
            <w:tcW w:w="1701" w:type="dxa"/>
            <w:vAlign w:val="center"/>
          </w:tcPr>
          <w:p w14:paraId="24B45234" w14:textId="77777777" w:rsidR="00C931F3" w:rsidRPr="0040025C" w:rsidRDefault="00C931F3" w:rsidP="00BB532D">
            <w:pPr>
              <w:pStyle w:val="TableRow"/>
              <w:rPr>
                <w:rFonts w:ascii="Arial" w:hAnsi="Arial" w:cs="Arial"/>
              </w:rPr>
            </w:pPr>
            <w:r w:rsidRPr="0040025C">
              <w:rPr>
                <w:rFonts w:ascii="Arial" w:hAnsi="Arial" w:cs="Arial"/>
              </w:rPr>
              <w:t>£485,000</w:t>
            </w:r>
          </w:p>
        </w:tc>
        <w:tc>
          <w:tcPr>
            <w:tcW w:w="2268" w:type="dxa"/>
            <w:vAlign w:val="center"/>
          </w:tcPr>
          <w:p w14:paraId="20B1BE08" w14:textId="77777777" w:rsidR="00C931F3" w:rsidRPr="0040025C" w:rsidRDefault="00C931F3" w:rsidP="00BB532D">
            <w:pPr>
              <w:pStyle w:val="TableRow"/>
              <w:rPr>
                <w:rFonts w:ascii="Arial" w:hAnsi="Arial" w:cs="Arial"/>
              </w:rPr>
            </w:pPr>
            <w:r w:rsidRPr="0040025C">
              <w:rPr>
                <w:rFonts w:ascii="Arial" w:hAnsi="Arial" w:cs="Arial"/>
              </w:rPr>
              <w:t>£5,260,000</w:t>
            </w:r>
          </w:p>
        </w:tc>
      </w:tr>
    </w:tbl>
    <w:p w14:paraId="1D40B51C" w14:textId="74E8BB0A" w:rsidR="00200ACE" w:rsidRDefault="00C931F3" w:rsidP="00A23A62">
      <w:pPr>
        <w:spacing w:after="0" w:line="240" w:lineRule="auto"/>
        <w:rPr>
          <w:rFonts w:ascii="Arial" w:hAnsi="Arial" w:cs="Arial"/>
        </w:rPr>
      </w:pPr>
      <w:r>
        <w:rPr>
          <w:rFonts w:ascii="Arial" w:hAnsi="Arial" w:cs="Arial"/>
        </w:rPr>
        <w:t xml:space="preserve">*1: Includes </w:t>
      </w:r>
      <w:r w:rsidR="00A23A62">
        <w:rPr>
          <w:rFonts w:ascii="Arial" w:hAnsi="Arial" w:cs="Arial"/>
        </w:rPr>
        <w:t xml:space="preserve">universal infant free school meals and Pupil Premium funding. </w:t>
      </w:r>
    </w:p>
    <w:p w14:paraId="34EFFDB4" w14:textId="76895897" w:rsidR="00A23A62" w:rsidRDefault="00A23A62" w:rsidP="00A23A62">
      <w:pPr>
        <w:spacing w:after="360" w:line="240" w:lineRule="auto"/>
        <w:rPr>
          <w:rFonts w:ascii="Arial" w:hAnsi="Arial" w:cs="Arial"/>
        </w:rPr>
      </w:pPr>
      <w:r>
        <w:rPr>
          <w:rFonts w:ascii="Arial" w:hAnsi="Arial" w:cs="Arial"/>
        </w:rPr>
        <w:t xml:space="preserve">*2: Central services do not receive direct DfE income – the expenditure figure represents spending on central services from the academy trust’s pooled funding. </w:t>
      </w:r>
    </w:p>
    <w:p w14:paraId="3C0369FC" w14:textId="77777777" w:rsidR="00BC2A06" w:rsidRDefault="00BC2A06" w:rsidP="002844DA">
      <w:pPr>
        <w:spacing w:before="120" w:after="240" w:line="240" w:lineRule="auto"/>
        <w:rPr>
          <w:rFonts w:ascii="Arial" w:hAnsi="Arial" w:cs="Arial"/>
        </w:rPr>
      </w:pPr>
    </w:p>
    <w:p w14:paraId="7ED8B5E5" w14:textId="77777777" w:rsidR="002844DA" w:rsidRPr="00670D68" w:rsidRDefault="002844DA" w:rsidP="002844DA">
      <w:pPr>
        <w:spacing w:before="120" w:after="240" w:line="240" w:lineRule="auto"/>
        <w:rPr>
          <w:rFonts w:ascii="Arial" w:hAnsi="Arial" w:cs="Arial"/>
        </w:rPr>
      </w:pPr>
    </w:p>
    <w:sectPr w:rsidR="002844DA" w:rsidRPr="00670D6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BA10E" w14:textId="77777777" w:rsidR="00C06CD6" w:rsidRDefault="00C06CD6">
      <w:pPr>
        <w:spacing w:after="0" w:line="240" w:lineRule="auto"/>
      </w:pPr>
    </w:p>
  </w:endnote>
  <w:endnote w:type="continuationSeparator" w:id="0">
    <w:p w14:paraId="5A332B3E" w14:textId="77777777" w:rsidR="00C06CD6" w:rsidRDefault="00C06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597435"/>
      <w:docPartObj>
        <w:docPartGallery w:val="Page Numbers (Bottom of Page)"/>
        <w:docPartUnique/>
      </w:docPartObj>
    </w:sdtPr>
    <w:sdtContent>
      <w:p w14:paraId="0A948CDC" w14:textId="65029F27" w:rsidR="00E76FD4" w:rsidRDefault="00E76FD4">
        <w:pPr>
          <w:pStyle w:val="Footer"/>
          <w:jc w:val="right"/>
        </w:pPr>
        <w:r>
          <w:fldChar w:fldCharType="begin"/>
        </w:r>
        <w:r>
          <w:instrText>PAGE   \* MERGEFORMAT</w:instrText>
        </w:r>
        <w:r>
          <w:fldChar w:fldCharType="separate"/>
        </w:r>
        <w:r>
          <w:t>2</w:t>
        </w:r>
        <w:r>
          <w:fldChar w:fldCharType="end"/>
        </w:r>
      </w:p>
    </w:sdtContent>
  </w:sdt>
  <w:p w14:paraId="53C1A76E" w14:textId="77777777" w:rsidR="00B83710" w:rsidRDefault="00B83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ECC0" w14:textId="77777777" w:rsidR="00C06CD6" w:rsidRDefault="00C06CD6">
      <w:pPr>
        <w:spacing w:after="0" w:line="240" w:lineRule="auto"/>
      </w:pPr>
    </w:p>
  </w:footnote>
  <w:footnote w:type="continuationSeparator" w:id="0">
    <w:p w14:paraId="352390EF" w14:textId="77777777" w:rsidR="00C06CD6" w:rsidRDefault="00C06C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825E3"/>
    <w:multiLevelType w:val="hybridMultilevel"/>
    <w:tmpl w:val="9008F1FE"/>
    <w:lvl w:ilvl="0" w:tplc="D34828AA">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926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3A"/>
    <w:rsid w:val="00026440"/>
    <w:rsid w:val="000A0E35"/>
    <w:rsid w:val="000E5346"/>
    <w:rsid w:val="001D68C2"/>
    <w:rsid w:val="00200ACE"/>
    <w:rsid w:val="002844DA"/>
    <w:rsid w:val="0029424B"/>
    <w:rsid w:val="002A7887"/>
    <w:rsid w:val="002D1EA6"/>
    <w:rsid w:val="003C5DD6"/>
    <w:rsid w:val="003D3DDC"/>
    <w:rsid w:val="0040025C"/>
    <w:rsid w:val="00487635"/>
    <w:rsid w:val="004A2650"/>
    <w:rsid w:val="004F46CB"/>
    <w:rsid w:val="00517726"/>
    <w:rsid w:val="0052423D"/>
    <w:rsid w:val="005602B4"/>
    <w:rsid w:val="005611E9"/>
    <w:rsid w:val="005863BC"/>
    <w:rsid w:val="00595F8D"/>
    <w:rsid w:val="0061100D"/>
    <w:rsid w:val="00651FD4"/>
    <w:rsid w:val="00670D68"/>
    <w:rsid w:val="006B3385"/>
    <w:rsid w:val="006C1FDF"/>
    <w:rsid w:val="00732469"/>
    <w:rsid w:val="007379E3"/>
    <w:rsid w:val="00754D27"/>
    <w:rsid w:val="007D2975"/>
    <w:rsid w:val="007D5D41"/>
    <w:rsid w:val="00885473"/>
    <w:rsid w:val="00894B18"/>
    <w:rsid w:val="008A364F"/>
    <w:rsid w:val="009561EF"/>
    <w:rsid w:val="0097731A"/>
    <w:rsid w:val="009A402A"/>
    <w:rsid w:val="00A23A62"/>
    <w:rsid w:val="00AB6DCE"/>
    <w:rsid w:val="00AD2BB6"/>
    <w:rsid w:val="00AE7ED8"/>
    <w:rsid w:val="00AF5FEE"/>
    <w:rsid w:val="00B12FE6"/>
    <w:rsid w:val="00B83710"/>
    <w:rsid w:val="00B905D2"/>
    <w:rsid w:val="00BA494B"/>
    <w:rsid w:val="00BC2A06"/>
    <w:rsid w:val="00BD49D3"/>
    <w:rsid w:val="00C06CD6"/>
    <w:rsid w:val="00C70875"/>
    <w:rsid w:val="00C811B6"/>
    <w:rsid w:val="00C90E3A"/>
    <w:rsid w:val="00C931F3"/>
    <w:rsid w:val="00CA4ACA"/>
    <w:rsid w:val="00D01632"/>
    <w:rsid w:val="00D02BE5"/>
    <w:rsid w:val="00D06E17"/>
    <w:rsid w:val="00D15A1B"/>
    <w:rsid w:val="00D45756"/>
    <w:rsid w:val="00D55F87"/>
    <w:rsid w:val="00D808F2"/>
    <w:rsid w:val="00E0107A"/>
    <w:rsid w:val="00E76FD4"/>
    <w:rsid w:val="00EB73BB"/>
    <w:rsid w:val="00F241A7"/>
    <w:rsid w:val="00F56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6A6C"/>
  <w15:chartTrackingRefBased/>
  <w15:docId w15:val="{E3FBB1F7-C5E9-498D-BE4D-32D2AD18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E3A"/>
    <w:rPr>
      <w:rFonts w:eastAsiaTheme="majorEastAsia" w:cstheme="majorBidi"/>
      <w:color w:val="272727" w:themeColor="text1" w:themeTint="D8"/>
    </w:rPr>
  </w:style>
  <w:style w:type="paragraph" w:styleId="Title">
    <w:name w:val="Title"/>
    <w:basedOn w:val="Normal"/>
    <w:next w:val="Normal"/>
    <w:link w:val="TitleChar"/>
    <w:uiPriority w:val="10"/>
    <w:qFormat/>
    <w:rsid w:val="00C90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E3A"/>
    <w:pPr>
      <w:spacing w:before="160"/>
      <w:jc w:val="center"/>
    </w:pPr>
    <w:rPr>
      <w:i/>
      <w:iCs/>
      <w:color w:val="404040" w:themeColor="text1" w:themeTint="BF"/>
    </w:rPr>
  </w:style>
  <w:style w:type="character" w:customStyle="1" w:styleId="QuoteChar">
    <w:name w:val="Quote Char"/>
    <w:basedOn w:val="DefaultParagraphFont"/>
    <w:link w:val="Quote"/>
    <w:uiPriority w:val="29"/>
    <w:rsid w:val="00C90E3A"/>
    <w:rPr>
      <w:i/>
      <w:iCs/>
      <w:color w:val="404040" w:themeColor="text1" w:themeTint="BF"/>
    </w:rPr>
  </w:style>
  <w:style w:type="paragraph" w:styleId="ListParagraph">
    <w:name w:val="List Paragraph"/>
    <w:basedOn w:val="Normal"/>
    <w:uiPriority w:val="34"/>
    <w:qFormat/>
    <w:rsid w:val="00C90E3A"/>
    <w:pPr>
      <w:ind w:left="720"/>
      <w:contextualSpacing/>
    </w:pPr>
  </w:style>
  <w:style w:type="character" w:styleId="IntenseEmphasis">
    <w:name w:val="Intense Emphasis"/>
    <w:basedOn w:val="DefaultParagraphFont"/>
    <w:uiPriority w:val="21"/>
    <w:qFormat/>
    <w:rsid w:val="00C90E3A"/>
    <w:rPr>
      <w:i/>
      <w:iCs/>
      <w:color w:val="0F4761" w:themeColor="accent1" w:themeShade="BF"/>
    </w:rPr>
  </w:style>
  <w:style w:type="paragraph" w:styleId="IntenseQuote">
    <w:name w:val="Intense Quote"/>
    <w:basedOn w:val="Normal"/>
    <w:next w:val="Normal"/>
    <w:link w:val="IntenseQuoteChar"/>
    <w:uiPriority w:val="30"/>
    <w:qFormat/>
    <w:rsid w:val="00C90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E3A"/>
    <w:rPr>
      <w:i/>
      <w:iCs/>
      <w:color w:val="0F4761" w:themeColor="accent1" w:themeShade="BF"/>
    </w:rPr>
  </w:style>
  <w:style w:type="character" w:styleId="IntenseReference">
    <w:name w:val="Intense Reference"/>
    <w:basedOn w:val="DefaultParagraphFont"/>
    <w:uiPriority w:val="32"/>
    <w:qFormat/>
    <w:rsid w:val="00C90E3A"/>
    <w:rPr>
      <w:b/>
      <w:bCs/>
      <w:smallCaps/>
      <w:color w:val="0F4761" w:themeColor="accent1" w:themeShade="BF"/>
      <w:spacing w:val="5"/>
    </w:rPr>
  </w:style>
  <w:style w:type="character" w:styleId="Hyperlink">
    <w:name w:val="Hyperlink"/>
    <w:basedOn w:val="DefaultParagraphFont"/>
    <w:uiPriority w:val="99"/>
    <w:unhideWhenUsed/>
    <w:rsid w:val="00C90E3A"/>
    <w:rPr>
      <w:color w:val="467886" w:themeColor="hyperlink"/>
      <w:u w:val="single"/>
    </w:rPr>
  </w:style>
  <w:style w:type="character" w:styleId="UnresolvedMention">
    <w:name w:val="Unresolved Mention"/>
    <w:basedOn w:val="DefaultParagraphFont"/>
    <w:uiPriority w:val="99"/>
    <w:semiHidden/>
    <w:unhideWhenUsed/>
    <w:rsid w:val="00C90E3A"/>
    <w:rPr>
      <w:color w:val="605E5C"/>
      <w:shd w:val="clear" w:color="auto" w:fill="E1DFDD"/>
    </w:rPr>
  </w:style>
  <w:style w:type="character" w:customStyle="1" w:styleId="normaltextrun">
    <w:name w:val="normaltextrun"/>
    <w:basedOn w:val="DefaultParagraphFont"/>
    <w:rsid w:val="00C90E3A"/>
  </w:style>
  <w:style w:type="table" w:styleId="TableGrid">
    <w:name w:val="Table Grid"/>
    <w:basedOn w:val="TableNormal"/>
    <w:rsid w:val="00D55F87"/>
    <w:pPr>
      <w:spacing w:after="0" w:line="240" w:lineRule="auto"/>
    </w:pPr>
    <w:rPr>
      <w:rFonts w:eastAsiaTheme="minorEastAsia"/>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RowChar">
    <w:name w:val="TableRow Char"/>
    <w:link w:val="TableRow"/>
    <w:rsid w:val="00C70875"/>
  </w:style>
  <w:style w:type="character" w:customStyle="1" w:styleId="CommentTextChar">
    <w:name w:val="Comment Text Char"/>
    <w:basedOn w:val="DefaultParagraphFont"/>
    <w:link w:val="CommentText"/>
    <w:rsid w:val="00C70875"/>
  </w:style>
  <w:style w:type="paragraph" w:customStyle="1" w:styleId="TableHeader">
    <w:name w:val="TableHeader"/>
    <w:basedOn w:val="Normal"/>
    <w:next w:val="Normal"/>
    <w:qFormat/>
    <w:rsid w:val="00C70875"/>
    <w:pPr>
      <w:suppressAutoHyphens/>
      <w:autoSpaceDN w:val="0"/>
      <w:spacing w:before="100" w:after="100" w:line="288" w:lineRule="auto"/>
      <w:textAlignment w:val="baseline"/>
    </w:pPr>
    <w:rPr>
      <w:rFonts w:ascii="Arial" w:eastAsia="Times New Roman" w:hAnsi="Arial" w:cs="Times New Roman"/>
      <w:b/>
      <w:kern w:val="0"/>
      <w:lang w:eastAsia="en-GB"/>
      <w14:ligatures w14:val="none"/>
    </w:rPr>
  </w:style>
  <w:style w:type="paragraph" w:customStyle="1" w:styleId="TableRow">
    <w:name w:val="TableRow"/>
    <w:basedOn w:val="Normal"/>
    <w:next w:val="Normal"/>
    <w:link w:val="TableRowChar"/>
    <w:qFormat/>
    <w:rsid w:val="00C70875"/>
    <w:pPr>
      <w:suppressAutoHyphens/>
      <w:autoSpaceDN w:val="0"/>
      <w:spacing w:before="40" w:after="40" w:line="288" w:lineRule="auto"/>
      <w:textAlignment w:val="baseline"/>
    </w:pPr>
  </w:style>
  <w:style w:type="character" w:styleId="CommentReference">
    <w:name w:val="annotation reference"/>
    <w:basedOn w:val="DefaultParagraphFont"/>
    <w:rsid w:val="00C70875"/>
    <w:rPr>
      <w:sz w:val="16"/>
      <w:szCs w:val="16"/>
    </w:rPr>
  </w:style>
  <w:style w:type="paragraph" w:styleId="CommentText">
    <w:name w:val="annotation text"/>
    <w:basedOn w:val="Normal"/>
    <w:link w:val="CommentTextChar"/>
    <w:rsid w:val="00C70875"/>
    <w:pPr>
      <w:suppressAutoHyphens/>
      <w:autoSpaceDN w:val="0"/>
      <w:spacing w:after="240" w:line="240" w:lineRule="auto"/>
      <w:textAlignment w:val="baseline"/>
    </w:pPr>
  </w:style>
  <w:style w:type="character" w:customStyle="1" w:styleId="CommentTextChar1">
    <w:name w:val="Comment Text Char1"/>
    <w:basedOn w:val="DefaultParagraphFont"/>
    <w:uiPriority w:val="99"/>
    <w:semiHidden/>
    <w:rsid w:val="00C70875"/>
    <w:rPr>
      <w:sz w:val="20"/>
      <w:szCs w:val="20"/>
    </w:rPr>
  </w:style>
  <w:style w:type="paragraph" w:styleId="Header">
    <w:name w:val="header"/>
    <w:basedOn w:val="Normal"/>
    <w:link w:val="HeaderChar"/>
    <w:uiPriority w:val="99"/>
    <w:unhideWhenUsed/>
    <w:rsid w:val="00B837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710"/>
  </w:style>
  <w:style w:type="paragraph" w:styleId="Footer">
    <w:name w:val="footer"/>
    <w:basedOn w:val="Normal"/>
    <w:link w:val="FooterChar"/>
    <w:uiPriority w:val="99"/>
    <w:unhideWhenUsed/>
    <w:rsid w:val="00B837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information-schools.service.gov.uk/" TargetMode="External"/><Relationship Id="rId3" Type="http://schemas.openxmlformats.org/officeDocument/2006/relationships/settings" Target="settings.xml"/><Relationship Id="rId7" Type="http://schemas.openxmlformats.org/officeDocument/2006/relationships/hyperlink" Target="https://www.gov.uk/guidance/academies-accounts-direc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academy-trusts-financial-arrangements-trust-summary-statement/publish-a-summary-of-your-academy-trusts-financial-arrangement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62</TotalTime>
  <Pages>4</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for Education</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summary statement</dc:title>
  <dc:subject/>
  <dc:creator>departmentforeducation94@Educationgovuk.onmicrosoft.com</dc:creator>
  <cp:keywords/>
  <dc:description/>
  <cp:lastModifiedBy>WALCHESTER-BAILES, Ash</cp:lastModifiedBy>
  <cp:revision>35</cp:revision>
  <dcterms:created xsi:type="dcterms:W3CDTF">2026-06-17T14:29:00Z</dcterms:created>
  <dcterms:modified xsi:type="dcterms:W3CDTF">2026-06-17T16:43:00Z</dcterms:modified>
</cp:coreProperties>
</file>