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85933" w:rsidR="000544B9" w:rsidP="00985933" w:rsidRDefault="000544B9" w14:paraId="6008562A" w14:textId="77777777">
      <w:r w:rsidRPr="00985933">
        <w:rPr>
          <w:noProof/>
        </w:rPr>
        <w:drawing>
          <wp:inline distT="0" distB="0" distL="0" distR="0" wp14:anchorId="42F3ED8C" wp14:editId="1C2E3F87">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rsidRPr="00985933" w:rsidR="000544B9" w:rsidP="00985933" w:rsidRDefault="000544B9" w14:paraId="3ADE862A" w14:textId="77777777"/>
    <w:tbl>
      <w:tblPr>
        <w:tblW w:w="9356" w:type="dxa"/>
        <w:tblBorders>
          <w:top w:val="single" w:color="auto" w:sz="4" w:space="0"/>
          <w:bottom w:val="single" w:color="auto" w:sz="4" w:space="0"/>
        </w:tblBorders>
        <w:tblLayout w:type="fixed"/>
        <w:tblCellMar>
          <w:bottom w:w="57" w:type="dxa"/>
        </w:tblCellMar>
        <w:tblLook w:val="0000" w:firstRow="0" w:lastRow="0" w:firstColumn="0" w:lastColumn="0" w:noHBand="0" w:noVBand="0"/>
      </w:tblPr>
      <w:tblGrid>
        <w:gridCol w:w="9356"/>
      </w:tblGrid>
      <w:tr w:rsidRPr="00985933" w:rsidR="000544B9" w:rsidTr="37AB5606" w14:paraId="42FA6555" w14:textId="77777777">
        <w:trPr>
          <w:cantSplit/>
          <w:trHeight w:val="57"/>
        </w:trPr>
        <w:tc>
          <w:tcPr>
            <w:tcW w:w="9356" w:type="dxa"/>
            <w:tcMar/>
            <w:vAlign w:val="bottom"/>
          </w:tcPr>
          <w:p w:rsidRPr="0037263A" w:rsidR="00F67371" w:rsidP="00720D36" w:rsidRDefault="00F67371" w14:paraId="7347649F" w14:textId="77777777">
            <w:pPr>
              <w:rPr>
                <w:rFonts w:eastAsia="Verdana" w:cs="Arial"/>
                <w:color w:val="000000"/>
                <w14:ligatures w14:val="none"/>
              </w:rPr>
            </w:pPr>
            <w:r w:rsidRPr="0037263A">
              <w:rPr>
                <w:rFonts w:eastAsia="Verdana" w:cs="Arial"/>
                <w:b/>
                <w:color w:val="000000"/>
                <w:sz w:val="40"/>
                <w14:ligatures w14:val="none"/>
              </w:rPr>
              <w:t xml:space="preserve">Application Decision </w:t>
            </w:r>
          </w:p>
          <w:p w:rsidRPr="0037263A" w:rsidR="00F67371" w:rsidP="00720D36" w:rsidRDefault="00F67371" w14:paraId="14EC1217" w14:textId="77777777">
            <w:pPr>
              <w:spacing w:after="215" w:line="249" w:lineRule="auto"/>
              <w:ind w:right="340"/>
              <w:rPr>
                <w:rFonts w:eastAsia="Verdana" w:cs="Arial"/>
                <w:color w:val="000000"/>
                <w14:ligatures w14:val="none"/>
              </w:rPr>
            </w:pPr>
            <w:r>
              <w:rPr>
                <w:rFonts w:eastAsia="Verdana" w:cs="Arial"/>
                <w:color w:val="000000"/>
                <w14:ligatures w14:val="none"/>
              </w:rPr>
              <w:t>Site visit made on</w:t>
            </w:r>
            <w:r w:rsidRPr="0037263A">
              <w:rPr>
                <w:rFonts w:eastAsia="Verdana" w:cs="Arial"/>
                <w:color w:val="000000"/>
                <w14:ligatures w14:val="none"/>
              </w:rPr>
              <w:t xml:space="preserve"> 2</w:t>
            </w:r>
            <w:r>
              <w:rPr>
                <w:rFonts w:eastAsia="Verdana" w:cs="Arial"/>
                <w:color w:val="000000"/>
                <w14:ligatures w14:val="none"/>
              </w:rPr>
              <w:t>0</w:t>
            </w:r>
            <w:r w:rsidRPr="0037263A">
              <w:rPr>
                <w:rFonts w:eastAsia="Verdana" w:cs="Arial"/>
                <w:color w:val="000000"/>
                <w14:ligatures w14:val="none"/>
              </w:rPr>
              <w:t xml:space="preserve"> August 2024</w:t>
            </w:r>
          </w:p>
          <w:p w:rsidR="00F67371" w:rsidP="00720D36" w:rsidRDefault="00F67371" w14:paraId="3F7EA63E" w14:textId="77777777">
            <w:pPr>
              <w:spacing w:after="111" w:line="252" w:lineRule="auto"/>
              <w:ind w:left="-5" w:hanging="10"/>
              <w:rPr>
                <w:rFonts w:eastAsia="Verdana" w:cs="Arial"/>
                <w:bCs/>
                <w:color w:val="000000"/>
                <w:szCs w:val="24"/>
                <w14:ligatures w14:val="none"/>
              </w:rPr>
            </w:pPr>
            <w:r w:rsidRPr="0037263A">
              <w:rPr>
                <w:rFonts w:eastAsia="Verdana" w:cs="Arial"/>
                <w:b/>
                <w:color w:val="000000"/>
                <w:szCs w:val="24"/>
                <w14:ligatures w14:val="none"/>
              </w:rPr>
              <w:t xml:space="preserve">by </w:t>
            </w:r>
            <w:r>
              <w:rPr>
                <w:b/>
                <w:color w:val="000000"/>
              </w:rPr>
              <w:t>D M Young JP BSc (Hons) MA MRTPI MIHE</w:t>
            </w:r>
          </w:p>
          <w:p w:rsidRPr="0037263A" w:rsidR="00F67371" w:rsidP="00720D36" w:rsidRDefault="00F67371" w14:paraId="78BC609A" w14:textId="77777777">
            <w:pPr>
              <w:spacing w:after="111" w:line="252" w:lineRule="auto"/>
              <w:rPr>
                <w:rFonts w:eastAsia="Verdana" w:cs="Arial"/>
                <w:bCs/>
                <w:color w:val="000000"/>
                <w:szCs w:val="24"/>
                <w14:ligatures w14:val="none"/>
              </w:rPr>
            </w:pPr>
            <w:r w:rsidRPr="0037263A">
              <w:rPr>
                <w:rFonts w:eastAsia="Verdana" w:cs="Arial"/>
                <w:b/>
                <w:color w:val="000000"/>
                <w:sz w:val="18"/>
                <w:szCs w:val="18"/>
                <w14:ligatures w14:val="none"/>
              </w:rPr>
              <w:t>An Inspector appointed by the Secretary of State for Environment Food and Rural Affairs</w:t>
            </w:r>
            <w:r w:rsidRPr="0037263A">
              <w:rPr>
                <w:rFonts w:eastAsia="Verdana" w:cs="Arial"/>
                <w:bCs/>
                <w:color w:val="000000"/>
                <w:sz w:val="18"/>
                <w:szCs w:val="18"/>
                <w14:ligatures w14:val="none"/>
              </w:rPr>
              <w:t xml:space="preserve"> </w:t>
            </w:r>
          </w:p>
          <w:p w:rsidRPr="00F67371" w:rsidR="00720D36" w:rsidP="37AB5606" w:rsidRDefault="00720D36" w14:paraId="05CDCB3C" w14:textId="6CADD41C">
            <w:pPr>
              <w:spacing w:before="120"/>
              <w:ind w:left="-108" w:right="34"/>
              <w:rPr>
                <w:b w:val="1"/>
                <w:bCs w:val="1"/>
                <w:color w:val="000000"/>
                <w:sz w:val="16"/>
                <w:szCs w:val="16"/>
              </w:rPr>
            </w:pPr>
            <w:r w:rsidRPr="37AB5606" w:rsidR="00720D36">
              <w:rPr>
                <w:b w:val="1"/>
                <w:bCs w:val="1"/>
                <w:color w:val="000000" w:themeColor="text1" w:themeTint="FF" w:themeShade="FF"/>
                <w:sz w:val="16"/>
                <w:szCs w:val="16"/>
              </w:rPr>
              <w:t xml:space="preserve">  </w:t>
            </w:r>
            <w:r w:rsidRPr="37AB5606" w:rsidR="00F67371">
              <w:rPr>
                <w:b w:val="1"/>
                <w:bCs w:val="1"/>
                <w:color w:val="000000" w:themeColor="text1" w:themeTint="FF" w:themeShade="FF"/>
                <w:sz w:val="16"/>
                <w:szCs w:val="16"/>
              </w:rPr>
              <w:t>Decision date:</w:t>
            </w:r>
            <w:r w:rsidRPr="37AB5606" w:rsidR="65C79E92">
              <w:rPr>
                <w:b w:val="1"/>
                <w:bCs w:val="1"/>
                <w:color w:val="000000" w:themeColor="text1" w:themeTint="FF" w:themeShade="FF"/>
                <w:sz w:val="16"/>
                <w:szCs w:val="16"/>
              </w:rPr>
              <w:t xml:space="preserve"> 3 June 2026</w:t>
            </w:r>
          </w:p>
        </w:tc>
      </w:tr>
    </w:tbl>
    <w:p w:rsidRPr="0037263A" w:rsidR="00294B66" w:rsidP="00B01E4E" w:rsidRDefault="00294B66" w14:paraId="3AD3FA49" w14:textId="77777777">
      <w:pPr>
        <w:keepNext/>
        <w:keepLines/>
        <w:spacing w:before="120"/>
        <w:outlineLvl w:val="0"/>
        <w:rPr>
          <w:rFonts w:eastAsia="Verdana" w:cs="Arial"/>
          <w:b/>
          <w:color w:val="000000"/>
          <w14:ligatures w14:val="none"/>
        </w:rPr>
      </w:pPr>
      <w:r w:rsidRPr="0037263A">
        <w:rPr>
          <w:rFonts w:eastAsia="Verdana" w:cs="Arial"/>
          <w:b/>
          <w:color w:val="000000"/>
          <w14:ligatures w14:val="none"/>
        </w:rPr>
        <w:t>Application Ref: COM/333</w:t>
      </w:r>
      <w:r>
        <w:rPr>
          <w:rFonts w:eastAsia="Verdana" w:cs="Arial"/>
          <w:b/>
          <w:color w:val="000000"/>
          <w14:ligatures w14:val="none"/>
        </w:rPr>
        <w:t>8001</w:t>
      </w:r>
      <w:r w:rsidRPr="0037263A">
        <w:rPr>
          <w:rFonts w:eastAsia="Verdana" w:cs="Arial"/>
          <w:b/>
          <w:color w:val="000000"/>
          <w14:ligatures w14:val="none"/>
        </w:rPr>
        <w:t xml:space="preserve"> </w:t>
      </w:r>
      <w:r>
        <w:rPr>
          <w:rFonts w:eastAsia="Verdana" w:cs="Arial"/>
          <w:b/>
          <w:color w:val="000000"/>
          <w14:ligatures w14:val="none"/>
        </w:rPr>
        <w:t>Land near Holy Well</w:t>
      </w:r>
    </w:p>
    <w:p w:rsidR="00294B66" w:rsidP="00B01E4E" w:rsidRDefault="00294B66" w14:paraId="713597A3" w14:textId="538A44E3">
      <w:pPr>
        <w:spacing w:line="248" w:lineRule="auto"/>
        <w:rPr>
          <w:rFonts w:eastAsia="Verdana" w:cs="Arial"/>
          <w:color w:val="000000"/>
          <w:sz w:val="20"/>
          <w14:ligatures w14:val="none"/>
        </w:rPr>
      </w:pPr>
      <w:r w:rsidRPr="0037263A">
        <w:rPr>
          <w:rFonts w:eastAsia="Verdana" w:cs="Arial"/>
          <w:color w:val="000000"/>
          <w:sz w:val="20"/>
          <w14:ligatures w14:val="none"/>
        </w:rPr>
        <w:t>Register Unit: CL</w:t>
      </w:r>
      <w:r w:rsidR="00950870">
        <w:rPr>
          <w:rFonts w:eastAsia="Verdana" w:cs="Arial"/>
          <w:color w:val="000000"/>
          <w:sz w:val="20"/>
          <w14:ligatures w14:val="none"/>
        </w:rPr>
        <w:t>709</w:t>
      </w:r>
      <w:r w:rsidRPr="0037263A">
        <w:rPr>
          <w:rFonts w:eastAsia="Verdana" w:cs="Arial"/>
          <w:color w:val="000000"/>
          <w:sz w:val="20"/>
          <w14:ligatures w14:val="none"/>
        </w:rPr>
        <w:t xml:space="preserve"> (Original provisional registration number)</w:t>
      </w:r>
      <w:r>
        <w:rPr>
          <w:rFonts w:eastAsia="Verdana" w:cs="Arial"/>
          <w:color w:val="000000"/>
          <w:sz w:val="20"/>
          <w14:ligatures w14:val="none"/>
        </w:rPr>
        <w:t xml:space="preserve"> </w:t>
      </w:r>
    </w:p>
    <w:p w:rsidRPr="0037263A" w:rsidR="00294B66" w:rsidP="00B01E4E" w:rsidRDefault="00294B66" w14:paraId="30072F3E" w14:textId="77777777">
      <w:pPr>
        <w:spacing w:line="248" w:lineRule="auto"/>
        <w:rPr>
          <w:rFonts w:eastAsia="Verdana" w:cs="Arial"/>
          <w:color w:val="000000"/>
          <w:sz w:val="20"/>
          <w14:ligatures w14:val="none"/>
        </w:rPr>
      </w:pPr>
      <w:r w:rsidRPr="0037263A">
        <w:rPr>
          <w:rFonts w:eastAsia="Verdana" w:cs="Arial"/>
          <w:color w:val="000000"/>
          <w:sz w:val="20"/>
          <w14:ligatures w14:val="none"/>
        </w:rPr>
        <w:t>Registration Authority: Cornwall Council</w:t>
      </w:r>
    </w:p>
    <w:p w:rsidRPr="00C97FCC" w:rsidR="00294B66" w:rsidP="00294B66" w:rsidRDefault="00294B66" w14:paraId="1EAC2E13" w14:textId="77777777">
      <w:pPr>
        <w:numPr>
          <w:ilvl w:val="0"/>
          <w:numId w:val="22"/>
        </w:numPr>
        <w:spacing w:line="248" w:lineRule="auto"/>
        <w:ind w:left="484" w:hanging="360"/>
        <w:rPr>
          <w:rFonts w:eastAsia="Verdana" w:cs="Arial"/>
          <w:color w:val="000000"/>
          <w:sz w:val="20"/>
          <w14:ligatures w14:val="none"/>
        </w:rPr>
      </w:pPr>
      <w:r w:rsidRPr="00C97FCC">
        <w:rPr>
          <w:rFonts w:eastAsia="Verdana" w:cs="Arial"/>
          <w:color w:val="000000"/>
          <w:sz w:val="20"/>
          <w14:ligatures w14:val="none"/>
        </w:rPr>
        <w:t xml:space="preserve">The application, dated 31 December 2020 </w:t>
      </w:r>
      <w:proofErr w:type="gramStart"/>
      <w:r w:rsidRPr="00C97FCC">
        <w:rPr>
          <w:rFonts w:eastAsia="Verdana" w:cs="Arial"/>
          <w:color w:val="000000"/>
          <w:sz w:val="20"/>
          <w14:ligatures w14:val="none"/>
        </w:rPr>
        <w:t>is made</w:t>
      </w:r>
      <w:proofErr w:type="gramEnd"/>
      <w:r w:rsidRPr="00C97FCC">
        <w:rPr>
          <w:rFonts w:eastAsia="Verdana" w:cs="Arial"/>
          <w:color w:val="000000"/>
          <w:sz w:val="20"/>
          <w14:ligatures w14:val="none"/>
        </w:rPr>
        <w:t xml:space="preserve"> under Schedule 2 paragraph 4 of</w:t>
      </w:r>
    </w:p>
    <w:p w:rsidRPr="00C97FCC" w:rsidR="00294B66" w:rsidP="00B01E4E" w:rsidRDefault="00294B66" w14:paraId="4E704C7E" w14:textId="77777777">
      <w:pPr>
        <w:spacing w:line="248" w:lineRule="auto"/>
        <w:ind w:left="484"/>
        <w:rPr>
          <w:rFonts w:eastAsia="Verdana" w:cs="Arial"/>
          <w:color w:val="000000"/>
          <w:sz w:val="20"/>
          <w14:ligatures w14:val="none"/>
        </w:rPr>
      </w:pPr>
      <w:r w:rsidRPr="00C97FCC">
        <w:rPr>
          <w:rFonts w:eastAsia="Verdana" w:cs="Arial"/>
          <w:color w:val="000000"/>
          <w:sz w:val="20"/>
          <w14:ligatures w14:val="none"/>
        </w:rPr>
        <w:t>the Commons Act 2006.</w:t>
      </w:r>
    </w:p>
    <w:p w:rsidRPr="00C97FCC" w:rsidR="00294B66" w:rsidP="00294B66" w:rsidRDefault="00294B66" w14:paraId="45336373" w14:textId="77777777">
      <w:pPr>
        <w:numPr>
          <w:ilvl w:val="0"/>
          <w:numId w:val="22"/>
        </w:numPr>
        <w:spacing w:line="248" w:lineRule="auto"/>
        <w:ind w:left="484" w:hanging="360"/>
        <w:rPr>
          <w:rFonts w:eastAsia="Verdana" w:cs="Arial"/>
          <w:color w:val="000000"/>
          <w:sz w:val="20"/>
          <w14:ligatures w14:val="none"/>
        </w:rPr>
      </w:pPr>
      <w:proofErr w:type="gramStart"/>
      <w:r w:rsidRPr="00C97FCC">
        <w:rPr>
          <w:rFonts w:eastAsia="Verdana" w:cs="Arial"/>
          <w:color w:val="000000"/>
          <w:sz w:val="20"/>
          <w14:ligatures w14:val="none"/>
        </w:rPr>
        <w:t>The application is made by the Open Spaces Society</w:t>
      </w:r>
      <w:proofErr w:type="gramEnd"/>
      <w:r w:rsidRPr="00C97FCC">
        <w:rPr>
          <w:rFonts w:eastAsia="Verdana" w:cs="Arial"/>
          <w:color w:val="000000"/>
          <w:sz w:val="20"/>
          <w14:ligatures w14:val="none"/>
        </w:rPr>
        <w:t xml:space="preserve">. </w:t>
      </w:r>
    </w:p>
    <w:p w:rsidRPr="00C97FCC" w:rsidR="00294B66" w:rsidP="00294B66" w:rsidRDefault="00294B66" w14:paraId="5F7B1F46" w14:textId="2AA7ABF9">
      <w:pPr>
        <w:numPr>
          <w:ilvl w:val="0"/>
          <w:numId w:val="22"/>
        </w:numPr>
        <w:spacing w:line="248" w:lineRule="auto"/>
        <w:ind w:left="484" w:hanging="360"/>
        <w:rPr>
          <w:rFonts w:eastAsia="Verdana" w:cs="Arial"/>
          <w:color w:val="000000"/>
          <w:sz w:val="20"/>
          <w14:ligatures w14:val="none"/>
        </w:rPr>
      </w:pPr>
      <w:r w:rsidRPr="00C97FCC">
        <w:rPr>
          <w:rFonts w:eastAsia="Verdana" w:cs="Arial"/>
          <w:color w:val="000000"/>
          <w:sz w:val="20"/>
          <w14:ligatures w14:val="none"/>
        </w:rPr>
        <w:t xml:space="preserve">The application is to register waste land of a manor as common land in the register of common land. </w:t>
      </w:r>
    </w:p>
    <w:tbl>
      <w:tblPr>
        <w:tblW w:w="5024" w:type="pct"/>
        <w:tblBorders>
          <w:top w:val="single" w:color="auto" w:sz="4" w:space="0"/>
        </w:tblBorders>
        <w:tblLayout w:type="fixed"/>
        <w:tblCellMar>
          <w:left w:w="0" w:type="dxa"/>
          <w:right w:w="0" w:type="dxa"/>
        </w:tblCellMar>
        <w:tblLook w:val="04A0" w:firstRow="1" w:lastRow="0" w:firstColumn="1" w:lastColumn="0" w:noHBand="0" w:noVBand="1"/>
      </w:tblPr>
      <w:tblGrid>
        <w:gridCol w:w="9349"/>
      </w:tblGrid>
      <w:tr w:rsidRPr="00985933" w:rsidR="000544B9" w:rsidTr="00704B39" w14:paraId="663506A6" w14:textId="77777777">
        <w:tc>
          <w:tcPr>
            <w:tcW w:w="9364" w:type="dxa"/>
            <w:vAlign w:val="center"/>
            <w:hideMark/>
          </w:tcPr>
          <w:p w:rsidRPr="00985933" w:rsidR="000544B9" w:rsidP="00985933" w:rsidRDefault="000544B9" w14:paraId="3F381972" w14:textId="77777777">
            <w:bookmarkStart w:name="bmk_Decisions" w:id="0"/>
            <w:bookmarkStart w:name="bmk_Conditions" w:id="1"/>
          </w:p>
        </w:tc>
      </w:tr>
    </w:tbl>
    <w:p w:rsidR="00720D36" w:rsidP="00720D36" w:rsidRDefault="00720D36" w14:paraId="7CB5D5FE" w14:textId="77777777">
      <w:pPr>
        <w:pStyle w:val="Heading6blackfont"/>
      </w:pPr>
      <w:r w:rsidRPr="00B54AF9">
        <w:t>Decision</w:t>
      </w:r>
    </w:p>
    <w:p w:rsidRPr="00416ACF" w:rsidR="00720D36" w:rsidP="00720D36" w:rsidRDefault="00720D36" w14:paraId="66DF7718" w14:textId="7FDEEA02">
      <w:pPr>
        <w:pStyle w:val="Style1"/>
        <w:numPr>
          <w:ilvl w:val="0"/>
          <w:numId w:val="33"/>
        </w:numPr>
        <w:tabs>
          <w:tab w:val="clear" w:pos="510"/>
          <w:tab w:val="left" w:pos="432"/>
        </w:tabs>
        <w:ind w:left="431" w:hanging="431"/>
        <w:rPr>
          <w14:ligatures w14:val="none"/>
        </w:rPr>
      </w:pPr>
      <w:r w:rsidRPr="00416ACF">
        <w:rPr>
          <w14:ligatures w14:val="none"/>
        </w:rPr>
        <w:t xml:space="preserve">The application </w:t>
      </w:r>
      <w:proofErr w:type="gramStart"/>
      <w:r w:rsidRPr="00416ACF">
        <w:rPr>
          <w14:ligatures w14:val="none"/>
        </w:rPr>
        <w:t>is approved</w:t>
      </w:r>
      <w:proofErr w:type="gramEnd"/>
      <w:r w:rsidRPr="00416ACF">
        <w:rPr>
          <w14:ligatures w14:val="none"/>
        </w:rPr>
        <w:t xml:space="preserve">, </w:t>
      </w:r>
      <w:r w:rsidR="00BD037D">
        <w:rPr>
          <w14:ligatures w14:val="none"/>
        </w:rPr>
        <w:t>and</w:t>
      </w:r>
      <w:r w:rsidRPr="00416ACF">
        <w:rPr>
          <w14:ligatures w14:val="none"/>
        </w:rPr>
        <w:t xml:space="preserve"> the land shown</w:t>
      </w:r>
      <w:r w:rsidR="006E1217">
        <w:rPr>
          <w14:ligatures w14:val="none"/>
        </w:rPr>
        <w:t xml:space="preserve"> edged in red </w:t>
      </w:r>
      <w:r w:rsidRPr="00416ACF">
        <w:rPr>
          <w14:ligatures w14:val="none"/>
        </w:rPr>
        <w:t>on the plan appended to this decision</w:t>
      </w:r>
      <w:r w:rsidR="00BD037D">
        <w:rPr>
          <w14:ligatures w14:val="none"/>
        </w:rPr>
        <w:t xml:space="preserve">, save the public highway, </w:t>
      </w:r>
      <w:r w:rsidRPr="00416ACF">
        <w:rPr>
          <w14:ligatures w14:val="none"/>
        </w:rPr>
        <w:t xml:space="preserve">shall </w:t>
      </w:r>
      <w:proofErr w:type="gramStart"/>
      <w:r w:rsidRPr="00416ACF">
        <w:rPr>
          <w14:ligatures w14:val="none"/>
        </w:rPr>
        <w:t>be added</w:t>
      </w:r>
      <w:proofErr w:type="gramEnd"/>
      <w:r w:rsidRPr="00416ACF">
        <w:rPr>
          <w14:ligatures w14:val="none"/>
        </w:rPr>
        <w:t xml:space="preserve"> to the commons register.</w:t>
      </w:r>
    </w:p>
    <w:p w:rsidR="00720D36" w:rsidP="00720D36" w:rsidRDefault="00720D36" w14:paraId="25E8BD72" w14:textId="77777777">
      <w:pPr>
        <w:pStyle w:val="Heading6blackfont"/>
      </w:pPr>
      <w:r w:rsidRPr="00B54AF9">
        <w:t>Preliminary Matters</w:t>
      </w:r>
    </w:p>
    <w:p w:rsidRPr="00B45881" w:rsidR="00720D36" w:rsidP="00720D36" w:rsidRDefault="00720D36" w14:paraId="6CB87D34" w14:textId="050A83E2">
      <w:pPr>
        <w:pStyle w:val="Style1"/>
        <w:numPr>
          <w:ilvl w:val="0"/>
          <w:numId w:val="33"/>
        </w:numPr>
        <w:tabs>
          <w:tab w:val="clear" w:pos="510"/>
          <w:tab w:val="left" w:pos="432"/>
        </w:tabs>
        <w:ind w:left="431" w:hanging="431"/>
        <w:rPr>
          <w14:ligatures w14:val="none"/>
        </w:rPr>
      </w:pPr>
      <w:r w:rsidRPr="00B45881">
        <w:rPr>
          <w14:ligatures w14:val="none"/>
        </w:rPr>
        <w:t xml:space="preserve">There were two objections from the Bolitho Estate (landowner) and </w:t>
      </w:r>
      <w:r w:rsidR="003E66CE">
        <w:rPr>
          <w14:ligatures w14:val="none"/>
        </w:rPr>
        <w:t>the</w:t>
      </w:r>
      <w:r w:rsidRPr="00CB509C" w:rsidR="00CB509C">
        <w:t xml:space="preserve"> </w:t>
      </w:r>
      <w:r w:rsidRPr="00CB509C" w:rsidR="00CB509C">
        <w:rPr>
          <w14:ligatures w14:val="none"/>
        </w:rPr>
        <w:t>Commons Registration Authority (CRA</w:t>
      </w:r>
      <w:r w:rsidR="00CB509C">
        <w:rPr>
          <w14:ligatures w14:val="none"/>
        </w:rPr>
        <w:t xml:space="preserve">) </w:t>
      </w:r>
      <w:r w:rsidRPr="00B45881">
        <w:rPr>
          <w14:ligatures w14:val="none"/>
        </w:rPr>
        <w:t>in respect of the highway land only.</w:t>
      </w:r>
    </w:p>
    <w:p w:rsidRPr="00C740AB" w:rsidR="00720D36" w:rsidP="00720D36" w:rsidRDefault="00720D36" w14:paraId="7CA815F8" w14:textId="77777777">
      <w:pPr>
        <w:pStyle w:val="Style1"/>
        <w:numPr>
          <w:ilvl w:val="0"/>
          <w:numId w:val="0"/>
        </w:numPr>
        <w:rPr>
          <w:b/>
          <w:bCs/>
        </w:rPr>
      </w:pPr>
      <w:r w:rsidRPr="00C740AB">
        <w:rPr>
          <w:b/>
          <w:bCs/>
        </w:rPr>
        <w:t xml:space="preserve">The Application Land </w:t>
      </w:r>
    </w:p>
    <w:p w:rsidRPr="00B45881" w:rsidR="00720D36" w:rsidP="00720D36" w:rsidRDefault="00720D36" w14:paraId="575FC274" w14:textId="5E43A90E">
      <w:pPr>
        <w:pStyle w:val="Style1"/>
        <w:numPr>
          <w:ilvl w:val="0"/>
          <w:numId w:val="33"/>
        </w:numPr>
        <w:tabs>
          <w:tab w:val="clear" w:pos="510"/>
          <w:tab w:val="left" w:pos="432"/>
        </w:tabs>
        <w:ind w:left="431" w:hanging="431"/>
        <w:rPr>
          <w14:ligatures w14:val="none"/>
        </w:rPr>
      </w:pPr>
      <w:r w:rsidRPr="00B45881">
        <w:rPr>
          <w14:ligatures w14:val="none"/>
        </w:rPr>
        <w:t xml:space="preserve">The application land is known as ‘land near Holy Well’ is in the parish of Madron to the west and south of Boswarthen. It comprises two parcels which extend to </w:t>
      </w:r>
      <w:proofErr w:type="gramStart"/>
      <w:r w:rsidRPr="00B45881">
        <w:rPr>
          <w14:ligatures w14:val="none"/>
        </w:rPr>
        <w:t>some</w:t>
      </w:r>
      <w:proofErr w:type="gramEnd"/>
      <w:r w:rsidRPr="00B45881">
        <w:rPr>
          <w14:ligatures w14:val="none"/>
        </w:rPr>
        <w:t xml:space="preserve"> 2.355 hectares. The larger western parcel is known as the ‘Old Gravel Pit</w:t>
      </w:r>
      <w:proofErr w:type="gramStart"/>
      <w:r w:rsidRPr="00B45881">
        <w:rPr>
          <w14:ligatures w14:val="none"/>
        </w:rPr>
        <w:t>’.</w:t>
      </w:r>
      <w:proofErr w:type="gramEnd"/>
      <w:r w:rsidRPr="00B45881">
        <w:rPr>
          <w14:ligatures w14:val="none"/>
        </w:rPr>
        <w:t xml:space="preserve"> The smaller parcel is unnamed. </w:t>
      </w:r>
    </w:p>
    <w:p w:rsidR="00720D36" w:rsidP="00720D36" w:rsidRDefault="00720D36" w14:paraId="0FB3C39F" w14:textId="77777777">
      <w:pPr>
        <w:pStyle w:val="Heading6blackfont"/>
      </w:pPr>
      <w:r w:rsidRPr="00B54AF9">
        <w:t>Main Issue</w:t>
      </w:r>
      <w:r>
        <w:t>s</w:t>
      </w:r>
    </w:p>
    <w:p w:rsidRPr="00B45881" w:rsidR="00720D36" w:rsidP="00720D36" w:rsidRDefault="00720D36" w14:paraId="7E645851" w14:textId="77777777">
      <w:pPr>
        <w:pStyle w:val="Style1"/>
        <w:numPr>
          <w:ilvl w:val="0"/>
          <w:numId w:val="33"/>
        </w:numPr>
        <w:tabs>
          <w:tab w:val="clear" w:pos="510"/>
          <w:tab w:val="left" w:pos="432"/>
        </w:tabs>
        <w:ind w:left="431" w:hanging="431"/>
        <w:rPr>
          <w14:ligatures w14:val="none"/>
        </w:rPr>
      </w:pPr>
      <w:r w:rsidRPr="00B45881">
        <w:rPr>
          <w14:ligatures w14:val="none"/>
        </w:rPr>
        <w:t xml:space="preserve">The main issue is whether the land was waste land of a manor, at the date of the application on 31 December 2020, and whether before 1 October 2008: </w:t>
      </w:r>
    </w:p>
    <w:p w:rsidR="00720D36" w:rsidP="00720D36" w:rsidRDefault="00720D36" w14:paraId="6A9D060C" w14:textId="77777777">
      <w:pPr>
        <w:pStyle w:val="Style1"/>
        <w:numPr>
          <w:ilvl w:val="0"/>
          <w:numId w:val="24"/>
        </w:numPr>
        <w:tabs>
          <w:tab w:val="clear" w:pos="510"/>
          <w:tab w:val="left" w:pos="432"/>
        </w:tabs>
      </w:pPr>
      <w:r>
        <w:t xml:space="preserve">the land </w:t>
      </w:r>
      <w:proofErr w:type="gramStart"/>
      <w:r>
        <w:t>was provisionally registered</w:t>
      </w:r>
      <w:proofErr w:type="gramEnd"/>
      <w:r>
        <w:t xml:space="preserve"> as common land under section 4 of the Commons Act 1965 (the 1965 Act);</w:t>
      </w:r>
    </w:p>
    <w:p w:rsidR="00720D36" w:rsidP="00720D36" w:rsidRDefault="00720D36" w14:paraId="24FDE67C" w14:textId="77777777">
      <w:pPr>
        <w:pStyle w:val="Style1"/>
        <w:numPr>
          <w:ilvl w:val="0"/>
          <w:numId w:val="24"/>
        </w:numPr>
        <w:tabs>
          <w:tab w:val="clear" w:pos="510"/>
          <w:tab w:val="left" w:pos="432"/>
        </w:tabs>
      </w:pPr>
      <w:r>
        <w:t xml:space="preserve">an objection </w:t>
      </w:r>
      <w:proofErr w:type="gramStart"/>
      <w:r>
        <w:t>was made</w:t>
      </w:r>
      <w:proofErr w:type="gramEnd"/>
      <w:r>
        <w:t xml:space="preserve"> in relation to the provisional registration; and</w:t>
      </w:r>
    </w:p>
    <w:p w:rsidR="00720D36" w:rsidP="00720D36" w:rsidRDefault="00720D36" w14:paraId="3B7FDAA5" w14:textId="77777777">
      <w:pPr>
        <w:pStyle w:val="Style1"/>
        <w:numPr>
          <w:ilvl w:val="0"/>
          <w:numId w:val="24"/>
        </w:numPr>
        <w:tabs>
          <w:tab w:val="clear" w:pos="510"/>
          <w:tab w:val="left" w:pos="432"/>
        </w:tabs>
      </w:pPr>
      <w:r>
        <w:t xml:space="preserve">the provisional registration </w:t>
      </w:r>
      <w:proofErr w:type="gramStart"/>
      <w:r>
        <w:t>was cancelled</w:t>
      </w:r>
      <w:proofErr w:type="gramEnd"/>
      <w:r>
        <w:t xml:space="preserve"> in the circumstances specified in sub-paragraphs (3), (4) or (5) of the Commons Act 2006 (the 2006 Act).</w:t>
      </w:r>
    </w:p>
    <w:p w:rsidRPr="00B45881" w:rsidR="00720D36" w:rsidP="00720D36" w:rsidRDefault="00720D36" w14:paraId="32F3BD3D" w14:textId="77777777">
      <w:pPr>
        <w:pStyle w:val="Style1"/>
        <w:numPr>
          <w:ilvl w:val="0"/>
          <w:numId w:val="33"/>
        </w:numPr>
        <w:tabs>
          <w:tab w:val="clear" w:pos="510"/>
          <w:tab w:val="left" w:pos="432"/>
        </w:tabs>
        <w:ind w:left="431" w:hanging="431"/>
        <w:rPr>
          <w14:ligatures w14:val="none"/>
        </w:rPr>
      </w:pPr>
      <w:r w:rsidRPr="00B45881">
        <w:rPr>
          <w14:ligatures w14:val="none"/>
        </w:rPr>
        <w:t>Sub-paragraph (5), on which the applicant relies, requires the person who made the application for the provisional registration to request or agree to its cancellation (whether before or after its referral to a Commons Commissioner).</w:t>
      </w:r>
    </w:p>
    <w:p w:rsidR="0026528D" w:rsidP="00720D36" w:rsidRDefault="0026528D" w14:paraId="13F964FA" w14:textId="77777777">
      <w:pPr>
        <w:pStyle w:val="Style1"/>
        <w:numPr>
          <w:ilvl w:val="0"/>
          <w:numId w:val="0"/>
        </w:numPr>
        <w:rPr>
          <w:b/>
          <w:bCs/>
        </w:rPr>
      </w:pPr>
    </w:p>
    <w:p w:rsidR="0026528D" w:rsidP="00720D36" w:rsidRDefault="0026528D" w14:paraId="594AAE9B" w14:textId="77777777">
      <w:pPr>
        <w:pStyle w:val="Style1"/>
        <w:numPr>
          <w:ilvl w:val="0"/>
          <w:numId w:val="0"/>
        </w:numPr>
        <w:rPr>
          <w:b/>
          <w:bCs/>
        </w:rPr>
      </w:pPr>
    </w:p>
    <w:p w:rsidR="00720D36" w:rsidP="00720D36" w:rsidRDefault="00720D36" w14:paraId="4BAFAA12" w14:textId="61A385A3">
      <w:pPr>
        <w:pStyle w:val="Style1"/>
        <w:numPr>
          <w:ilvl w:val="0"/>
          <w:numId w:val="0"/>
        </w:numPr>
        <w:rPr>
          <w:b/>
          <w:bCs/>
        </w:rPr>
      </w:pPr>
      <w:r w:rsidRPr="00AE0A5F">
        <w:rPr>
          <w:b/>
          <w:bCs/>
        </w:rPr>
        <w:lastRenderedPageBreak/>
        <w:t>Reasons</w:t>
      </w:r>
    </w:p>
    <w:p w:rsidRPr="0092275B" w:rsidR="00720D36" w:rsidP="00720D36" w:rsidRDefault="00720D36" w14:paraId="2D1C575F" w14:textId="77777777">
      <w:pPr>
        <w:pStyle w:val="Style1"/>
        <w:numPr>
          <w:ilvl w:val="0"/>
          <w:numId w:val="0"/>
        </w:numPr>
        <w:ind w:left="431" w:hanging="431"/>
        <w:rPr>
          <w:b/>
          <w:bCs/>
          <w:i/>
          <w:iCs/>
        </w:rPr>
      </w:pPr>
      <w:r w:rsidRPr="0092275B">
        <w:rPr>
          <w:b/>
          <w:bCs/>
          <w:i/>
          <w:iCs/>
        </w:rPr>
        <w:t>The requirements of paragraph 4 of Schedule 2</w:t>
      </w:r>
    </w:p>
    <w:p w:rsidRPr="00B45881" w:rsidR="00720D36" w:rsidP="00720D36" w:rsidRDefault="00720D36" w14:paraId="3350A164" w14:textId="78888D3A">
      <w:pPr>
        <w:pStyle w:val="Style1"/>
        <w:numPr>
          <w:ilvl w:val="0"/>
          <w:numId w:val="33"/>
        </w:numPr>
        <w:tabs>
          <w:tab w:val="clear" w:pos="510"/>
          <w:tab w:val="left" w:pos="432"/>
        </w:tabs>
        <w:ind w:left="431" w:hanging="431"/>
        <w:rPr>
          <w14:ligatures w14:val="none"/>
        </w:rPr>
      </w:pPr>
      <w:r w:rsidRPr="00B45881">
        <w:rPr>
          <w14:ligatures w14:val="none"/>
        </w:rPr>
        <w:t xml:space="preserve">The application land </w:t>
      </w:r>
      <w:proofErr w:type="gramStart"/>
      <w:r w:rsidRPr="00B45881">
        <w:rPr>
          <w14:ligatures w14:val="none"/>
        </w:rPr>
        <w:t>was provisionally registered</w:t>
      </w:r>
      <w:proofErr w:type="gramEnd"/>
      <w:r w:rsidRPr="00B45881">
        <w:rPr>
          <w14:ligatures w14:val="none"/>
        </w:rPr>
        <w:t xml:space="preserve"> as common land under the 1965 </w:t>
      </w:r>
      <w:r w:rsidR="00BD037D">
        <w:rPr>
          <w14:ligatures w14:val="none"/>
        </w:rPr>
        <w:t xml:space="preserve">Act </w:t>
      </w:r>
      <w:r w:rsidRPr="00B45881">
        <w:rPr>
          <w14:ligatures w14:val="none"/>
        </w:rPr>
        <w:t>pursuant to application ref: 1891 made by the West Cornwall Footpaths Preservation Society on 17 December 1969.</w:t>
      </w:r>
    </w:p>
    <w:p w:rsidRPr="00B45881" w:rsidR="00720D36" w:rsidP="00720D36" w:rsidRDefault="00720D36" w14:paraId="374C56EA" w14:textId="77777777">
      <w:pPr>
        <w:pStyle w:val="Style1"/>
        <w:numPr>
          <w:ilvl w:val="0"/>
          <w:numId w:val="33"/>
        </w:numPr>
        <w:tabs>
          <w:tab w:val="clear" w:pos="510"/>
          <w:tab w:val="left" w:pos="432"/>
        </w:tabs>
        <w:ind w:left="431" w:hanging="431"/>
        <w:rPr>
          <w14:ligatures w14:val="none"/>
        </w:rPr>
      </w:pPr>
      <w:r w:rsidRPr="00B45881">
        <w:rPr>
          <w14:ligatures w14:val="none"/>
        </w:rPr>
        <w:t xml:space="preserve">The only objection to the provisional register </w:t>
      </w:r>
      <w:proofErr w:type="gramStart"/>
      <w:r w:rsidRPr="00B45881">
        <w:rPr>
          <w14:ligatures w14:val="none"/>
        </w:rPr>
        <w:t>was made</w:t>
      </w:r>
      <w:proofErr w:type="gramEnd"/>
      <w:r w:rsidRPr="00B45881">
        <w:rPr>
          <w14:ligatures w14:val="none"/>
        </w:rPr>
        <w:t xml:space="preserve"> by J E G Scobie Esq on behalf of the Bolitho Trust (Objection No. X1101). The objection </w:t>
      </w:r>
      <w:proofErr w:type="gramStart"/>
      <w:r w:rsidRPr="00B45881">
        <w:rPr>
          <w14:ligatures w14:val="none"/>
        </w:rPr>
        <w:t>was dated</w:t>
      </w:r>
      <w:proofErr w:type="gramEnd"/>
      <w:r w:rsidRPr="00B45881">
        <w:rPr>
          <w14:ligatures w14:val="none"/>
        </w:rPr>
        <w:t xml:space="preserve"> 4 July 1972. The grounds of objection were that part of the land was not common land at the date of registration. </w:t>
      </w:r>
    </w:p>
    <w:p w:rsidRPr="00B45881" w:rsidR="00720D36" w:rsidP="00720D36" w:rsidRDefault="00720D36" w14:paraId="06AF23D5" w14:textId="0D384446">
      <w:pPr>
        <w:pStyle w:val="Style1"/>
        <w:numPr>
          <w:ilvl w:val="0"/>
          <w:numId w:val="33"/>
        </w:numPr>
        <w:tabs>
          <w:tab w:val="clear" w:pos="510"/>
          <w:tab w:val="left" w:pos="432"/>
        </w:tabs>
        <w:ind w:left="431" w:hanging="431"/>
        <w:rPr>
          <w14:ligatures w14:val="none"/>
        </w:rPr>
      </w:pPr>
      <w:r w:rsidRPr="00B45881">
        <w:rPr>
          <w14:ligatures w14:val="none"/>
        </w:rPr>
        <w:t xml:space="preserve">The application </w:t>
      </w:r>
      <w:proofErr w:type="gramStart"/>
      <w:r w:rsidRPr="00B45881">
        <w:rPr>
          <w14:ligatures w14:val="none"/>
        </w:rPr>
        <w:t>was withdrawn</w:t>
      </w:r>
      <w:proofErr w:type="gramEnd"/>
      <w:r w:rsidRPr="00B45881">
        <w:rPr>
          <w14:ligatures w14:val="none"/>
        </w:rPr>
        <w:t xml:space="preserve"> prior to a Commons Commissioner hearing. The applicant requested withdrawal of the provisional registration by a letter to the CRA</w:t>
      </w:r>
      <w:r w:rsidR="00CB509C">
        <w:rPr>
          <w14:ligatures w14:val="none"/>
        </w:rPr>
        <w:t xml:space="preserve"> </w:t>
      </w:r>
      <w:r w:rsidRPr="00B45881">
        <w:rPr>
          <w14:ligatures w14:val="none"/>
        </w:rPr>
        <w:t>dated 3 October 1972 (Ref: WV/51/X1101). The CRA subsequently cancelled the registration on 30 January 1973</w:t>
      </w:r>
      <w:r w:rsidR="00BD037D">
        <w:rPr>
          <w14:ligatures w14:val="none"/>
        </w:rPr>
        <w:t>.</w:t>
      </w:r>
    </w:p>
    <w:p w:rsidRPr="00B45881" w:rsidR="00720D36" w:rsidP="00720D36" w:rsidRDefault="00720D36" w14:paraId="07FE472C" w14:textId="4F4420B2">
      <w:pPr>
        <w:pStyle w:val="Style1"/>
        <w:numPr>
          <w:ilvl w:val="0"/>
          <w:numId w:val="33"/>
        </w:numPr>
        <w:tabs>
          <w:tab w:val="clear" w:pos="510"/>
          <w:tab w:val="left" w:pos="432"/>
        </w:tabs>
        <w:ind w:left="431" w:hanging="431"/>
        <w:rPr>
          <w14:ligatures w14:val="none"/>
        </w:rPr>
      </w:pPr>
      <w:r w:rsidRPr="00B45881">
        <w:rPr>
          <w14:ligatures w14:val="none"/>
        </w:rPr>
        <w:t>Considering the circumstances set out above, I am satisfied that the application land is eligible for re-registration under Paragraph 4(5) of Schedule 2 of the 2006</w:t>
      </w:r>
      <w:r w:rsidR="00BD037D">
        <w:rPr>
          <w14:ligatures w14:val="none"/>
        </w:rPr>
        <w:t xml:space="preserve"> Act</w:t>
      </w:r>
      <w:r w:rsidRPr="00B45881">
        <w:rPr>
          <w14:ligatures w14:val="none"/>
        </w:rPr>
        <w:t xml:space="preserve">. </w:t>
      </w:r>
    </w:p>
    <w:p w:rsidRPr="00372F25" w:rsidR="00720D36" w:rsidP="00720D36" w:rsidRDefault="00720D36" w14:paraId="40FD1D94" w14:textId="77777777">
      <w:pPr>
        <w:pStyle w:val="Style1"/>
        <w:numPr>
          <w:ilvl w:val="0"/>
          <w:numId w:val="0"/>
        </w:numPr>
        <w:rPr>
          <w:b/>
          <w:bCs/>
          <w:i/>
          <w:iCs/>
        </w:rPr>
      </w:pPr>
      <w:r w:rsidRPr="00372F25">
        <w:rPr>
          <w:b/>
          <w:bCs/>
          <w:i/>
          <w:iCs/>
        </w:rPr>
        <w:t>Whether the land is waste land of a manor</w:t>
      </w:r>
    </w:p>
    <w:p w:rsidRPr="00B45881" w:rsidR="00720D36" w:rsidP="00720D36" w:rsidRDefault="00720D36" w14:paraId="49649241" w14:textId="49B5F1FA">
      <w:pPr>
        <w:pStyle w:val="Style1"/>
        <w:numPr>
          <w:ilvl w:val="0"/>
          <w:numId w:val="33"/>
        </w:numPr>
        <w:tabs>
          <w:tab w:val="clear" w:pos="510"/>
          <w:tab w:val="left" w:pos="432"/>
        </w:tabs>
        <w:ind w:left="431" w:hanging="431"/>
        <w:rPr>
          <w14:ligatures w14:val="none"/>
        </w:rPr>
      </w:pPr>
      <w:r w:rsidRPr="00B45881">
        <w:rPr>
          <w14:ligatures w14:val="none"/>
        </w:rPr>
        <w:t xml:space="preserve">There were six manors in the parish of Madron (Alverton, Boswednan, Lanyon, Mulfra, Treganebris and Trengwainton). The applicant has </w:t>
      </w:r>
      <w:proofErr w:type="gramStart"/>
      <w:r w:rsidRPr="00B45881">
        <w:rPr>
          <w14:ligatures w14:val="none"/>
        </w:rPr>
        <w:t>carried out</w:t>
      </w:r>
      <w:proofErr w:type="gramEnd"/>
      <w:r w:rsidRPr="00B45881">
        <w:rPr>
          <w14:ligatures w14:val="none"/>
        </w:rPr>
        <w:t xml:space="preserve"> research into all the manors and through a process of elimination concluded</w:t>
      </w:r>
      <w:r w:rsidR="00BD037D">
        <w:rPr>
          <w14:ligatures w14:val="none"/>
        </w:rPr>
        <w:t>,</w:t>
      </w:r>
      <w:r w:rsidRPr="00B45881">
        <w:rPr>
          <w14:ligatures w14:val="none"/>
        </w:rPr>
        <w:t xml:space="preserve"> on the balance of probabilities</w:t>
      </w:r>
      <w:r w:rsidR="00BD037D">
        <w:rPr>
          <w14:ligatures w14:val="none"/>
        </w:rPr>
        <w:t>, that</w:t>
      </w:r>
      <w:r w:rsidRPr="00B45881">
        <w:rPr>
          <w14:ligatures w14:val="none"/>
        </w:rPr>
        <w:t xml:space="preserve"> the application land was situated in the Manor of Trengwainton. </w:t>
      </w:r>
    </w:p>
    <w:p w:rsidRPr="00B45881" w:rsidR="00720D36" w:rsidP="00720D36" w:rsidRDefault="00720D36" w14:paraId="324B9923" w14:textId="77777777">
      <w:pPr>
        <w:pStyle w:val="Style1"/>
        <w:numPr>
          <w:ilvl w:val="0"/>
          <w:numId w:val="33"/>
        </w:numPr>
        <w:tabs>
          <w:tab w:val="clear" w:pos="510"/>
          <w:tab w:val="left" w:pos="432"/>
        </w:tabs>
        <w:ind w:left="431" w:hanging="431"/>
        <w:rPr>
          <w14:ligatures w14:val="none"/>
        </w:rPr>
      </w:pPr>
      <w:r w:rsidRPr="00B45881">
        <w:rPr>
          <w14:ligatures w14:val="none"/>
        </w:rPr>
        <w:t xml:space="preserve">The manor house was situated </w:t>
      </w:r>
      <w:proofErr w:type="gramStart"/>
      <w:r w:rsidRPr="00B45881">
        <w:rPr>
          <w14:ligatures w14:val="none"/>
        </w:rPr>
        <w:t>relatively close</w:t>
      </w:r>
      <w:proofErr w:type="gramEnd"/>
      <w:r w:rsidRPr="00B45881">
        <w:rPr>
          <w14:ligatures w14:val="none"/>
        </w:rPr>
        <w:t xml:space="preserve"> to the application land, a </w:t>
      </w:r>
      <w:proofErr w:type="gramStart"/>
      <w:r w:rsidRPr="00B45881">
        <w:rPr>
          <w14:ligatures w14:val="none"/>
        </w:rPr>
        <w:t>mile</w:t>
      </w:r>
      <w:proofErr w:type="gramEnd"/>
      <w:r w:rsidRPr="00B45881">
        <w:rPr>
          <w14:ligatures w14:val="none"/>
        </w:rPr>
        <w:t xml:space="preserve"> and a half south. This manor </w:t>
      </w:r>
      <w:proofErr w:type="gramStart"/>
      <w:r w:rsidRPr="00B45881">
        <w:rPr>
          <w14:ligatures w14:val="none"/>
        </w:rPr>
        <w:t>was listed</w:t>
      </w:r>
      <w:proofErr w:type="gramEnd"/>
      <w:r w:rsidRPr="00B45881">
        <w:rPr>
          <w14:ligatures w14:val="none"/>
        </w:rPr>
        <w:t xml:space="preserve"> as being a ‘sub-manor’ of the manor of Roseworthy by Pool, P.S.A and F.S.A (1994) and Cadell &amp; Davies (1814)</w:t>
      </w:r>
      <w:proofErr w:type="gramStart"/>
      <w:r w:rsidRPr="00B45881">
        <w:rPr>
          <w14:ligatures w14:val="none"/>
        </w:rPr>
        <w:t>4</w:t>
      </w:r>
      <w:proofErr w:type="gramEnd"/>
      <w:r w:rsidRPr="00B45881">
        <w:rPr>
          <w14:ligatures w14:val="none"/>
        </w:rPr>
        <w:t xml:space="preserve">. </w:t>
      </w:r>
      <w:proofErr w:type="gramStart"/>
      <w:r w:rsidRPr="00B45881">
        <w:rPr>
          <w14:ligatures w14:val="none"/>
        </w:rPr>
        <w:t>The manor was held by the ancient Cowling family</w:t>
      </w:r>
      <w:proofErr w:type="gramEnd"/>
      <w:r w:rsidRPr="00B45881">
        <w:rPr>
          <w14:ligatures w14:val="none"/>
        </w:rPr>
        <w:t xml:space="preserve"> until it </w:t>
      </w:r>
      <w:proofErr w:type="gramStart"/>
      <w:r w:rsidRPr="00B45881">
        <w:rPr>
          <w14:ligatures w14:val="none"/>
        </w:rPr>
        <w:t>was sold</w:t>
      </w:r>
      <w:proofErr w:type="gramEnd"/>
      <w:r w:rsidRPr="00B45881">
        <w:rPr>
          <w14:ligatures w14:val="none"/>
        </w:rPr>
        <w:t xml:space="preserve"> in 1668 to the Arundell family and soon after owned by the Praed family and inhabited by the Price family.</w:t>
      </w:r>
    </w:p>
    <w:p w:rsidRPr="00B45881" w:rsidR="00720D36" w:rsidP="00720D36" w:rsidRDefault="00720D36" w14:paraId="193E9F2C" w14:textId="4F890F0F">
      <w:pPr>
        <w:pStyle w:val="Style1"/>
        <w:numPr>
          <w:ilvl w:val="0"/>
          <w:numId w:val="33"/>
        </w:numPr>
        <w:tabs>
          <w:tab w:val="clear" w:pos="510"/>
          <w:tab w:val="left" w:pos="432"/>
        </w:tabs>
        <w:ind w:left="431" w:hanging="431"/>
        <w:rPr>
          <w14:ligatures w14:val="none"/>
        </w:rPr>
      </w:pPr>
      <w:r w:rsidRPr="00B45881">
        <w:rPr>
          <w14:ligatures w14:val="none"/>
        </w:rPr>
        <w:t xml:space="preserve">The tithe survey for the parish of Madron records that the unnamed parcel of the application land </w:t>
      </w:r>
      <w:proofErr w:type="gramStart"/>
      <w:r w:rsidRPr="00B45881">
        <w:rPr>
          <w14:ligatures w14:val="none"/>
        </w:rPr>
        <w:t>was included</w:t>
      </w:r>
      <w:proofErr w:type="gramEnd"/>
      <w:r w:rsidRPr="00B45881">
        <w:rPr>
          <w14:ligatures w14:val="none"/>
        </w:rPr>
        <w:t xml:space="preserve"> within Plot No. 719 and </w:t>
      </w:r>
      <w:proofErr w:type="gramStart"/>
      <w:r w:rsidRPr="00B45881">
        <w:rPr>
          <w14:ligatures w14:val="none"/>
        </w:rPr>
        <w:t>was described</w:t>
      </w:r>
      <w:proofErr w:type="gramEnd"/>
      <w:r w:rsidRPr="00B45881">
        <w:rPr>
          <w14:ligatures w14:val="none"/>
        </w:rPr>
        <w:t xml:space="preserve"> as turbary. The Old Gravel Pit formed part of Plot Nos. 603 and 732</w:t>
      </w:r>
      <w:r w:rsidR="00BD037D">
        <w:rPr>
          <w14:ligatures w14:val="none"/>
        </w:rPr>
        <w:t xml:space="preserve"> and </w:t>
      </w:r>
      <w:r w:rsidRPr="00B45881">
        <w:rPr>
          <w14:ligatures w14:val="none"/>
        </w:rPr>
        <w:t xml:space="preserve">described as rocks and </w:t>
      </w:r>
      <w:proofErr w:type="gramStart"/>
      <w:r w:rsidRPr="00B45881">
        <w:rPr>
          <w14:ligatures w14:val="none"/>
        </w:rPr>
        <w:t>turbary</w:t>
      </w:r>
      <w:proofErr w:type="gramEnd"/>
      <w:r w:rsidRPr="00B45881">
        <w:rPr>
          <w14:ligatures w14:val="none"/>
        </w:rPr>
        <w:t xml:space="preserve"> respectively.</w:t>
      </w:r>
    </w:p>
    <w:p w:rsidRPr="00B45881" w:rsidR="00720D36" w:rsidP="00720D36" w:rsidRDefault="00720D36" w14:paraId="126D0B17" w14:textId="001F4E63">
      <w:pPr>
        <w:pStyle w:val="Style1"/>
        <w:numPr>
          <w:ilvl w:val="0"/>
          <w:numId w:val="33"/>
        </w:numPr>
        <w:tabs>
          <w:tab w:val="clear" w:pos="510"/>
          <w:tab w:val="left" w:pos="432"/>
        </w:tabs>
        <w:ind w:left="431" w:hanging="431"/>
        <w:rPr>
          <w14:ligatures w14:val="none"/>
        </w:rPr>
      </w:pPr>
      <w:r w:rsidRPr="00B45881">
        <w:rPr>
          <w14:ligatures w14:val="none"/>
        </w:rPr>
        <w:t xml:space="preserve">There is no dispute from either of the objectors that the land lies in an area which </w:t>
      </w:r>
      <w:proofErr w:type="gramStart"/>
      <w:r w:rsidRPr="00B45881">
        <w:rPr>
          <w14:ligatures w14:val="none"/>
        </w:rPr>
        <w:t>is recognised</w:t>
      </w:r>
      <w:proofErr w:type="gramEnd"/>
      <w:r w:rsidRPr="00B45881">
        <w:rPr>
          <w14:ligatures w14:val="none"/>
        </w:rPr>
        <w:t xml:space="preserve"> to have been, or still be, manorial. On that basis, I am satisfied that the application land can </w:t>
      </w:r>
      <w:proofErr w:type="gramStart"/>
      <w:r w:rsidRPr="00B45881">
        <w:rPr>
          <w14:ligatures w14:val="none"/>
        </w:rPr>
        <w:t>be said</w:t>
      </w:r>
      <w:proofErr w:type="gramEnd"/>
      <w:r w:rsidRPr="00B45881">
        <w:rPr>
          <w14:ligatures w14:val="none"/>
        </w:rPr>
        <w:t xml:space="preserve"> to be waste land of a manor.</w:t>
      </w:r>
    </w:p>
    <w:p w:rsidRPr="00536077" w:rsidR="00720D36" w:rsidP="00720D36" w:rsidRDefault="00720D36" w14:paraId="7C4F3C5B" w14:textId="77777777">
      <w:pPr>
        <w:pStyle w:val="Style1"/>
        <w:numPr>
          <w:ilvl w:val="0"/>
          <w:numId w:val="0"/>
        </w:numPr>
        <w:rPr>
          <w:b/>
          <w:bCs/>
          <w:i/>
          <w:iCs/>
        </w:rPr>
      </w:pPr>
      <w:r w:rsidRPr="00536077">
        <w:rPr>
          <w:b/>
          <w:bCs/>
          <w:i/>
          <w:iCs/>
        </w:rPr>
        <w:t>Whether the land fulfils the character of waste land of the manor</w:t>
      </w:r>
    </w:p>
    <w:p w:rsidRPr="00B45881" w:rsidR="00720D36" w:rsidP="00720D36" w:rsidRDefault="00720D36" w14:paraId="06CB6872" w14:textId="727EF9A2">
      <w:pPr>
        <w:pStyle w:val="Style1"/>
        <w:numPr>
          <w:ilvl w:val="0"/>
          <w:numId w:val="33"/>
        </w:numPr>
        <w:tabs>
          <w:tab w:val="clear" w:pos="510"/>
          <w:tab w:val="left" w:pos="432"/>
        </w:tabs>
        <w:ind w:left="431" w:hanging="431"/>
        <w:rPr>
          <w14:ligatures w14:val="none"/>
        </w:rPr>
      </w:pPr>
      <w:r w:rsidRPr="00B45881">
        <w:rPr>
          <w14:ligatures w14:val="none"/>
        </w:rPr>
        <w:t>The definition of waste land of a manor arising from the case of Attorney General v Hanmer [1858] (2 LJ Ch 837) is “</w:t>
      </w:r>
      <w:r w:rsidRPr="00BD037D">
        <w:rPr>
          <w:i/>
          <w:iCs/>
          <w14:ligatures w14:val="none"/>
        </w:rPr>
        <w:t>the open, uncultivated and unoccupied lands parcel of the manor other than the demesne lands of the manor</w:t>
      </w:r>
      <w:r w:rsidRPr="00B45881">
        <w:rPr>
          <w14:ligatures w14:val="none"/>
        </w:rPr>
        <w:t>”. The question as to whether land is waste land of the manor is one which must be satisfied at the date of the application on 31 December 2020</w:t>
      </w:r>
      <w:r w:rsidR="00BD037D">
        <w:rPr>
          <w14:ligatures w14:val="none"/>
        </w:rPr>
        <w:t>.</w:t>
      </w:r>
    </w:p>
    <w:p w:rsidRPr="00B45881" w:rsidR="00720D36" w:rsidP="00720D36" w:rsidRDefault="00720D36" w14:paraId="44729AC8" w14:textId="46BFB2F4">
      <w:pPr>
        <w:pStyle w:val="Style1"/>
        <w:numPr>
          <w:ilvl w:val="0"/>
          <w:numId w:val="33"/>
        </w:numPr>
        <w:tabs>
          <w:tab w:val="clear" w:pos="510"/>
          <w:tab w:val="left" w:pos="432"/>
        </w:tabs>
        <w:ind w:left="431" w:hanging="431"/>
        <w:rPr>
          <w14:ligatures w14:val="none"/>
        </w:rPr>
      </w:pPr>
      <w:r w:rsidRPr="00B45881">
        <w:rPr>
          <w14:ligatures w14:val="none"/>
        </w:rPr>
        <w:t xml:space="preserve">The landowner’s objection letter states that the unnamed eastern parcel of land </w:t>
      </w:r>
      <w:proofErr w:type="gramStart"/>
      <w:r w:rsidRPr="00B45881">
        <w:rPr>
          <w14:ligatures w14:val="none"/>
        </w:rPr>
        <w:t>is enclosed</w:t>
      </w:r>
      <w:proofErr w:type="gramEnd"/>
      <w:r w:rsidRPr="00B45881">
        <w:rPr>
          <w14:ligatures w14:val="none"/>
        </w:rPr>
        <w:t xml:space="preserve"> by way of old granite walls and vegetation </w:t>
      </w:r>
      <w:proofErr w:type="gramStart"/>
      <w:r w:rsidRPr="00B45881">
        <w:rPr>
          <w14:ligatures w14:val="none"/>
        </w:rPr>
        <w:t>with the exception of</w:t>
      </w:r>
      <w:proofErr w:type="gramEnd"/>
      <w:r w:rsidRPr="00B45881">
        <w:rPr>
          <w14:ligatures w14:val="none"/>
        </w:rPr>
        <w:t xml:space="preserve"> the public </w:t>
      </w:r>
      <w:r w:rsidR="00FE4356">
        <w:rPr>
          <w14:ligatures w14:val="none"/>
        </w:rPr>
        <w:t xml:space="preserve">right of way </w:t>
      </w:r>
      <w:r w:rsidRPr="00B45881">
        <w:rPr>
          <w14:ligatures w14:val="none"/>
        </w:rPr>
        <w:t xml:space="preserve">that runs through the middle of it. </w:t>
      </w:r>
    </w:p>
    <w:p w:rsidRPr="00B45881" w:rsidR="00720D36" w:rsidP="00720D36" w:rsidRDefault="00720D36" w14:paraId="7BA8BB6D" w14:textId="77777777">
      <w:pPr>
        <w:pStyle w:val="Style1"/>
        <w:numPr>
          <w:ilvl w:val="0"/>
          <w:numId w:val="33"/>
        </w:numPr>
        <w:tabs>
          <w:tab w:val="clear" w:pos="510"/>
          <w:tab w:val="left" w:pos="432"/>
        </w:tabs>
        <w:ind w:left="431" w:hanging="431"/>
        <w:rPr>
          <w14:ligatures w14:val="none"/>
        </w:rPr>
      </w:pPr>
      <w:r w:rsidRPr="00B45881">
        <w:rPr>
          <w14:ligatures w14:val="none"/>
        </w:rPr>
        <w:lastRenderedPageBreak/>
        <w:t xml:space="preserve">The applicant responded to the objection by pointing out that the walls abutting the application land serve to enclose the adjacent fields and not the application land. That is consistent with my own observations on my site visit when I saw that the land is open and accessible from the public footpath. </w:t>
      </w:r>
    </w:p>
    <w:p w:rsidRPr="001C05BF" w:rsidR="00720D36" w:rsidP="00720D36" w:rsidRDefault="00720D36" w14:paraId="132B3D76" w14:textId="0A104FB5">
      <w:pPr>
        <w:pStyle w:val="Style1"/>
        <w:numPr>
          <w:ilvl w:val="0"/>
          <w:numId w:val="33"/>
        </w:numPr>
        <w:tabs>
          <w:tab w:val="clear" w:pos="510"/>
          <w:tab w:val="left" w:pos="432"/>
        </w:tabs>
        <w:ind w:left="431" w:hanging="431"/>
        <w:rPr>
          <w14:ligatures w14:val="none"/>
        </w:rPr>
      </w:pPr>
      <w:r w:rsidRPr="00B45881">
        <w:rPr>
          <w14:ligatures w14:val="none"/>
        </w:rPr>
        <w:t xml:space="preserve">The wall referred to by the objector is dilapidated to the extent that it cannot </w:t>
      </w:r>
      <w:proofErr w:type="gramStart"/>
      <w:r w:rsidRPr="00B45881">
        <w:rPr>
          <w14:ligatures w14:val="none"/>
        </w:rPr>
        <w:t>reasonably be</w:t>
      </w:r>
      <w:proofErr w:type="gramEnd"/>
      <w:r w:rsidRPr="00B45881">
        <w:rPr>
          <w14:ligatures w14:val="none"/>
        </w:rPr>
        <w:t xml:space="preserve"> considered to constitute an effective means of enclosure. Moreover, it </w:t>
      </w:r>
      <w:proofErr w:type="gramStart"/>
      <w:r w:rsidRPr="00B45881">
        <w:rPr>
          <w14:ligatures w14:val="none"/>
        </w:rPr>
        <w:t>is limited</w:t>
      </w:r>
      <w:proofErr w:type="gramEnd"/>
      <w:r w:rsidRPr="00B45881">
        <w:rPr>
          <w14:ligatures w14:val="none"/>
        </w:rPr>
        <w:t xml:space="preserve"> to the north-eastern boundary of the site (see photographs 2-5) and does not therefore enclose </w:t>
      </w:r>
      <w:proofErr w:type="gramStart"/>
      <w:r w:rsidRPr="00B45881">
        <w:rPr>
          <w14:ligatures w14:val="none"/>
        </w:rPr>
        <w:t>the majority of</w:t>
      </w:r>
      <w:proofErr w:type="gramEnd"/>
      <w:r w:rsidRPr="00B45881">
        <w:rPr>
          <w14:ligatures w14:val="none"/>
        </w:rPr>
        <w:t xml:space="preserve"> the </w:t>
      </w:r>
      <w:r w:rsidR="00FE4356">
        <w:rPr>
          <w14:ligatures w14:val="none"/>
        </w:rPr>
        <w:t>application land</w:t>
      </w:r>
      <w:r w:rsidRPr="00B45881">
        <w:rPr>
          <w14:ligatures w14:val="none"/>
        </w:rPr>
        <w:t xml:space="preserve">. I </w:t>
      </w:r>
      <w:r w:rsidR="00FE4356">
        <w:rPr>
          <w14:ligatures w14:val="none"/>
        </w:rPr>
        <w:t xml:space="preserve">therefore </w:t>
      </w:r>
      <w:r w:rsidRPr="00B45881">
        <w:rPr>
          <w14:ligatures w14:val="none"/>
        </w:rPr>
        <w:t xml:space="preserve">consider it more likely than not that the wall </w:t>
      </w:r>
      <w:proofErr w:type="gramStart"/>
      <w:r w:rsidRPr="00B45881">
        <w:rPr>
          <w14:ligatures w14:val="none"/>
        </w:rPr>
        <w:t>was built</w:t>
      </w:r>
      <w:proofErr w:type="gramEnd"/>
      <w:r w:rsidRPr="00B45881">
        <w:rPr>
          <w14:ligatures w14:val="none"/>
        </w:rPr>
        <w:t xml:space="preserve"> to enclose the neighbouring agricultural field</w:t>
      </w:r>
      <w:r w:rsidR="00FE4356">
        <w:rPr>
          <w14:ligatures w14:val="none"/>
        </w:rPr>
        <w:t>s</w:t>
      </w:r>
      <w:r w:rsidRPr="00B45881">
        <w:rPr>
          <w14:ligatures w14:val="none"/>
        </w:rPr>
        <w:t xml:space="preserve"> rather than the application land.</w:t>
      </w:r>
      <w:r>
        <w:rPr>
          <w14:ligatures w14:val="none"/>
        </w:rPr>
        <w:t xml:space="preserve"> </w:t>
      </w:r>
      <w:r w:rsidRPr="001C05BF">
        <w:rPr>
          <w14:ligatures w14:val="none"/>
        </w:rPr>
        <w:t xml:space="preserve">There is no suggestion from the objector that the Old Gravel Pit is enclosed, and I see no reason to take a contrary view. </w:t>
      </w:r>
      <w:r w:rsidRPr="003E66CE" w:rsidR="003E66CE">
        <w:rPr>
          <w14:ligatures w14:val="none"/>
        </w:rPr>
        <w:t>I therefore conclude that the land is ‘</w:t>
      </w:r>
      <w:r w:rsidR="003E66CE">
        <w:rPr>
          <w14:ligatures w14:val="none"/>
        </w:rPr>
        <w:t>open</w:t>
      </w:r>
      <w:proofErr w:type="gramStart"/>
      <w:r w:rsidRPr="003E66CE" w:rsidR="003E66CE">
        <w:rPr>
          <w14:ligatures w14:val="none"/>
        </w:rPr>
        <w:t>’.</w:t>
      </w:r>
      <w:proofErr w:type="gramEnd"/>
    </w:p>
    <w:p w:rsidRPr="00B45881" w:rsidR="00720D36" w:rsidP="00720D36" w:rsidRDefault="00720D36" w14:paraId="7CE18AE4" w14:textId="7246D386">
      <w:pPr>
        <w:pStyle w:val="Style1"/>
        <w:numPr>
          <w:ilvl w:val="0"/>
          <w:numId w:val="33"/>
        </w:numPr>
        <w:tabs>
          <w:tab w:val="clear" w:pos="510"/>
          <w:tab w:val="left" w:pos="432"/>
        </w:tabs>
        <w:ind w:left="431" w:hanging="431"/>
        <w:rPr>
          <w14:ligatures w14:val="none"/>
        </w:rPr>
      </w:pPr>
      <w:r w:rsidRPr="00B45881">
        <w:rPr>
          <w14:ligatures w14:val="none"/>
        </w:rPr>
        <w:t>The landowner’s objection letter states that both parcel</w:t>
      </w:r>
      <w:r w:rsidR="00FE4356">
        <w:rPr>
          <w14:ligatures w14:val="none"/>
        </w:rPr>
        <w:t>s</w:t>
      </w:r>
      <w:r w:rsidRPr="00B45881">
        <w:rPr>
          <w14:ligatures w14:val="none"/>
        </w:rPr>
        <w:t xml:space="preserve"> of land are subject to agricultural tenancies and the land </w:t>
      </w:r>
      <w:proofErr w:type="gramStart"/>
      <w:r w:rsidRPr="00B45881">
        <w:rPr>
          <w14:ligatures w14:val="none"/>
        </w:rPr>
        <w:t>is therefore occupied</w:t>
      </w:r>
      <w:proofErr w:type="gramEnd"/>
      <w:r w:rsidRPr="00B45881">
        <w:rPr>
          <w14:ligatures w14:val="none"/>
        </w:rPr>
        <w:t xml:space="preserve"> and has been for </w:t>
      </w:r>
      <w:proofErr w:type="gramStart"/>
      <w:r w:rsidRPr="00B45881">
        <w:rPr>
          <w14:ligatures w14:val="none"/>
        </w:rPr>
        <w:t>many</w:t>
      </w:r>
      <w:proofErr w:type="gramEnd"/>
      <w:r w:rsidRPr="00B45881">
        <w:rPr>
          <w14:ligatures w14:val="none"/>
        </w:rPr>
        <w:t xml:space="preserve"> decades by tenant farmers. However, it was clear from my own observations and the photographs supplied by the </w:t>
      </w:r>
      <w:r w:rsidR="00FE4356">
        <w:rPr>
          <w14:ligatures w14:val="none"/>
        </w:rPr>
        <w:t>a</w:t>
      </w:r>
      <w:r w:rsidRPr="00B45881">
        <w:rPr>
          <w14:ligatures w14:val="none"/>
        </w:rPr>
        <w:t xml:space="preserve">pplicant that there is little or no evidence of any activity which required the soil to </w:t>
      </w:r>
      <w:proofErr w:type="gramStart"/>
      <w:r w:rsidRPr="00B45881">
        <w:rPr>
          <w14:ligatures w14:val="none"/>
        </w:rPr>
        <w:t>be broken</w:t>
      </w:r>
      <w:proofErr w:type="gramEnd"/>
      <w:r w:rsidRPr="00B45881">
        <w:rPr>
          <w14:ligatures w14:val="none"/>
        </w:rPr>
        <w:t xml:space="preserve"> for productive purposes. Consequently, the application land can </w:t>
      </w:r>
      <w:proofErr w:type="gramStart"/>
      <w:r w:rsidRPr="00B45881">
        <w:rPr>
          <w14:ligatures w14:val="none"/>
        </w:rPr>
        <w:t>be described</w:t>
      </w:r>
      <w:proofErr w:type="gramEnd"/>
      <w:r w:rsidRPr="00B45881">
        <w:rPr>
          <w14:ligatures w14:val="none"/>
        </w:rPr>
        <w:t xml:space="preserve"> as </w:t>
      </w:r>
      <w:r w:rsidR="00FE4356">
        <w:rPr>
          <w14:ligatures w14:val="none"/>
        </w:rPr>
        <w:t>‘</w:t>
      </w:r>
      <w:r w:rsidRPr="00B45881">
        <w:rPr>
          <w14:ligatures w14:val="none"/>
        </w:rPr>
        <w:t>uncultivated</w:t>
      </w:r>
      <w:proofErr w:type="gramStart"/>
      <w:r w:rsidR="00FE4356">
        <w:rPr>
          <w14:ligatures w14:val="none"/>
        </w:rPr>
        <w:t>’</w:t>
      </w:r>
      <w:r w:rsidRPr="00B45881">
        <w:rPr>
          <w14:ligatures w14:val="none"/>
        </w:rPr>
        <w:t>.</w:t>
      </w:r>
      <w:proofErr w:type="gramEnd"/>
    </w:p>
    <w:p w:rsidR="00720D36" w:rsidP="00720D36" w:rsidRDefault="00720D36" w14:paraId="739A416A" w14:textId="0E411201">
      <w:pPr>
        <w:pStyle w:val="Style1"/>
        <w:numPr>
          <w:ilvl w:val="0"/>
          <w:numId w:val="33"/>
        </w:numPr>
        <w:tabs>
          <w:tab w:val="clear" w:pos="510"/>
          <w:tab w:val="left" w:pos="432"/>
        </w:tabs>
        <w:ind w:left="431" w:hanging="431"/>
      </w:pPr>
      <w:r w:rsidRPr="00B45881">
        <w:rPr>
          <w14:ligatures w14:val="none"/>
        </w:rPr>
        <w:t xml:space="preserve">The applicant highlights the Department for Environment, Food &amp; Rural Affairs guidance which in relation to occupation states that </w:t>
      </w:r>
      <w:r w:rsidR="00FE4356">
        <w:rPr>
          <w14:ligatures w14:val="none"/>
        </w:rPr>
        <w:t>“</w:t>
      </w:r>
      <w:r w:rsidRPr="00FE4356">
        <w:rPr>
          <w:i/>
          <w:iCs/>
          <w14:ligatures w14:val="none"/>
        </w:rPr>
        <w:t>land does not cease to be unoccupied (and therefore cease to be waste) merely because it is subject to a tenancy, lease or licence whose sole or principal purpose is to enable the land to be extensively grazed</w:t>
      </w:r>
      <w:proofErr w:type="gramStart"/>
      <w:r w:rsidR="00FE4356">
        <w:rPr>
          <w14:ligatures w14:val="none"/>
        </w:rPr>
        <w:t>”</w:t>
      </w:r>
      <w:r w:rsidRPr="00B45881">
        <w:rPr>
          <w14:ligatures w14:val="none"/>
        </w:rPr>
        <w:t>.</w:t>
      </w:r>
      <w:proofErr w:type="gramEnd"/>
      <w:r w:rsidRPr="00B45881">
        <w:rPr>
          <w14:ligatures w14:val="none"/>
        </w:rPr>
        <w:t xml:space="preserve"> The letting out of land is not therefore sufficient to demonstrate occupation. There must be </w:t>
      </w:r>
      <w:proofErr w:type="gramStart"/>
      <w:r w:rsidRPr="00B45881">
        <w:rPr>
          <w14:ligatures w14:val="none"/>
        </w:rPr>
        <w:t>some</w:t>
      </w:r>
      <w:proofErr w:type="gramEnd"/>
      <w:r w:rsidRPr="00B45881">
        <w:rPr>
          <w14:ligatures w14:val="none"/>
        </w:rPr>
        <w:t xml:space="preserve"> persuasive evidence of practical occupation and improvement of the land. </w:t>
      </w:r>
      <w:proofErr w:type="gramStart"/>
      <w:r w:rsidRPr="00B45881">
        <w:rPr>
          <w14:ligatures w14:val="none"/>
        </w:rPr>
        <w:t>No such evidence has been provided by the objector</w:t>
      </w:r>
      <w:proofErr w:type="gramEnd"/>
      <w:r w:rsidRPr="00B45881">
        <w:rPr>
          <w14:ligatures w14:val="none"/>
        </w:rPr>
        <w:t xml:space="preserve">. I therefore conclude that the land is </w:t>
      </w:r>
      <w:r w:rsidR="00FE4356">
        <w:rPr>
          <w14:ligatures w14:val="none"/>
        </w:rPr>
        <w:t>‘</w:t>
      </w:r>
      <w:r w:rsidRPr="00B45881">
        <w:rPr>
          <w14:ligatures w14:val="none"/>
        </w:rPr>
        <w:t>unoccupied</w:t>
      </w:r>
      <w:proofErr w:type="gramStart"/>
      <w:r w:rsidR="00FE4356">
        <w:rPr>
          <w14:ligatures w14:val="none"/>
        </w:rPr>
        <w:t>’</w:t>
      </w:r>
      <w:r w:rsidRPr="00B45881">
        <w:rPr>
          <w14:ligatures w14:val="none"/>
        </w:rPr>
        <w:t>.</w:t>
      </w:r>
      <w:proofErr w:type="gramEnd"/>
      <w:r w:rsidRPr="00B45881">
        <w:rPr>
          <w14:ligatures w14:val="none"/>
        </w:rPr>
        <w:t xml:space="preserve"> </w:t>
      </w:r>
    </w:p>
    <w:p w:rsidR="00720D36" w:rsidP="00720D36" w:rsidRDefault="00720D36" w14:paraId="7FCC719F" w14:textId="77777777">
      <w:pPr>
        <w:pStyle w:val="Heading6blackfont"/>
      </w:pPr>
      <w:r w:rsidRPr="00B54AF9">
        <w:t>Other Matters</w:t>
      </w:r>
    </w:p>
    <w:p w:rsidRPr="00B45881" w:rsidR="00720D36" w:rsidP="00720D36" w:rsidRDefault="00720D36" w14:paraId="612FD32D" w14:textId="15C25F71">
      <w:pPr>
        <w:pStyle w:val="Style1"/>
        <w:numPr>
          <w:ilvl w:val="0"/>
          <w:numId w:val="33"/>
        </w:numPr>
        <w:tabs>
          <w:tab w:val="clear" w:pos="510"/>
          <w:tab w:val="left" w:pos="432"/>
        </w:tabs>
        <w:ind w:left="431" w:hanging="431"/>
        <w:rPr>
          <w14:ligatures w14:val="none"/>
        </w:rPr>
      </w:pPr>
      <w:r w:rsidRPr="00B45881">
        <w:rPr>
          <w14:ligatures w14:val="none"/>
        </w:rPr>
        <w:t>The CRA objects on the basis that the application land includes an unclassified metalled road. The CRA argues that roads were exempt from the definition of common land under the 1965</w:t>
      </w:r>
      <w:r w:rsidR="00BD037D">
        <w:rPr>
          <w14:ligatures w14:val="none"/>
        </w:rPr>
        <w:t xml:space="preserve"> Act</w:t>
      </w:r>
      <w:r w:rsidR="00C76EB5">
        <w:rPr>
          <w14:ligatures w14:val="none"/>
        </w:rPr>
        <w:t xml:space="preserve"> and are </w:t>
      </w:r>
      <w:r w:rsidRPr="00B45881">
        <w:rPr>
          <w14:ligatures w14:val="none"/>
        </w:rPr>
        <w:t xml:space="preserve">therefore exempt from registration as common land. As the land was illegible for registration under the 1965 Act, the CRA considers that if the metalled carriageway </w:t>
      </w:r>
      <w:proofErr w:type="gramStart"/>
      <w:r w:rsidRPr="00B45881">
        <w:rPr>
          <w14:ligatures w14:val="none"/>
        </w:rPr>
        <w:t>is registered</w:t>
      </w:r>
      <w:proofErr w:type="gramEnd"/>
      <w:r w:rsidRPr="00B45881">
        <w:rPr>
          <w14:ligatures w14:val="none"/>
        </w:rPr>
        <w:t xml:space="preserve"> as common land, a new category of mistaken registration is </w:t>
      </w:r>
      <w:proofErr w:type="gramStart"/>
      <w:r w:rsidRPr="00B45881">
        <w:rPr>
          <w14:ligatures w14:val="none"/>
        </w:rPr>
        <w:t>being created</w:t>
      </w:r>
      <w:proofErr w:type="gramEnd"/>
      <w:r w:rsidRPr="00B45881">
        <w:rPr>
          <w14:ligatures w14:val="none"/>
        </w:rPr>
        <w:t>. The CRA’s objection relates solely to the extent of the metalled carriageway in the western parcel of land.</w:t>
      </w:r>
    </w:p>
    <w:p w:rsidR="004057ED" w:rsidP="004057ED" w:rsidRDefault="00720D36" w14:paraId="51CD0C2F" w14:textId="08DFD056">
      <w:pPr>
        <w:pStyle w:val="Style1"/>
        <w:numPr>
          <w:ilvl w:val="0"/>
          <w:numId w:val="33"/>
        </w:numPr>
        <w:tabs>
          <w:tab w:val="clear" w:pos="510"/>
          <w:tab w:val="left" w:pos="432"/>
        </w:tabs>
        <w:ind w:left="431" w:hanging="431"/>
        <w:rPr>
          <w14:ligatures w14:val="none"/>
        </w:rPr>
      </w:pPr>
      <w:r w:rsidRPr="00B45881">
        <w:rPr>
          <w14:ligatures w14:val="none"/>
        </w:rPr>
        <w:t xml:space="preserve">The applicant responded by pointing out that the 2006 Act does not need a definition of common land because it is concerned with whatever land </w:t>
      </w:r>
      <w:proofErr w:type="gramStart"/>
      <w:r w:rsidRPr="00B45881">
        <w:rPr>
          <w14:ligatures w14:val="none"/>
        </w:rPr>
        <w:t>is registered</w:t>
      </w:r>
      <w:proofErr w:type="gramEnd"/>
      <w:r w:rsidRPr="00B45881">
        <w:rPr>
          <w14:ligatures w14:val="none"/>
        </w:rPr>
        <w:t xml:space="preserve"> as common land</w:t>
      </w:r>
      <w:r w:rsidR="00C76EB5">
        <w:rPr>
          <w14:ligatures w14:val="none"/>
        </w:rPr>
        <w:t>. T</w:t>
      </w:r>
      <w:r w:rsidRPr="00B45881">
        <w:rPr>
          <w14:ligatures w14:val="none"/>
        </w:rPr>
        <w:t>he exemption in the 1965 Act is therefore still operative. The sole relevant criterion to determining the application is therefore whether the application land is ‘waste land of a manor</w:t>
      </w:r>
      <w:proofErr w:type="gramStart"/>
      <w:r w:rsidRPr="00B45881">
        <w:rPr>
          <w14:ligatures w14:val="none"/>
        </w:rPr>
        <w:t>’.</w:t>
      </w:r>
      <w:proofErr w:type="gramEnd"/>
      <w:r w:rsidRPr="00B45881">
        <w:rPr>
          <w14:ligatures w14:val="none"/>
        </w:rPr>
        <w:t xml:space="preserve"> </w:t>
      </w:r>
    </w:p>
    <w:p w:rsidR="005608AE" w:rsidP="004057ED" w:rsidRDefault="004057ED" w14:paraId="50B93AD3" w14:textId="77777777">
      <w:pPr>
        <w:pStyle w:val="Style1"/>
        <w:numPr>
          <w:ilvl w:val="0"/>
          <w:numId w:val="33"/>
        </w:numPr>
        <w:tabs>
          <w:tab w:val="clear" w:pos="510"/>
          <w:tab w:val="left" w:pos="432"/>
        </w:tabs>
        <w:ind w:left="431" w:hanging="431"/>
        <w:rPr>
          <w14:ligatures w14:val="none"/>
        </w:rPr>
      </w:pPr>
      <w:r w:rsidRPr="004057ED">
        <w:rPr>
          <w14:ligatures w14:val="none"/>
        </w:rPr>
        <w:t xml:space="preserve">Having sought legal advice from DEFRA on the matter, it </w:t>
      </w:r>
      <w:proofErr w:type="gramStart"/>
      <w:r w:rsidRPr="004057ED">
        <w:rPr>
          <w14:ligatures w14:val="none"/>
        </w:rPr>
        <w:t>is considered</w:t>
      </w:r>
      <w:proofErr w:type="gramEnd"/>
      <w:r w:rsidRPr="004057ED">
        <w:rPr>
          <w14:ligatures w14:val="none"/>
        </w:rPr>
        <w:t xml:space="preserve"> that Schedule 2 to the 2006 </w:t>
      </w:r>
      <w:r w:rsidR="00BD037D">
        <w:rPr>
          <w14:ligatures w14:val="none"/>
        </w:rPr>
        <w:t xml:space="preserve">Act </w:t>
      </w:r>
      <w:r w:rsidRPr="004057ED">
        <w:rPr>
          <w14:ligatures w14:val="none"/>
        </w:rPr>
        <w:t xml:space="preserve">only allows for the registration of land which could, in principle, have </w:t>
      </w:r>
      <w:proofErr w:type="gramStart"/>
      <w:r w:rsidRPr="004057ED">
        <w:rPr>
          <w14:ligatures w14:val="none"/>
        </w:rPr>
        <w:t>been registered</w:t>
      </w:r>
      <w:proofErr w:type="gramEnd"/>
      <w:r w:rsidRPr="004057ED">
        <w:rPr>
          <w14:ligatures w14:val="none"/>
        </w:rPr>
        <w:t xml:space="preserve"> under the 1965</w:t>
      </w:r>
      <w:r w:rsidR="00BD037D">
        <w:rPr>
          <w14:ligatures w14:val="none"/>
        </w:rPr>
        <w:t xml:space="preserve"> Act</w:t>
      </w:r>
      <w:r w:rsidRPr="004057ED">
        <w:rPr>
          <w14:ligatures w14:val="none"/>
        </w:rPr>
        <w:t>. Th</w:t>
      </w:r>
      <w:r w:rsidR="00C76EB5">
        <w:rPr>
          <w14:ligatures w14:val="none"/>
        </w:rPr>
        <w:t xml:space="preserve">is did not </w:t>
      </w:r>
      <w:r w:rsidRPr="004057ED">
        <w:rPr>
          <w14:ligatures w14:val="none"/>
        </w:rPr>
        <w:t>expressly allow for the registration of highways when registering common land. I therefore concur with the CRA that it would not be appropriate to register a highway as common land. Therefore, I consider the</w:t>
      </w:r>
      <w:r w:rsidR="006233A8">
        <w:rPr>
          <w14:ligatures w14:val="none"/>
        </w:rPr>
        <w:t xml:space="preserve"> </w:t>
      </w:r>
      <w:r w:rsidRPr="004057ED">
        <w:rPr>
          <w14:ligatures w14:val="none"/>
        </w:rPr>
        <w:t>highway</w:t>
      </w:r>
      <w:r w:rsidR="006233A8">
        <w:rPr>
          <w14:ligatures w14:val="none"/>
        </w:rPr>
        <w:t xml:space="preserve"> crossing the land</w:t>
      </w:r>
      <w:r w:rsidR="005608AE">
        <w:rPr>
          <w14:ligatures w14:val="none"/>
        </w:rPr>
        <w:t xml:space="preserve"> shown in the plan at Appendix 2</w:t>
      </w:r>
      <w:r w:rsidR="006233A8">
        <w:rPr>
          <w14:ligatures w14:val="none"/>
        </w:rPr>
        <w:t xml:space="preserve"> </w:t>
      </w:r>
      <w:r w:rsidRPr="004057ED">
        <w:rPr>
          <w14:ligatures w14:val="none"/>
        </w:rPr>
        <w:t xml:space="preserve">should </w:t>
      </w:r>
      <w:proofErr w:type="gramStart"/>
      <w:r w:rsidRPr="004057ED">
        <w:rPr>
          <w14:ligatures w14:val="none"/>
        </w:rPr>
        <w:t>be removed</w:t>
      </w:r>
      <w:proofErr w:type="gramEnd"/>
      <w:r w:rsidRPr="004057ED">
        <w:rPr>
          <w14:ligatures w14:val="none"/>
        </w:rPr>
        <w:t xml:space="preserve"> from the application and should not </w:t>
      </w:r>
      <w:proofErr w:type="gramStart"/>
      <w:r w:rsidRPr="004057ED">
        <w:rPr>
          <w14:ligatures w14:val="none"/>
        </w:rPr>
        <w:t>be registered</w:t>
      </w:r>
      <w:proofErr w:type="gramEnd"/>
      <w:r w:rsidRPr="004057ED">
        <w:rPr>
          <w14:ligatures w14:val="none"/>
        </w:rPr>
        <w:t xml:space="preserve"> as common. </w:t>
      </w:r>
    </w:p>
    <w:p w:rsidRPr="00576167" w:rsidR="004057ED" w:rsidP="00576167" w:rsidRDefault="005608AE" w14:paraId="73D0168C" w14:textId="7A040D7E">
      <w:pPr>
        <w:pStyle w:val="Style1"/>
        <w:numPr>
          <w:ilvl w:val="0"/>
          <w:numId w:val="33"/>
        </w:numPr>
        <w:tabs>
          <w:tab w:val="left" w:pos="432"/>
        </w:tabs>
        <w:rPr>
          <w14:ligatures w14:val="none"/>
        </w:rPr>
      </w:pPr>
      <w:r>
        <w:rPr>
          <w14:ligatures w14:val="none"/>
        </w:rPr>
        <w:lastRenderedPageBreak/>
        <w:t>While I have noted concerns from the applicant and landowner</w:t>
      </w:r>
      <w:r w:rsidR="00BC225A">
        <w:rPr>
          <w14:ligatures w14:val="none"/>
        </w:rPr>
        <w:t xml:space="preserve">, </w:t>
      </w:r>
      <w:r>
        <w:rPr>
          <w14:ligatures w14:val="none"/>
        </w:rPr>
        <w:t xml:space="preserve">there is no substantial </w:t>
      </w:r>
      <w:r w:rsidR="00395ADE">
        <w:rPr>
          <w14:ligatures w14:val="none"/>
        </w:rPr>
        <w:t>evidence before me to doubt</w:t>
      </w:r>
      <w:r w:rsidR="00BC225A">
        <w:rPr>
          <w14:ligatures w14:val="none"/>
        </w:rPr>
        <w:t xml:space="preserve"> the accuracy of the plans</w:t>
      </w:r>
      <w:r w:rsidR="003B2548">
        <w:rPr>
          <w14:ligatures w14:val="none"/>
        </w:rPr>
        <w:t xml:space="preserve"> supplied by the Highway Authority. Even if there was, it would not be for </w:t>
      </w:r>
      <w:r w:rsidR="009635F4">
        <w:rPr>
          <w14:ligatures w14:val="none"/>
        </w:rPr>
        <w:t>a decision</w:t>
      </w:r>
      <w:r w:rsidR="000B07FD">
        <w:rPr>
          <w14:ligatures w14:val="none"/>
        </w:rPr>
        <w:t xml:space="preserve"> under</w:t>
      </w:r>
      <w:r w:rsidRPr="000B07FD" w:rsidR="000B07FD">
        <w:t xml:space="preserve"> </w:t>
      </w:r>
      <w:r w:rsidRPr="000B07FD" w:rsidR="000B07FD">
        <w:rPr>
          <w14:ligatures w14:val="none"/>
        </w:rPr>
        <w:t>Schedule 2 paragraph 4 of</w:t>
      </w:r>
      <w:r w:rsidR="000B07FD">
        <w:rPr>
          <w14:ligatures w14:val="none"/>
        </w:rPr>
        <w:t xml:space="preserve"> </w:t>
      </w:r>
      <w:r w:rsidRPr="000B07FD" w:rsidR="000B07FD">
        <w:rPr>
          <w14:ligatures w14:val="none"/>
        </w:rPr>
        <w:t>the 2006 Act</w:t>
      </w:r>
      <w:r w:rsidR="000B07FD">
        <w:rPr>
          <w14:ligatures w14:val="none"/>
        </w:rPr>
        <w:t xml:space="preserve"> to </w:t>
      </w:r>
      <w:proofErr w:type="gramStart"/>
      <w:r w:rsidR="00576167">
        <w:rPr>
          <w14:ligatures w14:val="none"/>
        </w:rPr>
        <w:t>adjudicate</w:t>
      </w:r>
      <w:proofErr w:type="gramEnd"/>
      <w:r w:rsidR="00576167">
        <w:rPr>
          <w14:ligatures w14:val="none"/>
        </w:rPr>
        <w:t xml:space="preserve"> on what is, or is not, public highway</w:t>
      </w:r>
      <w:r w:rsidRPr="00576167" w:rsidR="00BC225A">
        <w:rPr>
          <w14:ligatures w14:val="none"/>
        </w:rPr>
        <w:t>. Accordingly, the land</w:t>
      </w:r>
      <w:r w:rsidRPr="00576167" w:rsidR="00E30FFD">
        <w:rPr>
          <w14:ligatures w14:val="none"/>
        </w:rPr>
        <w:t xml:space="preserve"> shown on the plans at Appendix 2</w:t>
      </w:r>
      <w:r w:rsidRPr="00576167" w:rsidR="00A50A14">
        <w:rPr>
          <w14:ligatures w14:val="none"/>
        </w:rPr>
        <w:t xml:space="preserve"> should </w:t>
      </w:r>
      <w:proofErr w:type="gramStart"/>
      <w:r w:rsidRPr="00576167" w:rsidR="00A50A14">
        <w:rPr>
          <w14:ligatures w14:val="none"/>
        </w:rPr>
        <w:t>be excluded</w:t>
      </w:r>
      <w:proofErr w:type="gramEnd"/>
      <w:r w:rsidRPr="00576167" w:rsidR="00A50A14">
        <w:rPr>
          <w14:ligatures w14:val="none"/>
        </w:rPr>
        <w:t xml:space="preserve"> from the common register. </w:t>
      </w:r>
    </w:p>
    <w:p w:rsidRPr="00885ECA" w:rsidR="00720D36" w:rsidP="00720D36" w:rsidRDefault="00720D36" w14:paraId="3DFFF4A9" w14:textId="77777777">
      <w:pPr>
        <w:pStyle w:val="Style1"/>
        <w:numPr>
          <w:ilvl w:val="0"/>
          <w:numId w:val="0"/>
        </w:numPr>
        <w:rPr>
          <w:b/>
          <w:bCs/>
        </w:rPr>
      </w:pPr>
      <w:bookmarkStart w:name="bmk_Conclusions" w:id="2"/>
      <w:r w:rsidRPr="00885ECA">
        <w:rPr>
          <w:b/>
          <w:bCs/>
        </w:rPr>
        <w:t>Conclusion</w:t>
      </w:r>
    </w:p>
    <w:p w:rsidRPr="00B45881" w:rsidR="00720D36" w:rsidP="00720D36" w:rsidRDefault="00720D36" w14:paraId="1F59D68E" w14:textId="14D999CA">
      <w:pPr>
        <w:pStyle w:val="Style1"/>
        <w:numPr>
          <w:ilvl w:val="0"/>
          <w:numId w:val="33"/>
        </w:numPr>
        <w:tabs>
          <w:tab w:val="clear" w:pos="510"/>
          <w:tab w:val="left" w:pos="432"/>
        </w:tabs>
        <w:ind w:left="431" w:hanging="431"/>
        <w:rPr>
          <w14:ligatures w14:val="none"/>
        </w:rPr>
      </w:pPr>
      <w:r w:rsidRPr="00B45881">
        <w:rPr>
          <w14:ligatures w14:val="none"/>
        </w:rPr>
        <w:t>Having regard to these and all other matters raised in the written representations, I conclude that the application land</w:t>
      </w:r>
      <w:r w:rsidR="00C06FF9">
        <w:rPr>
          <w14:ligatures w14:val="none"/>
        </w:rPr>
        <w:t xml:space="preserve">, save for the </w:t>
      </w:r>
      <w:r w:rsidR="00C76EB5">
        <w:rPr>
          <w14:ligatures w14:val="none"/>
        </w:rPr>
        <w:t xml:space="preserve">metalled </w:t>
      </w:r>
      <w:r w:rsidR="00C06FF9">
        <w:rPr>
          <w14:ligatures w14:val="none"/>
        </w:rPr>
        <w:t xml:space="preserve">highway, </w:t>
      </w:r>
      <w:r w:rsidRPr="00B45881">
        <w:rPr>
          <w14:ligatures w14:val="none"/>
        </w:rPr>
        <w:t xml:space="preserve">fulfils the necessary criteria for registration. Consequently, I approve the application and the land shown </w:t>
      </w:r>
      <w:r w:rsidR="00033666">
        <w:rPr>
          <w14:ligatures w14:val="none"/>
        </w:rPr>
        <w:t>edged in red</w:t>
      </w:r>
      <w:r w:rsidRPr="00F80DC5" w:rsidR="00F80DC5">
        <w:rPr>
          <w14:ligatures w14:val="none"/>
        </w:rPr>
        <w:t xml:space="preserve"> </w:t>
      </w:r>
      <w:r w:rsidRPr="00B45881" w:rsidR="00F80DC5">
        <w:rPr>
          <w14:ligatures w14:val="none"/>
        </w:rPr>
        <w:t>on the plan appended to this decision</w:t>
      </w:r>
      <w:r w:rsidR="00A50EE1">
        <w:rPr>
          <w14:ligatures w14:val="none"/>
        </w:rPr>
        <w:t>, minus th</w:t>
      </w:r>
      <w:r w:rsidR="00F80DC5">
        <w:rPr>
          <w14:ligatures w14:val="none"/>
        </w:rPr>
        <w:t xml:space="preserve">e </w:t>
      </w:r>
      <w:r w:rsidR="00A50EE1">
        <w:rPr>
          <w14:ligatures w14:val="none"/>
        </w:rPr>
        <w:t xml:space="preserve">full width of </w:t>
      </w:r>
      <w:r w:rsidR="007A3567">
        <w:rPr>
          <w14:ligatures w14:val="none"/>
        </w:rPr>
        <w:t>the</w:t>
      </w:r>
      <w:r w:rsidR="00A50EE1">
        <w:rPr>
          <w14:ligatures w14:val="none"/>
        </w:rPr>
        <w:t xml:space="preserve"> highways</w:t>
      </w:r>
      <w:r w:rsidR="00F80DC5">
        <w:rPr>
          <w14:ligatures w14:val="none"/>
        </w:rPr>
        <w:t xml:space="preserve">, </w:t>
      </w:r>
      <w:r w:rsidRPr="00B45881">
        <w:rPr>
          <w14:ligatures w14:val="none"/>
        </w:rPr>
        <w:t xml:space="preserve">should </w:t>
      </w:r>
      <w:proofErr w:type="gramStart"/>
      <w:r w:rsidRPr="00B45881">
        <w:rPr>
          <w14:ligatures w14:val="none"/>
        </w:rPr>
        <w:t>be added</w:t>
      </w:r>
      <w:proofErr w:type="gramEnd"/>
      <w:r w:rsidRPr="00B45881">
        <w:rPr>
          <w14:ligatures w14:val="none"/>
        </w:rPr>
        <w:t xml:space="preserve"> to the commons register. </w:t>
      </w:r>
      <w:bookmarkEnd w:id="2"/>
    </w:p>
    <w:p w:rsidR="00720D36" w:rsidP="00720D36" w:rsidRDefault="00720D36" w14:paraId="5488D349" w14:textId="77777777">
      <w:pPr>
        <w:tabs>
          <w:tab w:val="left" w:pos="432"/>
        </w:tabs>
        <w:spacing w:before="180"/>
        <w:outlineLvl w:val="0"/>
        <w:rPr>
          <w:rFonts w:ascii="Monotype Corsiva" w:hAnsi="Monotype Corsiva"/>
          <w:color w:val="000000"/>
          <w:kern w:val="28"/>
          <w:sz w:val="36"/>
          <w:szCs w:val="36"/>
        </w:rPr>
      </w:pPr>
    </w:p>
    <w:p w:rsidRPr="00985933" w:rsidR="00720D36" w:rsidP="00720D36" w:rsidRDefault="00720D36" w14:paraId="201E7F39" w14:textId="77777777">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D M Young</w:t>
      </w:r>
      <w:r w:rsidRPr="00985933">
        <w:rPr>
          <w:rFonts w:ascii="Monotype Corsiva" w:hAnsi="Monotype Corsiva"/>
          <w:color w:val="000000"/>
          <w:kern w:val="28"/>
          <w:sz w:val="36"/>
          <w:szCs w:val="36"/>
        </w:rPr>
        <w:t xml:space="preserve"> </w:t>
      </w:r>
    </w:p>
    <w:p w:rsidR="00720D36" w:rsidP="00720D36" w:rsidRDefault="00720D36" w14:paraId="4D03702B" w14:textId="77777777" w14:noSpellErr="1">
      <w:pPr>
        <w:tabs>
          <w:tab w:val="left" w:pos="432"/>
        </w:tabs>
        <w:spacing w:before="180"/>
        <w:outlineLvl w:val="0"/>
        <w:rPr>
          <w:color w:val="000000"/>
          <w:kern w:val="28"/>
        </w:rPr>
      </w:pPr>
      <w:r w:rsidRPr="00985933" w:rsidR="00720D36">
        <w:rPr>
          <w:color w:val="000000"/>
          <w:kern w:val="28"/>
        </w:rPr>
        <w:t>INSPECTOR</w:t>
      </w:r>
    </w:p>
    <w:p w:rsidRPr="00A565CE" w:rsidR="00A565CE" w:rsidP="00A565CE" w:rsidRDefault="00A565CE" w14:paraId="24D786D5" w14:textId="77777777">
      <w:pPr>
        <w:pStyle w:val="Style1"/>
        <w:numPr>
          <w:ilvl w:val="0"/>
          <w:numId w:val="0"/>
        </w:numPr>
        <w:ind w:left="431" w:hanging="431"/>
      </w:pPr>
    </w:p>
    <w:bookmarkEnd w:id="0"/>
    <w:bookmarkEnd w:id="1"/>
    <w:p w:rsidR="000544B9" w:rsidP="006E28D1" w:rsidRDefault="000544B9" w14:paraId="51C30DC4" w14:textId="19A8A61C">
      <w:pPr>
        <w:pStyle w:val="Style1"/>
        <w:numPr>
          <w:ilvl w:val="0"/>
          <w:numId w:val="0"/>
        </w:numPr>
        <w:ind w:left="510" w:hanging="510"/>
      </w:pPr>
    </w:p>
    <w:p w:rsidR="0038240B" w:rsidP="006E28D1" w:rsidRDefault="0038240B" w14:paraId="39D79833" w14:textId="77777777">
      <w:pPr>
        <w:pStyle w:val="Style1"/>
        <w:numPr>
          <w:ilvl w:val="0"/>
          <w:numId w:val="0"/>
        </w:numPr>
        <w:ind w:left="510" w:hanging="510"/>
      </w:pPr>
    </w:p>
    <w:p w:rsidR="642E0395" w:rsidP="642E0395" w:rsidRDefault="642E0395" w14:paraId="5B416FC7" w14:textId="397E9029">
      <w:pPr>
        <w:pStyle w:val="Style1"/>
        <w:numPr>
          <w:ilvl w:val="0"/>
          <w:numId w:val="0"/>
        </w:numPr>
        <w:ind w:left="510" w:hanging="510"/>
      </w:pPr>
    </w:p>
    <w:p w:rsidR="642E0395" w:rsidP="642E0395" w:rsidRDefault="642E0395" w14:paraId="2389FEA1" w14:textId="713EB392">
      <w:pPr>
        <w:pStyle w:val="Style1"/>
        <w:numPr>
          <w:ilvl w:val="0"/>
          <w:numId w:val="0"/>
        </w:numPr>
        <w:ind w:left="510" w:hanging="510"/>
      </w:pPr>
    </w:p>
    <w:p w:rsidR="642E0395" w:rsidP="642E0395" w:rsidRDefault="642E0395" w14:paraId="3B3540FE" w14:textId="05841E9F">
      <w:pPr>
        <w:pStyle w:val="Style1"/>
        <w:numPr>
          <w:ilvl w:val="0"/>
          <w:numId w:val="0"/>
        </w:numPr>
        <w:ind w:left="510" w:hanging="510"/>
      </w:pPr>
    </w:p>
    <w:p w:rsidR="642E0395" w:rsidP="642E0395" w:rsidRDefault="642E0395" w14:paraId="6D4D376C" w14:textId="391C1AB6">
      <w:pPr>
        <w:pStyle w:val="Style1"/>
        <w:numPr>
          <w:ilvl w:val="0"/>
          <w:numId w:val="0"/>
        </w:numPr>
        <w:ind w:left="510" w:hanging="510"/>
      </w:pPr>
    </w:p>
    <w:p w:rsidR="642E0395" w:rsidP="642E0395" w:rsidRDefault="642E0395" w14:paraId="6ECB3123" w14:textId="13727B61">
      <w:pPr>
        <w:pStyle w:val="Style1"/>
        <w:numPr>
          <w:ilvl w:val="0"/>
          <w:numId w:val="0"/>
        </w:numPr>
        <w:ind w:left="510" w:hanging="510"/>
      </w:pPr>
    </w:p>
    <w:p w:rsidR="642E0395" w:rsidP="642E0395" w:rsidRDefault="642E0395" w14:paraId="47B60C6E" w14:textId="7E9A69FB">
      <w:pPr>
        <w:pStyle w:val="Style1"/>
        <w:numPr>
          <w:ilvl w:val="0"/>
          <w:numId w:val="0"/>
        </w:numPr>
        <w:ind w:left="510" w:hanging="510"/>
      </w:pPr>
    </w:p>
    <w:p w:rsidR="642E0395" w:rsidP="642E0395" w:rsidRDefault="642E0395" w14:paraId="0A5A2526" w14:textId="74C1E0E2">
      <w:pPr>
        <w:pStyle w:val="Style1"/>
        <w:numPr>
          <w:ilvl w:val="0"/>
          <w:numId w:val="0"/>
        </w:numPr>
        <w:ind w:left="510" w:hanging="510"/>
      </w:pPr>
    </w:p>
    <w:p w:rsidR="642E0395" w:rsidP="642E0395" w:rsidRDefault="642E0395" w14:paraId="2C1B7296" w14:textId="4AF3E25F">
      <w:pPr>
        <w:pStyle w:val="Style1"/>
        <w:numPr>
          <w:ilvl w:val="0"/>
          <w:numId w:val="0"/>
        </w:numPr>
        <w:ind w:left="510" w:hanging="510"/>
      </w:pPr>
    </w:p>
    <w:p w:rsidR="642E0395" w:rsidP="642E0395" w:rsidRDefault="642E0395" w14:paraId="32273664" w14:textId="45632DE3">
      <w:pPr>
        <w:pStyle w:val="Style1"/>
        <w:numPr>
          <w:ilvl w:val="0"/>
          <w:numId w:val="0"/>
        </w:numPr>
        <w:ind w:left="510" w:hanging="510"/>
      </w:pPr>
    </w:p>
    <w:p w:rsidR="642E0395" w:rsidP="642E0395" w:rsidRDefault="642E0395" w14:paraId="22391DEC" w14:textId="115EBEFE">
      <w:pPr>
        <w:pStyle w:val="Style1"/>
        <w:numPr>
          <w:ilvl w:val="0"/>
          <w:numId w:val="0"/>
        </w:numPr>
        <w:ind w:left="510" w:hanging="510"/>
      </w:pPr>
    </w:p>
    <w:p w:rsidR="642E0395" w:rsidP="642E0395" w:rsidRDefault="642E0395" w14:paraId="0441730F" w14:textId="642385AB">
      <w:pPr>
        <w:pStyle w:val="Style1"/>
        <w:numPr>
          <w:ilvl w:val="0"/>
          <w:numId w:val="0"/>
        </w:numPr>
        <w:ind w:left="510" w:hanging="510"/>
      </w:pPr>
    </w:p>
    <w:p w:rsidR="642E0395" w:rsidP="642E0395" w:rsidRDefault="642E0395" w14:paraId="03374EAF" w14:textId="1710719D">
      <w:pPr>
        <w:pStyle w:val="Style1"/>
        <w:numPr>
          <w:ilvl w:val="0"/>
          <w:numId w:val="0"/>
        </w:numPr>
        <w:ind w:left="510" w:hanging="510"/>
      </w:pPr>
    </w:p>
    <w:p w:rsidR="642E0395" w:rsidP="642E0395" w:rsidRDefault="642E0395" w14:paraId="4751AA2D" w14:textId="18D24A74">
      <w:pPr>
        <w:pStyle w:val="Style1"/>
        <w:numPr>
          <w:ilvl w:val="0"/>
          <w:numId w:val="0"/>
        </w:numPr>
        <w:ind w:left="510" w:hanging="510"/>
      </w:pPr>
    </w:p>
    <w:p w:rsidR="642E0395" w:rsidP="642E0395" w:rsidRDefault="642E0395" w14:paraId="0AB4CF58" w14:textId="30F7B7E8">
      <w:pPr>
        <w:pStyle w:val="Style1"/>
        <w:numPr>
          <w:ilvl w:val="0"/>
          <w:numId w:val="0"/>
        </w:numPr>
        <w:ind w:left="510" w:hanging="510"/>
      </w:pPr>
    </w:p>
    <w:p w:rsidR="642E0395" w:rsidP="642E0395" w:rsidRDefault="642E0395" w14:paraId="085DAE1E" w14:textId="64C151C2">
      <w:pPr>
        <w:pStyle w:val="Style1"/>
        <w:numPr>
          <w:ilvl w:val="0"/>
          <w:numId w:val="0"/>
        </w:numPr>
        <w:ind w:left="510" w:hanging="510"/>
      </w:pPr>
    </w:p>
    <w:p w:rsidR="0038240B" w:rsidP="006E28D1" w:rsidRDefault="0038240B" w14:paraId="761BAFB8" w14:textId="77777777">
      <w:pPr>
        <w:pStyle w:val="Style1"/>
        <w:numPr>
          <w:ilvl w:val="0"/>
          <w:numId w:val="0"/>
        </w:numPr>
        <w:ind w:left="510" w:hanging="510"/>
      </w:pPr>
    </w:p>
    <w:p w:rsidRPr="0005013E" w:rsidR="0038240B" w:rsidP="00E30FFD" w:rsidRDefault="00E30FFD" w14:paraId="591907B5" w14:textId="41A34367">
      <w:pPr>
        <w:pStyle w:val="Style1"/>
        <w:numPr>
          <w:ilvl w:val="0"/>
          <w:numId w:val="0"/>
        </w:numPr>
        <w:rPr>
          <w:b/>
          <w:bCs/>
          <w:u w:val="single"/>
        </w:rPr>
      </w:pPr>
      <w:r w:rsidRPr="642E0395" w:rsidR="00E30FFD">
        <w:rPr>
          <w:b w:val="1"/>
          <w:bCs w:val="1"/>
          <w:u w:val="single"/>
        </w:rPr>
        <w:t xml:space="preserve">Appendix 1 - </w:t>
      </w:r>
      <w:r w:rsidRPr="642E0395" w:rsidR="0005013E">
        <w:rPr>
          <w:b w:val="1"/>
          <w:bCs w:val="1"/>
          <w:u w:val="single"/>
        </w:rPr>
        <w:t>Application Plan</w:t>
      </w:r>
    </w:p>
    <w:p w:rsidR="0038240B" w:rsidP="006E28D1" w:rsidRDefault="0038240B" w14:paraId="7F5537E0" w14:textId="7023C603">
      <w:pPr>
        <w:pStyle w:val="Style1"/>
        <w:numPr>
          <w:ilvl w:val="0"/>
          <w:numId w:val="0"/>
        </w:numPr>
        <w:ind w:left="510" w:hanging="510"/>
      </w:pPr>
      <w:r>
        <w:rPr>
          <w:noProof/>
        </w:rPr>
        <w:drawing>
          <wp:inline distT="0" distB="0" distL="0" distR="0" wp14:anchorId="4F9B6C95" wp14:editId="0737002F">
            <wp:extent cx="5200650" cy="7431405"/>
            <wp:effectExtent l="0" t="0" r="0" b="0"/>
            <wp:docPr id="1424781828" name="Picture 1" descr="Appendix 1 - Application Plan, as referred to in Paragrap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81828" name="Picture 1" descr="Appendix 1 - Application Plan, as referred to in Paragrap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7431405"/>
                    </a:xfrm>
                    <a:prstGeom prst="rect">
                      <a:avLst/>
                    </a:prstGeom>
                    <a:noFill/>
                  </pic:spPr>
                </pic:pic>
              </a:graphicData>
            </a:graphic>
          </wp:inline>
        </w:drawing>
      </w:r>
    </w:p>
    <w:p w:rsidR="003F09CA" w:rsidP="006E28D1" w:rsidRDefault="003F09CA" w14:paraId="374065C1" w14:textId="77777777">
      <w:pPr>
        <w:pStyle w:val="Style1"/>
        <w:numPr>
          <w:ilvl w:val="0"/>
          <w:numId w:val="0"/>
        </w:numPr>
        <w:ind w:left="510" w:hanging="510"/>
      </w:pPr>
    </w:p>
    <w:p w:rsidR="642E0395" w:rsidP="642E0395" w:rsidRDefault="642E0395" w14:paraId="44009391" w14:textId="754E93AD">
      <w:pPr>
        <w:pStyle w:val="Style1"/>
        <w:numPr>
          <w:ilvl w:val="0"/>
          <w:numId w:val="0"/>
        </w:numPr>
        <w:ind w:left="510" w:hanging="510"/>
      </w:pPr>
    </w:p>
    <w:p w:rsidR="642E0395" w:rsidP="642E0395" w:rsidRDefault="642E0395" w14:paraId="0F3986D1" w14:textId="025B82E5">
      <w:pPr>
        <w:pStyle w:val="Style1"/>
        <w:numPr>
          <w:ilvl w:val="0"/>
          <w:numId w:val="0"/>
        </w:numPr>
        <w:ind w:left="510" w:hanging="510"/>
      </w:pPr>
    </w:p>
    <w:p w:rsidR="642E0395" w:rsidP="642E0395" w:rsidRDefault="642E0395" w14:paraId="639ABB3A" w14:textId="6731232D">
      <w:pPr>
        <w:pStyle w:val="Style1"/>
        <w:numPr>
          <w:ilvl w:val="0"/>
          <w:numId w:val="0"/>
        </w:numPr>
        <w:ind w:left="510" w:hanging="510"/>
      </w:pPr>
    </w:p>
    <w:p w:rsidR="007541B5" w:rsidP="0015350D" w:rsidRDefault="00E30FFD" w14:paraId="42CFB3B4" w14:textId="460F9704">
      <w:pPr>
        <w:pStyle w:val="Style1"/>
        <w:numPr>
          <w:ilvl w:val="0"/>
          <w:numId w:val="0"/>
        </w:numPr>
        <w:ind w:left="510" w:hanging="510"/>
        <w:rPr>
          <w:b/>
          <w:bCs/>
          <w:u w:val="single"/>
        </w:rPr>
      </w:pPr>
      <w:r w:rsidRPr="00E30FFD">
        <w:rPr>
          <w:b/>
          <w:bCs/>
          <w:u w:val="single"/>
        </w:rPr>
        <w:lastRenderedPageBreak/>
        <w:t xml:space="preserve">Appendix 2 - </w:t>
      </w:r>
      <w:r w:rsidRPr="00E30FFD" w:rsidR="005608AE">
        <w:rPr>
          <w:b/>
          <w:bCs/>
          <w:u w:val="single"/>
        </w:rPr>
        <w:t>E</w:t>
      </w:r>
      <w:r w:rsidRPr="00E30FFD" w:rsidR="003F09CA">
        <w:rPr>
          <w:b/>
          <w:bCs/>
          <w:u w:val="single"/>
        </w:rPr>
        <w:t>xtent</w:t>
      </w:r>
      <w:r w:rsidRPr="00E30FFD" w:rsidR="00ED5A16">
        <w:rPr>
          <w:b/>
          <w:bCs/>
          <w:u w:val="single"/>
        </w:rPr>
        <w:t xml:space="preserve"> of public highway to </w:t>
      </w:r>
      <w:proofErr w:type="gramStart"/>
      <w:r w:rsidRPr="00E30FFD" w:rsidR="00ED5A16">
        <w:rPr>
          <w:b/>
          <w:bCs/>
          <w:u w:val="single"/>
        </w:rPr>
        <w:t>be excluded</w:t>
      </w:r>
      <w:proofErr w:type="gramEnd"/>
    </w:p>
    <w:p w:rsidRPr="0015350D" w:rsidR="00002EE8" w:rsidP="0015350D" w:rsidRDefault="00002EE8" w14:paraId="1C9E0FD2" w14:textId="77777777">
      <w:pPr>
        <w:pStyle w:val="Style1"/>
        <w:numPr>
          <w:ilvl w:val="0"/>
          <w:numId w:val="0"/>
        </w:numPr>
        <w:ind w:left="510" w:hanging="510"/>
        <w:rPr>
          <w:b/>
          <w:bCs/>
          <w:u w:val="single"/>
        </w:rPr>
      </w:pPr>
    </w:p>
    <w:p w:rsidR="0015350D" w:rsidP="00002EE8" w:rsidRDefault="007541B5" w14:paraId="19A05D9F" w14:textId="0BA69ED4">
      <w:pPr>
        <w:pStyle w:val="Style1"/>
        <w:numPr>
          <w:ilvl w:val="0"/>
          <w:numId w:val="0"/>
        </w:numPr>
        <w:ind w:left="510" w:hanging="510"/>
      </w:pPr>
      <w:r>
        <w:rPr>
          <w:noProof/>
        </w:rPr>
        <w:drawing>
          <wp:inline distT="0" distB="0" distL="0" distR="0" wp14:anchorId="21B2F55F" wp14:editId="19E97A29">
            <wp:extent cx="5844845" cy="4068628"/>
            <wp:effectExtent l="0" t="0" r="3810" b="8255"/>
            <wp:docPr id="1353250472" name="Picture 4" descr="Appendix 2 - Extent of public highway to be excluded (1 of 2), as referred to in Paragrap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50472" name="Picture 4" descr="Appendix 2 - Extent of public highway to be excluded (1 of 2), as referred to in Paragraph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0980" cy="4093782"/>
                    </a:xfrm>
                    <a:prstGeom prst="rect">
                      <a:avLst/>
                    </a:prstGeom>
                    <a:noFill/>
                  </pic:spPr>
                </pic:pic>
              </a:graphicData>
            </a:graphic>
          </wp:inline>
        </w:drawing>
      </w:r>
    </w:p>
    <w:p w:rsidRPr="007541B5" w:rsidR="007541B5" w:rsidP="006E28D1" w:rsidRDefault="0015350D" w14:paraId="335AE6FA" w14:textId="2674AD61">
      <w:pPr>
        <w:pStyle w:val="Style1"/>
        <w:numPr>
          <w:ilvl w:val="0"/>
          <w:numId w:val="0"/>
        </w:numPr>
        <w:ind w:left="510" w:hanging="510"/>
      </w:pPr>
      <w:r>
        <w:rPr>
          <w:noProof/>
        </w:rPr>
        <w:drawing>
          <wp:inline distT="0" distB="0" distL="0" distR="0" wp14:anchorId="018D5A86" wp14:editId="27C4189E">
            <wp:extent cx="6016616" cy="4214843"/>
            <wp:effectExtent l="0" t="0" r="3810" b="0"/>
            <wp:docPr id="1739152508" name="Picture 5" descr="Appendix 2 - Extent of public highway to be excluded (2 of 2), as referred to in Paragrap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52508" name="Picture 5" descr="Appendix 2 - Extent of public highway to be excluded (2 of 2), as referred to in Paragraph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3965" cy="4241007"/>
                    </a:xfrm>
                    <a:prstGeom prst="rect">
                      <a:avLst/>
                    </a:prstGeom>
                    <a:noFill/>
                  </pic:spPr>
                </pic:pic>
              </a:graphicData>
            </a:graphic>
          </wp:inline>
        </w:drawing>
      </w:r>
    </w:p>
    <w:sectPr w:rsidRPr="007541B5" w:rsidR="007541B5" w:rsidSect="000544B9">
      <w:headerReference w:type="default" r:id="rId14"/>
      <w:footerReference w:type="even" r:id="rId15"/>
      <w:footerReference w:type="default" r:id="rId16"/>
      <w:headerReference w:type="first" r:id="rId17"/>
      <w:footerReference w:type="first" r:id="rId18"/>
      <w:pgSz w:w="11906" w:h="16838" w:orient="portrait"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8E1" w:rsidRDefault="008D78E1" w14:paraId="5ADFD1DB" w14:textId="77777777">
      <w:r>
        <w:separator/>
      </w:r>
    </w:p>
  </w:endnote>
  <w:endnote w:type="continuationSeparator" w:id="0">
    <w:p w:rsidR="008D78E1" w:rsidRDefault="008D78E1" w14:paraId="496AC3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ED" w:rsidRDefault="00627A28" w14:paraId="2608B9A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3CED" w:rsidRDefault="00863CED" w14:paraId="37C7F6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63CED" w:rsidRDefault="00627A28" w14:paraId="6D5FA10E" w14:textId="77777777">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06647CEF" wp14:editId="5819928C">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pt,12.55pt" to="467.8pt,12.55pt" w14:anchorId="22405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rsidRPr="00E45340" w:rsidR="00863CED" w:rsidP="00E45340" w:rsidRDefault="00627A28" w14:paraId="08B29910" w14:textId="77777777">
    <w:pPr>
      <w:pStyle w:val="Footer"/>
      <w:ind w:right="-52"/>
      <w:rPr>
        <w:sz w:val="16"/>
        <w:szCs w:val="16"/>
      </w:rPr>
    </w:pPr>
    <w:hyperlink w:history="1" r:id="rId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63CED" w:rsidRDefault="00627A28" w14:paraId="75D19B2F" w14:textId="77777777">
    <w:pPr>
      <w:pStyle w:val="Footer"/>
      <w:ind w:right="-52"/>
    </w:pPr>
    <w:r>
      <w:rPr>
        <w:noProof/>
      </w:rPr>
      <mc:AlternateContent>
        <mc:Choice Requires="wps">
          <w:drawing>
            <wp:anchor distT="0" distB="0" distL="114300" distR="114300" simplePos="0" relativeHeight="251656704" behindDoc="0" locked="0" layoutInCell="1" allowOverlap="1" wp14:anchorId="288FE80D" wp14:editId="33C614B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9.55pt" to="467.8pt,9.55pt" w14:anchorId="318CA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w:pict>
        </mc:Fallback>
      </mc:AlternateContent>
    </w:r>
  </w:p>
  <w:p w:rsidRPr="002E2687" w:rsidR="00863CED" w:rsidRDefault="00627A28" w14:paraId="053B55C9" w14:textId="77777777">
    <w:pPr>
      <w:pStyle w:val="Footer"/>
      <w:ind w:right="-52"/>
      <w:rPr>
        <w:rFonts w:cs="Arial"/>
        <w:sz w:val="16"/>
        <w:szCs w:val="16"/>
      </w:rPr>
    </w:pPr>
    <w:hyperlink w:history="1" r:id="rId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8E1" w:rsidRDefault="008D78E1" w14:paraId="1DC435E4" w14:textId="77777777">
      <w:r>
        <w:separator/>
      </w:r>
    </w:p>
  </w:footnote>
  <w:footnote w:type="continuationSeparator" w:id="0">
    <w:p w:rsidR="008D78E1" w:rsidRDefault="008D78E1" w14:paraId="35CBBE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7737C1A5" w14:textId="77777777">
      <w:tc>
        <w:tcPr>
          <w:tcW w:w="9520" w:type="dxa"/>
        </w:tcPr>
        <w:p w:rsidR="00863CED" w:rsidRDefault="00863CED" w14:paraId="75C3E511" w14:textId="77777777">
          <w:pPr>
            <w:pStyle w:val="Footer"/>
          </w:pPr>
        </w:p>
      </w:tc>
    </w:tr>
  </w:tbl>
  <w:p w:rsidR="00863CED" w:rsidP="00087477" w:rsidRDefault="00627A28" w14:paraId="310CDC8A" w14:textId="77777777">
    <w:pPr>
      <w:pStyle w:val="Footer"/>
      <w:spacing w:after="180"/>
    </w:pPr>
    <w:r>
      <w:rPr>
        <w:noProof/>
      </w:rPr>
      <mc:AlternateContent>
        <mc:Choice Requires="wps">
          <w:drawing>
            <wp:anchor distT="0" distB="0" distL="114300" distR="114300" simplePos="0" relativeHeight="251658752" behindDoc="0" locked="0" layoutInCell="1" allowOverlap="1" wp14:anchorId="152B71ED" wp14:editId="3EBE4FD0">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pt" to="468pt,9pt" w14:anchorId="5AC43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ED" w:rsidRDefault="00627A28" w14:paraId="6817E7C3" w14:textId="777777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08F24F90"/>
    <w:multiLevelType w:val="hybridMultilevel"/>
    <w:tmpl w:val="9CC25740"/>
    <w:lvl w:ilvl="0" w:tplc="DAD26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hint="default" w:ascii="Verdana" w:hAnsi="Verdana"/>
        <w:sz w:val="22"/>
      </w:rPr>
    </w:lvl>
    <w:lvl w:ilvl="1">
      <w:start w:val="1"/>
      <w:numFmt w:val="none"/>
      <w:lvlRestart w:val="0"/>
      <w:pStyle w:val="ConditionsNoNumber"/>
      <w:lvlText w:val="%2"/>
      <w:lvlJc w:val="left"/>
      <w:pPr>
        <w:tabs>
          <w:tab w:val="num" w:pos="1077"/>
        </w:tabs>
        <w:ind w:left="1077" w:hanging="646"/>
      </w:pPr>
      <w:rPr>
        <w:rFonts w:hint="default" w:ascii="Verdana" w:hAnsi="Verdana"/>
        <w:b w:val="0"/>
        <w:i w:val="0"/>
        <w:sz w:val="22"/>
      </w:rPr>
    </w:lvl>
    <w:lvl w:ilvl="2">
      <w:start w:val="1"/>
      <w:numFmt w:val="lowerRoman"/>
      <w:pStyle w:val="Conditions2"/>
      <w:lvlText w:val="%3)"/>
      <w:lvlJc w:val="left"/>
      <w:pPr>
        <w:tabs>
          <w:tab w:val="num" w:pos="1616"/>
        </w:tabs>
        <w:ind w:left="1616" w:hanging="539"/>
      </w:pPr>
      <w:rPr>
        <w:rFonts w:hint="default" w:ascii="Verdana" w:hAnsi="Verdana"/>
        <w:b w:val="0"/>
        <w:i w:val="0"/>
        <w:sz w:val="22"/>
      </w:rPr>
    </w:lvl>
    <w:lvl w:ilvl="3">
      <w:start w:val="1"/>
      <w:numFmt w:val="bullet"/>
      <w:lvlRestart w:val="2"/>
      <w:pStyle w:val="ConditionsBullet"/>
      <w:lvlText w:val=""/>
      <w:lvlJc w:val="left"/>
      <w:pPr>
        <w:tabs>
          <w:tab w:val="num" w:pos="2155"/>
        </w:tabs>
        <w:ind w:left="2155" w:hanging="539"/>
      </w:pPr>
      <w:rPr>
        <w:rFonts w:hint="default" w:ascii="Symbol" w:hAnsi="Symbol"/>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hint="default" w:ascii="Lucida Sans Unicode" w:hAnsi="Lucida Sans Unicode"/>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5400A3"/>
    <w:multiLevelType w:val="hybridMultilevel"/>
    <w:tmpl w:val="F4B0BD4C"/>
    <w:lvl w:ilvl="0" w:tplc="08090001">
      <w:start w:val="1"/>
      <w:numFmt w:val="bullet"/>
      <w:lvlText w:val=""/>
      <w:lvlJc w:val="left"/>
      <w:pPr>
        <w:ind w:left="-124"/>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31CE20D2">
      <w:start w:val="1"/>
      <w:numFmt w:val="bullet"/>
      <w:lvlText w:val="o"/>
      <w:lvlJc w:val="left"/>
      <w:pPr>
        <w:ind w:left="61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61EF752">
      <w:start w:val="1"/>
      <w:numFmt w:val="bullet"/>
      <w:lvlText w:val="▪"/>
      <w:lvlJc w:val="left"/>
      <w:pPr>
        <w:ind w:left="133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E2AD764">
      <w:start w:val="1"/>
      <w:numFmt w:val="bullet"/>
      <w:lvlText w:val="•"/>
      <w:lvlJc w:val="left"/>
      <w:pPr>
        <w:ind w:left="20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9C8FFE6">
      <w:start w:val="1"/>
      <w:numFmt w:val="bullet"/>
      <w:lvlText w:val="o"/>
      <w:lvlJc w:val="left"/>
      <w:pPr>
        <w:ind w:left="277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F443512">
      <w:start w:val="1"/>
      <w:numFmt w:val="bullet"/>
      <w:lvlText w:val="▪"/>
      <w:lvlJc w:val="left"/>
      <w:pPr>
        <w:ind w:left="349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E2CD248">
      <w:start w:val="1"/>
      <w:numFmt w:val="bullet"/>
      <w:lvlText w:val="•"/>
      <w:lvlJc w:val="left"/>
      <w:pPr>
        <w:ind w:left="42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C4A61FC">
      <w:start w:val="1"/>
      <w:numFmt w:val="bullet"/>
      <w:lvlText w:val="o"/>
      <w:lvlJc w:val="left"/>
      <w:pPr>
        <w:ind w:left="493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90C8DB70">
      <w:start w:val="1"/>
      <w:numFmt w:val="bullet"/>
      <w:lvlText w:val="▪"/>
      <w:lvlJc w:val="left"/>
      <w:pPr>
        <w:ind w:left="565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hint="default" w:ascii="Symbol" w:hAnsi="Symbol"/>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FAA6B21"/>
    <w:multiLevelType w:val="hybridMultilevel"/>
    <w:tmpl w:val="34561348"/>
    <w:lvl w:ilvl="0" w:tplc="6F685286">
      <w:start w:val="1"/>
      <w:numFmt w:val="lowerLetter"/>
      <w:lvlText w:val="(%1)"/>
      <w:lvlJc w:val="left"/>
      <w:pPr>
        <w:ind w:left="720" w:hanging="360"/>
      </w:pPr>
      <w:rPr>
        <w:rFonts w:hint="default" w:ascii="Arial" w:hAnsi="Arial" w:eastAsia="Verdana" w:cs="Arial"/>
        <w:b w:val="0"/>
        <w:i w:val="0"/>
        <w:strike w:val="0"/>
        <w:dstrike w:val="0"/>
        <w:color w:val="000000"/>
        <w:sz w:val="24"/>
        <w:szCs w:val="24"/>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400393">
    <w:abstractNumId w:val="21"/>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2"/>
  </w:num>
  <w:num w:numId="8" w16cid:durableId="842475900">
    <w:abstractNumId w:val="16"/>
  </w:num>
  <w:num w:numId="9" w16cid:durableId="78337589">
    <w:abstractNumId w:val="4"/>
  </w:num>
  <w:num w:numId="10" w16cid:durableId="341081291">
    <w:abstractNumId w:val="5"/>
  </w:num>
  <w:num w:numId="11" w16cid:durableId="1273855403">
    <w:abstractNumId w:val="12"/>
  </w:num>
  <w:num w:numId="12" w16cid:durableId="1004743632">
    <w:abstractNumId w:val="13"/>
  </w:num>
  <w:num w:numId="13" w16cid:durableId="1713723029">
    <w:abstractNumId w:val="8"/>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6"/>
  </w:num>
  <w:num w:numId="19" w16cid:durableId="546259836">
    <w:abstractNumId w:val="3"/>
  </w:num>
  <w:num w:numId="20" w16cid:durableId="1291401211">
    <w:abstractNumId w:val="7"/>
  </w:num>
  <w:num w:numId="21" w16cid:durableId="516693881">
    <w:abstractNumId w:val="19"/>
  </w:num>
  <w:num w:numId="22" w16cid:durableId="1656301945">
    <w:abstractNumId w:val="20"/>
  </w:num>
  <w:num w:numId="23" w16cid:durableId="1692995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1542840">
    <w:abstractNumId w:val="23"/>
  </w:num>
  <w:num w:numId="25" w16cid:durableId="443155235">
    <w:abstractNumId w:val="10"/>
  </w:num>
  <w:num w:numId="26" w16cid:durableId="291405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338904">
    <w:abstractNumId w:val="10"/>
  </w:num>
  <w:num w:numId="28" w16cid:durableId="1039010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369446">
    <w:abstractNumId w:val="10"/>
  </w:num>
  <w:num w:numId="30" w16cid:durableId="2061514455">
    <w:abstractNumId w:val="10"/>
  </w:num>
  <w:num w:numId="31" w16cid:durableId="766927719">
    <w:abstractNumId w:val="10"/>
  </w:num>
  <w:num w:numId="32" w16cid:durableId="1174801135">
    <w:abstractNumId w:val="10"/>
  </w:num>
  <w:num w:numId="33" w16cid:durableId="105442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9"/>
    <w:rsid w:val="00002EE8"/>
    <w:rsid w:val="00022FFB"/>
    <w:rsid w:val="00033666"/>
    <w:rsid w:val="00044A03"/>
    <w:rsid w:val="0005013E"/>
    <w:rsid w:val="000544B9"/>
    <w:rsid w:val="000B07FD"/>
    <w:rsid w:val="00150FEA"/>
    <w:rsid w:val="0015350D"/>
    <w:rsid w:val="00176E72"/>
    <w:rsid w:val="001C1E2A"/>
    <w:rsid w:val="00203540"/>
    <w:rsid w:val="0026528D"/>
    <w:rsid w:val="00294B66"/>
    <w:rsid w:val="00305D66"/>
    <w:rsid w:val="00331C0A"/>
    <w:rsid w:val="0038240B"/>
    <w:rsid w:val="00395ADE"/>
    <w:rsid w:val="003A00AB"/>
    <w:rsid w:val="003B2548"/>
    <w:rsid w:val="003B3C98"/>
    <w:rsid w:val="003C2967"/>
    <w:rsid w:val="003E66CE"/>
    <w:rsid w:val="003F09CA"/>
    <w:rsid w:val="004057ED"/>
    <w:rsid w:val="004C7E75"/>
    <w:rsid w:val="004D5D5C"/>
    <w:rsid w:val="004F5FDF"/>
    <w:rsid w:val="00520BBD"/>
    <w:rsid w:val="00522AB0"/>
    <w:rsid w:val="005608AE"/>
    <w:rsid w:val="00576167"/>
    <w:rsid w:val="005A77F9"/>
    <w:rsid w:val="005B1442"/>
    <w:rsid w:val="005E4F46"/>
    <w:rsid w:val="006233A8"/>
    <w:rsid w:val="00627A28"/>
    <w:rsid w:val="006E1217"/>
    <w:rsid w:val="00720D36"/>
    <w:rsid w:val="007541B5"/>
    <w:rsid w:val="007A3567"/>
    <w:rsid w:val="00807368"/>
    <w:rsid w:val="008255AB"/>
    <w:rsid w:val="00863CED"/>
    <w:rsid w:val="008D78E1"/>
    <w:rsid w:val="00950870"/>
    <w:rsid w:val="009635F4"/>
    <w:rsid w:val="009F4317"/>
    <w:rsid w:val="00A50A14"/>
    <w:rsid w:val="00A50EE1"/>
    <w:rsid w:val="00A52000"/>
    <w:rsid w:val="00A5363B"/>
    <w:rsid w:val="00A565CE"/>
    <w:rsid w:val="00AD5767"/>
    <w:rsid w:val="00B109A8"/>
    <w:rsid w:val="00B4621C"/>
    <w:rsid w:val="00BC225A"/>
    <w:rsid w:val="00BD037D"/>
    <w:rsid w:val="00C06FF9"/>
    <w:rsid w:val="00C76EB5"/>
    <w:rsid w:val="00CB509C"/>
    <w:rsid w:val="00E30FFD"/>
    <w:rsid w:val="00ED5A16"/>
    <w:rsid w:val="00F67371"/>
    <w:rsid w:val="00F80DC5"/>
    <w:rsid w:val="00F84DDC"/>
    <w:rsid w:val="00FE4356"/>
    <w:rsid w:val="056C1417"/>
    <w:rsid w:val="06723BBB"/>
    <w:rsid w:val="137A140D"/>
    <w:rsid w:val="15D39DD1"/>
    <w:rsid w:val="227C7B30"/>
    <w:rsid w:val="37AB5606"/>
    <w:rsid w:val="3AB9C294"/>
    <w:rsid w:val="3B02B157"/>
    <w:rsid w:val="4B113B51"/>
    <w:rsid w:val="51299021"/>
    <w:rsid w:val="56931042"/>
    <w:rsid w:val="5F508891"/>
    <w:rsid w:val="6134F9AA"/>
    <w:rsid w:val="642E0395"/>
    <w:rsid w:val="65C79E92"/>
    <w:rsid w:val="699A5B26"/>
    <w:rsid w:val="7479BB17"/>
    <w:rsid w:val="7563D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D1D"/>
  <w15:chartTrackingRefBased/>
  <w15:docId w15:val="{B250BB56-C65C-4680-88F3-931BC598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44B9"/>
    <w:rPr>
      <w:rFonts w:ascii="Arial" w:hAnsi="Arial" w:eastAsia="Times New Roman" w:cs="Times New Roman"/>
      <w:kern w:val="0"/>
      <w:sz w:val="24"/>
      <w:szCs w:val="20"/>
      <w:lang w:eastAsia="en-GB"/>
    </w:rPr>
  </w:style>
  <w:style w:type="paragraph" w:styleId="Heading1">
    <w:name w:val="heading 1"/>
    <w:basedOn w:val="Normal"/>
    <w:next w:val="Normal"/>
    <w:link w:val="Heading1Char"/>
    <w:qFormat/>
    <w:rsid w:val="000544B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0544B9"/>
    <w:pPr>
      <w:keepNext/>
      <w:numPr>
        <w:ilvl w:val="1"/>
        <w:numId w:val="2"/>
      </w:numPr>
      <w:tabs>
        <w:tab w:val="clear" w:pos="578"/>
      </w:tabs>
      <w:spacing w:before="360" w:after="60"/>
      <w:ind w:left="0" w:firstLine="0"/>
      <w:outlineLvl w:val="1"/>
    </w:pPr>
    <w:rPr>
      <w:color w:val="000000"/>
      <w:sz w:val="44"/>
    </w:rPr>
  </w:style>
  <w:style w:type="paragraph" w:styleId="Heading3">
    <w:name w:val="heading 3"/>
    <w:basedOn w:val="Normal"/>
    <w:next w:val="Normal"/>
    <w:link w:val="Heading3Char"/>
    <w:qFormat/>
    <w:rsid w:val="000544B9"/>
    <w:pPr>
      <w:keepNext/>
      <w:widowControl w:val="0"/>
      <w:numPr>
        <w:ilvl w:val="2"/>
        <w:numId w:val="2"/>
      </w:numPr>
      <w:tabs>
        <w:tab w:val="clear" w:pos="720"/>
      </w:tabs>
      <w:spacing w:before="320" w:after="60"/>
      <w:ind w:left="0" w:firstLine="0"/>
      <w:outlineLvl w:val="2"/>
    </w:pPr>
    <w:rPr>
      <w:caps/>
      <w:color w:val="000000"/>
      <w:sz w:val="28"/>
    </w:rPr>
  </w:style>
  <w:style w:type="paragraph" w:styleId="Heading4">
    <w:name w:val="heading 4"/>
    <w:basedOn w:val="Normal"/>
    <w:next w:val="Normal"/>
    <w:link w:val="Heading4Char"/>
    <w:qFormat/>
    <w:rsid w:val="000544B9"/>
    <w:pPr>
      <w:keepNext/>
      <w:widowControl w:val="0"/>
      <w:numPr>
        <w:ilvl w:val="3"/>
        <w:numId w:val="2"/>
      </w:numPr>
      <w:tabs>
        <w:tab w:val="clear" w:pos="862"/>
      </w:tabs>
      <w:spacing w:before="240" w:after="40"/>
      <w:ind w:left="0" w:firstLine="0"/>
      <w:outlineLvl w:val="3"/>
    </w:pPr>
    <w:rPr>
      <w:b/>
      <w:i/>
      <w:color w:val="000000"/>
    </w:rPr>
  </w:style>
  <w:style w:type="paragraph" w:styleId="Heading5">
    <w:name w:val="heading 5"/>
    <w:basedOn w:val="Normal"/>
    <w:next w:val="Normal"/>
    <w:link w:val="Heading5Char"/>
    <w:qFormat/>
    <w:rsid w:val="000544B9"/>
    <w:pPr>
      <w:keepNext/>
      <w:numPr>
        <w:ilvl w:val="4"/>
        <w:numId w:val="2"/>
      </w:numPr>
      <w:tabs>
        <w:tab w:val="clear" w:pos="1009"/>
      </w:tabs>
      <w:spacing w:before="220" w:after="40"/>
      <w:ind w:left="0" w:firstLine="0"/>
      <w:outlineLvl w:val="4"/>
    </w:pPr>
    <w:rPr>
      <w:color w:val="000000"/>
    </w:rPr>
  </w:style>
  <w:style w:type="paragraph" w:styleId="Heading6">
    <w:name w:val="heading 6"/>
    <w:basedOn w:val="Normal"/>
    <w:next w:val="Style1"/>
    <w:link w:val="Heading6Char"/>
    <w:qFormat/>
    <w:rsid w:val="000544B9"/>
    <w:pPr>
      <w:keepNext/>
      <w:widowControl w:val="0"/>
      <w:spacing w:before="180"/>
      <w:outlineLvl w:val="5"/>
    </w:pPr>
    <w:rPr>
      <w:b/>
      <w:color w:val="000000"/>
      <w:szCs w:val="22"/>
    </w:rPr>
  </w:style>
  <w:style w:type="paragraph" w:styleId="Heading7">
    <w:name w:val="heading 7"/>
    <w:basedOn w:val="Normal"/>
    <w:next w:val="Normal"/>
    <w:link w:val="Heading7Char"/>
    <w:qFormat/>
    <w:rsid w:val="000544B9"/>
    <w:pPr>
      <w:numPr>
        <w:ilvl w:val="6"/>
        <w:numId w:val="2"/>
      </w:numPr>
      <w:tabs>
        <w:tab w:val="clear" w:pos="1298"/>
        <w:tab w:val="left" w:pos="993"/>
      </w:tabs>
      <w:spacing w:after="60"/>
      <w:ind w:left="0" w:firstLine="0"/>
      <w:outlineLvl w:val="6"/>
    </w:pPr>
    <w:rPr>
      <w:color w:val="000000"/>
      <w:sz w:val="20"/>
    </w:rPr>
  </w:style>
  <w:style w:type="paragraph" w:styleId="Heading8">
    <w:name w:val="heading 8"/>
    <w:basedOn w:val="Normal"/>
    <w:next w:val="Normal"/>
    <w:link w:val="Heading8Char"/>
    <w:qFormat/>
    <w:rsid w:val="000544B9"/>
    <w:pPr>
      <w:numPr>
        <w:ilvl w:val="7"/>
        <w:numId w:val="2"/>
      </w:numPr>
      <w:tabs>
        <w:tab w:val="clear" w:pos="1440"/>
      </w:tabs>
      <w:spacing w:before="140" w:after="20"/>
      <w:ind w:left="0" w:firstLine="0"/>
      <w:outlineLvl w:val="7"/>
    </w:pPr>
    <w:rPr>
      <w:i/>
      <w:color w:val="000000"/>
      <w:sz w:val="18"/>
    </w:rPr>
  </w:style>
  <w:style w:type="paragraph" w:styleId="Heading9">
    <w:name w:val="heading 9"/>
    <w:basedOn w:val="Normal"/>
    <w:next w:val="Normal"/>
    <w:link w:val="Heading9Char"/>
    <w:qFormat/>
    <w:rsid w:val="000544B9"/>
    <w:pPr>
      <w:keepNext/>
      <w:widowControl w:val="0"/>
      <w:numPr>
        <w:ilvl w:val="8"/>
        <w:numId w:val="2"/>
      </w:numPr>
      <w:tabs>
        <w:tab w:val="clear" w:pos="1582"/>
      </w:tabs>
      <w:spacing w:before="120"/>
      <w:ind w:left="0" w:firstLine="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544B9"/>
    <w:rPr>
      <w:rFonts w:ascii="Arial" w:hAnsi="Arial" w:eastAsia="Times New Roman" w:cs="Times New Roman"/>
      <w:color w:val="808080"/>
      <w:kern w:val="28"/>
      <w:sz w:val="72"/>
      <w:szCs w:val="20"/>
      <w:lang w:eastAsia="en-GB"/>
    </w:rPr>
  </w:style>
  <w:style w:type="character" w:styleId="Heading2Char" w:customStyle="1">
    <w:name w:val="Heading 2 Char"/>
    <w:basedOn w:val="DefaultParagraphFont"/>
    <w:link w:val="Heading2"/>
    <w:rsid w:val="000544B9"/>
    <w:rPr>
      <w:rFonts w:ascii="Arial" w:hAnsi="Arial" w:eastAsia="Times New Roman" w:cs="Times New Roman"/>
      <w:color w:val="000000"/>
      <w:kern w:val="0"/>
      <w:sz w:val="44"/>
      <w:szCs w:val="20"/>
      <w:lang w:eastAsia="en-GB"/>
    </w:rPr>
  </w:style>
  <w:style w:type="character" w:styleId="Heading3Char" w:customStyle="1">
    <w:name w:val="Heading 3 Char"/>
    <w:basedOn w:val="DefaultParagraphFont"/>
    <w:link w:val="Heading3"/>
    <w:rsid w:val="000544B9"/>
    <w:rPr>
      <w:rFonts w:ascii="Arial" w:hAnsi="Arial" w:eastAsia="Times New Roman" w:cs="Times New Roman"/>
      <w:caps/>
      <w:color w:val="000000"/>
      <w:kern w:val="0"/>
      <w:sz w:val="28"/>
      <w:szCs w:val="20"/>
      <w:lang w:eastAsia="en-GB"/>
    </w:rPr>
  </w:style>
  <w:style w:type="character" w:styleId="Heading4Char" w:customStyle="1">
    <w:name w:val="Heading 4 Char"/>
    <w:basedOn w:val="DefaultParagraphFont"/>
    <w:link w:val="Heading4"/>
    <w:rsid w:val="000544B9"/>
    <w:rPr>
      <w:rFonts w:ascii="Arial" w:hAnsi="Arial" w:eastAsia="Times New Roman" w:cs="Times New Roman"/>
      <w:b/>
      <w:i/>
      <w:color w:val="000000"/>
      <w:kern w:val="0"/>
      <w:sz w:val="24"/>
      <w:szCs w:val="20"/>
      <w:lang w:eastAsia="en-GB"/>
    </w:rPr>
  </w:style>
  <w:style w:type="character" w:styleId="Heading5Char" w:customStyle="1">
    <w:name w:val="Heading 5 Char"/>
    <w:basedOn w:val="DefaultParagraphFont"/>
    <w:link w:val="Heading5"/>
    <w:rsid w:val="000544B9"/>
    <w:rPr>
      <w:rFonts w:ascii="Arial" w:hAnsi="Arial" w:eastAsia="Times New Roman" w:cs="Times New Roman"/>
      <w:color w:val="000000"/>
      <w:kern w:val="0"/>
      <w:sz w:val="24"/>
      <w:szCs w:val="20"/>
      <w:lang w:eastAsia="en-GB"/>
    </w:rPr>
  </w:style>
  <w:style w:type="character" w:styleId="Heading6Char" w:customStyle="1">
    <w:name w:val="Heading 6 Char"/>
    <w:basedOn w:val="DefaultParagraphFont"/>
    <w:link w:val="Heading6"/>
    <w:rsid w:val="000544B9"/>
    <w:rPr>
      <w:rFonts w:ascii="Arial" w:hAnsi="Arial" w:eastAsia="Times New Roman" w:cs="Times New Roman"/>
      <w:b/>
      <w:color w:val="000000"/>
      <w:kern w:val="0"/>
      <w:sz w:val="24"/>
      <w:lang w:eastAsia="en-GB"/>
    </w:rPr>
  </w:style>
  <w:style w:type="character" w:styleId="Heading7Char" w:customStyle="1">
    <w:name w:val="Heading 7 Char"/>
    <w:basedOn w:val="DefaultParagraphFont"/>
    <w:link w:val="Heading7"/>
    <w:rsid w:val="000544B9"/>
    <w:rPr>
      <w:rFonts w:ascii="Arial" w:hAnsi="Arial" w:eastAsia="Times New Roman" w:cs="Times New Roman"/>
      <w:color w:val="000000"/>
      <w:kern w:val="0"/>
      <w:sz w:val="20"/>
      <w:szCs w:val="20"/>
      <w:lang w:eastAsia="en-GB"/>
    </w:rPr>
  </w:style>
  <w:style w:type="character" w:styleId="Heading8Char" w:customStyle="1">
    <w:name w:val="Heading 8 Char"/>
    <w:basedOn w:val="DefaultParagraphFont"/>
    <w:link w:val="Heading8"/>
    <w:rsid w:val="000544B9"/>
    <w:rPr>
      <w:rFonts w:ascii="Arial" w:hAnsi="Arial" w:eastAsia="Times New Roman" w:cs="Times New Roman"/>
      <w:i/>
      <w:color w:val="000000"/>
      <w:kern w:val="0"/>
      <w:sz w:val="18"/>
      <w:szCs w:val="20"/>
      <w:lang w:eastAsia="en-GB"/>
    </w:rPr>
  </w:style>
  <w:style w:type="character" w:styleId="Heading9Char" w:customStyle="1">
    <w:name w:val="Heading 9 Char"/>
    <w:basedOn w:val="DefaultParagraphFont"/>
    <w:link w:val="Heading9"/>
    <w:rsid w:val="000544B9"/>
    <w:rPr>
      <w:rFonts w:ascii="Arial" w:hAnsi="Arial" w:eastAsia="Times New Roman" w:cs="Times New Roman"/>
      <w:color w:val="000000"/>
      <w:kern w:val="0"/>
      <w:sz w:val="14"/>
      <w:szCs w:val="20"/>
      <w:lang w:eastAsia="en-GB"/>
    </w:rPr>
  </w:style>
  <w:style w:type="paragraph" w:styleId="Title">
    <w:name w:val="Title"/>
    <w:basedOn w:val="Normal"/>
    <w:next w:val="Normal"/>
    <w:link w:val="TitleChar"/>
    <w:uiPriority w:val="10"/>
    <w:qFormat/>
    <w:rsid w:val="000544B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44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44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4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B9"/>
    <w:pPr>
      <w:spacing w:before="160"/>
      <w:jc w:val="center"/>
    </w:pPr>
    <w:rPr>
      <w:i/>
      <w:iCs/>
      <w:color w:val="404040" w:themeColor="text1" w:themeTint="BF"/>
    </w:rPr>
  </w:style>
  <w:style w:type="character" w:styleId="QuoteChar" w:customStyle="1">
    <w:name w:val="Quote Char"/>
    <w:basedOn w:val="DefaultParagraphFont"/>
    <w:link w:val="Quote"/>
    <w:uiPriority w:val="29"/>
    <w:rsid w:val="000544B9"/>
    <w:rPr>
      <w:i/>
      <w:iCs/>
      <w:color w:val="404040" w:themeColor="text1" w:themeTint="BF"/>
    </w:rPr>
  </w:style>
  <w:style w:type="paragraph" w:styleId="ListParagraph">
    <w:name w:val="List Paragraph"/>
    <w:basedOn w:val="Normal"/>
    <w:uiPriority w:val="34"/>
    <w:qFormat/>
    <w:rsid w:val="000544B9"/>
    <w:pPr>
      <w:ind w:left="720"/>
      <w:contextualSpacing/>
    </w:pPr>
  </w:style>
  <w:style w:type="character" w:styleId="IntenseEmphasis">
    <w:name w:val="Intense Emphasis"/>
    <w:basedOn w:val="DefaultParagraphFont"/>
    <w:uiPriority w:val="21"/>
    <w:qFormat/>
    <w:rsid w:val="000544B9"/>
    <w:rPr>
      <w:i/>
      <w:iCs/>
      <w:color w:val="365F91" w:themeColor="accent1" w:themeShade="BF"/>
    </w:rPr>
  </w:style>
  <w:style w:type="paragraph" w:styleId="IntenseQuote">
    <w:name w:val="Intense Quote"/>
    <w:basedOn w:val="Normal"/>
    <w:next w:val="Normal"/>
    <w:link w:val="IntenseQuoteChar"/>
    <w:uiPriority w:val="30"/>
    <w:qFormat/>
    <w:rsid w:val="000544B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544B9"/>
    <w:rPr>
      <w:i/>
      <w:iCs/>
      <w:color w:val="365F91" w:themeColor="accent1" w:themeShade="BF"/>
    </w:rPr>
  </w:style>
  <w:style w:type="character" w:styleId="IntenseReference">
    <w:name w:val="Intense Reference"/>
    <w:basedOn w:val="DefaultParagraphFont"/>
    <w:uiPriority w:val="32"/>
    <w:qFormat/>
    <w:rsid w:val="000544B9"/>
    <w:rPr>
      <w:b/>
      <w:bCs/>
      <w:smallCaps/>
      <w:color w:val="365F91" w:themeColor="accent1" w:themeShade="BF"/>
      <w:spacing w:val="5"/>
    </w:rPr>
  </w:style>
  <w:style w:type="paragraph" w:styleId="Header">
    <w:name w:val="header"/>
    <w:basedOn w:val="Normal"/>
    <w:link w:val="HeaderChar"/>
    <w:rsid w:val="000544B9"/>
    <w:pPr>
      <w:tabs>
        <w:tab w:val="center" w:pos="4153"/>
        <w:tab w:val="right" w:pos="8306"/>
      </w:tabs>
    </w:pPr>
  </w:style>
  <w:style w:type="character" w:styleId="HeaderChar" w:customStyle="1">
    <w:name w:val="Header Char"/>
    <w:basedOn w:val="DefaultParagraphFont"/>
    <w:link w:val="Header"/>
    <w:rsid w:val="000544B9"/>
    <w:rPr>
      <w:rFonts w:ascii="Arial" w:hAnsi="Arial" w:eastAsia="Times New Roman" w:cs="Times New Roman"/>
      <w:kern w:val="0"/>
      <w:sz w:val="24"/>
      <w:szCs w:val="20"/>
      <w:lang w:eastAsia="en-GB"/>
    </w:rPr>
  </w:style>
  <w:style w:type="paragraph" w:styleId="Footer">
    <w:name w:val="footer"/>
    <w:basedOn w:val="Normal"/>
    <w:link w:val="FooterChar"/>
    <w:rsid w:val="000544B9"/>
    <w:pPr>
      <w:tabs>
        <w:tab w:val="center" w:pos="4153"/>
        <w:tab w:val="right" w:pos="8306"/>
      </w:tabs>
    </w:pPr>
    <w:rPr>
      <w:sz w:val="18"/>
    </w:rPr>
  </w:style>
  <w:style w:type="character" w:styleId="FooterChar" w:customStyle="1">
    <w:name w:val="Footer Char"/>
    <w:basedOn w:val="DefaultParagraphFont"/>
    <w:link w:val="Footer"/>
    <w:rsid w:val="000544B9"/>
    <w:rPr>
      <w:rFonts w:ascii="Arial" w:hAnsi="Arial" w:eastAsia="Times New Roman" w:cs="Times New Roman"/>
      <w:kern w:val="0"/>
      <w:sz w:val="18"/>
      <w:szCs w:val="20"/>
      <w:lang w:eastAsia="en-GB"/>
    </w:rPr>
  </w:style>
  <w:style w:type="character" w:styleId="PageNumber">
    <w:name w:val="page number"/>
    <w:basedOn w:val="DefaultParagraphFont"/>
    <w:rsid w:val="000544B9"/>
    <w:rPr>
      <w:rFonts w:ascii="Arial" w:hAnsi="Arial"/>
      <w:sz w:val="18"/>
    </w:rPr>
  </w:style>
  <w:style w:type="paragraph" w:styleId="Noindent" w:customStyle="1">
    <w:name w:val="No indent"/>
    <w:basedOn w:val="Normal"/>
    <w:rsid w:val="000544B9"/>
    <w:pPr>
      <w:tabs>
        <w:tab w:val="left" w:pos="426"/>
      </w:tabs>
    </w:pPr>
  </w:style>
  <w:style w:type="paragraph" w:styleId="TBullet" w:customStyle="1">
    <w:name w:val="T_Bullet"/>
    <w:basedOn w:val="Normal"/>
    <w:rsid w:val="000544B9"/>
    <w:pPr>
      <w:numPr>
        <w:numId w:val="1"/>
      </w:numPr>
      <w:tabs>
        <w:tab w:val="left" w:pos="851"/>
      </w:tabs>
    </w:pPr>
    <w:rPr>
      <w:color w:val="000000"/>
      <w:sz w:val="20"/>
    </w:rPr>
  </w:style>
  <w:style w:type="paragraph" w:styleId="Style1" w:customStyle="1">
    <w:name w:val="Style1"/>
    <w:basedOn w:val="Heading1"/>
    <w:link w:val="Style1Char"/>
    <w:rsid w:val="000544B9"/>
    <w:pPr>
      <w:keepNext w:val="0"/>
      <w:widowControl/>
      <w:numPr>
        <w:numId w:val="2"/>
      </w:numPr>
      <w:tabs>
        <w:tab w:val="left" w:pos="510"/>
      </w:tabs>
      <w:spacing w:before="180" w:after="0"/>
    </w:pPr>
    <w:rPr>
      <w:color w:val="000000"/>
      <w:sz w:val="24"/>
    </w:rPr>
  </w:style>
  <w:style w:type="paragraph" w:styleId="Heading6blackfont" w:customStyle="1">
    <w:name w:val="Heading 6 + black font"/>
    <w:basedOn w:val="Heading6"/>
    <w:next w:val="Style1"/>
    <w:rsid w:val="000544B9"/>
  </w:style>
  <w:style w:type="character" w:styleId="Hyperlink">
    <w:name w:val="Hyperlink"/>
    <w:basedOn w:val="DefaultParagraphFont"/>
    <w:rsid w:val="000544B9"/>
    <w:rPr>
      <w:color w:val="0000FF"/>
      <w:u w:val="single"/>
    </w:rPr>
  </w:style>
  <w:style w:type="numbering" w:styleId="StylesList" w:customStyle="1">
    <w:name w:val="StylesList"/>
    <w:uiPriority w:val="99"/>
    <w:rsid w:val="000544B9"/>
    <w:pPr>
      <w:numPr>
        <w:numId w:val="2"/>
      </w:numPr>
    </w:pPr>
  </w:style>
  <w:style w:type="paragraph" w:styleId="Nblock" w:customStyle="1">
    <w:name w:val="N_block"/>
    <w:basedOn w:val="Normal"/>
    <w:rsid w:val="000544B9"/>
    <w:pPr>
      <w:tabs>
        <w:tab w:val="left" w:pos="851"/>
      </w:tabs>
      <w:spacing w:before="120"/>
      <w:ind w:left="851" w:right="515"/>
    </w:pPr>
  </w:style>
  <w:style w:type="paragraph" w:styleId="Ninset" w:customStyle="1">
    <w:name w:val="N_inset"/>
    <w:basedOn w:val="Normal"/>
    <w:rsid w:val="000544B9"/>
    <w:pPr>
      <w:tabs>
        <w:tab w:val="left" w:pos="425"/>
      </w:tabs>
      <w:ind w:left="426"/>
    </w:pPr>
  </w:style>
  <w:style w:type="paragraph" w:styleId="Nlista" w:customStyle="1">
    <w:name w:val="N_list (a)"/>
    <w:basedOn w:val="Normal"/>
    <w:rsid w:val="000544B9"/>
    <w:pPr>
      <w:numPr>
        <w:ilvl w:val="1"/>
        <w:numId w:val="20"/>
      </w:numPr>
      <w:tabs>
        <w:tab w:val="clear" w:pos="851"/>
      </w:tabs>
      <w:spacing w:before="80"/>
      <w:ind w:left="0" w:right="369" w:firstLine="0"/>
    </w:pPr>
  </w:style>
  <w:style w:type="paragraph" w:styleId="Nlisti" w:customStyle="1">
    <w:name w:val="N_list (i)"/>
    <w:basedOn w:val="Normal"/>
    <w:rsid w:val="000544B9"/>
    <w:pPr>
      <w:numPr>
        <w:ilvl w:val="2"/>
        <w:numId w:val="19"/>
      </w:numPr>
      <w:tabs>
        <w:tab w:val="clear" w:pos="1797"/>
      </w:tabs>
      <w:spacing w:before="60"/>
      <w:ind w:left="0" w:right="511" w:firstLine="0"/>
    </w:pPr>
    <w:rPr>
      <w:sz w:val="20"/>
    </w:rPr>
  </w:style>
  <w:style w:type="paragraph" w:styleId="Singleline" w:customStyle="1">
    <w:name w:val="Single line"/>
    <w:basedOn w:val="Normal"/>
    <w:rsid w:val="000544B9"/>
  </w:style>
  <w:style w:type="paragraph" w:styleId="Nnumber" w:customStyle="1">
    <w:name w:val="N_number"/>
    <w:rsid w:val="000544B9"/>
    <w:pPr>
      <w:tabs>
        <w:tab w:val="left" w:pos="426"/>
        <w:tab w:val="num" w:pos="720"/>
      </w:tabs>
      <w:spacing w:before="180"/>
      <w:ind w:left="425" w:hanging="425"/>
    </w:pPr>
    <w:rPr>
      <w:rFonts w:ascii="Arial" w:hAnsi="Arial" w:eastAsia="Times New Roman" w:cs="Times New Roman"/>
      <w:kern w:val="0"/>
      <w:sz w:val="24"/>
      <w:szCs w:val="20"/>
      <w:lang w:eastAsia="en-GB"/>
    </w:rPr>
  </w:style>
  <w:style w:type="paragraph" w:styleId="Table" w:customStyle="1">
    <w:name w:val="Table"/>
    <w:basedOn w:val="Normal"/>
    <w:rsid w:val="000544B9"/>
    <w:pPr>
      <w:numPr>
        <w:numId w:val="20"/>
      </w:numPr>
      <w:tabs>
        <w:tab w:val="clear" w:pos="720"/>
        <w:tab w:val="left" w:pos="851"/>
      </w:tabs>
      <w:spacing w:before="60" w:after="60"/>
      <w:ind w:left="0" w:firstLine="0"/>
    </w:pPr>
    <w:rPr>
      <w:sz w:val="20"/>
    </w:rPr>
  </w:style>
  <w:style w:type="paragraph" w:styleId="Nlisti0" w:customStyle="1">
    <w:name w:val="N_list i"/>
    <w:rsid w:val="000544B9"/>
    <w:pPr>
      <w:numPr>
        <w:ilvl w:val="3"/>
        <w:numId w:val="3"/>
      </w:numPr>
      <w:tabs>
        <w:tab w:val="clear" w:pos="1361"/>
      </w:tabs>
      <w:spacing w:before="40"/>
      <w:ind w:left="0" w:right="516" w:firstLine="0"/>
    </w:pPr>
    <w:rPr>
      <w:rFonts w:ascii="Arial" w:hAnsi="Arial" w:eastAsia="Times New Roman" w:cs="Times New Roman"/>
      <w:noProof/>
      <w:kern w:val="0"/>
      <w:sz w:val="24"/>
      <w:szCs w:val="20"/>
      <w:lang w:eastAsia="en-GB"/>
    </w:rPr>
  </w:style>
  <w:style w:type="paragraph" w:styleId="Style5" w:customStyle="1">
    <w:name w:val="Style5"/>
    <w:basedOn w:val="Normal"/>
    <w:rsid w:val="000544B9"/>
    <w:pPr>
      <w:spacing w:after="60"/>
    </w:pPr>
    <w:rPr>
      <w:b/>
      <w:color w:val="000000"/>
    </w:rPr>
  </w:style>
  <w:style w:type="paragraph" w:styleId="Style2" w:customStyle="1">
    <w:name w:val="Style2"/>
    <w:basedOn w:val="Heading2"/>
    <w:rsid w:val="000544B9"/>
    <w:pPr>
      <w:keepNext w:val="0"/>
      <w:spacing w:before="180" w:after="0"/>
    </w:pPr>
    <w:rPr>
      <w:sz w:val="24"/>
    </w:rPr>
  </w:style>
  <w:style w:type="paragraph" w:styleId="Style3" w:customStyle="1">
    <w:name w:val="Style3"/>
    <w:basedOn w:val="Heading3"/>
    <w:rsid w:val="000544B9"/>
    <w:pPr>
      <w:keepNext w:val="0"/>
      <w:widowControl/>
      <w:spacing w:before="180" w:after="0"/>
      <w:ind w:left="432" w:hanging="432"/>
    </w:pPr>
    <w:rPr>
      <w:caps w:val="0"/>
      <w:sz w:val="24"/>
    </w:rPr>
  </w:style>
  <w:style w:type="paragraph" w:styleId="Style4" w:customStyle="1">
    <w:name w:val="Style4"/>
    <w:basedOn w:val="Heading4"/>
    <w:rsid w:val="000544B9"/>
    <w:pPr>
      <w:keepNext w:val="0"/>
      <w:widowControl/>
      <w:spacing w:before="180" w:after="0"/>
      <w:ind w:left="288" w:hanging="288"/>
    </w:pPr>
    <w:rPr>
      <w:b w:val="0"/>
      <w:i w:val="0"/>
    </w:rPr>
  </w:style>
  <w:style w:type="paragraph" w:styleId="Conditions1" w:customStyle="1">
    <w:name w:val="Conditions1"/>
    <w:rsid w:val="000544B9"/>
    <w:pPr>
      <w:numPr>
        <w:numId w:val="21"/>
      </w:numPr>
      <w:tabs>
        <w:tab w:val="clear" w:pos="1077"/>
      </w:tabs>
      <w:spacing w:before="120"/>
      <w:ind w:left="0" w:firstLine="0"/>
    </w:pPr>
    <w:rPr>
      <w:rFonts w:ascii="Arial" w:hAnsi="Arial" w:eastAsia="Times New Roman" w:cs="Times New Roman"/>
      <w:kern w:val="0"/>
      <w:sz w:val="24"/>
      <w:szCs w:val="20"/>
      <w:lang w:eastAsia="en-GB"/>
    </w:rPr>
  </w:style>
  <w:style w:type="paragraph" w:styleId="Conditions2" w:customStyle="1">
    <w:name w:val="Conditions2"/>
    <w:rsid w:val="000544B9"/>
    <w:pPr>
      <w:numPr>
        <w:ilvl w:val="2"/>
        <w:numId w:val="21"/>
      </w:numPr>
      <w:tabs>
        <w:tab w:val="clear" w:pos="1616"/>
      </w:tabs>
      <w:spacing w:before="60"/>
      <w:ind w:left="0" w:firstLine="0"/>
    </w:pPr>
    <w:rPr>
      <w:rFonts w:ascii="Arial" w:hAnsi="Arial" w:eastAsia="Times New Roman" w:cs="Times New Roman"/>
      <w:kern w:val="0"/>
      <w:sz w:val="24"/>
      <w:szCs w:val="20"/>
      <w:lang w:eastAsia="en-GB"/>
    </w:rPr>
  </w:style>
  <w:style w:type="paragraph" w:styleId="Conditions3" w:customStyle="1">
    <w:name w:val="Conditions3"/>
    <w:rsid w:val="000544B9"/>
    <w:pPr>
      <w:numPr>
        <w:numId w:val="5"/>
      </w:numPr>
      <w:tabs>
        <w:tab w:val="clear" w:pos="720"/>
      </w:tabs>
      <w:spacing w:before="60"/>
      <w:ind w:left="0" w:firstLine="0"/>
    </w:pPr>
    <w:rPr>
      <w:rFonts w:ascii="Arial" w:hAnsi="Arial" w:eastAsia="Times New Roman" w:cs="Times New Roman"/>
      <w:kern w:val="0"/>
      <w:sz w:val="24"/>
      <w:szCs w:val="20"/>
      <w:lang w:eastAsia="en-GB"/>
    </w:rPr>
  </w:style>
  <w:style w:type="paragraph" w:styleId="ListNumber">
    <w:name w:val="List Number"/>
    <w:basedOn w:val="Normal"/>
    <w:rsid w:val="000544B9"/>
    <w:pPr>
      <w:numPr>
        <w:numId w:val="4"/>
      </w:numPr>
      <w:tabs>
        <w:tab w:val="clear" w:pos="360"/>
      </w:tabs>
      <w:ind w:left="0" w:firstLine="0"/>
    </w:pPr>
  </w:style>
  <w:style w:type="paragraph" w:styleId="Long1" w:customStyle="1">
    <w:name w:val="Long1"/>
    <w:basedOn w:val="Normal"/>
    <w:next w:val="Style1"/>
    <w:rsid w:val="000544B9"/>
    <w:pPr>
      <w:keepNext/>
      <w:spacing w:before="180"/>
    </w:pPr>
    <w:rPr>
      <w:b/>
      <w:caps/>
      <w:color w:val="000000"/>
    </w:rPr>
  </w:style>
  <w:style w:type="paragraph" w:styleId="Long2" w:customStyle="1">
    <w:name w:val="Long2"/>
    <w:basedOn w:val="Normal"/>
    <w:next w:val="Style2"/>
    <w:rsid w:val="000544B9"/>
    <w:pPr>
      <w:keepNext/>
      <w:spacing w:before="180"/>
    </w:pPr>
    <w:rPr>
      <w:b/>
      <w:color w:val="000000"/>
    </w:rPr>
  </w:style>
  <w:style w:type="paragraph" w:styleId="Long3" w:customStyle="1">
    <w:name w:val="Long3"/>
    <w:basedOn w:val="Normal"/>
    <w:next w:val="Style3"/>
    <w:rsid w:val="000544B9"/>
    <w:pPr>
      <w:keepNext/>
      <w:spacing w:before="180"/>
    </w:pPr>
    <w:rPr>
      <w:b/>
      <w:i/>
      <w:color w:val="000000"/>
    </w:rPr>
  </w:style>
  <w:style w:type="paragraph" w:styleId="Long4" w:customStyle="1">
    <w:name w:val="Long4"/>
    <w:basedOn w:val="Normal"/>
    <w:next w:val="Style4"/>
    <w:rsid w:val="000544B9"/>
    <w:pPr>
      <w:keepNext/>
      <w:spacing w:before="180"/>
    </w:pPr>
    <w:rPr>
      <w:i/>
      <w:color w:val="000000"/>
    </w:rPr>
  </w:style>
  <w:style w:type="character" w:styleId="StyleVerdana7ptBlack" w:customStyle="1">
    <w:name w:val="Style Verdana 7 pt Black"/>
    <w:basedOn w:val="DefaultParagraphFont"/>
    <w:rsid w:val="000544B9"/>
    <w:rPr>
      <w:rFonts w:ascii="Verdana" w:hAnsi="Verdana"/>
      <w:color w:val="000000"/>
      <w:sz w:val="14"/>
      <w:szCs w:val="14"/>
    </w:rPr>
  </w:style>
  <w:style w:type="paragraph" w:styleId="StyleSinglelineTimesNewRoman" w:customStyle="1">
    <w:name w:val="Style Single line + Times New Roman"/>
    <w:basedOn w:val="Singleline"/>
    <w:rsid w:val="000544B9"/>
    <w:rPr>
      <w:sz w:val="20"/>
    </w:rPr>
  </w:style>
  <w:style w:type="paragraph" w:styleId="Style20ptBoldGreenRight031cmBefore12pt" w:customStyle="1">
    <w:name w:val="Style 20 pt Bold Green Right:  0.31 cm Before:  12 pt"/>
    <w:basedOn w:val="Normal"/>
    <w:rsid w:val="000544B9"/>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0544B9"/>
    <w:pPr>
      <w:spacing w:before="240"/>
      <w:ind w:right="176"/>
    </w:pPr>
    <w:rPr>
      <w:b/>
      <w:bCs/>
      <w:color w:val="000000"/>
      <w:sz w:val="40"/>
      <w:szCs w:val="40"/>
    </w:rPr>
  </w:style>
  <w:style w:type="paragraph" w:styleId="FootnoteText">
    <w:name w:val="footnote text"/>
    <w:basedOn w:val="Normal"/>
    <w:link w:val="FootnoteTextChar"/>
    <w:semiHidden/>
    <w:rsid w:val="000544B9"/>
    <w:rPr>
      <w:sz w:val="16"/>
    </w:rPr>
  </w:style>
  <w:style w:type="character" w:styleId="FootnoteTextChar" w:customStyle="1">
    <w:name w:val="Footnote Text Char"/>
    <w:basedOn w:val="DefaultParagraphFont"/>
    <w:link w:val="FootnoteText"/>
    <w:semiHidden/>
    <w:rsid w:val="000544B9"/>
    <w:rPr>
      <w:rFonts w:ascii="Arial" w:hAnsi="Arial" w:eastAsia="Times New Roman" w:cs="Times New Roman"/>
      <w:kern w:val="0"/>
      <w:sz w:val="16"/>
      <w:szCs w:val="20"/>
      <w:lang w:eastAsia="en-GB"/>
    </w:rPr>
  </w:style>
  <w:style w:type="paragraph" w:styleId="BalloonText">
    <w:name w:val="Balloon Text"/>
    <w:basedOn w:val="Normal"/>
    <w:link w:val="BalloonTextChar"/>
    <w:rsid w:val="000544B9"/>
    <w:rPr>
      <w:rFonts w:ascii="Tahoma" w:hAnsi="Tahoma" w:cs="Tahoma"/>
      <w:sz w:val="16"/>
      <w:szCs w:val="16"/>
    </w:rPr>
  </w:style>
  <w:style w:type="character" w:styleId="BalloonTextChar" w:customStyle="1">
    <w:name w:val="Balloon Text Char"/>
    <w:basedOn w:val="DefaultParagraphFont"/>
    <w:link w:val="BalloonText"/>
    <w:rsid w:val="000544B9"/>
    <w:rPr>
      <w:rFonts w:ascii="Tahoma" w:hAnsi="Tahoma" w:eastAsia="Times New Roman" w:cs="Tahoma"/>
      <w:kern w:val="0"/>
      <w:sz w:val="16"/>
      <w:szCs w:val="16"/>
      <w:lang w:eastAsia="en-GB"/>
    </w:rPr>
  </w:style>
  <w:style w:type="paragraph" w:styleId="ConditionsA" w:customStyle="1">
    <w:name w:val="ConditionsA"/>
    <w:basedOn w:val="Conditions2"/>
    <w:qFormat/>
    <w:rsid w:val="000544B9"/>
  </w:style>
  <w:style w:type="paragraph" w:styleId="ConditionsBullet" w:customStyle="1">
    <w:name w:val="ConditionsBullet"/>
    <w:basedOn w:val="Conditions2"/>
    <w:qFormat/>
    <w:rsid w:val="000544B9"/>
    <w:pPr>
      <w:numPr>
        <w:ilvl w:val="3"/>
      </w:numPr>
      <w:tabs>
        <w:tab w:val="clear" w:pos="2155"/>
      </w:tabs>
      <w:spacing w:before="0"/>
      <w:ind w:left="0" w:firstLine="0"/>
    </w:pPr>
  </w:style>
  <w:style w:type="numbering" w:styleId="ConditionsList" w:customStyle="1">
    <w:name w:val="ConditionsList"/>
    <w:uiPriority w:val="99"/>
    <w:rsid w:val="000544B9"/>
    <w:pPr>
      <w:numPr>
        <w:numId w:val="11"/>
      </w:numPr>
    </w:pPr>
  </w:style>
  <w:style w:type="paragraph" w:styleId="ConditionsNoNumber" w:customStyle="1">
    <w:name w:val="ConditionsNoNumber"/>
    <w:basedOn w:val="Normal"/>
    <w:qFormat/>
    <w:rsid w:val="000544B9"/>
    <w:pPr>
      <w:numPr>
        <w:ilvl w:val="1"/>
        <w:numId w:val="21"/>
      </w:numPr>
      <w:tabs>
        <w:tab w:val="clear" w:pos="1077"/>
      </w:tabs>
      <w:spacing w:before="120"/>
      <w:ind w:left="0" w:firstLine="0"/>
    </w:pPr>
  </w:style>
  <w:style w:type="paragraph" w:styleId="ConditionsNoNumberNoSpaceBefore" w:customStyle="1">
    <w:name w:val="ConditionsNoNumberNoSpaceBefore"/>
    <w:basedOn w:val="ConditionsNoNumber"/>
    <w:qFormat/>
    <w:rsid w:val="000544B9"/>
    <w:pPr>
      <w:numPr>
        <w:ilvl w:val="4"/>
      </w:numPr>
      <w:tabs>
        <w:tab w:val="clear" w:pos="1077"/>
      </w:tabs>
      <w:spacing w:before="0"/>
      <w:ind w:left="0" w:firstLine="0"/>
    </w:pPr>
  </w:style>
  <w:style w:type="numbering" w:styleId="nListiList" w:customStyle="1">
    <w:name w:val="nList(i)List"/>
    <w:uiPriority w:val="99"/>
    <w:rsid w:val="000544B9"/>
    <w:pPr>
      <w:numPr>
        <w:numId w:val="19"/>
      </w:numPr>
    </w:pPr>
  </w:style>
  <w:style w:type="numbering" w:styleId="nListaList" w:customStyle="1">
    <w:name w:val="nList(a)List"/>
    <w:uiPriority w:val="99"/>
    <w:rsid w:val="000544B9"/>
    <w:pPr>
      <w:numPr>
        <w:numId w:val="20"/>
      </w:numPr>
    </w:pPr>
  </w:style>
  <w:style w:type="character" w:styleId="Style1Char" w:customStyle="1">
    <w:name w:val="Style1 Char"/>
    <w:link w:val="Style1"/>
    <w:locked/>
    <w:rsid w:val="000544B9"/>
    <w:rPr>
      <w:rFonts w:ascii="Arial" w:hAnsi="Arial" w:eastAsia="Times New Roman" w:cs="Times New Roman"/>
      <w:color w:val="000000"/>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3C62F1-0619-43A0-B5CC-872899440AC9}">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195C5F-D8F4-4B10-BBBB-967C38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12E33-C35E-43A0-916B-096018A4FA47}">
  <ds:schemaRefs>
    <ds:schemaRef ds:uri="http://schemas.microsoft.com/sharepoint/v3/contenttype/forms"/>
  </ds:schemaRefs>
</ds:datastoreItem>
</file>

<file path=customXml/itemProps3.xml><?xml version="1.0" encoding="utf-8"?>
<ds:datastoreItem xmlns:ds="http://schemas.openxmlformats.org/officeDocument/2006/customXml" ds:itemID="{92820E1C-FD82-4CAC-9458-CC136C523D5D}">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Young, Dominic</dc:creator>
  <keywords/>
  <dc:description/>
  <lastModifiedBy>Christopher Dobson</lastModifiedBy>
  <revision>4</revision>
  <dcterms:created xsi:type="dcterms:W3CDTF">2026-06-01T11:17:00.0000000Z</dcterms:created>
  <dcterms:modified xsi:type="dcterms:W3CDTF">2026-06-03T07:26:36.8483069Z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