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6E72" w14:textId="77777777" w:rsidR="00CE4E55" w:rsidRDefault="00CE4E55" w:rsidP="00CE4E55">
      <w:pPr>
        <w:pStyle w:val="Conditions1"/>
        <w:numPr>
          <w:ilvl w:val="0"/>
          <w:numId w:val="0"/>
        </w:numPr>
      </w:pPr>
      <w:r>
        <w:rPr>
          <w:noProof/>
        </w:rPr>
        <w:drawing>
          <wp:inline distT="0" distB="0" distL="0" distR="0" wp14:anchorId="70AA1306" wp14:editId="7A7CD741">
            <wp:extent cx="3035935" cy="359410"/>
            <wp:effectExtent l="0" t="0" r="0" b="2540"/>
            <wp:docPr id="198704476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4A96C722" w14:textId="77777777" w:rsidR="00CE4E55" w:rsidRDefault="00CE4E55" w:rsidP="00CE4E5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E4E55" w:rsidRPr="003C3FF8" w14:paraId="737C41DC" w14:textId="77777777" w:rsidTr="006E1CD1">
        <w:trPr>
          <w:cantSplit/>
          <w:trHeight w:val="23"/>
        </w:trPr>
        <w:tc>
          <w:tcPr>
            <w:tcW w:w="9356" w:type="dxa"/>
          </w:tcPr>
          <w:p w14:paraId="15623447" w14:textId="77777777" w:rsidR="00CE4E55" w:rsidRPr="003C3FF8" w:rsidRDefault="00CE4E55" w:rsidP="006E1CD1">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Pr="003C3FF8">
              <w:rPr>
                <w:rFonts w:ascii="Arial" w:hAnsi="Arial" w:cs="Arial"/>
                <w:b/>
                <w:color w:val="000000"/>
                <w:sz w:val="40"/>
                <w:szCs w:val="40"/>
              </w:rPr>
              <w:t xml:space="preserve"> Decision</w:t>
            </w:r>
          </w:p>
        </w:tc>
      </w:tr>
      <w:tr w:rsidR="00CE4E55" w:rsidRPr="003C3FF8" w14:paraId="33D06D94" w14:textId="77777777" w:rsidTr="006E1CD1">
        <w:trPr>
          <w:cantSplit/>
          <w:trHeight w:val="23"/>
        </w:trPr>
        <w:tc>
          <w:tcPr>
            <w:tcW w:w="9356" w:type="dxa"/>
            <w:vAlign w:val="center"/>
          </w:tcPr>
          <w:p w14:paraId="00F78C5D" w14:textId="30F06BB2" w:rsidR="00CE4E55" w:rsidRPr="003C3FF8" w:rsidRDefault="006A634F" w:rsidP="006E1CD1">
            <w:pPr>
              <w:spacing w:before="60"/>
              <w:ind w:left="-108" w:right="34"/>
              <w:rPr>
                <w:rFonts w:ascii="Arial" w:hAnsi="Arial" w:cs="Arial"/>
                <w:color w:val="000000"/>
                <w:szCs w:val="22"/>
              </w:rPr>
            </w:pPr>
            <w:r>
              <w:rPr>
                <w:rFonts w:ascii="Arial" w:hAnsi="Arial" w:cs="Arial"/>
                <w:color w:val="000000"/>
                <w:szCs w:val="22"/>
              </w:rPr>
              <w:t>On papers on file</w:t>
            </w:r>
          </w:p>
        </w:tc>
      </w:tr>
      <w:tr w:rsidR="00CE4E55" w:rsidRPr="003C3FF8" w14:paraId="0B905CCA" w14:textId="77777777" w:rsidTr="006E1CD1">
        <w:trPr>
          <w:cantSplit/>
          <w:trHeight w:val="23"/>
        </w:trPr>
        <w:tc>
          <w:tcPr>
            <w:tcW w:w="9356" w:type="dxa"/>
          </w:tcPr>
          <w:p w14:paraId="5E089D88" w14:textId="77777777" w:rsidR="00CE4E55" w:rsidRPr="003C3FF8" w:rsidRDefault="00CE4E55" w:rsidP="006E1CD1">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CE4E55" w:rsidRPr="003C3FF8" w14:paraId="25938C78" w14:textId="77777777" w:rsidTr="006E1CD1">
        <w:trPr>
          <w:cantSplit/>
          <w:trHeight w:val="23"/>
        </w:trPr>
        <w:tc>
          <w:tcPr>
            <w:tcW w:w="9356" w:type="dxa"/>
          </w:tcPr>
          <w:p w14:paraId="3C445C3E" w14:textId="77777777" w:rsidR="00CE4E55" w:rsidRPr="003C3FF8" w:rsidRDefault="00CE4E55" w:rsidP="006E1CD1">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CE4E55" w:rsidRPr="003C3FF8" w14:paraId="685B0C94" w14:textId="77777777" w:rsidTr="006E1CD1">
        <w:trPr>
          <w:cantSplit/>
          <w:trHeight w:val="23"/>
        </w:trPr>
        <w:tc>
          <w:tcPr>
            <w:tcW w:w="9356" w:type="dxa"/>
          </w:tcPr>
          <w:p w14:paraId="2880982F" w14:textId="03F79AFD" w:rsidR="00CE4E55" w:rsidRPr="003C3FF8" w:rsidRDefault="00CE4E55" w:rsidP="006E1CD1">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E86FF2">
              <w:rPr>
                <w:rFonts w:ascii="Arial" w:hAnsi="Arial" w:cs="Arial"/>
                <w:b/>
                <w:color w:val="000000"/>
                <w:sz w:val="16"/>
                <w:szCs w:val="16"/>
              </w:rPr>
              <w:t xml:space="preserve"> 13 May 2026</w:t>
            </w:r>
          </w:p>
        </w:tc>
      </w:tr>
    </w:tbl>
    <w:p w14:paraId="07FE6AE0" w14:textId="77777777" w:rsidR="00CE4E55" w:rsidRPr="00262EDE" w:rsidRDefault="00CE4E55" w:rsidP="00CE4E55">
      <w:pPr>
        <w:rPr>
          <w:rFonts w:ascii="Arial" w:hAnsi="Arial" w:cs="Arial"/>
          <w:sz w:val="16"/>
          <w:szCs w:val="16"/>
        </w:rPr>
      </w:pPr>
    </w:p>
    <w:tbl>
      <w:tblPr>
        <w:tblW w:w="0" w:type="auto"/>
        <w:tblLayout w:type="fixed"/>
        <w:tblLook w:val="0000" w:firstRow="0" w:lastRow="0" w:firstColumn="0" w:lastColumn="0" w:noHBand="0" w:noVBand="0"/>
      </w:tblPr>
      <w:tblGrid>
        <w:gridCol w:w="9520"/>
      </w:tblGrid>
      <w:tr w:rsidR="00CE4E55" w:rsidRPr="003C3FF8" w14:paraId="0C6D4FF9" w14:textId="77777777" w:rsidTr="006E1CD1">
        <w:tc>
          <w:tcPr>
            <w:tcW w:w="9520" w:type="dxa"/>
          </w:tcPr>
          <w:p w14:paraId="4656D670" w14:textId="43D2B37A" w:rsidR="00CE4E55" w:rsidRPr="00533F28" w:rsidRDefault="00CE4E55" w:rsidP="006E1CD1">
            <w:pPr>
              <w:spacing w:after="60"/>
              <w:rPr>
                <w:rFonts w:ascii="Arial" w:hAnsi="Arial" w:cs="Arial"/>
                <w:b/>
                <w:color w:val="000000"/>
                <w:szCs w:val="22"/>
              </w:rPr>
            </w:pPr>
            <w:r>
              <w:rPr>
                <w:rFonts w:ascii="Arial" w:hAnsi="Arial" w:cs="Arial"/>
                <w:b/>
                <w:color w:val="000000"/>
                <w:szCs w:val="22"/>
              </w:rPr>
              <w:t>Order</w:t>
            </w:r>
            <w:r w:rsidRPr="00533F28">
              <w:rPr>
                <w:rFonts w:ascii="Arial" w:hAnsi="Arial" w:cs="Arial"/>
                <w:b/>
                <w:color w:val="000000"/>
                <w:szCs w:val="22"/>
              </w:rPr>
              <w:t xml:space="preserve"> Ref: ROW/</w:t>
            </w:r>
            <w:r>
              <w:rPr>
                <w:rFonts w:ascii="Arial" w:hAnsi="Arial" w:cs="Arial"/>
                <w:b/>
                <w:color w:val="000000"/>
                <w:szCs w:val="22"/>
              </w:rPr>
              <w:t>33</w:t>
            </w:r>
            <w:r w:rsidR="00FD2E93">
              <w:rPr>
                <w:rFonts w:ascii="Arial" w:hAnsi="Arial" w:cs="Arial"/>
                <w:b/>
                <w:color w:val="000000"/>
                <w:szCs w:val="22"/>
              </w:rPr>
              <w:t>58570</w:t>
            </w:r>
          </w:p>
        </w:tc>
      </w:tr>
      <w:tr w:rsidR="00CE4E55" w:rsidRPr="003C3FF8" w14:paraId="4CE89808" w14:textId="77777777" w:rsidTr="006E1CD1">
        <w:tc>
          <w:tcPr>
            <w:tcW w:w="9520" w:type="dxa"/>
          </w:tcPr>
          <w:p w14:paraId="58A1A94B" w14:textId="77777777" w:rsidR="00CE4E55" w:rsidRPr="00262EDE" w:rsidRDefault="00CE4E55" w:rsidP="006E1CD1">
            <w:pPr>
              <w:pStyle w:val="TBullet"/>
              <w:numPr>
                <w:ilvl w:val="0"/>
                <w:numId w:val="0"/>
              </w:numPr>
              <w:ind w:left="360"/>
              <w:rPr>
                <w:rFonts w:ascii="Arial" w:hAnsi="Arial" w:cs="Arial"/>
                <w:sz w:val="16"/>
                <w:szCs w:val="16"/>
              </w:rPr>
            </w:pPr>
          </w:p>
        </w:tc>
      </w:tr>
      <w:tr w:rsidR="00CE4E55" w:rsidRPr="003C3FF8" w14:paraId="1AA7C127" w14:textId="77777777" w:rsidTr="006E1CD1">
        <w:tc>
          <w:tcPr>
            <w:tcW w:w="9520" w:type="dxa"/>
          </w:tcPr>
          <w:tbl>
            <w:tblPr>
              <w:tblW w:w="0" w:type="auto"/>
              <w:tblLayout w:type="fixed"/>
              <w:tblLook w:val="0000" w:firstRow="0" w:lastRow="0" w:firstColumn="0" w:lastColumn="0" w:noHBand="0" w:noVBand="0"/>
            </w:tblPr>
            <w:tblGrid>
              <w:gridCol w:w="9520"/>
            </w:tblGrid>
            <w:tr w:rsidR="00CE4E55" w:rsidRPr="00B054BB" w14:paraId="0AFC815E" w14:textId="77777777" w:rsidTr="006E1CD1">
              <w:tc>
                <w:tcPr>
                  <w:tcW w:w="9520" w:type="dxa"/>
                </w:tcPr>
                <w:p w14:paraId="121D596E" w14:textId="395747A2" w:rsidR="00CE4E55" w:rsidRPr="00880C72" w:rsidRDefault="00CE4E55" w:rsidP="00F717DC">
                  <w:pPr>
                    <w:pStyle w:val="TBullet"/>
                    <w:rPr>
                      <w:rFonts w:ascii="Arial" w:hAnsi="Arial" w:cs="Arial"/>
                      <w:sz w:val="22"/>
                      <w:szCs w:val="22"/>
                    </w:rPr>
                  </w:pPr>
                  <w:r w:rsidRPr="00880C72">
                    <w:rPr>
                      <w:rFonts w:ascii="Arial" w:hAnsi="Arial" w:cs="Arial"/>
                      <w:sz w:val="22"/>
                      <w:szCs w:val="22"/>
                    </w:rPr>
                    <w:t xml:space="preserve">This Order is </w:t>
                  </w:r>
                  <w:r w:rsidR="00131200">
                    <w:rPr>
                      <w:rFonts w:ascii="Arial" w:hAnsi="Arial" w:cs="Arial"/>
                      <w:sz w:val="22"/>
                      <w:szCs w:val="22"/>
                    </w:rPr>
                    <w:t xml:space="preserve">expressed to be </w:t>
                  </w:r>
                  <w:r w:rsidRPr="00880C72">
                    <w:rPr>
                      <w:rFonts w:ascii="Arial" w:hAnsi="Arial" w:cs="Arial"/>
                      <w:sz w:val="22"/>
                      <w:szCs w:val="22"/>
                    </w:rPr>
                    <w:t>made under Section</w:t>
                  </w:r>
                  <w:r w:rsidR="00C02B20">
                    <w:rPr>
                      <w:rFonts w:ascii="Arial" w:hAnsi="Arial" w:cs="Arial"/>
                      <w:sz w:val="22"/>
                      <w:szCs w:val="22"/>
                    </w:rPr>
                    <w:t>s</w:t>
                  </w:r>
                  <w:r w:rsidRPr="00880C72">
                    <w:rPr>
                      <w:rFonts w:ascii="Arial" w:hAnsi="Arial" w:cs="Arial"/>
                      <w:sz w:val="22"/>
                      <w:szCs w:val="22"/>
                    </w:rPr>
                    <w:t xml:space="preserve"> 53(2)(b) </w:t>
                  </w:r>
                  <w:r w:rsidR="00FD2E93">
                    <w:rPr>
                      <w:rFonts w:ascii="Arial" w:hAnsi="Arial" w:cs="Arial"/>
                      <w:sz w:val="22"/>
                      <w:szCs w:val="22"/>
                    </w:rPr>
                    <w:t>and</w:t>
                  </w:r>
                  <w:r w:rsidR="00C02B20">
                    <w:rPr>
                      <w:rFonts w:ascii="Arial" w:hAnsi="Arial" w:cs="Arial"/>
                      <w:sz w:val="22"/>
                      <w:szCs w:val="22"/>
                    </w:rPr>
                    <w:t xml:space="preserve"> 53(3)(b)</w:t>
                  </w:r>
                  <w:r w:rsidR="00FD2E93">
                    <w:rPr>
                      <w:rFonts w:ascii="Arial" w:hAnsi="Arial" w:cs="Arial"/>
                      <w:sz w:val="22"/>
                      <w:szCs w:val="22"/>
                    </w:rPr>
                    <w:t xml:space="preserve"> </w:t>
                  </w:r>
                  <w:r w:rsidRPr="00880C72">
                    <w:rPr>
                      <w:rFonts w:ascii="Arial" w:hAnsi="Arial" w:cs="Arial"/>
                      <w:sz w:val="22"/>
                      <w:szCs w:val="22"/>
                    </w:rPr>
                    <w:t>of the Wildlife and Countryside Act 1981 (</w:t>
                  </w:r>
                  <w:r w:rsidR="000D27C1">
                    <w:rPr>
                      <w:rFonts w:ascii="Arial" w:hAnsi="Arial" w:cs="Arial"/>
                      <w:sz w:val="22"/>
                      <w:szCs w:val="22"/>
                    </w:rPr>
                    <w:t>‘</w:t>
                  </w:r>
                  <w:r w:rsidRPr="00880C72">
                    <w:rPr>
                      <w:rFonts w:ascii="Arial" w:hAnsi="Arial" w:cs="Arial"/>
                      <w:sz w:val="22"/>
                      <w:szCs w:val="22"/>
                    </w:rPr>
                    <w:t>the 1981 Act</w:t>
                  </w:r>
                  <w:r w:rsidR="000D27C1">
                    <w:rPr>
                      <w:rFonts w:ascii="Arial" w:hAnsi="Arial" w:cs="Arial"/>
                      <w:sz w:val="22"/>
                      <w:szCs w:val="22"/>
                    </w:rPr>
                    <w:t>’</w:t>
                  </w:r>
                  <w:r w:rsidRPr="00880C72">
                    <w:rPr>
                      <w:rFonts w:ascii="Arial" w:hAnsi="Arial" w:cs="Arial"/>
                      <w:sz w:val="22"/>
                      <w:szCs w:val="22"/>
                    </w:rPr>
                    <w:t>) and is known as the</w:t>
                  </w:r>
                  <w:r w:rsidR="00B82771" w:rsidRPr="00880C72">
                    <w:rPr>
                      <w:rFonts w:ascii="Arial" w:hAnsi="Arial" w:cs="Arial"/>
                      <w:sz w:val="22"/>
                      <w:szCs w:val="22"/>
                    </w:rPr>
                    <w:t xml:space="preserve"> </w:t>
                  </w:r>
                  <w:r w:rsidR="00306F55">
                    <w:rPr>
                      <w:rFonts w:ascii="Arial" w:hAnsi="Arial" w:cs="Arial"/>
                      <w:sz w:val="22"/>
                      <w:szCs w:val="22"/>
                    </w:rPr>
                    <w:t xml:space="preserve">Lancashire County Council </w:t>
                  </w:r>
                  <w:r w:rsidR="00C02B20">
                    <w:rPr>
                      <w:rFonts w:ascii="Arial" w:hAnsi="Arial" w:cs="Arial"/>
                      <w:sz w:val="22"/>
                      <w:szCs w:val="22"/>
                    </w:rPr>
                    <w:t>Footpath from Wennington Road to Home Farm Close, Wray With Botton Definitive Map Modification Order 2021</w:t>
                  </w:r>
                  <w:r w:rsidRPr="00880C72">
                    <w:rPr>
                      <w:rFonts w:ascii="Arial" w:hAnsi="Arial" w:cs="Arial"/>
                      <w:sz w:val="22"/>
                      <w:szCs w:val="22"/>
                    </w:rPr>
                    <w:t>.</w:t>
                  </w:r>
                </w:p>
              </w:tc>
            </w:tr>
            <w:tr w:rsidR="00CE4E55" w:rsidRPr="00B054BB" w14:paraId="3A28434B" w14:textId="77777777" w:rsidTr="006E1CD1">
              <w:tc>
                <w:tcPr>
                  <w:tcW w:w="9520" w:type="dxa"/>
                </w:tcPr>
                <w:p w14:paraId="13FBB3AA" w14:textId="0B9BB573" w:rsidR="00CE4E55" w:rsidRPr="008316B2" w:rsidRDefault="00CE4E55" w:rsidP="006E1CD1">
                  <w:pPr>
                    <w:pStyle w:val="TBullet"/>
                    <w:rPr>
                      <w:rFonts w:ascii="Arial" w:hAnsi="Arial" w:cs="Arial"/>
                      <w:sz w:val="22"/>
                      <w:szCs w:val="22"/>
                    </w:rPr>
                  </w:pPr>
                  <w:r w:rsidRPr="008316B2">
                    <w:rPr>
                      <w:rFonts w:ascii="Arial" w:hAnsi="Arial" w:cs="Arial"/>
                      <w:sz w:val="22"/>
                      <w:szCs w:val="22"/>
                    </w:rPr>
                    <w:t xml:space="preserve">The Order is dated </w:t>
                  </w:r>
                  <w:r w:rsidR="00306F55">
                    <w:rPr>
                      <w:rFonts w:ascii="Arial" w:hAnsi="Arial" w:cs="Arial"/>
                      <w:sz w:val="22"/>
                      <w:szCs w:val="22"/>
                    </w:rPr>
                    <w:t>13 January 2021</w:t>
                  </w:r>
                  <w:r w:rsidRPr="008316B2">
                    <w:rPr>
                      <w:rFonts w:ascii="Arial" w:hAnsi="Arial" w:cs="Arial"/>
                      <w:sz w:val="22"/>
                      <w:szCs w:val="22"/>
                    </w:rPr>
                    <w:t xml:space="preserve"> and proposes to modify the Definitive Map and Statement for the area by </w:t>
                  </w:r>
                  <w:r w:rsidR="00F717DC">
                    <w:rPr>
                      <w:rFonts w:ascii="Arial" w:hAnsi="Arial" w:cs="Arial"/>
                      <w:sz w:val="22"/>
                      <w:szCs w:val="22"/>
                    </w:rPr>
                    <w:t>adding a footpath</w:t>
                  </w:r>
                  <w:r w:rsidRPr="008316B2">
                    <w:rPr>
                      <w:rFonts w:ascii="Arial" w:hAnsi="Arial" w:cs="Arial"/>
                      <w:sz w:val="22"/>
                      <w:szCs w:val="22"/>
                    </w:rPr>
                    <w:t>.</w:t>
                  </w:r>
                </w:p>
              </w:tc>
            </w:tr>
            <w:tr w:rsidR="00CE4E55" w:rsidRPr="00B054BB" w14:paraId="68030001" w14:textId="77777777" w:rsidTr="006E1CD1">
              <w:tc>
                <w:tcPr>
                  <w:tcW w:w="9520" w:type="dxa"/>
                </w:tcPr>
                <w:p w14:paraId="35AA797A" w14:textId="5B1A2EFB" w:rsidR="00CE4E55" w:rsidRPr="008316B2" w:rsidRDefault="00CE4E55" w:rsidP="006E1CD1">
                  <w:pPr>
                    <w:pStyle w:val="TBullet"/>
                    <w:rPr>
                      <w:rFonts w:ascii="Arial" w:hAnsi="Arial" w:cs="Arial"/>
                      <w:sz w:val="22"/>
                      <w:szCs w:val="22"/>
                    </w:rPr>
                  </w:pPr>
                  <w:r w:rsidRPr="008316B2">
                    <w:rPr>
                      <w:rFonts w:ascii="Arial" w:hAnsi="Arial" w:cs="Arial"/>
                      <w:sz w:val="22"/>
                      <w:szCs w:val="22"/>
                    </w:rPr>
                    <w:t>There w</w:t>
                  </w:r>
                  <w:r w:rsidR="00C134B6">
                    <w:rPr>
                      <w:rFonts w:ascii="Arial" w:hAnsi="Arial" w:cs="Arial"/>
                      <w:sz w:val="22"/>
                      <w:szCs w:val="22"/>
                    </w:rPr>
                    <w:t>ere two</w:t>
                  </w:r>
                  <w:r w:rsidRPr="008316B2">
                    <w:rPr>
                      <w:rFonts w:ascii="Arial" w:hAnsi="Arial" w:cs="Arial"/>
                      <w:sz w:val="22"/>
                      <w:szCs w:val="22"/>
                    </w:rPr>
                    <w:t xml:space="preserve"> objection</w:t>
                  </w:r>
                  <w:r w:rsidR="00C134B6">
                    <w:rPr>
                      <w:rFonts w:ascii="Arial" w:hAnsi="Arial" w:cs="Arial"/>
                      <w:sz w:val="22"/>
                      <w:szCs w:val="22"/>
                    </w:rPr>
                    <w:t>s</w:t>
                  </w:r>
                  <w:r w:rsidRPr="008316B2">
                    <w:rPr>
                      <w:rFonts w:ascii="Arial" w:hAnsi="Arial" w:cs="Arial"/>
                      <w:sz w:val="22"/>
                      <w:szCs w:val="22"/>
                    </w:rPr>
                    <w:t xml:space="preserve"> outstanding when </w:t>
                  </w:r>
                  <w:r w:rsidR="00F717DC">
                    <w:rPr>
                      <w:rFonts w:ascii="Arial" w:hAnsi="Arial" w:cs="Arial"/>
                      <w:sz w:val="22"/>
                      <w:szCs w:val="22"/>
                    </w:rPr>
                    <w:t xml:space="preserve">the </w:t>
                  </w:r>
                  <w:r w:rsidR="00251F18">
                    <w:rPr>
                      <w:rFonts w:ascii="Arial" w:hAnsi="Arial" w:cs="Arial"/>
                      <w:sz w:val="22"/>
                      <w:szCs w:val="22"/>
                    </w:rPr>
                    <w:t>Lancashire County</w:t>
                  </w:r>
                  <w:r w:rsidRPr="008316B2">
                    <w:rPr>
                      <w:rFonts w:ascii="Arial" w:hAnsi="Arial" w:cs="Arial"/>
                      <w:sz w:val="22"/>
                      <w:szCs w:val="22"/>
                    </w:rPr>
                    <w:t xml:space="preserve"> Council (‘the Council’) submitted the Order to the Secretary of State for Environment, Food and Rural Affairs for confirmation.</w:t>
                  </w:r>
                </w:p>
              </w:tc>
            </w:tr>
            <w:tr w:rsidR="00CE4E55" w:rsidRPr="00B054BB" w14:paraId="41F430DA" w14:textId="77777777" w:rsidTr="006E1CD1">
              <w:tc>
                <w:tcPr>
                  <w:tcW w:w="9520" w:type="dxa"/>
                </w:tcPr>
                <w:p w14:paraId="56241987" w14:textId="3BBC2777" w:rsidR="00CE4E55" w:rsidRPr="00B054BB" w:rsidRDefault="00CE4E55" w:rsidP="006E1CD1">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The Order is confirmed</w:t>
                  </w:r>
                  <w:r w:rsidR="007B345F">
                    <w:rPr>
                      <w:rFonts w:ascii="Arial" w:hAnsi="Arial" w:cs="Arial"/>
                      <w:b/>
                      <w:color w:val="000000"/>
                      <w:szCs w:val="22"/>
                    </w:rPr>
                    <w:t>, subject to a minor modification</w:t>
                  </w:r>
                  <w:r w:rsidRPr="00033C5F">
                    <w:rPr>
                      <w:rFonts w:ascii="Arial" w:hAnsi="Arial" w:cs="Arial"/>
                      <w:b/>
                      <w:color w:val="000000"/>
                      <w:szCs w:val="22"/>
                    </w:rPr>
                    <w:t>.</w:t>
                  </w:r>
                </w:p>
              </w:tc>
            </w:tr>
          </w:tbl>
          <w:p w14:paraId="5002E8BF" w14:textId="77777777" w:rsidR="00CE4E55" w:rsidRPr="00533F28" w:rsidRDefault="00CE4E55" w:rsidP="006E1CD1">
            <w:pPr>
              <w:pStyle w:val="TBullet"/>
              <w:numPr>
                <w:ilvl w:val="0"/>
                <w:numId w:val="0"/>
              </w:numPr>
              <w:ind w:left="360"/>
              <w:rPr>
                <w:rFonts w:ascii="Arial" w:hAnsi="Arial" w:cs="Arial"/>
                <w:sz w:val="22"/>
                <w:szCs w:val="22"/>
              </w:rPr>
            </w:pPr>
          </w:p>
        </w:tc>
      </w:tr>
      <w:tr w:rsidR="00CE4E55" w:rsidRPr="003C3FF8" w14:paraId="7B32AB85" w14:textId="77777777" w:rsidTr="006E1CD1">
        <w:tc>
          <w:tcPr>
            <w:tcW w:w="9520" w:type="dxa"/>
            <w:tcBorders>
              <w:bottom w:val="single" w:sz="6" w:space="0" w:color="000000"/>
            </w:tcBorders>
          </w:tcPr>
          <w:p w14:paraId="30A9BFDF" w14:textId="77777777" w:rsidR="00CE4E55" w:rsidRPr="00262EDE" w:rsidRDefault="00CE4E55" w:rsidP="006E1CD1">
            <w:pPr>
              <w:spacing w:before="60"/>
              <w:rPr>
                <w:rFonts w:ascii="Arial" w:hAnsi="Arial" w:cs="Arial"/>
                <w:b/>
                <w:color w:val="000000"/>
                <w:sz w:val="16"/>
                <w:szCs w:val="16"/>
              </w:rPr>
            </w:pPr>
            <w:bookmarkStart w:id="1" w:name="bmkReturn"/>
            <w:bookmarkEnd w:id="1"/>
          </w:p>
        </w:tc>
      </w:tr>
    </w:tbl>
    <w:p w14:paraId="0FA68DC2" w14:textId="5D159092" w:rsidR="00CE4E55" w:rsidRDefault="000B79D4" w:rsidP="00CE4E55">
      <w:pPr>
        <w:pStyle w:val="Heading6blackfont"/>
        <w:rPr>
          <w:rFonts w:ascii="Arial" w:hAnsi="Arial" w:cs="Arial"/>
        </w:rPr>
      </w:pPr>
      <w:r>
        <w:rPr>
          <w:rFonts w:ascii="Arial" w:hAnsi="Arial" w:cs="Arial"/>
        </w:rPr>
        <w:t>Preliminary Matters</w:t>
      </w:r>
    </w:p>
    <w:p w14:paraId="656498DB" w14:textId="666659A3" w:rsidR="00131200" w:rsidRDefault="000B79D4" w:rsidP="0032533E">
      <w:pPr>
        <w:pStyle w:val="Style1"/>
        <w:numPr>
          <w:ilvl w:val="0"/>
          <w:numId w:val="4"/>
        </w:numPr>
        <w:tabs>
          <w:tab w:val="clear" w:pos="432"/>
          <w:tab w:val="clear" w:pos="720"/>
        </w:tabs>
        <w:rPr>
          <w:rFonts w:ascii="Arial" w:hAnsi="Arial" w:cs="Arial"/>
        </w:rPr>
      </w:pPr>
      <w:r>
        <w:rPr>
          <w:rFonts w:ascii="Arial" w:hAnsi="Arial" w:cs="Arial"/>
        </w:rPr>
        <w:t xml:space="preserve">The </w:t>
      </w:r>
      <w:r w:rsidR="00131200">
        <w:rPr>
          <w:rFonts w:ascii="Arial" w:hAnsi="Arial" w:cs="Arial"/>
        </w:rPr>
        <w:t xml:space="preserve">reference to section 53(3)(b) </w:t>
      </w:r>
      <w:r w:rsidR="00830A43">
        <w:rPr>
          <w:rFonts w:ascii="Arial" w:hAnsi="Arial" w:cs="Arial"/>
        </w:rPr>
        <w:t xml:space="preserve">as a power under which the Order was made appears erroneous. That paragraph </w:t>
      </w:r>
      <w:r w:rsidR="00A16531">
        <w:rPr>
          <w:rFonts w:ascii="Arial" w:hAnsi="Arial" w:cs="Arial"/>
        </w:rPr>
        <w:t>is concerned with the expiration of</w:t>
      </w:r>
      <w:r w:rsidR="008B0D6C">
        <w:rPr>
          <w:rFonts w:ascii="Arial" w:hAnsi="Arial" w:cs="Arial"/>
        </w:rPr>
        <w:t xml:space="preserve"> a time period, rather than with any power to make an Order modifying the Definitive Map and Statement (‘DMS’). </w:t>
      </w:r>
    </w:p>
    <w:p w14:paraId="651938E9" w14:textId="1D644583" w:rsidR="002D714C" w:rsidRDefault="00315C65" w:rsidP="0032533E">
      <w:pPr>
        <w:pStyle w:val="Style1"/>
        <w:numPr>
          <w:ilvl w:val="0"/>
          <w:numId w:val="4"/>
        </w:numPr>
        <w:tabs>
          <w:tab w:val="clear" w:pos="432"/>
          <w:tab w:val="clear" w:pos="720"/>
        </w:tabs>
        <w:rPr>
          <w:rFonts w:ascii="Arial" w:hAnsi="Arial" w:cs="Arial"/>
        </w:rPr>
      </w:pPr>
      <w:r>
        <w:rPr>
          <w:rFonts w:ascii="Arial" w:hAnsi="Arial" w:cs="Arial"/>
        </w:rPr>
        <w:t>T</w:t>
      </w:r>
      <w:r w:rsidR="002D714C">
        <w:rPr>
          <w:rFonts w:ascii="Arial" w:hAnsi="Arial" w:cs="Arial"/>
        </w:rPr>
        <w:t xml:space="preserve">he Order itself is expressed to be made upon the ‘discovery of evidence’ by the </w:t>
      </w:r>
      <w:r>
        <w:rPr>
          <w:rFonts w:ascii="Arial" w:hAnsi="Arial" w:cs="Arial"/>
        </w:rPr>
        <w:t xml:space="preserve">Surveying Authority, the </w:t>
      </w:r>
      <w:r w:rsidR="002D714C">
        <w:rPr>
          <w:rFonts w:ascii="Arial" w:hAnsi="Arial" w:cs="Arial"/>
        </w:rPr>
        <w:t>Council</w:t>
      </w:r>
      <w:r>
        <w:rPr>
          <w:rFonts w:ascii="Arial" w:hAnsi="Arial" w:cs="Arial"/>
        </w:rPr>
        <w:t xml:space="preserve">, which is to say </w:t>
      </w:r>
      <w:r w:rsidR="006522E7">
        <w:rPr>
          <w:rFonts w:ascii="Arial" w:hAnsi="Arial" w:cs="Arial"/>
        </w:rPr>
        <w:t xml:space="preserve">that it is made as a result of the matters arising </w:t>
      </w:r>
      <w:r>
        <w:rPr>
          <w:rFonts w:ascii="Arial" w:hAnsi="Arial" w:cs="Arial"/>
        </w:rPr>
        <w:t>under section 53(3)(c)(i) of the 1981 Act</w:t>
      </w:r>
      <w:r w:rsidR="007C373C">
        <w:rPr>
          <w:rFonts w:ascii="Arial" w:hAnsi="Arial" w:cs="Arial"/>
        </w:rPr>
        <w:t>. Section 53(3)(b) is not said to be engaged</w:t>
      </w:r>
      <w:r w:rsidR="007F33F5">
        <w:rPr>
          <w:rFonts w:ascii="Arial" w:hAnsi="Arial" w:cs="Arial"/>
        </w:rPr>
        <w:t>, although is referred to in the Order</w:t>
      </w:r>
      <w:r w:rsidR="00EC187D">
        <w:rPr>
          <w:rFonts w:ascii="Arial" w:hAnsi="Arial" w:cs="Arial"/>
        </w:rPr>
        <w:t>.</w:t>
      </w:r>
      <w:r w:rsidR="00EE3330">
        <w:rPr>
          <w:rFonts w:ascii="Arial" w:hAnsi="Arial" w:cs="Arial"/>
        </w:rPr>
        <w:t xml:space="preserve"> The Order states that the event relied upon to make the modification is the discovery of evidence under section 53(3)(c)(i) rather than the expiration of a period of enjoyment by the public.</w:t>
      </w:r>
      <w:r w:rsidR="00EC187D" w:rsidRPr="00EC187D">
        <w:rPr>
          <w:rFonts w:ascii="Arial" w:hAnsi="Arial" w:cs="Arial"/>
        </w:rPr>
        <w:t xml:space="preserve"> </w:t>
      </w:r>
      <w:r w:rsidR="00EC187D">
        <w:rPr>
          <w:rFonts w:ascii="Arial" w:hAnsi="Arial" w:cs="Arial"/>
        </w:rPr>
        <w:t xml:space="preserve">I shall therefore modify the Order to remove that reference. This is a minor change and does not </w:t>
      </w:r>
      <w:r w:rsidR="00262EDE">
        <w:rPr>
          <w:rFonts w:ascii="Arial" w:hAnsi="Arial" w:cs="Arial"/>
        </w:rPr>
        <w:t>affect the intention of the order, so notice of the modification is not required</w:t>
      </w:r>
      <w:r w:rsidR="00EC187D">
        <w:rPr>
          <w:rFonts w:ascii="Arial" w:hAnsi="Arial" w:cs="Arial"/>
        </w:rPr>
        <w:t>.</w:t>
      </w:r>
    </w:p>
    <w:p w14:paraId="05BAD9E6" w14:textId="25014D79" w:rsidR="00090307" w:rsidRDefault="00131200" w:rsidP="0032533E">
      <w:pPr>
        <w:pStyle w:val="Style1"/>
        <w:numPr>
          <w:ilvl w:val="0"/>
          <w:numId w:val="4"/>
        </w:numPr>
        <w:tabs>
          <w:tab w:val="clear" w:pos="432"/>
          <w:tab w:val="clear" w:pos="720"/>
        </w:tabs>
        <w:rPr>
          <w:rFonts w:ascii="Arial" w:hAnsi="Arial" w:cs="Arial"/>
        </w:rPr>
      </w:pPr>
      <w:r>
        <w:rPr>
          <w:rFonts w:ascii="Arial" w:hAnsi="Arial" w:cs="Arial"/>
        </w:rPr>
        <w:t xml:space="preserve">The </w:t>
      </w:r>
      <w:r w:rsidR="007377D5">
        <w:rPr>
          <w:rFonts w:ascii="Arial" w:hAnsi="Arial" w:cs="Arial"/>
        </w:rPr>
        <w:t>two</w:t>
      </w:r>
      <w:r w:rsidR="000B79D4">
        <w:rPr>
          <w:rFonts w:ascii="Arial" w:hAnsi="Arial" w:cs="Arial"/>
        </w:rPr>
        <w:t xml:space="preserve"> objection</w:t>
      </w:r>
      <w:r w:rsidR="007377D5">
        <w:rPr>
          <w:rFonts w:ascii="Arial" w:hAnsi="Arial" w:cs="Arial"/>
        </w:rPr>
        <w:t>s</w:t>
      </w:r>
      <w:r w:rsidR="000B79D4">
        <w:rPr>
          <w:rFonts w:ascii="Arial" w:hAnsi="Arial" w:cs="Arial"/>
        </w:rPr>
        <w:t xml:space="preserve"> to the confirmation of the Order </w:t>
      </w:r>
      <w:r w:rsidR="007377D5">
        <w:rPr>
          <w:rFonts w:ascii="Arial" w:hAnsi="Arial" w:cs="Arial"/>
        </w:rPr>
        <w:t>have not been</w:t>
      </w:r>
      <w:r w:rsidR="000B79D4">
        <w:rPr>
          <w:rFonts w:ascii="Arial" w:hAnsi="Arial" w:cs="Arial"/>
        </w:rPr>
        <w:t xml:space="preserve"> </w:t>
      </w:r>
      <w:r w:rsidR="00E61E0A">
        <w:rPr>
          <w:rFonts w:ascii="Arial" w:hAnsi="Arial" w:cs="Arial"/>
        </w:rPr>
        <w:t>withdrawn</w:t>
      </w:r>
      <w:r w:rsidR="007377D5">
        <w:rPr>
          <w:rFonts w:ascii="Arial" w:hAnsi="Arial" w:cs="Arial"/>
        </w:rPr>
        <w:t>, although one of those objectors explains that he no longer holds an interest in any affected land</w:t>
      </w:r>
      <w:r w:rsidR="00D84CB9">
        <w:rPr>
          <w:rFonts w:ascii="Arial" w:hAnsi="Arial" w:cs="Arial"/>
        </w:rPr>
        <w:t xml:space="preserve">. The remaining land is owned by the Parish Council, who were the applicant for the Order. </w:t>
      </w:r>
    </w:p>
    <w:p w14:paraId="5A721D26" w14:textId="0E01C6B4" w:rsidR="000B79D4" w:rsidRDefault="000407F1" w:rsidP="0032533E">
      <w:pPr>
        <w:pStyle w:val="Style1"/>
        <w:numPr>
          <w:ilvl w:val="0"/>
          <w:numId w:val="4"/>
        </w:numPr>
        <w:tabs>
          <w:tab w:val="clear" w:pos="432"/>
          <w:tab w:val="clear" w:pos="720"/>
        </w:tabs>
        <w:rPr>
          <w:rFonts w:ascii="Arial" w:hAnsi="Arial" w:cs="Arial"/>
        </w:rPr>
      </w:pPr>
      <w:r>
        <w:rPr>
          <w:rFonts w:ascii="Arial" w:hAnsi="Arial" w:cs="Arial"/>
        </w:rPr>
        <w:t>I have been appointed by the Secretary of State to determine whether the Order should be confirmed.</w:t>
      </w:r>
      <w:r w:rsidR="00090307">
        <w:rPr>
          <w:rFonts w:ascii="Arial" w:hAnsi="Arial" w:cs="Arial"/>
        </w:rPr>
        <w:t xml:space="preserve"> Although permission has been received from the landowners to allow me to access the land, I have been able to determine the Order without the need for a site visit. </w:t>
      </w:r>
      <w:r w:rsidR="008B0D6C" w:rsidRPr="00BB3197">
        <w:rPr>
          <w:rFonts w:ascii="Arial" w:hAnsi="Arial" w:cs="Arial"/>
        </w:rPr>
        <w:t>A copy of the Order Map is appended to this decision for ease of reference.</w:t>
      </w:r>
    </w:p>
    <w:p w14:paraId="1A740DDD" w14:textId="610D7495" w:rsidR="000B79D4" w:rsidRPr="000B79D4" w:rsidRDefault="000B79D4" w:rsidP="000B79D4">
      <w:pPr>
        <w:pStyle w:val="Style1"/>
        <w:ind w:left="0" w:firstLine="0"/>
        <w:rPr>
          <w:rFonts w:ascii="Arial" w:hAnsi="Arial" w:cs="Arial"/>
          <w:b/>
          <w:bCs/>
        </w:rPr>
      </w:pPr>
      <w:r>
        <w:rPr>
          <w:rFonts w:ascii="Arial" w:hAnsi="Arial" w:cs="Arial"/>
          <w:b/>
          <w:bCs/>
        </w:rPr>
        <w:t>The Main Issues</w:t>
      </w:r>
    </w:p>
    <w:p w14:paraId="78562B2F" w14:textId="77777777" w:rsidR="00A20FDC" w:rsidRDefault="00A20FDC" w:rsidP="00A20FDC">
      <w:pPr>
        <w:pStyle w:val="Style1"/>
        <w:numPr>
          <w:ilvl w:val="0"/>
          <w:numId w:val="4"/>
        </w:numPr>
        <w:rPr>
          <w:rFonts w:ascii="Arial" w:hAnsi="Arial" w:cs="Arial"/>
        </w:rPr>
      </w:pPr>
      <w:r w:rsidRPr="000F5FA2">
        <w:rPr>
          <w:rFonts w:ascii="Arial" w:hAnsi="Arial" w:cs="Arial"/>
        </w:rPr>
        <w:t xml:space="preserve">The </w:t>
      </w:r>
      <w:r>
        <w:rPr>
          <w:rFonts w:ascii="Arial" w:hAnsi="Arial" w:cs="Arial"/>
        </w:rPr>
        <w:t>main question arising is whether, as the result of the discovery of evidence, a right of way not shown in the Definitive Map and Statement (‘DMS’) for the area subsists. That question arises pursuant to section 53(3)(c)(i) of the Wildlife and Countryside Act 1981 and to the Authority’s duty under section 53(2) of that Act to keep the DMS under review and to make modifications as required in consequence of any of the events set out in section 53(3). In order to confirm the Order, I must be satisfied on the balance of probability that the right of way subsists.</w:t>
      </w:r>
    </w:p>
    <w:p w14:paraId="07E579DC" w14:textId="60F87C0F" w:rsidR="0004764B" w:rsidRDefault="00CD100E" w:rsidP="00E95B66">
      <w:pPr>
        <w:pStyle w:val="Style1"/>
        <w:numPr>
          <w:ilvl w:val="0"/>
          <w:numId w:val="4"/>
        </w:numPr>
        <w:tabs>
          <w:tab w:val="clear" w:pos="432"/>
          <w:tab w:val="clear" w:pos="720"/>
          <w:tab w:val="left" w:pos="0"/>
        </w:tabs>
        <w:rPr>
          <w:rFonts w:ascii="Arial" w:hAnsi="Arial" w:cs="Arial"/>
        </w:rPr>
      </w:pPr>
      <w:r>
        <w:rPr>
          <w:rFonts w:ascii="Arial" w:hAnsi="Arial" w:cs="Arial"/>
        </w:rPr>
        <w:lastRenderedPageBreak/>
        <w:t xml:space="preserve">Evidence of users of the route over recent decades has been submitted in support of the Order. </w:t>
      </w:r>
      <w:r w:rsidR="00A20FDC">
        <w:rPr>
          <w:rFonts w:ascii="Arial" w:hAnsi="Arial" w:cs="Arial"/>
        </w:rPr>
        <w:t>Section 31 of the Highways Act 1980 (‘the 1980 Act’) provides that where a way over land has been actually enjoyed by the public as of right and without interruption for a full period of 20 years, the way is to be deemed to have been dedicated as a highway, in the absence of sufficient evidence of there having been no intention to dedicate it during that period</w:t>
      </w:r>
      <w:r w:rsidR="007D21DD">
        <w:rPr>
          <w:rFonts w:ascii="Arial" w:hAnsi="Arial" w:cs="Arial"/>
        </w:rPr>
        <w:t>.</w:t>
      </w:r>
      <w:r w:rsidR="00A20FDC">
        <w:rPr>
          <w:rFonts w:ascii="Arial" w:hAnsi="Arial" w:cs="Arial"/>
        </w:rPr>
        <w:t xml:space="preserve"> The relevant 20</w:t>
      </w:r>
      <w:r w:rsidR="007D21DD">
        <w:rPr>
          <w:rFonts w:ascii="Arial" w:hAnsi="Arial" w:cs="Arial"/>
        </w:rPr>
        <w:t xml:space="preserve"> </w:t>
      </w:r>
      <w:r w:rsidR="00A20FDC">
        <w:rPr>
          <w:rFonts w:ascii="Arial" w:hAnsi="Arial" w:cs="Arial"/>
        </w:rPr>
        <w:t>year period is to be calculated retrospectively from the date when the public’s right to use the route is brought into question, and I will consider below when that was. I also need to determine whether there was sufficient use of the route over the relevant 20</w:t>
      </w:r>
      <w:r w:rsidR="007D21DD">
        <w:rPr>
          <w:rFonts w:ascii="Arial" w:hAnsi="Arial" w:cs="Arial"/>
        </w:rPr>
        <w:t xml:space="preserve"> </w:t>
      </w:r>
      <w:r w:rsidR="00A20FDC">
        <w:rPr>
          <w:rFonts w:ascii="Arial" w:hAnsi="Arial" w:cs="Arial"/>
        </w:rPr>
        <w:t xml:space="preserve">year period to show a presumption of dedication, and whether or not there is sufficient evidence to show that the landowner did not intend to dedicate the route. </w:t>
      </w:r>
    </w:p>
    <w:p w14:paraId="1CC3B1EC" w14:textId="05713E0F" w:rsidR="00A20FDC" w:rsidRDefault="0004764B" w:rsidP="00E95B66">
      <w:pPr>
        <w:pStyle w:val="Style1"/>
        <w:numPr>
          <w:ilvl w:val="0"/>
          <w:numId w:val="4"/>
        </w:numPr>
        <w:tabs>
          <w:tab w:val="clear" w:pos="432"/>
          <w:tab w:val="clear" w:pos="720"/>
          <w:tab w:val="left" w:pos="0"/>
        </w:tabs>
        <w:rPr>
          <w:rFonts w:ascii="Arial" w:hAnsi="Arial" w:cs="Arial"/>
        </w:rPr>
      </w:pPr>
      <w:r>
        <w:rPr>
          <w:rFonts w:ascii="Arial" w:hAnsi="Arial" w:cs="Arial"/>
        </w:rPr>
        <w:t xml:space="preserve">The section is enacted without prejudice to whether a dedication of the route may be </w:t>
      </w:r>
      <w:r w:rsidR="00583F1C">
        <w:rPr>
          <w:rFonts w:ascii="Arial" w:hAnsi="Arial" w:cs="Arial"/>
        </w:rPr>
        <w:t>inferred at common law.</w:t>
      </w:r>
      <w:r w:rsidR="00A20FDC">
        <w:rPr>
          <w:rFonts w:ascii="Arial" w:hAnsi="Arial" w:cs="Arial"/>
        </w:rPr>
        <w:t xml:space="preserve"> </w:t>
      </w:r>
    </w:p>
    <w:p w14:paraId="1A8D6A5A" w14:textId="23D16083" w:rsidR="00A20FDC" w:rsidRDefault="00A20FDC" w:rsidP="00E95B66">
      <w:pPr>
        <w:pStyle w:val="Style1"/>
        <w:numPr>
          <w:ilvl w:val="0"/>
          <w:numId w:val="4"/>
        </w:numPr>
        <w:tabs>
          <w:tab w:val="clear" w:pos="432"/>
          <w:tab w:val="clear" w:pos="720"/>
          <w:tab w:val="left" w:pos="0"/>
        </w:tabs>
        <w:rPr>
          <w:rFonts w:ascii="Arial" w:hAnsi="Arial" w:cs="Arial"/>
        </w:rPr>
      </w:pPr>
      <w:r w:rsidRPr="00BB3197">
        <w:rPr>
          <w:rFonts w:ascii="Arial" w:hAnsi="Arial" w:cs="Arial"/>
        </w:rPr>
        <w:t>In determining th</w:t>
      </w:r>
      <w:r>
        <w:rPr>
          <w:rFonts w:ascii="Arial" w:hAnsi="Arial" w:cs="Arial"/>
        </w:rPr>
        <w:t>ose</w:t>
      </w:r>
      <w:r w:rsidRPr="00BB3197">
        <w:rPr>
          <w:rFonts w:ascii="Arial" w:hAnsi="Arial" w:cs="Arial"/>
        </w:rPr>
        <w:t xml:space="preserve"> question</w:t>
      </w:r>
      <w:r>
        <w:rPr>
          <w:rFonts w:ascii="Arial" w:hAnsi="Arial" w:cs="Arial"/>
        </w:rPr>
        <w:t>s</w:t>
      </w:r>
      <w:r w:rsidRPr="00BB3197">
        <w:rPr>
          <w:rFonts w:ascii="Arial" w:hAnsi="Arial" w:cs="Arial"/>
        </w:rPr>
        <w:t xml:space="preserve">, section 32 of the 1980 Act provides that I am to take into consideration any map, plan or history of the locality or other relevant document, giving those documents such weight as is justified by the circumstances. </w:t>
      </w:r>
      <w:r w:rsidR="00B02745">
        <w:rPr>
          <w:rFonts w:ascii="Arial" w:hAnsi="Arial" w:cs="Arial"/>
        </w:rPr>
        <w:t>A number of historic maps and other documents are supplied</w:t>
      </w:r>
      <w:r w:rsidR="00B637E2">
        <w:rPr>
          <w:rFonts w:ascii="Arial" w:hAnsi="Arial" w:cs="Arial"/>
        </w:rPr>
        <w:t xml:space="preserve">, and I consider these below. </w:t>
      </w:r>
    </w:p>
    <w:p w14:paraId="453C6E49" w14:textId="01647F03" w:rsidR="00F375CA" w:rsidRPr="00F375CA" w:rsidRDefault="00F375CA" w:rsidP="00E95B66">
      <w:pPr>
        <w:pStyle w:val="Style1"/>
        <w:tabs>
          <w:tab w:val="clear" w:pos="432"/>
          <w:tab w:val="left" w:pos="0"/>
        </w:tabs>
        <w:ind w:left="0" w:firstLine="0"/>
        <w:rPr>
          <w:rFonts w:ascii="Arial" w:hAnsi="Arial" w:cs="Arial"/>
          <w:b/>
          <w:bCs/>
        </w:rPr>
      </w:pPr>
      <w:r>
        <w:rPr>
          <w:rFonts w:ascii="Arial" w:hAnsi="Arial" w:cs="Arial"/>
          <w:b/>
          <w:bCs/>
        </w:rPr>
        <w:t>Background</w:t>
      </w:r>
    </w:p>
    <w:p w14:paraId="6D05DF1C" w14:textId="2F979FA4" w:rsidR="003312F8" w:rsidRDefault="003312F8" w:rsidP="00E95B66">
      <w:pPr>
        <w:pStyle w:val="Style1"/>
        <w:numPr>
          <w:ilvl w:val="0"/>
          <w:numId w:val="4"/>
        </w:numPr>
        <w:tabs>
          <w:tab w:val="clear" w:pos="432"/>
          <w:tab w:val="clear" w:pos="720"/>
          <w:tab w:val="left" w:pos="0"/>
        </w:tabs>
        <w:rPr>
          <w:rFonts w:ascii="Arial" w:hAnsi="Arial" w:cs="Arial"/>
        </w:rPr>
      </w:pPr>
      <w:r>
        <w:rPr>
          <w:rFonts w:ascii="Arial" w:hAnsi="Arial" w:cs="Arial"/>
        </w:rPr>
        <w:t xml:space="preserve">The application was made in April 2020 by the Parish Council and </w:t>
      </w:r>
      <w:r w:rsidR="00E94BB1">
        <w:rPr>
          <w:rFonts w:ascii="Arial" w:hAnsi="Arial" w:cs="Arial"/>
        </w:rPr>
        <w:t>appended four user evidence statements and a supporting letter</w:t>
      </w:r>
      <w:r w:rsidR="00A77D2E">
        <w:rPr>
          <w:rFonts w:ascii="Arial" w:hAnsi="Arial" w:cs="Arial"/>
        </w:rPr>
        <w:t>. It was made shortly after the submission by the landowners of 32 Wenningto</w:t>
      </w:r>
      <w:r w:rsidR="00F375CA">
        <w:rPr>
          <w:rFonts w:ascii="Arial" w:hAnsi="Arial" w:cs="Arial"/>
        </w:rPr>
        <w:t>n</w:t>
      </w:r>
      <w:r w:rsidR="00A77D2E">
        <w:rPr>
          <w:rFonts w:ascii="Arial" w:hAnsi="Arial" w:cs="Arial"/>
        </w:rPr>
        <w:t xml:space="preserve"> Road</w:t>
      </w:r>
      <w:r w:rsidR="00044750">
        <w:rPr>
          <w:rFonts w:ascii="Arial" w:hAnsi="Arial" w:cs="Arial"/>
        </w:rPr>
        <w:t xml:space="preserve"> of a ‘section 31(6) deposit’ on 1 April 2020 stating that no right of way had been dedicated. That deposit referred to the use having been interrupted on 4 occasions during the previous 10 years (during their period of ownership)</w:t>
      </w:r>
      <w:r w:rsidR="005B7C24">
        <w:rPr>
          <w:rFonts w:ascii="Arial" w:hAnsi="Arial" w:cs="Arial"/>
        </w:rPr>
        <w:t xml:space="preserve">. It was also understood by the deponents that pedestrian access had been prohibited during the construction of 32 Wennington Road approximately 20 years </w:t>
      </w:r>
      <w:r w:rsidR="00A66554">
        <w:rPr>
          <w:rFonts w:ascii="Arial" w:hAnsi="Arial" w:cs="Arial"/>
        </w:rPr>
        <w:t>previously</w:t>
      </w:r>
      <w:r w:rsidR="005B7C24">
        <w:rPr>
          <w:rFonts w:ascii="Arial" w:hAnsi="Arial" w:cs="Arial"/>
        </w:rPr>
        <w:t xml:space="preserve">. </w:t>
      </w:r>
    </w:p>
    <w:p w14:paraId="4461F72D" w14:textId="16DBB2A1" w:rsidR="00AB49DD" w:rsidRPr="00AB49DD" w:rsidRDefault="00AB49DD" w:rsidP="00AB49DD">
      <w:pPr>
        <w:pStyle w:val="Style1"/>
        <w:ind w:left="0" w:firstLine="0"/>
        <w:rPr>
          <w:rFonts w:ascii="Arial" w:hAnsi="Arial" w:cs="Arial"/>
          <w:b/>
          <w:bCs/>
        </w:rPr>
      </w:pPr>
      <w:r>
        <w:rPr>
          <w:rFonts w:ascii="Arial" w:hAnsi="Arial" w:cs="Arial"/>
          <w:b/>
          <w:bCs/>
        </w:rPr>
        <w:t>Reasons</w:t>
      </w:r>
    </w:p>
    <w:p w14:paraId="44A57FA7" w14:textId="77777777" w:rsidR="004A3458" w:rsidRDefault="004A3458" w:rsidP="004A3458">
      <w:pPr>
        <w:pStyle w:val="Style1"/>
        <w:ind w:left="0" w:firstLine="0"/>
        <w:rPr>
          <w:rFonts w:ascii="Arial" w:hAnsi="Arial" w:cs="Arial"/>
          <w:i/>
          <w:iCs/>
        </w:rPr>
      </w:pPr>
      <w:r>
        <w:rPr>
          <w:rFonts w:ascii="Arial" w:hAnsi="Arial" w:cs="Arial"/>
          <w:i/>
          <w:iCs/>
        </w:rPr>
        <w:t>Documentary evidence</w:t>
      </w:r>
    </w:p>
    <w:p w14:paraId="29800D09" w14:textId="77A74948" w:rsidR="005C69C2" w:rsidRPr="00E075A9" w:rsidRDefault="00F74F99" w:rsidP="004A3458">
      <w:pPr>
        <w:pStyle w:val="Style1"/>
        <w:ind w:left="0" w:firstLine="0"/>
        <w:rPr>
          <w:rFonts w:ascii="Arial" w:hAnsi="Arial" w:cs="Arial"/>
          <w:i/>
          <w:iCs/>
        </w:rPr>
      </w:pPr>
      <w:r>
        <w:rPr>
          <w:rFonts w:ascii="Arial" w:hAnsi="Arial" w:cs="Arial"/>
          <w:i/>
          <w:iCs/>
        </w:rPr>
        <w:tab/>
      </w:r>
      <w:r w:rsidR="005C69C2">
        <w:rPr>
          <w:rFonts w:ascii="Arial" w:hAnsi="Arial" w:cs="Arial"/>
          <w:i/>
          <w:iCs/>
        </w:rPr>
        <w:t>Planning permission for no. 32</w:t>
      </w:r>
    </w:p>
    <w:p w14:paraId="1C1F0156" w14:textId="7AE30509" w:rsidR="004A3458" w:rsidRDefault="004A3458" w:rsidP="004A3458">
      <w:pPr>
        <w:pStyle w:val="Style1"/>
        <w:numPr>
          <w:ilvl w:val="0"/>
          <w:numId w:val="4"/>
        </w:numPr>
        <w:tabs>
          <w:tab w:val="clear" w:pos="720"/>
        </w:tabs>
        <w:rPr>
          <w:rFonts w:ascii="Arial" w:hAnsi="Arial" w:cs="Arial"/>
        </w:rPr>
      </w:pPr>
      <w:r>
        <w:rPr>
          <w:rFonts w:ascii="Arial" w:hAnsi="Arial" w:cs="Arial"/>
        </w:rPr>
        <w:t xml:space="preserve">It is evident that some properties have the benefit of a private easement over the route in order to access the garages at the rear. A copy of </w:t>
      </w:r>
      <w:r w:rsidR="005C69C2">
        <w:rPr>
          <w:rFonts w:ascii="Arial" w:hAnsi="Arial" w:cs="Arial"/>
        </w:rPr>
        <w:t>a</w:t>
      </w:r>
      <w:r>
        <w:rPr>
          <w:rFonts w:ascii="Arial" w:hAnsi="Arial" w:cs="Arial"/>
        </w:rPr>
        <w:t xml:space="preserve"> planning permission dated 18 October 1999 was supplied. This granted permission for the erection of a single dwelling on land between 30 and 34 Wennington Road, so presumably what is now no. 32. That imposed condition no. 13 requiring the maintenance of a public pedestrian access at least 2m wide to the land to the south of the site, and prohibited direct access from Wennington Road to the development that was approved. </w:t>
      </w:r>
    </w:p>
    <w:p w14:paraId="4C52A8EF" w14:textId="77777777" w:rsidR="005C69C2" w:rsidRDefault="004A3458" w:rsidP="005C69C2">
      <w:pPr>
        <w:pStyle w:val="Style1"/>
        <w:numPr>
          <w:ilvl w:val="0"/>
          <w:numId w:val="4"/>
        </w:numPr>
        <w:tabs>
          <w:tab w:val="clear" w:pos="720"/>
        </w:tabs>
        <w:rPr>
          <w:rFonts w:ascii="Arial" w:hAnsi="Arial" w:cs="Arial"/>
        </w:rPr>
      </w:pPr>
      <w:r>
        <w:rPr>
          <w:rFonts w:ascii="Arial" w:hAnsi="Arial" w:cs="Arial"/>
        </w:rPr>
        <w:t>The accompanying plans to the application depicted a ‘pedestrian access to garages’ that was to run along the Order route to the garages that were depicted to the south.</w:t>
      </w:r>
      <w:r w:rsidR="005C69C2" w:rsidRPr="005C69C2">
        <w:rPr>
          <w:rFonts w:ascii="Arial" w:hAnsi="Arial" w:cs="Arial"/>
        </w:rPr>
        <w:t xml:space="preserve"> </w:t>
      </w:r>
    </w:p>
    <w:p w14:paraId="0893B9BB" w14:textId="77777777" w:rsidR="00C7389F" w:rsidRDefault="005C69C2" w:rsidP="005C69C2">
      <w:pPr>
        <w:pStyle w:val="Style1"/>
        <w:numPr>
          <w:ilvl w:val="0"/>
          <w:numId w:val="4"/>
        </w:numPr>
        <w:tabs>
          <w:tab w:val="clear" w:pos="720"/>
        </w:tabs>
        <w:rPr>
          <w:rFonts w:ascii="Arial" w:hAnsi="Arial" w:cs="Arial"/>
        </w:rPr>
      </w:pPr>
      <w:r>
        <w:rPr>
          <w:rFonts w:ascii="Arial" w:hAnsi="Arial" w:cs="Arial"/>
        </w:rPr>
        <w:t xml:space="preserve">The planning condition attached to the 1999 permission cannot have had the effect of requiring the dedication of a public right of way. This </w:t>
      </w:r>
      <w:r w:rsidR="00F74F99">
        <w:rPr>
          <w:rFonts w:ascii="Arial" w:hAnsi="Arial" w:cs="Arial"/>
        </w:rPr>
        <w:t>has been settled law for some 60 years</w:t>
      </w:r>
      <w:r>
        <w:rPr>
          <w:rFonts w:ascii="Arial" w:hAnsi="Arial" w:cs="Arial"/>
        </w:rPr>
        <w:t>, and the Council when granting the 1999 permission must be presumed to have acted lawfully. This is not particularly easy to reconcile with the wording of the condition, but it appears to me likely that the planning authority in 1999 assumed public rights already to exist, and the condition is concerned with the width of the pedestrian access. If they were requiring dedication,</w:t>
      </w:r>
      <w:r w:rsidR="00F74F99">
        <w:rPr>
          <w:rFonts w:ascii="Arial" w:hAnsi="Arial" w:cs="Arial"/>
        </w:rPr>
        <w:t xml:space="preserve"> some other form of Order or legal agreement</w:t>
      </w:r>
      <w:r>
        <w:rPr>
          <w:rFonts w:ascii="Arial" w:hAnsi="Arial" w:cs="Arial"/>
        </w:rPr>
        <w:t xml:space="preserve"> would have been required. </w:t>
      </w:r>
    </w:p>
    <w:p w14:paraId="658066B3" w14:textId="3E05E729" w:rsidR="005C69C2" w:rsidRDefault="005C69C2" w:rsidP="005C69C2">
      <w:pPr>
        <w:pStyle w:val="Style1"/>
        <w:numPr>
          <w:ilvl w:val="0"/>
          <w:numId w:val="4"/>
        </w:numPr>
        <w:tabs>
          <w:tab w:val="clear" w:pos="720"/>
        </w:tabs>
        <w:rPr>
          <w:rFonts w:ascii="Arial" w:hAnsi="Arial" w:cs="Arial"/>
        </w:rPr>
      </w:pPr>
      <w:r>
        <w:rPr>
          <w:rFonts w:ascii="Arial" w:hAnsi="Arial" w:cs="Arial"/>
        </w:rPr>
        <w:t>Nonetheless the acceptance of the condition by the landowner without complaint is evidence of an intention to dedicate the way or</w:t>
      </w:r>
      <w:r w:rsidR="007E54F6">
        <w:rPr>
          <w:rFonts w:ascii="Arial" w:hAnsi="Arial" w:cs="Arial"/>
        </w:rPr>
        <w:t>, more likely,</w:t>
      </w:r>
      <w:r>
        <w:rPr>
          <w:rFonts w:ascii="Arial" w:hAnsi="Arial" w:cs="Arial"/>
        </w:rPr>
        <w:t xml:space="preserve"> of an acceptance that public rights already existed. </w:t>
      </w:r>
    </w:p>
    <w:p w14:paraId="2D047C26" w14:textId="691AAA48" w:rsidR="005C69C2" w:rsidRPr="005C69C2" w:rsidRDefault="005C69C2" w:rsidP="005C69C2">
      <w:pPr>
        <w:pStyle w:val="Style1"/>
        <w:ind w:firstLine="0"/>
        <w:rPr>
          <w:rFonts w:ascii="Arial" w:hAnsi="Arial" w:cs="Arial"/>
          <w:i/>
          <w:iCs/>
        </w:rPr>
      </w:pPr>
      <w:r>
        <w:rPr>
          <w:rFonts w:ascii="Arial" w:hAnsi="Arial" w:cs="Arial"/>
          <w:i/>
          <w:iCs/>
        </w:rPr>
        <w:lastRenderedPageBreak/>
        <w:t>Easement in favour of the County Council</w:t>
      </w:r>
    </w:p>
    <w:p w14:paraId="79C9491D" w14:textId="77777777" w:rsidR="004A3458" w:rsidRDefault="004A3458" w:rsidP="004A3458">
      <w:pPr>
        <w:pStyle w:val="Style1"/>
        <w:numPr>
          <w:ilvl w:val="0"/>
          <w:numId w:val="4"/>
        </w:numPr>
        <w:tabs>
          <w:tab w:val="clear" w:pos="720"/>
        </w:tabs>
        <w:rPr>
          <w:rFonts w:ascii="Arial" w:hAnsi="Arial" w:cs="Arial"/>
        </w:rPr>
      </w:pPr>
      <w:r>
        <w:rPr>
          <w:rFonts w:ascii="Arial" w:hAnsi="Arial" w:cs="Arial"/>
        </w:rPr>
        <w:t xml:space="preserve">Also supplied is a Deed of Grant dated 2 April 1970 in which a right of way was granted to the County Council in consideration of the sum of £50 and under which the County Council covenanted to construct a road as well as a stockproof fence and field gate.  </w:t>
      </w:r>
    </w:p>
    <w:p w14:paraId="2DDD5E9C" w14:textId="77777777" w:rsidR="005C69C2" w:rsidRDefault="004A3458" w:rsidP="005C69C2">
      <w:pPr>
        <w:pStyle w:val="Style1"/>
        <w:numPr>
          <w:ilvl w:val="0"/>
          <w:numId w:val="4"/>
        </w:numPr>
        <w:tabs>
          <w:tab w:val="clear" w:pos="720"/>
        </w:tabs>
        <w:rPr>
          <w:rFonts w:ascii="Arial" w:hAnsi="Arial" w:cs="Arial"/>
        </w:rPr>
      </w:pPr>
      <w:r>
        <w:rPr>
          <w:rFonts w:ascii="Arial" w:hAnsi="Arial" w:cs="Arial"/>
        </w:rPr>
        <w:t xml:space="preserve">A supplemental deed was completed on 6 September 1995. In pursuance of that, the County Council surrendered its right of way along the Order route and it was replaced with a right of way aligning with what is now part of Home Farm Close. </w:t>
      </w:r>
    </w:p>
    <w:p w14:paraId="7A208734" w14:textId="33BF459B" w:rsidR="005C69C2" w:rsidRDefault="005C69C2" w:rsidP="005C69C2">
      <w:pPr>
        <w:pStyle w:val="Style1"/>
        <w:numPr>
          <w:ilvl w:val="0"/>
          <w:numId w:val="4"/>
        </w:numPr>
        <w:tabs>
          <w:tab w:val="clear" w:pos="720"/>
        </w:tabs>
        <w:rPr>
          <w:rFonts w:ascii="Arial" w:hAnsi="Arial" w:cs="Arial"/>
        </w:rPr>
      </w:pPr>
      <w:r>
        <w:rPr>
          <w:rFonts w:ascii="Arial" w:hAnsi="Arial" w:cs="Arial"/>
        </w:rPr>
        <w:t>Th</w:t>
      </w:r>
      <w:r w:rsidR="00866821">
        <w:rPr>
          <w:rFonts w:ascii="Arial" w:hAnsi="Arial" w:cs="Arial"/>
        </w:rPr>
        <w:t>us th</w:t>
      </w:r>
      <w:r>
        <w:rPr>
          <w:rFonts w:ascii="Arial" w:hAnsi="Arial" w:cs="Arial"/>
        </w:rPr>
        <w:t>e County Council was granted a right of way over the Order route in 1970, and it appears that this was for the purpose of accessing a school playing field. Whilst that right was expressly withdrawn in 1995 (and replaced with an alternative) there is nothing before me to suggest that the public were not making use of that right of way during that 25 year period. There is no evidence that the Council expressly authorised</w:t>
      </w:r>
      <w:r w:rsidR="00262EDE">
        <w:rPr>
          <w:rFonts w:ascii="Arial" w:hAnsi="Arial" w:cs="Arial"/>
        </w:rPr>
        <w:t xml:space="preserve">, or </w:t>
      </w:r>
      <w:r w:rsidR="001C35AF">
        <w:rPr>
          <w:rFonts w:ascii="Arial" w:hAnsi="Arial" w:cs="Arial"/>
        </w:rPr>
        <w:t>gave permission to,</w:t>
      </w:r>
      <w:r>
        <w:rPr>
          <w:rFonts w:ascii="Arial" w:hAnsi="Arial" w:cs="Arial"/>
        </w:rPr>
        <w:t xml:space="preserve"> anyone to use it. Nor is there any indication that the Council held that right of easement on any legal basis that would prevent public user rights arising. No user has referred to any permissive or other signage that would indicate their use was with permission. Thus although the County Council made different access arrangements in 1995, this would not have had any effect on public rights arising in the meantime. It seems clear from the evidence before me that if that 1995 date were to be taken as when the use was brought into question, a 20 year period of user as of right was established by then.</w:t>
      </w:r>
    </w:p>
    <w:p w14:paraId="3A06C742" w14:textId="0534A579" w:rsidR="004A3458" w:rsidRPr="00830B36" w:rsidRDefault="00310335" w:rsidP="00830B36">
      <w:pPr>
        <w:pStyle w:val="Style1"/>
        <w:numPr>
          <w:ilvl w:val="0"/>
          <w:numId w:val="4"/>
        </w:numPr>
        <w:tabs>
          <w:tab w:val="clear" w:pos="720"/>
        </w:tabs>
        <w:rPr>
          <w:rFonts w:ascii="Arial" w:hAnsi="Arial" w:cs="Arial"/>
        </w:rPr>
      </w:pPr>
      <w:r>
        <w:rPr>
          <w:rFonts w:ascii="Arial" w:hAnsi="Arial" w:cs="Arial"/>
        </w:rPr>
        <w:t xml:space="preserve">The plan to the 1995 Deed is consistent with that of the later planning permission in depicting the pedestrian access to be retained. Whilst that could have been referable to the private rights to the garages, it is not obvious why that would have been a concern to the parties to the 1995 Deed. The 1995 Deed did not by itself affect anyone else’s private rights, vehicular or otherwise, other than the Council’s. I consider it more likely that the plan was annotated to reflect the acknowledged public rights then existing. </w:t>
      </w:r>
    </w:p>
    <w:p w14:paraId="26D213CE" w14:textId="68B7ABCD" w:rsidR="005C69C2" w:rsidRPr="005C69C2" w:rsidRDefault="005C69C2" w:rsidP="005C69C2">
      <w:pPr>
        <w:pStyle w:val="Style1"/>
        <w:ind w:firstLine="0"/>
        <w:rPr>
          <w:rFonts w:ascii="Arial" w:hAnsi="Arial" w:cs="Arial"/>
          <w:i/>
          <w:iCs/>
        </w:rPr>
      </w:pPr>
      <w:r>
        <w:rPr>
          <w:rFonts w:ascii="Arial" w:hAnsi="Arial" w:cs="Arial"/>
          <w:i/>
          <w:iCs/>
        </w:rPr>
        <w:t>Aerial maps and photographs</w:t>
      </w:r>
    </w:p>
    <w:p w14:paraId="31171435" w14:textId="77777777" w:rsidR="004A3458" w:rsidRDefault="004A3458" w:rsidP="004A3458">
      <w:pPr>
        <w:pStyle w:val="Style1"/>
        <w:numPr>
          <w:ilvl w:val="0"/>
          <w:numId w:val="4"/>
        </w:numPr>
        <w:tabs>
          <w:tab w:val="clear" w:pos="720"/>
        </w:tabs>
        <w:rPr>
          <w:rFonts w:ascii="Arial" w:hAnsi="Arial" w:cs="Arial"/>
        </w:rPr>
      </w:pPr>
      <w:r>
        <w:rPr>
          <w:rFonts w:ascii="Arial" w:hAnsi="Arial" w:cs="Arial"/>
        </w:rPr>
        <w:t xml:space="preserve">I am also supplied with some historic maps and aerial photographs. The 1956 map does not depict a route but shows the area to be largely undeveloped at that point. The Order route is found over what was then a narrow strip of land running from Wennington Road to the rear of properties adjoining the Main Street. </w:t>
      </w:r>
    </w:p>
    <w:p w14:paraId="5D6EF7F0" w14:textId="223BABE3" w:rsidR="004A3458" w:rsidRDefault="004A3458" w:rsidP="004A3458">
      <w:pPr>
        <w:pStyle w:val="Style1"/>
        <w:numPr>
          <w:ilvl w:val="0"/>
          <w:numId w:val="4"/>
        </w:numPr>
        <w:tabs>
          <w:tab w:val="clear" w:pos="720"/>
        </w:tabs>
        <w:rPr>
          <w:rFonts w:ascii="Arial" w:hAnsi="Arial" w:cs="Arial"/>
        </w:rPr>
      </w:pPr>
      <w:r>
        <w:rPr>
          <w:rFonts w:ascii="Arial" w:hAnsi="Arial" w:cs="Arial"/>
        </w:rPr>
        <w:t xml:space="preserve">That narrow field strip remained in existence at the date of the 1960 aerial photograph, although what appears to be a farm access aligning with the Order route is shown over it. Side accesses are shown to the fields to either side. The large field to the southwest of the Order route and north of the church, now a public playing field, had the appearance of an agricultural field, although the photograph is not of modern quality and is in black and white. </w:t>
      </w:r>
    </w:p>
    <w:p w14:paraId="052AA55B" w14:textId="50A11991" w:rsidR="004A3458" w:rsidRDefault="004A3458" w:rsidP="004A3458">
      <w:pPr>
        <w:pStyle w:val="Style1"/>
        <w:numPr>
          <w:ilvl w:val="0"/>
          <w:numId w:val="4"/>
        </w:numPr>
        <w:tabs>
          <w:tab w:val="clear" w:pos="720"/>
        </w:tabs>
        <w:rPr>
          <w:rFonts w:ascii="Arial" w:hAnsi="Arial" w:cs="Arial"/>
        </w:rPr>
      </w:pPr>
      <w:r>
        <w:rPr>
          <w:rFonts w:ascii="Arial" w:hAnsi="Arial" w:cs="Arial"/>
        </w:rPr>
        <w:t>The 1973 map shows the route to be an access road to Home Farm, and with a field boundary about halfway along to the extended farm buildings, approximately coinciding with point C on the Order route. It is possible that access might have been obtainable to the Main Street at Wray by using the Order route and passing through the buildings at Home Farm. One of the objecting landowners states an understanding that the land under discussion used to form part of a farm track which led from Wennington Road to Home Farm, Main Street, Wray and historically local residents used the track as a shortcut. This was possibly the case</w:t>
      </w:r>
      <w:r w:rsidR="001C35AF">
        <w:rPr>
          <w:rFonts w:ascii="Arial" w:hAnsi="Arial" w:cs="Arial"/>
        </w:rPr>
        <w:t>. If this were so, then it suggests that public rights were being enjoyed that could have resulted in presumed dedication.</w:t>
      </w:r>
      <w:r>
        <w:rPr>
          <w:rFonts w:ascii="Arial" w:hAnsi="Arial" w:cs="Arial"/>
        </w:rPr>
        <w:t xml:space="preserve"> The field to the north of the church is by then shown to be open to the roadside with a gap at what is now no. 14, suggesting that it may no longer have been in agricultural use. </w:t>
      </w:r>
    </w:p>
    <w:p w14:paraId="50164E81" w14:textId="55B2A057" w:rsidR="004A3458" w:rsidRDefault="004A3458" w:rsidP="004A3458">
      <w:pPr>
        <w:pStyle w:val="Style1"/>
        <w:numPr>
          <w:ilvl w:val="0"/>
          <w:numId w:val="4"/>
        </w:numPr>
        <w:tabs>
          <w:tab w:val="clear" w:pos="720"/>
        </w:tabs>
        <w:rPr>
          <w:rFonts w:ascii="Arial" w:hAnsi="Arial" w:cs="Arial"/>
        </w:rPr>
      </w:pPr>
      <w:r>
        <w:rPr>
          <w:rFonts w:ascii="Arial" w:hAnsi="Arial" w:cs="Arial"/>
        </w:rPr>
        <w:lastRenderedPageBreak/>
        <w:t xml:space="preserve">The 2000 aerial photograph depicts the route consistently with its present alignment. The field to the south by then contained the enclosed children’s play space, close to point C. The field itself has the appearance of a recreation ground rather than anything agricultural. </w:t>
      </w:r>
    </w:p>
    <w:p w14:paraId="46D8AA73" w14:textId="4A932EC6" w:rsidR="004A3458" w:rsidRDefault="004A3458" w:rsidP="004A3458">
      <w:pPr>
        <w:pStyle w:val="Style1"/>
        <w:numPr>
          <w:ilvl w:val="0"/>
          <w:numId w:val="4"/>
        </w:numPr>
        <w:tabs>
          <w:tab w:val="clear" w:pos="720"/>
        </w:tabs>
        <w:rPr>
          <w:rFonts w:ascii="Arial" w:hAnsi="Arial" w:cs="Arial"/>
        </w:rPr>
      </w:pPr>
      <w:r>
        <w:rPr>
          <w:rFonts w:ascii="Arial" w:hAnsi="Arial" w:cs="Arial"/>
        </w:rPr>
        <w:t xml:space="preserve">The Council’s regulatory committee report also reviewed other maps and documents, with nothing else of particular significance arising save for the evidence of a Land Registry document recording the grant of a (private) right of way over the route, and an extract from the ‘Wrayly Mail’ of November 2019 in which the (then) owners of 32 Wennington Road gave notice that access to the ‘permissive path’ was to be withdrawn. </w:t>
      </w:r>
    </w:p>
    <w:p w14:paraId="31601B99" w14:textId="0FE40A4B" w:rsidR="006176EB" w:rsidRPr="006176EB" w:rsidRDefault="006176EB" w:rsidP="006176EB">
      <w:pPr>
        <w:pStyle w:val="Style1"/>
        <w:ind w:left="0" w:firstLine="0"/>
        <w:rPr>
          <w:rFonts w:ascii="Arial" w:hAnsi="Arial" w:cs="Arial"/>
          <w:i/>
          <w:iCs/>
        </w:rPr>
      </w:pPr>
      <w:r>
        <w:rPr>
          <w:rFonts w:ascii="Arial" w:hAnsi="Arial" w:cs="Arial"/>
          <w:i/>
          <w:iCs/>
        </w:rPr>
        <w:t>Conclusion on documentary evidence</w:t>
      </w:r>
    </w:p>
    <w:p w14:paraId="09E11BEB" w14:textId="1A197F95" w:rsidR="006176EB" w:rsidRDefault="006176EB" w:rsidP="004A3458">
      <w:pPr>
        <w:pStyle w:val="Style1"/>
        <w:numPr>
          <w:ilvl w:val="0"/>
          <w:numId w:val="4"/>
        </w:numPr>
        <w:tabs>
          <w:tab w:val="clear" w:pos="720"/>
        </w:tabs>
        <w:rPr>
          <w:rFonts w:ascii="Arial" w:hAnsi="Arial" w:cs="Arial"/>
        </w:rPr>
      </w:pPr>
      <w:r>
        <w:rPr>
          <w:rFonts w:ascii="Arial" w:hAnsi="Arial" w:cs="Arial"/>
        </w:rPr>
        <w:t xml:space="preserve">In the round this evidence indicates that </w:t>
      </w:r>
      <w:r w:rsidR="0060243A">
        <w:rPr>
          <w:rFonts w:ascii="Arial" w:hAnsi="Arial" w:cs="Arial"/>
        </w:rPr>
        <w:t>a right to use the route was established, if not before, then in the years after the County Council obtained an easement over it in 1970</w:t>
      </w:r>
      <w:r w:rsidR="00A45216">
        <w:rPr>
          <w:rFonts w:ascii="Arial" w:hAnsi="Arial" w:cs="Arial"/>
        </w:rPr>
        <w:t>, when it came to be used to access the playing field and children’s playground on the field to the south of Wennington Road.</w:t>
      </w:r>
      <w:r w:rsidR="007E54F6">
        <w:rPr>
          <w:rFonts w:ascii="Arial" w:hAnsi="Arial" w:cs="Arial"/>
        </w:rPr>
        <w:t xml:space="preserve"> Those rights were expressly acknowledged and sought to be preserved by the 1995 Deed and the 1999 planning permission. </w:t>
      </w:r>
    </w:p>
    <w:p w14:paraId="361CED0B" w14:textId="246D1760" w:rsidR="0095046F" w:rsidRPr="0095046F" w:rsidRDefault="0095046F" w:rsidP="0095046F">
      <w:pPr>
        <w:pStyle w:val="Style1"/>
        <w:ind w:left="0" w:firstLine="0"/>
        <w:rPr>
          <w:rFonts w:ascii="Arial" w:hAnsi="Arial" w:cs="Arial"/>
          <w:i/>
          <w:iCs/>
        </w:rPr>
      </w:pPr>
      <w:r>
        <w:rPr>
          <w:rFonts w:ascii="Arial" w:hAnsi="Arial" w:cs="Arial"/>
          <w:i/>
          <w:iCs/>
        </w:rPr>
        <w:t>User evidence</w:t>
      </w:r>
    </w:p>
    <w:p w14:paraId="3AAFDA97" w14:textId="553AEBAE" w:rsidR="00B46F20" w:rsidRPr="0031590B" w:rsidRDefault="00D70436" w:rsidP="00A20FDC">
      <w:pPr>
        <w:pStyle w:val="Style1"/>
        <w:numPr>
          <w:ilvl w:val="0"/>
          <w:numId w:val="4"/>
        </w:numPr>
        <w:tabs>
          <w:tab w:val="clear" w:pos="720"/>
        </w:tabs>
        <w:rPr>
          <w:rFonts w:ascii="Arial" w:hAnsi="Arial" w:cs="Arial"/>
        </w:rPr>
      </w:pPr>
      <w:r w:rsidRPr="0031590B">
        <w:rPr>
          <w:rFonts w:ascii="Arial" w:hAnsi="Arial" w:cs="Arial"/>
        </w:rPr>
        <w:t>Four</w:t>
      </w:r>
      <w:r w:rsidR="00BD605A" w:rsidRPr="0031590B">
        <w:rPr>
          <w:rFonts w:ascii="Arial" w:hAnsi="Arial" w:cs="Arial"/>
        </w:rPr>
        <w:t xml:space="preserve"> user evidence forms </w:t>
      </w:r>
      <w:r w:rsidRPr="0031590B">
        <w:rPr>
          <w:rFonts w:ascii="Arial" w:hAnsi="Arial" w:cs="Arial"/>
        </w:rPr>
        <w:t xml:space="preserve">were </w:t>
      </w:r>
      <w:r w:rsidR="00BD605A" w:rsidRPr="0031590B">
        <w:rPr>
          <w:rFonts w:ascii="Arial" w:hAnsi="Arial" w:cs="Arial"/>
        </w:rPr>
        <w:t>submitted with the application</w:t>
      </w:r>
      <w:r w:rsidR="002D6C76" w:rsidRPr="0031590B">
        <w:rPr>
          <w:rFonts w:ascii="Arial" w:hAnsi="Arial" w:cs="Arial"/>
        </w:rPr>
        <w:t xml:space="preserve">, evidencing frequent use in the 20 years to 2019. No barriers or challenges to use were identified before </w:t>
      </w:r>
      <w:r w:rsidR="0031590B" w:rsidRPr="0031590B">
        <w:rPr>
          <w:rFonts w:ascii="Arial" w:hAnsi="Arial" w:cs="Arial"/>
        </w:rPr>
        <w:t>June 2019</w:t>
      </w:r>
      <w:r w:rsidR="0031590B">
        <w:rPr>
          <w:rFonts w:ascii="Arial" w:hAnsi="Arial" w:cs="Arial"/>
        </w:rPr>
        <w:t xml:space="preserve">. </w:t>
      </w:r>
      <w:r w:rsidR="00B46F20" w:rsidRPr="0031590B">
        <w:rPr>
          <w:rFonts w:ascii="Arial" w:hAnsi="Arial" w:cs="Arial"/>
        </w:rPr>
        <w:t>All users say that they had witnessed others using the path</w:t>
      </w:r>
      <w:r w:rsidR="00F83282" w:rsidRPr="0031590B">
        <w:rPr>
          <w:rFonts w:ascii="Arial" w:hAnsi="Arial" w:cs="Arial"/>
        </w:rPr>
        <w:t>.</w:t>
      </w:r>
      <w:r w:rsidR="00012831" w:rsidRPr="0031590B">
        <w:rPr>
          <w:rFonts w:ascii="Arial" w:hAnsi="Arial" w:cs="Arial"/>
        </w:rPr>
        <w:t xml:space="preserve"> One of them referred to using the path as an accessway to </w:t>
      </w:r>
      <w:r w:rsidR="00A54948" w:rsidRPr="0031590B">
        <w:rPr>
          <w:rFonts w:ascii="Arial" w:hAnsi="Arial" w:cs="Arial"/>
        </w:rPr>
        <w:t>a garage</w:t>
      </w:r>
      <w:r w:rsidR="0031590B">
        <w:rPr>
          <w:rFonts w:ascii="Arial" w:hAnsi="Arial" w:cs="Arial"/>
        </w:rPr>
        <w:t xml:space="preserve">, which would indicate that </w:t>
      </w:r>
      <w:r w:rsidR="00331EFB">
        <w:rPr>
          <w:rFonts w:ascii="Arial" w:hAnsi="Arial" w:cs="Arial"/>
        </w:rPr>
        <w:t>use was ‘by right’ rather than trespassory in nature, but the remainder described use ‘as of right’</w:t>
      </w:r>
      <w:r w:rsidR="00A54948" w:rsidRPr="0031590B">
        <w:rPr>
          <w:rFonts w:ascii="Arial" w:hAnsi="Arial" w:cs="Arial"/>
        </w:rPr>
        <w:t xml:space="preserve">. </w:t>
      </w:r>
      <w:r w:rsidR="00974C8D" w:rsidRPr="0031590B">
        <w:rPr>
          <w:rFonts w:ascii="Arial" w:hAnsi="Arial" w:cs="Arial"/>
        </w:rPr>
        <w:t xml:space="preserve">None of them expressly referred to any interruption to use during the construction of 32 Wennington Road. </w:t>
      </w:r>
    </w:p>
    <w:p w14:paraId="2E64DFAD" w14:textId="09B01F28" w:rsidR="003758C0" w:rsidRDefault="00110DDE" w:rsidP="00A20FDC">
      <w:pPr>
        <w:pStyle w:val="Style1"/>
        <w:numPr>
          <w:ilvl w:val="0"/>
          <w:numId w:val="4"/>
        </w:numPr>
        <w:tabs>
          <w:tab w:val="clear" w:pos="720"/>
        </w:tabs>
        <w:rPr>
          <w:rFonts w:ascii="Arial" w:hAnsi="Arial" w:cs="Arial"/>
        </w:rPr>
      </w:pPr>
      <w:r>
        <w:rPr>
          <w:rFonts w:ascii="Arial" w:hAnsi="Arial" w:cs="Arial"/>
        </w:rPr>
        <w:t>Following the making of the Order</w:t>
      </w:r>
      <w:r w:rsidR="00F74E8D">
        <w:rPr>
          <w:rFonts w:ascii="Arial" w:hAnsi="Arial" w:cs="Arial"/>
        </w:rPr>
        <w:t xml:space="preserve"> </w:t>
      </w:r>
      <w:r w:rsidR="00EB4073">
        <w:rPr>
          <w:rFonts w:ascii="Arial" w:hAnsi="Arial" w:cs="Arial"/>
        </w:rPr>
        <w:t>a further 31</w:t>
      </w:r>
      <w:r w:rsidR="00F74E8D">
        <w:rPr>
          <w:rFonts w:ascii="Arial" w:hAnsi="Arial" w:cs="Arial"/>
        </w:rPr>
        <w:t xml:space="preserve"> user evidence forms were submitted</w:t>
      </w:r>
      <w:r w:rsidR="00EB4073">
        <w:rPr>
          <w:rFonts w:ascii="Arial" w:hAnsi="Arial" w:cs="Arial"/>
        </w:rPr>
        <w:t>, with most of them</w:t>
      </w:r>
      <w:r w:rsidR="00643209">
        <w:rPr>
          <w:rFonts w:ascii="Arial" w:hAnsi="Arial" w:cs="Arial"/>
        </w:rPr>
        <w:t xml:space="preserve"> referring to use before 2019</w:t>
      </w:r>
      <w:r w:rsidR="006F38B9">
        <w:rPr>
          <w:rFonts w:ascii="Arial" w:hAnsi="Arial" w:cs="Arial"/>
        </w:rPr>
        <w:t xml:space="preserve">. </w:t>
      </w:r>
      <w:r w:rsidR="0045117D">
        <w:rPr>
          <w:rFonts w:ascii="Arial" w:hAnsi="Arial" w:cs="Arial"/>
        </w:rPr>
        <w:t>Most</w:t>
      </w:r>
      <w:r w:rsidR="008255AB">
        <w:rPr>
          <w:rFonts w:ascii="Arial" w:hAnsi="Arial" w:cs="Arial"/>
        </w:rPr>
        <w:t xml:space="preserve"> of these described longer periods of use of the route, some as early as the 1950s.</w:t>
      </w:r>
      <w:r w:rsidR="0039576B">
        <w:rPr>
          <w:rFonts w:ascii="Arial" w:hAnsi="Arial" w:cs="Arial"/>
        </w:rPr>
        <w:t xml:space="preserve"> Some users say that the route was closed at some point</w:t>
      </w:r>
      <w:r w:rsidR="00930F1A">
        <w:rPr>
          <w:rFonts w:ascii="Arial" w:hAnsi="Arial" w:cs="Arial"/>
        </w:rPr>
        <w:t xml:space="preserve"> but it is unclear when. Most were approximately weekly users</w:t>
      </w:r>
      <w:r w:rsidR="0039576B">
        <w:rPr>
          <w:rFonts w:ascii="Arial" w:hAnsi="Arial" w:cs="Arial"/>
        </w:rPr>
        <w:t xml:space="preserve">. </w:t>
      </w:r>
    </w:p>
    <w:p w14:paraId="5F1D1FD3" w14:textId="68D07F64" w:rsidR="0088682F" w:rsidRDefault="0088682F" w:rsidP="0088682F">
      <w:pPr>
        <w:pStyle w:val="Style1"/>
        <w:ind w:left="0" w:firstLine="0"/>
        <w:rPr>
          <w:rFonts w:ascii="Arial" w:hAnsi="Arial" w:cs="Arial"/>
          <w:bCs/>
          <w:i/>
          <w:iCs/>
        </w:rPr>
      </w:pPr>
      <w:r>
        <w:rPr>
          <w:rFonts w:ascii="Arial" w:hAnsi="Arial" w:cs="Arial"/>
          <w:bCs/>
          <w:i/>
          <w:iCs/>
        </w:rPr>
        <w:t>Bringing the use of the route into question</w:t>
      </w:r>
    </w:p>
    <w:p w14:paraId="7DAA5C58" w14:textId="77777777" w:rsidR="00074F48" w:rsidRDefault="00EA1179" w:rsidP="00AB49DD">
      <w:pPr>
        <w:pStyle w:val="Style1"/>
        <w:numPr>
          <w:ilvl w:val="0"/>
          <w:numId w:val="4"/>
        </w:numPr>
        <w:rPr>
          <w:rFonts w:ascii="Arial" w:hAnsi="Arial" w:cs="Arial"/>
          <w:bCs/>
        </w:rPr>
      </w:pPr>
      <w:r>
        <w:rPr>
          <w:rFonts w:ascii="Arial" w:hAnsi="Arial" w:cs="Arial"/>
          <w:bCs/>
        </w:rPr>
        <w:t xml:space="preserve">It is clear that the use of the route was brought into question in June 2019. This was the </w:t>
      </w:r>
      <w:r w:rsidR="00074F48">
        <w:rPr>
          <w:rFonts w:ascii="Arial" w:hAnsi="Arial" w:cs="Arial"/>
          <w:bCs/>
        </w:rPr>
        <w:t>first or only</w:t>
      </w:r>
      <w:r>
        <w:rPr>
          <w:rFonts w:ascii="Arial" w:hAnsi="Arial" w:cs="Arial"/>
          <w:bCs/>
        </w:rPr>
        <w:t xml:space="preserve"> occasion mentioned by users</w:t>
      </w:r>
      <w:r w:rsidR="00074F48">
        <w:rPr>
          <w:rFonts w:ascii="Arial" w:hAnsi="Arial" w:cs="Arial"/>
          <w:bCs/>
        </w:rPr>
        <w:t xml:space="preserve"> whose evidence was considered by the Council when making the Order.</w:t>
      </w:r>
    </w:p>
    <w:p w14:paraId="639FD02F" w14:textId="6F30074C" w:rsidR="00F64374" w:rsidRPr="00AB49DD" w:rsidRDefault="00970C12" w:rsidP="00AB49DD">
      <w:pPr>
        <w:pStyle w:val="Style1"/>
        <w:numPr>
          <w:ilvl w:val="0"/>
          <w:numId w:val="4"/>
        </w:numPr>
        <w:rPr>
          <w:rFonts w:ascii="Arial" w:hAnsi="Arial" w:cs="Arial"/>
          <w:bCs/>
        </w:rPr>
      </w:pPr>
      <w:r>
        <w:rPr>
          <w:rFonts w:ascii="Arial" w:hAnsi="Arial" w:cs="Arial"/>
          <w:bCs/>
        </w:rPr>
        <w:t>Other</w:t>
      </w:r>
      <w:r w:rsidR="00074F48">
        <w:rPr>
          <w:rFonts w:ascii="Arial" w:hAnsi="Arial" w:cs="Arial"/>
          <w:bCs/>
        </w:rPr>
        <w:t xml:space="preserve"> instances of </w:t>
      </w:r>
      <w:r w:rsidR="00B8719F">
        <w:rPr>
          <w:rFonts w:ascii="Arial" w:hAnsi="Arial" w:cs="Arial"/>
          <w:bCs/>
        </w:rPr>
        <w:t xml:space="preserve">access being blocked since 2010 </w:t>
      </w:r>
      <w:r w:rsidR="000E5CBB">
        <w:rPr>
          <w:rFonts w:ascii="Arial" w:hAnsi="Arial" w:cs="Arial"/>
          <w:bCs/>
        </w:rPr>
        <w:t>are raised by the owners</w:t>
      </w:r>
      <w:r>
        <w:rPr>
          <w:rFonts w:ascii="Arial" w:hAnsi="Arial" w:cs="Arial"/>
          <w:bCs/>
        </w:rPr>
        <w:t>. These</w:t>
      </w:r>
      <w:r w:rsidR="000E5CBB">
        <w:rPr>
          <w:rFonts w:ascii="Arial" w:hAnsi="Arial" w:cs="Arial"/>
          <w:bCs/>
        </w:rPr>
        <w:t xml:space="preserve"> were not expressly noted by any of the users</w:t>
      </w:r>
      <w:r>
        <w:rPr>
          <w:rFonts w:ascii="Arial" w:hAnsi="Arial" w:cs="Arial"/>
          <w:bCs/>
        </w:rPr>
        <w:t xml:space="preserve"> or, where obstructions are referred to, the dates</w:t>
      </w:r>
      <w:r w:rsidR="000D0557">
        <w:rPr>
          <w:rFonts w:ascii="Arial" w:hAnsi="Arial" w:cs="Arial"/>
          <w:bCs/>
        </w:rPr>
        <w:t xml:space="preserve"> of those</w:t>
      </w:r>
      <w:r>
        <w:rPr>
          <w:rFonts w:ascii="Arial" w:hAnsi="Arial" w:cs="Arial"/>
          <w:bCs/>
        </w:rPr>
        <w:t xml:space="preserve"> are unclear</w:t>
      </w:r>
      <w:r w:rsidR="00AB2D3E">
        <w:rPr>
          <w:rFonts w:ascii="Arial" w:hAnsi="Arial" w:cs="Arial"/>
          <w:bCs/>
        </w:rPr>
        <w:t>.</w:t>
      </w:r>
      <w:r w:rsidR="008D34AB">
        <w:rPr>
          <w:rFonts w:ascii="Arial" w:hAnsi="Arial" w:cs="Arial"/>
          <w:bCs/>
        </w:rPr>
        <w:t xml:space="preserve"> The June 2019 interruption was shortly followed by a notice in the parish newsletter </w:t>
      </w:r>
      <w:r w:rsidR="0045037D">
        <w:rPr>
          <w:rFonts w:ascii="Arial" w:hAnsi="Arial" w:cs="Arial"/>
          <w:bCs/>
        </w:rPr>
        <w:t xml:space="preserve">from which it was clear that the use was contentious. </w:t>
      </w:r>
      <w:r w:rsidR="00074F48">
        <w:rPr>
          <w:rFonts w:ascii="Arial" w:hAnsi="Arial" w:cs="Arial"/>
          <w:bCs/>
        </w:rPr>
        <w:t xml:space="preserve"> </w:t>
      </w:r>
    </w:p>
    <w:p w14:paraId="0ECF1439" w14:textId="63C86920" w:rsidR="005E183A" w:rsidRDefault="005E183A" w:rsidP="005E183A">
      <w:pPr>
        <w:pStyle w:val="Style1"/>
        <w:ind w:left="0" w:firstLine="0"/>
        <w:rPr>
          <w:rFonts w:ascii="Arial" w:hAnsi="Arial" w:cs="Arial"/>
          <w:bCs/>
          <w:i/>
          <w:iCs/>
        </w:rPr>
      </w:pPr>
      <w:r>
        <w:rPr>
          <w:rFonts w:ascii="Arial" w:hAnsi="Arial" w:cs="Arial"/>
          <w:bCs/>
          <w:i/>
          <w:iCs/>
        </w:rPr>
        <w:t>Evidence of use of the route</w:t>
      </w:r>
      <w:r w:rsidR="00E477C9">
        <w:rPr>
          <w:rFonts w:ascii="Arial" w:hAnsi="Arial" w:cs="Arial"/>
          <w:bCs/>
          <w:i/>
          <w:iCs/>
        </w:rPr>
        <w:t xml:space="preserve"> as of right</w:t>
      </w:r>
    </w:p>
    <w:p w14:paraId="51CC089E" w14:textId="21069FAC" w:rsidR="00AB2D3E" w:rsidRPr="00AB2D3E" w:rsidRDefault="00447B02" w:rsidP="007F447D">
      <w:pPr>
        <w:pStyle w:val="Style1"/>
        <w:numPr>
          <w:ilvl w:val="0"/>
          <w:numId w:val="4"/>
        </w:numPr>
        <w:ind w:right="-194"/>
        <w:rPr>
          <w:rFonts w:ascii="Arial" w:hAnsi="Arial" w:cs="Arial"/>
          <w:bCs/>
        </w:rPr>
      </w:pPr>
      <w:r>
        <w:rPr>
          <w:rFonts w:ascii="Arial" w:hAnsi="Arial" w:cs="Arial"/>
          <w:bCs/>
        </w:rPr>
        <w:t xml:space="preserve">When all the user evidence forms are taken into account, I consider there is </w:t>
      </w:r>
      <w:r w:rsidR="00A14F51">
        <w:rPr>
          <w:rFonts w:ascii="Arial" w:hAnsi="Arial" w:cs="Arial"/>
          <w:bCs/>
        </w:rPr>
        <w:t>evidence of the use having been as of right, which is to say without force, secrecy or permission, before 2019</w:t>
      </w:r>
      <w:r w:rsidR="007017DA">
        <w:rPr>
          <w:rFonts w:ascii="Arial" w:hAnsi="Arial" w:cs="Arial"/>
          <w:bCs/>
        </w:rPr>
        <w:t>. Users do not recall any notices or challenges to their user</w:t>
      </w:r>
      <w:r w:rsidR="006C20A0">
        <w:rPr>
          <w:rFonts w:ascii="Arial" w:hAnsi="Arial" w:cs="Arial"/>
          <w:bCs/>
        </w:rPr>
        <w:t>.</w:t>
      </w:r>
      <w:r w:rsidR="00A14F51">
        <w:rPr>
          <w:rFonts w:ascii="Arial" w:hAnsi="Arial" w:cs="Arial"/>
          <w:bCs/>
        </w:rPr>
        <w:t xml:space="preserve"> </w:t>
      </w:r>
      <w:r w:rsidR="00753ED9">
        <w:rPr>
          <w:rFonts w:ascii="Arial" w:hAnsi="Arial" w:cs="Arial"/>
          <w:bCs/>
        </w:rPr>
        <w:t xml:space="preserve">Although some users make reference to </w:t>
      </w:r>
      <w:r w:rsidR="00AB0504">
        <w:rPr>
          <w:rFonts w:ascii="Arial" w:hAnsi="Arial" w:cs="Arial"/>
          <w:bCs/>
        </w:rPr>
        <w:t>having one of the garages at the rear, which would make their use referable to an existing right or permission, the vast majority of users appear to have been members of the public with no</w:t>
      </w:r>
      <w:r w:rsidR="00970C12">
        <w:rPr>
          <w:rFonts w:ascii="Arial" w:hAnsi="Arial" w:cs="Arial"/>
          <w:bCs/>
        </w:rPr>
        <w:t xml:space="preserve"> particular right or permission to use the route in order to access a garage or other property.</w:t>
      </w:r>
    </w:p>
    <w:p w14:paraId="35CCBB7C" w14:textId="3FD504EF" w:rsidR="00864F4F" w:rsidRDefault="007F447D" w:rsidP="00864F4F">
      <w:pPr>
        <w:pStyle w:val="Style1"/>
        <w:ind w:left="0" w:firstLine="0"/>
        <w:rPr>
          <w:rFonts w:ascii="Arial" w:hAnsi="Arial" w:cs="Arial"/>
          <w:bCs/>
          <w:i/>
          <w:iCs/>
        </w:rPr>
      </w:pPr>
      <w:r>
        <w:rPr>
          <w:rFonts w:ascii="Arial" w:hAnsi="Arial" w:cs="Arial"/>
          <w:bCs/>
          <w:i/>
          <w:iCs/>
        </w:rPr>
        <w:t>E</w:t>
      </w:r>
      <w:r w:rsidR="00423C8F">
        <w:rPr>
          <w:rFonts w:ascii="Arial" w:hAnsi="Arial" w:cs="Arial"/>
          <w:bCs/>
          <w:i/>
          <w:iCs/>
        </w:rPr>
        <w:t>vidence of the landowner’s lack of intention to dedicate the route</w:t>
      </w:r>
    </w:p>
    <w:p w14:paraId="09BA39A3" w14:textId="0D07C707" w:rsidR="00EB783A" w:rsidRDefault="006C20A0" w:rsidP="006C20A0">
      <w:pPr>
        <w:pStyle w:val="Style1"/>
        <w:numPr>
          <w:ilvl w:val="0"/>
          <w:numId w:val="4"/>
        </w:numPr>
        <w:rPr>
          <w:rFonts w:ascii="Arial" w:hAnsi="Arial" w:cs="Arial"/>
          <w:bCs/>
        </w:rPr>
      </w:pPr>
      <w:r>
        <w:rPr>
          <w:rFonts w:ascii="Arial" w:hAnsi="Arial" w:cs="Arial"/>
          <w:bCs/>
        </w:rPr>
        <w:t>The owners make the point that the use will have been interrupted at some point after October 1999 in order to build the house for which permission was then granted. No interruption was recalled by any users, but</w:t>
      </w:r>
      <w:r w:rsidR="00805CED">
        <w:rPr>
          <w:rFonts w:ascii="Arial" w:hAnsi="Arial" w:cs="Arial"/>
          <w:bCs/>
        </w:rPr>
        <w:t xml:space="preserve"> I would expect the access to have been </w:t>
      </w:r>
      <w:r w:rsidR="00805CED">
        <w:rPr>
          <w:rFonts w:ascii="Arial" w:hAnsi="Arial" w:cs="Arial"/>
          <w:bCs/>
        </w:rPr>
        <w:lastRenderedPageBreak/>
        <w:t>required for construction during this time, given the constraints of the plot</w:t>
      </w:r>
      <w:r w:rsidR="006C6188">
        <w:rPr>
          <w:rFonts w:ascii="Arial" w:hAnsi="Arial" w:cs="Arial"/>
          <w:bCs/>
        </w:rPr>
        <w:t xml:space="preserve">. </w:t>
      </w:r>
      <w:r w:rsidR="00506CD4">
        <w:rPr>
          <w:rFonts w:ascii="Arial" w:hAnsi="Arial" w:cs="Arial"/>
          <w:bCs/>
        </w:rPr>
        <w:t>T</w:t>
      </w:r>
      <w:r w:rsidR="006C6188">
        <w:rPr>
          <w:rFonts w:ascii="Arial" w:hAnsi="Arial" w:cs="Arial"/>
          <w:bCs/>
        </w:rPr>
        <w:t xml:space="preserve">he intention of any such interruption </w:t>
      </w:r>
      <w:r w:rsidR="00870D4F">
        <w:rPr>
          <w:rFonts w:ascii="Arial" w:hAnsi="Arial" w:cs="Arial"/>
          <w:bCs/>
        </w:rPr>
        <w:t xml:space="preserve">is unlikely to have been for the purpose of preventing the use of a right of way, rather than to secure public safety, </w:t>
      </w:r>
      <w:r w:rsidR="00732F92">
        <w:rPr>
          <w:rFonts w:ascii="Arial" w:hAnsi="Arial" w:cs="Arial"/>
          <w:bCs/>
        </w:rPr>
        <w:t xml:space="preserve">and there is no information </w:t>
      </w:r>
      <w:r w:rsidR="004327CF">
        <w:rPr>
          <w:rFonts w:ascii="Arial" w:hAnsi="Arial" w:cs="Arial"/>
          <w:bCs/>
        </w:rPr>
        <w:t>b</w:t>
      </w:r>
      <w:r w:rsidR="00732F92">
        <w:rPr>
          <w:rFonts w:ascii="Arial" w:hAnsi="Arial" w:cs="Arial"/>
          <w:bCs/>
        </w:rPr>
        <w:t xml:space="preserve">efore me to indicate the </w:t>
      </w:r>
      <w:r w:rsidR="004327CF">
        <w:rPr>
          <w:rFonts w:ascii="Arial" w:hAnsi="Arial" w:cs="Arial"/>
          <w:bCs/>
        </w:rPr>
        <w:t xml:space="preserve">length of the </w:t>
      </w:r>
      <w:r w:rsidR="00732F92">
        <w:rPr>
          <w:rFonts w:ascii="Arial" w:hAnsi="Arial" w:cs="Arial"/>
          <w:bCs/>
        </w:rPr>
        <w:t>period of construction</w:t>
      </w:r>
      <w:r w:rsidR="00870D4F">
        <w:rPr>
          <w:rFonts w:ascii="Arial" w:hAnsi="Arial" w:cs="Arial"/>
          <w:bCs/>
        </w:rPr>
        <w:t>.</w:t>
      </w:r>
      <w:r w:rsidR="00EB783A">
        <w:rPr>
          <w:rFonts w:ascii="Arial" w:hAnsi="Arial" w:cs="Arial"/>
          <w:bCs/>
        </w:rPr>
        <w:t xml:space="preserve"> </w:t>
      </w:r>
    </w:p>
    <w:p w14:paraId="036B6B54" w14:textId="77777777" w:rsidR="004A3458" w:rsidRDefault="00EB783A" w:rsidP="006C20A0">
      <w:pPr>
        <w:pStyle w:val="Style1"/>
        <w:numPr>
          <w:ilvl w:val="0"/>
          <w:numId w:val="4"/>
        </w:numPr>
        <w:rPr>
          <w:rFonts w:ascii="Arial" w:hAnsi="Arial" w:cs="Arial"/>
          <w:bCs/>
        </w:rPr>
      </w:pPr>
      <w:r w:rsidRPr="004A3458">
        <w:rPr>
          <w:rFonts w:ascii="Arial" w:hAnsi="Arial" w:cs="Arial"/>
          <w:bCs/>
        </w:rPr>
        <w:t>An interruption, as opposed to an intermission, requires</w:t>
      </w:r>
      <w:r w:rsidR="00B97F37" w:rsidRPr="004A3458">
        <w:rPr>
          <w:rFonts w:ascii="Arial" w:hAnsi="Arial" w:cs="Arial"/>
          <w:bCs/>
        </w:rPr>
        <w:t xml:space="preserve"> an overt act indicating that the right is disputed, and some physical and actual interruption which prevents enjoyment of the way</w:t>
      </w:r>
      <w:r w:rsidR="008F6149" w:rsidRPr="004A3458">
        <w:rPr>
          <w:rFonts w:ascii="Arial" w:hAnsi="Arial" w:cs="Arial"/>
          <w:bCs/>
        </w:rPr>
        <w:t xml:space="preserve">. It is not clear </w:t>
      </w:r>
      <w:r w:rsidR="0080445F" w:rsidRPr="004A3458">
        <w:rPr>
          <w:rFonts w:ascii="Arial" w:hAnsi="Arial" w:cs="Arial"/>
          <w:bCs/>
        </w:rPr>
        <w:t xml:space="preserve">what alternative arrangements were made for the garage owners to obtain access, assuming their rights existed by then. </w:t>
      </w:r>
      <w:r w:rsidR="00870D4F" w:rsidRPr="004A3458">
        <w:rPr>
          <w:rFonts w:ascii="Arial" w:hAnsi="Arial" w:cs="Arial"/>
          <w:bCs/>
        </w:rPr>
        <w:t xml:space="preserve"> </w:t>
      </w:r>
    </w:p>
    <w:p w14:paraId="4415C08B" w14:textId="73B12227" w:rsidR="00E55579" w:rsidRPr="004A3458" w:rsidRDefault="00E55579" w:rsidP="006C20A0">
      <w:pPr>
        <w:pStyle w:val="Style1"/>
        <w:numPr>
          <w:ilvl w:val="0"/>
          <w:numId w:val="4"/>
        </w:numPr>
        <w:rPr>
          <w:rFonts w:ascii="Arial" w:hAnsi="Arial" w:cs="Arial"/>
          <w:bCs/>
        </w:rPr>
      </w:pPr>
      <w:r w:rsidRPr="004A3458">
        <w:rPr>
          <w:rFonts w:ascii="Arial" w:hAnsi="Arial" w:cs="Arial"/>
          <w:bCs/>
        </w:rPr>
        <w:t xml:space="preserve">The owners also refer to having </w:t>
      </w:r>
      <w:r w:rsidR="00F506A4" w:rsidRPr="004A3458">
        <w:rPr>
          <w:rFonts w:ascii="Arial" w:hAnsi="Arial" w:cs="Arial"/>
          <w:bCs/>
        </w:rPr>
        <w:t xml:space="preserve">prevented access on Sunday 6 February 2011 and Friday 6 February 2015. </w:t>
      </w:r>
      <w:r w:rsidR="0036526B" w:rsidRPr="004A3458">
        <w:rPr>
          <w:rFonts w:ascii="Arial" w:hAnsi="Arial" w:cs="Arial"/>
          <w:bCs/>
        </w:rPr>
        <w:t>These were</w:t>
      </w:r>
      <w:r w:rsidR="00407378" w:rsidRPr="004A3458">
        <w:rPr>
          <w:rFonts w:ascii="Arial" w:hAnsi="Arial" w:cs="Arial"/>
          <w:bCs/>
        </w:rPr>
        <w:t xml:space="preserve"> </w:t>
      </w:r>
      <w:r w:rsidR="00947FC8" w:rsidRPr="004A3458">
        <w:rPr>
          <w:rFonts w:ascii="Arial" w:hAnsi="Arial" w:cs="Arial"/>
          <w:bCs/>
        </w:rPr>
        <w:t>not interruption</w:t>
      </w:r>
      <w:r w:rsidR="0036526B" w:rsidRPr="004A3458">
        <w:rPr>
          <w:rFonts w:ascii="Arial" w:hAnsi="Arial" w:cs="Arial"/>
          <w:bCs/>
        </w:rPr>
        <w:t>s expressly</w:t>
      </w:r>
      <w:r w:rsidR="00947FC8" w:rsidRPr="004A3458">
        <w:rPr>
          <w:rFonts w:ascii="Arial" w:hAnsi="Arial" w:cs="Arial"/>
          <w:bCs/>
        </w:rPr>
        <w:t xml:space="preserve"> identified by any user but </w:t>
      </w:r>
      <w:r w:rsidR="002737BD" w:rsidRPr="004A3458">
        <w:rPr>
          <w:rFonts w:ascii="Arial" w:hAnsi="Arial" w:cs="Arial"/>
          <w:bCs/>
        </w:rPr>
        <w:t xml:space="preserve">are </w:t>
      </w:r>
      <w:r w:rsidR="004F522B">
        <w:rPr>
          <w:rFonts w:ascii="Arial" w:hAnsi="Arial" w:cs="Arial"/>
          <w:bCs/>
        </w:rPr>
        <w:t>potential</w:t>
      </w:r>
      <w:r w:rsidR="00407378" w:rsidRPr="004A3458">
        <w:rPr>
          <w:rFonts w:ascii="Arial" w:hAnsi="Arial" w:cs="Arial"/>
          <w:bCs/>
        </w:rPr>
        <w:t xml:space="preserve"> evidence of the</w:t>
      </w:r>
      <w:r w:rsidR="002737BD" w:rsidRPr="004A3458">
        <w:rPr>
          <w:rFonts w:ascii="Arial" w:hAnsi="Arial" w:cs="Arial"/>
          <w:bCs/>
        </w:rPr>
        <w:t xml:space="preserve"> landowners’</w:t>
      </w:r>
      <w:r w:rsidR="00407378" w:rsidRPr="004A3458">
        <w:rPr>
          <w:rFonts w:ascii="Arial" w:hAnsi="Arial" w:cs="Arial"/>
          <w:bCs/>
        </w:rPr>
        <w:t xml:space="preserve"> lack of intention to dedicate the route</w:t>
      </w:r>
      <w:r w:rsidR="004F522B">
        <w:rPr>
          <w:rFonts w:ascii="Arial" w:hAnsi="Arial" w:cs="Arial"/>
          <w:bCs/>
        </w:rPr>
        <w:t>. However,</w:t>
      </w:r>
      <w:r w:rsidR="00947FC8" w:rsidRPr="004A3458">
        <w:rPr>
          <w:rFonts w:ascii="Arial" w:hAnsi="Arial" w:cs="Arial"/>
          <w:bCs/>
        </w:rPr>
        <w:t xml:space="preserve"> the circumstances of</w:t>
      </w:r>
      <w:r w:rsidR="00A91F11" w:rsidRPr="004A3458">
        <w:rPr>
          <w:rFonts w:ascii="Arial" w:hAnsi="Arial" w:cs="Arial"/>
          <w:bCs/>
        </w:rPr>
        <w:t xml:space="preserve"> the prevention of access are not explained in any detail</w:t>
      </w:r>
      <w:r w:rsidR="004F522B">
        <w:rPr>
          <w:rFonts w:ascii="Arial" w:hAnsi="Arial" w:cs="Arial"/>
          <w:bCs/>
        </w:rPr>
        <w:t xml:space="preserve"> and in particular</w:t>
      </w:r>
      <w:r w:rsidR="00154B95">
        <w:rPr>
          <w:rFonts w:ascii="Arial" w:hAnsi="Arial" w:cs="Arial"/>
          <w:bCs/>
        </w:rPr>
        <w:t xml:space="preserve"> whether any obstructions indicated that the </w:t>
      </w:r>
      <w:r w:rsidR="001C1957">
        <w:rPr>
          <w:rFonts w:ascii="Arial" w:hAnsi="Arial" w:cs="Arial"/>
          <w:bCs/>
        </w:rPr>
        <w:t xml:space="preserve">public’s </w:t>
      </w:r>
      <w:r w:rsidR="00154B95">
        <w:rPr>
          <w:rFonts w:ascii="Arial" w:hAnsi="Arial" w:cs="Arial"/>
          <w:bCs/>
        </w:rPr>
        <w:t>right to use the route was disputed</w:t>
      </w:r>
      <w:r w:rsidR="00FC33B0" w:rsidRPr="004A3458">
        <w:rPr>
          <w:rFonts w:ascii="Arial" w:hAnsi="Arial" w:cs="Arial"/>
          <w:bCs/>
        </w:rPr>
        <w:t xml:space="preserve">. </w:t>
      </w:r>
    </w:p>
    <w:p w14:paraId="32E5EF2B" w14:textId="09FFC3EF" w:rsidR="000A6A39" w:rsidRPr="006C20A0" w:rsidRDefault="000A6A39" w:rsidP="006C20A0">
      <w:pPr>
        <w:pStyle w:val="Style1"/>
        <w:numPr>
          <w:ilvl w:val="0"/>
          <w:numId w:val="4"/>
        </w:numPr>
        <w:rPr>
          <w:rFonts w:ascii="Arial" w:hAnsi="Arial" w:cs="Arial"/>
          <w:bCs/>
        </w:rPr>
      </w:pPr>
      <w:r>
        <w:rPr>
          <w:rFonts w:ascii="Arial" w:hAnsi="Arial" w:cs="Arial"/>
          <w:bCs/>
        </w:rPr>
        <w:t xml:space="preserve">Users refer to some interruptions. The 2019 interruption, which I have found </w:t>
      </w:r>
      <w:r w:rsidR="00753ED9">
        <w:rPr>
          <w:rFonts w:ascii="Arial" w:hAnsi="Arial" w:cs="Arial"/>
          <w:bCs/>
        </w:rPr>
        <w:t>brought the use of the route into question, was referred to by those supplying user evidence forms with the original application. Reference is made by other users to the blocking of the way with bins, and the possible existence of a gate</w:t>
      </w:r>
      <w:r w:rsidR="008C76D8">
        <w:rPr>
          <w:rFonts w:ascii="Arial" w:hAnsi="Arial" w:cs="Arial"/>
          <w:bCs/>
        </w:rPr>
        <w:t xml:space="preserve"> at some point</w:t>
      </w:r>
      <w:r w:rsidR="00753ED9">
        <w:rPr>
          <w:rFonts w:ascii="Arial" w:hAnsi="Arial" w:cs="Arial"/>
          <w:bCs/>
        </w:rPr>
        <w:t>. It is not clear when these took place</w:t>
      </w:r>
      <w:r w:rsidR="00885C48">
        <w:rPr>
          <w:rFonts w:ascii="Arial" w:hAnsi="Arial" w:cs="Arial"/>
          <w:bCs/>
        </w:rPr>
        <w:t xml:space="preserve">, </w:t>
      </w:r>
      <w:r w:rsidR="00923CCD">
        <w:rPr>
          <w:rFonts w:ascii="Arial" w:hAnsi="Arial" w:cs="Arial"/>
          <w:bCs/>
        </w:rPr>
        <w:t xml:space="preserve">or whether any gate was kept locked, </w:t>
      </w:r>
      <w:r w:rsidR="00885C48">
        <w:rPr>
          <w:rFonts w:ascii="Arial" w:hAnsi="Arial" w:cs="Arial"/>
          <w:bCs/>
        </w:rPr>
        <w:t xml:space="preserve">and whether they amounted to </w:t>
      </w:r>
      <w:r w:rsidR="00AF2448">
        <w:rPr>
          <w:rFonts w:ascii="Arial" w:hAnsi="Arial" w:cs="Arial"/>
          <w:bCs/>
        </w:rPr>
        <w:t>any sufficient indication that the right to use the route was disputed</w:t>
      </w:r>
      <w:r w:rsidR="00753ED9">
        <w:rPr>
          <w:rFonts w:ascii="Arial" w:hAnsi="Arial" w:cs="Arial"/>
          <w:bCs/>
        </w:rPr>
        <w:t>.</w:t>
      </w:r>
    </w:p>
    <w:p w14:paraId="47F85E5D" w14:textId="0DE704F1" w:rsidR="00CE4E55" w:rsidRPr="00885C48" w:rsidRDefault="00CE4E55" w:rsidP="00FA7517">
      <w:pPr>
        <w:pStyle w:val="Style1"/>
        <w:ind w:left="0" w:firstLine="0"/>
        <w:rPr>
          <w:rFonts w:ascii="Arial" w:hAnsi="Arial" w:cs="Arial"/>
          <w:bCs/>
          <w:i/>
          <w:iCs/>
        </w:rPr>
      </w:pPr>
      <w:r w:rsidRPr="00885C48">
        <w:rPr>
          <w:rFonts w:ascii="Arial" w:hAnsi="Arial" w:cs="Arial"/>
          <w:bCs/>
          <w:i/>
          <w:iCs/>
        </w:rPr>
        <w:t>Conclusion</w:t>
      </w:r>
      <w:r w:rsidR="00882D07" w:rsidRPr="00885C48">
        <w:rPr>
          <w:rFonts w:ascii="Arial" w:hAnsi="Arial" w:cs="Arial"/>
          <w:bCs/>
          <w:i/>
          <w:iCs/>
        </w:rPr>
        <w:t xml:space="preserve"> on use in the 20 years to 2019</w:t>
      </w:r>
    </w:p>
    <w:p w14:paraId="16EA6880" w14:textId="0168CC6F" w:rsidR="00CF0D63" w:rsidRDefault="00882D07" w:rsidP="00CE4E55">
      <w:pPr>
        <w:pStyle w:val="Style1"/>
        <w:numPr>
          <w:ilvl w:val="0"/>
          <w:numId w:val="4"/>
        </w:numPr>
        <w:tabs>
          <w:tab w:val="clear" w:pos="720"/>
        </w:tabs>
        <w:rPr>
          <w:rFonts w:ascii="Arial" w:hAnsi="Arial" w:cs="Arial"/>
        </w:rPr>
      </w:pPr>
      <w:r>
        <w:rPr>
          <w:rFonts w:ascii="Arial" w:hAnsi="Arial" w:cs="Arial"/>
        </w:rPr>
        <w:t>Therefore it appears to me</w:t>
      </w:r>
      <w:r w:rsidR="00D06ED9">
        <w:rPr>
          <w:rFonts w:ascii="Arial" w:hAnsi="Arial" w:cs="Arial"/>
        </w:rPr>
        <w:t xml:space="preserve"> that there is little evidence </w:t>
      </w:r>
      <w:r>
        <w:rPr>
          <w:rFonts w:ascii="Arial" w:hAnsi="Arial" w:cs="Arial"/>
        </w:rPr>
        <w:t xml:space="preserve">of any interruption or </w:t>
      </w:r>
      <w:r w:rsidR="00923CCD">
        <w:rPr>
          <w:rFonts w:ascii="Arial" w:hAnsi="Arial" w:cs="Arial"/>
        </w:rPr>
        <w:t>a lack of</w:t>
      </w:r>
      <w:r>
        <w:rPr>
          <w:rFonts w:ascii="Arial" w:hAnsi="Arial" w:cs="Arial"/>
        </w:rPr>
        <w:t xml:space="preserve"> intention by the landowner to have dedicated the right of way</w:t>
      </w:r>
      <w:r w:rsidR="00D06ED9">
        <w:rPr>
          <w:rFonts w:ascii="Arial" w:hAnsi="Arial" w:cs="Arial"/>
        </w:rPr>
        <w:t xml:space="preserve"> before June 2019. What evidence </w:t>
      </w:r>
      <w:r w:rsidR="00CC1643">
        <w:rPr>
          <w:rFonts w:ascii="Arial" w:hAnsi="Arial" w:cs="Arial"/>
        </w:rPr>
        <w:t>does exist</w:t>
      </w:r>
      <w:r w:rsidR="00D06ED9">
        <w:rPr>
          <w:rFonts w:ascii="Arial" w:hAnsi="Arial" w:cs="Arial"/>
        </w:rPr>
        <w:t xml:space="preserve"> is insufficient to s</w:t>
      </w:r>
      <w:r w:rsidR="0032622D">
        <w:rPr>
          <w:rFonts w:ascii="Arial" w:hAnsi="Arial" w:cs="Arial"/>
        </w:rPr>
        <w:t>how</w:t>
      </w:r>
      <w:r w:rsidR="00D06ED9">
        <w:rPr>
          <w:rFonts w:ascii="Arial" w:hAnsi="Arial" w:cs="Arial"/>
        </w:rPr>
        <w:t>, on the balance of probabilities,</w:t>
      </w:r>
      <w:r w:rsidR="008552FF">
        <w:rPr>
          <w:rFonts w:ascii="Arial" w:hAnsi="Arial" w:cs="Arial"/>
        </w:rPr>
        <w:t xml:space="preserve"> that the footpath cannot be deemed to have been dedicated as a result of that 20 years’ user. </w:t>
      </w:r>
      <w:r w:rsidR="00FA1D23">
        <w:rPr>
          <w:rFonts w:ascii="Arial" w:hAnsi="Arial" w:cs="Arial"/>
        </w:rPr>
        <w:t>There is sufficient evidence of the use of the route in the 20 years to June 2019</w:t>
      </w:r>
      <w:r w:rsidR="00BA20A0">
        <w:rPr>
          <w:rFonts w:ascii="Arial" w:hAnsi="Arial" w:cs="Arial"/>
        </w:rPr>
        <w:t xml:space="preserve"> having taken place as of right and without permission, interruption, secrecy, force or challenge</w:t>
      </w:r>
      <w:r w:rsidR="001F37F2">
        <w:rPr>
          <w:rFonts w:ascii="Arial" w:hAnsi="Arial" w:cs="Arial"/>
        </w:rPr>
        <w:t xml:space="preserve">. </w:t>
      </w:r>
      <w:r w:rsidR="00FE7D1D">
        <w:rPr>
          <w:rFonts w:ascii="Arial" w:hAnsi="Arial" w:cs="Arial"/>
        </w:rPr>
        <w:t xml:space="preserve">Therefore I am satisfied that the evidence shows on the balance of probabilities that </w:t>
      </w:r>
      <w:r w:rsidR="00CF0D63">
        <w:rPr>
          <w:rFonts w:ascii="Arial" w:hAnsi="Arial" w:cs="Arial"/>
        </w:rPr>
        <w:t>public footpath rights exist over the Order route.</w:t>
      </w:r>
    </w:p>
    <w:p w14:paraId="3261C9F8" w14:textId="0B03413D" w:rsidR="00882D07" w:rsidRDefault="00AF2448" w:rsidP="00CE4E55">
      <w:pPr>
        <w:pStyle w:val="Style1"/>
        <w:numPr>
          <w:ilvl w:val="0"/>
          <w:numId w:val="4"/>
        </w:numPr>
        <w:tabs>
          <w:tab w:val="clear" w:pos="720"/>
        </w:tabs>
        <w:rPr>
          <w:rFonts w:ascii="Arial" w:hAnsi="Arial" w:cs="Arial"/>
        </w:rPr>
      </w:pPr>
      <w:r>
        <w:rPr>
          <w:rFonts w:ascii="Arial" w:hAnsi="Arial" w:cs="Arial"/>
        </w:rPr>
        <w:t xml:space="preserve">Given my findings in relation to the documentary evidence, from which I conclude that </w:t>
      </w:r>
      <w:r w:rsidR="0072485B">
        <w:rPr>
          <w:rFonts w:ascii="Arial" w:hAnsi="Arial" w:cs="Arial"/>
        </w:rPr>
        <w:t xml:space="preserve">a dedication and acceptance of the use of the route had clearly taken place by 1995, any more recent obstructions or interruptions would not displace rights that had already arisen. </w:t>
      </w:r>
    </w:p>
    <w:p w14:paraId="441BA24D" w14:textId="3A48B099" w:rsidR="00BE72FA" w:rsidRPr="00BE72FA" w:rsidRDefault="00BE72FA" w:rsidP="00BE72FA">
      <w:pPr>
        <w:pStyle w:val="Style1"/>
        <w:ind w:left="0" w:firstLine="0"/>
        <w:rPr>
          <w:rFonts w:ascii="Arial" w:hAnsi="Arial" w:cs="Arial"/>
          <w:b/>
          <w:bCs/>
        </w:rPr>
      </w:pPr>
      <w:r>
        <w:rPr>
          <w:rFonts w:ascii="Arial" w:hAnsi="Arial" w:cs="Arial"/>
          <w:b/>
          <w:bCs/>
        </w:rPr>
        <w:t>Other matters</w:t>
      </w:r>
    </w:p>
    <w:p w14:paraId="53FBF029" w14:textId="6EC1AA85" w:rsidR="00180E80" w:rsidRDefault="00826812" w:rsidP="00CE4E55">
      <w:pPr>
        <w:pStyle w:val="Style1"/>
        <w:numPr>
          <w:ilvl w:val="0"/>
          <w:numId w:val="4"/>
        </w:numPr>
        <w:tabs>
          <w:tab w:val="clear" w:pos="720"/>
        </w:tabs>
        <w:rPr>
          <w:rFonts w:ascii="Arial" w:hAnsi="Arial" w:cs="Arial"/>
        </w:rPr>
      </w:pPr>
      <w:r>
        <w:rPr>
          <w:rFonts w:ascii="Arial" w:hAnsi="Arial" w:cs="Arial"/>
        </w:rPr>
        <w:t xml:space="preserve">Points are raised about the closing off and gating of </w:t>
      </w:r>
      <w:r w:rsidR="00C24F8C">
        <w:rPr>
          <w:rFonts w:ascii="Arial" w:hAnsi="Arial" w:cs="Arial"/>
        </w:rPr>
        <w:t xml:space="preserve">some </w:t>
      </w:r>
      <w:r w:rsidR="004026D3">
        <w:rPr>
          <w:rFonts w:ascii="Arial" w:hAnsi="Arial" w:cs="Arial"/>
        </w:rPr>
        <w:t xml:space="preserve">land to the south which may have formed part of a longer route to Main Street. </w:t>
      </w:r>
      <w:r w:rsidR="00180E80">
        <w:rPr>
          <w:rFonts w:ascii="Arial" w:hAnsi="Arial" w:cs="Arial"/>
        </w:rPr>
        <w:t>That would be a separate issue for the Council to consider.</w:t>
      </w:r>
    </w:p>
    <w:p w14:paraId="3A3679D6" w14:textId="08645FFE" w:rsidR="000C57FD" w:rsidRDefault="00180E80" w:rsidP="00CE4E55">
      <w:pPr>
        <w:pStyle w:val="Style1"/>
        <w:numPr>
          <w:ilvl w:val="0"/>
          <w:numId w:val="4"/>
        </w:numPr>
        <w:tabs>
          <w:tab w:val="clear" w:pos="720"/>
        </w:tabs>
        <w:rPr>
          <w:rFonts w:ascii="Arial" w:hAnsi="Arial" w:cs="Arial"/>
        </w:rPr>
      </w:pPr>
      <w:r>
        <w:rPr>
          <w:rFonts w:ascii="Arial" w:hAnsi="Arial" w:cs="Arial"/>
        </w:rPr>
        <w:t xml:space="preserve">Concerns are also raised about the safety of the route, which </w:t>
      </w:r>
      <w:r w:rsidR="001A3FB0">
        <w:rPr>
          <w:rFonts w:ascii="Arial" w:hAnsi="Arial" w:cs="Arial"/>
        </w:rPr>
        <w:t xml:space="preserve">carries vehicular use and </w:t>
      </w:r>
      <w:r>
        <w:rPr>
          <w:rFonts w:ascii="Arial" w:hAnsi="Arial" w:cs="Arial"/>
        </w:rPr>
        <w:t>opens directly onto the carriageway</w:t>
      </w:r>
      <w:r w:rsidR="00047E73">
        <w:rPr>
          <w:rFonts w:ascii="Arial" w:hAnsi="Arial" w:cs="Arial"/>
        </w:rPr>
        <w:t xml:space="preserve"> of Wennington Road</w:t>
      </w:r>
      <w:r w:rsidR="007E3427">
        <w:rPr>
          <w:rFonts w:ascii="Arial" w:hAnsi="Arial" w:cs="Arial"/>
        </w:rPr>
        <w:t xml:space="preserve">, and about the effects of </w:t>
      </w:r>
      <w:r w:rsidR="001A3FB0">
        <w:rPr>
          <w:rFonts w:ascii="Arial" w:hAnsi="Arial" w:cs="Arial"/>
        </w:rPr>
        <w:t xml:space="preserve">any public rights on the </w:t>
      </w:r>
      <w:r w:rsidR="0068488A">
        <w:rPr>
          <w:rFonts w:ascii="Arial" w:hAnsi="Arial" w:cs="Arial"/>
        </w:rPr>
        <w:t>use and enjoyment of the affected property</w:t>
      </w:r>
      <w:r w:rsidR="00047E73">
        <w:rPr>
          <w:rFonts w:ascii="Arial" w:hAnsi="Arial" w:cs="Arial"/>
        </w:rPr>
        <w:t xml:space="preserve">. The law in this area requires me to assess only whether the asserted public rights already exist, rather than to consider </w:t>
      </w:r>
      <w:r w:rsidR="007E3427">
        <w:rPr>
          <w:rFonts w:ascii="Arial" w:hAnsi="Arial" w:cs="Arial"/>
        </w:rPr>
        <w:t>their merits.</w:t>
      </w:r>
      <w:r w:rsidR="0084143E">
        <w:rPr>
          <w:rFonts w:ascii="Arial" w:hAnsi="Arial" w:cs="Arial"/>
        </w:rPr>
        <w:t xml:space="preserve"> </w:t>
      </w:r>
      <w:r w:rsidR="00DB3926">
        <w:rPr>
          <w:rFonts w:ascii="Arial" w:hAnsi="Arial" w:cs="Arial"/>
        </w:rPr>
        <w:t xml:space="preserve"> </w:t>
      </w:r>
    </w:p>
    <w:p w14:paraId="18B167FD" w14:textId="4264B4E5" w:rsidR="001E18E2" w:rsidRPr="0068488A" w:rsidRDefault="0068488A" w:rsidP="000C57FD">
      <w:pPr>
        <w:pStyle w:val="Style1"/>
        <w:ind w:left="0" w:firstLine="0"/>
        <w:rPr>
          <w:rFonts w:ascii="Arial" w:hAnsi="Arial" w:cs="Arial"/>
          <w:b/>
          <w:bCs/>
        </w:rPr>
      </w:pPr>
      <w:r>
        <w:rPr>
          <w:rFonts w:ascii="Arial" w:hAnsi="Arial" w:cs="Arial"/>
          <w:b/>
          <w:bCs/>
        </w:rPr>
        <w:t>Overall Conclusion</w:t>
      </w:r>
    </w:p>
    <w:p w14:paraId="1E48F206" w14:textId="41C59779" w:rsidR="00CE4E55" w:rsidRDefault="0075216B" w:rsidP="00D928AC">
      <w:pPr>
        <w:pStyle w:val="Style1"/>
        <w:numPr>
          <w:ilvl w:val="0"/>
          <w:numId w:val="4"/>
        </w:numPr>
        <w:tabs>
          <w:tab w:val="clear" w:pos="720"/>
        </w:tabs>
        <w:ind w:right="-52"/>
        <w:rPr>
          <w:rFonts w:ascii="Arial" w:hAnsi="Arial" w:cs="Arial"/>
        </w:rPr>
      </w:pPr>
      <w:r>
        <w:rPr>
          <w:rFonts w:ascii="Arial" w:hAnsi="Arial" w:cs="Arial"/>
        </w:rPr>
        <w:t xml:space="preserve">For the reasons given above and having regard to all the matters raised in the written representations before me, </w:t>
      </w:r>
      <w:r w:rsidR="00CE4E55">
        <w:rPr>
          <w:rFonts w:ascii="Arial" w:hAnsi="Arial" w:cs="Arial"/>
        </w:rPr>
        <w:t xml:space="preserve">I conclude that the requirements for </w:t>
      </w:r>
      <w:r w:rsidR="000C57FD">
        <w:rPr>
          <w:rFonts w:ascii="Arial" w:hAnsi="Arial" w:cs="Arial"/>
        </w:rPr>
        <w:t>confirming</w:t>
      </w:r>
      <w:r w:rsidR="00CE4E55">
        <w:rPr>
          <w:rFonts w:ascii="Arial" w:hAnsi="Arial" w:cs="Arial"/>
        </w:rPr>
        <w:t xml:space="preserve"> the Order sought are satisfied. </w:t>
      </w:r>
    </w:p>
    <w:p w14:paraId="55B5A1F4" w14:textId="03B5F003" w:rsidR="00F40F45" w:rsidRDefault="00582A0A" w:rsidP="00D928AC">
      <w:pPr>
        <w:pStyle w:val="Style1"/>
        <w:numPr>
          <w:ilvl w:val="0"/>
          <w:numId w:val="4"/>
        </w:numPr>
        <w:tabs>
          <w:tab w:val="clear" w:pos="720"/>
        </w:tabs>
        <w:ind w:right="-52"/>
        <w:rPr>
          <w:rFonts w:ascii="Arial" w:hAnsi="Arial" w:cs="Arial"/>
        </w:rPr>
      </w:pPr>
      <w:r>
        <w:rPr>
          <w:rFonts w:ascii="Arial" w:hAnsi="Arial" w:cs="Arial"/>
        </w:rPr>
        <w:t>As noted above, this will be subject to the minor modification of omitting the reference to section 53(3)(b) of the 1981 Act as a relevant power under which the Order has been made</w:t>
      </w:r>
      <w:r w:rsidR="00CF2A96">
        <w:rPr>
          <w:rFonts w:ascii="Arial" w:hAnsi="Arial" w:cs="Arial"/>
        </w:rPr>
        <w:t>.</w:t>
      </w:r>
    </w:p>
    <w:p w14:paraId="6F799AA8" w14:textId="77777777" w:rsidR="00CE4E55" w:rsidRDefault="00CE4E55" w:rsidP="00CE4E55">
      <w:pPr>
        <w:pStyle w:val="Style1"/>
        <w:ind w:left="0" w:firstLine="0"/>
        <w:rPr>
          <w:rFonts w:ascii="Arial" w:hAnsi="Arial" w:cs="Arial"/>
          <w:b/>
          <w:bCs/>
        </w:rPr>
      </w:pPr>
      <w:r>
        <w:rPr>
          <w:rFonts w:ascii="Arial" w:hAnsi="Arial" w:cs="Arial"/>
          <w:b/>
          <w:bCs/>
        </w:rPr>
        <w:lastRenderedPageBreak/>
        <w:t>Formal Decision</w:t>
      </w:r>
    </w:p>
    <w:p w14:paraId="272F0E00" w14:textId="3A4107FB" w:rsidR="00CE4E55" w:rsidRPr="00AA060E" w:rsidRDefault="0075216B" w:rsidP="00CE4E55">
      <w:pPr>
        <w:pStyle w:val="Style1"/>
        <w:numPr>
          <w:ilvl w:val="0"/>
          <w:numId w:val="4"/>
        </w:numPr>
        <w:tabs>
          <w:tab w:val="clear" w:pos="720"/>
        </w:tabs>
        <w:rPr>
          <w:rFonts w:ascii="Arial" w:hAnsi="Arial" w:cs="Arial"/>
        </w:rPr>
      </w:pPr>
      <w:r>
        <w:rPr>
          <w:rFonts w:ascii="Arial" w:hAnsi="Arial" w:cs="Arial"/>
        </w:rPr>
        <w:t>I confirm the</w:t>
      </w:r>
      <w:r w:rsidR="00CE4E55" w:rsidRPr="00AA060E">
        <w:rPr>
          <w:rFonts w:ascii="Arial" w:hAnsi="Arial" w:cs="Arial"/>
        </w:rPr>
        <w:t xml:space="preserve"> Order</w:t>
      </w:r>
      <w:r w:rsidR="00CF2A96">
        <w:rPr>
          <w:rFonts w:ascii="Arial" w:hAnsi="Arial" w:cs="Arial"/>
        </w:rPr>
        <w:t xml:space="preserve"> subject to the deletion, in </w:t>
      </w:r>
      <w:r w:rsidR="006B63B1">
        <w:rPr>
          <w:rFonts w:ascii="Arial" w:hAnsi="Arial" w:cs="Arial"/>
        </w:rPr>
        <w:t>the second line of the substantive text of the Order, the words “and 53(3)(b)”</w:t>
      </w:r>
      <w:r w:rsidR="00CE4E55" w:rsidRPr="00AA060E">
        <w:rPr>
          <w:rFonts w:ascii="Arial" w:hAnsi="Arial" w:cs="Arial"/>
        </w:rPr>
        <w:t>.</w:t>
      </w:r>
    </w:p>
    <w:p w14:paraId="5338F04A" w14:textId="77777777" w:rsidR="00CE4E55" w:rsidRPr="00B24C4B" w:rsidRDefault="00CE4E55" w:rsidP="00F72F24">
      <w:pPr>
        <w:pStyle w:val="Style1"/>
        <w:spacing w:before="120"/>
        <w:ind w:left="0" w:firstLine="0"/>
        <w:rPr>
          <w:rFonts w:ascii="Monotype Corsiva" w:hAnsi="Monotype Corsiva" w:cs="Arial"/>
          <w:sz w:val="36"/>
          <w:szCs w:val="36"/>
        </w:rPr>
      </w:pPr>
      <w:r>
        <w:rPr>
          <w:rFonts w:ascii="Monotype Corsiva" w:hAnsi="Monotype Corsiva" w:cs="Arial"/>
          <w:sz w:val="36"/>
          <w:szCs w:val="36"/>
        </w:rPr>
        <w:t xml:space="preserve">Laura Renaudon </w:t>
      </w:r>
    </w:p>
    <w:p w14:paraId="1804DCFB" w14:textId="170356D2" w:rsidR="00E97B50" w:rsidRDefault="00CE4E55" w:rsidP="00F72F24">
      <w:pPr>
        <w:pStyle w:val="Style1"/>
        <w:spacing w:before="120"/>
        <w:ind w:left="0" w:firstLine="0"/>
      </w:pPr>
      <w:r>
        <w:rPr>
          <w:rFonts w:ascii="Arial" w:hAnsi="Arial" w:cs="Arial"/>
        </w:rPr>
        <w:t>INSPECTOR</w:t>
      </w:r>
      <w:r w:rsidR="00E97B50">
        <w:br w:type="page"/>
      </w:r>
    </w:p>
    <w:p w14:paraId="0E866329" w14:textId="72247731" w:rsidR="00E97B50" w:rsidRDefault="00E97B50">
      <w:pPr>
        <w:rPr>
          <w:b/>
          <w:bCs/>
        </w:rPr>
      </w:pPr>
      <w:r>
        <w:rPr>
          <w:b/>
          <w:bCs/>
        </w:rPr>
        <w:lastRenderedPageBreak/>
        <w:t xml:space="preserve">THE ORDER </w:t>
      </w:r>
      <w:r w:rsidR="006C6874">
        <w:rPr>
          <w:b/>
          <w:bCs/>
        </w:rPr>
        <w:t>MAP</w:t>
      </w:r>
    </w:p>
    <w:p w14:paraId="436FC701" w14:textId="77777777" w:rsidR="00A50826" w:rsidRDefault="00A50826">
      <w:pPr>
        <w:rPr>
          <w:b/>
          <w:bCs/>
        </w:rPr>
      </w:pPr>
    </w:p>
    <w:p w14:paraId="41F3F205" w14:textId="522AB70D" w:rsidR="00BF33B5" w:rsidRDefault="00BF33B5" w:rsidP="00BF33B5">
      <w:pPr>
        <w:tabs>
          <w:tab w:val="left" w:pos="1955"/>
        </w:tabs>
      </w:pPr>
    </w:p>
    <w:p w14:paraId="5FCE6EC5" w14:textId="1A974606" w:rsidR="00BF33B5" w:rsidRDefault="00AF63E3">
      <w:pPr>
        <w:spacing w:after="160" w:line="259" w:lineRule="auto"/>
      </w:pPr>
      <w:r w:rsidRPr="00AF63E3">
        <w:rPr>
          <w:noProof/>
        </w:rPr>
        <w:drawing>
          <wp:inline distT="0" distB="0" distL="0" distR="0" wp14:anchorId="38661465" wp14:editId="18066590">
            <wp:extent cx="5498465" cy="7537717"/>
            <wp:effectExtent l="0" t="0" r="6985" b="6350"/>
            <wp:docPr id="1200631081" name="Picture 1" descr="A copy of the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31081" name="Picture 1" descr="A copy of the order map."/>
                    <pic:cNvPicPr/>
                  </pic:nvPicPr>
                  <pic:blipFill>
                    <a:blip r:embed="rId11"/>
                    <a:stretch>
                      <a:fillRect/>
                    </a:stretch>
                  </pic:blipFill>
                  <pic:spPr>
                    <a:xfrm>
                      <a:off x="0" y="0"/>
                      <a:ext cx="5501748" cy="7542218"/>
                    </a:xfrm>
                    <a:prstGeom prst="rect">
                      <a:avLst/>
                    </a:prstGeom>
                  </pic:spPr>
                </pic:pic>
              </a:graphicData>
            </a:graphic>
          </wp:inline>
        </w:drawing>
      </w:r>
    </w:p>
    <w:p w14:paraId="060CF56D" w14:textId="0879F385" w:rsidR="00BF33B5" w:rsidRDefault="00BF33B5">
      <w:pPr>
        <w:spacing w:after="160" w:line="259" w:lineRule="auto"/>
      </w:pPr>
    </w:p>
    <w:p w14:paraId="62ECBBE8" w14:textId="77777777" w:rsidR="00BF33B5" w:rsidRPr="00BF33B5" w:rsidRDefault="00BF33B5" w:rsidP="00BF33B5">
      <w:pPr>
        <w:tabs>
          <w:tab w:val="left" w:pos="1955"/>
        </w:tabs>
      </w:pPr>
    </w:p>
    <w:sectPr w:rsidR="00BF33B5" w:rsidRPr="00BF33B5" w:rsidSect="00CE4E55">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DFFA" w14:textId="77777777" w:rsidR="009A4DBD" w:rsidRDefault="009A4DBD">
      <w:r>
        <w:separator/>
      </w:r>
    </w:p>
  </w:endnote>
  <w:endnote w:type="continuationSeparator" w:id="0">
    <w:p w14:paraId="5A453D95" w14:textId="77777777" w:rsidR="009A4DBD" w:rsidRDefault="009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555F" w14:textId="77777777" w:rsidR="00CE4E55" w:rsidRDefault="00CE4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3C42C" w14:textId="77777777" w:rsidR="00CE4E55" w:rsidRDefault="00CE4E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B138" w14:textId="77777777" w:rsidR="00CE4E55" w:rsidRDefault="00CE4E5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5F158A39" wp14:editId="5864A68A">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84AC"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5A365DF" w14:textId="77777777" w:rsidR="00CE4E55" w:rsidRPr="00E45340" w:rsidRDefault="00CE4E55"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2EB" w14:textId="77777777" w:rsidR="00CE4E55" w:rsidRDefault="00CE4E55" w:rsidP="003C3FF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0C0E62C" wp14:editId="434AEC7E">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E87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024FB590" w14:textId="77777777" w:rsidR="00CE4E55" w:rsidRPr="00451EE4" w:rsidRDefault="00CE4E55">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B230" w14:textId="77777777" w:rsidR="009A4DBD" w:rsidRDefault="009A4DBD">
      <w:r>
        <w:separator/>
      </w:r>
    </w:p>
  </w:footnote>
  <w:footnote w:type="continuationSeparator" w:id="0">
    <w:p w14:paraId="172BC99C" w14:textId="77777777" w:rsidR="009A4DBD" w:rsidRDefault="009A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E4E55" w14:paraId="06C1343B" w14:textId="77777777">
      <w:tc>
        <w:tcPr>
          <w:tcW w:w="9520" w:type="dxa"/>
        </w:tcPr>
        <w:p w14:paraId="3074AA97" w14:textId="638EF910" w:rsidR="00C06B8C" w:rsidRDefault="004850B7">
          <w:pPr>
            <w:pStyle w:val="Footer"/>
          </w:pPr>
          <w:r>
            <w:t>Order</w:t>
          </w:r>
          <w:r w:rsidR="00CE4E55">
            <w:t xml:space="preserve"> Decision ROW/3</w:t>
          </w:r>
          <w:r w:rsidR="00FD2E93">
            <w:t>358570</w:t>
          </w:r>
        </w:p>
      </w:tc>
    </w:tr>
  </w:tbl>
  <w:p w14:paraId="3CFD78F3" w14:textId="77777777" w:rsidR="00CE4E55" w:rsidRDefault="00CE4E55" w:rsidP="00087477">
    <w:pPr>
      <w:pStyle w:val="Footer"/>
      <w:spacing w:after="180"/>
    </w:pPr>
    <w:r>
      <w:rPr>
        <w:noProof/>
      </w:rPr>
      <mc:AlternateContent>
        <mc:Choice Requires="wps">
          <w:drawing>
            <wp:anchor distT="0" distB="0" distL="114300" distR="114300" simplePos="0" relativeHeight="251658752" behindDoc="0" locked="0" layoutInCell="1" allowOverlap="1" wp14:anchorId="5965142A" wp14:editId="15C36953">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F3B7"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350" w14:textId="77777777" w:rsidR="00CE4E55" w:rsidRDefault="00CE4E5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98183D82"/>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3"/>
  </w:num>
  <w:num w:numId="2" w16cid:durableId="689457646">
    <w:abstractNumId w:val="1"/>
  </w:num>
  <w:num w:numId="3" w16cid:durableId="64308365">
    <w:abstractNumId w:val="0"/>
  </w:num>
  <w:num w:numId="4" w16cid:durableId="43918660">
    <w:abstractNumId w:val="0"/>
    <w:lvlOverride w:ilvl="0">
      <w:lvl w:ilvl="0">
        <w:start w:val="1"/>
        <w:numFmt w:val="decimal"/>
        <w:lvlText w:val="%1."/>
        <w:lvlJc w:val="left"/>
        <w:pPr>
          <w:tabs>
            <w:tab w:val="num" w:pos="720"/>
          </w:tabs>
          <w:ind w:left="431" w:hanging="431"/>
        </w:pPr>
        <w:rPr>
          <w:rFonts w:hint="default"/>
          <w:sz w:val="22"/>
          <w:szCs w:val="22"/>
        </w:rPr>
      </w:lvl>
    </w:lvlOverride>
  </w:num>
  <w:num w:numId="5" w16cid:durableId="137770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14"/>
    <w:rsid w:val="00000630"/>
    <w:rsid w:val="00004D2B"/>
    <w:rsid w:val="00006583"/>
    <w:rsid w:val="00012831"/>
    <w:rsid w:val="00015463"/>
    <w:rsid w:val="0002242A"/>
    <w:rsid w:val="00030587"/>
    <w:rsid w:val="00035A3D"/>
    <w:rsid w:val="000407F1"/>
    <w:rsid w:val="00043B49"/>
    <w:rsid w:val="00044750"/>
    <w:rsid w:val="0004764B"/>
    <w:rsid w:val="00047E73"/>
    <w:rsid w:val="000632C4"/>
    <w:rsid w:val="000707B1"/>
    <w:rsid w:val="00074F48"/>
    <w:rsid w:val="00080151"/>
    <w:rsid w:val="00087EC5"/>
    <w:rsid w:val="00090307"/>
    <w:rsid w:val="0009538D"/>
    <w:rsid w:val="000A3A2D"/>
    <w:rsid w:val="000A6A39"/>
    <w:rsid w:val="000B0334"/>
    <w:rsid w:val="000B79D4"/>
    <w:rsid w:val="000C52AD"/>
    <w:rsid w:val="000C57FD"/>
    <w:rsid w:val="000D0557"/>
    <w:rsid w:val="000D0A9C"/>
    <w:rsid w:val="000D27C1"/>
    <w:rsid w:val="000D43A6"/>
    <w:rsid w:val="000D5A5A"/>
    <w:rsid w:val="000E12C6"/>
    <w:rsid w:val="000E35A8"/>
    <w:rsid w:val="000E5CBB"/>
    <w:rsid w:val="000E6C55"/>
    <w:rsid w:val="000F3456"/>
    <w:rsid w:val="000F39A6"/>
    <w:rsid w:val="00100DBD"/>
    <w:rsid w:val="001079BF"/>
    <w:rsid w:val="00110DDE"/>
    <w:rsid w:val="001170E3"/>
    <w:rsid w:val="00120BAC"/>
    <w:rsid w:val="0012137B"/>
    <w:rsid w:val="00127791"/>
    <w:rsid w:val="00131200"/>
    <w:rsid w:val="00131555"/>
    <w:rsid w:val="00140472"/>
    <w:rsid w:val="00143611"/>
    <w:rsid w:val="00151463"/>
    <w:rsid w:val="00152191"/>
    <w:rsid w:val="0015229D"/>
    <w:rsid w:val="00152FD6"/>
    <w:rsid w:val="00154B95"/>
    <w:rsid w:val="0015517C"/>
    <w:rsid w:val="00173593"/>
    <w:rsid w:val="001765FD"/>
    <w:rsid w:val="00180E80"/>
    <w:rsid w:val="00181A8B"/>
    <w:rsid w:val="001865BD"/>
    <w:rsid w:val="00195DD6"/>
    <w:rsid w:val="00196699"/>
    <w:rsid w:val="001A2337"/>
    <w:rsid w:val="001A3FB0"/>
    <w:rsid w:val="001A609C"/>
    <w:rsid w:val="001C04D9"/>
    <w:rsid w:val="001C1206"/>
    <w:rsid w:val="001C1957"/>
    <w:rsid w:val="001C35AF"/>
    <w:rsid w:val="001D1F0B"/>
    <w:rsid w:val="001D6682"/>
    <w:rsid w:val="001E18E2"/>
    <w:rsid w:val="001F37F2"/>
    <w:rsid w:val="001F4FE6"/>
    <w:rsid w:val="001F6B79"/>
    <w:rsid w:val="002035F9"/>
    <w:rsid w:val="002145BA"/>
    <w:rsid w:val="0022366E"/>
    <w:rsid w:val="002248EB"/>
    <w:rsid w:val="00226442"/>
    <w:rsid w:val="002270ED"/>
    <w:rsid w:val="0023045D"/>
    <w:rsid w:val="00235CB4"/>
    <w:rsid w:val="00236759"/>
    <w:rsid w:val="00240036"/>
    <w:rsid w:val="00251F18"/>
    <w:rsid w:val="002543F4"/>
    <w:rsid w:val="002609B5"/>
    <w:rsid w:val="00261875"/>
    <w:rsid w:val="00262EDE"/>
    <w:rsid w:val="00267D75"/>
    <w:rsid w:val="002737BD"/>
    <w:rsid w:val="002754A0"/>
    <w:rsid w:val="0028126D"/>
    <w:rsid w:val="00281D47"/>
    <w:rsid w:val="002A1555"/>
    <w:rsid w:val="002A4709"/>
    <w:rsid w:val="002A7BA0"/>
    <w:rsid w:val="002A7F3C"/>
    <w:rsid w:val="002B29BC"/>
    <w:rsid w:val="002B7BC2"/>
    <w:rsid w:val="002B7C3D"/>
    <w:rsid w:val="002C617D"/>
    <w:rsid w:val="002C6A08"/>
    <w:rsid w:val="002D2C9F"/>
    <w:rsid w:val="002D39BA"/>
    <w:rsid w:val="002D3D6C"/>
    <w:rsid w:val="002D6C76"/>
    <w:rsid w:val="002D714C"/>
    <w:rsid w:val="002E1872"/>
    <w:rsid w:val="002E41EC"/>
    <w:rsid w:val="002F0A18"/>
    <w:rsid w:val="002F1853"/>
    <w:rsid w:val="002F2CAE"/>
    <w:rsid w:val="002F690E"/>
    <w:rsid w:val="00302645"/>
    <w:rsid w:val="00305C92"/>
    <w:rsid w:val="00306F55"/>
    <w:rsid w:val="00310335"/>
    <w:rsid w:val="0031590B"/>
    <w:rsid w:val="00315C65"/>
    <w:rsid w:val="0032124A"/>
    <w:rsid w:val="0032533E"/>
    <w:rsid w:val="0032622D"/>
    <w:rsid w:val="003312F8"/>
    <w:rsid w:val="00331EFB"/>
    <w:rsid w:val="0033625F"/>
    <w:rsid w:val="00340A64"/>
    <w:rsid w:val="00342483"/>
    <w:rsid w:val="003439A7"/>
    <w:rsid w:val="00347297"/>
    <w:rsid w:val="00350AFB"/>
    <w:rsid w:val="00353140"/>
    <w:rsid w:val="00356D31"/>
    <w:rsid w:val="0036100E"/>
    <w:rsid w:val="0036526B"/>
    <w:rsid w:val="00370A97"/>
    <w:rsid w:val="00371471"/>
    <w:rsid w:val="0037321D"/>
    <w:rsid w:val="003758C0"/>
    <w:rsid w:val="00375D62"/>
    <w:rsid w:val="0038500E"/>
    <w:rsid w:val="00390429"/>
    <w:rsid w:val="003906C3"/>
    <w:rsid w:val="00393C57"/>
    <w:rsid w:val="0039576B"/>
    <w:rsid w:val="003A10D4"/>
    <w:rsid w:val="003A4004"/>
    <w:rsid w:val="003B63D8"/>
    <w:rsid w:val="003C0914"/>
    <w:rsid w:val="003D100F"/>
    <w:rsid w:val="003D2D75"/>
    <w:rsid w:val="003E1787"/>
    <w:rsid w:val="003F2304"/>
    <w:rsid w:val="003F26AE"/>
    <w:rsid w:val="004026D3"/>
    <w:rsid w:val="00407378"/>
    <w:rsid w:val="0041056A"/>
    <w:rsid w:val="004172A5"/>
    <w:rsid w:val="00421D38"/>
    <w:rsid w:val="00423C8F"/>
    <w:rsid w:val="004327CF"/>
    <w:rsid w:val="00434813"/>
    <w:rsid w:val="00447B02"/>
    <w:rsid w:val="0045037D"/>
    <w:rsid w:val="004510AB"/>
    <w:rsid w:val="0045117D"/>
    <w:rsid w:val="004650E2"/>
    <w:rsid w:val="00484D84"/>
    <w:rsid w:val="004850B7"/>
    <w:rsid w:val="004879EF"/>
    <w:rsid w:val="004959E2"/>
    <w:rsid w:val="00496799"/>
    <w:rsid w:val="004A1AC4"/>
    <w:rsid w:val="004A3458"/>
    <w:rsid w:val="004A4B94"/>
    <w:rsid w:val="004B15BF"/>
    <w:rsid w:val="004B21C8"/>
    <w:rsid w:val="004B4762"/>
    <w:rsid w:val="004B7DDC"/>
    <w:rsid w:val="004C2537"/>
    <w:rsid w:val="004C3311"/>
    <w:rsid w:val="004C6686"/>
    <w:rsid w:val="004C7849"/>
    <w:rsid w:val="004D2807"/>
    <w:rsid w:val="004D632E"/>
    <w:rsid w:val="004E0808"/>
    <w:rsid w:val="004E10E3"/>
    <w:rsid w:val="004E6013"/>
    <w:rsid w:val="004E7404"/>
    <w:rsid w:val="004E7CD9"/>
    <w:rsid w:val="004F522B"/>
    <w:rsid w:val="00506CD4"/>
    <w:rsid w:val="00513254"/>
    <w:rsid w:val="00515B6C"/>
    <w:rsid w:val="00524849"/>
    <w:rsid w:val="005259FC"/>
    <w:rsid w:val="005268DB"/>
    <w:rsid w:val="00543CA8"/>
    <w:rsid w:val="00547DBE"/>
    <w:rsid w:val="00552653"/>
    <w:rsid w:val="00552DC5"/>
    <w:rsid w:val="00555D07"/>
    <w:rsid w:val="00562194"/>
    <w:rsid w:val="00563209"/>
    <w:rsid w:val="00563580"/>
    <w:rsid w:val="0057214A"/>
    <w:rsid w:val="00577B97"/>
    <w:rsid w:val="00582A0A"/>
    <w:rsid w:val="00583B05"/>
    <w:rsid w:val="00583F1C"/>
    <w:rsid w:val="00590F10"/>
    <w:rsid w:val="00591B18"/>
    <w:rsid w:val="00591B83"/>
    <w:rsid w:val="005940FB"/>
    <w:rsid w:val="005979F4"/>
    <w:rsid w:val="00597B15"/>
    <w:rsid w:val="005A7EED"/>
    <w:rsid w:val="005B174A"/>
    <w:rsid w:val="005B7C24"/>
    <w:rsid w:val="005C69C2"/>
    <w:rsid w:val="005D599F"/>
    <w:rsid w:val="005E183A"/>
    <w:rsid w:val="005E1F09"/>
    <w:rsid w:val="005E3A65"/>
    <w:rsid w:val="005E427E"/>
    <w:rsid w:val="005E4B13"/>
    <w:rsid w:val="005E4CDE"/>
    <w:rsid w:val="005E61E5"/>
    <w:rsid w:val="005F11E3"/>
    <w:rsid w:val="005F19F2"/>
    <w:rsid w:val="005F1B7E"/>
    <w:rsid w:val="00600B30"/>
    <w:rsid w:val="0060243A"/>
    <w:rsid w:val="00607DE0"/>
    <w:rsid w:val="00610274"/>
    <w:rsid w:val="00615832"/>
    <w:rsid w:val="006176EB"/>
    <w:rsid w:val="0062351A"/>
    <w:rsid w:val="00641384"/>
    <w:rsid w:val="00643209"/>
    <w:rsid w:val="006446BF"/>
    <w:rsid w:val="00646488"/>
    <w:rsid w:val="0064744B"/>
    <w:rsid w:val="00651165"/>
    <w:rsid w:val="006522E7"/>
    <w:rsid w:val="006540D0"/>
    <w:rsid w:val="00664E9F"/>
    <w:rsid w:val="00665681"/>
    <w:rsid w:val="00672417"/>
    <w:rsid w:val="006742EE"/>
    <w:rsid w:val="006834C6"/>
    <w:rsid w:val="0068488A"/>
    <w:rsid w:val="00686F01"/>
    <w:rsid w:val="00690D5B"/>
    <w:rsid w:val="00697B49"/>
    <w:rsid w:val="006A3B2F"/>
    <w:rsid w:val="006A50F4"/>
    <w:rsid w:val="006A634F"/>
    <w:rsid w:val="006B0D15"/>
    <w:rsid w:val="006B63B1"/>
    <w:rsid w:val="006B6BD2"/>
    <w:rsid w:val="006B7AF6"/>
    <w:rsid w:val="006C20A0"/>
    <w:rsid w:val="006C6188"/>
    <w:rsid w:val="006C6874"/>
    <w:rsid w:val="006D3A1E"/>
    <w:rsid w:val="006D3F75"/>
    <w:rsid w:val="006E2845"/>
    <w:rsid w:val="006E6A4B"/>
    <w:rsid w:val="006E6E81"/>
    <w:rsid w:val="006F01D3"/>
    <w:rsid w:val="006F38B9"/>
    <w:rsid w:val="006F55E1"/>
    <w:rsid w:val="007017DA"/>
    <w:rsid w:val="00702214"/>
    <w:rsid w:val="00720076"/>
    <w:rsid w:val="007217C7"/>
    <w:rsid w:val="0072485B"/>
    <w:rsid w:val="00732F92"/>
    <w:rsid w:val="007377D5"/>
    <w:rsid w:val="00743297"/>
    <w:rsid w:val="007434CD"/>
    <w:rsid w:val="007441B5"/>
    <w:rsid w:val="007451C1"/>
    <w:rsid w:val="00746E09"/>
    <w:rsid w:val="007473AD"/>
    <w:rsid w:val="00747B83"/>
    <w:rsid w:val="0075216B"/>
    <w:rsid w:val="00752F1B"/>
    <w:rsid w:val="00753ED9"/>
    <w:rsid w:val="00757A06"/>
    <w:rsid w:val="0076391C"/>
    <w:rsid w:val="007717FB"/>
    <w:rsid w:val="007851A8"/>
    <w:rsid w:val="00785D90"/>
    <w:rsid w:val="00785EED"/>
    <w:rsid w:val="00793A60"/>
    <w:rsid w:val="007A34EC"/>
    <w:rsid w:val="007A38E6"/>
    <w:rsid w:val="007A3FF1"/>
    <w:rsid w:val="007A47D8"/>
    <w:rsid w:val="007B0B03"/>
    <w:rsid w:val="007B345F"/>
    <w:rsid w:val="007B378C"/>
    <w:rsid w:val="007B45E9"/>
    <w:rsid w:val="007B69A6"/>
    <w:rsid w:val="007B7901"/>
    <w:rsid w:val="007C3110"/>
    <w:rsid w:val="007C373C"/>
    <w:rsid w:val="007D21DD"/>
    <w:rsid w:val="007D40E3"/>
    <w:rsid w:val="007E2B03"/>
    <w:rsid w:val="007E3427"/>
    <w:rsid w:val="007E3D3D"/>
    <w:rsid w:val="007E54F6"/>
    <w:rsid w:val="007E5C9B"/>
    <w:rsid w:val="007F33F5"/>
    <w:rsid w:val="007F447D"/>
    <w:rsid w:val="0080276A"/>
    <w:rsid w:val="0080445F"/>
    <w:rsid w:val="00805784"/>
    <w:rsid w:val="00805CED"/>
    <w:rsid w:val="0080710C"/>
    <w:rsid w:val="008174D8"/>
    <w:rsid w:val="008255AB"/>
    <w:rsid w:val="00826812"/>
    <w:rsid w:val="00830A43"/>
    <w:rsid w:val="00830B36"/>
    <w:rsid w:val="0084143E"/>
    <w:rsid w:val="0085041B"/>
    <w:rsid w:val="0085307A"/>
    <w:rsid w:val="008552FF"/>
    <w:rsid w:val="00860F85"/>
    <w:rsid w:val="00864F4F"/>
    <w:rsid w:val="00866821"/>
    <w:rsid w:val="00870D4F"/>
    <w:rsid w:val="00874DF7"/>
    <w:rsid w:val="0087516E"/>
    <w:rsid w:val="00880C72"/>
    <w:rsid w:val="00882D07"/>
    <w:rsid w:val="00885C48"/>
    <w:rsid w:val="0088682F"/>
    <w:rsid w:val="0089412B"/>
    <w:rsid w:val="008A0093"/>
    <w:rsid w:val="008B0D6C"/>
    <w:rsid w:val="008C2924"/>
    <w:rsid w:val="008C3ADE"/>
    <w:rsid w:val="008C69F6"/>
    <w:rsid w:val="008C76D8"/>
    <w:rsid w:val="008D34AB"/>
    <w:rsid w:val="008D3987"/>
    <w:rsid w:val="008D62E6"/>
    <w:rsid w:val="008D6A17"/>
    <w:rsid w:val="008E29A0"/>
    <w:rsid w:val="008E7597"/>
    <w:rsid w:val="008F3D7B"/>
    <w:rsid w:val="008F4EC4"/>
    <w:rsid w:val="008F6149"/>
    <w:rsid w:val="00900D2E"/>
    <w:rsid w:val="00907398"/>
    <w:rsid w:val="0091249D"/>
    <w:rsid w:val="009129BC"/>
    <w:rsid w:val="00916E6E"/>
    <w:rsid w:val="0092162B"/>
    <w:rsid w:val="00922A6F"/>
    <w:rsid w:val="00923CCD"/>
    <w:rsid w:val="00930F1A"/>
    <w:rsid w:val="009342BB"/>
    <w:rsid w:val="00934C4B"/>
    <w:rsid w:val="00936240"/>
    <w:rsid w:val="0094284E"/>
    <w:rsid w:val="00947FC8"/>
    <w:rsid w:val="0095046F"/>
    <w:rsid w:val="00953D68"/>
    <w:rsid w:val="00954106"/>
    <w:rsid w:val="009704EF"/>
    <w:rsid w:val="00970C12"/>
    <w:rsid w:val="00974C8D"/>
    <w:rsid w:val="00980492"/>
    <w:rsid w:val="00995FB4"/>
    <w:rsid w:val="009967CE"/>
    <w:rsid w:val="009A227B"/>
    <w:rsid w:val="009A4DBD"/>
    <w:rsid w:val="009A74C3"/>
    <w:rsid w:val="009B03BC"/>
    <w:rsid w:val="009B2A0A"/>
    <w:rsid w:val="009B3DA3"/>
    <w:rsid w:val="009B6096"/>
    <w:rsid w:val="009B710D"/>
    <w:rsid w:val="009C3441"/>
    <w:rsid w:val="009C7C09"/>
    <w:rsid w:val="009D0355"/>
    <w:rsid w:val="009D4B88"/>
    <w:rsid w:val="009D518F"/>
    <w:rsid w:val="009E04DE"/>
    <w:rsid w:val="009E7180"/>
    <w:rsid w:val="009E7474"/>
    <w:rsid w:val="009F0102"/>
    <w:rsid w:val="009F15D1"/>
    <w:rsid w:val="009F447E"/>
    <w:rsid w:val="00A00F2B"/>
    <w:rsid w:val="00A020CD"/>
    <w:rsid w:val="00A02A69"/>
    <w:rsid w:val="00A05668"/>
    <w:rsid w:val="00A061BB"/>
    <w:rsid w:val="00A067A5"/>
    <w:rsid w:val="00A06E72"/>
    <w:rsid w:val="00A10787"/>
    <w:rsid w:val="00A11AAC"/>
    <w:rsid w:val="00A12897"/>
    <w:rsid w:val="00A14F51"/>
    <w:rsid w:val="00A16531"/>
    <w:rsid w:val="00A20FDC"/>
    <w:rsid w:val="00A23C99"/>
    <w:rsid w:val="00A26A70"/>
    <w:rsid w:val="00A30091"/>
    <w:rsid w:val="00A34DF9"/>
    <w:rsid w:val="00A45216"/>
    <w:rsid w:val="00A50826"/>
    <w:rsid w:val="00A54948"/>
    <w:rsid w:val="00A553B5"/>
    <w:rsid w:val="00A6497B"/>
    <w:rsid w:val="00A66554"/>
    <w:rsid w:val="00A77D2E"/>
    <w:rsid w:val="00A91F11"/>
    <w:rsid w:val="00A96C7C"/>
    <w:rsid w:val="00AA06D6"/>
    <w:rsid w:val="00AA3A19"/>
    <w:rsid w:val="00AB0504"/>
    <w:rsid w:val="00AB2D3E"/>
    <w:rsid w:val="00AB3B67"/>
    <w:rsid w:val="00AB49DD"/>
    <w:rsid w:val="00AB7257"/>
    <w:rsid w:val="00AC2351"/>
    <w:rsid w:val="00AC7E00"/>
    <w:rsid w:val="00AE0338"/>
    <w:rsid w:val="00AE0DF2"/>
    <w:rsid w:val="00AE506F"/>
    <w:rsid w:val="00AF2448"/>
    <w:rsid w:val="00AF6115"/>
    <w:rsid w:val="00AF63E3"/>
    <w:rsid w:val="00B02745"/>
    <w:rsid w:val="00B037FE"/>
    <w:rsid w:val="00B03FCB"/>
    <w:rsid w:val="00B076D3"/>
    <w:rsid w:val="00B11602"/>
    <w:rsid w:val="00B144BE"/>
    <w:rsid w:val="00B14AC6"/>
    <w:rsid w:val="00B21F29"/>
    <w:rsid w:val="00B231C4"/>
    <w:rsid w:val="00B46205"/>
    <w:rsid w:val="00B46F20"/>
    <w:rsid w:val="00B6199D"/>
    <w:rsid w:val="00B637E2"/>
    <w:rsid w:val="00B71BDD"/>
    <w:rsid w:val="00B73CDD"/>
    <w:rsid w:val="00B7791B"/>
    <w:rsid w:val="00B82771"/>
    <w:rsid w:val="00B82C8B"/>
    <w:rsid w:val="00B8719F"/>
    <w:rsid w:val="00B873F0"/>
    <w:rsid w:val="00B97F37"/>
    <w:rsid w:val="00BA0693"/>
    <w:rsid w:val="00BA20A0"/>
    <w:rsid w:val="00BA4A3E"/>
    <w:rsid w:val="00BA506F"/>
    <w:rsid w:val="00BA69D1"/>
    <w:rsid w:val="00BB0052"/>
    <w:rsid w:val="00BB09E3"/>
    <w:rsid w:val="00BB4AA9"/>
    <w:rsid w:val="00BB50D9"/>
    <w:rsid w:val="00BB5863"/>
    <w:rsid w:val="00BC6B5B"/>
    <w:rsid w:val="00BC6C0E"/>
    <w:rsid w:val="00BD605A"/>
    <w:rsid w:val="00BD6D2C"/>
    <w:rsid w:val="00BE095C"/>
    <w:rsid w:val="00BE3017"/>
    <w:rsid w:val="00BE72FA"/>
    <w:rsid w:val="00BF0F11"/>
    <w:rsid w:val="00BF29CD"/>
    <w:rsid w:val="00BF33B5"/>
    <w:rsid w:val="00C001CD"/>
    <w:rsid w:val="00C01AD6"/>
    <w:rsid w:val="00C02B20"/>
    <w:rsid w:val="00C0428A"/>
    <w:rsid w:val="00C0549C"/>
    <w:rsid w:val="00C0680B"/>
    <w:rsid w:val="00C06B8C"/>
    <w:rsid w:val="00C10368"/>
    <w:rsid w:val="00C10DC7"/>
    <w:rsid w:val="00C134B6"/>
    <w:rsid w:val="00C147A9"/>
    <w:rsid w:val="00C17EC0"/>
    <w:rsid w:val="00C23CB3"/>
    <w:rsid w:val="00C24F8C"/>
    <w:rsid w:val="00C26ED1"/>
    <w:rsid w:val="00C32D24"/>
    <w:rsid w:val="00C34431"/>
    <w:rsid w:val="00C365D4"/>
    <w:rsid w:val="00C37F5D"/>
    <w:rsid w:val="00C42D89"/>
    <w:rsid w:val="00C47980"/>
    <w:rsid w:val="00C612C3"/>
    <w:rsid w:val="00C63EBC"/>
    <w:rsid w:val="00C67552"/>
    <w:rsid w:val="00C67FDB"/>
    <w:rsid w:val="00C7125C"/>
    <w:rsid w:val="00C720FD"/>
    <w:rsid w:val="00C7389F"/>
    <w:rsid w:val="00C7787F"/>
    <w:rsid w:val="00C9267C"/>
    <w:rsid w:val="00CB0945"/>
    <w:rsid w:val="00CB2038"/>
    <w:rsid w:val="00CB366F"/>
    <w:rsid w:val="00CB40A2"/>
    <w:rsid w:val="00CC1643"/>
    <w:rsid w:val="00CC64B1"/>
    <w:rsid w:val="00CC7D7C"/>
    <w:rsid w:val="00CD100E"/>
    <w:rsid w:val="00CD2616"/>
    <w:rsid w:val="00CD47FF"/>
    <w:rsid w:val="00CE4C01"/>
    <w:rsid w:val="00CE4E55"/>
    <w:rsid w:val="00CE6DC3"/>
    <w:rsid w:val="00CF0D63"/>
    <w:rsid w:val="00CF1282"/>
    <w:rsid w:val="00CF2A96"/>
    <w:rsid w:val="00CF335C"/>
    <w:rsid w:val="00CF6B3B"/>
    <w:rsid w:val="00D06ED9"/>
    <w:rsid w:val="00D110F2"/>
    <w:rsid w:val="00D115C4"/>
    <w:rsid w:val="00D152BC"/>
    <w:rsid w:val="00D164E5"/>
    <w:rsid w:val="00D27A66"/>
    <w:rsid w:val="00D361D3"/>
    <w:rsid w:val="00D36E63"/>
    <w:rsid w:val="00D421E9"/>
    <w:rsid w:val="00D438EB"/>
    <w:rsid w:val="00D53E8C"/>
    <w:rsid w:val="00D54FE7"/>
    <w:rsid w:val="00D6385D"/>
    <w:rsid w:val="00D646E7"/>
    <w:rsid w:val="00D70436"/>
    <w:rsid w:val="00D740A0"/>
    <w:rsid w:val="00D823AE"/>
    <w:rsid w:val="00D83EDD"/>
    <w:rsid w:val="00D84CB9"/>
    <w:rsid w:val="00D87A48"/>
    <w:rsid w:val="00D905E7"/>
    <w:rsid w:val="00D928AC"/>
    <w:rsid w:val="00D92F02"/>
    <w:rsid w:val="00D959A4"/>
    <w:rsid w:val="00D96AEF"/>
    <w:rsid w:val="00D97689"/>
    <w:rsid w:val="00D97862"/>
    <w:rsid w:val="00DA1816"/>
    <w:rsid w:val="00DA184D"/>
    <w:rsid w:val="00DA1EAD"/>
    <w:rsid w:val="00DA3250"/>
    <w:rsid w:val="00DA409D"/>
    <w:rsid w:val="00DB3926"/>
    <w:rsid w:val="00DC50D2"/>
    <w:rsid w:val="00DC541A"/>
    <w:rsid w:val="00DC5CDF"/>
    <w:rsid w:val="00DC5EF4"/>
    <w:rsid w:val="00DC6D52"/>
    <w:rsid w:val="00DD6398"/>
    <w:rsid w:val="00DD76BA"/>
    <w:rsid w:val="00DE13D5"/>
    <w:rsid w:val="00E00E6B"/>
    <w:rsid w:val="00E0183E"/>
    <w:rsid w:val="00E0192C"/>
    <w:rsid w:val="00E053C5"/>
    <w:rsid w:val="00E075A9"/>
    <w:rsid w:val="00E22205"/>
    <w:rsid w:val="00E25182"/>
    <w:rsid w:val="00E34089"/>
    <w:rsid w:val="00E3673E"/>
    <w:rsid w:val="00E36C36"/>
    <w:rsid w:val="00E403F2"/>
    <w:rsid w:val="00E4337F"/>
    <w:rsid w:val="00E47309"/>
    <w:rsid w:val="00E477C9"/>
    <w:rsid w:val="00E533CD"/>
    <w:rsid w:val="00E54C62"/>
    <w:rsid w:val="00E55579"/>
    <w:rsid w:val="00E61E0A"/>
    <w:rsid w:val="00E65C4C"/>
    <w:rsid w:val="00E65FA4"/>
    <w:rsid w:val="00E7140E"/>
    <w:rsid w:val="00E735BF"/>
    <w:rsid w:val="00E76C2B"/>
    <w:rsid w:val="00E815A1"/>
    <w:rsid w:val="00E86FF2"/>
    <w:rsid w:val="00E87263"/>
    <w:rsid w:val="00E94BB1"/>
    <w:rsid w:val="00E95B66"/>
    <w:rsid w:val="00E969B9"/>
    <w:rsid w:val="00E97B50"/>
    <w:rsid w:val="00EA1179"/>
    <w:rsid w:val="00EA56F8"/>
    <w:rsid w:val="00EA6596"/>
    <w:rsid w:val="00EB2DDF"/>
    <w:rsid w:val="00EB4073"/>
    <w:rsid w:val="00EB783A"/>
    <w:rsid w:val="00EC0BA9"/>
    <w:rsid w:val="00EC187D"/>
    <w:rsid w:val="00ED02FE"/>
    <w:rsid w:val="00EE0740"/>
    <w:rsid w:val="00EE3330"/>
    <w:rsid w:val="00EE370F"/>
    <w:rsid w:val="00EF0C17"/>
    <w:rsid w:val="00EF1D3C"/>
    <w:rsid w:val="00EF2EEE"/>
    <w:rsid w:val="00F032E0"/>
    <w:rsid w:val="00F111D5"/>
    <w:rsid w:val="00F140CA"/>
    <w:rsid w:val="00F169A8"/>
    <w:rsid w:val="00F22802"/>
    <w:rsid w:val="00F237D8"/>
    <w:rsid w:val="00F25D70"/>
    <w:rsid w:val="00F31086"/>
    <w:rsid w:val="00F311F5"/>
    <w:rsid w:val="00F361C8"/>
    <w:rsid w:val="00F375CA"/>
    <w:rsid w:val="00F375F0"/>
    <w:rsid w:val="00F40523"/>
    <w:rsid w:val="00F40F45"/>
    <w:rsid w:val="00F411B9"/>
    <w:rsid w:val="00F43E06"/>
    <w:rsid w:val="00F45796"/>
    <w:rsid w:val="00F47F67"/>
    <w:rsid w:val="00F506A4"/>
    <w:rsid w:val="00F523B0"/>
    <w:rsid w:val="00F60A4D"/>
    <w:rsid w:val="00F64374"/>
    <w:rsid w:val="00F65159"/>
    <w:rsid w:val="00F7011E"/>
    <w:rsid w:val="00F717DC"/>
    <w:rsid w:val="00F72F24"/>
    <w:rsid w:val="00F7305F"/>
    <w:rsid w:val="00F73DD7"/>
    <w:rsid w:val="00F74E8D"/>
    <w:rsid w:val="00F74F99"/>
    <w:rsid w:val="00F80F9C"/>
    <w:rsid w:val="00F83282"/>
    <w:rsid w:val="00F83A26"/>
    <w:rsid w:val="00F924C9"/>
    <w:rsid w:val="00FA1860"/>
    <w:rsid w:val="00FA1D23"/>
    <w:rsid w:val="00FA3C58"/>
    <w:rsid w:val="00FA63EA"/>
    <w:rsid w:val="00FA7517"/>
    <w:rsid w:val="00FB3501"/>
    <w:rsid w:val="00FB4B02"/>
    <w:rsid w:val="00FB5A32"/>
    <w:rsid w:val="00FB7A71"/>
    <w:rsid w:val="00FC33B0"/>
    <w:rsid w:val="00FC6D25"/>
    <w:rsid w:val="00FD1A7B"/>
    <w:rsid w:val="00FD2E93"/>
    <w:rsid w:val="00FD4A40"/>
    <w:rsid w:val="00FE230F"/>
    <w:rsid w:val="00FE2D44"/>
    <w:rsid w:val="00FE42B0"/>
    <w:rsid w:val="00FE5BA7"/>
    <w:rsid w:val="00FE7D1D"/>
    <w:rsid w:val="00FF22D8"/>
    <w:rsid w:val="00FF346F"/>
    <w:rsid w:val="00FF4CC2"/>
    <w:rsid w:val="00FF5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E40C"/>
  <w15:chartTrackingRefBased/>
  <w15:docId w15:val="{A1D8DF75-03ED-4E95-8A46-9DBD9F84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5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3C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C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C0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C0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C0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C09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C09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C09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14"/>
    <w:rPr>
      <w:rFonts w:eastAsiaTheme="majorEastAsia" w:cstheme="majorBidi"/>
      <w:color w:val="272727" w:themeColor="text1" w:themeTint="D8"/>
    </w:rPr>
  </w:style>
  <w:style w:type="paragraph" w:styleId="Title">
    <w:name w:val="Title"/>
    <w:basedOn w:val="Normal"/>
    <w:next w:val="Normal"/>
    <w:link w:val="TitleChar"/>
    <w:uiPriority w:val="10"/>
    <w:qFormat/>
    <w:rsid w:val="003C09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14"/>
    <w:pPr>
      <w:spacing w:before="160"/>
      <w:jc w:val="center"/>
    </w:pPr>
    <w:rPr>
      <w:i/>
      <w:iCs/>
      <w:color w:val="404040" w:themeColor="text1" w:themeTint="BF"/>
    </w:rPr>
  </w:style>
  <w:style w:type="character" w:customStyle="1" w:styleId="QuoteChar">
    <w:name w:val="Quote Char"/>
    <w:basedOn w:val="DefaultParagraphFont"/>
    <w:link w:val="Quote"/>
    <w:uiPriority w:val="29"/>
    <w:rsid w:val="003C0914"/>
    <w:rPr>
      <w:i/>
      <w:iCs/>
      <w:color w:val="404040" w:themeColor="text1" w:themeTint="BF"/>
    </w:rPr>
  </w:style>
  <w:style w:type="paragraph" w:styleId="ListParagraph">
    <w:name w:val="List Paragraph"/>
    <w:basedOn w:val="Normal"/>
    <w:uiPriority w:val="34"/>
    <w:qFormat/>
    <w:rsid w:val="003C0914"/>
    <w:pPr>
      <w:ind w:left="720"/>
      <w:contextualSpacing/>
    </w:pPr>
  </w:style>
  <w:style w:type="character" w:styleId="IntenseEmphasis">
    <w:name w:val="Intense Emphasis"/>
    <w:basedOn w:val="DefaultParagraphFont"/>
    <w:uiPriority w:val="21"/>
    <w:qFormat/>
    <w:rsid w:val="003C0914"/>
    <w:rPr>
      <w:i/>
      <w:iCs/>
      <w:color w:val="0F4761" w:themeColor="accent1" w:themeShade="BF"/>
    </w:rPr>
  </w:style>
  <w:style w:type="paragraph" w:styleId="IntenseQuote">
    <w:name w:val="Intense Quote"/>
    <w:basedOn w:val="Normal"/>
    <w:next w:val="Normal"/>
    <w:link w:val="IntenseQuoteChar"/>
    <w:uiPriority w:val="30"/>
    <w:qFormat/>
    <w:rsid w:val="003C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14"/>
    <w:rPr>
      <w:i/>
      <w:iCs/>
      <w:color w:val="0F4761" w:themeColor="accent1" w:themeShade="BF"/>
    </w:rPr>
  </w:style>
  <w:style w:type="character" w:styleId="IntenseReference">
    <w:name w:val="Intense Reference"/>
    <w:basedOn w:val="DefaultParagraphFont"/>
    <w:uiPriority w:val="32"/>
    <w:qFormat/>
    <w:rsid w:val="003C0914"/>
    <w:rPr>
      <w:b/>
      <w:bCs/>
      <w:smallCaps/>
      <w:color w:val="0F4761" w:themeColor="accent1" w:themeShade="BF"/>
      <w:spacing w:val="5"/>
    </w:rPr>
  </w:style>
  <w:style w:type="paragraph" w:styleId="Header">
    <w:name w:val="header"/>
    <w:basedOn w:val="Normal"/>
    <w:link w:val="HeaderChar"/>
    <w:rsid w:val="00CE4E55"/>
    <w:pPr>
      <w:tabs>
        <w:tab w:val="center" w:pos="4153"/>
        <w:tab w:val="right" w:pos="8306"/>
      </w:tabs>
    </w:pPr>
  </w:style>
  <w:style w:type="character" w:customStyle="1" w:styleId="HeaderChar">
    <w:name w:val="Header Char"/>
    <w:basedOn w:val="DefaultParagraphFont"/>
    <w:link w:val="Header"/>
    <w:rsid w:val="00CE4E55"/>
    <w:rPr>
      <w:rFonts w:ascii="Verdana" w:eastAsia="Times New Roman" w:hAnsi="Verdana" w:cs="Times New Roman"/>
      <w:kern w:val="0"/>
      <w:szCs w:val="20"/>
      <w:lang w:eastAsia="en-GB"/>
      <w14:ligatures w14:val="none"/>
    </w:rPr>
  </w:style>
  <w:style w:type="paragraph" w:styleId="Footer">
    <w:name w:val="footer"/>
    <w:basedOn w:val="Normal"/>
    <w:link w:val="FooterChar"/>
    <w:rsid w:val="00CE4E55"/>
    <w:pPr>
      <w:tabs>
        <w:tab w:val="center" w:pos="4153"/>
        <w:tab w:val="right" w:pos="8306"/>
      </w:tabs>
    </w:pPr>
    <w:rPr>
      <w:sz w:val="18"/>
    </w:rPr>
  </w:style>
  <w:style w:type="character" w:customStyle="1" w:styleId="FooterChar">
    <w:name w:val="Footer Char"/>
    <w:basedOn w:val="DefaultParagraphFont"/>
    <w:link w:val="Footer"/>
    <w:rsid w:val="00CE4E55"/>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E4E55"/>
    <w:rPr>
      <w:rFonts w:ascii="Verdana" w:hAnsi="Verdana"/>
      <w:sz w:val="18"/>
    </w:rPr>
  </w:style>
  <w:style w:type="paragraph" w:customStyle="1" w:styleId="Noindent">
    <w:name w:val="No indent"/>
    <w:basedOn w:val="Normal"/>
    <w:rsid w:val="00CE4E55"/>
    <w:pPr>
      <w:tabs>
        <w:tab w:val="left" w:pos="426"/>
      </w:tabs>
    </w:pPr>
  </w:style>
  <w:style w:type="paragraph" w:customStyle="1" w:styleId="TBullet">
    <w:name w:val="T_Bullet"/>
    <w:basedOn w:val="Normal"/>
    <w:rsid w:val="00CE4E55"/>
    <w:pPr>
      <w:numPr>
        <w:numId w:val="1"/>
      </w:numPr>
      <w:tabs>
        <w:tab w:val="left" w:pos="851"/>
      </w:tabs>
    </w:pPr>
    <w:rPr>
      <w:color w:val="000000"/>
      <w:sz w:val="20"/>
    </w:rPr>
  </w:style>
  <w:style w:type="paragraph" w:customStyle="1" w:styleId="Style1">
    <w:name w:val="Style1"/>
    <w:basedOn w:val="Heading1"/>
    <w:rsid w:val="00CE4E55"/>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Conditions1">
    <w:name w:val="Conditions1"/>
    <w:rsid w:val="00CE4E55"/>
    <w:pPr>
      <w:numPr>
        <w:numId w:val="5"/>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CE4E55"/>
    <w:pPr>
      <w:numPr>
        <w:ilvl w:val="2"/>
        <w:numId w:val="5"/>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CE4E55"/>
    <w:pPr>
      <w:keepLines w:val="0"/>
      <w:widowControl w:val="0"/>
      <w:spacing w:before="180"/>
    </w:pPr>
    <w:rPr>
      <w:rFonts w:eastAsia="Times New Roman" w:cs="Times New Roman"/>
      <w:b/>
      <w:i w:val="0"/>
      <w:iCs w:val="0"/>
      <w:color w:val="000000"/>
    </w:rPr>
  </w:style>
  <w:style w:type="character" w:styleId="Hyperlink">
    <w:name w:val="Hyperlink"/>
    <w:basedOn w:val="DefaultParagraphFont"/>
    <w:rsid w:val="00CE4E55"/>
    <w:rPr>
      <w:color w:val="0000FF"/>
      <w:u w:val="single"/>
    </w:rPr>
  </w:style>
  <w:style w:type="paragraph" w:customStyle="1" w:styleId="ConditionsBullet">
    <w:name w:val="ConditionsBullet"/>
    <w:basedOn w:val="Conditions2"/>
    <w:qFormat/>
    <w:rsid w:val="00CE4E55"/>
    <w:pPr>
      <w:numPr>
        <w:ilvl w:val="3"/>
      </w:numPr>
      <w:spacing w:before="0"/>
    </w:pPr>
  </w:style>
  <w:style w:type="numbering" w:customStyle="1" w:styleId="ConditionsList">
    <w:name w:val="ConditionsList"/>
    <w:uiPriority w:val="99"/>
    <w:rsid w:val="00CE4E55"/>
    <w:pPr>
      <w:numPr>
        <w:numId w:val="2"/>
      </w:numPr>
    </w:pPr>
  </w:style>
  <w:style w:type="paragraph" w:customStyle="1" w:styleId="ConditionsNoNumber">
    <w:name w:val="ConditionsNoNumber"/>
    <w:basedOn w:val="Normal"/>
    <w:qFormat/>
    <w:rsid w:val="00CE4E55"/>
    <w:pPr>
      <w:numPr>
        <w:ilvl w:val="1"/>
        <w:numId w:val="5"/>
      </w:numPr>
      <w:spacing w:before="120"/>
    </w:pPr>
  </w:style>
  <w:style w:type="paragraph" w:customStyle="1" w:styleId="ConditionsNoNumberNoSpaceBefore">
    <w:name w:val="ConditionsNoNumberNoSpaceBefore"/>
    <w:basedOn w:val="ConditionsNoNumber"/>
    <w:qFormat/>
    <w:rsid w:val="00CE4E55"/>
    <w:pPr>
      <w:numPr>
        <w:ilvl w:val="4"/>
      </w:numPr>
      <w:spacing w:before="0"/>
    </w:pPr>
  </w:style>
  <w:style w:type="numbering" w:customStyle="1" w:styleId="StylesList">
    <w:name w:val="StylesList"/>
    <w:uiPriority w:val="99"/>
    <w:rsid w:val="00CE4E5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F40BA-305E-48AE-B956-7A319145B2E2}">
  <ds:schemaRefs>
    <ds:schemaRef ds:uri="http://schemas.microsoft.com/sharepoint/v3/contenttype/forms"/>
  </ds:schemaRefs>
</ds:datastoreItem>
</file>

<file path=customXml/itemProps2.xml><?xml version="1.0" encoding="utf-8"?>
<ds:datastoreItem xmlns:ds="http://schemas.openxmlformats.org/officeDocument/2006/customXml" ds:itemID="{70A0D071-5286-4355-B08E-8AF02D020421}"/>
</file>

<file path=customXml/itemProps3.xml><?xml version="1.0" encoding="utf-8"?>
<ds:datastoreItem xmlns:ds="http://schemas.openxmlformats.org/officeDocument/2006/customXml" ds:itemID="{B6BE1CF7-A9F8-473F-8B79-0584ED3C721D}">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7</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McPhail, Zoe</cp:lastModifiedBy>
  <cp:revision>636</cp:revision>
  <dcterms:created xsi:type="dcterms:W3CDTF">2025-10-17T10:36:00Z</dcterms:created>
  <dcterms:modified xsi:type="dcterms:W3CDTF">2026-05-13T13:36:00Z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