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02AF4" w14:textId="77777777" w:rsidR="00620D5B" w:rsidRDefault="00620D5B">
      <w:pPr>
        <w:pStyle w:val="NormalWeb"/>
      </w:pPr>
    </w:p>
    <w:tbl>
      <w:tblPr>
        <w:tblW w:w="10380" w:type="dxa"/>
        <w:tblCellMar>
          <w:top w:w="15" w:type="dxa"/>
          <w:left w:w="15" w:type="dxa"/>
          <w:bottom w:w="15" w:type="dxa"/>
          <w:right w:w="15" w:type="dxa"/>
        </w:tblCellMar>
        <w:tblLook w:val="0000" w:firstRow="0" w:lastRow="0" w:firstColumn="0" w:lastColumn="0" w:noHBand="0" w:noVBand="0"/>
      </w:tblPr>
      <w:tblGrid>
        <w:gridCol w:w="4242"/>
        <w:gridCol w:w="2663"/>
        <w:gridCol w:w="3475"/>
      </w:tblGrid>
      <w:tr w:rsidR="00620D5B" w14:paraId="286AE4A6" w14:textId="77777777">
        <w:trPr>
          <w:divId w:val="1670600513"/>
          <w:trHeight w:val="675"/>
        </w:trPr>
        <w:tc>
          <w:tcPr>
            <w:tcW w:w="10350" w:type="dxa"/>
            <w:gridSpan w:val="3"/>
            <w:vAlign w:val="center"/>
          </w:tcPr>
          <w:p w14:paraId="2C3C8299" w14:textId="21C0DF0D" w:rsidR="00620D5B" w:rsidRDefault="00273049">
            <w:pPr>
              <w:pStyle w:val="NormalWeb"/>
            </w:pPr>
            <w:r>
              <w:rPr>
                <w:noProof/>
              </w:rPr>
              <w:drawing>
                <wp:inline distT="0" distB="0" distL="0" distR="0" wp14:anchorId="7F65E0DA" wp14:editId="6072B5A4">
                  <wp:extent cx="3352800" cy="35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2800" cy="352425"/>
                          </a:xfrm>
                          <a:prstGeom prst="rect">
                            <a:avLst/>
                          </a:prstGeom>
                          <a:noFill/>
                          <a:ln>
                            <a:noFill/>
                          </a:ln>
                        </pic:spPr>
                      </pic:pic>
                    </a:graphicData>
                  </a:graphic>
                </wp:inline>
              </w:drawing>
            </w:r>
          </w:p>
        </w:tc>
      </w:tr>
      <w:tr w:rsidR="00620D5B" w14:paraId="53DA90A8" w14:textId="77777777">
        <w:trPr>
          <w:divId w:val="1670600513"/>
          <w:trHeight w:val="405"/>
        </w:trPr>
        <w:tc>
          <w:tcPr>
            <w:tcW w:w="10350" w:type="dxa"/>
            <w:gridSpan w:val="3"/>
            <w:vAlign w:val="center"/>
          </w:tcPr>
          <w:p w14:paraId="27D28F92" w14:textId="77777777" w:rsidR="00620D5B" w:rsidRDefault="00620D5B">
            <w:r>
              <w:t> </w:t>
            </w:r>
          </w:p>
        </w:tc>
      </w:tr>
      <w:tr w:rsidR="00620D5B" w14:paraId="0CDEC121" w14:textId="77777777">
        <w:trPr>
          <w:divId w:val="1670600513"/>
          <w:trHeight w:val="1155"/>
        </w:trPr>
        <w:tc>
          <w:tcPr>
            <w:tcW w:w="4230" w:type="dxa"/>
          </w:tcPr>
          <w:p w14:paraId="26143ECD" w14:textId="77777777" w:rsidR="00273049" w:rsidRPr="0069217D" w:rsidRDefault="00273049" w:rsidP="00273049">
            <w:pPr>
              <w:pStyle w:val="contact"/>
              <w:rPr>
                <w:rFonts w:cs="Arial"/>
              </w:rPr>
            </w:pPr>
            <w:r w:rsidRPr="0069217D">
              <w:rPr>
                <w:rFonts w:cs="Arial"/>
              </w:rPr>
              <w:t>c/o QUADIENT</w:t>
            </w:r>
          </w:p>
          <w:p w14:paraId="71BA09FF" w14:textId="77777777" w:rsidR="00273049" w:rsidRPr="0069217D" w:rsidRDefault="00273049" w:rsidP="00273049">
            <w:pPr>
              <w:pStyle w:val="contact"/>
              <w:rPr>
                <w:rFonts w:cs="Arial"/>
              </w:rPr>
            </w:pPr>
            <w:r w:rsidRPr="0069217D">
              <w:rPr>
                <w:rFonts w:cs="Arial"/>
              </w:rPr>
              <w:t>69 Buckingham Avenue</w:t>
            </w:r>
          </w:p>
          <w:p w14:paraId="3D69C77C" w14:textId="091E7F70" w:rsidR="00620D5B" w:rsidRDefault="00273049" w:rsidP="00273049">
            <w:pPr>
              <w:pStyle w:val="contact"/>
            </w:pPr>
            <w:r w:rsidRPr="0069217D">
              <w:rPr>
                <w:rFonts w:cs="Arial"/>
              </w:rPr>
              <w:t>Slough, SL1 4PN</w:t>
            </w:r>
          </w:p>
        </w:tc>
        <w:tc>
          <w:tcPr>
            <w:tcW w:w="2655" w:type="dxa"/>
          </w:tcPr>
          <w:p w14:paraId="1E16B518" w14:textId="77777777" w:rsidR="00620D5B" w:rsidRDefault="00620D5B">
            <w:pPr>
              <w:pStyle w:val="contact"/>
            </w:pPr>
            <w:r>
              <w:t>Direct Line:</w:t>
            </w:r>
          </w:p>
          <w:p w14:paraId="682E1369" w14:textId="77777777" w:rsidR="00620D5B" w:rsidRDefault="00620D5B">
            <w:pPr>
              <w:pStyle w:val="contact"/>
            </w:pPr>
            <w:r>
              <w:t>Customer Services:</w:t>
            </w:r>
          </w:p>
          <w:p w14:paraId="4AAB9E1A" w14:textId="77777777" w:rsidR="00FF23DB" w:rsidRDefault="00FF23DB">
            <w:pPr>
              <w:pStyle w:val="contact"/>
            </w:pPr>
          </w:p>
          <w:p w14:paraId="34DD280F" w14:textId="77777777" w:rsidR="00FF23DB" w:rsidRDefault="00FF23DB" w:rsidP="004A1171">
            <w:pPr>
              <w:pStyle w:val="contact"/>
            </w:pPr>
          </w:p>
        </w:tc>
        <w:tc>
          <w:tcPr>
            <w:tcW w:w="3390" w:type="dxa"/>
          </w:tcPr>
          <w:p w14:paraId="23568E69" w14:textId="77777777" w:rsidR="00620D5B" w:rsidRDefault="00802DE1">
            <w:pPr>
              <w:pStyle w:val="contact"/>
            </w:pPr>
            <w:r>
              <w:t>0303 444 5</w:t>
            </w:r>
            <w:r w:rsidR="004A1171">
              <w:t>601</w:t>
            </w:r>
          </w:p>
          <w:p w14:paraId="4AA20625" w14:textId="77777777" w:rsidR="00620D5B" w:rsidRDefault="009662BA">
            <w:pPr>
              <w:pStyle w:val="contact"/>
            </w:pPr>
            <w:r>
              <w:t>0303 444 5000</w:t>
            </w:r>
          </w:p>
          <w:p w14:paraId="44D29587" w14:textId="77777777" w:rsidR="00FF23DB" w:rsidRDefault="00FF23DB">
            <w:pPr>
              <w:pStyle w:val="contact"/>
            </w:pPr>
          </w:p>
          <w:p w14:paraId="5DBF3EF2" w14:textId="77777777" w:rsidR="00FF23DB" w:rsidRDefault="00FF23DB" w:rsidP="004A1171">
            <w:pPr>
              <w:pStyle w:val="NormalWeb"/>
            </w:pPr>
          </w:p>
        </w:tc>
      </w:tr>
    </w:tbl>
    <w:p w14:paraId="58A3C217" w14:textId="77777777" w:rsidR="007A3C57" w:rsidRDefault="007A3C57">
      <w:pPr>
        <w:pStyle w:val="NormalWeb"/>
      </w:pP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8"/>
        <w:gridCol w:w="5500"/>
      </w:tblGrid>
      <w:tr w:rsidR="007A3C57" w14:paraId="4D0299B2" w14:textId="77777777" w:rsidTr="00C243E5">
        <w:trPr>
          <w:trHeight w:val="2175"/>
        </w:trPr>
        <w:tc>
          <w:tcPr>
            <w:tcW w:w="4398" w:type="dxa"/>
            <w:tcBorders>
              <w:top w:val="single" w:sz="12" w:space="0" w:color="auto"/>
              <w:left w:val="nil"/>
              <w:bottom w:val="single" w:sz="12" w:space="0" w:color="auto"/>
              <w:right w:val="nil"/>
            </w:tcBorders>
          </w:tcPr>
          <w:p w14:paraId="1D59C18D" w14:textId="77777777" w:rsidR="003113FB" w:rsidRDefault="003113FB" w:rsidP="00C21B63">
            <w:pPr>
              <w:ind w:right="98"/>
              <w:rPr>
                <w:szCs w:val="22"/>
              </w:rPr>
            </w:pPr>
          </w:p>
          <w:p w14:paraId="2C1D7192" w14:textId="77777777" w:rsidR="00567E45" w:rsidRDefault="00CC4CBC" w:rsidP="00C243E5">
            <w:pPr>
              <w:rPr>
                <w:szCs w:val="22"/>
              </w:rPr>
            </w:pPr>
            <w:r>
              <w:rPr>
                <w:szCs w:val="22"/>
              </w:rPr>
              <w:t xml:space="preserve">Mr </w:t>
            </w:r>
            <w:r w:rsidR="006870D2">
              <w:rPr>
                <w:szCs w:val="22"/>
              </w:rPr>
              <w:t>Richard Maher</w:t>
            </w:r>
          </w:p>
          <w:p w14:paraId="7F89FA67" w14:textId="77777777" w:rsidR="006870D2" w:rsidRDefault="006870D2" w:rsidP="00C243E5">
            <w:pPr>
              <w:rPr>
                <w:szCs w:val="22"/>
              </w:rPr>
            </w:pPr>
            <w:r>
              <w:rPr>
                <w:szCs w:val="22"/>
              </w:rPr>
              <w:t>199A Main Street</w:t>
            </w:r>
          </w:p>
          <w:p w14:paraId="2CF6EA8C" w14:textId="77777777" w:rsidR="006870D2" w:rsidRDefault="006870D2" w:rsidP="00C243E5">
            <w:pPr>
              <w:rPr>
                <w:szCs w:val="22"/>
              </w:rPr>
            </w:pPr>
            <w:proofErr w:type="spellStart"/>
            <w:r>
              <w:rPr>
                <w:szCs w:val="22"/>
              </w:rPr>
              <w:t>Newthorpe</w:t>
            </w:r>
            <w:proofErr w:type="spellEnd"/>
          </w:p>
          <w:p w14:paraId="208D5ED3" w14:textId="77777777" w:rsidR="006870D2" w:rsidRDefault="006870D2" w:rsidP="00C243E5">
            <w:pPr>
              <w:rPr>
                <w:szCs w:val="22"/>
              </w:rPr>
            </w:pPr>
            <w:r>
              <w:rPr>
                <w:szCs w:val="22"/>
              </w:rPr>
              <w:t>Nottingham</w:t>
            </w:r>
          </w:p>
          <w:p w14:paraId="7B96596B" w14:textId="7B5A536C" w:rsidR="006870D2" w:rsidRPr="00CC4CBC" w:rsidRDefault="006870D2" w:rsidP="00C243E5">
            <w:pPr>
              <w:rPr>
                <w:szCs w:val="22"/>
              </w:rPr>
            </w:pPr>
            <w:r>
              <w:rPr>
                <w:szCs w:val="22"/>
              </w:rPr>
              <w:t>NG16 2DL</w:t>
            </w:r>
          </w:p>
        </w:tc>
        <w:tc>
          <w:tcPr>
            <w:tcW w:w="5500" w:type="dxa"/>
            <w:tcBorders>
              <w:top w:val="single" w:sz="12" w:space="0" w:color="auto"/>
              <w:left w:val="nil"/>
              <w:bottom w:val="single" w:sz="12" w:space="0" w:color="auto"/>
              <w:right w:val="nil"/>
            </w:tcBorders>
          </w:tcPr>
          <w:p w14:paraId="51F1662A" w14:textId="77777777" w:rsidR="00620D5B" w:rsidRDefault="00620D5B">
            <w:pPr>
              <w:ind w:right="98"/>
              <w:rPr>
                <w:szCs w:val="22"/>
              </w:rPr>
            </w:pPr>
          </w:p>
          <w:tbl>
            <w:tblPr>
              <w:tblW w:w="5940" w:type="dxa"/>
              <w:tblBorders>
                <w:top w:val="outset" w:sz="2" w:space="0" w:color="111111"/>
                <w:left w:val="outset" w:sz="2" w:space="0" w:color="111111"/>
                <w:bottom w:val="outset" w:sz="2" w:space="0" w:color="111111"/>
                <w:right w:val="outset" w:sz="2" w:space="0" w:color="111111"/>
              </w:tblBorders>
              <w:tblLayout w:type="fixed"/>
              <w:tblCellMar>
                <w:left w:w="0" w:type="dxa"/>
                <w:right w:w="0" w:type="dxa"/>
              </w:tblCellMar>
              <w:tblLook w:val="0000" w:firstRow="0" w:lastRow="0" w:firstColumn="0" w:lastColumn="0" w:noHBand="0" w:noVBand="0"/>
            </w:tblPr>
            <w:tblGrid>
              <w:gridCol w:w="4222"/>
              <w:gridCol w:w="1718"/>
            </w:tblGrid>
            <w:tr w:rsidR="00620D5B" w14:paraId="418429C3" w14:textId="77777777" w:rsidTr="00362824">
              <w:trPr>
                <w:divId w:val="629827921"/>
                <w:trHeight w:val="450"/>
              </w:trPr>
              <w:tc>
                <w:tcPr>
                  <w:tcW w:w="4222" w:type="dxa"/>
                  <w:tcBorders>
                    <w:top w:val="nil"/>
                    <w:left w:val="nil"/>
                    <w:bottom w:val="nil"/>
                    <w:right w:val="nil"/>
                  </w:tcBorders>
                  <w:vAlign w:val="center"/>
                </w:tcPr>
                <w:p w14:paraId="34E942AF" w14:textId="016EBA64" w:rsidR="00620D5B" w:rsidRPr="007333D2" w:rsidRDefault="00620D5B" w:rsidP="003113FB">
                  <w:pPr>
                    <w:rPr>
                      <w:szCs w:val="22"/>
                    </w:rPr>
                  </w:pPr>
                  <w:r w:rsidRPr="007333D2">
                    <w:rPr>
                      <w:szCs w:val="22"/>
                    </w:rPr>
                    <w:t>Your Ref:</w:t>
                  </w:r>
                  <w:r w:rsidR="00362824">
                    <w:rPr>
                      <w:szCs w:val="22"/>
                    </w:rPr>
                    <w:t xml:space="preserve">  </w:t>
                  </w:r>
                  <w:r w:rsidR="006870D2">
                    <w:rPr>
                      <w:szCs w:val="22"/>
                    </w:rPr>
                    <w:t>M1</w:t>
                  </w:r>
                </w:p>
              </w:tc>
              <w:tc>
                <w:tcPr>
                  <w:tcW w:w="1718" w:type="dxa"/>
                  <w:tcBorders>
                    <w:top w:val="nil"/>
                    <w:left w:val="nil"/>
                    <w:bottom w:val="nil"/>
                    <w:right w:val="nil"/>
                  </w:tcBorders>
                  <w:vAlign w:val="center"/>
                </w:tcPr>
                <w:p w14:paraId="73AFFCDA" w14:textId="77777777" w:rsidR="00620D5B" w:rsidRDefault="00620D5B">
                  <w:pPr>
                    <w:rPr>
                      <w:sz w:val="20"/>
                      <w:szCs w:val="20"/>
                    </w:rPr>
                  </w:pPr>
                  <w:r>
                    <w:rPr>
                      <w:sz w:val="20"/>
                      <w:szCs w:val="20"/>
                    </w:rPr>
                    <w:fldChar w:fldCharType="begin"/>
                  </w:r>
                  <w:r>
                    <w:rPr>
                      <w:sz w:val="20"/>
                      <w:szCs w:val="20"/>
                    </w:rPr>
                    <w:instrText>MERGEFIELD "Reference_Number"</w:instrText>
                  </w:r>
                  <w:r>
                    <w:rPr>
                      <w:sz w:val="20"/>
                      <w:szCs w:val="20"/>
                    </w:rPr>
                    <w:fldChar w:fldCharType="end"/>
                  </w:r>
                </w:p>
              </w:tc>
            </w:tr>
            <w:tr w:rsidR="00620D5B" w14:paraId="70216594" w14:textId="77777777" w:rsidTr="00362824">
              <w:trPr>
                <w:divId w:val="629827921"/>
                <w:trHeight w:val="360"/>
              </w:trPr>
              <w:tc>
                <w:tcPr>
                  <w:tcW w:w="4222" w:type="dxa"/>
                  <w:tcBorders>
                    <w:top w:val="nil"/>
                    <w:left w:val="nil"/>
                    <w:bottom w:val="nil"/>
                    <w:right w:val="nil"/>
                  </w:tcBorders>
                  <w:vAlign w:val="center"/>
                </w:tcPr>
                <w:p w14:paraId="0642ED58" w14:textId="36FA326E" w:rsidR="00620D5B" w:rsidRPr="007333D2" w:rsidRDefault="00620D5B" w:rsidP="00367E7C">
                  <w:pPr>
                    <w:rPr>
                      <w:szCs w:val="22"/>
                    </w:rPr>
                  </w:pPr>
                  <w:r w:rsidRPr="007333D2">
                    <w:rPr>
                      <w:szCs w:val="22"/>
                    </w:rPr>
                    <w:t>Our Ref:</w:t>
                  </w:r>
                  <w:r w:rsidR="00362824">
                    <w:rPr>
                      <w:szCs w:val="22"/>
                    </w:rPr>
                    <w:t xml:space="preserve">   </w:t>
                  </w:r>
                  <w:r w:rsidR="00C71B1A">
                    <w:rPr>
                      <w:szCs w:val="22"/>
                    </w:rPr>
                    <w:t>ROW/32</w:t>
                  </w:r>
                  <w:r w:rsidR="006870D2">
                    <w:rPr>
                      <w:szCs w:val="22"/>
                    </w:rPr>
                    <w:t>62032</w:t>
                  </w:r>
                  <w:r w:rsidR="006628E6" w:rsidRPr="0056499B">
                    <w:rPr>
                      <w:szCs w:val="22"/>
                    </w:rPr>
                    <w:t>M</w:t>
                  </w:r>
                </w:p>
              </w:tc>
              <w:tc>
                <w:tcPr>
                  <w:tcW w:w="1718" w:type="dxa"/>
                  <w:tcBorders>
                    <w:top w:val="nil"/>
                    <w:left w:val="nil"/>
                    <w:bottom w:val="nil"/>
                    <w:right w:val="nil"/>
                  </w:tcBorders>
                  <w:tcMar>
                    <w:top w:w="120" w:type="dxa"/>
                    <w:left w:w="0" w:type="dxa"/>
                    <w:bottom w:w="0" w:type="dxa"/>
                    <w:right w:w="0" w:type="dxa"/>
                  </w:tcMar>
                </w:tcPr>
                <w:p w14:paraId="5097F1BB" w14:textId="77777777" w:rsidR="00620D5B" w:rsidRDefault="008B35B9">
                  <w:pPr>
                    <w:rPr>
                      <w:sz w:val="20"/>
                      <w:szCs w:val="20"/>
                    </w:rPr>
                  </w:pPr>
                  <w:r>
                    <w:rPr>
                      <w:szCs w:val="22"/>
                    </w:rPr>
                    <w:t xml:space="preserve"> </w:t>
                  </w:r>
                </w:p>
              </w:tc>
            </w:tr>
            <w:tr w:rsidR="00620D5B" w14:paraId="5668B7BE" w14:textId="77777777" w:rsidTr="00362824">
              <w:trPr>
                <w:divId w:val="629827921"/>
                <w:trHeight w:val="525"/>
              </w:trPr>
              <w:tc>
                <w:tcPr>
                  <w:tcW w:w="4222" w:type="dxa"/>
                  <w:tcBorders>
                    <w:top w:val="nil"/>
                    <w:left w:val="nil"/>
                    <w:bottom w:val="nil"/>
                    <w:right w:val="nil"/>
                  </w:tcBorders>
                  <w:vAlign w:val="center"/>
                </w:tcPr>
                <w:p w14:paraId="4C42C604" w14:textId="2645D7C0" w:rsidR="00620D5B" w:rsidRPr="007333D2" w:rsidRDefault="00620D5B" w:rsidP="00367E7C">
                  <w:pPr>
                    <w:rPr>
                      <w:szCs w:val="22"/>
                    </w:rPr>
                  </w:pPr>
                  <w:r w:rsidRPr="007333D2">
                    <w:rPr>
                      <w:szCs w:val="22"/>
                    </w:rPr>
                    <w:t>Date:</w:t>
                  </w:r>
                  <w:r w:rsidR="00362824">
                    <w:rPr>
                      <w:szCs w:val="22"/>
                    </w:rPr>
                    <w:t xml:space="preserve">   </w:t>
                  </w:r>
                  <w:r w:rsidR="007B31A9">
                    <w:rPr>
                      <w:szCs w:val="22"/>
                    </w:rPr>
                    <w:t xml:space="preserve"> </w:t>
                  </w:r>
                  <w:r w:rsidR="00B35D11">
                    <w:rPr>
                      <w:szCs w:val="22"/>
                    </w:rPr>
                    <w:t>14 May 2026</w:t>
                  </w:r>
                </w:p>
              </w:tc>
              <w:tc>
                <w:tcPr>
                  <w:tcW w:w="1718" w:type="dxa"/>
                  <w:tcBorders>
                    <w:top w:val="nil"/>
                    <w:left w:val="nil"/>
                    <w:bottom w:val="nil"/>
                    <w:right w:val="nil"/>
                  </w:tcBorders>
                  <w:vAlign w:val="center"/>
                </w:tcPr>
                <w:p w14:paraId="38B36CFB" w14:textId="77777777" w:rsidR="00620D5B" w:rsidRPr="007333D2" w:rsidRDefault="00620D5B">
                  <w:pPr>
                    <w:rPr>
                      <w:szCs w:val="22"/>
                    </w:rPr>
                  </w:pPr>
                  <w:r w:rsidRPr="007333D2">
                    <w:rPr>
                      <w:szCs w:val="22"/>
                    </w:rPr>
                    <w:t xml:space="preserve"> </w:t>
                  </w:r>
                </w:p>
              </w:tc>
            </w:tr>
          </w:tbl>
          <w:p w14:paraId="0A5DD6B5" w14:textId="77777777" w:rsidR="007A3C57" w:rsidRDefault="007A3C57">
            <w:pPr>
              <w:ind w:right="98"/>
              <w:rPr>
                <w:szCs w:val="22"/>
              </w:rPr>
            </w:pPr>
          </w:p>
        </w:tc>
      </w:tr>
    </w:tbl>
    <w:p w14:paraId="77CF277D" w14:textId="77777777" w:rsidR="004A1171" w:rsidRDefault="004A1171" w:rsidP="004A1171">
      <w:pPr>
        <w:rPr>
          <w:szCs w:val="20"/>
        </w:rPr>
      </w:pPr>
    </w:p>
    <w:p w14:paraId="612AE0D7" w14:textId="77777777" w:rsidR="00367E7C" w:rsidRDefault="003D5EDA" w:rsidP="00367E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Pr>
          <w:szCs w:val="22"/>
        </w:rPr>
        <w:t xml:space="preserve">Dear </w:t>
      </w:r>
      <w:r w:rsidR="00C243E5">
        <w:rPr>
          <w:szCs w:val="22"/>
        </w:rPr>
        <w:t>Sir</w:t>
      </w:r>
    </w:p>
    <w:p w14:paraId="450090D1" w14:textId="77777777" w:rsidR="00367E7C" w:rsidRDefault="00367E7C" w:rsidP="00367E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b/>
          <w:spacing w:val="-3"/>
          <w:szCs w:val="22"/>
        </w:rPr>
      </w:pPr>
    </w:p>
    <w:p w14:paraId="41C06D4E" w14:textId="77777777" w:rsidR="00367E7C" w:rsidRDefault="00367E7C" w:rsidP="00367E7C">
      <w:pPr>
        <w:tabs>
          <w:tab w:val="left" w:pos="0"/>
        </w:tabs>
        <w:suppressAutoHyphens/>
        <w:jc w:val="both"/>
        <w:rPr>
          <w:b/>
          <w:spacing w:val="-3"/>
          <w:szCs w:val="22"/>
        </w:rPr>
      </w:pPr>
      <w:r>
        <w:rPr>
          <w:b/>
          <w:spacing w:val="-3"/>
          <w:szCs w:val="22"/>
        </w:rPr>
        <w:t>LOCAL GOVERNMENT ACT 1972 - SECTION 250(5)</w:t>
      </w:r>
    </w:p>
    <w:p w14:paraId="0E2E18D7" w14:textId="302483C2" w:rsidR="00367E7C" w:rsidRPr="00860BE8" w:rsidRDefault="006870D2" w:rsidP="00367E7C">
      <w:pPr>
        <w:tabs>
          <w:tab w:val="left" w:pos="0"/>
        </w:tabs>
        <w:suppressAutoHyphens/>
        <w:jc w:val="both"/>
        <w:rPr>
          <w:b/>
          <w:spacing w:val="-3"/>
          <w:szCs w:val="22"/>
        </w:rPr>
      </w:pPr>
      <w:r w:rsidRPr="00860BE8">
        <w:rPr>
          <w:b/>
          <w:spacing w:val="-3"/>
          <w:szCs w:val="22"/>
        </w:rPr>
        <w:t>HIGHWAYS ACT 1980 SCHEDULE 6 (AS AMENDED</w:t>
      </w:r>
      <w:r w:rsidR="00860BE8">
        <w:rPr>
          <w:b/>
          <w:spacing w:val="-3"/>
          <w:szCs w:val="22"/>
        </w:rPr>
        <w:t>)</w:t>
      </w:r>
    </w:p>
    <w:p w14:paraId="35A44F4C" w14:textId="12FB9088" w:rsidR="00367E7C" w:rsidRPr="00860BE8" w:rsidRDefault="00367E7C" w:rsidP="00367E7C">
      <w:pPr>
        <w:tabs>
          <w:tab w:val="left" w:pos="0"/>
        </w:tabs>
        <w:suppressAutoHyphens/>
        <w:jc w:val="both"/>
        <w:rPr>
          <w:b/>
          <w:spacing w:val="-3"/>
          <w:szCs w:val="22"/>
        </w:rPr>
      </w:pPr>
      <w:r w:rsidRPr="00860BE8">
        <w:rPr>
          <w:b/>
          <w:spacing w:val="-3"/>
          <w:szCs w:val="22"/>
        </w:rPr>
        <w:t>T</w:t>
      </w:r>
      <w:r w:rsidR="00C71B1A" w:rsidRPr="00860BE8">
        <w:rPr>
          <w:b/>
          <w:spacing w:val="-3"/>
          <w:szCs w:val="22"/>
        </w:rPr>
        <w:t>ITLE OF ORDER: NO</w:t>
      </w:r>
      <w:r w:rsidR="006628E6" w:rsidRPr="00860BE8">
        <w:rPr>
          <w:b/>
          <w:spacing w:val="-3"/>
          <w:szCs w:val="22"/>
        </w:rPr>
        <w:t>TTINGHAMSHIRE</w:t>
      </w:r>
      <w:r w:rsidR="00C71B1A" w:rsidRPr="00860BE8">
        <w:rPr>
          <w:b/>
          <w:spacing w:val="-3"/>
          <w:szCs w:val="22"/>
        </w:rPr>
        <w:t xml:space="preserve"> COUNTY COUNCIL (</w:t>
      </w:r>
      <w:r w:rsidR="006628E6" w:rsidRPr="00860BE8">
        <w:rPr>
          <w:b/>
          <w:spacing w:val="-3"/>
          <w:szCs w:val="22"/>
        </w:rPr>
        <w:t>GREASLEY FOOTPATH NO. 32 AND NO. 40) DIVERSION ORDER 2019</w:t>
      </w:r>
    </w:p>
    <w:p w14:paraId="7B82D77E" w14:textId="77777777" w:rsidR="00367E7C" w:rsidRDefault="00367E7C" w:rsidP="00D651AC">
      <w:pPr>
        <w:tabs>
          <w:tab w:val="left" w:pos="0"/>
        </w:tabs>
        <w:suppressAutoHyphens/>
        <w:rPr>
          <w:b/>
          <w:spacing w:val="-3"/>
          <w:szCs w:val="22"/>
        </w:rPr>
      </w:pPr>
      <w:r>
        <w:rPr>
          <w:b/>
          <w:spacing w:val="-3"/>
          <w:szCs w:val="22"/>
        </w:rPr>
        <w:t xml:space="preserve">APPLICATION FOR </w:t>
      </w:r>
      <w:r w:rsidR="000A3C04">
        <w:rPr>
          <w:b/>
          <w:spacing w:val="-3"/>
          <w:szCs w:val="22"/>
        </w:rPr>
        <w:t xml:space="preserve">AN </w:t>
      </w:r>
      <w:r>
        <w:rPr>
          <w:b/>
          <w:spacing w:val="-3"/>
          <w:szCs w:val="22"/>
        </w:rPr>
        <w:t>AWARD OF COSTS</w:t>
      </w:r>
    </w:p>
    <w:p w14:paraId="65920883" w14:textId="77777777" w:rsidR="00367E7C" w:rsidRDefault="00367E7C" w:rsidP="00D65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pacing w:val="-3"/>
          <w:szCs w:val="20"/>
        </w:rPr>
      </w:pPr>
    </w:p>
    <w:p w14:paraId="2E5D80A7" w14:textId="701E3528" w:rsidR="00C243E5" w:rsidRPr="006E192B" w:rsidRDefault="00C243E5" w:rsidP="00C24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color w:val="FF0000"/>
        </w:rPr>
      </w:pPr>
      <w:r>
        <w:rPr>
          <w:spacing w:val="-3"/>
        </w:rPr>
        <w:t>1.</w:t>
      </w:r>
      <w:r>
        <w:rPr>
          <w:spacing w:val="-3"/>
        </w:rPr>
        <w:tab/>
        <w:t xml:space="preserve">I am directed by the Secretary of State </w:t>
      </w:r>
      <w:r w:rsidRPr="006C44D7">
        <w:rPr>
          <w:spacing w:val="-3"/>
        </w:rPr>
        <w:t>for Environment, Food and Rural Affairs</w:t>
      </w:r>
      <w:r w:rsidR="00224140" w:rsidRPr="006C44D7">
        <w:rPr>
          <w:spacing w:val="-3"/>
        </w:rPr>
        <w:t xml:space="preserve"> </w:t>
      </w:r>
      <w:r w:rsidRPr="006C44D7">
        <w:rPr>
          <w:spacing w:val="-3"/>
        </w:rPr>
        <w:t xml:space="preserve">to </w:t>
      </w:r>
      <w:r>
        <w:rPr>
          <w:spacing w:val="-3"/>
        </w:rPr>
        <w:t>refer to Inspector</w:t>
      </w:r>
      <w:r w:rsidR="00224140">
        <w:rPr>
          <w:spacing w:val="-3"/>
        </w:rPr>
        <w:t xml:space="preserve">’s </w:t>
      </w:r>
      <w:r>
        <w:rPr>
          <w:spacing w:val="-3"/>
        </w:rPr>
        <w:t xml:space="preserve">decision of </w:t>
      </w:r>
      <w:r w:rsidR="00D95662">
        <w:rPr>
          <w:spacing w:val="-3"/>
        </w:rPr>
        <w:t>2</w:t>
      </w:r>
      <w:r w:rsidR="00224140">
        <w:rPr>
          <w:spacing w:val="-3"/>
        </w:rPr>
        <w:t>8 January 2026</w:t>
      </w:r>
      <w:r>
        <w:rPr>
          <w:spacing w:val="-3"/>
        </w:rPr>
        <w:t xml:space="preserve"> confirming the above </w:t>
      </w:r>
      <w:r w:rsidR="00224140">
        <w:rPr>
          <w:spacing w:val="-3"/>
        </w:rPr>
        <w:t>O</w:t>
      </w:r>
      <w:r>
        <w:rPr>
          <w:spacing w:val="-3"/>
        </w:rPr>
        <w:t xml:space="preserve">rder subject to modifications. </w:t>
      </w:r>
      <w:r w:rsidR="00224140">
        <w:rPr>
          <w:spacing w:val="-3"/>
        </w:rPr>
        <w:t xml:space="preserve"> </w:t>
      </w:r>
      <w:r w:rsidR="0056499B" w:rsidRPr="0056499B">
        <w:rPr>
          <w:spacing w:val="-3"/>
        </w:rPr>
        <w:t xml:space="preserve">The effect of the </w:t>
      </w:r>
      <w:r w:rsidR="00D26F7B">
        <w:rPr>
          <w:spacing w:val="-3"/>
        </w:rPr>
        <w:t>O</w:t>
      </w:r>
      <w:r w:rsidR="0056499B" w:rsidRPr="0056499B">
        <w:rPr>
          <w:spacing w:val="-3"/>
        </w:rPr>
        <w:t>rder was as stated in the preamble to h</w:t>
      </w:r>
      <w:r w:rsidR="0056499B">
        <w:rPr>
          <w:spacing w:val="-3"/>
        </w:rPr>
        <w:t>is</w:t>
      </w:r>
      <w:r w:rsidR="0056499B" w:rsidRPr="0056499B">
        <w:rPr>
          <w:spacing w:val="-3"/>
        </w:rPr>
        <w:t xml:space="preserve"> decision.</w:t>
      </w:r>
      <w:r w:rsidR="0056499B">
        <w:rPr>
          <w:spacing w:val="-3"/>
        </w:rPr>
        <w:t xml:space="preserve">  </w:t>
      </w:r>
      <w:r w:rsidR="00BA594F">
        <w:rPr>
          <w:spacing w:val="-3"/>
        </w:rPr>
        <w:t>The Order was subject to an Interim Decision issued on 7 December 2022</w:t>
      </w:r>
      <w:r w:rsidR="00C3339A">
        <w:rPr>
          <w:spacing w:val="-3"/>
        </w:rPr>
        <w:t xml:space="preserve"> following an inquiry held on </w:t>
      </w:r>
      <w:r w:rsidR="00BC16D5">
        <w:rPr>
          <w:spacing w:val="-3"/>
        </w:rPr>
        <w:t>11 October 2022</w:t>
      </w:r>
      <w:r w:rsidR="00BA594F">
        <w:rPr>
          <w:spacing w:val="-3"/>
        </w:rPr>
        <w:t xml:space="preserve">.  </w:t>
      </w:r>
      <w:r w:rsidR="00BC16D5">
        <w:rPr>
          <w:spacing w:val="-3"/>
        </w:rPr>
        <w:t xml:space="preserve">A further inquiry opened on 3 February </w:t>
      </w:r>
      <w:proofErr w:type="gramStart"/>
      <w:r w:rsidR="00BC16D5">
        <w:rPr>
          <w:spacing w:val="-3"/>
        </w:rPr>
        <w:t>2025</w:t>
      </w:r>
      <w:proofErr w:type="gramEnd"/>
      <w:r w:rsidR="00BC16D5">
        <w:rPr>
          <w:spacing w:val="-3"/>
        </w:rPr>
        <w:t xml:space="preserve"> and the final Order decision was issued on 28 January 2026.   </w:t>
      </w:r>
    </w:p>
    <w:p w14:paraId="541D5232" w14:textId="77777777" w:rsidR="00C243E5" w:rsidRDefault="00C243E5" w:rsidP="00C243E5">
      <w:pPr>
        <w:pStyle w:val="BodyText"/>
        <w:jc w:val="left"/>
      </w:pPr>
    </w:p>
    <w:p w14:paraId="1B5BD76A" w14:textId="0EA66F00" w:rsidR="009433A8" w:rsidRDefault="00C243E5" w:rsidP="00E04B08">
      <w:pPr>
        <w:pStyle w:val="BodyText"/>
        <w:jc w:val="left"/>
        <w:rPr>
          <w:rFonts w:ascii="Verdana" w:hAnsi="Verdana"/>
          <w:kern w:val="24"/>
          <w:sz w:val="22"/>
          <w:szCs w:val="22"/>
        </w:rPr>
      </w:pPr>
      <w:r w:rsidRPr="00E569E3">
        <w:rPr>
          <w:rFonts w:ascii="Verdana" w:hAnsi="Verdana"/>
          <w:sz w:val="22"/>
          <w:szCs w:val="22"/>
        </w:rPr>
        <w:t>2.</w:t>
      </w:r>
      <w:r w:rsidRPr="00E569E3">
        <w:rPr>
          <w:rFonts w:ascii="Verdana" w:hAnsi="Verdana"/>
          <w:sz w:val="22"/>
          <w:szCs w:val="22"/>
        </w:rPr>
        <w:tab/>
      </w:r>
      <w:r w:rsidR="0043762D">
        <w:rPr>
          <w:rFonts w:ascii="Verdana" w:hAnsi="Verdana"/>
          <w:sz w:val="22"/>
          <w:szCs w:val="22"/>
        </w:rPr>
        <w:t xml:space="preserve">This decision letter deals with </w:t>
      </w:r>
      <w:r w:rsidR="00795C80">
        <w:rPr>
          <w:rFonts w:ascii="Verdana" w:hAnsi="Verdana"/>
          <w:sz w:val="22"/>
          <w:szCs w:val="22"/>
        </w:rPr>
        <w:t xml:space="preserve">Mr Maher’s </w:t>
      </w:r>
      <w:r w:rsidR="00E7066F">
        <w:rPr>
          <w:rFonts w:ascii="Verdana" w:hAnsi="Verdana"/>
          <w:sz w:val="22"/>
          <w:szCs w:val="22"/>
        </w:rPr>
        <w:t>(</w:t>
      </w:r>
      <w:r w:rsidR="00BA594F">
        <w:rPr>
          <w:rFonts w:ascii="Verdana" w:hAnsi="Verdana"/>
          <w:sz w:val="22"/>
          <w:szCs w:val="22"/>
        </w:rPr>
        <w:t>an Objector to the Order</w:t>
      </w:r>
      <w:r w:rsidR="00E7066F">
        <w:rPr>
          <w:rFonts w:ascii="Verdana" w:hAnsi="Verdana"/>
          <w:sz w:val="22"/>
          <w:szCs w:val="22"/>
        </w:rPr>
        <w:t>)</w:t>
      </w:r>
      <w:r w:rsidR="0043762D">
        <w:rPr>
          <w:rFonts w:ascii="Verdana" w:hAnsi="Verdana"/>
          <w:sz w:val="22"/>
          <w:szCs w:val="22"/>
        </w:rPr>
        <w:t xml:space="preserve"> application for an award of costs against Greasley Parish Council, an </w:t>
      </w:r>
      <w:r w:rsidR="00BA594F">
        <w:rPr>
          <w:rFonts w:ascii="Verdana" w:hAnsi="Verdana"/>
          <w:sz w:val="22"/>
          <w:szCs w:val="22"/>
        </w:rPr>
        <w:t>O</w:t>
      </w:r>
      <w:r w:rsidR="0043762D">
        <w:rPr>
          <w:rFonts w:ascii="Verdana" w:hAnsi="Verdana"/>
          <w:sz w:val="22"/>
          <w:szCs w:val="22"/>
        </w:rPr>
        <w:t>bjector to the proposed modifications</w:t>
      </w:r>
      <w:r w:rsidR="00BA594F">
        <w:rPr>
          <w:rFonts w:ascii="Verdana" w:hAnsi="Verdana"/>
          <w:sz w:val="22"/>
          <w:szCs w:val="22"/>
        </w:rPr>
        <w:t xml:space="preserve"> contained in the Interim Order Decision</w:t>
      </w:r>
      <w:r w:rsidR="0043762D">
        <w:rPr>
          <w:rFonts w:ascii="Verdana" w:hAnsi="Verdana"/>
          <w:sz w:val="22"/>
          <w:szCs w:val="22"/>
        </w:rPr>
        <w:t xml:space="preserve">.  </w:t>
      </w:r>
    </w:p>
    <w:p w14:paraId="2D63B75B" w14:textId="77777777" w:rsidR="00C243E5" w:rsidRPr="00E569E3" w:rsidRDefault="00C243E5" w:rsidP="00C243E5">
      <w:pPr>
        <w:pStyle w:val="BodyText"/>
        <w:jc w:val="left"/>
        <w:rPr>
          <w:rFonts w:ascii="Verdana" w:hAnsi="Verdana"/>
          <w:kern w:val="24"/>
          <w:sz w:val="22"/>
          <w:szCs w:val="22"/>
        </w:rPr>
      </w:pPr>
    </w:p>
    <w:p w14:paraId="657DDA39" w14:textId="77777777" w:rsidR="00C243E5" w:rsidRDefault="00C243E5" w:rsidP="00C24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pacing w:val="-3"/>
        </w:rPr>
      </w:pPr>
      <w:r>
        <w:rPr>
          <w:b/>
          <w:spacing w:val="-3"/>
        </w:rPr>
        <w:t>Summary of costs decision</w:t>
      </w:r>
    </w:p>
    <w:p w14:paraId="2829B771" w14:textId="77777777" w:rsidR="00C243E5" w:rsidRDefault="00C243E5" w:rsidP="00C24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pacing w:val="-3"/>
        </w:rPr>
      </w:pPr>
    </w:p>
    <w:p w14:paraId="636F31C1" w14:textId="192082ED" w:rsidR="00C243E5" w:rsidRPr="00D838A6" w:rsidRDefault="00F1261C" w:rsidP="00C24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kern w:val="24"/>
        </w:rPr>
      </w:pPr>
      <w:r w:rsidRPr="00D838A6">
        <w:rPr>
          <w:spacing w:val="-3"/>
        </w:rPr>
        <w:t>4</w:t>
      </w:r>
      <w:r w:rsidR="00C243E5" w:rsidRPr="00D838A6">
        <w:rPr>
          <w:spacing w:val="-3"/>
        </w:rPr>
        <w:t>.</w:t>
      </w:r>
      <w:r w:rsidR="00C243E5" w:rsidRPr="00D838A6">
        <w:rPr>
          <w:spacing w:val="-3"/>
        </w:rPr>
        <w:tab/>
      </w:r>
      <w:r w:rsidR="00B86485" w:rsidRPr="00D838A6">
        <w:rPr>
          <w:kern w:val="24"/>
        </w:rPr>
        <w:t xml:space="preserve">The costs application fails and no award of costs is being made. </w:t>
      </w:r>
      <w:r w:rsidR="00B86485" w:rsidRPr="00D838A6">
        <w:rPr>
          <w:spacing w:val="-3"/>
        </w:rPr>
        <w:t>The</w:t>
      </w:r>
      <w:r w:rsidR="00B86485" w:rsidRPr="00D838A6">
        <w:t xml:space="preserve"> formal decision is at paragraph </w:t>
      </w:r>
      <w:r w:rsidR="00D838A6" w:rsidRPr="00D838A6">
        <w:t>11</w:t>
      </w:r>
      <w:r w:rsidR="00B86485" w:rsidRPr="00D838A6">
        <w:t xml:space="preserve"> below</w:t>
      </w:r>
      <w:r w:rsidR="00B86485" w:rsidRPr="00D838A6">
        <w:rPr>
          <w:kern w:val="24"/>
        </w:rPr>
        <w:t xml:space="preserve">.  </w:t>
      </w:r>
      <w:r w:rsidR="0011781F" w:rsidRPr="00D838A6">
        <w:rPr>
          <w:kern w:val="24"/>
        </w:rPr>
        <w:t xml:space="preserve">  </w:t>
      </w:r>
    </w:p>
    <w:p w14:paraId="3BD4B2CC" w14:textId="77777777" w:rsidR="0011781F" w:rsidRDefault="0011781F" w:rsidP="00C24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kern w:val="24"/>
          <w:szCs w:val="22"/>
        </w:rPr>
      </w:pPr>
    </w:p>
    <w:p w14:paraId="69DC1559" w14:textId="77777777" w:rsidR="00C243E5" w:rsidRDefault="00C243E5" w:rsidP="00C243E5">
      <w:pPr>
        <w:pStyle w:val="Heading1"/>
        <w:ind w:left="0"/>
        <w:rPr>
          <w:sz w:val="22"/>
          <w:szCs w:val="22"/>
        </w:rPr>
      </w:pPr>
      <w:r>
        <w:rPr>
          <w:sz w:val="22"/>
          <w:szCs w:val="22"/>
        </w:rPr>
        <w:t>Basis for determining the costs applications</w:t>
      </w:r>
    </w:p>
    <w:p w14:paraId="3B2BDDFC" w14:textId="77777777" w:rsidR="00C243E5" w:rsidRDefault="00F1261C" w:rsidP="00C243E5">
      <w:pPr>
        <w:tabs>
          <w:tab w:val="left" w:pos="-1440"/>
          <w:tab w:val="left" w:pos="-720"/>
          <w:tab w:val="left" w:pos="0"/>
          <w:tab w:val="left"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pacing w:val="-3"/>
          <w:szCs w:val="20"/>
        </w:rPr>
      </w:pPr>
      <w:r>
        <w:rPr>
          <w:spacing w:val="-3"/>
        </w:rPr>
        <w:t>5</w:t>
      </w:r>
      <w:r w:rsidR="00C243E5">
        <w:rPr>
          <w:spacing w:val="-3"/>
        </w:rPr>
        <w:t>.</w:t>
      </w:r>
      <w:r w:rsidR="00C243E5">
        <w:rPr>
          <w:b/>
          <w:spacing w:val="-3"/>
        </w:rPr>
        <w:tab/>
      </w:r>
      <w:r w:rsidR="00C243E5">
        <w:rPr>
          <w:spacing w:val="-3"/>
        </w:rPr>
        <w:t xml:space="preserve">The application for costs </w:t>
      </w:r>
      <w:proofErr w:type="gramStart"/>
      <w:r w:rsidR="00C243E5">
        <w:rPr>
          <w:spacing w:val="-3"/>
        </w:rPr>
        <w:t>have</w:t>
      </w:r>
      <w:proofErr w:type="gramEnd"/>
      <w:r w:rsidR="00C243E5">
        <w:rPr>
          <w:spacing w:val="-3"/>
        </w:rPr>
        <w:t xml:space="preserve"> been carefully considered in the light of:</w:t>
      </w:r>
    </w:p>
    <w:p w14:paraId="1CEFE08B" w14:textId="77777777" w:rsidR="00C243E5" w:rsidRDefault="00C243E5" w:rsidP="00C243E5">
      <w:pPr>
        <w:tabs>
          <w:tab w:val="left" w:pos="-1440"/>
          <w:tab w:val="left" w:pos="-720"/>
          <w:tab w:val="left" w:pos="0"/>
          <w:tab w:val="left"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pacing w:val="-3"/>
        </w:rPr>
      </w:pPr>
    </w:p>
    <w:p w14:paraId="3985FFBA" w14:textId="77777777" w:rsidR="00F437D2" w:rsidRDefault="00F437D2" w:rsidP="00F437D2">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pPr>
      <w:r>
        <w:rPr>
          <w:spacing w:val="-3"/>
        </w:rPr>
        <w:t>the relevant costs guidance in the Government’s Planning Practice Guidance (PPG)</w:t>
      </w:r>
      <w:r>
        <w:t xml:space="preserve"> which is applicable to rights of way cases by analogy with planning proceedings</w:t>
      </w:r>
    </w:p>
    <w:p w14:paraId="64B04421" w14:textId="77777777" w:rsidR="00C243E5" w:rsidRPr="0043762D" w:rsidRDefault="00C243E5" w:rsidP="00C243E5">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pPr>
      <w:r>
        <w:rPr>
          <w:spacing w:val="-3"/>
        </w:rPr>
        <w:t>relevant published policy guidance on awards of costs in section 9 (“applications for costs”) in Defra Rights of Way Circular 1/09</w:t>
      </w:r>
    </w:p>
    <w:p w14:paraId="7159B438" w14:textId="75B7D067" w:rsidR="0043762D" w:rsidRDefault="0043762D" w:rsidP="00C243E5">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pPr>
      <w:r>
        <w:rPr>
          <w:spacing w:val="-3"/>
        </w:rPr>
        <w:t>the Inspector’s order decision</w:t>
      </w:r>
    </w:p>
    <w:p w14:paraId="7FC68FF3" w14:textId="77777777" w:rsidR="00C243E5" w:rsidRDefault="00C243E5" w:rsidP="00C243E5">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pPr>
      <w:r>
        <w:rPr>
          <w:spacing w:val="-3"/>
        </w:rPr>
        <w:t>the order papers</w:t>
      </w:r>
    </w:p>
    <w:p w14:paraId="7F8D6BDD" w14:textId="77777777" w:rsidR="00C243E5" w:rsidRDefault="00C243E5" w:rsidP="00C243E5">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pPr>
      <w:r>
        <w:t xml:space="preserve">and all the relevant circumstances. </w:t>
      </w:r>
    </w:p>
    <w:p w14:paraId="6F6FF099" w14:textId="77777777" w:rsidR="00C243E5" w:rsidRDefault="00C243E5" w:rsidP="00C24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pacing w:val="-3"/>
        </w:rPr>
      </w:pPr>
    </w:p>
    <w:p w14:paraId="346E0C67" w14:textId="3E1626A5" w:rsidR="00C243E5" w:rsidRDefault="00F1261C" w:rsidP="00C24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pacing w:val="-3"/>
        </w:rPr>
      </w:pPr>
      <w:r>
        <w:rPr>
          <w:spacing w:val="-3"/>
        </w:rPr>
        <w:lastRenderedPageBreak/>
        <w:t>6</w:t>
      </w:r>
      <w:r w:rsidR="00C243E5">
        <w:rPr>
          <w:spacing w:val="-3"/>
        </w:rPr>
        <w:t>.</w:t>
      </w:r>
      <w:r w:rsidR="00C243E5">
        <w:rPr>
          <w:spacing w:val="-3"/>
        </w:rPr>
        <w:tab/>
      </w:r>
      <w:r w:rsidR="00E7066F">
        <w:rPr>
          <w:spacing w:val="-3"/>
        </w:rPr>
        <w:t>In Public Path and Bridleway Diversion order proceedings</w:t>
      </w:r>
      <w:r w:rsidR="00C243E5">
        <w:rPr>
          <w:spacing w:val="-3"/>
        </w:rPr>
        <w:t>, as for planning proceedings, the parties are normally expected to meet their own expenses irrespective of the outcome. Costs are awarded only on the grounds of unreasonable</w:t>
      </w:r>
      <w:r w:rsidR="009B2028">
        <w:rPr>
          <w:rStyle w:val="FootnoteReference"/>
          <w:spacing w:val="-3"/>
        </w:rPr>
        <w:footnoteReference w:id="1"/>
      </w:r>
      <w:r w:rsidR="00C243E5">
        <w:rPr>
          <w:spacing w:val="-3"/>
        </w:rPr>
        <w:t xml:space="preserve"> behaviour by one party resulting in unnecessary expense to another party.</w:t>
      </w:r>
    </w:p>
    <w:p w14:paraId="7CDE97C4" w14:textId="77777777" w:rsidR="00C243E5" w:rsidRPr="00070C64" w:rsidRDefault="00C243E5" w:rsidP="00C24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pacing w:val="-3"/>
          <w:szCs w:val="22"/>
        </w:rPr>
      </w:pPr>
    </w:p>
    <w:p w14:paraId="48CED599" w14:textId="02D9B468" w:rsidR="00E7066F" w:rsidRDefault="00E7066F" w:rsidP="00C243E5">
      <w:pPr>
        <w:pStyle w:val="BodyText"/>
        <w:rPr>
          <w:rFonts w:ascii="Verdana" w:hAnsi="Verdana"/>
          <w:b/>
          <w:sz w:val="22"/>
          <w:szCs w:val="22"/>
        </w:rPr>
      </w:pPr>
      <w:r>
        <w:rPr>
          <w:rFonts w:ascii="Verdana" w:hAnsi="Verdana"/>
          <w:b/>
          <w:sz w:val="22"/>
          <w:szCs w:val="22"/>
        </w:rPr>
        <w:t>Conclusions</w:t>
      </w:r>
    </w:p>
    <w:p w14:paraId="0DB73B25" w14:textId="77777777" w:rsidR="00E7066F" w:rsidRDefault="00E7066F" w:rsidP="00C243E5">
      <w:pPr>
        <w:pStyle w:val="BodyText"/>
        <w:rPr>
          <w:rFonts w:ascii="Verdana" w:hAnsi="Verdana"/>
          <w:b/>
          <w:sz w:val="22"/>
          <w:szCs w:val="22"/>
        </w:rPr>
      </w:pPr>
    </w:p>
    <w:p w14:paraId="3737391F" w14:textId="6F110969" w:rsidR="00E7066F" w:rsidRDefault="00666223" w:rsidP="00795C80">
      <w:pPr>
        <w:pStyle w:val="BodyText"/>
        <w:jc w:val="left"/>
        <w:rPr>
          <w:rFonts w:ascii="Verdana" w:hAnsi="Verdana"/>
          <w:spacing w:val="-3"/>
          <w:sz w:val="22"/>
          <w:szCs w:val="22"/>
        </w:rPr>
      </w:pPr>
      <w:r>
        <w:rPr>
          <w:rFonts w:ascii="Verdana" w:hAnsi="Verdana"/>
          <w:bCs/>
          <w:sz w:val="22"/>
          <w:szCs w:val="22"/>
        </w:rPr>
        <w:t>7.</w:t>
      </w:r>
      <w:r>
        <w:rPr>
          <w:rFonts w:ascii="Verdana" w:hAnsi="Verdana"/>
          <w:bCs/>
          <w:sz w:val="22"/>
          <w:szCs w:val="22"/>
        </w:rPr>
        <w:tab/>
      </w:r>
      <w:r w:rsidRPr="00666223">
        <w:rPr>
          <w:rFonts w:ascii="Verdana" w:hAnsi="Verdana"/>
          <w:spacing w:val="-3"/>
          <w:sz w:val="22"/>
          <w:szCs w:val="22"/>
        </w:rPr>
        <w:t>On examination of all the available evidence the decisive issue in this case is whether</w:t>
      </w:r>
      <w:r>
        <w:rPr>
          <w:rFonts w:ascii="Verdana" w:hAnsi="Verdana"/>
          <w:spacing w:val="-3"/>
          <w:sz w:val="22"/>
          <w:szCs w:val="22"/>
        </w:rPr>
        <w:t xml:space="preserve"> Greasley Parish Council behaved unreasonably by not </w:t>
      </w:r>
      <w:r w:rsidR="00795C80">
        <w:rPr>
          <w:rFonts w:ascii="Verdana" w:hAnsi="Verdana"/>
          <w:spacing w:val="-3"/>
          <w:sz w:val="22"/>
          <w:szCs w:val="22"/>
        </w:rPr>
        <w:t>attending the inquiry despite submitting objections to the proposed modifications</w:t>
      </w:r>
      <w:r w:rsidR="00691914">
        <w:rPr>
          <w:rFonts w:ascii="Verdana" w:hAnsi="Verdana"/>
          <w:spacing w:val="-3"/>
          <w:sz w:val="22"/>
          <w:szCs w:val="22"/>
        </w:rPr>
        <w:t xml:space="preserve"> contained in the Interim Order Decision</w:t>
      </w:r>
      <w:r w:rsidR="00795C80">
        <w:rPr>
          <w:rFonts w:ascii="Verdana" w:hAnsi="Verdana"/>
          <w:spacing w:val="-3"/>
          <w:sz w:val="22"/>
          <w:szCs w:val="22"/>
        </w:rPr>
        <w:t>, with the result that Mr Maher incurred unnecessary expense.</w:t>
      </w:r>
    </w:p>
    <w:p w14:paraId="34337957" w14:textId="77777777" w:rsidR="008028FF" w:rsidRDefault="008028FF" w:rsidP="00795C80">
      <w:pPr>
        <w:pStyle w:val="BodyText"/>
        <w:jc w:val="left"/>
        <w:rPr>
          <w:rFonts w:ascii="Verdana" w:hAnsi="Verdana"/>
          <w:spacing w:val="-3"/>
          <w:sz w:val="22"/>
          <w:szCs w:val="22"/>
        </w:rPr>
      </w:pPr>
    </w:p>
    <w:p w14:paraId="0E94A37C" w14:textId="2479C918" w:rsidR="008028FF" w:rsidRPr="009B2187" w:rsidRDefault="008028FF" w:rsidP="00795C80">
      <w:pPr>
        <w:pStyle w:val="BodyText"/>
        <w:jc w:val="left"/>
        <w:rPr>
          <w:rFonts w:ascii="Verdana" w:hAnsi="Verdana"/>
          <w:color w:val="FF0000"/>
          <w:spacing w:val="-3"/>
          <w:sz w:val="22"/>
          <w:szCs w:val="22"/>
        </w:rPr>
      </w:pPr>
      <w:r>
        <w:rPr>
          <w:rFonts w:ascii="Verdana" w:hAnsi="Verdana"/>
          <w:spacing w:val="-3"/>
          <w:sz w:val="22"/>
          <w:szCs w:val="22"/>
        </w:rPr>
        <w:t>8.</w:t>
      </w:r>
      <w:r>
        <w:rPr>
          <w:rFonts w:ascii="Verdana" w:hAnsi="Verdana"/>
          <w:spacing w:val="-3"/>
          <w:sz w:val="22"/>
          <w:szCs w:val="22"/>
        </w:rPr>
        <w:tab/>
        <w:t>The Secretary of State notes that the Parish Council submitted a representation to the Inspectorate on 21 February 2023</w:t>
      </w:r>
      <w:r w:rsidR="00AF5935">
        <w:rPr>
          <w:rFonts w:ascii="Verdana" w:hAnsi="Verdana"/>
          <w:spacing w:val="-3"/>
          <w:sz w:val="22"/>
          <w:szCs w:val="22"/>
        </w:rPr>
        <w:t xml:space="preserve">.  The </w:t>
      </w:r>
      <w:r w:rsidR="005338AF">
        <w:rPr>
          <w:rFonts w:ascii="Verdana" w:hAnsi="Verdana"/>
          <w:spacing w:val="-3"/>
          <w:sz w:val="22"/>
          <w:szCs w:val="22"/>
        </w:rPr>
        <w:t xml:space="preserve">short </w:t>
      </w:r>
      <w:r w:rsidR="00AF5935">
        <w:rPr>
          <w:rFonts w:ascii="Verdana" w:hAnsi="Verdana"/>
          <w:spacing w:val="-3"/>
          <w:sz w:val="22"/>
          <w:szCs w:val="22"/>
        </w:rPr>
        <w:t xml:space="preserve">representation objected to the proposed modifications </w:t>
      </w:r>
      <w:proofErr w:type="gramStart"/>
      <w:r w:rsidR="00AF5935">
        <w:rPr>
          <w:rFonts w:ascii="Verdana" w:hAnsi="Verdana"/>
          <w:spacing w:val="-3"/>
          <w:sz w:val="22"/>
          <w:szCs w:val="22"/>
        </w:rPr>
        <w:t>however,</w:t>
      </w:r>
      <w:proofErr w:type="gramEnd"/>
      <w:r w:rsidR="00AF5935">
        <w:rPr>
          <w:rFonts w:ascii="Verdana" w:hAnsi="Verdana"/>
          <w:spacing w:val="-3"/>
          <w:sz w:val="22"/>
          <w:szCs w:val="22"/>
        </w:rPr>
        <w:t xml:space="preserve"> they did not request to be heard (a right available to them)</w:t>
      </w:r>
      <w:r w:rsidR="005338AF">
        <w:rPr>
          <w:rFonts w:ascii="Verdana" w:hAnsi="Verdana"/>
          <w:spacing w:val="-3"/>
          <w:sz w:val="22"/>
          <w:szCs w:val="22"/>
        </w:rPr>
        <w:t xml:space="preserve"> nor does the Secretary of State consider it constituted a statement of case</w:t>
      </w:r>
      <w:r w:rsidR="00AF5935">
        <w:rPr>
          <w:rFonts w:ascii="Verdana" w:hAnsi="Verdana"/>
          <w:spacing w:val="-3"/>
          <w:sz w:val="22"/>
          <w:szCs w:val="22"/>
        </w:rPr>
        <w:t>.  There is no evidence before the Secretary of State that the Parish Council indicated they would attend the inquiry in subsequent correspondence</w:t>
      </w:r>
      <w:r w:rsidR="00BE4504">
        <w:rPr>
          <w:rFonts w:ascii="Verdana" w:hAnsi="Verdana"/>
          <w:spacing w:val="-3"/>
          <w:sz w:val="22"/>
          <w:szCs w:val="22"/>
        </w:rPr>
        <w:t>, and it should be noted that having made an objection, it does not follow that they had an obligation to attend.  The Parish Council also explain</w:t>
      </w:r>
      <w:r w:rsidR="005338AF">
        <w:rPr>
          <w:rFonts w:ascii="Verdana" w:hAnsi="Verdana"/>
          <w:spacing w:val="-3"/>
          <w:sz w:val="22"/>
          <w:szCs w:val="22"/>
        </w:rPr>
        <w:t xml:space="preserve"> the reasons for not attending</w:t>
      </w:r>
      <w:r w:rsidR="00BE4504">
        <w:rPr>
          <w:rFonts w:ascii="Verdana" w:hAnsi="Verdana"/>
          <w:spacing w:val="-3"/>
          <w:sz w:val="22"/>
          <w:szCs w:val="22"/>
        </w:rPr>
        <w:t xml:space="preserve"> in their response to the costs application</w:t>
      </w:r>
      <w:r w:rsidR="00D838A6">
        <w:rPr>
          <w:rFonts w:ascii="Verdana" w:hAnsi="Verdana"/>
          <w:spacing w:val="-3"/>
          <w:sz w:val="22"/>
          <w:szCs w:val="22"/>
        </w:rPr>
        <w:t xml:space="preserve"> which included insufficient expertise to answer questions on the matters at hand</w:t>
      </w:r>
      <w:r w:rsidR="009B2187">
        <w:rPr>
          <w:rFonts w:ascii="Verdana" w:hAnsi="Verdana"/>
          <w:spacing w:val="-3"/>
          <w:sz w:val="22"/>
          <w:szCs w:val="22"/>
        </w:rPr>
        <w:t>.</w:t>
      </w:r>
      <w:r w:rsidR="009B2187">
        <w:rPr>
          <w:rFonts w:ascii="Verdana" w:hAnsi="Verdana"/>
          <w:color w:val="FF0000"/>
          <w:spacing w:val="-3"/>
          <w:sz w:val="22"/>
          <w:szCs w:val="22"/>
        </w:rPr>
        <w:t xml:space="preserve">  </w:t>
      </w:r>
      <w:r w:rsidR="009B2187" w:rsidRPr="009B2187">
        <w:rPr>
          <w:rFonts w:ascii="Verdana" w:hAnsi="Verdana"/>
          <w:spacing w:val="-3"/>
          <w:sz w:val="22"/>
          <w:szCs w:val="22"/>
        </w:rPr>
        <w:t xml:space="preserve">The Secretary of State concludes that the Parish Council did not behave unreasonably by not attending the inquiry.  </w:t>
      </w:r>
    </w:p>
    <w:p w14:paraId="30BF5BB2" w14:textId="77777777" w:rsidR="00BE4504" w:rsidRDefault="00BE4504" w:rsidP="00795C80">
      <w:pPr>
        <w:pStyle w:val="BodyText"/>
        <w:jc w:val="left"/>
        <w:rPr>
          <w:rFonts w:ascii="Verdana" w:hAnsi="Verdana"/>
          <w:spacing w:val="-3"/>
          <w:sz w:val="22"/>
          <w:szCs w:val="22"/>
        </w:rPr>
      </w:pPr>
    </w:p>
    <w:p w14:paraId="69B47108" w14:textId="2C0FB703" w:rsidR="00BE4504" w:rsidRDefault="00BE4504" w:rsidP="00795C80">
      <w:pPr>
        <w:pStyle w:val="BodyText"/>
        <w:jc w:val="left"/>
        <w:rPr>
          <w:rFonts w:ascii="Verdana" w:hAnsi="Verdana"/>
          <w:spacing w:val="-3"/>
          <w:sz w:val="22"/>
          <w:szCs w:val="22"/>
        </w:rPr>
      </w:pPr>
      <w:r>
        <w:rPr>
          <w:rFonts w:ascii="Verdana" w:hAnsi="Verdana"/>
          <w:spacing w:val="-3"/>
          <w:sz w:val="22"/>
          <w:szCs w:val="22"/>
        </w:rPr>
        <w:t>9.</w:t>
      </w:r>
      <w:r>
        <w:rPr>
          <w:rFonts w:ascii="Verdana" w:hAnsi="Verdana"/>
          <w:spacing w:val="-3"/>
          <w:sz w:val="22"/>
          <w:szCs w:val="22"/>
        </w:rPr>
        <w:tab/>
      </w:r>
      <w:proofErr w:type="gramStart"/>
      <w:r w:rsidR="009B2187">
        <w:rPr>
          <w:rFonts w:ascii="Verdana" w:hAnsi="Verdana"/>
          <w:spacing w:val="-3"/>
          <w:sz w:val="22"/>
          <w:szCs w:val="22"/>
        </w:rPr>
        <w:t>In order for</w:t>
      </w:r>
      <w:proofErr w:type="gramEnd"/>
      <w:r w:rsidR="009B2187">
        <w:rPr>
          <w:rFonts w:ascii="Verdana" w:hAnsi="Verdana"/>
          <w:spacing w:val="-3"/>
          <w:sz w:val="22"/>
          <w:szCs w:val="22"/>
        </w:rPr>
        <w:t xml:space="preserve"> a costs application to be successful it </w:t>
      </w:r>
      <w:proofErr w:type="gramStart"/>
      <w:r w:rsidR="009B2187">
        <w:rPr>
          <w:rFonts w:ascii="Verdana" w:hAnsi="Verdana"/>
          <w:spacing w:val="-3"/>
          <w:sz w:val="22"/>
          <w:szCs w:val="22"/>
        </w:rPr>
        <w:t>has to</w:t>
      </w:r>
      <w:proofErr w:type="gramEnd"/>
      <w:r w:rsidR="009B2187">
        <w:rPr>
          <w:rFonts w:ascii="Verdana" w:hAnsi="Verdana"/>
          <w:spacing w:val="-3"/>
          <w:sz w:val="22"/>
          <w:szCs w:val="22"/>
        </w:rPr>
        <w:t xml:space="preserve"> be demonstrated that any unreasonable behaviour has </w:t>
      </w:r>
      <w:r w:rsidR="00D838A6">
        <w:rPr>
          <w:rFonts w:ascii="Verdana" w:hAnsi="Verdana"/>
          <w:spacing w:val="-3"/>
          <w:sz w:val="22"/>
          <w:szCs w:val="22"/>
        </w:rPr>
        <w:t xml:space="preserve">also </w:t>
      </w:r>
      <w:r w:rsidR="009B2187">
        <w:rPr>
          <w:rFonts w:ascii="Verdana" w:hAnsi="Verdana"/>
          <w:spacing w:val="-3"/>
          <w:sz w:val="22"/>
          <w:szCs w:val="22"/>
        </w:rPr>
        <w:t xml:space="preserve">directly caused another party to incur unnecessary or wasted expense.  The Secretary of State notes that Mr Maher has not explained what constituted his unnecessary or wasted expense (if any), in the proceedings, and there is no other apparent evidence as to what this could be.  </w:t>
      </w:r>
    </w:p>
    <w:p w14:paraId="74E442BE" w14:textId="77777777" w:rsidR="00691E92" w:rsidRDefault="00691E92" w:rsidP="00795C80">
      <w:pPr>
        <w:pStyle w:val="BodyText"/>
        <w:jc w:val="left"/>
        <w:rPr>
          <w:rFonts w:ascii="Verdana" w:hAnsi="Verdana"/>
          <w:spacing w:val="-3"/>
          <w:sz w:val="22"/>
          <w:szCs w:val="22"/>
        </w:rPr>
      </w:pPr>
    </w:p>
    <w:p w14:paraId="76F1A2AB" w14:textId="1B319D24" w:rsidR="00691E92" w:rsidRPr="00D82ADD" w:rsidRDefault="00691E92" w:rsidP="00795C80">
      <w:pPr>
        <w:pStyle w:val="BodyText"/>
        <w:jc w:val="left"/>
        <w:rPr>
          <w:rFonts w:ascii="Verdana" w:hAnsi="Verdana"/>
          <w:bCs/>
          <w:sz w:val="22"/>
          <w:szCs w:val="22"/>
        </w:rPr>
      </w:pPr>
      <w:r w:rsidRPr="00D82ADD">
        <w:rPr>
          <w:rFonts w:ascii="Verdana" w:hAnsi="Verdana"/>
          <w:spacing w:val="-3"/>
          <w:sz w:val="22"/>
          <w:szCs w:val="22"/>
        </w:rPr>
        <w:t>10.</w:t>
      </w:r>
      <w:r w:rsidRPr="00D82ADD">
        <w:rPr>
          <w:rFonts w:ascii="Verdana" w:hAnsi="Verdana"/>
          <w:spacing w:val="-3"/>
          <w:sz w:val="22"/>
          <w:szCs w:val="22"/>
        </w:rPr>
        <w:tab/>
        <w:t xml:space="preserve">Having carefully considered the </w:t>
      </w:r>
      <w:r w:rsidR="00D82ADD" w:rsidRPr="00D82ADD">
        <w:rPr>
          <w:rFonts w:ascii="Verdana" w:hAnsi="Verdana"/>
          <w:spacing w:val="-3"/>
          <w:sz w:val="22"/>
          <w:szCs w:val="22"/>
        </w:rPr>
        <w:t>evidence available, the conclusion drawn is that this is not a case where an award of costs in favour of Mr Maher is justified</w:t>
      </w:r>
      <w:r w:rsidR="00D82ADD">
        <w:rPr>
          <w:rFonts w:ascii="Verdana" w:hAnsi="Verdana"/>
          <w:spacing w:val="-3"/>
          <w:sz w:val="22"/>
          <w:szCs w:val="22"/>
        </w:rPr>
        <w:t>.</w:t>
      </w:r>
    </w:p>
    <w:p w14:paraId="2D46D72F" w14:textId="77777777" w:rsidR="00E7066F" w:rsidRPr="00666223" w:rsidRDefault="00E7066F" w:rsidP="00C243E5">
      <w:pPr>
        <w:pStyle w:val="BodyText"/>
        <w:rPr>
          <w:rFonts w:ascii="Verdana" w:hAnsi="Verdana"/>
          <w:b/>
          <w:sz w:val="22"/>
          <w:szCs w:val="22"/>
        </w:rPr>
      </w:pPr>
    </w:p>
    <w:p w14:paraId="783C5B0F" w14:textId="2A31C9DD" w:rsidR="00C243E5" w:rsidRPr="00070C64" w:rsidRDefault="00C243E5" w:rsidP="00C243E5">
      <w:pPr>
        <w:pStyle w:val="BodyText"/>
        <w:rPr>
          <w:rFonts w:ascii="Verdana" w:hAnsi="Verdana"/>
          <w:b/>
          <w:sz w:val="22"/>
          <w:szCs w:val="22"/>
        </w:rPr>
      </w:pPr>
      <w:r w:rsidRPr="00070C64">
        <w:rPr>
          <w:rFonts w:ascii="Verdana" w:hAnsi="Verdana"/>
          <w:b/>
          <w:sz w:val="22"/>
          <w:szCs w:val="22"/>
        </w:rPr>
        <w:t>FORMAL DECISION</w:t>
      </w:r>
    </w:p>
    <w:p w14:paraId="3E7E37B9" w14:textId="77777777" w:rsidR="00C243E5" w:rsidRPr="00D77F4E" w:rsidRDefault="00C243E5" w:rsidP="00C243E5">
      <w:pPr>
        <w:pStyle w:val="BodyText"/>
        <w:rPr>
          <w:rFonts w:ascii="Verdana" w:hAnsi="Verdana"/>
          <w:sz w:val="22"/>
          <w:szCs w:val="22"/>
        </w:rPr>
      </w:pPr>
    </w:p>
    <w:p w14:paraId="4890D666" w14:textId="23882998" w:rsidR="00D82ADD" w:rsidRDefault="00D82ADD" w:rsidP="00D82A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pPr>
      <w:r>
        <w:t>1</w:t>
      </w:r>
      <w:r w:rsidR="00D838A6">
        <w:t>1</w:t>
      </w:r>
      <w:r>
        <w:t>.</w:t>
      </w:r>
      <w:r>
        <w:tab/>
        <w:t xml:space="preserve">For the reasons stated above, the Secretary of State has decided that an award of costs, on the grounds of "unreasonable" behaviour resulting in unnecessary expense, is not justified in the </w:t>
      </w:r>
      <w:proofErr w:type="gramStart"/>
      <w:r>
        <w:t>particular circumstances</w:t>
      </w:r>
      <w:proofErr w:type="gramEnd"/>
      <w:r>
        <w:t xml:space="preserve"> of this case.  Mr Maher's application is therefore refused.</w:t>
      </w:r>
    </w:p>
    <w:p w14:paraId="4882E653" w14:textId="77777777" w:rsidR="00D77F4E" w:rsidRPr="00D77F4E" w:rsidRDefault="00D77F4E" w:rsidP="00C243E5">
      <w:pPr>
        <w:pStyle w:val="BodyText"/>
        <w:rPr>
          <w:rFonts w:ascii="Verdana" w:hAnsi="Verdana"/>
          <w:b/>
          <w:sz w:val="22"/>
          <w:szCs w:val="22"/>
        </w:rPr>
      </w:pPr>
    </w:p>
    <w:p w14:paraId="60CAC8B4" w14:textId="3E81FF44" w:rsidR="007A54CF" w:rsidRPr="008160B5" w:rsidRDefault="007A54CF" w:rsidP="007A54CF">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23"/>
        <w:rPr>
          <w:spacing w:val="-3"/>
          <w:szCs w:val="20"/>
          <w:lang w:eastAsia="en-GB"/>
        </w:rPr>
      </w:pPr>
      <w:r>
        <w:rPr>
          <w:spacing w:val="-3"/>
          <w:szCs w:val="20"/>
          <w:lang w:eastAsia="en-GB"/>
        </w:rPr>
        <w:t>1</w:t>
      </w:r>
      <w:r w:rsidR="00D838A6">
        <w:rPr>
          <w:spacing w:val="-3"/>
          <w:szCs w:val="20"/>
          <w:lang w:eastAsia="en-GB"/>
        </w:rPr>
        <w:t>2</w:t>
      </w:r>
      <w:r w:rsidRPr="008160B5">
        <w:rPr>
          <w:spacing w:val="-3"/>
          <w:szCs w:val="20"/>
          <w:lang w:eastAsia="en-GB"/>
        </w:rPr>
        <w:t>.</w:t>
      </w:r>
      <w:r w:rsidRPr="008160B5">
        <w:rPr>
          <w:spacing w:val="-3"/>
          <w:szCs w:val="20"/>
          <w:lang w:eastAsia="en-GB"/>
        </w:rPr>
        <w:tab/>
      </w:r>
      <w:r w:rsidR="00D77F4E" w:rsidRPr="006021FE">
        <w:rPr>
          <w:spacing w:val="-3"/>
          <w:szCs w:val="22"/>
        </w:rPr>
        <w:t xml:space="preserve">A </w:t>
      </w:r>
      <w:r w:rsidR="00D77F4E">
        <w:rPr>
          <w:spacing w:val="-3"/>
          <w:szCs w:val="22"/>
        </w:rPr>
        <w:t xml:space="preserve">copy of this letter has been </w:t>
      </w:r>
      <w:r w:rsidR="00D77F4E" w:rsidRPr="006021FE">
        <w:rPr>
          <w:spacing w:val="-3"/>
          <w:szCs w:val="22"/>
        </w:rPr>
        <w:t xml:space="preserve">sent to </w:t>
      </w:r>
      <w:r w:rsidR="00D82ADD">
        <w:rPr>
          <w:spacing w:val="-3"/>
          <w:szCs w:val="22"/>
        </w:rPr>
        <w:t>Greasley Parish Council.</w:t>
      </w:r>
    </w:p>
    <w:p w14:paraId="5E829754" w14:textId="77777777" w:rsidR="00C243E5" w:rsidRPr="00070C64" w:rsidRDefault="00C243E5" w:rsidP="00C243E5">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23"/>
        <w:rPr>
          <w:spacing w:val="-3"/>
          <w:szCs w:val="22"/>
        </w:rPr>
      </w:pPr>
      <w:r w:rsidRPr="00070C64">
        <w:rPr>
          <w:spacing w:val="-3"/>
          <w:szCs w:val="22"/>
        </w:rPr>
        <w:tab/>
      </w:r>
    </w:p>
    <w:p w14:paraId="52F4479B" w14:textId="77777777" w:rsidR="00C243E5" w:rsidRPr="00070C64" w:rsidRDefault="00C243E5" w:rsidP="00C24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szCs w:val="22"/>
        </w:rPr>
      </w:pPr>
    </w:p>
    <w:p w14:paraId="006BFA33" w14:textId="77777777" w:rsidR="00C243E5" w:rsidRPr="00070C64" w:rsidRDefault="00C243E5" w:rsidP="00C24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szCs w:val="22"/>
        </w:rPr>
      </w:pPr>
      <w:r w:rsidRPr="00070C64">
        <w:rPr>
          <w:spacing w:val="-3"/>
          <w:szCs w:val="22"/>
        </w:rPr>
        <w:t>Yours faithfully</w:t>
      </w:r>
    </w:p>
    <w:p w14:paraId="496A37CA" w14:textId="77777777" w:rsidR="00C243E5" w:rsidRDefault="00C243E5" w:rsidP="00C24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szCs w:val="22"/>
        </w:rPr>
      </w:pPr>
    </w:p>
    <w:p w14:paraId="0AEB223E" w14:textId="77777777" w:rsidR="009B2028" w:rsidRPr="00AB3030" w:rsidRDefault="00AB3030" w:rsidP="00C24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Monotype Corsiva" w:hAnsi="Monotype Corsiva"/>
          <w:spacing w:val="-3"/>
          <w:sz w:val="32"/>
          <w:szCs w:val="32"/>
        </w:rPr>
      </w:pPr>
      <w:r w:rsidRPr="00AB3030">
        <w:rPr>
          <w:rFonts w:ascii="Monotype Corsiva" w:hAnsi="Monotype Corsiva"/>
          <w:spacing w:val="-3"/>
          <w:sz w:val="32"/>
          <w:szCs w:val="32"/>
        </w:rPr>
        <w:t>E. R. Humphrey</w:t>
      </w:r>
    </w:p>
    <w:p w14:paraId="798D6C00" w14:textId="77777777" w:rsidR="009B2028" w:rsidRPr="00070C64" w:rsidRDefault="009B2028" w:rsidP="00C24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szCs w:val="22"/>
        </w:rPr>
      </w:pPr>
    </w:p>
    <w:p w14:paraId="41754724" w14:textId="77777777" w:rsidR="00C243E5" w:rsidRPr="00070C64" w:rsidRDefault="00AB3030" w:rsidP="00C24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szCs w:val="22"/>
        </w:rPr>
      </w:pPr>
      <w:r>
        <w:rPr>
          <w:spacing w:val="-3"/>
          <w:szCs w:val="22"/>
        </w:rPr>
        <w:t>ELIZABETH HUMPHREY</w:t>
      </w:r>
    </w:p>
    <w:p w14:paraId="4B3715C1" w14:textId="77777777" w:rsidR="00C243E5" w:rsidRPr="00070C64" w:rsidRDefault="00C243E5" w:rsidP="00C24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szCs w:val="22"/>
        </w:rPr>
      </w:pPr>
      <w:r w:rsidRPr="00070C64">
        <w:rPr>
          <w:spacing w:val="-3"/>
          <w:szCs w:val="22"/>
        </w:rPr>
        <w:t>Authorised by the Secretary of State</w:t>
      </w:r>
    </w:p>
    <w:p w14:paraId="1B4A799D" w14:textId="77777777" w:rsidR="00C243E5" w:rsidRPr="00070C64" w:rsidRDefault="00C243E5" w:rsidP="00C243E5">
      <w:pPr>
        <w:tabs>
          <w:tab w:val="left" w:pos="720"/>
        </w:tabs>
        <w:jc w:val="both"/>
        <w:rPr>
          <w:b/>
          <w:szCs w:val="22"/>
        </w:rPr>
      </w:pPr>
      <w:r w:rsidRPr="00070C64">
        <w:rPr>
          <w:spacing w:val="-3"/>
          <w:szCs w:val="22"/>
        </w:rPr>
        <w:t>to sign in that behalf</w:t>
      </w:r>
    </w:p>
    <w:p w14:paraId="1328301D" w14:textId="77777777" w:rsidR="00C243E5" w:rsidRPr="00070C64" w:rsidRDefault="00C243E5" w:rsidP="00C24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sz w:val="18"/>
          <w:szCs w:val="18"/>
        </w:rPr>
      </w:pPr>
    </w:p>
    <w:p w14:paraId="07CA853B" w14:textId="77777777" w:rsidR="00C243E5" w:rsidRPr="00070C64" w:rsidRDefault="00C243E5" w:rsidP="00C24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sz w:val="18"/>
          <w:szCs w:val="18"/>
        </w:rPr>
      </w:pPr>
    </w:p>
    <w:sectPr w:rsidR="00C243E5" w:rsidRPr="00070C64" w:rsidSect="00326530">
      <w:footerReference w:type="first" r:id="rId11"/>
      <w:pgSz w:w="11906" w:h="16838" w:code="9"/>
      <w:pgMar w:top="340" w:right="796" w:bottom="1134" w:left="1134" w:header="0"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8BE2B" w14:textId="77777777" w:rsidR="00FA4ECC" w:rsidRDefault="00FA4ECC">
      <w:r>
        <w:separator/>
      </w:r>
    </w:p>
  </w:endnote>
  <w:endnote w:type="continuationSeparator" w:id="0">
    <w:p w14:paraId="21BC6AED" w14:textId="77777777" w:rsidR="00FA4ECC" w:rsidRDefault="00FA4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AAA2" w14:textId="77777777" w:rsidR="009B2028" w:rsidRDefault="00FA4ECC">
    <w:pPr>
      <w:pStyle w:val="Footer"/>
    </w:pPr>
    <w:r>
      <w:rPr>
        <w:noProof/>
        <w:lang w:eastAsia="en-GB"/>
      </w:rPr>
      <w:object w:dxaOrig="1440" w:dyaOrig="1440" w14:anchorId="7FC15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85.95pt;margin-top:777.4pt;width:48.55pt;height:43.35pt;z-index:251657728;mso-position-horizontal-relative:margin;mso-position-vertical-relative:page" fillcolor="window">
          <v:imagedata r:id="rId1" o:title=""/>
          <w10:wrap type="topAndBottom" anchorx="margin" anchory="page"/>
        </v:shape>
        <o:OLEObject Type="Embed" ProgID="Word.Picture.8" ShapeID="_x0000_s1026" DrawAspect="Content" ObjectID="_1840252303" r:id="rId2"/>
      </w:object>
    </w:r>
    <w:r w:rsidR="009B2028">
      <w:rPr>
        <w:sz w:val="16"/>
      </w:rPr>
      <w:t>www.planningportal.gov.uk/planninginspectorate</w:t>
    </w:r>
  </w:p>
  <w:p w14:paraId="5AF6DC18" w14:textId="77777777" w:rsidR="009B2028" w:rsidRDefault="009B2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BD98B" w14:textId="77777777" w:rsidR="00FA4ECC" w:rsidRDefault="00FA4ECC">
      <w:r>
        <w:separator/>
      </w:r>
    </w:p>
  </w:footnote>
  <w:footnote w:type="continuationSeparator" w:id="0">
    <w:p w14:paraId="0C4E4396" w14:textId="77777777" w:rsidR="00FA4ECC" w:rsidRDefault="00FA4ECC">
      <w:r>
        <w:continuationSeparator/>
      </w:r>
    </w:p>
  </w:footnote>
  <w:footnote w:id="1">
    <w:p w14:paraId="386E8FBB" w14:textId="77777777" w:rsidR="009B2028" w:rsidRPr="009B2028" w:rsidRDefault="009B2028">
      <w:pPr>
        <w:pStyle w:val="FootnoteText"/>
        <w:rPr>
          <w:sz w:val="16"/>
          <w:szCs w:val="16"/>
        </w:rPr>
      </w:pPr>
      <w:r w:rsidRPr="009B2028">
        <w:rPr>
          <w:rStyle w:val="FootnoteReference"/>
          <w:sz w:val="16"/>
          <w:szCs w:val="16"/>
        </w:rPr>
        <w:footnoteRef/>
      </w:r>
      <w:r w:rsidRPr="009B2028">
        <w:rPr>
          <w:sz w:val="16"/>
          <w:szCs w:val="16"/>
        </w:rPr>
        <w:t xml:space="preserve"> For the avoidance of doubt the Secretary of State does no</w:t>
      </w:r>
      <w:r w:rsidR="0076139C">
        <w:rPr>
          <w:sz w:val="16"/>
          <w:szCs w:val="16"/>
        </w:rPr>
        <w:t xml:space="preserve">t consider that a </w:t>
      </w:r>
      <w:r w:rsidRPr="009B2028">
        <w:rPr>
          <w:sz w:val="16"/>
          <w:szCs w:val="16"/>
        </w:rPr>
        <w:t>costs application is</w:t>
      </w:r>
      <w:proofErr w:type="gramStart"/>
      <w:r w:rsidRPr="009B2028">
        <w:rPr>
          <w:sz w:val="16"/>
          <w:szCs w:val="16"/>
        </w:rPr>
        <w:t>, in itself, unreasonable</w:t>
      </w:r>
      <w:proofErr w:type="gramEnd"/>
      <w:r w:rsidRPr="009B2028">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F6AE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4098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0293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44D7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64B0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BA7E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94CE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AA9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8C5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E88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B5B8D"/>
    <w:multiLevelType w:val="hybridMultilevel"/>
    <w:tmpl w:val="E9F4B57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8B43EDF"/>
    <w:multiLevelType w:val="hybridMultilevel"/>
    <w:tmpl w:val="613E043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49563D7"/>
    <w:multiLevelType w:val="hybridMultilevel"/>
    <w:tmpl w:val="D638AB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F262718"/>
    <w:multiLevelType w:val="hybridMultilevel"/>
    <w:tmpl w:val="4FD4FD80"/>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542589363">
    <w:abstractNumId w:val="9"/>
  </w:num>
  <w:num w:numId="2" w16cid:durableId="153037246">
    <w:abstractNumId w:val="7"/>
  </w:num>
  <w:num w:numId="3" w16cid:durableId="561718514">
    <w:abstractNumId w:val="6"/>
  </w:num>
  <w:num w:numId="4" w16cid:durableId="2126999819">
    <w:abstractNumId w:val="5"/>
  </w:num>
  <w:num w:numId="5" w16cid:durableId="1905986137">
    <w:abstractNumId w:val="4"/>
  </w:num>
  <w:num w:numId="6" w16cid:durableId="1019282084">
    <w:abstractNumId w:val="8"/>
  </w:num>
  <w:num w:numId="7" w16cid:durableId="2051612323">
    <w:abstractNumId w:val="3"/>
  </w:num>
  <w:num w:numId="8" w16cid:durableId="305205822">
    <w:abstractNumId w:val="2"/>
  </w:num>
  <w:num w:numId="9" w16cid:durableId="156578100">
    <w:abstractNumId w:val="1"/>
  </w:num>
  <w:num w:numId="10" w16cid:durableId="1651053854">
    <w:abstractNumId w:val="0"/>
  </w:num>
  <w:num w:numId="11" w16cid:durableId="111872099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342550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492029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016839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C:\TEMP\fsc.client\gen\ADR_COO.2036.9960.9.21547.DOC"/>
    <w:odso/>
  </w:mailMerge>
  <w:defaultTabStop w:val="720"/>
  <w:drawingGridHorizontalSpacing w:val="11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57"/>
    <w:rsid w:val="000014C6"/>
    <w:rsid w:val="0000166A"/>
    <w:rsid w:val="00002A2F"/>
    <w:rsid w:val="00002E2F"/>
    <w:rsid w:val="00004304"/>
    <w:rsid w:val="000109D3"/>
    <w:rsid w:val="000123A2"/>
    <w:rsid w:val="000210BD"/>
    <w:rsid w:val="00023CCB"/>
    <w:rsid w:val="00046203"/>
    <w:rsid w:val="0004720B"/>
    <w:rsid w:val="00050D24"/>
    <w:rsid w:val="00052605"/>
    <w:rsid w:val="0006072B"/>
    <w:rsid w:val="00060C61"/>
    <w:rsid w:val="0006175E"/>
    <w:rsid w:val="00063468"/>
    <w:rsid w:val="00066E69"/>
    <w:rsid w:val="00070387"/>
    <w:rsid w:val="00070C64"/>
    <w:rsid w:val="00074470"/>
    <w:rsid w:val="000824AB"/>
    <w:rsid w:val="00090D1A"/>
    <w:rsid w:val="000A3C04"/>
    <w:rsid w:val="000A4918"/>
    <w:rsid w:val="000A7745"/>
    <w:rsid w:val="000B33C1"/>
    <w:rsid w:val="000C010F"/>
    <w:rsid w:val="000C38F8"/>
    <w:rsid w:val="000D0098"/>
    <w:rsid w:val="000D0C99"/>
    <w:rsid w:val="000D103E"/>
    <w:rsid w:val="000D6533"/>
    <w:rsid w:val="000E4F01"/>
    <w:rsid w:val="000F291D"/>
    <w:rsid w:val="000F70F4"/>
    <w:rsid w:val="001044E5"/>
    <w:rsid w:val="00113F6D"/>
    <w:rsid w:val="0011781F"/>
    <w:rsid w:val="00125360"/>
    <w:rsid w:val="00146EFD"/>
    <w:rsid w:val="00150480"/>
    <w:rsid w:val="001618BA"/>
    <w:rsid w:val="001624ED"/>
    <w:rsid w:val="0016311B"/>
    <w:rsid w:val="00176986"/>
    <w:rsid w:val="001850BB"/>
    <w:rsid w:val="0018545B"/>
    <w:rsid w:val="00197F6D"/>
    <w:rsid w:val="001A3169"/>
    <w:rsid w:val="001B0148"/>
    <w:rsid w:val="001B2D2A"/>
    <w:rsid w:val="001D58F4"/>
    <w:rsid w:val="001E0860"/>
    <w:rsid w:val="001E2214"/>
    <w:rsid w:val="00213DE2"/>
    <w:rsid w:val="00221A3D"/>
    <w:rsid w:val="00222BFA"/>
    <w:rsid w:val="00224140"/>
    <w:rsid w:val="00225EE7"/>
    <w:rsid w:val="002301BD"/>
    <w:rsid w:val="0023276E"/>
    <w:rsid w:val="00236EA1"/>
    <w:rsid w:val="00242485"/>
    <w:rsid w:val="002431C9"/>
    <w:rsid w:val="00251BEC"/>
    <w:rsid w:val="002561F0"/>
    <w:rsid w:val="00263B02"/>
    <w:rsid w:val="00263B97"/>
    <w:rsid w:val="00273049"/>
    <w:rsid w:val="0027799D"/>
    <w:rsid w:val="00280FAA"/>
    <w:rsid w:val="00291D71"/>
    <w:rsid w:val="002A1886"/>
    <w:rsid w:val="002B2A48"/>
    <w:rsid w:val="002C33C6"/>
    <w:rsid w:val="002C3539"/>
    <w:rsid w:val="002C5985"/>
    <w:rsid w:val="002C5AEA"/>
    <w:rsid w:val="002C7BD7"/>
    <w:rsid w:val="002D475B"/>
    <w:rsid w:val="002E3632"/>
    <w:rsid w:val="002E69E7"/>
    <w:rsid w:val="00302CC0"/>
    <w:rsid w:val="003113FB"/>
    <w:rsid w:val="0031278D"/>
    <w:rsid w:val="00313AD3"/>
    <w:rsid w:val="00324A0F"/>
    <w:rsid w:val="00326530"/>
    <w:rsid w:val="00336BD5"/>
    <w:rsid w:val="0034410B"/>
    <w:rsid w:val="00350F6C"/>
    <w:rsid w:val="00352C78"/>
    <w:rsid w:val="00353E35"/>
    <w:rsid w:val="003627A4"/>
    <w:rsid w:val="00362824"/>
    <w:rsid w:val="00367E7C"/>
    <w:rsid w:val="00376BC1"/>
    <w:rsid w:val="00377399"/>
    <w:rsid w:val="003847FD"/>
    <w:rsid w:val="00385B01"/>
    <w:rsid w:val="003940DB"/>
    <w:rsid w:val="003A0E84"/>
    <w:rsid w:val="003A19A4"/>
    <w:rsid w:val="003A7ACF"/>
    <w:rsid w:val="003B0F7E"/>
    <w:rsid w:val="003B3055"/>
    <w:rsid w:val="003C6837"/>
    <w:rsid w:val="003D3F26"/>
    <w:rsid w:val="003D5EDA"/>
    <w:rsid w:val="003D793C"/>
    <w:rsid w:val="003E536C"/>
    <w:rsid w:val="00403144"/>
    <w:rsid w:val="00403A39"/>
    <w:rsid w:val="00413071"/>
    <w:rsid w:val="00413C51"/>
    <w:rsid w:val="00414A5E"/>
    <w:rsid w:val="00415D91"/>
    <w:rsid w:val="004316D3"/>
    <w:rsid w:val="0043623D"/>
    <w:rsid w:val="0043762D"/>
    <w:rsid w:val="00445E70"/>
    <w:rsid w:val="004461B9"/>
    <w:rsid w:val="00457155"/>
    <w:rsid w:val="00462F08"/>
    <w:rsid w:val="004656C9"/>
    <w:rsid w:val="00473B47"/>
    <w:rsid w:val="004777AA"/>
    <w:rsid w:val="004831A2"/>
    <w:rsid w:val="00486692"/>
    <w:rsid w:val="004A1171"/>
    <w:rsid w:val="004A2997"/>
    <w:rsid w:val="004A53E3"/>
    <w:rsid w:val="004A6BD6"/>
    <w:rsid w:val="004B1FA4"/>
    <w:rsid w:val="004D31AC"/>
    <w:rsid w:val="004D7F2B"/>
    <w:rsid w:val="004E22E7"/>
    <w:rsid w:val="004E36DD"/>
    <w:rsid w:val="004E5705"/>
    <w:rsid w:val="004F4AE0"/>
    <w:rsid w:val="004F5DF5"/>
    <w:rsid w:val="00502E63"/>
    <w:rsid w:val="00503ECC"/>
    <w:rsid w:val="005052DA"/>
    <w:rsid w:val="00510669"/>
    <w:rsid w:val="005121AE"/>
    <w:rsid w:val="00516AD8"/>
    <w:rsid w:val="00525427"/>
    <w:rsid w:val="00527C58"/>
    <w:rsid w:val="005338AF"/>
    <w:rsid w:val="005378C6"/>
    <w:rsid w:val="005401A5"/>
    <w:rsid w:val="0054194B"/>
    <w:rsid w:val="00554E2C"/>
    <w:rsid w:val="005613C7"/>
    <w:rsid w:val="00564969"/>
    <w:rsid w:val="0056499B"/>
    <w:rsid w:val="00564D5C"/>
    <w:rsid w:val="005652D6"/>
    <w:rsid w:val="00567E45"/>
    <w:rsid w:val="005774E6"/>
    <w:rsid w:val="005777E5"/>
    <w:rsid w:val="005818F5"/>
    <w:rsid w:val="00583BF0"/>
    <w:rsid w:val="0058620F"/>
    <w:rsid w:val="00592DF9"/>
    <w:rsid w:val="00596EDC"/>
    <w:rsid w:val="005A339A"/>
    <w:rsid w:val="005A6A04"/>
    <w:rsid w:val="005B35E2"/>
    <w:rsid w:val="005B7A7B"/>
    <w:rsid w:val="005D42B0"/>
    <w:rsid w:val="005D44CF"/>
    <w:rsid w:val="005E0FBB"/>
    <w:rsid w:val="005F5675"/>
    <w:rsid w:val="006051AC"/>
    <w:rsid w:val="00606BD7"/>
    <w:rsid w:val="00612E04"/>
    <w:rsid w:val="00616948"/>
    <w:rsid w:val="00620D5B"/>
    <w:rsid w:val="00621E85"/>
    <w:rsid w:val="00622D6C"/>
    <w:rsid w:val="00627E95"/>
    <w:rsid w:val="006357B1"/>
    <w:rsid w:val="00644400"/>
    <w:rsid w:val="00645339"/>
    <w:rsid w:val="00651CAA"/>
    <w:rsid w:val="006628E6"/>
    <w:rsid w:val="00666223"/>
    <w:rsid w:val="0068392B"/>
    <w:rsid w:val="00684105"/>
    <w:rsid w:val="00684CF3"/>
    <w:rsid w:val="00685279"/>
    <w:rsid w:val="006854FB"/>
    <w:rsid w:val="006860B5"/>
    <w:rsid w:val="006870D2"/>
    <w:rsid w:val="00691914"/>
    <w:rsid w:val="00691E92"/>
    <w:rsid w:val="006922F1"/>
    <w:rsid w:val="00696EC6"/>
    <w:rsid w:val="006A3C07"/>
    <w:rsid w:val="006A3D38"/>
    <w:rsid w:val="006A56A5"/>
    <w:rsid w:val="006C44D7"/>
    <w:rsid w:val="006D6F06"/>
    <w:rsid w:val="006E192B"/>
    <w:rsid w:val="006E370C"/>
    <w:rsid w:val="006F0D1A"/>
    <w:rsid w:val="006F521E"/>
    <w:rsid w:val="00701510"/>
    <w:rsid w:val="00711FA6"/>
    <w:rsid w:val="0071309D"/>
    <w:rsid w:val="00723456"/>
    <w:rsid w:val="007333D2"/>
    <w:rsid w:val="00737C06"/>
    <w:rsid w:val="00741D5D"/>
    <w:rsid w:val="007568DF"/>
    <w:rsid w:val="00757F1E"/>
    <w:rsid w:val="0076139C"/>
    <w:rsid w:val="00761CBE"/>
    <w:rsid w:val="00773627"/>
    <w:rsid w:val="00776FD0"/>
    <w:rsid w:val="007903E7"/>
    <w:rsid w:val="00795C80"/>
    <w:rsid w:val="007A3C57"/>
    <w:rsid w:val="007A54CF"/>
    <w:rsid w:val="007A607F"/>
    <w:rsid w:val="007A7AB6"/>
    <w:rsid w:val="007B1937"/>
    <w:rsid w:val="007B31A9"/>
    <w:rsid w:val="007B39E5"/>
    <w:rsid w:val="007C39AD"/>
    <w:rsid w:val="007D0818"/>
    <w:rsid w:val="007D2C2B"/>
    <w:rsid w:val="007D55EF"/>
    <w:rsid w:val="007E5E3F"/>
    <w:rsid w:val="007E7020"/>
    <w:rsid w:val="007F7ED2"/>
    <w:rsid w:val="00801372"/>
    <w:rsid w:val="008028D5"/>
    <w:rsid w:val="008028FF"/>
    <w:rsid w:val="00802DE1"/>
    <w:rsid w:val="00805EBF"/>
    <w:rsid w:val="008139C7"/>
    <w:rsid w:val="0081760F"/>
    <w:rsid w:val="008308FF"/>
    <w:rsid w:val="00835EA1"/>
    <w:rsid w:val="00840A99"/>
    <w:rsid w:val="00842809"/>
    <w:rsid w:val="00860BE8"/>
    <w:rsid w:val="00880103"/>
    <w:rsid w:val="008927C0"/>
    <w:rsid w:val="008B35B9"/>
    <w:rsid w:val="008B380D"/>
    <w:rsid w:val="008B4EA1"/>
    <w:rsid w:val="008C4105"/>
    <w:rsid w:val="008E3A12"/>
    <w:rsid w:val="008F636E"/>
    <w:rsid w:val="008F6A9D"/>
    <w:rsid w:val="008F73EA"/>
    <w:rsid w:val="00913635"/>
    <w:rsid w:val="009150A8"/>
    <w:rsid w:val="00933ADE"/>
    <w:rsid w:val="009346C7"/>
    <w:rsid w:val="00937A59"/>
    <w:rsid w:val="00942F1F"/>
    <w:rsid w:val="009433A8"/>
    <w:rsid w:val="00951287"/>
    <w:rsid w:val="00954560"/>
    <w:rsid w:val="00955DDE"/>
    <w:rsid w:val="009662BA"/>
    <w:rsid w:val="00976E5B"/>
    <w:rsid w:val="00990280"/>
    <w:rsid w:val="00997B3A"/>
    <w:rsid w:val="009A0CD4"/>
    <w:rsid w:val="009B2028"/>
    <w:rsid w:val="009B2187"/>
    <w:rsid w:val="009B357A"/>
    <w:rsid w:val="009C17B8"/>
    <w:rsid w:val="009D20F7"/>
    <w:rsid w:val="009D285B"/>
    <w:rsid w:val="009D41EC"/>
    <w:rsid w:val="009D7C34"/>
    <w:rsid w:val="009E161A"/>
    <w:rsid w:val="009E4B9C"/>
    <w:rsid w:val="009E4FB0"/>
    <w:rsid w:val="00A102FB"/>
    <w:rsid w:val="00A12858"/>
    <w:rsid w:val="00A1498D"/>
    <w:rsid w:val="00A16DA3"/>
    <w:rsid w:val="00A235CE"/>
    <w:rsid w:val="00A24D49"/>
    <w:rsid w:val="00A30A90"/>
    <w:rsid w:val="00A406C8"/>
    <w:rsid w:val="00A51348"/>
    <w:rsid w:val="00A52DD2"/>
    <w:rsid w:val="00A55407"/>
    <w:rsid w:val="00A55791"/>
    <w:rsid w:val="00A61BAC"/>
    <w:rsid w:val="00A7313E"/>
    <w:rsid w:val="00A742FD"/>
    <w:rsid w:val="00A7688A"/>
    <w:rsid w:val="00A80A30"/>
    <w:rsid w:val="00A91FDC"/>
    <w:rsid w:val="00A926D5"/>
    <w:rsid w:val="00A963EF"/>
    <w:rsid w:val="00A9727F"/>
    <w:rsid w:val="00AA5D04"/>
    <w:rsid w:val="00AB3030"/>
    <w:rsid w:val="00AB5DCC"/>
    <w:rsid w:val="00AB764D"/>
    <w:rsid w:val="00AB7977"/>
    <w:rsid w:val="00AE4CAF"/>
    <w:rsid w:val="00AE6862"/>
    <w:rsid w:val="00AF2173"/>
    <w:rsid w:val="00AF5935"/>
    <w:rsid w:val="00AF5A15"/>
    <w:rsid w:val="00B02F93"/>
    <w:rsid w:val="00B055EF"/>
    <w:rsid w:val="00B17000"/>
    <w:rsid w:val="00B20876"/>
    <w:rsid w:val="00B22229"/>
    <w:rsid w:val="00B312AE"/>
    <w:rsid w:val="00B33FA1"/>
    <w:rsid w:val="00B35D11"/>
    <w:rsid w:val="00B40C19"/>
    <w:rsid w:val="00B43254"/>
    <w:rsid w:val="00B46F36"/>
    <w:rsid w:val="00B47DC7"/>
    <w:rsid w:val="00B51186"/>
    <w:rsid w:val="00B539D2"/>
    <w:rsid w:val="00B54085"/>
    <w:rsid w:val="00B66A28"/>
    <w:rsid w:val="00B732B9"/>
    <w:rsid w:val="00B86485"/>
    <w:rsid w:val="00B92948"/>
    <w:rsid w:val="00B9697E"/>
    <w:rsid w:val="00BA04B5"/>
    <w:rsid w:val="00BA408B"/>
    <w:rsid w:val="00BA42A8"/>
    <w:rsid w:val="00BA594F"/>
    <w:rsid w:val="00BA7524"/>
    <w:rsid w:val="00BC16D5"/>
    <w:rsid w:val="00BC4BBA"/>
    <w:rsid w:val="00BD46E9"/>
    <w:rsid w:val="00BE3F2A"/>
    <w:rsid w:val="00BE4504"/>
    <w:rsid w:val="00C01BDB"/>
    <w:rsid w:val="00C07175"/>
    <w:rsid w:val="00C143BB"/>
    <w:rsid w:val="00C157D8"/>
    <w:rsid w:val="00C21B63"/>
    <w:rsid w:val="00C243E5"/>
    <w:rsid w:val="00C3339A"/>
    <w:rsid w:val="00C34821"/>
    <w:rsid w:val="00C524C5"/>
    <w:rsid w:val="00C5557C"/>
    <w:rsid w:val="00C55DF7"/>
    <w:rsid w:val="00C60D4B"/>
    <w:rsid w:val="00C66E52"/>
    <w:rsid w:val="00C71B1A"/>
    <w:rsid w:val="00C7631F"/>
    <w:rsid w:val="00C92C90"/>
    <w:rsid w:val="00CA66C4"/>
    <w:rsid w:val="00CA6C89"/>
    <w:rsid w:val="00CC2C1E"/>
    <w:rsid w:val="00CC4CBC"/>
    <w:rsid w:val="00CD3B9D"/>
    <w:rsid w:val="00CE0446"/>
    <w:rsid w:val="00CE2744"/>
    <w:rsid w:val="00CF0D2B"/>
    <w:rsid w:val="00CF32F4"/>
    <w:rsid w:val="00CF458F"/>
    <w:rsid w:val="00D009C8"/>
    <w:rsid w:val="00D01262"/>
    <w:rsid w:val="00D1183C"/>
    <w:rsid w:val="00D26368"/>
    <w:rsid w:val="00D26F7B"/>
    <w:rsid w:val="00D27EC4"/>
    <w:rsid w:val="00D30FDC"/>
    <w:rsid w:val="00D3726E"/>
    <w:rsid w:val="00D414A4"/>
    <w:rsid w:val="00D427EB"/>
    <w:rsid w:val="00D45412"/>
    <w:rsid w:val="00D5758B"/>
    <w:rsid w:val="00D651AC"/>
    <w:rsid w:val="00D71A74"/>
    <w:rsid w:val="00D73CDE"/>
    <w:rsid w:val="00D767C8"/>
    <w:rsid w:val="00D77F4E"/>
    <w:rsid w:val="00D80AD8"/>
    <w:rsid w:val="00D82ADD"/>
    <w:rsid w:val="00D82E49"/>
    <w:rsid w:val="00D838A6"/>
    <w:rsid w:val="00D936CC"/>
    <w:rsid w:val="00D95173"/>
    <w:rsid w:val="00D95662"/>
    <w:rsid w:val="00DA2A75"/>
    <w:rsid w:val="00DB14DA"/>
    <w:rsid w:val="00DB3488"/>
    <w:rsid w:val="00DC3314"/>
    <w:rsid w:val="00DD074D"/>
    <w:rsid w:val="00DD1C69"/>
    <w:rsid w:val="00DD291D"/>
    <w:rsid w:val="00DD4583"/>
    <w:rsid w:val="00DE0F16"/>
    <w:rsid w:val="00DE5321"/>
    <w:rsid w:val="00DE6586"/>
    <w:rsid w:val="00DF3838"/>
    <w:rsid w:val="00E04939"/>
    <w:rsid w:val="00E04B08"/>
    <w:rsid w:val="00E07F79"/>
    <w:rsid w:val="00E13E74"/>
    <w:rsid w:val="00E21CA1"/>
    <w:rsid w:val="00E5546F"/>
    <w:rsid w:val="00E569E3"/>
    <w:rsid w:val="00E56B2E"/>
    <w:rsid w:val="00E61D9C"/>
    <w:rsid w:val="00E67496"/>
    <w:rsid w:val="00E7066F"/>
    <w:rsid w:val="00E74C89"/>
    <w:rsid w:val="00E83716"/>
    <w:rsid w:val="00E90306"/>
    <w:rsid w:val="00E90992"/>
    <w:rsid w:val="00EA0689"/>
    <w:rsid w:val="00EA6D30"/>
    <w:rsid w:val="00EA7F32"/>
    <w:rsid w:val="00EB1DFE"/>
    <w:rsid w:val="00ED7AF1"/>
    <w:rsid w:val="00EE1AE5"/>
    <w:rsid w:val="00EE2D44"/>
    <w:rsid w:val="00EF34E9"/>
    <w:rsid w:val="00F11259"/>
    <w:rsid w:val="00F11363"/>
    <w:rsid w:val="00F1261C"/>
    <w:rsid w:val="00F126BE"/>
    <w:rsid w:val="00F176F1"/>
    <w:rsid w:val="00F2507C"/>
    <w:rsid w:val="00F27CD9"/>
    <w:rsid w:val="00F31229"/>
    <w:rsid w:val="00F316D7"/>
    <w:rsid w:val="00F40C4C"/>
    <w:rsid w:val="00F41A8C"/>
    <w:rsid w:val="00F437D2"/>
    <w:rsid w:val="00F4661D"/>
    <w:rsid w:val="00F53C23"/>
    <w:rsid w:val="00F5783D"/>
    <w:rsid w:val="00F66F09"/>
    <w:rsid w:val="00F67ABF"/>
    <w:rsid w:val="00F711C6"/>
    <w:rsid w:val="00F71F30"/>
    <w:rsid w:val="00F73EED"/>
    <w:rsid w:val="00F76EE5"/>
    <w:rsid w:val="00F87ED4"/>
    <w:rsid w:val="00F93FC1"/>
    <w:rsid w:val="00F97F66"/>
    <w:rsid w:val="00FA4D49"/>
    <w:rsid w:val="00FA4ECC"/>
    <w:rsid w:val="00FB1E3E"/>
    <w:rsid w:val="00FB51A8"/>
    <w:rsid w:val="00FC307B"/>
    <w:rsid w:val="00FD07EE"/>
    <w:rsid w:val="00FD352E"/>
    <w:rsid w:val="00FE5319"/>
    <w:rsid w:val="00FF2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BF2CC"/>
  <w15:chartTrackingRefBased/>
  <w15:docId w15:val="{18E5F93F-87F5-42E0-A442-8B3BE1DA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2"/>
      <w:szCs w:val="24"/>
      <w:lang w:eastAsia="en-US"/>
    </w:rPr>
  </w:style>
  <w:style w:type="paragraph" w:styleId="Heading1">
    <w:name w:val="heading 1"/>
    <w:basedOn w:val="Normal"/>
    <w:next w:val="Normal"/>
    <w:link w:val="Heading1Char"/>
    <w:qFormat/>
    <w:rsid w:val="004A1171"/>
    <w:pPr>
      <w:keepNext/>
      <w:tabs>
        <w:tab w:val="left" w:pos="5760"/>
        <w:tab w:val="left" w:pos="7200"/>
      </w:tabs>
      <w:suppressAutoHyphens/>
      <w:spacing w:after="120"/>
      <w:ind w:left="1440"/>
      <w:outlineLvl w:val="0"/>
    </w:pPr>
    <w:rPr>
      <w:b/>
      <w:sz w:val="40"/>
      <w:szCs w:val="20"/>
      <w:lang w:eastAsia="en-GB"/>
    </w:rPr>
  </w:style>
  <w:style w:type="paragraph" w:styleId="Heading2">
    <w:name w:val="heading 2"/>
    <w:basedOn w:val="Normal"/>
    <w:next w:val="Normal"/>
    <w:link w:val="Heading2Char"/>
    <w:qFormat/>
    <w:rsid w:val="00146E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46EF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0D5B"/>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NormalWeb">
    <w:name w:val="Normal (Web)"/>
    <w:basedOn w:val="Normal"/>
    <w:rPr>
      <w:szCs w:val="22"/>
    </w:rPr>
  </w:style>
  <w:style w:type="paragraph" w:customStyle="1" w:styleId="contact">
    <w:name w:val="contact"/>
    <w:basedOn w:val="Normal"/>
    <w:rsid w:val="00620D5B"/>
    <w:rPr>
      <w:szCs w:val="22"/>
      <w:lang w:val="en-US"/>
    </w:rPr>
  </w:style>
  <w:style w:type="character" w:styleId="FollowedHyperlink">
    <w:name w:val="FollowedHyperlink"/>
    <w:rsid w:val="00FF23DB"/>
    <w:rPr>
      <w:color w:val="606420"/>
      <w:u w:val="single"/>
    </w:rPr>
  </w:style>
  <w:style w:type="table" w:styleId="TableGrid">
    <w:name w:val="Table Grid"/>
    <w:basedOn w:val="TableNormal"/>
    <w:rsid w:val="006F5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685279"/>
    <w:pPr>
      <w:numPr>
        <w:numId w:val="1"/>
      </w:numPr>
    </w:pPr>
  </w:style>
  <w:style w:type="paragraph" w:styleId="TOAHeading">
    <w:name w:val="toa heading"/>
    <w:basedOn w:val="Normal"/>
    <w:next w:val="Normal"/>
    <w:semiHidden/>
    <w:rsid w:val="004A1171"/>
    <w:pPr>
      <w:tabs>
        <w:tab w:val="left" w:pos="9000"/>
        <w:tab w:val="right" w:pos="9360"/>
      </w:tabs>
      <w:suppressAutoHyphens/>
    </w:pPr>
    <w:rPr>
      <w:szCs w:val="20"/>
      <w:lang w:val="en-US" w:eastAsia="en-GB"/>
    </w:rPr>
  </w:style>
  <w:style w:type="paragraph" w:styleId="BodyText">
    <w:name w:val="Body Text"/>
    <w:basedOn w:val="Normal"/>
    <w:link w:val="BodyTextChar"/>
    <w:rsid w:val="004A1171"/>
    <w:pPr>
      <w:jc w:val="both"/>
    </w:pPr>
    <w:rPr>
      <w:rFonts w:ascii="Times New Roman" w:hAnsi="Times New Roman"/>
      <w:sz w:val="24"/>
      <w:szCs w:val="20"/>
      <w:lang w:eastAsia="en-GB"/>
    </w:rPr>
  </w:style>
  <w:style w:type="paragraph" w:styleId="BodyTextIndent">
    <w:name w:val="Body Text Indent"/>
    <w:basedOn w:val="Normal"/>
    <w:rsid w:val="004A1171"/>
    <w:pPr>
      <w:spacing w:after="120"/>
      <w:ind w:left="283"/>
    </w:pPr>
    <w:rPr>
      <w:szCs w:val="20"/>
      <w:lang w:eastAsia="en-GB"/>
    </w:rPr>
  </w:style>
  <w:style w:type="paragraph" w:styleId="BodyText2">
    <w:name w:val="Body Text 2"/>
    <w:basedOn w:val="Normal"/>
    <w:link w:val="BodyText2Char"/>
    <w:rsid w:val="004A1171"/>
    <w:pPr>
      <w:spacing w:after="120" w:line="480" w:lineRule="auto"/>
    </w:pPr>
    <w:rPr>
      <w:szCs w:val="20"/>
      <w:lang w:eastAsia="en-GB"/>
    </w:rPr>
  </w:style>
  <w:style w:type="paragraph" w:styleId="BodyText3">
    <w:name w:val="Body Text 3"/>
    <w:basedOn w:val="Normal"/>
    <w:link w:val="BodyText3Char"/>
    <w:rsid w:val="0068392B"/>
    <w:pPr>
      <w:spacing w:after="120"/>
    </w:pPr>
    <w:rPr>
      <w:sz w:val="16"/>
      <w:szCs w:val="16"/>
    </w:rPr>
  </w:style>
  <w:style w:type="character" w:customStyle="1" w:styleId="BodyText3Char">
    <w:name w:val="Body Text 3 Char"/>
    <w:link w:val="BodyText3"/>
    <w:rsid w:val="0068392B"/>
    <w:rPr>
      <w:rFonts w:ascii="Verdana" w:hAnsi="Verdana"/>
      <w:sz w:val="16"/>
      <w:szCs w:val="16"/>
      <w:lang w:val="en-GB"/>
    </w:rPr>
  </w:style>
  <w:style w:type="paragraph" w:styleId="FootnoteText">
    <w:name w:val="footnote text"/>
    <w:basedOn w:val="Normal"/>
    <w:link w:val="FootnoteTextChar"/>
    <w:rsid w:val="00C66E52"/>
    <w:rPr>
      <w:sz w:val="20"/>
      <w:szCs w:val="20"/>
    </w:rPr>
  </w:style>
  <w:style w:type="character" w:customStyle="1" w:styleId="FootnoteTextChar">
    <w:name w:val="Footnote Text Char"/>
    <w:link w:val="FootnoteText"/>
    <w:rsid w:val="00C66E52"/>
    <w:rPr>
      <w:rFonts w:ascii="Verdana" w:hAnsi="Verdana"/>
      <w:lang w:val="en-GB"/>
    </w:rPr>
  </w:style>
  <w:style w:type="character" w:styleId="FootnoteReference">
    <w:name w:val="footnote reference"/>
    <w:rsid w:val="00C66E52"/>
    <w:rPr>
      <w:vertAlign w:val="superscript"/>
    </w:rPr>
  </w:style>
  <w:style w:type="character" w:customStyle="1" w:styleId="BodyTextChar">
    <w:name w:val="Body Text Char"/>
    <w:link w:val="BodyText"/>
    <w:rsid w:val="00457155"/>
    <w:rPr>
      <w:sz w:val="24"/>
      <w:lang w:val="en-GB" w:eastAsia="en-GB"/>
    </w:rPr>
  </w:style>
  <w:style w:type="paragraph" w:customStyle="1" w:styleId="Singleline">
    <w:name w:val="Single line"/>
    <w:basedOn w:val="Normal"/>
    <w:rsid w:val="00457155"/>
    <w:pPr>
      <w:jc w:val="both"/>
    </w:pPr>
    <w:rPr>
      <w:rFonts w:ascii="Tms Rmn" w:hAnsi="Tms Rmn"/>
      <w:sz w:val="24"/>
      <w:szCs w:val="20"/>
      <w:lang w:eastAsia="en-GB"/>
    </w:rPr>
  </w:style>
  <w:style w:type="character" w:customStyle="1" w:styleId="Heading2Char">
    <w:name w:val="Heading 2 Char"/>
    <w:link w:val="Heading2"/>
    <w:semiHidden/>
    <w:rsid w:val="00146EFD"/>
    <w:rPr>
      <w:rFonts w:ascii="Cambria" w:eastAsia="Times New Roman" w:hAnsi="Cambria" w:cs="Times New Roman"/>
      <w:b/>
      <w:bCs/>
      <w:i/>
      <w:iCs/>
      <w:sz w:val="28"/>
      <w:szCs w:val="28"/>
      <w:lang w:val="en-GB"/>
    </w:rPr>
  </w:style>
  <w:style w:type="character" w:customStyle="1" w:styleId="Heading3Char">
    <w:name w:val="Heading 3 Char"/>
    <w:link w:val="Heading3"/>
    <w:semiHidden/>
    <w:rsid w:val="00146EFD"/>
    <w:rPr>
      <w:rFonts w:ascii="Cambria" w:eastAsia="Times New Roman" w:hAnsi="Cambria" w:cs="Times New Roman"/>
      <w:b/>
      <w:bCs/>
      <w:sz w:val="26"/>
      <w:szCs w:val="26"/>
      <w:lang w:val="en-GB"/>
    </w:rPr>
  </w:style>
  <w:style w:type="character" w:customStyle="1" w:styleId="BodyText2Char">
    <w:name w:val="Body Text 2 Char"/>
    <w:link w:val="BodyText2"/>
    <w:rsid w:val="00146EFD"/>
    <w:rPr>
      <w:rFonts w:ascii="Verdana" w:hAnsi="Verdana"/>
      <w:sz w:val="22"/>
      <w:lang w:val="en-GB" w:eastAsia="en-GB"/>
    </w:rPr>
  </w:style>
  <w:style w:type="character" w:customStyle="1" w:styleId="Heading1Char">
    <w:name w:val="Heading 1 Char"/>
    <w:link w:val="Heading1"/>
    <w:rsid w:val="00F316D7"/>
    <w:rPr>
      <w:rFonts w:ascii="Verdana" w:hAnsi="Verdana"/>
      <w:b/>
      <w:sz w:val="40"/>
      <w:lang w:val="en-GB" w:eastAsia="en-GB"/>
    </w:rPr>
  </w:style>
  <w:style w:type="paragraph" w:styleId="ListParagraph">
    <w:name w:val="List Paragraph"/>
    <w:basedOn w:val="Normal"/>
    <w:uiPriority w:val="34"/>
    <w:qFormat/>
    <w:rsid w:val="00437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0040">
      <w:bodyDiv w:val="1"/>
      <w:marLeft w:val="0"/>
      <w:marRight w:val="0"/>
      <w:marTop w:val="0"/>
      <w:marBottom w:val="0"/>
      <w:divBdr>
        <w:top w:val="none" w:sz="0" w:space="0" w:color="auto"/>
        <w:left w:val="none" w:sz="0" w:space="0" w:color="auto"/>
        <w:bottom w:val="none" w:sz="0" w:space="0" w:color="auto"/>
        <w:right w:val="none" w:sz="0" w:space="0" w:color="auto"/>
      </w:divBdr>
    </w:div>
    <w:div w:id="93938358">
      <w:bodyDiv w:val="1"/>
      <w:marLeft w:val="0"/>
      <w:marRight w:val="0"/>
      <w:marTop w:val="0"/>
      <w:marBottom w:val="0"/>
      <w:divBdr>
        <w:top w:val="none" w:sz="0" w:space="0" w:color="auto"/>
        <w:left w:val="none" w:sz="0" w:space="0" w:color="auto"/>
        <w:bottom w:val="none" w:sz="0" w:space="0" w:color="auto"/>
        <w:right w:val="none" w:sz="0" w:space="0" w:color="auto"/>
      </w:divBdr>
    </w:div>
    <w:div w:id="629827921">
      <w:bodyDiv w:val="1"/>
      <w:marLeft w:val="0"/>
      <w:marRight w:val="0"/>
      <w:marTop w:val="0"/>
      <w:marBottom w:val="0"/>
      <w:divBdr>
        <w:top w:val="none" w:sz="0" w:space="0" w:color="auto"/>
        <w:left w:val="none" w:sz="0" w:space="0" w:color="auto"/>
        <w:bottom w:val="none" w:sz="0" w:space="0" w:color="auto"/>
        <w:right w:val="none" w:sz="0" w:space="0" w:color="auto"/>
      </w:divBdr>
    </w:div>
    <w:div w:id="675965439">
      <w:bodyDiv w:val="1"/>
      <w:marLeft w:val="0"/>
      <w:marRight w:val="0"/>
      <w:marTop w:val="0"/>
      <w:marBottom w:val="0"/>
      <w:divBdr>
        <w:top w:val="none" w:sz="0" w:space="0" w:color="auto"/>
        <w:left w:val="none" w:sz="0" w:space="0" w:color="auto"/>
        <w:bottom w:val="none" w:sz="0" w:space="0" w:color="auto"/>
        <w:right w:val="none" w:sz="0" w:space="0" w:color="auto"/>
      </w:divBdr>
    </w:div>
    <w:div w:id="703755797">
      <w:bodyDiv w:val="1"/>
      <w:marLeft w:val="0"/>
      <w:marRight w:val="0"/>
      <w:marTop w:val="0"/>
      <w:marBottom w:val="0"/>
      <w:divBdr>
        <w:top w:val="none" w:sz="0" w:space="0" w:color="auto"/>
        <w:left w:val="none" w:sz="0" w:space="0" w:color="auto"/>
        <w:bottom w:val="none" w:sz="0" w:space="0" w:color="auto"/>
        <w:right w:val="none" w:sz="0" w:space="0" w:color="auto"/>
      </w:divBdr>
    </w:div>
    <w:div w:id="914702558">
      <w:bodyDiv w:val="1"/>
      <w:marLeft w:val="0"/>
      <w:marRight w:val="0"/>
      <w:marTop w:val="0"/>
      <w:marBottom w:val="0"/>
      <w:divBdr>
        <w:top w:val="none" w:sz="0" w:space="0" w:color="auto"/>
        <w:left w:val="none" w:sz="0" w:space="0" w:color="auto"/>
        <w:bottom w:val="none" w:sz="0" w:space="0" w:color="auto"/>
        <w:right w:val="none" w:sz="0" w:space="0" w:color="auto"/>
      </w:divBdr>
    </w:div>
    <w:div w:id="963537734">
      <w:bodyDiv w:val="1"/>
      <w:marLeft w:val="0"/>
      <w:marRight w:val="0"/>
      <w:marTop w:val="0"/>
      <w:marBottom w:val="0"/>
      <w:divBdr>
        <w:top w:val="none" w:sz="0" w:space="0" w:color="auto"/>
        <w:left w:val="none" w:sz="0" w:space="0" w:color="auto"/>
        <w:bottom w:val="none" w:sz="0" w:space="0" w:color="auto"/>
        <w:right w:val="none" w:sz="0" w:space="0" w:color="auto"/>
      </w:divBdr>
    </w:div>
    <w:div w:id="1217549975">
      <w:bodyDiv w:val="1"/>
      <w:marLeft w:val="0"/>
      <w:marRight w:val="0"/>
      <w:marTop w:val="0"/>
      <w:marBottom w:val="0"/>
      <w:divBdr>
        <w:top w:val="none" w:sz="0" w:space="0" w:color="auto"/>
        <w:left w:val="none" w:sz="0" w:space="0" w:color="auto"/>
        <w:bottom w:val="none" w:sz="0" w:space="0" w:color="auto"/>
        <w:right w:val="none" w:sz="0" w:space="0" w:color="auto"/>
      </w:divBdr>
    </w:div>
    <w:div w:id="1254975186">
      <w:bodyDiv w:val="1"/>
      <w:marLeft w:val="0"/>
      <w:marRight w:val="0"/>
      <w:marTop w:val="0"/>
      <w:marBottom w:val="0"/>
      <w:divBdr>
        <w:top w:val="none" w:sz="0" w:space="0" w:color="auto"/>
        <w:left w:val="none" w:sz="0" w:space="0" w:color="auto"/>
        <w:bottom w:val="none" w:sz="0" w:space="0" w:color="auto"/>
        <w:right w:val="none" w:sz="0" w:space="0" w:color="auto"/>
      </w:divBdr>
    </w:div>
    <w:div w:id="1670600513">
      <w:bodyDiv w:val="1"/>
      <w:marLeft w:val="0"/>
      <w:marRight w:val="0"/>
      <w:marTop w:val="0"/>
      <w:marBottom w:val="0"/>
      <w:divBdr>
        <w:top w:val="none" w:sz="0" w:space="0" w:color="auto"/>
        <w:left w:val="none" w:sz="0" w:space="0" w:color="auto"/>
        <w:bottom w:val="none" w:sz="0" w:space="0" w:color="auto"/>
        <w:right w:val="none" w:sz="0" w:space="0" w:color="auto"/>
      </w:divBdr>
    </w:div>
    <w:div w:id="1717582826">
      <w:bodyDiv w:val="1"/>
      <w:marLeft w:val="0"/>
      <w:marRight w:val="0"/>
      <w:marTop w:val="0"/>
      <w:marBottom w:val="0"/>
      <w:divBdr>
        <w:top w:val="none" w:sz="0" w:space="0" w:color="auto"/>
        <w:left w:val="none" w:sz="0" w:space="0" w:color="auto"/>
        <w:bottom w:val="none" w:sz="0" w:space="0" w:color="auto"/>
        <w:right w:val="none" w:sz="0" w:space="0" w:color="auto"/>
      </w:divBdr>
    </w:div>
    <w:div w:id="20245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94BAA5-7F94-4435-B382-EF51541FB581}">
  <ds:schemaRefs>
    <ds:schemaRef ds:uri="http://schemas.microsoft.com/sharepoint/v3/contenttype/forms"/>
  </ds:schemaRefs>
</ds:datastoreItem>
</file>

<file path=customXml/itemProps2.xml><?xml version="1.0" encoding="utf-8"?>
<ds:datastoreItem xmlns:ds="http://schemas.openxmlformats.org/officeDocument/2006/customXml" ds:itemID="{F01C3006-7333-47E7-89B9-3A0CCE326A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D801EC-976E-49CB-B5D4-6D9C71C4282A}"/>
</file>

<file path=docProps/app.xml><?xml version="1.0" encoding="utf-8"?>
<Properties xmlns="http://schemas.openxmlformats.org/officeDocument/2006/extended-properties" xmlns:vt="http://schemas.openxmlformats.org/officeDocument/2006/docPropsVTypes">
  <Template>Normal</Template>
  <TotalTime>3</TotalTime>
  <Pages>2</Pages>
  <Words>669</Words>
  <Characters>3818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Fabasoft R&amp;D</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Andreas Hofmann</dc:creator>
  <cp:keywords/>
  <dc:description/>
  <cp:lastModifiedBy>Sarah Williams</cp:lastModifiedBy>
  <cp:revision>2</cp:revision>
  <cp:lastPrinted>2013-12-04T10:31:00Z</cp:lastPrinted>
  <dcterms:created xsi:type="dcterms:W3CDTF">2026-05-14T07:25:00Z</dcterms:created>
  <dcterms:modified xsi:type="dcterms:W3CDTF">2026-05-14T07:25:00Z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APP/Z0116/C/12/1003127</vt:lpwstr>
  </property>
  <property fmtid="{D5CDD505-2E9C-101B-9397-08002B2CF9AE}" pid="4" name="FSC#COOELAK@1.1001:FileRefYear">
    <vt:lpwstr>2012</vt:lpwstr>
  </property>
  <property fmtid="{D5CDD505-2E9C-101B-9397-08002B2CF9AE}" pid="5" name="FSC#COOELAK@1.1001:FileRefOrdinal">
    <vt:lpwstr>31</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Bale</vt:lpwstr>
  </property>
  <property fmtid="{D5CDD505-2E9C-101B-9397-08002B2CF9AE}" pid="9" name="FSC#COOELAK@1.1001:OwnerExtension">
    <vt:lpwstr/>
  </property>
  <property fmtid="{D5CDD505-2E9C-101B-9397-08002B2CF9AE}" pid="10" name="FSC#COOELAK@1.1001:DispatchedBy">
    <vt:lpwstr/>
  </property>
  <property fmtid="{D5CDD505-2E9C-101B-9397-08002B2CF9AE}" pid="11" name="FSC#COOELAK@1.1001:DispatchedAt">
    <vt:lpwstr/>
  </property>
  <property fmtid="{D5CDD505-2E9C-101B-9397-08002B2CF9AE}" pid="12" name="FSC#COOELAK@1.1001:ApprovedBy">
    <vt:lpwstr/>
  </property>
  <property fmtid="{D5CDD505-2E9C-101B-9397-08002B2CF9AE}" pid="13" name="FSC#COOELAK@1.1001:ApprovedAt">
    <vt:lpwstr/>
  </property>
  <property fmtid="{D5CDD505-2E9C-101B-9397-08002B2CF9AE}" pid="14" name="FSC#COOELAK@1.1001:Department">
    <vt:lpwstr>PINS 3 Wales (Procedure Section Wales)</vt:lpwstr>
  </property>
  <property fmtid="{D5CDD505-2E9C-101B-9397-08002B2CF9AE}" pid="15" name="FSC#COOELAK@1.1001:CreatedAt">
    <vt:lpwstr>13/12/2012 14:52:45</vt:lpwstr>
  </property>
  <property fmtid="{D5CDD505-2E9C-101B-9397-08002B2CF9AE}" pid="16" name="FSC#COOELAK@1.1001:OU">
    <vt:lpwstr>S174 Appeals (Enforcements)</vt:lpwstr>
  </property>
  <property fmtid="{D5CDD505-2E9C-101B-9397-08002B2CF9AE}" pid="17" name="FSC#COOELAK@1.1001:Priority">
    <vt:lpwstr/>
  </property>
  <property fmtid="{D5CDD505-2E9C-101B-9397-08002B2CF9AE}" pid="18" name="FSC#COOELAK@1.1001:ObjBarCode">
    <vt:lpwstr>*COO.2036.9960.9.21547*</vt:lpwstr>
  </property>
  <property fmtid="{D5CDD505-2E9C-101B-9397-08002B2CF9AE}" pid="19" name="FSC#COOELAK@1.1001:RefBarCode">
    <vt:lpwstr>*Blank Letter/13/12/2012*</vt:lpwstr>
  </property>
  <property fmtid="{D5CDD505-2E9C-101B-9397-08002B2CF9AE}" pid="20" name="FSC#COOELAK@1.1001:FileRefBarCode">
    <vt:lpwstr>*APP/Z0116/C/12/1003127*</vt:lpwstr>
  </property>
  <property fmtid="{D5CDD505-2E9C-101B-9397-08002B2CF9AE}" pid="21" name="FSC#COOELAK@1.1001:ExternalRef">
    <vt:lpwstr/>
  </property>
  <property fmtid="{D5CDD505-2E9C-101B-9397-08002B2CF9AE}" pid="22" name="FSC#COOELAK@1.1001:OwnerFaxExtension">
    <vt:lpwstr/>
  </property>
  <property fmtid="{D5CDD505-2E9C-101B-9397-08002B2CF9AE}" pid="23" name="FSC#COOELAK@1.1001:IncomingNumber">
    <vt:lpwstr>APP/Z0116/C/12/1003127/0001</vt:lpwstr>
  </property>
  <property fmtid="{D5CDD505-2E9C-101B-9397-08002B2CF9AE}" pid="24" name="FSC#COOELAK@1.1001:IncomingSubject">
    <vt:lpwstr/>
  </property>
  <property fmtid="{D5CDD505-2E9C-101B-9397-08002B2CF9AE}" pid="25" name="FSC#COOELAK@1.1001:ProcessResponsible">
    <vt:lpwstr>S174 Appeals (Enforcements)</vt:lpwstr>
  </property>
  <property fmtid="{D5CDD505-2E9C-101B-9397-08002B2CF9AE}" pid="26" name="FSC#COOELAK@1.1001:ProcessResponsiblePhone">
    <vt:lpwstr/>
  </property>
  <property fmtid="{D5CDD505-2E9C-101B-9397-08002B2CF9AE}" pid="27" name="FSC#COOELAK@1.1001:ProcessResponsibleMail">
    <vt:lpwstr>abby.bale@pins.gsi.gov.uk</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C</vt:lpwstr>
  </property>
  <property fmtid="{D5CDD505-2E9C-101B-9397-08002B2CF9AE}" pid="35" name="FSC#COOELAK@1.1001:CurrentUserRolePos">
    <vt:lpwstr>Officer</vt:lpwstr>
  </property>
  <property fmtid="{D5CDD505-2E9C-101B-9397-08002B2CF9AE}" pid="36" name="FSC#COOELAK@1.1001:CurrentUserEmail">
    <vt:lpwstr>abby.bale@pins.gsi.gov.uk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COOSYSTEM@1.1:Container">
    <vt:lpwstr>COO.2036.9960.9.21547</vt:lpwstr>
  </property>
  <property fmtid="{D5CDD505-2E9C-101B-9397-08002B2CF9AE}" pid="43" name="ContentTypeId">
    <vt:lpwstr>0x0101002AA54CDEF871A647AC44520C841F1B03</vt:lpwstr>
  </property>
</Properties>
</file>