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6240107D"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6ED5E78F" w:rsidR="005C0B41" w:rsidRPr="002B6D93" w:rsidRDefault="00233879" w:rsidP="0017793A">
      <w:pPr>
        <w:pStyle w:val="Heading1"/>
      </w:pPr>
      <w:r>
        <w:t xml:space="preserve">Annex F </w:t>
      </w:r>
      <w:r w:rsidR="00AD5EFC">
        <w:t xml:space="preserve">– </w:t>
      </w:r>
      <w:r>
        <w:t>Model criteria for the assessment of proposals for new schools</w:t>
      </w:r>
    </w:p>
    <w:p w14:paraId="528640A0" w14:textId="65CB11FB" w:rsidR="007E1F22" w:rsidRDefault="001564EC" w:rsidP="007E1F22">
      <w:pPr>
        <w:pStyle w:val="Heading2"/>
      </w:pPr>
      <w:r>
        <w:t>Summary</w:t>
      </w:r>
    </w:p>
    <w:p w14:paraId="1D4CBA20" w14:textId="77777777" w:rsidR="00B4116F" w:rsidRPr="00BD32BD" w:rsidRDefault="00B4116F" w:rsidP="00B4116F">
      <w:r w:rsidRPr="00BD32BD">
        <w:t xml:space="preserve">This document sets out criteria that can be used to assess proposals for new schools made under the ‘invitation process’, as set out in the </w:t>
      </w:r>
      <w:hyperlink r:id="rId14" w:history="1">
        <w:r w:rsidRPr="00BD32BD">
          <w:rPr>
            <w:rStyle w:val="Hyperlink"/>
          </w:rPr>
          <w:t>opening new schools guidance</w:t>
        </w:r>
      </w:hyperlink>
      <w:r w:rsidRPr="00BD32BD">
        <w:t xml:space="preserve">. The criteria in this document may also be used to assess proposals made outside of the invitation process. When used as part of the invitation process, this document is designed to be used alongside Annex D (specification template) and Annex E (proposal template). </w:t>
      </w:r>
    </w:p>
    <w:p w14:paraId="0EA79C8F" w14:textId="5362335F" w:rsidR="00926BFA" w:rsidRPr="00926BFA" w:rsidRDefault="00926BFA" w:rsidP="00926BFA">
      <w:pPr>
        <w:pStyle w:val="Heading3"/>
      </w:pPr>
      <w:r>
        <w:t>Who this publication</w:t>
      </w:r>
      <w:r w:rsidR="00F22E72">
        <w:t xml:space="preserve"> is</w:t>
      </w:r>
      <w:r>
        <w:t xml:space="preserve"> for</w:t>
      </w:r>
    </w:p>
    <w:p w14:paraId="07FE88A7" w14:textId="77777777" w:rsidR="00566A11" w:rsidRPr="00BD32BD" w:rsidRDefault="00566A11" w:rsidP="00566A11">
      <w:bookmarkStart w:id="0" w:name="_Toc338167832"/>
      <w:bookmarkStart w:id="1" w:name="_Toc361136405"/>
      <w:bookmarkStart w:id="2" w:name="_Toc364235710"/>
      <w:bookmarkStart w:id="3" w:name="_Toc364235754"/>
      <w:bookmarkStart w:id="4" w:name="_Toc364235836"/>
      <w:bookmarkStart w:id="5" w:name="_Toc364840101"/>
      <w:bookmarkStart w:id="6" w:name="_Toc364864311"/>
      <w:r w:rsidRPr="00BD32BD">
        <w:t xml:space="preserve">This guidance is for: </w:t>
      </w:r>
    </w:p>
    <w:p w14:paraId="4ACD29DC" w14:textId="77777777" w:rsidR="00566A11" w:rsidRPr="00BD32BD" w:rsidRDefault="00566A11" w:rsidP="00566A11">
      <w:pPr>
        <w:pStyle w:val="ListParagraph"/>
        <w:numPr>
          <w:ilvl w:val="0"/>
          <w:numId w:val="18"/>
        </w:numPr>
        <w:spacing w:after="120"/>
      </w:pPr>
      <w:r w:rsidRPr="00BD32BD">
        <w:t>Local authorities</w:t>
      </w:r>
    </w:p>
    <w:p w14:paraId="3BCBC9CB" w14:textId="77777777" w:rsidR="00566A11" w:rsidRPr="00BD32BD" w:rsidRDefault="00566A11" w:rsidP="00566A11">
      <w:pPr>
        <w:pStyle w:val="ListParagraph"/>
        <w:numPr>
          <w:ilvl w:val="0"/>
          <w:numId w:val="18"/>
        </w:numPr>
        <w:spacing w:after="120"/>
      </w:pPr>
      <w:bookmarkStart w:id="7" w:name="_Toc400361366"/>
      <w:bookmarkStart w:id="8" w:name="_Toc154670915"/>
      <w:r w:rsidRPr="00BD32BD">
        <w:t>Proposers of new schools</w:t>
      </w:r>
    </w:p>
    <w:bookmarkEnd w:id="0"/>
    <w:bookmarkEnd w:id="1"/>
    <w:bookmarkEnd w:id="2"/>
    <w:bookmarkEnd w:id="3"/>
    <w:bookmarkEnd w:id="4"/>
    <w:bookmarkEnd w:id="5"/>
    <w:bookmarkEnd w:id="6"/>
    <w:bookmarkEnd w:id="7"/>
    <w:bookmarkEnd w:id="8"/>
    <w:p w14:paraId="60EC2DA8" w14:textId="77777777" w:rsidR="00566A11" w:rsidRDefault="00566A11">
      <w:pPr>
        <w:spacing w:after="0" w:line="240" w:lineRule="auto"/>
      </w:pPr>
      <w:r>
        <w:br w:type="page"/>
      </w:r>
    </w:p>
    <w:p w14:paraId="5FA077C5" w14:textId="1F5F584D" w:rsidR="00566A11" w:rsidRPr="002B6D93" w:rsidRDefault="00566A11" w:rsidP="00566A11">
      <w:pPr>
        <w:pStyle w:val="Heading2"/>
      </w:pPr>
      <w:r>
        <w:lastRenderedPageBreak/>
        <w:t>Introduction</w:t>
      </w:r>
    </w:p>
    <w:p w14:paraId="64F7BCA2" w14:textId="77777777" w:rsidR="00855844" w:rsidRDefault="00855844" w:rsidP="00855844">
      <w:r w:rsidRPr="00BD32BD">
        <w:t>Each section below sets out general assessment criteria for the related sections of the specification and proposal templates. This list is not designed to be exhaustive, and decision-makers must consider all factors relevant to the proposed school. Decision-makers are entitled to make reasonable choices about which criteria to prioritise, or to prioritise certain criteria over others.</w:t>
      </w:r>
    </w:p>
    <w:p w14:paraId="6634557F" w14:textId="004C43F8" w:rsidR="00855844" w:rsidRDefault="00855844" w:rsidP="00855844">
      <w:pPr>
        <w:pStyle w:val="Heading2"/>
      </w:pPr>
      <w:r>
        <w:t>Section A: essential information</w:t>
      </w:r>
    </w:p>
    <w:p w14:paraId="556223BC" w14:textId="77777777" w:rsidR="00393BEB" w:rsidRPr="00BD32BD" w:rsidRDefault="00393BEB" w:rsidP="00393BEB">
      <w:pPr>
        <w:spacing w:before="240"/>
      </w:pPr>
      <w:r w:rsidRPr="00BD32BD">
        <w:t>Model assessment criteria are not provided for this section</w:t>
      </w:r>
      <w:r w:rsidRPr="00BD32BD">
        <w:rPr>
          <w:b/>
          <w:bCs/>
        </w:rPr>
        <w:t xml:space="preserve">. </w:t>
      </w:r>
      <w:r w:rsidRPr="00BD32BD">
        <w:t xml:space="preserve">It is up to decision-makers to consider whether any deviations from the specification are acceptable and manageable.   </w:t>
      </w:r>
    </w:p>
    <w:p w14:paraId="02B08CB2" w14:textId="5E9DBB4E" w:rsidR="00855844" w:rsidRDefault="00BC6B44" w:rsidP="00855844">
      <w:pPr>
        <w:pStyle w:val="Heading2"/>
      </w:pPr>
      <w:r>
        <w:t>Section B: vision</w:t>
      </w:r>
    </w:p>
    <w:p w14:paraId="5F293CF8" w14:textId="77777777" w:rsidR="008553BE" w:rsidRPr="00BD32BD" w:rsidRDefault="008553BE" w:rsidP="008553BE">
      <w:r w:rsidRPr="00BD32BD">
        <w:t>This is a proposer’s opportunity to tell the decision-maker about the overarching vision for the school and how it informs their education plan. They will need to demonstrate in later sections that the vision is both deliverable and affordable within the available funding. The vision should be coherent and consistent with the other sections of the application.</w:t>
      </w:r>
    </w:p>
    <w:p w14:paraId="4C14D507" w14:textId="77777777" w:rsidR="008553BE" w:rsidRPr="00BD32BD" w:rsidRDefault="008553BE" w:rsidP="008553BE">
      <w:r w:rsidRPr="00BD32BD">
        <w:t>Decision-makers should consider whether this section of the proposal demonstrates:</w:t>
      </w:r>
    </w:p>
    <w:p w14:paraId="563D4CB3" w14:textId="77777777" w:rsidR="008553BE" w:rsidRPr="00BD32BD" w:rsidRDefault="008553BE" w:rsidP="008553BE">
      <w:pPr>
        <w:pStyle w:val="ListParagraph"/>
        <w:spacing w:after="120"/>
      </w:pPr>
      <w:r w:rsidRPr="00BD32BD">
        <w:t>A strong educational vision based on driving high and rising standards at every key stage so that every child can achieve and thrive. Where the school is to include early years provision, this should include how the proposed early years provision will give children attending the best start in life.</w:t>
      </w:r>
    </w:p>
    <w:p w14:paraId="08B46318" w14:textId="77777777" w:rsidR="008553BE" w:rsidRPr="00BD32BD" w:rsidRDefault="008553BE" w:rsidP="008553BE">
      <w:pPr>
        <w:pStyle w:val="ListParagraph"/>
        <w:spacing w:after="120"/>
      </w:pPr>
      <w:r w:rsidRPr="00BD32BD">
        <w:t>A commitment to excellent outcomes for every child and young person, by delivering education that is both high-quality and inclusive, so that there is opportunity for all.</w:t>
      </w:r>
    </w:p>
    <w:p w14:paraId="0B4A510F" w14:textId="77777777" w:rsidR="008553BE" w:rsidRPr="00BD32BD" w:rsidRDefault="008553BE" w:rsidP="008553BE">
      <w:pPr>
        <w:pStyle w:val="ListParagraph"/>
        <w:numPr>
          <w:ilvl w:val="0"/>
          <w:numId w:val="19"/>
        </w:numPr>
        <w:spacing w:after="120"/>
      </w:pPr>
      <w:r w:rsidRPr="00BD32BD">
        <w:t>Plans for appropriate engagement with the local community and parents during the pre-opening period and any on-going engagement that may be required.</w:t>
      </w:r>
    </w:p>
    <w:p w14:paraId="3D146EE9" w14:textId="77777777" w:rsidR="008553BE" w:rsidRPr="00BD32BD" w:rsidRDefault="008553BE" w:rsidP="008553BE">
      <w:pPr>
        <w:pStyle w:val="ListParagraph"/>
        <w:numPr>
          <w:ilvl w:val="0"/>
          <w:numId w:val="19"/>
        </w:numPr>
        <w:spacing w:after="120"/>
      </w:pPr>
      <w:r w:rsidRPr="00BD32BD">
        <w:t xml:space="preserve">An understanding of the expected pupil intake and excellent support plans to meet the needs of all children, including: </w:t>
      </w:r>
    </w:p>
    <w:p w14:paraId="04D4C5A8" w14:textId="77777777" w:rsidR="008F2CB5" w:rsidRDefault="008553BE" w:rsidP="008F2CB5">
      <w:pPr>
        <w:pStyle w:val="ListParagraph"/>
        <w:numPr>
          <w:ilvl w:val="1"/>
          <w:numId w:val="19"/>
        </w:numPr>
        <w:spacing w:after="120"/>
      </w:pPr>
      <w:r w:rsidRPr="00BD32BD">
        <w:t>pupils requiring literacy and numeracy intervention, including those with English as an additional language (EAL) who are at the early stages of learning English;</w:t>
      </w:r>
    </w:p>
    <w:p w14:paraId="01E61109" w14:textId="77777777" w:rsidR="008F2CB5" w:rsidRDefault="008553BE" w:rsidP="008F2CB5">
      <w:pPr>
        <w:pStyle w:val="ListParagraph"/>
        <w:numPr>
          <w:ilvl w:val="1"/>
          <w:numId w:val="19"/>
        </w:numPr>
        <w:spacing w:after="120"/>
      </w:pPr>
      <w:r w:rsidRPr="00BD32BD">
        <w:t>pupils from disadvantaged backgrounds, including those pupils that attract pupil premium (economically disadvantaged pupils, looked after pupils, and previously looked after pupils); and</w:t>
      </w:r>
    </w:p>
    <w:p w14:paraId="3279EBC9" w14:textId="6CA7F16F" w:rsidR="008553BE" w:rsidRPr="00BD32BD" w:rsidRDefault="008553BE" w:rsidP="008F2CB5">
      <w:pPr>
        <w:pStyle w:val="ListParagraph"/>
        <w:numPr>
          <w:ilvl w:val="1"/>
          <w:numId w:val="19"/>
        </w:numPr>
        <w:spacing w:after="120"/>
      </w:pPr>
      <w:r w:rsidRPr="00BD32BD">
        <w:t xml:space="preserve">pupils with special educational needs and disabilities (SEND), or emerging SEN. </w:t>
      </w:r>
    </w:p>
    <w:p w14:paraId="0A573BFD" w14:textId="77777777" w:rsidR="008553BE" w:rsidRPr="00BD32BD" w:rsidRDefault="008553BE" w:rsidP="008553BE">
      <w:pPr>
        <w:pStyle w:val="ListParagraph"/>
        <w:spacing w:after="120"/>
      </w:pPr>
      <w:r w:rsidRPr="00BD32BD">
        <w:t>How the school will support wider improvement in the school system – such as through sharing effective practice and collaborations with other local schools and networks through universal Regional Improvement in Standards and Excellence (RISE).</w:t>
      </w:r>
      <w:r w:rsidRPr="00BD32BD" w:rsidDel="001B1642">
        <w:t xml:space="preserve"> </w:t>
      </w:r>
    </w:p>
    <w:p w14:paraId="4FA514B4" w14:textId="77777777" w:rsidR="008553BE" w:rsidRPr="00BD32BD" w:rsidRDefault="008553BE" w:rsidP="008553BE">
      <w:pPr>
        <w:pStyle w:val="ListParagraph"/>
        <w:spacing w:after="120"/>
      </w:pPr>
      <w:r w:rsidRPr="00BD32BD">
        <w:lastRenderedPageBreak/>
        <w:t xml:space="preserve">Where the proposal is for a maintained school or a pupil referral unit, how the proposers expect the school to move into a high-quality trust over time. </w:t>
      </w:r>
    </w:p>
    <w:p w14:paraId="0B181549" w14:textId="77777777" w:rsidR="008553BE" w:rsidRPr="00BD32BD" w:rsidRDefault="008553BE" w:rsidP="008553BE">
      <w:pPr>
        <w:pStyle w:val="ListParagraph"/>
        <w:spacing w:after="120"/>
      </w:pPr>
      <w:r w:rsidRPr="00BD32BD">
        <w:t>Details of any religious character, and evidence of demand from potential parents and how this responds to the needs of the community (detailed evidence may be in supporting information).</w:t>
      </w:r>
    </w:p>
    <w:p w14:paraId="3A54BA55" w14:textId="63A03F43" w:rsidR="00855844" w:rsidRDefault="004939F2" w:rsidP="00855844">
      <w:pPr>
        <w:pStyle w:val="Heading2"/>
      </w:pPr>
      <w:r>
        <w:t>Section C: plan for education</w:t>
      </w:r>
    </w:p>
    <w:p w14:paraId="4A2BA92B" w14:textId="77777777" w:rsidR="00B3654B" w:rsidRPr="00BD32BD" w:rsidRDefault="00B3654B" w:rsidP="00B3654B">
      <w:r w:rsidRPr="00BD32BD">
        <w:t xml:space="preserve">The plan for education should explain how the school will achieve its education vision. This is a critical part of the </w:t>
      </w:r>
      <w:proofErr w:type="gramStart"/>
      <w:r w:rsidRPr="00BD32BD">
        <w:t>application, and</w:t>
      </w:r>
      <w:proofErr w:type="gramEnd"/>
      <w:r w:rsidRPr="00BD32BD">
        <w:t xml:space="preserve"> should demonstrate links to the responses to other sections so that the application </w:t>
      </w:r>
      <w:proofErr w:type="gramStart"/>
      <w:r w:rsidRPr="00BD32BD">
        <w:t>as a whole is</w:t>
      </w:r>
      <w:proofErr w:type="gramEnd"/>
      <w:r w:rsidRPr="00BD32BD">
        <w:t xml:space="preserve"> coherent. There are four elements:</w:t>
      </w:r>
    </w:p>
    <w:p w14:paraId="0805BE40" w14:textId="77777777" w:rsidR="00B3654B" w:rsidRPr="00BD32BD" w:rsidRDefault="00B3654B" w:rsidP="00B3654B">
      <w:pPr>
        <w:pStyle w:val="ListParagraph"/>
        <w:numPr>
          <w:ilvl w:val="0"/>
          <w:numId w:val="20"/>
        </w:numPr>
        <w:spacing w:after="120"/>
      </w:pPr>
      <w:r w:rsidRPr="00BD32BD">
        <w:t>Inclusivity</w:t>
      </w:r>
    </w:p>
    <w:p w14:paraId="5F6058BE" w14:textId="77777777" w:rsidR="00B3654B" w:rsidRPr="00BD32BD" w:rsidRDefault="00B3654B" w:rsidP="00B3654B">
      <w:pPr>
        <w:pStyle w:val="ListParagraph"/>
        <w:numPr>
          <w:ilvl w:val="0"/>
          <w:numId w:val="20"/>
        </w:numPr>
        <w:spacing w:after="120"/>
      </w:pPr>
      <w:r w:rsidRPr="00BD32BD">
        <w:t>The curriculum and teaching</w:t>
      </w:r>
    </w:p>
    <w:p w14:paraId="0E395368" w14:textId="77777777" w:rsidR="00B3654B" w:rsidRPr="00BD32BD" w:rsidRDefault="00B3654B" w:rsidP="00B3654B">
      <w:pPr>
        <w:pStyle w:val="ListParagraph"/>
        <w:numPr>
          <w:ilvl w:val="0"/>
          <w:numId w:val="20"/>
        </w:numPr>
        <w:spacing w:after="120"/>
      </w:pPr>
      <w:r w:rsidRPr="00BD32BD">
        <w:t>Measuring performance</w:t>
      </w:r>
    </w:p>
    <w:p w14:paraId="48418337" w14:textId="77777777" w:rsidR="00B3654B" w:rsidRPr="00BD32BD" w:rsidRDefault="00B3654B" w:rsidP="00B3654B">
      <w:pPr>
        <w:pStyle w:val="ListParagraph"/>
        <w:numPr>
          <w:ilvl w:val="0"/>
          <w:numId w:val="20"/>
        </w:numPr>
        <w:spacing w:after="120"/>
      </w:pPr>
      <w:r w:rsidRPr="00BD32BD">
        <w:t>Staffing</w:t>
      </w:r>
    </w:p>
    <w:p w14:paraId="30598959" w14:textId="12682F7B" w:rsidR="00B3654B" w:rsidRDefault="00B3654B" w:rsidP="00B3654B">
      <w:pPr>
        <w:pStyle w:val="Heading4"/>
      </w:pPr>
      <w:r>
        <w:t>Inclusivity</w:t>
      </w:r>
    </w:p>
    <w:p w14:paraId="70B84B84" w14:textId="77777777" w:rsidR="008E082C" w:rsidRPr="00BD32BD" w:rsidRDefault="008E082C" w:rsidP="008E082C">
      <w:r w:rsidRPr="00BD32BD">
        <w:t>Proposals should demonstrate how the proposed school will be welcoming and inclusive of all pupils. Proposals should also show a clear plan for pupil integration and promoting community cohesion, with a view to ensuring all pupils can participate fully in life in modern Britain.</w:t>
      </w:r>
    </w:p>
    <w:p w14:paraId="6936068E" w14:textId="77777777" w:rsidR="008E082C" w:rsidRPr="00BD32BD" w:rsidRDefault="008E082C" w:rsidP="008E082C">
      <w:r w:rsidRPr="00BD32BD" w:rsidDel="00833C43">
        <w:t>D</w:t>
      </w:r>
      <w:r w:rsidRPr="00BD32BD">
        <w:t>ecision-makers should consider whether this subsection of the proposal demonstrates:</w:t>
      </w:r>
    </w:p>
    <w:p w14:paraId="58A65C50" w14:textId="77777777" w:rsidR="008E082C" w:rsidRPr="00BD32BD" w:rsidRDefault="008E082C" w:rsidP="008E082C">
      <w:pPr>
        <w:pStyle w:val="ListParagraph"/>
        <w:spacing w:after="120"/>
      </w:pPr>
      <w:r w:rsidRPr="00BD32BD">
        <w:t>How duties in relation to safeguarding and promoting the welfare of children will be met</w:t>
      </w:r>
      <w:r w:rsidRPr="00BD32BD" w:rsidDel="00584818">
        <w:t>.</w:t>
      </w:r>
    </w:p>
    <w:p w14:paraId="01304408" w14:textId="77777777" w:rsidR="008E082C" w:rsidRPr="00BD32BD" w:rsidRDefault="008E082C" w:rsidP="008E082C">
      <w:pPr>
        <w:pStyle w:val="ListParagraph"/>
        <w:spacing w:after="120"/>
      </w:pPr>
      <w:r w:rsidRPr="00BD32BD">
        <w:t>How the school will encourage good attendance.</w:t>
      </w:r>
    </w:p>
    <w:p w14:paraId="33AE87A7" w14:textId="77777777" w:rsidR="008E082C" w:rsidRPr="00BD32BD" w:rsidRDefault="008E082C" w:rsidP="008E082C">
      <w:pPr>
        <w:pStyle w:val="ListParagraph"/>
        <w:spacing w:after="120"/>
      </w:pPr>
      <w:r w:rsidRPr="00BD32BD">
        <w:t>How the school will promote good behaviour and tackle bullying, so that all pupils can enjoy the benefit of learning in a safe, calm and orderly environment.</w:t>
      </w:r>
    </w:p>
    <w:p w14:paraId="4996D39B" w14:textId="77777777" w:rsidR="008E082C" w:rsidRPr="00BD32BD" w:rsidRDefault="008E082C" w:rsidP="008E082C">
      <w:pPr>
        <w:pStyle w:val="ListParagraph"/>
        <w:spacing w:after="120"/>
      </w:pPr>
      <w:r w:rsidRPr="00BD32BD">
        <w:t xml:space="preserve">How the school will be accessible to all, including identifying and addressing the needs of disadvantaged pupils, pupils who are known (or previously known) to children’s social care and SEND pupils (including early years children with SEND and emerging SEN), and enhancing their opportunities and experiences. This should include any plans for inclusion bases (and whether they will be local authority commissioned specialist bases and/or school commissioned support bases). </w:t>
      </w:r>
    </w:p>
    <w:p w14:paraId="3A40C0A8" w14:textId="77777777" w:rsidR="008E082C" w:rsidRPr="00BD32BD" w:rsidDel="00555C43" w:rsidRDefault="008E082C" w:rsidP="008E082C">
      <w:pPr>
        <w:pStyle w:val="ListParagraph"/>
        <w:spacing w:after="120"/>
      </w:pPr>
      <w:r w:rsidRPr="00BD32BD">
        <w:t xml:space="preserve">How the school will provide inclusive pastoral support to ensure pupils can stay in mainstream schools (where applicable), and how they will support pupils to re-join mainstream education when they have spent time in alternative provision (AP). </w:t>
      </w:r>
    </w:p>
    <w:p w14:paraId="612BB902" w14:textId="77777777" w:rsidR="008E082C" w:rsidRPr="00BD32BD" w:rsidRDefault="008E082C" w:rsidP="008E082C">
      <w:pPr>
        <w:pStyle w:val="ListParagraph"/>
        <w:spacing w:after="120"/>
      </w:pPr>
      <w:r w:rsidRPr="00BD32BD">
        <w:t>How the school will, in a way that is consistent with the requirements of the Equality Act 2010, actively promote the fundamental British values of democracy, the rule of law, individual liberty, and mutual respect and tolerance of those with different faiths and beliefs.</w:t>
      </w:r>
    </w:p>
    <w:p w14:paraId="6565629B" w14:textId="77777777" w:rsidR="008E082C" w:rsidRPr="00BD32BD" w:rsidRDefault="008E082C" w:rsidP="008E082C">
      <w:pPr>
        <w:pStyle w:val="ListParagraph"/>
        <w:spacing w:after="120"/>
      </w:pPr>
      <w:r w:rsidRPr="00BD32BD">
        <w:t>How the Prevent duty will be met at the school.</w:t>
      </w:r>
    </w:p>
    <w:p w14:paraId="7D84CF30" w14:textId="77777777" w:rsidR="008E082C" w:rsidRPr="00BD32BD" w:rsidRDefault="008E082C" w:rsidP="008E082C">
      <w:pPr>
        <w:pStyle w:val="ListParagraph"/>
        <w:numPr>
          <w:ilvl w:val="0"/>
          <w:numId w:val="22"/>
        </w:numPr>
        <w:spacing w:after="120"/>
      </w:pPr>
      <w:r w:rsidRPr="00BD32BD">
        <w:lastRenderedPageBreak/>
        <w:t>How the school will, in a way that is consistent with the requirements of the Equality Act 2010, attract staff and pupils from different communities, backgrounds, religions or beliefs, including pupils of no religious belief – this should reference the approach to recruitment and</w:t>
      </w:r>
      <w:r w:rsidRPr="00BD32BD" w:rsidDel="00EF347A">
        <w:t xml:space="preserve"> </w:t>
      </w:r>
      <w:r w:rsidRPr="00BD32BD">
        <w:t xml:space="preserve">admissions. </w:t>
      </w:r>
    </w:p>
    <w:p w14:paraId="6B0D6071" w14:textId="77777777" w:rsidR="008E082C" w:rsidRPr="00BD32BD" w:rsidRDefault="008E082C" w:rsidP="008E082C">
      <w:pPr>
        <w:pStyle w:val="ListParagraph"/>
        <w:spacing w:after="120"/>
      </w:pPr>
      <w:r w:rsidRPr="00BD32BD">
        <w:t>How the school will address the needs of parents and pupils and ensure pupils from different backgrounds, faiths and communities feel welcome and play a full and active role in the school, and how pupils will be encouraged to work together, learn about each other's customs, beliefs and ideas and respect each other's views. This could include:</w:t>
      </w:r>
    </w:p>
    <w:p w14:paraId="7B39C090" w14:textId="77777777" w:rsidR="008E082C" w:rsidRPr="00BD32BD" w:rsidRDefault="008E082C" w:rsidP="008E082C">
      <w:pPr>
        <w:pStyle w:val="ListParagraph"/>
        <w:numPr>
          <w:ilvl w:val="0"/>
          <w:numId w:val="21"/>
        </w:numPr>
        <w:spacing w:after="120"/>
      </w:pPr>
      <w:r w:rsidRPr="00BD32BD">
        <w:t>Initial plans for the religious education curriculum and the arrangements for collective worship, including the proportion of time devoted to faith-related studies;</w:t>
      </w:r>
    </w:p>
    <w:p w14:paraId="719D5BB5" w14:textId="77777777" w:rsidR="008E082C" w:rsidRPr="00BD32BD" w:rsidRDefault="008E082C" w:rsidP="008E082C">
      <w:pPr>
        <w:pStyle w:val="ListParagraph"/>
        <w:numPr>
          <w:ilvl w:val="0"/>
          <w:numId w:val="21"/>
        </w:numPr>
        <w:spacing w:after="120"/>
      </w:pPr>
      <w:r w:rsidRPr="00BD32BD">
        <w:t>The alternatives to religious education and collective worship if parents choose to withdraw pupils from these areas;</w:t>
      </w:r>
    </w:p>
    <w:p w14:paraId="3CD41149" w14:textId="77777777" w:rsidR="008E082C" w:rsidRPr="00BD32BD" w:rsidRDefault="008E082C" w:rsidP="008E082C">
      <w:pPr>
        <w:pStyle w:val="ListParagraph"/>
        <w:numPr>
          <w:ilvl w:val="0"/>
          <w:numId w:val="21"/>
        </w:numPr>
        <w:spacing w:after="120"/>
      </w:pPr>
      <w:r w:rsidRPr="00BD32BD">
        <w:t>Any planned separation of pupils, including for religious education or when they are eating;</w:t>
      </w:r>
    </w:p>
    <w:p w14:paraId="2EA7F1F7" w14:textId="77777777" w:rsidR="008E082C" w:rsidRPr="00BD32BD" w:rsidRDefault="008E082C" w:rsidP="008E082C">
      <w:pPr>
        <w:pStyle w:val="ListParagraph"/>
        <w:numPr>
          <w:ilvl w:val="0"/>
          <w:numId w:val="21"/>
        </w:numPr>
        <w:spacing w:after="120"/>
      </w:pPr>
      <w:r w:rsidRPr="00BD32BD">
        <w:t>An indication of the planned proportion of lessons taught in community languages;</w:t>
      </w:r>
    </w:p>
    <w:p w14:paraId="7BFA5F67" w14:textId="77777777" w:rsidR="008E082C" w:rsidRPr="00BD32BD" w:rsidRDefault="008E082C" w:rsidP="008E082C">
      <w:pPr>
        <w:pStyle w:val="ListParagraph"/>
        <w:numPr>
          <w:ilvl w:val="0"/>
          <w:numId w:val="21"/>
        </w:numPr>
        <w:spacing w:after="120"/>
      </w:pPr>
      <w:r w:rsidRPr="00BD32BD">
        <w:t>Key elements of the planned uniform policy, including in relation to the wearing of religious symbols, and how this will avoid disadvantaging different groups; and</w:t>
      </w:r>
    </w:p>
    <w:p w14:paraId="4F2AE7FB" w14:textId="77777777" w:rsidR="008E082C" w:rsidRPr="00BD32BD" w:rsidRDefault="008E082C" w:rsidP="008E082C">
      <w:pPr>
        <w:pStyle w:val="ListParagraph"/>
        <w:numPr>
          <w:ilvl w:val="0"/>
          <w:numId w:val="21"/>
        </w:numPr>
        <w:spacing w:after="120"/>
      </w:pPr>
      <w:r w:rsidRPr="00BD32BD">
        <w:t>How the school meals policy will cater for different dietary requirements.</w:t>
      </w:r>
    </w:p>
    <w:p w14:paraId="3C1261E0" w14:textId="77777777" w:rsidR="008E082C" w:rsidRPr="00BD32BD" w:rsidRDefault="008E082C" w:rsidP="008E082C">
      <w:r w:rsidRPr="00BD32BD">
        <w:t>Where the school is proposed to be designated as having a religious character, decision-makers should also be satisfied that the proposal sets out:</w:t>
      </w:r>
    </w:p>
    <w:p w14:paraId="2841921D" w14:textId="77777777" w:rsidR="008E082C" w:rsidRPr="00BD32BD" w:rsidRDefault="008E082C" w:rsidP="008E082C">
      <w:pPr>
        <w:pStyle w:val="ListParagraph"/>
        <w:spacing w:after="120"/>
      </w:pPr>
      <w:r w:rsidRPr="00BD32BD">
        <w:t xml:space="preserve">A brief explanation of how the school’s religious ethos or character will be reflected in the curriculum. This should include: </w:t>
      </w:r>
    </w:p>
    <w:p w14:paraId="768F1DCD" w14:textId="77777777" w:rsidR="008E082C" w:rsidRPr="00BD32BD" w:rsidRDefault="008E082C" w:rsidP="008E082C">
      <w:pPr>
        <w:pStyle w:val="ListParagraph"/>
        <w:numPr>
          <w:ilvl w:val="0"/>
          <w:numId w:val="21"/>
        </w:numPr>
        <w:spacing w:after="120"/>
      </w:pPr>
      <w:r w:rsidRPr="00BD32BD">
        <w:t>The proportion of the school’s timetable devoted to religious education and other subjects that include some faith-based teachings or use faith-based materials.</w:t>
      </w:r>
    </w:p>
    <w:p w14:paraId="6B77354F" w14:textId="77777777" w:rsidR="008E082C" w:rsidRPr="00BD32BD" w:rsidRDefault="008E082C" w:rsidP="008E082C">
      <w:pPr>
        <w:pStyle w:val="ListParagraph"/>
        <w:spacing w:after="120"/>
      </w:pPr>
      <w:r w:rsidRPr="00BD32BD">
        <w:t xml:space="preserve">What time will be devoted to worship, reflection time and prayer and how this will be inclusive to pupils of different faiths or none. </w:t>
      </w:r>
    </w:p>
    <w:p w14:paraId="57451102" w14:textId="77777777" w:rsidR="008E082C" w:rsidRPr="00BD32BD" w:rsidRDefault="008E082C" w:rsidP="008E082C">
      <w:pPr>
        <w:pStyle w:val="ListParagraph"/>
        <w:spacing w:after="120"/>
      </w:pPr>
      <w:r w:rsidRPr="00BD32BD">
        <w:t>An explanation of how the religious character will affect criteria for staff appointments to the school and how staff appointments will support inclusivity.</w:t>
      </w:r>
    </w:p>
    <w:p w14:paraId="0FAA5691" w14:textId="77777777" w:rsidR="008E082C" w:rsidRPr="00BD32BD" w:rsidRDefault="008E082C" w:rsidP="008E082C">
      <w:pPr>
        <w:pStyle w:val="ListParagraph"/>
        <w:numPr>
          <w:ilvl w:val="0"/>
          <w:numId w:val="23"/>
        </w:numPr>
        <w:spacing w:after="120"/>
      </w:pPr>
      <w:r w:rsidRPr="00BD32BD">
        <w:t>Information about engagement and consultation with diverse local community groups, faith authorities and parents demonstrating how the school / proposers will seek to attract pupils of different faiths and backgrounds to the school.</w:t>
      </w:r>
    </w:p>
    <w:p w14:paraId="14C7AE2D" w14:textId="77777777" w:rsidR="008E082C" w:rsidRPr="00BD32BD" w:rsidRDefault="008E082C" w:rsidP="008E082C">
      <w:pPr>
        <w:pStyle w:val="ListParagraph"/>
        <w:spacing w:after="120"/>
      </w:pPr>
      <w:r w:rsidRPr="00BD32BD">
        <w:t>How governance arrangements will promote integration and community cohesion, for example by including governors or trustees who are not of the same faith as the designation or of no faith.</w:t>
      </w:r>
    </w:p>
    <w:p w14:paraId="03477F12" w14:textId="77777777" w:rsidR="00B3654B" w:rsidRPr="00B3654B" w:rsidRDefault="00B3654B" w:rsidP="00B3654B"/>
    <w:p w14:paraId="1A8DB42C" w14:textId="66CB729A" w:rsidR="00B3654B" w:rsidRDefault="00B16E0B" w:rsidP="00B3654B">
      <w:pPr>
        <w:pStyle w:val="Heading4"/>
      </w:pPr>
      <w:r>
        <w:lastRenderedPageBreak/>
        <w:t>Curriculum and teaching</w:t>
      </w:r>
      <w:r w:rsidR="001D5CEA">
        <w:rPr>
          <w:rStyle w:val="FootnoteReference"/>
        </w:rPr>
        <w:footnoteReference w:id="2"/>
      </w:r>
    </w:p>
    <w:p w14:paraId="13D826D9" w14:textId="77777777" w:rsidR="00FD19C0" w:rsidRPr="00BD32BD" w:rsidRDefault="00FD19C0" w:rsidP="00FD19C0">
      <w:r w:rsidRPr="00BD32BD">
        <w:t>The proposal should set out a broad and balanced, deliverable curriculum plan for a high-quality core curriculum that is consistent with the vision and pupil intake, alongside a coherent approach to teaching.</w:t>
      </w:r>
    </w:p>
    <w:p w14:paraId="66571897" w14:textId="77777777" w:rsidR="00FD19C0" w:rsidRPr="00BD32BD" w:rsidRDefault="00FD19C0" w:rsidP="00FD19C0">
      <w:r w:rsidRPr="00BD32BD">
        <w:t>It should include an indicative list of subjects to be offered for each key stage, including early years foundation stage (EYFS) where applicable, with the number of hours spent per week on each.</w:t>
      </w:r>
    </w:p>
    <w:p w14:paraId="365736D1" w14:textId="77777777" w:rsidR="00FD19C0" w:rsidRPr="00BD32BD" w:rsidRDefault="00FD19C0" w:rsidP="00FD19C0">
      <w:r w:rsidRPr="00BD32BD">
        <w:t>Decision-makers should consider whether this subsection of the proposal demonstrates:</w:t>
      </w:r>
    </w:p>
    <w:p w14:paraId="4ADEC139" w14:textId="77777777" w:rsidR="00FD19C0" w:rsidRPr="00BD32BD" w:rsidRDefault="00FD19C0" w:rsidP="00FD19C0">
      <w:pPr>
        <w:pStyle w:val="ListParagraph"/>
        <w:numPr>
          <w:ilvl w:val="0"/>
          <w:numId w:val="24"/>
        </w:numPr>
        <w:spacing w:after="120"/>
      </w:pPr>
      <w:r w:rsidRPr="00BD32BD">
        <w:t xml:space="preserve">A plan for an ambitious curriculum that is informed by the latest evidence. </w:t>
      </w:r>
    </w:p>
    <w:p w14:paraId="5EA7849E" w14:textId="77777777" w:rsidR="00FD19C0" w:rsidRPr="00BD32BD" w:rsidRDefault="00FD19C0" w:rsidP="00FD19C0">
      <w:pPr>
        <w:pStyle w:val="ListParagraph"/>
        <w:numPr>
          <w:ilvl w:val="0"/>
          <w:numId w:val="24"/>
        </w:numPr>
        <w:spacing w:after="0"/>
      </w:pPr>
      <w:r w:rsidRPr="00BD32BD">
        <w:t>A curriculum that will give pupils an excellent foundation in communication and language, reading, writing and maths and will also support the development of essential digital and creative skills.</w:t>
      </w:r>
    </w:p>
    <w:p w14:paraId="5B97843A" w14:textId="77777777" w:rsidR="00FD19C0" w:rsidRPr="00BD32BD" w:rsidRDefault="00FD19C0" w:rsidP="00FD19C0">
      <w:pPr>
        <w:numPr>
          <w:ilvl w:val="0"/>
          <w:numId w:val="24"/>
        </w:numPr>
        <w:spacing w:after="0"/>
      </w:pPr>
      <w:r w:rsidRPr="00BD32BD">
        <w:t>An approach to teaching and learning that will ensure the curriculum is delivered in an effective manner that meets the needs of the expected intake, builds on their knowledge and is adapted to their needs.</w:t>
      </w:r>
    </w:p>
    <w:p w14:paraId="5EB89550" w14:textId="77777777" w:rsidR="00FD19C0" w:rsidRPr="00BD32BD" w:rsidRDefault="00FD19C0" w:rsidP="00FD19C0">
      <w:pPr>
        <w:numPr>
          <w:ilvl w:val="0"/>
          <w:numId w:val="24"/>
        </w:numPr>
        <w:spacing w:after="0"/>
      </w:pPr>
      <w:r w:rsidRPr="00BD32BD">
        <w:t>Strategies for ensuring all pupils have the secure foundations to enable them to access the curriculum and strategies for intervention for pupils who require additional support.</w:t>
      </w:r>
    </w:p>
    <w:p w14:paraId="6A44FBA5" w14:textId="77777777" w:rsidR="00FD19C0" w:rsidRPr="00BD32BD" w:rsidRDefault="00FD19C0" w:rsidP="00FD19C0">
      <w:pPr>
        <w:numPr>
          <w:ilvl w:val="0"/>
          <w:numId w:val="24"/>
        </w:numPr>
        <w:spacing w:after="0"/>
      </w:pPr>
      <w:r w:rsidRPr="00BD32BD">
        <w:t>A high-level approach to pedagogy that draws on the best-available evidence, including on how to support those who face barriers to their learning.</w:t>
      </w:r>
    </w:p>
    <w:p w14:paraId="7376E41F" w14:textId="77777777" w:rsidR="00FD19C0" w:rsidRPr="00BD32BD" w:rsidRDefault="00FD19C0" w:rsidP="00FD19C0">
      <w:pPr>
        <w:pStyle w:val="ListParagraph"/>
        <w:spacing w:after="120"/>
      </w:pPr>
      <w:r w:rsidRPr="00BD32BD">
        <w:t>A plan to offer a range of appropriate qualifications that will ensure pupils have appropriate pathways into later stages of education and employment.</w:t>
      </w:r>
    </w:p>
    <w:p w14:paraId="331A6AC7" w14:textId="77777777" w:rsidR="00FD19C0" w:rsidRPr="00BD32BD" w:rsidRDefault="00FD19C0" w:rsidP="00FD19C0">
      <w:pPr>
        <w:pStyle w:val="ListParagraph"/>
        <w:spacing w:after="120"/>
      </w:pPr>
      <w:r w:rsidRPr="00BD32BD">
        <w:t xml:space="preserve">For schools with 16 to 19 </w:t>
      </w:r>
      <w:proofErr w:type="gramStart"/>
      <w:r w:rsidRPr="00BD32BD">
        <w:t>provision</w:t>
      </w:r>
      <w:proofErr w:type="gramEnd"/>
      <w:r w:rsidRPr="00BD32BD">
        <w:t xml:space="preserve">, how the subjects and range of qualifications offered will: </w:t>
      </w:r>
    </w:p>
    <w:p w14:paraId="177F3554" w14:textId="77777777" w:rsidR="00FD19C0" w:rsidRPr="00BD32BD" w:rsidRDefault="00FD19C0" w:rsidP="00FD19C0">
      <w:pPr>
        <w:pStyle w:val="ListParagraph"/>
        <w:numPr>
          <w:ilvl w:val="0"/>
          <w:numId w:val="27"/>
        </w:numPr>
        <w:spacing w:after="120"/>
      </w:pPr>
      <w:r w:rsidRPr="00BD32BD" w:rsidDel="000A1B71">
        <w:t>meet the needs and interests of all students</w:t>
      </w:r>
      <w:r w:rsidRPr="00BD32BD">
        <w:t>;</w:t>
      </w:r>
    </w:p>
    <w:p w14:paraId="062D939D" w14:textId="77777777" w:rsidR="00FD19C0" w:rsidRPr="00BD32BD" w:rsidRDefault="00FD19C0" w:rsidP="00FD19C0">
      <w:pPr>
        <w:pStyle w:val="ListParagraph"/>
        <w:numPr>
          <w:ilvl w:val="0"/>
          <w:numId w:val="27"/>
        </w:numPr>
        <w:spacing w:after="120"/>
      </w:pPr>
      <w:r w:rsidRPr="00BD32BD">
        <w:t>complement existing provision in the area; and</w:t>
      </w:r>
    </w:p>
    <w:p w14:paraId="1D849513" w14:textId="77777777" w:rsidR="00FD19C0" w:rsidRPr="00BD32BD" w:rsidRDefault="00FD19C0" w:rsidP="00FD19C0">
      <w:pPr>
        <w:pStyle w:val="ListParagraph"/>
        <w:numPr>
          <w:ilvl w:val="0"/>
          <w:numId w:val="27"/>
        </w:numPr>
        <w:spacing w:after="120"/>
      </w:pPr>
      <w:r w:rsidRPr="00BD32BD">
        <w:t>offer effective pathways into further education and employment.</w:t>
      </w:r>
    </w:p>
    <w:p w14:paraId="0257C5BC" w14:textId="77777777" w:rsidR="00FD19C0" w:rsidRPr="00BD32BD" w:rsidRDefault="00FD19C0" w:rsidP="00FD19C0">
      <w:pPr>
        <w:pStyle w:val="ListParagraph"/>
        <w:numPr>
          <w:ilvl w:val="0"/>
          <w:numId w:val="24"/>
        </w:numPr>
        <w:spacing w:after="120"/>
      </w:pPr>
      <w:r w:rsidRPr="00BD32BD">
        <w:t>A consideration of other aspects of school life that can support delivery of a high-quality curriculum, for example:</w:t>
      </w:r>
    </w:p>
    <w:p w14:paraId="7C4969E0" w14:textId="77777777" w:rsidR="00FD19C0" w:rsidRPr="00BD32BD" w:rsidRDefault="00FD19C0" w:rsidP="00FD19C0">
      <w:pPr>
        <w:pStyle w:val="ListParagraph"/>
        <w:numPr>
          <w:ilvl w:val="0"/>
          <w:numId w:val="21"/>
        </w:numPr>
        <w:spacing w:after="120"/>
      </w:pPr>
      <w:r w:rsidRPr="00BD32BD">
        <w:t xml:space="preserve">The length of the school day, including any enrichment time, making a distinction between compulsory and voluntary activities. </w:t>
      </w:r>
    </w:p>
    <w:p w14:paraId="276FB981" w14:textId="77777777" w:rsidR="00FD19C0" w:rsidRPr="00BD32BD" w:rsidRDefault="00FD19C0" w:rsidP="00FD19C0">
      <w:pPr>
        <w:pStyle w:val="ListParagraph"/>
        <w:spacing w:after="120"/>
      </w:pPr>
      <w:r w:rsidRPr="00BD32BD">
        <w:t>Indicative details of planned enrichment, such as sports and music clubs, and services such as before and after-school childcare (including breakfast clubs), homework clubs, or other cultural opportunities that enrich the curricula and support children’s wider development.</w:t>
      </w:r>
    </w:p>
    <w:p w14:paraId="042C4F7A" w14:textId="77777777" w:rsidR="00FD19C0" w:rsidRPr="00BD32BD" w:rsidRDefault="00FD19C0" w:rsidP="00FD19C0">
      <w:pPr>
        <w:pStyle w:val="ListParagraph"/>
        <w:numPr>
          <w:ilvl w:val="0"/>
          <w:numId w:val="22"/>
        </w:numPr>
        <w:spacing w:after="120"/>
      </w:pPr>
      <w:r w:rsidRPr="00BD32BD">
        <w:t>How the school and its curriculum will support pupils’ personal development, including:</w:t>
      </w:r>
    </w:p>
    <w:p w14:paraId="32F1A4FB" w14:textId="77777777" w:rsidR="00FD19C0" w:rsidRPr="00BD32BD" w:rsidRDefault="00FD19C0" w:rsidP="00FD19C0">
      <w:pPr>
        <w:pStyle w:val="ListParagraph"/>
        <w:numPr>
          <w:ilvl w:val="0"/>
          <w:numId w:val="21"/>
        </w:numPr>
        <w:spacing w:after="120"/>
      </w:pPr>
      <w:r w:rsidRPr="00BD32BD">
        <w:t>the approach to spiritual, moral, social and cultural (SMSC) development;</w:t>
      </w:r>
    </w:p>
    <w:p w14:paraId="7B530AB8" w14:textId="77777777" w:rsidR="00FD19C0" w:rsidRPr="00BD32BD" w:rsidRDefault="00FD19C0" w:rsidP="00FD19C0">
      <w:pPr>
        <w:pStyle w:val="ListParagraph"/>
        <w:numPr>
          <w:ilvl w:val="0"/>
          <w:numId w:val="21"/>
        </w:numPr>
        <w:spacing w:after="120"/>
      </w:pPr>
      <w:r w:rsidRPr="00BD32BD">
        <w:lastRenderedPageBreak/>
        <w:t>the approach to relationships, sex and health education (RSHE); and</w:t>
      </w:r>
    </w:p>
    <w:p w14:paraId="3BCF375F" w14:textId="77777777" w:rsidR="00FD19C0" w:rsidRPr="00BD32BD" w:rsidRDefault="00FD19C0" w:rsidP="00FD19C0">
      <w:pPr>
        <w:pStyle w:val="ListParagraph"/>
        <w:numPr>
          <w:ilvl w:val="0"/>
          <w:numId w:val="21"/>
        </w:numPr>
        <w:spacing w:after="120"/>
      </w:pPr>
      <w:r w:rsidRPr="00BD32BD">
        <w:t>programmes or activities aimed at helping pupils contribute to their communities as active citizens.</w:t>
      </w:r>
    </w:p>
    <w:p w14:paraId="178BFB2D" w14:textId="77777777" w:rsidR="00FD19C0" w:rsidRPr="00BD32BD" w:rsidRDefault="00FD19C0" w:rsidP="00FD19C0">
      <w:pPr>
        <w:pStyle w:val="ListParagraph"/>
        <w:numPr>
          <w:ilvl w:val="0"/>
          <w:numId w:val="24"/>
        </w:numPr>
        <w:spacing w:after="120"/>
      </w:pPr>
      <w:r w:rsidRPr="00BD32BD">
        <w:t>Rationale for any substantial elements of a planned curriculum that are additional to the national curriculum.</w:t>
      </w:r>
    </w:p>
    <w:p w14:paraId="702FA1A5" w14:textId="77777777" w:rsidR="00FD19C0" w:rsidRPr="00BD32BD" w:rsidRDefault="00FD19C0" w:rsidP="00FD19C0">
      <w:pPr>
        <w:pStyle w:val="ListParagraph"/>
        <w:spacing w:after="120"/>
      </w:pPr>
      <w:r w:rsidRPr="00BD32BD">
        <w:t>A strategy to support pupils to be successful when they enter and leave the school (including, where relevant, careers education), especially disadvantaged pupils, those with SEND, those who are known (or previously known) to children’s social care, and those who may face other barriers to their learning.</w:t>
      </w:r>
    </w:p>
    <w:p w14:paraId="6E592EE6" w14:textId="77777777" w:rsidR="00FD19C0" w:rsidRPr="00BD32BD" w:rsidRDefault="00FD19C0" w:rsidP="00FD19C0">
      <w:pPr>
        <w:pStyle w:val="ListParagraph"/>
        <w:numPr>
          <w:ilvl w:val="0"/>
          <w:numId w:val="24"/>
        </w:numPr>
        <w:spacing w:after="120"/>
      </w:pPr>
      <w:r w:rsidRPr="00BD32BD">
        <w:t>Where there is a plan to work with a partner organisation, such as a university, details of how resources from that organisation will support delivery of the curriculum plan.</w:t>
      </w:r>
    </w:p>
    <w:p w14:paraId="6E692669" w14:textId="77777777" w:rsidR="00FD19C0" w:rsidRPr="00BD32BD" w:rsidRDefault="00FD19C0" w:rsidP="00FD19C0">
      <w:r w:rsidRPr="00BD32BD">
        <w:t>In addition, where the school is to have a school-based nursery, decision-makers should consider whether the application includes:</w:t>
      </w:r>
    </w:p>
    <w:p w14:paraId="52F389E5" w14:textId="77777777" w:rsidR="00FD19C0" w:rsidRPr="00BD32BD" w:rsidRDefault="00FD19C0" w:rsidP="00FD19C0">
      <w:pPr>
        <w:pStyle w:val="ListParagraph"/>
        <w:numPr>
          <w:ilvl w:val="0"/>
          <w:numId w:val="24"/>
        </w:numPr>
        <w:spacing w:after="120"/>
      </w:pPr>
      <w:r w:rsidRPr="00BD32BD">
        <w:t>How the school will meet the requirements of the EYFS for nursery and reception classes.</w:t>
      </w:r>
    </w:p>
    <w:p w14:paraId="63FE0ADA" w14:textId="77777777" w:rsidR="00FD19C0" w:rsidRPr="00BD32BD" w:rsidRDefault="00FD19C0" w:rsidP="00FD19C0">
      <w:pPr>
        <w:pStyle w:val="ListParagraph"/>
        <w:numPr>
          <w:ilvl w:val="0"/>
          <w:numId w:val="24"/>
        </w:numPr>
        <w:spacing w:after="120"/>
      </w:pPr>
      <w:r w:rsidRPr="00BD32BD">
        <w:t>Details on:</w:t>
      </w:r>
    </w:p>
    <w:p w14:paraId="23F34648" w14:textId="77777777" w:rsidR="00FD19C0" w:rsidRPr="00BD32BD" w:rsidRDefault="00FD19C0" w:rsidP="00FD19C0">
      <w:pPr>
        <w:pStyle w:val="ListParagraph"/>
        <w:numPr>
          <w:ilvl w:val="0"/>
          <w:numId w:val="25"/>
        </w:numPr>
        <w:spacing w:after="120"/>
      </w:pPr>
      <w:r w:rsidRPr="00BD32BD">
        <w:t>Whether the nursery provision will form part of the school itself or be delivered in partnership with an external provider(s) or as governor-led provision and the rationale for this approach;</w:t>
      </w:r>
    </w:p>
    <w:p w14:paraId="46DC0003" w14:textId="77777777" w:rsidR="00FD19C0" w:rsidRPr="00BD32BD" w:rsidRDefault="00FD19C0" w:rsidP="00FD19C0">
      <w:pPr>
        <w:pStyle w:val="ListParagraph"/>
        <w:numPr>
          <w:ilvl w:val="0"/>
          <w:numId w:val="25"/>
        </w:numPr>
        <w:spacing w:after="120"/>
      </w:pPr>
      <w:r w:rsidRPr="00BD32BD">
        <w:t>Where appropriate, how the nursery will deliver the government’s commitment to providing 30-hour entitlement for children of eligible working parents aged from 9 months to when they start school; and</w:t>
      </w:r>
    </w:p>
    <w:p w14:paraId="00F9545A" w14:textId="77777777" w:rsidR="00FD19C0" w:rsidRPr="00BD32BD" w:rsidRDefault="00FD19C0" w:rsidP="00FD19C0">
      <w:pPr>
        <w:pStyle w:val="ListParagraph"/>
        <w:numPr>
          <w:ilvl w:val="0"/>
          <w:numId w:val="25"/>
        </w:numPr>
        <w:spacing w:after="120"/>
      </w:pPr>
      <w:r w:rsidRPr="00BD32BD">
        <w:t>Any proposed wrap-around care.</w:t>
      </w:r>
    </w:p>
    <w:p w14:paraId="7825AB54" w14:textId="77777777" w:rsidR="00FD19C0" w:rsidRPr="00BD32BD" w:rsidRDefault="00FD19C0" w:rsidP="00FD19C0">
      <w:pPr>
        <w:pStyle w:val="ListParagraph"/>
        <w:spacing w:after="120"/>
      </w:pPr>
      <w:r w:rsidRPr="00BD32BD">
        <w:t xml:space="preserve">Whether the 15-hour entitlement for families of 2-year-olds in receipt of additional forms of support will be included. </w:t>
      </w:r>
    </w:p>
    <w:p w14:paraId="582A9CEB" w14:textId="77777777" w:rsidR="00FD19C0" w:rsidRPr="00BD32BD" w:rsidRDefault="00FD19C0" w:rsidP="00FD19C0">
      <w:pPr>
        <w:pStyle w:val="ListParagraph"/>
        <w:spacing w:after="120"/>
      </w:pPr>
      <w:r w:rsidRPr="00BD32BD">
        <w:t>Where appropriate, how the proprietor of the school will deliver 15 hours of free entitlement to all 3 to 4-year-olds.</w:t>
      </w:r>
    </w:p>
    <w:p w14:paraId="75D2BBDC" w14:textId="77777777" w:rsidR="00FD19C0" w:rsidRPr="00BD32BD" w:rsidRDefault="00FD19C0" w:rsidP="00FD19C0">
      <w:pPr>
        <w:pStyle w:val="ListParagraph"/>
        <w:spacing w:after="120"/>
      </w:pPr>
      <w:r w:rsidRPr="00BD32BD">
        <w:t>Whether the nursery will offer provision over and above any free entitlements.</w:t>
      </w:r>
    </w:p>
    <w:p w14:paraId="307DD49E" w14:textId="77777777" w:rsidR="00FD19C0" w:rsidRPr="00BD32BD" w:rsidRDefault="00FD19C0" w:rsidP="00FD19C0">
      <w:pPr>
        <w:pStyle w:val="ListParagraph"/>
        <w:numPr>
          <w:ilvl w:val="0"/>
          <w:numId w:val="26"/>
        </w:numPr>
        <w:spacing w:after="120"/>
      </w:pPr>
      <w:r w:rsidRPr="00BD32BD">
        <w:t xml:space="preserve">A proposed staffing model and ratios, including whether any early </w:t>
      </w:r>
      <w:proofErr w:type="gramStart"/>
      <w:r w:rsidRPr="00BD32BD">
        <w:t>years</w:t>
      </w:r>
      <w:proofErr w:type="gramEnd"/>
      <w:r w:rsidRPr="00BD32BD">
        <w:t xml:space="preserve"> provision will be led by a qualified teacher (or a teacher working towards qualified teacher status (QTS)), if applicable</w:t>
      </w:r>
      <w:r w:rsidRPr="00BD32BD">
        <w:rPr>
          <w:rStyle w:val="FootnoteReference"/>
        </w:rPr>
        <w:footnoteReference w:id="3"/>
      </w:r>
      <w:r w:rsidRPr="00BD32BD">
        <w:t>.</w:t>
      </w:r>
    </w:p>
    <w:p w14:paraId="6652883D" w14:textId="77777777" w:rsidR="00FD19C0" w:rsidRPr="00BD32BD" w:rsidRDefault="00FD19C0" w:rsidP="00FD19C0">
      <w:pPr>
        <w:pStyle w:val="ListParagraph"/>
        <w:spacing w:after="120"/>
      </w:pPr>
      <w:r w:rsidRPr="00BD32BD">
        <w:t>Intended numbers of children, with an approximate breakdown of 15 and 30 hours.</w:t>
      </w:r>
    </w:p>
    <w:p w14:paraId="07417A02" w14:textId="77777777" w:rsidR="00FD19C0" w:rsidRPr="00BD32BD" w:rsidRDefault="00FD19C0" w:rsidP="00FD19C0">
      <w:pPr>
        <w:pStyle w:val="ListParagraph"/>
        <w:spacing w:after="120"/>
      </w:pPr>
      <w:r w:rsidRPr="00BD32BD">
        <w:t xml:space="preserve">How the proprietor will ensure nursery provision is inclusive, including how they will support the needs of nursery children with SEND and emerging SEN. </w:t>
      </w:r>
    </w:p>
    <w:p w14:paraId="11854D32" w14:textId="77777777" w:rsidR="007E5993" w:rsidRDefault="007E5993">
      <w:pPr>
        <w:spacing w:after="0" w:line="240" w:lineRule="auto"/>
        <w:rPr>
          <w:b/>
          <w:bCs/>
          <w:color w:val="104F75"/>
          <w:szCs w:val="28"/>
        </w:rPr>
      </w:pPr>
      <w:r>
        <w:br w:type="page"/>
      </w:r>
    </w:p>
    <w:p w14:paraId="1420B43F" w14:textId="49B79BB9" w:rsidR="00B3654B" w:rsidRDefault="00FD19C0" w:rsidP="00B3654B">
      <w:pPr>
        <w:pStyle w:val="Heading4"/>
      </w:pPr>
      <w:r>
        <w:lastRenderedPageBreak/>
        <w:t>Measuring performance</w:t>
      </w:r>
    </w:p>
    <w:p w14:paraId="68BA6FC3" w14:textId="77777777" w:rsidR="0041296D" w:rsidRPr="00BD32BD" w:rsidRDefault="0041296D" w:rsidP="0041296D">
      <w:r w:rsidRPr="00BD32BD">
        <w:t>Decision-makers should consider whether this subsection of the proposal demonstrates:</w:t>
      </w:r>
    </w:p>
    <w:p w14:paraId="535E7929" w14:textId="77777777" w:rsidR="0041296D" w:rsidRPr="00BD32BD" w:rsidRDefault="0041296D" w:rsidP="0041296D">
      <w:pPr>
        <w:pStyle w:val="ListParagraph"/>
        <w:numPr>
          <w:ilvl w:val="0"/>
          <w:numId w:val="24"/>
        </w:numPr>
        <w:spacing w:after="120"/>
      </w:pPr>
      <w:r w:rsidRPr="00BD32BD">
        <w:t>A clear plan to establish a baseline of students’ current level of attainment and put in place an assessment and data tracking system that will allow pupil performance to be monitored and continuously improved.</w:t>
      </w:r>
    </w:p>
    <w:p w14:paraId="6A5AF441" w14:textId="77777777" w:rsidR="0041296D" w:rsidRPr="00BD32BD" w:rsidRDefault="0041296D" w:rsidP="0041296D">
      <w:pPr>
        <w:pStyle w:val="ListParagraph"/>
        <w:numPr>
          <w:ilvl w:val="0"/>
          <w:numId w:val="24"/>
        </w:numPr>
        <w:spacing w:after="120"/>
      </w:pPr>
      <w:r w:rsidRPr="00BD32BD">
        <w:t>A description of how appropriate data will be used to inform teaching and drive progression and attainment for all pupils.</w:t>
      </w:r>
    </w:p>
    <w:p w14:paraId="3E596410" w14:textId="77777777" w:rsidR="0041296D" w:rsidRPr="00BD32BD" w:rsidRDefault="0041296D" w:rsidP="0041296D">
      <w:pPr>
        <w:pStyle w:val="ListParagraph"/>
        <w:spacing w:after="120"/>
      </w:pPr>
      <w:r w:rsidRPr="00BD32BD">
        <w:t xml:space="preserve">Indicative targets for pupil performance that are ambitious and realistic, explaining why they are suitable targets and what the strategy will be to achieve them. </w:t>
      </w:r>
    </w:p>
    <w:p w14:paraId="06609CB9" w14:textId="77777777" w:rsidR="0041296D" w:rsidRPr="00BD32BD" w:rsidRDefault="0041296D" w:rsidP="0041296D">
      <w:pPr>
        <w:pStyle w:val="ListParagraph"/>
        <w:numPr>
          <w:ilvl w:val="0"/>
          <w:numId w:val="24"/>
        </w:numPr>
        <w:spacing w:after="120"/>
      </w:pPr>
      <w:r w:rsidRPr="00BD32BD">
        <w:t>High attendance expectations and a clear strategy for how these expected attendance outcomes will be achieved.</w:t>
      </w:r>
    </w:p>
    <w:p w14:paraId="43690FB1" w14:textId="77777777" w:rsidR="0041296D" w:rsidRPr="00BD32BD" w:rsidRDefault="0041296D" w:rsidP="0041296D">
      <w:pPr>
        <w:pStyle w:val="ListParagraph"/>
        <w:spacing w:after="120"/>
      </w:pPr>
      <w:r w:rsidRPr="00BD32BD">
        <w:t>A plan to monitor and evaluate school attendance and behaviour, with strong and effective systems for data capture.</w:t>
      </w:r>
    </w:p>
    <w:p w14:paraId="308BD2C4" w14:textId="77777777" w:rsidR="0041296D" w:rsidRPr="00BD32BD" w:rsidRDefault="0041296D" w:rsidP="0041296D">
      <w:pPr>
        <w:pStyle w:val="ListParagraph"/>
        <w:numPr>
          <w:ilvl w:val="0"/>
          <w:numId w:val="24"/>
        </w:numPr>
        <w:spacing w:after="120"/>
      </w:pPr>
      <w:r w:rsidRPr="00BD32BD">
        <w:t>The role of regular reviews (including benchmarking) of success measures and expectations to improve the school’s performance, including whether approaches for disadvantaged pupils are working.</w:t>
      </w:r>
    </w:p>
    <w:p w14:paraId="7F217E65" w14:textId="77777777" w:rsidR="0041296D" w:rsidRPr="00BD32BD" w:rsidRDefault="0041296D" w:rsidP="0041296D">
      <w:pPr>
        <w:pStyle w:val="ListParagraph"/>
        <w:numPr>
          <w:ilvl w:val="0"/>
          <w:numId w:val="24"/>
        </w:numPr>
        <w:spacing w:after="120"/>
      </w:pPr>
      <w:r w:rsidRPr="00BD32BD">
        <w:t>How the quality of teaching in the classroom will be assessed and improved.</w:t>
      </w:r>
    </w:p>
    <w:p w14:paraId="42FAD6B0" w14:textId="77777777" w:rsidR="0041296D" w:rsidRPr="00BD32BD" w:rsidRDefault="0041296D" w:rsidP="0041296D">
      <w:pPr>
        <w:pStyle w:val="ListParagraph"/>
        <w:numPr>
          <w:ilvl w:val="0"/>
          <w:numId w:val="24"/>
        </w:numPr>
        <w:spacing w:after="120"/>
      </w:pPr>
      <w:r w:rsidRPr="00BD32BD">
        <w:t>How parents will be involved in relation to performance, and a plan for reporting.</w:t>
      </w:r>
    </w:p>
    <w:p w14:paraId="2C0AEA4A" w14:textId="77777777" w:rsidR="0041296D" w:rsidRPr="00BD32BD" w:rsidRDefault="0041296D" w:rsidP="0041296D">
      <w:pPr>
        <w:pStyle w:val="ListParagraph"/>
        <w:numPr>
          <w:ilvl w:val="0"/>
          <w:numId w:val="24"/>
        </w:numPr>
        <w:spacing w:after="120"/>
      </w:pPr>
      <w:r w:rsidRPr="00BD32BD">
        <w:t xml:space="preserve">That the proposed approaches will meet the expectations on assessment in the relevant Ofsted inspection handbook and do not create unnecessary burdens for staff or pupils. </w:t>
      </w:r>
    </w:p>
    <w:p w14:paraId="7A03A9F9" w14:textId="4C06CB20" w:rsidR="00B3654B" w:rsidRDefault="0041296D" w:rsidP="00B3654B">
      <w:pPr>
        <w:pStyle w:val="Heading4"/>
      </w:pPr>
      <w:r>
        <w:t>Staffing</w:t>
      </w:r>
    </w:p>
    <w:p w14:paraId="723E0CAE" w14:textId="77777777" w:rsidR="00EA3C21" w:rsidRPr="00BD32BD" w:rsidRDefault="00EA3C21" w:rsidP="00EA3C21">
      <w:r w:rsidRPr="00BD32BD">
        <w:t xml:space="preserve">An indicative staffing structure should be demonstrated (for example through an organogram(s)) and appropriate accompanying commentary, with clear lines of accountability, and should match the proposed curriculum. This should include whether any early </w:t>
      </w:r>
      <w:proofErr w:type="gramStart"/>
      <w:r w:rsidRPr="00BD32BD">
        <w:t>years</w:t>
      </w:r>
      <w:proofErr w:type="gramEnd"/>
      <w:r w:rsidRPr="00BD32BD">
        <w:t xml:space="preserve"> provision will be led by a qualified teacher (or a teacher working towards QTS), if applicable</w:t>
      </w:r>
      <w:r w:rsidRPr="00BD32BD">
        <w:rPr>
          <w:rStyle w:val="FootnoteReference"/>
        </w:rPr>
        <w:footnoteReference w:id="4"/>
      </w:r>
      <w:r w:rsidRPr="00BD32BD">
        <w:t xml:space="preserve">. </w:t>
      </w:r>
    </w:p>
    <w:p w14:paraId="517967D8" w14:textId="77777777" w:rsidR="00EA3C21" w:rsidRPr="00BD32BD" w:rsidRDefault="00EA3C21" w:rsidP="00EA3C21">
      <w:r w:rsidRPr="00BD32BD">
        <w:t>Decision-makers should consider whether this subsection of the proposal demonstrates:</w:t>
      </w:r>
    </w:p>
    <w:p w14:paraId="3991B464" w14:textId="77777777" w:rsidR="00EA3C21" w:rsidRPr="00BD32BD" w:rsidRDefault="00EA3C21" w:rsidP="00EA3C21">
      <w:pPr>
        <w:pStyle w:val="ListParagraph"/>
        <w:numPr>
          <w:ilvl w:val="0"/>
          <w:numId w:val="28"/>
        </w:numPr>
        <w:spacing w:after="120"/>
      </w:pPr>
      <w:r w:rsidRPr="00BD32BD">
        <w:t>Effective planning to comply with the statutory responsibilities of a state school, including on SEND and child protection.</w:t>
      </w:r>
    </w:p>
    <w:p w14:paraId="25C241E3" w14:textId="77777777" w:rsidR="00EA3C21" w:rsidRPr="00BD32BD" w:rsidRDefault="00EA3C21" w:rsidP="00EA3C21">
      <w:pPr>
        <w:pStyle w:val="ListParagraph"/>
        <w:numPr>
          <w:ilvl w:val="0"/>
          <w:numId w:val="28"/>
        </w:numPr>
        <w:spacing w:after="120"/>
      </w:pPr>
      <w:r w:rsidRPr="00BD32BD">
        <w:t>An appropriate balance of roles across the senior leadership team, middle managers, special educational needs co-ordinator (SENCO), subject leaders, teachers and support staff.</w:t>
      </w:r>
    </w:p>
    <w:p w14:paraId="286667F9" w14:textId="77777777" w:rsidR="00EA3C21" w:rsidRPr="00BD32BD" w:rsidRDefault="00EA3C21" w:rsidP="00EA3C21">
      <w:pPr>
        <w:pStyle w:val="ListParagraph"/>
        <w:numPr>
          <w:ilvl w:val="0"/>
          <w:numId w:val="28"/>
        </w:numPr>
        <w:spacing w:after="120"/>
      </w:pPr>
      <w:r w:rsidRPr="00BD32BD">
        <w:t>An affordable and coherent staffing structure and sensible phasing plans that will provide a high quality, ambitious curriculum for all pupils as the school grows to capacity (including nursery and sixth form provision where relevant).</w:t>
      </w:r>
    </w:p>
    <w:p w14:paraId="7BAF925F" w14:textId="77777777" w:rsidR="00EA3C21" w:rsidRPr="00BD32BD" w:rsidRDefault="00EA3C21" w:rsidP="00EA3C21">
      <w:pPr>
        <w:pStyle w:val="ListParagraph"/>
        <w:spacing w:after="120"/>
      </w:pPr>
      <w:r w:rsidRPr="00BD32BD">
        <w:lastRenderedPageBreak/>
        <w:t>How the</w:t>
      </w:r>
      <w:r w:rsidRPr="00BD32BD" w:rsidDel="000B186B">
        <w:t xml:space="preserve"> </w:t>
      </w:r>
      <w:r w:rsidRPr="00BD32BD">
        <w:t>proprietor will regularly review key financial health and efficiency metrics in planning staffing and timetabling to deliver an affordable curriculum – including teacher contact ratio, average class size and average teacher cost.</w:t>
      </w:r>
    </w:p>
    <w:p w14:paraId="198F3B54" w14:textId="77777777" w:rsidR="00EA3C21" w:rsidRPr="00BD32BD" w:rsidRDefault="00EA3C21" w:rsidP="00EA3C21">
      <w:pPr>
        <w:pStyle w:val="ListParagraph"/>
        <w:numPr>
          <w:ilvl w:val="0"/>
          <w:numId w:val="28"/>
        </w:numPr>
        <w:spacing w:after="120"/>
      </w:pPr>
      <w:r w:rsidRPr="00BD32BD">
        <w:t>A strategy for recruiting high-quality staff (including an understanding of the teacher recruitment and retention issue the school might face), and how any challenges relevant to the local, regional or national context will be addressed (including the potential impact of the new school on existing providers).</w:t>
      </w:r>
    </w:p>
    <w:p w14:paraId="26E3BFE3" w14:textId="77777777" w:rsidR="00EA3C21" w:rsidRPr="00BD32BD" w:rsidRDefault="00EA3C21" w:rsidP="00EA3C21">
      <w:pPr>
        <w:pStyle w:val="ListParagraph"/>
        <w:numPr>
          <w:ilvl w:val="0"/>
          <w:numId w:val="28"/>
        </w:numPr>
        <w:spacing w:after="120"/>
      </w:pPr>
      <w:r w:rsidRPr="00BD32BD">
        <w:t>An effective strategy</w:t>
      </w:r>
      <w:r w:rsidRPr="00BD32BD" w:rsidDel="00937EB8">
        <w:t xml:space="preserve"> </w:t>
      </w:r>
      <w:r w:rsidRPr="00BD32BD">
        <w:t>for staff retention, including:</w:t>
      </w:r>
    </w:p>
    <w:p w14:paraId="0A452E0D" w14:textId="77777777" w:rsidR="00EA3C21" w:rsidRPr="00BD32BD" w:rsidRDefault="00EA3C21" w:rsidP="00EA3C21">
      <w:pPr>
        <w:pStyle w:val="ListParagraph"/>
        <w:numPr>
          <w:ilvl w:val="1"/>
          <w:numId w:val="28"/>
        </w:numPr>
        <w:spacing w:after="120"/>
      </w:pPr>
      <w:r w:rsidRPr="00BD32BD">
        <w:t xml:space="preserve">How the continuous professional development of the workforce will be supported; </w:t>
      </w:r>
    </w:p>
    <w:p w14:paraId="1B04603F" w14:textId="77777777" w:rsidR="00EA3C21" w:rsidRPr="00BD32BD" w:rsidRDefault="00EA3C21" w:rsidP="00EA3C21">
      <w:pPr>
        <w:pStyle w:val="ListParagraph"/>
        <w:numPr>
          <w:ilvl w:val="1"/>
          <w:numId w:val="28"/>
        </w:numPr>
        <w:spacing w:after="120"/>
      </w:pPr>
      <w:r w:rsidRPr="00BD32BD">
        <w:t>How teacher workload and wellbeing will be managed so that it is sustainable as the school expands, eliminating unnecessary workload; and</w:t>
      </w:r>
    </w:p>
    <w:p w14:paraId="11ED1B38" w14:textId="77777777" w:rsidR="00EA3C21" w:rsidRPr="00BD32BD" w:rsidRDefault="00EA3C21" w:rsidP="00EA3C21">
      <w:pPr>
        <w:pStyle w:val="ListParagraph"/>
        <w:numPr>
          <w:ilvl w:val="1"/>
          <w:numId w:val="28"/>
        </w:numPr>
        <w:spacing w:after="120"/>
      </w:pPr>
      <w:r w:rsidRPr="00BD32BD">
        <w:t>How flexible working will be supported.</w:t>
      </w:r>
    </w:p>
    <w:p w14:paraId="5039EE03" w14:textId="77777777" w:rsidR="00EA3C21" w:rsidRPr="00BD32BD" w:rsidRDefault="00EA3C21" w:rsidP="00EA3C21">
      <w:pPr>
        <w:pStyle w:val="ListParagraph"/>
        <w:numPr>
          <w:ilvl w:val="0"/>
          <w:numId w:val="28"/>
        </w:numPr>
        <w:spacing w:after="120"/>
      </w:pPr>
      <w:r w:rsidRPr="00BD32BD">
        <w:t>Credible contingency plans showing how the approach will be adapted to deliver the vision and education plan (including adapting the staffing structure) if income is less than expected – for example if pupil recruitment is below forecast.</w:t>
      </w:r>
    </w:p>
    <w:p w14:paraId="22D8D725" w14:textId="779455D5" w:rsidR="004939F2" w:rsidRDefault="00EA3C21" w:rsidP="004939F2">
      <w:pPr>
        <w:pStyle w:val="Heading2"/>
      </w:pPr>
      <w:r>
        <w:t>Section D: capacity and capability</w:t>
      </w:r>
    </w:p>
    <w:p w14:paraId="458863E9" w14:textId="34E182F3" w:rsidR="008F2CB5" w:rsidRDefault="008F2CB5" w:rsidP="008F2CB5">
      <w:pPr>
        <w:pStyle w:val="Heading4"/>
      </w:pPr>
      <w:r>
        <w:t>St</w:t>
      </w:r>
      <w:r w:rsidR="00911443">
        <w:t>ructures and personnel</w:t>
      </w:r>
    </w:p>
    <w:p w14:paraId="58251D05" w14:textId="77777777" w:rsidR="000C622B" w:rsidRPr="00BD32BD" w:rsidRDefault="000C622B" w:rsidP="000C622B">
      <w:r w:rsidRPr="00BD32BD">
        <w:t>Proposals need to demonstrate that the proposer group or organisation has the capacity and capability to set up the school being proposed and that they have access to appropriate educational, financial and other expertise, either within the group or externally. Decision-makers should also assess the quality of plans to fill any gaps that have been identified, and where applicable, the track record of any individuals that have been identified to fill the gaps.</w:t>
      </w:r>
    </w:p>
    <w:p w14:paraId="22D72FC5" w14:textId="77777777" w:rsidR="000C622B" w:rsidRPr="00BD32BD" w:rsidRDefault="000C622B" w:rsidP="000C622B">
      <w:r w:rsidRPr="00BD32BD">
        <w:t>Decision-makers should consider whether this section of the proposal demonstrates the following in relation to the proposer group or organisation:</w:t>
      </w:r>
    </w:p>
    <w:p w14:paraId="34506212" w14:textId="77777777" w:rsidR="000C622B" w:rsidRPr="00BD32BD" w:rsidRDefault="000C622B" w:rsidP="000C622B">
      <w:pPr>
        <w:pStyle w:val="ListParagraph"/>
        <w:numPr>
          <w:ilvl w:val="0"/>
          <w:numId w:val="29"/>
        </w:numPr>
        <w:spacing w:after="120"/>
      </w:pPr>
      <w:r w:rsidRPr="00BD32BD">
        <w:t>That the proposer has access to people with expertise in as many of the following areas as possible, who can make sufficient time commitments to establishing the school. This should be supported by details of individuals in the ‘supporting information’ section of the application:</w:t>
      </w:r>
    </w:p>
    <w:p w14:paraId="0ACF2DA6" w14:textId="77777777" w:rsidR="000C622B" w:rsidRPr="00BD32BD" w:rsidRDefault="000C622B" w:rsidP="00FE2755">
      <w:pPr>
        <w:pStyle w:val="ListParagraph"/>
        <w:numPr>
          <w:ilvl w:val="0"/>
          <w:numId w:val="21"/>
        </w:numPr>
        <w:spacing w:after="120"/>
      </w:pPr>
      <w:r w:rsidRPr="00BD32BD">
        <w:t>Financial management;</w:t>
      </w:r>
    </w:p>
    <w:p w14:paraId="4916FC5E" w14:textId="77777777" w:rsidR="000C622B" w:rsidRPr="00BD32BD" w:rsidRDefault="000C622B" w:rsidP="000C622B">
      <w:pPr>
        <w:pStyle w:val="ListParagraph"/>
        <w:numPr>
          <w:ilvl w:val="0"/>
          <w:numId w:val="21"/>
        </w:numPr>
        <w:spacing w:after="120"/>
      </w:pPr>
      <w:r w:rsidRPr="00BD32BD">
        <w:t>Leadership;</w:t>
      </w:r>
    </w:p>
    <w:p w14:paraId="11DC6B6E" w14:textId="77777777" w:rsidR="000C622B" w:rsidRPr="00BD32BD" w:rsidRDefault="000C622B" w:rsidP="000C622B">
      <w:pPr>
        <w:pStyle w:val="ListParagraph"/>
        <w:numPr>
          <w:ilvl w:val="0"/>
          <w:numId w:val="21"/>
        </w:numPr>
        <w:spacing w:after="120"/>
      </w:pPr>
      <w:r w:rsidRPr="00BD32BD">
        <w:t>Project management;</w:t>
      </w:r>
    </w:p>
    <w:p w14:paraId="5012272A" w14:textId="77777777" w:rsidR="000C622B" w:rsidRPr="00BD32BD" w:rsidRDefault="000C622B" w:rsidP="000C622B">
      <w:pPr>
        <w:pStyle w:val="ListParagraph"/>
        <w:numPr>
          <w:ilvl w:val="0"/>
          <w:numId w:val="21"/>
        </w:numPr>
        <w:spacing w:after="120"/>
      </w:pPr>
      <w:r w:rsidRPr="00BD32BD">
        <w:t>Marketing;</w:t>
      </w:r>
    </w:p>
    <w:p w14:paraId="637545AE" w14:textId="77777777" w:rsidR="000C622B" w:rsidRPr="00BD32BD" w:rsidRDefault="000C622B" w:rsidP="000C622B">
      <w:pPr>
        <w:pStyle w:val="ListParagraph"/>
        <w:numPr>
          <w:ilvl w:val="0"/>
          <w:numId w:val="21"/>
        </w:numPr>
        <w:spacing w:after="120"/>
      </w:pPr>
      <w:r w:rsidRPr="00BD32BD">
        <w:t>Human resources;</w:t>
      </w:r>
    </w:p>
    <w:p w14:paraId="24FF12BB" w14:textId="77777777" w:rsidR="000C622B" w:rsidRPr="00BD32BD" w:rsidRDefault="000C622B" w:rsidP="000C622B">
      <w:pPr>
        <w:pStyle w:val="ListParagraph"/>
        <w:numPr>
          <w:ilvl w:val="0"/>
          <w:numId w:val="21"/>
        </w:numPr>
        <w:spacing w:after="120"/>
      </w:pPr>
      <w:r w:rsidRPr="00BD32BD">
        <w:t>Safeguarding; and</w:t>
      </w:r>
    </w:p>
    <w:p w14:paraId="687E66B3" w14:textId="77777777" w:rsidR="000C622B" w:rsidRPr="00BD32BD" w:rsidRDefault="000C622B" w:rsidP="000C622B">
      <w:pPr>
        <w:pStyle w:val="ListParagraph"/>
        <w:numPr>
          <w:ilvl w:val="0"/>
          <w:numId w:val="21"/>
        </w:numPr>
        <w:spacing w:after="120"/>
      </w:pPr>
      <w:r w:rsidRPr="00BD32BD">
        <w:t>Health and safety.</w:t>
      </w:r>
    </w:p>
    <w:p w14:paraId="5436C7E7" w14:textId="77777777" w:rsidR="000C622B" w:rsidRPr="00BD32BD" w:rsidRDefault="000C622B" w:rsidP="000C622B">
      <w:pPr>
        <w:pStyle w:val="ListParagraph"/>
        <w:spacing w:after="120"/>
      </w:pPr>
      <w:r w:rsidRPr="00BD32BD">
        <w:t>The</w:t>
      </w:r>
      <w:r w:rsidRPr="00BD32BD" w:rsidDel="008A4E73">
        <w:t xml:space="preserve"> </w:t>
      </w:r>
      <w:r w:rsidRPr="00BD32BD">
        <w:t>proposer group or organisation has at least one individual with relevant financial skills and experience, who can interrogate detailed financial data.</w:t>
      </w:r>
    </w:p>
    <w:p w14:paraId="549FD1D1" w14:textId="77777777" w:rsidR="000C622B" w:rsidRPr="00BD32BD" w:rsidRDefault="000C622B" w:rsidP="000C622B">
      <w:pPr>
        <w:pStyle w:val="ListParagraph"/>
        <w:spacing w:after="120"/>
      </w:pPr>
      <w:r w:rsidRPr="00BD32BD">
        <w:lastRenderedPageBreak/>
        <w:t>That for a school with a nursery, SEN unit or resourced provision, there are people within the proposer group or organisation with experience and expertise to support the development and delivery of these parts of the school.</w:t>
      </w:r>
    </w:p>
    <w:p w14:paraId="12412428" w14:textId="77777777" w:rsidR="000C622B" w:rsidRPr="00BD32BD" w:rsidRDefault="000C622B" w:rsidP="000C622B">
      <w:pPr>
        <w:pStyle w:val="ListParagraph"/>
        <w:numPr>
          <w:ilvl w:val="0"/>
          <w:numId w:val="29"/>
        </w:numPr>
        <w:spacing w:after="120"/>
      </w:pPr>
      <w:r w:rsidRPr="00BD32BD">
        <w:t xml:space="preserve">A clear acknowledgement of any missing skills and experience (if any) from the proposer group or organisation, and a plan to fill those gaps. </w:t>
      </w:r>
    </w:p>
    <w:p w14:paraId="6814D537" w14:textId="77777777" w:rsidR="000C622B" w:rsidRPr="00BD32BD" w:rsidRDefault="000C622B" w:rsidP="000C622B">
      <w:pPr>
        <w:pStyle w:val="ListParagraph"/>
        <w:numPr>
          <w:ilvl w:val="0"/>
          <w:numId w:val="29"/>
        </w:numPr>
        <w:spacing w:after="120"/>
      </w:pPr>
      <w:r w:rsidRPr="00BD32BD">
        <w:t>A clear and credible plan for who will be in charge during pre-opening and the time-commitments of other individuals.</w:t>
      </w:r>
    </w:p>
    <w:p w14:paraId="02449226" w14:textId="77777777" w:rsidR="000C622B" w:rsidRPr="00BD32BD" w:rsidRDefault="000C622B" w:rsidP="000C622B">
      <w:pPr>
        <w:pStyle w:val="ListParagraph"/>
        <w:numPr>
          <w:ilvl w:val="0"/>
          <w:numId w:val="29"/>
        </w:numPr>
        <w:spacing w:after="120"/>
      </w:pPr>
      <w:r w:rsidRPr="00BD32BD">
        <w:t>A credible plan to recruit a headteacher, principal designate and/or executive head.</w:t>
      </w:r>
    </w:p>
    <w:p w14:paraId="1BA77640" w14:textId="77777777" w:rsidR="000C622B" w:rsidRPr="00BD32BD" w:rsidRDefault="000C622B" w:rsidP="000C622B">
      <w:r w:rsidRPr="00BD32BD">
        <w:t xml:space="preserve">Decision-makers should also consider whether this section of the proposal demonstrates the following in relation to governance, in line with the </w:t>
      </w:r>
      <w:hyperlink r:id="rId15" w:history="1">
        <w:r w:rsidRPr="00BD32BD">
          <w:rPr>
            <w:rStyle w:val="Hyperlink"/>
          </w:rPr>
          <w:t>Academy trust governance guide</w:t>
        </w:r>
      </w:hyperlink>
      <w:r w:rsidRPr="00BD32BD">
        <w:t xml:space="preserve"> or </w:t>
      </w:r>
      <w:hyperlink r:id="rId16" w:history="1">
        <w:r w:rsidRPr="00BD32BD">
          <w:rPr>
            <w:rStyle w:val="Hyperlink"/>
          </w:rPr>
          <w:t>Maintained schools governance guide</w:t>
        </w:r>
      </w:hyperlink>
      <w:r w:rsidRPr="00BD32BD">
        <w:t xml:space="preserve">, or Annex 3 of the </w:t>
      </w:r>
      <w:hyperlink r:id="rId17" w:history="1">
        <w:r w:rsidRPr="00BD32BD">
          <w:rPr>
            <w:rStyle w:val="Hyperlink"/>
          </w:rPr>
          <w:t>Alternative provision statutory guidance</w:t>
        </w:r>
      </w:hyperlink>
      <w:r w:rsidRPr="00BD32BD">
        <w:t xml:space="preserve"> for pupil referral units, as relevant:</w:t>
      </w:r>
    </w:p>
    <w:p w14:paraId="027042CF" w14:textId="77777777" w:rsidR="000C622B" w:rsidRPr="00BD32BD" w:rsidRDefault="000C622B" w:rsidP="000C622B">
      <w:pPr>
        <w:pStyle w:val="ListParagraph"/>
        <w:numPr>
          <w:ilvl w:val="0"/>
          <w:numId w:val="30"/>
        </w:numPr>
        <w:spacing w:after="120"/>
      </w:pPr>
      <w:r w:rsidRPr="00BD32BD">
        <w:t>A scheme of delegation showing clear roles and responsibilities and lines of accountability.</w:t>
      </w:r>
    </w:p>
    <w:p w14:paraId="27BFA33E" w14:textId="77777777" w:rsidR="000C622B" w:rsidRPr="00BD32BD" w:rsidRDefault="000C622B" w:rsidP="000C622B">
      <w:pPr>
        <w:pStyle w:val="ListParagraph"/>
        <w:numPr>
          <w:ilvl w:val="0"/>
          <w:numId w:val="30"/>
        </w:numPr>
        <w:spacing w:after="120"/>
      </w:pPr>
      <w:r w:rsidRPr="00BD32BD">
        <w:t>A size and structure of the governing board (either governing body in a maintained school or board of trustees in an academy trust) that will facilitate effective decision-making.</w:t>
      </w:r>
    </w:p>
    <w:p w14:paraId="7DE64329" w14:textId="77777777" w:rsidR="000C622B" w:rsidRPr="00BD32BD" w:rsidRDefault="000C622B" w:rsidP="000C622B">
      <w:pPr>
        <w:pStyle w:val="ListParagraph"/>
        <w:numPr>
          <w:ilvl w:val="0"/>
          <w:numId w:val="30"/>
        </w:numPr>
        <w:spacing w:after="120"/>
      </w:pPr>
      <w:r w:rsidRPr="00BD32BD">
        <w:t>A plan to manage any conflicts of interest.</w:t>
      </w:r>
    </w:p>
    <w:p w14:paraId="05AB713C" w14:textId="77777777" w:rsidR="000C622B" w:rsidRPr="00BD32BD" w:rsidRDefault="000C622B" w:rsidP="000C622B">
      <w:pPr>
        <w:pStyle w:val="ListParagraph"/>
        <w:numPr>
          <w:ilvl w:val="0"/>
          <w:numId w:val="30"/>
        </w:numPr>
        <w:spacing w:after="120"/>
      </w:pPr>
      <w:r w:rsidRPr="00BD32BD">
        <w:t xml:space="preserve">A plan to recruit and train governors and trustees in line with </w:t>
      </w:r>
      <w:hyperlink r:id="rId18" w:history="1">
        <w:r w:rsidRPr="00BD32BD">
          <w:rPr>
            <w:rStyle w:val="Hyperlink"/>
          </w:rPr>
          <w:t>the academy trust governance guide</w:t>
        </w:r>
      </w:hyperlink>
      <w:r w:rsidRPr="00BD32BD">
        <w:t xml:space="preserve"> or </w:t>
      </w:r>
      <w:hyperlink r:id="rId19" w:history="1">
        <w:r w:rsidRPr="00BD32BD">
          <w:rPr>
            <w:rStyle w:val="Hyperlink"/>
          </w:rPr>
          <w:t>the maintained schools governance guide</w:t>
        </w:r>
      </w:hyperlink>
      <w:r w:rsidRPr="00BD32BD">
        <w:t xml:space="preserve"> as relevant.</w:t>
      </w:r>
    </w:p>
    <w:p w14:paraId="5791E63F" w14:textId="06D970B6" w:rsidR="000C622B" w:rsidRDefault="00E924A3" w:rsidP="000C622B">
      <w:pPr>
        <w:pStyle w:val="Heading4"/>
      </w:pPr>
      <w:r>
        <w:t>Educational track re</w:t>
      </w:r>
      <w:r w:rsidR="006A43D2">
        <w:t>cord</w:t>
      </w:r>
      <w:r w:rsidR="006A43D2">
        <w:rPr>
          <w:rStyle w:val="FootnoteReference"/>
        </w:rPr>
        <w:footnoteReference w:id="5"/>
      </w:r>
    </w:p>
    <w:p w14:paraId="4254C260" w14:textId="77777777" w:rsidR="006B68F5" w:rsidRPr="00BD32BD" w:rsidRDefault="006B68F5" w:rsidP="006B68F5">
      <w:r w:rsidRPr="00BD32BD">
        <w:t>Decision-makers should take a view across all relevant accountability measures for the school(s) that the proposer already runs (if any), including those for disadvantaged pupils.</w:t>
      </w:r>
    </w:p>
    <w:p w14:paraId="48B1AA6D" w14:textId="77777777" w:rsidR="006B68F5" w:rsidRPr="00BD32BD" w:rsidRDefault="006B68F5" w:rsidP="006B68F5">
      <w:r w:rsidRPr="00BD32BD">
        <w:t>Where existing schools run by the proposer (if any) are not performing well, decision-makers will need to be satisfied that proposers have set out clear mitigating circumstances to explain this performance and convincing plans for improving these schools.</w:t>
      </w:r>
    </w:p>
    <w:p w14:paraId="058F950D" w14:textId="1701BDDF" w:rsidR="004939F2" w:rsidRDefault="006B68F5" w:rsidP="004939F2">
      <w:pPr>
        <w:pStyle w:val="Heading2"/>
      </w:pPr>
      <w:r>
        <w:t>Section E: finance</w:t>
      </w:r>
    </w:p>
    <w:p w14:paraId="41531476" w14:textId="77777777" w:rsidR="000B5408" w:rsidRPr="00BD32BD" w:rsidRDefault="000B5408" w:rsidP="000B5408">
      <w:r w:rsidRPr="00BD32BD">
        <w:t>Different types of school and proposer group or organisation will have different financial arrangements. Nonetheless, it is important that all new schools should be financially viable. The quality of the proposers’ financial plan should be assessed by the extent to which it is reasonable, shows a plan to achieve good value for money and is prudent.</w:t>
      </w:r>
    </w:p>
    <w:p w14:paraId="2B44CC55" w14:textId="77777777" w:rsidR="000B5408" w:rsidRPr="00BD32BD" w:rsidRDefault="000B5408" w:rsidP="000B5408">
      <w:r w:rsidRPr="00BD32BD">
        <w:t>Decision-makers should consider whether the financial summary provided is consistent with the other sections of the proposal, and that it demonstrates the following:</w:t>
      </w:r>
    </w:p>
    <w:p w14:paraId="095FAE13" w14:textId="77777777" w:rsidR="000B5408" w:rsidRPr="00BD32BD" w:rsidRDefault="000B5408" w:rsidP="000B5408">
      <w:pPr>
        <w:pStyle w:val="ListParagraph"/>
        <w:numPr>
          <w:ilvl w:val="0"/>
          <w:numId w:val="31"/>
        </w:numPr>
        <w:spacing w:after="120"/>
      </w:pPr>
      <w:r w:rsidRPr="00BD32BD">
        <w:t>A plan to attract good pupil numbers that takes account of minimum expected sizes for new schools.</w:t>
      </w:r>
    </w:p>
    <w:p w14:paraId="36A5D689" w14:textId="77777777" w:rsidR="000B5408" w:rsidRPr="00BD32BD" w:rsidRDefault="000B5408" w:rsidP="000B5408">
      <w:pPr>
        <w:pStyle w:val="ListParagraph"/>
        <w:numPr>
          <w:ilvl w:val="0"/>
          <w:numId w:val="31"/>
        </w:numPr>
        <w:spacing w:after="120"/>
      </w:pPr>
      <w:r w:rsidRPr="00BD32BD">
        <w:lastRenderedPageBreak/>
        <w:t>How resource planning will take place.</w:t>
      </w:r>
    </w:p>
    <w:p w14:paraId="13241220" w14:textId="77777777" w:rsidR="000B5408" w:rsidRPr="00BD32BD" w:rsidRDefault="000B5408" w:rsidP="000B5408">
      <w:pPr>
        <w:pStyle w:val="ListParagraph"/>
        <w:numPr>
          <w:ilvl w:val="0"/>
          <w:numId w:val="31"/>
        </w:numPr>
        <w:spacing w:after="120"/>
      </w:pPr>
      <w:r w:rsidRPr="00BD32BD">
        <w:t>Financial planning that is linked to educational outcomes.</w:t>
      </w:r>
    </w:p>
    <w:p w14:paraId="69D80C9F" w14:textId="77777777" w:rsidR="000B5408" w:rsidRPr="00BD32BD" w:rsidRDefault="000B5408" w:rsidP="000B5408">
      <w:pPr>
        <w:pStyle w:val="ListParagraph"/>
        <w:numPr>
          <w:ilvl w:val="0"/>
          <w:numId w:val="31"/>
        </w:numPr>
        <w:spacing w:after="120"/>
      </w:pPr>
      <w:r w:rsidRPr="00BD32BD">
        <w:t>A pupil premium strategy that is aligned with wider school improvement priorities.</w:t>
      </w:r>
    </w:p>
    <w:p w14:paraId="2069160B" w14:textId="77777777" w:rsidR="000B5408" w:rsidRPr="00BD32BD" w:rsidRDefault="000B5408" w:rsidP="000B5408">
      <w:pPr>
        <w:pStyle w:val="ListParagraph"/>
        <w:numPr>
          <w:ilvl w:val="0"/>
          <w:numId w:val="31"/>
        </w:numPr>
        <w:spacing w:after="120"/>
      </w:pPr>
      <w:r w:rsidRPr="00BD32BD">
        <w:t>A plan for the first three to five years of the school.</w:t>
      </w:r>
    </w:p>
    <w:p w14:paraId="7A7F5525" w14:textId="77777777" w:rsidR="000B5408" w:rsidRPr="00BD32BD" w:rsidRDefault="000B5408" w:rsidP="000B5408">
      <w:pPr>
        <w:pStyle w:val="ListParagraph"/>
        <w:numPr>
          <w:ilvl w:val="0"/>
          <w:numId w:val="31"/>
        </w:numPr>
        <w:spacing w:after="120"/>
      </w:pPr>
      <w:r w:rsidRPr="00BD32BD">
        <w:t>A plan to deploy their staff effectively and efficiently, linked to their long-term plan.</w:t>
      </w:r>
    </w:p>
    <w:p w14:paraId="01F272A4" w14:textId="77777777" w:rsidR="000B5408" w:rsidRPr="00BD32BD" w:rsidRDefault="000B5408" w:rsidP="000B5408">
      <w:pPr>
        <w:pStyle w:val="ListParagraph"/>
        <w:numPr>
          <w:ilvl w:val="0"/>
          <w:numId w:val="31"/>
        </w:numPr>
        <w:spacing w:after="120"/>
      </w:pPr>
      <w:r w:rsidRPr="00BD32BD">
        <w:t>The role of staff, governors and headteachers in relation to finance.</w:t>
      </w:r>
    </w:p>
    <w:p w14:paraId="4D24BD57" w14:textId="77777777" w:rsidR="000B5408" w:rsidRPr="00BD32BD" w:rsidRDefault="000B5408" w:rsidP="000B5408">
      <w:pPr>
        <w:pStyle w:val="ListParagraph"/>
        <w:numPr>
          <w:ilvl w:val="0"/>
          <w:numId w:val="31"/>
        </w:numPr>
        <w:spacing w:after="120"/>
      </w:pPr>
      <w:r w:rsidRPr="00BD32BD">
        <w:t>A plan for transparent financial systems and processes that encourage constructive challenge within and between schools.</w:t>
      </w:r>
    </w:p>
    <w:p w14:paraId="1580A28E" w14:textId="77777777" w:rsidR="000B5408" w:rsidRPr="00BD32BD" w:rsidRDefault="000B5408" w:rsidP="000B5408">
      <w:pPr>
        <w:pStyle w:val="ListParagraph"/>
        <w:spacing w:after="120"/>
      </w:pPr>
      <w:r w:rsidRPr="00BD32BD">
        <w:t xml:space="preserve">For schools with 16 to 19 </w:t>
      </w:r>
      <w:proofErr w:type="gramStart"/>
      <w:r w:rsidRPr="00BD32BD">
        <w:t>provision</w:t>
      </w:r>
      <w:proofErr w:type="gramEnd"/>
      <w:r w:rsidRPr="00BD32BD">
        <w:t xml:space="preserve">, that the provision is financially viable and does not impact negatively on the funding available for 11 to 16 </w:t>
      </w:r>
      <w:proofErr w:type="gramStart"/>
      <w:r w:rsidRPr="00BD32BD">
        <w:t>education</w:t>
      </w:r>
      <w:proofErr w:type="gramEnd"/>
      <w:r w:rsidRPr="00BD32BD">
        <w:t xml:space="preserve">. </w:t>
      </w:r>
    </w:p>
    <w:p w14:paraId="02E8D3F1" w14:textId="77777777" w:rsidR="000B5408" w:rsidRPr="00BD32BD" w:rsidRDefault="000B5408" w:rsidP="000B5408"/>
    <w:p w14:paraId="1D9A3E41" w14:textId="77777777" w:rsidR="000B5408" w:rsidRPr="000B5408" w:rsidRDefault="000B5408" w:rsidP="000B5408"/>
    <w:p w14:paraId="463479E0" w14:textId="77777777" w:rsidR="00855844" w:rsidRPr="00BD32BD" w:rsidRDefault="00855844" w:rsidP="00855844"/>
    <w:p w14:paraId="463B83F0" w14:textId="77777777" w:rsidR="00A01438" w:rsidRDefault="00A01438" w:rsidP="00B33B1F">
      <w:pPr>
        <w:spacing w:after="0" w:line="240" w:lineRule="auto"/>
      </w:pPr>
    </w:p>
    <w:p w14:paraId="0EAAAA6A" w14:textId="77777777" w:rsidR="00A01438" w:rsidRDefault="00A01438" w:rsidP="00B33B1F">
      <w:pPr>
        <w:spacing w:after="0" w:line="240" w:lineRule="auto"/>
      </w:pPr>
    </w:p>
    <w:p w14:paraId="0B98F735" w14:textId="77777777" w:rsidR="00A01438" w:rsidRDefault="00A01438" w:rsidP="00B33B1F">
      <w:pPr>
        <w:spacing w:after="0" w:line="240" w:lineRule="auto"/>
      </w:pPr>
    </w:p>
    <w:p w14:paraId="533EE892" w14:textId="77777777" w:rsidR="00A01438" w:rsidRDefault="00A01438" w:rsidP="00B33B1F">
      <w:pPr>
        <w:spacing w:after="0" w:line="240" w:lineRule="auto"/>
      </w:pPr>
    </w:p>
    <w:p w14:paraId="07785C5C" w14:textId="77777777" w:rsidR="00A01438" w:rsidRDefault="00A01438" w:rsidP="00B33B1F">
      <w:pPr>
        <w:spacing w:after="0" w:line="240" w:lineRule="auto"/>
      </w:pPr>
    </w:p>
    <w:p w14:paraId="3D07AF3B" w14:textId="77777777" w:rsidR="00A01438" w:rsidRDefault="00A01438" w:rsidP="00B33B1F">
      <w:pPr>
        <w:spacing w:after="0" w:line="240" w:lineRule="auto"/>
      </w:pPr>
    </w:p>
    <w:p w14:paraId="51F5C90D" w14:textId="77777777" w:rsidR="00A01438" w:rsidRDefault="00A01438" w:rsidP="00B33B1F">
      <w:pPr>
        <w:spacing w:after="0" w:line="240" w:lineRule="auto"/>
      </w:pPr>
    </w:p>
    <w:p w14:paraId="67C2D7A3" w14:textId="77777777" w:rsidR="00A01438" w:rsidRDefault="00A01438" w:rsidP="00B33B1F">
      <w:pPr>
        <w:spacing w:after="0" w:line="240" w:lineRule="auto"/>
      </w:pPr>
    </w:p>
    <w:p w14:paraId="3EC48C1D" w14:textId="77777777" w:rsidR="00A01438" w:rsidRDefault="00A01438" w:rsidP="00B33B1F">
      <w:pPr>
        <w:spacing w:after="0" w:line="240" w:lineRule="auto"/>
      </w:pPr>
    </w:p>
    <w:p w14:paraId="55184EAF" w14:textId="77777777" w:rsidR="00A01438" w:rsidRDefault="00A01438" w:rsidP="00B33B1F">
      <w:pPr>
        <w:spacing w:after="0" w:line="240" w:lineRule="auto"/>
      </w:pPr>
    </w:p>
    <w:p w14:paraId="3B3E7CFD" w14:textId="77777777" w:rsidR="00A01438" w:rsidRDefault="00A01438" w:rsidP="00B33B1F">
      <w:pPr>
        <w:spacing w:after="0" w:line="240" w:lineRule="auto"/>
      </w:pPr>
    </w:p>
    <w:p w14:paraId="2CAF66E0" w14:textId="77777777" w:rsidR="00A01438" w:rsidRDefault="00A01438" w:rsidP="00B33B1F">
      <w:pPr>
        <w:spacing w:after="0" w:line="240" w:lineRule="auto"/>
      </w:pPr>
    </w:p>
    <w:p w14:paraId="0AAB5DBF" w14:textId="77777777" w:rsidR="00A01438" w:rsidRDefault="00A01438" w:rsidP="00B33B1F">
      <w:pPr>
        <w:spacing w:after="0" w:line="240" w:lineRule="auto"/>
      </w:pPr>
    </w:p>
    <w:p w14:paraId="6194CA56" w14:textId="77777777" w:rsidR="00A01438" w:rsidRDefault="00A01438" w:rsidP="00B33B1F">
      <w:pPr>
        <w:spacing w:after="0" w:line="240" w:lineRule="auto"/>
      </w:pPr>
    </w:p>
    <w:p w14:paraId="74FB9CD0" w14:textId="77777777" w:rsidR="00A01438" w:rsidRDefault="00A01438" w:rsidP="00B33B1F">
      <w:pPr>
        <w:spacing w:after="0" w:line="240" w:lineRule="auto"/>
      </w:pPr>
    </w:p>
    <w:p w14:paraId="056BAD52" w14:textId="77777777" w:rsidR="00A01438" w:rsidRDefault="00A01438" w:rsidP="00B33B1F">
      <w:pPr>
        <w:spacing w:after="0" w:line="240" w:lineRule="auto"/>
      </w:pPr>
    </w:p>
    <w:p w14:paraId="7B5607DF" w14:textId="77777777" w:rsidR="00A01438" w:rsidRDefault="00A01438" w:rsidP="00B33B1F">
      <w:pPr>
        <w:spacing w:after="0" w:line="240" w:lineRule="auto"/>
      </w:pPr>
    </w:p>
    <w:p w14:paraId="72CC5F3D" w14:textId="77777777" w:rsidR="00A01438" w:rsidRDefault="00A01438" w:rsidP="00B33B1F">
      <w:pPr>
        <w:spacing w:after="0" w:line="240" w:lineRule="auto"/>
      </w:pPr>
    </w:p>
    <w:p w14:paraId="21E3836D" w14:textId="77777777" w:rsidR="00A01438" w:rsidRDefault="00A01438" w:rsidP="00B33B1F">
      <w:pPr>
        <w:spacing w:after="0" w:line="240" w:lineRule="auto"/>
      </w:pPr>
    </w:p>
    <w:p w14:paraId="18753A99" w14:textId="77777777" w:rsidR="00A01438" w:rsidRDefault="00A01438" w:rsidP="00B33B1F">
      <w:pPr>
        <w:spacing w:after="0" w:line="240" w:lineRule="auto"/>
      </w:pPr>
    </w:p>
    <w:p w14:paraId="47896F33" w14:textId="77777777" w:rsidR="00A01438" w:rsidRDefault="00A01438" w:rsidP="00B33B1F">
      <w:pPr>
        <w:spacing w:after="0" w:line="240" w:lineRule="auto"/>
      </w:pPr>
    </w:p>
    <w:p w14:paraId="6CAC10E2" w14:textId="77777777" w:rsidR="00A01438" w:rsidRDefault="00A01438" w:rsidP="00B33B1F">
      <w:pPr>
        <w:spacing w:after="0" w:line="240" w:lineRule="auto"/>
      </w:pPr>
    </w:p>
    <w:p w14:paraId="36F6A662" w14:textId="77777777" w:rsidR="00A01438" w:rsidRDefault="00A01438" w:rsidP="00B33B1F">
      <w:pPr>
        <w:spacing w:after="0" w:line="240" w:lineRule="auto"/>
      </w:pPr>
    </w:p>
    <w:p w14:paraId="2285D46D" w14:textId="77777777" w:rsidR="00A01438" w:rsidRDefault="00A01438" w:rsidP="00B33B1F">
      <w:pPr>
        <w:spacing w:after="0" w:line="240" w:lineRule="auto"/>
      </w:pPr>
    </w:p>
    <w:p w14:paraId="5B71E214" w14:textId="77777777" w:rsidR="00A01438" w:rsidRDefault="00A01438" w:rsidP="00B33B1F">
      <w:pPr>
        <w:spacing w:after="0" w:line="240" w:lineRule="auto"/>
      </w:pPr>
    </w:p>
    <w:p w14:paraId="4941907E" w14:textId="77777777" w:rsidR="00A01438" w:rsidRDefault="00A01438" w:rsidP="00B33B1F">
      <w:pPr>
        <w:spacing w:after="0" w:line="240" w:lineRule="auto"/>
      </w:pPr>
    </w:p>
    <w:p w14:paraId="0509B0CD" w14:textId="77777777" w:rsidR="00A01438" w:rsidRDefault="00A01438" w:rsidP="00B33B1F">
      <w:pPr>
        <w:spacing w:after="0" w:line="240" w:lineRule="auto"/>
      </w:pPr>
    </w:p>
    <w:p w14:paraId="56675654" w14:textId="77777777" w:rsidR="00A01438" w:rsidRDefault="00A01438" w:rsidP="00B33B1F">
      <w:pPr>
        <w:spacing w:after="0" w:line="240" w:lineRule="auto"/>
      </w:pPr>
    </w:p>
    <w:p w14:paraId="08224D82" w14:textId="77777777" w:rsidR="00A01438" w:rsidRDefault="00A01438" w:rsidP="00B33B1F">
      <w:pPr>
        <w:spacing w:after="0" w:line="240" w:lineRule="auto"/>
      </w:pPr>
    </w:p>
    <w:p w14:paraId="63CA8933" w14:textId="77777777" w:rsidR="00A01438" w:rsidRDefault="00A01438" w:rsidP="00B33B1F">
      <w:pPr>
        <w:spacing w:after="0" w:line="240" w:lineRule="auto"/>
      </w:pPr>
    </w:p>
    <w:p w14:paraId="457DFB28" w14:textId="77777777" w:rsidR="00A01438" w:rsidRDefault="00A01438" w:rsidP="00B33B1F">
      <w:pPr>
        <w:spacing w:after="0" w:line="240" w:lineRule="auto"/>
      </w:pPr>
    </w:p>
    <w:p w14:paraId="144818AB" w14:textId="77777777" w:rsidR="00A01438" w:rsidRDefault="00A01438" w:rsidP="00B33B1F">
      <w:pPr>
        <w:spacing w:after="0" w:line="240" w:lineRule="auto"/>
      </w:pPr>
    </w:p>
    <w:p w14:paraId="39EAD944" w14:textId="77777777" w:rsidR="00A01438" w:rsidRDefault="00A01438" w:rsidP="00B33B1F">
      <w:pPr>
        <w:spacing w:after="0" w:line="240" w:lineRule="auto"/>
      </w:pPr>
    </w:p>
    <w:p w14:paraId="5944612C" w14:textId="019DE9BD" w:rsidR="005D3B59" w:rsidRPr="00531385" w:rsidRDefault="00C2496D" w:rsidP="00B33B1F">
      <w:pPr>
        <w:spacing w:after="0" w:line="240" w:lineRule="auto"/>
      </w:pPr>
      <w:r>
        <w:t>©</w:t>
      </w:r>
      <w:r w:rsidR="005D3B59">
        <w:t xml:space="preserve"> Crown copyright </w:t>
      </w:r>
      <w:r w:rsidR="00871EC9">
        <w:t>20</w:t>
      </w:r>
      <w:r w:rsidR="00B33B1F">
        <w:t>26</w:t>
      </w:r>
    </w:p>
    <w:sectPr w:rsidR="005D3B59" w:rsidRPr="00531385" w:rsidSect="00622501">
      <w:headerReference w:type="even" r:id="rId20"/>
      <w:headerReference w:type="default" r:id="rId21"/>
      <w:footerReference w:type="even" r:id="rId22"/>
      <w:footerReference w:type="default" r:id="rId23"/>
      <w:headerReference w:type="first" r:id="rId24"/>
      <w:footerReference w:type="first" r:id="rId2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B020" w14:textId="77777777" w:rsidR="004451B3" w:rsidRDefault="004451B3" w:rsidP="002B6D93">
      <w:r>
        <w:separator/>
      </w:r>
    </w:p>
    <w:p w14:paraId="7E7DA173" w14:textId="77777777" w:rsidR="004451B3" w:rsidRDefault="004451B3"/>
  </w:endnote>
  <w:endnote w:type="continuationSeparator" w:id="0">
    <w:p w14:paraId="2092F0F7" w14:textId="77777777" w:rsidR="004451B3" w:rsidRDefault="004451B3" w:rsidP="002B6D93">
      <w:r>
        <w:continuationSeparator/>
      </w:r>
    </w:p>
    <w:p w14:paraId="4032FF1C" w14:textId="77777777" w:rsidR="004451B3" w:rsidRDefault="004451B3"/>
  </w:endnote>
  <w:endnote w:type="continuationNotice" w:id="1">
    <w:p w14:paraId="45C7299C" w14:textId="77777777" w:rsidR="004451B3" w:rsidRDefault="00445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C32B" w14:textId="512D6D4D" w:rsidR="007E5993" w:rsidRDefault="007E5993">
    <w:pPr>
      <w:pStyle w:val="Footer"/>
    </w:pPr>
    <w:r>
      <w:rPr>
        <w:noProof/>
      </w:rPr>
      <mc:AlternateContent>
        <mc:Choice Requires="wps">
          <w:drawing>
            <wp:anchor distT="0" distB="0" distL="0" distR="0" simplePos="0" relativeHeight="251658244" behindDoc="0" locked="0" layoutInCell="1" allowOverlap="1" wp14:anchorId="56C6F697" wp14:editId="07DC0680">
              <wp:simplePos x="635" y="635"/>
              <wp:positionH relativeFrom="page">
                <wp:align>center</wp:align>
              </wp:positionH>
              <wp:positionV relativeFrom="page">
                <wp:align>bottom</wp:align>
              </wp:positionV>
              <wp:extent cx="2004060" cy="394970"/>
              <wp:effectExtent l="0" t="0" r="15240" b="0"/>
              <wp:wrapNone/>
              <wp:docPr id="1103765080"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0B44AAD6" w14:textId="645A90E2" w:rsidR="007E5993" w:rsidRPr="007E5993" w:rsidRDefault="007E5993" w:rsidP="007E5993">
                          <w:pPr>
                            <w:spacing w:after="0"/>
                            <w:rPr>
                              <w:rFonts w:ascii="Aptos" w:eastAsia="Aptos" w:hAnsi="Aptos" w:cs="Aptos"/>
                              <w:noProof/>
                              <w:color w:val="000000"/>
                              <w:sz w:val="22"/>
                              <w:szCs w:val="22"/>
                            </w:rPr>
                          </w:pPr>
                          <w:r w:rsidRPr="007E5993">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6F697" id="_x0000_t202" coordsize="21600,21600" o:spt="202" path="m,l,21600r21600,l21600,xe">
              <v:stroke joinstyle="miter"/>
              <v:path gradientshapeok="t" o:connecttype="rect"/>
            </v:shapetype>
            <v:shape id="Text Box 5" o:spid="_x0000_s1028" type="#_x0000_t202" alt="OFFICIAL - FOR PUBLIC RELEASE" style="position:absolute;margin-left:0;margin-top:0;width:157.8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zB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lJxvELKg/YytKRcGfkqkHrtXD+WVgwjGmh&#10;Wv+Eo2qpzzmdLM5qsj/+5g/5AB5RznooJucakuas/aZBSBDXaNjRKKIxnaWfUsT1rrsn6HCKJ2Fk&#10;NOG1vh3NylL3Cj0vQyOEhJZol/NiNO/9Ubp4D1ItlzEJOjLCr/XGyFA6wBWwfBlehTUnwD2oeqRR&#10;TiJ7g/sxN9x0ZrnzQD+SEqA9AnlCHBqMXJ3eSxD5r/8x6/KqFz8B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zi08wQ4CAAAd&#10;BAAADgAAAAAAAAAAAAAAAAAuAgAAZHJzL2Uyb0RvYy54bWxQSwECLQAUAAYACAAAACEAzh48+9sA&#10;AAAEAQAADwAAAAAAAAAAAAAAAABoBAAAZHJzL2Rvd25yZXYueG1sUEsFBgAAAAAEAAQA8wAAAHAF&#10;AAAAAA==&#10;" filled="f" stroked="f">
              <v:fill o:detectmouseclick="t"/>
              <v:textbox style="mso-fit-shape-to-text:t" inset="0,0,0,15pt">
                <w:txbxContent>
                  <w:p w14:paraId="0B44AAD6" w14:textId="645A90E2" w:rsidR="007E5993" w:rsidRPr="007E5993" w:rsidRDefault="007E5993" w:rsidP="007E5993">
                    <w:pPr>
                      <w:spacing w:after="0"/>
                      <w:rPr>
                        <w:rFonts w:ascii="Aptos" w:eastAsia="Aptos" w:hAnsi="Aptos" w:cs="Aptos"/>
                        <w:noProof/>
                        <w:color w:val="000000"/>
                        <w:sz w:val="22"/>
                        <w:szCs w:val="22"/>
                      </w:rPr>
                    </w:pPr>
                    <w:r w:rsidRPr="007E5993">
                      <w:rPr>
                        <w:rFonts w:ascii="Aptos" w:eastAsia="Aptos" w:hAnsi="Aptos" w:cs="Aptos"/>
                        <w:noProof/>
                        <w:color w:val="000000"/>
                        <w:sz w:val="22"/>
                        <w:szCs w:val="22"/>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44EBF78E" w:rsidR="00DA0AD5" w:rsidRDefault="007E5993"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2B84E7E4" wp14:editId="1363BCA2">
              <wp:simplePos x="635" y="635"/>
              <wp:positionH relativeFrom="page">
                <wp:align>center</wp:align>
              </wp:positionH>
              <wp:positionV relativeFrom="page">
                <wp:align>bottom</wp:align>
              </wp:positionV>
              <wp:extent cx="2004060" cy="394970"/>
              <wp:effectExtent l="0" t="0" r="15240" b="0"/>
              <wp:wrapNone/>
              <wp:docPr id="1991618615"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3E6DA0C1" w14:textId="3B8EBE25" w:rsidR="007E5993" w:rsidRPr="007E5993" w:rsidRDefault="007E5993" w:rsidP="007E5993">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84E7E4" id="_x0000_t202" coordsize="21600,21600" o:spt="202" path="m,l,21600r21600,l21600,xe">
              <v:stroke joinstyle="miter"/>
              <v:path gradientshapeok="t" o:connecttype="rect"/>
            </v:shapetype>
            <v:shape id="Text Box 6" o:spid="_x0000_s1029" type="#_x0000_t202" alt="OFFICIAL - FOR PUBLIC RELEASE" style="position:absolute;margin-left:0;margin-top:0;width:157.8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" filled="f" stroked="f">
              <v:fill o:detectmouseclick="t"/>
              <v:textbox style="mso-fit-shape-to-text:t" inset="0,0,0,15pt">
                <w:txbxContent>
                  <w:p w14:paraId="3E6DA0C1" w14:textId="3B8EBE25" w:rsidR="007E5993" w:rsidRPr="007E5993" w:rsidRDefault="007E5993" w:rsidP="007E5993">
                    <w:pPr>
                      <w:spacing w:after="0"/>
                      <w:rPr>
                        <w:rFonts w:ascii="Aptos" w:eastAsia="Aptos" w:hAnsi="Aptos" w:cs="Aptos"/>
                        <w:noProof/>
                        <w:color w:val="000000"/>
                        <w:sz w:val="22"/>
                        <w:szCs w:val="22"/>
                      </w:rPr>
                    </w:pP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E35479B" w:rsidR="00DA0AD5" w:rsidRPr="006E6ADB" w:rsidRDefault="007E5993"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6D08DC13" wp14:editId="7ACE67D6">
              <wp:simplePos x="685800" y="9977438"/>
              <wp:positionH relativeFrom="page">
                <wp:align>center</wp:align>
              </wp:positionH>
              <wp:positionV relativeFrom="page">
                <wp:align>bottom</wp:align>
              </wp:positionV>
              <wp:extent cx="2004060" cy="394970"/>
              <wp:effectExtent l="0" t="0" r="15240" b="0"/>
              <wp:wrapNone/>
              <wp:docPr id="1841993895"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12CB4EE7" w14:textId="158501C2" w:rsidR="007E5993" w:rsidRPr="007E5993" w:rsidRDefault="007E5993" w:rsidP="007E5993">
                          <w:pPr>
                            <w:spacing w:after="0"/>
                            <w:rPr>
                              <w:rFonts w:ascii="Aptos" w:eastAsia="Aptos" w:hAnsi="Aptos" w:cs="Aptos"/>
                              <w:noProof/>
                              <w:color w:val="000000"/>
                              <w:sz w:val="22"/>
                              <w:szCs w:val="22"/>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08DC13" id="_x0000_t202" coordsize="21600,21600" o:spt="202" path="m,l,21600r21600,l21600,xe">
              <v:stroke joinstyle="miter"/>
              <v:path gradientshapeok="t" o:connecttype="rect"/>
            </v:shapetype>
            <v:shape id="Text Box 4" o:spid="_x0000_s1031" type="#_x0000_t202" alt="OFFICIAL - FOR PUBLIC RELEASE" style="position:absolute;left:0;text-align:left;margin-left:0;margin-top:0;width:157.8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" filled="f" stroked="f">
              <v:fill o:detectmouseclick="t"/>
              <v:textbox style="mso-fit-shape-to-text:t" inset="0,0,0,15pt">
                <w:txbxContent>
                  <w:p w14:paraId="12CB4EE7" w14:textId="158501C2" w:rsidR="007E5993" w:rsidRPr="007E5993" w:rsidRDefault="007E5993" w:rsidP="007E5993">
                    <w:pPr>
                      <w:spacing w:after="0"/>
                      <w:rPr>
                        <w:rFonts w:ascii="Aptos" w:eastAsia="Aptos" w:hAnsi="Aptos" w:cs="Aptos"/>
                        <w:noProof/>
                        <w:color w:val="000000"/>
                        <w:sz w:val="22"/>
                        <w:szCs w:val="22"/>
                      </w:rPr>
                    </w:pPr>
                  </w:p>
                </w:txbxContent>
              </v:textbox>
              <w10:wrap anchorx="page" anchory="page"/>
            </v:shape>
          </w:pict>
        </mc:Fallback>
      </mc:AlternateContent>
    </w:r>
    <w:r w:rsidR="00DA0AD5" w:rsidRPr="006E6ADB">
      <w:rPr>
        <w:szCs w:val="20"/>
      </w:rPr>
      <w:t xml:space="preserve">Published: </w:t>
    </w:r>
    <w:r w:rsidR="002F649B">
      <w:rPr>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3F5C" w14:textId="77777777" w:rsidR="004451B3" w:rsidRDefault="004451B3" w:rsidP="002B6D93">
      <w:r>
        <w:separator/>
      </w:r>
    </w:p>
  </w:footnote>
  <w:footnote w:type="continuationSeparator" w:id="0">
    <w:p w14:paraId="234336F6" w14:textId="77777777" w:rsidR="004451B3" w:rsidRDefault="004451B3" w:rsidP="002B6D93">
      <w:r>
        <w:continuationSeparator/>
      </w:r>
    </w:p>
    <w:p w14:paraId="64A0519C" w14:textId="77777777" w:rsidR="004451B3" w:rsidRDefault="004451B3"/>
  </w:footnote>
  <w:footnote w:type="continuationNotice" w:id="1">
    <w:p w14:paraId="24F6B9BD" w14:textId="77777777" w:rsidR="004451B3" w:rsidRDefault="004451B3">
      <w:pPr>
        <w:spacing w:after="0" w:line="240" w:lineRule="auto"/>
      </w:pPr>
    </w:p>
  </w:footnote>
  <w:footnote w:id="2">
    <w:p w14:paraId="25F8620D" w14:textId="231DE64F" w:rsidR="001D5CEA" w:rsidRDefault="001D5CEA">
      <w:pPr>
        <w:pStyle w:val="FootnoteText"/>
      </w:pPr>
      <w:r>
        <w:rPr>
          <w:rStyle w:val="FootnoteReference"/>
        </w:rPr>
        <w:footnoteRef/>
      </w:r>
      <w:r>
        <w:t xml:space="preserve"> </w:t>
      </w:r>
      <w:r w:rsidRPr="008C31BE">
        <w:t>Maintained schools are required to follow the national curriculum, and the government has stated its intention to require academy schools to teach the national curriculum from September 2028.</w:t>
      </w:r>
    </w:p>
  </w:footnote>
  <w:footnote w:id="3">
    <w:p w14:paraId="75F25D24" w14:textId="77777777" w:rsidR="00FD19C0" w:rsidRDefault="00FD19C0" w:rsidP="00FD19C0">
      <w:pPr>
        <w:pStyle w:val="FootnoteText"/>
      </w:pPr>
      <w:r w:rsidRPr="00A14D2A">
        <w:rPr>
          <w:rStyle w:val="FootnoteReference"/>
        </w:rPr>
        <w:footnoteRef/>
      </w:r>
      <w:r w:rsidRPr="00A14D2A">
        <w:t xml:space="preserve"> Through the Children’s Wellbeing and Schools Act 2026, and subsequent secondary legislation, the Secretary of State for Education will extend the requirement for teachers to have, or be working towards, QTS, unless they meet one of the exemptions set out in regulations, to primary and secondary academies</w:t>
      </w:r>
      <w:r>
        <w:t>.</w:t>
      </w:r>
    </w:p>
  </w:footnote>
  <w:footnote w:id="4">
    <w:p w14:paraId="596CCB8B" w14:textId="6EB80295" w:rsidR="00EA3C21" w:rsidRDefault="00EA3C21" w:rsidP="00EA3C21">
      <w:pPr>
        <w:pStyle w:val="FootnoteText"/>
      </w:pPr>
      <w:r>
        <w:rPr>
          <w:rStyle w:val="FootnoteReference"/>
        </w:rPr>
        <w:footnoteRef/>
      </w:r>
      <w:r>
        <w:t xml:space="preserve"> See footnote </w:t>
      </w:r>
      <w:r w:rsidR="00A64465">
        <w:t>2</w:t>
      </w:r>
      <w:r>
        <w:t xml:space="preserve">. </w:t>
      </w:r>
    </w:p>
  </w:footnote>
  <w:footnote w:id="5">
    <w:p w14:paraId="5EC5B13C" w14:textId="55384040" w:rsidR="006A43D2" w:rsidRDefault="006A43D2">
      <w:pPr>
        <w:pStyle w:val="FootnoteText"/>
      </w:pPr>
      <w:r>
        <w:rPr>
          <w:rStyle w:val="FootnoteReference"/>
        </w:rPr>
        <w:footnoteRef/>
      </w:r>
      <w:r>
        <w:t xml:space="preserve"> Where the department is the decision-maker, this sub-section will not be scored at the shortlisting stage, but will be used to determine the final scores following interviews.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441B" w14:textId="2834505D" w:rsidR="007E5993" w:rsidRDefault="007E5993">
    <w:pPr>
      <w:pStyle w:val="Header"/>
    </w:pPr>
    <w:r>
      <w:rPr>
        <w:noProof/>
      </w:rPr>
      <mc:AlternateContent>
        <mc:Choice Requires="wps">
          <w:drawing>
            <wp:anchor distT="0" distB="0" distL="0" distR="0" simplePos="0" relativeHeight="251658242" behindDoc="0" locked="0" layoutInCell="1" allowOverlap="1" wp14:anchorId="79FBBBCD" wp14:editId="763AE0CC">
              <wp:simplePos x="635" y="635"/>
              <wp:positionH relativeFrom="page">
                <wp:align>center</wp:align>
              </wp:positionH>
              <wp:positionV relativeFrom="page">
                <wp:align>top</wp:align>
              </wp:positionV>
              <wp:extent cx="2004060" cy="394970"/>
              <wp:effectExtent l="0" t="0" r="15240" b="5080"/>
              <wp:wrapNone/>
              <wp:docPr id="1043167824"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3858CB06" w14:textId="41718576" w:rsidR="007E5993" w:rsidRPr="007E5993" w:rsidRDefault="007E5993" w:rsidP="007E5993">
                          <w:pPr>
                            <w:spacing w:after="0"/>
                            <w:rPr>
                              <w:rFonts w:ascii="Aptos" w:eastAsia="Aptos" w:hAnsi="Aptos" w:cs="Aptos"/>
                              <w:noProof/>
                              <w:color w:val="000000"/>
                              <w:sz w:val="22"/>
                              <w:szCs w:val="22"/>
                            </w:rPr>
                          </w:pPr>
                          <w:r w:rsidRPr="007E5993">
                            <w:rPr>
                              <w:rFonts w:ascii="Aptos" w:eastAsia="Aptos" w:hAnsi="Aptos" w:cs="Aptos"/>
                              <w:noProof/>
                              <w:color w:val="000000"/>
                              <w:sz w:val="22"/>
                              <w:szCs w:val="22"/>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FBBBCD" id="_x0000_t202" coordsize="21600,21600" o:spt="202" path="m,l,21600r21600,l21600,xe">
              <v:stroke joinstyle="miter"/>
              <v:path gradientshapeok="t" o:connecttype="rect"/>
            </v:shapetype>
            <v:shape id="Text Box 2" o:spid="_x0000_s1026" type="#_x0000_t202" alt="OFFICIAL - FOR PUBLIC RELEASE" style="position:absolute;margin-left:0;margin-top:0;width:157.8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" filled="f" stroked="f">
              <v:fill o:detectmouseclick="t"/>
              <v:textbox style="mso-fit-shape-to-text:t" inset="0,15pt,0,0">
                <w:txbxContent>
                  <w:p w14:paraId="3858CB06" w14:textId="41718576" w:rsidR="007E5993" w:rsidRPr="007E5993" w:rsidRDefault="007E5993" w:rsidP="007E5993">
                    <w:pPr>
                      <w:spacing w:after="0"/>
                      <w:rPr>
                        <w:rFonts w:ascii="Aptos" w:eastAsia="Aptos" w:hAnsi="Aptos" w:cs="Aptos"/>
                        <w:noProof/>
                        <w:color w:val="000000"/>
                        <w:sz w:val="22"/>
                        <w:szCs w:val="22"/>
                      </w:rPr>
                    </w:pPr>
                    <w:r w:rsidRPr="007E5993">
                      <w:rPr>
                        <w:rFonts w:ascii="Aptos" w:eastAsia="Aptos" w:hAnsi="Aptos" w:cs="Aptos"/>
                        <w:noProof/>
                        <w:color w:val="000000"/>
                        <w:sz w:val="22"/>
                        <w:szCs w:val="22"/>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5CDF" w14:textId="59CBBFEB" w:rsidR="007E5993" w:rsidRDefault="007E5993">
    <w:pPr>
      <w:pStyle w:val="Header"/>
    </w:pPr>
    <w:r>
      <w:rPr>
        <w:noProof/>
      </w:rPr>
      <mc:AlternateContent>
        <mc:Choice Requires="wps">
          <w:drawing>
            <wp:anchor distT="0" distB="0" distL="0" distR="0" simplePos="0" relativeHeight="251658243" behindDoc="0" locked="0" layoutInCell="1" allowOverlap="1" wp14:anchorId="788E88D0" wp14:editId="55F5B979">
              <wp:simplePos x="635" y="635"/>
              <wp:positionH relativeFrom="page">
                <wp:align>center</wp:align>
              </wp:positionH>
              <wp:positionV relativeFrom="page">
                <wp:align>top</wp:align>
              </wp:positionV>
              <wp:extent cx="2004060" cy="394970"/>
              <wp:effectExtent l="0" t="0" r="15240" b="5080"/>
              <wp:wrapNone/>
              <wp:docPr id="1870945159"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573EB849" w14:textId="2AA1238E" w:rsidR="007E5993" w:rsidRPr="007E5993" w:rsidRDefault="007E5993" w:rsidP="007E5993">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8E88D0" id="_x0000_t202" coordsize="21600,21600" o:spt="202" path="m,l,21600r21600,l21600,xe">
              <v:stroke joinstyle="miter"/>
              <v:path gradientshapeok="t" o:connecttype="rect"/>
            </v:shapetype>
            <v:shape id="Text Box 3" o:spid="_x0000_s1027" type="#_x0000_t202" alt="OFFICIAL - FOR PUBLIC RELEASE" style="position:absolute;margin-left:0;margin-top:0;width:157.8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" filled="f" stroked="f">
              <v:fill o:detectmouseclick="t"/>
              <v:textbox style="mso-fit-shape-to-text:t" inset="0,15pt,0,0">
                <w:txbxContent>
                  <w:p w14:paraId="573EB849" w14:textId="2AA1238E" w:rsidR="007E5993" w:rsidRPr="007E5993" w:rsidRDefault="007E5993" w:rsidP="007E5993">
                    <w:pPr>
                      <w:spacing w:after="0"/>
                      <w:rPr>
                        <w:rFonts w:ascii="Aptos" w:eastAsia="Aptos" w:hAnsi="Aptos" w:cs="Aptos"/>
                        <w:noProof/>
                        <w:color w:val="0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7471F" w14:textId="3BDD97A8" w:rsidR="007E5993" w:rsidRDefault="007E5993">
    <w:pPr>
      <w:pStyle w:val="Header"/>
    </w:pPr>
    <w:r>
      <w:rPr>
        <w:noProof/>
      </w:rPr>
      <mc:AlternateContent>
        <mc:Choice Requires="wps">
          <w:drawing>
            <wp:anchor distT="0" distB="0" distL="0" distR="0" simplePos="0" relativeHeight="251658245" behindDoc="0" locked="0" layoutInCell="1" allowOverlap="1" wp14:anchorId="3F0FDD13" wp14:editId="16AD5ADA">
              <wp:simplePos x="685800" y="271463"/>
              <wp:positionH relativeFrom="page">
                <wp:align>center</wp:align>
              </wp:positionH>
              <wp:positionV relativeFrom="page">
                <wp:align>top</wp:align>
              </wp:positionV>
              <wp:extent cx="2004060" cy="394970"/>
              <wp:effectExtent l="0" t="0" r="15240" b="5080"/>
              <wp:wrapNone/>
              <wp:docPr id="1364958204"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4060" cy="394970"/>
                      </a:xfrm>
                      <a:prstGeom prst="rect">
                        <a:avLst/>
                      </a:prstGeom>
                      <a:noFill/>
                      <a:ln>
                        <a:noFill/>
                      </a:ln>
                    </wps:spPr>
                    <wps:txbx>
                      <w:txbxContent>
                        <w:p w14:paraId="45ABCFFB" w14:textId="7448522A" w:rsidR="007E5993" w:rsidRPr="007E5993" w:rsidRDefault="007E5993" w:rsidP="007E5993">
                          <w:pPr>
                            <w:spacing w:after="0"/>
                            <w:rPr>
                              <w:rFonts w:ascii="Aptos" w:eastAsia="Aptos" w:hAnsi="Aptos" w:cs="Aptos"/>
                              <w:noProof/>
                              <w:color w:val="0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FDD13" id="_x0000_t202" coordsize="21600,21600" o:spt="202" path="m,l,21600r21600,l21600,xe">
              <v:stroke joinstyle="miter"/>
              <v:path gradientshapeok="t" o:connecttype="rect"/>
            </v:shapetype>
            <v:shape id="Text Box 1" o:spid="_x0000_s1030" type="#_x0000_t202" alt="OFFICIAL - FOR PUBLIC RELEASE" style="position:absolute;margin-left:0;margin-top:0;width:157.8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" filled="f" stroked="f">
              <v:fill o:detectmouseclick="t"/>
              <v:textbox style="mso-fit-shape-to-text:t" inset="0,15pt,0,0">
                <w:txbxContent>
                  <w:p w14:paraId="45ABCFFB" w14:textId="7448522A" w:rsidR="007E5993" w:rsidRPr="007E5993" w:rsidRDefault="007E5993" w:rsidP="007E5993">
                    <w:pPr>
                      <w:spacing w:after="0"/>
                      <w:rPr>
                        <w:rFonts w:ascii="Aptos" w:eastAsia="Aptos" w:hAnsi="Aptos" w:cs="Aptos"/>
                        <w:noProof/>
                        <w:color w:val="000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870875"/>
    <w:multiLevelType w:val="hybridMultilevel"/>
    <w:tmpl w:val="2A58EA1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B2F472E"/>
    <w:multiLevelType w:val="hybridMultilevel"/>
    <w:tmpl w:val="D6A88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F59005F"/>
    <w:multiLevelType w:val="hybridMultilevel"/>
    <w:tmpl w:val="0AF60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9E342E5"/>
    <w:multiLevelType w:val="hybridMultilevel"/>
    <w:tmpl w:val="2D4E9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66E27"/>
    <w:multiLevelType w:val="hybridMultilevel"/>
    <w:tmpl w:val="F0465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B5FA3"/>
    <w:multiLevelType w:val="hybridMultilevel"/>
    <w:tmpl w:val="91E6AD7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232597"/>
    <w:multiLevelType w:val="hybridMultilevel"/>
    <w:tmpl w:val="76E26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41127"/>
    <w:multiLevelType w:val="hybridMultilevel"/>
    <w:tmpl w:val="73004E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A231B5B"/>
    <w:multiLevelType w:val="hybridMultilevel"/>
    <w:tmpl w:val="43821C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A0B14"/>
    <w:multiLevelType w:val="hybridMultilevel"/>
    <w:tmpl w:val="02B89776"/>
    <w:lvl w:ilvl="0" w:tplc="3B4A15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40E595C"/>
    <w:multiLevelType w:val="hybridMultilevel"/>
    <w:tmpl w:val="B9CE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7120C"/>
    <w:multiLevelType w:val="hybridMultilevel"/>
    <w:tmpl w:val="5E6E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209A3"/>
    <w:multiLevelType w:val="hybridMultilevel"/>
    <w:tmpl w:val="E38A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43BF3"/>
    <w:multiLevelType w:val="hybridMultilevel"/>
    <w:tmpl w:val="B1407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6"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24217AA"/>
    <w:multiLevelType w:val="hybridMultilevel"/>
    <w:tmpl w:val="F7BA46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647023">
    <w:abstractNumId w:val="4"/>
  </w:num>
  <w:num w:numId="2" w16cid:durableId="1420565021">
    <w:abstractNumId w:val="26"/>
  </w:num>
  <w:num w:numId="3" w16cid:durableId="1528371573">
    <w:abstractNumId w:val="25"/>
  </w:num>
  <w:num w:numId="4" w16cid:durableId="1857690074">
    <w:abstractNumId w:val="14"/>
  </w:num>
  <w:num w:numId="5" w16cid:durableId="500202847">
    <w:abstractNumId w:val="10"/>
  </w:num>
  <w:num w:numId="6" w16cid:durableId="594870558">
    <w:abstractNumId w:val="19"/>
  </w:num>
  <w:num w:numId="7" w16cid:durableId="608898394">
    <w:abstractNumId w:val="3"/>
  </w:num>
  <w:num w:numId="8" w16cid:durableId="1177840826">
    <w:abstractNumId w:val="1"/>
  </w:num>
  <w:num w:numId="9" w16cid:durableId="205339370">
    <w:abstractNumId w:val="0"/>
  </w:num>
  <w:num w:numId="10" w16cid:durableId="1227182328">
    <w:abstractNumId w:val="20"/>
  </w:num>
  <w:num w:numId="11" w16cid:durableId="259801297">
    <w:abstractNumId w:val="19"/>
  </w:num>
  <w:num w:numId="12" w16cid:durableId="1901363047">
    <w:abstractNumId w:val="28"/>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9"/>
  </w:num>
  <w:num w:numId="17" w16cid:durableId="1999922879">
    <w:abstractNumId w:val="19"/>
  </w:num>
  <w:num w:numId="18" w16cid:durableId="1565872121">
    <w:abstractNumId w:val="23"/>
  </w:num>
  <w:num w:numId="19" w16cid:durableId="689643184">
    <w:abstractNumId w:val="8"/>
  </w:num>
  <w:num w:numId="20" w16cid:durableId="1495493422">
    <w:abstractNumId w:val="18"/>
  </w:num>
  <w:num w:numId="21" w16cid:durableId="1282417816">
    <w:abstractNumId w:val="13"/>
  </w:num>
  <w:num w:numId="22" w16cid:durableId="1409423535">
    <w:abstractNumId w:val="12"/>
  </w:num>
  <w:num w:numId="23" w16cid:durableId="558058819">
    <w:abstractNumId w:val="22"/>
  </w:num>
  <w:num w:numId="24" w16cid:durableId="1765761523">
    <w:abstractNumId w:val="24"/>
  </w:num>
  <w:num w:numId="25" w16cid:durableId="580061148">
    <w:abstractNumId w:val="16"/>
  </w:num>
  <w:num w:numId="26" w16cid:durableId="1643726620">
    <w:abstractNumId w:val="15"/>
  </w:num>
  <w:num w:numId="27" w16cid:durableId="1817451444">
    <w:abstractNumId w:val="27"/>
  </w:num>
  <w:num w:numId="28" w16cid:durableId="1791626327">
    <w:abstractNumId w:val="11"/>
  </w:num>
  <w:num w:numId="29" w16cid:durableId="405227335">
    <w:abstractNumId w:val="17"/>
  </w:num>
  <w:num w:numId="30" w16cid:durableId="1510024534">
    <w:abstractNumId w:val="6"/>
  </w:num>
  <w:num w:numId="31" w16cid:durableId="1922173350">
    <w:abstractNumId w:val="21"/>
  </w:num>
  <w:num w:numId="32" w16cid:durableId="1441955674">
    <w:abstractNumId w:val="14"/>
  </w:num>
  <w:num w:numId="33" w16cid:durableId="1291595398">
    <w:abstractNumId w:val="5"/>
  </w:num>
  <w:num w:numId="34" w16cid:durableId="77728814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33A35"/>
    <w:rsid w:val="000442BD"/>
    <w:rsid w:val="00057100"/>
    <w:rsid w:val="00065E86"/>
    <w:rsid w:val="00066B1C"/>
    <w:rsid w:val="0008013A"/>
    <w:rsid w:val="00083A73"/>
    <w:rsid w:val="000A10F4"/>
    <w:rsid w:val="000B0DB8"/>
    <w:rsid w:val="000B3DE0"/>
    <w:rsid w:val="000B5408"/>
    <w:rsid w:val="000C622B"/>
    <w:rsid w:val="000D1D30"/>
    <w:rsid w:val="000D4433"/>
    <w:rsid w:val="000E1EBE"/>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564EC"/>
    <w:rsid w:val="001612C8"/>
    <w:rsid w:val="0016635C"/>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6FAE"/>
    <w:rsid w:val="001B796F"/>
    <w:rsid w:val="001C5A63"/>
    <w:rsid w:val="001C5EB6"/>
    <w:rsid w:val="001C612A"/>
    <w:rsid w:val="001C676E"/>
    <w:rsid w:val="001D0A3C"/>
    <w:rsid w:val="001D4729"/>
    <w:rsid w:val="001D5770"/>
    <w:rsid w:val="001D5CEA"/>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3879"/>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3A5D"/>
    <w:rsid w:val="002E463F"/>
    <w:rsid w:val="002E4E9A"/>
    <w:rsid w:val="002E508B"/>
    <w:rsid w:val="002E5F9F"/>
    <w:rsid w:val="002E7849"/>
    <w:rsid w:val="002F649B"/>
    <w:rsid w:val="002F7128"/>
    <w:rsid w:val="00300091"/>
    <w:rsid w:val="00300F99"/>
    <w:rsid w:val="00342F8B"/>
    <w:rsid w:val="00356F65"/>
    <w:rsid w:val="00361752"/>
    <w:rsid w:val="00374981"/>
    <w:rsid w:val="0037683A"/>
    <w:rsid w:val="003810D8"/>
    <w:rsid w:val="003853A4"/>
    <w:rsid w:val="00390542"/>
    <w:rsid w:val="00393BEB"/>
    <w:rsid w:val="0039725F"/>
    <w:rsid w:val="003A1CC2"/>
    <w:rsid w:val="003B34CF"/>
    <w:rsid w:val="003C12BB"/>
    <w:rsid w:val="003C60B5"/>
    <w:rsid w:val="003D1EFE"/>
    <w:rsid w:val="003E1329"/>
    <w:rsid w:val="003E2600"/>
    <w:rsid w:val="003E30CF"/>
    <w:rsid w:val="003E79FF"/>
    <w:rsid w:val="00400E1D"/>
    <w:rsid w:val="00403D1C"/>
    <w:rsid w:val="0041296D"/>
    <w:rsid w:val="004216FF"/>
    <w:rsid w:val="004242C5"/>
    <w:rsid w:val="00426608"/>
    <w:rsid w:val="00431555"/>
    <w:rsid w:val="00431AD9"/>
    <w:rsid w:val="004339FB"/>
    <w:rsid w:val="0043755C"/>
    <w:rsid w:val="004451B3"/>
    <w:rsid w:val="004509BE"/>
    <w:rsid w:val="00456560"/>
    <w:rsid w:val="00466161"/>
    <w:rsid w:val="00470223"/>
    <w:rsid w:val="004866AD"/>
    <w:rsid w:val="004939F2"/>
    <w:rsid w:val="004A3626"/>
    <w:rsid w:val="004A3E98"/>
    <w:rsid w:val="004B08AC"/>
    <w:rsid w:val="004C0B8F"/>
    <w:rsid w:val="004C10D6"/>
    <w:rsid w:val="004C5600"/>
    <w:rsid w:val="004D13A3"/>
    <w:rsid w:val="004D5F80"/>
    <w:rsid w:val="004D73C6"/>
    <w:rsid w:val="004D7914"/>
    <w:rsid w:val="004E2E54"/>
    <w:rsid w:val="004E5405"/>
    <w:rsid w:val="004E6CD9"/>
    <w:rsid w:val="004F20E3"/>
    <w:rsid w:val="004F211A"/>
    <w:rsid w:val="004F3159"/>
    <w:rsid w:val="004F4AEF"/>
    <w:rsid w:val="004F643C"/>
    <w:rsid w:val="005106CC"/>
    <w:rsid w:val="005170CE"/>
    <w:rsid w:val="005247AD"/>
    <w:rsid w:val="005304B5"/>
    <w:rsid w:val="00533AA9"/>
    <w:rsid w:val="005360B7"/>
    <w:rsid w:val="00536E0B"/>
    <w:rsid w:val="005535E5"/>
    <w:rsid w:val="00553F1B"/>
    <w:rsid w:val="0055781F"/>
    <w:rsid w:val="00560451"/>
    <w:rsid w:val="00561BE6"/>
    <w:rsid w:val="00566A11"/>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6AFE"/>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2D8C"/>
    <w:rsid w:val="006775FA"/>
    <w:rsid w:val="00684973"/>
    <w:rsid w:val="0068544D"/>
    <w:rsid w:val="00685EBB"/>
    <w:rsid w:val="00695D08"/>
    <w:rsid w:val="006A0388"/>
    <w:rsid w:val="006A27AA"/>
    <w:rsid w:val="006A3602"/>
    <w:rsid w:val="006A43D2"/>
    <w:rsid w:val="006A4524"/>
    <w:rsid w:val="006A45D8"/>
    <w:rsid w:val="006B05D8"/>
    <w:rsid w:val="006B1F9F"/>
    <w:rsid w:val="006B5581"/>
    <w:rsid w:val="006B5792"/>
    <w:rsid w:val="006B68F5"/>
    <w:rsid w:val="006C382D"/>
    <w:rsid w:val="006D1162"/>
    <w:rsid w:val="006E6ADB"/>
    <w:rsid w:val="006E754A"/>
    <w:rsid w:val="006E7F39"/>
    <w:rsid w:val="006F1F96"/>
    <w:rsid w:val="00700B01"/>
    <w:rsid w:val="00702EBF"/>
    <w:rsid w:val="0070643F"/>
    <w:rsid w:val="00713414"/>
    <w:rsid w:val="00727EC4"/>
    <w:rsid w:val="00730350"/>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37E"/>
    <w:rsid w:val="00775440"/>
    <w:rsid w:val="00775D8A"/>
    <w:rsid w:val="0077659E"/>
    <w:rsid w:val="00777AD4"/>
    <w:rsid w:val="00780950"/>
    <w:rsid w:val="007809EF"/>
    <w:rsid w:val="00783D2C"/>
    <w:rsid w:val="00790467"/>
    <w:rsid w:val="007918D7"/>
    <w:rsid w:val="00794F29"/>
    <w:rsid w:val="00796503"/>
    <w:rsid w:val="007A2250"/>
    <w:rsid w:val="007A5759"/>
    <w:rsid w:val="007B3CFE"/>
    <w:rsid w:val="007C19E4"/>
    <w:rsid w:val="007C41A5"/>
    <w:rsid w:val="007C58BE"/>
    <w:rsid w:val="007D080B"/>
    <w:rsid w:val="007E1F22"/>
    <w:rsid w:val="007E5993"/>
    <w:rsid w:val="008055B2"/>
    <w:rsid w:val="00816E77"/>
    <w:rsid w:val="00831263"/>
    <w:rsid w:val="00831DB7"/>
    <w:rsid w:val="00832EBF"/>
    <w:rsid w:val="008366CB"/>
    <w:rsid w:val="00837F3A"/>
    <w:rsid w:val="008553BE"/>
    <w:rsid w:val="00855844"/>
    <w:rsid w:val="00855874"/>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082C"/>
    <w:rsid w:val="008E3F07"/>
    <w:rsid w:val="008E5F36"/>
    <w:rsid w:val="008F2757"/>
    <w:rsid w:val="008F2CB5"/>
    <w:rsid w:val="008F2E4F"/>
    <w:rsid w:val="008F395C"/>
    <w:rsid w:val="008F7436"/>
    <w:rsid w:val="009018E8"/>
    <w:rsid w:val="009055E4"/>
    <w:rsid w:val="009101DD"/>
    <w:rsid w:val="00911443"/>
    <w:rsid w:val="00917E9C"/>
    <w:rsid w:val="00926A3C"/>
    <w:rsid w:val="00926BFA"/>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1438"/>
    <w:rsid w:val="00A02C4E"/>
    <w:rsid w:val="00A02E43"/>
    <w:rsid w:val="00A119EE"/>
    <w:rsid w:val="00A1357F"/>
    <w:rsid w:val="00A30BA1"/>
    <w:rsid w:val="00A37DEE"/>
    <w:rsid w:val="00A41187"/>
    <w:rsid w:val="00A428AD"/>
    <w:rsid w:val="00A433C3"/>
    <w:rsid w:val="00A443D7"/>
    <w:rsid w:val="00A53279"/>
    <w:rsid w:val="00A54BB7"/>
    <w:rsid w:val="00A5643A"/>
    <w:rsid w:val="00A5723C"/>
    <w:rsid w:val="00A57E5D"/>
    <w:rsid w:val="00A64465"/>
    <w:rsid w:val="00A675A8"/>
    <w:rsid w:val="00A67D66"/>
    <w:rsid w:val="00A707A4"/>
    <w:rsid w:val="00A7274B"/>
    <w:rsid w:val="00A73FB8"/>
    <w:rsid w:val="00A74E5D"/>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D5EFC"/>
    <w:rsid w:val="00AE1E46"/>
    <w:rsid w:val="00AE4296"/>
    <w:rsid w:val="00AE60F7"/>
    <w:rsid w:val="00AF0989"/>
    <w:rsid w:val="00AF2191"/>
    <w:rsid w:val="00AF785C"/>
    <w:rsid w:val="00B00B0D"/>
    <w:rsid w:val="00B03A54"/>
    <w:rsid w:val="00B12892"/>
    <w:rsid w:val="00B16E0B"/>
    <w:rsid w:val="00B178C5"/>
    <w:rsid w:val="00B206AA"/>
    <w:rsid w:val="00B20BE5"/>
    <w:rsid w:val="00B336AF"/>
    <w:rsid w:val="00B33B1F"/>
    <w:rsid w:val="00B34048"/>
    <w:rsid w:val="00B3498C"/>
    <w:rsid w:val="00B35850"/>
    <w:rsid w:val="00B3654B"/>
    <w:rsid w:val="00B4116F"/>
    <w:rsid w:val="00B43CAD"/>
    <w:rsid w:val="00B55A49"/>
    <w:rsid w:val="00B64265"/>
    <w:rsid w:val="00B67F76"/>
    <w:rsid w:val="00B70EFF"/>
    <w:rsid w:val="00B7558C"/>
    <w:rsid w:val="00B9194F"/>
    <w:rsid w:val="00B97140"/>
    <w:rsid w:val="00BA003B"/>
    <w:rsid w:val="00BA6857"/>
    <w:rsid w:val="00BB05E2"/>
    <w:rsid w:val="00BB0EB2"/>
    <w:rsid w:val="00BB2485"/>
    <w:rsid w:val="00BB3547"/>
    <w:rsid w:val="00BC6581"/>
    <w:rsid w:val="00BC6B44"/>
    <w:rsid w:val="00BD1111"/>
    <w:rsid w:val="00BD26B6"/>
    <w:rsid w:val="00BD6341"/>
    <w:rsid w:val="00BE01C6"/>
    <w:rsid w:val="00BE4DAC"/>
    <w:rsid w:val="00BF13F8"/>
    <w:rsid w:val="00C01CFF"/>
    <w:rsid w:val="00C026F2"/>
    <w:rsid w:val="00C02D89"/>
    <w:rsid w:val="00C13ECA"/>
    <w:rsid w:val="00C15B78"/>
    <w:rsid w:val="00C2207B"/>
    <w:rsid w:val="00C22BA0"/>
    <w:rsid w:val="00C2496D"/>
    <w:rsid w:val="00C2581B"/>
    <w:rsid w:val="00C25948"/>
    <w:rsid w:val="00C278D7"/>
    <w:rsid w:val="00C42AB1"/>
    <w:rsid w:val="00C4303B"/>
    <w:rsid w:val="00C46129"/>
    <w:rsid w:val="00C4624B"/>
    <w:rsid w:val="00C47B1E"/>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660A1"/>
    <w:rsid w:val="00D75416"/>
    <w:rsid w:val="00D759D7"/>
    <w:rsid w:val="00D92274"/>
    <w:rsid w:val="00D94339"/>
    <w:rsid w:val="00D9707F"/>
    <w:rsid w:val="00D97DD2"/>
    <w:rsid w:val="00DA0AD5"/>
    <w:rsid w:val="00DA1B01"/>
    <w:rsid w:val="00DA1F8E"/>
    <w:rsid w:val="00DA57A4"/>
    <w:rsid w:val="00DB0D07"/>
    <w:rsid w:val="00DB56EB"/>
    <w:rsid w:val="00DB61F3"/>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924A3"/>
    <w:rsid w:val="00EA3C21"/>
    <w:rsid w:val="00EA4D1B"/>
    <w:rsid w:val="00EB1D11"/>
    <w:rsid w:val="00EB378B"/>
    <w:rsid w:val="00EB4243"/>
    <w:rsid w:val="00EC3DC1"/>
    <w:rsid w:val="00EC656E"/>
    <w:rsid w:val="00ED2F1C"/>
    <w:rsid w:val="00ED3D05"/>
    <w:rsid w:val="00EE46A3"/>
    <w:rsid w:val="00EE5CA8"/>
    <w:rsid w:val="00EE64AE"/>
    <w:rsid w:val="00EF6D9E"/>
    <w:rsid w:val="00F0321D"/>
    <w:rsid w:val="00F06445"/>
    <w:rsid w:val="00F07114"/>
    <w:rsid w:val="00F156EF"/>
    <w:rsid w:val="00F206A7"/>
    <w:rsid w:val="00F22E72"/>
    <w:rsid w:val="00F26811"/>
    <w:rsid w:val="00F3105E"/>
    <w:rsid w:val="00F41591"/>
    <w:rsid w:val="00F41A63"/>
    <w:rsid w:val="00F45BEB"/>
    <w:rsid w:val="00F54523"/>
    <w:rsid w:val="00F54B50"/>
    <w:rsid w:val="00F5784B"/>
    <w:rsid w:val="00F651FF"/>
    <w:rsid w:val="00F66938"/>
    <w:rsid w:val="00F84544"/>
    <w:rsid w:val="00F85AA7"/>
    <w:rsid w:val="00F86C02"/>
    <w:rsid w:val="00F902DE"/>
    <w:rsid w:val="00F9318A"/>
    <w:rsid w:val="00F954FA"/>
    <w:rsid w:val="00F95B1F"/>
    <w:rsid w:val="00FA0220"/>
    <w:rsid w:val="00FA05B2"/>
    <w:rsid w:val="00FA114F"/>
    <w:rsid w:val="00FA68A7"/>
    <w:rsid w:val="00FB53AF"/>
    <w:rsid w:val="00FB6144"/>
    <w:rsid w:val="00FC0C51"/>
    <w:rsid w:val="00FC2B3C"/>
    <w:rsid w:val="00FD19C0"/>
    <w:rsid w:val="00FD1CD8"/>
    <w:rsid w:val="00FD75F7"/>
    <w:rsid w:val="00FE1B88"/>
    <w:rsid w:val="00FE2755"/>
    <w:rsid w:val="00FF24FD"/>
    <w:rsid w:val="00FF4DC0"/>
    <w:rsid w:val="00FF5B50"/>
    <w:rsid w:val="015DC9CD"/>
    <w:rsid w:val="16394424"/>
    <w:rsid w:val="19EF6170"/>
    <w:rsid w:val="1C2DEA58"/>
    <w:rsid w:val="231C3222"/>
    <w:rsid w:val="2A76EF84"/>
    <w:rsid w:val="431F9A3D"/>
    <w:rsid w:val="4CDDCFBB"/>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unhideWhenUsed/>
    <w:qFormat/>
    <w:rsid w:val="00CB334F"/>
    <w:pPr>
      <w:spacing w:after="0" w:line="240" w:lineRule="auto"/>
    </w:pPr>
    <w:rPr>
      <w:sz w:val="20"/>
      <w:szCs w:val="20"/>
    </w:rPr>
  </w:style>
  <w:style w:type="character" w:customStyle="1" w:styleId="FootnoteTextChar">
    <w:name w:val="Footnote Text Char"/>
    <w:basedOn w:val="DefaultParagraphFont"/>
    <w:link w:val="FootnoteText"/>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hyperlink" Target="https://www.gov.uk/guidance/-governance-in-academy-trust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alternative-provisio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uidance/governance-in-maintained-scho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gov.uk/guidance/-governance-in-academy-trust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uidance/governance-in-maintained-school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opening-new-school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1E880C6FA86A429CBF2BAABAA252A8" ma:contentTypeVersion="8" ma:contentTypeDescription="Create a new document." ma:contentTypeScope="" ma:versionID="fda617d3186a1ad1bd93d27d303a7083">
  <xsd:schema xmlns:xsd="http://www.w3.org/2001/XMLSchema" xmlns:xs="http://www.w3.org/2001/XMLSchema" xmlns:p="http://schemas.microsoft.com/office/2006/metadata/properties" xmlns:ns1="http://schemas.microsoft.com/sharepoint/v3" xmlns:ns2="efc1b397-383f-4f0f-b3d8-7c33840c8233" xmlns:ns3="56af8376-d29b-47d3-ac3e-c436fceb23f2" targetNamespace="http://schemas.microsoft.com/office/2006/metadata/properties" ma:root="true" ma:fieldsID="6bfe3766a0a9738443c175a0984f2253" ns1:_="" ns2:_="" ns3:_="">
    <xsd:import namespace="http://schemas.microsoft.com/sharepoint/v3"/>
    <xsd:import namespace="efc1b397-383f-4f0f-b3d8-7c33840c8233"/>
    <xsd:import namespace="56af8376-d29b-47d3-ac3e-c436fceb23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1b397-383f-4f0f-b3d8-7c33840c8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f8376-d29b-47d3-ac3e-c436fceb23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5D011A0-20A5-44A5-89C0-FDB2FDF1E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c1b397-383f-4f0f-b3d8-7c33840c8233"/>
    <ds:schemaRef ds:uri="56af8376-d29b-47d3-ac3e-c436fceb2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docMetadata/LabelInfo.xml><?xml version="1.0" encoding="utf-8"?>
<clbl:labelList xmlns:clbl="http://schemas.microsoft.com/office/2020/mipLabelMetadata">
  <clbl:label id="{dbf2ff9d-e249-40e2-b463-0b922d4f2f25}"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3123</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20889</CharactersWithSpaces>
  <SharedDoc>false</SharedDoc>
  <HLinks>
    <vt:vector size="6" baseType="variant">
      <vt:variant>
        <vt:i4>4390978</vt:i4>
      </vt:variant>
      <vt:variant>
        <vt:i4>0</vt:i4>
      </vt:variant>
      <vt:variant>
        <vt:i4>0</vt:i4>
      </vt:variant>
      <vt:variant>
        <vt:i4>5</vt:i4>
      </vt:variant>
      <vt:variant>
        <vt:lpwstr>https://educationgovuk.sharepoint.com/sites/communications/SitePages/how-to-format-your-document.aspx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F: Model criteria for the assessment of proposals for new schools</dc:title>
  <dc:subject/>
  <dc:creator>Department for Education</dc:creator>
  <cp:keywords/>
  <dc:description/>
  <cp:lastModifiedBy>WING, Gill</cp:lastModifiedBy>
  <cp:revision>4</cp:revision>
  <cp:lastPrinted>2013-07-12T02:35:00Z</cp:lastPrinted>
  <dcterms:created xsi:type="dcterms:W3CDTF">2026-05-12T12:10:00Z</dcterms:created>
  <dcterms:modified xsi:type="dcterms:W3CDTF">2026-05-14T14:35:00Z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0x010100F01E880C6FA86A429CBF2BAABAA252A8</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515b9bfc,3e2d7a50,6f845b87</vt:lpwstr>
  </property>
  <property fmtid="{D5CDD505-2E9C-101B-9397-08002B2CF9AE}" pid="26" name="ClassificationContentMarkingHeaderFontProps">
    <vt:lpwstr>#000000,11,Aptos</vt:lpwstr>
  </property>
  <property fmtid="{D5CDD505-2E9C-101B-9397-08002B2CF9AE}" pid="27" name="ClassificationContentMarkingHeaderText">
    <vt:lpwstr>OFFICIAL - FOR PUBLIC RELEASE</vt:lpwstr>
  </property>
  <property fmtid="{D5CDD505-2E9C-101B-9397-08002B2CF9AE}" pid="28" name="ClassificationContentMarkingFooterShapeIds">
    <vt:lpwstr>6dca98a7,41ca1e58,76b5b037</vt:lpwstr>
  </property>
  <property fmtid="{D5CDD505-2E9C-101B-9397-08002B2CF9AE}" pid="29" name="ClassificationContentMarkingFooterFontProps">
    <vt:lpwstr>#000000,11,Aptos</vt:lpwstr>
  </property>
  <property fmtid="{D5CDD505-2E9C-101B-9397-08002B2CF9AE}" pid="30" name="ClassificationContentMarkingFooterText">
    <vt:lpwstr>OFFICIAL - FOR PUBLIC RELEASE</vt:lpwstr>
  </property>
</Properties>
</file>