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79375" w14:textId="1171AA30" w:rsidR="0073208E" w:rsidRPr="00C06975" w:rsidRDefault="0073208E" w:rsidP="0073208E">
      <w:pPr>
        <w:rPr>
          <w:b/>
          <w:color w:val="auto"/>
          <w:sz w:val="26"/>
          <w:szCs w:val="26"/>
        </w:rPr>
      </w:pPr>
      <w:r w:rsidRPr="00C06975">
        <w:rPr>
          <w:color w:val="auto"/>
        </w:rPr>
        <w:t xml:space="preserve">We have decided to grant the permit for </w:t>
      </w:r>
      <w:r w:rsidR="00FF41E6" w:rsidRPr="00C06975">
        <w:rPr>
          <w:color w:val="auto"/>
        </w:rPr>
        <w:t>Tithe Farm Poultry Unit</w:t>
      </w:r>
      <w:r w:rsidRPr="00C06975">
        <w:rPr>
          <w:color w:val="auto"/>
        </w:rPr>
        <w:t xml:space="preserve"> operated by </w:t>
      </w:r>
      <w:r w:rsidR="00C06975" w:rsidRPr="00C06975">
        <w:rPr>
          <w:color w:val="auto"/>
        </w:rPr>
        <w:t>Geoffrey Mason Limited</w:t>
      </w:r>
      <w:r w:rsidRPr="00C06975">
        <w:rPr>
          <w:color w:val="auto"/>
        </w:rPr>
        <w:t>.</w:t>
      </w:r>
    </w:p>
    <w:p w14:paraId="4E4BD132" w14:textId="07A01ACB" w:rsidR="0073208E" w:rsidRPr="00C06975" w:rsidRDefault="0073208E" w:rsidP="0073208E">
      <w:pPr>
        <w:rPr>
          <w:b/>
          <w:color w:val="auto"/>
          <w:sz w:val="26"/>
          <w:szCs w:val="26"/>
        </w:rPr>
      </w:pPr>
      <w:r w:rsidRPr="00C06975">
        <w:rPr>
          <w:color w:val="auto"/>
        </w:rPr>
        <w:t xml:space="preserve">The permit number is </w:t>
      </w:r>
      <w:r w:rsidR="00C06975" w:rsidRPr="00C06975">
        <w:rPr>
          <w:color w:val="auto"/>
        </w:rPr>
        <w:t>EPR/PP3523MS</w:t>
      </w:r>
      <w:r w:rsidRPr="00C06975">
        <w:rPr>
          <w:color w:val="auto"/>
        </w:rPr>
        <w:t>.</w:t>
      </w:r>
    </w:p>
    <w:p w14:paraId="4DA53BF0" w14:textId="77777777" w:rsidR="0073208E" w:rsidRDefault="0073208E" w:rsidP="0073208E">
      <w:r w:rsidRPr="0073208E">
        <w:t xml:space="preserve">We consider in reaching that decision we have </w:t>
      </w:r>
      <w:proofErr w:type="gramStart"/>
      <w:r w:rsidRPr="0073208E">
        <w:t>taken into account</w:t>
      </w:r>
      <w:proofErr w:type="gramEnd"/>
      <w:r w:rsidRPr="0073208E">
        <w:t xml:space="preserve"> all relevant considerations and legal requirements and that the permit will ensure that the appropriate level of environmental protection is provided.</w:t>
      </w:r>
    </w:p>
    <w:p w14:paraId="0BCA2530" w14:textId="234867D4" w:rsidR="002B57CC" w:rsidRDefault="007F27F3" w:rsidP="00B80E42">
      <w:pPr>
        <w:rPr>
          <w:color w:val="auto"/>
        </w:rPr>
      </w:pPr>
      <w:r w:rsidRPr="007F27F3">
        <w:rPr>
          <w:u w:val="single"/>
        </w:rPr>
        <w:t>Overview of application</w:t>
      </w:r>
      <w:r w:rsidR="003C1B11">
        <w:rPr>
          <w:color w:val="auto"/>
        </w:rPr>
        <w:t xml:space="preserve">: </w:t>
      </w:r>
      <w:r w:rsidR="00F15F27">
        <w:rPr>
          <w:color w:val="auto"/>
        </w:rPr>
        <w:t xml:space="preserve">The installation is operated by </w:t>
      </w:r>
      <w:r w:rsidR="00FF106A">
        <w:rPr>
          <w:color w:val="auto"/>
        </w:rPr>
        <w:t>Geoffrey Mason Limited</w:t>
      </w:r>
      <w:r w:rsidR="00F97EBB">
        <w:rPr>
          <w:color w:val="auto"/>
        </w:rPr>
        <w:t xml:space="preserve"> and comprises </w:t>
      </w:r>
      <w:r w:rsidR="00FC6750" w:rsidRPr="007F27F3">
        <w:rPr>
          <w:color w:val="auto"/>
        </w:rPr>
        <w:t xml:space="preserve">six poultry houses, </w:t>
      </w:r>
      <w:r w:rsidR="006B56EC">
        <w:rPr>
          <w:color w:val="auto"/>
        </w:rPr>
        <w:t>numbered one to six. The houses provide a combined capacity for 1</w:t>
      </w:r>
      <w:r w:rsidR="00BC2D4C" w:rsidRPr="007F27F3">
        <w:rPr>
          <w:color w:val="auto"/>
        </w:rPr>
        <w:t>93,000 broiler places.</w:t>
      </w:r>
      <w:r w:rsidR="001701B0">
        <w:rPr>
          <w:color w:val="auto"/>
        </w:rPr>
        <w:t xml:space="preserve"> </w:t>
      </w:r>
      <w:r w:rsidR="00505DA7" w:rsidRPr="00505DA7">
        <w:rPr>
          <w:color w:val="auto"/>
        </w:rPr>
        <w:t>Broiler birds will be housed at a day old and depopulated at around 42 days of age with approximately 7 days empty, which will give 7 to 7.5 cycles per annum</w:t>
      </w:r>
      <w:r w:rsidR="00191A7D">
        <w:rPr>
          <w:color w:val="auto"/>
        </w:rPr>
        <w:t>.</w:t>
      </w:r>
    </w:p>
    <w:p w14:paraId="1986EC49" w14:textId="4D18B1F4" w:rsidR="00BC5CDF" w:rsidRDefault="00244D39" w:rsidP="0073208E">
      <w:pPr>
        <w:rPr>
          <w:color w:val="auto"/>
        </w:rPr>
      </w:pPr>
      <w:r>
        <w:rPr>
          <w:color w:val="auto"/>
        </w:rPr>
        <w:t xml:space="preserve">Poultry houses </w:t>
      </w:r>
      <w:r w:rsidR="00A041B3">
        <w:rPr>
          <w:color w:val="auto"/>
        </w:rPr>
        <w:t xml:space="preserve">5 </w:t>
      </w:r>
      <w:r w:rsidR="00A1485A">
        <w:rPr>
          <w:color w:val="auto"/>
        </w:rPr>
        <w:t>-</w:t>
      </w:r>
      <w:r w:rsidR="00A041B3">
        <w:rPr>
          <w:color w:val="auto"/>
        </w:rPr>
        <w:t xml:space="preserve"> 6 are newly built to BAT standards and poultry houses 1 – 4 are existing houses which have been renovated to BAT standards. </w:t>
      </w:r>
      <w:r w:rsidR="00794A65" w:rsidRPr="00794A65">
        <w:rPr>
          <w:color w:val="auto"/>
        </w:rPr>
        <w:t xml:space="preserve">Poultry houses 1 – 4 are ventilated by medium velocity roof fans with an emission point at 4.7 metres above ground level and an efflux speed at or greater than 12 metres per second. Poultry houses 5 - 6 are ventilated by high velocity roof fans with an emission point higher than 5.5 metres above ground level and an efflux speed at or greater than 12 metres per second. </w:t>
      </w:r>
      <w:r w:rsidR="004C2421" w:rsidRPr="004C2421">
        <w:rPr>
          <w:color w:val="auto"/>
        </w:rPr>
        <w:t xml:space="preserve">All </w:t>
      </w:r>
      <w:r w:rsidR="004C2421">
        <w:rPr>
          <w:color w:val="auto"/>
        </w:rPr>
        <w:t xml:space="preserve">6 poultry </w:t>
      </w:r>
      <w:r w:rsidR="004C2421" w:rsidRPr="004C2421">
        <w:rPr>
          <w:color w:val="auto"/>
        </w:rPr>
        <w:t>houses are fitted with heat exchangers and are heated using LPG heaters.</w:t>
      </w:r>
    </w:p>
    <w:p w14:paraId="199F3FDE" w14:textId="77777777" w:rsidR="0073208E" w:rsidRPr="0073208E" w:rsidRDefault="0073208E" w:rsidP="00896CFF">
      <w:pPr>
        <w:pStyle w:val="Sectiontitle"/>
      </w:pPr>
      <w:r w:rsidRPr="0073208E">
        <w:t>Purpose of this document</w:t>
      </w:r>
    </w:p>
    <w:p w14:paraId="41B1F1CD" w14:textId="1AEF4C8F" w:rsidR="0073208E" w:rsidRPr="001D14EF" w:rsidRDefault="0073208E" w:rsidP="0073208E">
      <w:pPr>
        <w:rPr>
          <w:color w:val="auto"/>
        </w:rPr>
      </w:pPr>
      <w:r w:rsidRPr="001D14EF">
        <w:rPr>
          <w:color w:val="auto"/>
        </w:rPr>
        <w:t>This decision document provides a record of the decision-making process. It</w:t>
      </w:r>
      <w:r w:rsidRPr="001D14EF">
        <w:rPr>
          <w:b/>
          <w:color w:val="auto"/>
        </w:rPr>
        <w:t xml:space="preserve"> </w:t>
      </w:r>
    </w:p>
    <w:p w14:paraId="62961C8A" w14:textId="3310CD8F" w:rsidR="0073208E" w:rsidRPr="0073208E" w:rsidRDefault="0073208E" w:rsidP="0073208E">
      <w:pPr>
        <w:numPr>
          <w:ilvl w:val="0"/>
          <w:numId w:val="1"/>
        </w:numPr>
        <w:spacing w:before="60"/>
        <w:ind w:left="641" w:hanging="357"/>
      </w:pPr>
      <w:r w:rsidRPr="001D14EF">
        <w:rPr>
          <w:color w:val="auto"/>
        </w:rPr>
        <w:t>highlights</w:t>
      </w:r>
      <w:r w:rsidRPr="0073208E">
        <w:t xml:space="preserve"> </w:t>
      </w:r>
      <w:hyperlink w:anchor="Key_issues" w:tooltip="Link to 'Key issues' section of this document" w:history="1">
        <w:r w:rsidRPr="0073208E">
          <w:rPr>
            <w:color w:val="0000FF"/>
            <w:u w:val="single"/>
          </w:rPr>
          <w:t>key issues</w:t>
        </w:r>
      </w:hyperlink>
      <w:r w:rsidRPr="0073208E">
        <w:t xml:space="preserve"> </w:t>
      </w:r>
      <w:r w:rsidRPr="001D14EF">
        <w:rPr>
          <w:color w:val="auto"/>
        </w:rPr>
        <w:t>in the determination</w:t>
      </w:r>
    </w:p>
    <w:p w14:paraId="33D1B685" w14:textId="2B779790" w:rsidR="0073208E" w:rsidRPr="0073208E" w:rsidRDefault="0073208E" w:rsidP="0073208E">
      <w:pPr>
        <w:numPr>
          <w:ilvl w:val="0"/>
          <w:numId w:val="1"/>
        </w:numPr>
        <w:spacing w:before="60"/>
        <w:ind w:left="641" w:hanging="357"/>
      </w:pPr>
      <w:r w:rsidRPr="001D14EF">
        <w:rPr>
          <w:color w:val="auto"/>
        </w:rPr>
        <w:t xml:space="preserve">summarises the decision making process in the </w:t>
      </w:r>
      <w:hyperlink w:anchor="Decision_considerations" w:tooltip="Link to 'Decision considerations' section of this document" w:history="1">
        <w:r w:rsidRPr="0073208E">
          <w:rPr>
            <w:color w:val="0000FF"/>
            <w:u w:val="single"/>
          </w:rPr>
          <w:t>decision considerations</w:t>
        </w:r>
      </w:hyperlink>
      <w:r w:rsidRPr="0073208E">
        <w:t xml:space="preserve"> </w:t>
      </w:r>
      <w:r w:rsidRPr="001D14EF">
        <w:rPr>
          <w:color w:val="auto"/>
        </w:rPr>
        <w:t>section to show how the main relevant factors have been taken into account</w:t>
      </w:r>
    </w:p>
    <w:p w14:paraId="203DEE5C" w14:textId="094ADA89" w:rsidR="0073208E" w:rsidRPr="0073208E" w:rsidRDefault="0073208E" w:rsidP="0073208E">
      <w:pPr>
        <w:numPr>
          <w:ilvl w:val="0"/>
          <w:numId w:val="1"/>
        </w:numPr>
        <w:spacing w:before="60"/>
        <w:ind w:left="641" w:hanging="357"/>
      </w:pPr>
      <w:r w:rsidRPr="001D14EF">
        <w:rPr>
          <w:color w:val="auto"/>
        </w:rPr>
        <w:t xml:space="preserve">shows how we have considered the </w:t>
      </w:r>
      <w:hyperlink w:anchor="Consultation_Responses" w:tooltip="Link to 'Consultation responses' section of this document" w:history="1">
        <w:r w:rsidRPr="0073208E">
          <w:rPr>
            <w:color w:val="0000FF"/>
            <w:u w:val="single"/>
          </w:rPr>
          <w:t>consultation responses</w:t>
        </w:r>
      </w:hyperlink>
    </w:p>
    <w:p w14:paraId="7570C81E" w14:textId="77777777" w:rsidR="00916DB3" w:rsidRDefault="0073208E" w:rsidP="0073208E">
      <w:r w:rsidRPr="0073208E">
        <w:t>Unless the decision document specifies otherwise, we have accepted the applicant’s proposals.</w:t>
      </w:r>
      <w:bookmarkStart w:id="0" w:name="Key_issues"/>
    </w:p>
    <w:p w14:paraId="2EF45492" w14:textId="7FE19BB0" w:rsidR="001D14EF" w:rsidRPr="0073208E" w:rsidRDefault="0073208E" w:rsidP="0073208E">
      <w:r w:rsidRPr="0073208E">
        <w:t>Read the permitting decisions in conjunction with the environmental permit. The introductory note summarises what the permit covers.</w:t>
      </w:r>
    </w:p>
    <w:p w14:paraId="4AB23549" w14:textId="5DD7F6D4" w:rsidR="0073208E" w:rsidRPr="003B7BC6" w:rsidRDefault="0073208E" w:rsidP="00896CFF">
      <w:pPr>
        <w:pStyle w:val="Sectiontitle"/>
        <w:rPr>
          <w:b w:val="0"/>
          <w:bCs w:val="0"/>
          <w:color w:val="auto"/>
        </w:rPr>
      </w:pPr>
      <w:r w:rsidRPr="003B7BC6">
        <w:rPr>
          <w:color w:val="auto"/>
        </w:rPr>
        <w:lastRenderedPageBreak/>
        <w:t>Key issues of the decision</w:t>
      </w:r>
      <w:bookmarkEnd w:id="0"/>
    </w:p>
    <w:p w14:paraId="530F507C" w14:textId="16707607" w:rsidR="0073208E" w:rsidRPr="003B7BC6" w:rsidRDefault="0073208E" w:rsidP="00607833">
      <w:pPr>
        <w:pStyle w:val="Topictitle"/>
        <w:rPr>
          <w:b w:val="0"/>
          <w:bCs w:val="0"/>
          <w:iCs w:val="0"/>
          <w:color w:val="auto"/>
        </w:rPr>
      </w:pPr>
      <w:r w:rsidRPr="003B7BC6">
        <w:rPr>
          <w:color w:val="auto"/>
        </w:rPr>
        <w:t>Intensive Rearing of Poultry or Pigs BAT Conclusions document</w:t>
      </w:r>
    </w:p>
    <w:p w14:paraId="348CD972" w14:textId="19C91EC0" w:rsidR="0073208E" w:rsidRPr="003B7BC6" w:rsidRDefault="0073208E" w:rsidP="0073208E">
      <w:pPr>
        <w:rPr>
          <w:color w:val="auto"/>
        </w:rPr>
      </w:pPr>
      <w:hyperlink r:id="rId12" w:history="1">
        <w:r w:rsidRPr="003B7BC6">
          <w:rPr>
            <w:rStyle w:val="Hyperlink"/>
            <w:color w:val="auto"/>
          </w:rPr>
          <w:t>The Best Available Techniques (BAT) Reference document (BREF) for the Intensive Rearing of Poultry or Pigs (IRPP)</w:t>
        </w:r>
      </w:hyperlink>
      <w:r w:rsidRPr="003B7BC6">
        <w:rPr>
          <w:color w:val="auto"/>
        </w:rPr>
        <w:t xml:space="preserve"> was published on 21</w:t>
      </w:r>
      <w:r w:rsidRPr="003B7BC6">
        <w:rPr>
          <w:color w:val="auto"/>
          <w:vertAlign w:val="superscript"/>
        </w:rPr>
        <w:t>st</w:t>
      </w:r>
      <w:r w:rsidRPr="003B7BC6">
        <w:rPr>
          <w:color w:val="auto"/>
        </w:rPr>
        <w:t xml:space="preserve"> February 2017. There is now a separate BAT Conclusions document which sets out the standards that permitted farms will have to meet.</w:t>
      </w:r>
    </w:p>
    <w:p w14:paraId="449DC9AB" w14:textId="04FC4D6D" w:rsidR="0073208E" w:rsidRPr="00364771" w:rsidRDefault="00364771" w:rsidP="0073208E">
      <w:pPr>
        <w:rPr>
          <w:rFonts w:cs="Arial"/>
          <w:color w:val="auto"/>
          <w:szCs w:val="20"/>
        </w:rPr>
      </w:pPr>
      <w:r w:rsidRPr="00364771">
        <w:rPr>
          <w:rFonts w:cs="Arial"/>
          <w:color w:val="auto"/>
          <w:szCs w:val="20"/>
        </w:rPr>
        <w:t>A</w:t>
      </w:r>
      <w:r w:rsidR="0073208E" w:rsidRPr="00364771">
        <w:rPr>
          <w:rFonts w:cs="Arial"/>
          <w:color w:val="auto"/>
          <w:szCs w:val="20"/>
        </w:rPr>
        <w:t>ll new installation farming permits issued after 21</w:t>
      </w:r>
      <w:r w:rsidR="0073208E" w:rsidRPr="00364771">
        <w:rPr>
          <w:rFonts w:cs="Arial"/>
          <w:color w:val="auto"/>
          <w:szCs w:val="20"/>
          <w:vertAlign w:val="superscript"/>
        </w:rPr>
        <w:t>st</w:t>
      </w:r>
      <w:r w:rsidR="0073208E" w:rsidRPr="00364771">
        <w:rPr>
          <w:rFonts w:cs="Arial"/>
          <w:color w:val="auto"/>
          <w:szCs w:val="20"/>
        </w:rPr>
        <w:t xml:space="preserve"> February 2017 must be compliant in full from the first day of operation.</w:t>
      </w:r>
      <w:r w:rsidR="00A66482" w:rsidRPr="00364771">
        <w:rPr>
          <w:rFonts w:cs="Arial"/>
          <w:color w:val="auto"/>
          <w:szCs w:val="20"/>
        </w:rPr>
        <w:t xml:space="preserve"> </w:t>
      </w:r>
    </w:p>
    <w:p w14:paraId="1B7CADBE" w14:textId="2A5795F6" w:rsidR="0073208E" w:rsidRPr="00364771" w:rsidRDefault="0073208E" w:rsidP="0073208E">
      <w:pPr>
        <w:rPr>
          <w:color w:val="auto"/>
        </w:rPr>
      </w:pPr>
      <w:r w:rsidRPr="00364771">
        <w:rPr>
          <w:color w:val="auto"/>
        </w:rPr>
        <w:t>There are some additional requirements for permit holders. The BAT Conclusions include BAT-Associated Emission Levels (BAT</w:t>
      </w:r>
      <w:r w:rsidR="00243345" w:rsidRPr="00364771">
        <w:rPr>
          <w:color w:val="auto"/>
        </w:rPr>
        <w:t xml:space="preserve"> </w:t>
      </w:r>
      <w:r w:rsidRPr="00364771">
        <w:rPr>
          <w:color w:val="auto"/>
        </w:rPr>
        <w:t>AELs) for ammonia emissions, which will apply to the majority of permits, as well as BAT</w:t>
      </w:r>
      <w:r w:rsidR="00757DB5" w:rsidRPr="00364771">
        <w:rPr>
          <w:color w:val="auto"/>
        </w:rPr>
        <w:t xml:space="preserve"> </w:t>
      </w:r>
      <w:r w:rsidRPr="00364771">
        <w:rPr>
          <w:color w:val="auto"/>
        </w:rPr>
        <w:t xml:space="preserve">AELs for nitrogen and phosphorus excretion.  </w:t>
      </w:r>
    </w:p>
    <w:p w14:paraId="1922251F" w14:textId="6B16F458" w:rsidR="0073208E" w:rsidRPr="00364771" w:rsidRDefault="0073208E" w:rsidP="0073208E">
      <w:pPr>
        <w:rPr>
          <w:color w:val="auto"/>
        </w:rPr>
      </w:pPr>
      <w:r w:rsidRPr="00364771">
        <w:rPr>
          <w:color w:val="auto"/>
        </w:rPr>
        <w:t>For some types of rearing practices, stricter standards apply to farms and housing permitted after the BAT Conclusions were published.</w:t>
      </w:r>
    </w:p>
    <w:p w14:paraId="4DF6DA99" w14:textId="6814826C" w:rsidR="0073208E" w:rsidRPr="00364771" w:rsidRDefault="0073208E" w:rsidP="00C35CD5">
      <w:pPr>
        <w:pStyle w:val="Blockheading"/>
        <w:rPr>
          <w:b w:val="0"/>
        </w:rPr>
      </w:pPr>
      <w:r w:rsidRPr="00364771">
        <w:t>BAT Conclusions review</w:t>
      </w:r>
    </w:p>
    <w:p w14:paraId="122CEC3D" w14:textId="27C4B0EF" w:rsidR="0073208E" w:rsidRPr="00364771" w:rsidRDefault="0073208E" w:rsidP="0073208E">
      <w:pPr>
        <w:rPr>
          <w:color w:val="auto"/>
        </w:rPr>
      </w:pPr>
      <w:r w:rsidRPr="00364771">
        <w:rPr>
          <w:color w:val="auto"/>
        </w:rPr>
        <w:t xml:space="preserve">There are 34 BAT </w:t>
      </w:r>
      <w:r w:rsidR="00151987" w:rsidRPr="00364771">
        <w:rPr>
          <w:color w:val="auto"/>
        </w:rPr>
        <w:t>C</w:t>
      </w:r>
      <w:r w:rsidRPr="00364771">
        <w:rPr>
          <w:color w:val="auto"/>
        </w:rPr>
        <w:t xml:space="preserve">onclusion measures in total within the BAT </w:t>
      </w:r>
      <w:r w:rsidR="00151987" w:rsidRPr="00364771">
        <w:rPr>
          <w:color w:val="auto"/>
        </w:rPr>
        <w:t>C</w:t>
      </w:r>
      <w:r w:rsidRPr="00364771">
        <w:rPr>
          <w:color w:val="auto"/>
        </w:rPr>
        <w:t>onclusion document dated 21</w:t>
      </w:r>
      <w:r w:rsidRPr="00364771">
        <w:rPr>
          <w:color w:val="auto"/>
          <w:vertAlign w:val="superscript"/>
        </w:rPr>
        <w:t>st</w:t>
      </w:r>
      <w:r w:rsidRPr="00364771">
        <w:rPr>
          <w:color w:val="auto"/>
        </w:rPr>
        <w:t xml:space="preserve"> February 2017.</w:t>
      </w:r>
    </w:p>
    <w:p w14:paraId="327451EA" w14:textId="4EEC3A57" w:rsidR="0073208E" w:rsidRPr="008129D9" w:rsidRDefault="0073208E" w:rsidP="0073208E">
      <w:pPr>
        <w:rPr>
          <w:rFonts w:cs="Arial"/>
          <w:color w:val="auto"/>
          <w:szCs w:val="20"/>
        </w:rPr>
      </w:pPr>
      <w:r w:rsidRPr="008129D9">
        <w:rPr>
          <w:color w:val="auto"/>
        </w:rPr>
        <w:t>The Applicant has confirmed</w:t>
      </w:r>
      <w:r w:rsidR="00F11FB7">
        <w:rPr>
          <w:color w:val="auto"/>
        </w:rPr>
        <w:t xml:space="preserve"> that the new installation will be able to meet all the relevant BAT conclusions along with the BAT AEL’s in their document </w:t>
      </w:r>
      <w:r w:rsidRPr="008129D9">
        <w:rPr>
          <w:rFonts w:cs="Arial"/>
          <w:color w:val="auto"/>
        </w:rPr>
        <w:t xml:space="preserve">reference </w:t>
      </w:r>
      <w:r w:rsidR="00FF0CC8" w:rsidRPr="008129D9">
        <w:rPr>
          <w:rFonts w:cs="Arial"/>
          <w:color w:val="auto"/>
        </w:rPr>
        <w:t>Tithe Farm Poultry Unit BAT Document</w:t>
      </w:r>
      <w:r w:rsidRPr="008129D9">
        <w:rPr>
          <w:rFonts w:cs="Arial"/>
          <w:color w:val="auto"/>
        </w:rPr>
        <w:t xml:space="preserve"> </w:t>
      </w:r>
      <w:r w:rsidR="00F11FB7">
        <w:rPr>
          <w:rFonts w:cs="Arial"/>
          <w:color w:val="auto"/>
        </w:rPr>
        <w:t xml:space="preserve">received </w:t>
      </w:r>
      <w:r w:rsidR="001271EB">
        <w:rPr>
          <w:rFonts w:cs="Arial"/>
          <w:color w:val="auto"/>
        </w:rPr>
        <w:t>03</w:t>
      </w:r>
      <w:r w:rsidR="00D53F82">
        <w:rPr>
          <w:rFonts w:cs="Arial"/>
          <w:color w:val="auto"/>
        </w:rPr>
        <w:t>/0</w:t>
      </w:r>
      <w:r w:rsidR="001271EB">
        <w:rPr>
          <w:rFonts w:cs="Arial"/>
          <w:color w:val="auto"/>
        </w:rPr>
        <w:t>4</w:t>
      </w:r>
      <w:r w:rsidR="00D53F82">
        <w:rPr>
          <w:rFonts w:cs="Arial"/>
          <w:color w:val="auto"/>
        </w:rPr>
        <w:t>/2026</w:t>
      </w:r>
      <w:r w:rsidR="001E6F17" w:rsidRPr="008129D9">
        <w:rPr>
          <w:color w:val="auto"/>
        </w:rPr>
        <w:t>,</w:t>
      </w:r>
      <w:r w:rsidR="0077188A" w:rsidRPr="008129D9">
        <w:rPr>
          <w:color w:val="auto"/>
        </w:rPr>
        <w:t xml:space="preserve"> </w:t>
      </w:r>
      <w:r w:rsidRPr="008129D9">
        <w:rPr>
          <w:rFonts w:cs="Arial"/>
          <w:color w:val="auto"/>
        </w:rPr>
        <w:t xml:space="preserve">which has been referenced in Table S1.2 </w:t>
      </w:r>
      <w:r w:rsidR="00E3421F" w:rsidRPr="008129D9">
        <w:rPr>
          <w:rFonts w:cs="Arial"/>
          <w:color w:val="auto"/>
        </w:rPr>
        <w:t xml:space="preserve">- </w:t>
      </w:r>
      <w:r w:rsidRPr="008129D9">
        <w:rPr>
          <w:rFonts w:cs="Arial"/>
          <w:color w:val="auto"/>
        </w:rPr>
        <w:t>Operating Techniques</w:t>
      </w:r>
      <w:r w:rsidR="00E3421F" w:rsidRPr="008129D9">
        <w:rPr>
          <w:rFonts w:cs="Arial"/>
          <w:color w:val="auto"/>
        </w:rPr>
        <w:t>,</w:t>
      </w:r>
      <w:r w:rsidRPr="008129D9">
        <w:rPr>
          <w:rFonts w:cs="Arial"/>
          <w:color w:val="auto"/>
        </w:rPr>
        <w:t xml:space="preserve"> of the permit.</w:t>
      </w:r>
    </w:p>
    <w:p w14:paraId="33775706" w14:textId="55057ACF" w:rsidR="0073208E" w:rsidRPr="005116D6" w:rsidRDefault="0073208E" w:rsidP="0073208E">
      <w:pPr>
        <w:rPr>
          <w:color w:val="auto"/>
        </w:rPr>
      </w:pPr>
      <w:r w:rsidRPr="005116D6">
        <w:rPr>
          <w:color w:val="auto"/>
        </w:rPr>
        <w:t>The following is a more specific review of the measures the Applicant has applied to ensure compliance with the above key BAT measures:</w:t>
      </w:r>
    </w:p>
    <w:p w14:paraId="5974C4ED" w14:textId="6DB0C6F7" w:rsidR="0073208E" w:rsidRPr="00875D39" w:rsidRDefault="0073208E" w:rsidP="00667C4A">
      <w:pPr>
        <w:pStyle w:val="Sub-blockheading"/>
        <w:rPr>
          <w:b w:val="0"/>
        </w:rPr>
      </w:pPr>
      <w:r w:rsidRPr="00875D39">
        <w:t>BAT 3 Nutritional management - Nitrogen excretion</w:t>
      </w:r>
    </w:p>
    <w:p w14:paraId="6FB3AABC" w14:textId="1761E598" w:rsidR="0073208E" w:rsidRPr="00875D39" w:rsidRDefault="0073208E" w:rsidP="0073208E">
      <w:pPr>
        <w:ind w:right="85"/>
        <w:rPr>
          <w:rFonts w:cs="Arial"/>
          <w:color w:val="auto"/>
          <w:szCs w:val="20"/>
        </w:rPr>
      </w:pPr>
      <w:r w:rsidRPr="00875D39">
        <w:rPr>
          <w:rFonts w:cs="Arial"/>
          <w:color w:val="auto"/>
          <w:szCs w:val="20"/>
        </w:rPr>
        <w:t xml:space="preserve">The Applicant has confirmed </w:t>
      </w:r>
      <w:r w:rsidR="008E04BC" w:rsidRPr="00875D39">
        <w:rPr>
          <w:rFonts w:cs="Arial"/>
          <w:color w:val="auto"/>
          <w:szCs w:val="20"/>
        </w:rPr>
        <w:t xml:space="preserve">it </w:t>
      </w:r>
      <w:r w:rsidRPr="00875D39">
        <w:rPr>
          <w:rFonts w:cs="Arial"/>
          <w:color w:val="auto"/>
          <w:szCs w:val="20"/>
        </w:rPr>
        <w:t>will demonstrate th</w:t>
      </w:r>
      <w:r w:rsidR="008E04BC" w:rsidRPr="00875D39">
        <w:rPr>
          <w:rFonts w:cs="Arial"/>
          <w:color w:val="auto"/>
          <w:szCs w:val="20"/>
        </w:rPr>
        <w:t xml:space="preserve">at the installation </w:t>
      </w:r>
      <w:r w:rsidRPr="00875D39">
        <w:rPr>
          <w:rFonts w:cs="Arial"/>
          <w:color w:val="auto"/>
          <w:szCs w:val="20"/>
        </w:rPr>
        <w:t>can achieve levels of nitrogen excretion below the required BAT</w:t>
      </w:r>
      <w:r w:rsidR="00757DB5" w:rsidRPr="00875D39">
        <w:rPr>
          <w:rFonts w:cs="Arial"/>
          <w:color w:val="auto"/>
          <w:szCs w:val="20"/>
        </w:rPr>
        <w:t xml:space="preserve"> </w:t>
      </w:r>
      <w:r w:rsidRPr="00875D39">
        <w:rPr>
          <w:rFonts w:cs="Arial"/>
          <w:color w:val="auto"/>
          <w:szCs w:val="20"/>
        </w:rPr>
        <w:t xml:space="preserve">AEL of </w:t>
      </w:r>
      <w:r w:rsidR="008129D9" w:rsidRPr="00875D39">
        <w:rPr>
          <w:rFonts w:cs="Arial"/>
          <w:color w:val="auto"/>
          <w:szCs w:val="20"/>
        </w:rPr>
        <w:t>0.6</w:t>
      </w:r>
      <w:r w:rsidRPr="00875D39">
        <w:rPr>
          <w:rFonts w:cs="Arial"/>
          <w:color w:val="auto"/>
          <w:szCs w:val="20"/>
        </w:rPr>
        <w:t xml:space="preserve"> kg N/animal place/year</w:t>
      </w:r>
      <w:r w:rsidR="00916716">
        <w:rPr>
          <w:rFonts w:cs="Arial"/>
          <w:color w:val="auto"/>
          <w:szCs w:val="20"/>
        </w:rPr>
        <w:t>. This will be achieved by</w:t>
      </w:r>
      <w:r w:rsidRPr="00875D39">
        <w:rPr>
          <w:rFonts w:cs="Arial"/>
          <w:color w:val="auto"/>
          <w:szCs w:val="20"/>
        </w:rPr>
        <w:t xml:space="preserve"> BAT</w:t>
      </w:r>
      <w:r w:rsidR="00A97EB1">
        <w:rPr>
          <w:rFonts w:cs="Arial"/>
          <w:color w:val="auto"/>
          <w:szCs w:val="20"/>
        </w:rPr>
        <w:t xml:space="preserve"> </w:t>
      </w:r>
      <w:r w:rsidRPr="00875D39">
        <w:rPr>
          <w:rFonts w:cs="Arial"/>
          <w:color w:val="auto"/>
          <w:szCs w:val="20"/>
        </w:rPr>
        <w:t>3a technique reducing the crude protein content.</w:t>
      </w:r>
    </w:p>
    <w:p w14:paraId="1B312847" w14:textId="363BD7A2" w:rsidR="0073208E" w:rsidRPr="00112738" w:rsidRDefault="0073208E" w:rsidP="001F4441">
      <w:pPr>
        <w:pStyle w:val="Sub-blockheading"/>
        <w:rPr>
          <w:b w:val="0"/>
        </w:rPr>
      </w:pPr>
      <w:r w:rsidRPr="00112738">
        <w:t>BAT 4 Nutritional management - Phosphorus excretion</w:t>
      </w:r>
    </w:p>
    <w:p w14:paraId="47E2E4AA" w14:textId="10014A0F" w:rsidR="0073208E" w:rsidRPr="00112738" w:rsidRDefault="0073208E" w:rsidP="0073208E">
      <w:pPr>
        <w:ind w:right="85"/>
        <w:rPr>
          <w:rFonts w:cs="Arial"/>
          <w:color w:val="auto"/>
          <w:szCs w:val="20"/>
        </w:rPr>
      </w:pPr>
      <w:r w:rsidRPr="00112738">
        <w:rPr>
          <w:rFonts w:cs="Arial"/>
          <w:color w:val="auto"/>
          <w:szCs w:val="20"/>
        </w:rPr>
        <w:t xml:space="preserve">The Applicant has confirmed </w:t>
      </w:r>
      <w:r w:rsidR="0003214A" w:rsidRPr="00112738">
        <w:rPr>
          <w:rFonts w:cs="Arial"/>
          <w:color w:val="auto"/>
          <w:szCs w:val="20"/>
        </w:rPr>
        <w:t>it</w:t>
      </w:r>
      <w:r w:rsidRPr="00112738">
        <w:rPr>
          <w:rFonts w:cs="Arial"/>
          <w:color w:val="auto"/>
          <w:szCs w:val="20"/>
        </w:rPr>
        <w:t xml:space="preserve"> will demonstrate th</w:t>
      </w:r>
      <w:r w:rsidR="0003214A" w:rsidRPr="00112738">
        <w:rPr>
          <w:rFonts w:cs="Arial"/>
          <w:color w:val="auto"/>
          <w:szCs w:val="20"/>
        </w:rPr>
        <w:t xml:space="preserve">at the installation </w:t>
      </w:r>
      <w:r w:rsidRPr="00112738">
        <w:rPr>
          <w:rFonts w:cs="Arial"/>
          <w:color w:val="auto"/>
          <w:szCs w:val="20"/>
        </w:rPr>
        <w:t>can achieve levels of phosphorus excretion below the required BAT</w:t>
      </w:r>
      <w:r w:rsidR="00757DB5" w:rsidRPr="00112738">
        <w:rPr>
          <w:rFonts w:cs="Arial"/>
          <w:color w:val="auto"/>
          <w:szCs w:val="20"/>
        </w:rPr>
        <w:t xml:space="preserve"> </w:t>
      </w:r>
      <w:r w:rsidRPr="00112738">
        <w:rPr>
          <w:rFonts w:cs="Arial"/>
          <w:color w:val="auto"/>
          <w:szCs w:val="20"/>
        </w:rPr>
        <w:t xml:space="preserve">AEL of </w:t>
      </w:r>
      <w:r w:rsidR="00112738" w:rsidRPr="00112738">
        <w:rPr>
          <w:rFonts w:cs="Arial"/>
          <w:color w:val="auto"/>
          <w:szCs w:val="20"/>
        </w:rPr>
        <w:t>0.25</w:t>
      </w:r>
      <w:r w:rsidRPr="00112738">
        <w:rPr>
          <w:rFonts w:cs="Arial"/>
          <w:color w:val="auto"/>
          <w:szCs w:val="20"/>
        </w:rPr>
        <w:t xml:space="preserve"> kg P</w:t>
      </w:r>
      <w:r w:rsidRPr="00112738">
        <w:rPr>
          <w:rFonts w:cs="Arial"/>
          <w:color w:val="auto"/>
          <w:szCs w:val="20"/>
          <w:vertAlign w:val="subscript"/>
        </w:rPr>
        <w:t>2</w:t>
      </w:r>
      <w:r w:rsidRPr="00112738">
        <w:rPr>
          <w:rFonts w:cs="Arial"/>
          <w:color w:val="auto"/>
          <w:szCs w:val="20"/>
        </w:rPr>
        <w:t>O</w:t>
      </w:r>
      <w:r w:rsidRPr="00112738">
        <w:rPr>
          <w:rFonts w:cs="Arial"/>
          <w:color w:val="auto"/>
          <w:szCs w:val="20"/>
          <w:vertAlign w:val="subscript"/>
        </w:rPr>
        <w:t>5</w:t>
      </w:r>
      <w:r w:rsidRPr="00112738">
        <w:rPr>
          <w:rFonts w:cs="Arial"/>
          <w:color w:val="auto"/>
          <w:szCs w:val="20"/>
        </w:rPr>
        <w:t>/animal place/year</w:t>
      </w:r>
      <w:r w:rsidR="00A97EB1">
        <w:rPr>
          <w:rFonts w:cs="Arial"/>
          <w:color w:val="auto"/>
          <w:szCs w:val="20"/>
        </w:rPr>
        <w:t>. This will be achieved by</w:t>
      </w:r>
      <w:r w:rsidRPr="00112738">
        <w:rPr>
          <w:rFonts w:cs="Arial"/>
          <w:color w:val="auto"/>
          <w:szCs w:val="20"/>
        </w:rPr>
        <w:t xml:space="preserve"> BAT 4a technique reducing the crude protein content.</w:t>
      </w:r>
    </w:p>
    <w:p w14:paraId="78BDEB98" w14:textId="61601E45" w:rsidR="0073208E" w:rsidRPr="009C07D7" w:rsidRDefault="0073208E" w:rsidP="005A4FBE">
      <w:pPr>
        <w:pStyle w:val="Sub-blockheading"/>
        <w:rPr>
          <w:b w:val="0"/>
        </w:rPr>
      </w:pPr>
      <w:r w:rsidRPr="009C07D7">
        <w:t>BAT 24 Monitoring of emissions and process parameters - Total nitrogen and phosphorus excretion</w:t>
      </w:r>
    </w:p>
    <w:p w14:paraId="29042526" w14:textId="41228F71" w:rsidR="0073208E" w:rsidRPr="009C07D7" w:rsidRDefault="0073208E" w:rsidP="0073208E">
      <w:pPr>
        <w:ind w:right="85"/>
        <w:rPr>
          <w:rFonts w:cs="Arial"/>
          <w:color w:val="auto"/>
          <w:szCs w:val="20"/>
        </w:rPr>
      </w:pPr>
      <w:r w:rsidRPr="009C07D7">
        <w:rPr>
          <w:rFonts w:cs="Arial"/>
          <w:color w:val="auto"/>
          <w:szCs w:val="20"/>
        </w:rPr>
        <w:t>Table S3.</w:t>
      </w:r>
      <w:r w:rsidR="00112738" w:rsidRPr="009C07D7">
        <w:rPr>
          <w:rStyle w:val="Text"/>
          <w:szCs w:val="20"/>
        </w:rPr>
        <w:t>3</w:t>
      </w:r>
      <w:r w:rsidRPr="009C07D7">
        <w:rPr>
          <w:rFonts w:cs="Arial"/>
          <w:color w:val="auto"/>
          <w:szCs w:val="20"/>
        </w:rPr>
        <w:t xml:space="preserve"> of the permit concerning process monitoring requires the Operator to undertake relevant monitoring that complies with these BAT Conclusions. </w:t>
      </w:r>
    </w:p>
    <w:p w14:paraId="0E612B46" w14:textId="6C2B7ED2" w:rsidR="0073208E" w:rsidRPr="009C07D7" w:rsidRDefault="0073208E" w:rsidP="0073208E">
      <w:pPr>
        <w:ind w:right="85"/>
        <w:rPr>
          <w:rFonts w:cs="Arial"/>
          <w:color w:val="auto"/>
          <w:szCs w:val="20"/>
        </w:rPr>
      </w:pPr>
      <w:r w:rsidRPr="009C07D7">
        <w:rPr>
          <w:rFonts w:cs="Arial"/>
          <w:color w:val="auto"/>
          <w:szCs w:val="20"/>
        </w:rPr>
        <w:t>This will be verified by means of manure analysis and reported annually.</w:t>
      </w:r>
    </w:p>
    <w:p w14:paraId="2A4A1452" w14:textId="0B476768" w:rsidR="0073208E" w:rsidRPr="009C07D7" w:rsidRDefault="0073208E" w:rsidP="005F6299">
      <w:pPr>
        <w:pStyle w:val="Sub-blockheading"/>
        <w:rPr>
          <w:b w:val="0"/>
        </w:rPr>
      </w:pPr>
      <w:r w:rsidRPr="009C07D7">
        <w:t>BAT 25 Monitoring of emissions and process parameters – Ammonia emissions</w:t>
      </w:r>
    </w:p>
    <w:p w14:paraId="76FA4BFA" w14:textId="631D48C9" w:rsidR="0073208E" w:rsidRPr="00EF04FE" w:rsidRDefault="0073208E" w:rsidP="0073208E">
      <w:pPr>
        <w:ind w:right="85"/>
        <w:rPr>
          <w:b/>
          <w:color w:val="auto"/>
          <w:sz w:val="26"/>
          <w:szCs w:val="26"/>
        </w:rPr>
      </w:pPr>
      <w:r w:rsidRPr="009C07D7">
        <w:rPr>
          <w:rFonts w:cs="Arial"/>
          <w:color w:val="auto"/>
          <w:szCs w:val="20"/>
        </w:rPr>
        <w:t>Table S3.</w:t>
      </w:r>
      <w:r w:rsidR="009C07D7" w:rsidRPr="009C07D7">
        <w:rPr>
          <w:rFonts w:cs="Arial"/>
          <w:color w:val="auto"/>
          <w:szCs w:val="20"/>
        </w:rPr>
        <w:t>3</w:t>
      </w:r>
      <w:r w:rsidRPr="009C07D7">
        <w:rPr>
          <w:rFonts w:cs="Arial"/>
          <w:color w:val="auto"/>
          <w:szCs w:val="20"/>
        </w:rPr>
        <w:t xml:space="preserve"> of the permit concerning process monitoring requires the Operator to </w:t>
      </w:r>
      <w:r w:rsidRPr="00EF04FE">
        <w:rPr>
          <w:rFonts w:cs="Arial"/>
          <w:color w:val="auto"/>
          <w:szCs w:val="20"/>
        </w:rPr>
        <w:t>undertake relevant monitoring that complies with these BAT Conclusions.</w:t>
      </w:r>
    </w:p>
    <w:p w14:paraId="7B41B861" w14:textId="04988D4E" w:rsidR="0073208E" w:rsidRPr="00EF04FE" w:rsidRDefault="0073208E" w:rsidP="0073208E">
      <w:pPr>
        <w:ind w:right="85"/>
        <w:rPr>
          <w:b/>
          <w:color w:val="auto"/>
          <w:sz w:val="26"/>
          <w:szCs w:val="26"/>
        </w:rPr>
      </w:pPr>
      <w:r w:rsidRPr="00EF04FE">
        <w:rPr>
          <w:bCs/>
          <w:color w:val="auto"/>
        </w:rPr>
        <w:t>The Applicant has confirmed they will report the ammonia emissions to the Environment Agency annually by utilising estimation by using emission factors.</w:t>
      </w:r>
    </w:p>
    <w:p w14:paraId="1DF73D06" w14:textId="0D7BDF43" w:rsidR="0073208E" w:rsidRPr="00CF734E" w:rsidRDefault="0073208E" w:rsidP="00A23A83">
      <w:pPr>
        <w:pStyle w:val="Sub-blockheading"/>
      </w:pPr>
      <w:r w:rsidRPr="00CF734E">
        <w:t>BAT 26 Monitoring of emissions and process parameters - Odour emissions</w:t>
      </w:r>
    </w:p>
    <w:p w14:paraId="08F9B5EB" w14:textId="27F2F9F3" w:rsidR="0073208E" w:rsidRDefault="0073208E" w:rsidP="0073208E">
      <w:pPr>
        <w:ind w:right="85"/>
        <w:rPr>
          <w:rFonts w:cs="Arial"/>
          <w:color w:val="auto"/>
          <w:szCs w:val="20"/>
        </w:rPr>
      </w:pPr>
      <w:r w:rsidRPr="00FF69DB">
        <w:rPr>
          <w:rFonts w:cs="Arial"/>
          <w:color w:val="auto"/>
          <w:szCs w:val="20"/>
        </w:rPr>
        <w:t xml:space="preserve">The approved odour management plan (OMP) includes the following details for </w:t>
      </w:r>
      <w:r w:rsidR="00E01C86" w:rsidRPr="00FF69DB">
        <w:rPr>
          <w:rFonts w:cs="Arial"/>
          <w:color w:val="auto"/>
          <w:szCs w:val="20"/>
        </w:rPr>
        <w:t>o</w:t>
      </w:r>
      <w:r w:rsidRPr="00FF69DB">
        <w:rPr>
          <w:rFonts w:cs="Arial"/>
          <w:color w:val="auto"/>
          <w:szCs w:val="20"/>
        </w:rPr>
        <w:t xml:space="preserve">n </w:t>
      </w:r>
      <w:r w:rsidR="00E01C86" w:rsidRPr="00FF69DB">
        <w:rPr>
          <w:rFonts w:cs="Arial"/>
          <w:color w:val="auto"/>
          <w:szCs w:val="20"/>
        </w:rPr>
        <w:t>f</w:t>
      </w:r>
      <w:r w:rsidRPr="00FF69DB">
        <w:rPr>
          <w:rFonts w:cs="Arial"/>
          <w:color w:val="auto"/>
          <w:szCs w:val="20"/>
        </w:rPr>
        <w:t xml:space="preserve">arm </w:t>
      </w:r>
      <w:r w:rsidR="00E01C86" w:rsidRPr="00FF69DB">
        <w:rPr>
          <w:rFonts w:cs="Arial"/>
          <w:color w:val="auto"/>
          <w:szCs w:val="20"/>
        </w:rPr>
        <w:t>m</w:t>
      </w:r>
      <w:r w:rsidRPr="00FF69DB">
        <w:rPr>
          <w:rFonts w:cs="Arial"/>
          <w:color w:val="auto"/>
          <w:szCs w:val="20"/>
        </w:rPr>
        <w:t xml:space="preserve">onitoring and </w:t>
      </w:r>
      <w:r w:rsidR="00E01C86" w:rsidRPr="00FF69DB">
        <w:rPr>
          <w:rFonts w:cs="Arial"/>
          <w:color w:val="auto"/>
          <w:szCs w:val="20"/>
        </w:rPr>
        <w:t>c</w:t>
      </w:r>
      <w:r w:rsidRPr="00FF69DB">
        <w:rPr>
          <w:rFonts w:cs="Arial"/>
          <w:color w:val="auto"/>
          <w:szCs w:val="20"/>
        </w:rPr>
        <w:t xml:space="preserve">ontinual </w:t>
      </w:r>
      <w:r w:rsidR="00E01C86" w:rsidRPr="00FF69DB">
        <w:rPr>
          <w:rFonts w:cs="Arial"/>
          <w:color w:val="auto"/>
          <w:szCs w:val="20"/>
        </w:rPr>
        <w:t>i</w:t>
      </w:r>
      <w:r w:rsidRPr="00FF69DB">
        <w:rPr>
          <w:rFonts w:cs="Arial"/>
          <w:color w:val="auto"/>
          <w:szCs w:val="20"/>
        </w:rPr>
        <w:t>mprovement:</w:t>
      </w:r>
    </w:p>
    <w:p w14:paraId="107DB496" w14:textId="100DB220" w:rsidR="00FF69DB" w:rsidRDefault="00E97FDA" w:rsidP="0073208E">
      <w:pPr>
        <w:ind w:right="85"/>
        <w:rPr>
          <w:rFonts w:cs="Arial"/>
          <w:color w:val="auto"/>
          <w:szCs w:val="20"/>
        </w:rPr>
      </w:pPr>
      <w:r>
        <w:rPr>
          <w:rFonts w:cs="Arial"/>
          <w:color w:val="auto"/>
          <w:szCs w:val="20"/>
        </w:rPr>
        <w:t>Twice weekly</w:t>
      </w:r>
      <w:r w:rsidR="00CB189E" w:rsidRPr="00CB189E">
        <w:rPr>
          <w:rFonts w:cs="Arial"/>
          <w:color w:val="auto"/>
          <w:szCs w:val="20"/>
        </w:rPr>
        <w:t xml:space="preserve"> olfactory checks </w:t>
      </w:r>
      <w:r w:rsidR="00C45318">
        <w:rPr>
          <w:rFonts w:cs="Arial"/>
          <w:color w:val="auto"/>
          <w:szCs w:val="20"/>
        </w:rPr>
        <w:t xml:space="preserve">will be conducted </w:t>
      </w:r>
      <w:r w:rsidR="00CB189E" w:rsidRPr="00CB189E">
        <w:rPr>
          <w:rFonts w:cs="Arial"/>
          <w:color w:val="auto"/>
          <w:szCs w:val="20"/>
        </w:rPr>
        <w:t>at the installation boundary by persons not directly involved in the poultry production</w:t>
      </w:r>
      <w:r w:rsidR="00722D1A">
        <w:rPr>
          <w:rFonts w:cs="Arial"/>
          <w:color w:val="auto"/>
          <w:szCs w:val="20"/>
        </w:rPr>
        <w:t xml:space="preserve">. </w:t>
      </w:r>
      <w:r w:rsidR="005C3BE6">
        <w:rPr>
          <w:rFonts w:cs="Arial"/>
          <w:color w:val="auto"/>
          <w:szCs w:val="20"/>
        </w:rPr>
        <w:t>These</w:t>
      </w:r>
      <w:r w:rsidR="00722D1A">
        <w:rPr>
          <w:rFonts w:cs="Arial"/>
          <w:color w:val="auto"/>
          <w:szCs w:val="20"/>
        </w:rPr>
        <w:t xml:space="preserve"> will be conducted around midday during the rearing cycle </w:t>
      </w:r>
      <w:r w:rsidR="000D7B11">
        <w:rPr>
          <w:rFonts w:cs="Arial"/>
          <w:color w:val="auto"/>
          <w:szCs w:val="20"/>
        </w:rPr>
        <w:t>and will be changed to coincide with times of bird depletion and littering out procedures.</w:t>
      </w:r>
      <w:r w:rsidR="00CB189E" w:rsidRPr="00CB189E">
        <w:rPr>
          <w:rFonts w:cs="Arial"/>
          <w:color w:val="auto"/>
          <w:szCs w:val="20"/>
        </w:rPr>
        <w:t xml:space="preserve"> </w:t>
      </w:r>
      <w:r w:rsidR="000D7B11">
        <w:rPr>
          <w:rFonts w:cs="Arial"/>
          <w:color w:val="auto"/>
          <w:szCs w:val="20"/>
        </w:rPr>
        <w:t>A</w:t>
      </w:r>
      <w:r w:rsidR="00CB189E" w:rsidRPr="00CB189E">
        <w:rPr>
          <w:rFonts w:cs="Arial"/>
          <w:color w:val="auto"/>
          <w:szCs w:val="20"/>
        </w:rPr>
        <w:t xml:space="preserve">ny abnormalities </w:t>
      </w:r>
      <w:r w:rsidR="000D7B11">
        <w:rPr>
          <w:rFonts w:cs="Arial"/>
          <w:color w:val="auto"/>
          <w:szCs w:val="20"/>
        </w:rPr>
        <w:t xml:space="preserve">will be </w:t>
      </w:r>
      <w:r w:rsidR="00CB189E" w:rsidRPr="00CB189E">
        <w:rPr>
          <w:rFonts w:cs="Arial"/>
          <w:color w:val="auto"/>
          <w:szCs w:val="20"/>
        </w:rPr>
        <w:t>recorded and investigated</w:t>
      </w:r>
      <w:r w:rsidR="0048009B">
        <w:rPr>
          <w:rFonts w:cs="Arial"/>
          <w:color w:val="auto"/>
          <w:szCs w:val="20"/>
        </w:rPr>
        <w:t xml:space="preserve">. </w:t>
      </w:r>
    </w:p>
    <w:p w14:paraId="5D1E3EA2" w14:textId="2858D943" w:rsidR="003A1838" w:rsidRPr="003A1838" w:rsidRDefault="003A1838" w:rsidP="003A1838">
      <w:pPr>
        <w:ind w:right="85"/>
        <w:rPr>
          <w:rFonts w:cs="Arial"/>
          <w:color w:val="auto"/>
          <w:szCs w:val="20"/>
        </w:rPr>
      </w:pPr>
      <w:r w:rsidRPr="003A1838">
        <w:rPr>
          <w:rFonts w:cs="Arial"/>
          <w:color w:val="auto"/>
          <w:szCs w:val="20"/>
        </w:rPr>
        <w:t>Monitoring is carried out weekly</w:t>
      </w:r>
      <w:r w:rsidR="002A6419">
        <w:rPr>
          <w:rFonts w:cs="Arial"/>
          <w:color w:val="auto"/>
          <w:szCs w:val="20"/>
        </w:rPr>
        <w:t xml:space="preserve"> at the installation boundary</w:t>
      </w:r>
      <w:r w:rsidRPr="003A1838">
        <w:rPr>
          <w:rFonts w:cs="Arial"/>
          <w:color w:val="auto"/>
          <w:szCs w:val="20"/>
        </w:rPr>
        <w:t xml:space="preserve">, by means of </w:t>
      </w:r>
      <w:r w:rsidR="002A6419">
        <w:rPr>
          <w:rFonts w:cs="Arial"/>
          <w:color w:val="auto"/>
          <w:szCs w:val="20"/>
        </w:rPr>
        <w:t xml:space="preserve">self-assessed </w:t>
      </w:r>
      <w:r w:rsidRPr="003A1838">
        <w:rPr>
          <w:rFonts w:cs="Arial"/>
          <w:color w:val="auto"/>
          <w:szCs w:val="20"/>
        </w:rPr>
        <w:t xml:space="preserve">“sniff testing” at </w:t>
      </w:r>
      <w:r w:rsidR="006A5B96">
        <w:rPr>
          <w:rFonts w:cs="Arial"/>
          <w:color w:val="auto"/>
          <w:szCs w:val="20"/>
        </w:rPr>
        <w:t>the</w:t>
      </w:r>
      <w:r w:rsidRPr="003A1838">
        <w:rPr>
          <w:rFonts w:cs="Arial"/>
          <w:color w:val="auto"/>
          <w:szCs w:val="20"/>
        </w:rPr>
        <w:t xml:space="preserve"> monitoring points by persons not involved directly with the operations at the </w:t>
      </w:r>
      <w:r w:rsidR="006A5B96">
        <w:rPr>
          <w:rFonts w:cs="Arial"/>
          <w:color w:val="auto"/>
          <w:szCs w:val="20"/>
        </w:rPr>
        <w:t xml:space="preserve">poultry </w:t>
      </w:r>
      <w:r w:rsidRPr="003A1838">
        <w:rPr>
          <w:rFonts w:cs="Arial"/>
          <w:color w:val="auto"/>
          <w:szCs w:val="20"/>
        </w:rPr>
        <w:t>installation.</w:t>
      </w:r>
    </w:p>
    <w:p w14:paraId="5CF31142" w14:textId="77777777" w:rsidR="003A1838" w:rsidRPr="003A1838" w:rsidRDefault="003A1838" w:rsidP="003A1838">
      <w:pPr>
        <w:ind w:right="85"/>
        <w:rPr>
          <w:rFonts w:cs="Arial"/>
          <w:color w:val="auto"/>
          <w:szCs w:val="20"/>
        </w:rPr>
      </w:pPr>
      <w:r w:rsidRPr="003A1838">
        <w:rPr>
          <w:rFonts w:cs="Arial"/>
          <w:color w:val="auto"/>
          <w:szCs w:val="20"/>
        </w:rPr>
        <w:t>Severity Scoring</w:t>
      </w:r>
    </w:p>
    <w:p w14:paraId="73EA02A4" w14:textId="77777777" w:rsidR="003A1838" w:rsidRPr="003A1838" w:rsidRDefault="003A1838" w:rsidP="003A1838">
      <w:pPr>
        <w:ind w:right="85"/>
        <w:rPr>
          <w:rFonts w:cs="Arial"/>
          <w:color w:val="auto"/>
          <w:szCs w:val="20"/>
        </w:rPr>
      </w:pPr>
      <w:r w:rsidRPr="003A1838">
        <w:rPr>
          <w:rFonts w:cs="Arial"/>
          <w:color w:val="auto"/>
          <w:szCs w:val="20"/>
        </w:rPr>
        <w:t>0 – No Odour Detected</w:t>
      </w:r>
    </w:p>
    <w:p w14:paraId="73743C78" w14:textId="77777777" w:rsidR="003A1838" w:rsidRPr="003A1838" w:rsidRDefault="003A1838" w:rsidP="003A1838">
      <w:pPr>
        <w:ind w:right="85"/>
        <w:rPr>
          <w:rFonts w:cs="Arial"/>
          <w:color w:val="auto"/>
          <w:szCs w:val="20"/>
        </w:rPr>
      </w:pPr>
      <w:r w:rsidRPr="003A1838">
        <w:rPr>
          <w:rFonts w:cs="Arial"/>
          <w:color w:val="auto"/>
          <w:szCs w:val="20"/>
        </w:rPr>
        <w:t>1 – Low Intermittent Odour Detected</w:t>
      </w:r>
    </w:p>
    <w:p w14:paraId="4D40C134" w14:textId="77777777" w:rsidR="003A1838" w:rsidRPr="003A1838" w:rsidRDefault="003A1838" w:rsidP="003A1838">
      <w:pPr>
        <w:ind w:right="85"/>
        <w:rPr>
          <w:rFonts w:cs="Arial"/>
          <w:color w:val="auto"/>
          <w:szCs w:val="20"/>
        </w:rPr>
      </w:pPr>
      <w:r w:rsidRPr="003A1838">
        <w:rPr>
          <w:rFonts w:cs="Arial"/>
          <w:color w:val="auto"/>
          <w:szCs w:val="20"/>
        </w:rPr>
        <w:t>2 – Low Continuous Odour Detected</w:t>
      </w:r>
    </w:p>
    <w:p w14:paraId="4840BA3D" w14:textId="77777777" w:rsidR="003A1838" w:rsidRPr="003A1838" w:rsidRDefault="003A1838" w:rsidP="003A1838">
      <w:pPr>
        <w:ind w:right="85"/>
        <w:rPr>
          <w:rFonts w:cs="Arial"/>
          <w:color w:val="auto"/>
          <w:szCs w:val="20"/>
        </w:rPr>
      </w:pPr>
      <w:r w:rsidRPr="003A1838">
        <w:rPr>
          <w:rFonts w:cs="Arial"/>
          <w:color w:val="auto"/>
          <w:szCs w:val="20"/>
        </w:rPr>
        <w:t>3 – Medium Odour Detected</w:t>
      </w:r>
    </w:p>
    <w:p w14:paraId="76358189" w14:textId="77777777" w:rsidR="003A1838" w:rsidRPr="003A1838" w:rsidRDefault="003A1838" w:rsidP="003A1838">
      <w:pPr>
        <w:ind w:right="85"/>
        <w:rPr>
          <w:rFonts w:cs="Arial"/>
          <w:color w:val="auto"/>
          <w:szCs w:val="20"/>
        </w:rPr>
      </w:pPr>
      <w:r w:rsidRPr="003A1838">
        <w:rPr>
          <w:rFonts w:cs="Arial"/>
          <w:color w:val="auto"/>
          <w:szCs w:val="20"/>
        </w:rPr>
        <w:t>4 – High Odour Detected</w:t>
      </w:r>
    </w:p>
    <w:p w14:paraId="7DB75AA1" w14:textId="77777777" w:rsidR="003A1838" w:rsidRPr="003A1838" w:rsidRDefault="003A1838" w:rsidP="003A1838">
      <w:pPr>
        <w:ind w:right="85"/>
        <w:rPr>
          <w:rFonts w:cs="Arial"/>
          <w:color w:val="auto"/>
          <w:szCs w:val="20"/>
        </w:rPr>
      </w:pPr>
      <w:r w:rsidRPr="003A1838">
        <w:rPr>
          <w:rFonts w:cs="Arial"/>
          <w:color w:val="auto"/>
          <w:szCs w:val="20"/>
        </w:rPr>
        <w:t>5 – Very High Odour Detected</w:t>
      </w:r>
    </w:p>
    <w:p w14:paraId="7E1CC80C" w14:textId="77777777" w:rsidR="003A1838" w:rsidRDefault="003A1838" w:rsidP="003A1838">
      <w:pPr>
        <w:ind w:right="85"/>
        <w:rPr>
          <w:rFonts w:cs="Arial"/>
          <w:color w:val="auto"/>
          <w:szCs w:val="20"/>
        </w:rPr>
      </w:pPr>
      <w:r w:rsidRPr="003A1838">
        <w:rPr>
          <w:rFonts w:cs="Arial"/>
          <w:color w:val="auto"/>
          <w:szCs w:val="20"/>
        </w:rPr>
        <w:t>In the event of odour scores of 3, 4 or 5 being recorded the site staff will be alerted to implement contingency measures. Retesting at the installation boundary will be conducted following any actions implemented to ensure the effectiveness of recorded actions implemented.</w:t>
      </w:r>
    </w:p>
    <w:p w14:paraId="6540ADBE" w14:textId="77777777" w:rsidR="004E5DF3" w:rsidRDefault="004E5DF3" w:rsidP="003A1838">
      <w:pPr>
        <w:ind w:right="85"/>
        <w:rPr>
          <w:rFonts w:cs="Arial"/>
          <w:color w:val="auto"/>
          <w:szCs w:val="20"/>
        </w:rPr>
      </w:pPr>
      <w:r w:rsidRPr="003A1838">
        <w:rPr>
          <w:rFonts w:cs="Arial"/>
          <w:color w:val="auto"/>
          <w:szCs w:val="20"/>
        </w:rPr>
        <w:t>All records will be securely stored and held on site for inspection.</w:t>
      </w:r>
    </w:p>
    <w:p w14:paraId="3133746A" w14:textId="68717FCC" w:rsidR="003A1838" w:rsidRPr="003A1838" w:rsidRDefault="003A1838" w:rsidP="003A1838">
      <w:pPr>
        <w:ind w:right="85"/>
        <w:rPr>
          <w:rFonts w:cs="Arial"/>
          <w:color w:val="auto"/>
          <w:szCs w:val="20"/>
        </w:rPr>
      </w:pPr>
      <w:r w:rsidRPr="003A1838">
        <w:rPr>
          <w:rFonts w:cs="Arial"/>
          <w:color w:val="auto"/>
          <w:szCs w:val="20"/>
        </w:rPr>
        <w:t>Monitoring procedure/frequency to be reviewed annually or in the event of a complaint.</w:t>
      </w:r>
    </w:p>
    <w:p w14:paraId="032CC41D" w14:textId="1416D9D0" w:rsidR="00566509" w:rsidRPr="00FF69DB" w:rsidRDefault="003A1838" w:rsidP="0073208E">
      <w:pPr>
        <w:ind w:right="85"/>
        <w:rPr>
          <w:rFonts w:cs="Arial"/>
          <w:color w:val="auto"/>
          <w:szCs w:val="20"/>
        </w:rPr>
      </w:pPr>
      <w:r w:rsidRPr="003A1838">
        <w:rPr>
          <w:rFonts w:cs="Arial"/>
          <w:color w:val="auto"/>
          <w:szCs w:val="20"/>
        </w:rPr>
        <w:t>OMP to be reviewed annually or following a complaint or any changes to operations.</w:t>
      </w:r>
    </w:p>
    <w:p w14:paraId="6D0EFEED" w14:textId="293FEFAD" w:rsidR="0073208E" w:rsidRPr="00EF04FE" w:rsidRDefault="0073208E" w:rsidP="000715E5">
      <w:pPr>
        <w:pStyle w:val="Sub-blockheading"/>
        <w:rPr>
          <w:b w:val="0"/>
        </w:rPr>
      </w:pPr>
      <w:r w:rsidRPr="00EF04FE">
        <w:t>BAT 27 Monitoring of emissions and process parameters - Dust emissions</w:t>
      </w:r>
    </w:p>
    <w:p w14:paraId="7356C618" w14:textId="5CE93319" w:rsidR="0073208E" w:rsidRPr="00EF04FE" w:rsidRDefault="0073208E" w:rsidP="0073208E">
      <w:pPr>
        <w:ind w:right="85"/>
        <w:rPr>
          <w:rFonts w:cs="Arial"/>
          <w:color w:val="auto"/>
          <w:szCs w:val="20"/>
        </w:rPr>
      </w:pPr>
      <w:r w:rsidRPr="00EF04FE">
        <w:rPr>
          <w:rFonts w:cs="Arial"/>
          <w:color w:val="auto"/>
          <w:szCs w:val="20"/>
        </w:rPr>
        <w:t>Table S3.</w:t>
      </w:r>
      <w:r w:rsidR="00EF04FE" w:rsidRPr="00EF04FE">
        <w:rPr>
          <w:rFonts w:cs="Arial"/>
          <w:color w:val="auto"/>
          <w:szCs w:val="20"/>
        </w:rPr>
        <w:t>3</w:t>
      </w:r>
      <w:r w:rsidRPr="00EF04FE">
        <w:rPr>
          <w:rFonts w:cs="Arial"/>
          <w:color w:val="auto"/>
          <w:szCs w:val="20"/>
        </w:rPr>
        <w:t xml:space="preserve"> of the permit concerning process monitoring requires the Operator to undertake relevant monitoring that complies with these BAT Conclusions.</w:t>
      </w:r>
    </w:p>
    <w:p w14:paraId="62FA8B6A" w14:textId="4782B782" w:rsidR="0073208E" w:rsidRPr="00EF04FE" w:rsidRDefault="0073208E" w:rsidP="0073208E">
      <w:pPr>
        <w:ind w:right="85"/>
        <w:rPr>
          <w:rFonts w:cs="Arial"/>
          <w:color w:val="auto"/>
          <w:szCs w:val="20"/>
        </w:rPr>
      </w:pPr>
      <w:r w:rsidRPr="00EF04FE">
        <w:rPr>
          <w:rFonts w:cs="Arial"/>
          <w:color w:val="auto"/>
          <w:szCs w:val="20"/>
        </w:rPr>
        <w:t xml:space="preserve">The Applicant has confirmed they will report the dust emissions to the Environment Agency annually </w:t>
      </w:r>
      <w:r w:rsidRPr="00EF04FE">
        <w:rPr>
          <w:bCs/>
          <w:color w:val="auto"/>
        </w:rPr>
        <w:t>by utilising estimation by using emission factors.</w:t>
      </w:r>
    </w:p>
    <w:p w14:paraId="4F9CB58A" w14:textId="7B4704DF" w:rsidR="0073208E" w:rsidRPr="00F00018" w:rsidRDefault="0073208E" w:rsidP="00263E01">
      <w:pPr>
        <w:pStyle w:val="Sub-blockheading"/>
        <w:rPr>
          <w:b w:val="0"/>
        </w:rPr>
      </w:pPr>
      <w:r w:rsidRPr="00F00018">
        <w:t>BAT 32 Ammonia emissions from poultry houses - Broilers</w:t>
      </w:r>
    </w:p>
    <w:p w14:paraId="32AA40E0" w14:textId="03B307B5" w:rsidR="0073208E" w:rsidRPr="00F00018" w:rsidRDefault="0073208E" w:rsidP="0073208E">
      <w:pPr>
        <w:ind w:right="85"/>
        <w:rPr>
          <w:rFonts w:cs="Arial"/>
          <w:color w:val="auto"/>
          <w:szCs w:val="20"/>
        </w:rPr>
      </w:pPr>
      <w:r w:rsidRPr="00F00018">
        <w:rPr>
          <w:rFonts w:cs="Arial"/>
          <w:color w:val="auto"/>
          <w:szCs w:val="20"/>
        </w:rPr>
        <w:t>The BAT</w:t>
      </w:r>
      <w:r w:rsidR="00F171AC" w:rsidRPr="00F00018">
        <w:rPr>
          <w:rFonts w:cs="Arial"/>
          <w:color w:val="auto"/>
          <w:szCs w:val="20"/>
        </w:rPr>
        <w:t xml:space="preserve"> </w:t>
      </w:r>
      <w:r w:rsidRPr="00F00018">
        <w:rPr>
          <w:rFonts w:cs="Arial"/>
          <w:color w:val="auto"/>
          <w:szCs w:val="20"/>
        </w:rPr>
        <w:t>AEL to be complied with is 0.08 kg NH</w:t>
      </w:r>
      <w:r w:rsidRPr="00F00018">
        <w:rPr>
          <w:rFonts w:cs="Arial"/>
          <w:color w:val="auto"/>
          <w:szCs w:val="20"/>
          <w:vertAlign w:val="subscript"/>
        </w:rPr>
        <w:t>3</w:t>
      </w:r>
      <w:r w:rsidRPr="00F00018">
        <w:rPr>
          <w:rFonts w:cs="Arial"/>
          <w:color w:val="auto"/>
          <w:szCs w:val="20"/>
        </w:rPr>
        <w:t>/animal place/year. The Applicant will meet this as the emission factor for broilers is 0.</w:t>
      </w:r>
      <w:r w:rsidR="00DA5EE7" w:rsidRPr="00F00018">
        <w:rPr>
          <w:rFonts w:cs="Arial"/>
          <w:color w:val="auto"/>
          <w:szCs w:val="20"/>
        </w:rPr>
        <w:t xml:space="preserve">024 </w:t>
      </w:r>
      <w:r w:rsidRPr="00F00018">
        <w:rPr>
          <w:rFonts w:cs="Arial"/>
          <w:color w:val="auto"/>
          <w:szCs w:val="20"/>
        </w:rPr>
        <w:t>kg NH</w:t>
      </w:r>
      <w:r w:rsidRPr="00F00018">
        <w:rPr>
          <w:rFonts w:cs="Arial"/>
          <w:color w:val="auto"/>
          <w:szCs w:val="20"/>
          <w:vertAlign w:val="subscript"/>
        </w:rPr>
        <w:t>3</w:t>
      </w:r>
      <w:r w:rsidRPr="00F00018">
        <w:rPr>
          <w:rFonts w:cs="Arial"/>
          <w:color w:val="auto"/>
          <w:szCs w:val="20"/>
        </w:rPr>
        <w:t>/animal place/year.</w:t>
      </w:r>
    </w:p>
    <w:p w14:paraId="4887A080" w14:textId="39689B78" w:rsidR="0073208E" w:rsidRPr="00F00018" w:rsidRDefault="0073208E" w:rsidP="0073208E">
      <w:pPr>
        <w:ind w:right="85"/>
        <w:rPr>
          <w:b/>
          <w:color w:val="auto"/>
          <w:sz w:val="26"/>
          <w:szCs w:val="26"/>
        </w:rPr>
      </w:pPr>
      <w:r w:rsidRPr="00F00018">
        <w:rPr>
          <w:rFonts w:cs="Arial"/>
          <w:color w:val="auto"/>
          <w:szCs w:val="20"/>
        </w:rPr>
        <w:t>The installation does not include an air abatement treatment facility; hence the standard emission factor complies with the BAT</w:t>
      </w:r>
      <w:r w:rsidR="00603F1E" w:rsidRPr="00F00018">
        <w:rPr>
          <w:rFonts w:cs="Arial"/>
          <w:color w:val="auto"/>
          <w:szCs w:val="20"/>
        </w:rPr>
        <w:t xml:space="preserve"> </w:t>
      </w:r>
      <w:r w:rsidRPr="00F00018">
        <w:rPr>
          <w:rFonts w:cs="Arial"/>
          <w:color w:val="auto"/>
          <w:szCs w:val="20"/>
        </w:rPr>
        <w:t>AEL.</w:t>
      </w:r>
    </w:p>
    <w:p w14:paraId="29756FB2" w14:textId="6001C1A5" w:rsidR="0073208E" w:rsidRPr="00450273" w:rsidRDefault="005B2F55" w:rsidP="008741A8">
      <w:pPr>
        <w:pStyle w:val="Blockheading"/>
        <w:rPr>
          <w:b w:val="0"/>
        </w:rPr>
      </w:pPr>
      <w:r w:rsidRPr="00450273">
        <w:t>D</w:t>
      </w:r>
      <w:r w:rsidR="0073208E" w:rsidRPr="00450273">
        <w:t>etailed assessment of specific BAT measures</w:t>
      </w:r>
    </w:p>
    <w:p w14:paraId="27A599EA" w14:textId="26E344D0" w:rsidR="0073208E" w:rsidRPr="00450273" w:rsidRDefault="0073208E" w:rsidP="008741A8">
      <w:pPr>
        <w:pStyle w:val="Sub-blockheading"/>
        <w:rPr>
          <w:bCs/>
        </w:rPr>
      </w:pPr>
      <w:r w:rsidRPr="00450273">
        <w:t xml:space="preserve">Ammonia emission controls – BAT </w:t>
      </w:r>
      <w:r w:rsidR="00151987" w:rsidRPr="00450273">
        <w:t>C</w:t>
      </w:r>
      <w:r w:rsidRPr="00450273">
        <w:t>onclusion 32</w:t>
      </w:r>
      <w:r w:rsidR="005F3CAC">
        <w:t xml:space="preserve"> (broilers)</w:t>
      </w:r>
    </w:p>
    <w:p w14:paraId="17331EC8" w14:textId="77777777" w:rsidR="00450273" w:rsidRPr="00450273" w:rsidRDefault="0073208E" w:rsidP="00450273">
      <w:pPr>
        <w:rPr>
          <w:rFonts w:cs="Arial"/>
          <w:bCs/>
          <w:color w:val="auto"/>
          <w:szCs w:val="20"/>
        </w:rPr>
      </w:pPr>
      <w:r w:rsidRPr="00450273">
        <w:rPr>
          <w:rFonts w:cs="Arial"/>
          <w:bCs/>
          <w:color w:val="auto"/>
          <w:szCs w:val="20"/>
        </w:rPr>
        <w:t>A BAT Associated Emission Level (AEL) provides us with a performance benchmark to determine whether an activity is BAT. The BAT Conclusions include a set of BAT AELs for ammonia emissions to air from animal housing for</w:t>
      </w:r>
      <w:r w:rsidR="00450273" w:rsidRPr="00450273">
        <w:rPr>
          <w:rFonts w:cs="Arial"/>
          <w:bCs/>
          <w:color w:val="auto"/>
          <w:szCs w:val="20"/>
        </w:rPr>
        <w:t xml:space="preserve"> broilers. </w:t>
      </w:r>
    </w:p>
    <w:p w14:paraId="3B439CDF" w14:textId="4D6D4572" w:rsidR="0073208E" w:rsidRPr="000356C7" w:rsidRDefault="0073208E" w:rsidP="00400820">
      <w:pPr>
        <w:rPr>
          <w:rFonts w:cs="Arial"/>
          <w:color w:val="auto"/>
          <w:szCs w:val="20"/>
        </w:rPr>
      </w:pPr>
      <w:bookmarkStart w:id="1" w:name="_Hlk152846846"/>
      <w:r w:rsidRPr="000356C7">
        <w:rPr>
          <w:rFonts w:cs="Arial"/>
          <w:color w:val="auto"/>
          <w:szCs w:val="20"/>
        </w:rPr>
        <w:t>All new bespoke applications issued after the 21</w:t>
      </w:r>
      <w:r w:rsidRPr="000356C7">
        <w:rPr>
          <w:rFonts w:cs="Arial"/>
          <w:color w:val="auto"/>
          <w:szCs w:val="20"/>
          <w:vertAlign w:val="superscript"/>
        </w:rPr>
        <w:t>st</w:t>
      </w:r>
      <w:r w:rsidRPr="000356C7">
        <w:rPr>
          <w:rFonts w:cs="Arial"/>
          <w:color w:val="auto"/>
          <w:szCs w:val="20"/>
        </w:rPr>
        <w:t xml:space="preserve"> February 2017, including those where there is a mixture of old and new housing, will now need to meet the BAT</w:t>
      </w:r>
      <w:r w:rsidR="009028DE" w:rsidRPr="000356C7">
        <w:rPr>
          <w:rFonts w:cs="Arial"/>
          <w:color w:val="auto"/>
          <w:szCs w:val="20"/>
        </w:rPr>
        <w:t xml:space="preserve"> </w:t>
      </w:r>
      <w:r w:rsidRPr="000356C7">
        <w:rPr>
          <w:rFonts w:cs="Arial"/>
          <w:color w:val="auto"/>
          <w:szCs w:val="20"/>
        </w:rPr>
        <w:t>AEL.</w:t>
      </w:r>
      <w:bookmarkEnd w:id="1"/>
    </w:p>
    <w:p w14:paraId="2BE5F7F8" w14:textId="5EDDB902" w:rsidR="0073208E" w:rsidRPr="000356C7" w:rsidRDefault="0073208E" w:rsidP="00400820">
      <w:pPr>
        <w:pStyle w:val="Topictitle"/>
        <w:rPr>
          <w:b w:val="0"/>
          <w:bCs w:val="0"/>
          <w:iCs w:val="0"/>
          <w:color w:val="auto"/>
        </w:rPr>
      </w:pPr>
      <w:r w:rsidRPr="000356C7">
        <w:rPr>
          <w:color w:val="auto"/>
        </w:rPr>
        <w:t>Industrial Emissions Directive (IED)</w:t>
      </w:r>
    </w:p>
    <w:p w14:paraId="70F6E5A6" w14:textId="38E1D87E" w:rsidR="005676B2" w:rsidRDefault="0073208E" w:rsidP="0073208E">
      <w:pPr>
        <w:rPr>
          <w:color w:val="auto"/>
        </w:rPr>
      </w:pPr>
      <w:r w:rsidRPr="000356C7">
        <w:rPr>
          <w:color w:val="auto"/>
        </w:rPr>
        <w:t>This permit implements the requirements of the European Union Directive on Industrial Emissions.</w:t>
      </w:r>
    </w:p>
    <w:p w14:paraId="4B3B1B8F" w14:textId="77777777" w:rsidR="005676B2" w:rsidRDefault="005676B2">
      <w:pPr>
        <w:rPr>
          <w:color w:val="auto"/>
        </w:rPr>
      </w:pPr>
      <w:r>
        <w:rPr>
          <w:color w:val="auto"/>
        </w:rPr>
        <w:br w:type="page"/>
      </w:r>
    </w:p>
    <w:p w14:paraId="4AD5031F" w14:textId="3FCCB94A" w:rsidR="0073208E" w:rsidRPr="00B251F5" w:rsidRDefault="0073208E" w:rsidP="00400820">
      <w:pPr>
        <w:pStyle w:val="Topictitle"/>
        <w:rPr>
          <w:b w:val="0"/>
          <w:bCs w:val="0"/>
          <w:iCs w:val="0"/>
          <w:color w:val="auto"/>
        </w:rPr>
      </w:pPr>
      <w:bookmarkStart w:id="2" w:name="_Hlk216936385"/>
      <w:r w:rsidRPr="00B251F5">
        <w:rPr>
          <w:color w:val="auto"/>
        </w:rPr>
        <w:t>Groundwater and soil monitoring</w:t>
      </w:r>
    </w:p>
    <w:p w14:paraId="4A3DBACF" w14:textId="5F3B688F" w:rsidR="0073208E" w:rsidRPr="00B251F5" w:rsidRDefault="0073208E" w:rsidP="00400820">
      <w:pPr>
        <w:rPr>
          <w:color w:val="auto"/>
        </w:rPr>
      </w:pPr>
      <w:r w:rsidRPr="00B251F5">
        <w:rPr>
          <w:color w:val="auto"/>
        </w:rPr>
        <w:t>As a result of the requirements of the Industrial Emissions Directive, all permits are now required to contain a condition relating to protection of soil, groundwater and groundwater monitoring. However, the Environment Agency’s H5 Guidance states that it is only necessary for the Operator to take samples of soil or groundwater and measure levels of contamination where there is evidence that there is, or could be existing contamination and:</w:t>
      </w:r>
    </w:p>
    <w:p w14:paraId="3D346619" w14:textId="77777777" w:rsidR="0073208E" w:rsidRPr="00B251F5" w:rsidRDefault="0073208E" w:rsidP="006F570D">
      <w:pPr>
        <w:numPr>
          <w:ilvl w:val="0"/>
          <w:numId w:val="18"/>
        </w:numPr>
        <w:spacing w:before="120" w:after="120" w:line="276" w:lineRule="auto"/>
        <w:ind w:left="709" w:hanging="425"/>
        <w:rPr>
          <w:rFonts w:eastAsia="Times New Roman" w:cs="Times New Roman"/>
          <w:color w:val="auto"/>
        </w:rPr>
      </w:pPr>
      <w:r w:rsidRPr="00B251F5">
        <w:rPr>
          <w:rFonts w:eastAsia="Times New Roman" w:cs="Times New Roman"/>
          <w:color w:val="auto"/>
        </w:rPr>
        <w:t>The environmental risk assessment has identified that the same contaminants are a particular hazard; or</w:t>
      </w:r>
    </w:p>
    <w:p w14:paraId="1E3DB130" w14:textId="77777777" w:rsidR="0073208E" w:rsidRPr="00B251F5" w:rsidRDefault="0073208E" w:rsidP="006F570D">
      <w:pPr>
        <w:numPr>
          <w:ilvl w:val="0"/>
          <w:numId w:val="18"/>
        </w:numPr>
        <w:spacing w:before="120" w:after="120" w:line="276" w:lineRule="auto"/>
        <w:ind w:left="709" w:hanging="425"/>
        <w:rPr>
          <w:rFonts w:eastAsia="Times New Roman" w:cs="Times New Roman"/>
          <w:color w:val="auto"/>
        </w:rPr>
      </w:pPr>
      <w:r w:rsidRPr="00B251F5">
        <w:rPr>
          <w:rFonts w:eastAsia="Times New Roman" w:cs="Times New Roman"/>
          <w:color w:val="auto"/>
        </w:rPr>
        <w:t>The environmental risk assessment has identified that the same contaminants are a hazard and the risk assessment has identified a possible pathway to land or groundwater.</w:t>
      </w:r>
    </w:p>
    <w:p w14:paraId="3FC34BB0" w14:textId="77777777" w:rsidR="0073208E" w:rsidRPr="00B251F5" w:rsidRDefault="0073208E" w:rsidP="0073208E">
      <w:pPr>
        <w:rPr>
          <w:rFonts w:cs="Arial"/>
          <w:color w:val="auto"/>
        </w:rPr>
      </w:pPr>
      <w:r w:rsidRPr="00B251F5">
        <w:rPr>
          <w:rFonts w:cs="Arial"/>
          <w:color w:val="auto"/>
        </w:rPr>
        <w:t xml:space="preserve">H5 Guidance further states that it is </w:t>
      </w:r>
      <w:r w:rsidRPr="00B251F5">
        <w:rPr>
          <w:rFonts w:cs="Arial"/>
          <w:b/>
          <w:bCs/>
          <w:color w:val="auto"/>
        </w:rPr>
        <w:t>not essential for the Operator</w:t>
      </w:r>
      <w:r w:rsidRPr="00B251F5">
        <w:rPr>
          <w:rFonts w:cs="Arial"/>
          <w:color w:val="auto"/>
        </w:rPr>
        <w:t xml:space="preserve"> to take samples of soil or groundwater and measure levels of contamination where:</w:t>
      </w:r>
    </w:p>
    <w:p w14:paraId="423B8331" w14:textId="77777777" w:rsidR="0073208E" w:rsidRPr="00B251F5" w:rsidRDefault="0073208E" w:rsidP="006F570D">
      <w:pPr>
        <w:numPr>
          <w:ilvl w:val="0"/>
          <w:numId w:val="18"/>
        </w:numPr>
        <w:spacing w:before="120" w:after="120" w:line="276" w:lineRule="auto"/>
        <w:ind w:left="709" w:hanging="425"/>
        <w:rPr>
          <w:rFonts w:eastAsia="Times New Roman" w:cs="Times New Roman"/>
          <w:color w:val="auto"/>
        </w:rPr>
      </w:pPr>
      <w:r w:rsidRPr="00B251F5">
        <w:rPr>
          <w:rFonts w:eastAsia="Times New Roman" w:cs="Times New Roman"/>
          <w:color w:val="auto"/>
        </w:rPr>
        <w:t>The environmental risk assessment identifies no hazards to land or groundwater; or</w:t>
      </w:r>
    </w:p>
    <w:p w14:paraId="0024C9FE" w14:textId="77777777" w:rsidR="0073208E" w:rsidRPr="00B251F5" w:rsidRDefault="0073208E" w:rsidP="006F570D">
      <w:pPr>
        <w:numPr>
          <w:ilvl w:val="0"/>
          <w:numId w:val="18"/>
        </w:numPr>
        <w:spacing w:before="120" w:after="120" w:line="276" w:lineRule="auto"/>
        <w:ind w:left="709" w:hanging="425"/>
        <w:rPr>
          <w:rFonts w:eastAsia="Times New Roman" w:cs="Times New Roman"/>
          <w:color w:val="auto"/>
        </w:rPr>
      </w:pPr>
      <w:r w:rsidRPr="00B251F5">
        <w:rPr>
          <w:rFonts w:eastAsia="Times New Roman" w:cs="Times New Roman"/>
          <w:color w:val="auto"/>
        </w:rPr>
        <w:t>Where the environmental risk assessment identifies only limited hazards to land and groundwater and there is no reason to believe that there could be historic contamination by those substances that present the hazard; or</w:t>
      </w:r>
    </w:p>
    <w:p w14:paraId="1E65CAED" w14:textId="77777777" w:rsidR="0073208E" w:rsidRPr="00B251F5" w:rsidRDefault="0073208E" w:rsidP="006F570D">
      <w:pPr>
        <w:numPr>
          <w:ilvl w:val="0"/>
          <w:numId w:val="18"/>
        </w:numPr>
        <w:spacing w:before="120" w:after="120" w:line="276" w:lineRule="auto"/>
        <w:ind w:left="709" w:hanging="425"/>
        <w:rPr>
          <w:rFonts w:eastAsia="Times New Roman" w:cs="Times New Roman"/>
          <w:color w:val="auto"/>
        </w:rPr>
      </w:pPr>
      <w:r w:rsidRPr="00B251F5">
        <w:rPr>
          <w:rFonts w:eastAsia="Times New Roman" w:cs="Times New Roman"/>
          <w:color w:val="auto"/>
        </w:rPr>
        <w:t>Where the environmental risk assessment identifies hazards to land and groundwater but there is evidence that there is no historic contamination by those substances that pose the hazard.</w:t>
      </w:r>
    </w:p>
    <w:p w14:paraId="42269BAC" w14:textId="0CC32A58" w:rsidR="0073208E" w:rsidRPr="00B251F5" w:rsidRDefault="0073208E" w:rsidP="0073208E">
      <w:pPr>
        <w:rPr>
          <w:rFonts w:eastAsia="Calibri" w:cs="Arial"/>
          <w:color w:val="auto"/>
        </w:rPr>
      </w:pPr>
      <w:r w:rsidRPr="00B251F5">
        <w:rPr>
          <w:rFonts w:cs="Arial"/>
          <w:color w:val="auto"/>
        </w:rPr>
        <w:t xml:space="preserve">The site condition report (SCR) for </w:t>
      </w:r>
      <w:r w:rsidR="00F3323F" w:rsidRPr="00B251F5">
        <w:rPr>
          <w:rFonts w:cs="Arial"/>
          <w:color w:val="auto"/>
        </w:rPr>
        <w:t>Tithe Farm Poultry Unit</w:t>
      </w:r>
      <w:r w:rsidRPr="00B251F5">
        <w:rPr>
          <w:rFonts w:cs="Arial"/>
          <w:color w:val="auto"/>
        </w:rPr>
        <w:t xml:space="preserve"> dated </w:t>
      </w:r>
      <w:r w:rsidR="00B251F5" w:rsidRPr="00B251F5">
        <w:rPr>
          <w:rFonts w:cs="Arial"/>
          <w:color w:val="auto"/>
        </w:rPr>
        <w:t>12/11/2025</w:t>
      </w:r>
      <w:r w:rsidR="0023499B">
        <w:rPr>
          <w:rFonts w:cs="Arial"/>
          <w:color w:val="auto"/>
        </w:rPr>
        <w:t xml:space="preserve"> (</w:t>
      </w:r>
      <w:r w:rsidR="00164073">
        <w:rPr>
          <w:rFonts w:cs="Arial"/>
          <w:color w:val="auto"/>
        </w:rPr>
        <w:t xml:space="preserve">revised version </w:t>
      </w:r>
      <w:r w:rsidR="0023499B">
        <w:rPr>
          <w:rFonts w:cs="Arial"/>
          <w:color w:val="auto"/>
        </w:rPr>
        <w:t>received 06/03/2026 in response to</w:t>
      </w:r>
      <w:r w:rsidR="00F059D5">
        <w:rPr>
          <w:rFonts w:cs="Arial"/>
          <w:color w:val="auto"/>
        </w:rPr>
        <w:t xml:space="preserve"> a</w:t>
      </w:r>
      <w:r w:rsidR="0023499B">
        <w:rPr>
          <w:rFonts w:cs="Arial"/>
          <w:color w:val="auto"/>
        </w:rPr>
        <w:t xml:space="preserve"> request for further informatio</w:t>
      </w:r>
      <w:r w:rsidR="00CB216C">
        <w:rPr>
          <w:rFonts w:cs="Arial"/>
          <w:color w:val="auto"/>
        </w:rPr>
        <w:t>n</w:t>
      </w:r>
      <w:r w:rsidR="0027332E">
        <w:rPr>
          <w:rFonts w:cs="Arial"/>
          <w:color w:val="auto"/>
        </w:rPr>
        <w:t>)</w:t>
      </w:r>
      <w:r w:rsidR="001E6F17" w:rsidRPr="00B251F5">
        <w:rPr>
          <w:rFonts w:cs="Arial"/>
          <w:color w:val="auto"/>
        </w:rPr>
        <w:t>,</w:t>
      </w:r>
      <w:r w:rsidR="0023499B">
        <w:rPr>
          <w:rFonts w:cs="Arial"/>
          <w:color w:val="auto"/>
        </w:rPr>
        <w:t xml:space="preserve"> </w:t>
      </w:r>
      <w:r w:rsidRPr="00B251F5">
        <w:rPr>
          <w:rFonts w:cs="Arial"/>
          <w:color w:val="auto"/>
        </w:rPr>
        <w:t>demonstrates that there are no hazards or likely pathway to land or groundwater and no historic contamination on site that may present a hazard from the same contaminants</w:t>
      </w:r>
      <w:r w:rsidR="004B4667" w:rsidRPr="00B251F5">
        <w:rPr>
          <w:rFonts w:cs="Arial"/>
          <w:color w:val="auto"/>
        </w:rPr>
        <w:t xml:space="preserve">. </w:t>
      </w:r>
      <w:r w:rsidRPr="00B251F5">
        <w:rPr>
          <w:rFonts w:cs="Arial"/>
          <w:color w:val="auto"/>
        </w:rPr>
        <w:t>Therefore, on the basis of the risk assessment presented in the SCR, we accept that they have not provided base line reference data for the soil and groundwater at the site at this stag</w:t>
      </w:r>
      <w:r w:rsidRPr="00B251F5">
        <w:rPr>
          <w:rFonts w:eastAsia="Calibri" w:cs="Arial"/>
          <w:color w:val="auto"/>
        </w:rPr>
        <w:t>e and although condition 3.1.3 is included in the permit no groundwater monitoring will be required.</w:t>
      </w:r>
    </w:p>
    <w:bookmarkEnd w:id="2"/>
    <w:p w14:paraId="4B0D2466" w14:textId="693E4EEF" w:rsidR="0073208E" w:rsidRPr="00B73A6B" w:rsidRDefault="0073208E" w:rsidP="00D4660D">
      <w:pPr>
        <w:pStyle w:val="Topictitle"/>
        <w:rPr>
          <w:b w:val="0"/>
          <w:bCs w:val="0"/>
          <w:iCs w:val="0"/>
          <w:color w:val="auto"/>
        </w:rPr>
      </w:pPr>
      <w:r w:rsidRPr="00B73A6B">
        <w:rPr>
          <w:color w:val="auto"/>
        </w:rPr>
        <w:t>Odour management</w:t>
      </w:r>
    </w:p>
    <w:p w14:paraId="205589FA" w14:textId="1C2CB363" w:rsidR="0073208E" w:rsidRPr="00B73A6B" w:rsidRDefault="0073208E" w:rsidP="0073208E">
      <w:pPr>
        <w:rPr>
          <w:rFonts w:eastAsia="Calibri" w:cs="Arial"/>
          <w:color w:val="auto"/>
          <w:szCs w:val="20"/>
        </w:rPr>
      </w:pPr>
      <w:r w:rsidRPr="00B73A6B">
        <w:rPr>
          <w:rFonts w:eastAsia="Calibri" w:cs="Arial"/>
          <w:color w:val="auto"/>
          <w:szCs w:val="20"/>
        </w:rPr>
        <w:t>Intensive farming is by its nature a potentially odorous activity. This is recognised in our ‘</w:t>
      </w:r>
      <w:hyperlink r:id="rId13" w:history="1">
        <w:r w:rsidRPr="00B73A6B">
          <w:rPr>
            <w:rStyle w:val="Hyperlink"/>
            <w:rFonts w:eastAsia="Calibri" w:cs="Arial"/>
            <w:color w:val="auto"/>
            <w:szCs w:val="20"/>
          </w:rPr>
          <w:t>How to Comply with your Environmental Permit for Intensive Farming’</w:t>
        </w:r>
      </w:hyperlink>
      <w:r w:rsidRPr="00B73A6B">
        <w:rPr>
          <w:rFonts w:eastAsia="Calibri" w:cs="Arial"/>
          <w:color w:val="auto"/>
          <w:szCs w:val="20"/>
        </w:rPr>
        <w:t xml:space="preserve"> EPR 6.09 guidance</w:t>
      </w:r>
      <w:r w:rsidR="00C035E4" w:rsidRPr="00B73A6B">
        <w:rPr>
          <w:rFonts w:eastAsia="Calibri" w:cs="Arial"/>
          <w:color w:val="auto"/>
          <w:szCs w:val="20"/>
        </w:rPr>
        <w:t>.</w:t>
      </w:r>
    </w:p>
    <w:p w14:paraId="0C9AEE53" w14:textId="77777777" w:rsidR="0073208E" w:rsidRPr="00B73A6B" w:rsidRDefault="0073208E" w:rsidP="0073208E">
      <w:pPr>
        <w:rPr>
          <w:rFonts w:eastAsia="Calibri" w:cs="Arial"/>
          <w:color w:val="auto"/>
          <w:szCs w:val="20"/>
        </w:rPr>
      </w:pPr>
      <w:r w:rsidRPr="00B73A6B">
        <w:rPr>
          <w:rFonts w:eastAsia="Calibri" w:cs="Arial"/>
          <w:color w:val="auto"/>
          <w:szCs w:val="20"/>
        </w:rPr>
        <w:t>Condition 3.3 of the environmental permit reads as follows:</w:t>
      </w:r>
    </w:p>
    <w:p w14:paraId="2EB5A9F7" w14:textId="77777777" w:rsidR="0073208E" w:rsidRPr="00B73A6B" w:rsidRDefault="0073208E" w:rsidP="0073208E">
      <w:pPr>
        <w:rPr>
          <w:rFonts w:eastAsia="Calibri" w:cs="Arial"/>
          <w:color w:val="auto"/>
          <w:szCs w:val="20"/>
        </w:rPr>
      </w:pPr>
      <w:r w:rsidRPr="00B73A6B">
        <w:rPr>
          <w:rFonts w:eastAsia="Calibri" w:cs="Arial"/>
          <w:color w:val="auto"/>
          <w:szCs w:val="20"/>
        </w:rPr>
        <w:t>“Emissions from the activities shall be free from odour at levels likely to cause pollution outside the site, as perceived by an authorised officer of the Environment Agency, unless the Operator has used appropriate measures, including, but not limited to, those specified in any approved odour management plan, to prevent or where that is not practicable to minimise the odour.”</w:t>
      </w:r>
    </w:p>
    <w:p w14:paraId="0A462AF8" w14:textId="6A1239BA" w:rsidR="0073208E" w:rsidRPr="00B73A6B" w:rsidRDefault="0073208E" w:rsidP="0073208E">
      <w:pPr>
        <w:rPr>
          <w:rFonts w:eastAsia="Calibri" w:cs="Arial"/>
          <w:color w:val="auto"/>
          <w:szCs w:val="20"/>
        </w:rPr>
      </w:pPr>
      <w:r w:rsidRPr="00B73A6B">
        <w:rPr>
          <w:rFonts w:eastAsia="Calibri" w:cs="Arial"/>
          <w:color w:val="auto"/>
          <w:szCs w:val="20"/>
        </w:rPr>
        <w:t>Under section 3.3 of the guidance</w:t>
      </w:r>
      <w:r w:rsidR="00FA3ACF" w:rsidRPr="00B73A6B">
        <w:rPr>
          <w:rFonts w:eastAsia="Calibri" w:cs="Arial"/>
          <w:color w:val="auto"/>
          <w:szCs w:val="20"/>
        </w:rPr>
        <w:t>,</w:t>
      </w:r>
      <w:r w:rsidRPr="00B73A6B">
        <w:rPr>
          <w:rFonts w:eastAsia="Calibri" w:cs="Arial"/>
          <w:color w:val="auto"/>
          <w:szCs w:val="20"/>
        </w:rPr>
        <w:t xml:space="preserve"> an Odour Management Plan (OMP) is required to be approved as part of the permitting process if, as is the case here, sensitive receptors (sensitive receptors in this instance excludes properties associated with the farm) are within 400m of the installation boundary. It is appropriate to require an OMP when such sensitive receptors have been identified within 400m of the installation to prevent or, where that is not practicable, to minimise the risk of pollution from odour emissions.</w:t>
      </w:r>
    </w:p>
    <w:p w14:paraId="40EB3573" w14:textId="151C4B98" w:rsidR="0073208E" w:rsidRPr="00B73A6B" w:rsidRDefault="0073208E" w:rsidP="0073208E">
      <w:pPr>
        <w:spacing w:after="120"/>
        <w:rPr>
          <w:rFonts w:eastAsia="Calibri" w:cs="Arial"/>
          <w:color w:val="auto"/>
          <w:szCs w:val="20"/>
        </w:rPr>
      </w:pPr>
      <w:r w:rsidRPr="00B73A6B">
        <w:rPr>
          <w:rFonts w:eastAsia="Calibri" w:cs="Arial"/>
          <w:color w:val="auto"/>
          <w:szCs w:val="20"/>
        </w:rPr>
        <w:t>The risk assessment for the installation provided with the application lists key potential risks of odour pollution beyond the installation boundary. These activities are as follows:</w:t>
      </w:r>
    </w:p>
    <w:p w14:paraId="18083E03" w14:textId="678BAB0E" w:rsidR="00056B94" w:rsidRPr="009C3A04" w:rsidRDefault="00056B94" w:rsidP="006F570D">
      <w:pPr>
        <w:pStyle w:val="pf0"/>
        <w:numPr>
          <w:ilvl w:val="0"/>
          <w:numId w:val="14"/>
        </w:numPr>
        <w:rPr>
          <w:rFonts w:ascii="Arial" w:eastAsiaTheme="minorHAnsi" w:hAnsi="Arial" w:cs="Arial"/>
          <w:szCs w:val="20"/>
          <w:lang w:eastAsia="en-US"/>
        </w:rPr>
      </w:pPr>
      <w:r w:rsidRPr="009C3A04">
        <w:rPr>
          <w:rFonts w:ascii="Arial" w:eastAsiaTheme="minorHAnsi" w:hAnsi="Arial" w:cs="Arial"/>
          <w:szCs w:val="20"/>
          <w:lang w:eastAsia="en-US"/>
        </w:rPr>
        <w:t xml:space="preserve">Manufacture and selection of feed </w:t>
      </w:r>
    </w:p>
    <w:p w14:paraId="0F3FAF31" w14:textId="77777777" w:rsidR="00056B94" w:rsidRPr="009C3A04" w:rsidRDefault="00056B94" w:rsidP="006F570D">
      <w:pPr>
        <w:pStyle w:val="pf0"/>
        <w:numPr>
          <w:ilvl w:val="0"/>
          <w:numId w:val="14"/>
        </w:numPr>
        <w:rPr>
          <w:rFonts w:ascii="Arial" w:eastAsiaTheme="minorHAnsi" w:hAnsi="Arial" w:cs="Arial"/>
          <w:szCs w:val="20"/>
          <w:lang w:eastAsia="en-US"/>
        </w:rPr>
      </w:pPr>
      <w:r w:rsidRPr="009C3A04">
        <w:rPr>
          <w:rFonts w:ascii="Arial" w:eastAsiaTheme="minorHAnsi" w:hAnsi="Arial" w:cs="Arial"/>
          <w:szCs w:val="20"/>
          <w:lang w:eastAsia="en-US"/>
        </w:rPr>
        <w:t>Feed delivery and storage</w:t>
      </w:r>
    </w:p>
    <w:p w14:paraId="1930A3D3" w14:textId="77777777" w:rsidR="00056B94" w:rsidRPr="009C3A04" w:rsidRDefault="00056B94" w:rsidP="006F570D">
      <w:pPr>
        <w:pStyle w:val="pf0"/>
        <w:numPr>
          <w:ilvl w:val="0"/>
          <w:numId w:val="14"/>
        </w:numPr>
        <w:rPr>
          <w:rFonts w:ascii="Arial" w:eastAsiaTheme="minorHAnsi" w:hAnsi="Arial" w:cs="Arial"/>
          <w:szCs w:val="20"/>
          <w:lang w:eastAsia="en-US"/>
        </w:rPr>
      </w:pPr>
      <w:r w:rsidRPr="009C3A04">
        <w:rPr>
          <w:rFonts w:ascii="Arial" w:eastAsiaTheme="minorHAnsi" w:hAnsi="Arial" w:cs="Arial"/>
          <w:szCs w:val="20"/>
          <w:lang w:eastAsia="en-US"/>
        </w:rPr>
        <w:t xml:space="preserve">Ventilation </w:t>
      </w:r>
    </w:p>
    <w:p w14:paraId="2B5AAA41" w14:textId="00B31437" w:rsidR="00B73A6B" w:rsidRPr="009C3A04" w:rsidRDefault="00B73A6B" w:rsidP="006F570D">
      <w:pPr>
        <w:pStyle w:val="pf0"/>
        <w:numPr>
          <w:ilvl w:val="0"/>
          <w:numId w:val="14"/>
        </w:numPr>
        <w:rPr>
          <w:rFonts w:ascii="Arial" w:eastAsiaTheme="minorHAnsi" w:hAnsi="Arial" w:cs="Arial"/>
          <w:szCs w:val="20"/>
          <w:lang w:eastAsia="en-US"/>
        </w:rPr>
      </w:pPr>
      <w:r w:rsidRPr="009C3A04">
        <w:rPr>
          <w:rFonts w:ascii="Arial" w:eastAsiaTheme="minorHAnsi" w:hAnsi="Arial" w:cs="Arial"/>
          <w:szCs w:val="20"/>
          <w:lang w:eastAsia="en-US"/>
        </w:rPr>
        <w:t>Heat Exchangers</w:t>
      </w:r>
    </w:p>
    <w:p w14:paraId="7A0991E4" w14:textId="77777777" w:rsidR="00056B94" w:rsidRPr="009C3A04" w:rsidRDefault="00056B94" w:rsidP="006F570D">
      <w:pPr>
        <w:pStyle w:val="pf0"/>
        <w:numPr>
          <w:ilvl w:val="0"/>
          <w:numId w:val="14"/>
        </w:numPr>
        <w:rPr>
          <w:rFonts w:ascii="Arial" w:eastAsiaTheme="minorHAnsi" w:hAnsi="Arial" w:cs="Arial"/>
          <w:szCs w:val="20"/>
          <w:lang w:eastAsia="en-US"/>
        </w:rPr>
      </w:pPr>
      <w:r w:rsidRPr="009C3A04">
        <w:rPr>
          <w:rFonts w:ascii="Arial" w:eastAsiaTheme="minorHAnsi" w:hAnsi="Arial" w:cs="Arial"/>
          <w:szCs w:val="20"/>
          <w:lang w:eastAsia="en-US"/>
        </w:rPr>
        <w:t>Litter management</w:t>
      </w:r>
    </w:p>
    <w:p w14:paraId="5C2ED987" w14:textId="77777777" w:rsidR="00056B94" w:rsidRPr="009C3A04" w:rsidRDefault="00056B94" w:rsidP="006F570D">
      <w:pPr>
        <w:pStyle w:val="pf0"/>
        <w:numPr>
          <w:ilvl w:val="0"/>
          <w:numId w:val="14"/>
        </w:numPr>
        <w:rPr>
          <w:rFonts w:ascii="Arial" w:eastAsiaTheme="minorHAnsi" w:hAnsi="Arial" w:cs="Arial"/>
          <w:szCs w:val="20"/>
          <w:lang w:eastAsia="en-US"/>
        </w:rPr>
      </w:pPr>
      <w:r w:rsidRPr="009C3A04">
        <w:rPr>
          <w:rFonts w:ascii="Arial" w:eastAsiaTheme="minorHAnsi" w:hAnsi="Arial" w:cs="Arial"/>
          <w:szCs w:val="20"/>
          <w:lang w:eastAsia="en-US"/>
        </w:rPr>
        <w:t>Carcass storage and disposal</w:t>
      </w:r>
    </w:p>
    <w:p w14:paraId="2FF851E1" w14:textId="77F41E1D" w:rsidR="003942D5" w:rsidRPr="009C3A04" w:rsidRDefault="00056B94" w:rsidP="006F570D">
      <w:pPr>
        <w:pStyle w:val="pf0"/>
        <w:numPr>
          <w:ilvl w:val="0"/>
          <w:numId w:val="14"/>
        </w:numPr>
        <w:rPr>
          <w:rStyle w:val="Text"/>
          <w:rFonts w:ascii="Arial" w:eastAsiaTheme="minorHAnsi" w:hAnsi="Arial"/>
          <w:szCs w:val="20"/>
          <w:lang w:eastAsia="en-US"/>
        </w:rPr>
      </w:pPr>
      <w:r w:rsidRPr="009C3A04">
        <w:rPr>
          <w:rFonts w:ascii="Arial" w:eastAsiaTheme="minorHAnsi" w:hAnsi="Arial" w:cs="Arial"/>
          <w:szCs w:val="20"/>
          <w:lang w:eastAsia="en-US"/>
        </w:rPr>
        <w:t>Poultry house clean out</w:t>
      </w:r>
    </w:p>
    <w:p w14:paraId="3E17B7ED" w14:textId="4B160FE9" w:rsidR="0073208E" w:rsidRPr="005C7E5C" w:rsidRDefault="0073208E" w:rsidP="0073208E">
      <w:pPr>
        <w:spacing w:before="240"/>
        <w:rPr>
          <w:rFonts w:cs="Arial"/>
          <w:b/>
          <w:color w:val="auto"/>
          <w:szCs w:val="20"/>
          <w:u w:val="single"/>
        </w:rPr>
      </w:pPr>
      <w:r w:rsidRPr="005C7E5C">
        <w:rPr>
          <w:rFonts w:cs="Arial"/>
          <w:color w:val="auto"/>
          <w:szCs w:val="20"/>
          <w:u w:val="single"/>
          <w:lang w:eastAsia="en-GB"/>
        </w:rPr>
        <w:t>Odour Management Plan Review</w:t>
      </w:r>
    </w:p>
    <w:p w14:paraId="2A279A67" w14:textId="5C6237D4" w:rsidR="0073208E" w:rsidRPr="00EA1657" w:rsidRDefault="0073208E" w:rsidP="0073208E">
      <w:pPr>
        <w:rPr>
          <w:rFonts w:cs="Arial"/>
          <w:color w:val="auto"/>
          <w:szCs w:val="20"/>
          <w:lang w:eastAsia="en-GB"/>
        </w:rPr>
      </w:pPr>
      <w:r w:rsidRPr="00EA1657">
        <w:rPr>
          <w:bCs/>
          <w:color w:val="auto"/>
          <w:sz w:val="26"/>
          <w:szCs w:val="26"/>
        </w:rPr>
        <w:t>T</w:t>
      </w:r>
      <w:r w:rsidRPr="00EA1657">
        <w:rPr>
          <w:rFonts w:cs="Arial"/>
          <w:color w:val="auto"/>
          <w:szCs w:val="20"/>
          <w:lang w:eastAsia="en-GB"/>
        </w:rPr>
        <w:t xml:space="preserve">here are </w:t>
      </w:r>
      <w:r w:rsidR="00EA1657" w:rsidRPr="00EA1657">
        <w:rPr>
          <w:rFonts w:cs="Arial"/>
          <w:color w:val="auto"/>
          <w:szCs w:val="20"/>
          <w:lang w:eastAsia="en-GB"/>
        </w:rPr>
        <w:t>2</w:t>
      </w:r>
      <w:r w:rsidR="007869B0" w:rsidRPr="00EA1657">
        <w:rPr>
          <w:rStyle w:val="Text"/>
          <w:bCs/>
          <w:sz w:val="26"/>
          <w:szCs w:val="26"/>
        </w:rPr>
        <w:t xml:space="preserve"> </w:t>
      </w:r>
      <w:r w:rsidRPr="00EA1657">
        <w:rPr>
          <w:rFonts w:cs="Arial"/>
          <w:color w:val="auto"/>
          <w:szCs w:val="20"/>
          <w:lang w:eastAsia="en-GB"/>
        </w:rPr>
        <w:t xml:space="preserve">sensitive receptors located within 400m of the installation boundary, as listed below (please note, the distance stated is only an approximation from the </w:t>
      </w:r>
      <w:r w:rsidR="00490EC4">
        <w:rPr>
          <w:rFonts w:cs="Arial"/>
          <w:color w:val="auto"/>
          <w:szCs w:val="20"/>
          <w:lang w:eastAsia="en-GB"/>
        </w:rPr>
        <w:t>i</w:t>
      </w:r>
      <w:r w:rsidRPr="00EA1657">
        <w:rPr>
          <w:rFonts w:cs="Arial"/>
          <w:color w:val="auto"/>
          <w:szCs w:val="20"/>
          <w:lang w:eastAsia="en-GB"/>
        </w:rPr>
        <w:t>nstallation boundary to the assumed boundary of the property):</w:t>
      </w:r>
    </w:p>
    <w:p w14:paraId="4C5B199D" w14:textId="58700DA7" w:rsidR="0073208E" w:rsidRPr="00381EFC" w:rsidRDefault="0073208E" w:rsidP="0073208E">
      <w:pPr>
        <w:rPr>
          <w:rStyle w:val="Text"/>
          <w:bCs/>
        </w:rPr>
      </w:pPr>
      <w:r w:rsidRPr="00381EFC">
        <w:rPr>
          <w:rStyle w:val="Text"/>
          <w:bCs/>
        </w:rPr>
        <w:t xml:space="preserve">1. Residential property – approximately </w:t>
      </w:r>
      <w:r w:rsidR="00AF6A9B" w:rsidRPr="00381EFC">
        <w:rPr>
          <w:rStyle w:val="Text"/>
          <w:bCs/>
        </w:rPr>
        <w:t>0</w:t>
      </w:r>
      <w:r w:rsidRPr="00381EFC">
        <w:rPr>
          <w:rStyle w:val="Text"/>
          <w:bCs/>
        </w:rPr>
        <w:t>m south</w:t>
      </w:r>
      <w:r w:rsidR="00381EFC" w:rsidRPr="00381EFC">
        <w:rPr>
          <w:rStyle w:val="Text"/>
          <w:bCs/>
        </w:rPr>
        <w:t>east</w:t>
      </w:r>
      <w:r w:rsidRPr="00381EFC">
        <w:rPr>
          <w:rStyle w:val="Text"/>
          <w:bCs/>
        </w:rPr>
        <w:t xml:space="preserve"> of the </w:t>
      </w:r>
      <w:r w:rsidR="00490EC4">
        <w:rPr>
          <w:rStyle w:val="Text"/>
          <w:bCs/>
        </w:rPr>
        <w:t>i</w:t>
      </w:r>
      <w:r w:rsidRPr="00381EFC">
        <w:rPr>
          <w:rStyle w:val="Text"/>
          <w:bCs/>
        </w:rPr>
        <w:t>nstallation boundary</w:t>
      </w:r>
      <w:r w:rsidR="00F873DD">
        <w:rPr>
          <w:rStyle w:val="Text"/>
          <w:bCs/>
        </w:rPr>
        <w:t xml:space="preserve"> (</w:t>
      </w:r>
      <w:r w:rsidR="002C4E87">
        <w:rPr>
          <w:rStyle w:val="Text"/>
          <w:bCs/>
        </w:rPr>
        <w:t>approximately 25m from the nearest poultry house)</w:t>
      </w:r>
      <w:r w:rsidRPr="00381EFC">
        <w:rPr>
          <w:rStyle w:val="Text"/>
          <w:bCs/>
        </w:rPr>
        <w:t>.</w:t>
      </w:r>
    </w:p>
    <w:p w14:paraId="5DF27EB7" w14:textId="734E668D" w:rsidR="0073208E" w:rsidRPr="00381EFC" w:rsidRDefault="0073208E" w:rsidP="0073208E">
      <w:pPr>
        <w:rPr>
          <w:rFonts w:cs="Arial"/>
          <w:bCs/>
          <w:color w:val="auto"/>
        </w:rPr>
      </w:pPr>
      <w:r w:rsidRPr="00381EFC">
        <w:rPr>
          <w:rStyle w:val="Text"/>
          <w:bCs/>
        </w:rPr>
        <w:t xml:space="preserve">2. Residential property – approximately </w:t>
      </w:r>
      <w:r w:rsidR="00AF6A9B" w:rsidRPr="00381EFC">
        <w:rPr>
          <w:rStyle w:val="Text"/>
          <w:bCs/>
        </w:rPr>
        <w:t>5</w:t>
      </w:r>
      <w:r w:rsidRPr="00381EFC">
        <w:rPr>
          <w:rStyle w:val="Text"/>
          <w:bCs/>
        </w:rPr>
        <w:t xml:space="preserve">m </w:t>
      </w:r>
      <w:r w:rsidR="00AF6A9B" w:rsidRPr="00381EFC">
        <w:rPr>
          <w:rStyle w:val="Text"/>
          <w:bCs/>
        </w:rPr>
        <w:t>south</w:t>
      </w:r>
      <w:r w:rsidRPr="00381EFC">
        <w:rPr>
          <w:rStyle w:val="Text"/>
          <w:bCs/>
        </w:rPr>
        <w:t xml:space="preserve"> of the </w:t>
      </w:r>
      <w:r w:rsidR="00490EC4">
        <w:rPr>
          <w:rStyle w:val="Text"/>
          <w:bCs/>
        </w:rPr>
        <w:t>i</w:t>
      </w:r>
      <w:r w:rsidRPr="00381EFC">
        <w:rPr>
          <w:rStyle w:val="Text"/>
          <w:bCs/>
        </w:rPr>
        <w:t>nstallation boundary</w:t>
      </w:r>
      <w:r w:rsidR="00F873DD">
        <w:rPr>
          <w:rStyle w:val="Text"/>
          <w:bCs/>
        </w:rPr>
        <w:t xml:space="preserve"> (approximately 25m from the nearest poultry house)</w:t>
      </w:r>
      <w:r w:rsidRPr="00381EFC">
        <w:rPr>
          <w:rStyle w:val="Text"/>
          <w:bCs/>
        </w:rPr>
        <w:t>.</w:t>
      </w:r>
    </w:p>
    <w:p w14:paraId="1823283D" w14:textId="5903B0E0" w:rsidR="00A07DC5" w:rsidRDefault="00180081" w:rsidP="0073208E">
      <w:pPr>
        <w:rPr>
          <w:rFonts w:cs="Arial"/>
          <w:color w:val="auto"/>
          <w:szCs w:val="20"/>
          <w:lang w:eastAsia="en-GB"/>
        </w:rPr>
      </w:pPr>
      <w:r>
        <w:rPr>
          <w:rFonts w:cs="Arial"/>
          <w:color w:val="auto"/>
          <w:szCs w:val="20"/>
          <w:lang w:eastAsia="en-GB"/>
        </w:rPr>
        <w:t xml:space="preserve">The sensitive receptors are located </w:t>
      </w:r>
      <w:r w:rsidR="007674BC">
        <w:rPr>
          <w:rFonts w:cs="Arial"/>
          <w:color w:val="auto"/>
          <w:szCs w:val="20"/>
          <w:lang w:eastAsia="en-GB"/>
        </w:rPr>
        <w:t xml:space="preserve">to the south </w:t>
      </w:r>
      <w:r w:rsidR="005031C8">
        <w:rPr>
          <w:rFonts w:cs="Arial"/>
          <w:color w:val="auto"/>
          <w:szCs w:val="20"/>
          <w:lang w:eastAsia="en-GB"/>
        </w:rPr>
        <w:t xml:space="preserve">and southeast of the installation boundary </w:t>
      </w:r>
      <w:r w:rsidR="00F628DD">
        <w:rPr>
          <w:rFonts w:cs="Arial"/>
          <w:color w:val="auto"/>
          <w:szCs w:val="20"/>
          <w:lang w:eastAsia="en-GB"/>
        </w:rPr>
        <w:t>and hen</w:t>
      </w:r>
      <w:r w:rsidR="000921F6">
        <w:rPr>
          <w:rFonts w:cs="Arial"/>
          <w:color w:val="auto"/>
          <w:szCs w:val="20"/>
          <w:lang w:eastAsia="en-GB"/>
        </w:rPr>
        <w:t>ce</w:t>
      </w:r>
      <w:r w:rsidR="00F628DD">
        <w:rPr>
          <w:rFonts w:cs="Arial"/>
          <w:color w:val="auto"/>
          <w:szCs w:val="20"/>
          <w:lang w:eastAsia="en-GB"/>
        </w:rPr>
        <w:t xml:space="preserve"> not directly downwind of the installation given the predominant wind direction is from the southwest. </w:t>
      </w:r>
    </w:p>
    <w:p w14:paraId="3AF414C9" w14:textId="4D859147" w:rsidR="0073208E" w:rsidRPr="00381EFC" w:rsidRDefault="0073208E" w:rsidP="0073208E">
      <w:pPr>
        <w:rPr>
          <w:rFonts w:cs="Arial"/>
          <w:color w:val="auto"/>
          <w:szCs w:val="20"/>
          <w:lang w:eastAsia="en-GB"/>
        </w:rPr>
      </w:pPr>
      <w:r w:rsidRPr="00381EFC">
        <w:rPr>
          <w:rFonts w:cs="Arial"/>
          <w:color w:val="auto"/>
          <w:szCs w:val="20"/>
          <w:lang w:eastAsia="en-GB"/>
        </w:rPr>
        <w:t>The sensitive receptors that have been considered under odour and noise, does not include the operator’s property and other people associated with the farm operations as odour and noise are amenity issues.</w:t>
      </w:r>
    </w:p>
    <w:p w14:paraId="40CE48D9" w14:textId="6F91B9A6" w:rsidR="0073208E" w:rsidRPr="00091F2C" w:rsidRDefault="0073208E" w:rsidP="0073208E">
      <w:pPr>
        <w:rPr>
          <w:rFonts w:cs="Arial"/>
          <w:color w:val="auto"/>
          <w:szCs w:val="20"/>
          <w:lang w:eastAsia="en-GB"/>
        </w:rPr>
      </w:pPr>
      <w:r w:rsidRPr="00D07C27">
        <w:rPr>
          <w:rFonts w:cs="Arial"/>
          <w:color w:val="auto"/>
          <w:szCs w:val="20"/>
          <w:lang w:eastAsia="en-GB"/>
        </w:rPr>
        <w:t>The Operator has provided a</w:t>
      </w:r>
      <w:r w:rsidR="00B8080C">
        <w:rPr>
          <w:rFonts w:cs="Arial"/>
          <w:color w:val="auto"/>
          <w:szCs w:val="20"/>
          <w:lang w:eastAsia="en-GB"/>
        </w:rPr>
        <w:t xml:space="preserve"> revised</w:t>
      </w:r>
      <w:r w:rsidRPr="00D07C27">
        <w:rPr>
          <w:rFonts w:cs="Arial"/>
          <w:color w:val="auto"/>
          <w:szCs w:val="20"/>
          <w:lang w:eastAsia="en-GB"/>
        </w:rPr>
        <w:t xml:space="preserve"> </w:t>
      </w:r>
      <w:r w:rsidRPr="00324B33">
        <w:rPr>
          <w:rFonts w:cs="Arial"/>
          <w:color w:val="auto"/>
          <w:szCs w:val="20"/>
          <w:lang w:eastAsia="en-GB"/>
        </w:rPr>
        <w:t xml:space="preserve">OMP (submitted </w:t>
      </w:r>
      <w:r w:rsidR="00665595" w:rsidRPr="00324B33">
        <w:rPr>
          <w:rFonts w:cs="Arial"/>
          <w:color w:val="auto"/>
          <w:szCs w:val="20"/>
          <w:lang w:eastAsia="en-GB"/>
        </w:rPr>
        <w:t>03/</w:t>
      </w:r>
      <w:r w:rsidR="00324B33" w:rsidRPr="00324B33">
        <w:rPr>
          <w:rFonts w:cs="Arial"/>
          <w:color w:val="auto"/>
          <w:szCs w:val="20"/>
          <w:lang w:eastAsia="en-GB"/>
        </w:rPr>
        <w:t>04/2026</w:t>
      </w:r>
      <w:r w:rsidRPr="00324B33">
        <w:rPr>
          <w:rFonts w:cs="Arial"/>
          <w:color w:val="auto"/>
          <w:lang w:eastAsia="en-GB"/>
        </w:rPr>
        <w:t>)</w:t>
      </w:r>
      <w:r w:rsidRPr="00324B33">
        <w:rPr>
          <w:rFonts w:cs="Arial"/>
          <w:color w:val="auto"/>
          <w:szCs w:val="20"/>
          <w:lang w:eastAsia="en-GB"/>
        </w:rPr>
        <w:t xml:space="preserve"> and this </w:t>
      </w:r>
      <w:r w:rsidRPr="00D07C27">
        <w:rPr>
          <w:rFonts w:cs="Arial"/>
          <w:color w:val="auto"/>
          <w:szCs w:val="20"/>
          <w:lang w:eastAsia="en-GB"/>
        </w:rPr>
        <w:t xml:space="preserve">has been assessed against the requirements of ‘How to Comply with your Environmental Permit for </w:t>
      </w:r>
      <w:hyperlink r:id="rId14" w:history="1">
        <w:r w:rsidRPr="00D07C27">
          <w:rPr>
            <w:rStyle w:val="Hyperlink"/>
            <w:rFonts w:cs="Arial"/>
            <w:color w:val="auto"/>
            <w:szCs w:val="20"/>
            <w:lang w:eastAsia="en-GB"/>
          </w:rPr>
          <w:t>Intensive Farming’ EPR 6.09 (version 2), Appendix 4 guidance ‘Odour Management at Intensive Livestock Installations’</w:t>
        </w:r>
      </w:hyperlink>
      <w:r w:rsidRPr="00D07C27">
        <w:rPr>
          <w:rFonts w:cs="Arial"/>
          <w:color w:val="auto"/>
          <w:szCs w:val="20"/>
          <w:lang w:eastAsia="en-GB"/>
        </w:rPr>
        <w:t xml:space="preserve"> and our </w:t>
      </w:r>
      <w:r w:rsidRPr="00D07C27">
        <w:rPr>
          <w:rStyle w:val="Text"/>
          <w:bCs/>
        </w:rPr>
        <w:t>Top Tips Guidance and Poultry Industry Good Practice Checklist (August 2013)</w:t>
      </w:r>
      <w:r w:rsidR="001E6F17" w:rsidRPr="00D07C27">
        <w:rPr>
          <w:rStyle w:val="Text"/>
          <w:bCs/>
        </w:rPr>
        <w:t>,</w:t>
      </w:r>
      <w:r w:rsidR="00E2344B" w:rsidRPr="00D07C27">
        <w:rPr>
          <w:rStyle w:val="Text"/>
          <w:bCs/>
        </w:rPr>
        <w:t xml:space="preserve"> </w:t>
      </w:r>
      <w:r w:rsidRPr="00D07C27">
        <w:rPr>
          <w:rFonts w:cs="Arial"/>
          <w:color w:val="auto"/>
          <w:szCs w:val="20"/>
          <w:lang w:eastAsia="en-GB"/>
        </w:rPr>
        <w:t xml:space="preserve">as well as the site-specific circumstances at the </w:t>
      </w:r>
      <w:r w:rsidR="003A7921">
        <w:rPr>
          <w:rFonts w:cs="Arial"/>
          <w:color w:val="auto"/>
          <w:szCs w:val="20"/>
          <w:lang w:eastAsia="en-GB"/>
        </w:rPr>
        <w:t>i</w:t>
      </w:r>
      <w:r w:rsidRPr="00D07C27">
        <w:rPr>
          <w:rFonts w:cs="Arial"/>
          <w:color w:val="auto"/>
          <w:szCs w:val="20"/>
          <w:lang w:eastAsia="en-GB"/>
        </w:rPr>
        <w:t>nstallation</w:t>
      </w:r>
      <w:r w:rsidRPr="00E16DAC">
        <w:rPr>
          <w:rFonts w:cs="Arial"/>
          <w:color w:val="B10E1E"/>
          <w:szCs w:val="20"/>
          <w:lang w:eastAsia="en-GB"/>
        </w:rPr>
        <w:t xml:space="preserve">. </w:t>
      </w:r>
      <w:r w:rsidRPr="00091F2C">
        <w:rPr>
          <w:rFonts w:cs="Arial"/>
          <w:color w:val="auto"/>
          <w:szCs w:val="20"/>
          <w:lang w:eastAsia="en-GB"/>
        </w:rPr>
        <w:t>We consider that the OMP is acceptable because it complies with the above guidance, with details of odour control measures, contingency measures and complaint procedures described below.</w:t>
      </w:r>
    </w:p>
    <w:p w14:paraId="347105B3" w14:textId="499E3687" w:rsidR="00652A17" w:rsidRPr="00091F2C" w:rsidRDefault="0073208E" w:rsidP="0073208E">
      <w:pPr>
        <w:rPr>
          <w:color w:val="auto"/>
        </w:rPr>
      </w:pPr>
      <w:r w:rsidRPr="00091F2C">
        <w:rPr>
          <w:rFonts w:cs="Arial"/>
          <w:color w:val="auto"/>
          <w:szCs w:val="20"/>
          <w:lang w:eastAsia="en-GB"/>
        </w:rPr>
        <w:t xml:space="preserve">The Operator is required to manage activities at the </w:t>
      </w:r>
      <w:r w:rsidR="003A7921">
        <w:rPr>
          <w:rFonts w:cs="Arial"/>
          <w:color w:val="auto"/>
          <w:szCs w:val="20"/>
          <w:lang w:eastAsia="en-GB"/>
        </w:rPr>
        <w:t>i</w:t>
      </w:r>
      <w:r w:rsidRPr="00091F2C">
        <w:rPr>
          <w:rFonts w:cs="Arial"/>
          <w:color w:val="auto"/>
          <w:szCs w:val="20"/>
          <w:lang w:eastAsia="en-GB"/>
        </w:rPr>
        <w:t xml:space="preserve">nstallation in accordance with condition 3.3.1 of the Permit and its OMP. </w:t>
      </w:r>
      <w:r w:rsidR="004B301F" w:rsidRPr="00091F2C">
        <w:rPr>
          <w:rFonts w:cs="Arial"/>
          <w:color w:val="auto"/>
          <w:szCs w:val="20"/>
          <w:lang w:eastAsia="en-GB"/>
        </w:rPr>
        <w:t>The OMP includes odour control measures and procedural measure</w:t>
      </w:r>
      <w:r w:rsidR="004F2DF9" w:rsidRPr="00091F2C">
        <w:rPr>
          <w:rFonts w:cs="Arial"/>
          <w:color w:val="auto"/>
          <w:szCs w:val="20"/>
          <w:lang w:eastAsia="en-GB"/>
        </w:rPr>
        <w:t xml:space="preserve">s. </w:t>
      </w:r>
      <w:r w:rsidRPr="00091F2C">
        <w:rPr>
          <w:rFonts w:cs="Arial"/>
          <w:color w:val="auto"/>
          <w:szCs w:val="20"/>
          <w:lang w:eastAsia="en-GB"/>
        </w:rPr>
        <w:t>The Operator has identified the potential sources of odour as well as the potential risks and problems, and detailed actions taken to minimise odour including contingencies for abnormal operations.</w:t>
      </w:r>
      <w:r w:rsidRPr="00091F2C">
        <w:rPr>
          <w:color w:val="auto"/>
        </w:rPr>
        <w:t xml:space="preserve"> </w:t>
      </w:r>
    </w:p>
    <w:p w14:paraId="44CD80E7" w14:textId="574B8D31" w:rsidR="0073208E" w:rsidRPr="00091F2C" w:rsidRDefault="0073208E" w:rsidP="0073208E">
      <w:pPr>
        <w:rPr>
          <w:rFonts w:cs="Arial"/>
          <w:color w:val="auto"/>
          <w:szCs w:val="20"/>
          <w:lang w:eastAsia="en-GB"/>
        </w:rPr>
      </w:pPr>
      <w:r w:rsidRPr="00091F2C">
        <w:rPr>
          <w:color w:val="auto"/>
        </w:rPr>
        <w:t xml:space="preserve">It should also be noted that </w:t>
      </w:r>
      <w:r w:rsidR="007F28A4" w:rsidRPr="00091F2C">
        <w:rPr>
          <w:color w:val="auto"/>
        </w:rPr>
        <w:t xml:space="preserve">for </w:t>
      </w:r>
      <w:r w:rsidR="00F8238F">
        <w:rPr>
          <w:color w:val="auto"/>
        </w:rPr>
        <w:t xml:space="preserve">the </w:t>
      </w:r>
      <w:r w:rsidR="007F28A4" w:rsidRPr="00091F2C">
        <w:rPr>
          <w:color w:val="auto"/>
        </w:rPr>
        <w:t>existing farm</w:t>
      </w:r>
      <w:r w:rsidR="007C5541" w:rsidRPr="00091F2C">
        <w:rPr>
          <w:color w:val="auto"/>
        </w:rPr>
        <w:t>,</w:t>
      </w:r>
      <w:r w:rsidR="007F28A4" w:rsidRPr="00091F2C">
        <w:rPr>
          <w:color w:val="auto"/>
        </w:rPr>
        <w:t xml:space="preserve"> </w:t>
      </w:r>
      <w:r w:rsidRPr="00091F2C">
        <w:rPr>
          <w:color w:val="auto"/>
        </w:rPr>
        <w:t>h</w:t>
      </w:r>
      <w:r w:rsidRPr="00091F2C">
        <w:rPr>
          <w:rFonts w:cs="Arial"/>
          <w:color w:val="auto"/>
          <w:szCs w:val="20"/>
          <w:lang w:eastAsia="en-GB"/>
        </w:rPr>
        <w:t>aving consulted with the Local Authority</w:t>
      </w:r>
      <w:r w:rsidR="00105993">
        <w:rPr>
          <w:rFonts w:cs="Arial"/>
          <w:color w:val="auto"/>
          <w:szCs w:val="20"/>
          <w:lang w:eastAsia="en-GB"/>
        </w:rPr>
        <w:t xml:space="preserve"> (see consultation response below)</w:t>
      </w:r>
      <w:r w:rsidR="00EF4303" w:rsidRPr="00091F2C">
        <w:rPr>
          <w:rFonts w:cs="Arial"/>
          <w:color w:val="auto"/>
          <w:szCs w:val="20"/>
          <w:lang w:eastAsia="en-GB"/>
        </w:rPr>
        <w:t xml:space="preserve"> and </w:t>
      </w:r>
      <w:r w:rsidR="007F28A4" w:rsidRPr="00091F2C">
        <w:rPr>
          <w:rFonts w:cs="Arial"/>
          <w:color w:val="auto"/>
          <w:szCs w:val="20"/>
          <w:lang w:eastAsia="en-GB"/>
        </w:rPr>
        <w:t xml:space="preserve">our local area </w:t>
      </w:r>
      <w:r w:rsidR="008E50C3" w:rsidRPr="00091F2C">
        <w:rPr>
          <w:rFonts w:cs="Arial"/>
          <w:color w:val="auto"/>
          <w:szCs w:val="20"/>
          <w:lang w:eastAsia="en-GB"/>
        </w:rPr>
        <w:t>compliance team</w:t>
      </w:r>
      <w:r w:rsidR="007C5541" w:rsidRPr="00091F2C">
        <w:rPr>
          <w:rFonts w:cs="Arial"/>
          <w:color w:val="auto"/>
          <w:szCs w:val="20"/>
          <w:lang w:eastAsia="en-GB"/>
        </w:rPr>
        <w:t>,</w:t>
      </w:r>
      <w:r w:rsidRPr="00091F2C">
        <w:rPr>
          <w:rFonts w:cs="Arial"/>
          <w:color w:val="auto"/>
          <w:szCs w:val="20"/>
          <w:lang w:eastAsia="en-GB"/>
        </w:rPr>
        <w:t xml:space="preserve"> there are no</w:t>
      </w:r>
      <w:r w:rsidR="007D1182" w:rsidRPr="00091F2C">
        <w:rPr>
          <w:rFonts w:cs="Arial"/>
          <w:color w:val="auto"/>
          <w:szCs w:val="20"/>
          <w:lang w:eastAsia="en-GB"/>
        </w:rPr>
        <w:t xml:space="preserve"> known</w:t>
      </w:r>
      <w:r w:rsidRPr="00091F2C">
        <w:rPr>
          <w:rFonts w:cs="Arial"/>
          <w:color w:val="auto"/>
          <w:szCs w:val="20"/>
          <w:lang w:eastAsia="en-GB"/>
        </w:rPr>
        <w:t xml:space="preserve"> histor</w:t>
      </w:r>
      <w:r w:rsidR="00ED7F53" w:rsidRPr="00091F2C">
        <w:rPr>
          <w:rFonts w:cs="Arial"/>
          <w:color w:val="auto"/>
          <w:szCs w:val="20"/>
          <w:lang w:eastAsia="en-GB"/>
        </w:rPr>
        <w:t>ical</w:t>
      </w:r>
      <w:r w:rsidRPr="00091F2C">
        <w:rPr>
          <w:rFonts w:cs="Arial"/>
          <w:color w:val="auto"/>
          <w:szCs w:val="20"/>
          <w:lang w:eastAsia="en-GB"/>
        </w:rPr>
        <w:t xml:space="preserve"> odour complaints at this site.</w:t>
      </w:r>
    </w:p>
    <w:p w14:paraId="1AD6F01E" w14:textId="486E6CFA" w:rsidR="0073208E" w:rsidRPr="00A90A65" w:rsidRDefault="0073208E" w:rsidP="35488E9B">
      <w:pPr>
        <w:rPr>
          <w:rFonts w:cs="Arial"/>
          <w:color w:val="auto"/>
          <w:highlight w:val="yellow"/>
          <w:lang w:eastAsia="en-GB"/>
        </w:rPr>
      </w:pPr>
      <w:r w:rsidRPr="00324B33">
        <w:rPr>
          <w:rFonts w:cs="Arial"/>
          <w:color w:val="auto"/>
          <w:lang w:eastAsia="en-GB"/>
        </w:rPr>
        <w:t xml:space="preserve">The OMP also provides a suitable procedure in the event that complaints are made to the Operator. </w:t>
      </w:r>
      <w:r w:rsidRPr="00F6D385">
        <w:rPr>
          <w:rFonts w:cs="Arial"/>
          <w:color w:val="auto"/>
          <w:lang w:eastAsia="en-GB"/>
        </w:rPr>
        <w:t>The OMP is required to be reviewed at least every year (as committed to in the OMP) and/or after a complaint is received, and/or after any changes to operations at the installation, whichever is the sooner.</w:t>
      </w:r>
      <w:r w:rsidR="00575F2F" w:rsidRPr="00F6D385">
        <w:rPr>
          <w:rFonts w:cs="Arial"/>
          <w:color w:val="auto"/>
          <w:lang w:eastAsia="en-GB"/>
        </w:rPr>
        <w:t xml:space="preserve"> The OMP includes contingency measures to minimise odour pollution during abnormal operations. A list of remedial measures is included in the contingency plan, including triggers for commencing and ceasing use of these measures.</w:t>
      </w:r>
    </w:p>
    <w:p w14:paraId="42C66C57" w14:textId="79D1EED3" w:rsidR="0073208E" w:rsidRPr="008359AD" w:rsidRDefault="0073208E" w:rsidP="0073208E">
      <w:pPr>
        <w:rPr>
          <w:rFonts w:cs="Arial"/>
          <w:color w:val="auto"/>
          <w:szCs w:val="20"/>
          <w:lang w:eastAsia="en-GB"/>
        </w:rPr>
      </w:pPr>
      <w:r w:rsidRPr="008359AD">
        <w:rPr>
          <w:rFonts w:cs="Arial"/>
          <w:color w:val="auto"/>
          <w:szCs w:val="20"/>
          <w:lang w:eastAsia="en-GB"/>
        </w:rPr>
        <w:t>The Environment Agency has reviewed the OMP and considers it complies with the requirements of our H4 Odour management guidance note. We agree with the scope and suitability of key measures, but this should not be taken as confirmation that the details of equipment specification design, operation and maintenance are suitable and sufficient. That remains the responsibility of the Operator.</w:t>
      </w:r>
    </w:p>
    <w:p w14:paraId="5EDEBDF6" w14:textId="2D85F76B" w:rsidR="00091F2C" w:rsidRPr="003A7921" w:rsidRDefault="0073208E" w:rsidP="0073208E">
      <w:pPr>
        <w:rPr>
          <w:rFonts w:cs="Arial"/>
          <w:color w:val="auto"/>
          <w:szCs w:val="20"/>
          <w:lang w:eastAsia="en-GB"/>
        </w:rPr>
      </w:pPr>
      <w:r w:rsidRPr="006D5B98">
        <w:rPr>
          <w:rFonts w:cs="Arial"/>
          <w:color w:val="auto"/>
          <w:szCs w:val="20"/>
          <w:lang w:eastAsia="en-GB"/>
        </w:rPr>
        <w:t xml:space="preserve">Although there is the potential for odour pollution from the </w:t>
      </w:r>
      <w:r w:rsidR="003A7921">
        <w:rPr>
          <w:rFonts w:cs="Arial"/>
          <w:color w:val="auto"/>
          <w:szCs w:val="20"/>
          <w:lang w:eastAsia="en-GB"/>
        </w:rPr>
        <w:t>i</w:t>
      </w:r>
      <w:r w:rsidRPr="006D5B98">
        <w:rPr>
          <w:rFonts w:cs="Arial"/>
          <w:color w:val="auto"/>
          <w:szCs w:val="20"/>
          <w:lang w:eastAsia="en-GB"/>
        </w:rPr>
        <w:t xml:space="preserve">nstallation, the Operator’s compliance with its OMP and permit conditions will minimise the risk of odour pollution beyond the </w:t>
      </w:r>
      <w:r w:rsidR="003A7921">
        <w:rPr>
          <w:rFonts w:cs="Arial"/>
          <w:color w:val="auto"/>
          <w:szCs w:val="20"/>
          <w:lang w:eastAsia="en-GB"/>
        </w:rPr>
        <w:t>i</w:t>
      </w:r>
      <w:r w:rsidRPr="006D5B98">
        <w:rPr>
          <w:rFonts w:cs="Arial"/>
          <w:color w:val="auto"/>
          <w:szCs w:val="20"/>
          <w:lang w:eastAsia="en-GB"/>
        </w:rPr>
        <w:t xml:space="preserve">nstallation boundary.  The risk of odour pollution at sensitive receptors beyond the </w:t>
      </w:r>
      <w:r w:rsidR="003A7921">
        <w:rPr>
          <w:rFonts w:cs="Arial"/>
          <w:color w:val="auto"/>
          <w:szCs w:val="20"/>
          <w:lang w:eastAsia="en-GB"/>
        </w:rPr>
        <w:t>i</w:t>
      </w:r>
      <w:r w:rsidRPr="006D5B98">
        <w:rPr>
          <w:rFonts w:cs="Arial"/>
          <w:color w:val="auto"/>
          <w:szCs w:val="20"/>
          <w:lang w:eastAsia="en-GB"/>
        </w:rPr>
        <w:t>nstallation boundary is therefore not considered significant.</w:t>
      </w:r>
    </w:p>
    <w:p w14:paraId="6276FAA0" w14:textId="34980866" w:rsidR="0073208E" w:rsidRPr="00091F2C" w:rsidRDefault="0073208E" w:rsidP="0073208E">
      <w:pPr>
        <w:autoSpaceDE w:val="0"/>
        <w:autoSpaceDN w:val="0"/>
        <w:rPr>
          <w:rFonts w:cs="Arial"/>
          <w:color w:val="auto"/>
          <w:szCs w:val="20"/>
          <w:u w:val="single"/>
        </w:rPr>
      </w:pPr>
      <w:r w:rsidRPr="00091F2C">
        <w:rPr>
          <w:rFonts w:cs="Arial"/>
          <w:color w:val="auto"/>
          <w:szCs w:val="20"/>
          <w:u w:val="single"/>
        </w:rPr>
        <w:t>Conclusion</w:t>
      </w:r>
    </w:p>
    <w:p w14:paraId="0EEEA495" w14:textId="4C7926FE" w:rsidR="004A5E5C" w:rsidRDefault="0073208E" w:rsidP="004A5E5C">
      <w:pPr>
        <w:autoSpaceDE w:val="0"/>
        <w:autoSpaceDN w:val="0"/>
        <w:rPr>
          <w:rFonts w:cs="Arial"/>
          <w:color w:val="auto"/>
          <w:szCs w:val="20"/>
        </w:rPr>
      </w:pPr>
      <w:r w:rsidRPr="00091F2C">
        <w:rPr>
          <w:rFonts w:cs="Arial"/>
          <w:color w:val="auto"/>
          <w:szCs w:val="20"/>
        </w:rPr>
        <w:t>We have assessed the OMP and conclude that the Applicant has followed the guidance set out in EPR 6.09 Appendix 4 ‘Odour management at intensive livestock installations’. We are satisfied that all sources and receptors have been identified, and that the proposed mitigation measures will minimise the risk of odour pollution/nuisance.</w:t>
      </w:r>
    </w:p>
    <w:p w14:paraId="718D961F" w14:textId="77777777" w:rsidR="004A5E5C" w:rsidRDefault="004A5E5C" w:rsidP="004A5E5C">
      <w:pPr>
        <w:autoSpaceDE w:val="0"/>
        <w:autoSpaceDN w:val="0"/>
        <w:rPr>
          <w:rFonts w:cs="Arial"/>
          <w:color w:val="auto"/>
          <w:szCs w:val="20"/>
        </w:rPr>
      </w:pPr>
    </w:p>
    <w:p w14:paraId="7F7FCBBC" w14:textId="77777777" w:rsidR="00BA0693" w:rsidRDefault="00BA0693" w:rsidP="004A5E5C">
      <w:pPr>
        <w:autoSpaceDE w:val="0"/>
        <w:autoSpaceDN w:val="0"/>
        <w:rPr>
          <w:rFonts w:cs="Arial"/>
          <w:color w:val="auto"/>
          <w:szCs w:val="20"/>
        </w:rPr>
      </w:pPr>
    </w:p>
    <w:p w14:paraId="29291513" w14:textId="19417705" w:rsidR="0073208E" w:rsidRPr="004A5E5C" w:rsidRDefault="0073208E" w:rsidP="004A5E5C">
      <w:pPr>
        <w:autoSpaceDE w:val="0"/>
        <w:autoSpaceDN w:val="0"/>
        <w:rPr>
          <w:rFonts w:cs="Arial"/>
          <w:color w:val="auto"/>
          <w:szCs w:val="20"/>
        </w:rPr>
      </w:pPr>
      <w:r w:rsidRPr="00A733F8">
        <w:rPr>
          <w:b/>
          <w:bCs/>
          <w:iCs/>
          <w:color w:val="auto"/>
          <w:sz w:val="32"/>
          <w:szCs w:val="32"/>
        </w:rPr>
        <w:t>Noise management</w:t>
      </w:r>
    </w:p>
    <w:p w14:paraId="00E243EF" w14:textId="3F76E701" w:rsidR="0073208E" w:rsidRPr="00A733F8" w:rsidRDefault="0073208E" w:rsidP="007D4EB4">
      <w:pPr>
        <w:rPr>
          <w:color w:val="auto"/>
        </w:rPr>
      </w:pPr>
      <w:r w:rsidRPr="00A733F8">
        <w:rPr>
          <w:color w:val="auto"/>
        </w:rPr>
        <w:t xml:space="preserve">Intensive farming by its nature involves activities that have the potential to cause noise pollution. This is recognised in our </w:t>
      </w:r>
      <w:r w:rsidR="006E33FD" w:rsidRPr="00A733F8">
        <w:rPr>
          <w:rFonts w:eastAsia="Calibri" w:cs="Arial"/>
          <w:color w:val="auto"/>
          <w:szCs w:val="20"/>
        </w:rPr>
        <w:t>‘</w:t>
      </w:r>
      <w:hyperlink r:id="rId15" w:history="1">
        <w:r w:rsidR="006E33FD" w:rsidRPr="00A733F8">
          <w:rPr>
            <w:rStyle w:val="Hyperlink"/>
            <w:rFonts w:eastAsia="Calibri" w:cs="Arial"/>
            <w:color w:val="auto"/>
            <w:szCs w:val="20"/>
          </w:rPr>
          <w:t>How to Comply with your Environmental Permit for Intensive Farming’</w:t>
        </w:r>
      </w:hyperlink>
      <w:r w:rsidR="006E33FD" w:rsidRPr="00A733F8">
        <w:rPr>
          <w:rFonts w:eastAsia="Calibri" w:cs="Arial"/>
          <w:color w:val="auto"/>
          <w:szCs w:val="20"/>
        </w:rPr>
        <w:t xml:space="preserve"> </w:t>
      </w:r>
      <w:r w:rsidRPr="00A733F8">
        <w:rPr>
          <w:color w:val="auto"/>
        </w:rPr>
        <w:t xml:space="preserve">EPR 6.09 guidance. </w:t>
      </w:r>
    </w:p>
    <w:p w14:paraId="0354CCB1" w14:textId="77777777" w:rsidR="0073208E" w:rsidRPr="00A733F8" w:rsidRDefault="0073208E" w:rsidP="0073208E">
      <w:pPr>
        <w:autoSpaceDE w:val="0"/>
        <w:autoSpaceDN w:val="0"/>
        <w:rPr>
          <w:rFonts w:cs="Arial"/>
          <w:color w:val="auto"/>
          <w:szCs w:val="20"/>
        </w:rPr>
      </w:pPr>
      <w:r w:rsidRPr="00A733F8">
        <w:rPr>
          <w:rFonts w:cs="Arial"/>
          <w:color w:val="auto"/>
          <w:szCs w:val="20"/>
        </w:rPr>
        <w:t xml:space="preserve">Condition 3.4 of the permit reads as follows: </w:t>
      </w:r>
    </w:p>
    <w:p w14:paraId="673D63DD" w14:textId="77777777" w:rsidR="0073208E" w:rsidRPr="00A733F8" w:rsidRDefault="0073208E" w:rsidP="0073208E">
      <w:pPr>
        <w:autoSpaceDE w:val="0"/>
        <w:autoSpaceDN w:val="0"/>
        <w:rPr>
          <w:rFonts w:cs="Arial"/>
          <w:color w:val="auto"/>
          <w:szCs w:val="20"/>
        </w:rPr>
      </w:pPr>
      <w:r w:rsidRPr="00A733F8">
        <w:rPr>
          <w:rFonts w:cs="Arial"/>
          <w:color w:val="auto"/>
          <w:szCs w:val="20"/>
        </w:rPr>
        <w:t xml:space="preserve">“Emissions from the activities shall be free from noise and vibration at levels likely to cause pollution outside the site, as perceived by an authorised officer of the Environment Agency, unless the Operator has used appropriate measures, including, but not limited to, those specified in any approved noise and vibration management plan, to prevent or where that is not practicable to minimise the noise and vibration”. </w:t>
      </w:r>
    </w:p>
    <w:p w14:paraId="018FBB27" w14:textId="7D09A8DE" w:rsidR="003660DE" w:rsidRPr="00A733F8" w:rsidRDefault="003660DE" w:rsidP="003660DE">
      <w:pPr>
        <w:rPr>
          <w:rFonts w:eastAsia="Calibri" w:cs="Arial"/>
          <w:color w:val="auto"/>
          <w:szCs w:val="20"/>
        </w:rPr>
      </w:pPr>
      <w:r w:rsidRPr="00A733F8">
        <w:rPr>
          <w:rFonts w:eastAsia="Calibri" w:cs="Arial"/>
          <w:color w:val="auto"/>
          <w:szCs w:val="20"/>
        </w:rPr>
        <w:t>Under section 3.4 of the guidance</w:t>
      </w:r>
      <w:r w:rsidR="00F94819" w:rsidRPr="00A733F8">
        <w:rPr>
          <w:rFonts w:eastAsia="Calibri" w:cs="Arial"/>
          <w:color w:val="auto"/>
          <w:szCs w:val="20"/>
        </w:rPr>
        <w:t>,</w:t>
      </w:r>
      <w:r w:rsidRPr="00A733F8">
        <w:rPr>
          <w:rFonts w:eastAsia="Calibri" w:cs="Arial"/>
          <w:color w:val="auto"/>
          <w:szCs w:val="20"/>
        </w:rPr>
        <w:t xml:space="preserve"> a Noise Management Plan (NMP) is required to be approved as part of the permitting process if, as is the case here, sensitive receptors (sensitive receptors in this instance excludes properties associated with the farm) are within 400m of the installation boundary. It is appropriate to require a NMP when such sensitive receptors have been identified within 400m of the installation to prevent or, where that is not practicable, to minimise the risk of pollution from noise emissions.</w:t>
      </w:r>
    </w:p>
    <w:p w14:paraId="392CF827" w14:textId="29F6DF05" w:rsidR="0073208E" w:rsidRPr="00A733F8" w:rsidRDefault="0073208E" w:rsidP="0073208E">
      <w:pPr>
        <w:autoSpaceDE w:val="0"/>
        <w:autoSpaceDN w:val="0"/>
        <w:rPr>
          <w:rFonts w:cs="Arial"/>
          <w:color w:val="auto"/>
          <w:szCs w:val="20"/>
        </w:rPr>
      </w:pPr>
      <w:r w:rsidRPr="00A733F8">
        <w:rPr>
          <w:rFonts w:cs="Arial"/>
          <w:color w:val="auto"/>
          <w:szCs w:val="20"/>
        </w:rPr>
        <w:t xml:space="preserve">There are sensitive receptors within 400 metres of the installation boundary as stated under the ‘Odour’ section. The Operator has provided a </w:t>
      </w:r>
      <w:r w:rsidR="001D5288">
        <w:rPr>
          <w:rFonts w:cs="Arial"/>
          <w:color w:val="auto"/>
          <w:szCs w:val="20"/>
        </w:rPr>
        <w:t xml:space="preserve">revised </w:t>
      </w:r>
      <w:r w:rsidRPr="00A733F8">
        <w:rPr>
          <w:rFonts w:cs="Arial"/>
          <w:color w:val="auto"/>
          <w:szCs w:val="20"/>
        </w:rPr>
        <w:t>NMP</w:t>
      </w:r>
      <w:r w:rsidR="001D5288">
        <w:rPr>
          <w:rFonts w:cs="Arial"/>
          <w:color w:val="auto"/>
          <w:szCs w:val="20"/>
        </w:rPr>
        <w:t xml:space="preserve"> (received 03/04/2026)</w:t>
      </w:r>
      <w:r w:rsidRPr="00A733F8">
        <w:rPr>
          <w:rFonts w:cs="Arial"/>
          <w:color w:val="auto"/>
          <w:szCs w:val="20"/>
        </w:rPr>
        <w:t xml:space="preserve"> as part of the application supporting documentation, and further details are provided below.</w:t>
      </w:r>
    </w:p>
    <w:p w14:paraId="0D38B9C0" w14:textId="447A006C" w:rsidR="0073208E" w:rsidRPr="00D25266" w:rsidRDefault="0073208E" w:rsidP="0073208E">
      <w:pPr>
        <w:autoSpaceDE w:val="0"/>
        <w:autoSpaceDN w:val="0"/>
        <w:spacing w:after="120"/>
        <w:rPr>
          <w:rFonts w:cs="Arial"/>
          <w:color w:val="auto"/>
          <w:szCs w:val="20"/>
        </w:rPr>
      </w:pPr>
      <w:r w:rsidRPr="00D25266">
        <w:rPr>
          <w:rFonts w:cs="Arial"/>
          <w:color w:val="auto"/>
          <w:szCs w:val="20"/>
        </w:rPr>
        <w:t xml:space="preserve">The risk assessment for the installation provided </w:t>
      </w:r>
      <w:r w:rsidR="009207A7">
        <w:rPr>
          <w:rFonts w:cs="Arial"/>
          <w:color w:val="auto"/>
          <w:szCs w:val="20"/>
        </w:rPr>
        <w:t>for</w:t>
      </w:r>
      <w:r w:rsidRPr="00D25266">
        <w:rPr>
          <w:rFonts w:cs="Arial"/>
          <w:color w:val="auto"/>
          <w:szCs w:val="20"/>
        </w:rPr>
        <w:t xml:space="preserve"> the application lists key potential risks of noise pollution beyond the installation boundary. These activities are as follows:</w:t>
      </w:r>
    </w:p>
    <w:p w14:paraId="7ACE745B" w14:textId="56D5BF89" w:rsidR="00835F21" w:rsidRPr="00D75D37" w:rsidRDefault="00835F21" w:rsidP="006F570D">
      <w:pPr>
        <w:pStyle w:val="ListParagraph"/>
        <w:numPr>
          <w:ilvl w:val="0"/>
          <w:numId w:val="14"/>
        </w:numPr>
        <w:rPr>
          <w:rStyle w:val="Text"/>
          <w:bCs/>
        </w:rPr>
      </w:pPr>
      <w:r w:rsidRPr="00D75D37">
        <w:rPr>
          <w:rStyle w:val="Text"/>
          <w:bCs/>
        </w:rPr>
        <w:t>Large and small vehicles travelling to and from the farm</w:t>
      </w:r>
    </w:p>
    <w:p w14:paraId="5D52ADEF" w14:textId="2A828548" w:rsidR="00835F21" w:rsidRPr="00D75D37" w:rsidRDefault="00835F21" w:rsidP="006F570D">
      <w:pPr>
        <w:pStyle w:val="pf0"/>
        <w:numPr>
          <w:ilvl w:val="0"/>
          <w:numId w:val="14"/>
        </w:numPr>
        <w:rPr>
          <w:rStyle w:val="Text"/>
          <w:rFonts w:eastAsiaTheme="minorHAnsi"/>
          <w:bCs/>
          <w:lang w:eastAsia="en-US"/>
        </w:rPr>
      </w:pPr>
      <w:r w:rsidRPr="00D75D37">
        <w:rPr>
          <w:rStyle w:val="Text"/>
          <w:rFonts w:ascii="Arial" w:eastAsiaTheme="minorHAnsi" w:hAnsi="Arial"/>
          <w:bCs/>
          <w:lang w:eastAsia="en-US"/>
        </w:rPr>
        <w:t xml:space="preserve">Large </w:t>
      </w:r>
      <w:r w:rsidR="00351B14" w:rsidRPr="00D75D37">
        <w:rPr>
          <w:rStyle w:val="Text"/>
          <w:rFonts w:ascii="Arial" w:eastAsiaTheme="minorHAnsi" w:hAnsi="Arial"/>
          <w:bCs/>
          <w:lang w:eastAsia="en-US"/>
        </w:rPr>
        <w:t xml:space="preserve">and small </w:t>
      </w:r>
      <w:r w:rsidRPr="00D75D37">
        <w:rPr>
          <w:rStyle w:val="Text"/>
          <w:rFonts w:ascii="Arial" w:eastAsiaTheme="minorHAnsi" w:hAnsi="Arial"/>
          <w:bCs/>
          <w:lang w:eastAsia="en-US"/>
        </w:rPr>
        <w:t>vehicle movement on site – including delivery of feed, transporting birds, equipment used to clean houses, litter and dirty water removal</w:t>
      </w:r>
    </w:p>
    <w:p w14:paraId="47E792CC" w14:textId="77777777" w:rsidR="00835F21" w:rsidRPr="00D75D37" w:rsidRDefault="00835F21" w:rsidP="006F570D">
      <w:pPr>
        <w:pStyle w:val="pf0"/>
        <w:numPr>
          <w:ilvl w:val="0"/>
          <w:numId w:val="14"/>
        </w:numPr>
        <w:rPr>
          <w:rStyle w:val="Text"/>
          <w:rFonts w:eastAsiaTheme="minorHAnsi"/>
          <w:bCs/>
          <w:lang w:eastAsia="en-US"/>
        </w:rPr>
      </w:pPr>
      <w:r w:rsidRPr="00D75D37">
        <w:rPr>
          <w:rStyle w:val="Text"/>
          <w:rFonts w:ascii="Arial" w:eastAsiaTheme="minorHAnsi" w:hAnsi="Arial"/>
          <w:bCs/>
          <w:lang w:eastAsia="en-US"/>
        </w:rPr>
        <w:t>Feed transfer from lorry to bins</w:t>
      </w:r>
    </w:p>
    <w:p w14:paraId="19F7884F" w14:textId="77777777" w:rsidR="00835F21" w:rsidRPr="00D75D37" w:rsidRDefault="00835F21" w:rsidP="006F570D">
      <w:pPr>
        <w:pStyle w:val="pf0"/>
        <w:numPr>
          <w:ilvl w:val="0"/>
          <w:numId w:val="14"/>
        </w:numPr>
        <w:rPr>
          <w:rStyle w:val="Text"/>
          <w:rFonts w:eastAsiaTheme="minorHAnsi"/>
          <w:bCs/>
          <w:lang w:eastAsia="en-US"/>
        </w:rPr>
      </w:pPr>
      <w:r w:rsidRPr="00D75D37">
        <w:rPr>
          <w:rStyle w:val="Text"/>
          <w:rFonts w:ascii="Arial" w:eastAsiaTheme="minorHAnsi" w:hAnsi="Arial"/>
          <w:bCs/>
          <w:lang w:eastAsia="en-US"/>
        </w:rPr>
        <w:t>Ventilation fans</w:t>
      </w:r>
    </w:p>
    <w:p w14:paraId="4834FD44" w14:textId="77777777" w:rsidR="00835F21" w:rsidRPr="00D75D37" w:rsidRDefault="00835F21" w:rsidP="006F570D">
      <w:pPr>
        <w:pStyle w:val="pf0"/>
        <w:numPr>
          <w:ilvl w:val="0"/>
          <w:numId w:val="14"/>
        </w:numPr>
        <w:rPr>
          <w:rStyle w:val="Text"/>
          <w:rFonts w:eastAsiaTheme="minorHAnsi"/>
          <w:bCs/>
          <w:lang w:eastAsia="en-US"/>
        </w:rPr>
      </w:pPr>
      <w:r w:rsidRPr="00D75D37">
        <w:rPr>
          <w:rStyle w:val="Text"/>
          <w:rFonts w:ascii="Arial" w:eastAsiaTheme="minorHAnsi" w:hAnsi="Arial"/>
          <w:bCs/>
          <w:lang w:eastAsia="en-US"/>
        </w:rPr>
        <w:t>Alarm system and standby generator</w:t>
      </w:r>
    </w:p>
    <w:p w14:paraId="33E4E6E1" w14:textId="77777777" w:rsidR="00835F21" w:rsidRPr="00D75D37" w:rsidRDefault="00835F21" w:rsidP="006F570D">
      <w:pPr>
        <w:pStyle w:val="pf0"/>
        <w:numPr>
          <w:ilvl w:val="0"/>
          <w:numId w:val="14"/>
        </w:numPr>
        <w:rPr>
          <w:rStyle w:val="Text"/>
          <w:rFonts w:eastAsiaTheme="minorHAnsi"/>
          <w:bCs/>
          <w:lang w:eastAsia="en-US"/>
        </w:rPr>
      </w:pPr>
      <w:r w:rsidRPr="00D75D37">
        <w:rPr>
          <w:rStyle w:val="Text"/>
          <w:rFonts w:ascii="Arial" w:eastAsiaTheme="minorHAnsi" w:hAnsi="Arial"/>
          <w:bCs/>
          <w:lang w:eastAsia="en-US"/>
        </w:rPr>
        <w:t>Chickens – including catching and removal from site</w:t>
      </w:r>
    </w:p>
    <w:p w14:paraId="6F7A2305" w14:textId="77777777" w:rsidR="00835F21" w:rsidRPr="00D75D37" w:rsidRDefault="00835F21" w:rsidP="006F570D">
      <w:pPr>
        <w:pStyle w:val="pf0"/>
        <w:numPr>
          <w:ilvl w:val="0"/>
          <w:numId w:val="14"/>
        </w:numPr>
        <w:rPr>
          <w:rStyle w:val="Text"/>
          <w:rFonts w:eastAsiaTheme="minorHAnsi"/>
          <w:bCs/>
          <w:lang w:eastAsia="en-US"/>
        </w:rPr>
      </w:pPr>
      <w:r w:rsidRPr="00D75D37">
        <w:rPr>
          <w:rStyle w:val="Text"/>
          <w:rFonts w:ascii="Arial" w:eastAsiaTheme="minorHAnsi" w:hAnsi="Arial"/>
          <w:bCs/>
          <w:lang w:eastAsia="en-US"/>
        </w:rPr>
        <w:t>Personnel</w:t>
      </w:r>
    </w:p>
    <w:p w14:paraId="3B9E7C7D" w14:textId="3A1AEC9B" w:rsidR="00835F21" w:rsidRPr="00D75D37" w:rsidRDefault="0085480A" w:rsidP="006F570D">
      <w:pPr>
        <w:pStyle w:val="pf0"/>
        <w:numPr>
          <w:ilvl w:val="0"/>
          <w:numId w:val="14"/>
        </w:numPr>
        <w:rPr>
          <w:rStyle w:val="Text"/>
          <w:rFonts w:ascii="Arial" w:eastAsiaTheme="minorHAnsi" w:hAnsi="Arial"/>
          <w:bCs/>
          <w:lang w:eastAsia="en-US"/>
        </w:rPr>
      </w:pPr>
      <w:r w:rsidRPr="00D75D37">
        <w:rPr>
          <w:rStyle w:val="Text"/>
          <w:rFonts w:ascii="Arial" w:eastAsiaTheme="minorHAnsi" w:hAnsi="Arial"/>
          <w:bCs/>
          <w:lang w:eastAsia="en-US"/>
        </w:rPr>
        <w:t>Repairs and servicing</w:t>
      </w:r>
    </w:p>
    <w:p w14:paraId="3FF89A08" w14:textId="19CA33C0" w:rsidR="0073208E" w:rsidRPr="001F44CA" w:rsidRDefault="0073208E" w:rsidP="0073208E">
      <w:pPr>
        <w:autoSpaceDE w:val="0"/>
        <w:autoSpaceDN w:val="0"/>
        <w:rPr>
          <w:rFonts w:cs="Arial"/>
          <w:color w:val="auto"/>
          <w:szCs w:val="20"/>
          <w:u w:val="single"/>
        </w:rPr>
      </w:pPr>
      <w:r w:rsidRPr="001F44CA">
        <w:rPr>
          <w:rFonts w:cs="Arial"/>
          <w:color w:val="auto"/>
          <w:szCs w:val="20"/>
          <w:u w:val="single"/>
        </w:rPr>
        <w:t>Noise Management Plan Review</w:t>
      </w:r>
    </w:p>
    <w:p w14:paraId="2BF21976" w14:textId="6B23BD55" w:rsidR="0073208E" w:rsidRPr="001F44CA" w:rsidRDefault="0073208E" w:rsidP="0073208E">
      <w:pPr>
        <w:autoSpaceDE w:val="0"/>
        <w:autoSpaceDN w:val="0"/>
        <w:rPr>
          <w:rFonts w:cs="Arial"/>
          <w:bCs/>
          <w:color w:val="auto"/>
          <w:szCs w:val="20"/>
        </w:rPr>
      </w:pPr>
      <w:r w:rsidRPr="001F44CA">
        <w:rPr>
          <w:rFonts w:cs="Arial"/>
          <w:color w:val="auto"/>
          <w:szCs w:val="20"/>
        </w:rPr>
        <w:t xml:space="preserve">The final NMP provided by </w:t>
      </w:r>
      <w:r w:rsidR="007B29A2" w:rsidRPr="001F44CA">
        <w:rPr>
          <w:rFonts w:cs="Arial"/>
          <w:color w:val="auto"/>
          <w:szCs w:val="20"/>
        </w:rPr>
        <w:t xml:space="preserve">the </w:t>
      </w:r>
      <w:r w:rsidRPr="001F44CA">
        <w:rPr>
          <w:rFonts w:cs="Arial"/>
          <w:color w:val="auto"/>
          <w:szCs w:val="20"/>
        </w:rPr>
        <w:t xml:space="preserve">applicant and assessed below was received </w:t>
      </w:r>
      <w:r w:rsidR="00725494" w:rsidRPr="001F44CA">
        <w:rPr>
          <w:rFonts w:cs="Arial"/>
          <w:color w:val="auto"/>
          <w:szCs w:val="20"/>
        </w:rPr>
        <w:t xml:space="preserve">in a response to </w:t>
      </w:r>
      <w:r w:rsidR="007B29A2" w:rsidRPr="001F44CA">
        <w:rPr>
          <w:rFonts w:cs="Arial"/>
          <w:color w:val="auto"/>
          <w:szCs w:val="20"/>
        </w:rPr>
        <w:t xml:space="preserve">a request for information </w:t>
      </w:r>
      <w:r w:rsidR="00CB13C7" w:rsidRPr="001F44CA">
        <w:rPr>
          <w:rFonts w:cs="Arial"/>
          <w:color w:val="auto"/>
          <w:szCs w:val="20"/>
        </w:rPr>
        <w:t xml:space="preserve">on </w:t>
      </w:r>
      <w:r w:rsidR="00796332">
        <w:rPr>
          <w:rFonts w:cs="Arial"/>
          <w:color w:val="auto"/>
          <w:szCs w:val="20"/>
        </w:rPr>
        <w:t>03</w:t>
      </w:r>
      <w:r w:rsidR="001F44CA" w:rsidRPr="001F44CA">
        <w:rPr>
          <w:rFonts w:cs="Arial"/>
          <w:color w:val="auto"/>
          <w:szCs w:val="20"/>
        </w:rPr>
        <w:t>/0</w:t>
      </w:r>
      <w:r w:rsidR="00796332">
        <w:rPr>
          <w:rFonts w:cs="Arial"/>
          <w:color w:val="auto"/>
          <w:szCs w:val="20"/>
        </w:rPr>
        <w:t>4</w:t>
      </w:r>
      <w:r w:rsidR="001F44CA" w:rsidRPr="001F44CA">
        <w:rPr>
          <w:rFonts w:cs="Arial"/>
          <w:color w:val="auto"/>
          <w:szCs w:val="20"/>
        </w:rPr>
        <w:t>/2026</w:t>
      </w:r>
      <w:r w:rsidR="0038386E" w:rsidRPr="001F44CA">
        <w:rPr>
          <w:rStyle w:val="Text"/>
        </w:rPr>
        <w:t>.</w:t>
      </w:r>
    </w:p>
    <w:p w14:paraId="221AF482" w14:textId="3F754202" w:rsidR="009650AB" w:rsidRPr="00D2577B" w:rsidRDefault="0073208E" w:rsidP="0073208E">
      <w:pPr>
        <w:spacing w:after="0"/>
        <w:rPr>
          <w:rFonts w:cs="Arial"/>
          <w:color w:val="B10E1E"/>
          <w:szCs w:val="20"/>
          <w:lang w:eastAsia="en-GB"/>
        </w:rPr>
      </w:pPr>
      <w:r w:rsidRPr="004A5E5C">
        <w:rPr>
          <w:rFonts w:cs="Arial"/>
          <w:color w:val="auto"/>
          <w:szCs w:val="20"/>
          <w:lang w:eastAsia="en-GB"/>
        </w:rPr>
        <w:t>The NMP provides a suitable procedure in the event of complaints in relation to noise</w:t>
      </w:r>
      <w:r w:rsidRPr="00D2577B">
        <w:rPr>
          <w:rFonts w:cs="Arial"/>
          <w:color w:val="B10E1E"/>
          <w:szCs w:val="20"/>
          <w:lang w:eastAsia="en-GB"/>
        </w:rPr>
        <w:t xml:space="preserve">. </w:t>
      </w:r>
      <w:r w:rsidRPr="00EB3CB8">
        <w:rPr>
          <w:rFonts w:cs="Arial"/>
          <w:color w:val="auto"/>
          <w:szCs w:val="20"/>
          <w:lang w:eastAsia="en-GB"/>
        </w:rPr>
        <w:t>The NMP is required to be reviewed at least every year (as committed to in the NMP), however the Operator has confirmed that it will be reviewed if a complaint is received</w:t>
      </w:r>
      <w:r w:rsidR="002E6237" w:rsidRPr="00EB3CB8">
        <w:rPr>
          <w:rFonts w:cs="Arial"/>
          <w:color w:val="auto"/>
          <w:szCs w:val="20"/>
          <w:lang w:eastAsia="en-GB"/>
        </w:rPr>
        <w:t xml:space="preserve"> and/or after any changes</w:t>
      </w:r>
      <w:r w:rsidR="00ED09FC" w:rsidRPr="00EB3CB8">
        <w:rPr>
          <w:rFonts w:cs="Arial"/>
          <w:color w:val="auto"/>
          <w:szCs w:val="20"/>
          <w:lang w:eastAsia="en-GB"/>
        </w:rPr>
        <w:t xml:space="preserve"> to operations at the installation</w:t>
      </w:r>
      <w:r w:rsidR="00EB3CB8" w:rsidRPr="00EB3CB8">
        <w:rPr>
          <w:rFonts w:cs="Arial"/>
          <w:color w:val="auto"/>
          <w:szCs w:val="20"/>
          <w:lang w:eastAsia="en-GB"/>
        </w:rPr>
        <w:t xml:space="preserve">. </w:t>
      </w:r>
      <w:r w:rsidR="00ED09FC" w:rsidRPr="00EB3CB8">
        <w:rPr>
          <w:rFonts w:cs="Arial"/>
          <w:color w:val="auto"/>
          <w:szCs w:val="20"/>
          <w:lang w:eastAsia="en-GB"/>
        </w:rPr>
        <w:t xml:space="preserve"> </w:t>
      </w:r>
      <w:r w:rsidR="009650AB" w:rsidRPr="00C1594A">
        <w:rPr>
          <w:rFonts w:cs="Arial"/>
          <w:color w:val="auto"/>
          <w:szCs w:val="20"/>
          <w:lang w:eastAsia="en-GB"/>
        </w:rPr>
        <w:t xml:space="preserve">The </w:t>
      </w:r>
      <w:r w:rsidR="00B018E5" w:rsidRPr="00C1594A">
        <w:rPr>
          <w:rFonts w:cs="Arial"/>
          <w:color w:val="auto"/>
          <w:szCs w:val="20"/>
          <w:lang w:eastAsia="en-GB"/>
        </w:rPr>
        <w:t>NMP</w:t>
      </w:r>
      <w:r w:rsidR="009650AB" w:rsidRPr="00C1594A">
        <w:rPr>
          <w:rFonts w:cs="Arial"/>
          <w:color w:val="auto"/>
          <w:szCs w:val="20"/>
          <w:lang w:eastAsia="en-GB"/>
        </w:rPr>
        <w:t xml:space="preserve"> includes </w:t>
      </w:r>
      <w:r w:rsidR="00B018E5" w:rsidRPr="00C1594A">
        <w:rPr>
          <w:rFonts w:cs="Arial"/>
          <w:color w:val="auto"/>
          <w:szCs w:val="20"/>
          <w:lang w:eastAsia="en-GB"/>
        </w:rPr>
        <w:t>noise</w:t>
      </w:r>
      <w:r w:rsidR="009650AB" w:rsidRPr="00C1594A">
        <w:rPr>
          <w:rFonts w:cs="Arial"/>
          <w:color w:val="auto"/>
          <w:szCs w:val="20"/>
          <w:lang w:eastAsia="en-GB"/>
        </w:rPr>
        <w:t xml:space="preserve"> control measures and procedural measures.</w:t>
      </w:r>
    </w:p>
    <w:p w14:paraId="5329B878" w14:textId="77777777" w:rsidR="00C600C2" w:rsidRPr="0073208E" w:rsidRDefault="00C600C2" w:rsidP="0073208E">
      <w:pPr>
        <w:spacing w:after="0"/>
        <w:rPr>
          <w:rFonts w:cs="Arial"/>
          <w:color w:val="C00000"/>
          <w:szCs w:val="20"/>
          <w:lang w:eastAsia="en-GB"/>
        </w:rPr>
      </w:pPr>
    </w:p>
    <w:p w14:paraId="1AD30056" w14:textId="63B3D53F" w:rsidR="006B5F6D" w:rsidRPr="00C1594A" w:rsidRDefault="006B5F6D" w:rsidP="006B5F6D">
      <w:pPr>
        <w:rPr>
          <w:rFonts w:cs="Arial"/>
          <w:color w:val="auto"/>
          <w:szCs w:val="20"/>
          <w:lang w:eastAsia="en-GB"/>
        </w:rPr>
      </w:pPr>
      <w:r w:rsidRPr="00C1594A">
        <w:rPr>
          <w:color w:val="auto"/>
        </w:rPr>
        <w:t>It should also be noted that</w:t>
      </w:r>
      <w:r w:rsidR="00D74857">
        <w:rPr>
          <w:color w:val="auto"/>
        </w:rPr>
        <w:t xml:space="preserve"> for</w:t>
      </w:r>
      <w:r w:rsidRPr="00C1594A">
        <w:rPr>
          <w:color w:val="auto"/>
        </w:rPr>
        <w:t xml:space="preserve"> </w:t>
      </w:r>
      <w:r w:rsidR="00D74857">
        <w:rPr>
          <w:color w:val="auto"/>
        </w:rPr>
        <w:t>the</w:t>
      </w:r>
      <w:r w:rsidRPr="00C1594A">
        <w:rPr>
          <w:color w:val="auto"/>
        </w:rPr>
        <w:t xml:space="preserve"> existing farm, h</w:t>
      </w:r>
      <w:r w:rsidRPr="00C1594A">
        <w:rPr>
          <w:rFonts w:cs="Arial"/>
          <w:color w:val="auto"/>
          <w:szCs w:val="20"/>
          <w:lang w:eastAsia="en-GB"/>
        </w:rPr>
        <w:t>aving consulted with the Local Authority</w:t>
      </w:r>
      <w:r w:rsidR="00D74857">
        <w:rPr>
          <w:rFonts w:cs="Arial"/>
          <w:color w:val="auto"/>
          <w:szCs w:val="20"/>
          <w:lang w:eastAsia="en-GB"/>
        </w:rPr>
        <w:t xml:space="preserve"> (</w:t>
      </w:r>
      <w:r w:rsidR="00C24C1D">
        <w:rPr>
          <w:rFonts w:cs="Arial"/>
          <w:color w:val="auto"/>
          <w:szCs w:val="20"/>
          <w:lang w:eastAsia="en-GB"/>
        </w:rPr>
        <w:t>see consultation response below)</w:t>
      </w:r>
      <w:r w:rsidRPr="00C1594A">
        <w:rPr>
          <w:rFonts w:cs="Arial"/>
          <w:color w:val="auto"/>
          <w:szCs w:val="20"/>
          <w:lang w:eastAsia="en-GB"/>
        </w:rPr>
        <w:t xml:space="preserve"> and our local area compliance team, there are no known historical noise complaints at this site.</w:t>
      </w:r>
    </w:p>
    <w:p w14:paraId="2495E81C" w14:textId="6B4C913B" w:rsidR="0073208E" w:rsidRPr="00C1594A" w:rsidRDefault="0073208E" w:rsidP="0073208E">
      <w:pPr>
        <w:autoSpaceDE w:val="0"/>
        <w:autoSpaceDN w:val="0"/>
        <w:rPr>
          <w:rFonts w:cs="Arial"/>
          <w:color w:val="auto"/>
          <w:szCs w:val="20"/>
        </w:rPr>
      </w:pPr>
      <w:r w:rsidRPr="00C1594A">
        <w:rPr>
          <w:rFonts w:cs="Arial"/>
          <w:color w:val="auto"/>
          <w:szCs w:val="20"/>
        </w:rPr>
        <w:t xml:space="preserve">We have included our standard noise and vibration condition, condition 3.4.1, in the </w:t>
      </w:r>
      <w:r w:rsidR="00A04054">
        <w:rPr>
          <w:rFonts w:cs="Arial"/>
          <w:color w:val="auto"/>
          <w:szCs w:val="20"/>
        </w:rPr>
        <w:t>p</w:t>
      </w:r>
      <w:r w:rsidRPr="00C1594A">
        <w:rPr>
          <w:rFonts w:cs="Arial"/>
          <w:color w:val="auto"/>
          <w:szCs w:val="20"/>
        </w:rPr>
        <w:t xml:space="preserve">ermit, which requires that emissions from the activities shall be free from noise and vibration at levels likely to cause pollution outside the site, as perceived by an authorised officer of the Environment Agency, unless the Operator has used appropriate measures, including, but not limited to, those specified in any approved NMP (which is captured through condition 2.3 and </w:t>
      </w:r>
      <w:r w:rsidR="00986A4E">
        <w:rPr>
          <w:rFonts w:cs="Arial"/>
          <w:color w:val="auto"/>
          <w:szCs w:val="20"/>
        </w:rPr>
        <w:t>t</w:t>
      </w:r>
      <w:r w:rsidRPr="00C1594A">
        <w:rPr>
          <w:rFonts w:cs="Arial"/>
          <w:color w:val="auto"/>
          <w:szCs w:val="20"/>
        </w:rPr>
        <w:t xml:space="preserve">able S1.2 of the </w:t>
      </w:r>
      <w:r w:rsidR="00A04054">
        <w:rPr>
          <w:rFonts w:cs="Arial"/>
          <w:color w:val="auto"/>
          <w:szCs w:val="20"/>
        </w:rPr>
        <w:t>p</w:t>
      </w:r>
      <w:r w:rsidRPr="00C1594A">
        <w:rPr>
          <w:rFonts w:cs="Arial"/>
          <w:color w:val="auto"/>
          <w:szCs w:val="20"/>
        </w:rPr>
        <w:t>ermit), to prevent or where that is not practicable to minimise the noise and vibration.</w:t>
      </w:r>
    </w:p>
    <w:p w14:paraId="25F652F7" w14:textId="76D89429" w:rsidR="0073208E" w:rsidRPr="00C1594A" w:rsidRDefault="0073208E" w:rsidP="0073208E">
      <w:pPr>
        <w:autoSpaceDE w:val="0"/>
        <w:autoSpaceDN w:val="0"/>
        <w:rPr>
          <w:rFonts w:cs="Arial"/>
          <w:color w:val="auto"/>
          <w:szCs w:val="20"/>
        </w:rPr>
      </w:pPr>
      <w:r w:rsidRPr="00C1594A">
        <w:rPr>
          <w:rFonts w:cs="Arial"/>
          <w:color w:val="auto"/>
          <w:szCs w:val="20"/>
        </w:rPr>
        <w:t xml:space="preserve">We are satisfied that the manner in which operations are carried out on the </w:t>
      </w:r>
      <w:r w:rsidR="00A204F8">
        <w:rPr>
          <w:rFonts w:cs="Arial"/>
          <w:color w:val="auto"/>
          <w:szCs w:val="20"/>
        </w:rPr>
        <w:t>i</w:t>
      </w:r>
      <w:r w:rsidRPr="00C1594A">
        <w:rPr>
          <w:rFonts w:cs="Arial"/>
          <w:color w:val="auto"/>
          <w:szCs w:val="20"/>
        </w:rPr>
        <w:t>nstallation will minimise the risk of noise pollution.</w:t>
      </w:r>
    </w:p>
    <w:p w14:paraId="733EF861" w14:textId="60B5FBC1" w:rsidR="00F572BA" w:rsidRPr="00C1594A" w:rsidRDefault="00F572BA" w:rsidP="00F572BA">
      <w:pPr>
        <w:autoSpaceDE w:val="0"/>
        <w:autoSpaceDN w:val="0"/>
        <w:rPr>
          <w:rFonts w:cs="Arial"/>
          <w:color w:val="auto"/>
          <w:szCs w:val="20"/>
          <w:u w:val="single"/>
        </w:rPr>
      </w:pPr>
      <w:r w:rsidRPr="00C1594A">
        <w:rPr>
          <w:rFonts w:cs="Arial"/>
          <w:color w:val="auto"/>
          <w:szCs w:val="20"/>
          <w:u w:val="single"/>
        </w:rPr>
        <w:t>Conclusion</w:t>
      </w:r>
    </w:p>
    <w:p w14:paraId="3DD2B0FC" w14:textId="3EAF9991" w:rsidR="0073208E" w:rsidRPr="00C1594A" w:rsidRDefault="0073208E" w:rsidP="0073208E">
      <w:pPr>
        <w:autoSpaceDE w:val="0"/>
        <w:autoSpaceDN w:val="0"/>
        <w:rPr>
          <w:rFonts w:cs="Arial"/>
          <w:color w:val="auto"/>
          <w:szCs w:val="20"/>
        </w:rPr>
      </w:pPr>
      <w:r w:rsidRPr="00C1594A">
        <w:rPr>
          <w:rFonts w:cs="Arial"/>
          <w:color w:val="auto"/>
          <w:szCs w:val="20"/>
        </w:rPr>
        <w:t xml:space="preserve">We have assessed the NMP for noise and conclude that the Applicant has followed the guidance set out in EPR 6.09 Appendix 5 ‘Noise management at intensive livestock </w:t>
      </w:r>
      <w:r w:rsidR="00A468A6" w:rsidRPr="00C1594A">
        <w:rPr>
          <w:rFonts w:cs="Arial"/>
          <w:color w:val="auto"/>
          <w:szCs w:val="20"/>
        </w:rPr>
        <w:t>I</w:t>
      </w:r>
      <w:r w:rsidRPr="00C1594A">
        <w:rPr>
          <w:rFonts w:cs="Arial"/>
          <w:color w:val="auto"/>
          <w:szCs w:val="20"/>
        </w:rPr>
        <w:t>nstallations’</w:t>
      </w:r>
      <w:r w:rsidR="00A468A6" w:rsidRPr="00C1594A">
        <w:rPr>
          <w:rFonts w:cs="Arial"/>
          <w:color w:val="auto"/>
          <w:szCs w:val="20"/>
        </w:rPr>
        <w:t xml:space="preserve">. </w:t>
      </w:r>
      <w:r w:rsidRPr="00C1594A">
        <w:rPr>
          <w:rFonts w:cs="Arial"/>
          <w:color w:val="auto"/>
          <w:szCs w:val="20"/>
        </w:rPr>
        <w:t>We are satisfied that all sources and receptors have been identified, and that the proposed mitigation measures will minimise the risk of noise pollution/nuisance.</w:t>
      </w:r>
    </w:p>
    <w:p w14:paraId="63576118" w14:textId="7A9FEBB3" w:rsidR="0073208E" w:rsidRPr="00BF161D" w:rsidRDefault="0073208E" w:rsidP="0073208E">
      <w:pPr>
        <w:keepNext/>
        <w:spacing w:line="276" w:lineRule="auto"/>
        <w:outlineLvl w:val="1"/>
        <w:rPr>
          <w:b/>
          <w:bCs/>
          <w:iCs/>
          <w:color w:val="auto"/>
          <w:sz w:val="32"/>
          <w:szCs w:val="32"/>
        </w:rPr>
      </w:pPr>
      <w:r w:rsidRPr="00BF161D">
        <w:rPr>
          <w:b/>
          <w:bCs/>
          <w:iCs/>
          <w:color w:val="auto"/>
          <w:sz w:val="32"/>
          <w:szCs w:val="32"/>
        </w:rPr>
        <w:t xml:space="preserve">Dust and </w:t>
      </w:r>
      <w:r w:rsidR="00520AE1">
        <w:rPr>
          <w:b/>
          <w:bCs/>
          <w:iCs/>
          <w:color w:val="auto"/>
          <w:sz w:val="32"/>
          <w:szCs w:val="32"/>
        </w:rPr>
        <w:t>b</w:t>
      </w:r>
      <w:r w:rsidRPr="00BF161D">
        <w:rPr>
          <w:b/>
          <w:bCs/>
          <w:iCs/>
          <w:color w:val="auto"/>
          <w:sz w:val="32"/>
          <w:szCs w:val="32"/>
        </w:rPr>
        <w:t>ioaerosols management</w:t>
      </w:r>
    </w:p>
    <w:p w14:paraId="6D7367E7" w14:textId="5E583DB1" w:rsidR="0073208E" w:rsidRPr="00E17333" w:rsidRDefault="0073208E" w:rsidP="002F49D1">
      <w:pPr>
        <w:rPr>
          <w:color w:val="auto"/>
        </w:rPr>
      </w:pPr>
      <w:r w:rsidRPr="00F0623F">
        <w:rPr>
          <w:color w:val="auto"/>
        </w:rPr>
        <w:t>The use of Best Available Techniques and good practice will ensure minimisation of emissions. There are measures included within the permit (the ‘Fugitive Emissions’ conditions) to provide a level of protection. Condition 3.2.1 ‘Emissions of substances not controlled by an emission limit’ is included in the permit. This is used in conjunction with condition 3.2.2 which states that in the event of fugitive emissions causing pollution following commissioning of the installation, the Operator is required to undertake a review of site activities, provide an emissions management plan and to undertake any mitigation recommended as part of that report, once agreed in writing with the Environment Agency.</w:t>
      </w:r>
    </w:p>
    <w:p w14:paraId="7F65F423" w14:textId="497EE33D" w:rsidR="0073208E" w:rsidRPr="00F0623F" w:rsidRDefault="0073208E" w:rsidP="002F49D1">
      <w:pPr>
        <w:rPr>
          <w:color w:val="auto"/>
        </w:rPr>
      </w:pPr>
      <w:r w:rsidRPr="00F0623F">
        <w:rPr>
          <w:color w:val="auto"/>
        </w:rPr>
        <w:t>In addition, guidance on our website concludes that Applicants need to produce and submit a dust and bioaerosol management plan beyond the requirement of the initial risk assessment, with their applications only if there are relevant receptors within 100 metres including the farmhouse or farm workers</w:t>
      </w:r>
      <w:r w:rsidR="001E6F17" w:rsidRPr="00F0623F">
        <w:rPr>
          <w:color w:val="auto"/>
        </w:rPr>
        <w:t>’</w:t>
      </w:r>
      <w:r w:rsidRPr="00F0623F">
        <w:rPr>
          <w:color w:val="auto"/>
        </w:rPr>
        <w:t xml:space="preserve"> houses. Details can be found via the link below:</w:t>
      </w:r>
    </w:p>
    <w:p w14:paraId="0553E039" w14:textId="77777777" w:rsidR="0073208E" w:rsidRPr="00F0623F" w:rsidRDefault="0073208E" w:rsidP="00B3570E">
      <w:pPr>
        <w:rPr>
          <w:color w:val="auto"/>
        </w:rPr>
      </w:pPr>
      <w:hyperlink r:id="rId16" w:anchor="air-emissions-dust-and-bioaerosols" w:history="1">
        <w:r w:rsidRPr="00F0623F">
          <w:rPr>
            <w:rStyle w:val="Hyperlink"/>
            <w:color w:val="auto"/>
          </w:rPr>
          <w:t>www.gov.uk/guidance/intensive-farming-risk-assessment-for-your-environmental-permit#air-emissions-dust-and-bioaerosols</w:t>
        </w:r>
      </w:hyperlink>
      <w:r w:rsidRPr="00F0623F">
        <w:rPr>
          <w:color w:val="auto"/>
        </w:rPr>
        <w:t>.</w:t>
      </w:r>
    </w:p>
    <w:p w14:paraId="7DCDA7C5" w14:textId="36EA49A6" w:rsidR="0073208E" w:rsidRPr="00875618" w:rsidRDefault="0073208E" w:rsidP="00B3570E">
      <w:pPr>
        <w:rPr>
          <w:color w:val="auto"/>
        </w:rPr>
      </w:pPr>
      <w:r w:rsidRPr="00875618">
        <w:rPr>
          <w:color w:val="auto"/>
        </w:rPr>
        <w:t xml:space="preserve">As there are receptors within 100m of the installation, the Applicant was required to submit a dust and bioaerosol management plan in this format. The final dust and bioaerosol management plan provided by </w:t>
      </w:r>
      <w:r w:rsidR="0069451B" w:rsidRPr="00875618">
        <w:rPr>
          <w:color w:val="auto"/>
        </w:rPr>
        <w:t xml:space="preserve">the </w:t>
      </w:r>
      <w:r w:rsidRPr="00875618">
        <w:rPr>
          <w:color w:val="auto"/>
        </w:rPr>
        <w:t xml:space="preserve">applicant and assessed below was received on </w:t>
      </w:r>
      <w:r w:rsidR="0081729C">
        <w:rPr>
          <w:color w:val="auto"/>
        </w:rPr>
        <w:t>03/04</w:t>
      </w:r>
      <w:r w:rsidR="0012397B">
        <w:rPr>
          <w:color w:val="auto"/>
        </w:rPr>
        <w:t>/2026</w:t>
      </w:r>
      <w:r w:rsidRPr="00875618">
        <w:rPr>
          <w:color w:val="auto"/>
        </w:rPr>
        <w:t>.</w:t>
      </w:r>
    </w:p>
    <w:p w14:paraId="55AA3231" w14:textId="0EBE45D5" w:rsidR="0073208E" w:rsidRPr="008439BC" w:rsidRDefault="0073208E" w:rsidP="00B3570E">
      <w:pPr>
        <w:rPr>
          <w:rFonts w:cs="Arial"/>
          <w:color w:val="auto"/>
        </w:rPr>
      </w:pPr>
      <w:r w:rsidRPr="008439BC">
        <w:rPr>
          <w:color w:val="auto"/>
        </w:rPr>
        <w:t xml:space="preserve">There are </w:t>
      </w:r>
      <w:r w:rsidR="00875618" w:rsidRPr="008439BC">
        <w:rPr>
          <w:bCs/>
          <w:color w:val="auto"/>
        </w:rPr>
        <w:t>5</w:t>
      </w:r>
      <w:r w:rsidR="00E4080C" w:rsidRPr="008439BC">
        <w:rPr>
          <w:color w:val="auto"/>
        </w:rPr>
        <w:t xml:space="preserve"> </w:t>
      </w:r>
      <w:r w:rsidRPr="008439BC">
        <w:rPr>
          <w:color w:val="auto"/>
        </w:rPr>
        <w:t>sensitive receptors within 100m of the installation</w:t>
      </w:r>
      <w:r w:rsidRPr="008439BC">
        <w:rPr>
          <w:rFonts w:cs="Arial"/>
          <w:color w:val="auto"/>
        </w:rPr>
        <w:t xml:space="preserve"> boundary, the nearest sensitive receptor (the nearest point of their assumed property boundary) is approximately </w:t>
      </w:r>
      <w:r w:rsidR="00644FEB" w:rsidRPr="008439BC">
        <w:rPr>
          <w:rFonts w:cs="Arial"/>
          <w:color w:val="auto"/>
        </w:rPr>
        <w:t>0</w:t>
      </w:r>
      <w:r w:rsidRPr="008439BC">
        <w:rPr>
          <w:rFonts w:cs="Arial"/>
          <w:color w:val="auto"/>
        </w:rPr>
        <w:t xml:space="preserve"> metres to the </w:t>
      </w:r>
      <w:r w:rsidR="00644FEB" w:rsidRPr="008439BC">
        <w:rPr>
          <w:rFonts w:cs="Arial"/>
          <w:color w:val="auto"/>
        </w:rPr>
        <w:t>southeast</w:t>
      </w:r>
      <w:r w:rsidRPr="008439BC">
        <w:rPr>
          <w:rFonts w:cs="Arial"/>
          <w:color w:val="auto"/>
        </w:rPr>
        <w:t xml:space="preserve"> of the installation boundary, and approximately </w:t>
      </w:r>
      <w:r w:rsidR="006069FF">
        <w:rPr>
          <w:bCs/>
          <w:color w:val="auto"/>
        </w:rPr>
        <w:t>20</w:t>
      </w:r>
      <w:r w:rsidRPr="008439BC">
        <w:rPr>
          <w:rFonts w:cs="Arial"/>
          <w:color w:val="auto"/>
        </w:rPr>
        <w:t xml:space="preserve"> metres from the nearest</w:t>
      </w:r>
      <w:r w:rsidR="008439BC" w:rsidRPr="008439BC">
        <w:rPr>
          <w:rFonts w:cs="Arial"/>
          <w:color w:val="auto"/>
        </w:rPr>
        <w:t xml:space="preserve"> </w:t>
      </w:r>
      <w:r w:rsidRPr="008439BC">
        <w:rPr>
          <w:rFonts w:cs="Arial"/>
          <w:bCs/>
          <w:color w:val="auto"/>
        </w:rPr>
        <w:t>poultry</w:t>
      </w:r>
      <w:r w:rsidRPr="008439BC">
        <w:rPr>
          <w:rFonts w:cs="Arial"/>
          <w:color w:val="auto"/>
        </w:rPr>
        <w:t xml:space="preserve"> house.</w:t>
      </w:r>
    </w:p>
    <w:p w14:paraId="7D5464ED" w14:textId="631C574C" w:rsidR="0073208E" w:rsidRPr="002F49D1" w:rsidRDefault="0073208E" w:rsidP="0073208E">
      <w:pPr>
        <w:rPr>
          <w:rFonts w:cs="Arial"/>
          <w:color w:val="B10E1E"/>
          <w:szCs w:val="20"/>
        </w:rPr>
      </w:pPr>
      <w:r w:rsidRPr="00632AF8">
        <w:rPr>
          <w:rFonts w:cs="Arial"/>
          <w:color w:val="auto"/>
          <w:szCs w:val="20"/>
        </w:rPr>
        <w:t>In the guidance mentioned above it states that particulate concentrations fall off rapidly with distance from the emitting source. This fact, together with the proposed good management of the installation (such as keeping areas clean from build-up of dust and other measures in place to reduce dust and the risk of spillages e.g. litter and feed management/delivery procedures) all reduce the potential for emissions impacting the nearest receptors. The Applicant has confirmed measures in their dust and bioaerosol management plan to reduce dust (which will inherently reduce bioaerosols) for the following potential risks:</w:t>
      </w:r>
    </w:p>
    <w:p w14:paraId="6C3E1F44" w14:textId="41C65C0F" w:rsidR="00C657DD" w:rsidRPr="00894429" w:rsidRDefault="00C657DD" w:rsidP="006F570D">
      <w:pPr>
        <w:pStyle w:val="ListParagraph"/>
        <w:numPr>
          <w:ilvl w:val="0"/>
          <w:numId w:val="14"/>
        </w:numPr>
        <w:rPr>
          <w:rStyle w:val="Text"/>
          <w:bCs/>
        </w:rPr>
      </w:pPr>
      <w:r w:rsidRPr="00894429">
        <w:rPr>
          <w:rStyle w:val="Text"/>
          <w:bCs/>
        </w:rPr>
        <w:t>Feed delivery and storage</w:t>
      </w:r>
    </w:p>
    <w:p w14:paraId="41EF3A10" w14:textId="04746544" w:rsidR="00C657DD" w:rsidRPr="00894429" w:rsidRDefault="00C657DD" w:rsidP="006F570D">
      <w:pPr>
        <w:pStyle w:val="ListParagraph"/>
        <w:numPr>
          <w:ilvl w:val="0"/>
          <w:numId w:val="14"/>
        </w:numPr>
        <w:rPr>
          <w:rStyle w:val="Text"/>
          <w:bCs/>
        </w:rPr>
      </w:pPr>
      <w:r w:rsidRPr="00894429">
        <w:rPr>
          <w:rStyle w:val="Text"/>
          <w:bCs/>
        </w:rPr>
        <w:t>Manufacturer and selection of feed</w:t>
      </w:r>
    </w:p>
    <w:p w14:paraId="22DD241E" w14:textId="3770E71A" w:rsidR="00C657DD" w:rsidRPr="00894429" w:rsidRDefault="00C657DD" w:rsidP="006F570D">
      <w:pPr>
        <w:pStyle w:val="ListParagraph"/>
        <w:numPr>
          <w:ilvl w:val="0"/>
          <w:numId w:val="14"/>
        </w:numPr>
        <w:rPr>
          <w:rStyle w:val="Text"/>
          <w:bCs/>
        </w:rPr>
      </w:pPr>
      <w:r w:rsidRPr="00894429">
        <w:rPr>
          <w:rStyle w:val="Text"/>
          <w:bCs/>
        </w:rPr>
        <w:t>Bedding material</w:t>
      </w:r>
      <w:r w:rsidR="00780817">
        <w:rPr>
          <w:rStyle w:val="Text"/>
          <w:bCs/>
        </w:rPr>
        <w:t>s and application</w:t>
      </w:r>
    </w:p>
    <w:p w14:paraId="3DB261B7" w14:textId="32DBCA0F" w:rsidR="00C657DD" w:rsidRPr="00894429" w:rsidRDefault="00C657DD" w:rsidP="006F570D">
      <w:pPr>
        <w:pStyle w:val="ListParagraph"/>
        <w:numPr>
          <w:ilvl w:val="0"/>
          <w:numId w:val="14"/>
        </w:numPr>
        <w:rPr>
          <w:rStyle w:val="Text"/>
          <w:bCs/>
        </w:rPr>
      </w:pPr>
      <w:r w:rsidRPr="00894429">
        <w:rPr>
          <w:rStyle w:val="Text"/>
          <w:bCs/>
        </w:rPr>
        <w:t>Ventilation and heating systems</w:t>
      </w:r>
    </w:p>
    <w:p w14:paraId="121264B1" w14:textId="29081C45" w:rsidR="00C657DD" w:rsidRPr="00894429" w:rsidRDefault="00C657DD" w:rsidP="006F570D">
      <w:pPr>
        <w:pStyle w:val="ListParagraph"/>
        <w:numPr>
          <w:ilvl w:val="0"/>
          <w:numId w:val="14"/>
        </w:numPr>
        <w:rPr>
          <w:rStyle w:val="Text"/>
          <w:bCs/>
        </w:rPr>
      </w:pPr>
      <w:r w:rsidRPr="00894429">
        <w:rPr>
          <w:rStyle w:val="Text"/>
          <w:bCs/>
        </w:rPr>
        <w:t>Litter management</w:t>
      </w:r>
    </w:p>
    <w:p w14:paraId="7667FFC5" w14:textId="4D307C46" w:rsidR="00C657DD" w:rsidRPr="00894429" w:rsidRDefault="00C657DD" w:rsidP="006F570D">
      <w:pPr>
        <w:pStyle w:val="ListParagraph"/>
        <w:numPr>
          <w:ilvl w:val="0"/>
          <w:numId w:val="14"/>
        </w:numPr>
        <w:rPr>
          <w:rStyle w:val="Text"/>
          <w:bCs/>
        </w:rPr>
      </w:pPr>
      <w:r w:rsidRPr="00894429">
        <w:rPr>
          <w:rStyle w:val="Text"/>
          <w:bCs/>
        </w:rPr>
        <w:t>Carcass disposal</w:t>
      </w:r>
    </w:p>
    <w:p w14:paraId="53FC6108" w14:textId="10C14F2D" w:rsidR="00C657DD" w:rsidRPr="00894429" w:rsidRDefault="00C657DD" w:rsidP="006F570D">
      <w:pPr>
        <w:pStyle w:val="ListParagraph"/>
        <w:numPr>
          <w:ilvl w:val="0"/>
          <w:numId w:val="14"/>
        </w:numPr>
        <w:rPr>
          <w:rStyle w:val="Text"/>
          <w:bCs/>
        </w:rPr>
      </w:pPr>
      <w:r w:rsidRPr="00894429">
        <w:rPr>
          <w:rStyle w:val="Text"/>
          <w:bCs/>
        </w:rPr>
        <w:t>House clean out</w:t>
      </w:r>
    </w:p>
    <w:p w14:paraId="249AFEA3" w14:textId="3638D297" w:rsidR="00C657DD" w:rsidRPr="00894429" w:rsidRDefault="00C657DD" w:rsidP="006F570D">
      <w:pPr>
        <w:pStyle w:val="ListParagraph"/>
        <w:numPr>
          <w:ilvl w:val="0"/>
          <w:numId w:val="14"/>
        </w:numPr>
        <w:rPr>
          <w:rStyle w:val="Text"/>
          <w:bCs/>
        </w:rPr>
      </w:pPr>
      <w:r w:rsidRPr="00894429">
        <w:rPr>
          <w:rStyle w:val="Text"/>
          <w:bCs/>
        </w:rPr>
        <w:t>Used litter</w:t>
      </w:r>
    </w:p>
    <w:p w14:paraId="6F7D0A72" w14:textId="2DE9EA84" w:rsidR="00C657DD" w:rsidRPr="00894429" w:rsidRDefault="00C657DD" w:rsidP="006F570D">
      <w:pPr>
        <w:pStyle w:val="ListParagraph"/>
        <w:numPr>
          <w:ilvl w:val="0"/>
          <w:numId w:val="14"/>
        </w:numPr>
        <w:rPr>
          <w:rStyle w:val="Text"/>
          <w:bCs/>
        </w:rPr>
      </w:pPr>
      <w:r w:rsidRPr="00894429">
        <w:rPr>
          <w:rStyle w:val="Text"/>
          <w:bCs/>
        </w:rPr>
        <w:t>Fugitive emissions</w:t>
      </w:r>
    </w:p>
    <w:p w14:paraId="1C074121" w14:textId="77777777" w:rsidR="0073208E" w:rsidRPr="0073208E" w:rsidRDefault="0073208E" w:rsidP="000C08E6">
      <w:pPr>
        <w:spacing w:after="0"/>
        <w:ind w:left="720"/>
        <w:contextualSpacing/>
        <w:rPr>
          <w:rFonts w:eastAsia="Calibri" w:cs="Arial"/>
          <w:color w:val="FF0000"/>
          <w:szCs w:val="20"/>
        </w:rPr>
      </w:pPr>
    </w:p>
    <w:p w14:paraId="62D9EF16" w14:textId="3646D97B" w:rsidR="00F669B1" w:rsidRPr="00632AF8" w:rsidRDefault="0073208E" w:rsidP="00DB7E52">
      <w:pPr>
        <w:rPr>
          <w:rFonts w:cs="Arial"/>
          <w:color w:val="auto"/>
          <w:szCs w:val="20"/>
        </w:rPr>
      </w:pPr>
      <w:r w:rsidRPr="00632AF8">
        <w:rPr>
          <w:rFonts w:cs="Arial"/>
          <w:color w:val="auto"/>
          <w:szCs w:val="20"/>
        </w:rPr>
        <w:t>We are satisfied that the measures outlined in the application will minimise the potential for dust and bioaerosol emissions from the installation.</w:t>
      </w:r>
    </w:p>
    <w:p w14:paraId="74648603" w14:textId="0E3E7B26" w:rsidR="00402DEE" w:rsidRPr="001A08E6" w:rsidRDefault="00402DEE" w:rsidP="00402DEE">
      <w:pPr>
        <w:keepNext/>
        <w:spacing w:line="276" w:lineRule="auto"/>
        <w:outlineLvl w:val="1"/>
        <w:rPr>
          <w:b/>
          <w:bCs/>
          <w:iCs/>
          <w:color w:val="auto"/>
          <w:sz w:val="32"/>
          <w:szCs w:val="32"/>
        </w:rPr>
      </w:pPr>
      <w:r w:rsidRPr="001A08E6">
        <w:rPr>
          <w:b/>
          <w:bCs/>
          <w:iCs/>
          <w:color w:val="auto"/>
          <w:sz w:val="32"/>
          <w:szCs w:val="32"/>
        </w:rPr>
        <w:t xml:space="preserve">Standby </w:t>
      </w:r>
      <w:r w:rsidR="00520AE1">
        <w:rPr>
          <w:b/>
          <w:bCs/>
          <w:iCs/>
          <w:color w:val="auto"/>
          <w:sz w:val="32"/>
          <w:szCs w:val="32"/>
        </w:rPr>
        <w:t>g</w:t>
      </w:r>
      <w:r w:rsidRPr="001A08E6">
        <w:rPr>
          <w:b/>
          <w:bCs/>
          <w:iCs/>
          <w:color w:val="auto"/>
          <w:sz w:val="32"/>
          <w:szCs w:val="32"/>
        </w:rPr>
        <w:t>enerator</w:t>
      </w:r>
    </w:p>
    <w:p w14:paraId="52C64C1F" w14:textId="1875ACB2" w:rsidR="005B60FE" w:rsidRPr="00EE486A" w:rsidRDefault="00402DEE" w:rsidP="00DB7E52">
      <w:pPr>
        <w:rPr>
          <w:rFonts w:cs="Arial"/>
          <w:b/>
          <w:color w:val="auto"/>
        </w:rPr>
      </w:pPr>
      <w:r w:rsidRPr="001A08E6">
        <w:rPr>
          <w:rFonts w:cs="Arial"/>
          <w:color w:val="auto"/>
          <w:szCs w:val="20"/>
        </w:rPr>
        <w:t>There is one</w:t>
      </w:r>
      <w:r w:rsidR="00455696" w:rsidRPr="001A08E6">
        <w:rPr>
          <w:rFonts w:cs="Arial"/>
          <w:color w:val="auto"/>
          <w:szCs w:val="20"/>
        </w:rPr>
        <w:t xml:space="preserve"> standby generator within the installation boundary </w:t>
      </w:r>
      <w:r w:rsidRPr="001A08E6">
        <w:rPr>
          <w:rFonts w:cs="Arial"/>
          <w:color w:val="auto"/>
          <w:szCs w:val="20"/>
        </w:rPr>
        <w:t xml:space="preserve">with a net thermal rated input of </w:t>
      </w:r>
      <w:r w:rsidR="004B1551" w:rsidRPr="001A08E6">
        <w:rPr>
          <w:rFonts w:cs="Arial"/>
          <w:color w:val="auto"/>
          <w:szCs w:val="20"/>
        </w:rPr>
        <w:t>0.757</w:t>
      </w:r>
      <w:r w:rsidRPr="001A08E6">
        <w:rPr>
          <w:rFonts w:cs="Arial"/>
          <w:color w:val="auto"/>
          <w:szCs w:val="20"/>
        </w:rPr>
        <w:t>MWth</w:t>
      </w:r>
      <w:r w:rsidR="00374D7E" w:rsidRPr="001A08E6">
        <w:rPr>
          <w:rFonts w:cs="Arial"/>
          <w:color w:val="auto"/>
          <w:szCs w:val="20"/>
        </w:rPr>
        <w:t>. The Operator has confirmed that i</w:t>
      </w:r>
      <w:r w:rsidRPr="001A08E6">
        <w:rPr>
          <w:rFonts w:cs="Arial"/>
          <w:color w:val="auto"/>
          <w:szCs w:val="20"/>
        </w:rPr>
        <w:t>t</w:t>
      </w:r>
      <w:r w:rsidR="004B1551" w:rsidRPr="001A08E6">
        <w:rPr>
          <w:rFonts w:cs="Arial"/>
          <w:color w:val="auto"/>
          <w:szCs w:val="20"/>
        </w:rPr>
        <w:t xml:space="preserve"> </w:t>
      </w:r>
      <w:r w:rsidRPr="001A08E6">
        <w:rPr>
          <w:rFonts w:cs="Arial"/>
          <w:color w:val="auto"/>
          <w:szCs w:val="20"/>
        </w:rPr>
        <w:t xml:space="preserve">will not be tested more than </w:t>
      </w:r>
      <w:r w:rsidR="00374D7E" w:rsidRPr="001A08E6">
        <w:rPr>
          <w:rFonts w:cs="Arial"/>
          <w:color w:val="auto"/>
          <w:szCs w:val="20"/>
        </w:rPr>
        <w:t>50</w:t>
      </w:r>
      <w:r w:rsidR="00091B94" w:rsidRPr="001A08E6">
        <w:rPr>
          <w:rFonts w:cs="Arial"/>
          <w:bCs/>
          <w:color w:val="auto"/>
        </w:rPr>
        <w:t xml:space="preserve"> </w:t>
      </w:r>
      <w:r w:rsidRPr="001A08E6">
        <w:rPr>
          <w:rFonts w:cs="Arial"/>
          <w:color w:val="auto"/>
          <w:szCs w:val="20"/>
        </w:rPr>
        <w:t xml:space="preserve">hours per </w:t>
      </w:r>
      <w:r w:rsidR="001A08E6" w:rsidRPr="001A08E6">
        <w:rPr>
          <w:rFonts w:cs="Arial"/>
          <w:color w:val="auto"/>
          <w:szCs w:val="20"/>
        </w:rPr>
        <w:t>year or</w:t>
      </w:r>
      <w:r w:rsidRPr="001A08E6">
        <w:rPr>
          <w:rFonts w:cs="Arial"/>
          <w:color w:val="auto"/>
          <w:szCs w:val="20"/>
        </w:rPr>
        <w:t xml:space="preserve"> operated</w:t>
      </w:r>
      <w:r w:rsidR="007E34F1" w:rsidRPr="001A08E6">
        <w:rPr>
          <w:rFonts w:cs="Arial"/>
          <w:color w:val="auto"/>
          <w:szCs w:val="20"/>
        </w:rPr>
        <w:t xml:space="preserve"> (including test</w:t>
      </w:r>
      <w:r w:rsidR="00911731" w:rsidRPr="001A08E6">
        <w:rPr>
          <w:rFonts w:cs="Arial"/>
          <w:color w:val="auto"/>
          <w:szCs w:val="20"/>
        </w:rPr>
        <w:t>ing)</w:t>
      </w:r>
      <w:r w:rsidRPr="001A08E6">
        <w:rPr>
          <w:rFonts w:cs="Arial"/>
          <w:color w:val="auto"/>
          <w:szCs w:val="20"/>
        </w:rPr>
        <w:t xml:space="preserve"> for more than </w:t>
      </w:r>
      <w:r w:rsidR="00B31B5F" w:rsidRPr="001A08E6">
        <w:rPr>
          <w:rFonts w:cs="Arial"/>
          <w:color w:val="auto"/>
          <w:szCs w:val="20"/>
        </w:rPr>
        <w:t>500</w:t>
      </w:r>
      <w:r w:rsidR="00091B94" w:rsidRPr="001A08E6">
        <w:rPr>
          <w:rFonts w:cs="Arial"/>
          <w:color w:val="auto"/>
          <w:szCs w:val="20"/>
        </w:rPr>
        <w:t xml:space="preserve"> </w:t>
      </w:r>
      <w:r w:rsidRPr="001A08E6">
        <w:rPr>
          <w:rFonts w:cs="Arial"/>
          <w:color w:val="auto"/>
          <w:szCs w:val="20"/>
        </w:rPr>
        <w:t>hours per year (averaged over 3 years) for emergency use only as a temporary power source if there is a mains power failure.</w:t>
      </w:r>
      <w:r w:rsidR="00BB214B">
        <w:rPr>
          <w:color w:val="B10E1E"/>
        </w:rPr>
        <w:tab/>
      </w:r>
    </w:p>
    <w:p w14:paraId="20BAC363" w14:textId="60F8B269" w:rsidR="0073208E" w:rsidRPr="00F40A82" w:rsidRDefault="0073208E" w:rsidP="00EB7660">
      <w:pPr>
        <w:pStyle w:val="Topictitle"/>
        <w:rPr>
          <w:b w:val="0"/>
          <w:bCs w:val="0"/>
          <w:iCs w:val="0"/>
          <w:color w:val="auto"/>
        </w:rPr>
      </w:pPr>
      <w:r w:rsidRPr="00F40A82">
        <w:rPr>
          <w:color w:val="auto"/>
        </w:rPr>
        <w:t xml:space="preserve">Heat </w:t>
      </w:r>
      <w:r w:rsidR="000D3F5E">
        <w:rPr>
          <w:color w:val="auto"/>
        </w:rPr>
        <w:t>e</w:t>
      </w:r>
      <w:r w:rsidRPr="00F40A82">
        <w:rPr>
          <w:color w:val="auto"/>
        </w:rPr>
        <w:t>xchangers</w:t>
      </w:r>
    </w:p>
    <w:p w14:paraId="37E66802" w14:textId="5E5BE2FE" w:rsidR="0073208E" w:rsidRPr="00F40A82" w:rsidRDefault="0073208E" w:rsidP="0073208E">
      <w:pPr>
        <w:rPr>
          <w:rFonts w:cs="Arial"/>
          <w:color w:val="auto"/>
          <w:szCs w:val="20"/>
        </w:rPr>
      </w:pPr>
      <w:r w:rsidRPr="00F40A82">
        <w:rPr>
          <w:rFonts w:cs="Arial"/>
          <w:color w:val="auto"/>
          <w:szCs w:val="20"/>
        </w:rPr>
        <w:t xml:space="preserve">Heat exchangers are being fitted on all </w:t>
      </w:r>
      <w:r w:rsidR="001A08E6" w:rsidRPr="00F40A82">
        <w:rPr>
          <w:rFonts w:cs="Arial"/>
          <w:color w:val="auto"/>
          <w:szCs w:val="20"/>
        </w:rPr>
        <w:t>6</w:t>
      </w:r>
      <w:r w:rsidRPr="00F40A82">
        <w:rPr>
          <w:rFonts w:cs="Arial"/>
          <w:color w:val="auto"/>
          <w:szCs w:val="20"/>
        </w:rPr>
        <w:t xml:space="preserve"> poultry houses with this application</w:t>
      </w:r>
      <w:r w:rsidR="0024147B" w:rsidRPr="00F40A82">
        <w:rPr>
          <w:rFonts w:cs="Arial"/>
          <w:color w:val="auto"/>
          <w:szCs w:val="20"/>
        </w:rPr>
        <w:t xml:space="preserve">. </w:t>
      </w:r>
    </w:p>
    <w:p w14:paraId="13A8CDC8" w14:textId="6298C7AC" w:rsidR="00F764AC" w:rsidRPr="0059020E" w:rsidRDefault="00F764AC" w:rsidP="0073208E">
      <w:pPr>
        <w:rPr>
          <w:rFonts w:cs="Arial"/>
          <w:color w:val="auto"/>
          <w:szCs w:val="20"/>
        </w:rPr>
      </w:pPr>
      <w:r w:rsidRPr="0059020E">
        <w:rPr>
          <w:rFonts w:cs="Arial"/>
          <w:color w:val="auto"/>
          <w:szCs w:val="20"/>
        </w:rPr>
        <w:t xml:space="preserve">All condensate from the heat exchangers will be directed to </w:t>
      </w:r>
      <w:r w:rsidR="0038017E">
        <w:rPr>
          <w:rFonts w:cs="Arial"/>
          <w:color w:val="auto"/>
          <w:szCs w:val="20"/>
        </w:rPr>
        <w:t xml:space="preserve">the </w:t>
      </w:r>
      <w:r w:rsidRPr="0059020E">
        <w:rPr>
          <w:rFonts w:cs="Arial"/>
          <w:color w:val="auto"/>
          <w:szCs w:val="20"/>
        </w:rPr>
        <w:t>dirty water tanks. The operation and maintenance of the heat exchangers will be in accordance with manufacturer’s instructions</w:t>
      </w:r>
      <w:r w:rsidR="00497A95" w:rsidRPr="0059020E">
        <w:rPr>
          <w:rFonts w:cs="Arial"/>
          <w:color w:val="auto"/>
          <w:szCs w:val="20"/>
        </w:rPr>
        <w:t>.</w:t>
      </w:r>
    </w:p>
    <w:p w14:paraId="64551355" w14:textId="5FAA5E8E" w:rsidR="00AA7710" w:rsidRPr="007911A5" w:rsidRDefault="0073208E" w:rsidP="00DB7E52">
      <w:pPr>
        <w:rPr>
          <w:rFonts w:cs="Arial"/>
          <w:color w:val="auto"/>
          <w:szCs w:val="20"/>
        </w:rPr>
      </w:pPr>
      <w:r w:rsidRPr="00F40A82">
        <w:rPr>
          <w:rFonts w:cs="Arial"/>
          <w:color w:val="auto"/>
          <w:szCs w:val="20"/>
        </w:rPr>
        <w:t>The Applicant has not claimed a reduction of ammonia emissions from the use of heat exchangers at this installation site.</w:t>
      </w:r>
    </w:p>
    <w:p w14:paraId="4322143C" w14:textId="20C84BD4" w:rsidR="0073208E" w:rsidRPr="008F0A69" w:rsidRDefault="0073208E" w:rsidP="005B60FE">
      <w:pPr>
        <w:pStyle w:val="Topictitle"/>
        <w:rPr>
          <w:color w:val="auto"/>
        </w:rPr>
      </w:pPr>
      <w:r w:rsidRPr="008F0A69">
        <w:rPr>
          <w:color w:val="auto"/>
        </w:rPr>
        <w:t>Ammonia</w:t>
      </w:r>
    </w:p>
    <w:p w14:paraId="1513F5FD" w14:textId="23FD5DEE" w:rsidR="0073208E" w:rsidRPr="00873BFC" w:rsidRDefault="0073208E" w:rsidP="0073208E">
      <w:pPr>
        <w:rPr>
          <w:rFonts w:cs="Arial"/>
          <w:color w:val="auto"/>
          <w:szCs w:val="20"/>
        </w:rPr>
      </w:pPr>
      <w:bookmarkStart w:id="3" w:name="_Toc370906770"/>
      <w:bookmarkStart w:id="4" w:name="_Toc370906915"/>
      <w:bookmarkStart w:id="5" w:name="_Toc370907166"/>
      <w:bookmarkStart w:id="6" w:name="_Toc370907704"/>
      <w:r w:rsidRPr="00873BFC">
        <w:rPr>
          <w:rFonts w:cs="Arial"/>
          <w:color w:val="auto"/>
          <w:szCs w:val="20"/>
        </w:rPr>
        <w:t>The Applicant has demonstrated that the housing will meet the relevant NH</w:t>
      </w:r>
      <w:r w:rsidRPr="00873BFC">
        <w:rPr>
          <w:rFonts w:cs="Arial"/>
          <w:color w:val="auto"/>
          <w:szCs w:val="20"/>
          <w:vertAlign w:val="subscript"/>
        </w:rPr>
        <w:t>3</w:t>
      </w:r>
      <w:r w:rsidRPr="00873BFC">
        <w:rPr>
          <w:rFonts w:cs="Arial"/>
          <w:color w:val="auto"/>
          <w:szCs w:val="20"/>
        </w:rPr>
        <w:t xml:space="preserve"> BAT</w:t>
      </w:r>
      <w:r w:rsidR="00243345" w:rsidRPr="00873BFC">
        <w:rPr>
          <w:rFonts w:cs="Arial"/>
          <w:color w:val="auto"/>
          <w:szCs w:val="20"/>
        </w:rPr>
        <w:t xml:space="preserve"> </w:t>
      </w:r>
      <w:r w:rsidRPr="00873BFC">
        <w:rPr>
          <w:rFonts w:cs="Arial"/>
          <w:color w:val="auto"/>
          <w:szCs w:val="20"/>
        </w:rPr>
        <w:t>AEL.</w:t>
      </w:r>
    </w:p>
    <w:p w14:paraId="39D09CD0" w14:textId="188A5331" w:rsidR="0073208E" w:rsidRPr="0094197B" w:rsidRDefault="0073208E" w:rsidP="0098658C">
      <w:pPr>
        <w:rPr>
          <w:rFonts w:cs="Arial"/>
          <w:bCs/>
          <w:color w:val="auto"/>
          <w:kern w:val="28"/>
          <w:szCs w:val="20"/>
          <w:lang w:eastAsia="en-GB"/>
        </w:rPr>
      </w:pPr>
      <w:r w:rsidRPr="0094197B">
        <w:rPr>
          <w:rFonts w:cs="Arial"/>
          <w:color w:val="auto"/>
          <w:kern w:val="28"/>
          <w:szCs w:val="20"/>
          <w:lang w:eastAsia="en-GB"/>
        </w:rPr>
        <w:t xml:space="preserve">There are </w:t>
      </w:r>
      <w:r w:rsidR="00C40F17" w:rsidRPr="0094197B">
        <w:rPr>
          <w:rFonts w:cs="Arial"/>
          <w:color w:val="auto"/>
          <w:kern w:val="28"/>
          <w:szCs w:val="20"/>
          <w:lang w:eastAsia="en-GB"/>
        </w:rPr>
        <w:t xml:space="preserve">2 </w:t>
      </w:r>
      <w:r w:rsidRPr="0094197B">
        <w:rPr>
          <w:rFonts w:cs="Arial"/>
          <w:color w:val="auto"/>
          <w:kern w:val="28"/>
          <w:szCs w:val="20"/>
          <w:lang w:eastAsia="en-GB"/>
        </w:rPr>
        <w:t>Special Areas of Conservation (SAC)</w:t>
      </w:r>
      <w:r w:rsidR="00BA3139" w:rsidRPr="0094197B">
        <w:rPr>
          <w:rFonts w:cs="Arial"/>
          <w:color w:val="auto"/>
          <w:kern w:val="28"/>
          <w:szCs w:val="20"/>
          <w:lang w:eastAsia="en-GB"/>
        </w:rPr>
        <w:t xml:space="preserve"> </w:t>
      </w:r>
      <w:r w:rsidR="007D7A86" w:rsidRPr="0094197B">
        <w:rPr>
          <w:rFonts w:cs="Arial"/>
          <w:color w:val="auto"/>
          <w:kern w:val="28"/>
          <w:szCs w:val="20"/>
          <w:lang w:eastAsia="en-GB"/>
        </w:rPr>
        <w:t>and 1</w:t>
      </w:r>
      <w:r w:rsidR="00BA3139" w:rsidRPr="0094197B">
        <w:rPr>
          <w:rFonts w:cs="Arial"/>
          <w:color w:val="auto"/>
          <w:kern w:val="28"/>
          <w:szCs w:val="20"/>
          <w:lang w:eastAsia="en-GB"/>
        </w:rPr>
        <w:t xml:space="preserve"> </w:t>
      </w:r>
      <w:r w:rsidRPr="0094197B">
        <w:rPr>
          <w:rFonts w:cs="Arial"/>
          <w:color w:val="auto"/>
          <w:kern w:val="28"/>
          <w:szCs w:val="20"/>
          <w:lang w:eastAsia="en-GB"/>
        </w:rPr>
        <w:t>Ramsar site located within 5 kilometres</w:t>
      </w:r>
      <w:r w:rsidR="001E6F17" w:rsidRPr="0094197B">
        <w:rPr>
          <w:rFonts w:cs="Arial"/>
          <w:color w:val="auto"/>
          <w:kern w:val="28"/>
          <w:szCs w:val="20"/>
          <w:lang w:eastAsia="en-GB"/>
        </w:rPr>
        <w:t xml:space="preserve"> (km)</w:t>
      </w:r>
      <w:r w:rsidRPr="0094197B">
        <w:rPr>
          <w:rFonts w:cs="Arial"/>
          <w:color w:val="auto"/>
          <w:kern w:val="28"/>
          <w:szCs w:val="20"/>
          <w:lang w:eastAsia="en-GB"/>
        </w:rPr>
        <w:t xml:space="preserve"> of the installation boundary. There </w:t>
      </w:r>
      <w:r w:rsidR="0094197B" w:rsidRPr="0094197B">
        <w:rPr>
          <w:rFonts w:cs="Arial"/>
          <w:color w:val="auto"/>
          <w:kern w:val="28"/>
          <w:szCs w:val="20"/>
          <w:lang w:eastAsia="en-GB"/>
        </w:rPr>
        <w:t>are 3</w:t>
      </w:r>
      <w:r w:rsidRPr="0094197B">
        <w:rPr>
          <w:rFonts w:cs="Arial"/>
          <w:color w:val="auto"/>
          <w:kern w:val="28"/>
          <w:szCs w:val="20"/>
          <w:lang w:eastAsia="en-GB"/>
        </w:rPr>
        <w:t xml:space="preserve"> Sites of Special Scientific Interest (SSSI) located within 5 km of the installation boundary. There are also </w:t>
      </w:r>
      <w:r w:rsidR="0094197B" w:rsidRPr="0094197B">
        <w:rPr>
          <w:rFonts w:cs="Arial"/>
          <w:color w:val="auto"/>
          <w:kern w:val="28"/>
          <w:szCs w:val="20"/>
          <w:lang w:eastAsia="en-GB"/>
        </w:rPr>
        <w:t>4</w:t>
      </w:r>
      <w:r w:rsidRPr="0094197B">
        <w:rPr>
          <w:rFonts w:cs="Arial"/>
          <w:bCs/>
          <w:color w:val="auto"/>
          <w:kern w:val="28"/>
          <w:szCs w:val="20"/>
          <w:lang w:eastAsia="en-GB"/>
        </w:rPr>
        <w:t xml:space="preserve"> Local Wildlife Sites (LWS)</w:t>
      </w:r>
      <w:r w:rsidRPr="0094197B">
        <w:rPr>
          <w:rFonts w:cs="Arial"/>
          <w:color w:val="auto"/>
          <w:kern w:val="28"/>
          <w:szCs w:val="20"/>
          <w:lang w:eastAsia="en-GB"/>
        </w:rPr>
        <w:t xml:space="preserve"> within 2 km of the installation boundary.</w:t>
      </w:r>
      <w:bookmarkEnd w:id="3"/>
      <w:bookmarkEnd w:id="4"/>
      <w:bookmarkEnd w:id="5"/>
      <w:bookmarkEnd w:id="6"/>
    </w:p>
    <w:p w14:paraId="131CB05B" w14:textId="0E4C0DF4" w:rsidR="0073208E" w:rsidRPr="00283240" w:rsidRDefault="0073208E" w:rsidP="0098658C">
      <w:pPr>
        <w:pStyle w:val="Blockheading"/>
        <w:rPr>
          <w:b w:val="0"/>
          <w:lang w:eastAsia="en-GB"/>
        </w:rPr>
      </w:pPr>
      <w:bookmarkStart w:id="7" w:name="_Toc370906771"/>
      <w:bookmarkStart w:id="8" w:name="_Toc370907705"/>
      <w:bookmarkStart w:id="9" w:name="Ammonia_assessment_SACSPARamsar"/>
      <w:r w:rsidRPr="00283240">
        <w:rPr>
          <w:sz w:val="32"/>
          <w:szCs w:val="32"/>
          <w:lang w:eastAsia="en-GB"/>
        </w:rPr>
        <w:t>Ammonia assessment – SAC/Ramsar</w:t>
      </w:r>
      <w:r w:rsidRPr="00283240">
        <w:rPr>
          <w:lang w:eastAsia="en-GB"/>
        </w:rPr>
        <w:t xml:space="preserve"> </w:t>
      </w:r>
      <w:bookmarkEnd w:id="7"/>
      <w:bookmarkEnd w:id="8"/>
      <w:r w:rsidRPr="00283240">
        <w:rPr>
          <w:lang w:eastAsia="en-GB"/>
        </w:rPr>
        <w:t xml:space="preserve"> </w:t>
      </w:r>
    </w:p>
    <w:bookmarkEnd w:id="9"/>
    <w:p w14:paraId="5D541746" w14:textId="02FB6BE4" w:rsidR="0073208E" w:rsidRPr="00283240" w:rsidRDefault="0073208E" w:rsidP="0073208E">
      <w:pPr>
        <w:rPr>
          <w:rFonts w:cs="Arial"/>
          <w:color w:val="auto"/>
          <w:kern w:val="28"/>
          <w:szCs w:val="20"/>
          <w:lang w:eastAsia="en-GB"/>
        </w:rPr>
      </w:pPr>
      <w:r w:rsidRPr="00283240">
        <w:rPr>
          <w:rFonts w:cs="Arial"/>
          <w:color w:val="auto"/>
          <w:kern w:val="28"/>
          <w:szCs w:val="20"/>
          <w:lang w:eastAsia="en-GB"/>
        </w:rPr>
        <w:t>The following trigger thresholds have been designated for the assessment of European sites:</w:t>
      </w:r>
    </w:p>
    <w:p w14:paraId="7E0DC7C5" w14:textId="77777777" w:rsidR="0073208E" w:rsidRPr="00283240" w:rsidRDefault="0073208E" w:rsidP="006F570D">
      <w:pPr>
        <w:numPr>
          <w:ilvl w:val="0"/>
          <w:numId w:val="15"/>
        </w:numPr>
        <w:spacing w:before="120" w:after="120" w:line="276" w:lineRule="auto"/>
        <w:ind w:left="709" w:hanging="425"/>
        <w:rPr>
          <w:rFonts w:cs="Arial"/>
          <w:color w:val="auto"/>
          <w:kern w:val="28"/>
          <w:szCs w:val="20"/>
          <w:lang w:eastAsia="en-GB"/>
        </w:rPr>
      </w:pPr>
      <w:r w:rsidRPr="00283240">
        <w:rPr>
          <w:rFonts w:cs="Arial"/>
          <w:color w:val="auto"/>
          <w:kern w:val="28"/>
          <w:szCs w:val="20"/>
          <w:lang w:eastAsia="en-GB"/>
        </w:rPr>
        <w:t xml:space="preserve">If, using the Ammonia Screening Tool (AST v4.6) the process contribution (PC) is below 4% of the relevant critical level (CLe) or critical load (CLo) then the farm can be permitted with no further assessment. </w:t>
      </w:r>
    </w:p>
    <w:p w14:paraId="71B5CD9E" w14:textId="77777777" w:rsidR="0073208E" w:rsidRPr="00283240" w:rsidRDefault="0073208E" w:rsidP="006F570D">
      <w:pPr>
        <w:numPr>
          <w:ilvl w:val="0"/>
          <w:numId w:val="15"/>
        </w:numPr>
        <w:spacing w:before="120" w:after="120" w:line="276" w:lineRule="auto"/>
        <w:ind w:left="709" w:hanging="425"/>
        <w:rPr>
          <w:rFonts w:cs="Arial"/>
          <w:color w:val="auto"/>
          <w:szCs w:val="20"/>
          <w:lang w:eastAsia="en-GB"/>
        </w:rPr>
      </w:pPr>
      <w:r w:rsidRPr="00283240">
        <w:rPr>
          <w:rFonts w:cs="Arial"/>
          <w:color w:val="auto"/>
          <w:kern w:val="28"/>
          <w:szCs w:val="20"/>
          <w:lang w:eastAsia="en-GB"/>
        </w:rPr>
        <w:t>Where this threshold is exceeded, detailed ammonia modelling is required, and, if the PC from such modelling is below 1% of the relevant critical level</w:t>
      </w:r>
      <w:r w:rsidRPr="00283240">
        <w:rPr>
          <w:rFonts w:cs="Arial"/>
          <w:color w:val="auto"/>
          <w:szCs w:val="20"/>
          <w:lang w:eastAsia="en-GB"/>
        </w:rPr>
        <w:t xml:space="preserve"> (CLe) or critical loads (CLo) then the farm can be permitted with no further assessment.</w:t>
      </w:r>
    </w:p>
    <w:p w14:paraId="669E2CBE" w14:textId="77777777" w:rsidR="0073208E" w:rsidRPr="00283240" w:rsidRDefault="0073208E" w:rsidP="006F570D">
      <w:pPr>
        <w:numPr>
          <w:ilvl w:val="0"/>
          <w:numId w:val="15"/>
        </w:numPr>
        <w:spacing w:before="120" w:after="120" w:line="276" w:lineRule="auto"/>
        <w:ind w:left="709" w:hanging="425"/>
        <w:rPr>
          <w:rFonts w:cs="Arial"/>
          <w:color w:val="auto"/>
          <w:szCs w:val="20"/>
          <w:lang w:eastAsia="en-GB"/>
        </w:rPr>
      </w:pPr>
      <w:r w:rsidRPr="00283240">
        <w:rPr>
          <w:rFonts w:cs="Arial"/>
          <w:color w:val="auto"/>
          <w:szCs w:val="20"/>
          <w:lang w:eastAsia="en-GB"/>
        </w:rPr>
        <w:t>Where the PC (after modelling) exceeds 1%, further detailed assessment is required, taking into consideration the ammonia and nitrogen background concentrations and may also require an in-combination assessment.</w:t>
      </w:r>
    </w:p>
    <w:p w14:paraId="3A9A194B" w14:textId="186FAD54" w:rsidR="00637810" w:rsidRPr="00201834" w:rsidRDefault="0073208E" w:rsidP="00201834">
      <w:pPr>
        <w:numPr>
          <w:ilvl w:val="0"/>
          <w:numId w:val="15"/>
        </w:numPr>
        <w:spacing w:before="120" w:after="120" w:line="276" w:lineRule="auto"/>
        <w:ind w:left="709" w:hanging="425"/>
        <w:rPr>
          <w:rFonts w:cs="Arial"/>
          <w:color w:val="auto"/>
          <w:szCs w:val="20"/>
          <w:lang w:eastAsia="en-GB"/>
        </w:rPr>
      </w:pPr>
      <w:r w:rsidRPr="00283240">
        <w:rPr>
          <w:rFonts w:cs="Arial"/>
          <w:color w:val="auto"/>
          <w:szCs w:val="20"/>
          <w:lang w:eastAsia="en-GB"/>
        </w:rPr>
        <w:t>Where an in-combination assessment is required, the combined PC for all relevant existing permitted installations identified within 5 km of the SAC/SPA/Ramsar will be considered, together with impacts from other local plans, projects, and non-permitted farms which could act in-combination. The in-combination assessment is limited to those impacts not already included in the relevant background emission baseline.</w:t>
      </w:r>
    </w:p>
    <w:p w14:paraId="5B5A931D" w14:textId="2ACE1A54" w:rsidR="0017491F" w:rsidRPr="0029689A" w:rsidRDefault="00DE211E" w:rsidP="0017491F">
      <w:pPr>
        <w:rPr>
          <w:rFonts w:cs="Arial"/>
          <w:color w:val="auto"/>
          <w:szCs w:val="20"/>
          <w:lang w:eastAsia="en-GB"/>
        </w:rPr>
      </w:pPr>
      <w:bookmarkStart w:id="10" w:name="_Toc370907706"/>
      <w:r>
        <w:rPr>
          <w:rFonts w:cs="Arial"/>
          <w:color w:val="auto"/>
          <w:szCs w:val="20"/>
          <w:lang w:eastAsia="en-GB"/>
        </w:rPr>
        <w:t>Revised</w:t>
      </w:r>
      <w:r w:rsidR="0017491F" w:rsidRPr="0029689A">
        <w:rPr>
          <w:rFonts w:cs="Arial"/>
          <w:color w:val="auto"/>
          <w:szCs w:val="20"/>
          <w:lang w:eastAsia="en-GB"/>
        </w:rPr>
        <w:t xml:space="preserve"> screening using</w:t>
      </w:r>
      <w:r w:rsidR="00294F88">
        <w:rPr>
          <w:rFonts w:cs="Arial"/>
          <w:color w:val="auto"/>
          <w:szCs w:val="20"/>
          <w:lang w:eastAsia="en-GB"/>
        </w:rPr>
        <w:t xml:space="preserve"> the</w:t>
      </w:r>
      <w:r w:rsidR="0017491F" w:rsidRPr="0029689A">
        <w:rPr>
          <w:rFonts w:cs="Arial"/>
          <w:color w:val="auto"/>
          <w:szCs w:val="20"/>
          <w:lang w:eastAsia="en-GB"/>
        </w:rPr>
        <w:t xml:space="preserve"> ammonia screening tool version </w:t>
      </w:r>
      <w:r w:rsidR="007575B2" w:rsidRPr="0029689A">
        <w:rPr>
          <w:rStyle w:val="Text"/>
          <w:szCs w:val="20"/>
          <w:lang w:eastAsia="en-GB"/>
        </w:rPr>
        <w:t>4.6</w:t>
      </w:r>
      <w:r w:rsidR="0017491F" w:rsidRPr="0029689A">
        <w:rPr>
          <w:rFonts w:cs="Arial"/>
          <w:color w:val="auto"/>
          <w:szCs w:val="20"/>
          <w:lang w:eastAsia="en-GB"/>
        </w:rPr>
        <w:t xml:space="preserve"> (dated </w:t>
      </w:r>
      <w:r w:rsidR="002843C7">
        <w:rPr>
          <w:rFonts w:cs="Arial"/>
          <w:color w:val="auto"/>
          <w:szCs w:val="20"/>
          <w:lang w:eastAsia="en-GB"/>
        </w:rPr>
        <w:t>19/02/2026</w:t>
      </w:r>
      <w:r w:rsidR="0017491F" w:rsidRPr="0029689A">
        <w:rPr>
          <w:rStyle w:val="Text"/>
          <w:szCs w:val="20"/>
          <w:lang w:eastAsia="en-GB"/>
        </w:rPr>
        <w:t>)</w:t>
      </w:r>
      <w:r w:rsidR="0017491F" w:rsidRPr="0029689A">
        <w:rPr>
          <w:rFonts w:cs="Arial"/>
          <w:color w:val="auto"/>
          <w:szCs w:val="20"/>
          <w:lang w:eastAsia="en-GB"/>
        </w:rPr>
        <w:t xml:space="preserve"> has indicated that emissions from </w:t>
      </w:r>
      <w:r w:rsidR="005A358F" w:rsidRPr="0029689A">
        <w:rPr>
          <w:rFonts w:cs="Arial"/>
          <w:color w:val="auto"/>
          <w:szCs w:val="20"/>
          <w:lang w:eastAsia="en-GB"/>
        </w:rPr>
        <w:t>Tithe Farm Poultry Unit</w:t>
      </w:r>
      <w:r w:rsidR="0017491F" w:rsidRPr="0029689A">
        <w:rPr>
          <w:rFonts w:cs="Arial"/>
          <w:color w:val="auto"/>
          <w:szCs w:val="20"/>
          <w:lang w:eastAsia="en-GB"/>
        </w:rPr>
        <w:t xml:space="preserve"> will only have a potential impact on the </w:t>
      </w:r>
      <w:r w:rsidR="0017491F" w:rsidRPr="0029689A">
        <w:rPr>
          <w:rStyle w:val="Text"/>
        </w:rPr>
        <w:t xml:space="preserve">SAC </w:t>
      </w:r>
      <w:r w:rsidR="005A358F" w:rsidRPr="0029689A">
        <w:rPr>
          <w:rStyle w:val="Text"/>
        </w:rPr>
        <w:t>and</w:t>
      </w:r>
      <w:r w:rsidR="0017491F" w:rsidRPr="0029689A">
        <w:rPr>
          <w:rStyle w:val="Text"/>
        </w:rPr>
        <w:t xml:space="preserve"> Ramsar sites</w:t>
      </w:r>
      <w:r w:rsidR="0017491F" w:rsidRPr="0029689A">
        <w:rPr>
          <w:rFonts w:cs="Arial"/>
          <w:color w:val="auto"/>
          <w:szCs w:val="20"/>
          <w:lang w:eastAsia="en-GB"/>
        </w:rPr>
        <w:t xml:space="preserve"> with a precautionary CLe of 1</w:t>
      </w:r>
      <w:r w:rsidR="003C4A36" w:rsidRPr="0029689A">
        <w:rPr>
          <w:rFonts w:cs="Arial"/>
          <w:color w:val="auto"/>
          <w:szCs w:val="20"/>
          <w:lang w:eastAsia="en-GB"/>
        </w:rPr>
        <w:t xml:space="preserve"> </w:t>
      </w:r>
      <w:r w:rsidR="0017491F" w:rsidRPr="0029689A">
        <w:rPr>
          <w:rFonts w:cs="Arial"/>
          <w:color w:val="auto"/>
          <w:szCs w:val="20"/>
          <w:lang w:eastAsia="en-GB"/>
        </w:rPr>
        <w:t>μg/m</w:t>
      </w:r>
      <w:r w:rsidR="0017491F" w:rsidRPr="0029689A">
        <w:rPr>
          <w:rFonts w:cs="Arial"/>
          <w:color w:val="auto"/>
          <w:szCs w:val="20"/>
          <w:vertAlign w:val="superscript"/>
          <w:lang w:eastAsia="en-GB"/>
        </w:rPr>
        <w:t>3</w:t>
      </w:r>
      <w:r w:rsidR="0017491F" w:rsidRPr="0029689A">
        <w:rPr>
          <w:rFonts w:cs="Arial"/>
          <w:color w:val="auto"/>
          <w:szCs w:val="20"/>
          <w:lang w:eastAsia="en-GB"/>
        </w:rPr>
        <w:t xml:space="preserve"> if they are within </w:t>
      </w:r>
      <w:r w:rsidR="0029689A" w:rsidRPr="0029689A">
        <w:rPr>
          <w:rFonts w:cs="Arial"/>
          <w:color w:val="auto"/>
          <w:szCs w:val="20"/>
          <w:lang w:eastAsia="en-GB"/>
        </w:rPr>
        <w:t>2,939</w:t>
      </w:r>
      <w:r w:rsidR="0017491F" w:rsidRPr="0029689A">
        <w:rPr>
          <w:rStyle w:val="Text"/>
          <w:szCs w:val="20"/>
          <w:lang w:eastAsia="en-GB"/>
        </w:rPr>
        <w:t xml:space="preserve"> </w:t>
      </w:r>
      <w:r w:rsidR="0017491F" w:rsidRPr="0029689A">
        <w:rPr>
          <w:rFonts w:cs="Arial"/>
          <w:color w:val="auto"/>
          <w:szCs w:val="20"/>
          <w:lang w:eastAsia="en-GB"/>
        </w:rPr>
        <w:t xml:space="preserve">metres of the emission source. </w:t>
      </w:r>
    </w:p>
    <w:p w14:paraId="3CCA9B79" w14:textId="583C5ABF" w:rsidR="0017491F" w:rsidRPr="00566E1A" w:rsidRDefault="0017491F" w:rsidP="0017491F">
      <w:pPr>
        <w:rPr>
          <w:rFonts w:cs="Arial"/>
          <w:color w:val="auto"/>
          <w:szCs w:val="20"/>
          <w:lang w:eastAsia="en-GB"/>
        </w:rPr>
      </w:pPr>
      <w:r w:rsidRPr="00566E1A">
        <w:rPr>
          <w:rFonts w:cs="Arial"/>
          <w:color w:val="auto"/>
          <w:szCs w:val="20"/>
          <w:lang w:eastAsia="en-GB"/>
        </w:rPr>
        <w:t xml:space="preserve">Beyond </w:t>
      </w:r>
      <w:r w:rsidR="00566E1A" w:rsidRPr="00566E1A">
        <w:rPr>
          <w:rFonts w:cs="Arial"/>
          <w:color w:val="auto"/>
          <w:szCs w:val="20"/>
          <w:lang w:eastAsia="en-GB"/>
        </w:rPr>
        <w:t>2,939</w:t>
      </w:r>
      <w:r w:rsidRPr="00566E1A">
        <w:rPr>
          <w:rFonts w:cs="Arial"/>
          <w:color w:val="auto"/>
          <w:szCs w:val="20"/>
          <w:lang w:eastAsia="en-GB"/>
        </w:rPr>
        <w:t>m the PC is less than 0.04</w:t>
      </w:r>
      <w:r w:rsidR="003C4A36" w:rsidRPr="00566E1A">
        <w:rPr>
          <w:rFonts w:cs="Arial"/>
          <w:color w:val="auto"/>
          <w:szCs w:val="20"/>
          <w:lang w:eastAsia="en-GB"/>
        </w:rPr>
        <w:t xml:space="preserve"> </w:t>
      </w:r>
      <w:r w:rsidRPr="00566E1A">
        <w:rPr>
          <w:rFonts w:cs="Arial"/>
          <w:color w:val="auto"/>
          <w:szCs w:val="20"/>
          <w:lang w:eastAsia="en-GB"/>
        </w:rPr>
        <w:t>µg/m</w:t>
      </w:r>
      <w:r w:rsidRPr="00566E1A">
        <w:rPr>
          <w:rFonts w:cs="Arial"/>
          <w:color w:val="auto"/>
          <w:szCs w:val="20"/>
          <w:vertAlign w:val="superscript"/>
          <w:lang w:eastAsia="en-GB"/>
        </w:rPr>
        <w:t>3</w:t>
      </w:r>
      <w:r w:rsidRPr="00566E1A">
        <w:rPr>
          <w:rFonts w:cs="Arial"/>
          <w:color w:val="auto"/>
          <w:szCs w:val="20"/>
          <w:lang w:eastAsia="en-GB"/>
        </w:rPr>
        <w:t xml:space="preserve"> (i.e. less than 4% of the precautionary 1</w:t>
      </w:r>
      <w:r w:rsidR="003C4A36" w:rsidRPr="00566E1A">
        <w:rPr>
          <w:rFonts w:cs="Arial"/>
          <w:color w:val="auto"/>
          <w:szCs w:val="20"/>
          <w:lang w:eastAsia="en-GB"/>
        </w:rPr>
        <w:t xml:space="preserve"> </w:t>
      </w:r>
      <w:r w:rsidRPr="00566E1A">
        <w:rPr>
          <w:rFonts w:cs="Arial"/>
          <w:color w:val="auto"/>
          <w:szCs w:val="20"/>
          <w:lang w:eastAsia="en-GB"/>
        </w:rPr>
        <w:t>µg/m</w:t>
      </w:r>
      <w:r w:rsidRPr="00566E1A">
        <w:rPr>
          <w:rFonts w:cs="Arial"/>
          <w:color w:val="auto"/>
          <w:szCs w:val="20"/>
          <w:vertAlign w:val="superscript"/>
          <w:lang w:eastAsia="en-GB"/>
        </w:rPr>
        <w:t>3</w:t>
      </w:r>
      <w:r w:rsidRPr="00566E1A">
        <w:rPr>
          <w:rFonts w:cs="Arial"/>
          <w:color w:val="auto"/>
          <w:szCs w:val="20"/>
          <w:lang w:eastAsia="en-GB"/>
        </w:rPr>
        <w:t xml:space="preserve"> CLe) and therefore beyond this distance the PC is insignificant. In this case </w:t>
      </w:r>
      <w:r w:rsidRPr="00566E1A">
        <w:rPr>
          <w:rStyle w:val="Text"/>
        </w:rPr>
        <w:t>all SAC</w:t>
      </w:r>
      <w:r w:rsidR="00935AE4" w:rsidRPr="00566E1A">
        <w:rPr>
          <w:rStyle w:val="Text"/>
        </w:rPr>
        <w:t xml:space="preserve"> </w:t>
      </w:r>
      <w:r w:rsidR="00566E1A" w:rsidRPr="00566E1A">
        <w:rPr>
          <w:rStyle w:val="Text"/>
        </w:rPr>
        <w:t>and</w:t>
      </w:r>
      <w:r w:rsidR="00935AE4" w:rsidRPr="00566E1A">
        <w:rPr>
          <w:rStyle w:val="Text"/>
        </w:rPr>
        <w:t xml:space="preserve"> </w:t>
      </w:r>
      <w:r w:rsidRPr="00566E1A">
        <w:rPr>
          <w:rStyle w:val="Text"/>
        </w:rPr>
        <w:t>Ramsar</w:t>
      </w:r>
      <w:r w:rsidR="00566E1A" w:rsidRPr="00566E1A">
        <w:rPr>
          <w:rStyle w:val="Text"/>
        </w:rPr>
        <w:t xml:space="preserve"> sites</w:t>
      </w:r>
      <w:r w:rsidRPr="00566E1A">
        <w:rPr>
          <w:rStyle w:val="Text"/>
        </w:rPr>
        <w:t xml:space="preserve"> are</w:t>
      </w:r>
      <w:r w:rsidRPr="00566E1A">
        <w:rPr>
          <w:rFonts w:cs="Arial"/>
          <w:color w:val="auto"/>
          <w:szCs w:val="20"/>
          <w:lang w:eastAsia="en-GB"/>
        </w:rPr>
        <w:t xml:space="preserve"> beyond this distance (see table below) and therefore screen out of any further assessment.</w:t>
      </w:r>
    </w:p>
    <w:p w14:paraId="3E339AF1" w14:textId="108E5793" w:rsidR="0073208E" w:rsidRPr="00564439" w:rsidRDefault="0073208E" w:rsidP="0073208E">
      <w:pPr>
        <w:keepNext/>
        <w:rPr>
          <w:rFonts w:cs="Arial"/>
          <w:color w:val="auto"/>
          <w:szCs w:val="20"/>
          <w:lang w:eastAsia="en-GB"/>
        </w:rPr>
      </w:pPr>
      <w:r w:rsidRPr="00566E1A">
        <w:rPr>
          <w:rFonts w:cs="Arial"/>
          <w:color w:val="auto"/>
          <w:szCs w:val="20"/>
          <w:lang w:eastAsia="en-GB"/>
        </w:rPr>
        <w:t>Where the precautionary level of 1µg/m</w:t>
      </w:r>
      <w:r w:rsidRPr="00566E1A">
        <w:rPr>
          <w:rFonts w:cs="Arial"/>
          <w:color w:val="auto"/>
          <w:szCs w:val="20"/>
          <w:vertAlign w:val="superscript"/>
          <w:lang w:eastAsia="en-GB"/>
        </w:rPr>
        <w:t xml:space="preserve">3 </w:t>
      </w:r>
      <w:r w:rsidRPr="00566E1A">
        <w:rPr>
          <w:rFonts w:cs="Arial"/>
          <w:color w:val="auto"/>
          <w:szCs w:val="20"/>
          <w:lang w:eastAsia="en-GB"/>
        </w:rPr>
        <w:t xml:space="preserve">is used and the PC is assessed to be less than 4%, the site automatically screens out as insignificant and no further </w:t>
      </w:r>
      <w:r w:rsidRPr="00564439">
        <w:rPr>
          <w:rFonts w:cs="Arial"/>
          <w:color w:val="auto"/>
          <w:szCs w:val="20"/>
          <w:lang w:eastAsia="en-GB"/>
        </w:rPr>
        <w:t>assessment of CLo is necessary</w:t>
      </w:r>
      <w:r w:rsidR="00E07415" w:rsidRPr="00564439">
        <w:rPr>
          <w:rFonts w:cs="Arial"/>
          <w:color w:val="auto"/>
          <w:szCs w:val="20"/>
          <w:lang w:eastAsia="en-GB"/>
        </w:rPr>
        <w:t xml:space="preserve">. </w:t>
      </w:r>
      <w:r w:rsidRPr="00564439">
        <w:rPr>
          <w:rFonts w:cs="Arial"/>
          <w:color w:val="auto"/>
          <w:szCs w:val="20"/>
          <w:lang w:eastAsia="en-GB"/>
        </w:rPr>
        <w:t>In this case the 1</w:t>
      </w:r>
      <w:r w:rsidR="003C4A36" w:rsidRPr="00564439">
        <w:rPr>
          <w:rFonts w:cs="Arial"/>
          <w:color w:val="auto"/>
          <w:szCs w:val="20"/>
          <w:lang w:eastAsia="en-GB"/>
        </w:rPr>
        <w:t xml:space="preserve"> </w:t>
      </w:r>
      <w:r w:rsidRPr="00564439">
        <w:rPr>
          <w:rFonts w:cs="Arial"/>
          <w:color w:val="auto"/>
          <w:szCs w:val="20"/>
          <w:lang w:eastAsia="en-GB"/>
        </w:rPr>
        <w:t>µg/m</w:t>
      </w:r>
      <w:r w:rsidRPr="00564439">
        <w:rPr>
          <w:rFonts w:cs="Arial"/>
          <w:color w:val="auto"/>
          <w:szCs w:val="20"/>
          <w:vertAlign w:val="superscript"/>
          <w:lang w:eastAsia="en-GB"/>
        </w:rPr>
        <w:t xml:space="preserve">3 </w:t>
      </w:r>
      <w:r w:rsidRPr="00564439">
        <w:rPr>
          <w:rFonts w:cs="Arial"/>
          <w:color w:val="auto"/>
          <w:szCs w:val="20"/>
          <w:lang w:eastAsia="en-GB"/>
        </w:rPr>
        <w:t>level used has not been confirmed by Natural England, but it is precautionary</w:t>
      </w:r>
      <w:r w:rsidR="00E07415" w:rsidRPr="00564439">
        <w:rPr>
          <w:rFonts w:cs="Arial"/>
          <w:color w:val="auto"/>
          <w:szCs w:val="20"/>
          <w:lang w:eastAsia="en-GB"/>
        </w:rPr>
        <w:t xml:space="preserve">. </w:t>
      </w:r>
      <w:r w:rsidRPr="00564439">
        <w:rPr>
          <w:rFonts w:cs="Arial"/>
          <w:color w:val="auto"/>
          <w:szCs w:val="20"/>
          <w:lang w:eastAsia="en-GB"/>
        </w:rPr>
        <w:t>It is therefore possible to conclude no likely significant effect.</w:t>
      </w:r>
    </w:p>
    <w:p w14:paraId="754C6AC3" w14:textId="3524487A" w:rsidR="00B80971" w:rsidRPr="00564439" w:rsidRDefault="003B7F35" w:rsidP="003B7F35">
      <w:pPr>
        <w:keepNext/>
        <w:spacing w:after="0"/>
        <w:jc w:val="both"/>
        <w:rPr>
          <w:rFonts w:cs="Arial"/>
          <w:b/>
          <w:bCs/>
          <w:color w:val="auto"/>
          <w:szCs w:val="20"/>
          <w:lang w:eastAsia="en-GB"/>
        </w:rPr>
      </w:pPr>
      <w:r w:rsidRPr="00564439">
        <w:rPr>
          <w:rFonts w:cs="Arial"/>
          <w:b/>
          <w:bCs/>
          <w:color w:val="auto"/>
          <w:szCs w:val="20"/>
          <w:lang w:eastAsia="en-GB"/>
        </w:rPr>
        <w:t xml:space="preserve">Table </w:t>
      </w:r>
      <w:r w:rsidR="00566E1A" w:rsidRPr="00564439">
        <w:rPr>
          <w:rFonts w:cs="Arial"/>
          <w:b/>
          <w:bCs/>
          <w:color w:val="auto"/>
          <w:szCs w:val="20"/>
          <w:lang w:eastAsia="en-GB"/>
        </w:rPr>
        <w:t>1</w:t>
      </w:r>
      <w:r w:rsidRPr="00564439">
        <w:rPr>
          <w:rStyle w:val="Text"/>
          <w:b/>
          <w:bCs/>
        </w:rPr>
        <w:t xml:space="preserve"> – SAC</w:t>
      </w:r>
      <w:r w:rsidR="00802BED" w:rsidRPr="00564439">
        <w:rPr>
          <w:rStyle w:val="Text"/>
          <w:b/>
          <w:bCs/>
        </w:rPr>
        <w:t>/</w:t>
      </w:r>
      <w:r w:rsidRPr="00564439">
        <w:rPr>
          <w:rStyle w:val="Text"/>
          <w:b/>
          <w:bCs/>
        </w:rPr>
        <w:t>Ramsar</w:t>
      </w:r>
      <w:r w:rsidRPr="00564439">
        <w:rPr>
          <w:rFonts w:cs="Arial"/>
          <w:b/>
          <w:bCs/>
          <w:color w:val="auto"/>
          <w:szCs w:val="20"/>
          <w:lang w:eastAsia="en-GB"/>
        </w:rPr>
        <w:t xml:space="preserve"> Assessment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49"/>
        <w:gridCol w:w="2630"/>
      </w:tblGrid>
      <w:tr w:rsidR="00FA7B8D" w:rsidRPr="00564439" w14:paraId="21B35847" w14:textId="77777777" w:rsidTr="00EA5531">
        <w:tc>
          <w:tcPr>
            <w:tcW w:w="4849" w:type="dxa"/>
            <w:tcMar>
              <w:top w:w="0" w:type="dxa"/>
              <w:left w:w="108" w:type="dxa"/>
              <w:bottom w:w="0" w:type="dxa"/>
              <w:right w:w="108" w:type="dxa"/>
            </w:tcMar>
            <w:hideMark/>
          </w:tcPr>
          <w:p w14:paraId="222B503A" w14:textId="3ED7C3B6" w:rsidR="003B7F35" w:rsidRPr="00564439" w:rsidRDefault="003B7F35">
            <w:pPr>
              <w:spacing w:before="60" w:after="60" w:line="240" w:lineRule="auto"/>
              <w:jc w:val="both"/>
              <w:rPr>
                <w:rFonts w:eastAsia="Calibri" w:cs="Arial"/>
                <w:b/>
                <w:bCs/>
                <w:color w:val="auto"/>
                <w:szCs w:val="20"/>
                <w:lang w:eastAsia="en-GB"/>
              </w:rPr>
            </w:pPr>
            <w:r w:rsidRPr="00564439">
              <w:rPr>
                <w:rFonts w:cs="Arial"/>
                <w:b/>
                <w:bCs/>
                <w:color w:val="auto"/>
                <w:szCs w:val="20"/>
                <w:lang w:eastAsia="en-GB"/>
              </w:rPr>
              <w:t>Name of SAC/Ramsar</w:t>
            </w:r>
          </w:p>
        </w:tc>
        <w:tc>
          <w:tcPr>
            <w:tcW w:w="2630" w:type="dxa"/>
            <w:tcMar>
              <w:top w:w="0" w:type="dxa"/>
              <w:left w:w="108" w:type="dxa"/>
              <w:bottom w:w="0" w:type="dxa"/>
              <w:right w:w="108" w:type="dxa"/>
            </w:tcMar>
            <w:hideMark/>
          </w:tcPr>
          <w:p w14:paraId="72B19523" w14:textId="77777777" w:rsidR="003B7F35" w:rsidRPr="00564439" w:rsidRDefault="003B7F35">
            <w:pPr>
              <w:spacing w:before="60" w:after="60" w:line="240" w:lineRule="auto"/>
              <w:jc w:val="center"/>
              <w:rPr>
                <w:rFonts w:eastAsia="Calibri" w:cs="Arial"/>
                <w:b/>
                <w:bCs/>
                <w:color w:val="auto"/>
                <w:szCs w:val="20"/>
                <w:lang w:eastAsia="en-GB"/>
              </w:rPr>
            </w:pPr>
            <w:r w:rsidRPr="00564439">
              <w:rPr>
                <w:rFonts w:cs="Arial"/>
                <w:b/>
                <w:bCs/>
                <w:color w:val="auto"/>
                <w:szCs w:val="20"/>
                <w:lang w:eastAsia="en-GB"/>
              </w:rPr>
              <w:t>Distance from site (m)</w:t>
            </w:r>
          </w:p>
        </w:tc>
      </w:tr>
      <w:tr w:rsidR="00FA7B8D" w:rsidRPr="00564439" w14:paraId="522D2866" w14:textId="77777777" w:rsidTr="00EA5531">
        <w:tc>
          <w:tcPr>
            <w:tcW w:w="4849" w:type="dxa"/>
            <w:tcMar>
              <w:top w:w="0" w:type="dxa"/>
              <w:left w:w="108" w:type="dxa"/>
              <w:bottom w:w="0" w:type="dxa"/>
              <w:right w:w="108" w:type="dxa"/>
            </w:tcMar>
            <w:vAlign w:val="center"/>
            <w:hideMark/>
          </w:tcPr>
          <w:p w14:paraId="784E594E" w14:textId="55537CE9" w:rsidR="003B7F35" w:rsidRPr="00564439" w:rsidRDefault="00566E1A">
            <w:pPr>
              <w:spacing w:before="60" w:after="60" w:line="240" w:lineRule="auto"/>
              <w:rPr>
                <w:rFonts w:eastAsia="Calibri" w:cs="Arial"/>
                <w:color w:val="auto"/>
                <w:szCs w:val="20"/>
                <w:lang w:eastAsia="en-GB"/>
              </w:rPr>
            </w:pPr>
            <w:r w:rsidRPr="00564439">
              <w:rPr>
                <w:rFonts w:eastAsia="Calibri" w:cs="Arial"/>
                <w:color w:val="auto"/>
                <w:szCs w:val="20"/>
                <w:lang w:eastAsia="en-GB"/>
              </w:rPr>
              <w:t>R</w:t>
            </w:r>
            <w:r w:rsidRPr="00564439">
              <w:rPr>
                <w:rFonts w:eastAsia="Calibri"/>
                <w:color w:val="auto"/>
                <w:szCs w:val="20"/>
                <w:lang w:eastAsia="en-GB"/>
              </w:rPr>
              <w:t>oydon Common &amp; Dersingham Bog</w:t>
            </w:r>
            <w:r w:rsidR="001F5CBE">
              <w:rPr>
                <w:rFonts w:eastAsia="Calibri"/>
                <w:color w:val="auto"/>
                <w:szCs w:val="20"/>
                <w:lang w:eastAsia="en-GB"/>
              </w:rPr>
              <w:t xml:space="preserve"> SAC</w:t>
            </w:r>
          </w:p>
        </w:tc>
        <w:tc>
          <w:tcPr>
            <w:tcW w:w="2630" w:type="dxa"/>
            <w:tcMar>
              <w:top w:w="0" w:type="dxa"/>
              <w:left w:w="108" w:type="dxa"/>
              <w:bottom w:w="0" w:type="dxa"/>
              <w:right w:w="108" w:type="dxa"/>
            </w:tcMar>
            <w:vAlign w:val="bottom"/>
            <w:hideMark/>
          </w:tcPr>
          <w:p w14:paraId="70C50A68" w14:textId="6C74985C" w:rsidR="003B7F35" w:rsidRPr="00564439" w:rsidRDefault="00566E1A" w:rsidP="00EF7D31">
            <w:pPr>
              <w:spacing w:before="60" w:after="60" w:line="240" w:lineRule="auto"/>
              <w:jc w:val="center"/>
              <w:rPr>
                <w:rFonts w:eastAsia="Calibri" w:cs="Arial"/>
                <w:color w:val="auto"/>
                <w:szCs w:val="20"/>
                <w:lang w:eastAsia="en-GB"/>
              </w:rPr>
            </w:pPr>
            <w:r w:rsidRPr="00564439">
              <w:rPr>
                <w:rFonts w:eastAsia="Calibri" w:cs="Arial"/>
                <w:color w:val="auto"/>
                <w:szCs w:val="20"/>
                <w:lang w:eastAsia="en-GB"/>
              </w:rPr>
              <w:t>3,</w:t>
            </w:r>
            <w:r w:rsidR="002843C7">
              <w:rPr>
                <w:rFonts w:eastAsia="Calibri" w:cs="Arial"/>
                <w:color w:val="auto"/>
                <w:szCs w:val="20"/>
                <w:lang w:eastAsia="en-GB"/>
              </w:rPr>
              <w:t>893</w:t>
            </w:r>
          </w:p>
        </w:tc>
      </w:tr>
      <w:tr w:rsidR="00FA7B8D" w:rsidRPr="00564439" w14:paraId="36C9AD1B" w14:textId="77777777" w:rsidTr="00EA5531">
        <w:tc>
          <w:tcPr>
            <w:tcW w:w="4849" w:type="dxa"/>
            <w:tcMar>
              <w:top w:w="0" w:type="dxa"/>
              <w:left w:w="108" w:type="dxa"/>
              <w:bottom w:w="0" w:type="dxa"/>
              <w:right w:w="108" w:type="dxa"/>
            </w:tcMar>
            <w:vAlign w:val="center"/>
          </w:tcPr>
          <w:p w14:paraId="472C973F" w14:textId="3AD13523" w:rsidR="00566E1A" w:rsidRPr="00564439" w:rsidRDefault="00566E1A">
            <w:pPr>
              <w:spacing w:before="60" w:after="60" w:line="240" w:lineRule="auto"/>
              <w:rPr>
                <w:rFonts w:eastAsia="Calibri" w:cs="Arial"/>
                <w:color w:val="auto"/>
                <w:szCs w:val="20"/>
                <w:lang w:eastAsia="en-GB"/>
              </w:rPr>
            </w:pPr>
            <w:r w:rsidRPr="00564439">
              <w:rPr>
                <w:rFonts w:eastAsia="Calibri" w:cs="Arial"/>
                <w:color w:val="auto"/>
                <w:szCs w:val="20"/>
                <w:lang w:eastAsia="en-GB"/>
              </w:rPr>
              <w:t>Norfolk Valley Fens</w:t>
            </w:r>
            <w:r w:rsidR="001F5CBE">
              <w:rPr>
                <w:rFonts w:eastAsia="Calibri" w:cs="Arial"/>
                <w:color w:val="auto"/>
                <w:szCs w:val="20"/>
                <w:lang w:eastAsia="en-GB"/>
              </w:rPr>
              <w:t xml:space="preserve"> SAC</w:t>
            </w:r>
          </w:p>
        </w:tc>
        <w:tc>
          <w:tcPr>
            <w:tcW w:w="2630" w:type="dxa"/>
            <w:tcMar>
              <w:top w:w="0" w:type="dxa"/>
              <w:left w:w="108" w:type="dxa"/>
              <w:bottom w:w="0" w:type="dxa"/>
              <w:right w:w="108" w:type="dxa"/>
            </w:tcMar>
            <w:vAlign w:val="bottom"/>
          </w:tcPr>
          <w:p w14:paraId="14B31F6F" w14:textId="76AEC5FA" w:rsidR="00566E1A" w:rsidRPr="00564439" w:rsidRDefault="00566E1A" w:rsidP="00EF7D31">
            <w:pPr>
              <w:spacing w:before="60" w:after="60" w:line="240" w:lineRule="auto"/>
              <w:jc w:val="center"/>
              <w:rPr>
                <w:rFonts w:eastAsia="Calibri" w:cs="Arial"/>
                <w:color w:val="auto"/>
                <w:szCs w:val="20"/>
                <w:lang w:eastAsia="en-GB"/>
              </w:rPr>
            </w:pPr>
            <w:r w:rsidRPr="00564439">
              <w:rPr>
                <w:rFonts w:eastAsia="Calibri" w:cs="Arial"/>
                <w:color w:val="auto"/>
                <w:szCs w:val="20"/>
                <w:lang w:eastAsia="en-GB"/>
              </w:rPr>
              <w:t>5</w:t>
            </w:r>
            <w:r w:rsidR="00EF7D31">
              <w:rPr>
                <w:rFonts w:eastAsia="Calibri" w:cs="Arial"/>
                <w:color w:val="auto"/>
                <w:szCs w:val="20"/>
                <w:lang w:eastAsia="en-GB"/>
              </w:rPr>
              <w:t>,</w:t>
            </w:r>
            <w:r w:rsidRPr="00564439">
              <w:rPr>
                <w:rFonts w:eastAsia="Calibri" w:cs="Arial"/>
                <w:color w:val="auto"/>
                <w:szCs w:val="20"/>
                <w:lang w:eastAsia="en-GB"/>
              </w:rPr>
              <w:t>1</w:t>
            </w:r>
            <w:r w:rsidR="002843C7">
              <w:rPr>
                <w:rFonts w:eastAsia="Calibri" w:cs="Arial"/>
                <w:color w:val="auto"/>
                <w:szCs w:val="20"/>
                <w:lang w:eastAsia="en-GB"/>
              </w:rPr>
              <w:t>55</w:t>
            </w:r>
            <w:r w:rsidR="003D1DCC" w:rsidRPr="00564439">
              <w:rPr>
                <w:rFonts w:eastAsia="Calibri" w:cs="Arial"/>
                <w:color w:val="auto"/>
                <w:szCs w:val="20"/>
                <w:lang w:eastAsia="en-GB"/>
              </w:rPr>
              <w:t>*</w:t>
            </w:r>
          </w:p>
        </w:tc>
      </w:tr>
      <w:tr w:rsidR="00FA7B8D" w:rsidRPr="00564439" w14:paraId="32E0CAC0" w14:textId="77777777" w:rsidTr="00EA5531">
        <w:tc>
          <w:tcPr>
            <w:tcW w:w="4849" w:type="dxa"/>
            <w:tcMar>
              <w:top w:w="0" w:type="dxa"/>
              <w:left w:w="108" w:type="dxa"/>
              <w:bottom w:w="0" w:type="dxa"/>
              <w:right w:w="108" w:type="dxa"/>
            </w:tcMar>
            <w:vAlign w:val="center"/>
          </w:tcPr>
          <w:p w14:paraId="786952C2" w14:textId="5D31CA82" w:rsidR="001F5CBE" w:rsidRPr="00564439" w:rsidRDefault="001F5CBE">
            <w:pPr>
              <w:spacing w:before="60" w:after="60" w:line="240" w:lineRule="auto"/>
              <w:rPr>
                <w:rFonts w:eastAsia="Calibri" w:cs="Arial"/>
                <w:color w:val="auto"/>
                <w:szCs w:val="20"/>
                <w:lang w:eastAsia="en-GB"/>
              </w:rPr>
            </w:pPr>
            <w:r>
              <w:rPr>
                <w:rFonts w:eastAsia="Calibri" w:cs="Arial"/>
                <w:color w:val="auto"/>
                <w:szCs w:val="20"/>
                <w:lang w:eastAsia="en-GB"/>
              </w:rPr>
              <w:t>Roydon Common Ramsar</w:t>
            </w:r>
          </w:p>
        </w:tc>
        <w:tc>
          <w:tcPr>
            <w:tcW w:w="2630" w:type="dxa"/>
            <w:tcMar>
              <w:top w:w="0" w:type="dxa"/>
              <w:left w:w="108" w:type="dxa"/>
              <w:bottom w:w="0" w:type="dxa"/>
              <w:right w:w="108" w:type="dxa"/>
            </w:tcMar>
            <w:vAlign w:val="bottom"/>
          </w:tcPr>
          <w:p w14:paraId="7B98E046" w14:textId="1E4B6597" w:rsidR="001F5CBE" w:rsidRPr="00564439" w:rsidRDefault="001F5CBE" w:rsidP="00EF7D31">
            <w:pPr>
              <w:spacing w:before="60" w:after="60" w:line="240" w:lineRule="auto"/>
              <w:jc w:val="center"/>
              <w:rPr>
                <w:rFonts w:eastAsia="Calibri" w:cs="Arial"/>
                <w:color w:val="auto"/>
                <w:szCs w:val="20"/>
                <w:lang w:eastAsia="en-GB"/>
              </w:rPr>
            </w:pPr>
            <w:r>
              <w:rPr>
                <w:rFonts w:eastAsia="Calibri" w:cs="Arial"/>
                <w:color w:val="auto"/>
                <w:szCs w:val="20"/>
                <w:lang w:eastAsia="en-GB"/>
              </w:rPr>
              <w:t>3,</w:t>
            </w:r>
            <w:r w:rsidR="002843C7">
              <w:rPr>
                <w:rFonts w:eastAsia="Calibri" w:cs="Arial"/>
                <w:color w:val="auto"/>
                <w:szCs w:val="20"/>
                <w:lang w:eastAsia="en-GB"/>
              </w:rPr>
              <w:t>893</w:t>
            </w:r>
          </w:p>
        </w:tc>
      </w:tr>
    </w:tbl>
    <w:p w14:paraId="0503C944" w14:textId="027A2313" w:rsidR="0073208E" w:rsidRPr="00564439" w:rsidRDefault="003D1DCC" w:rsidP="00B80971">
      <w:pPr>
        <w:spacing w:after="0"/>
        <w:rPr>
          <w:rFonts w:cs="Arial"/>
          <w:color w:val="auto"/>
          <w:sz w:val="20"/>
          <w:szCs w:val="16"/>
          <w:lang w:eastAsia="en-GB"/>
        </w:rPr>
      </w:pPr>
      <w:bookmarkStart w:id="11" w:name="_OPTION_2:_where"/>
      <w:bookmarkStart w:id="12" w:name="_OPTION_3:_sites"/>
      <w:bookmarkStart w:id="13" w:name="_OPTION_4:_site"/>
      <w:bookmarkEnd w:id="10"/>
      <w:bookmarkEnd w:id="11"/>
      <w:bookmarkEnd w:id="12"/>
      <w:bookmarkEnd w:id="13"/>
      <w:r w:rsidRPr="00564439">
        <w:rPr>
          <w:rFonts w:cs="Arial"/>
          <w:color w:val="auto"/>
          <w:sz w:val="20"/>
          <w:szCs w:val="16"/>
          <w:lang w:eastAsia="en-GB"/>
        </w:rPr>
        <w:t>*</w:t>
      </w:r>
      <w:r w:rsidR="00956B38" w:rsidRPr="00564439">
        <w:rPr>
          <w:rFonts w:cs="Arial"/>
          <w:color w:val="auto"/>
          <w:sz w:val="20"/>
          <w:szCs w:val="16"/>
          <w:lang w:eastAsia="en-GB"/>
        </w:rPr>
        <w:t xml:space="preserve"> </w:t>
      </w:r>
      <w:r w:rsidR="00564439" w:rsidRPr="00564439">
        <w:rPr>
          <w:rFonts w:cs="Arial"/>
          <w:color w:val="auto"/>
          <w:sz w:val="20"/>
          <w:szCs w:val="16"/>
          <w:lang w:eastAsia="en-GB"/>
        </w:rPr>
        <w:t>This</w:t>
      </w:r>
      <w:r w:rsidRPr="00564439">
        <w:rPr>
          <w:rFonts w:cs="Arial"/>
          <w:color w:val="auto"/>
          <w:sz w:val="20"/>
          <w:szCs w:val="16"/>
          <w:lang w:eastAsia="en-GB"/>
        </w:rPr>
        <w:t xml:space="preserve"> site is included at &gt;5km because the screening is based on an approximate </w:t>
      </w:r>
      <w:r w:rsidR="00303542" w:rsidRPr="00564439">
        <w:rPr>
          <w:rFonts w:cs="Arial"/>
          <w:color w:val="auto"/>
          <w:sz w:val="20"/>
          <w:szCs w:val="16"/>
          <w:lang w:eastAsia="en-GB"/>
        </w:rPr>
        <w:t xml:space="preserve">centre point of emissions and includes a buffer distance calculated from this centre point to the furthest </w:t>
      </w:r>
      <w:r w:rsidR="00956B38" w:rsidRPr="00564439">
        <w:rPr>
          <w:rFonts w:cs="Arial"/>
          <w:color w:val="auto"/>
          <w:sz w:val="20"/>
          <w:szCs w:val="16"/>
          <w:lang w:eastAsia="en-GB"/>
        </w:rPr>
        <w:t xml:space="preserve">point of the boundary to ensure all nature conservation sites within the threshold distance from the installation boundary have been included in the assessment. </w:t>
      </w:r>
    </w:p>
    <w:p w14:paraId="2A4D939D" w14:textId="77777777" w:rsidR="00564439" w:rsidRPr="00D61C36" w:rsidRDefault="00564439" w:rsidP="0073208E">
      <w:pPr>
        <w:spacing w:after="0"/>
        <w:rPr>
          <w:rFonts w:cs="Arial"/>
          <w:color w:val="B10E1E"/>
          <w:szCs w:val="20"/>
          <w:lang w:eastAsia="en-GB"/>
        </w:rPr>
      </w:pPr>
    </w:p>
    <w:p w14:paraId="7D4CFA7C" w14:textId="4A5CDEAE" w:rsidR="0073208E" w:rsidRPr="00D61C36" w:rsidRDefault="0073208E" w:rsidP="0073208E">
      <w:pPr>
        <w:spacing w:after="0"/>
        <w:rPr>
          <w:rFonts w:cs="Arial"/>
          <w:color w:val="B10E1E"/>
          <w:szCs w:val="20"/>
          <w:lang w:eastAsia="en-GB"/>
        </w:rPr>
      </w:pPr>
      <w:r w:rsidRPr="0078194B">
        <w:rPr>
          <w:rFonts w:cs="Arial"/>
          <w:color w:val="auto"/>
          <w:szCs w:val="20"/>
          <w:lang w:eastAsia="en-GB"/>
        </w:rPr>
        <w:t>No further assessment is required.</w:t>
      </w:r>
    </w:p>
    <w:p w14:paraId="0D325D83" w14:textId="77777777" w:rsidR="0073208E" w:rsidRPr="0073208E" w:rsidRDefault="0073208E" w:rsidP="0073208E">
      <w:pPr>
        <w:spacing w:after="0"/>
        <w:rPr>
          <w:rFonts w:cs="Arial"/>
          <w:bCs/>
          <w:color w:val="C00000"/>
        </w:rPr>
      </w:pPr>
    </w:p>
    <w:p w14:paraId="006644E5" w14:textId="3B95AD95" w:rsidR="0073208E" w:rsidRPr="00ED59C1" w:rsidRDefault="0073208E" w:rsidP="009A1EE4">
      <w:pPr>
        <w:pStyle w:val="Topictitle"/>
        <w:rPr>
          <w:b w:val="0"/>
          <w:color w:val="auto"/>
          <w:lang w:eastAsia="en-GB"/>
        </w:rPr>
      </w:pPr>
      <w:bookmarkStart w:id="14" w:name="_Toc370907709"/>
      <w:bookmarkStart w:id="15" w:name="Ammonia_assessment_SSSI"/>
      <w:r w:rsidRPr="00ED59C1">
        <w:rPr>
          <w:color w:val="auto"/>
          <w:lang w:eastAsia="en-GB"/>
        </w:rPr>
        <w:t xml:space="preserve">Ammonia assessment – SSSI </w:t>
      </w:r>
      <w:bookmarkEnd w:id="14"/>
    </w:p>
    <w:bookmarkEnd w:id="15"/>
    <w:p w14:paraId="011EB7A3" w14:textId="710BCFB1" w:rsidR="0073208E" w:rsidRPr="00ED59C1" w:rsidRDefault="0073208E" w:rsidP="0073208E">
      <w:pPr>
        <w:rPr>
          <w:rFonts w:cs="Arial"/>
          <w:color w:val="auto"/>
          <w:szCs w:val="20"/>
          <w:lang w:eastAsia="en-GB"/>
        </w:rPr>
      </w:pPr>
      <w:r w:rsidRPr="00ED59C1">
        <w:rPr>
          <w:rFonts w:cs="Arial"/>
          <w:color w:val="auto"/>
          <w:szCs w:val="20"/>
          <w:lang w:eastAsia="en-GB"/>
        </w:rPr>
        <w:t>The following trigger thresholds have been applied for assessment of SSSIs:</w:t>
      </w:r>
    </w:p>
    <w:p w14:paraId="1277964D" w14:textId="77777777" w:rsidR="0073208E" w:rsidRPr="00ED59C1" w:rsidRDefault="0073208E" w:rsidP="006F570D">
      <w:pPr>
        <w:numPr>
          <w:ilvl w:val="0"/>
          <w:numId w:val="16"/>
        </w:numPr>
        <w:spacing w:before="120" w:after="120" w:line="276" w:lineRule="auto"/>
        <w:ind w:left="709" w:hanging="425"/>
        <w:rPr>
          <w:rFonts w:eastAsia="Times New Roman" w:cs="Times New Roman"/>
          <w:color w:val="auto"/>
        </w:rPr>
      </w:pPr>
      <w:r w:rsidRPr="00ED59C1">
        <w:rPr>
          <w:rFonts w:eastAsia="Times New Roman" w:cs="Times New Roman"/>
          <w:color w:val="auto"/>
        </w:rPr>
        <w:t xml:space="preserve">If the process contribution (PC) is below 20% of the relevant critical level (CLe) or critical load (CLo) then the farm can be permitted with no further assessment. </w:t>
      </w:r>
    </w:p>
    <w:p w14:paraId="10CDB04A" w14:textId="757C0565" w:rsidR="0073208E" w:rsidRPr="00ED59C1" w:rsidRDefault="0073208E" w:rsidP="006F570D">
      <w:pPr>
        <w:numPr>
          <w:ilvl w:val="0"/>
          <w:numId w:val="16"/>
        </w:numPr>
        <w:spacing w:before="120" w:after="120" w:line="276" w:lineRule="auto"/>
        <w:ind w:left="709" w:hanging="425"/>
        <w:rPr>
          <w:rFonts w:eastAsia="Times New Roman" w:cs="Times New Roman"/>
          <w:color w:val="auto"/>
        </w:rPr>
      </w:pPr>
      <w:r w:rsidRPr="00ED59C1">
        <w:rPr>
          <w:rFonts w:eastAsia="Times New Roman" w:cs="Times New Roman"/>
          <w:color w:val="auto"/>
        </w:rPr>
        <w:t>Where this threshold is exceeded an assessment alone and in combination is required. An in-combination assessment will be completed to establish the combined PC for all existing farms identified within 5 km of the SSSI.</w:t>
      </w:r>
    </w:p>
    <w:p w14:paraId="7C3A8CCF" w14:textId="27C60F57" w:rsidR="0073208E" w:rsidRPr="008F0A69" w:rsidRDefault="000A6798" w:rsidP="0073208E">
      <w:pPr>
        <w:rPr>
          <w:rFonts w:cs="Arial"/>
          <w:color w:val="auto"/>
          <w:szCs w:val="20"/>
          <w:lang w:eastAsia="en-GB"/>
        </w:rPr>
      </w:pPr>
      <w:r>
        <w:rPr>
          <w:rFonts w:cs="Arial"/>
          <w:color w:val="auto"/>
          <w:szCs w:val="20"/>
          <w:lang w:eastAsia="en-GB"/>
        </w:rPr>
        <w:t>Revised</w:t>
      </w:r>
      <w:r w:rsidR="0073208E" w:rsidRPr="008F0A69">
        <w:rPr>
          <w:rFonts w:cs="Arial"/>
          <w:color w:val="auto"/>
          <w:szCs w:val="20"/>
          <w:lang w:eastAsia="en-GB"/>
        </w:rPr>
        <w:t xml:space="preserve"> screening using the ammonia screening tool version </w:t>
      </w:r>
      <w:r w:rsidR="0073208E" w:rsidRPr="008F0A69">
        <w:rPr>
          <w:rFonts w:cs="Arial"/>
          <w:color w:val="auto"/>
        </w:rPr>
        <w:t xml:space="preserve">4.6 (dated </w:t>
      </w:r>
      <w:r w:rsidR="00FE56F8">
        <w:rPr>
          <w:rFonts w:cs="Arial"/>
          <w:color w:val="auto"/>
        </w:rPr>
        <w:t>19/02/2026</w:t>
      </w:r>
      <w:r w:rsidR="0073208E" w:rsidRPr="008F0A69">
        <w:rPr>
          <w:rFonts w:cs="Arial"/>
          <w:color w:val="auto"/>
        </w:rPr>
        <w:t xml:space="preserve">) </w:t>
      </w:r>
      <w:r w:rsidR="0073208E" w:rsidRPr="008F0A69">
        <w:rPr>
          <w:rFonts w:cs="Arial"/>
          <w:color w:val="auto"/>
          <w:szCs w:val="20"/>
          <w:lang w:eastAsia="en-GB"/>
        </w:rPr>
        <w:t xml:space="preserve">has indicated that emissions from </w:t>
      </w:r>
      <w:r w:rsidR="008F0A69" w:rsidRPr="008F0A69">
        <w:rPr>
          <w:rFonts w:cs="Arial"/>
          <w:color w:val="auto"/>
          <w:szCs w:val="20"/>
          <w:lang w:eastAsia="en-GB"/>
        </w:rPr>
        <w:t>Tithe Farm Poultry Unit</w:t>
      </w:r>
      <w:r w:rsidR="0073208E" w:rsidRPr="008F0A69">
        <w:rPr>
          <w:rFonts w:cs="Arial"/>
          <w:color w:val="auto"/>
          <w:szCs w:val="20"/>
          <w:lang w:eastAsia="en-GB"/>
        </w:rPr>
        <w:t xml:space="preserve"> will only have a potential impact on SSSI</w:t>
      </w:r>
      <w:r w:rsidR="0073208E" w:rsidRPr="008F0A69">
        <w:rPr>
          <w:rFonts w:cs="Arial"/>
          <w:color w:val="auto"/>
        </w:rPr>
        <w:t>s</w:t>
      </w:r>
      <w:r w:rsidR="00E86273">
        <w:rPr>
          <w:rFonts w:cs="Arial"/>
          <w:color w:val="auto"/>
        </w:rPr>
        <w:t xml:space="preserve"> </w:t>
      </w:r>
      <w:r w:rsidR="0073208E" w:rsidRPr="008F0A69">
        <w:rPr>
          <w:rFonts w:cs="Arial"/>
          <w:color w:val="auto"/>
          <w:szCs w:val="20"/>
          <w:lang w:eastAsia="en-GB"/>
        </w:rPr>
        <w:t>with a precautionary CLe of 1</w:t>
      </w:r>
      <w:r w:rsidR="003C4A36" w:rsidRPr="008F0A69">
        <w:rPr>
          <w:rFonts w:cs="Arial"/>
          <w:color w:val="auto"/>
          <w:szCs w:val="20"/>
          <w:lang w:eastAsia="en-GB"/>
        </w:rPr>
        <w:t xml:space="preserve"> </w:t>
      </w:r>
      <w:r w:rsidR="0073208E" w:rsidRPr="008F0A69">
        <w:rPr>
          <w:rFonts w:cs="Arial"/>
          <w:color w:val="auto"/>
          <w:szCs w:val="20"/>
          <w:lang w:eastAsia="en-GB"/>
        </w:rPr>
        <w:t>μg/m</w:t>
      </w:r>
      <w:r w:rsidR="0073208E" w:rsidRPr="008F0A69">
        <w:rPr>
          <w:rFonts w:cs="Arial"/>
          <w:color w:val="auto"/>
          <w:szCs w:val="20"/>
          <w:vertAlign w:val="superscript"/>
          <w:lang w:eastAsia="en-GB"/>
        </w:rPr>
        <w:t>3</w:t>
      </w:r>
      <w:r w:rsidR="0073208E" w:rsidRPr="008F0A69">
        <w:rPr>
          <w:rFonts w:cs="Arial"/>
          <w:color w:val="auto"/>
          <w:szCs w:val="20"/>
          <w:lang w:eastAsia="en-GB"/>
        </w:rPr>
        <w:t xml:space="preserve"> if they are within </w:t>
      </w:r>
      <w:r w:rsidR="008F0A69" w:rsidRPr="008F0A69">
        <w:rPr>
          <w:rFonts w:cs="Arial"/>
          <w:color w:val="auto"/>
          <w:szCs w:val="20"/>
          <w:lang w:eastAsia="en-GB"/>
        </w:rPr>
        <w:t>1,049</w:t>
      </w:r>
      <w:r w:rsidR="0073208E" w:rsidRPr="008F0A69">
        <w:rPr>
          <w:rFonts w:cs="Arial"/>
          <w:color w:val="auto"/>
          <w:szCs w:val="20"/>
          <w:lang w:eastAsia="en-GB"/>
        </w:rPr>
        <w:t xml:space="preserve"> metres of the emission source. </w:t>
      </w:r>
    </w:p>
    <w:p w14:paraId="3B6DEFAE" w14:textId="4D651246" w:rsidR="0073208E" w:rsidRPr="008F0A69" w:rsidRDefault="0073208E" w:rsidP="0073208E">
      <w:pPr>
        <w:rPr>
          <w:rFonts w:cs="Arial"/>
          <w:color w:val="auto"/>
          <w:szCs w:val="20"/>
          <w:lang w:eastAsia="en-GB"/>
        </w:rPr>
      </w:pPr>
      <w:r w:rsidRPr="008F0A69">
        <w:rPr>
          <w:rFonts w:cs="Arial"/>
          <w:color w:val="auto"/>
          <w:szCs w:val="20"/>
          <w:lang w:eastAsia="en-GB"/>
        </w:rPr>
        <w:t xml:space="preserve">Beyond </w:t>
      </w:r>
      <w:r w:rsidR="008F0A69" w:rsidRPr="008F0A69">
        <w:rPr>
          <w:rFonts w:cs="Arial"/>
          <w:color w:val="auto"/>
          <w:szCs w:val="20"/>
          <w:lang w:eastAsia="en-GB"/>
        </w:rPr>
        <w:t>1,049</w:t>
      </w:r>
      <w:r w:rsidRPr="008F0A69">
        <w:rPr>
          <w:rFonts w:cs="Arial"/>
          <w:color w:val="auto"/>
          <w:szCs w:val="20"/>
          <w:lang w:eastAsia="en-GB"/>
        </w:rPr>
        <w:t>m the PC is less than 0.2</w:t>
      </w:r>
      <w:r w:rsidR="003C4A36" w:rsidRPr="008F0A69">
        <w:rPr>
          <w:rFonts w:cs="Arial"/>
          <w:color w:val="auto"/>
          <w:szCs w:val="20"/>
          <w:lang w:eastAsia="en-GB"/>
        </w:rPr>
        <w:t xml:space="preserve"> </w:t>
      </w:r>
      <w:r w:rsidRPr="008F0A69">
        <w:rPr>
          <w:rFonts w:cs="Arial"/>
          <w:color w:val="auto"/>
          <w:szCs w:val="20"/>
          <w:lang w:eastAsia="en-GB"/>
        </w:rPr>
        <w:t>µg/m</w:t>
      </w:r>
      <w:r w:rsidRPr="008F0A69">
        <w:rPr>
          <w:rFonts w:cs="Arial"/>
          <w:color w:val="auto"/>
          <w:szCs w:val="20"/>
          <w:vertAlign w:val="superscript"/>
          <w:lang w:eastAsia="en-GB"/>
        </w:rPr>
        <w:t>3</w:t>
      </w:r>
      <w:r w:rsidRPr="008F0A69">
        <w:rPr>
          <w:rFonts w:cs="Arial"/>
          <w:color w:val="auto"/>
          <w:szCs w:val="20"/>
          <w:lang w:eastAsia="en-GB"/>
        </w:rPr>
        <w:t xml:space="preserve"> (i.e. less than 20% of the precautionary 1</w:t>
      </w:r>
      <w:r w:rsidR="003C4A36" w:rsidRPr="008F0A69">
        <w:rPr>
          <w:rFonts w:cs="Arial"/>
          <w:color w:val="auto"/>
          <w:szCs w:val="20"/>
          <w:lang w:eastAsia="en-GB"/>
        </w:rPr>
        <w:t xml:space="preserve"> </w:t>
      </w:r>
      <w:r w:rsidRPr="008F0A69">
        <w:rPr>
          <w:rFonts w:cs="Arial"/>
          <w:color w:val="auto"/>
          <w:szCs w:val="20"/>
          <w:lang w:eastAsia="en-GB"/>
        </w:rPr>
        <w:t>µg/m</w:t>
      </w:r>
      <w:r w:rsidRPr="008F0A69">
        <w:rPr>
          <w:rFonts w:cs="Arial"/>
          <w:color w:val="auto"/>
          <w:szCs w:val="20"/>
          <w:vertAlign w:val="superscript"/>
          <w:lang w:eastAsia="en-GB"/>
        </w:rPr>
        <w:t>3</w:t>
      </w:r>
      <w:r w:rsidRPr="008F0A69">
        <w:rPr>
          <w:rFonts w:cs="Arial"/>
          <w:color w:val="auto"/>
          <w:szCs w:val="20"/>
          <w:lang w:eastAsia="en-GB"/>
        </w:rPr>
        <w:t xml:space="preserve"> CLe) and therefore beyond this distance the PC is insignificant</w:t>
      </w:r>
      <w:r w:rsidR="00E56DD8" w:rsidRPr="008F0A69">
        <w:rPr>
          <w:rFonts w:cs="Arial"/>
          <w:color w:val="auto"/>
          <w:szCs w:val="20"/>
          <w:lang w:eastAsia="en-GB"/>
        </w:rPr>
        <w:t xml:space="preserve">. </w:t>
      </w:r>
      <w:r w:rsidRPr="008F0A69">
        <w:rPr>
          <w:rFonts w:cs="Arial"/>
          <w:color w:val="auto"/>
          <w:szCs w:val="20"/>
          <w:lang w:eastAsia="en-GB"/>
        </w:rPr>
        <w:t xml:space="preserve">In this case </w:t>
      </w:r>
      <w:r w:rsidRPr="008F0A69">
        <w:rPr>
          <w:rFonts w:cs="Arial"/>
          <w:bCs/>
          <w:color w:val="auto"/>
          <w:szCs w:val="20"/>
          <w:lang w:eastAsia="en-GB"/>
        </w:rPr>
        <w:t>all SSSIs</w:t>
      </w:r>
      <w:r w:rsidR="00E56DD8" w:rsidRPr="008F0A69">
        <w:rPr>
          <w:rFonts w:cs="Arial"/>
          <w:bCs/>
          <w:color w:val="auto"/>
          <w:szCs w:val="20"/>
          <w:lang w:eastAsia="en-GB"/>
        </w:rPr>
        <w:t xml:space="preserve"> </w:t>
      </w:r>
      <w:r w:rsidRPr="008F0A69">
        <w:rPr>
          <w:rFonts w:cs="Arial"/>
          <w:bCs/>
          <w:color w:val="auto"/>
          <w:szCs w:val="20"/>
          <w:lang w:eastAsia="en-GB"/>
        </w:rPr>
        <w:t>are</w:t>
      </w:r>
      <w:r w:rsidRPr="008F0A69">
        <w:rPr>
          <w:rFonts w:cs="Arial"/>
          <w:color w:val="auto"/>
          <w:szCs w:val="20"/>
          <w:lang w:eastAsia="en-GB"/>
        </w:rPr>
        <w:t xml:space="preserve"> beyond this distance (see table below) and therefore screen out of any further assessment.</w:t>
      </w:r>
    </w:p>
    <w:p w14:paraId="0390C573" w14:textId="2EC54781" w:rsidR="0073208E" w:rsidRPr="001F5CBE" w:rsidRDefault="0073208E" w:rsidP="0073208E">
      <w:pPr>
        <w:keepNext/>
        <w:rPr>
          <w:rFonts w:cs="Arial"/>
          <w:color w:val="auto"/>
          <w:szCs w:val="20"/>
          <w:lang w:eastAsia="en-GB"/>
        </w:rPr>
      </w:pPr>
      <w:r w:rsidRPr="008F0A69">
        <w:rPr>
          <w:rFonts w:cs="Arial"/>
          <w:color w:val="auto"/>
          <w:szCs w:val="20"/>
          <w:lang w:eastAsia="en-GB"/>
        </w:rPr>
        <w:t>Where the precautionary level of 1</w:t>
      </w:r>
      <w:r w:rsidR="003C4A36" w:rsidRPr="008F0A69">
        <w:rPr>
          <w:rFonts w:cs="Arial"/>
          <w:color w:val="auto"/>
          <w:szCs w:val="20"/>
          <w:lang w:eastAsia="en-GB"/>
        </w:rPr>
        <w:t xml:space="preserve"> </w:t>
      </w:r>
      <w:r w:rsidRPr="008F0A69">
        <w:rPr>
          <w:rFonts w:cs="Arial"/>
          <w:color w:val="auto"/>
          <w:szCs w:val="20"/>
          <w:lang w:eastAsia="en-GB"/>
        </w:rPr>
        <w:t>µg/m</w:t>
      </w:r>
      <w:r w:rsidRPr="008F0A69">
        <w:rPr>
          <w:rFonts w:cs="Arial"/>
          <w:color w:val="auto"/>
          <w:szCs w:val="20"/>
          <w:vertAlign w:val="superscript"/>
          <w:lang w:eastAsia="en-GB"/>
        </w:rPr>
        <w:t xml:space="preserve">3 </w:t>
      </w:r>
      <w:r w:rsidRPr="008F0A69">
        <w:rPr>
          <w:rFonts w:cs="Arial"/>
          <w:color w:val="auto"/>
          <w:szCs w:val="20"/>
          <w:lang w:eastAsia="en-GB"/>
        </w:rPr>
        <w:t>is used and the PC is assessed to be less than 20%, the site automatically screens out as insignificant and no further assessment of CLo is necessary</w:t>
      </w:r>
      <w:r w:rsidR="00195A44" w:rsidRPr="008F0A69">
        <w:rPr>
          <w:rFonts w:cs="Arial"/>
          <w:color w:val="auto"/>
          <w:szCs w:val="20"/>
          <w:lang w:eastAsia="en-GB"/>
        </w:rPr>
        <w:t xml:space="preserve">. </w:t>
      </w:r>
      <w:r w:rsidRPr="008F0A69">
        <w:rPr>
          <w:rFonts w:cs="Arial"/>
          <w:color w:val="auto"/>
          <w:szCs w:val="20"/>
          <w:lang w:eastAsia="en-GB"/>
        </w:rPr>
        <w:t>In this case the 1</w:t>
      </w:r>
      <w:r w:rsidR="003C4A36" w:rsidRPr="008F0A69">
        <w:rPr>
          <w:rFonts w:cs="Arial"/>
          <w:color w:val="auto"/>
          <w:szCs w:val="20"/>
          <w:lang w:eastAsia="en-GB"/>
        </w:rPr>
        <w:t xml:space="preserve"> </w:t>
      </w:r>
      <w:r w:rsidRPr="008F0A69">
        <w:rPr>
          <w:rFonts w:cs="Arial"/>
          <w:color w:val="auto"/>
          <w:szCs w:val="20"/>
          <w:lang w:eastAsia="en-GB"/>
        </w:rPr>
        <w:t>µg/m</w:t>
      </w:r>
      <w:r w:rsidRPr="008F0A69">
        <w:rPr>
          <w:rFonts w:cs="Arial"/>
          <w:color w:val="auto"/>
          <w:szCs w:val="20"/>
          <w:vertAlign w:val="superscript"/>
          <w:lang w:eastAsia="en-GB"/>
        </w:rPr>
        <w:t xml:space="preserve">3 </w:t>
      </w:r>
      <w:r w:rsidRPr="008F0A69">
        <w:rPr>
          <w:rFonts w:cs="Arial"/>
          <w:color w:val="auto"/>
          <w:szCs w:val="20"/>
          <w:lang w:eastAsia="en-GB"/>
        </w:rPr>
        <w:t>level used has not been confirmed by Natural England, but it is precautionary</w:t>
      </w:r>
      <w:r w:rsidR="00195A44" w:rsidRPr="008F0A69">
        <w:rPr>
          <w:rFonts w:cs="Arial"/>
          <w:color w:val="auto"/>
          <w:szCs w:val="20"/>
          <w:lang w:eastAsia="en-GB"/>
        </w:rPr>
        <w:t xml:space="preserve">. </w:t>
      </w:r>
      <w:r w:rsidRPr="008F0A69">
        <w:rPr>
          <w:rFonts w:cs="Arial"/>
          <w:color w:val="auto"/>
          <w:szCs w:val="20"/>
          <w:lang w:eastAsia="en-GB"/>
        </w:rPr>
        <w:t xml:space="preserve">It is therefore </w:t>
      </w:r>
      <w:r w:rsidRPr="001F5CBE">
        <w:rPr>
          <w:rFonts w:cs="Arial"/>
          <w:color w:val="auto"/>
          <w:szCs w:val="20"/>
          <w:lang w:eastAsia="en-GB"/>
        </w:rPr>
        <w:t>possible to conclude no likely damage to these sites.</w:t>
      </w:r>
    </w:p>
    <w:p w14:paraId="63F37B15" w14:textId="1ECE801E" w:rsidR="0073208E" w:rsidRPr="006745E8" w:rsidRDefault="000A356D" w:rsidP="0073208E">
      <w:pPr>
        <w:keepNext/>
        <w:rPr>
          <w:rFonts w:cs="Arial"/>
          <w:b/>
          <w:bCs/>
          <w:color w:val="auto"/>
          <w:szCs w:val="20"/>
          <w:lang w:eastAsia="en-GB"/>
        </w:rPr>
      </w:pPr>
      <w:r w:rsidRPr="006745E8">
        <w:rPr>
          <w:rFonts w:cs="Arial"/>
          <w:b/>
          <w:color w:val="auto"/>
          <w:szCs w:val="20"/>
          <w:lang w:eastAsia="en-GB"/>
        </w:rPr>
        <w:t xml:space="preserve">Table </w:t>
      </w:r>
      <w:r w:rsidR="008F0A69" w:rsidRPr="006745E8">
        <w:rPr>
          <w:rFonts w:cs="Arial"/>
          <w:b/>
          <w:color w:val="auto"/>
          <w:szCs w:val="20"/>
          <w:lang w:eastAsia="en-GB"/>
        </w:rPr>
        <w:t>2</w:t>
      </w:r>
      <w:r w:rsidRPr="006745E8">
        <w:rPr>
          <w:rFonts w:cs="Arial"/>
          <w:b/>
          <w:color w:val="auto"/>
          <w:szCs w:val="20"/>
          <w:lang w:eastAsia="en-GB"/>
        </w:rPr>
        <w:t xml:space="preserve"> </w:t>
      </w:r>
      <w:r w:rsidR="0073208E" w:rsidRPr="006745E8">
        <w:rPr>
          <w:rFonts w:cs="Arial"/>
          <w:b/>
          <w:bCs/>
          <w:color w:val="auto"/>
          <w:szCs w:val="20"/>
          <w:lang w:eastAsia="en-GB"/>
        </w:rPr>
        <w:t>– SSSI Assessment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03"/>
        <w:gridCol w:w="2976"/>
      </w:tblGrid>
      <w:tr w:rsidR="00F9145D" w:rsidRPr="006745E8" w14:paraId="6422E6E0" w14:textId="77777777">
        <w:tc>
          <w:tcPr>
            <w:tcW w:w="4503" w:type="dxa"/>
            <w:tcMar>
              <w:top w:w="0" w:type="dxa"/>
              <w:left w:w="108" w:type="dxa"/>
              <w:bottom w:w="0" w:type="dxa"/>
              <w:right w:w="108" w:type="dxa"/>
            </w:tcMar>
            <w:hideMark/>
          </w:tcPr>
          <w:p w14:paraId="0EC5B836" w14:textId="77777777" w:rsidR="0073208E" w:rsidRPr="006745E8" w:rsidRDefault="0073208E" w:rsidP="0073208E">
            <w:pPr>
              <w:spacing w:before="60" w:after="60" w:line="240" w:lineRule="auto"/>
              <w:jc w:val="both"/>
              <w:rPr>
                <w:rFonts w:eastAsia="Calibri" w:cs="Arial"/>
                <w:b/>
                <w:bCs/>
                <w:color w:val="auto"/>
                <w:szCs w:val="20"/>
                <w:lang w:eastAsia="en-GB"/>
              </w:rPr>
            </w:pPr>
            <w:r w:rsidRPr="006745E8">
              <w:rPr>
                <w:rFonts w:cs="Arial"/>
                <w:b/>
                <w:bCs/>
                <w:color w:val="auto"/>
                <w:szCs w:val="20"/>
                <w:lang w:eastAsia="en-GB"/>
              </w:rPr>
              <w:t>Name of SSSI</w:t>
            </w:r>
          </w:p>
        </w:tc>
        <w:tc>
          <w:tcPr>
            <w:tcW w:w="2976" w:type="dxa"/>
            <w:tcMar>
              <w:top w:w="0" w:type="dxa"/>
              <w:left w:w="108" w:type="dxa"/>
              <w:bottom w:w="0" w:type="dxa"/>
              <w:right w:w="108" w:type="dxa"/>
            </w:tcMar>
            <w:hideMark/>
          </w:tcPr>
          <w:p w14:paraId="5238B274" w14:textId="77777777" w:rsidR="0073208E" w:rsidRPr="006745E8" w:rsidRDefault="0073208E" w:rsidP="0073208E">
            <w:pPr>
              <w:spacing w:before="60" w:after="60" w:line="240" w:lineRule="auto"/>
              <w:jc w:val="center"/>
              <w:rPr>
                <w:rFonts w:eastAsia="Calibri" w:cs="Arial"/>
                <w:b/>
                <w:bCs/>
                <w:color w:val="auto"/>
                <w:szCs w:val="20"/>
                <w:lang w:eastAsia="en-GB"/>
              </w:rPr>
            </w:pPr>
            <w:r w:rsidRPr="006745E8">
              <w:rPr>
                <w:rFonts w:cs="Arial"/>
                <w:b/>
                <w:bCs/>
                <w:color w:val="auto"/>
                <w:szCs w:val="20"/>
                <w:lang w:eastAsia="en-GB"/>
              </w:rPr>
              <w:t>Distance from site (m)</w:t>
            </w:r>
          </w:p>
        </w:tc>
      </w:tr>
      <w:tr w:rsidR="00F9145D" w:rsidRPr="006745E8" w14:paraId="07FC93F0" w14:textId="77777777">
        <w:tc>
          <w:tcPr>
            <w:tcW w:w="4503" w:type="dxa"/>
            <w:tcMar>
              <w:top w:w="0" w:type="dxa"/>
              <w:left w:w="108" w:type="dxa"/>
              <w:bottom w:w="0" w:type="dxa"/>
              <w:right w:w="108" w:type="dxa"/>
            </w:tcMar>
            <w:vAlign w:val="center"/>
            <w:hideMark/>
          </w:tcPr>
          <w:p w14:paraId="2A001E4E" w14:textId="3A86E692" w:rsidR="0073208E" w:rsidRPr="006745E8" w:rsidRDefault="00D133F2" w:rsidP="0073208E">
            <w:pPr>
              <w:spacing w:before="60" w:after="60" w:line="240" w:lineRule="auto"/>
              <w:rPr>
                <w:rFonts w:eastAsia="Calibri" w:cs="Arial"/>
                <w:bCs/>
                <w:color w:val="auto"/>
                <w:szCs w:val="20"/>
                <w:lang w:eastAsia="en-GB"/>
              </w:rPr>
            </w:pPr>
            <w:r w:rsidRPr="006745E8">
              <w:rPr>
                <w:rFonts w:eastAsia="Calibri" w:cs="Arial"/>
                <w:bCs/>
                <w:color w:val="auto"/>
                <w:szCs w:val="20"/>
                <w:lang w:eastAsia="en-GB"/>
              </w:rPr>
              <w:t>Leziate, Sugar and Derby Fens</w:t>
            </w:r>
          </w:p>
        </w:tc>
        <w:tc>
          <w:tcPr>
            <w:tcW w:w="2976" w:type="dxa"/>
            <w:tcMar>
              <w:top w:w="0" w:type="dxa"/>
              <w:left w:w="108" w:type="dxa"/>
              <w:bottom w:w="0" w:type="dxa"/>
              <w:right w:w="108" w:type="dxa"/>
            </w:tcMar>
            <w:vAlign w:val="bottom"/>
            <w:hideMark/>
          </w:tcPr>
          <w:p w14:paraId="619764A2" w14:textId="3EDBFA6D" w:rsidR="0073208E" w:rsidRPr="006745E8" w:rsidRDefault="00D133F2" w:rsidP="0073208E">
            <w:pPr>
              <w:spacing w:before="60" w:after="60" w:line="240" w:lineRule="auto"/>
              <w:jc w:val="center"/>
              <w:rPr>
                <w:rFonts w:eastAsia="Calibri" w:cs="Arial"/>
                <w:bCs/>
                <w:color w:val="auto"/>
                <w:szCs w:val="20"/>
                <w:lang w:eastAsia="en-GB"/>
              </w:rPr>
            </w:pPr>
            <w:r w:rsidRPr="006745E8">
              <w:rPr>
                <w:rFonts w:eastAsia="Calibri" w:cs="Arial"/>
                <w:bCs/>
                <w:color w:val="auto"/>
                <w:szCs w:val="20"/>
                <w:lang w:eastAsia="en-GB"/>
              </w:rPr>
              <w:t>3,4</w:t>
            </w:r>
            <w:r w:rsidR="005B7F44">
              <w:rPr>
                <w:rFonts w:eastAsia="Calibri" w:cs="Arial"/>
                <w:bCs/>
                <w:color w:val="auto"/>
                <w:szCs w:val="20"/>
                <w:lang w:eastAsia="en-GB"/>
              </w:rPr>
              <w:t>59</w:t>
            </w:r>
          </w:p>
        </w:tc>
      </w:tr>
      <w:tr w:rsidR="00F9145D" w:rsidRPr="006745E8" w14:paraId="2EE8CB73" w14:textId="77777777">
        <w:tc>
          <w:tcPr>
            <w:tcW w:w="4503" w:type="dxa"/>
            <w:tcMar>
              <w:top w:w="0" w:type="dxa"/>
              <w:left w:w="108" w:type="dxa"/>
              <w:bottom w:w="0" w:type="dxa"/>
              <w:right w:w="108" w:type="dxa"/>
            </w:tcMar>
            <w:vAlign w:val="center"/>
          </w:tcPr>
          <w:p w14:paraId="34923773" w14:textId="389A2609" w:rsidR="00D133F2" w:rsidRPr="006745E8" w:rsidRDefault="00D133F2" w:rsidP="0073208E">
            <w:pPr>
              <w:spacing w:before="60" w:after="60" w:line="240" w:lineRule="auto"/>
              <w:rPr>
                <w:rFonts w:eastAsia="Calibri" w:cs="Arial"/>
                <w:bCs/>
                <w:color w:val="auto"/>
                <w:szCs w:val="20"/>
                <w:lang w:eastAsia="en-GB"/>
              </w:rPr>
            </w:pPr>
            <w:r w:rsidRPr="006745E8">
              <w:rPr>
                <w:rFonts w:eastAsia="Calibri" w:cs="Arial"/>
                <w:bCs/>
                <w:color w:val="auto"/>
                <w:szCs w:val="20"/>
                <w:lang w:eastAsia="en-GB"/>
              </w:rPr>
              <w:t>Roydon Common</w:t>
            </w:r>
          </w:p>
        </w:tc>
        <w:tc>
          <w:tcPr>
            <w:tcW w:w="2976" w:type="dxa"/>
            <w:tcMar>
              <w:top w:w="0" w:type="dxa"/>
              <w:left w:w="108" w:type="dxa"/>
              <w:bottom w:w="0" w:type="dxa"/>
              <w:right w:w="108" w:type="dxa"/>
            </w:tcMar>
            <w:vAlign w:val="bottom"/>
          </w:tcPr>
          <w:p w14:paraId="686612B6" w14:textId="6C9A3E24" w:rsidR="00D133F2" w:rsidRPr="006745E8" w:rsidRDefault="00D133F2" w:rsidP="0073208E">
            <w:pPr>
              <w:spacing w:before="60" w:after="60" w:line="240" w:lineRule="auto"/>
              <w:jc w:val="center"/>
              <w:rPr>
                <w:rFonts w:eastAsia="Calibri" w:cs="Arial"/>
                <w:bCs/>
                <w:color w:val="auto"/>
                <w:szCs w:val="20"/>
                <w:lang w:eastAsia="en-GB"/>
              </w:rPr>
            </w:pPr>
            <w:r w:rsidRPr="006745E8">
              <w:rPr>
                <w:rFonts w:eastAsia="Calibri" w:cs="Arial"/>
                <w:bCs/>
                <w:color w:val="auto"/>
                <w:szCs w:val="20"/>
                <w:lang w:eastAsia="en-GB"/>
              </w:rPr>
              <w:t>3,</w:t>
            </w:r>
            <w:r w:rsidR="005B7F44">
              <w:rPr>
                <w:rFonts w:eastAsia="Calibri" w:cs="Arial"/>
                <w:bCs/>
                <w:color w:val="auto"/>
                <w:szCs w:val="20"/>
                <w:lang w:eastAsia="en-GB"/>
              </w:rPr>
              <w:t>893</w:t>
            </w:r>
          </w:p>
        </w:tc>
      </w:tr>
      <w:tr w:rsidR="00F9145D" w:rsidRPr="006745E8" w14:paraId="11FCA12D" w14:textId="77777777">
        <w:tc>
          <w:tcPr>
            <w:tcW w:w="4503" w:type="dxa"/>
            <w:tcMar>
              <w:top w:w="0" w:type="dxa"/>
              <w:left w:w="108" w:type="dxa"/>
              <w:bottom w:w="0" w:type="dxa"/>
              <w:right w:w="108" w:type="dxa"/>
            </w:tcMar>
            <w:vAlign w:val="center"/>
          </w:tcPr>
          <w:p w14:paraId="2C8959F3" w14:textId="0752CA18" w:rsidR="00D133F2" w:rsidRPr="006745E8" w:rsidRDefault="006745E8" w:rsidP="0073208E">
            <w:pPr>
              <w:spacing w:before="60" w:after="60" w:line="240" w:lineRule="auto"/>
              <w:rPr>
                <w:rFonts w:eastAsia="Calibri" w:cs="Arial"/>
                <w:bCs/>
                <w:color w:val="auto"/>
                <w:szCs w:val="20"/>
                <w:lang w:eastAsia="en-GB"/>
              </w:rPr>
            </w:pPr>
            <w:r w:rsidRPr="006745E8">
              <w:rPr>
                <w:rFonts w:eastAsia="Calibri" w:cs="Arial"/>
                <w:bCs/>
                <w:color w:val="auto"/>
                <w:szCs w:val="20"/>
                <w:lang w:eastAsia="en-GB"/>
              </w:rPr>
              <w:t>East Walton and Adcock's Common</w:t>
            </w:r>
          </w:p>
        </w:tc>
        <w:tc>
          <w:tcPr>
            <w:tcW w:w="2976" w:type="dxa"/>
            <w:tcMar>
              <w:top w:w="0" w:type="dxa"/>
              <w:left w:w="108" w:type="dxa"/>
              <w:bottom w:w="0" w:type="dxa"/>
              <w:right w:w="108" w:type="dxa"/>
            </w:tcMar>
            <w:vAlign w:val="bottom"/>
          </w:tcPr>
          <w:p w14:paraId="2C4C9BAA" w14:textId="37A7D732" w:rsidR="00D133F2" w:rsidRPr="006745E8" w:rsidRDefault="006745E8" w:rsidP="0073208E">
            <w:pPr>
              <w:spacing w:before="60" w:after="60" w:line="240" w:lineRule="auto"/>
              <w:jc w:val="center"/>
              <w:rPr>
                <w:rFonts w:eastAsia="Calibri" w:cs="Arial"/>
                <w:bCs/>
                <w:color w:val="auto"/>
                <w:szCs w:val="20"/>
                <w:lang w:eastAsia="en-GB"/>
              </w:rPr>
            </w:pPr>
            <w:r w:rsidRPr="006745E8">
              <w:rPr>
                <w:rFonts w:eastAsia="Calibri" w:cs="Arial"/>
                <w:bCs/>
                <w:color w:val="auto"/>
                <w:szCs w:val="20"/>
                <w:lang w:eastAsia="en-GB"/>
              </w:rPr>
              <w:t>5,</w:t>
            </w:r>
            <w:r w:rsidR="005B7F44">
              <w:rPr>
                <w:rFonts w:eastAsia="Calibri" w:cs="Arial"/>
                <w:bCs/>
                <w:color w:val="auto"/>
                <w:szCs w:val="20"/>
                <w:lang w:eastAsia="en-GB"/>
              </w:rPr>
              <w:t>155*</w:t>
            </w:r>
          </w:p>
        </w:tc>
      </w:tr>
    </w:tbl>
    <w:p w14:paraId="099B5FE6" w14:textId="77777777" w:rsidR="005B7F44" w:rsidRPr="00564439" w:rsidRDefault="005B7F44" w:rsidP="005B7F44">
      <w:pPr>
        <w:spacing w:after="0"/>
        <w:rPr>
          <w:rFonts w:cs="Arial"/>
          <w:color w:val="auto"/>
          <w:sz w:val="20"/>
          <w:szCs w:val="16"/>
          <w:lang w:eastAsia="en-GB"/>
        </w:rPr>
      </w:pPr>
      <w:bookmarkStart w:id="16" w:name="_OPTION_2:_where_1"/>
      <w:bookmarkStart w:id="17" w:name="_Toc370907710"/>
      <w:bookmarkEnd w:id="16"/>
      <w:r w:rsidRPr="00564439">
        <w:rPr>
          <w:rFonts w:cs="Arial"/>
          <w:color w:val="auto"/>
          <w:sz w:val="20"/>
          <w:szCs w:val="16"/>
          <w:lang w:eastAsia="en-GB"/>
        </w:rPr>
        <w:t xml:space="preserve">* This site is included at &gt;5km because the screening is based on an approximate centre point of emissions and includes a buffer distance calculated from this centre point to the furthest point of the boundary to ensure all nature conservation sites within the threshold distance from the installation boundary have been included in the assessment. </w:t>
      </w:r>
    </w:p>
    <w:p w14:paraId="7FC4260A" w14:textId="77777777" w:rsidR="0073208E" w:rsidRPr="006745E8" w:rsidRDefault="0073208E" w:rsidP="006022D5">
      <w:pPr>
        <w:spacing w:after="0"/>
        <w:rPr>
          <w:color w:val="auto"/>
        </w:rPr>
      </w:pPr>
    </w:p>
    <w:p w14:paraId="22F45541" w14:textId="4EC4F5F1" w:rsidR="0073208E" w:rsidRPr="006745E8" w:rsidRDefault="0073208E" w:rsidP="006022D5">
      <w:pPr>
        <w:rPr>
          <w:rFonts w:cs="Arial"/>
          <w:color w:val="auto"/>
          <w:szCs w:val="20"/>
          <w:lang w:eastAsia="en-GB"/>
        </w:rPr>
      </w:pPr>
      <w:r w:rsidRPr="006745E8">
        <w:rPr>
          <w:rFonts w:cs="Arial"/>
          <w:color w:val="auto"/>
          <w:szCs w:val="20"/>
          <w:lang w:eastAsia="en-GB"/>
        </w:rPr>
        <w:t>No further assessment is required.</w:t>
      </w:r>
    </w:p>
    <w:p w14:paraId="4F7CE8E1" w14:textId="5C1BA12A" w:rsidR="0073208E" w:rsidRPr="006745E8" w:rsidRDefault="0073208E" w:rsidP="0073208E">
      <w:pPr>
        <w:keepNext/>
        <w:jc w:val="both"/>
        <w:outlineLvl w:val="0"/>
        <w:rPr>
          <w:b/>
          <w:bCs/>
          <w:iCs/>
          <w:color w:val="auto"/>
          <w:sz w:val="32"/>
          <w:szCs w:val="32"/>
          <w:lang w:eastAsia="en-GB"/>
        </w:rPr>
      </w:pPr>
      <w:bookmarkStart w:id="18" w:name="_Toc370907727"/>
      <w:bookmarkStart w:id="19" w:name="Ammonia_assessment_LWSAWLNR"/>
      <w:bookmarkEnd w:id="17"/>
      <w:r w:rsidRPr="006745E8">
        <w:rPr>
          <w:b/>
          <w:bCs/>
          <w:iCs/>
          <w:color w:val="auto"/>
          <w:sz w:val="32"/>
          <w:szCs w:val="32"/>
          <w:lang w:eastAsia="en-GB"/>
        </w:rPr>
        <w:t xml:space="preserve">Ammonia assessment </w:t>
      </w:r>
      <w:r w:rsidR="00663869" w:rsidRPr="006745E8">
        <w:rPr>
          <w:b/>
          <w:bCs/>
          <w:iCs/>
          <w:color w:val="auto"/>
          <w:sz w:val="32"/>
          <w:szCs w:val="32"/>
          <w:lang w:eastAsia="en-GB"/>
        </w:rPr>
        <w:t>–</w:t>
      </w:r>
      <w:r w:rsidRPr="006745E8">
        <w:rPr>
          <w:b/>
          <w:bCs/>
          <w:iCs/>
          <w:color w:val="auto"/>
          <w:sz w:val="32"/>
          <w:szCs w:val="32"/>
          <w:lang w:eastAsia="en-GB"/>
        </w:rPr>
        <w:t xml:space="preserve"> LWS</w:t>
      </w:r>
      <w:bookmarkEnd w:id="18"/>
    </w:p>
    <w:bookmarkEnd w:id="19"/>
    <w:p w14:paraId="1B36083A" w14:textId="7C64AF9F" w:rsidR="0073208E" w:rsidRPr="006745E8" w:rsidRDefault="0073208E" w:rsidP="0073208E">
      <w:pPr>
        <w:rPr>
          <w:rFonts w:cs="Arial"/>
          <w:color w:val="auto"/>
          <w:szCs w:val="20"/>
          <w:lang w:eastAsia="en-GB"/>
        </w:rPr>
      </w:pPr>
      <w:r w:rsidRPr="006745E8">
        <w:rPr>
          <w:rFonts w:cs="Arial"/>
          <w:color w:val="auto"/>
          <w:szCs w:val="20"/>
          <w:lang w:eastAsia="en-GB"/>
        </w:rPr>
        <w:t>The following trigger thresholds have been applied for the assessment of these sites:</w:t>
      </w:r>
    </w:p>
    <w:p w14:paraId="02E65CCF" w14:textId="20563C24" w:rsidR="0073208E" w:rsidRPr="004F632F" w:rsidRDefault="0073208E" w:rsidP="006F570D">
      <w:pPr>
        <w:numPr>
          <w:ilvl w:val="0"/>
          <w:numId w:val="17"/>
        </w:numPr>
        <w:spacing w:before="120" w:after="120" w:line="276" w:lineRule="auto"/>
        <w:ind w:left="709" w:hanging="425"/>
        <w:rPr>
          <w:rFonts w:eastAsia="Times New Roman" w:cs="Times New Roman"/>
          <w:color w:val="auto"/>
        </w:rPr>
      </w:pPr>
      <w:r w:rsidRPr="006745E8">
        <w:rPr>
          <w:rFonts w:eastAsia="Times New Roman" w:cs="Times New Roman"/>
          <w:color w:val="auto"/>
        </w:rPr>
        <w:t xml:space="preserve">If the process contribution (PC) is below 100% of the relevant critical level (CLe) or critical load (CLo) then the farm can be permitted with no further </w:t>
      </w:r>
      <w:r w:rsidRPr="004F632F">
        <w:rPr>
          <w:rFonts w:eastAsia="Times New Roman" w:cs="Times New Roman"/>
          <w:color w:val="auto"/>
        </w:rPr>
        <w:t>assessment.</w:t>
      </w:r>
    </w:p>
    <w:p w14:paraId="438E2D57" w14:textId="17C70243" w:rsidR="0073208E" w:rsidRPr="004F632F" w:rsidRDefault="00A0115B" w:rsidP="0073208E">
      <w:pPr>
        <w:rPr>
          <w:rFonts w:cs="Arial"/>
          <w:bCs/>
          <w:color w:val="auto"/>
        </w:rPr>
      </w:pPr>
      <w:r>
        <w:rPr>
          <w:rFonts w:cs="Arial"/>
          <w:color w:val="auto"/>
          <w:szCs w:val="20"/>
          <w:lang w:eastAsia="en-GB"/>
        </w:rPr>
        <w:t>Revised</w:t>
      </w:r>
      <w:r w:rsidR="0073208E" w:rsidRPr="004F632F">
        <w:rPr>
          <w:rFonts w:cs="Arial"/>
          <w:color w:val="auto"/>
          <w:szCs w:val="20"/>
          <w:lang w:eastAsia="en-GB"/>
        </w:rPr>
        <w:t xml:space="preserve"> screening using ammonia screening tool version </w:t>
      </w:r>
      <w:r w:rsidR="0073208E" w:rsidRPr="004F632F">
        <w:rPr>
          <w:rFonts w:cs="Arial"/>
          <w:bCs/>
          <w:color w:val="auto"/>
        </w:rPr>
        <w:t xml:space="preserve">4.6 (dated </w:t>
      </w:r>
      <w:r w:rsidR="005B7F44">
        <w:rPr>
          <w:rFonts w:cs="Arial"/>
          <w:bCs/>
          <w:color w:val="auto"/>
        </w:rPr>
        <w:t>19/02/2026</w:t>
      </w:r>
      <w:r w:rsidR="0073208E" w:rsidRPr="004F632F">
        <w:rPr>
          <w:rFonts w:cs="Arial"/>
          <w:bCs/>
          <w:color w:val="auto"/>
        </w:rPr>
        <w:t xml:space="preserve">) </w:t>
      </w:r>
      <w:r w:rsidR="0073208E" w:rsidRPr="004F632F">
        <w:rPr>
          <w:rFonts w:cs="Arial"/>
          <w:color w:val="auto"/>
          <w:szCs w:val="20"/>
          <w:lang w:eastAsia="en-GB"/>
        </w:rPr>
        <w:t xml:space="preserve">has indicated that emissions from </w:t>
      </w:r>
      <w:r w:rsidR="00E41F23" w:rsidRPr="004F632F">
        <w:rPr>
          <w:rFonts w:cs="Arial"/>
          <w:color w:val="auto"/>
          <w:szCs w:val="20"/>
          <w:lang w:eastAsia="en-GB"/>
        </w:rPr>
        <w:t>Tithe Farm Poultry Unit</w:t>
      </w:r>
      <w:r w:rsidR="0073208E" w:rsidRPr="004F632F">
        <w:rPr>
          <w:rFonts w:cs="Arial"/>
          <w:color w:val="auto"/>
          <w:szCs w:val="20"/>
          <w:lang w:eastAsia="en-GB"/>
        </w:rPr>
        <w:t xml:space="preserve"> will only have a potential impact on the LWS</w:t>
      </w:r>
      <w:r w:rsidR="00E41F23" w:rsidRPr="004F632F">
        <w:rPr>
          <w:rFonts w:cs="Arial"/>
          <w:color w:val="auto"/>
          <w:szCs w:val="20"/>
          <w:lang w:eastAsia="en-GB"/>
        </w:rPr>
        <w:t xml:space="preserve"> </w:t>
      </w:r>
      <w:r w:rsidR="0073208E" w:rsidRPr="004F632F">
        <w:rPr>
          <w:rFonts w:cs="Arial"/>
          <w:color w:val="auto"/>
          <w:szCs w:val="20"/>
          <w:lang w:eastAsia="en-GB"/>
        </w:rPr>
        <w:t>sites with a precautionary CLe of 1</w:t>
      </w:r>
      <w:r w:rsidR="003C4A36" w:rsidRPr="004F632F">
        <w:rPr>
          <w:rFonts w:cs="Arial"/>
          <w:color w:val="auto"/>
          <w:szCs w:val="20"/>
          <w:lang w:eastAsia="en-GB"/>
        </w:rPr>
        <w:t xml:space="preserve"> </w:t>
      </w:r>
      <w:r w:rsidR="0073208E" w:rsidRPr="004F632F">
        <w:rPr>
          <w:rFonts w:cs="Arial"/>
          <w:color w:val="auto"/>
          <w:szCs w:val="20"/>
          <w:lang w:eastAsia="en-GB"/>
        </w:rPr>
        <w:t>μg/m</w:t>
      </w:r>
      <w:r w:rsidR="0073208E" w:rsidRPr="004F632F">
        <w:rPr>
          <w:rFonts w:cs="Arial"/>
          <w:color w:val="auto"/>
          <w:szCs w:val="20"/>
          <w:vertAlign w:val="superscript"/>
          <w:lang w:eastAsia="en-GB"/>
        </w:rPr>
        <w:t>3</w:t>
      </w:r>
      <w:r w:rsidR="0073208E" w:rsidRPr="004F632F">
        <w:rPr>
          <w:rFonts w:cs="Arial"/>
          <w:color w:val="auto"/>
          <w:szCs w:val="20"/>
          <w:lang w:eastAsia="en-GB"/>
        </w:rPr>
        <w:t xml:space="preserve"> if they are within </w:t>
      </w:r>
      <w:r w:rsidR="00E41F23" w:rsidRPr="004F632F">
        <w:rPr>
          <w:rFonts w:cs="Arial"/>
          <w:color w:val="auto"/>
          <w:szCs w:val="20"/>
          <w:lang w:eastAsia="en-GB"/>
        </w:rPr>
        <w:t>375</w:t>
      </w:r>
      <w:r w:rsidR="0039543E" w:rsidRPr="004F632F">
        <w:rPr>
          <w:rFonts w:cs="Arial"/>
          <w:b/>
          <w:color w:val="auto"/>
        </w:rPr>
        <w:t xml:space="preserve"> </w:t>
      </w:r>
      <w:r w:rsidR="0073208E" w:rsidRPr="004F632F">
        <w:rPr>
          <w:rFonts w:cs="Arial"/>
          <w:color w:val="auto"/>
          <w:szCs w:val="20"/>
          <w:lang w:eastAsia="en-GB"/>
        </w:rPr>
        <w:t>m</w:t>
      </w:r>
      <w:r w:rsidR="00346EB7">
        <w:rPr>
          <w:rFonts w:cs="Arial"/>
          <w:color w:val="auto"/>
          <w:szCs w:val="20"/>
          <w:lang w:eastAsia="en-GB"/>
        </w:rPr>
        <w:t>et</w:t>
      </w:r>
      <w:r w:rsidR="00243DA1">
        <w:rPr>
          <w:rFonts w:cs="Arial"/>
          <w:color w:val="auto"/>
          <w:szCs w:val="20"/>
          <w:lang w:eastAsia="en-GB"/>
        </w:rPr>
        <w:t>res</w:t>
      </w:r>
      <w:r w:rsidR="0073208E" w:rsidRPr="004F632F">
        <w:rPr>
          <w:rFonts w:cs="Arial"/>
          <w:color w:val="auto"/>
          <w:szCs w:val="20"/>
          <w:lang w:eastAsia="en-GB"/>
        </w:rPr>
        <w:t xml:space="preserve"> of the emission source. </w:t>
      </w:r>
    </w:p>
    <w:p w14:paraId="24F7DD04" w14:textId="48AE7185" w:rsidR="00714D94" w:rsidRPr="004F632F" w:rsidRDefault="0073208E" w:rsidP="0073208E">
      <w:pPr>
        <w:rPr>
          <w:rFonts w:cs="Arial"/>
          <w:color w:val="auto"/>
          <w:szCs w:val="20"/>
          <w:lang w:eastAsia="en-GB"/>
        </w:rPr>
      </w:pPr>
      <w:r w:rsidRPr="004F632F">
        <w:rPr>
          <w:rFonts w:cs="Arial"/>
          <w:color w:val="auto"/>
          <w:szCs w:val="20"/>
          <w:lang w:eastAsia="en-GB"/>
        </w:rPr>
        <w:t xml:space="preserve">Beyond </w:t>
      </w:r>
      <w:r w:rsidR="004F632F" w:rsidRPr="004F632F">
        <w:rPr>
          <w:rFonts w:cs="Arial"/>
          <w:color w:val="auto"/>
          <w:szCs w:val="20"/>
          <w:lang w:eastAsia="en-GB"/>
        </w:rPr>
        <w:t>375</w:t>
      </w:r>
      <w:r w:rsidRPr="004F632F">
        <w:rPr>
          <w:rFonts w:cs="Arial"/>
          <w:color w:val="auto"/>
          <w:szCs w:val="20"/>
          <w:lang w:eastAsia="en-GB"/>
        </w:rPr>
        <w:t>m the PC is less than 1</w:t>
      </w:r>
      <w:r w:rsidR="003C4A36" w:rsidRPr="004F632F">
        <w:rPr>
          <w:rFonts w:cs="Arial"/>
          <w:color w:val="auto"/>
          <w:szCs w:val="20"/>
          <w:lang w:eastAsia="en-GB"/>
        </w:rPr>
        <w:t xml:space="preserve"> </w:t>
      </w:r>
      <w:r w:rsidRPr="004F632F">
        <w:rPr>
          <w:rFonts w:cs="Arial"/>
          <w:color w:val="auto"/>
          <w:szCs w:val="20"/>
          <w:lang w:eastAsia="en-GB"/>
        </w:rPr>
        <w:t>µg/m</w:t>
      </w:r>
      <w:r w:rsidRPr="004F632F">
        <w:rPr>
          <w:rFonts w:cs="Arial"/>
          <w:color w:val="auto"/>
          <w:szCs w:val="20"/>
          <w:vertAlign w:val="superscript"/>
          <w:lang w:eastAsia="en-GB"/>
        </w:rPr>
        <w:t>3</w:t>
      </w:r>
      <w:r w:rsidRPr="004F632F">
        <w:rPr>
          <w:rFonts w:cs="Arial"/>
          <w:color w:val="auto"/>
          <w:szCs w:val="20"/>
          <w:lang w:eastAsia="en-GB"/>
        </w:rPr>
        <w:t xml:space="preserve"> and therefore beyond this distance the PC is insignificant</w:t>
      </w:r>
      <w:r w:rsidR="00F4318A" w:rsidRPr="004F632F">
        <w:rPr>
          <w:rFonts w:cs="Arial"/>
          <w:color w:val="auto"/>
          <w:szCs w:val="20"/>
          <w:lang w:eastAsia="en-GB"/>
        </w:rPr>
        <w:t xml:space="preserve">. </w:t>
      </w:r>
      <w:r w:rsidRPr="004F632F">
        <w:rPr>
          <w:rFonts w:cs="Arial"/>
          <w:color w:val="auto"/>
          <w:szCs w:val="20"/>
          <w:lang w:eastAsia="en-GB"/>
        </w:rPr>
        <w:t xml:space="preserve">In this case </w:t>
      </w:r>
      <w:r w:rsidRPr="004F632F">
        <w:rPr>
          <w:rFonts w:cs="Arial"/>
          <w:bCs/>
          <w:color w:val="auto"/>
          <w:szCs w:val="20"/>
          <w:lang w:eastAsia="en-GB"/>
        </w:rPr>
        <w:t>all LWS</w:t>
      </w:r>
      <w:r w:rsidR="004F632F" w:rsidRPr="004F632F">
        <w:rPr>
          <w:rFonts w:cs="Arial"/>
          <w:bCs/>
          <w:color w:val="auto"/>
          <w:szCs w:val="20"/>
          <w:lang w:eastAsia="en-GB"/>
        </w:rPr>
        <w:t xml:space="preserve"> </w:t>
      </w:r>
      <w:r w:rsidRPr="004F632F">
        <w:rPr>
          <w:rFonts w:cs="Arial"/>
          <w:bCs/>
          <w:color w:val="auto"/>
          <w:szCs w:val="20"/>
          <w:lang w:eastAsia="en-GB"/>
        </w:rPr>
        <w:t>are</w:t>
      </w:r>
      <w:r w:rsidRPr="004F632F">
        <w:rPr>
          <w:rFonts w:cs="Arial"/>
          <w:color w:val="auto"/>
          <w:szCs w:val="20"/>
          <w:lang w:eastAsia="en-GB"/>
        </w:rPr>
        <w:t xml:space="preserve"> beyond this distance (see table below) and therefore screen out of any further assessment.</w:t>
      </w:r>
    </w:p>
    <w:p w14:paraId="305951AF" w14:textId="4E121235" w:rsidR="0073208E" w:rsidRDefault="0073208E" w:rsidP="0073208E">
      <w:pPr>
        <w:keepNext/>
        <w:spacing w:after="0"/>
        <w:jc w:val="both"/>
        <w:rPr>
          <w:rFonts w:cs="Arial"/>
          <w:b/>
          <w:bCs/>
          <w:color w:val="auto"/>
          <w:szCs w:val="20"/>
          <w:lang w:eastAsia="en-GB"/>
        </w:rPr>
      </w:pPr>
      <w:r w:rsidRPr="001F5ED2">
        <w:rPr>
          <w:rFonts w:cs="Arial"/>
          <w:b/>
          <w:bCs/>
          <w:color w:val="auto"/>
          <w:szCs w:val="20"/>
          <w:lang w:eastAsia="en-GB"/>
        </w:rPr>
        <w:t xml:space="preserve">Table </w:t>
      </w:r>
      <w:r w:rsidR="00E41F23" w:rsidRPr="001F5ED2">
        <w:rPr>
          <w:rFonts w:cs="Arial"/>
          <w:b/>
          <w:bCs/>
          <w:color w:val="auto"/>
          <w:szCs w:val="20"/>
          <w:lang w:eastAsia="en-GB"/>
        </w:rPr>
        <w:t>3</w:t>
      </w:r>
      <w:r w:rsidRPr="001F5ED2">
        <w:rPr>
          <w:rFonts w:cs="Arial"/>
          <w:b/>
          <w:bCs/>
          <w:color w:val="auto"/>
          <w:szCs w:val="20"/>
          <w:lang w:eastAsia="en-GB"/>
        </w:rPr>
        <w:t xml:space="preserve"> – LWS Assessment</w:t>
      </w:r>
    </w:p>
    <w:p w14:paraId="30D01F5A" w14:textId="77777777" w:rsidR="00B80971" w:rsidRPr="001F5ED2" w:rsidRDefault="00B80971" w:rsidP="0073208E">
      <w:pPr>
        <w:keepNext/>
        <w:spacing w:after="0"/>
        <w:jc w:val="both"/>
        <w:rPr>
          <w:rFonts w:cs="Arial"/>
          <w:b/>
          <w:bCs/>
          <w:color w:val="auto"/>
          <w:szCs w:val="20"/>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03"/>
        <w:gridCol w:w="2976"/>
      </w:tblGrid>
      <w:tr w:rsidR="00F9145D" w:rsidRPr="001F5ED2" w14:paraId="343B97B2" w14:textId="77777777">
        <w:tc>
          <w:tcPr>
            <w:tcW w:w="4503" w:type="dxa"/>
            <w:tcMar>
              <w:top w:w="0" w:type="dxa"/>
              <w:left w:w="108" w:type="dxa"/>
              <w:bottom w:w="0" w:type="dxa"/>
              <w:right w:w="108" w:type="dxa"/>
            </w:tcMar>
            <w:hideMark/>
          </w:tcPr>
          <w:p w14:paraId="6D9F837C" w14:textId="2847BCE4" w:rsidR="0073208E" w:rsidRPr="001F5ED2" w:rsidRDefault="00264DE6" w:rsidP="0073208E">
            <w:pPr>
              <w:spacing w:before="60" w:after="60" w:line="240" w:lineRule="auto"/>
              <w:jc w:val="both"/>
              <w:rPr>
                <w:rFonts w:eastAsia="Calibri" w:cs="Arial"/>
                <w:b/>
                <w:bCs/>
                <w:color w:val="auto"/>
                <w:szCs w:val="20"/>
                <w:lang w:eastAsia="en-GB"/>
              </w:rPr>
            </w:pPr>
            <w:r w:rsidRPr="001F5ED2">
              <w:rPr>
                <w:rFonts w:cs="Arial"/>
                <w:b/>
                <w:color w:val="auto"/>
                <w:szCs w:val="20"/>
                <w:lang w:eastAsia="en-GB"/>
              </w:rPr>
              <w:t>Site</w:t>
            </w:r>
          </w:p>
        </w:tc>
        <w:tc>
          <w:tcPr>
            <w:tcW w:w="2976" w:type="dxa"/>
            <w:tcMar>
              <w:top w:w="0" w:type="dxa"/>
              <w:left w:w="108" w:type="dxa"/>
              <w:bottom w:w="0" w:type="dxa"/>
              <w:right w:w="108" w:type="dxa"/>
            </w:tcMar>
            <w:hideMark/>
          </w:tcPr>
          <w:p w14:paraId="1B840EE1" w14:textId="77777777" w:rsidR="0073208E" w:rsidRPr="001F5ED2" w:rsidRDefault="0073208E" w:rsidP="0073208E">
            <w:pPr>
              <w:spacing w:before="60" w:after="60" w:line="240" w:lineRule="auto"/>
              <w:jc w:val="center"/>
              <w:rPr>
                <w:rFonts w:eastAsia="Calibri" w:cs="Arial"/>
                <w:b/>
                <w:bCs/>
                <w:color w:val="auto"/>
                <w:szCs w:val="20"/>
                <w:lang w:eastAsia="en-GB"/>
              </w:rPr>
            </w:pPr>
            <w:r w:rsidRPr="001F5ED2">
              <w:rPr>
                <w:rFonts w:cs="Arial"/>
                <w:b/>
                <w:bCs/>
                <w:color w:val="auto"/>
                <w:szCs w:val="20"/>
                <w:lang w:eastAsia="en-GB"/>
              </w:rPr>
              <w:t>Distance from site (m)</w:t>
            </w:r>
          </w:p>
        </w:tc>
      </w:tr>
      <w:tr w:rsidR="00F9145D" w:rsidRPr="001F5ED2" w14:paraId="4A0CB694" w14:textId="77777777">
        <w:tc>
          <w:tcPr>
            <w:tcW w:w="4503" w:type="dxa"/>
            <w:tcMar>
              <w:top w:w="0" w:type="dxa"/>
              <w:left w:w="108" w:type="dxa"/>
              <w:bottom w:w="0" w:type="dxa"/>
              <w:right w:w="108" w:type="dxa"/>
            </w:tcMar>
            <w:vAlign w:val="center"/>
            <w:hideMark/>
          </w:tcPr>
          <w:p w14:paraId="6D3745DA" w14:textId="0B887B64" w:rsidR="0073208E" w:rsidRPr="001F5ED2" w:rsidRDefault="00E41F23" w:rsidP="0073208E">
            <w:pPr>
              <w:spacing w:before="60" w:after="60" w:line="240" w:lineRule="auto"/>
              <w:rPr>
                <w:rFonts w:eastAsia="Calibri" w:cs="Arial"/>
                <w:bCs/>
                <w:color w:val="auto"/>
                <w:szCs w:val="20"/>
                <w:lang w:eastAsia="en-GB"/>
              </w:rPr>
            </w:pPr>
            <w:r w:rsidRPr="001F5ED2">
              <w:rPr>
                <w:rFonts w:eastAsia="Calibri" w:cs="Arial"/>
                <w:bCs/>
                <w:color w:val="auto"/>
                <w:szCs w:val="20"/>
                <w:lang w:eastAsia="en-GB"/>
              </w:rPr>
              <w:t>Congham Heath Wood</w:t>
            </w:r>
          </w:p>
        </w:tc>
        <w:tc>
          <w:tcPr>
            <w:tcW w:w="2976" w:type="dxa"/>
            <w:tcMar>
              <w:top w:w="0" w:type="dxa"/>
              <w:left w:w="108" w:type="dxa"/>
              <w:bottom w:w="0" w:type="dxa"/>
              <w:right w:w="108" w:type="dxa"/>
            </w:tcMar>
            <w:vAlign w:val="bottom"/>
            <w:hideMark/>
          </w:tcPr>
          <w:p w14:paraId="7C7FB341" w14:textId="6DBE2985" w:rsidR="0073208E" w:rsidRPr="001F5ED2" w:rsidRDefault="005B7F44" w:rsidP="0073208E">
            <w:pPr>
              <w:spacing w:before="60" w:after="60" w:line="240" w:lineRule="auto"/>
              <w:jc w:val="center"/>
              <w:rPr>
                <w:rFonts w:eastAsia="Calibri" w:cs="Arial"/>
                <w:bCs/>
                <w:color w:val="auto"/>
                <w:szCs w:val="20"/>
                <w:lang w:eastAsia="en-GB"/>
              </w:rPr>
            </w:pPr>
            <w:r>
              <w:rPr>
                <w:rFonts w:eastAsia="Calibri" w:cs="Arial"/>
                <w:bCs/>
                <w:color w:val="auto"/>
                <w:szCs w:val="20"/>
                <w:lang w:eastAsia="en-GB"/>
              </w:rPr>
              <w:t>678</w:t>
            </w:r>
          </w:p>
        </w:tc>
      </w:tr>
      <w:tr w:rsidR="00F9145D" w:rsidRPr="001F5ED2" w14:paraId="785573E0" w14:textId="77777777">
        <w:tc>
          <w:tcPr>
            <w:tcW w:w="4503" w:type="dxa"/>
            <w:tcMar>
              <w:top w:w="0" w:type="dxa"/>
              <w:left w:w="108" w:type="dxa"/>
              <w:bottom w:w="0" w:type="dxa"/>
              <w:right w:w="108" w:type="dxa"/>
            </w:tcMar>
            <w:vAlign w:val="center"/>
          </w:tcPr>
          <w:p w14:paraId="3C7C14A1" w14:textId="22D27757" w:rsidR="00E41F23" w:rsidRPr="001F5ED2" w:rsidRDefault="00714D94" w:rsidP="0073208E">
            <w:pPr>
              <w:spacing w:before="60" w:after="60" w:line="240" w:lineRule="auto"/>
              <w:rPr>
                <w:rFonts w:eastAsia="Calibri" w:cs="Arial"/>
                <w:bCs/>
                <w:color w:val="auto"/>
                <w:szCs w:val="20"/>
                <w:lang w:eastAsia="en-GB"/>
              </w:rPr>
            </w:pPr>
            <w:r w:rsidRPr="001F5ED2">
              <w:rPr>
                <w:rFonts w:eastAsia="Calibri" w:cs="Arial"/>
                <w:bCs/>
                <w:color w:val="auto"/>
                <w:szCs w:val="20"/>
                <w:lang w:eastAsia="en-GB"/>
              </w:rPr>
              <w:t>Adj. Gravel Pit Plantation</w:t>
            </w:r>
          </w:p>
        </w:tc>
        <w:tc>
          <w:tcPr>
            <w:tcW w:w="2976" w:type="dxa"/>
            <w:tcMar>
              <w:top w:w="0" w:type="dxa"/>
              <w:left w:w="108" w:type="dxa"/>
              <w:bottom w:w="0" w:type="dxa"/>
              <w:right w:w="108" w:type="dxa"/>
            </w:tcMar>
            <w:vAlign w:val="bottom"/>
          </w:tcPr>
          <w:p w14:paraId="7F303B07" w14:textId="38CB5AE3" w:rsidR="00E41F23" w:rsidRPr="001F5ED2" w:rsidRDefault="00714D94" w:rsidP="0073208E">
            <w:pPr>
              <w:spacing w:before="60" w:after="60" w:line="240" w:lineRule="auto"/>
              <w:jc w:val="center"/>
              <w:rPr>
                <w:rFonts w:eastAsia="Calibri" w:cs="Arial"/>
                <w:bCs/>
                <w:color w:val="auto"/>
                <w:szCs w:val="20"/>
                <w:lang w:eastAsia="en-GB"/>
              </w:rPr>
            </w:pPr>
            <w:r w:rsidRPr="001F5ED2">
              <w:rPr>
                <w:rFonts w:eastAsia="Calibri" w:cs="Arial"/>
                <w:bCs/>
                <w:color w:val="auto"/>
                <w:szCs w:val="20"/>
                <w:lang w:eastAsia="en-GB"/>
              </w:rPr>
              <w:t>1,3</w:t>
            </w:r>
            <w:r w:rsidR="005B7F44">
              <w:rPr>
                <w:rFonts w:eastAsia="Calibri" w:cs="Arial"/>
                <w:bCs/>
                <w:color w:val="auto"/>
                <w:szCs w:val="20"/>
                <w:lang w:eastAsia="en-GB"/>
              </w:rPr>
              <w:t>82</w:t>
            </w:r>
          </w:p>
        </w:tc>
      </w:tr>
      <w:tr w:rsidR="00F9145D" w:rsidRPr="001F5ED2" w14:paraId="0AE8CAD3" w14:textId="77777777">
        <w:tc>
          <w:tcPr>
            <w:tcW w:w="4503" w:type="dxa"/>
            <w:tcMar>
              <w:top w:w="0" w:type="dxa"/>
              <w:left w:w="108" w:type="dxa"/>
              <w:bottom w:w="0" w:type="dxa"/>
              <w:right w:w="108" w:type="dxa"/>
            </w:tcMar>
            <w:vAlign w:val="center"/>
          </w:tcPr>
          <w:p w14:paraId="0B236AD3" w14:textId="012D7F09" w:rsidR="00714D94" w:rsidRPr="001F5ED2" w:rsidRDefault="00714D94" w:rsidP="0073208E">
            <w:pPr>
              <w:spacing w:before="60" w:after="60" w:line="240" w:lineRule="auto"/>
              <w:rPr>
                <w:rFonts w:eastAsia="Calibri" w:cs="Arial"/>
                <w:bCs/>
                <w:color w:val="auto"/>
                <w:szCs w:val="20"/>
                <w:lang w:eastAsia="en-GB"/>
              </w:rPr>
            </w:pPr>
            <w:r w:rsidRPr="001F5ED2">
              <w:rPr>
                <w:rFonts w:eastAsia="Calibri" w:cs="Arial"/>
                <w:bCs/>
                <w:color w:val="auto"/>
                <w:szCs w:val="20"/>
                <w:lang w:eastAsia="en-GB"/>
              </w:rPr>
              <w:t>Brink Hill</w:t>
            </w:r>
          </w:p>
        </w:tc>
        <w:tc>
          <w:tcPr>
            <w:tcW w:w="2976" w:type="dxa"/>
            <w:tcMar>
              <w:top w:w="0" w:type="dxa"/>
              <w:left w:w="108" w:type="dxa"/>
              <w:bottom w:w="0" w:type="dxa"/>
              <w:right w:w="108" w:type="dxa"/>
            </w:tcMar>
            <w:vAlign w:val="bottom"/>
          </w:tcPr>
          <w:p w14:paraId="68C5E4D6" w14:textId="13CEE112" w:rsidR="00714D94" w:rsidRPr="001F5ED2" w:rsidRDefault="00714D94" w:rsidP="0073208E">
            <w:pPr>
              <w:spacing w:before="60" w:after="60" w:line="240" w:lineRule="auto"/>
              <w:jc w:val="center"/>
              <w:rPr>
                <w:rFonts w:eastAsia="Calibri" w:cs="Arial"/>
                <w:bCs/>
                <w:color w:val="auto"/>
                <w:szCs w:val="20"/>
                <w:lang w:eastAsia="en-GB"/>
              </w:rPr>
            </w:pPr>
            <w:r w:rsidRPr="001F5ED2">
              <w:rPr>
                <w:rFonts w:eastAsia="Calibri" w:cs="Arial"/>
                <w:bCs/>
                <w:color w:val="auto"/>
                <w:szCs w:val="20"/>
                <w:lang w:eastAsia="en-GB"/>
              </w:rPr>
              <w:t>2,0</w:t>
            </w:r>
            <w:r w:rsidR="005B7F44">
              <w:rPr>
                <w:rFonts w:eastAsia="Calibri" w:cs="Arial"/>
                <w:bCs/>
                <w:color w:val="auto"/>
                <w:szCs w:val="20"/>
                <w:lang w:eastAsia="en-GB"/>
              </w:rPr>
              <w:t>81</w:t>
            </w:r>
            <w:r w:rsidRPr="001F5ED2">
              <w:rPr>
                <w:rFonts w:eastAsia="Calibri" w:cs="Arial"/>
                <w:bCs/>
                <w:color w:val="auto"/>
                <w:szCs w:val="20"/>
                <w:lang w:eastAsia="en-GB"/>
              </w:rPr>
              <w:t>*</w:t>
            </w:r>
          </w:p>
        </w:tc>
      </w:tr>
      <w:tr w:rsidR="00F9145D" w:rsidRPr="001F5ED2" w14:paraId="4735F5CA" w14:textId="77777777">
        <w:tc>
          <w:tcPr>
            <w:tcW w:w="4503" w:type="dxa"/>
            <w:tcMar>
              <w:top w:w="0" w:type="dxa"/>
              <w:left w:w="108" w:type="dxa"/>
              <w:bottom w:w="0" w:type="dxa"/>
              <w:right w:w="108" w:type="dxa"/>
            </w:tcMar>
            <w:vAlign w:val="center"/>
          </w:tcPr>
          <w:p w14:paraId="7B3F16FC" w14:textId="70C9C342" w:rsidR="00714D94" w:rsidRPr="001F5ED2" w:rsidRDefault="00714D94" w:rsidP="0073208E">
            <w:pPr>
              <w:spacing w:before="60" w:after="60" w:line="240" w:lineRule="auto"/>
              <w:rPr>
                <w:rFonts w:eastAsia="Calibri" w:cs="Arial"/>
                <w:bCs/>
                <w:color w:val="auto"/>
                <w:szCs w:val="20"/>
                <w:lang w:eastAsia="en-GB"/>
              </w:rPr>
            </w:pPr>
            <w:r w:rsidRPr="001F5ED2">
              <w:rPr>
                <w:rFonts w:eastAsia="Calibri" w:cs="Arial"/>
                <w:bCs/>
                <w:color w:val="auto"/>
                <w:szCs w:val="20"/>
                <w:lang w:eastAsia="en-GB"/>
              </w:rPr>
              <w:t>Gaywood River and Watery Lane</w:t>
            </w:r>
          </w:p>
        </w:tc>
        <w:tc>
          <w:tcPr>
            <w:tcW w:w="2976" w:type="dxa"/>
            <w:tcMar>
              <w:top w:w="0" w:type="dxa"/>
              <w:left w:w="108" w:type="dxa"/>
              <w:bottom w:w="0" w:type="dxa"/>
              <w:right w:w="108" w:type="dxa"/>
            </w:tcMar>
            <w:vAlign w:val="bottom"/>
          </w:tcPr>
          <w:p w14:paraId="3E61C100" w14:textId="15AC4F1B" w:rsidR="00714D94" w:rsidRPr="001F5ED2" w:rsidRDefault="00714D94" w:rsidP="0073208E">
            <w:pPr>
              <w:spacing w:before="60" w:after="60" w:line="240" w:lineRule="auto"/>
              <w:jc w:val="center"/>
              <w:rPr>
                <w:rFonts w:eastAsia="Calibri" w:cs="Arial"/>
                <w:bCs/>
                <w:color w:val="auto"/>
                <w:szCs w:val="20"/>
                <w:lang w:eastAsia="en-GB"/>
              </w:rPr>
            </w:pPr>
            <w:r w:rsidRPr="001F5ED2">
              <w:rPr>
                <w:rFonts w:eastAsia="Calibri" w:cs="Arial"/>
                <w:bCs/>
                <w:color w:val="auto"/>
                <w:szCs w:val="20"/>
                <w:lang w:eastAsia="en-GB"/>
              </w:rPr>
              <w:t>2,1</w:t>
            </w:r>
            <w:r w:rsidR="005B7F44">
              <w:rPr>
                <w:rFonts w:eastAsia="Calibri" w:cs="Arial"/>
                <w:bCs/>
                <w:color w:val="auto"/>
                <w:szCs w:val="20"/>
                <w:lang w:eastAsia="en-GB"/>
              </w:rPr>
              <w:t>74</w:t>
            </w:r>
            <w:r w:rsidRPr="001F5ED2">
              <w:rPr>
                <w:rFonts w:eastAsia="Calibri" w:cs="Arial"/>
                <w:bCs/>
                <w:color w:val="auto"/>
                <w:szCs w:val="20"/>
                <w:lang w:eastAsia="en-GB"/>
              </w:rPr>
              <w:t>*</w:t>
            </w:r>
          </w:p>
        </w:tc>
      </w:tr>
    </w:tbl>
    <w:p w14:paraId="51998B8B" w14:textId="7A04DB47" w:rsidR="00714D94" w:rsidRPr="001F5ED2" w:rsidRDefault="00714D94" w:rsidP="001F5ED2">
      <w:pPr>
        <w:spacing w:after="0"/>
        <w:rPr>
          <w:rFonts w:cs="Arial"/>
          <w:color w:val="auto"/>
          <w:sz w:val="20"/>
          <w:szCs w:val="16"/>
          <w:lang w:eastAsia="en-GB"/>
        </w:rPr>
      </w:pPr>
      <w:r w:rsidRPr="001F5ED2">
        <w:rPr>
          <w:rFonts w:cs="Arial"/>
          <w:color w:val="auto"/>
          <w:sz w:val="20"/>
          <w:szCs w:val="16"/>
          <w:lang w:eastAsia="en-GB"/>
        </w:rPr>
        <w:t xml:space="preserve">* These sites are included at &gt;2km because the screening is based on an approximate centre point of emissions and includes a buffer distance calculated from this centre point to the furthest point of the boundary to ensure all nature conservation sites within the threshold distance from the installation boundary have been included in the assessment. </w:t>
      </w:r>
    </w:p>
    <w:p w14:paraId="6A7D8C7E" w14:textId="513AB765" w:rsidR="0073208E" w:rsidRDefault="0073208E" w:rsidP="0073208E">
      <w:pPr>
        <w:spacing w:before="120"/>
        <w:rPr>
          <w:rFonts w:cs="Arial"/>
          <w:color w:val="auto"/>
          <w:szCs w:val="20"/>
          <w:lang w:eastAsia="en-GB"/>
        </w:rPr>
      </w:pPr>
      <w:r w:rsidRPr="001F5ED2">
        <w:rPr>
          <w:rFonts w:cs="Arial"/>
          <w:color w:val="auto"/>
          <w:szCs w:val="20"/>
          <w:lang w:eastAsia="en-GB"/>
        </w:rPr>
        <w:t>No further assessment is required.</w:t>
      </w:r>
    </w:p>
    <w:p w14:paraId="4D10B204" w14:textId="77777777" w:rsidR="00EE6855" w:rsidRDefault="00EE6855" w:rsidP="0073208E">
      <w:pPr>
        <w:spacing w:before="120"/>
        <w:rPr>
          <w:rFonts w:cs="Arial"/>
          <w:color w:val="auto"/>
          <w:szCs w:val="20"/>
          <w:lang w:eastAsia="en-GB"/>
        </w:rPr>
      </w:pPr>
    </w:p>
    <w:p w14:paraId="11F73365" w14:textId="77777777" w:rsidR="00EE6855" w:rsidRDefault="00EE6855" w:rsidP="0073208E">
      <w:pPr>
        <w:spacing w:before="120"/>
        <w:rPr>
          <w:rFonts w:cs="Arial"/>
          <w:color w:val="auto"/>
          <w:szCs w:val="20"/>
          <w:lang w:eastAsia="en-GB"/>
        </w:rPr>
      </w:pPr>
    </w:p>
    <w:p w14:paraId="40025D2A" w14:textId="77777777" w:rsidR="00EE6855" w:rsidRDefault="00EE6855" w:rsidP="0073208E">
      <w:pPr>
        <w:spacing w:before="120"/>
        <w:rPr>
          <w:rFonts w:cs="Arial"/>
          <w:color w:val="auto"/>
          <w:szCs w:val="20"/>
          <w:lang w:eastAsia="en-GB"/>
        </w:rPr>
      </w:pPr>
    </w:p>
    <w:p w14:paraId="28B14D2A" w14:textId="77777777" w:rsidR="00EE6855" w:rsidRDefault="00EE6855" w:rsidP="0073208E">
      <w:pPr>
        <w:spacing w:before="120"/>
        <w:rPr>
          <w:rFonts w:cs="Arial"/>
          <w:color w:val="auto"/>
          <w:szCs w:val="20"/>
          <w:lang w:eastAsia="en-GB"/>
        </w:rPr>
      </w:pPr>
    </w:p>
    <w:p w14:paraId="13F35DDF" w14:textId="77777777" w:rsidR="00EE6855" w:rsidRDefault="00EE6855" w:rsidP="0073208E">
      <w:pPr>
        <w:spacing w:before="120"/>
        <w:rPr>
          <w:rFonts w:cs="Arial"/>
          <w:color w:val="auto"/>
          <w:szCs w:val="20"/>
          <w:lang w:eastAsia="en-GB"/>
        </w:rPr>
      </w:pPr>
    </w:p>
    <w:p w14:paraId="0B791EF1" w14:textId="77777777" w:rsidR="00EE6855" w:rsidRDefault="00EE6855" w:rsidP="0073208E">
      <w:pPr>
        <w:spacing w:before="120"/>
        <w:rPr>
          <w:rFonts w:cs="Arial"/>
          <w:color w:val="auto"/>
          <w:szCs w:val="20"/>
          <w:lang w:eastAsia="en-GB"/>
        </w:rPr>
      </w:pPr>
    </w:p>
    <w:p w14:paraId="083CAE2B" w14:textId="77777777" w:rsidR="00EE6855" w:rsidRDefault="00EE6855" w:rsidP="0073208E">
      <w:pPr>
        <w:spacing w:before="120"/>
        <w:rPr>
          <w:rFonts w:cs="Arial"/>
          <w:color w:val="auto"/>
          <w:szCs w:val="20"/>
          <w:lang w:eastAsia="en-GB"/>
        </w:rPr>
      </w:pPr>
    </w:p>
    <w:p w14:paraId="60DC85E3" w14:textId="77777777" w:rsidR="00EE6855" w:rsidRDefault="00EE6855" w:rsidP="0073208E">
      <w:pPr>
        <w:spacing w:before="120"/>
        <w:rPr>
          <w:rFonts w:cs="Arial"/>
          <w:color w:val="auto"/>
          <w:szCs w:val="20"/>
          <w:lang w:eastAsia="en-GB"/>
        </w:rPr>
      </w:pPr>
    </w:p>
    <w:p w14:paraId="094E33A5" w14:textId="77777777" w:rsidR="00EE6855" w:rsidRDefault="00EE6855" w:rsidP="0073208E">
      <w:pPr>
        <w:spacing w:before="120"/>
        <w:rPr>
          <w:rFonts w:cs="Arial"/>
          <w:color w:val="auto"/>
          <w:szCs w:val="20"/>
          <w:lang w:eastAsia="en-GB"/>
        </w:rPr>
      </w:pPr>
    </w:p>
    <w:p w14:paraId="1E82EC71" w14:textId="77777777" w:rsidR="00EE6855" w:rsidRDefault="00EE6855" w:rsidP="0073208E">
      <w:pPr>
        <w:spacing w:before="120"/>
        <w:rPr>
          <w:rFonts w:cs="Arial"/>
          <w:color w:val="auto"/>
          <w:szCs w:val="20"/>
          <w:lang w:eastAsia="en-GB"/>
        </w:rPr>
      </w:pPr>
    </w:p>
    <w:p w14:paraId="0BAD7615" w14:textId="77777777" w:rsidR="00EE6855" w:rsidRDefault="00EE6855" w:rsidP="0073208E">
      <w:pPr>
        <w:spacing w:before="120"/>
        <w:rPr>
          <w:rFonts w:cs="Arial"/>
          <w:color w:val="auto"/>
          <w:szCs w:val="20"/>
          <w:lang w:eastAsia="en-GB"/>
        </w:rPr>
      </w:pPr>
    </w:p>
    <w:p w14:paraId="0E1666F8" w14:textId="77777777" w:rsidR="00EE6855" w:rsidRDefault="00EE6855" w:rsidP="0073208E">
      <w:pPr>
        <w:spacing w:before="120"/>
        <w:rPr>
          <w:rFonts w:cs="Arial"/>
          <w:color w:val="auto"/>
          <w:szCs w:val="20"/>
          <w:lang w:eastAsia="en-GB"/>
        </w:rPr>
      </w:pPr>
    </w:p>
    <w:p w14:paraId="160ED06C" w14:textId="77777777" w:rsidR="00EE6855" w:rsidRDefault="00EE6855" w:rsidP="0073208E">
      <w:pPr>
        <w:spacing w:before="120"/>
        <w:rPr>
          <w:rFonts w:cs="Arial"/>
          <w:color w:val="auto"/>
          <w:szCs w:val="20"/>
          <w:lang w:eastAsia="en-GB"/>
        </w:rPr>
      </w:pPr>
    </w:p>
    <w:p w14:paraId="2EE5077B" w14:textId="77777777" w:rsidR="00EE6855" w:rsidRDefault="00EE6855" w:rsidP="0073208E">
      <w:pPr>
        <w:spacing w:before="120"/>
        <w:rPr>
          <w:rFonts w:cs="Arial"/>
          <w:color w:val="auto"/>
          <w:szCs w:val="20"/>
          <w:lang w:eastAsia="en-GB"/>
        </w:rPr>
      </w:pPr>
    </w:p>
    <w:p w14:paraId="3987E03C" w14:textId="77777777" w:rsidR="00EE6855" w:rsidRDefault="00EE6855" w:rsidP="0073208E">
      <w:pPr>
        <w:spacing w:before="120"/>
        <w:rPr>
          <w:rFonts w:cs="Arial"/>
          <w:color w:val="auto"/>
          <w:szCs w:val="20"/>
          <w:lang w:eastAsia="en-GB"/>
        </w:rPr>
      </w:pPr>
    </w:p>
    <w:p w14:paraId="4A2A4F9D" w14:textId="77777777" w:rsidR="00EE6855" w:rsidRDefault="00EE6855" w:rsidP="0073208E">
      <w:pPr>
        <w:spacing w:before="120"/>
        <w:rPr>
          <w:rFonts w:cs="Arial"/>
          <w:color w:val="auto"/>
          <w:szCs w:val="20"/>
          <w:lang w:eastAsia="en-GB"/>
        </w:rPr>
      </w:pPr>
    </w:p>
    <w:p w14:paraId="466407B8" w14:textId="77777777" w:rsidR="00EE6855" w:rsidRDefault="00EE6855" w:rsidP="0073208E">
      <w:pPr>
        <w:spacing w:before="120"/>
        <w:rPr>
          <w:rFonts w:cs="Arial"/>
          <w:color w:val="auto"/>
          <w:szCs w:val="20"/>
          <w:lang w:eastAsia="en-GB"/>
        </w:rPr>
      </w:pPr>
    </w:p>
    <w:p w14:paraId="4FE342A0" w14:textId="77777777" w:rsidR="00EE6855" w:rsidRDefault="00EE6855" w:rsidP="0073208E">
      <w:pPr>
        <w:spacing w:before="120"/>
        <w:rPr>
          <w:rFonts w:cs="Arial"/>
          <w:color w:val="auto"/>
          <w:szCs w:val="20"/>
          <w:lang w:eastAsia="en-GB"/>
        </w:rPr>
      </w:pPr>
    </w:p>
    <w:p w14:paraId="2DF08FB2" w14:textId="77777777" w:rsidR="00EE6855" w:rsidRDefault="00EE6855" w:rsidP="0073208E">
      <w:pPr>
        <w:spacing w:before="120"/>
        <w:rPr>
          <w:rFonts w:cs="Arial"/>
          <w:color w:val="auto"/>
          <w:szCs w:val="20"/>
          <w:lang w:eastAsia="en-GB"/>
        </w:rPr>
      </w:pPr>
    </w:p>
    <w:p w14:paraId="332F1766" w14:textId="77777777" w:rsidR="00EE6855" w:rsidRDefault="00EE6855" w:rsidP="0073208E">
      <w:pPr>
        <w:spacing w:before="120"/>
        <w:rPr>
          <w:rFonts w:cs="Arial"/>
          <w:color w:val="auto"/>
          <w:szCs w:val="20"/>
          <w:lang w:eastAsia="en-GB"/>
        </w:rPr>
      </w:pPr>
    </w:p>
    <w:p w14:paraId="3BD2751C" w14:textId="77777777" w:rsidR="00EE6855" w:rsidRPr="001F5ED2" w:rsidRDefault="00EE6855" w:rsidP="0073208E">
      <w:pPr>
        <w:spacing w:before="120"/>
        <w:rPr>
          <w:rFonts w:cs="Arial"/>
          <w:color w:val="auto"/>
          <w:szCs w:val="20"/>
          <w:lang w:eastAsia="en-GB"/>
        </w:rPr>
      </w:pPr>
    </w:p>
    <w:p w14:paraId="659DCC0A" w14:textId="49817D58" w:rsidR="0073208E" w:rsidRPr="0073208E" w:rsidRDefault="0073208E" w:rsidP="0073208E">
      <w:pPr>
        <w:keepNext/>
        <w:keepLines/>
        <w:spacing w:line="276" w:lineRule="auto"/>
        <w:outlineLvl w:val="0"/>
        <w:rPr>
          <w:rFonts w:eastAsiaTheme="majorEastAsia" w:cstheme="majorBidi"/>
          <w:b/>
          <w:bCs/>
          <w:sz w:val="36"/>
          <w:szCs w:val="32"/>
        </w:rPr>
      </w:pPr>
      <w:bookmarkStart w:id="20" w:name="_OPTION_2:_where_2"/>
      <w:bookmarkEnd w:id="20"/>
      <w:r w:rsidRPr="0073208E">
        <w:rPr>
          <w:rFonts w:eastAsiaTheme="majorEastAsia" w:cstheme="majorBidi"/>
          <w:b/>
          <w:bCs/>
          <w:sz w:val="36"/>
          <w:szCs w:val="32"/>
        </w:rPr>
        <w:t>Decision considerations</w:t>
      </w:r>
    </w:p>
    <w:p w14:paraId="16325F8E" w14:textId="77777777" w:rsidR="0073208E" w:rsidRPr="0073208E" w:rsidRDefault="0073208E" w:rsidP="0073208E">
      <w:pPr>
        <w:keepNext/>
        <w:spacing w:line="276" w:lineRule="auto"/>
        <w:outlineLvl w:val="1"/>
        <w:rPr>
          <w:b/>
          <w:bCs/>
          <w:iCs/>
          <w:sz w:val="32"/>
          <w:szCs w:val="32"/>
        </w:rPr>
      </w:pPr>
      <w:r w:rsidRPr="0073208E">
        <w:rPr>
          <w:b/>
          <w:bCs/>
          <w:iCs/>
          <w:sz w:val="32"/>
          <w:szCs w:val="32"/>
        </w:rPr>
        <w:t>Confidential information</w:t>
      </w:r>
    </w:p>
    <w:p w14:paraId="25889A63" w14:textId="65F19283" w:rsidR="0073208E" w:rsidRPr="001F5ED2" w:rsidRDefault="0073208E" w:rsidP="0073208E">
      <w:pPr>
        <w:rPr>
          <w:color w:val="auto"/>
        </w:rPr>
      </w:pPr>
      <w:r w:rsidRPr="001F5ED2">
        <w:rPr>
          <w:color w:val="auto"/>
        </w:rPr>
        <w:t>A claim for commercial or industrial confidentiality has not been made.</w:t>
      </w:r>
    </w:p>
    <w:p w14:paraId="6FFDBBEF" w14:textId="77777777" w:rsidR="0073208E" w:rsidRPr="0073208E" w:rsidRDefault="0073208E" w:rsidP="0073208E">
      <w:pPr>
        <w:keepNext/>
        <w:spacing w:line="276" w:lineRule="auto"/>
        <w:outlineLvl w:val="1"/>
        <w:rPr>
          <w:b/>
          <w:bCs/>
          <w:iCs/>
          <w:sz w:val="32"/>
          <w:szCs w:val="32"/>
        </w:rPr>
      </w:pPr>
      <w:r w:rsidRPr="0073208E">
        <w:rPr>
          <w:b/>
          <w:bCs/>
          <w:iCs/>
          <w:sz w:val="32"/>
          <w:szCs w:val="32"/>
        </w:rPr>
        <w:t>Identifying confidential information</w:t>
      </w:r>
    </w:p>
    <w:p w14:paraId="741FB83B" w14:textId="52547F18" w:rsidR="0073208E" w:rsidRPr="00FF7511" w:rsidRDefault="0073208E" w:rsidP="0073208E">
      <w:pPr>
        <w:rPr>
          <w:color w:val="auto"/>
        </w:rPr>
      </w:pPr>
      <w:r w:rsidRPr="00FF7511">
        <w:rPr>
          <w:color w:val="auto"/>
        </w:rPr>
        <w:t xml:space="preserve">We have not identified information provided as part of the application that we consider to be confidential. </w:t>
      </w:r>
    </w:p>
    <w:p w14:paraId="0A3042AE" w14:textId="77777777" w:rsidR="0073208E" w:rsidRPr="00FF7511" w:rsidRDefault="0073208E" w:rsidP="0073208E">
      <w:pPr>
        <w:rPr>
          <w:color w:val="auto"/>
        </w:rPr>
      </w:pPr>
      <w:r w:rsidRPr="00FF7511">
        <w:rPr>
          <w:color w:val="auto"/>
        </w:rPr>
        <w:t>The decision was taken in accordance with our guidance on confidentiality.</w:t>
      </w:r>
    </w:p>
    <w:p w14:paraId="787AD357" w14:textId="5FE3FE3D" w:rsidR="0073208E" w:rsidRPr="00D95057" w:rsidRDefault="0073208E" w:rsidP="0073208E">
      <w:pPr>
        <w:keepNext/>
        <w:spacing w:line="276" w:lineRule="auto"/>
        <w:outlineLvl w:val="1"/>
        <w:rPr>
          <w:b/>
          <w:bCs/>
          <w:iCs/>
          <w:color w:val="auto"/>
          <w:sz w:val="32"/>
          <w:szCs w:val="32"/>
        </w:rPr>
      </w:pPr>
      <w:r w:rsidRPr="00D95057">
        <w:rPr>
          <w:b/>
          <w:bCs/>
          <w:iCs/>
          <w:color w:val="auto"/>
          <w:sz w:val="32"/>
          <w:szCs w:val="32"/>
        </w:rPr>
        <w:t>Consultation</w:t>
      </w:r>
    </w:p>
    <w:p w14:paraId="0444C5EA" w14:textId="18B52356" w:rsidR="0073208E" w:rsidRPr="00D95057" w:rsidRDefault="0073208E" w:rsidP="0073208E">
      <w:pPr>
        <w:rPr>
          <w:b/>
          <w:color w:val="auto"/>
          <w:sz w:val="26"/>
          <w:szCs w:val="26"/>
        </w:rPr>
      </w:pPr>
      <w:r w:rsidRPr="00D95057">
        <w:rPr>
          <w:color w:val="auto"/>
        </w:rPr>
        <w:t>The consultation requirements were identified in accordance with the Environmental Permitting (England and Wales) Regulations (2016) and our public participation statement.</w:t>
      </w:r>
    </w:p>
    <w:p w14:paraId="2ECA5328" w14:textId="547B2E12" w:rsidR="0073208E" w:rsidRPr="00D95057" w:rsidRDefault="0073208E" w:rsidP="0073208E">
      <w:pPr>
        <w:rPr>
          <w:color w:val="auto"/>
        </w:rPr>
      </w:pPr>
      <w:r w:rsidRPr="00D95057">
        <w:rPr>
          <w:color w:val="auto"/>
        </w:rPr>
        <w:t>The application was publicised on the GOV.UK website.</w:t>
      </w:r>
    </w:p>
    <w:p w14:paraId="597F4B27" w14:textId="2091FD79" w:rsidR="0073208E" w:rsidRPr="00D95057" w:rsidRDefault="0073208E" w:rsidP="0073208E">
      <w:pPr>
        <w:rPr>
          <w:color w:val="auto"/>
        </w:rPr>
      </w:pPr>
      <w:r w:rsidRPr="00D95057">
        <w:rPr>
          <w:color w:val="auto"/>
        </w:rPr>
        <w:t>We consulted the following organisations:</w:t>
      </w:r>
    </w:p>
    <w:p w14:paraId="34958B8C" w14:textId="77777777" w:rsidR="00885C42" w:rsidRPr="00D95057" w:rsidRDefault="00885C42" w:rsidP="006F570D">
      <w:pPr>
        <w:numPr>
          <w:ilvl w:val="0"/>
          <w:numId w:val="19"/>
        </w:numPr>
        <w:spacing w:before="120" w:after="120" w:line="276" w:lineRule="auto"/>
        <w:rPr>
          <w:color w:val="auto"/>
        </w:rPr>
      </w:pPr>
      <w:r w:rsidRPr="00D95057">
        <w:rPr>
          <w:color w:val="auto"/>
        </w:rPr>
        <w:t>Health and Safety Executive (HSE)</w:t>
      </w:r>
    </w:p>
    <w:p w14:paraId="68174469" w14:textId="77777777" w:rsidR="00885C42" w:rsidRPr="00D95057" w:rsidRDefault="00885C42" w:rsidP="006F570D">
      <w:pPr>
        <w:numPr>
          <w:ilvl w:val="0"/>
          <w:numId w:val="19"/>
        </w:numPr>
        <w:spacing w:before="120" w:after="120" w:line="276" w:lineRule="auto"/>
        <w:rPr>
          <w:color w:val="auto"/>
        </w:rPr>
      </w:pPr>
      <w:r w:rsidRPr="00D95057">
        <w:rPr>
          <w:color w:val="auto"/>
        </w:rPr>
        <w:t>UK Health Security Agency (UKHSA)</w:t>
      </w:r>
    </w:p>
    <w:p w14:paraId="4F8DEDD5" w14:textId="046FE793" w:rsidR="00D025F1" w:rsidRPr="00D95057" w:rsidRDefault="00953CB4" w:rsidP="006F570D">
      <w:pPr>
        <w:numPr>
          <w:ilvl w:val="0"/>
          <w:numId w:val="19"/>
        </w:numPr>
        <w:spacing w:before="120" w:after="120" w:line="276" w:lineRule="auto"/>
        <w:rPr>
          <w:color w:val="auto"/>
        </w:rPr>
      </w:pPr>
      <w:r w:rsidRPr="00D95057">
        <w:rPr>
          <w:color w:val="auto"/>
        </w:rPr>
        <w:t>Borough Council of King’s Lynn and West Norfolk</w:t>
      </w:r>
      <w:r w:rsidR="00885C42" w:rsidRPr="00D95057">
        <w:rPr>
          <w:color w:val="auto"/>
        </w:rPr>
        <w:t xml:space="preserve"> Environmental Healt</w:t>
      </w:r>
      <w:r w:rsidR="00D025F1" w:rsidRPr="00D95057">
        <w:rPr>
          <w:color w:val="auto"/>
        </w:rPr>
        <w:t>h</w:t>
      </w:r>
      <w:r w:rsidR="00437F67">
        <w:rPr>
          <w:color w:val="auto"/>
        </w:rPr>
        <w:t xml:space="preserve"> Department</w:t>
      </w:r>
    </w:p>
    <w:p w14:paraId="03730205" w14:textId="739C55A1" w:rsidR="0073208E" w:rsidRPr="00D95057" w:rsidRDefault="00885C42" w:rsidP="006F570D">
      <w:pPr>
        <w:numPr>
          <w:ilvl w:val="0"/>
          <w:numId w:val="19"/>
        </w:numPr>
        <w:spacing w:before="120" w:after="120" w:line="276" w:lineRule="auto"/>
        <w:rPr>
          <w:color w:val="auto"/>
        </w:rPr>
      </w:pPr>
      <w:r w:rsidRPr="00D95057">
        <w:rPr>
          <w:color w:val="auto"/>
        </w:rPr>
        <w:t>Director of Public Health,</w:t>
      </w:r>
      <w:r w:rsidR="00D025F1" w:rsidRPr="00D95057">
        <w:rPr>
          <w:color w:val="auto"/>
        </w:rPr>
        <w:t xml:space="preserve"> Norfolk</w:t>
      </w:r>
      <w:r w:rsidRPr="00D95057">
        <w:rPr>
          <w:color w:val="auto"/>
        </w:rPr>
        <w:t xml:space="preserve"> County Council</w:t>
      </w:r>
    </w:p>
    <w:p w14:paraId="5D069EAA" w14:textId="7AB49637" w:rsidR="0073208E" w:rsidRPr="00D95057" w:rsidRDefault="0073208E" w:rsidP="0073208E">
      <w:pPr>
        <w:rPr>
          <w:b/>
          <w:color w:val="auto"/>
          <w:sz w:val="26"/>
          <w:szCs w:val="26"/>
        </w:rPr>
      </w:pPr>
      <w:r w:rsidRPr="00D95057">
        <w:rPr>
          <w:color w:val="auto"/>
        </w:rPr>
        <w:t xml:space="preserve">The comments and our responses are summarised in the </w:t>
      </w:r>
      <w:hyperlink w:anchor="Consultation_Responses" w:tooltip="Link to 'Consultation responses' section of this document" w:history="1">
        <w:r w:rsidRPr="0073208E">
          <w:rPr>
            <w:color w:val="0000FF"/>
            <w:u w:val="single"/>
          </w:rPr>
          <w:t>consultation responses</w:t>
        </w:r>
      </w:hyperlink>
      <w:r w:rsidRPr="0073208E">
        <w:rPr>
          <w:color w:val="B10E1E"/>
        </w:rPr>
        <w:t xml:space="preserve"> </w:t>
      </w:r>
      <w:r w:rsidRPr="00D95057">
        <w:rPr>
          <w:color w:val="auto"/>
        </w:rPr>
        <w:t>section.</w:t>
      </w:r>
    </w:p>
    <w:p w14:paraId="2B4AB6CB" w14:textId="2B1EA5B1" w:rsidR="0073208E" w:rsidRPr="002C3F75" w:rsidRDefault="0073208E" w:rsidP="0073208E">
      <w:pPr>
        <w:keepNext/>
        <w:spacing w:line="276" w:lineRule="auto"/>
        <w:outlineLvl w:val="1"/>
        <w:rPr>
          <w:b/>
          <w:bCs/>
          <w:iCs/>
          <w:color w:val="auto"/>
          <w:sz w:val="32"/>
          <w:szCs w:val="32"/>
        </w:rPr>
      </w:pPr>
      <w:r w:rsidRPr="002C3F75">
        <w:rPr>
          <w:b/>
          <w:bCs/>
          <w:iCs/>
          <w:color w:val="auto"/>
          <w:sz w:val="32"/>
          <w:szCs w:val="32"/>
        </w:rPr>
        <w:t>Operator</w:t>
      </w:r>
    </w:p>
    <w:p w14:paraId="553A4D82" w14:textId="00F7DB94" w:rsidR="0073208E" w:rsidRPr="002C3F75" w:rsidRDefault="0073208E" w:rsidP="0073208E">
      <w:pPr>
        <w:rPr>
          <w:color w:val="auto"/>
        </w:rPr>
      </w:pPr>
      <w:r w:rsidRPr="002C3F75">
        <w:rPr>
          <w:color w:val="auto"/>
        </w:rPr>
        <w:t>We are satisfied that the applicant (now the Operator) is the person who will have control over the operation of the facility after the grant of the permit. The decision was taken in accordance with our guidance on legal operator for environmental permits.</w:t>
      </w:r>
    </w:p>
    <w:p w14:paraId="38BC648B" w14:textId="4843CE44" w:rsidR="0073208E" w:rsidRPr="002C3F75" w:rsidRDefault="0073208E" w:rsidP="0073208E">
      <w:pPr>
        <w:keepNext/>
        <w:spacing w:line="276" w:lineRule="auto"/>
        <w:outlineLvl w:val="1"/>
        <w:rPr>
          <w:b/>
          <w:bCs/>
          <w:iCs/>
          <w:color w:val="auto"/>
          <w:sz w:val="32"/>
          <w:szCs w:val="32"/>
        </w:rPr>
      </w:pPr>
      <w:r w:rsidRPr="002C3F75">
        <w:rPr>
          <w:b/>
          <w:bCs/>
          <w:iCs/>
          <w:color w:val="auto"/>
          <w:sz w:val="32"/>
          <w:szCs w:val="32"/>
        </w:rPr>
        <w:t>The regulated facility</w:t>
      </w:r>
    </w:p>
    <w:p w14:paraId="104906C4" w14:textId="113A7298" w:rsidR="0073208E" w:rsidRPr="002C3F75" w:rsidRDefault="0073208E" w:rsidP="0073208E">
      <w:pPr>
        <w:rPr>
          <w:b/>
          <w:color w:val="auto"/>
          <w:sz w:val="26"/>
          <w:szCs w:val="26"/>
        </w:rPr>
      </w:pPr>
      <w:r w:rsidRPr="002C3F75">
        <w:rPr>
          <w:color w:val="auto"/>
        </w:rPr>
        <w:t xml:space="preserve">We considered the extent and nature of the facility at the site in accordance with RGN2 ‘Understanding the meaning of regulated facility’. </w:t>
      </w:r>
    </w:p>
    <w:p w14:paraId="65691EAC" w14:textId="535E4741" w:rsidR="0073208E" w:rsidRPr="002C3F75" w:rsidRDefault="0073208E" w:rsidP="0073208E">
      <w:pPr>
        <w:rPr>
          <w:color w:val="auto"/>
        </w:rPr>
      </w:pPr>
      <w:r w:rsidRPr="002C3F75">
        <w:rPr>
          <w:color w:val="auto"/>
        </w:rPr>
        <w:t>The extent of the facility is defined in the site plan and in the permit. The activities are defined in table S1.1 of the permit.</w:t>
      </w:r>
    </w:p>
    <w:p w14:paraId="3E1C8077" w14:textId="13B83860" w:rsidR="0073208E" w:rsidRPr="002C3F75" w:rsidRDefault="0073208E" w:rsidP="0073208E">
      <w:pPr>
        <w:keepNext/>
        <w:spacing w:line="276" w:lineRule="auto"/>
        <w:outlineLvl w:val="1"/>
        <w:rPr>
          <w:b/>
          <w:bCs/>
          <w:iCs/>
          <w:color w:val="auto"/>
          <w:sz w:val="32"/>
          <w:szCs w:val="32"/>
        </w:rPr>
      </w:pPr>
      <w:r w:rsidRPr="002C3F75">
        <w:rPr>
          <w:b/>
          <w:bCs/>
          <w:iCs/>
          <w:color w:val="auto"/>
          <w:sz w:val="32"/>
          <w:szCs w:val="32"/>
        </w:rPr>
        <w:t>The site</w:t>
      </w:r>
    </w:p>
    <w:p w14:paraId="491499FD" w14:textId="5400DBE0" w:rsidR="0073208E" w:rsidRPr="002C3F75" w:rsidRDefault="0073208E" w:rsidP="0073208E">
      <w:pPr>
        <w:rPr>
          <w:color w:val="auto"/>
        </w:rPr>
      </w:pPr>
      <w:r w:rsidRPr="002C3F75">
        <w:rPr>
          <w:color w:val="auto"/>
        </w:rPr>
        <w:t>The Operator has provided a plan which we consider to be satisfactory, showing the extent of the site facilities.</w:t>
      </w:r>
    </w:p>
    <w:p w14:paraId="42969075" w14:textId="6F81F6F0" w:rsidR="0073208E" w:rsidRPr="002C3F75" w:rsidRDefault="0073208E" w:rsidP="0073208E">
      <w:pPr>
        <w:rPr>
          <w:color w:val="auto"/>
        </w:rPr>
      </w:pPr>
      <w:r w:rsidRPr="002C3F75">
        <w:rPr>
          <w:color w:val="auto"/>
        </w:rPr>
        <w:t>The plan</w:t>
      </w:r>
      <w:r w:rsidR="004C61CC">
        <w:rPr>
          <w:color w:val="auto"/>
        </w:rPr>
        <w:t xml:space="preserve"> is</w:t>
      </w:r>
      <w:r w:rsidRPr="002C3F75">
        <w:rPr>
          <w:color w:val="auto"/>
        </w:rPr>
        <w:t xml:space="preserve"> included in the permit.</w:t>
      </w:r>
    </w:p>
    <w:p w14:paraId="575675BA" w14:textId="5322ACC6" w:rsidR="0073208E" w:rsidRPr="008668BB" w:rsidRDefault="0073208E" w:rsidP="0073208E">
      <w:pPr>
        <w:keepNext/>
        <w:spacing w:line="276" w:lineRule="auto"/>
        <w:outlineLvl w:val="1"/>
        <w:rPr>
          <w:b/>
          <w:bCs/>
          <w:iCs/>
          <w:color w:val="auto"/>
          <w:sz w:val="32"/>
          <w:szCs w:val="32"/>
        </w:rPr>
      </w:pPr>
      <w:r w:rsidRPr="008668BB">
        <w:rPr>
          <w:b/>
          <w:bCs/>
          <w:iCs/>
          <w:color w:val="auto"/>
          <w:sz w:val="32"/>
          <w:szCs w:val="32"/>
        </w:rPr>
        <w:t>Site condition report</w:t>
      </w:r>
    </w:p>
    <w:p w14:paraId="38BD0781" w14:textId="77200EF7" w:rsidR="0073208E" w:rsidRPr="008668BB" w:rsidRDefault="0073208E" w:rsidP="0073208E">
      <w:pPr>
        <w:rPr>
          <w:color w:val="auto"/>
        </w:rPr>
      </w:pPr>
      <w:r w:rsidRPr="008668BB">
        <w:rPr>
          <w:color w:val="auto"/>
        </w:rPr>
        <w:t>The Operator has provided a description of the condition of the site, which we consider is satisfactory. The decision was taken in accordance with our guidance on site condition reports</w:t>
      </w:r>
      <w:r w:rsidR="009C1D8C">
        <w:rPr>
          <w:color w:val="auto"/>
        </w:rPr>
        <w:t xml:space="preserve"> and baseline reporting under the Industrial Emissions Directive. </w:t>
      </w:r>
    </w:p>
    <w:p w14:paraId="25E166CB" w14:textId="77777777" w:rsidR="0073208E" w:rsidRPr="0073208E" w:rsidRDefault="0073208E" w:rsidP="0073208E">
      <w:pPr>
        <w:keepNext/>
        <w:spacing w:line="276" w:lineRule="auto"/>
        <w:outlineLvl w:val="1"/>
        <w:rPr>
          <w:b/>
          <w:bCs/>
          <w:iCs/>
          <w:sz w:val="32"/>
          <w:szCs w:val="32"/>
        </w:rPr>
      </w:pPr>
      <w:r w:rsidRPr="0073208E">
        <w:rPr>
          <w:b/>
          <w:bCs/>
          <w:iCs/>
          <w:sz w:val="32"/>
          <w:szCs w:val="32"/>
        </w:rPr>
        <w:t>Nature conservation, landscape, heritage and protected species and habitat designations</w:t>
      </w:r>
    </w:p>
    <w:p w14:paraId="5331469F" w14:textId="51F8FB3E" w:rsidR="0073208E" w:rsidRPr="0073208E" w:rsidRDefault="0073208E" w:rsidP="0073208E">
      <w:r w:rsidRPr="0073208E">
        <w:t xml:space="preserve">We have checked the location of the application to assess if it is within the screening distances, we consider relevant for impacts on nature conservation, landscape, heritage and protected species and habitat designations. The application is within our screening distances for these designations. </w:t>
      </w:r>
    </w:p>
    <w:p w14:paraId="14414810" w14:textId="5A920ACD" w:rsidR="0073208E" w:rsidRPr="008668BB" w:rsidRDefault="0073208E" w:rsidP="0073208E">
      <w:pPr>
        <w:rPr>
          <w:color w:val="auto"/>
        </w:rPr>
      </w:pPr>
      <w:r w:rsidRPr="008668BB">
        <w:rPr>
          <w:color w:val="auto"/>
        </w:rPr>
        <w:t>We have assessed the application and its potential to affect sites of nature conservation, landscape, heritage and protected species and habitat designations identified in the nature conservation screening report as part of the permitting process.</w:t>
      </w:r>
    </w:p>
    <w:p w14:paraId="2776372D" w14:textId="11CA247D" w:rsidR="0073208E" w:rsidRPr="008668BB" w:rsidRDefault="0073208E" w:rsidP="0073208E">
      <w:pPr>
        <w:rPr>
          <w:b/>
          <w:color w:val="auto"/>
          <w:sz w:val="26"/>
          <w:szCs w:val="26"/>
        </w:rPr>
      </w:pPr>
      <w:r w:rsidRPr="008668BB">
        <w:rPr>
          <w:color w:val="auto"/>
        </w:rPr>
        <w:t>We consider that the application will not affect any site of nature conservation, landscape and heritage, and/or protected species or habitats identified.</w:t>
      </w:r>
    </w:p>
    <w:p w14:paraId="7D2F7703" w14:textId="54B05DBA" w:rsidR="0073208E" w:rsidRPr="008668BB" w:rsidRDefault="0073208E" w:rsidP="0073208E">
      <w:pPr>
        <w:rPr>
          <w:color w:val="auto"/>
        </w:rPr>
      </w:pPr>
      <w:r w:rsidRPr="008668BB">
        <w:rPr>
          <w:color w:val="auto"/>
        </w:rPr>
        <w:t>See Ammonia section in the Key Issues above for more details.</w:t>
      </w:r>
    </w:p>
    <w:p w14:paraId="6160DF2B" w14:textId="431CBBD3" w:rsidR="009027B1" w:rsidRDefault="009027B1" w:rsidP="0073208E">
      <w:pPr>
        <w:rPr>
          <w:color w:val="B10E1E"/>
        </w:rPr>
      </w:pPr>
      <w:r w:rsidRPr="00070BFC">
        <w:rPr>
          <w:color w:val="auto"/>
        </w:rPr>
        <w:t xml:space="preserve">We have not consulted Natural England, but a </w:t>
      </w:r>
      <w:r w:rsidR="00043F10">
        <w:rPr>
          <w:color w:val="auto"/>
        </w:rPr>
        <w:t>habitats regulations assessment</w:t>
      </w:r>
      <w:r w:rsidRPr="00070BFC">
        <w:rPr>
          <w:color w:val="auto"/>
        </w:rPr>
        <w:t xml:space="preserve"> stage 1 for information only</w:t>
      </w:r>
      <w:r w:rsidR="00070BFC" w:rsidRPr="00070BFC">
        <w:rPr>
          <w:color w:val="auto"/>
        </w:rPr>
        <w:t xml:space="preserve"> was sent on </w:t>
      </w:r>
      <w:r w:rsidR="00B1027F">
        <w:rPr>
          <w:color w:val="auto"/>
        </w:rPr>
        <w:t>1</w:t>
      </w:r>
      <w:r w:rsidR="00B1027F" w:rsidRPr="00B1027F">
        <w:rPr>
          <w:color w:val="auto"/>
        </w:rPr>
        <w:t>4/04/2026</w:t>
      </w:r>
      <w:r w:rsidR="00070BFC" w:rsidRPr="00B1027F">
        <w:rPr>
          <w:color w:val="auto"/>
        </w:rPr>
        <w:t xml:space="preserve">. </w:t>
      </w:r>
    </w:p>
    <w:p w14:paraId="768ED1EF" w14:textId="7B0DF444" w:rsidR="0073208E" w:rsidRPr="00CB3CE2" w:rsidRDefault="0073208E" w:rsidP="0073208E">
      <w:pPr>
        <w:rPr>
          <w:color w:val="auto"/>
        </w:rPr>
      </w:pPr>
      <w:r w:rsidRPr="00CB3CE2">
        <w:rPr>
          <w:color w:val="auto"/>
        </w:rPr>
        <w:t>The decision was taken in accordance with our guidance.</w:t>
      </w:r>
    </w:p>
    <w:p w14:paraId="1048CA1C" w14:textId="47CFAEA0" w:rsidR="0073208E" w:rsidRPr="00AA523C" w:rsidRDefault="0073208E" w:rsidP="0073208E">
      <w:pPr>
        <w:keepNext/>
        <w:spacing w:line="276" w:lineRule="auto"/>
        <w:outlineLvl w:val="1"/>
        <w:rPr>
          <w:b/>
          <w:bCs/>
          <w:iCs/>
          <w:color w:val="auto"/>
          <w:sz w:val="32"/>
          <w:szCs w:val="32"/>
        </w:rPr>
      </w:pPr>
      <w:r w:rsidRPr="00AA523C">
        <w:rPr>
          <w:b/>
          <w:bCs/>
          <w:iCs/>
          <w:color w:val="auto"/>
          <w:sz w:val="32"/>
          <w:szCs w:val="32"/>
        </w:rPr>
        <w:t>Environmental risk</w:t>
      </w:r>
    </w:p>
    <w:p w14:paraId="029CE1FD" w14:textId="5CD90F90" w:rsidR="0073208E" w:rsidRPr="00AA523C" w:rsidRDefault="0073208E" w:rsidP="0073208E">
      <w:pPr>
        <w:rPr>
          <w:color w:val="auto"/>
        </w:rPr>
      </w:pPr>
      <w:r w:rsidRPr="00AA523C">
        <w:rPr>
          <w:color w:val="auto"/>
        </w:rPr>
        <w:t>We have reviewed the Operator's assessment of the environmental risk from the facility.</w:t>
      </w:r>
    </w:p>
    <w:p w14:paraId="109CA262" w14:textId="2AB9E62B" w:rsidR="0073208E" w:rsidRPr="00AA523C" w:rsidRDefault="0073208E" w:rsidP="00AA523C">
      <w:pPr>
        <w:rPr>
          <w:color w:val="auto"/>
        </w:rPr>
      </w:pPr>
      <w:r w:rsidRPr="00AA523C">
        <w:rPr>
          <w:color w:val="auto"/>
        </w:rPr>
        <w:t>The Operator’s risk assessment is satisfactory.</w:t>
      </w:r>
    </w:p>
    <w:p w14:paraId="33409574" w14:textId="6E09DB48" w:rsidR="0073208E" w:rsidRPr="002E20C7" w:rsidRDefault="0073208E" w:rsidP="0073208E">
      <w:pPr>
        <w:keepNext/>
        <w:spacing w:line="276" w:lineRule="auto"/>
        <w:outlineLvl w:val="1"/>
        <w:rPr>
          <w:b/>
          <w:bCs/>
          <w:iCs/>
          <w:color w:val="auto"/>
          <w:sz w:val="32"/>
          <w:szCs w:val="32"/>
        </w:rPr>
      </w:pPr>
      <w:r w:rsidRPr="002E20C7">
        <w:rPr>
          <w:b/>
          <w:bCs/>
          <w:iCs/>
          <w:color w:val="auto"/>
          <w:sz w:val="32"/>
          <w:szCs w:val="32"/>
        </w:rPr>
        <w:t>General operating techniques</w:t>
      </w:r>
    </w:p>
    <w:p w14:paraId="72A121E2" w14:textId="02B4360D" w:rsidR="0073208E" w:rsidRPr="005B2984" w:rsidRDefault="0073208E" w:rsidP="0073208E">
      <w:pPr>
        <w:rPr>
          <w:color w:val="auto"/>
        </w:rPr>
      </w:pPr>
      <w:r w:rsidRPr="005B2984">
        <w:rPr>
          <w:color w:val="auto"/>
        </w:rPr>
        <w:t>We have reviewed the techniques used by the Operator and compared these with the relevant guidance notes and we consider them to represent appropriate techniques for the facility.</w:t>
      </w:r>
    </w:p>
    <w:p w14:paraId="059409D8" w14:textId="50875FE0" w:rsidR="0073208E" w:rsidRPr="00E85182" w:rsidRDefault="0073208E" w:rsidP="0073208E">
      <w:pPr>
        <w:rPr>
          <w:b/>
          <w:color w:val="auto"/>
          <w:sz w:val="26"/>
          <w:szCs w:val="26"/>
        </w:rPr>
      </w:pPr>
      <w:r w:rsidRPr="00E85182">
        <w:rPr>
          <w:color w:val="auto"/>
        </w:rPr>
        <w:t>The operating techniques that the applicant must use are specified in table S1.2 in the environmental permit</w:t>
      </w:r>
      <w:r w:rsidR="00F646EC">
        <w:rPr>
          <w:color w:val="auto"/>
        </w:rPr>
        <w:t xml:space="preserve"> and are summarised in the introductory note of the permit. </w:t>
      </w:r>
    </w:p>
    <w:p w14:paraId="63E31E6B" w14:textId="084CEE07" w:rsidR="0073208E" w:rsidRPr="00E85182" w:rsidRDefault="0073208E" w:rsidP="0073208E">
      <w:pPr>
        <w:rPr>
          <w:bCs/>
          <w:color w:val="auto"/>
          <w:sz w:val="26"/>
          <w:szCs w:val="26"/>
        </w:rPr>
      </w:pPr>
      <w:r w:rsidRPr="00E85182">
        <w:rPr>
          <w:bCs/>
          <w:color w:val="auto"/>
        </w:rPr>
        <w:t>The proposed techniques for priorities for control are in line with the benchmark levels contained in the Sector Guidance Note EPR6.09 and we consider them to represent appropriate techniques for the facility. The permit conditions ensure compliance with The Best Available Techniques (BAT) Reference document (BREF) for the Intensive Rearing of Poultry or Pigs (IRPP) published on 21st February 2017.</w:t>
      </w:r>
    </w:p>
    <w:p w14:paraId="1B12D0CE" w14:textId="2D37D881" w:rsidR="0073208E" w:rsidRPr="003B046F" w:rsidRDefault="0073208E" w:rsidP="0073208E">
      <w:pPr>
        <w:keepNext/>
        <w:spacing w:line="276" w:lineRule="auto"/>
        <w:outlineLvl w:val="1"/>
        <w:rPr>
          <w:b/>
          <w:bCs/>
          <w:iCs/>
          <w:color w:val="auto"/>
          <w:sz w:val="32"/>
          <w:szCs w:val="32"/>
        </w:rPr>
      </w:pPr>
      <w:r w:rsidRPr="003B046F">
        <w:rPr>
          <w:b/>
          <w:bCs/>
          <w:iCs/>
          <w:color w:val="auto"/>
          <w:sz w:val="32"/>
          <w:szCs w:val="32"/>
        </w:rPr>
        <w:t>Odour management</w:t>
      </w:r>
    </w:p>
    <w:p w14:paraId="49412DF7" w14:textId="14396704" w:rsidR="0073208E" w:rsidRPr="003B046F" w:rsidRDefault="0073208E" w:rsidP="0073208E">
      <w:pPr>
        <w:rPr>
          <w:color w:val="auto"/>
        </w:rPr>
      </w:pPr>
      <w:r w:rsidRPr="003B046F">
        <w:rPr>
          <w:color w:val="auto"/>
        </w:rPr>
        <w:t>We have reviewed the odour management plan in accordance with our guidance on odour management.</w:t>
      </w:r>
    </w:p>
    <w:p w14:paraId="17064123" w14:textId="49312A67" w:rsidR="0073208E" w:rsidRPr="003B046F" w:rsidRDefault="0073208E" w:rsidP="0073208E">
      <w:pPr>
        <w:rPr>
          <w:color w:val="auto"/>
        </w:rPr>
      </w:pPr>
      <w:r w:rsidRPr="003B046F">
        <w:rPr>
          <w:color w:val="auto"/>
        </w:rPr>
        <w:t>We consider that the odour management plan is satisfactory, and we approve this plan.</w:t>
      </w:r>
    </w:p>
    <w:p w14:paraId="65FDA764" w14:textId="77777777" w:rsidR="0073208E" w:rsidRPr="003B046F" w:rsidRDefault="0073208E" w:rsidP="0073208E">
      <w:pPr>
        <w:rPr>
          <w:color w:val="auto"/>
        </w:rPr>
      </w:pPr>
      <w:r w:rsidRPr="003B046F">
        <w:rPr>
          <w:color w:val="auto"/>
        </w:rPr>
        <w:t>We have approved the odour management plan as we consider it to be appropriate measures based on information available to us at the current time. The applicant should not take our approval of this plan to mean that the measures in the plan are considered to cover every circumstance throughout the life of the permit.</w:t>
      </w:r>
    </w:p>
    <w:p w14:paraId="4F0B92B3" w14:textId="118F3211" w:rsidR="0073208E" w:rsidRPr="003B046F" w:rsidRDefault="0073208E" w:rsidP="0073208E">
      <w:pPr>
        <w:rPr>
          <w:color w:val="auto"/>
        </w:rPr>
      </w:pPr>
      <w:r w:rsidRPr="003B046F">
        <w:rPr>
          <w:color w:val="auto"/>
        </w:rPr>
        <w:t>The applicant should keep the plans under constant review and revise them annually or if necessary, sooner if there have been complaints arising from operations on site or if circumstances change. This is in accordance with our guidance ‘Control and monitor emissions for your environmental permit’.</w:t>
      </w:r>
    </w:p>
    <w:p w14:paraId="77921AF0" w14:textId="54112B73" w:rsidR="0073208E" w:rsidRPr="003B046F" w:rsidRDefault="0073208E" w:rsidP="0073208E">
      <w:pPr>
        <w:rPr>
          <w:color w:val="auto"/>
        </w:rPr>
      </w:pPr>
      <w:r w:rsidRPr="003B046F">
        <w:rPr>
          <w:color w:val="auto"/>
        </w:rPr>
        <w:t>The plan has been incorporated into the operating techniques table S1.2.</w:t>
      </w:r>
    </w:p>
    <w:p w14:paraId="626FD5FE" w14:textId="55E1BEC3" w:rsidR="0073208E" w:rsidRPr="003B046F" w:rsidRDefault="0073208E" w:rsidP="003B046F">
      <w:pPr>
        <w:keepNext/>
        <w:spacing w:line="276" w:lineRule="auto"/>
        <w:outlineLvl w:val="1"/>
        <w:rPr>
          <w:b/>
          <w:bCs/>
          <w:iCs/>
          <w:color w:val="auto"/>
          <w:sz w:val="32"/>
          <w:szCs w:val="32"/>
        </w:rPr>
      </w:pPr>
      <w:r w:rsidRPr="003B046F">
        <w:rPr>
          <w:b/>
          <w:bCs/>
          <w:iCs/>
          <w:color w:val="auto"/>
          <w:sz w:val="32"/>
          <w:szCs w:val="32"/>
        </w:rPr>
        <w:t>Noise management</w:t>
      </w:r>
      <w:r w:rsidRPr="003B046F">
        <w:rPr>
          <w:color w:val="auto"/>
        </w:rPr>
        <w:tab/>
      </w:r>
    </w:p>
    <w:p w14:paraId="777151C7" w14:textId="75EFE57E" w:rsidR="0073208E" w:rsidRPr="003B046F" w:rsidRDefault="0073208E" w:rsidP="0073208E">
      <w:pPr>
        <w:rPr>
          <w:color w:val="auto"/>
        </w:rPr>
      </w:pPr>
      <w:r w:rsidRPr="003B046F">
        <w:rPr>
          <w:color w:val="auto"/>
        </w:rPr>
        <w:t>We have reviewed the noise management plan in accordance with our guidance on noise assessment and control.</w:t>
      </w:r>
    </w:p>
    <w:p w14:paraId="345ABFFD" w14:textId="692E1258" w:rsidR="0073208E" w:rsidRPr="003B046F" w:rsidRDefault="0073208E" w:rsidP="0073208E">
      <w:pPr>
        <w:rPr>
          <w:color w:val="auto"/>
        </w:rPr>
      </w:pPr>
      <w:r w:rsidRPr="003B046F">
        <w:rPr>
          <w:color w:val="auto"/>
        </w:rPr>
        <w:t>We consider that the noise management plan is satisfactory, and we approve this plan.</w:t>
      </w:r>
    </w:p>
    <w:p w14:paraId="18841D16" w14:textId="77777777" w:rsidR="0073208E" w:rsidRPr="003B046F" w:rsidRDefault="0073208E" w:rsidP="0073208E">
      <w:pPr>
        <w:rPr>
          <w:color w:val="auto"/>
        </w:rPr>
      </w:pPr>
      <w:r w:rsidRPr="003B046F">
        <w:rPr>
          <w:color w:val="auto"/>
        </w:rPr>
        <w:t>We have approved the noise management plan as we consider it to be appropriate measures based on information available to us at the current time. The applicant should not take our approval of this plan to mean that the measures in the plan are considered to cover every circumstance throughout the life of the permit.</w:t>
      </w:r>
    </w:p>
    <w:p w14:paraId="1F5C961B" w14:textId="1456A995" w:rsidR="0073208E" w:rsidRPr="003B046F" w:rsidRDefault="0073208E" w:rsidP="0073208E">
      <w:pPr>
        <w:rPr>
          <w:color w:val="auto"/>
        </w:rPr>
      </w:pPr>
      <w:r w:rsidRPr="003B046F">
        <w:rPr>
          <w:color w:val="auto"/>
        </w:rPr>
        <w:t>The applicant should keep the plans under constant review and revise them annually or if necessary, sooner if there have been complaints arising from operations on site or if circumstances change. This is in accordance with our guidance ‘Control and monitor emissions for your environmental permit’.</w:t>
      </w:r>
    </w:p>
    <w:p w14:paraId="49DA40B7" w14:textId="6D02F684" w:rsidR="003B046F" w:rsidRPr="003B046F" w:rsidRDefault="0073208E" w:rsidP="0073208E">
      <w:pPr>
        <w:rPr>
          <w:b/>
          <w:color w:val="auto"/>
          <w:sz w:val="26"/>
          <w:szCs w:val="26"/>
        </w:rPr>
      </w:pPr>
      <w:r w:rsidRPr="003B046F">
        <w:rPr>
          <w:color w:val="auto"/>
        </w:rPr>
        <w:t>The plan has been incorporated into the operating techniques table S1.2.</w:t>
      </w:r>
    </w:p>
    <w:p w14:paraId="22662481" w14:textId="79CDF6E8" w:rsidR="0073208E" w:rsidRPr="009B1D2C" w:rsidRDefault="0073208E" w:rsidP="0073208E">
      <w:pPr>
        <w:keepNext/>
        <w:spacing w:line="276" w:lineRule="auto"/>
        <w:outlineLvl w:val="1"/>
        <w:rPr>
          <w:b/>
          <w:bCs/>
          <w:iCs/>
          <w:color w:val="auto"/>
          <w:sz w:val="32"/>
          <w:szCs w:val="32"/>
        </w:rPr>
      </w:pPr>
      <w:r w:rsidRPr="009B1D2C">
        <w:rPr>
          <w:b/>
          <w:bCs/>
          <w:iCs/>
          <w:color w:val="auto"/>
          <w:sz w:val="32"/>
          <w:szCs w:val="32"/>
        </w:rPr>
        <w:t>Dust and bioaerosol management</w:t>
      </w:r>
    </w:p>
    <w:p w14:paraId="0114405B" w14:textId="1979A668" w:rsidR="0073208E" w:rsidRPr="009B1D2C" w:rsidRDefault="0073208E" w:rsidP="0073208E">
      <w:pPr>
        <w:rPr>
          <w:color w:val="auto"/>
        </w:rPr>
      </w:pPr>
      <w:r w:rsidRPr="009B1D2C">
        <w:rPr>
          <w:color w:val="auto"/>
        </w:rPr>
        <w:t>We have reviewed the dust and bioaerosol management plan in accordance with our guidance on emissions management plans for dust.</w:t>
      </w:r>
    </w:p>
    <w:p w14:paraId="00F58947" w14:textId="77777777" w:rsidR="0073208E" w:rsidRPr="009B1D2C" w:rsidRDefault="0073208E" w:rsidP="0073208E">
      <w:pPr>
        <w:rPr>
          <w:color w:val="auto"/>
        </w:rPr>
      </w:pPr>
      <w:r w:rsidRPr="009B1D2C">
        <w:rPr>
          <w:color w:val="auto"/>
        </w:rPr>
        <w:t>We consider that the dust and bioaerosol management plan is satisfactory and we approve this plan.</w:t>
      </w:r>
    </w:p>
    <w:p w14:paraId="66A00E55" w14:textId="77777777" w:rsidR="0073208E" w:rsidRPr="009B1D2C" w:rsidRDefault="0073208E" w:rsidP="0073208E">
      <w:pPr>
        <w:rPr>
          <w:color w:val="auto"/>
        </w:rPr>
      </w:pPr>
      <w:r w:rsidRPr="009B1D2C">
        <w:rPr>
          <w:color w:val="auto"/>
        </w:rPr>
        <w:t>We have approved the dust and bioaerosol management plan as we consider it to be appropriate measures based on information available to us at the current time. The applicant should not take our approval of this plan to mean that the measures in the plan are considered to cover every circumstance throughout the life of the permit.</w:t>
      </w:r>
    </w:p>
    <w:p w14:paraId="2552B84B" w14:textId="51084B6A" w:rsidR="0073208E" w:rsidRPr="009B1D2C" w:rsidRDefault="0073208E" w:rsidP="0073208E">
      <w:pPr>
        <w:rPr>
          <w:color w:val="auto"/>
        </w:rPr>
      </w:pPr>
      <w:r w:rsidRPr="009B1D2C">
        <w:rPr>
          <w:color w:val="auto"/>
        </w:rPr>
        <w:t xml:space="preserve">The applicant should keep the plans under constant review and revise them annually or if </w:t>
      </w:r>
      <w:r w:rsidR="009B1D2C" w:rsidRPr="009B1D2C">
        <w:rPr>
          <w:color w:val="auto"/>
        </w:rPr>
        <w:t>necessary,</w:t>
      </w:r>
      <w:r w:rsidRPr="009B1D2C">
        <w:rPr>
          <w:color w:val="auto"/>
        </w:rPr>
        <w:t xml:space="preserve"> sooner if there have been complaints arising from operations on site or if circumstances change. This is in accordance with our guidance ‘Control and monitor emissions for your environmental permit.</w:t>
      </w:r>
    </w:p>
    <w:p w14:paraId="2C97E117" w14:textId="12627C82" w:rsidR="0073208E" w:rsidRDefault="0073208E" w:rsidP="0073208E">
      <w:pPr>
        <w:rPr>
          <w:color w:val="auto"/>
        </w:rPr>
      </w:pPr>
      <w:r w:rsidRPr="009B1D2C">
        <w:rPr>
          <w:color w:val="auto"/>
        </w:rPr>
        <w:t>The plan has been incorporated into the operating techniques S1.2.</w:t>
      </w:r>
    </w:p>
    <w:p w14:paraId="5D93BC99" w14:textId="77777777" w:rsidR="00926A56" w:rsidRPr="00926A56" w:rsidRDefault="00926A56" w:rsidP="00926A56">
      <w:pPr>
        <w:keepNext/>
        <w:spacing w:line="276" w:lineRule="auto"/>
        <w:outlineLvl w:val="1"/>
        <w:rPr>
          <w:b/>
          <w:bCs/>
          <w:iCs/>
          <w:color w:val="auto"/>
          <w:sz w:val="32"/>
          <w:szCs w:val="32"/>
        </w:rPr>
      </w:pPr>
      <w:r w:rsidRPr="00926A56">
        <w:rPr>
          <w:b/>
          <w:bCs/>
          <w:iCs/>
          <w:color w:val="auto"/>
          <w:sz w:val="32"/>
          <w:szCs w:val="32"/>
        </w:rPr>
        <w:t>Pre-operational conditions </w:t>
      </w:r>
    </w:p>
    <w:p w14:paraId="07B72E8D" w14:textId="77777777" w:rsidR="00926A56" w:rsidRPr="00926A56" w:rsidRDefault="00926A56" w:rsidP="00926A56">
      <w:pPr>
        <w:rPr>
          <w:color w:val="auto"/>
        </w:rPr>
      </w:pPr>
      <w:r w:rsidRPr="00926A56">
        <w:rPr>
          <w:color w:val="auto"/>
        </w:rPr>
        <w:t>Based on the information in the application, we consider that we need to include a pre-operational condition. </w:t>
      </w:r>
    </w:p>
    <w:p w14:paraId="2B3B03DE" w14:textId="3F57F443" w:rsidR="003B046F" w:rsidRPr="009B1D2C" w:rsidRDefault="00926A56" w:rsidP="0073208E">
      <w:pPr>
        <w:rPr>
          <w:color w:val="auto"/>
        </w:rPr>
      </w:pPr>
      <w:r w:rsidRPr="00926A56">
        <w:rPr>
          <w:color w:val="auto"/>
        </w:rPr>
        <w:t>PO1 has been included in table S1.3 to ensure the existing housing has been refurbished to meet BAT standards prior to stocking poultry in these houses. </w:t>
      </w:r>
    </w:p>
    <w:p w14:paraId="6EF5442E" w14:textId="0C890B1C" w:rsidR="0093716E" w:rsidRPr="0093716E" w:rsidRDefault="0073208E" w:rsidP="0093716E">
      <w:pPr>
        <w:keepNext/>
        <w:spacing w:line="276" w:lineRule="auto"/>
        <w:outlineLvl w:val="1"/>
        <w:rPr>
          <w:b/>
          <w:bCs/>
          <w:iCs/>
          <w:color w:val="auto"/>
          <w:sz w:val="32"/>
          <w:szCs w:val="32"/>
        </w:rPr>
      </w:pPr>
      <w:r w:rsidRPr="00517CE0">
        <w:rPr>
          <w:b/>
          <w:bCs/>
          <w:iCs/>
          <w:color w:val="auto"/>
          <w:sz w:val="32"/>
          <w:szCs w:val="32"/>
        </w:rPr>
        <w:t>Emission limits</w:t>
      </w:r>
    </w:p>
    <w:p w14:paraId="63F5A9D9" w14:textId="1413A1F5" w:rsidR="0073208E" w:rsidRPr="00517CE0" w:rsidRDefault="0073208E" w:rsidP="0073208E">
      <w:pPr>
        <w:rPr>
          <w:color w:val="auto"/>
        </w:rPr>
      </w:pPr>
      <w:r w:rsidRPr="00517CE0">
        <w:rPr>
          <w:color w:val="auto"/>
        </w:rPr>
        <w:t>We have decided that emission limits are required in the permit. BAT</w:t>
      </w:r>
      <w:r w:rsidR="00243345" w:rsidRPr="00517CE0">
        <w:rPr>
          <w:color w:val="auto"/>
        </w:rPr>
        <w:t xml:space="preserve"> </w:t>
      </w:r>
      <w:r w:rsidRPr="00517CE0">
        <w:rPr>
          <w:color w:val="auto"/>
        </w:rPr>
        <w:t xml:space="preserve">AELs have been added in line with the Intensive Farming sector BAT </w:t>
      </w:r>
      <w:r w:rsidR="00662C49" w:rsidRPr="00517CE0">
        <w:rPr>
          <w:color w:val="auto"/>
        </w:rPr>
        <w:t>C</w:t>
      </w:r>
      <w:r w:rsidRPr="00517CE0">
        <w:rPr>
          <w:color w:val="auto"/>
        </w:rPr>
        <w:t>onclusions document dated 21/02/2017. These limits are included in table S3.</w:t>
      </w:r>
      <w:r w:rsidR="00990C14" w:rsidRPr="00517CE0">
        <w:rPr>
          <w:color w:val="auto"/>
        </w:rPr>
        <w:t>3</w:t>
      </w:r>
      <w:r w:rsidRPr="00517CE0">
        <w:rPr>
          <w:color w:val="auto"/>
        </w:rPr>
        <w:t xml:space="preserve"> of the permit.</w:t>
      </w:r>
    </w:p>
    <w:p w14:paraId="6281D20E" w14:textId="5E6953DF" w:rsidR="0073208E" w:rsidRPr="001659F8" w:rsidRDefault="0073208E" w:rsidP="0073208E">
      <w:pPr>
        <w:keepNext/>
        <w:spacing w:line="276" w:lineRule="auto"/>
        <w:outlineLvl w:val="1"/>
        <w:rPr>
          <w:b/>
          <w:bCs/>
          <w:iCs/>
          <w:color w:val="auto"/>
          <w:sz w:val="32"/>
          <w:szCs w:val="32"/>
        </w:rPr>
      </w:pPr>
      <w:r w:rsidRPr="001659F8">
        <w:rPr>
          <w:b/>
          <w:bCs/>
          <w:iCs/>
          <w:color w:val="auto"/>
          <w:sz w:val="32"/>
          <w:szCs w:val="32"/>
        </w:rPr>
        <w:t>Monitoring</w:t>
      </w:r>
    </w:p>
    <w:p w14:paraId="739494E3" w14:textId="18D7932B" w:rsidR="0073208E" w:rsidRPr="001659F8" w:rsidRDefault="0073208E" w:rsidP="0073208E">
      <w:pPr>
        <w:rPr>
          <w:b/>
          <w:color w:val="auto"/>
          <w:sz w:val="26"/>
          <w:szCs w:val="26"/>
        </w:rPr>
      </w:pPr>
      <w:r w:rsidRPr="001659F8">
        <w:rPr>
          <w:color w:val="auto"/>
        </w:rPr>
        <w:t>We have decided that monitoring should be carried out for the parameters listed in the permit, using the methods detailed and to the frequencies specified.</w:t>
      </w:r>
    </w:p>
    <w:p w14:paraId="346D82DD" w14:textId="03C23588" w:rsidR="001659F8" w:rsidRPr="001659F8" w:rsidRDefault="001D493F" w:rsidP="001659F8">
      <w:pPr>
        <w:rPr>
          <w:b/>
          <w:color w:val="auto"/>
        </w:rPr>
      </w:pPr>
      <w:r>
        <w:rPr>
          <w:color w:val="auto"/>
        </w:rPr>
        <w:t xml:space="preserve">These monitoring requirements have been imposed </w:t>
      </w:r>
      <w:r w:rsidR="0073208E" w:rsidRPr="001659F8">
        <w:rPr>
          <w:color w:val="auto"/>
        </w:rPr>
        <w:t xml:space="preserve">in </w:t>
      </w:r>
      <w:r w:rsidR="001659F8" w:rsidRPr="001659F8">
        <w:rPr>
          <w:color w:val="auto"/>
        </w:rPr>
        <w:t>order to ensure compliance with the Intensive Farming sector BAT Conclusions document dated 21/02/2017.</w:t>
      </w:r>
    </w:p>
    <w:p w14:paraId="7BCB695F" w14:textId="7EA167FB" w:rsidR="0073208E" w:rsidRPr="00E07B52" w:rsidRDefault="0073208E" w:rsidP="0073208E">
      <w:pPr>
        <w:keepNext/>
        <w:spacing w:line="276" w:lineRule="auto"/>
        <w:outlineLvl w:val="1"/>
        <w:rPr>
          <w:b/>
          <w:bCs/>
          <w:iCs/>
          <w:color w:val="auto"/>
          <w:sz w:val="32"/>
          <w:szCs w:val="32"/>
        </w:rPr>
      </w:pPr>
      <w:r w:rsidRPr="00E07B52">
        <w:rPr>
          <w:b/>
          <w:bCs/>
          <w:iCs/>
          <w:color w:val="auto"/>
          <w:sz w:val="32"/>
          <w:szCs w:val="32"/>
        </w:rPr>
        <w:t>Reporting</w:t>
      </w:r>
    </w:p>
    <w:p w14:paraId="0B8C30E2" w14:textId="39CE5E9E" w:rsidR="0073208E" w:rsidRPr="00E07B52" w:rsidRDefault="0073208E" w:rsidP="0073208E">
      <w:pPr>
        <w:rPr>
          <w:b/>
          <w:color w:val="auto"/>
          <w:sz w:val="26"/>
          <w:szCs w:val="26"/>
        </w:rPr>
      </w:pPr>
      <w:r w:rsidRPr="00E07B52">
        <w:rPr>
          <w:color w:val="auto"/>
        </w:rPr>
        <w:t>We have specified reporting in the permit, using the methods detailed and to the frequencies specified.</w:t>
      </w:r>
    </w:p>
    <w:p w14:paraId="3E260900" w14:textId="50D60311" w:rsidR="0073208E" w:rsidRPr="00E07B52" w:rsidRDefault="0073208E" w:rsidP="0073208E">
      <w:pPr>
        <w:rPr>
          <w:b/>
          <w:color w:val="auto"/>
          <w:sz w:val="26"/>
          <w:szCs w:val="26"/>
        </w:rPr>
      </w:pPr>
      <w:r w:rsidRPr="00E07B52">
        <w:rPr>
          <w:color w:val="auto"/>
        </w:rPr>
        <w:t xml:space="preserve">We made these decisions in order to ensure compliance with the Intensive Farming sector BAT </w:t>
      </w:r>
      <w:r w:rsidR="00662C49" w:rsidRPr="00E07B52">
        <w:rPr>
          <w:color w:val="auto"/>
        </w:rPr>
        <w:t>C</w:t>
      </w:r>
      <w:r w:rsidRPr="00E07B52">
        <w:rPr>
          <w:color w:val="auto"/>
        </w:rPr>
        <w:t>onclusions document dated 21/02/2017.</w:t>
      </w:r>
    </w:p>
    <w:p w14:paraId="1958E7DF" w14:textId="4B35DF55" w:rsidR="0073208E" w:rsidRPr="00087171" w:rsidRDefault="0073208E" w:rsidP="00654D10">
      <w:pPr>
        <w:keepNext/>
        <w:spacing w:line="276" w:lineRule="auto"/>
        <w:outlineLvl w:val="1"/>
        <w:rPr>
          <w:b/>
          <w:bCs/>
          <w:iCs/>
          <w:color w:val="auto"/>
          <w:sz w:val="32"/>
          <w:szCs w:val="32"/>
        </w:rPr>
      </w:pPr>
      <w:r w:rsidRPr="00087171">
        <w:rPr>
          <w:b/>
          <w:bCs/>
          <w:iCs/>
          <w:color w:val="auto"/>
          <w:sz w:val="32"/>
          <w:szCs w:val="32"/>
        </w:rPr>
        <w:t>Management system</w:t>
      </w:r>
      <w:r w:rsidRPr="00087171">
        <w:rPr>
          <w:color w:val="auto"/>
        </w:rPr>
        <w:tab/>
      </w:r>
    </w:p>
    <w:p w14:paraId="02C4128F" w14:textId="2DAAE736" w:rsidR="0073208E" w:rsidRPr="00087171" w:rsidRDefault="0073208E" w:rsidP="0073208E">
      <w:pPr>
        <w:rPr>
          <w:color w:val="auto"/>
        </w:rPr>
      </w:pPr>
      <w:r w:rsidRPr="00087171">
        <w:rPr>
          <w:color w:val="auto"/>
        </w:rPr>
        <w:t>We are not aware of any reason to consider that the Operator will not have the management system to enable it to comply with the permit conditions.</w:t>
      </w:r>
    </w:p>
    <w:p w14:paraId="3708A26F" w14:textId="7BDC9395" w:rsidR="0073208E" w:rsidRPr="00087171" w:rsidRDefault="0073208E" w:rsidP="0073208E">
      <w:pPr>
        <w:rPr>
          <w:color w:val="auto"/>
        </w:rPr>
      </w:pPr>
      <w:r w:rsidRPr="00087171">
        <w:rPr>
          <w:color w:val="auto"/>
        </w:rPr>
        <w:t>The decision was taken in accordance with the guidance on Operator competence and how to develop a management system for environmental permits.</w:t>
      </w:r>
    </w:p>
    <w:p w14:paraId="0A8D25D8" w14:textId="5AE870B7" w:rsidR="0073208E" w:rsidRPr="00087171" w:rsidRDefault="0073208E" w:rsidP="0073208E">
      <w:pPr>
        <w:keepNext/>
        <w:spacing w:line="276" w:lineRule="auto"/>
        <w:outlineLvl w:val="1"/>
        <w:rPr>
          <w:b/>
          <w:bCs/>
          <w:iCs/>
          <w:color w:val="auto"/>
          <w:sz w:val="32"/>
          <w:szCs w:val="32"/>
        </w:rPr>
      </w:pPr>
      <w:r w:rsidRPr="00087171">
        <w:rPr>
          <w:b/>
          <w:bCs/>
          <w:iCs/>
          <w:color w:val="auto"/>
          <w:sz w:val="32"/>
          <w:szCs w:val="32"/>
        </w:rPr>
        <w:t>Previous performance</w:t>
      </w:r>
    </w:p>
    <w:p w14:paraId="63F18664" w14:textId="21BBA1C1" w:rsidR="0073208E" w:rsidRPr="00087171" w:rsidRDefault="0073208E" w:rsidP="0073208E">
      <w:pPr>
        <w:rPr>
          <w:color w:val="auto"/>
        </w:rPr>
      </w:pPr>
      <w:r w:rsidRPr="00087171">
        <w:rPr>
          <w:color w:val="auto"/>
        </w:rPr>
        <w:t>We have checked our systems to ensure that all relevant convictions have been declared.</w:t>
      </w:r>
    </w:p>
    <w:p w14:paraId="59560DDA" w14:textId="4F9A63B7" w:rsidR="0073208E" w:rsidRPr="00087171" w:rsidRDefault="0073208E" w:rsidP="0073208E">
      <w:pPr>
        <w:rPr>
          <w:color w:val="auto"/>
        </w:rPr>
      </w:pPr>
      <w:r w:rsidRPr="00087171">
        <w:rPr>
          <w:color w:val="auto"/>
        </w:rPr>
        <w:t>No relevant convictions were found.</w:t>
      </w:r>
    </w:p>
    <w:p w14:paraId="4BF9ABB8" w14:textId="6672005F" w:rsidR="0073208E" w:rsidRPr="00087171" w:rsidRDefault="0073208E" w:rsidP="0073208E">
      <w:pPr>
        <w:keepNext/>
        <w:spacing w:line="276" w:lineRule="auto"/>
        <w:outlineLvl w:val="1"/>
        <w:rPr>
          <w:b/>
          <w:bCs/>
          <w:iCs/>
          <w:color w:val="auto"/>
          <w:sz w:val="32"/>
          <w:szCs w:val="32"/>
        </w:rPr>
      </w:pPr>
      <w:r w:rsidRPr="00087171">
        <w:rPr>
          <w:b/>
          <w:bCs/>
          <w:iCs/>
          <w:color w:val="auto"/>
          <w:sz w:val="32"/>
          <w:szCs w:val="32"/>
        </w:rPr>
        <w:t>Financial competence</w:t>
      </w:r>
    </w:p>
    <w:p w14:paraId="0A2FB2B6" w14:textId="30578378" w:rsidR="0073208E" w:rsidRPr="00087171" w:rsidRDefault="0073208E" w:rsidP="0073208E">
      <w:pPr>
        <w:rPr>
          <w:color w:val="auto"/>
        </w:rPr>
      </w:pPr>
      <w:r w:rsidRPr="00087171">
        <w:rPr>
          <w:color w:val="auto"/>
        </w:rPr>
        <w:t>There is no known reason to consider that the Operator will not be financially able to comply with the permit conditions.</w:t>
      </w:r>
    </w:p>
    <w:p w14:paraId="62E7B460" w14:textId="77777777" w:rsidR="0073208E" w:rsidRPr="0073208E" w:rsidRDefault="0073208E" w:rsidP="0073208E">
      <w:pPr>
        <w:keepNext/>
        <w:spacing w:line="276" w:lineRule="auto"/>
        <w:outlineLvl w:val="1"/>
        <w:rPr>
          <w:b/>
          <w:bCs/>
          <w:iCs/>
          <w:sz w:val="32"/>
          <w:szCs w:val="32"/>
        </w:rPr>
      </w:pPr>
      <w:r w:rsidRPr="0073208E">
        <w:rPr>
          <w:b/>
          <w:bCs/>
          <w:iCs/>
          <w:sz w:val="32"/>
          <w:szCs w:val="32"/>
        </w:rPr>
        <w:t>Growth duty</w:t>
      </w:r>
    </w:p>
    <w:p w14:paraId="6DFFB2EB" w14:textId="77777777" w:rsidR="0073208E" w:rsidRPr="0073208E" w:rsidRDefault="0073208E" w:rsidP="0073208E">
      <w:r w:rsidRPr="0073208E">
        <w:t xml:space="preserve">We have considered our duty to have regard to the desirability of promoting economic growth set out in section 108(1) of the Deregulation Act 2015 and the guidance issued under section 110 of that Act in deciding whether to grant this permit variation. </w:t>
      </w:r>
    </w:p>
    <w:p w14:paraId="057FDEBB" w14:textId="77777777" w:rsidR="0073208E" w:rsidRPr="0073208E" w:rsidRDefault="0073208E" w:rsidP="0073208E">
      <w:r w:rsidRPr="0073208E">
        <w:t>Paragraph 1.3 of the guidance says:</w:t>
      </w:r>
    </w:p>
    <w:p w14:paraId="15905B11" w14:textId="77777777" w:rsidR="0073208E" w:rsidRPr="0073208E" w:rsidRDefault="0073208E" w:rsidP="0073208E">
      <w:r w:rsidRPr="0073208E">
        <w:t>“The primary role of regulators, in delivering regulation, is to achieve the regulatory outcomes for which they are responsible. For a number of regulators, these regulatory outcomes include an explicit reference to development or growth. The growth duty establishes economic growth as a factor that all specified regulators should have regard to, alongside the delivery of the protections set out in the relevant legislation.”</w:t>
      </w:r>
    </w:p>
    <w:p w14:paraId="5E025851" w14:textId="77777777" w:rsidR="0073208E" w:rsidRPr="0073208E" w:rsidRDefault="0073208E" w:rsidP="0073208E">
      <w:r w:rsidRPr="0073208E">
        <w:t>We have addressed the legislative requirements and environmental standards to be set for this operation in the body of the decision document above. The guidance is clear at paragraph 1.5 that the growth duty does not legitimise non-compliance and its purpose is not to achieve or pursue economic growth at the expense of necessary protections.</w:t>
      </w:r>
    </w:p>
    <w:p w14:paraId="24344E91" w14:textId="77777777" w:rsidR="00EA3213" w:rsidRDefault="0073208E" w:rsidP="00EA3213">
      <w:pPr>
        <w:rPr>
          <w:rFonts w:eastAsiaTheme="majorEastAsia" w:cstheme="majorBidi"/>
          <w:b/>
          <w:bCs/>
          <w:color w:val="B10E1E"/>
          <w:sz w:val="36"/>
          <w:szCs w:val="32"/>
        </w:rPr>
      </w:pPr>
      <w:r w:rsidRPr="0073208E">
        <w:t>We consider the requirements and standards we have set in this permit are reasonable and necessary to avoid a risk of an unacceptable level of pollution. This also promotes growth amongst legitimate operators because the standards applied to the Operator are consistent across businesses in this sector and have been set to achieve the required legislative standards.</w:t>
      </w:r>
      <w:bookmarkStart w:id="21" w:name="Consultation_Responses"/>
    </w:p>
    <w:p w14:paraId="4FB81C07" w14:textId="77777777" w:rsidR="00EA3213" w:rsidRDefault="00EA3213" w:rsidP="00EA3213">
      <w:pPr>
        <w:rPr>
          <w:rFonts w:eastAsiaTheme="majorEastAsia" w:cstheme="majorBidi"/>
          <w:b/>
          <w:bCs/>
          <w:color w:val="B10E1E"/>
          <w:sz w:val="36"/>
          <w:szCs w:val="32"/>
        </w:rPr>
      </w:pPr>
    </w:p>
    <w:p w14:paraId="6A4EEB33" w14:textId="77777777" w:rsidR="00EA3213" w:rsidRDefault="00EA3213" w:rsidP="00EA3213">
      <w:pPr>
        <w:rPr>
          <w:rFonts w:eastAsiaTheme="majorEastAsia" w:cstheme="majorBidi"/>
          <w:b/>
          <w:bCs/>
          <w:color w:val="B10E1E"/>
          <w:sz w:val="36"/>
          <w:szCs w:val="32"/>
        </w:rPr>
      </w:pPr>
    </w:p>
    <w:p w14:paraId="0EB5D9CE" w14:textId="77777777" w:rsidR="00EA3213" w:rsidRDefault="00EA3213" w:rsidP="00EA3213">
      <w:pPr>
        <w:rPr>
          <w:rFonts w:eastAsiaTheme="majorEastAsia" w:cstheme="majorBidi"/>
          <w:b/>
          <w:bCs/>
          <w:color w:val="B10E1E"/>
          <w:sz w:val="36"/>
          <w:szCs w:val="32"/>
        </w:rPr>
      </w:pPr>
    </w:p>
    <w:p w14:paraId="07F497EE" w14:textId="77777777" w:rsidR="00070BFC" w:rsidRDefault="00070BFC" w:rsidP="00EA3213">
      <w:pPr>
        <w:rPr>
          <w:rFonts w:eastAsiaTheme="majorEastAsia" w:cstheme="majorBidi"/>
          <w:b/>
          <w:bCs/>
          <w:color w:val="B10E1E"/>
          <w:sz w:val="36"/>
          <w:szCs w:val="32"/>
        </w:rPr>
      </w:pPr>
    </w:p>
    <w:p w14:paraId="0D3D72FA" w14:textId="77777777" w:rsidR="00884CA0" w:rsidRDefault="00884CA0" w:rsidP="00EA3213">
      <w:pPr>
        <w:rPr>
          <w:rFonts w:eastAsiaTheme="majorEastAsia" w:cstheme="majorBidi"/>
          <w:b/>
          <w:bCs/>
          <w:color w:val="B10E1E"/>
          <w:sz w:val="36"/>
          <w:szCs w:val="32"/>
        </w:rPr>
      </w:pPr>
    </w:p>
    <w:p w14:paraId="400FAC9C" w14:textId="77777777" w:rsidR="00884CA0" w:rsidRDefault="00884CA0" w:rsidP="00EA3213">
      <w:pPr>
        <w:rPr>
          <w:rFonts w:eastAsiaTheme="majorEastAsia" w:cstheme="majorBidi"/>
          <w:b/>
          <w:bCs/>
          <w:color w:val="B10E1E"/>
          <w:sz w:val="36"/>
          <w:szCs w:val="32"/>
        </w:rPr>
      </w:pPr>
    </w:p>
    <w:p w14:paraId="071634F6" w14:textId="77777777" w:rsidR="00884CA0" w:rsidRDefault="00884CA0" w:rsidP="00EA3213">
      <w:pPr>
        <w:rPr>
          <w:rFonts w:eastAsiaTheme="majorEastAsia" w:cstheme="majorBidi"/>
          <w:b/>
          <w:bCs/>
          <w:color w:val="B10E1E"/>
          <w:sz w:val="36"/>
          <w:szCs w:val="32"/>
        </w:rPr>
      </w:pPr>
    </w:p>
    <w:p w14:paraId="26C82D55" w14:textId="77777777" w:rsidR="00070BFC" w:rsidRDefault="00070BFC" w:rsidP="00EA3213">
      <w:pPr>
        <w:rPr>
          <w:rFonts w:eastAsiaTheme="majorEastAsia" w:cstheme="majorBidi"/>
          <w:b/>
          <w:bCs/>
          <w:color w:val="B10E1E"/>
          <w:sz w:val="36"/>
          <w:szCs w:val="32"/>
        </w:rPr>
      </w:pPr>
    </w:p>
    <w:p w14:paraId="027A1137" w14:textId="77777777" w:rsidR="003B5D2E" w:rsidRDefault="003B5D2E" w:rsidP="00EA3213">
      <w:pPr>
        <w:rPr>
          <w:rFonts w:eastAsiaTheme="majorEastAsia" w:cstheme="majorBidi"/>
          <w:b/>
          <w:bCs/>
          <w:color w:val="B10E1E"/>
          <w:sz w:val="36"/>
          <w:szCs w:val="32"/>
        </w:rPr>
      </w:pPr>
    </w:p>
    <w:p w14:paraId="4C23B457" w14:textId="77777777" w:rsidR="003B5D2E" w:rsidRDefault="003B5D2E" w:rsidP="00EA3213">
      <w:pPr>
        <w:rPr>
          <w:rFonts w:eastAsiaTheme="majorEastAsia" w:cstheme="majorBidi"/>
          <w:b/>
          <w:bCs/>
          <w:color w:val="B10E1E"/>
          <w:sz w:val="36"/>
          <w:szCs w:val="32"/>
        </w:rPr>
      </w:pPr>
    </w:p>
    <w:p w14:paraId="3AF44442" w14:textId="77777777" w:rsidR="003B5D2E" w:rsidRDefault="003B5D2E" w:rsidP="00EA3213">
      <w:pPr>
        <w:rPr>
          <w:rFonts w:eastAsiaTheme="majorEastAsia" w:cstheme="majorBidi"/>
          <w:b/>
          <w:bCs/>
          <w:color w:val="B10E1E"/>
          <w:sz w:val="36"/>
          <w:szCs w:val="32"/>
        </w:rPr>
      </w:pPr>
    </w:p>
    <w:p w14:paraId="2D9FBA6E" w14:textId="77777777" w:rsidR="003B5D2E" w:rsidRDefault="003B5D2E" w:rsidP="00EA3213">
      <w:pPr>
        <w:rPr>
          <w:rFonts w:eastAsiaTheme="majorEastAsia" w:cstheme="majorBidi"/>
          <w:b/>
          <w:bCs/>
          <w:color w:val="B10E1E"/>
          <w:sz w:val="36"/>
          <w:szCs w:val="32"/>
        </w:rPr>
      </w:pPr>
    </w:p>
    <w:p w14:paraId="4AC4A705" w14:textId="70A1EAB3" w:rsidR="0073208E" w:rsidRPr="00EA3213" w:rsidRDefault="0073208E" w:rsidP="00EA3213">
      <w:r w:rsidRPr="00482290">
        <w:rPr>
          <w:rFonts w:eastAsiaTheme="majorEastAsia" w:cstheme="majorBidi"/>
          <w:b/>
          <w:bCs/>
          <w:color w:val="auto"/>
          <w:sz w:val="36"/>
          <w:szCs w:val="32"/>
        </w:rPr>
        <w:t>Consultation Responses</w:t>
      </w:r>
    </w:p>
    <w:bookmarkEnd w:id="21"/>
    <w:p w14:paraId="302C3A8E" w14:textId="2A35DD57" w:rsidR="0073208E" w:rsidRPr="00482290" w:rsidRDefault="0073208E" w:rsidP="0073208E">
      <w:pPr>
        <w:rPr>
          <w:b/>
          <w:color w:val="auto"/>
          <w:sz w:val="26"/>
          <w:szCs w:val="26"/>
        </w:rPr>
      </w:pPr>
      <w:r w:rsidRPr="00482290">
        <w:rPr>
          <w:color w:val="auto"/>
        </w:rPr>
        <w:t>The following summarises the responses to consultation with other organisations, our notice on GOV.UK for the public</w:t>
      </w:r>
      <w:r w:rsidR="00CE5013" w:rsidRPr="00482290">
        <w:rPr>
          <w:color w:val="auto"/>
        </w:rPr>
        <w:t>,</w:t>
      </w:r>
      <w:r w:rsidRPr="00482290">
        <w:rPr>
          <w:color w:val="auto"/>
        </w:rPr>
        <w:t xml:space="preserve"> and the way in which we have considered these in the determination process.</w:t>
      </w:r>
    </w:p>
    <w:p w14:paraId="773D57A7" w14:textId="3C9D5F25" w:rsidR="00A1347D" w:rsidRPr="00482290" w:rsidRDefault="00A1347D" w:rsidP="00A1347D">
      <w:pPr>
        <w:rPr>
          <w:color w:val="auto"/>
        </w:rPr>
      </w:pPr>
      <w:r w:rsidRPr="00482290">
        <w:rPr>
          <w:color w:val="auto"/>
        </w:rPr>
        <w:t xml:space="preserve">The consultation commenced on </w:t>
      </w:r>
      <w:r w:rsidR="008E5186" w:rsidRPr="00482290">
        <w:rPr>
          <w:b/>
          <w:bCs/>
          <w:color w:val="auto"/>
        </w:rPr>
        <w:t>11/12/2025</w:t>
      </w:r>
      <w:r w:rsidRPr="00482290">
        <w:rPr>
          <w:color w:val="auto"/>
        </w:rPr>
        <w:t xml:space="preserve"> and ended on </w:t>
      </w:r>
      <w:r w:rsidR="00284529" w:rsidRPr="00482290">
        <w:rPr>
          <w:b/>
          <w:bCs/>
          <w:color w:val="auto"/>
        </w:rPr>
        <w:t>13/01/2026</w:t>
      </w:r>
      <w:r w:rsidRPr="00482290">
        <w:rPr>
          <w:color w:val="auto"/>
        </w:rPr>
        <w:t>.</w:t>
      </w:r>
    </w:p>
    <w:p w14:paraId="2BCF2D22" w14:textId="53BEC098" w:rsidR="0073208E" w:rsidRPr="00482290" w:rsidRDefault="0073208E" w:rsidP="0073208E">
      <w:pPr>
        <w:keepNext/>
        <w:spacing w:line="276" w:lineRule="auto"/>
        <w:outlineLvl w:val="1"/>
        <w:rPr>
          <w:b/>
          <w:bCs/>
          <w:iCs/>
          <w:color w:val="auto"/>
          <w:sz w:val="32"/>
          <w:szCs w:val="32"/>
        </w:rPr>
      </w:pPr>
      <w:r w:rsidRPr="00482290">
        <w:rPr>
          <w:b/>
          <w:bCs/>
          <w:iCs/>
          <w:color w:val="auto"/>
          <w:sz w:val="32"/>
          <w:szCs w:val="32"/>
        </w:rPr>
        <w:t>Responses from organisations listed in the consultation section</w:t>
      </w:r>
    </w:p>
    <w:p w14:paraId="46033922" w14:textId="47CD981E" w:rsidR="0073208E" w:rsidRPr="005723B3" w:rsidRDefault="0073208E" w:rsidP="0073208E">
      <w:pPr>
        <w:rPr>
          <w:color w:val="auto"/>
        </w:rPr>
      </w:pPr>
      <w:r w:rsidRPr="005723B3">
        <w:rPr>
          <w:color w:val="auto"/>
        </w:rPr>
        <w:t xml:space="preserve">Response received from </w:t>
      </w:r>
      <w:r w:rsidR="002F4A15" w:rsidRPr="005723B3">
        <w:rPr>
          <w:color w:val="auto"/>
        </w:rPr>
        <w:t>UK Health Security Agency</w:t>
      </w:r>
      <w:r w:rsidR="002739EB">
        <w:rPr>
          <w:color w:val="auto"/>
        </w:rPr>
        <w:t xml:space="preserve"> (UKHSA)</w:t>
      </w:r>
      <w:r w:rsidR="002F4A15" w:rsidRPr="005723B3">
        <w:rPr>
          <w:color w:val="auto"/>
        </w:rPr>
        <w:t xml:space="preserve"> on </w:t>
      </w:r>
      <w:r w:rsidR="006E6E86" w:rsidRPr="005723B3">
        <w:rPr>
          <w:color w:val="auto"/>
        </w:rPr>
        <w:t>08/01/2026</w:t>
      </w:r>
      <w:r w:rsidRPr="005723B3">
        <w:rPr>
          <w:color w:val="auto"/>
        </w:rPr>
        <w:t>.</w:t>
      </w:r>
      <w:r w:rsidRPr="005723B3">
        <w:rPr>
          <w:b/>
          <w:color w:val="auto"/>
          <w:sz w:val="26"/>
          <w:szCs w:val="26"/>
        </w:rPr>
        <w:t xml:space="preserve"> </w:t>
      </w:r>
    </w:p>
    <w:p w14:paraId="1B940E02" w14:textId="77777777" w:rsidR="00F70476" w:rsidRDefault="0073208E" w:rsidP="005723B3">
      <w:pPr>
        <w:rPr>
          <w:color w:val="auto"/>
        </w:rPr>
      </w:pPr>
      <w:r w:rsidRPr="00DF0D92">
        <w:rPr>
          <w:b/>
          <w:bCs/>
          <w:color w:val="auto"/>
        </w:rPr>
        <w:t>Brief summary of issues raised:</w:t>
      </w:r>
      <w:r w:rsidRPr="005723B3">
        <w:rPr>
          <w:color w:val="auto"/>
        </w:rPr>
        <w:t xml:space="preserve"> </w:t>
      </w:r>
    </w:p>
    <w:p w14:paraId="6806F294" w14:textId="4F416A33" w:rsidR="005723B3" w:rsidRPr="005723B3" w:rsidRDefault="005723B3" w:rsidP="005723B3">
      <w:pPr>
        <w:rPr>
          <w:color w:val="auto"/>
        </w:rPr>
      </w:pPr>
      <w:r w:rsidRPr="005723B3">
        <w:rPr>
          <w:color w:val="auto"/>
        </w:rPr>
        <w:t xml:space="preserve">The main emissions of potential public health significance are emissions to air of bioaerosols, dust including particulate matter and ammonia. </w:t>
      </w:r>
    </w:p>
    <w:p w14:paraId="7AE959FD" w14:textId="0A9D38C2" w:rsidR="005723B3" w:rsidRPr="005723B3" w:rsidRDefault="005723B3" w:rsidP="005723B3">
      <w:pPr>
        <w:rPr>
          <w:color w:val="auto"/>
        </w:rPr>
      </w:pPr>
      <w:r w:rsidRPr="005723B3">
        <w:rPr>
          <w:color w:val="auto"/>
        </w:rPr>
        <w:t xml:space="preserve">However, UKHSA is reassured that abatement measures outlined within the permit documentation will help reduce emissions to air from site processes and comply with permit guidance and conditions and the risk to offsite receptors is negligible. However, there are 5 properties on site within 100m that could be exposed to bioaerosol emissions. </w:t>
      </w:r>
      <w:r w:rsidRPr="002D703B">
        <w:rPr>
          <w:color w:val="auto"/>
        </w:rPr>
        <w:t>Whilst the risk to site personnel living in these properties may be an occupational health issue, the risk remains and exposure can occur, thus this permit would not be considered acceptable.</w:t>
      </w:r>
      <w:r w:rsidRPr="005723B3">
        <w:rPr>
          <w:color w:val="auto"/>
        </w:rPr>
        <w:t xml:space="preserve"> </w:t>
      </w:r>
    </w:p>
    <w:p w14:paraId="04B3A7A5" w14:textId="506011B6" w:rsidR="0073208E" w:rsidRPr="005723B3" w:rsidRDefault="005723B3" w:rsidP="005723B3">
      <w:pPr>
        <w:rPr>
          <w:color w:val="auto"/>
        </w:rPr>
      </w:pPr>
      <w:r w:rsidRPr="005723B3">
        <w:rPr>
          <w:color w:val="auto"/>
        </w:rPr>
        <w:t>It is assumed by UKHSA that the installation will comply in all respects with the requirements of the permit, including the application of Best Available Techniques (BAT). This should ensure that emissions present a low risk to human health offsite.</w:t>
      </w:r>
      <w:r w:rsidR="0073208E" w:rsidRPr="005723B3">
        <w:rPr>
          <w:b/>
          <w:color w:val="auto"/>
          <w:sz w:val="26"/>
          <w:szCs w:val="26"/>
        </w:rPr>
        <w:t xml:space="preserve"> </w:t>
      </w:r>
    </w:p>
    <w:p w14:paraId="3F39FED8" w14:textId="77777777" w:rsidR="00C726C0" w:rsidRDefault="0073208E" w:rsidP="0073208E">
      <w:pPr>
        <w:rPr>
          <w:color w:val="auto"/>
        </w:rPr>
      </w:pPr>
      <w:r w:rsidRPr="00DF0D92">
        <w:rPr>
          <w:b/>
          <w:bCs/>
          <w:color w:val="auto"/>
        </w:rPr>
        <w:t>Summary of actions taken:</w:t>
      </w:r>
      <w:r w:rsidRPr="00DF0D92">
        <w:rPr>
          <w:color w:val="auto"/>
        </w:rPr>
        <w:t xml:space="preserve"> </w:t>
      </w:r>
    </w:p>
    <w:p w14:paraId="7B3313B2" w14:textId="748569F3" w:rsidR="0073208E" w:rsidRDefault="00A73619" w:rsidP="0073208E">
      <w:pPr>
        <w:rPr>
          <w:color w:val="auto"/>
        </w:rPr>
      </w:pPr>
      <w:r>
        <w:rPr>
          <w:color w:val="auto"/>
        </w:rPr>
        <w:t xml:space="preserve">As there are sensitive receptors located within 100m of the installation boundary, </w:t>
      </w:r>
      <w:r w:rsidR="00D96FA5">
        <w:rPr>
          <w:color w:val="auto"/>
        </w:rPr>
        <w:t xml:space="preserve">a </w:t>
      </w:r>
      <w:r w:rsidR="002F62A4">
        <w:rPr>
          <w:color w:val="auto"/>
        </w:rPr>
        <w:t>fugitive emissions risk assessment (including dust and bioaerosols)</w:t>
      </w:r>
      <w:r w:rsidR="002F62A4" w:rsidRPr="00A77D2C">
        <w:rPr>
          <w:color w:val="auto"/>
        </w:rPr>
        <w:t xml:space="preserve"> </w:t>
      </w:r>
      <w:r w:rsidR="00A413A9">
        <w:rPr>
          <w:color w:val="auto"/>
        </w:rPr>
        <w:t xml:space="preserve">and </w:t>
      </w:r>
      <w:r w:rsidR="00D96FA5">
        <w:rPr>
          <w:color w:val="auto"/>
        </w:rPr>
        <w:t xml:space="preserve">a </w:t>
      </w:r>
      <w:r w:rsidR="00091BC8" w:rsidRPr="00C821B6">
        <w:rPr>
          <w:color w:val="auto"/>
        </w:rPr>
        <w:t>revised</w:t>
      </w:r>
      <w:r w:rsidR="00FD10A8">
        <w:rPr>
          <w:color w:val="auto"/>
        </w:rPr>
        <w:t xml:space="preserve"> dust and </w:t>
      </w:r>
      <w:r w:rsidR="00D86A68">
        <w:rPr>
          <w:color w:val="auto"/>
        </w:rPr>
        <w:t>bioaerosol management plan</w:t>
      </w:r>
      <w:r w:rsidR="00554120">
        <w:rPr>
          <w:color w:val="auto"/>
        </w:rPr>
        <w:t xml:space="preserve"> (received </w:t>
      </w:r>
      <w:r w:rsidR="00EE207D">
        <w:rPr>
          <w:color w:val="auto"/>
        </w:rPr>
        <w:t>03/04/2026</w:t>
      </w:r>
      <w:r w:rsidR="00554120">
        <w:rPr>
          <w:color w:val="auto"/>
        </w:rPr>
        <w:t xml:space="preserve">) has been submitted by the Operator, </w:t>
      </w:r>
      <w:r w:rsidR="00A413A9">
        <w:rPr>
          <w:color w:val="auto"/>
        </w:rPr>
        <w:t xml:space="preserve">in-line with </w:t>
      </w:r>
      <w:r w:rsidR="00412FA2">
        <w:rPr>
          <w:color w:val="auto"/>
        </w:rPr>
        <w:t xml:space="preserve">our </w:t>
      </w:r>
      <w:r w:rsidR="00A413A9">
        <w:rPr>
          <w:color w:val="auto"/>
        </w:rPr>
        <w:t>guidance. The assessment of this plan</w:t>
      </w:r>
      <w:r w:rsidR="00C669D6">
        <w:rPr>
          <w:color w:val="auto"/>
        </w:rPr>
        <w:t xml:space="preserve"> is</w:t>
      </w:r>
      <w:r w:rsidR="00091BC8">
        <w:rPr>
          <w:color w:val="auto"/>
        </w:rPr>
        <w:t xml:space="preserve"> outlined in the key issues section above</w:t>
      </w:r>
      <w:r w:rsidR="00C669D6">
        <w:rPr>
          <w:color w:val="auto"/>
        </w:rPr>
        <w:t>.</w:t>
      </w:r>
      <w:r w:rsidR="00091BC8">
        <w:rPr>
          <w:color w:val="auto"/>
        </w:rPr>
        <w:t xml:space="preserve"> </w:t>
      </w:r>
      <w:r w:rsidR="003149A8">
        <w:rPr>
          <w:color w:val="auto"/>
        </w:rPr>
        <w:t>Appropriate measures to mitigate the potential risks from emissions ha</w:t>
      </w:r>
      <w:r w:rsidR="00DD008A">
        <w:rPr>
          <w:color w:val="auto"/>
        </w:rPr>
        <w:t>s</w:t>
      </w:r>
      <w:r w:rsidR="003149A8">
        <w:rPr>
          <w:color w:val="auto"/>
        </w:rPr>
        <w:t xml:space="preserve"> been identified in the plan. The use of Best Available Techniques and good practice will ensure minimisation of emissions. </w:t>
      </w:r>
    </w:p>
    <w:p w14:paraId="61B3D165" w14:textId="2C07FAF0" w:rsidR="003149A8" w:rsidRDefault="003149A8" w:rsidP="0073208E">
      <w:pPr>
        <w:rPr>
          <w:color w:val="auto"/>
        </w:rPr>
      </w:pPr>
      <w:r>
        <w:rPr>
          <w:color w:val="auto"/>
        </w:rPr>
        <w:t>Furthermore, standard condition</w:t>
      </w:r>
      <w:r w:rsidR="006B7399">
        <w:rPr>
          <w:color w:val="auto"/>
        </w:rPr>
        <w:t xml:space="preserve"> 3.2.1 concerning fugitive emissions has been included in the permit. </w:t>
      </w:r>
    </w:p>
    <w:p w14:paraId="6CFB30CB" w14:textId="24ED2A72" w:rsidR="00C317D8" w:rsidRDefault="00451DF9" w:rsidP="00CD7980">
      <w:r>
        <w:rPr>
          <w:color w:val="auto"/>
        </w:rPr>
        <w:t xml:space="preserve">Until 2025, the installation </w:t>
      </w:r>
      <w:r w:rsidR="00DB7106">
        <w:rPr>
          <w:color w:val="auto"/>
        </w:rPr>
        <w:t xml:space="preserve">operated as a turkey breeder farm stocking numbers below the </w:t>
      </w:r>
      <w:r w:rsidR="002A5FB4" w:rsidRPr="00E77EA2">
        <w:t>Environmental Permitting Regulations (EPR)</w:t>
      </w:r>
      <w:r w:rsidR="002D703B">
        <w:t xml:space="preserve"> 2016</w:t>
      </w:r>
      <w:r w:rsidR="002A5FB4">
        <w:t xml:space="preserve"> threshold</w:t>
      </w:r>
      <w:r w:rsidR="002D703B">
        <w:t xml:space="preserve">. </w:t>
      </w:r>
      <w:r w:rsidR="008F352C">
        <w:t xml:space="preserve">King’s Lynn and West Norfolk Borough Council have confirmed that no dust complaints for the existing </w:t>
      </w:r>
      <w:r w:rsidR="002D703B">
        <w:t>site</w:t>
      </w:r>
      <w:r w:rsidR="008F352C">
        <w:t xml:space="preserve"> have been received. </w:t>
      </w:r>
    </w:p>
    <w:p w14:paraId="35518B58" w14:textId="464E0CE3" w:rsidR="002739EB" w:rsidRPr="00CD7980" w:rsidRDefault="009905FC" w:rsidP="00CD7980">
      <w:r>
        <w:t xml:space="preserve">Response received from: </w:t>
      </w:r>
      <w:r w:rsidR="002739EB" w:rsidRPr="00D95057">
        <w:rPr>
          <w:color w:val="auto"/>
        </w:rPr>
        <w:t>Borough Council of King’s Lynn and West Norfolk Environmental Health</w:t>
      </w:r>
      <w:r w:rsidR="006F6CAF">
        <w:rPr>
          <w:color w:val="auto"/>
        </w:rPr>
        <w:t xml:space="preserve"> Department</w:t>
      </w:r>
      <w:r w:rsidR="002739EB">
        <w:rPr>
          <w:color w:val="auto"/>
        </w:rPr>
        <w:t xml:space="preserve"> on 13/01/2026. </w:t>
      </w:r>
    </w:p>
    <w:p w14:paraId="39821EC7" w14:textId="64989FFE" w:rsidR="002739EB" w:rsidRDefault="002739EB" w:rsidP="002739EB">
      <w:pPr>
        <w:spacing w:before="120" w:after="120" w:line="276" w:lineRule="auto"/>
        <w:rPr>
          <w:b/>
          <w:bCs/>
          <w:color w:val="auto"/>
        </w:rPr>
      </w:pPr>
      <w:r w:rsidRPr="00DF0D92">
        <w:rPr>
          <w:b/>
          <w:bCs/>
          <w:color w:val="auto"/>
        </w:rPr>
        <w:t>Brief summary of issues raised:</w:t>
      </w:r>
    </w:p>
    <w:p w14:paraId="7BBF3FAC" w14:textId="38343191" w:rsidR="006225AD" w:rsidRDefault="006225AD" w:rsidP="002739EB">
      <w:pPr>
        <w:spacing w:before="120" w:after="120" w:line="276" w:lineRule="auto"/>
        <w:rPr>
          <w:color w:val="auto"/>
        </w:rPr>
      </w:pPr>
      <w:r>
        <w:rPr>
          <w:color w:val="auto"/>
        </w:rPr>
        <w:t>Specific concerns linked to full accuracy of data provided, precise details of the installation and consistency of operating details and management plans linked to the following subjects and documents:</w:t>
      </w:r>
    </w:p>
    <w:p w14:paraId="4D51DED8" w14:textId="5C9B04EE" w:rsidR="006225AD" w:rsidRDefault="006612EE" w:rsidP="006612EE">
      <w:pPr>
        <w:pStyle w:val="ListParagraph"/>
        <w:numPr>
          <w:ilvl w:val="0"/>
          <w:numId w:val="30"/>
        </w:numPr>
        <w:spacing w:before="120" w:after="120" w:line="276" w:lineRule="auto"/>
        <w:rPr>
          <w:color w:val="auto"/>
        </w:rPr>
      </w:pPr>
      <w:r>
        <w:rPr>
          <w:color w:val="auto"/>
        </w:rPr>
        <w:t>Contaminated Land (including the Site Condition Report)</w:t>
      </w:r>
    </w:p>
    <w:p w14:paraId="531FD1F6" w14:textId="5A699E53" w:rsidR="006612EE" w:rsidRDefault="00275B30" w:rsidP="006612EE">
      <w:pPr>
        <w:pStyle w:val="ListParagraph"/>
        <w:numPr>
          <w:ilvl w:val="0"/>
          <w:numId w:val="30"/>
        </w:numPr>
        <w:spacing w:before="120" w:after="120" w:line="276" w:lineRule="auto"/>
        <w:rPr>
          <w:color w:val="auto"/>
        </w:rPr>
      </w:pPr>
      <w:r>
        <w:rPr>
          <w:color w:val="auto"/>
        </w:rPr>
        <w:t xml:space="preserve">Air Quality (including </w:t>
      </w:r>
      <w:r w:rsidR="00666D6B">
        <w:rPr>
          <w:color w:val="auto"/>
        </w:rPr>
        <w:t>D</w:t>
      </w:r>
      <w:r w:rsidR="0058715A">
        <w:rPr>
          <w:color w:val="auto"/>
        </w:rPr>
        <w:t xml:space="preserve">ust and </w:t>
      </w:r>
      <w:r w:rsidR="00666D6B">
        <w:rPr>
          <w:color w:val="auto"/>
        </w:rPr>
        <w:t>B</w:t>
      </w:r>
      <w:r w:rsidR="0058715A">
        <w:rPr>
          <w:color w:val="auto"/>
        </w:rPr>
        <w:t xml:space="preserve">ioaerosol </w:t>
      </w:r>
      <w:r w:rsidR="00666D6B">
        <w:rPr>
          <w:color w:val="auto"/>
        </w:rPr>
        <w:t>M</w:t>
      </w:r>
      <w:r w:rsidR="0058715A">
        <w:rPr>
          <w:color w:val="auto"/>
        </w:rPr>
        <w:t xml:space="preserve">anagement </w:t>
      </w:r>
      <w:r w:rsidR="00666D6B">
        <w:rPr>
          <w:color w:val="auto"/>
        </w:rPr>
        <w:t>P</w:t>
      </w:r>
      <w:r w:rsidR="0058715A">
        <w:rPr>
          <w:color w:val="auto"/>
        </w:rPr>
        <w:t xml:space="preserve">lan, </w:t>
      </w:r>
      <w:r w:rsidR="00666D6B">
        <w:rPr>
          <w:color w:val="auto"/>
        </w:rPr>
        <w:t>S</w:t>
      </w:r>
      <w:r w:rsidR="00121D40">
        <w:rPr>
          <w:color w:val="auto"/>
        </w:rPr>
        <w:t xml:space="preserve">ite </w:t>
      </w:r>
      <w:r w:rsidR="00666D6B">
        <w:rPr>
          <w:color w:val="auto"/>
        </w:rPr>
        <w:t>L</w:t>
      </w:r>
      <w:r w:rsidR="00121D40">
        <w:rPr>
          <w:color w:val="auto"/>
        </w:rPr>
        <w:t xml:space="preserve">ayout </w:t>
      </w:r>
      <w:r w:rsidR="00666D6B">
        <w:rPr>
          <w:color w:val="auto"/>
        </w:rPr>
        <w:t>P</w:t>
      </w:r>
      <w:r w:rsidR="00121D40">
        <w:rPr>
          <w:color w:val="auto"/>
        </w:rPr>
        <w:t>l</w:t>
      </w:r>
      <w:r w:rsidR="00B742AB">
        <w:rPr>
          <w:color w:val="auto"/>
        </w:rPr>
        <w:t>an</w:t>
      </w:r>
      <w:r w:rsidR="009B0950">
        <w:rPr>
          <w:color w:val="auto"/>
        </w:rPr>
        <w:t xml:space="preserve">, </w:t>
      </w:r>
      <w:r w:rsidR="00B71061">
        <w:rPr>
          <w:color w:val="auto"/>
        </w:rPr>
        <w:t>Installation</w:t>
      </w:r>
      <w:r w:rsidR="00B71425">
        <w:rPr>
          <w:color w:val="auto"/>
        </w:rPr>
        <w:t xml:space="preserve"> </w:t>
      </w:r>
      <w:r w:rsidR="00A7041E">
        <w:rPr>
          <w:color w:val="auto"/>
        </w:rPr>
        <w:t>Boundary</w:t>
      </w:r>
      <w:r w:rsidR="00B71425">
        <w:rPr>
          <w:color w:val="auto"/>
        </w:rPr>
        <w:t xml:space="preserve"> Plan, </w:t>
      </w:r>
      <w:r w:rsidR="00C97446">
        <w:rPr>
          <w:color w:val="auto"/>
        </w:rPr>
        <w:t>Non-</w:t>
      </w:r>
      <w:r w:rsidR="006769ED">
        <w:rPr>
          <w:color w:val="auto"/>
        </w:rPr>
        <w:t>Technical Summary and Technical Standards)</w:t>
      </w:r>
    </w:p>
    <w:p w14:paraId="19C5AE5C" w14:textId="42B30F5C" w:rsidR="006769ED" w:rsidRDefault="00D84619" w:rsidP="006612EE">
      <w:pPr>
        <w:pStyle w:val="ListParagraph"/>
        <w:numPr>
          <w:ilvl w:val="0"/>
          <w:numId w:val="30"/>
        </w:numPr>
        <w:spacing w:before="120" w:after="120" w:line="276" w:lineRule="auto"/>
        <w:rPr>
          <w:color w:val="auto"/>
        </w:rPr>
      </w:pPr>
      <w:r>
        <w:rPr>
          <w:color w:val="auto"/>
        </w:rPr>
        <w:t xml:space="preserve">Community Safety and Neighbourhood Nuisance (including </w:t>
      </w:r>
      <w:r w:rsidR="00BB0A25">
        <w:rPr>
          <w:color w:val="auto"/>
        </w:rPr>
        <w:t xml:space="preserve">Application Form Part B3.5, </w:t>
      </w:r>
      <w:r w:rsidR="008C2A2D">
        <w:rPr>
          <w:color w:val="auto"/>
        </w:rPr>
        <w:t xml:space="preserve">Technical Standards, Site Condition Report, Site </w:t>
      </w:r>
      <w:r w:rsidR="006C15C3">
        <w:rPr>
          <w:color w:val="auto"/>
        </w:rPr>
        <w:t xml:space="preserve">Layout / </w:t>
      </w:r>
      <w:r w:rsidR="008C2A2D">
        <w:rPr>
          <w:color w:val="auto"/>
        </w:rPr>
        <w:t>Drainage Plan</w:t>
      </w:r>
      <w:r w:rsidR="006C15C3">
        <w:rPr>
          <w:color w:val="auto"/>
        </w:rPr>
        <w:t xml:space="preserve"> and </w:t>
      </w:r>
      <w:r w:rsidR="008C2A2D">
        <w:rPr>
          <w:color w:val="auto"/>
        </w:rPr>
        <w:t>Noise and Vibration Risk Assessment</w:t>
      </w:r>
      <w:r w:rsidR="006C15C3">
        <w:rPr>
          <w:color w:val="auto"/>
        </w:rPr>
        <w:t>)</w:t>
      </w:r>
    </w:p>
    <w:p w14:paraId="27D3BDA5" w14:textId="40722F5C" w:rsidR="00D84619" w:rsidRPr="00D84619" w:rsidRDefault="00F1403E" w:rsidP="00D84619">
      <w:pPr>
        <w:spacing w:before="120" w:after="120" w:line="276" w:lineRule="auto"/>
        <w:rPr>
          <w:color w:val="auto"/>
        </w:rPr>
      </w:pPr>
      <w:r w:rsidRPr="00F1403E">
        <w:rPr>
          <w:color w:val="auto"/>
        </w:rPr>
        <w:t>The CSNN Team have no objections or any major concerns, as the site has been operating as a turkey farm for some years and the Senior CSNN Officer visited the farm and noted everything was very well organised at that time. Furthermore, we do not have any complaint records for noise, odour or dust from the existing site on our system</w:t>
      </w:r>
      <w:r>
        <w:rPr>
          <w:color w:val="auto"/>
        </w:rPr>
        <w:t>.</w:t>
      </w:r>
    </w:p>
    <w:p w14:paraId="78B6E2C4" w14:textId="51826A16" w:rsidR="009905FC" w:rsidRDefault="00F06A1E" w:rsidP="0073208E">
      <w:pPr>
        <w:rPr>
          <w:b/>
          <w:bCs/>
          <w:color w:val="auto"/>
        </w:rPr>
      </w:pPr>
      <w:r w:rsidRPr="00DF0D92">
        <w:rPr>
          <w:b/>
          <w:bCs/>
          <w:color w:val="auto"/>
        </w:rPr>
        <w:t>Summary of actions taken:</w:t>
      </w:r>
    </w:p>
    <w:p w14:paraId="334C26C2" w14:textId="2D814BC7" w:rsidR="00F06A1E" w:rsidRPr="00F06A1E" w:rsidRDefault="00F06A1E" w:rsidP="006F570D">
      <w:pPr>
        <w:pStyle w:val="ListParagraph"/>
        <w:numPr>
          <w:ilvl w:val="0"/>
          <w:numId w:val="22"/>
        </w:numPr>
        <w:rPr>
          <w:b/>
          <w:bCs/>
          <w:color w:val="auto"/>
        </w:rPr>
      </w:pPr>
      <w:r w:rsidRPr="00F06A1E">
        <w:rPr>
          <w:b/>
          <w:bCs/>
          <w:color w:val="auto"/>
        </w:rPr>
        <w:t>Contaminated Land</w:t>
      </w:r>
    </w:p>
    <w:p w14:paraId="77389BE3" w14:textId="650CF9B6" w:rsidR="00F35F73" w:rsidRPr="00E1254E" w:rsidRDefault="004C0154" w:rsidP="00E1254E">
      <w:pPr>
        <w:rPr>
          <w:color w:val="auto"/>
        </w:rPr>
      </w:pPr>
      <w:r w:rsidRPr="008668BB">
        <w:rPr>
          <w:color w:val="auto"/>
        </w:rPr>
        <w:t>The Operator has provided a description of the condition of the site</w:t>
      </w:r>
      <w:r w:rsidR="00722E05">
        <w:rPr>
          <w:color w:val="auto"/>
        </w:rPr>
        <w:t xml:space="preserve"> as part of their</w:t>
      </w:r>
      <w:r w:rsidR="003E3F1A">
        <w:rPr>
          <w:color w:val="auto"/>
        </w:rPr>
        <w:t xml:space="preserve"> S</w:t>
      </w:r>
      <w:r w:rsidR="00722E05">
        <w:rPr>
          <w:color w:val="auto"/>
        </w:rPr>
        <w:t xml:space="preserve">ite </w:t>
      </w:r>
      <w:r w:rsidR="003E3F1A">
        <w:rPr>
          <w:color w:val="auto"/>
        </w:rPr>
        <w:t>C</w:t>
      </w:r>
      <w:r w:rsidR="00722E05">
        <w:rPr>
          <w:color w:val="auto"/>
        </w:rPr>
        <w:t xml:space="preserve">ondition </w:t>
      </w:r>
      <w:r w:rsidR="003E3F1A">
        <w:rPr>
          <w:color w:val="auto"/>
        </w:rPr>
        <w:t>R</w:t>
      </w:r>
      <w:r w:rsidR="00722E05">
        <w:rPr>
          <w:color w:val="auto"/>
        </w:rPr>
        <w:t>eport.</w:t>
      </w:r>
      <w:r w:rsidR="004875C3">
        <w:rPr>
          <w:color w:val="auto"/>
        </w:rPr>
        <w:t xml:space="preserve"> </w:t>
      </w:r>
      <w:r w:rsidR="00722E05">
        <w:rPr>
          <w:color w:val="auto"/>
        </w:rPr>
        <w:t xml:space="preserve">Further details on our assessment of this report is outlined in the </w:t>
      </w:r>
      <w:hyperlink w:anchor="Key_issues" w:tooltip="Link to 'Key issues' section of this document" w:history="1">
        <w:r w:rsidR="00722E05" w:rsidRPr="00DC6358">
          <w:rPr>
            <w:color w:val="0000FF"/>
            <w:u w:val="single"/>
          </w:rPr>
          <w:t>key issues</w:t>
        </w:r>
      </w:hyperlink>
      <w:r w:rsidR="00722E05">
        <w:t xml:space="preserve"> section. We</w:t>
      </w:r>
      <w:r w:rsidR="00122E1A">
        <w:t xml:space="preserve"> conclude that the Site Condition Report covers the required </w:t>
      </w:r>
      <w:r w:rsidR="00C23E5D">
        <w:t>details</w:t>
      </w:r>
      <w:r w:rsidR="00122E1A">
        <w:t xml:space="preserve"> to evidence baseline information</w:t>
      </w:r>
      <w:r w:rsidR="00E1254E" w:rsidRPr="008668BB">
        <w:rPr>
          <w:color w:val="auto"/>
        </w:rPr>
        <w:t xml:space="preserve">. </w:t>
      </w:r>
    </w:p>
    <w:p w14:paraId="7F43A96B" w14:textId="44BACF1C" w:rsidR="00F35F73" w:rsidRPr="0025782F" w:rsidRDefault="0025782F" w:rsidP="006F570D">
      <w:pPr>
        <w:pStyle w:val="ListParagraph"/>
        <w:numPr>
          <w:ilvl w:val="0"/>
          <w:numId w:val="22"/>
        </w:numPr>
        <w:rPr>
          <w:b/>
          <w:bCs/>
        </w:rPr>
      </w:pPr>
      <w:r w:rsidRPr="0025782F">
        <w:rPr>
          <w:b/>
          <w:bCs/>
        </w:rPr>
        <w:t>Air Quality</w:t>
      </w:r>
    </w:p>
    <w:p w14:paraId="4EC1B4EA" w14:textId="0C83A8AE" w:rsidR="006B2C82" w:rsidRDefault="006B2C82" w:rsidP="002E7105">
      <w:r w:rsidRPr="006B2C82">
        <w:t xml:space="preserve">The Environment Agency has followed its guidance linked to dust and bioaerosol emissions and controls. Specifically, the Applicant has </w:t>
      </w:r>
      <w:r w:rsidR="00E95830">
        <w:t>submitted</w:t>
      </w:r>
      <w:r w:rsidRPr="006B2C82">
        <w:t xml:space="preserve"> a </w:t>
      </w:r>
      <w:r w:rsidR="00566EDA">
        <w:t xml:space="preserve">revised </w:t>
      </w:r>
      <w:r w:rsidRPr="006B2C82">
        <w:t>Dust and Bioaerosol Management Plan (DBMP)</w:t>
      </w:r>
      <w:r w:rsidR="00FF0455">
        <w:t xml:space="preserve"> </w:t>
      </w:r>
      <w:r w:rsidR="00566EDA">
        <w:t>(received 03</w:t>
      </w:r>
      <w:r w:rsidR="00451EBD">
        <w:t xml:space="preserve">/04/2026) </w:t>
      </w:r>
      <w:r w:rsidRPr="006B2C82">
        <w:t>as there are relevant receptors within 100m of the installation boundary</w:t>
      </w:r>
      <w:r w:rsidR="00451EBD">
        <w:t xml:space="preserve"> </w:t>
      </w:r>
      <w:r w:rsidR="003B0FA3">
        <w:t>(as</w:t>
      </w:r>
      <w:r w:rsidR="00451EBD">
        <w:t xml:space="preserve"> listed within the plan</w:t>
      </w:r>
      <w:r w:rsidR="003B0FA3">
        <w:t>)</w:t>
      </w:r>
      <w:r w:rsidRPr="006B2C82">
        <w:t>.</w:t>
      </w:r>
      <w:r w:rsidR="003B0FA3">
        <w:t xml:space="preserve"> </w:t>
      </w:r>
      <w:r w:rsidRPr="006B2C82">
        <w:t>Th</w:t>
      </w:r>
      <w:r w:rsidR="00E95830">
        <w:t>e</w:t>
      </w:r>
      <w:r w:rsidRPr="006B2C82">
        <w:t xml:space="preserve"> Management Plan covers both point source and fugitive emissions and we consider this a robust assessment approach in line with our guidance. We conclude the plan is satisfactory as detailed in the </w:t>
      </w:r>
      <w:hyperlink r:id="rId17" w:tgtFrame="_blank" w:history="1">
        <w:r w:rsidRPr="006B2C82">
          <w:rPr>
            <w:rStyle w:val="Hyperlink"/>
          </w:rPr>
          <w:t>key issues</w:t>
        </w:r>
      </w:hyperlink>
      <w:r w:rsidRPr="006B2C82">
        <w:t> section of this document</w:t>
      </w:r>
      <w:r>
        <w:t xml:space="preserve">. </w:t>
      </w:r>
    </w:p>
    <w:p w14:paraId="4E559826" w14:textId="628977B1" w:rsidR="002E7105" w:rsidRDefault="00510CEA" w:rsidP="002E7105">
      <w:r w:rsidRPr="00510CEA">
        <w:t>We do not require a quantitative assessment of PM</w:t>
      </w:r>
      <w:r w:rsidRPr="00510CEA">
        <w:rPr>
          <w:vertAlign w:val="subscript"/>
        </w:rPr>
        <w:t>10</w:t>
      </w:r>
      <w:r w:rsidRPr="00510CEA">
        <w:t> in accordance with LAQM TG-22, nor a quantitative assessment of PM</w:t>
      </w:r>
      <w:r w:rsidRPr="00510CEA">
        <w:rPr>
          <w:vertAlign w:val="subscript"/>
        </w:rPr>
        <w:t>2.5</w:t>
      </w:r>
      <w:r w:rsidRPr="00510CEA">
        <w:t>. Particulate matter will be controlled with measures detailed in the DBMP for dust control. </w:t>
      </w:r>
    </w:p>
    <w:p w14:paraId="43BC9941" w14:textId="5E91C7DC" w:rsidR="00E414AA" w:rsidRPr="00E414AA" w:rsidRDefault="00D95397" w:rsidP="00FE43B5">
      <w:pPr>
        <w:rPr>
          <w:color w:val="auto"/>
        </w:rPr>
      </w:pPr>
      <w:r w:rsidRPr="00DF1716">
        <w:t xml:space="preserve">The Applicant has </w:t>
      </w:r>
      <w:r w:rsidR="00CD78FE">
        <w:t>submitted</w:t>
      </w:r>
      <w:r w:rsidRPr="00DF1716">
        <w:t xml:space="preserve"> suitable site boundary and site layout</w:t>
      </w:r>
      <w:r w:rsidR="00F15472" w:rsidRPr="00DF1716">
        <w:t xml:space="preserve"> plans</w:t>
      </w:r>
      <w:r w:rsidR="00CD78FE">
        <w:t xml:space="preserve"> as part of the application which</w:t>
      </w:r>
      <w:r w:rsidR="0016096B" w:rsidRPr="00DF1716">
        <w:t xml:space="preserve"> </w:t>
      </w:r>
      <w:r w:rsidR="0016096B" w:rsidRPr="00DF1716">
        <w:rPr>
          <w:color w:val="auto"/>
        </w:rPr>
        <w:t>show the extent of the site facilities.</w:t>
      </w:r>
    </w:p>
    <w:p w14:paraId="46F4F11D" w14:textId="31382AD3" w:rsidR="00D5482D" w:rsidRDefault="00D5482D" w:rsidP="00FE43B5">
      <w:r>
        <w:t>The LPG heaters on site are small units, typically much smaller than 1MWth thermal input and the Environment Agency consider the emissions from the LPG heaters to be low risk and that no further assessment is required.</w:t>
      </w:r>
    </w:p>
    <w:p w14:paraId="633FE63D" w14:textId="127C95EF" w:rsidR="00106F16" w:rsidRDefault="006127FF" w:rsidP="00FE43B5">
      <w:r>
        <w:t xml:space="preserve">The Applicant has </w:t>
      </w:r>
      <w:r w:rsidR="00A56B99">
        <w:t>submitted</w:t>
      </w:r>
      <w:r>
        <w:t xml:space="preserve"> a suitable revised </w:t>
      </w:r>
      <w:r w:rsidR="00C632F4">
        <w:t xml:space="preserve">Tithe Farm Poultry Unit BAT Document </w:t>
      </w:r>
      <w:r w:rsidR="008932F0">
        <w:t xml:space="preserve">on </w:t>
      </w:r>
      <w:r w:rsidR="00911473">
        <w:t>03/04</w:t>
      </w:r>
      <w:r w:rsidR="008932F0">
        <w:t>/202</w:t>
      </w:r>
      <w:r w:rsidR="00911473">
        <w:t>6</w:t>
      </w:r>
      <w:r w:rsidR="008932F0">
        <w:t xml:space="preserve"> in their response to a request for further information</w:t>
      </w:r>
      <w:r w:rsidR="00834AE7">
        <w:t xml:space="preserve"> detailing </w:t>
      </w:r>
      <w:r w:rsidR="000B7B36">
        <w:t xml:space="preserve">the improvements and timescales </w:t>
      </w:r>
      <w:r w:rsidR="00A83F56">
        <w:t>for refurbishment of the existing</w:t>
      </w:r>
      <w:r w:rsidR="004D0499">
        <w:t xml:space="preserve"> poultry house</w:t>
      </w:r>
      <w:r w:rsidR="00A12527">
        <w:t>s to ensure they meet BAT</w:t>
      </w:r>
      <w:r w:rsidR="00E523A2">
        <w:t xml:space="preserve"> requirements. </w:t>
      </w:r>
    </w:p>
    <w:p w14:paraId="09E27521" w14:textId="39C2A850" w:rsidR="00C94FB0" w:rsidRPr="00BF3D55" w:rsidRDefault="00C94FB0" w:rsidP="006F570D">
      <w:pPr>
        <w:pStyle w:val="ListParagraph"/>
        <w:numPr>
          <w:ilvl w:val="0"/>
          <w:numId w:val="22"/>
        </w:numPr>
        <w:rPr>
          <w:b/>
          <w:bCs/>
        </w:rPr>
      </w:pPr>
      <w:r w:rsidRPr="00BF3D55">
        <w:rPr>
          <w:b/>
          <w:bCs/>
        </w:rPr>
        <w:t>Community Safety and Neighbourhood Nuisance</w:t>
      </w:r>
      <w:r w:rsidRPr="00BF3D55">
        <w:rPr>
          <w:b/>
          <w:bCs/>
        </w:rPr>
        <w:tab/>
      </w:r>
    </w:p>
    <w:p w14:paraId="4E12CCA1" w14:textId="17BA3904" w:rsidR="00924512" w:rsidRDefault="0038615D" w:rsidP="00C94FB0">
      <w:r>
        <w:t xml:space="preserve">The applicant has </w:t>
      </w:r>
      <w:r w:rsidR="004F2142">
        <w:t xml:space="preserve">submitted </w:t>
      </w:r>
      <w:r w:rsidR="00735E3D">
        <w:t xml:space="preserve">a revised application form B3.5 (received </w:t>
      </w:r>
      <w:r w:rsidR="00A56B99">
        <w:t>03/04/2026</w:t>
      </w:r>
      <w:r w:rsidR="00735E3D">
        <w:t xml:space="preserve">) and technical standards document (received </w:t>
      </w:r>
      <w:r w:rsidR="00473A48">
        <w:t>06/03/2026) to confirm that there are sensitive receptors within 400 metres of the installation boundary</w:t>
      </w:r>
      <w:r w:rsidR="00684A76">
        <w:t xml:space="preserve">. </w:t>
      </w:r>
      <w:r w:rsidR="00473A48">
        <w:t xml:space="preserve"> </w:t>
      </w:r>
    </w:p>
    <w:p w14:paraId="052C59CC" w14:textId="0898EA9A" w:rsidR="0051482F" w:rsidRDefault="0051482F" w:rsidP="00C94FB0">
      <w:pPr>
        <w:rPr>
          <w:color w:val="auto"/>
        </w:rPr>
      </w:pPr>
      <w:r>
        <w:t>As per our guidance, a</w:t>
      </w:r>
      <w:r w:rsidR="00586200">
        <w:t>n</w:t>
      </w:r>
      <w:r>
        <w:t xml:space="preserve"> odour management plan </w:t>
      </w:r>
      <w:r w:rsidR="004864B4">
        <w:t xml:space="preserve">(OMP) </w:t>
      </w:r>
      <w:r>
        <w:t>and noise management plan</w:t>
      </w:r>
      <w:r w:rsidR="004864B4">
        <w:t xml:space="preserve"> (NMP)</w:t>
      </w:r>
      <w:r>
        <w:t xml:space="preserve"> need</w:t>
      </w:r>
      <w:r w:rsidR="008E4B4C">
        <w:t>s</w:t>
      </w:r>
      <w:r>
        <w:t xml:space="preserve"> to be submitted with an application where there are sensitive receptors </w:t>
      </w:r>
      <w:r w:rsidRPr="00BF7C8F">
        <w:rPr>
          <w:color w:val="auto"/>
        </w:rPr>
        <w:t>within 400m of the installation boundary</w:t>
      </w:r>
      <w:r w:rsidR="00586200" w:rsidRPr="00BF7C8F">
        <w:rPr>
          <w:color w:val="auto"/>
        </w:rPr>
        <w:t>. S</w:t>
      </w:r>
      <w:r w:rsidR="00586200" w:rsidRPr="00BF7C8F">
        <w:rPr>
          <w:rFonts w:eastAsia="Calibri" w:cs="Arial"/>
          <w:color w:val="auto"/>
          <w:szCs w:val="20"/>
        </w:rPr>
        <w:t xml:space="preserve">ensitive receptors in this instance </w:t>
      </w:r>
      <w:r w:rsidR="00586200" w:rsidRPr="00073490">
        <w:rPr>
          <w:rFonts w:eastAsia="Calibri" w:cs="Arial"/>
          <w:color w:val="auto"/>
          <w:szCs w:val="20"/>
          <w:u w:val="single"/>
        </w:rPr>
        <w:t>excludes</w:t>
      </w:r>
      <w:r w:rsidR="00586200" w:rsidRPr="00073490">
        <w:rPr>
          <w:rFonts w:eastAsia="Calibri" w:cs="Arial"/>
          <w:color w:val="auto"/>
          <w:szCs w:val="20"/>
        </w:rPr>
        <w:t xml:space="preserve"> </w:t>
      </w:r>
      <w:r w:rsidR="00586200" w:rsidRPr="00BF7C8F">
        <w:rPr>
          <w:rFonts w:eastAsia="Calibri" w:cs="Arial"/>
          <w:color w:val="auto"/>
          <w:szCs w:val="20"/>
        </w:rPr>
        <w:t>properties associated with the farm</w:t>
      </w:r>
      <w:r w:rsidR="00F849C4" w:rsidRPr="00BF7C8F">
        <w:rPr>
          <w:rFonts w:eastAsia="Calibri" w:cs="Arial"/>
          <w:color w:val="auto"/>
          <w:szCs w:val="20"/>
        </w:rPr>
        <w:t xml:space="preserve"> (e.g. the f</w:t>
      </w:r>
      <w:r w:rsidR="00F849C4" w:rsidRPr="00BF7C8F">
        <w:rPr>
          <w:color w:val="auto"/>
        </w:rPr>
        <w:t xml:space="preserve">armhouse or farm worker’s houses). </w:t>
      </w:r>
      <w:r w:rsidR="003E4BBD">
        <w:rPr>
          <w:color w:val="auto"/>
        </w:rPr>
        <w:t xml:space="preserve">The applicant has confirmed that </w:t>
      </w:r>
      <w:r w:rsidR="0046206A">
        <w:rPr>
          <w:color w:val="auto"/>
        </w:rPr>
        <w:t xml:space="preserve">there are </w:t>
      </w:r>
      <w:r w:rsidR="006130BD">
        <w:rPr>
          <w:color w:val="auto"/>
        </w:rPr>
        <w:t>2</w:t>
      </w:r>
      <w:r w:rsidR="00402044">
        <w:rPr>
          <w:color w:val="auto"/>
        </w:rPr>
        <w:t xml:space="preserve"> sensitive receptors within </w:t>
      </w:r>
      <w:r w:rsidR="005C7434">
        <w:rPr>
          <w:color w:val="auto"/>
        </w:rPr>
        <w:t>400 metres</w:t>
      </w:r>
      <w:r w:rsidR="00402044">
        <w:rPr>
          <w:color w:val="auto"/>
        </w:rPr>
        <w:t xml:space="preserve"> of the installation boundary</w:t>
      </w:r>
      <w:r w:rsidR="005C7434">
        <w:rPr>
          <w:color w:val="auto"/>
        </w:rPr>
        <w:t xml:space="preserve"> </w:t>
      </w:r>
      <w:r w:rsidR="00F27618">
        <w:rPr>
          <w:color w:val="auto"/>
        </w:rPr>
        <w:t>which</w:t>
      </w:r>
      <w:r w:rsidR="009138DF">
        <w:rPr>
          <w:color w:val="auto"/>
        </w:rPr>
        <w:t xml:space="preserve"> are residential dwellings not </w:t>
      </w:r>
      <w:r w:rsidR="00F27618">
        <w:rPr>
          <w:color w:val="auto"/>
        </w:rPr>
        <w:t>associated with the farm</w:t>
      </w:r>
      <w:r w:rsidR="009138DF">
        <w:rPr>
          <w:color w:val="auto"/>
        </w:rPr>
        <w:t xml:space="preserve">. </w:t>
      </w:r>
      <w:r w:rsidR="00D42EE4" w:rsidRPr="009F38B0">
        <w:rPr>
          <w:color w:val="auto"/>
        </w:rPr>
        <w:t>Further detail regarding our assessment of th</w:t>
      </w:r>
      <w:r w:rsidR="004864B4">
        <w:rPr>
          <w:color w:val="auto"/>
        </w:rPr>
        <w:t>e OMP and NMP</w:t>
      </w:r>
      <w:r w:rsidR="00D42EE4" w:rsidRPr="009F38B0">
        <w:rPr>
          <w:color w:val="auto"/>
        </w:rPr>
        <w:t xml:space="preserve"> can be viewed in the </w:t>
      </w:r>
      <w:hyperlink w:anchor="Key_issues" w:tooltip="Link to 'Key issues' section of this document" w:history="1">
        <w:r w:rsidR="00D42EE4" w:rsidRPr="009F38B0">
          <w:rPr>
            <w:color w:val="0000FF"/>
            <w:u w:val="single"/>
          </w:rPr>
          <w:t>key issues</w:t>
        </w:r>
      </w:hyperlink>
      <w:r w:rsidR="00D42EE4" w:rsidRPr="009F38B0">
        <w:rPr>
          <w:color w:val="auto"/>
        </w:rPr>
        <w:t xml:space="preserve"> section above</w:t>
      </w:r>
    </w:p>
    <w:p w14:paraId="35B2874F" w14:textId="13224420" w:rsidR="00605129" w:rsidRDefault="002C3AD3" w:rsidP="00C94FB0">
      <w:r w:rsidRPr="009D571B">
        <w:t xml:space="preserve">The Applicant has </w:t>
      </w:r>
      <w:r w:rsidR="00FD3EC2" w:rsidRPr="009D571B">
        <w:t xml:space="preserve">submitted a revised </w:t>
      </w:r>
      <w:r w:rsidR="00CA25ED">
        <w:t>E</w:t>
      </w:r>
      <w:r w:rsidR="00FD3EC2" w:rsidRPr="009D571B">
        <w:t xml:space="preserve">mergency </w:t>
      </w:r>
      <w:r w:rsidR="00CA25ED">
        <w:t>P</w:t>
      </w:r>
      <w:r w:rsidR="00FD3EC2" w:rsidRPr="009D571B">
        <w:t xml:space="preserve">lan </w:t>
      </w:r>
      <w:r w:rsidR="003E58C0">
        <w:t xml:space="preserve">(received </w:t>
      </w:r>
      <w:r w:rsidR="00922DCA">
        <w:t>06/03/202</w:t>
      </w:r>
      <w:r w:rsidR="00DD17C7">
        <w:t>6</w:t>
      </w:r>
      <w:r w:rsidR="00922DCA">
        <w:t xml:space="preserve">) </w:t>
      </w:r>
      <w:r w:rsidR="00FD3EC2" w:rsidRPr="009D571B">
        <w:t xml:space="preserve">confirming that </w:t>
      </w:r>
      <w:r w:rsidR="00B942E7">
        <w:t xml:space="preserve">the </w:t>
      </w:r>
      <w:r w:rsidR="000E0B07" w:rsidRPr="009D571B">
        <w:t xml:space="preserve">nearest water source for firefighting is the clean water storage tank on site. The location of the tank </w:t>
      </w:r>
      <w:r w:rsidR="00C81535" w:rsidRPr="009D571B">
        <w:t xml:space="preserve">is </w:t>
      </w:r>
      <w:r w:rsidR="00613741" w:rsidRPr="009D571B">
        <w:t xml:space="preserve">marked on the site layout plan included in </w:t>
      </w:r>
      <w:r w:rsidR="00983EFD" w:rsidRPr="009D571B">
        <w:t xml:space="preserve">Schedule 7 of the permit. </w:t>
      </w:r>
      <w:r w:rsidR="00605129">
        <w:t xml:space="preserve"> </w:t>
      </w:r>
    </w:p>
    <w:p w14:paraId="3AF4357A" w14:textId="31353D03" w:rsidR="00B01CCD" w:rsidRDefault="00B01CCD" w:rsidP="00C94FB0">
      <w:r>
        <w:t>The Applicant has s</w:t>
      </w:r>
      <w:r w:rsidR="00AA25E8">
        <w:t xml:space="preserve">ubmitted a revised NMP (received 03/04/2026) confirming that </w:t>
      </w:r>
      <w:r w:rsidR="00794B3D">
        <w:t xml:space="preserve">the closest sensitive receptors will be notified </w:t>
      </w:r>
      <w:r w:rsidR="00F25E66">
        <w:t xml:space="preserve">prior to bird catching activities commencing </w:t>
      </w:r>
      <w:r w:rsidR="008B621F">
        <w:t>and that that t</w:t>
      </w:r>
      <w:r w:rsidR="00794B3D">
        <w:t xml:space="preserve">he northern gable end of poultry houses 1 – 4 </w:t>
      </w:r>
      <w:r w:rsidR="008B621F">
        <w:t xml:space="preserve">will be used </w:t>
      </w:r>
      <w:r w:rsidR="00DE7D8E">
        <w:t>siting the activity away from the nearest sensitive receptors.</w:t>
      </w:r>
    </w:p>
    <w:p w14:paraId="019778ED" w14:textId="6557C4E5" w:rsidR="00BF1800" w:rsidRDefault="002E0EE6" w:rsidP="00C94FB0">
      <w:r>
        <w:t>The Applicant has submitted a revised noise</w:t>
      </w:r>
      <w:r w:rsidR="00645AF3">
        <w:t xml:space="preserve"> and vibration risk assessment (received 06/03/202</w:t>
      </w:r>
      <w:r w:rsidR="003A4E29">
        <w:t>6</w:t>
      </w:r>
      <w:r w:rsidR="00645AF3">
        <w:t xml:space="preserve">) confirming </w:t>
      </w:r>
      <w:r w:rsidR="00A86C6F">
        <w:t xml:space="preserve">that there are no audible alarms </w:t>
      </w:r>
      <w:r w:rsidR="00086623">
        <w:t xml:space="preserve">used </w:t>
      </w:r>
      <w:r w:rsidR="00AE5292">
        <w:t xml:space="preserve">on site </w:t>
      </w:r>
      <w:r w:rsidR="00086623">
        <w:t xml:space="preserve">and that </w:t>
      </w:r>
      <w:r w:rsidR="001918E0">
        <w:t>the alarm system is through</w:t>
      </w:r>
      <w:r w:rsidR="00110EB9">
        <w:t xml:space="preserve"> </w:t>
      </w:r>
      <w:r w:rsidR="008D6404">
        <w:t>text messaging</w:t>
      </w:r>
      <w:r w:rsidR="00FF0519">
        <w:t xml:space="preserve"> alerts. </w:t>
      </w:r>
    </w:p>
    <w:p w14:paraId="7A194841" w14:textId="06FBD767" w:rsidR="0088532C" w:rsidRDefault="008066CB" w:rsidP="00C94FB0">
      <w:r>
        <w:t xml:space="preserve">The Applicant has submitted a revised </w:t>
      </w:r>
      <w:r w:rsidR="00B03027">
        <w:t>site layout plan</w:t>
      </w:r>
      <w:r w:rsidR="009501A5">
        <w:t xml:space="preserve"> (received </w:t>
      </w:r>
      <w:r w:rsidR="00F9145D">
        <w:t>06/03/2026)</w:t>
      </w:r>
      <w:r w:rsidR="00246ED8">
        <w:t xml:space="preserve"> confirming the location of the </w:t>
      </w:r>
      <w:r w:rsidR="00537B3E">
        <w:t>temperature-controlled carcass storage.</w:t>
      </w:r>
      <w:r w:rsidR="000B72EA">
        <w:t xml:space="preserve"> </w:t>
      </w:r>
      <w:r w:rsidR="00CF3BB5">
        <w:t xml:space="preserve">The revised OMP (received 03/04/2026) confirms that </w:t>
      </w:r>
      <w:r w:rsidR="000F2AD9">
        <w:t xml:space="preserve">carcasses are placed into sealed plastic bags and stored in sealed </w:t>
      </w:r>
      <w:r w:rsidR="00795D36">
        <w:t>vermin proof containers and placed into</w:t>
      </w:r>
      <w:r w:rsidR="000F63D1">
        <w:t xml:space="preserve"> a</w:t>
      </w:r>
      <w:r w:rsidR="00795D36">
        <w:t xml:space="preserve"> </w:t>
      </w:r>
      <w:r w:rsidR="00A33656">
        <w:t>temperature-controlled storage</w:t>
      </w:r>
      <w:r w:rsidR="00795D36">
        <w:t xml:space="preserve">. </w:t>
      </w:r>
      <w:r w:rsidR="000B72EA">
        <w:t xml:space="preserve">Weekly collection of carcasses will occur. </w:t>
      </w:r>
      <w:r w:rsidR="00537B3E">
        <w:t xml:space="preserve"> </w:t>
      </w:r>
    </w:p>
    <w:p w14:paraId="4CAC4A6E" w14:textId="10C61B8B" w:rsidR="006F1F20" w:rsidRPr="00E85182" w:rsidRDefault="00DD14E4" w:rsidP="006F1F20">
      <w:pPr>
        <w:rPr>
          <w:b/>
          <w:color w:val="auto"/>
          <w:sz w:val="26"/>
          <w:szCs w:val="26"/>
        </w:rPr>
      </w:pPr>
      <w:r>
        <w:t xml:space="preserve">The </w:t>
      </w:r>
      <w:r w:rsidR="00993863">
        <w:t>revised O</w:t>
      </w:r>
      <w:r>
        <w:t xml:space="preserve">dour </w:t>
      </w:r>
      <w:r w:rsidR="00993863">
        <w:t>R</w:t>
      </w:r>
      <w:r>
        <w:t xml:space="preserve">isk </w:t>
      </w:r>
      <w:r w:rsidR="00993863">
        <w:t>A</w:t>
      </w:r>
      <w:r>
        <w:t>ssessment</w:t>
      </w:r>
      <w:r w:rsidR="00993863">
        <w:t xml:space="preserve"> (received </w:t>
      </w:r>
      <w:r w:rsidR="00920839">
        <w:t>06/03/2026)</w:t>
      </w:r>
      <w:r>
        <w:t xml:space="preserve"> forms part of the operating techniques </w:t>
      </w:r>
      <w:r w:rsidR="00A02A12">
        <w:t xml:space="preserve">for the installation. </w:t>
      </w:r>
      <w:r w:rsidR="006F1F20">
        <w:t xml:space="preserve">The </w:t>
      </w:r>
      <w:r w:rsidR="006F1F20" w:rsidRPr="00E85182">
        <w:rPr>
          <w:color w:val="auto"/>
        </w:rPr>
        <w:t>operating techniques that the applicant must use are specified in table S1.2 in the environmental permit</w:t>
      </w:r>
      <w:r w:rsidR="006F1F20">
        <w:rPr>
          <w:color w:val="auto"/>
        </w:rPr>
        <w:t xml:space="preserve"> a</w:t>
      </w:r>
      <w:r w:rsidR="00174F1D">
        <w:rPr>
          <w:color w:val="auto"/>
        </w:rPr>
        <w:t xml:space="preserve">s referred to in conditions </w:t>
      </w:r>
      <w:r w:rsidR="00E30746">
        <w:rPr>
          <w:color w:val="auto"/>
        </w:rPr>
        <w:t xml:space="preserve">2.3.1 and 2.3.2 of the environmental permit. </w:t>
      </w:r>
    </w:p>
    <w:p w14:paraId="62928E1E" w14:textId="32517DB9" w:rsidR="0073208E" w:rsidRPr="00A0682B" w:rsidRDefault="0073208E" w:rsidP="0073208E">
      <w:pPr>
        <w:keepNext/>
        <w:spacing w:line="276" w:lineRule="auto"/>
        <w:outlineLvl w:val="1"/>
        <w:rPr>
          <w:b/>
          <w:bCs/>
          <w:iCs/>
          <w:color w:val="auto"/>
          <w:sz w:val="32"/>
          <w:szCs w:val="32"/>
        </w:rPr>
      </w:pPr>
      <w:r w:rsidRPr="00A0682B">
        <w:rPr>
          <w:b/>
          <w:bCs/>
          <w:iCs/>
          <w:color w:val="auto"/>
          <w:sz w:val="32"/>
          <w:szCs w:val="32"/>
        </w:rPr>
        <w:t>Representations from community and other organisations</w:t>
      </w:r>
    </w:p>
    <w:p w14:paraId="2B62F82E" w14:textId="7A442A41" w:rsidR="0073208E" w:rsidRPr="00A0682B" w:rsidRDefault="0073208E" w:rsidP="0073208E">
      <w:pPr>
        <w:rPr>
          <w:color w:val="auto"/>
        </w:rPr>
      </w:pPr>
      <w:r w:rsidRPr="001675C0">
        <w:rPr>
          <w:b/>
          <w:bCs/>
          <w:color w:val="auto"/>
        </w:rPr>
        <w:t>Response received from:</w:t>
      </w:r>
      <w:r w:rsidRPr="00A0682B">
        <w:rPr>
          <w:color w:val="auto"/>
        </w:rPr>
        <w:t xml:space="preserve"> </w:t>
      </w:r>
      <w:r w:rsidR="00DD59FE" w:rsidRPr="00A0682B">
        <w:rPr>
          <w:color w:val="auto"/>
        </w:rPr>
        <w:t xml:space="preserve">Coalition Against Factory Farming (CAFF) on </w:t>
      </w:r>
      <w:r w:rsidR="00B46571" w:rsidRPr="00A0682B">
        <w:rPr>
          <w:color w:val="auto"/>
        </w:rPr>
        <w:t>12/01/2026</w:t>
      </w:r>
      <w:r w:rsidR="00A0682B" w:rsidRPr="00A0682B">
        <w:rPr>
          <w:color w:val="auto"/>
        </w:rPr>
        <w:t>.</w:t>
      </w:r>
    </w:p>
    <w:p w14:paraId="076EA67F" w14:textId="6B9EFE19" w:rsidR="0073208E" w:rsidRDefault="0073208E" w:rsidP="0073208E">
      <w:pPr>
        <w:rPr>
          <w:b/>
          <w:bCs/>
          <w:color w:val="auto"/>
        </w:rPr>
      </w:pPr>
      <w:r w:rsidRPr="001675C0">
        <w:rPr>
          <w:b/>
          <w:bCs/>
          <w:color w:val="auto"/>
        </w:rPr>
        <w:t>Brief summary of issues raised</w:t>
      </w:r>
      <w:r w:rsidR="001675C0" w:rsidRPr="001675C0">
        <w:rPr>
          <w:b/>
          <w:bCs/>
          <w:color w:val="auto"/>
        </w:rPr>
        <w:t xml:space="preserve"> and actions taken:</w:t>
      </w:r>
    </w:p>
    <w:p w14:paraId="6109D0C2" w14:textId="6A12E534" w:rsidR="00B152FA" w:rsidRDefault="00E37E75" w:rsidP="006F570D">
      <w:pPr>
        <w:pStyle w:val="ListParagraph"/>
        <w:numPr>
          <w:ilvl w:val="0"/>
          <w:numId w:val="26"/>
        </w:numPr>
        <w:rPr>
          <w:b/>
          <w:bCs/>
        </w:rPr>
      </w:pPr>
      <w:r>
        <w:rPr>
          <w:b/>
          <w:bCs/>
        </w:rPr>
        <w:t>Requirement for an Environmental Impact Assessment (EIA)</w:t>
      </w:r>
      <w:r w:rsidR="00AB14A0">
        <w:rPr>
          <w:b/>
          <w:bCs/>
        </w:rPr>
        <w:t>.</w:t>
      </w:r>
    </w:p>
    <w:p w14:paraId="45AB9646" w14:textId="2CCA8EDE" w:rsidR="005276B1" w:rsidRDefault="00E37E75" w:rsidP="00E37E75">
      <w:r>
        <w:t>An EIA is required as part of any planning application. The application</w:t>
      </w:r>
      <w:r w:rsidR="005276B1">
        <w:t xml:space="preserve"> did not submit an EIA as part of the Environmental Permitting Regulations (EPR) application. We are satisfied that we have sufficient information to determine the Application and have carried out an assessment of the environmental impact of the installation as part of the </w:t>
      </w:r>
      <w:r w:rsidR="00BD1C13">
        <w:t>p</w:t>
      </w:r>
      <w:r w:rsidR="005276B1">
        <w:t xml:space="preserve">ermit determination. </w:t>
      </w:r>
    </w:p>
    <w:p w14:paraId="0725AFBD" w14:textId="089F808A" w:rsidR="005276B1" w:rsidRPr="00ED681E" w:rsidRDefault="00ED681E" w:rsidP="006F570D">
      <w:pPr>
        <w:pStyle w:val="ListParagraph"/>
        <w:numPr>
          <w:ilvl w:val="0"/>
          <w:numId w:val="26"/>
        </w:numPr>
        <w:rPr>
          <w:b/>
          <w:bCs/>
        </w:rPr>
      </w:pPr>
      <w:r w:rsidRPr="00ED681E">
        <w:rPr>
          <w:b/>
          <w:bCs/>
        </w:rPr>
        <w:t>Twin-tracking of EPR Permit and Planning Permission</w:t>
      </w:r>
      <w:r w:rsidR="00AB14A0">
        <w:rPr>
          <w:b/>
          <w:bCs/>
        </w:rPr>
        <w:t>.</w:t>
      </w:r>
    </w:p>
    <w:p w14:paraId="4036B85F" w14:textId="3EC616A8" w:rsidR="00ED681E" w:rsidRDefault="00ED681E" w:rsidP="00ED681E">
      <w:r>
        <w:t xml:space="preserve">The decision whether to twin-track the applications is a matter for the Applicant. </w:t>
      </w:r>
      <w:r w:rsidR="00193B35">
        <w:t>We have a legal duty to determine applications made to use under the EPR and we are satisfied that we have</w:t>
      </w:r>
      <w:r w:rsidR="00347BB1">
        <w:t xml:space="preserve"> </w:t>
      </w:r>
      <w:r w:rsidR="00C33F09">
        <w:t xml:space="preserve">sufficient information to do so and to complete the determination. </w:t>
      </w:r>
    </w:p>
    <w:p w14:paraId="34EEA774" w14:textId="7A18130B" w:rsidR="009D04BE" w:rsidRPr="009D04BE" w:rsidRDefault="009D04BE" w:rsidP="009D04BE">
      <w:pPr>
        <w:pStyle w:val="ListParagraph"/>
        <w:numPr>
          <w:ilvl w:val="0"/>
          <w:numId w:val="26"/>
        </w:numPr>
        <w:rPr>
          <w:b/>
          <w:bCs/>
          <w:color w:val="auto"/>
        </w:rPr>
      </w:pPr>
      <w:r w:rsidRPr="009D04BE">
        <w:rPr>
          <w:b/>
          <w:bCs/>
          <w:color w:val="auto"/>
        </w:rPr>
        <w:t>Granting of planning permission</w:t>
      </w:r>
      <w:r w:rsidR="00AB14A0">
        <w:rPr>
          <w:b/>
          <w:bCs/>
          <w:color w:val="auto"/>
        </w:rPr>
        <w:t>.</w:t>
      </w:r>
    </w:p>
    <w:p w14:paraId="24D90702" w14:textId="1CB6D060" w:rsidR="009D04BE" w:rsidRPr="009D04BE" w:rsidRDefault="009D04BE" w:rsidP="00ED681E">
      <w:pPr>
        <w:rPr>
          <w:color w:val="auto"/>
        </w:rPr>
      </w:pPr>
      <w:r w:rsidRPr="001513D2">
        <w:rPr>
          <w:color w:val="auto"/>
        </w:rPr>
        <w:t>We do not have to wait for planning permission to be granted before we can issue the EPR permit. We have a legal duty to determine applications made to us under the EPR and we are satisfied that we have sufficient information to do so and to complete the determination.</w:t>
      </w:r>
    </w:p>
    <w:p w14:paraId="4B370565" w14:textId="77777777" w:rsidR="00276C76" w:rsidRPr="001513D2" w:rsidRDefault="00276C76" w:rsidP="006F570D">
      <w:pPr>
        <w:pStyle w:val="ListParagraph"/>
        <w:numPr>
          <w:ilvl w:val="0"/>
          <w:numId w:val="26"/>
        </w:numPr>
        <w:rPr>
          <w:b/>
          <w:bCs/>
          <w:color w:val="auto"/>
        </w:rPr>
      </w:pPr>
      <w:r w:rsidRPr="001513D2">
        <w:rPr>
          <w:b/>
          <w:bCs/>
          <w:color w:val="auto"/>
        </w:rPr>
        <w:t>Change of use under section 55 of the Town and Country Planning Act 1990.</w:t>
      </w:r>
    </w:p>
    <w:p w14:paraId="18D6C66A" w14:textId="794B4710" w:rsidR="00276C76" w:rsidRDefault="00E06024" w:rsidP="00276C76">
      <w:pPr>
        <w:rPr>
          <w:color w:val="auto"/>
        </w:rPr>
      </w:pPr>
      <w:r>
        <w:rPr>
          <w:color w:val="auto"/>
        </w:rPr>
        <w:t>T</w:t>
      </w:r>
      <w:r w:rsidR="00276C76" w:rsidRPr="001513D2">
        <w:rPr>
          <w:color w:val="auto"/>
        </w:rPr>
        <w:t xml:space="preserve">he Town and Country Planning Act 1990 is a matter for consideration during the planning process and does not form part of the </w:t>
      </w:r>
      <w:r w:rsidR="00BD1C13">
        <w:rPr>
          <w:color w:val="auto"/>
        </w:rPr>
        <w:t>p</w:t>
      </w:r>
      <w:r w:rsidR="00276C76" w:rsidRPr="001513D2">
        <w:rPr>
          <w:color w:val="auto"/>
        </w:rPr>
        <w:t>ermit decision.</w:t>
      </w:r>
    </w:p>
    <w:p w14:paraId="2FC10BD1" w14:textId="77777777" w:rsidR="00512199" w:rsidRPr="00512199" w:rsidRDefault="00512199" w:rsidP="006F570D">
      <w:pPr>
        <w:pStyle w:val="ListParagraph"/>
        <w:numPr>
          <w:ilvl w:val="0"/>
          <w:numId w:val="26"/>
        </w:numPr>
      </w:pPr>
      <w:r w:rsidRPr="00512199">
        <w:rPr>
          <w:b/>
          <w:bCs/>
        </w:rPr>
        <w:t>Greenhouse gas assessment calculation required for EIA.</w:t>
      </w:r>
    </w:p>
    <w:p w14:paraId="1BEF16FC" w14:textId="77777777" w:rsidR="00512199" w:rsidRPr="00512199" w:rsidRDefault="00512199" w:rsidP="00512199">
      <w:r w:rsidRPr="00512199">
        <w:t>As discussed above, an EIA is required as part of any planning application. A Greenhouse gas assessment is not required as part of the EPR permit application.</w:t>
      </w:r>
    </w:p>
    <w:p w14:paraId="0DFB4DF2" w14:textId="77777777" w:rsidR="00E96256" w:rsidRPr="00E96256" w:rsidRDefault="00E96256" w:rsidP="006F570D">
      <w:pPr>
        <w:pStyle w:val="ListParagraph"/>
        <w:numPr>
          <w:ilvl w:val="0"/>
          <w:numId w:val="26"/>
        </w:numPr>
        <w:rPr>
          <w:b/>
          <w:bCs/>
        </w:rPr>
      </w:pPr>
      <w:r w:rsidRPr="00E96256">
        <w:rPr>
          <w:b/>
          <w:bCs/>
        </w:rPr>
        <w:t>Cumulative impacts of multiple intensive agricultural developments in one river catchment.</w:t>
      </w:r>
    </w:p>
    <w:p w14:paraId="7CEA04FE" w14:textId="02BF27A6" w:rsidR="00E96256" w:rsidRPr="00E96256" w:rsidRDefault="00E96256" w:rsidP="00E96256">
      <w:r w:rsidRPr="00E96256">
        <w:t xml:space="preserve">Scale, location and land use are matters for consideration during the planning process and do not form part of the </w:t>
      </w:r>
      <w:r w:rsidR="00BD1C13">
        <w:t>p</w:t>
      </w:r>
      <w:r w:rsidRPr="00E96256">
        <w:t>ermit decision. The density of farms within a given area is not normally a relevant consideration under the EPR unless our risk assessment process requires an in-combination ammonia assessment; in this circumstance this was not required as the ammonia impact screened out based on impacts from this installation alone, in accordance with our guidance. Where planning permission is required the local planning authority is responsible for determining land use.</w:t>
      </w:r>
    </w:p>
    <w:p w14:paraId="28C6C8A4" w14:textId="77777777" w:rsidR="008C20BD" w:rsidRPr="004C2EAF" w:rsidRDefault="008C20BD" w:rsidP="006F570D">
      <w:pPr>
        <w:pStyle w:val="ListParagraph"/>
        <w:numPr>
          <w:ilvl w:val="0"/>
          <w:numId w:val="26"/>
        </w:numPr>
        <w:rPr>
          <w:b/>
          <w:bCs/>
        </w:rPr>
      </w:pPr>
      <w:r w:rsidRPr="004C2EAF">
        <w:rPr>
          <w:b/>
          <w:bCs/>
        </w:rPr>
        <w:t>Intensive poultry production represents an inefficient use of grain protein.</w:t>
      </w:r>
    </w:p>
    <w:p w14:paraId="6D0BF772" w14:textId="6EEDD486" w:rsidR="008C20BD" w:rsidRDefault="008C20BD" w:rsidP="004C2EAF">
      <w:r>
        <w:t xml:space="preserve">This is not an issue under the Environment Agency’s regulatory responsibility. It does not therefore fall within the scope of the </w:t>
      </w:r>
      <w:r w:rsidR="00BD1C13">
        <w:t>p</w:t>
      </w:r>
      <w:r>
        <w:t xml:space="preserve">ermit determination. The Environment Agency is responsible for ensuring that the activities at the </w:t>
      </w:r>
      <w:r w:rsidR="00330A05">
        <w:t>i</w:t>
      </w:r>
      <w:r>
        <w:t>nstallation do not have an unacceptable impact on the environment or human health.</w:t>
      </w:r>
    </w:p>
    <w:p w14:paraId="64D4816E" w14:textId="77777777" w:rsidR="009C2B1F" w:rsidRPr="00CC0842" w:rsidRDefault="009C2B1F" w:rsidP="006F570D">
      <w:pPr>
        <w:pStyle w:val="ListParagraph"/>
        <w:numPr>
          <w:ilvl w:val="0"/>
          <w:numId w:val="26"/>
        </w:numPr>
        <w:rPr>
          <w:b/>
          <w:bCs/>
        </w:rPr>
      </w:pPr>
      <w:r w:rsidRPr="00CC0842">
        <w:rPr>
          <w:b/>
          <w:bCs/>
        </w:rPr>
        <w:t>Meat consumption</w:t>
      </w:r>
      <w:r>
        <w:t>.</w:t>
      </w:r>
    </w:p>
    <w:p w14:paraId="4776484E" w14:textId="367F0979" w:rsidR="009C2B1F" w:rsidRDefault="009C2B1F" w:rsidP="009C2B1F">
      <w:r>
        <w:t xml:space="preserve">This is not an issue under the Environment Agency’s regulatory responsibility. It does not therefore fall within the scope of the </w:t>
      </w:r>
      <w:r w:rsidR="00BD1C13">
        <w:t>p</w:t>
      </w:r>
      <w:r>
        <w:t>ermit determination.</w:t>
      </w:r>
    </w:p>
    <w:p w14:paraId="1FC0AF08" w14:textId="77777777" w:rsidR="009C2B1F" w:rsidRPr="00CC0842" w:rsidRDefault="009C2B1F" w:rsidP="006F570D">
      <w:pPr>
        <w:pStyle w:val="ListParagraph"/>
        <w:numPr>
          <w:ilvl w:val="0"/>
          <w:numId w:val="26"/>
        </w:numPr>
        <w:rPr>
          <w:b/>
          <w:bCs/>
        </w:rPr>
      </w:pPr>
      <w:r w:rsidRPr="00CC0842">
        <w:rPr>
          <w:b/>
          <w:bCs/>
        </w:rPr>
        <w:t>Risk of zoonotic disease.</w:t>
      </w:r>
    </w:p>
    <w:p w14:paraId="3E077F74" w14:textId="77777777" w:rsidR="009C2B1F" w:rsidRDefault="009C2B1F" w:rsidP="00CC0842">
      <w:r>
        <w:t xml:space="preserve">The birds will be kept indoors at all times so therefore it is extremely unlikely that they will contract Avian flu. Effective biosecurity measures will also ensure that the likelihood of disease will be low. We are satisfied that the risk of pollution of the environment or harm to human health from the activities at the site are not likely to be significant. Our compliance team will ensure all relevant precautions are actioned in the event of any cases of Avian flu. </w:t>
      </w:r>
    </w:p>
    <w:p w14:paraId="40172155" w14:textId="41207D68" w:rsidR="008865E4" w:rsidRPr="008865E4" w:rsidRDefault="008865E4" w:rsidP="006F570D">
      <w:pPr>
        <w:pStyle w:val="ListParagraph"/>
        <w:numPr>
          <w:ilvl w:val="0"/>
          <w:numId w:val="26"/>
        </w:numPr>
        <w:rPr>
          <w:b/>
          <w:bCs/>
          <w:color w:val="auto"/>
        </w:rPr>
      </w:pPr>
      <w:r w:rsidRPr="008865E4">
        <w:rPr>
          <w:b/>
          <w:bCs/>
          <w:color w:val="auto"/>
        </w:rPr>
        <w:t>Animal welfare.</w:t>
      </w:r>
    </w:p>
    <w:p w14:paraId="52668AF3" w14:textId="59A43D2F" w:rsidR="008865E4" w:rsidRPr="005A2F27" w:rsidRDefault="008865E4" w:rsidP="008865E4">
      <w:pPr>
        <w:rPr>
          <w:color w:val="auto"/>
        </w:rPr>
      </w:pPr>
      <w:r w:rsidRPr="005A2F27">
        <w:rPr>
          <w:color w:val="auto"/>
        </w:rPr>
        <w:t xml:space="preserve">Animal welfare </w:t>
      </w:r>
      <w:r w:rsidRPr="00D57808">
        <w:rPr>
          <w:color w:val="auto"/>
        </w:rPr>
        <w:t>is not within the regulatory responsibility of the Environment Agency.</w:t>
      </w:r>
      <w:r>
        <w:rPr>
          <w:color w:val="auto"/>
        </w:rPr>
        <w:t xml:space="preserve"> </w:t>
      </w:r>
      <w:r w:rsidRPr="005A2F27">
        <w:rPr>
          <w:color w:val="auto"/>
        </w:rPr>
        <w:t xml:space="preserve">It does not form part of the </w:t>
      </w:r>
      <w:r w:rsidR="00BD1C13">
        <w:rPr>
          <w:color w:val="auto"/>
        </w:rPr>
        <w:t>p</w:t>
      </w:r>
      <w:r w:rsidRPr="005A2F27">
        <w:rPr>
          <w:color w:val="auto"/>
        </w:rPr>
        <w:t xml:space="preserve">ermit decision making process. The Environment Agency is responsible for ensuring that the activities at the </w:t>
      </w:r>
      <w:r w:rsidR="00330A05">
        <w:rPr>
          <w:color w:val="auto"/>
        </w:rPr>
        <w:t>i</w:t>
      </w:r>
      <w:r w:rsidRPr="005A2F27">
        <w:rPr>
          <w:color w:val="auto"/>
        </w:rPr>
        <w:t>nstallation do not have an unacceptable impact on the environment or human health.</w:t>
      </w:r>
    </w:p>
    <w:p w14:paraId="43E4CD06" w14:textId="25C5F4C4" w:rsidR="001E6B0B" w:rsidRPr="001E6B0B" w:rsidRDefault="008865E4" w:rsidP="001E6B0B">
      <w:pPr>
        <w:rPr>
          <w:color w:val="auto"/>
        </w:rPr>
      </w:pPr>
      <w:r w:rsidRPr="005A2F27">
        <w:rPr>
          <w:color w:val="auto"/>
        </w:rPr>
        <w:t>The principal regulator for animal health is the Animal and Plant Health Agency (APHA), whose main purpose is to safeguard animal and plant health for the benefit of people, the environment and the economy.</w:t>
      </w:r>
    </w:p>
    <w:p w14:paraId="2EF14318" w14:textId="305270F1" w:rsidR="002771EC" w:rsidRPr="002771EC" w:rsidRDefault="002771EC" w:rsidP="006F570D">
      <w:pPr>
        <w:pStyle w:val="ListParagraph"/>
        <w:numPr>
          <w:ilvl w:val="0"/>
          <w:numId w:val="26"/>
        </w:numPr>
        <w:rPr>
          <w:b/>
          <w:bCs/>
          <w:color w:val="auto"/>
        </w:rPr>
      </w:pPr>
      <w:r w:rsidRPr="002771EC">
        <w:rPr>
          <w:b/>
          <w:bCs/>
          <w:color w:val="auto"/>
        </w:rPr>
        <w:t>Manure storage</w:t>
      </w:r>
      <w:r w:rsidR="00CE0129">
        <w:rPr>
          <w:b/>
          <w:bCs/>
          <w:color w:val="auto"/>
        </w:rPr>
        <w:t xml:space="preserve"> and off-site disposal (inc. </w:t>
      </w:r>
      <w:r w:rsidRPr="002771EC">
        <w:rPr>
          <w:b/>
          <w:bCs/>
          <w:color w:val="auto"/>
        </w:rPr>
        <w:t>spreading</w:t>
      </w:r>
      <w:r w:rsidR="00CE0129">
        <w:rPr>
          <w:b/>
          <w:bCs/>
          <w:color w:val="auto"/>
        </w:rPr>
        <w:t>)</w:t>
      </w:r>
      <w:r w:rsidRPr="002771EC">
        <w:rPr>
          <w:b/>
          <w:bCs/>
          <w:color w:val="auto"/>
        </w:rPr>
        <w:t>.</w:t>
      </w:r>
    </w:p>
    <w:p w14:paraId="78A7B373" w14:textId="61920947" w:rsidR="002771EC" w:rsidRDefault="002771EC" w:rsidP="002771EC">
      <w:r w:rsidRPr="00D4682A">
        <w:rPr>
          <w:color w:val="auto"/>
        </w:rPr>
        <w:t>No</w:t>
      </w:r>
      <w:r>
        <w:rPr>
          <w:color w:val="auto"/>
        </w:rPr>
        <w:t xml:space="preserve"> manure is stored within the </w:t>
      </w:r>
      <w:r w:rsidR="00330A05">
        <w:rPr>
          <w:color w:val="auto"/>
        </w:rPr>
        <w:t>i</w:t>
      </w:r>
      <w:r>
        <w:rPr>
          <w:color w:val="auto"/>
        </w:rPr>
        <w:t>nstallation boundary; a</w:t>
      </w:r>
      <w:r w:rsidRPr="00985C2B">
        <w:rPr>
          <w:color w:val="auto"/>
        </w:rPr>
        <w:t xml:space="preserve">ll manure is exported from the </w:t>
      </w:r>
      <w:r w:rsidR="00330A05">
        <w:rPr>
          <w:color w:val="auto"/>
        </w:rPr>
        <w:t>i</w:t>
      </w:r>
      <w:r w:rsidRPr="00985C2B">
        <w:rPr>
          <w:color w:val="auto"/>
        </w:rPr>
        <w:t xml:space="preserve">nstallation </w:t>
      </w:r>
      <w:r w:rsidR="00A3553C">
        <w:rPr>
          <w:color w:val="auto"/>
        </w:rPr>
        <w:t>and</w:t>
      </w:r>
      <w:r w:rsidR="003B13A0">
        <w:rPr>
          <w:color w:val="auto"/>
        </w:rPr>
        <w:t xml:space="preserve"> </w:t>
      </w:r>
      <w:r w:rsidR="003B13A0" w:rsidRPr="003B13A0">
        <w:rPr>
          <w:color w:val="auto"/>
        </w:rPr>
        <w:t>sold to a power station</w:t>
      </w:r>
      <w:r w:rsidR="003B13A0">
        <w:t xml:space="preserve">. </w:t>
      </w:r>
    </w:p>
    <w:p w14:paraId="549C4AC5" w14:textId="5AC823A3" w:rsidR="002771EC" w:rsidRDefault="002771EC" w:rsidP="002771EC">
      <w:r w:rsidRPr="005E5E92">
        <w:t xml:space="preserve">The land where manure may be stored </w:t>
      </w:r>
      <w:r>
        <w:t>does not form</w:t>
      </w:r>
      <w:r w:rsidRPr="005E5E92">
        <w:t xml:space="preserve"> part of the </w:t>
      </w:r>
      <w:r>
        <w:t>i</w:t>
      </w:r>
      <w:r w:rsidRPr="005E5E92">
        <w:t>nstallation</w:t>
      </w:r>
      <w:r>
        <w:t xml:space="preserve"> and so m</w:t>
      </w:r>
      <w:r w:rsidRPr="0081265F">
        <w:t xml:space="preserve">anure exported from the </w:t>
      </w:r>
      <w:r>
        <w:t>i</w:t>
      </w:r>
      <w:r w:rsidRPr="0081265F">
        <w:t xml:space="preserve">nstallation for storage and </w:t>
      </w:r>
      <w:r w:rsidR="003B13A0">
        <w:t>use</w:t>
      </w:r>
      <w:r w:rsidRPr="0081265F">
        <w:t xml:space="preserve"> outside the </w:t>
      </w:r>
      <w:r>
        <w:t>i</w:t>
      </w:r>
      <w:r w:rsidRPr="0081265F">
        <w:t xml:space="preserve">nstallation is outside the scope of our determination. </w:t>
      </w:r>
      <w:r w:rsidRPr="005E5E92">
        <w:t xml:space="preserve">The EPR scope of regulation is limited to preventing significant pollution from emissions from the </w:t>
      </w:r>
      <w:r>
        <w:t>i</w:t>
      </w:r>
      <w:r w:rsidRPr="005E5E92">
        <w:t xml:space="preserve">nstallation. Emissions are substances released from the </w:t>
      </w:r>
      <w:r>
        <w:t>i</w:t>
      </w:r>
      <w:r w:rsidRPr="005E5E92">
        <w:t xml:space="preserve">nstallation whilst something exported in a controlled manner for subsequent use elsewhere is not considered an emission. </w:t>
      </w:r>
      <w:r w:rsidRPr="00023B6A">
        <w:t>The latter includes manure and litter removed as part of poultry house cleanouts.</w:t>
      </w:r>
    </w:p>
    <w:p w14:paraId="4EDB5772" w14:textId="56B2BA3E" w:rsidR="002771EC" w:rsidRDefault="002771EC" w:rsidP="002771EC">
      <w:pPr>
        <w:rPr>
          <w:color w:val="auto"/>
        </w:rPr>
      </w:pPr>
      <w:r w:rsidRPr="00155FA6">
        <w:t xml:space="preserve">The </w:t>
      </w:r>
      <w:r>
        <w:t>installation</w:t>
      </w:r>
      <w:r w:rsidRPr="00155FA6">
        <w:t xml:space="preserve"> boundary for permitted farms typically includes the livestock housing, any yard and rang</w:t>
      </w:r>
      <w:r>
        <w:t>ing</w:t>
      </w:r>
      <w:r w:rsidRPr="00155FA6">
        <w:t xml:space="preserve"> areas and associated infrastructure but does not routinely include wider adjacent land. </w:t>
      </w:r>
      <w:r>
        <w:t>W</w:t>
      </w:r>
      <w:r w:rsidRPr="00155FA6">
        <w:t xml:space="preserve">hilst on farm slurry and manure management, yard run off and drainage are regulated by the permit, </w:t>
      </w:r>
      <w:r w:rsidR="00303765">
        <w:t xml:space="preserve">where </w:t>
      </w:r>
      <w:r w:rsidRPr="00155FA6">
        <w:t>spreading of manures and slurry to land</w:t>
      </w:r>
      <w:r w:rsidR="006A008D">
        <w:t xml:space="preserve"> is required </w:t>
      </w:r>
      <w:r w:rsidR="00FD271B">
        <w:t xml:space="preserve">as part of contingency arrangements, </w:t>
      </w:r>
      <w:r w:rsidR="006A008D">
        <w:t xml:space="preserve">this </w:t>
      </w:r>
      <w:r w:rsidRPr="00155FA6">
        <w:t xml:space="preserve">is primarily regulated through separate regulatory regimes namely the </w:t>
      </w:r>
      <w:r w:rsidRPr="007805DD">
        <w:t>Reduction and Prevention of Agricultural Diffuse Pollution (England) Regulations (Farming Rules for Water), and, in designated areas, the Nitrate Pollution Prevention Regulations</w:t>
      </w:r>
      <w:r w:rsidRPr="00155FA6">
        <w:t>.</w:t>
      </w:r>
      <w:r w:rsidR="009531E3">
        <w:t xml:space="preserve"> </w:t>
      </w:r>
      <w:r w:rsidR="00B971D0">
        <w:t xml:space="preserve">In the case where any manure exported from the installation will be </w:t>
      </w:r>
      <w:r w:rsidR="00573C51">
        <w:t>land spread</w:t>
      </w:r>
      <w:r w:rsidR="00B971D0">
        <w:t>, t</w:t>
      </w:r>
      <w:r w:rsidRPr="00021CB0">
        <w:rPr>
          <w:color w:val="auto"/>
        </w:rPr>
        <w:t xml:space="preserve">he Applicant has confirmed that the receiver of the manure will confirm </w:t>
      </w:r>
      <w:r>
        <w:rPr>
          <w:color w:val="auto"/>
        </w:rPr>
        <w:t>it</w:t>
      </w:r>
      <w:r w:rsidRPr="00021CB0">
        <w:rPr>
          <w:color w:val="auto"/>
        </w:rPr>
        <w:t xml:space="preserve"> is spread to land in accordance with the Code of Good Agricultural Practice, or in accordance with the manure management plan for the receiving land.</w:t>
      </w:r>
    </w:p>
    <w:p w14:paraId="4D67616B" w14:textId="28BE2538" w:rsidR="008D2203" w:rsidRPr="003E64E8" w:rsidRDefault="008D2203" w:rsidP="006F570D">
      <w:pPr>
        <w:pStyle w:val="ListParagraph"/>
        <w:numPr>
          <w:ilvl w:val="0"/>
          <w:numId w:val="26"/>
        </w:numPr>
        <w:rPr>
          <w:b/>
          <w:bCs/>
          <w:color w:val="auto"/>
        </w:rPr>
      </w:pPr>
      <w:r w:rsidRPr="003E64E8">
        <w:rPr>
          <w:b/>
          <w:bCs/>
          <w:color w:val="auto"/>
        </w:rPr>
        <w:t>Public health and amenity.</w:t>
      </w:r>
    </w:p>
    <w:p w14:paraId="12111CA4" w14:textId="13CED38A" w:rsidR="008D2203" w:rsidRPr="001D79D1" w:rsidRDefault="00392495" w:rsidP="008D2203">
      <w:r w:rsidRPr="001D79D1">
        <w:t xml:space="preserve">The </w:t>
      </w:r>
      <w:hyperlink w:anchor="Key_issues" w:tooltip="Link to 'Key issues' section of this document" w:history="1">
        <w:r w:rsidR="008D2203" w:rsidRPr="001D79D1">
          <w:rPr>
            <w:color w:val="0000FF"/>
            <w:u w:val="single"/>
          </w:rPr>
          <w:t>key issues</w:t>
        </w:r>
      </w:hyperlink>
      <w:r w:rsidR="008D2203" w:rsidRPr="001D79D1">
        <w:t xml:space="preserve"> section</w:t>
      </w:r>
      <w:r w:rsidRPr="001D79D1">
        <w:t xml:space="preserve"> outlines </w:t>
      </w:r>
      <w:r w:rsidR="00800D28" w:rsidRPr="001D79D1">
        <w:t xml:space="preserve">the number of sensitive receptors within 400 metres of the installation boundary for odour and noise impacts and 100 metres of the installation boundary for dust impacts. </w:t>
      </w:r>
      <w:r w:rsidR="008D2203" w:rsidRPr="001D79D1">
        <w:t xml:space="preserve">We have selected these distances on a precautionary basis. </w:t>
      </w:r>
    </w:p>
    <w:p w14:paraId="2ACC6D4D" w14:textId="23886948" w:rsidR="003D0C20" w:rsidRPr="003E64E8" w:rsidRDefault="008D2203" w:rsidP="003E64E8">
      <w:pPr>
        <w:keepNext/>
        <w:spacing w:line="276" w:lineRule="auto"/>
        <w:outlineLvl w:val="1"/>
        <w:rPr>
          <w:iCs/>
          <w:color w:val="auto"/>
        </w:rPr>
      </w:pPr>
      <w:r w:rsidRPr="008173AF">
        <w:rPr>
          <w:iCs/>
          <w:color w:val="auto"/>
        </w:rPr>
        <w:t xml:space="preserve">We are satisfied following a review of the </w:t>
      </w:r>
      <w:r w:rsidR="008173AF" w:rsidRPr="008173AF">
        <w:rPr>
          <w:iCs/>
          <w:color w:val="auto"/>
        </w:rPr>
        <w:t>odour, noise and dust and bioaerosol management plans</w:t>
      </w:r>
      <w:r w:rsidRPr="008173AF">
        <w:rPr>
          <w:iCs/>
          <w:color w:val="auto"/>
        </w:rPr>
        <w:t xml:space="preserve"> provided by the Applicant, and the conditions present within the </w:t>
      </w:r>
      <w:r w:rsidR="00787A17">
        <w:rPr>
          <w:iCs/>
          <w:color w:val="auto"/>
        </w:rPr>
        <w:t>p</w:t>
      </w:r>
      <w:r w:rsidRPr="008173AF">
        <w:rPr>
          <w:iCs/>
          <w:color w:val="auto"/>
        </w:rPr>
        <w:t>ermit, that on-site operations will not have a significant impact on the health or amenity of local residents.</w:t>
      </w:r>
    </w:p>
    <w:p w14:paraId="5C7B05DD" w14:textId="769CC599" w:rsidR="00DC6358" w:rsidRPr="00DC6358" w:rsidRDefault="00080F64" w:rsidP="006F570D">
      <w:pPr>
        <w:pStyle w:val="ListParagraph"/>
        <w:numPr>
          <w:ilvl w:val="0"/>
          <w:numId w:val="26"/>
        </w:numPr>
        <w:rPr>
          <w:b/>
          <w:bCs/>
          <w:color w:val="auto"/>
        </w:rPr>
      </w:pPr>
      <w:r w:rsidRPr="00DC6358">
        <w:rPr>
          <w:b/>
          <w:bCs/>
          <w:color w:val="auto"/>
        </w:rPr>
        <w:t>Odour impact.</w:t>
      </w:r>
    </w:p>
    <w:p w14:paraId="0E4D0077" w14:textId="17241D81" w:rsidR="00080F64" w:rsidRPr="009F38B0" w:rsidRDefault="00080F64" w:rsidP="00DC6358">
      <w:pPr>
        <w:rPr>
          <w:b/>
          <w:bCs/>
          <w:color w:val="auto"/>
        </w:rPr>
      </w:pPr>
      <w:r w:rsidRPr="009F38B0">
        <w:rPr>
          <w:color w:val="auto"/>
        </w:rPr>
        <w:t xml:space="preserve">There are </w:t>
      </w:r>
      <w:r w:rsidR="00DB4B8B" w:rsidRPr="009F38B0">
        <w:rPr>
          <w:color w:val="auto"/>
        </w:rPr>
        <w:t>two</w:t>
      </w:r>
      <w:r w:rsidRPr="009F38B0">
        <w:rPr>
          <w:color w:val="auto"/>
        </w:rPr>
        <w:t xml:space="preserve"> sensitive receptors within 400m of the </w:t>
      </w:r>
      <w:r w:rsidR="00330A05">
        <w:rPr>
          <w:color w:val="auto"/>
        </w:rPr>
        <w:t>i</w:t>
      </w:r>
      <w:r w:rsidRPr="009F38B0">
        <w:rPr>
          <w:color w:val="auto"/>
        </w:rPr>
        <w:t xml:space="preserve">nstallation boundary and so the Applicant was required to submit an odour management plan (OMP) as part of the application. </w:t>
      </w:r>
      <w:r w:rsidR="00803252" w:rsidRPr="009F38B0">
        <w:rPr>
          <w:color w:val="auto"/>
        </w:rPr>
        <w:t>We are satisfied that all sources and receptors have been identified</w:t>
      </w:r>
      <w:r w:rsidR="004A2158" w:rsidRPr="009F38B0">
        <w:rPr>
          <w:color w:val="auto"/>
        </w:rPr>
        <w:t xml:space="preserve">, and that the proposed mitigation measures will minimise the risk of odour pollution/nuisance. </w:t>
      </w:r>
      <w:r w:rsidR="00743484" w:rsidRPr="009F38B0">
        <w:rPr>
          <w:color w:val="auto"/>
        </w:rPr>
        <w:t xml:space="preserve">Further detail regarding our assessment of this management plan can be viewed in the </w:t>
      </w:r>
      <w:hyperlink w:anchor="Key_issues" w:tooltip="Link to 'Key issues' section of this document" w:history="1">
        <w:r w:rsidRPr="009F38B0">
          <w:rPr>
            <w:color w:val="0000FF"/>
            <w:u w:val="single"/>
          </w:rPr>
          <w:t>key issues</w:t>
        </w:r>
      </w:hyperlink>
      <w:r w:rsidRPr="009F38B0">
        <w:rPr>
          <w:color w:val="auto"/>
        </w:rPr>
        <w:t xml:space="preserve"> section above. </w:t>
      </w:r>
      <w:r w:rsidR="00743484" w:rsidRPr="009F38B0">
        <w:rPr>
          <w:color w:val="auto"/>
        </w:rPr>
        <w:t xml:space="preserve">The use of BAT and good practice will ensure emissions of odour are minimised. </w:t>
      </w:r>
      <w:r w:rsidRPr="009F38B0">
        <w:rPr>
          <w:color w:val="auto"/>
        </w:rPr>
        <w:t xml:space="preserve">Furthermore, standard condition 3.3.1 concerning odour has been included in the permit. </w:t>
      </w:r>
    </w:p>
    <w:p w14:paraId="00117543" w14:textId="26122EC4" w:rsidR="003335B0" w:rsidRDefault="00080F64" w:rsidP="00080F64">
      <w:pPr>
        <w:rPr>
          <w:color w:val="auto"/>
        </w:rPr>
      </w:pPr>
      <w:r w:rsidRPr="009F38B0">
        <w:rPr>
          <w:color w:val="auto"/>
        </w:rPr>
        <w:t xml:space="preserve">Based upon the information in the Application we are satisfied that the appropriate measures will be in place to prevent or where that is not practicable to minimise odour and to prevent pollution from odour beyond the </w:t>
      </w:r>
      <w:r w:rsidR="00637295">
        <w:rPr>
          <w:color w:val="auto"/>
        </w:rPr>
        <w:t>i</w:t>
      </w:r>
      <w:r w:rsidRPr="009F38B0">
        <w:rPr>
          <w:color w:val="auto"/>
        </w:rPr>
        <w:t>nstallation boundary and that activities will not give rise to significant pollution or harm to human health.</w:t>
      </w:r>
    </w:p>
    <w:p w14:paraId="784C9941" w14:textId="1A499085" w:rsidR="00030B00" w:rsidRPr="00030B00" w:rsidRDefault="00030B00" w:rsidP="006F570D">
      <w:pPr>
        <w:pStyle w:val="ListParagraph"/>
        <w:numPr>
          <w:ilvl w:val="0"/>
          <w:numId w:val="26"/>
        </w:numPr>
        <w:rPr>
          <w:b/>
          <w:bCs/>
          <w:color w:val="auto"/>
        </w:rPr>
      </w:pPr>
      <w:r w:rsidRPr="00030B00">
        <w:rPr>
          <w:b/>
          <w:bCs/>
          <w:color w:val="auto"/>
        </w:rPr>
        <w:t>Dust impact.</w:t>
      </w:r>
    </w:p>
    <w:p w14:paraId="1CD3BBDC" w14:textId="5DB8C5F4" w:rsidR="00F823C3" w:rsidRDefault="00E30310" w:rsidP="00F823C3">
      <w:pPr>
        <w:rPr>
          <w:color w:val="auto"/>
        </w:rPr>
      </w:pPr>
      <w:r>
        <w:rPr>
          <w:color w:val="auto"/>
        </w:rPr>
        <w:t>As there</w:t>
      </w:r>
      <w:r w:rsidR="00F823C3">
        <w:rPr>
          <w:color w:val="auto"/>
        </w:rPr>
        <w:t xml:space="preserve"> </w:t>
      </w:r>
      <w:r w:rsidR="00030B00" w:rsidRPr="00FF5B38">
        <w:rPr>
          <w:color w:val="auto"/>
        </w:rPr>
        <w:t xml:space="preserve">are </w:t>
      </w:r>
      <w:r w:rsidR="002505C2">
        <w:rPr>
          <w:color w:val="auto"/>
        </w:rPr>
        <w:t>five</w:t>
      </w:r>
      <w:r w:rsidR="00030B00" w:rsidRPr="00FF5B38">
        <w:rPr>
          <w:color w:val="auto"/>
        </w:rPr>
        <w:t xml:space="preserve"> sensitive receptors within 100m of the </w:t>
      </w:r>
      <w:r w:rsidR="00637295">
        <w:rPr>
          <w:color w:val="auto"/>
        </w:rPr>
        <w:t>i</w:t>
      </w:r>
      <w:r w:rsidR="00030B00" w:rsidRPr="00FF5B38">
        <w:rPr>
          <w:color w:val="auto"/>
        </w:rPr>
        <w:t>nstallation boundary</w:t>
      </w:r>
      <w:r w:rsidR="00F823C3">
        <w:rPr>
          <w:color w:val="auto"/>
        </w:rPr>
        <w:t>, a fugitive emissions risk assessment (including dust and bioaerosols)</w:t>
      </w:r>
      <w:r w:rsidR="00F823C3" w:rsidRPr="00A77D2C">
        <w:rPr>
          <w:color w:val="auto"/>
        </w:rPr>
        <w:t xml:space="preserve"> </w:t>
      </w:r>
      <w:r w:rsidR="00F823C3">
        <w:rPr>
          <w:color w:val="auto"/>
        </w:rPr>
        <w:t xml:space="preserve">and a </w:t>
      </w:r>
      <w:r w:rsidR="00F823C3" w:rsidRPr="00C821B6">
        <w:rPr>
          <w:color w:val="auto"/>
        </w:rPr>
        <w:t>revised</w:t>
      </w:r>
      <w:r w:rsidR="00F823C3">
        <w:rPr>
          <w:color w:val="auto"/>
        </w:rPr>
        <w:t xml:space="preserve"> dust and bioaerosol management plan (received </w:t>
      </w:r>
      <w:r>
        <w:rPr>
          <w:color w:val="auto"/>
        </w:rPr>
        <w:t>03/04/</w:t>
      </w:r>
      <w:r w:rsidR="00F823C3">
        <w:rPr>
          <w:color w:val="auto"/>
        </w:rPr>
        <w:t xml:space="preserve">2026) has been submitted by the Operator, in-line with </w:t>
      </w:r>
      <w:r w:rsidR="00412FA2">
        <w:rPr>
          <w:color w:val="auto"/>
        </w:rPr>
        <w:t xml:space="preserve">our </w:t>
      </w:r>
      <w:r w:rsidR="00F823C3">
        <w:rPr>
          <w:color w:val="auto"/>
        </w:rPr>
        <w:t>guidance. The assessment of this plan is outlined in the</w:t>
      </w:r>
      <w:r w:rsidR="0027128D">
        <w:rPr>
          <w:color w:val="auto"/>
        </w:rPr>
        <w:t xml:space="preserve"> </w:t>
      </w:r>
      <w:r w:rsidR="0027128D" w:rsidRPr="009F38B0">
        <w:rPr>
          <w:color w:val="auto"/>
        </w:rPr>
        <w:t xml:space="preserve"> </w:t>
      </w:r>
      <w:hyperlink w:anchor="Key_issues" w:tooltip="Link to 'Key issues' section of this document" w:history="1">
        <w:r w:rsidR="0027128D" w:rsidRPr="009F38B0">
          <w:rPr>
            <w:color w:val="0000FF"/>
            <w:u w:val="single"/>
          </w:rPr>
          <w:t>key issues</w:t>
        </w:r>
      </w:hyperlink>
      <w:r w:rsidR="00F823C3">
        <w:rPr>
          <w:color w:val="auto"/>
        </w:rPr>
        <w:t xml:space="preserve"> section above. Appropriate measures to mitigate the potential risks from emissions has been identified in the plan. The use of Best Available Techniques and good practice will ensure minimisation of emissions. </w:t>
      </w:r>
    </w:p>
    <w:p w14:paraId="01DAB334" w14:textId="77777777" w:rsidR="00F823C3" w:rsidRDefault="00F823C3" w:rsidP="00F823C3">
      <w:pPr>
        <w:rPr>
          <w:color w:val="auto"/>
        </w:rPr>
      </w:pPr>
      <w:r>
        <w:rPr>
          <w:color w:val="auto"/>
        </w:rPr>
        <w:t xml:space="preserve">Furthermore, standard condition 3.2.1 concerning fugitive emissions has been included in the permit. </w:t>
      </w:r>
    </w:p>
    <w:p w14:paraId="6ECAA896" w14:textId="651F6CE3" w:rsidR="00030B00" w:rsidRDefault="00030B00" w:rsidP="00030B00">
      <w:pPr>
        <w:rPr>
          <w:color w:val="auto"/>
        </w:rPr>
      </w:pPr>
      <w:r>
        <w:rPr>
          <w:color w:val="auto"/>
        </w:rPr>
        <w:t xml:space="preserve">We are </w:t>
      </w:r>
      <w:r w:rsidRPr="00176DE4">
        <w:rPr>
          <w:color w:val="auto"/>
        </w:rPr>
        <w:t xml:space="preserve">satisfied, following a review of the information provided by the Applicant and the conditions present within the </w:t>
      </w:r>
      <w:r w:rsidR="00787A17">
        <w:rPr>
          <w:color w:val="auto"/>
        </w:rPr>
        <w:t>p</w:t>
      </w:r>
      <w:r w:rsidRPr="00176DE4">
        <w:rPr>
          <w:color w:val="auto"/>
        </w:rPr>
        <w:t xml:space="preserve">ermit, that emissions from the </w:t>
      </w:r>
      <w:r w:rsidR="00637295">
        <w:rPr>
          <w:color w:val="auto"/>
        </w:rPr>
        <w:t>i</w:t>
      </w:r>
      <w:r w:rsidRPr="00176DE4">
        <w:rPr>
          <w:color w:val="auto"/>
        </w:rPr>
        <w:t>nstallation will not have a significant impact on the health of local residents</w:t>
      </w:r>
      <w:r>
        <w:rPr>
          <w:color w:val="auto"/>
        </w:rPr>
        <w:t>.</w:t>
      </w:r>
    </w:p>
    <w:p w14:paraId="55D5D601" w14:textId="548A9EF7" w:rsidR="001759FF" w:rsidRPr="001759FF" w:rsidRDefault="001759FF" w:rsidP="006F570D">
      <w:pPr>
        <w:pStyle w:val="ListParagraph"/>
        <w:numPr>
          <w:ilvl w:val="0"/>
          <w:numId w:val="26"/>
        </w:numPr>
        <w:rPr>
          <w:b/>
          <w:bCs/>
          <w:color w:val="auto"/>
        </w:rPr>
      </w:pPr>
      <w:r w:rsidRPr="001759FF">
        <w:rPr>
          <w:b/>
          <w:bCs/>
          <w:color w:val="auto"/>
        </w:rPr>
        <w:t xml:space="preserve">Traffic. </w:t>
      </w:r>
    </w:p>
    <w:p w14:paraId="077FC1F4" w14:textId="77777777" w:rsidR="001759FF" w:rsidRDefault="001759FF" w:rsidP="001759FF">
      <w:pPr>
        <w:rPr>
          <w:color w:val="auto"/>
        </w:rPr>
      </w:pPr>
      <w:r w:rsidRPr="00136F6E">
        <w:rPr>
          <w:color w:val="auto"/>
        </w:rPr>
        <w:t xml:space="preserve">Consideration of traffic is not within </w:t>
      </w:r>
      <w:r>
        <w:rPr>
          <w:color w:val="auto"/>
        </w:rPr>
        <w:t xml:space="preserve">the </w:t>
      </w:r>
      <w:r w:rsidRPr="00835420">
        <w:rPr>
          <w:color w:val="auto"/>
        </w:rPr>
        <w:t>re</w:t>
      </w:r>
      <w:r>
        <w:rPr>
          <w:color w:val="auto"/>
        </w:rPr>
        <w:t xml:space="preserve">gulatory responsibility </w:t>
      </w:r>
      <w:r w:rsidRPr="00136F6E">
        <w:rPr>
          <w:color w:val="auto"/>
        </w:rPr>
        <w:t>of the Environment Agency. It is a matter for the Local Planning Authority to consider in relation to any planning application.</w:t>
      </w:r>
    </w:p>
    <w:p w14:paraId="3AAACFA5" w14:textId="07ACB7D4" w:rsidR="009509E3" w:rsidRPr="009509E3" w:rsidRDefault="009509E3" w:rsidP="006F570D">
      <w:pPr>
        <w:pStyle w:val="ListParagraph"/>
        <w:numPr>
          <w:ilvl w:val="0"/>
          <w:numId w:val="26"/>
        </w:numPr>
        <w:rPr>
          <w:b/>
          <w:bCs/>
          <w:color w:val="auto"/>
        </w:rPr>
      </w:pPr>
      <w:r w:rsidRPr="009509E3">
        <w:rPr>
          <w:b/>
          <w:bCs/>
          <w:color w:val="auto"/>
        </w:rPr>
        <w:t>Assessment of impacts on groundwater and nearby watercourses.</w:t>
      </w:r>
    </w:p>
    <w:p w14:paraId="45ECC44F" w14:textId="4CAE30EE" w:rsidR="009509E3" w:rsidRPr="004F0B98" w:rsidRDefault="009509E3" w:rsidP="009509E3">
      <w:pPr>
        <w:rPr>
          <w:b/>
          <w:bCs/>
          <w:color w:val="auto"/>
        </w:rPr>
      </w:pPr>
      <w:r>
        <w:rPr>
          <w:color w:val="auto"/>
        </w:rPr>
        <w:t>A</w:t>
      </w:r>
      <w:r w:rsidRPr="004F0B98">
        <w:rPr>
          <w:color w:val="auto"/>
        </w:rPr>
        <w:t xml:space="preserve">n assessment of the site drainage, including the risk to groundwater and surface water from potential pollutants from the </w:t>
      </w:r>
      <w:r w:rsidR="00637295">
        <w:rPr>
          <w:color w:val="auto"/>
        </w:rPr>
        <w:t>i</w:t>
      </w:r>
      <w:r w:rsidRPr="004F0B98">
        <w:rPr>
          <w:color w:val="auto"/>
        </w:rPr>
        <w:t>nstallation, has been undertaken</w:t>
      </w:r>
      <w:r>
        <w:rPr>
          <w:color w:val="auto"/>
        </w:rPr>
        <w:t xml:space="preserve"> and </w:t>
      </w:r>
      <w:r w:rsidRPr="00080CB9">
        <w:rPr>
          <w:color w:val="auto"/>
        </w:rPr>
        <w:t>the Applicant’s Site Condition Report</w:t>
      </w:r>
      <w:r>
        <w:rPr>
          <w:color w:val="auto"/>
        </w:rPr>
        <w:t xml:space="preserve">, covering protection of land and groundwater, has been reviewed. </w:t>
      </w:r>
      <w:r w:rsidR="00DD345D">
        <w:rPr>
          <w:color w:val="auto"/>
        </w:rPr>
        <w:t xml:space="preserve">In addition, the applicant has </w:t>
      </w:r>
      <w:r w:rsidR="00AE4222">
        <w:rPr>
          <w:color w:val="auto"/>
        </w:rPr>
        <w:t xml:space="preserve">also assessed the risk of </w:t>
      </w:r>
      <w:r w:rsidR="00347319">
        <w:rPr>
          <w:color w:val="auto"/>
        </w:rPr>
        <w:t xml:space="preserve">wash water discharge to </w:t>
      </w:r>
      <w:r w:rsidR="00AB5D9A">
        <w:rPr>
          <w:color w:val="auto"/>
        </w:rPr>
        <w:t>watercourse and groundwater</w:t>
      </w:r>
      <w:r w:rsidR="00D631DF">
        <w:rPr>
          <w:color w:val="auto"/>
        </w:rPr>
        <w:t xml:space="preserve"> </w:t>
      </w:r>
      <w:r w:rsidR="00B70C40">
        <w:rPr>
          <w:color w:val="auto"/>
        </w:rPr>
        <w:t xml:space="preserve">as part of </w:t>
      </w:r>
      <w:r w:rsidR="00D631DF">
        <w:rPr>
          <w:color w:val="auto"/>
        </w:rPr>
        <w:t xml:space="preserve">their </w:t>
      </w:r>
      <w:r w:rsidR="00B70C40">
        <w:rPr>
          <w:color w:val="auto"/>
        </w:rPr>
        <w:t>f</w:t>
      </w:r>
      <w:r w:rsidR="00D631DF">
        <w:rPr>
          <w:color w:val="auto"/>
        </w:rPr>
        <w:t xml:space="preserve">ugitive </w:t>
      </w:r>
      <w:r w:rsidR="00B70C40">
        <w:rPr>
          <w:color w:val="auto"/>
        </w:rPr>
        <w:t>r</w:t>
      </w:r>
      <w:r w:rsidR="00D631DF">
        <w:rPr>
          <w:color w:val="auto"/>
        </w:rPr>
        <w:t xml:space="preserve">isk </w:t>
      </w:r>
      <w:r w:rsidR="00B70C40">
        <w:rPr>
          <w:color w:val="auto"/>
        </w:rPr>
        <w:t>a</w:t>
      </w:r>
      <w:r w:rsidR="00D631DF">
        <w:rPr>
          <w:color w:val="auto"/>
        </w:rPr>
        <w:t>ssessment</w:t>
      </w:r>
      <w:r w:rsidR="00AB5D9A">
        <w:rPr>
          <w:color w:val="auto"/>
        </w:rPr>
        <w:t xml:space="preserve">. </w:t>
      </w:r>
      <w:r>
        <w:rPr>
          <w:color w:val="auto"/>
        </w:rPr>
        <w:t>W</w:t>
      </w:r>
      <w:r w:rsidRPr="004F0B98">
        <w:rPr>
          <w:color w:val="auto"/>
        </w:rPr>
        <w:t>e are satisfied that the risk to ground and surface waters is low.</w:t>
      </w:r>
    </w:p>
    <w:p w14:paraId="2733DC99" w14:textId="42C1FC09" w:rsidR="009509E3" w:rsidRDefault="009509E3" w:rsidP="009509E3">
      <w:pPr>
        <w:rPr>
          <w:color w:val="auto"/>
        </w:rPr>
      </w:pPr>
      <w:r w:rsidRPr="00BC3B7A">
        <w:rPr>
          <w:color w:val="auto"/>
        </w:rPr>
        <w:t xml:space="preserve">Roof water from the poultry houses and water draining from the yard (excluding periods of washout when water from the yard drains to the underground tanks) is directed to a </w:t>
      </w:r>
      <w:r w:rsidR="003C1B18">
        <w:rPr>
          <w:color w:val="auto"/>
        </w:rPr>
        <w:t>swale acting as a soakaway</w:t>
      </w:r>
      <w:r w:rsidRPr="00BC3B7A">
        <w:rPr>
          <w:color w:val="auto"/>
        </w:rPr>
        <w:t xml:space="preserve"> to the </w:t>
      </w:r>
      <w:r w:rsidR="0013344F">
        <w:rPr>
          <w:color w:val="auto"/>
        </w:rPr>
        <w:t>west</w:t>
      </w:r>
      <w:r w:rsidRPr="00BC3B7A">
        <w:rPr>
          <w:color w:val="auto"/>
        </w:rPr>
        <w:t xml:space="preserve"> of the poultry houses</w:t>
      </w:r>
      <w:r>
        <w:rPr>
          <w:color w:val="auto"/>
        </w:rPr>
        <w:t>, therefore there is no discharge direct to ground or surface waters from the installation</w:t>
      </w:r>
      <w:r w:rsidRPr="00BC3B7A">
        <w:rPr>
          <w:color w:val="auto"/>
        </w:rPr>
        <w:t>.</w:t>
      </w:r>
    </w:p>
    <w:p w14:paraId="0BA2A184" w14:textId="5143F891" w:rsidR="009509E3" w:rsidRPr="000C0227" w:rsidRDefault="009509E3" w:rsidP="009509E3">
      <w:r w:rsidRPr="00A86A7A">
        <w:rPr>
          <w:color w:val="auto"/>
        </w:rPr>
        <w:t>Water from the wash out of poultry houses</w:t>
      </w:r>
      <w:r>
        <w:rPr>
          <w:color w:val="auto"/>
        </w:rPr>
        <w:t xml:space="preserve"> (slurry)</w:t>
      </w:r>
      <w:r w:rsidRPr="00A86A7A">
        <w:rPr>
          <w:color w:val="auto"/>
        </w:rPr>
        <w:t xml:space="preserve"> is channelled to underground collection tanks close to the houses to await export off site </w:t>
      </w:r>
      <w:r w:rsidR="00E57DB6">
        <w:rPr>
          <w:color w:val="auto"/>
        </w:rPr>
        <w:t xml:space="preserve">and disposal by a </w:t>
      </w:r>
      <w:r w:rsidR="00E57DB6" w:rsidRPr="00E57DB6">
        <w:rPr>
          <w:color w:val="auto"/>
        </w:rPr>
        <w:t>local licensed disposal company</w:t>
      </w:r>
      <w:r w:rsidR="007C2FAF">
        <w:rPr>
          <w:color w:val="auto"/>
        </w:rPr>
        <w:t xml:space="preserve">. </w:t>
      </w:r>
      <w:r>
        <w:t xml:space="preserve">The </w:t>
      </w:r>
      <w:r w:rsidRPr="00157D5A">
        <w:t>collection tanks</w:t>
      </w:r>
      <w:r>
        <w:t xml:space="preserve"> </w:t>
      </w:r>
      <w:r w:rsidRPr="00157D5A">
        <w:t>are built to conform to specifications in EPR 6.09 ‘How to comply with your environmental permit for intensive farming’, and specifically to meet the requirements of The Water Resources (Control of Pollution) (Silage, Slurry and Agricultural Fuel Oil) (England) Regulations 2010 (as amended 2013).</w:t>
      </w:r>
      <w:r>
        <w:t xml:space="preserve"> </w:t>
      </w:r>
      <w:r w:rsidRPr="007F5EF4">
        <w:rPr>
          <w:color w:val="auto"/>
        </w:rPr>
        <w:t xml:space="preserve">Diverter bungs will be used during wash down periods to prevent the contamination of surface water systems and to divert the wash water to the dirty water tank. Clean drainage systems will not be contaminated.  </w:t>
      </w:r>
    </w:p>
    <w:p w14:paraId="791B06D0" w14:textId="20AB23C5" w:rsidR="009509E3" w:rsidRDefault="007C2FAF" w:rsidP="009509E3">
      <w:pPr>
        <w:rPr>
          <w:color w:val="auto"/>
        </w:rPr>
      </w:pPr>
      <w:r>
        <w:rPr>
          <w:color w:val="auto"/>
        </w:rPr>
        <w:t>Any w</w:t>
      </w:r>
      <w:r w:rsidR="009509E3" w:rsidRPr="00092FC3">
        <w:rPr>
          <w:color w:val="auto"/>
        </w:rPr>
        <w:t xml:space="preserve">ash water </w:t>
      </w:r>
      <w:r>
        <w:rPr>
          <w:color w:val="auto"/>
        </w:rPr>
        <w:t xml:space="preserve">that is </w:t>
      </w:r>
      <w:r w:rsidR="009509E3" w:rsidRPr="00092FC3">
        <w:rPr>
          <w:color w:val="auto"/>
        </w:rPr>
        <w:t>applied to land must be spread in accordance with the Reduction and Prevention of Agricultural Diffuse Pollution (England) Regulations 2018</w:t>
      </w:r>
      <w:r w:rsidR="009509E3">
        <w:rPr>
          <w:color w:val="auto"/>
        </w:rPr>
        <w:t xml:space="preserve"> </w:t>
      </w:r>
      <w:r w:rsidR="009509E3" w:rsidRPr="00473236">
        <w:rPr>
          <w:color w:val="auto"/>
        </w:rPr>
        <w:t>(Farming Rules for Water)</w:t>
      </w:r>
      <w:r w:rsidR="009509E3" w:rsidRPr="00092FC3">
        <w:rPr>
          <w:color w:val="auto"/>
        </w:rPr>
        <w:t xml:space="preserve">, </w:t>
      </w:r>
      <w:r w:rsidR="009509E3">
        <w:rPr>
          <w:color w:val="auto"/>
        </w:rPr>
        <w:t xml:space="preserve">and, in designated areas, </w:t>
      </w:r>
      <w:r w:rsidR="009509E3" w:rsidRPr="00092FC3">
        <w:rPr>
          <w:color w:val="auto"/>
        </w:rPr>
        <w:t>the Nitrate Pollution Prevention Regulations 2015 which were further amended in 2016, a manure management plan (in accordance with the N</w:t>
      </w:r>
      <w:r w:rsidR="009509E3">
        <w:rPr>
          <w:color w:val="auto"/>
        </w:rPr>
        <w:t xml:space="preserve">itrate </w:t>
      </w:r>
      <w:r w:rsidR="009509E3" w:rsidRPr="00092FC3">
        <w:rPr>
          <w:color w:val="auto"/>
        </w:rPr>
        <w:t>V</w:t>
      </w:r>
      <w:r w:rsidR="009509E3">
        <w:rPr>
          <w:color w:val="auto"/>
        </w:rPr>
        <w:t xml:space="preserve">ulnerable </w:t>
      </w:r>
      <w:r w:rsidR="009509E3" w:rsidRPr="00092FC3">
        <w:rPr>
          <w:color w:val="auto"/>
        </w:rPr>
        <w:t>Z</w:t>
      </w:r>
      <w:r w:rsidR="009509E3">
        <w:rPr>
          <w:color w:val="auto"/>
        </w:rPr>
        <w:t xml:space="preserve">one (NVZ) </w:t>
      </w:r>
      <w:r w:rsidR="009509E3" w:rsidRPr="00092FC3">
        <w:rPr>
          <w:color w:val="auto"/>
        </w:rPr>
        <w:t xml:space="preserve">rules) and </w:t>
      </w:r>
      <w:r w:rsidR="001C7AEB">
        <w:rPr>
          <w:color w:val="auto"/>
        </w:rPr>
        <w:t>c</w:t>
      </w:r>
      <w:r w:rsidR="009509E3" w:rsidRPr="00092FC3">
        <w:rPr>
          <w:color w:val="auto"/>
        </w:rPr>
        <w:t xml:space="preserve">ondition 2.3.5 of the </w:t>
      </w:r>
      <w:r w:rsidR="00787A17">
        <w:rPr>
          <w:color w:val="auto"/>
        </w:rPr>
        <w:t>p</w:t>
      </w:r>
      <w:r w:rsidR="009509E3" w:rsidRPr="00092FC3">
        <w:rPr>
          <w:color w:val="auto"/>
        </w:rPr>
        <w:t xml:space="preserve">ermit, which requires that all appropriate measures are used to prevent or where that is not practicable minimise pollution. </w:t>
      </w:r>
      <w:r w:rsidR="009509E3" w:rsidRPr="004849CE">
        <w:t xml:space="preserve"> </w:t>
      </w:r>
    </w:p>
    <w:p w14:paraId="1CE14CCE" w14:textId="7A100178" w:rsidR="009509E3" w:rsidRDefault="009509E3" w:rsidP="009509E3">
      <w:pPr>
        <w:rPr>
          <w:color w:val="auto"/>
        </w:rPr>
      </w:pPr>
      <w:r w:rsidRPr="00F752B3">
        <w:rPr>
          <w:color w:val="auto"/>
        </w:rPr>
        <w:t xml:space="preserve">The Applicant has proposed appropriate measures to manage fugitive emissions (emissions not controlled by an emission limit). We are satisfied that these measures will mitigate emissions to prevent a significant impact from the site. These measures are listed in Table S1.2 of the </w:t>
      </w:r>
      <w:r w:rsidR="00787A17">
        <w:rPr>
          <w:color w:val="auto"/>
        </w:rPr>
        <w:t>p</w:t>
      </w:r>
      <w:r w:rsidRPr="00F752B3">
        <w:rPr>
          <w:color w:val="auto"/>
        </w:rPr>
        <w:t xml:space="preserve">ermit and the Operator is required to comply with them as stipulated in </w:t>
      </w:r>
      <w:r w:rsidR="001C7AEB">
        <w:rPr>
          <w:color w:val="auto"/>
        </w:rPr>
        <w:t>c</w:t>
      </w:r>
      <w:r w:rsidRPr="00F752B3">
        <w:rPr>
          <w:color w:val="auto"/>
        </w:rPr>
        <w:t xml:space="preserve">ondition 2.3.1 of the </w:t>
      </w:r>
      <w:r w:rsidR="00787A17">
        <w:rPr>
          <w:color w:val="auto"/>
        </w:rPr>
        <w:t>p</w:t>
      </w:r>
      <w:r w:rsidRPr="00F752B3">
        <w:rPr>
          <w:color w:val="auto"/>
        </w:rPr>
        <w:t xml:space="preserve">ermit. Standard </w:t>
      </w:r>
      <w:r w:rsidR="001C7AEB">
        <w:rPr>
          <w:color w:val="auto"/>
        </w:rPr>
        <w:t>c</w:t>
      </w:r>
      <w:r w:rsidRPr="00F752B3">
        <w:rPr>
          <w:color w:val="auto"/>
        </w:rPr>
        <w:t>onditions 3.2.1 and 3.2.2 concerning fugitive emissions are also included in the permit.</w:t>
      </w:r>
    </w:p>
    <w:p w14:paraId="63E09B18" w14:textId="4CD4A788" w:rsidR="009509E3" w:rsidRDefault="009509E3" w:rsidP="001759FF">
      <w:pPr>
        <w:rPr>
          <w:color w:val="auto"/>
        </w:rPr>
      </w:pPr>
      <w:r>
        <w:rPr>
          <w:color w:val="auto"/>
        </w:rPr>
        <w:t xml:space="preserve">We </w:t>
      </w:r>
      <w:r w:rsidRPr="008510F8">
        <w:rPr>
          <w:color w:val="auto"/>
        </w:rPr>
        <w:t xml:space="preserve">conclude that the measures in place will ensure that any contaminated water will be contained, and potentially lightly contaminated water has sufficient mitigation in place. Therefore, no pollution of groundwater or surface water should occur as a result of operations at the </w:t>
      </w:r>
      <w:r w:rsidR="00637295">
        <w:rPr>
          <w:color w:val="auto"/>
        </w:rPr>
        <w:t>i</w:t>
      </w:r>
      <w:r w:rsidRPr="008510F8">
        <w:rPr>
          <w:color w:val="auto"/>
        </w:rPr>
        <w:t>nstallation.</w:t>
      </w:r>
    </w:p>
    <w:p w14:paraId="69A5E431" w14:textId="5F81B295" w:rsidR="00EC281D" w:rsidRPr="00EC281D" w:rsidRDefault="00EC281D" w:rsidP="006F570D">
      <w:pPr>
        <w:pStyle w:val="ListParagraph"/>
        <w:numPr>
          <w:ilvl w:val="0"/>
          <w:numId w:val="26"/>
        </w:numPr>
        <w:rPr>
          <w:b/>
          <w:bCs/>
          <w:color w:val="auto"/>
        </w:rPr>
      </w:pPr>
      <w:r w:rsidRPr="00EC281D">
        <w:rPr>
          <w:b/>
          <w:bCs/>
          <w:color w:val="auto"/>
        </w:rPr>
        <w:t>Impact on nearby habitat receptors.</w:t>
      </w:r>
    </w:p>
    <w:p w14:paraId="2B39CB55" w14:textId="5257600B" w:rsidR="000F5DD4" w:rsidRDefault="00EC281D" w:rsidP="00893182">
      <w:pPr>
        <w:rPr>
          <w:color w:val="auto"/>
        </w:rPr>
      </w:pPr>
      <w:r w:rsidRPr="00A00CD2">
        <w:rPr>
          <w:color w:val="auto"/>
        </w:rPr>
        <w:t xml:space="preserve">We have carried out an assessment of the impact from this proposal on </w:t>
      </w:r>
      <w:r>
        <w:rPr>
          <w:color w:val="auto"/>
        </w:rPr>
        <w:t xml:space="preserve">nearby habitat </w:t>
      </w:r>
      <w:r w:rsidRPr="00A00CD2">
        <w:rPr>
          <w:color w:val="auto"/>
        </w:rPr>
        <w:t xml:space="preserve">sites from ammonia emissions. This has considered any Special Areas of Conservation, Special Protection Areas, Ramsar sites and Sites of Special Scientific Interest within 5km of the </w:t>
      </w:r>
      <w:r w:rsidR="00637295">
        <w:rPr>
          <w:color w:val="auto"/>
        </w:rPr>
        <w:t>i</w:t>
      </w:r>
      <w:r w:rsidRPr="00A00CD2">
        <w:rPr>
          <w:color w:val="auto"/>
        </w:rPr>
        <w:t>nstallation boundary and any other nature conservation sites</w:t>
      </w:r>
      <w:r>
        <w:rPr>
          <w:color w:val="auto"/>
        </w:rPr>
        <w:t xml:space="preserve">, </w:t>
      </w:r>
      <w:r w:rsidRPr="00A00CD2">
        <w:rPr>
          <w:color w:val="auto"/>
        </w:rPr>
        <w:t xml:space="preserve">including National Nature Reserves, Local Nature Reserves, Ancient Woodlands and Local Wildlife Sites, within 2km of the </w:t>
      </w:r>
      <w:r w:rsidR="00637295">
        <w:rPr>
          <w:color w:val="auto"/>
        </w:rPr>
        <w:t>i</w:t>
      </w:r>
      <w:r w:rsidRPr="00A00CD2">
        <w:rPr>
          <w:color w:val="auto"/>
        </w:rPr>
        <w:t>nstallation boundary. Screening using the ammonia screening tool version 4.</w:t>
      </w:r>
      <w:r>
        <w:rPr>
          <w:color w:val="auto"/>
        </w:rPr>
        <w:t>6,</w:t>
      </w:r>
      <w:r w:rsidRPr="00A00CD2">
        <w:rPr>
          <w:color w:val="auto"/>
        </w:rPr>
        <w:t xml:space="preserve"> has concluded that all ammonia emissions from the site are insignificant.</w:t>
      </w:r>
      <w:r w:rsidRPr="0067124D">
        <w:t xml:space="preserve"> </w:t>
      </w:r>
      <w:r w:rsidRPr="0067124D">
        <w:rPr>
          <w:color w:val="auto"/>
        </w:rPr>
        <w:t xml:space="preserve">The </w:t>
      </w:r>
      <w:hyperlink w:anchor="Key_issues" w:tooltip="Link to 'Key issues' section of this document" w:history="1">
        <w:r w:rsidRPr="0073208E">
          <w:rPr>
            <w:color w:val="0000FF"/>
            <w:u w:val="single"/>
          </w:rPr>
          <w:t>key issues</w:t>
        </w:r>
      </w:hyperlink>
      <w:r>
        <w:t xml:space="preserve"> </w:t>
      </w:r>
      <w:r w:rsidRPr="0067124D">
        <w:rPr>
          <w:color w:val="auto"/>
        </w:rPr>
        <w:t>section of this document summarises our ammonia assessment.</w:t>
      </w:r>
    </w:p>
    <w:p w14:paraId="15CFAD7D" w14:textId="77777777" w:rsidR="005951B4" w:rsidRPr="001C0888" w:rsidRDefault="005951B4" w:rsidP="00893182">
      <w:pPr>
        <w:rPr>
          <w:color w:val="auto"/>
        </w:rPr>
      </w:pPr>
    </w:p>
    <w:p w14:paraId="370AD822" w14:textId="7167643D" w:rsidR="00893182" w:rsidRDefault="00893182" w:rsidP="00893182">
      <w:pPr>
        <w:rPr>
          <w:color w:val="auto"/>
        </w:rPr>
      </w:pPr>
      <w:r w:rsidRPr="001675C0">
        <w:rPr>
          <w:b/>
          <w:bCs/>
          <w:color w:val="auto"/>
        </w:rPr>
        <w:t>Response received from:</w:t>
      </w:r>
      <w:r w:rsidRPr="00A0682B">
        <w:rPr>
          <w:color w:val="auto"/>
        </w:rPr>
        <w:t xml:space="preserve"> </w:t>
      </w:r>
      <w:r w:rsidR="003E771F">
        <w:rPr>
          <w:color w:val="auto"/>
        </w:rPr>
        <w:t>FAITH Animal Rescue</w:t>
      </w:r>
      <w:r w:rsidRPr="00A0682B">
        <w:rPr>
          <w:color w:val="auto"/>
        </w:rPr>
        <w:t xml:space="preserve"> on </w:t>
      </w:r>
      <w:r w:rsidR="00A445B0">
        <w:rPr>
          <w:color w:val="auto"/>
        </w:rPr>
        <w:t>13/01/2026</w:t>
      </w:r>
      <w:r w:rsidRPr="00A0682B">
        <w:rPr>
          <w:color w:val="auto"/>
        </w:rPr>
        <w:t>.</w:t>
      </w:r>
    </w:p>
    <w:p w14:paraId="5015083F" w14:textId="2CB2910C" w:rsidR="00881D4E" w:rsidRPr="00A0682B" w:rsidRDefault="00881D4E" w:rsidP="00893182">
      <w:pPr>
        <w:rPr>
          <w:color w:val="auto"/>
        </w:rPr>
      </w:pPr>
      <w:r>
        <w:rPr>
          <w:color w:val="auto"/>
        </w:rPr>
        <w:t>The response raised many of the same issues as previously addressed above. Only those issues additional to those already considered are listed below:</w:t>
      </w:r>
    </w:p>
    <w:p w14:paraId="361256EF" w14:textId="77777777" w:rsidR="00893182" w:rsidRDefault="00893182" w:rsidP="00893182">
      <w:pPr>
        <w:rPr>
          <w:b/>
          <w:bCs/>
          <w:color w:val="auto"/>
        </w:rPr>
      </w:pPr>
      <w:r w:rsidRPr="001675C0">
        <w:rPr>
          <w:b/>
          <w:bCs/>
          <w:color w:val="auto"/>
        </w:rPr>
        <w:t>Brief summary of issues raised and actions taken:</w:t>
      </w:r>
    </w:p>
    <w:p w14:paraId="4ABF3C10" w14:textId="62A13E54" w:rsidR="00C3635F" w:rsidRDefault="00C3635F" w:rsidP="00C3635F">
      <w:pPr>
        <w:pStyle w:val="ListParagraph"/>
        <w:numPr>
          <w:ilvl w:val="0"/>
          <w:numId w:val="27"/>
        </w:numPr>
        <w:rPr>
          <w:b/>
          <w:bCs/>
          <w:color w:val="auto"/>
        </w:rPr>
      </w:pPr>
      <w:r w:rsidRPr="00B97B6F">
        <w:rPr>
          <w:b/>
          <w:bCs/>
          <w:color w:val="auto"/>
        </w:rPr>
        <w:t>Principle of Intensive Farming</w:t>
      </w:r>
      <w:r w:rsidR="00AB14A0">
        <w:rPr>
          <w:b/>
          <w:bCs/>
          <w:color w:val="auto"/>
        </w:rPr>
        <w:t>.</w:t>
      </w:r>
    </w:p>
    <w:p w14:paraId="256FFF37" w14:textId="6029D660" w:rsidR="00C3635F" w:rsidRPr="00EB12ED" w:rsidRDefault="00C3635F" w:rsidP="00C3635F">
      <w:pPr>
        <w:rPr>
          <w:color w:val="auto"/>
        </w:rPr>
      </w:pPr>
      <w:r w:rsidRPr="00EB12ED">
        <w:rPr>
          <w:color w:val="auto"/>
        </w:rPr>
        <w:t xml:space="preserve">The principle of intensive farming of poultry for human consumption is not dealt with by the Environmental Permitting Regulations and is therefore not an issue under the Environment Agency’s remit. The Environment Agency is responsible for ensuring that the activities at the </w:t>
      </w:r>
      <w:r w:rsidR="00637295">
        <w:rPr>
          <w:color w:val="auto"/>
        </w:rPr>
        <w:t>i</w:t>
      </w:r>
      <w:r w:rsidRPr="00EB12ED">
        <w:rPr>
          <w:color w:val="auto"/>
        </w:rPr>
        <w:t>nstallation do not have an unacceptable impact on the environment or human health.    </w:t>
      </w:r>
    </w:p>
    <w:p w14:paraId="252AC4EA" w14:textId="1C902573" w:rsidR="00893182" w:rsidRPr="003A2ED8" w:rsidRDefault="00671E06" w:rsidP="00671E06">
      <w:pPr>
        <w:pStyle w:val="ListParagraph"/>
        <w:numPr>
          <w:ilvl w:val="0"/>
          <w:numId w:val="27"/>
        </w:numPr>
        <w:rPr>
          <w:b/>
          <w:bCs/>
          <w:color w:val="auto"/>
        </w:rPr>
      </w:pPr>
      <w:r w:rsidRPr="003A2ED8">
        <w:rPr>
          <w:b/>
          <w:bCs/>
          <w:color w:val="auto"/>
        </w:rPr>
        <w:t>Local Authority use of f</w:t>
      </w:r>
      <w:r w:rsidR="00F165E7" w:rsidRPr="003A2ED8">
        <w:rPr>
          <w:b/>
          <w:bCs/>
          <w:color w:val="auto"/>
        </w:rPr>
        <w:t xml:space="preserve">inances </w:t>
      </w:r>
      <w:r w:rsidR="003A2ED8" w:rsidRPr="003A2ED8">
        <w:rPr>
          <w:b/>
          <w:bCs/>
          <w:color w:val="auto"/>
        </w:rPr>
        <w:t xml:space="preserve">in </w:t>
      </w:r>
      <w:r w:rsidR="002760AB">
        <w:rPr>
          <w:b/>
          <w:bCs/>
          <w:color w:val="auto"/>
        </w:rPr>
        <w:t xml:space="preserve">assessment of </w:t>
      </w:r>
      <w:r w:rsidR="003A2ED8" w:rsidRPr="003A2ED8">
        <w:rPr>
          <w:b/>
          <w:bCs/>
        </w:rPr>
        <w:t>Environmental Impact Assessment (EIA) and Planning Performance Agreement</w:t>
      </w:r>
      <w:r w:rsidR="00AB14A0">
        <w:rPr>
          <w:b/>
          <w:bCs/>
        </w:rPr>
        <w:t>.</w:t>
      </w:r>
      <w:r w:rsidR="003A2ED8" w:rsidRPr="003A2ED8">
        <w:rPr>
          <w:b/>
          <w:bCs/>
        </w:rPr>
        <w:t xml:space="preserve"> </w:t>
      </w:r>
    </w:p>
    <w:p w14:paraId="3C4191FE" w14:textId="7133A783" w:rsidR="00A7293C" w:rsidRDefault="00A7293C" w:rsidP="00A7293C">
      <w:r>
        <w:t>This</w:t>
      </w:r>
      <w:r w:rsidR="00D67F64">
        <w:t xml:space="preserve"> does not fall </w:t>
      </w:r>
      <w:r>
        <w:t xml:space="preserve">under the Environment Agency’s regulatory responsibility. It does not therefore fall within the scope of the </w:t>
      </w:r>
      <w:r w:rsidR="00787A17">
        <w:t>p</w:t>
      </w:r>
      <w:r>
        <w:t xml:space="preserve">ermit determination. </w:t>
      </w:r>
    </w:p>
    <w:p w14:paraId="0BB1ED68" w14:textId="5482930B" w:rsidR="00AE6710" w:rsidRPr="00AE6710" w:rsidRDefault="00AE6710" w:rsidP="00AE6710">
      <w:pPr>
        <w:pStyle w:val="ListParagraph"/>
        <w:numPr>
          <w:ilvl w:val="0"/>
          <w:numId w:val="27"/>
        </w:numPr>
        <w:rPr>
          <w:b/>
          <w:bCs/>
          <w:color w:val="auto"/>
        </w:rPr>
      </w:pPr>
      <w:r w:rsidRPr="00AE6710">
        <w:rPr>
          <w:b/>
          <w:bCs/>
          <w:color w:val="auto"/>
        </w:rPr>
        <w:t>Land use.</w:t>
      </w:r>
    </w:p>
    <w:p w14:paraId="43ED7823" w14:textId="6832972E" w:rsidR="00AE6710" w:rsidRDefault="00AE6710" w:rsidP="00AE6710">
      <w:pPr>
        <w:rPr>
          <w:color w:val="auto"/>
        </w:rPr>
      </w:pPr>
      <w:r>
        <w:rPr>
          <w:color w:val="auto"/>
        </w:rPr>
        <w:t>L</w:t>
      </w:r>
      <w:r w:rsidRPr="00F30A1F">
        <w:rPr>
          <w:color w:val="auto"/>
        </w:rPr>
        <w:t xml:space="preserve">and use </w:t>
      </w:r>
      <w:r>
        <w:rPr>
          <w:color w:val="auto"/>
        </w:rPr>
        <w:t>is a</w:t>
      </w:r>
      <w:r w:rsidRPr="00F30A1F">
        <w:rPr>
          <w:color w:val="auto"/>
        </w:rPr>
        <w:t xml:space="preserve"> matter for consideration during the planning process and do</w:t>
      </w:r>
      <w:r>
        <w:rPr>
          <w:color w:val="auto"/>
        </w:rPr>
        <w:t>es</w:t>
      </w:r>
      <w:r w:rsidRPr="00F30A1F">
        <w:rPr>
          <w:color w:val="auto"/>
        </w:rPr>
        <w:t xml:space="preserve"> not form part of the </w:t>
      </w:r>
      <w:r w:rsidR="00787A17">
        <w:rPr>
          <w:color w:val="auto"/>
        </w:rPr>
        <w:t>p</w:t>
      </w:r>
      <w:r w:rsidRPr="00F30A1F">
        <w:rPr>
          <w:color w:val="auto"/>
        </w:rPr>
        <w:t>ermit decision.</w:t>
      </w:r>
    </w:p>
    <w:p w14:paraId="11F5E669" w14:textId="55BA4C9A" w:rsidR="00893182" w:rsidRPr="00DF46C9" w:rsidRDefault="00DF46C9" w:rsidP="00BD4A07">
      <w:pPr>
        <w:pStyle w:val="ListParagraph"/>
        <w:numPr>
          <w:ilvl w:val="0"/>
          <w:numId w:val="27"/>
        </w:numPr>
        <w:rPr>
          <w:b/>
          <w:bCs/>
          <w:color w:val="auto"/>
        </w:rPr>
      </w:pPr>
      <w:r w:rsidRPr="00DF46C9">
        <w:rPr>
          <w:b/>
          <w:bCs/>
          <w:color w:val="auto"/>
        </w:rPr>
        <w:t xml:space="preserve">National or global food security and sustainability goals. </w:t>
      </w:r>
    </w:p>
    <w:p w14:paraId="5899E345" w14:textId="372D68EA" w:rsidR="00DF46C9" w:rsidRDefault="002B0671" w:rsidP="00DF46C9">
      <w:pPr>
        <w:rPr>
          <w:color w:val="auto"/>
        </w:rPr>
      </w:pPr>
      <w:r>
        <w:rPr>
          <w:color w:val="auto"/>
        </w:rPr>
        <w:t>National or global food sec</w:t>
      </w:r>
      <w:r w:rsidR="001E45C2">
        <w:rPr>
          <w:color w:val="auto"/>
        </w:rPr>
        <w:t xml:space="preserve">urity and sustainability goals do not </w:t>
      </w:r>
      <w:r w:rsidR="001E45C2" w:rsidRPr="006104E1">
        <w:rPr>
          <w:color w:val="auto"/>
        </w:rPr>
        <w:t>fall within the scope of th</w:t>
      </w:r>
      <w:r w:rsidR="0052161D">
        <w:rPr>
          <w:color w:val="auto"/>
        </w:rPr>
        <w:t>is</w:t>
      </w:r>
      <w:r w:rsidR="001E45C2" w:rsidRPr="006104E1">
        <w:rPr>
          <w:color w:val="auto"/>
        </w:rPr>
        <w:t xml:space="preserve"> </w:t>
      </w:r>
      <w:r w:rsidR="00787A17">
        <w:rPr>
          <w:color w:val="auto"/>
        </w:rPr>
        <w:t>p</w:t>
      </w:r>
      <w:r w:rsidR="001E45C2" w:rsidRPr="006104E1">
        <w:rPr>
          <w:color w:val="auto"/>
        </w:rPr>
        <w:t xml:space="preserve">ermit determination. The Environment Agency is responsible for ensuring that the activities at the </w:t>
      </w:r>
      <w:r w:rsidR="00637295">
        <w:rPr>
          <w:color w:val="auto"/>
        </w:rPr>
        <w:t>i</w:t>
      </w:r>
      <w:r w:rsidR="001E45C2" w:rsidRPr="006104E1">
        <w:rPr>
          <w:color w:val="auto"/>
        </w:rPr>
        <w:t>nstallation do not have an unacceptable impact on the environment or human health.</w:t>
      </w:r>
    </w:p>
    <w:p w14:paraId="37E64B1E" w14:textId="6852C816" w:rsidR="00DE2D4A" w:rsidRDefault="00DE2D4A" w:rsidP="00DE2D4A">
      <w:pPr>
        <w:pStyle w:val="ListParagraph"/>
        <w:numPr>
          <w:ilvl w:val="0"/>
          <w:numId w:val="27"/>
        </w:numPr>
        <w:rPr>
          <w:b/>
          <w:bCs/>
          <w:color w:val="auto"/>
        </w:rPr>
      </w:pPr>
      <w:r>
        <w:rPr>
          <w:b/>
          <w:bCs/>
          <w:color w:val="auto"/>
        </w:rPr>
        <w:t>Location of the farm</w:t>
      </w:r>
      <w:r w:rsidR="00793164">
        <w:rPr>
          <w:b/>
          <w:bCs/>
          <w:color w:val="auto"/>
        </w:rPr>
        <w:t xml:space="preserve">. </w:t>
      </w:r>
    </w:p>
    <w:p w14:paraId="2481C405" w14:textId="4B1B016B" w:rsidR="00684248" w:rsidRDefault="00DE2D4A" w:rsidP="00684248">
      <w:pPr>
        <w:rPr>
          <w:color w:val="auto"/>
        </w:rPr>
      </w:pPr>
      <w:r>
        <w:rPr>
          <w:color w:val="auto"/>
        </w:rPr>
        <w:t>T</w:t>
      </w:r>
      <w:r w:rsidRPr="002E09B7">
        <w:rPr>
          <w:color w:val="auto"/>
        </w:rPr>
        <w:t>he site location, the scale</w:t>
      </w:r>
      <w:r>
        <w:rPr>
          <w:color w:val="auto"/>
        </w:rPr>
        <w:t xml:space="preserve"> and</w:t>
      </w:r>
      <w:r w:rsidRPr="002E09B7">
        <w:rPr>
          <w:color w:val="auto"/>
        </w:rPr>
        <w:t xml:space="preserve"> visual impact</w:t>
      </w:r>
      <w:r>
        <w:rPr>
          <w:color w:val="auto"/>
        </w:rPr>
        <w:t xml:space="preserve"> of the farm</w:t>
      </w:r>
      <w:r w:rsidRPr="002E09B7">
        <w:rPr>
          <w:color w:val="auto"/>
        </w:rPr>
        <w:t xml:space="preserve"> is a matter for consideration during the planning process where planning permission is required. Location is relevant for permitting but only in so far as its potential to have an adverse impact on relevant sensitive receptors.  </w:t>
      </w:r>
    </w:p>
    <w:p w14:paraId="0071E69A" w14:textId="1C1B4CD9" w:rsidR="00115AED" w:rsidRPr="004105A2" w:rsidRDefault="00115AED" w:rsidP="00115AED">
      <w:pPr>
        <w:pStyle w:val="ListParagraph"/>
        <w:numPr>
          <w:ilvl w:val="0"/>
          <w:numId w:val="27"/>
        </w:numPr>
        <w:rPr>
          <w:b/>
          <w:bCs/>
          <w:color w:val="auto"/>
        </w:rPr>
      </w:pPr>
      <w:r w:rsidRPr="004105A2">
        <w:rPr>
          <w:b/>
          <w:bCs/>
          <w:color w:val="auto"/>
        </w:rPr>
        <w:t>Implications of relevant Local Authority judgement</w:t>
      </w:r>
      <w:r w:rsidR="001C0888" w:rsidRPr="004105A2">
        <w:rPr>
          <w:b/>
          <w:bCs/>
          <w:color w:val="auto"/>
        </w:rPr>
        <w:t>.</w:t>
      </w:r>
      <w:r w:rsidRPr="004105A2">
        <w:rPr>
          <w:b/>
          <w:bCs/>
          <w:color w:val="auto"/>
        </w:rPr>
        <w:t xml:space="preserve"> </w:t>
      </w:r>
    </w:p>
    <w:p w14:paraId="22FA0D18" w14:textId="62EEA7D1" w:rsidR="00E60149" w:rsidRDefault="00776942" w:rsidP="007245E4">
      <w:pPr>
        <w:rPr>
          <w:color w:val="auto"/>
        </w:rPr>
      </w:pPr>
      <w:r>
        <w:rPr>
          <w:color w:val="auto"/>
        </w:rPr>
        <w:t xml:space="preserve">Our decision whether to grant an environmental permit is separate from the planning process. </w:t>
      </w:r>
      <w:r w:rsidR="00ED5E45">
        <w:rPr>
          <w:color w:val="auto"/>
        </w:rPr>
        <w:t>The granting of planning permissions</w:t>
      </w:r>
      <w:r w:rsidR="0041024B">
        <w:rPr>
          <w:color w:val="auto"/>
        </w:rPr>
        <w:t xml:space="preserve"> is under different legislation to that for an environmental pe</w:t>
      </w:r>
      <w:r w:rsidR="008F7DC7">
        <w:rPr>
          <w:color w:val="auto"/>
        </w:rPr>
        <w:t>rmit</w:t>
      </w:r>
      <w:r w:rsidR="00CD0850">
        <w:rPr>
          <w:color w:val="auto"/>
        </w:rPr>
        <w:t xml:space="preserve">. </w:t>
      </w:r>
      <w:r w:rsidR="00CC5325">
        <w:rPr>
          <w:color w:val="auto"/>
        </w:rPr>
        <w:t xml:space="preserve">It does not therefore fall within the scope of the </w:t>
      </w:r>
      <w:r w:rsidR="002F4E5D">
        <w:rPr>
          <w:color w:val="auto"/>
        </w:rPr>
        <w:t>p</w:t>
      </w:r>
      <w:r w:rsidR="00CC5325">
        <w:rPr>
          <w:color w:val="auto"/>
        </w:rPr>
        <w:t xml:space="preserve">ermit determination. </w:t>
      </w:r>
    </w:p>
    <w:p w14:paraId="1E77052C" w14:textId="033B88AE" w:rsidR="007234CC" w:rsidRPr="00EF2DD0" w:rsidRDefault="007234CC" w:rsidP="00B96ADC">
      <w:pPr>
        <w:spacing w:before="120" w:after="120" w:line="276" w:lineRule="auto"/>
        <w:rPr>
          <w:color w:val="auto"/>
        </w:rPr>
      </w:pPr>
      <w:r>
        <w:rPr>
          <w:color w:val="auto"/>
        </w:rPr>
        <w:t xml:space="preserve">As part of </w:t>
      </w:r>
      <w:r w:rsidR="00D64AC4">
        <w:rPr>
          <w:color w:val="auto"/>
        </w:rPr>
        <w:t>our</w:t>
      </w:r>
      <w:r>
        <w:rPr>
          <w:color w:val="auto"/>
        </w:rPr>
        <w:t xml:space="preserve"> consultation </w:t>
      </w:r>
      <w:r w:rsidR="00B96ADC">
        <w:rPr>
          <w:color w:val="auto"/>
        </w:rPr>
        <w:t>process,</w:t>
      </w:r>
      <w:r>
        <w:rPr>
          <w:color w:val="auto"/>
        </w:rPr>
        <w:t xml:space="preserve"> we consulted with </w:t>
      </w:r>
      <w:r w:rsidR="00C87F25">
        <w:rPr>
          <w:color w:val="auto"/>
        </w:rPr>
        <w:t xml:space="preserve">the </w:t>
      </w:r>
      <w:r w:rsidR="00C87F25" w:rsidRPr="00D95057">
        <w:rPr>
          <w:color w:val="auto"/>
        </w:rPr>
        <w:t>Borough Council of King’s Lynn and West Norfolk Environmental Health</w:t>
      </w:r>
      <w:r w:rsidR="00C87F25">
        <w:rPr>
          <w:color w:val="auto"/>
        </w:rPr>
        <w:t xml:space="preserve"> </w:t>
      </w:r>
      <w:r w:rsidR="0013275C">
        <w:rPr>
          <w:color w:val="auto"/>
        </w:rPr>
        <w:t>D</w:t>
      </w:r>
      <w:r w:rsidR="00BE7C71">
        <w:rPr>
          <w:color w:val="auto"/>
        </w:rPr>
        <w:t xml:space="preserve">epartment </w:t>
      </w:r>
      <w:r w:rsidR="00C87F25">
        <w:rPr>
          <w:color w:val="auto"/>
        </w:rPr>
        <w:t xml:space="preserve">and the </w:t>
      </w:r>
      <w:r w:rsidR="00C87F25" w:rsidRPr="00D95057">
        <w:rPr>
          <w:color w:val="auto"/>
        </w:rPr>
        <w:t>Director of Public Health, Norfolk County Council</w:t>
      </w:r>
      <w:r w:rsidR="00C87F25">
        <w:rPr>
          <w:color w:val="auto"/>
        </w:rPr>
        <w:t xml:space="preserve">. </w:t>
      </w:r>
      <w:r w:rsidR="00B96ED8">
        <w:rPr>
          <w:color w:val="auto"/>
        </w:rPr>
        <w:t>A summary of the response received from the Borough Council of Kin</w:t>
      </w:r>
      <w:r w:rsidR="00B96ADC">
        <w:rPr>
          <w:color w:val="auto"/>
        </w:rPr>
        <w:t>g’s Lynn and West Norfolk Environmental Health</w:t>
      </w:r>
      <w:r w:rsidR="00BE7C71">
        <w:rPr>
          <w:color w:val="auto"/>
        </w:rPr>
        <w:t xml:space="preserve"> </w:t>
      </w:r>
      <w:r w:rsidR="0013275C">
        <w:rPr>
          <w:color w:val="auto"/>
        </w:rPr>
        <w:t>D</w:t>
      </w:r>
      <w:r w:rsidR="00BE7C71">
        <w:rPr>
          <w:color w:val="auto"/>
        </w:rPr>
        <w:t>epartment</w:t>
      </w:r>
      <w:r w:rsidR="00B96ADC">
        <w:rPr>
          <w:color w:val="auto"/>
        </w:rPr>
        <w:t xml:space="preserve"> and the actions taken in response is </w:t>
      </w:r>
      <w:r w:rsidR="00445D8C">
        <w:rPr>
          <w:color w:val="auto"/>
        </w:rPr>
        <w:t>detailed</w:t>
      </w:r>
      <w:r w:rsidR="00B96ADC">
        <w:rPr>
          <w:color w:val="auto"/>
        </w:rPr>
        <w:t xml:space="preserve"> above. </w:t>
      </w:r>
    </w:p>
    <w:p w14:paraId="0A759004" w14:textId="11D617FF" w:rsidR="00B67B02" w:rsidRPr="0010093C" w:rsidRDefault="0073208E" w:rsidP="00B67B02">
      <w:pPr>
        <w:keepNext/>
        <w:spacing w:line="276" w:lineRule="auto"/>
        <w:outlineLvl w:val="1"/>
        <w:rPr>
          <w:b/>
          <w:bCs/>
          <w:iCs/>
          <w:color w:val="auto"/>
          <w:sz w:val="32"/>
          <w:szCs w:val="32"/>
        </w:rPr>
      </w:pPr>
      <w:r w:rsidRPr="0010093C">
        <w:rPr>
          <w:b/>
          <w:bCs/>
          <w:iCs/>
          <w:color w:val="auto"/>
          <w:sz w:val="32"/>
          <w:szCs w:val="32"/>
        </w:rPr>
        <w:t>Representations from individual members of the public</w:t>
      </w:r>
    </w:p>
    <w:p w14:paraId="21BF5D9B" w14:textId="55859969" w:rsidR="00D92493" w:rsidRDefault="000D60F1" w:rsidP="0073208E">
      <w:pPr>
        <w:rPr>
          <w:color w:val="auto"/>
        </w:rPr>
      </w:pPr>
      <w:r>
        <w:rPr>
          <w:color w:val="auto"/>
        </w:rPr>
        <w:t>39</w:t>
      </w:r>
      <w:r w:rsidR="00B67B02">
        <w:rPr>
          <w:color w:val="auto"/>
        </w:rPr>
        <w:t xml:space="preserve"> responses were received from individual members of the public. These raised many of the same issues as previously addressed. Only those issues additional to those already considered are listed below:</w:t>
      </w:r>
    </w:p>
    <w:p w14:paraId="11207BD2" w14:textId="6DA59823" w:rsidR="0073208E" w:rsidRPr="004A131A" w:rsidRDefault="0073208E" w:rsidP="0073208E">
      <w:pPr>
        <w:rPr>
          <w:b/>
          <w:bCs/>
          <w:color w:val="auto"/>
        </w:rPr>
      </w:pPr>
      <w:r w:rsidRPr="004A131A">
        <w:rPr>
          <w:b/>
          <w:bCs/>
          <w:color w:val="auto"/>
        </w:rPr>
        <w:t>Brief summary of issues raised</w:t>
      </w:r>
      <w:r w:rsidR="004A131A" w:rsidRPr="004A131A">
        <w:rPr>
          <w:b/>
          <w:bCs/>
          <w:color w:val="auto"/>
        </w:rPr>
        <w:t xml:space="preserve"> and actions taken</w:t>
      </w:r>
      <w:r w:rsidRPr="004A131A">
        <w:rPr>
          <w:b/>
          <w:bCs/>
          <w:color w:val="auto"/>
        </w:rPr>
        <w:t xml:space="preserve">: </w:t>
      </w:r>
    </w:p>
    <w:p w14:paraId="3C91E457" w14:textId="489BF29A" w:rsidR="00596EAD" w:rsidRDefault="00596EAD" w:rsidP="003B5D2E">
      <w:pPr>
        <w:pStyle w:val="ListParagraph"/>
        <w:numPr>
          <w:ilvl w:val="0"/>
          <w:numId w:val="31"/>
        </w:numPr>
        <w:rPr>
          <w:b/>
          <w:bCs/>
          <w:color w:val="auto"/>
        </w:rPr>
      </w:pPr>
      <w:r>
        <w:rPr>
          <w:b/>
          <w:bCs/>
          <w:color w:val="auto"/>
        </w:rPr>
        <w:t>Use of antibiotics.</w:t>
      </w:r>
    </w:p>
    <w:p w14:paraId="43F1ABAE" w14:textId="6E357DE7" w:rsidR="00596EAD" w:rsidRPr="000144D5" w:rsidRDefault="00596EAD" w:rsidP="00596EAD">
      <w:r w:rsidRPr="00142521">
        <w:rPr>
          <w:color w:val="auto"/>
        </w:rPr>
        <w:t xml:space="preserve">The use of antibiotics does not fall within the </w:t>
      </w:r>
      <w:r>
        <w:rPr>
          <w:color w:val="auto"/>
        </w:rPr>
        <w:t xml:space="preserve">regulatory responsibility of the </w:t>
      </w:r>
      <w:r w:rsidRPr="00142521">
        <w:rPr>
          <w:color w:val="auto"/>
        </w:rPr>
        <w:t>Environment Agency.</w:t>
      </w:r>
      <w:r w:rsidR="000144D5">
        <w:rPr>
          <w:color w:val="auto"/>
        </w:rPr>
        <w:t xml:space="preserve"> </w:t>
      </w:r>
      <w:r w:rsidR="000144D5">
        <w:t xml:space="preserve">It does not therefore fall within the scope of the </w:t>
      </w:r>
      <w:r w:rsidR="005B4E78">
        <w:t>p</w:t>
      </w:r>
      <w:r w:rsidR="000144D5">
        <w:t xml:space="preserve">ermit determination. </w:t>
      </w:r>
    </w:p>
    <w:p w14:paraId="116B2101" w14:textId="1A117249" w:rsidR="00472BDF" w:rsidRDefault="003117BB" w:rsidP="003B5D2E">
      <w:pPr>
        <w:pStyle w:val="ListParagraph"/>
        <w:numPr>
          <w:ilvl w:val="0"/>
          <w:numId w:val="31"/>
        </w:numPr>
        <w:rPr>
          <w:b/>
          <w:bCs/>
          <w:color w:val="auto"/>
        </w:rPr>
      </w:pPr>
      <w:r>
        <w:rPr>
          <w:b/>
          <w:bCs/>
          <w:color w:val="auto"/>
        </w:rPr>
        <w:t xml:space="preserve">Environmental impacts of </w:t>
      </w:r>
      <w:r w:rsidR="00B245BD">
        <w:rPr>
          <w:b/>
          <w:bCs/>
          <w:color w:val="auto"/>
        </w:rPr>
        <w:t xml:space="preserve">chicken </w:t>
      </w:r>
      <w:r>
        <w:rPr>
          <w:b/>
          <w:bCs/>
          <w:color w:val="auto"/>
        </w:rPr>
        <w:t>feed production</w:t>
      </w:r>
      <w:r w:rsidR="00793164">
        <w:rPr>
          <w:b/>
          <w:bCs/>
          <w:color w:val="auto"/>
        </w:rPr>
        <w:t xml:space="preserve">. </w:t>
      </w:r>
    </w:p>
    <w:p w14:paraId="3E8D5E95" w14:textId="60FF955C" w:rsidR="00B245BD" w:rsidRDefault="00A342CC" w:rsidP="00FF5770">
      <w:pPr>
        <w:rPr>
          <w:color w:val="auto"/>
        </w:rPr>
      </w:pPr>
      <w:r>
        <w:rPr>
          <w:color w:val="auto"/>
        </w:rPr>
        <w:t>No mixing or milling of feed occurs with</w:t>
      </w:r>
      <w:r w:rsidR="00A6398C">
        <w:rPr>
          <w:color w:val="auto"/>
        </w:rPr>
        <w:t>in</w:t>
      </w:r>
      <w:r>
        <w:rPr>
          <w:color w:val="auto"/>
        </w:rPr>
        <w:t xml:space="preserve"> the installation boundary. </w:t>
      </w:r>
      <w:r w:rsidR="00B245BD" w:rsidRPr="006104E1">
        <w:rPr>
          <w:color w:val="auto"/>
        </w:rPr>
        <w:t xml:space="preserve">It does not therefore fall within the scope of the </w:t>
      </w:r>
      <w:r w:rsidR="005B4E78">
        <w:rPr>
          <w:color w:val="auto"/>
        </w:rPr>
        <w:t>p</w:t>
      </w:r>
      <w:r w:rsidR="00B245BD" w:rsidRPr="006104E1">
        <w:rPr>
          <w:color w:val="auto"/>
        </w:rPr>
        <w:t xml:space="preserve">ermit determination. The Environment Agency is responsible for ensuring that the activities at the </w:t>
      </w:r>
      <w:r w:rsidR="00637295">
        <w:rPr>
          <w:color w:val="auto"/>
        </w:rPr>
        <w:t>i</w:t>
      </w:r>
      <w:r w:rsidR="00B245BD" w:rsidRPr="006104E1">
        <w:rPr>
          <w:color w:val="auto"/>
        </w:rPr>
        <w:t>nstallation do not have an unacceptable impact on the environment or human health.</w:t>
      </w:r>
    </w:p>
    <w:p w14:paraId="690A0ACF" w14:textId="77777777" w:rsidR="00EE3C97" w:rsidRPr="00FF5770" w:rsidRDefault="00EE3C97" w:rsidP="00FF5770">
      <w:pPr>
        <w:rPr>
          <w:color w:val="auto"/>
        </w:rPr>
      </w:pPr>
    </w:p>
    <w:p w14:paraId="2E28E3B6" w14:textId="2A5A28D2" w:rsidR="00F8602C" w:rsidRPr="00A97A98" w:rsidRDefault="00BE545E" w:rsidP="003B5D2E">
      <w:pPr>
        <w:pStyle w:val="ListParagraph"/>
        <w:numPr>
          <w:ilvl w:val="0"/>
          <w:numId w:val="31"/>
        </w:numPr>
        <w:rPr>
          <w:b/>
          <w:bCs/>
          <w:color w:val="auto"/>
        </w:rPr>
      </w:pPr>
      <w:r w:rsidRPr="00A97A98">
        <w:rPr>
          <w:b/>
          <w:bCs/>
          <w:color w:val="auto"/>
        </w:rPr>
        <w:t>Impact on drinking water</w:t>
      </w:r>
      <w:r w:rsidR="00793164" w:rsidRPr="00A97A98">
        <w:rPr>
          <w:b/>
          <w:bCs/>
          <w:color w:val="auto"/>
        </w:rPr>
        <w:t>.</w:t>
      </w:r>
    </w:p>
    <w:p w14:paraId="090BC871" w14:textId="0AEB5C3E" w:rsidR="00F562E8" w:rsidRPr="00F562E8" w:rsidRDefault="00F562E8" w:rsidP="00F562E8">
      <w:pPr>
        <w:rPr>
          <w:b/>
          <w:bCs/>
          <w:color w:val="auto"/>
        </w:rPr>
      </w:pPr>
      <w:r w:rsidRPr="00F562E8">
        <w:rPr>
          <w:color w:val="auto"/>
        </w:rPr>
        <w:t xml:space="preserve">An assessment of the site drainage, including the risk to groundwater from potential pollutants from the </w:t>
      </w:r>
      <w:r w:rsidR="00637295">
        <w:rPr>
          <w:color w:val="auto"/>
        </w:rPr>
        <w:t>i</w:t>
      </w:r>
      <w:r w:rsidRPr="00F562E8">
        <w:rPr>
          <w:color w:val="auto"/>
        </w:rPr>
        <w:t xml:space="preserve">nstallation, has been undertaken and the Applicant’s Site Condition Report, covering protection </w:t>
      </w:r>
      <w:r>
        <w:rPr>
          <w:color w:val="auto"/>
        </w:rPr>
        <w:t xml:space="preserve">of </w:t>
      </w:r>
      <w:r w:rsidRPr="00F562E8">
        <w:rPr>
          <w:color w:val="auto"/>
        </w:rPr>
        <w:t xml:space="preserve">groundwater, has been reviewed. In addition, the applicant has also assessed the risk of wash water discharge to groundwater as part of their </w:t>
      </w:r>
      <w:r w:rsidR="00A6765E">
        <w:rPr>
          <w:color w:val="auto"/>
        </w:rPr>
        <w:t>F</w:t>
      </w:r>
      <w:r w:rsidRPr="00F562E8">
        <w:rPr>
          <w:color w:val="auto"/>
        </w:rPr>
        <w:t xml:space="preserve">ugitive </w:t>
      </w:r>
      <w:r w:rsidR="00A6765E">
        <w:rPr>
          <w:color w:val="auto"/>
        </w:rPr>
        <w:t>R</w:t>
      </w:r>
      <w:r w:rsidRPr="00F562E8">
        <w:rPr>
          <w:color w:val="auto"/>
        </w:rPr>
        <w:t xml:space="preserve">isk </w:t>
      </w:r>
      <w:r w:rsidR="00A6765E">
        <w:rPr>
          <w:color w:val="auto"/>
        </w:rPr>
        <w:t>A</w:t>
      </w:r>
      <w:r w:rsidRPr="00F562E8">
        <w:rPr>
          <w:color w:val="auto"/>
        </w:rPr>
        <w:t>ssessment. We are satisfied that the risk to groundwater is low.</w:t>
      </w:r>
    </w:p>
    <w:p w14:paraId="022123D3" w14:textId="47078FE5" w:rsidR="002A0D22" w:rsidRPr="00A0682B" w:rsidRDefault="002A0D22" w:rsidP="002A0D22">
      <w:pPr>
        <w:rPr>
          <w:color w:val="auto"/>
        </w:rPr>
      </w:pPr>
      <w:r>
        <w:rPr>
          <w:color w:val="auto"/>
        </w:rPr>
        <w:t xml:space="preserve">Our assessment </w:t>
      </w:r>
      <w:r w:rsidR="000272A1">
        <w:rPr>
          <w:color w:val="auto"/>
        </w:rPr>
        <w:t xml:space="preserve">on the impacts to groundwater are </w:t>
      </w:r>
      <w:r>
        <w:rPr>
          <w:color w:val="auto"/>
        </w:rPr>
        <w:t xml:space="preserve">discussed further in response to concerns raised by </w:t>
      </w:r>
      <w:r w:rsidRPr="00A0682B">
        <w:rPr>
          <w:color w:val="auto"/>
        </w:rPr>
        <w:t xml:space="preserve">Coalition Against Factory Farming (CAFF) </w:t>
      </w:r>
      <w:r>
        <w:rPr>
          <w:color w:val="auto"/>
        </w:rPr>
        <w:t>under point 16.</w:t>
      </w:r>
    </w:p>
    <w:p w14:paraId="5E8200BF" w14:textId="3597E1F2" w:rsidR="00B20056" w:rsidRDefault="00130D73" w:rsidP="003B5D2E">
      <w:pPr>
        <w:pStyle w:val="ListParagraph"/>
        <w:numPr>
          <w:ilvl w:val="0"/>
          <w:numId w:val="31"/>
        </w:numPr>
        <w:rPr>
          <w:b/>
          <w:bCs/>
          <w:color w:val="auto"/>
        </w:rPr>
      </w:pPr>
      <w:r>
        <w:rPr>
          <w:b/>
          <w:bCs/>
          <w:color w:val="auto"/>
        </w:rPr>
        <w:t>Requirement for a Climate Assessment</w:t>
      </w:r>
      <w:r w:rsidR="00793164">
        <w:rPr>
          <w:b/>
          <w:bCs/>
          <w:color w:val="auto"/>
        </w:rPr>
        <w:t xml:space="preserve">. </w:t>
      </w:r>
    </w:p>
    <w:p w14:paraId="222047C7" w14:textId="267AD911" w:rsidR="00215613" w:rsidRPr="00091C0F" w:rsidRDefault="00130D73" w:rsidP="00215613">
      <w:pPr>
        <w:rPr>
          <w:color w:val="auto"/>
        </w:rPr>
      </w:pPr>
      <w:r w:rsidRPr="006104E1">
        <w:rPr>
          <w:color w:val="auto"/>
        </w:rPr>
        <w:t xml:space="preserve">Assessment </w:t>
      </w:r>
      <w:r w:rsidR="009D0866" w:rsidRPr="006104E1">
        <w:rPr>
          <w:color w:val="auto"/>
        </w:rPr>
        <w:t xml:space="preserve">of a climate change risk assessment is outside the scope of the determination of the Application however the Operator will be required to complete one as part of ongoing compliance, which our compliance team will assess. </w:t>
      </w:r>
    </w:p>
    <w:p w14:paraId="26CFBDE2" w14:textId="5BC882FB" w:rsidR="00AA48B4" w:rsidRDefault="00AA48B4" w:rsidP="003B5D2E">
      <w:pPr>
        <w:pStyle w:val="ListParagraph"/>
        <w:numPr>
          <w:ilvl w:val="0"/>
          <w:numId w:val="31"/>
        </w:numPr>
        <w:rPr>
          <w:b/>
          <w:bCs/>
          <w:color w:val="auto"/>
        </w:rPr>
      </w:pPr>
      <w:r>
        <w:rPr>
          <w:b/>
          <w:bCs/>
          <w:color w:val="auto"/>
        </w:rPr>
        <w:t>Dirty Water</w:t>
      </w:r>
      <w:r w:rsidR="00793164">
        <w:rPr>
          <w:b/>
          <w:bCs/>
          <w:color w:val="auto"/>
        </w:rPr>
        <w:t>.</w:t>
      </w:r>
    </w:p>
    <w:p w14:paraId="37542A85" w14:textId="28021B4C" w:rsidR="00D366CC" w:rsidRPr="000C0227" w:rsidRDefault="00D366CC" w:rsidP="00D366CC">
      <w:r w:rsidRPr="00A86A7A">
        <w:rPr>
          <w:color w:val="auto"/>
        </w:rPr>
        <w:t>Water from the wash out of poultry houses</w:t>
      </w:r>
      <w:r>
        <w:rPr>
          <w:color w:val="auto"/>
        </w:rPr>
        <w:t xml:space="preserve"> (slurry)</w:t>
      </w:r>
      <w:r w:rsidRPr="00A86A7A">
        <w:rPr>
          <w:color w:val="auto"/>
        </w:rPr>
        <w:t xml:space="preserve"> is channelled to underground collection tanks close to the </w:t>
      </w:r>
      <w:r w:rsidR="00283664">
        <w:rPr>
          <w:color w:val="auto"/>
        </w:rPr>
        <w:t xml:space="preserve">poultry </w:t>
      </w:r>
      <w:r w:rsidRPr="00A86A7A">
        <w:rPr>
          <w:color w:val="auto"/>
        </w:rPr>
        <w:t xml:space="preserve">houses to await export off site </w:t>
      </w:r>
      <w:r>
        <w:rPr>
          <w:color w:val="auto"/>
        </w:rPr>
        <w:t xml:space="preserve">and disposal by a </w:t>
      </w:r>
      <w:r w:rsidRPr="00E57DB6">
        <w:rPr>
          <w:color w:val="auto"/>
        </w:rPr>
        <w:t>local licensed disposal company</w:t>
      </w:r>
      <w:r>
        <w:rPr>
          <w:color w:val="auto"/>
        </w:rPr>
        <w:t xml:space="preserve">. </w:t>
      </w:r>
      <w:r>
        <w:t xml:space="preserve">The </w:t>
      </w:r>
      <w:r w:rsidRPr="00157D5A">
        <w:t>collection tanks</w:t>
      </w:r>
      <w:r>
        <w:t xml:space="preserve"> </w:t>
      </w:r>
      <w:r w:rsidRPr="00157D5A">
        <w:t>are built to conform to specifications in EPR 6.09 ‘How to comply with your environmental permit for intensive farming’, and specifically to meet the requirements of The Water Resources (Control of Pollution) (Silage, Slurry and Agricultural Fuel Oil) (England) Regulations 2010 (as amended 2013).</w:t>
      </w:r>
      <w:r>
        <w:t xml:space="preserve"> </w:t>
      </w:r>
      <w:r w:rsidRPr="007F5EF4">
        <w:rPr>
          <w:color w:val="auto"/>
        </w:rPr>
        <w:t xml:space="preserve">Diverter bungs will be used during wash down periods to prevent the contamination of surface water systems and to divert the wash water to the dirty water tank. Clean drainage systems will not be contaminated.  </w:t>
      </w:r>
    </w:p>
    <w:p w14:paraId="5A6D8A01" w14:textId="54CF455F" w:rsidR="00D366CC" w:rsidRPr="009A1F7E" w:rsidRDefault="00D366CC" w:rsidP="00D366CC">
      <w:pPr>
        <w:rPr>
          <w:color w:val="auto"/>
        </w:rPr>
      </w:pPr>
      <w:r>
        <w:rPr>
          <w:color w:val="auto"/>
        </w:rPr>
        <w:t>Any w</w:t>
      </w:r>
      <w:r w:rsidRPr="00092FC3">
        <w:rPr>
          <w:color w:val="auto"/>
        </w:rPr>
        <w:t xml:space="preserve">ash water </w:t>
      </w:r>
      <w:r>
        <w:rPr>
          <w:color w:val="auto"/>
        </w:rPr>
        <w:t xml:space="preserve">that is </w:t>
      </w:r>
      <w:r w:rsidRPr="00092FC3">
        <w:rPr>
          <w:color w:val="auto"/>
        </w:rPr>
        <w:t>applied to land must be spread in accordance with the Reduction and Prevention of Agricultural Diffuse Pollution (England) Regulations 2018</w:t>
      </w:r>
      <w:r>
        <w:rPr>
          <w:color w:val="auto"/>
        </w:rPr>
        <w:t xml:space="preserve"> </w:t>
      </w:r>
      <w:r w:rsidRPr="00473236">
        <w:rPr>
          <w:color w:val="auto"/>
        </w:rPr>
        <w:t>(Farming Rules for Water)</w:t>
      </w:r>
      <w:r w:rsidRPr="00092FC3">
        <w:rPr>
          <w:color w:val="auto"/>
        </w:rPr>
        <w:t xml:space="preserve">, </w:t>
      </w:r>
      <w:r>
        <w:rPr>
          <w:color w:val="auto"/>
        </w:rPr>
        <w:t xml:space="preserve">and, in designated areas, </w:t>
      </w:r>
      <w:r w:rsidRPr="00092FC3">
        <w:rPr>
          <w:color w:val="auto"/>
        </w:rPr>
        <w:t>the Nitrate Pollution Prevention Regulations 2015 which were further amended in 2016, a manure management plan (in accordance with the N</w:t>
      </w:r>
      <w:r>
        <w:rPr>
          <w:color w:val="auto"/>
        </w:rPr>
        <w:t xml:space="preserve">itrate </w:t>
      </w:r>
      <w:r w:rsidRPr="00092FC3">
        <w:rPr>
          <w:color w:val="auto"/>
        </w:rPr>
        <w:t>V</w:t>
      </w:r>
      <w:r>
        <w:rPr>
          <w:color w:val="auto"/>
        </w:rPr>
        <w:t xml:space="preserve">ulnerable </w:t>
      </w:r>
      <w:r w:rsidRPr="00092FC3">
        <w:rPr>
          <w:color w:val="auto"/>
        </w:rPr>
        <w:t>Z</w:t>
      </w:r>
      <w:r>
        <w:rPr>
          <w:color w:val="auto"/>
        </w:rPr>
        <w:t xml:space="preserve">one (NVZ) </w:t>
      </w:r>
      <w:r w:rsidRPr="00092FC3">
        <w:rPr>
          <w:color w:val="auto"/>
        </w:rPr>
        <w:t xml:space="preserve">rules) and </w:t>
      </w:r>
      <w:r w:rsidR="002A268A">
        <w:rPr>
          <w:color w:val="auto"/>
        </w:rPr>
        <w:t>c</w:t>
      </w:r>
      <w:r w:rsidRPr="00092FC3">
        <w:rPr>
          <w:color w:val="auto"/>
        </w:rPr>
        <w:t xml:space="preserve">ondition 2.3.5 of the </w:t>
      </w:r>
      <w:r w:rsidR="005B4E78">
        <w:rPr>
          <w:color w:val="auto"/>
        </w:rPr>
        <w:t>p</w:t>
      </w:r>
      <w:r w:rsidRPr="00092FC3">
        <w:rPr>
          <w:color w:val="auto"/>
        </w:rPr>
        <w:t xml:space="preserve">ermit, which requires that all appropriate measures are used to prevent or where that is not practicable minimise pollution. </w:t>
      </w:r>
      <w:r w:rsidRPr="004849CE">
        <w:t xml:space="preserve"> </w:t>
      </w:r>
    </w:p>
    <w:p w14:paraId="30E62126" w14:textId="59FB8475" w:rsidR="00D44AA9" w:rsidRDefault="00D44AA9" w:rsidP="003B5D2E">
      <w:pPr>
        <w:pStyle w:val="ListParagraph"/>
        <w:numPr>
          <w:ilvl w:val="0"/>
          <w:numId w:val="31"/>
        </w:numPr>
        <w:rPr>
          <w:b/>
          <w:bCs/>
          <w:color w:val="auto"/>
        </w:rPr>
      </w:pPr>
      <w:r>
        <w:rPr>
          <w:b/>
          <w:bCs/>
          <w:color w:val="auto"/>
        </w:rPr>
        <w:t>Mortalities</w:t>
      </w:r>
      <w:r w:rsidR="00793164">
        <w:rPr>
          <w:b/>
          <w:bCs/>
          <w:color w:val="auto"/>
        </w:rPr>
        <w:t>.</w:t>
      </w:r>
    </w:p>
    <w:p w14:paraId="1740E6AE" w14:textId="441EE4C5" w:rsidR="004A131A" w:rsidRPr="009A1F7E" w:rsidRDefault="00430DA4" w:rsidP="008E609D">
      <w:pPr>
        <w:rPr>
          <w:b/>
          <w:bCs/>
          <w:color w:val="auto"/>
        </w:rPr>
      </w:pPr>
      <w:r w:rsidRPr="009A1F7E">
        <w:rPr>
          <w:rStyle w:val="Blue"/>
          <w:color w:val="auto"/>
        </w:rPr>
        <w:t>Fallen stock during the production cycle will be collected and recorded daily.</w:t>
      </w:r>
      <w:r w:rsidRPr="00F94B1B">
        <w:rPr>
          <w:rStyle w:val="Blue"/>
        </w:rPr>
        <w:t xml:space="preserve"> </w:t>
      </w:r>
      <w:r w:rsidRPr="009A1F7E">
        <w:rPr>
          <w:rStyle w:val="Blue"/>
          <w:color w:val="auto"/>
        </w:rPr>
        <w:t xml:space="preserve">Mortalities are </w:t>
      </w:r>
      <w:r w:rsidRPr="00FA5B87">
        <w:t xml:space="preserve">disposed of in accordance with the current Animal By-Products Regulations. Carcasses will be stored in sealed vermin proof containers </w:t>
      </w:r>
      <w:r w:rsidR="00573C51">
        <w:t xml:space="preserve">in a </w:t>
      </w:r>
      <w:r w:rsidR="006438B3">
        <w:t>temperature-controlled</w:t>
      </w:r>
      <w:r w:rsidR="00573C51">
        <w:t xml:space="preserve"> store </w:t>
      </w:r>
      <w:r w:rsidRPr="00FA5B87">
        <w:t xml:space="preserve">awaiting </w:t>
      </w:r>
      <w:r w:rsidR="004960C9">
        <w:t>weekly</w:t>
      </w:r>
      <w:r w:rsidRPr="00FA5B87">
        <w:t> collection by a licensed collection agent</w:t>
      </w:r>
      <w:r>
        <w:t xml:space="preserve"> under the National Fallen Stock Scheme.</w:t>
      </w:r>
    </w:p>
    <w:p w14:paraId="74E79F0E" w14:textId="3493D7E0" w:rsidR="00A1347D" w:rsidRPr="000016C7" w:rsidRDefault="008E609D" w:rsidP="0073208E">
      <w:pPr>
        <w:rPr>
          <w:rStyle w:val="Requiredtext"/>
          <w:b/>
          <w:bCs/>
          <w:color w:val="auto"/>
        </w:rPr>
      </w:pPr>
      <w:r w:rsidRPr="009905FC">
        <w:rPr>
          <w:b/>
          <w:bCs/>
          <w:color w:val="auto"/>
        </w:rPr>
        <w:t>The Health and Safety Executive</w:t>
      </w:r>
      <w:r w:rsidR="009905FC" w:rsidRPr="009905FC">
        <w:rPr>
          <w:b/>
          <w:bCs/>
          <w:color w:val="auto"/>
        </w:rPr>
        <w:t xml:space="preserve"> and </w:t>
      </w:r>
      <w:r w:rsidRPr="009905FC">
        <w:rPr>
          <w:b/>
          <w:bCs/>
          <w:color w:val="auto"/>
        </w:rPr>
        <w:t xml:space="preserve">Director of Public Health </w:t>
      </w:r>
      <w:r w:rsidR="009905FC" w:rsidRPr="009905FC">
        <w:rPr>
          <w:b/>
          <w:bCs/>
          <w:color w:val="auto"/>
        </w:rPr>
        <w:t>Norfolk</w:t>
      </w:r>
      <w:r w:rsidRPr="009905FC">
        <w:rPr>
          <w:b/>
          <w:bCs/>
          <w:color w:val="auto"/>
        </w:rPr>
        <w:t xml:space="preserve"> County Council</w:t>
      </w:r>
      <w:r w:rsidR="009905FC" w:rsidRPr="009905FC">
        <w:rPr>
          <w:b/>
          <w:bCs/>
          <w:color w:val="auto"/>
        </w:rPr>
        <w:t xml:space="preserve"> </w:t>
      </w:r>
      <w:r w:rsidRPr="009905FC">
        <w:rPr>
          <w:b/>
          <w:bCs/>
          <w:color w:val="auto"/>
        </w:rPr>
        <w:t>were also consulted but no responses were received.</w:t>
      </w:r>
    </w:p>
    <w:sectPr w:rsidR="00A1347D" w:rsidRPr="000016C7" w:rsidSect="00711CDF">
      <w:headerReference w:type="default" r:id="rId18"/>
      <w:footerReference w:type="default" r:id="rId19"/>
      <w:headerReference w:type="first" r:id="rId20"/>
      <w:footerReference w:type="first" r:id="rId21"/>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AED3F" w14:textId="77777777" w:rsidR="005D49E6" w:rsidRDefault="005D49E6" w:rsidP="00FA03F2">
      <w:r>
        <w:separator/>
      </w:r>
    </w:p>
  </w:endnote>
  <w:endnote w:type="continuationSeparator" w:id="0">
    <w:p w14:paraId="0B2DFE6B" w14:textId="77777777" w:rsidR="005D49E6" w:rsidRDefault="005D49E6" w:rsidP="00FA03F2">
      <w:r>
        <w:continuationSeparator/>
      </w:r>
    </w:p>
  </w:endnote>
  <w:endnote w:type="continuationNotice" w:id="1">
    <w:p w14:paraId="782E69D1" w14:textId="77777777" w:rsidR="005D49E6" w:rsidRDefault="005D49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227160"/>
      <w:docPartObj>
        <w:docPartGallery w:val="Page Numbers (Bottom of Page)"/>
        <w:docPartUnique/>
      </w:docPartObj>
    </w:sdtPr>
    <w:sdtEndPr>
      <w:rPr>
        <w:noProof/>
      </w:rPr>
    </w:sdtEndPr>
    <w:sdtContent>
      <w:p w14:paraId="44687A1B" w14:textId="2D865B54" w:rsidR="0095417E" w:rsidRDefault="00B6422E" w:rsidP="0095417E">
        <w:pPr>
          <w:spacing w:after="0"/>
          <w:ind w:left="-851" w:right="-851" w:firstLine="851"/>
        </w:pPr>
        <w:r>
          <w:tab/>
        </w:r>
      </w:p>
      <w:p w14:paraId="3DCE2DA6" w14:textId="536F8E73" w:rsidR="001A5FB5" w:rsidRPr="00D96C08" w:rsidRDefault="00E918A0" w:rsidP="00E918A0">
        <w:pPr>
          <w:spacing w:after="0"/>
          <w:ind w:left="-851" w:right="-851"/>
        </w:pPr>
        <w:r w:rsidRPr="003B7BC6">
          <w:rPr>
            <w:rFonts w:cs="Arial"/>
            <w:color w:val="auto"/>
          </w:rPr>
          <w:t>EPR/</w:t>
        </w:r>
        <w:r w:rsidRPr="0050727F">
          <w:rPr>
            <w:rFonts w:cs="Arial"/>
            <w:color w:val="auto"/>
          </w:rPr>
          <w:t xml:space="preserve">PP3623MS issued </w:t>
        </w:r>
        <w:r w:rsidR="0050727F" w:rsidRPr="0050727F">
          <w:rPr>
            <w:rFonts w:cs="Arial"/>
            <w:color w:val="auto"/>
          </w:rPr>
          <w:t>20/04</w:t>
        </w:r>
        <w:r w:rsidRPr="0050727F">
          <w:rPr>
            <w:rFonts w:cs="Arial"/>
            <w:color w:val="auto"/>
          </w:rPr>
          <w:t>/</w:t>
        </w:r>
        <w:r w:rsidR="00A24B32" w:rsidRPr="0050727F">
          <w:rPr>
            <w:rFonts w:cs="Arial"/>
            <w:color w:val="auto"/>
          </w:rPr>
          <w:t>2026</w:t>
        </w:r>
        <w:r w:rsidR="009271C2">
          <w:rPr>
            <w:rStyle w:val="Text"/>
          </w:rPr>
          <w:tab/>
        </w:r>
        <w:r w:rsidR="009271C2">
          <w:rPr>
            <w:rStyle w:val="Text"/>
          </w:rPr>
          <w:tab/>
        </w:r>
        <w:r w:rsidR="009271C2">
          <w:rPr>
            <w:rStyle w:val="Text"/>
          </w:rPr>
          <w:tab/>
        </w:r>
        <w:r w:rsidR="009271C2">
          <w:rPr>
            <w:rStyle w:val="Text"/>
          </w:rPr>
          <w:tab/>
        </w:r>
        <w:r w:rsidR="009271C2">
          <w:rPr>
            <w:rStyle w:val="Text"/>
          </w:rPr>
          <w:tab/>
        </w:r>
        <w:r w:rsidR="009271C2">
          <w:rPr>
            <w:rStyle w:val="Text"/>
          </w:rPr>
          <w:tab/>
        </w:r>
        <w:r w:rsidR="009271C2">
          <w:rPr>
            <w:rStyle w:val="Text"/>
          </w:rPr>
          <w:tab/>
        </w:r>
        <w:r w:rsidR="00B6422E" w:rsidRPr="00486248">
          <w:t xml:space="preserve">Page </w:t>
        </w:r>
        <w:r w:rsidR="00B6422E" w:rsidRPr="00486248">
          <w:fldChar w:fldCharType="begin"/>
        </w:r>
        <w:r w:rsidR="00B6422E" w:rsidRPr="00486248">
          <w:instrText xml:space="preserve"> PAGE </w:instrText>
        </w:r>
        <w:r w:rsidR="00B6422E" w:rsidRPr="00486248">
          <w:fldChar w:fldCharType="separate"/>
        </w:r>
        <w:r w:rsidR="00B6422E">
          <w:t>2</w:t>
        </w:r>
        <w:r w:rsidR="00B6422E" w:rsidRPr="00486248">
          <w:fldChar w:fldCharType="end"/>
        </w:r>
        <w:r w:rsidR="00B6422E" w:rsidRPr="00486248">
          <w:t xml:space="preserve"> </w:t>
        </w:r>
        <w:r w:rsidR="00B6422E" w:rsidRPr="00E8647F">
          <w:t xml:space="preserve">of </w:t>
        </w:r>
        <w:r w:rsidR="00B6422E">
          <w:rPr>
            <w:noProof/>
          </w:rPr>
          <w:fldChar w:fldCharType="begin"/>
        </w:r>
        <w:r w:rsidR="00B6422E">
          <w:rPr>
            <w:noProof/>
          </w:rPr>
          <w:instrText xml:space="preserve"> NUMPAGES </w:instrText>
        </w:r>
        <w:r w:rsidR="00B6422E">
          <w:rPr>
            <w:noProof/>
          </w:rPr>
          <w:fldChar w:fldCharType="separate"/>
        </w:r>
        <w:r w:rsidR="00B6422E">
          <w:rPr>
            <w:noProof/>
          </w:rPr>
          <w:t>28</w:t>
        </w:r>
        <w:r w:rsidR="00B6422E">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6322B" w14:textId="36812B71" w:rsidR="0062278F" w:rsidRPr="00623218" w:rsidRDefault="00C07D51" w:rsidP="0095417E">
    <w:pPr>
      <w:spacing w:after="0"/>
      <w:ind w:left="-851" w:right="-851" w:firstLine="851"/>
      <w:rPr>
        <w:rStyle w:val="Requiredtext"/>
        <w:noProof/>
      </w:rPr>
    </w:pPr>
    <w:bookmarkStart w:id="22" w:name="_Hlk187659914"/>
    <w:r w:rsidRPr="003B7BC6">
      <w:rPr>
        <w:rFonts w:cs="Arial"/>
        <w:color w:val="auto"/>
      </w:rPr>
      <w:t>EPR/PP3623MS</w:t>
    </w:r>
    <w:r w:rsidR="001B5E9B" w:rsidRPr="003B7BC6">
      <w:rPr>
        <w:rFonts w:cs="Arial"/>
        <w:color w:val="auto"/>
      </w:rPr>
      <w:t xml:space="preserve"> </w:t>
    </w:r>
    <w:r w:rsidR="00C0255A" w:rsidRPr="0050727F">
      <w:rPr>
        <w:rFonts w:cs="Arial"/>
        <w:color w:val="auto"/>
      </w:rPr>
      <w:t xml:space="preserve">issued </w:t>
    </w:r>
    <w:bookmarkEnd w:id="22"/>
    <w:r w:rsidR="0050727F" w:rsidRPr="0050727F">
      <w:rPr>
        <w:rFonts w:cs="Arial"/>
        <w:color w:val="auto"/>
      </w:rPr>
      <w:t>20/04</w:t>
    </w:r>
    <w:r w:rsidRPr="0050727F">
      <w:rPr>
        <w:rFonts w:cs="Arial"/>
        <w:color w:val="auto"/>
      </w:rPr>
      <w:t>/</w:t>
    </w:r>
    <w:r w:rsidR="00A24B32" w:rsidRPr="0050727F">
      <w:rPr>
        <w:rFonts w:cs="Arial"/>
        <w:color w:val="auto"/>
      </w:rPr>
      <w:t>2026</w:t>
    </w:r>
    <w:r w:rsidR="00C0255A" w:rsidRPr="007F5FCE">
      <w:rPr>
        <w:color w:val="0070C0"/>
      </w:rPr>
      <w:tab/>
    </w:r>
    <w:r w:rsidR="00C0255A">
      <w:tab/>
    </w:r>
    <w:r w:rsidR="00C0255A">
      <w:tab/>
    </w:r>
    <w:r w:rsidR="00C0255A">
      <w:tab/>
    </w:r>
    <w:r w:rsidR="00C0255A">
      <w:tab/>
    </w:r>
    <w:r w:rsidR="00C0255A">
      <w:tab/>
    </w:r>
    <w:r w:rsidR="00B6422E" w:rsidRPr="00486248">
      <w:t xml:space="preserve">Page </w:t>
    </w:r>
    <w:r w:rsidR="00B6422E" w:rsidRPr="00486248">
      <w:fldChar w:fldCharType="begin"/>
    </w:r>
    <w:r w:rsidR="00B6422E" w:rsidRPr="00486248">
      <w:instrText xml:space="preserve"> PAGE </w:instrText>
    </w:r>
    <w:r w:rsidR="00B6422E" w:rsidRPr="00486248">
      <w:fldChar w:fldCharType="separate"/>
    </w:r>
    <w:r w:rsidR="00B6422E">
      <w:t>2</w:t>
    </w:r>
    <w:r w:rsidR="00B6422E" w:rsidRPr="00486248">
      <w:fldChar w:fldCharType="end"/>
    </w:r>
    <w:r w:rsidR="00B6422E" w:rsidRPr="00486248">
      <w:t xml:space="preserve"> </w:t>
    </w:r>
    <w:r w:rsidR="00B6422E" w:rsidRPr="00E8647F">
      <w:t xml:space="preserve">of </w:t>
    </w:r>
    <w:r w:rsidR="00B6422E">
      <w:rPr>
        <w:noProof/>
      </w:rPr>
      <w:fldChar w:fldCharType="begin"/>
    </w:r>
    <w:r w:rsidR="00B6422E">
      <w:rPr>
        <w:noProof/>
      </w:rPr>
      <w:instrText xml:space="preserve"> NUMPAGES </w:instrText>
    </w:r>
    <w:r w:rsidR="00B6422E">
      <w:rPr>
        <w:noProof/>
      </w:rPr>
      <w:fldChar w:fldCharType="separate"/>
    </w:r>
    <w:r w:rsidR="00B6422E">
      <w:rPr>
        <w:noProof/>
      </w:rPr>
      <w:t>2</w:t>
    </w:r>
    <w:r w:rsidR="00B6422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0A435" w14:textId="77777777" w:rsidR="005D49E6" w:rsidRDefault="005D49E6" w:rsidP="00FA03F2">
      <w:r>
        <w:separator/>
      </w:r>
    </w:p>
  </w:footnote>
  <w:footnote w:type="continuationSeparator" w:id="0">
    <w:p w14:paraId="1D047104" w14:textId="77777777" w:rsidR="005D49E6" w:rsidRDefault="005D49E6" w:rsidP="00FA03F2">
      <w:r>
        <w:continuationSeparator/>
      </w:r>
    </w:p>
  </w:footnote>
  <w:footnote w:type="continuationNotice" w:id="1">
    <w:p w14:paraId="4736D122" w14:textId="77777777" w:rsidR="005D49E6" w:rsidRDefault="005D49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97D3" w14:textId="14FFD1C5"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897D" w14:textId="3D64C629" w:rsidR="005D0E22" w:rsidRDefault="7ECAB5D0" w:rsidP="007A74AC">
    <w:pPr>
      <w:pStyle w:val="Header"/>
      <w:ind w:right="-1276"/>
      <w:jc w:val="right"/>
    </w:pPr>
    <w:r>
      <w:rPr>
        <w:noProof/>
        <w:lang w:eastAsia="en-GB"/>
      </w:rPr>
      <w:drawing>
        <wp:inline distT="0" distB="0" distL="0" distR="0" wp14:anchorId="5848EAC9" wp14:editId="00640FD8">
          <wp:extent cx="2676525" cy="885825"/>
          <wp:effectExtent l="0" t="0" r="9525" b="9525"/>
          <wp:docPr id="492361202" name="Picture 492361202" descr="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Environment Agency logo"/>
                  <pic:cNvPicPr/>
                </pic:nvPicPr>
                <pic:blipFill>
                  <a:blip r:embed="rId1">
                    <a:extLst>
                      <a:ext uri="{28A0092B-C50C-407E-A947-70E740481C1C}">
                        <a14:useLocalDpi xmlns:a14="http://schemas.microsoft.com/office/drawing/2010/main" val="0"/>
                      </a:ext>
                    </a:extLst>
                  </a:blip>
                  <a:stretch>
                    <a:fillRect/>
                  </a:stretch>
                </pic:blipFill>
                <pic:spPr>
                  <a:xfrm>
                    <a:off x="0" y="0"/>
                    <a:ext cx="2676525" cy="885825"/>
                  </a:xfrm>
                  <a:prstGeom prst="rect">
                    <a:avLst/>
                  </a:prstGeom>
                </pic:spPr>
              </pic:pic>
            </a:graphicData>
          </a:graphic>
        </wp:inline>
      </w:drawing>
    </w:r>
  </w:p>
  <w:p w14:paraId="29B39CEC" w14:textId="29C71DB0" w:rsidR="00BE7AC0" w:rsidRPr="00FF41E6" w:rsidRDefault="00BE7AC0" w:rsidP="00BE7AC0">
    <w:pPr>
      <w:pStyle w:val="Title"/>
      <w:rPr>
        <w:color w:val="auto"/>
      </w:rPr>
    </w:pPr>
    <w:r w:rsidRPr="00FF41E6">
      <w:rPr>
        <w:color w:val="auto"/>
      </w:rPr>
      <w:t>Permitting Decisions - Bespoke Permit</w:t>
    </w:r>
  </w:p>
  <w:p w14:paraId="501CF8B9" w14:textId="77777777" w:rsidR="007A74AC" w:rsidRPr="007A74AC" w:rsidRDefault="007A74AC" w:rsidP="007A74AC">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4FB0"/>
    <w:multiLevelType w:val="hybridMultilevel"/>
    <w:tmpl w:val="21785F0A"/>
    <w:lvl w:ilvl="0" w:tplc="58040210">
      <w:start w:val="1"/>
      <w:numFmt w:val="bullet"/>
      <w:pStyle w:val="BulletTextLevel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07405CFE"/>
    <w:multiLevelType w:val="multilevel"/>
    <w:tmpl w:val="78FCE504"/>
    <w:styleLink w:val="EARomanBullets"/>
    <w:lvl w:ilvl="0">
      <w:start w:val="1"/>
      <w:numFmt w:val="lowerRoman"/>
      <w:pStyle w:val="RomanBulletL1"/>
      <w:lvlText w:val="(%1)"/>
      <w:lvlJc w:val="left"/>
      <w:pPr>
        <w:tabs>
          <w:tab w:val="num" w:pos="340"/>
        </w:tabs>
        <w:ind w:left="340" w:hanging="340"/>
      </w:pPr>
      <w:rPr>
        <w:rFonts w:hint="default"/>
      </w:rPr>
    </w:lvl>
    <w:lvl w:ilvl="1">
      <w:start w:val="1"/>
      <w:numFmt w:val="lowerRoman"/>
      <w:pStyle w:val="RomanBulletL2"/>
      <w:lvlText w:val="(%2)"/>
      <w:lvlJc w:val="left"/>
      <w:pPr>
        <w:tabs>
          <w:tab w:val="num" w:pos="680"/>
        </w:tabs>
        <w:ind w:left="680" w:hanging="340"/>
      </w:pPr>
      <w:rPr>
        <w:rFonts w:hint="default"/>
      </w:rPr>
    </w:lvl>
    <w:lvl w:ilvl="2">
      <w:start w:val="1"/>
      <w:numFmt w:val="lowerRoman"/>
      <w:pStyle w:val="RomanBulletL3"/>
      <w:lvlText w:val="(%3)"/>
      <w:lvlJc w:val="left"/>
      <w:pPr>
        <w:tabs>
          <w:tab w:val="num" w:pos="1134"/>
        </w:tabs>
        <w:ind w:left="1134" w:hanging="454"/>
      </w:pPr>
      <w:rPr>
        <w:rFonts w:hint="default"/>
      </w:rPr>
    </w:lvl>
    <w:lvl w:ilvl="3">
      <w:start w:val="1"/>
      <w:numFmt w:val="lowerRoman"/>
      <w:pStyle w:val="RomanBulletL4"/>
      <w:lvlText w:val="(%4)"/>
      <w:lvlJc w:val="left"/>
      <w:pPr>
        <w:tabs>
          <w:tab w:val="num" w:pos="1588"/>
        </w:tabs>
        <w:ind w:left="1588" w:hanging="454"/>
      </w:pPr>
      <w:rPr>
        <w:rFonts w:hint="default"/>
      </w:rPr>
    </w:lvl>
    <w:lvl w:ilvl="4">
      <w:start w:val="1"/>
      <w:numFmt w:val="lowerLetter"/>
      <w:lvlText w:val="(%5)"/>
      <w:lvlJc w:val="left"/>
      <w:pPr>
        <w:ind w:left="2140" w:hanging="360"/>
      </w:pPr>
      <w:rPr>
        <w:rFonts w:hint="default"/>
      </w:rPr>
    </w:lvl>
    <w:lvl w:ilvl="5">
      <w:start w:val="1"/>
      <w:numFmt w:val="lowerRoman"/>
      <w:lvlText w:val="(%6)"/>
      <w:lvlJc w:val="left"/>
      <w:pPr>
        <w:ind w:left="2500" w:hanging="360"/>
      </w:pPr>
      <w:rPr>
        <w:rFonts w:hint="default"/>
      </w:rPr>
    </w:lvl>
    <w:lvl w:ilvl="6">
      <w:start w:val="1"/>
      <w:numFmt w:val="decimal"/>
      <w:lvlText w:val="%7."/>
      <w:lvlJc w:val="left"/>
      <w:pPr>
        <w:ind w:left="2860" w:hanging="360"/>
      </w:pPr>
      <w:rPr>
        <w:rFonts w:hint="default"/>
      </w:rPr>
    </w:lvl>
    <w:lvl w:ilvl="7">
      <w:start w:val="1"/>
      <w:numFmt w:val="lowerLetter"/>
      <w:lvlText w:val="%8."/>
      <w:lvlJc w:val="left"/>
      <w:pPr>
        <w:ind w:left="3220" w:hanging="360"/>
      </w:pPr>
      <w:rPr>
        <w:rFonts w:hint="default"/>
      </w:rPr>
    </w:lvl>
    <w:lvl w:ilvl="8">
      <w:start w:val="1"/>
      <w:numFmt w:val="lowerRoman"/>
      <w:lvlText w:val="%9."/>
      <w:lvlJc w:val="left"/>
      <w:pPr>
        <w:ind w:left="3580" w:hanging="360"/>
      </w:pPr>
      <w:rPr>
        <w:rFonts w:hint="default"/>
      </w:rPr>
    </w:lvl>
  </w:abstractNum>
  <w:abstractNum w:abstractNumId="2" w15:restartNumberingAfterBreak="0">
    <w:nsid w:val="08346EB4"/>
    <w:multiLevelType w:val="hybridMultilevel"/>
    <w:tmpl w:val="4866D0EC"/>
    <w:lvl w:ilvl="0" w:tplc="1F0EBD86">
      <w:start w:val="5"/>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3D2069"/>
    <w:multiLevelType w:val="hybridMultilevel"/>
    <w:tmpl w:val="BB4CD354"/>
    <w:lvl w:ilvl="0" w:tplc="C218938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0F52C9"/>
    <w:multiLevelType w:val="hybridMultilevel"/>
    <w:tmpl w:val="D6B8F0DE"/>
    <w:lvl w:ilvl="0" w:tplc="33CEC12E">
      <w:start w:val="1"/>
      <w:numFmt w:val="decimal"/>
      <w:lvlText w:val="%1."/>
      <w:lvlJc w:val="left"/>
      <w:pPr>
        <w:ind w:left="360" w:hanging="360"/>
      </w:pPr>
      <w:rPr>
        <w:rFonts w:hint="default"/>
        <w:b/>
        <w:bCs/>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F854FC"/>
    <w:multiLevelType w:val="hybridMultilevel"/>
    <w:tmpl w:val="AE7C5F86"/>
    <w:lvl w:ilvl="0" w:tplc="17C08B26">
      <w:start w:val="1"/>
      <w:numFmt w:val="bullet"/>
      <w:lvlText w:val=""/>
      <w:lvlJc w:val="left"/>
      <w:pPr>
        <w:ind w:left="1400" w:hanging="360"/>
      </w:pPr>
      <w:rPr>
        <w:rFonts w:ascii="Symbol" w:hAnsi="Symbol" w:hint="default"/>
        <w:sz w:val="16"/>
        <w:szCs w:val="16"/>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6" w15:restartNumberingAfterBreak="0">
    <w:nsid w:val="13433401"/>
    <w:multiLevelType w:val="hybridMultilevel"/>
    <w:tmpl w:val="40427D20"/>
    <w:lvl w:ilvl="0" w:tplc="DB980B6A">
      <w:start w:val="2"/>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61846ED"/>
    <w:multiLevelType w:val="hybridMultilevel"/>
    <w:tmpl w:val="BAF8418E"/>
    <w:lvl w:ilvl="0" w:tplc="75C0CBC8">
      <w:start w:val="1"/>
      <w:numFmt w:val="decimal"/>
      <w:pStyle w:val="Numberedblockheading"/>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20021AEC"/>
    <w:multiLevelType w:val="hybridMultilevel"/>
    <w:tmpl w:val="1B087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11384"/>
    <w:multiLevelType w:val="multilevel"/>
    <w:tmpl w:val="5A4EF0E8"/>
    <w:styleLink w:val="EATableBullets"/>
    <w:lvl w:ilvl="0">
      <w:start w:val="1"/>
      <w:numFmt w:val="bullet"/>
      <w:pStyle w:val="TableBulletL1"/>
      <w:lvlText w:val="•"/>
      <w:lvlJc w:val="left"/>
      <w:pPr>
        <w:tabs>
          <w:tab w:val="num" w:pos="425"/>
        </w:tabs>
        <w:ind w:left="425" w:hanging="340"/>
      </w:pPr>
      <w:rPr>
        <w:rFonts w:ascii="Arial" w:hAnsi="Arial" w:cs="Times New Roman" w:hint="default"/>
        <w:color w:val="auto"/>
      </w:rPr>
    </w:lvl>
    <w:lvl w:ilvl="1">
      <w:start w:val="1"/>
      <w:numFmt w:val="lowerLetter"/>
      <w:pStyle w:val="TableBulletL2"/>
      <w:lvlText w:val="(%2)"/>
      <w:lvlJc w:val="left"/>
      <w:pPr>
        <w:tabs>
          <w:tab w:val="num" w:pos="879"/>
        </w:tabs>
        <w:ind w:left="879" w:hanging="454"/>
      </w:pPr>
      <w:rPr>
        <w:rFonts w:hint="default"/>
      </w:rPr>
    </w:lvl>
    <w:lvl w:ilvl="2">
      <w:start w:val="1"/>
      <w:numFmt w:val="bullet"/>
      <w:pStyle w:val="TableBulletL3"/>
      <w:lvlText w:val="–"/>
      <w:lvlJc w:val="left"/>
      <w:pPr>
        <w:tabs>
          <w:tab w:val="num" w:pos="1219"/>
        </w:tabs>
        <w:ind w:left="1219" w:hanging="340"/>
      </w:pPr>
      <w:rPr>
        <w:rFonts w:ascii="Arial" w:hAnsi="Arial" w:hint="default"/>
        <w:color w:val="26262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821C24"/>
    <w:multiLevelType w:val="hybridMultilevel"/>
    <w:tmpl w:val="1F9E35B2"/>
    <w:lvl w:ilvl="0" w:tplc="17C08B26">
      <w:start w:val="1"/>
      <w:numFmt w:val="bullet"/>
      <w:lvlText w:val=""/>
      <w:lvlJc w:val="left"/>
      <w:pPr>
        <w:ind w:left="1400" w:hanging="360"/>
      </w:pPr>
      <w:rPr>
        <w:rFonts w:ascii="Symbol" w:hAnsi="Symbol" w:hint="default"/>
        <w:sz w:val="16"/>
        <w:szCs w:val="16"/>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1" w15:restartNumberingAfterBreak="0">
    <w:nsid w:val="33225E81"/>
    <w:multiLevelType w:val="hybridMultilevel"/>
    <w:tmpl w:val="F288F6E6"/>
    <w:lvl w:ilvl="0" w:tplc="7B24B0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710CC0"/>
    <w:multiLevelType w:val="hybridMultilevel"/>
    <w:tmpl w:val="8892F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DF6D40"/>
    <w:multiLevelType w:val="hybridMultilevel"/>
    <w:tmpl w:val="D1F421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7C1CDC"/>
    <w:multiLevelType w:val="multilevel"/>
    <w:tmpl w:val="71A2B7D8"/>
    <w:styleLink w:val="EAAlphaBullets"/>
    <w:lvl w:ilvl="0">
      <w:start w:val="1"/>
      <w:numFmt w:val="lowerLetter"/>
      <w:pStyle w:val="AlphaBulletL1"/>
      <w:lvlText w:val="(%1)"/>
      <w:lvlJc w:val="left"/>
      <w:pPr>
        <w:tabs>
          <w:tab w:val="num" w:pos="340"/>
        </w:tabs>
        <w:ind w:left="340" w:hanging="340"/>
      </w:pPr>
      <w:rPr>
        <w:rFonts w:hint="default"/>
      </w:rPr>
    </w:lvl>
    <w:lvl w:ilvl="1">
      <w:start w:val="1"/>
      <w:numFmt w:val="lowerLetter"/>
      <w:pStyle w:val="AlphaBulletL2"/>
      <w:lvlText w:val="(%2)"/>
      <w:lvlJc w:val="left"/>
      <w:pPr>
        <w:tabs>
          <w:tab w:val="num" w:pos="680"/>
        </w:tabs>
        <w:ind w:left="680" w:hanging="340"/>
      </w:pPr>
      <w:rPr>
        <w:rFonts w:hint="default"/>
      </w:rPr>
    </w:lvl>
    <w:lvl w:ilvl="2">
      <w:start w:val="1"/>
      <w:numFmt w:val="lowerLetter"/>
      <w:pStyle w:val="AlphaBulletL3"/>
      <w:lvlText w:val="(%3)"/>
      <w:lvlJc w:val="left"/>
      <w:pPr>
        <w:tabs>
          <w:tab w:val="num" w:pos="1134"/>
        </w:tabs>
        <w:ind w:left="1134" w:hanging="454"/>
      </w:pPr>
      <w:rPr>
        <w:rFonts w:hint="default"/>
      </w:rPr>
    </w:lvl>
    <w:lvl w:ilvl="3">
      <w:start w:val="1"/>
      <w:numFmt w:val="lowerLetter"/>
      <w:pStyle w:val="AlphaBulletL4"/>
      <w:lvlText w:val="(%4)"/>
      <w:lvlJc w:val="left"/>
      <w:pPr>
        <w:tabs>
          <w:tab w:val="num" w:pos="1588"/>
        </w:tabs>
        <w:ind w:left="1588" w:hanging="45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4B4678E"/>
    <w:multiLevelType w:val="hybridMultilevel"/>
    <w:tmpl w:val="88D83EE0"/>
    <w:lvl w:ilvl="0" w:tplc="17C08B26">
      <w:start w:val="1"/>
      <w:numFmt w:val="bullet"/>
      <w:lvlText w:val=""/>
      <w:lvlJc w:val="left"/>
      <w:pPr>
        <w:ind w:left="1400" w:hanging="360"/>
      </w:pPr>
      <w:rPr>
        <w:rFonts w:ascii="Symbol" w:hAnsi="Symbol" w:hint="default"/>
        <w:sz w:val="16"/>
        <w:szCs w:val="16"/>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6" w15:restartNumberingAfterBreak="0">
    <w:nsid w:val="49447804"/>
    <w:multiLevelType w:val="hybridMultilevel"/>
    <w:tmpl w:val="6E3C6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73BC"/>
    <w:multiLevelType w:val="multilevel"/>
    <w:tmpl w:val="9C12F0AE"/>
    <w:styleLink w:val="EANumBullets"/>
    <w:lvl w:ilvl="0">
      <w:start w:val="1"/>
      <w:numFmt w:val="decimal"/>
      <w:pStyle w:val="Bullet"/>
      <w:lvlText w:val="%1"/>
      <w:lvlJc w:val="left"/>
      <w:pPr>
        <w:tabs>
          <w:tab w:val="num" w:pos="680"/>
        </w:tabs>
        <w:ind w:left="680" w:hanging="680"/>
      </w:pPr>
      <w:rPr>
        <w:rFonts w:hint="default"/>
      </w:rPr>
    </w:lvl>
    <w:lvl w:ilvl="1">
      <w:start w:val="1"/>
      <w:numFmt w:val="decimal"/>
      <w:pStyle w:val="Bullet0"/>
      <w:lvlText w:val="%1.%2"/>
      <w:lvlJc w:val="left"/>
      <w:pPr>
        <w:tabs>
          <w:tab w:val="num" w:pos="680"/>
        </w:tabs>
        <w:ind w:left="680" w:hanging="680"/>
      </w:pPr>
      <w:rPr>
        <w:rFonts w:hint="default"/>
      </w:rPr>
    </w:lvl>
    <w:lvl w:ilvl="2">
      <w:start w:val="1"/>
      <w:numFmt w:val="decimal"/>
      <w:pStyle w:val="Bullet1"/>
      <w:lvlText w:val="%1.%2.%3"/>
      <w:lvlJc w:val="left"/>
      <w:pPr>
        <w:tabs>
          <w:tab w:val="num" w:pos="680"/>
        </w:tabs>
        <w:ind w:left="680" w:hanging="680"/>
      </w:pPr>
      <w:rPr>
        <w:rFonts w:hint="default"/>
      </w:rPr>
    </w:lvl>
    <w:lvl w:ilvl="3">
      <w:start w:val="1"/>
      <w:numFmt w:val="lowerLetter"/>
      <w:pStyle w:val="aBullet"/>
      <w:lvlText w:val="(%4)"/>
      <w:lvlJc w:val="left"/>
      <w:pPr>
        <w:tabs>
          <w:tab w:val="num" w:pos="1134"/>
        </w:tabs>
        <w:ind w:left="1134" w:hanging="454"/>
      </w:pPr>
      <w:rPr>
        <w:rFonts w:hint="default"/>
      </w:rPr>
    </w:lvl>
    <w:lvl w:ilvl="4">
      <w:start w:val="1"/>
      <w:numFmt w:val="lowerRoman"/>
      <w:pStyle w:val="aiBullet"/>
      <w:lvlText w:val="(%5)"/>
      <w:lvlJc w:val="left"/>
      <w:pPr>
        <w:tabs>
          <w:tab w:val="num" w:pos="1588"/>
        </w:tabs>
        <w:ind w:left="1588" w:hanging="45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6E977DD"/>
    <w:multiLevelType w:val="multilevel"/>
    <w:tmpl w:val="5A4EF0E8"/>
    <w:numStyleLink w:val="EATableBullets"/>
  </w:abstractNum>
  <w:abstractNum w:abstractNumId="19" w15:restartNumberingAfterBreak="0">
    <w:nsid w:val="591B395B"/>
    <w:multiLevelType w:val="multilevel"/>
    <w:tmpl w:val="D330609C"/>
    <w:styleLink w:val="EARoundBullets"/>
    <w:lvl w:ilvl="0">
      <w:start w:val="1"/>
      <w:numFmt w:val="bullet"/>
      <w:pStyle w:val="RoundBulletL1"/>
      <w:lvlText w:val="•"/>
      <w:lvlJc w:val="left"/>
      <w:pPr>
        <w:tabs>
          <w:tab w:val="num" w:pos="340"/>
        </w:tabs>
        <w:ind w:left="340" w:hanging="340"/>
      </w:pPr>
      <w:rPr>
        <w:rFonts w:ascii="Arial" w:hAnsi="Arial" w:cs="Times New Roman" w:hint="default"/>
        <w:color w:val="auto"/>
      </w:rPr>
    </w:lvl>
    <w:lvl w:ilvl="1">
      <w:start w:val="1"/>
      <w:numFmt w:val="bullet"/>
      <w:pStyle w:val="RoundBulletL2"/>
      <w:lvlText w:val="•"/>
      <w:lvlJc w:val="left"/>
      <w:pPr>
        <w:tabs>
          <w:tab w:val="num" w:pos="680"/>
        </w:tabs>
        <w:ind w:left="680" w:hanging="340"/>
      </w:pPr>
      <w:rPr>
        <w:rFonts w:ascii="Arial" w:hAnsi="Arial" w:cs="Times New Roman" w:hint="default"/>
        <w:color w:val="auto"/>
      </w:rPr>
    </w:lvl>
    <w:lvl w:ilvl="2">
      <w:start w:val="1"/>
      <w:numFmt w:val="bullet"/>
      <w:pStyle w:val="RoundBulletL3"/>
      <w:lvlText w:val="•"/>
      <w:lvlJc w:val="left"/>
      <w:pPr>
        <w:tabs>
          <w:tab w:val="num" w:pos="1134"/>
        </w:tabs>
        <w:ind w:left="1134" w:hanging="454"/>
      </w:pPr>
      <w:rPr>
        <w:rFonts w:ascii="Arial" w:hAnsi="Arial" w:cs="Times New Roman" w:hint="default"/>
        <w:color w:val="auto"/>
      </w:rPr>
    </w:lvl>
    <w:lvl w:ilvl="3">
      <w:start w:val="1"/>
      <w:numFmt w:val="bullet"/>
      <w:pStyle w:val="RoundBulletL4"/>
      <w:lvlText w:val="•"/>
      <w:lvlJc w:val="left"/>
      <w:pPr>
        <w:tabs>
          <w:tab w:val="num" w:pos="1588"/>
        </w:tabs>
        <w:ind w:left="1588" w:hanging="454"/>
      </w:pPr>
      <w:rPr>
        <w:rFonts w:ascii="Arial" w:hAnsi="Arial"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BF765F2"/>
    <w:multiLevelType w:val="hybridMultilevel"/>
    <w:tmpl w:val="89947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DF8355A"/>
    <w:multiLevelType w:val="hybridMultilevel"/>
    <w:tmpl w:val="569856EE"/>
    <w:lvl w:ilvl="0" w:tplc="4DCE5B3C">
      <w:start w:val="1"/>
      <w:numFmt w:val="decimal"/>
      <w:pStyle w:val="ListParagraph"/>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3" w15:restartNumberingAfterBreak="0">
    <w:nsid w:val="5E757D1E"/>
    <w:multiLevelType w:val="hybridMultilevel"/>
    <w:tmpl w:val="3D58CCF8"/>
    <w:lvl w:ilvl="0" w:tplc="F85458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420085"/>
    <w:multiLevelType w:val="multilevel"/>
    <w:tmpl w:val="D330609C"/>
    <w:numStyleLink w:val="EARoundBullets"/>
  </w:abstractNum>
  <w:abstractNum w:abstractNumId="25" w15:restartNumberingAfterBreak="0">
    <w:nsid w:val="65B87FAA"/>
    <w:multiLevelType w:val="hybridMultilevel"/>
    <w:tmpl w:val="E96ECA92"/>
    <w:lvl w:ilvl="0" w:tplc="17C08B26">
      <w:start w:val="1"/>
      <w:numFmt w:val="bullet"/>
      <w:lvlText w:val=""/>
      <w:lvlJc w:val="left"/>
      <w:pPr>
        <w:ind w:left="1400" w:hanging="360"/>
      </w:pPr>
      <w:rPr>
        <w:rFonts w:ascii="Symbol" w:hAnsi="Symbol" w:hint="default"/>
        <w:sz w:val="16"/>
        <w:szCs w:val="16"/>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6" w15:restartNumberingAfterBreak="0">
    <w:nsid w:val="67877811"/>
    <w:multiLevelType w:val="hybridMultilevel"/>
    <w:tmpl w:val="6B54E794"/>
    <w:lvl w:ilvl="0" w:tplc="A47CD58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F6337A"/>
    <w:multiLevelType w:val="hybridMultilevel"/>
    <w:tmpl w:val="EB3C1BE6"/>
    <w:lvl w:ilvl="0" w:tplc="AAAE89D4">
      <w:start w:val="1"/>
      <w:numFmt w:val="bullet"/>
      <w:pStyle w:val="09BULLETROUNDGREEN"/>
      <w:lvlText w:val="•"/>
      <w:lvlJc w:val="left"/>
      <w:pPr>
        <w:ind w:left="720" w:hanging="360"/>
      </w:pPr>
      <w:rPr>
        <w:rFonts w:ascii="Arial" w:hAnsi="Arial" w:hint="default"/>
        <w:color w:val="455A21"/>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054AC5"/>
    <w:multiLevelType w:val="hybridMultilevel"/>
    <w:tmpl w:val="B47A5514"/>
    <w:lvl w:ilvl="0" w:tplc="3402B33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F525115"/>
    <w:multiLevelType w:val="hybridMultilevel"/>
    <w:tmpl w:val="7C08D1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79580966">
    <w:abstractNumId w:val="27"/>
  </w:num>
  <w:num w:numId="2" w16cid:durableId="1309167749">
    <w:abstractNumId w:val="0"/>
  </w:num>
  <w:num w:numId="3" w16cid:durableId="1440875092">
    <w:abstractNumId w:val="21"/>
  </w:num>
  <w:num w:numId="4" w16cid:durableId="19973729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9961982">
    <w:abstractNumId w:val="22"/>
  </w:num>
  <w:num w:numId="6" w16cid:durableId="2080708278">
    <w:abstractNumId w:val="17"/>
  </w:num>
  <w:num w:numId="7" w16cid:durableId="2114935134">
    <w:abstractNumId w:val="19"/>
  </w:num>
  <w:num w:numId="8" w16cid:durableId="1155104563">
    <w:abstractNumId w:val="9"/>
  </w:num>
  <w:num w:numId="9" w16cid:durableId="568921911">
    <w:abstractNumId w:val="14"/>
  </w:num>
  <w:num w:numId="10" w16cid:durableId="1750346358">
    <w:abstractNumId w:val="1"/>
  </w:num>
  <w:num w:numId="11" w16cid:durableId="636224277">
    <w:abstractNumId w:val="24"/>
  </w:num>
  <w:num w:numId="12" w16cid:durableId="1888564136">
    <w:abstractNumId w:val="18"/>
  </w:num>
  <w:num w:numId="13" w16cid:durableId="2038000940">
    <w:abstractNumId w:val="28"/>
  </w:num>
  <w:num w:numId="14" w16cid:durableId="297535650">
    <w:abstractNumId w:val="23"/>
  </w:num>
  <w:num w:numId="15" w16cid:durableId="181357984">
    <w:abstractNumId w:val="15"/>
  </w:num>
  <w:num w:numId="16" w16cid:durableId="1708942679">
    <w:abstractNumId w:val="5"/>
  </w:num>
  <w:num w:numId="17" w16cid:durableId="1161189923">
    <w:abstractNumId w:val="10"/>
  </w:num>
  <w:num w:numId="18" w16cid:durableId="10224869">
    <w:abstractNumId w:val="25"/>
  </w:num>
  <w:num w:numId="19" w16cid:durableId="462698996">
    <w:abstractNumId w:val="20"/>
  </w:num>
  <w:num w:numId="20" w16cid:durableId="1922255284">
    <w:abstractNumId w:val="12"/>
  </w:num>
  <w:num w:numId="21" w16cid:durableId="1843668161">
    <w:abstractNumId w:val="11"/>
  </w:num>
  <w:num w:numId="22" w16cid:durableId="1508208859">
    <w:abstractNumId w:val="26"/>
  </w:num>
  <w:num w:numId="23" w16cid:durableId="1003356414">
    <w:abstractNumId w:val="16"/>
  </w:num>
  <w:num w:numId="24" w16cid:durableId="755902058">
    <w:abstractNumId w:val="6"/>
  </w:num>
  <w:num w:numId="25" w16cid:durableId="1146167561">
    <w:abstractNumId w:val="8"/>
  </w:num>
  <w:num w:numId="26" w16cid:durableId="40790457">
    <w:abstractNumId w:val="4"/>
  </w:num>
  <w:num w:numId="27" w16cid:durableId="110319103">
    <w:abstractNumId w:val="29"/>
  </w:num>
  <w:num w:numId="28" w16cid:durableId="798064591">
    <w:abstractNumId w:val="2"/>
  </w:num>
  <w:num w:numId="29" w16cid:durableId="1286042841">
    <w:abstractNumId w:val="3"/>
  </w:num>
  <w:num w:numId="30" w16cid:durableId="193931856">
    <w:abstractNumId w:val="13"/>
  </w:num>
  <w:num w:numId="31" w16cid:durableId="2129927804">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08E"/>
    <w:rsid w:val="00001240"/>
    <w:rsid w:val="000016C7"/>
    <w:rsid w:val="00001A66"/>
    <w:rsid w:val="00001F86"/>
    <w:rsid w:val="00001FDC"/>
    <w:rsid w:val="00002A86"/>
    <w:rsid w:val="000031DE"/>
    <w:rsid w:val="00003216"/>
    <w:rsid w:val="00003B69"/>
    <w:rsid w:val="000041A7"/>
    <w:rsid w:val="00004CC6"/>
    <w:rsid w:val="00004E9C"/>
    <w:rsid w:val="00007491"/>
    <w:rsid w:val="00010D2C"/>
    <w:rsid w:val="00011316"/>
    <w:rsid w:val="00011BB7"/>
    <w:rsid w:val="00012218"/>
    <w:rsid w:val="00012646"/>
    <w:rsid w:val="00012A4C"/>
    <w:rsid w:val="00012E19"/>
    <w:rsid w:val="00013E57"/>
    <w:rsid w:val="000143CD"/>
    <w:rsid w:val="000144D5"/>
    <w:rsid w:val="00014A2B"/>
    <w:rsid w:val="00014C6F"/>
    <w:rsid w:val="00015A61"/>
    <w:rsid w:val="00015CBC"/>
    <w:rsid w:val="00015E34"/>
    <w:rsid w:val="00016C5E"/>
    <w:rsid w:val="000170C9"/>
    <w:rsid w:val="000172E1"/>
    <w:rsid w:val="00017A0A"/>
    <w:rsid w:val="0002113A"/>
    <w:rsid w:val="000215A1"/>
    <w:rsid w:val="00021BD9"/>
    <w:rsid w:val="000231E5"/>
    <w:rsid w:val="00023A24"/>
    <w:rsid w:val="00023F4C"/>
    <w:rsid w:val="00023FE0"/>
    <w:rsid w:val="00024E87"/>
    <w:rsid w:val="000258BB"/>
    <w:rsid w:val="00025D1D"/>
    <w:rsid w:val="0002603F"/>
    <w:rsid w:val="000272A1"/>
    <w:rsid w:val="00027745"/>
    <w:rsid w:val="00030B00"/>
    <w:rsid w:val="000317DE"/>
    <w:rsid w:val="0003214A"/>
    <w:rsid w:val="00032415"/>
    <w:rsid w:val="0003266B"/>
    <w:rsid w:val="00032C5F"/>
    <w:rsid w:val="00033239"/>
    <w:rsid w:val="000346BF"/>
    <w:rsid w:val="00034B9F"/>
    <w:rsid w:val="000350C8"/>
    <w:rsid w:val="000356C7"/>
    <w:rsid w:val="00035C7B"/>
    <w:rsid w:val="00037895"/>
    <w:rsid w:val="000400C2"/>
    <w:rsid w:val="0004184D"/>
    <w:rsid w:val="00041F5E"/>
    <w:rsid w:val="00042D05"/>
    <w:rsid w:val="00043302"/>
    <w:rsid w:val="00043808"/>
    <w:rsid w:val="00043F10"/>
    <w:rsid w:val="000450C7"/>
    <w:rsid w:val="000454BA"/>
    <w:rsid w:val="000459FF"/>
    <w:rsid w:val="00045B71"/>
    <w:rsid w:val="00045D6A"/>
    <w:rsid w:val="00045E97"/>
    <w:rsid w:val="000460FA"/>
    <w:rsid w:val="000463C0"/>
    <w:rsid w:val="00046E44"/>
    <w:rsid w:val="00047052"/>
    <w:rsid w:val="000473DA"/>
    <w:rsid w:val="00047911"/>
    <w:rsid w:val="00047D69"/>
    <w:rsid w:val="00050FA4"/>
    <w:rsid w:val="00051759"/>
    <w:rsid w:val="00051BB6"/>
    <w:rsid w:val="000528FB"/>
    <w:rsid w:val="00053B7C"/>
    <w:rsid w:val="00053C70"/>
    <w:rsid w:val="000543A9"/>
    <w:rsid w:val="000565AD"/>
    <w:rsid w:val="00056879"/>
    <w:rsid w:val="000568FD"/>
    <w:rsid w:val="00056A5C"/>
    <w:rsid w:val="00056B94"/>
    <w:rsid w:val="00056D76"/>
    <w:rsid w:val="00056D87"/>
    <w:rsid w:val="00057BA0"/>
    <w:rsid w:val="00061945"/>
    <w:rsid w:val="0006210C"/>
    <w:rsid w:val="000623DD"/>
    <w:rsid w:val="00062C85"/>
    <w:rsid w:val="0006311C"/>
    <w:rsid w:val="00063293"/>
    <w:rsid w:val="00063558"/>
    <w:rsid w:val="00063B89"/>
    <w:rsid w:val="00064A72"/>
    <w:rsid w:val="00064FEA"/>
    <w:rsid w:val="00065CB7"/>
    <w:rsid w:val="00066670"/>
    <w:rsid w:val="00070506"/>
    <w:rsid w:val="00070559"/>
    <w:rsid w:val="00070999"/>
    <w:rsid w:val="00070BFC"/>
    <w:rsid w:val="00070F20"/>
    <w:rsid w:val="000715E5"/>
    <w:rsid w:val="0007188A"/>
    <w:rsid w:val="00071BAD"/>
    <w:rsid w:val="000724DA"/>
    <w:rsid w:val="00073490"/>
    <w:rsid w:val="00073AAF"/>
    <w:rsid w:val="00073D30"/>
    <w:rsid w:val="00073DB1"/>
    <w:rsid w:val="00074065"/>
    <w:rsid w:val="000749EE"/>
    <w:rsid w:val="00076875"/>
    <w:rsid w:val="00076B0C"/>
    <w:rsid w:val="000777B6"/>
    <w:rsid w:val="000806C7"/>
    <w:rsid w:val="00080F64"/>
    <w:rsid w:val="000819DC"/>
    <w:rsid w:val="00081DAD"/>
    <w:rsid w:val="00082912"/>
    <w:rsid w:val="00082E83"/>
    <w:rsid w:val="00083A91"/>
    <w:rsid w:val="0008519F"/>
    <w:rsid w:val="000852B9"/>
    <w:rsid w:val="00085587"/>
    <w:rsid w:val="00085E70"/>
    <w:rsid w:val="00086623"/>
    <w:rsid w:val="00086A43"/>
    <w:rsid w:val="00086EEA"/>
    <w:rsid w:val="00087171"/>
    <w:rsid w:val="00087A61"/>
    <w:rsid w:val="000903F5"/>
    <w:rsid w:val="000906A1"/>
    <w:rsid w:val="000906F2"/>
    <w:rsid w:val="000906FB"/>
    <w:rsid w:val="00090E38"/>
    <w:rsid w:val="00091B94"/>
    <w:rsid w:val="00091BC8"/>
    <w:rsid w:val="00091C0F"/>
    <w:rsid w:val="00091F2C"/>
    <w:rsid w:val="00091FFA"/>
    <w:rsid w:val="000921F6"/>
    <w:rsid w:val="00092A50"/>
    <w:rsid w:val="000937E0"/>
    <w:rsid w:val="00093B49"/>
    <w:rsid w:val="00093FF6"/>
    <w:rsid w:val="000954C0"/>
    <w:rsid w:val="00095B81"/>
    <w:rsid w:val="00097FD0"/>
    <w:rsid w:val="000A035A"/>
    <w:rsid w:val="000A0419"/>
    <w:rsid w:val="000A1441"/>
    <w:rsid w:val="000A1821"/>
    <w:rsid w:val="000A1AE1"/>
    <w:rsid w:val="000A356D"/>
    <w:rsid w:val="000A374D"/>
    <w:rsid w:val="000A5F21"/>
    <w:rsid w:val="000A6798"/>
    <w:rsid w:val="000A79C3"/>
    <w:rsid w:val="000A7B46"/>
    <w:rsid w:val="000A7EC6"/>
    <w:rsid w:val="000A7F7B"/>
    <w:rsid w:val="000B02E8"/>
    <w:rsid w:val="000B0C9F"/>
    <w:rsid w:val="000B1B5F"/>
    <w:rsid w:val="000B1D2D"/>
    <w:rsid w:val="000B1DEA"/>
    <w:rsid w:val="000B20A0"/>
    <w:rsid w:val="000B290F"/>
    <w:rsid w:val="000B38E9"/>
    <w:rsid w:val="000B3DED"/>
    <w:rsid w:val="000B4431"/>
    <w:rsid w:val="000B6B43"/>
    <w:rsid w:val="000B6C5D"/>
    <w:rsid w:val="000B6D21"/>
    <w:rsid w:val="000B72EA"/>
    <w:rsid w:val="000B739C"/>
    <w:rsid w:val="000B7B36"/>
    <w:rsid w:val="000C022A"/>
    <w:rsid w:val="000C0292"/>
    <w:rsid w:val="000C08E6"/>
    <w:rsid w:val="000C18D6"/>
    <w:rsid w:val="000C1C4F"/>
    <w:rsid w:val="000C204E"/>
    <w:rsid w:val="000C2178"/>
    <w:rsid w:val="000C2EBE"/>
    <w:rsid w:val="000C329B"/>
    <w:rsid w:val="000C35AC"/>
    <w:rsid w:val="000C55E9"/>
    <w:rsid w:val="000C55EA"/>
    <w:rsid w:val="000C5823"/>
    <w:rsid w:val="000C58CA"/>
    <w:rsid w:val="000C5B41"/>
    <w:rsid w:val="000C5C46"/>
    <w:rsid w:val="000C5FB8"/>
    <w:rsid w:val="000C6E1C"/>
    <w:rsid w:val="000C72CF"/>
    <w:rsid w:val="000C7831"/>
    <w:rsid w:val="000C7A01"/>
    <w:rsid w:val="000C7E35"/>
    <w:rsid w:val="000D04EE"/>
    <w:rsid w:val="000D10AD"/>
    <w:rsid w:val="000D1600"/>
    <w:rsid w:val="000D2666"/>
    <w:rsid w:val="000D26A1"/>
    <w:rsid w:val="000D286E"/>
    <w:rsid w:val="000D2FCC"/>
    <w:rsid w:val="000D3F5E"/>
    <w:rsid w:val="000D47E0"/>
    <w:rsid w:val="000D4813"/>
    <w:rsid w:val="000D4B1A"/>
    <w:rsid w:val="000D4E3D"/>
    <w:rsid w:val="000D5CF6"/>
    <w:rsid w:val="000D5DFB"/>
    <w:rsid w:val="000D5F5F"/>
    <w:rsid w:val="000D60F1"/>
    <w:rsid w:val="000D63BC"/>
    <w:rsid w:val="000D6D0F"/>
    <w:rsid w:val="000D788D"/>
    <w:rsid w:val="000D7B11"/>
    <w:rsid w:val="000D7B93"/>
    <w:rsid w:val="000E012D"/>
    <w:rsid w:val="000E04E4"/>
    <w:rsid w:val="000E074B"/>
    <w:rsid w:val="000E0B07"/>
    <w:rsid w:val="000E1A00"/>
    <w:rsid w:val="000E2628"/>
    <w:rsid w:val="000E28BA"/>
    <w:rsid w:val="000E2C2A"/>
    <w:rsid w:val="000E4B07"/>
    <w:rsid w:val="000E5686"/>
    <w:rsid w:val="000E7288"/>
    <w:rsid w:val="000E746A"/>
    <w:rsid w:val="000F068F"/>
    <w:rsid w:val="000F0F94"/>
    <w:rsid w:val="000F21F1"/>
    <w:rsid w:val="000F26AF"/>
    <w:rsid w:val="000F2AD9"/>
    <w:rsid w:val="000F3A13"/>
    <w:rsid w:val="000F3A19"/>
    <w:rsid w:val="000F455D"/>
    <w:rsid w:val="000F4931"/>
    <w:rsid w:val="000F565E"/>
    <w:rsid w:val="000F5A44"/>
    <w:rsid w:val="000F5DD4"/>
    <w:rsid w:val="000F63D1"/>
    <w:rsid w:val="000F6849"/>
    <w:rsid w:val="000F6887"/>
    <w:rsid w:val="000F6D59"/>
    <w:rsid w:val="000F72C9"/>
    <w:rsid w:val="000F777E"/>
    <w:rsid w:val="0010093C"/>
    <w:rsid w:val="00100F2A"/>
    <w:rsid w:val="0010113A"/>
    <w:rsid w:val="00101264"/>
    <w:rsid w:val="0010132F"/>
    <w:rsid w:val="00101AB4"/>
    <w:rsid w:val="00101DF6"/>
    <w:rsid w:val="0010403E"/>
    <w:rsid w:val="00105993"/>
    <w:rsid w:val="00106882"/>
    <w:rsid w:val="00106F16"/>
    <w:rsid w:val="001079DC"/>
    <w:rsid w:val="00107DE1"/>
    <w:rsid w:val="00110EB9"/>
    <w:rsid w:val="001112BF"/>
    <w:rsid w:val="00111DB0"/>
    <w:rsid w:val="0011249D"/>
    <w:rsid w:val="00112738"/>
    <w:rsid w:val="00112889"/>
    <w:rsid w:val="001130AF"/>
    <w:rsid w:val="001143FC"/>
    <w:rsid w:val="0011523C"/>
    <w:rsid w:val="00115AED"/>
    <w:rsid w:val="00116171"/>
    <w:rsid w:val="00116725"/>
    <w:rsid w:val="00116A99"/>
    <w:rsid w:val="001174F1"/>
    <w:rsid w:val="001179C0"/>
    <w:rsid w:val="00117C42"/>
    <w:rsid w:val="001208FE"/>
    <w:rsid w:val="00120E5D"/>
    <w:rsid w:val="00121D40"/>
    <w:rsid w:val="00122150"/>
    <w:rsid w:val="00122795"/>
    <w:rsid w:val="00122E1A"/>
    <w:rsid w:val="00123004"/>
    <w:rsid w:val="00123533"/>
    <w:rsid w:val="001236F9"/>
    <w:rsid w:val="0012397B"/>
    <w:rsid w:val="00124364"/>
    <w:rsid w:val="00124904"/>
    <w:rsid w:val="00124E19"/>
    <w:rsid w:val="001251F3"/>
    <w:rsid w:val="001252A9"/>
    <w:rsid w:val="00126022"/>
    <w:rsid w:val="001268AE"/>
    <w:rsid w:val="001271A9"/>
    <w:rsid w:val="001271EB"/>
    <w:rsid w:val="00130D73"/>
    <w:rsid w:val="00130DC7"/>
    <w:rsid w:val="00131225"/>
    <w:rsid w:val="00131296"/>
    <w:rsid w:val="00131920"/>
    <w:rsid w:val="00132008"/>
    <w:rsid w:val="0013214F"/>
    <w:rsid w:val="0013275C"/>
    <w:rsid w:val="00132BDD"/>
    <w:rsid w:val="00132FAD"/>
    <w:rsid w:val="0013344F"/>
    <w:rsid w:val="0013476B"/>
    <w:rsid w:val="00134EA1"/>
    <w:rsid w:val="00135D65"/>
    <w:rsid w:val="00136261"/>
    <w:rsid w:val="00136D2B"/>
    <w:rsid w:val="00137B93"/>
    <w:rsid w:val="00140024"/>
    <w:rsid w:val="00140981"/>
    <w:rsid w:val="00140C57"/>
    <w:rsid w:val="0014111C"/>
    <w:rsid w:val="0014131E"/>
    <w:rsid w:val="0014150E"/>
    <w:rsid w:val="00142F7E"/>
    <w:rsid w:val="00144005"/>
    <w:rsid w:val="00144144"/>
    <w:rsid w:val="001444B0"/>
    <w:rsid w:val="00144ADB"/>
    <w:rsid w:val="00144BA0"/>
    <w:rsid w:val="00146E50"/>
    <w:rsid w:val="00147A24"/>
    <w:rsid w:val="00147A8C"/>
    <w:rsid w:val="00150A21"/>
    <w:rsid w:val="00151987"/>
    <w:rsid w:val="00151AEC"/>
    <w:rsid w:val="00151FFD"/>
    <w:rsid w:val="001536CE"/>
    <w:rsid w:val="00153AD7"/>
    <w:rsid w:val="00153B4B"/>
    <w:rsid w:val="001542C1"/>
    <w:rsid w:val="00154C78"/>
    <w:rsid w:val="00155067"/>
    <w:rsid w:val="00156927"/>
    <w:rsid w:val="0015692D"/>
    <w:rsid w:val="001569FA"/>
    <w:rsid w:val="001572E3"/>
    <w:rsid w:val="00160071"/>
    <w:rsid w:val="001606B2"/>
    <w:rsid w:val="001606EB"/>
    <w:rsid w:val="001607BA"/>
    <w:rsid w:val="00160883"/>
    <w:rsid w:val="0016096B"/>
    <w:rsid w:val="00160D97"/>
    <w:rsid w:val="00161B4F"/>
    <w:rsid w:val="00161C80"/>
    <w:rsid w:val="001622B1"/>
    <w:rsid w:val="00163915"/>
    <w:rsid w:val="00164048"/>
    <w:rsid w:val="00164073"/>
    <w:rsid w:val="00164297"/>
    <w:rsid w:val="001656D4"/>
    <w:rsid w:val="00165883"/>
    <w:rsid w:val="001659F8"/>
    <w:rsid w:val="00166096"/>
    <w:rsid w:val="00166560"/>
    <w:rsid w:val="00166F65"/>
    <w:rsid w:val="00167210"/>
    <w:rsid w:val="001675C0"/>
    <w:rsid w:val="00167DDA"/>
    <w:rsid w:val="00170184"/>
    <w:rsid w:val="001701B0"/>
    <w:rsid w:val="0017110E"/>
    <w:rsid w:val="00172C9D"/>
    <w:rsid w:val="00172F35"/>
    <w:rsid w:val="001737C0"/>
    <w:rsid w:val="001738AC"/>
    <w:rsid w:val="00174367"/>
    <w:rsid w:val="0017491F"/>
    <w:rsid w:val="00174F1D"/>
    <w:rsid w:val="001759FF"/>
    <w:rsid w:val="00176492"/>
    <w:rsid w:val="00176504"/>
    <w:rsid w:val="001765F2"/>
    <w:rsid w:val="00176825"/>
    <w:rsid w:val="00176AAF"/>
    <w:rsid w:val="00176EDC"/>
    <w:rsid w:val="001776D3"/>
    <w:rsid w:val="00180081"/>
    <w:rsid w:val="0018062B"/>
    <w:rsid w:val="00180763"/>
    <w:rsid w:val="001817F2"/>
    <w:rsid w:val="00182289"/>
    <w:rsid w:val="0018357D"/>
    <w:rsid w:val="00183B95"/>
    <w:rsid w:val="00183C35"/>
    <w:rsid w:val="00183C86"/>
    <w:rsid w:val="001845CB"/>
    <w:rsid w:val="00184DDA"/>
    <w:rsid w:val="0018640E"/>
    <w:rsid w:val="001867FB"/>
    <w:rsid w:val="00186A60"/>
    <w:rsid w:val="00186AC1"/>
    <w:rsid w:val="001901AD"/>
    <w:rsid w:val="00190412"/>
    <w:rsid w:val="001918E0"/>
    <w:rsid w:val="00191A7D"/>
    <w:rsid w:val="00192195"/>
    <w:rsid w:val="00192C05"/>
    <w:rsid w:val="00192CDC"/>
    <w:rsid w:val="00193B35"/>
    <w:rsid w:val="001942D4"/>
    <w:rsid w:val="001946C0"/>
    <w:rsid w:val="0019578A"/>
    <w:rsid w:val="00195A44"/>
    <w:rsid w:val="00195F54"/>
    <w:rsid w:val="00195FA7"/>
    <w:rsid w:val="001965D1"/>
    <w:rsid w:val="001967B7"/>
    <w:rsid w:val="00196FAB"/>
    <w:rsid w:val="001970A2"/>
    <w:rsid w:val="001A02AA"/>
    <w:rsid w:val="001A03AE"/>
    <w:rsid w:val="001A0826"/>
    <w:rsid w:val="001A08E6"/>
    <w:rsid w:val="001A0A28"/>
    <w:rsid w:val="001A0BC9"/>
    <w:rsid w:val="001A1F88"/>
    <w:rsid w:val="001A25E3"/>
    <w:rsid w:val="001A2938"/>
    <w:rsid w:val="001A2BC7"/>
    <w:rsid w:val="001A2D52"/>
    <w:rsid w:val="001A2E10"/>
    <w:rsid w:val="001A3FBB"/>
    <w:rsid w:val="001A4C86"/>
    <w:rsid w:val="001A574A"/>
    <w:rsid w:val="001A5FB5"/>
    <w:rsid w:val="001A61C2"/>
    <w:rsid w:val="001A6A1B"/>
    <w:rsid w:val="001A6A3B"/>
    <w:rsid w:val="001A7082"/>
    <w:rsid w:val="001A7A2E"/>
    <w:rsid w:val="001A7AC5"/>
    <w:rsid w:val="001B02E9"/>
    <w:rsid w:val="001B05E6"/>
    <w:rsid w:val="001B18D3"/>
    <w:rsid w:val="001B1F6A"/>
    <w:rsid w:val="001B1F77"/>
    <w:rsid w:val="001B2552"/>
    <w:rsid w:val="001B2A16"/>
    <w:rsid w:val="001B2DC6"/>
    <w:rsid w:val="001B3926"/>
    <w:rsid w:val="001B3F19"/>
    <w:rsid w:val="001B4EC3"/>
    <w:rsid w:val="001B5E9B"/>
    <w:rsid w:val="001B62A4"/>
    <w:rsid w:val="001B6F98"/>
    <w:rsid w:val="001B7B1D"/>
    <w:rsid w:val="001C07A7"/>
    <w:rsid w:val="001C0888"/>
    <w:rsid w:val="001C1D75"/>
    <w:rsid w:val="001C2307"/>
    <w:rsid w:val="001C2A4D"/>
    <w:rsid w:val="001C361E"/>
    <w:rsid w:val="001C3762"/>
    <w:rsid w:val="001C4150"/>
    <w:rsid w:val="001C5060"/>
    <w:rsid w:val="001C50FD"/>
    <w:rsid w:val="001C516D"/>
    <w:rsid w:val="001C5841"/>
    <w:rsid w:val="001C59FA"/>
    <w:rsid w:val="001C5C3B"/>
    <w:rsid w:val="001C6589"/>
    <w:rsid w:val="001C7014"/>
    <w:rsid w:val="001C7AEB"/>
    <w:rsid w:val="001C7DDF"/>
    <w:rsid w:val="001C7ECF"/>
    <w:rsid w:val="001D020B"/>
    <w:rsid w:val="001D094B"/>
    <w:rsid w:val="001D0E44"/>
    <w:rsid w:val="001D10B5"/>
    <w:rsid w:val="001D127C"/>
    <w:rsid w:val="001D13D1"/>
    <w:rsid w:val="001D14EF"/>
    <w:rsid w:val="001D224E"/>
    <w:rsid w:val="001D3107"/>
    <w:rsid w:val="001D399C"/>
    <w:rsid w:val="001D4550"/>
    <w:rsid w:val="001D493F"/>
    <w:rsid w:val="001D49BA"/>
    <w:rsid w:val="001D4ED2"/>
    <w:rsid w:val="001D5288"/>
    <w:rsid w:val="001D60CB"/>
    <w:rsid w:val="001D6AB2"/>
    <w:rsid w:val="001D701C"/>
    <w:rsid w:val="001D76BF"/>
    <w:rsid w:val="001D79D1"/>
    <w:rsid w:val="001D7FD8"/>
    <w:rsid w:val="001E0E72"/>
    <w:rsid w:val="001E14B6"/>
    <w:rsid w:val="001E15D9"/>
    <w:rsid w:val="001E19B4"/>
    <w:rsid w:val="001E317A"/>
    <w:rsid w:val="001E3CFB"/>
    <w:rsid w:val="001E415A"/>
    <w:rsid w:val="001E45C2"/>
    <w:rsid w:val="001E4707"/>
    <w:rsid w:val="001E4CA4"/>
    <w:rsid w:val="001E53F0"/>
    <w:rsid w:val="001E5A6F"/>
    <w:rsid w:val="001E6A54"/>
    <w:rsid w:val="001E6B0B"/>
    <w:rsid w:val="001E6E5F"/>
    <w:rsid w:val="001E6F17"/>
    <w:rsid w:val="001E74BB"/>
    <w:rsid w:val="001E785A"/>
    <w:rsid w:val="001E7DF4"/>
    <w:rsid w:val="001F06F3"/>
    <w:rsid w:val="001F09F8"/>
    <w:rsid w:val="001F136B"/>
    <w:rsid w:val="001F1CFD"/>
    <w:rsid w:val="001F3E83"/>
    <w:rsid w:val="001F3FE4"/>
    <w:rsid w:val="001F4441"/>
    <w:rsid w:val="001F44CA"/>
    <w:rsid w:val="001F4FD5"/>
    <w:rsid w:val="001F5CBE"/>
    <w:rsid w:val="001F5ED2"/>
    <w:rsid w:val="001F73D9"/>
    <w:rsid w:val="001F7D7C"/>
    <w:rsid w:val="002006C1"/>
    <w:rsid w:val="0020082E"/>
    <w:rsid w:val="00201834"/>
    <w:rsid w:val="00201C7A"/>
    <w:rsid w:val="00201FCF"/>
    <w:rsid w:val="00201FE6"/>
    <w:rsid w:val="00202207"/>
    <w:rsid w:val="00203496"/>
    <w:rsid w:val="00203FBC"/>
    <w:rsid w:val="0020427E"/>
    <w:rsid w:val="00204491"/>
    <w:rsid w:val="002059A6"/>
    <w:rsid w:val="00205E7B"/>
    <w:rsid w:val="00206517"/>
    <w:rsid w:val="00207B11"/>
    <w:rsid w:val="00207B8A"/>
    <w:rsid w:val="00210173"/>
    <w:rsid w:val="002109E5"/>
    <w:rsid w:val="00211AFA"/>
    <w:rsid w:val="00211DE9"/>
    <w:rsid w:val="00212070"/>
    <w:rsid w:val="00212D03"/>
    <w:rsid w:val="00213F6B"/>
    <w:rsid w:val="002149C2"/>
    <w:rsid w:val="00214B56"/>
    <w:rsid w:val="00214DCE"/>
    <w:rsid w:val="00215613"/>
    <w:rsid w:val="002157B4"/>
    <w:rsid w:val="0021590A"/>
    <w:rsid w:val="00215D39"/>
    <w:rsid w:val="00220318"/>
    <w:rsid w:val="00222134"/>
    <w:rsid w:val="00222377"/>
    <w:rsid w:val="00222F0D"/>
    <w:rsid w:val="00223DD8"/>
    <w:rsid w:val="00224D56"/>
    <w:rsid w:val="00225337"/>
    <w:rsid w:val="0022652D"/>
    <w:rsid w:val="00226CFF"/>
    <w:rsid w:val="00226E55"/>
    <w:rsid w:val="00226FCF"/>
    <w:rsid w:val="00227059"/>
    <w:rsid w:val="00227591"/>
    <w:rsid w:val="00227A09"/>
    <w:rsid w:val="00227FC1"/>
    <w:rsid w:val="00231160"/>
    <w:rsid w:val="0023133B"/>
    <w:rsid w:val="002315D1"/>
    <w:rsid w:val="002316ED"/>
    <w:rsid w:val="00232A0D"/>
    <w:rsid w:val="00232E40"/>
    <w:rsid w:val="00233207"/>
    <w:rsid w:val="002333CF"/>
    <w:rsid w:val="00233AA3"/>
    <w:rsid w:val="0023499B"/>
    <w:rsid w:val="002349B0"/>
    <w:rsid w:val="00234A28"/>
    <w:rsid w:val="00235207"/>
    <w:rsid w:val="00235691"/>
    <w:rsid w:val="00235EBC"/>
    <w:rsid w:val="00236370"/>
    <w:rsid w:val="00236866"/>
    <w:rsid w:val="00237545"/>
    <w:rsid w:val="00237D54"/>
    <w:rsid w:val="002407AB"/>
    <w:rsid w:val="0024082A"/>
    <w:rsid w:val="00240BBC"/>
    <w:rsid w:val="00240EB8"/>
    <w:rsid w:val="0024114F"/>
    <w:rsid w:val="0024147B"/>
    <w:rsid w:val="00243345"/>
    <w:rsid w:val="00243403"/>
    <w:rsid w:val="00243C49"/>
    <w:rsid w:val="00243DA1"/>
    <w:rsid w:val="00244D39"/>
    <w:rsid w:val="00245340"/>
    <w:rsid w:val="002460CB"/>
    <w:rsid w:val="00246DFB"/>
    <w:rsid w:val="00246ED8"/>
    <w:rsid w:val="0024769E"/>
    <w:rsid w:val="002504D2"/>
    <w:rsid w:val="002505C2"/>
    <w:rsid w:val="002505D4"/>
    <w:rsid w:val="00250AC9"/>
    <w:rsid w:val="002512DB"/>
    <w:rsid w:val="0025136A"/>
    <w:rsid w:val="00251730"/>
    <w:rsid w:val="002518C6"/>
    <w:rsid w:val="00251B47"/>
    <w:rsid w:val="00251F59"/>
    <w:rsid w:val="00252FC7"/>
    <w:rsid w:val="00253643"/>
    <w:rsid w:val="00253986"/>
    <w:rsid w:val="002543C1"/>
    <w:rsid w:val="0025457C"/>
    <w:rsid w:val="00254B86"/>
    <w:rsid w:val="00256834"/>
    <w:rsid w:val="002577C4"/>
    <w:rsid w:val="0025782F"/>
    <w:rsid w:val="00260CBD"/>
    <w:rsid w:val="00260D24"/>
    <w:rsid w:val="0026177E"/>
    <w:rsid w:val="00262631"/>
    <w:rsid w:val="0026340F"/>
    <w:rsid w:val="00263644"/>
    <w:rsid w:val="002639C7"/>
    <w:rsid w:val="00263E01"/>
    <w:rsid w:val="00264306"/>
    <w:rsid w:val="00264DE6"/>
    <w:rsid w:val="0026568F"/>
    <w:rsid w:val="00266207"/>
    <w:rsid w:val="0026680D"/>
    <w:rsid w:val="002668AC"/>
    <w:rsid w:val="00266A23"/>
    <w:rsid w:val="002678E7"/>
    <w:rsid w:val="00267905"/>
    <w:rsid w:val="00267E68"/>
    <w:rsid w:val="00270DF7"/>
    <w:rsid w:val="0027128D"/>
    <w:rsid w:val="002712C8"/>
    <w:rsid w:val="00272047"/>
    <w:rsid w:val="00272B44"/>
    <w:rsid w:val="00272D48"/>
    <w:rsid w:val="0027332E"/>
    <w:rsid w:val="002739EB"/>
    <w:rsid w:val="00273B50"/>
    <w:rsid w:val="00273B72"/>
    <w:rsid w:val="00273D06"/>
    <w:rsid w:val="00274619"/>
    <w:rsid w:val="002746E7"/>
    <w:rsid w:val="002748A7"/>
    <w:rsid w:val="00274E27"/>
    <w:rsid w:val="00275B30"/>
    <w:rsid w:val="00275E58"/>
    <w:rsid w:val="00275EF6"/>
    <w:rsid w:val="002760AB"/>
    <w:rsid w:val="0027643C"/>
    <w:rsid w:val="00276C76"/>
    <w:rsid w:val="00276D87"/>
    <w:rsid w:val="002771EC"/>
    <w:rsid w:val="00277725"/>
    <w:rsid w:val="00280E27"/>
    <w:rsid w:val="002812BA"/>
    <w:rsid w:val="002824A5"/>
    <w:rsid w:val="00282E47"/>
    <w:rsid w:val="00283240"/>
    <w:rsid w:val="00283664"/>
    <w:rsid w:val="00283D18"/>
    <w:rsid w:val="00283FAD"/>
    <w:rsid w:val="00284241"/>
    <w:rsid w:val="002843C7"/>
    <w:rsid w:val="00284529"/>
    <w:rsid w:val="00284DD7"/>
    <w:rsid w:val="00284DD9"/>
    <w:rsid w:val="00285353"/>
    <w:rsid w:val="002854BB"/>
    <w:rsid w:val="002855BD"/>
    <w:rsid w:val="00286215"/>
    <w:rsid w:val="00287C0D"/>
    <w:rsid w:val="00287C0E"/>
    <w:rsid w:val="00291847"/>
    <w:rsid w:val="00292386"/>
    <w:rsid w:val="0029285A"/>
    <w:rsid w:val="00292EBE"/>
    <w:rsid w:val="00293779"/>
    <w:rsid w:val="002949CE"/>
    <w:rsid w:val="00294F88"/>
    <w:rsid w:val="002952A5"/>
    <w:rsid w:val="002955B7"/>
    <w:rsid w:val="00295826"/>
    <w:rsid w:val="00295C82"/>
    <w:rsid w:val="00295FE7"/>
    <w:rsid w:val="00296512"/>
    <w:rsid w:val="0029689A"/>
    <w:rsid w:val="00296F9B"/>
    <w:rsid w:val="00297177"/>
    <w:rsid w:val="00297811"/>
    <w:rsid w:val="00297F59"/>
    <w:rsid w:val="002A030C"/>
    <w:rsid w:val="002A088C"/>
    <w:rsid w:val="002A0A92"/>
    <w:rsid w:val="002A0D22"/>
    <w:rsid w:val="002A0D26"/>
    <w:rsid w:val="002A268A"/>
    <w:rsid w:val="002A269D"/>
    <w:rsid w:val="002A2EBF"/>
    <w:rsid w:val="002A3249"/>
    <w:rsid w:val="002A383C"/>
    <w:rsid w:val="002A5883"/>
    <w:rsid w:val="002A5F9A"/>
    <w:rsid w:val="002A5FB4"/>
    <w:rsid w:val="002A6419"/>
    <w:rsid w:val="002A6CA5"/>
    <w:rsid w:val="002A6FD7"/>
    <w:rsid w:val="002B0671"/>
    <w:rsid w:val="002B0785"/>
    <w:rsid w:val="002B09E8"/>
    <w:rsid w:val="002B213D"/>
    <w:rsid w:val="002B2FEE"/>
    <w:rsid w:val="002B39C2"/>
    <w:rsid w:val="002B3BA1"/>
    <w:rsid w:val="002B3D4E"/>
    <w:rsid w:val="002B4978"/>
    <w:rsid w:val="002B4A5E"/>
    <w:rsid w:val="002B56F8"/>
    <w:rsid w:val="002B57CC"/>
    <w:rsid w:val="002B651A"/>
    <w:rsid w:val="002B732B"/>
    <w:rsid w:val="002B78B6"/>
    <w:rsid w:val="002B7B08"/>
    <w:rsid w:val="002B7B37"/>
    <w:rsid w:val="002B7E38"/>
    <w:rsid w:val="002C15FE"/>
    <w:rsid w:val="002C18D3"/>
    <w:rsid w:val="002C21D3"/>
    <w:rsid w:val="002C22F8"/>
    <w:rsid w:val="002C2DC6"/>
    <w:rsid w:val="002C31F3"/>
    <w:rsid w:val="002C36AC"/>
    <w:rsid w:val="002C3AD3"/>
    <w:rsid w:val="002C3F75"/>
    <w:rsid w:val="002C48B3"/>
    <w:rsid w:val="002C494B"/>
    <w:rsid w:val="002C4AB0"/>
    <w:rsid w:val="002C4DDA"/>
    <w:rsid w:val="002C4E30"/>
    <w:rsid w:val="002C4E87"/>
    <w:rsid w:val="002C668B"/>
    <w:rsid w:val="002C6F32"/>
    <w:rsid w:val="002C7309"/>
    <w:rsid w:val="002C7EE5"/>
    <w:rsid w:val="002D0710"/>
    <w:rsid w:val="002D3198"/>
    <w:rsid w:val="002D35EB"/>
    <w:rsid w:val="002D4539"/>
    <w:rsid w:val="002D479F"/>
    <w:rsid w:val="002D4854"/>
    <w:rsid w:val="002D5EDC"/>
    <w:rsid w:val="002D5FB9"/>
    <w:rsid w:val="002D638F"/>
    <w:rsid w:val="002D703B"/>
    <w:rsid w:val="002E010A"/>
    <w:rsid w:val="002E0297"/>
    <w:rsid w:val="002E09B7"/>
    <w:rsid w:val="002E0EE6"/>
    <w:rsid w:val="002E0F1E"/>
    <w:rsid w:val="002E20C7"/>
    <w:rsid w:val="002E290B"/>
    <w:rsid w:val="002E3817"/>
    <w:rsid w:val="002E43B4"/>
    <w:rsid w:val="002E4BC6"/>
    <w:rsid w:val="002E5257"/>
    <w:rsid w:val="002E5BB1"/>
    <w:rsid w:val="002E5FC7"/>
    <w:rsid w:val="002E6237"/>
    <w:rsid w:val="002E7105"/>
    <w:rsid w:val="002E7D90"/>
    <w:rsid w:val="002F10E4"/>
    <w:rsid w:val="002F11BB"/>
    <w:rsid w:val="002F1889"/>
    <w:rsid w:val="002F18D2"/>
    <w:rsid w:val="002F1F17"/>
    <w:rsid w:val="002F2719"/>
    <w:rsid w:val="002F2861"/>
    <w:rsid w:val="002F2E14"/>
    <w:rsid w:val="002F33BA"/>
    <w:rsid w:val="002F3540"/>
    <w:rsid w:val="002F399F"/>
    <w:rsid w:val="002F39D5"/>
    <w:rsid w:val="002F3AE8"/>
    <w:rsid w:val="002F3CFB"/>
    <w:rsid w:val="002F49D1"/>
    <w:rsid w:val="002F4A15"/>
    <w:rsid w:val="002F4B1D"/>
    <w:rsid w:val="002F4E5D"/>
    <w:rsid w:val="002F502E"/>
    <w:rsid w:val="002F62A4"/>
    <w:rsid w:val="002F67DC"/>
    <w:rsid w:val="002F6BAE"/>
    <w:rsid w:val="002F76FC"/>
    <w:rsid w:val="002F7D47"/>
    <w:rsid w:val="00301357"/>
    <w:rsid w:val="00301EE3"/>
    <w:rsid w:val="003021E0"/>
    <w:rsid w:val="00302657"/>
    <w:rsid w:val="00302CBC"/>
    <w:rsid w:val="00303542"/>
    <w:rsid w:val="00303765"/>
    <w:rsid w:val="00303890"/>
    <w:rsid w:val="003038F1"/>
    <w:rsid w:val="003038FD"/>
    <w:rsid w:val="00304540"/>
    <w:rsid w:val="0030494A"/>
    <w:rsid w:val="00304C58"/>
    <w:rsid w:val="00305500"/>
    <w:rsid w:val="00306183"/>
    <w:rsid w:val="0030657D"/>
    <w:rsid w:val="00306A69"/>
    <w:rsid w:val="00307D3E"/>
    <w:rsid w:val="00310021"/>
    <w:rsid w:val="0031072E"/>
    <w:rsid w:val="00310CA9"/>
    <w:rsid w:val="00310F9F"/>
    <w:rsid w:val="003115A0"/>
    <w:rsid w:val="003117BB"/>
    <w:rsid w:val="0031206A"/>
    <w:rsid w:val="00312A42"/>
    <w:rsid w:val="0031357E"/>
    <w:rsid w:val="003135A3"/>
    <w:rsid w:val="003149A8"/>
    <w:rsid w:val="0031524D"/>
    <w:rsid w:val="00316D3D"/>
    <w:rsid w:val="00323BB3"/>
    <w:rsid w:val="00323CC1"/>
    <w:rsid w:val="00324B33"/>
    <w:rsid w:val="00324F0B"/>
    <w:rsid w:val="0032516D"/>
    <w:rsid w:val="00325B29"/>
    <w:rsid w:val="00325B42"/>
    <w:rsid w:val="00325D0A"/>
    <w:rsid w:val="00325E06"/>
    <w:rsid w:val="003269DA"/>
    <w:rsid w:val="00326CCD"/>
    <w:rsid w:val="00327106"/>
    <w:rsid w:val="003279BC"/>
    <w:rsid w:val="0033059F"/>
    <w:rsid w:val="0033077A"/>
    <w:rsid w:val="00330A05"/>
    <w:rsid w:val="00330C6A"/>
    <w:rsid w:val="00330CA6"/>
    <w:rsid w:val="00331AEB"/>
    <w:rsid w:val="003322E5"/>
    <w:rsid w:val="00332472"/>
    <w:rsid w:val="0033268D"/>
    <w:rsid w:val="00332C52"/>
    <w:rsid w:val="003330C1"/>
    <w:rsid w:val="00333172"/>
    <w:rsid w:val="00333234"/>
    <w:rsid w:val="003333A7"/>
    <w:rsid w:val="003335B0"/>
    <w:rsid w:val="003345CA"/>
    <w:rsid w:val="00334918"/>
    <w:rsid w:val="003354F5"/>
    <w:rsid w:val="003356C1"/>
    <w:rsid w:val="00335A7F"/>
    <w:rsid w:val="00335E68"/>
    <w:rsid w:val="00336082"/>
    <w:rsid w:val="0033622A"/>
    <w:rsid w:val="00336DFC"/>
    <w:rsid w:val="003376D9"/>
    <w:rsid w:val="00337CCD"/>
    <w:rsid w:val="00340B21"/>
    <w:rsid w:val="00340F27"/>
    <w:rsid w:val="0034125D"/>
    <w:rsid w:val="00341784"/>
    <w:rsid w:val="00341864"/>
    <w:rsid w:val="00341B62"/>
    <w:rsid w:val="00341D1B"/>
    <w:rsid w:val="003425A8"/>
    <w:rsid w:val="0034267F"/>
    <w:rsid w:val="003428A9"/>
    <w:rsid w:val="003434DC"/>
    <w:rsid w:val="00343B27"/>
    <w:rsid w:val="00343CB1"/>
    <w:rsid w:val="00343E0E"/>
    <w:rsid w:val="00345D8E"/>
    <w:rsid w:val="00345E70"/>
    <w:rsid w:val="00345EE7"/>
    <w:rsid w:val="003461A0"/>
    <w:rsid w:val="0034650A"/>
    <w:rsid w:val="00346BD1"/>
    <w:rsid w:val="00346EB7"/>
    <w:rsid w:val="00347319"/>
    <w:rsid w:val="00347BB1"/>
    <w:rsid w:val="00347C7B"/>
    <w:rsid w:val="00347D08"/>
    <w:rsid w:val="003507FA"/>
    <w:rsid w:val="0035092B"/>
    <w:rsid w:val="00350D33"/>
    <w:rsid w:val="0035112C"/>
    <w:rsid w:val="003517A6"/>
    <w:rsid w:val="00351B14"/>
    <w:rsid w:val="00352303"/>
    <w:rsid w:val="003523B3"/>
    <w:rsid w:val="0035266B"/>
    <w:rsid w:val="00353395"/>
    <w:rsid w:val="00353B98"/>
    <w:rsid w:val="00353EFE"/>
    <w:rsid w:val="0035433B"/>
    <w:rsid w:val="00354713"/>
    <w:rsid w:val="00354883"/>
    <w:rsid w:val="0035493E"/>
    <w:rsid w:val="003559A4"/>
    <w:rsid w:val="00356A19"/>
    <w:rsid w:val="0035703D"/>
    <w:rsid w:val="003577D9"/>
    <w:rsid w:val="0035781A"/>
    <w:rsid w:val="00360D7A"/>
    <w:rsid w:val="0036103E"/>
    <w:rsid w:val="003611C1"/>
    <w:rsid w:val="00361441"/>
    <w:rsid w:val="003624B8"/>
    <w:rsid w:val="00362734"/>
    <w:rsid w:val="00364771"/>
    <w:rsid w:val="00364A8E"/>
    <w:rsid w:val="00364E7C"/>
    <w:rsid w:val="003655C2"/>
    <w:rsid w:val="00365F57"/>
    <w:rsid w:val="003660DE"/>
    <w:rsid w:val="003669E3"/>
    <w:rsid w:val="003671D2"/>
    <w:rsid w:val="00370BD6"/>
    <w:rsid w:val="003714F5"/>
    <w:rsid w:val="00372190"/>
    <w:rsid w:val="003724C0"/>
    <w:rsid w:val="003725E0"/>
    <w:rsid w:val="00373659"/>
    <w:rsid w:val="00373B6F"/>
    <w:rsid w:val="003747BC"/>
    <w:rsid w:val="003747E0"/>
    <w:rsid w:val="00374D7E"/>
    <w:rsid w:val="003752D0"/>
    <w:rsid w:val="003755F9"/>
    <w:rsid w:val="00375BE6"/>
    <w:rsid w:val="00375F7E"/>
    <w:rsid w:val="0037608C"/>
    <w:rsid w:val="00376ED3"/>
    <w:rsid w:val="003776ED"/>
    <w:rsid w:val="0038017E"/>
    <w:rsid w:val="00380516"/>
    <w:rsid w:val="00380E2D"/>
    <w:rsid w:val="0038131C"/>
    <w:rsid w:val="00381EFC"/>
    <w:rsid w:val="00382ED3"/>
    <w:rsid w:val="0038352E"/>
    <w:rsid w:val="0038386E"/>
    <w:rsid w:val="00383FB9"/>
    <w:rsid w:val="00383FFE"/>
    <w:rsid w:val="0038419A"/>
    <w:rsid w:val="003844C3"/>
    <w:rsid w:val="003852CA"/>
    <w:rsid w:val="0038615D"/>
    <w:rsid w:val="00386789"/>
    <w:rsid w:val="00386D65"/>
    <w:rsid w:val="00386FD9"/>
    <w:rsid w:val="003871E9"/>
    <w:rsid w:val="003873E7"/>
    <w:rsid w:val="0038773C"/>
    <w:rsid w:val="00387D19"/>
    <w:rsid w:val="00390782"/>
    <w:rsid w:val="0039103E"/>
    <w:rsid w:val="0039107B"/>
    <w:rsid w:val="0039124D"/>
    <w:rsid w:val="00391CFF"/>
    <w:rsid w:val="00392495"/>
    <w:rsid w:val="00392833"/>
    <w:rsid w:val="003929A7"/>
    <w:rsid w:val="00392A88"/>
    <w:rsid w:val="003936F3"/>
    <w:rsid w:val="003942D5"/>
    <w:rsid w:val="00394DE3"/>
    <w:rsid w:val="0039500F"/>
    <w:rsid w:val="0039543E"/>
    <w:rsid w:val="0039559A"/>
    <w:rsid w:val="003960E0"/>
    <w:rsid w:val="003967A3"/>
    <w:rsid w:val="00396BA0"/>
    <w:rsid w:val="00396BF5"/>
    <w:rsid w:val="00397526"/>
    <w:rsid w:val="00397632"/>
    <w:rsid w:val="00397802"/>
    <w:rsid w:val="00397D85"/>
    <w:rsid w:val="003A0D83"/>
    <w:rsid w:val="003A0F41"/>
    <w:rsid w:val="003A1838"/>
    <w:rsid w:val="003A2677"/>
    <w:rsid w:val="003A2A13"/>
    <w:rsid w:val="003A2ED8"/>
    <w:rsid w:val="003A31D3"/>
    <w:rsid w:val="003A37AD"/>
    <w:rsid w:val="003A3BD3"/>
    <w:rsid w:val="003A47CE"/>
    <w:rsid w:val="003A4980"/>
    <w:rsid w:val="003A4E29"/>
    <w:rsid w:val="003A504B"/>
    <w:rsid w:val="003A513E"/>
    <w:rsid w:val="003A5CAF"/>
    <w:rsid w:val="003A655A"/>
    <w:rsid w:val="003A7094"/>
    <w:rsid w:val="003A7921"/>
    <w:rsid w:val="003B046F"/>
    <w:rsid w:val="003B0ED3"/>
    <w:rsid w:val="003B0FA3"/>
    <w:rsid w:val="003B13A0"/>
    <w:rsid w:val="003B164F"/>
    <w:rsid w:val="003B21A2"/>
    <w:rsid w:val="003B2DFA"/>
    <w:rsid w:val="003B2F5D"/>
    <w:rsid w:val="003B2F93"/>
    <w:rsid w:val="003B367A"/>
    <w:rsid w:val="003B4DAE"/>
    <w:rsid w:val="003B5B88"/>
    <w:rsid w:val="003B5D2E"/>
    <w:rsid w:val="003B60B9"/>
    <w:rsid w:val="003B6C38"/>
    <w:rsid w:val="003B7BC6"/>
    <w:rsid w:val="003B7F35"/>
    <w:rsid w:val="003C182A"/>
    <w:rsid w:val="003C1B11"/>
    <w:rsid w:val="003C1B18"/>
    <w:rsid w:val="003C2181"/>
    <w:rsid w:val="003C275A"/>
    <w:rsid w:val="003C3570"/>
    <w:rsid w:val="003C3B2A"/>
    <w:rsid w:val="003C3C03"/>
    <w:rsid w:val="003C3E84"/>
    <w:rsid w:val="003C4279"/>
    <w:rsid w:val="003C4A36"/>
    <w:rsid w:val="003C673E"/>
    <w:rsid w:val="003C6D14"/>
    <w:rsid w:val="003C717B"/>
    <w:rsid w:val="003C7EC8"/>
    <w:rsid w:val="003D04C5"/>
    <w:rsid w:val="003D0773"/>
    <w:rsid w:val="003D0A85"/>
    <w:rsid w:val="003D0C20"/>
    <w:rsid w:val="003D12F2"/>
    <w:rsid w:val="003D1DCC"/>
    <w:rsid w:val="003D1DFF"/>
    <w:rsid w:val="003D2EBF"/>
    <w:rsid w:val="003D3F8B"/>
    <w:rsid w:val="003D41C1"/>
    <w:rsid w:val="003D42C3"/>
    <w:rsid w:val="003D5042"/>
    <w:rsid w:val="003D58F1"/>
    <w:rsid w:val="003D5D88"/>
    <w:rsid w:val="003D60BE"/>
    <w:rsid w:val="003D70B4"/>
    <w:rsid w:val="003D75B5"/>
    <w:rsid w:val="003D78D1"/>
    <w:rsid w:val="003D7EFB"/>
    <w:rsid w:val="003E0050"/>
    <w:rsid w:val="003E0A7E"/>
    <w:rsid w:val="003E0AA3"/>
    <w:rsid w:val="003E0F64"/>
    <w:rsid w:val="003E1348"/>
    <w:rsid w:val="003E2AD7"/>
    <w:rsid w:val="003E3675"/>
    <w:rsid w:val="003E3F1A"/>
    <w:rsid w:val="003E44EE"/>
    <w:rsid w:val="003E4973"/>
    <w:rsid w:val="003E49CC"/>
    <w:rsid w:val="003E4BBD"/>
    <w:rsid w:val="003E4D20"/>
    <w:rsid w:val="003E52F4"/>
    <w:rsid w:val="003E55BD"/>
    <w:rsid w:val="003E58C0"/>
    <w:rsid w:val="003E5B9B"/>
    <w:rsid w:val="003E5E87"/>
    <w:rsid w:val="003E64E8"/>
    <w:rsid w:val="003E6C25"/>
    <w:rsid w:val="003E6E50"/>
    <w:rsid w:val="003E744B"/>
    <w:rsid w:val="003E771F"/>
    <w:rsid w:val="003E79A5"/>
    <w:rsid w:val="003E7D9A"/>
    <w:rsid w:val="003F3B19"/>
    <w:rsid w:val="003F3E19"/>
    <w:rsid w:val="003F42A8"/>
    <w:rsid w:val="003F4B43"/>
    <w:rsid w:val="003F4D21"/>
    <w:rsid w:val="003F53A1"/>
    <w:rsid w:val="003F53CB"/>
    <w:rsid w:val="003F5D79"/>
    <w:rsid w:val="003F5DC4"/>
    <w:rsid w:val="003F6D17"/>
    <w:rsid w:val="003F7061"/>
    <w:rsid w:val="003F72F7"/>
    <w:rsid w:val="003F7ABD"/>
    <w:rsid w:val="00400671"/>
    <w:rsid w:val="00400820"/>
    <w:rsid w:val="00400FEB"/>
    <w:rsid w:val="00402044"/>
    <w:rsid w:val="004023D8"/>
    <w:rsid w:val="00402DEE"/>
    <w:rsid w:val="0040548E"/>
    <w:rsid w:val="00406A2B"/>
    <w:rsid w:val="004077D5"/>
    <w:rsid w:val="0041024B"/>
    <w:rsid w:val="00410284"/>
    <w:rsid w:val="0041030D"/>
    <w:rsid w:val="004105A2"/>
    <w:rsid w:val="00410B3A"/>
    <w:rsid w:val="00411723"/>
    <w:rsid w:val="00411900"/>
    <w:rsid w:val="00411E50"/>
    <w:rsid w:val="00411F91"/>
    <w:rsid w:val="004127D3"/>
    <w:rsid w:val="00412BD2"/>
    <w:rsid w:val="00412C86"/>
    <w:rsid w:val="00412FA2"/>
    <w:rsid w:val="00414137"/>
    <w:rsid w:val="00414206"/>
    <w:rsid w:val="00414821"/>
    <w:rsid w:val="00414955"/>
    <w:rsid w:val="00414A79"/>
    <w:rsid w:val="00415158"/>
    <w:rsid w:val="004158DF"/>
    <w:rsid w:val="0041602E"/>
    <w:rsid w:val="0041655A"/>
    <w:rsid w:val="00417274"/>
    <w:rsid w:val="00417452"/>
    <w:rsid w:val="0042025C"/>
    <w:rsid w:val="0042052D"/>
    <w:rsid w:val="00421E11"/>
    <w:rsid w:val="0042224A"/>
    <w:rsid w:val="00422586"/>
    <w:rsid w:val="004225D5"/>
    <w:rsid w:val="00422C87"/>
    <w:rsid w:val="00422EBC"/>
    <w:rsid w:val="00423E36"/>
    <w:rsid w:val="00424759"/>
    <w:rsid w:val="00424B6B"/>
    <w:rsid w:val="00425BB2"/>
    <w:rsid w:val="004275CB"/>
    <w:rsid w:val="00430DA4"/>
    <w:rsid w:val="00431F99"/>
    <w:rsid w:val="00431FA3"/>
    <w:rsid w:val="00434ECB"/>
    <w:rsid w:val="00435BA7"/>
    <w:rsid w:val="00435C63"/>
    <w:rsid w:val="004361C6"/>
    <w:rsid w:val="004369A6"/>
    <w:rsid w:val="00437007"/>
    <w:rsid w:val="00437F67"/>
    <w:rsid w:val="004424B3"/>
    <w:rsid w:val="00442654"/>
    <w:rsid w:val="00443E2A"/>
    <w:rsid w:val="00443FAD"/>
    <w:rsid w:val="00444D77"/>
    <w:rsid w:val="00445385"/>
    <w:rsid w:val="00445A5D"/>
    <w:rsid w:val="00445D3C"/>
    <w:rsid w:val="00445D8C"/>
    <w:rsid w:val="00446253"/>
    <w:rsid w:val="00446A96"/>
    <w:rsid w:val="00446ACF"/>
    <w:rsid w:val="00447551"/>
    <w:rsid w:val="00450273"/>
    <w:rsid w:val="00450C58"/>
    <w:rsid w:val="00451074"/>
    <w:rsid w:val="00451DF9"/>
    <w:rsid w:val="00451EBD"/>
    <w:rsid w:val="00452B94"/>
    <w:rsid w:val="00452F04"/>
    <w:rsid w:val="004536DC"/>
    <w:rsid w:val="00454588"/>
    <w:rsid w:val="00454DAA"/>
    <w:rsid w:val="00455696"/>
    <w:rsid w:val="00455825"/>
    <w:rsid w:val="0045605A"/>
    <w:rsid w:val="00456153"/>
    <w:rsid w:val="00456789"/>
    <w:rsid w:val="00457250"/>
    <w:rsid w:val="00460E96"/>
    <w:rsid w:val="00461298"/>
    <w:rsid w:val="0046206A"/>
    <w:rsid w:val="004622D9"/>
    <w:rsid w:val="0046244E"/>
    <w:rsid w:val="004630A0"/>
    <w:rsid w:val="004630D2"/>
    <w:rsid w:val="004634A5"/>
    <w:rsid w:val="00463749"/>
    <w:rsid w:val="004643FB"/>
    <w:rsid w:val="004649C6"/>
    <w:rsid w:val="00464B01"/>
    <w:rsid w:val="00464C05"/>
    <w:rsid w:val="004655C8"/>
    <w:rsid w:val="004656A0"/>
    <w:rsid w:val="00467638"/>
    <w:rsid w:val="004708F2"/>
    <w:rsid w:val="0047120D"/>
    <w:rsid w:val="0047205A"/>
    <w:rsid w:val="0047219E"/>
    <w:rsid w:val="004722DD"/>
    <w:rsid w:val="00472461"/>
    <w:rsid w:val="00472BDF"/>
    <w:rsid w:val="004734EA"/>
    <w:rsid w:val="00473A48"/>
    <w:rsid w:val="0047440B"/>
    <w:rsid w:val="004753FB"/>
    <w:rsid w:val="00475974"/>
    <w:rsid w:val="00476852"/>
    <w:rsid w:val="00476A71"/>
    <w:rsid w:val="004772DB"/>
    <w:rsid w:val="00477990"/>
    <w:rsid w:val="0048009B"/>
    <w:rsid w:val="004802E3"/>
    <w:rsid w:val="00480CC8"/>
    <w:rsid w:val="00481AD3"/>
    <w:rsid w:val="00482290"/>
    <w:rsid w:val="00482C3F"/>
    <w:rsid w:val="0048308E"/>
    <w:rsid w:val="004833D7"/>
    <w:rsid w:val="00483498"/>
    <w:rsid w:val="0048384C"/>
    <w:rsid w:val="0048387D"/>
    <w:rsid w:val="00483886"/>
    <w:rsid w:val="00483893"/>
    <w:rsid w:val="00483AFC"/>
    <w:rsid w:val="0048435D"/>
    <w:rsid w:val="004857E7"/>
    <w:rsid w:val="00485C12"/>
    <w:rsid w:val="00485C7B"/>
    <w:rsid w:val="00485DDB"/>
    <w:rsid w:val="004864B4"/>
    <w:rsid w:val="00486902"/>
    <w:rsid w:val="0048722B"/>
    <w:rsid w:val="0048736E"/>
    <w:rsid w:val="004875C3"/>
    <w:rsid w:val="004875E5"/>
    <w:rsid w:val="00487E31"/>
    <w:rsid w:val="004901DD"/>
    <w:rsid w:val="004903DC"/>
    <w:rsid w:val="00490EC4"/>
    <w:rsid w:val="0049201E"/>
    <w:rsid w:val="0049295F"/>
    <w:rsid w:val="00492A54"/>
    <w:rsid w:val="00494A89"/>
    <w:rsid w:val="004960B9"/>
    <w:rsid w:val="004960C9"/>
    <w:rsid w:val="004963FB"/>
    <w:rsid w:val="004964A7"/>
    <w:rsid w:val="0049650B"/>
    <w:rsid w:val="004975C9"/>
    <w:rsid w:val="004977BC"/>
    <w:rsid w:val="00497A95"/>
    <w:rsid w:val="004A131A"/>
    <w:rsid w:val="004A2158"/>
    <w:rsid w:val="004A2F23"/>
    <w:rsid w:val="004A3743"/>
    <w:rsid w:val="004A3E23"/>
    <w:rsid w:val="004A41E1"/>
    <w:rsid w:val="004A4FF6"/>
    <w:rsid w:val="004A5096"/>
    <w:rsid w:val="004A5E5C"/>
    <w:rsid w:val="004A6FCC"/>
    <w:rsid w:val="004A76A0"/>
    <w:rsid w:val="004A76B8"/>
    <w:rsid w:val="004A7FE1"/>
    <w:rsid w:val="004B0B69"/>
    <w:rsid w:val="004B130D"/>
    <w:rsid w:val="004B1551"/>
    <w:rsid w:val="004B2143"/>
    <w:rsid w:val="004B301F"/>
    <w:rsid w:val="004B39EF"/>
    <w:rsid w:val="004B4414"/>
    <w:rsid w:val="004B4667"/>
    <w:rsid w:val="004B4F07"/>
    <w:rsid w:val="004B6798"/>
    <w:rsid w:val="004B738D"/>
    <w:rsid w:val="004B79ED"/>
    <w:rsid w:val="004B7F02"/>
    <w:rsid w:val="004C0154"/>
    <w:rsid w:val="004C0684"/>
    <w:rsid w:val="004C217D"/>
    <w:rsid w:val="004C219F"/>
    <w:rsid w:val="004C2421"/>
    <w:rsid w:val="004C2EAC"/>
    <w:rsid w:val="004C2EAF"/>
    <w:rsid w:val="004C2FB3"/>
    <w:rsid w:val="004C3199"/>
    <w:rsid w:val="004C5FFC"/>
    <w:rsid w:val="004C61CC"/>
    <w:rsid w:val="004C6BBC"/>
    <w:rsid w:val="004C71BC"/>
    <w:rsid w:val="004C7D19"/>
    <w:rsid w:val="004D0180"/>
    <w:rsid w:val="004D0499"/>
    <w:rsid w:val="004D0691"/>
    <w:rsid w:val="004D106C"/>
    <w:rsid w:val="004D1120"/>
    <w:rsid w:val="004D129F"/>
    <w:rsid w:val="004D1526"/>
    <w:rsid w:val="004D1923"/>
    <w:rsid w:val="004D2F1A"/>
    <w:rsid w:val="004D3857"/>
    <w:rsid w:val="004D3BA2"/>
    <w:rsid w:val="004D41B1"/>
    <w:rsid w:val="004D446F"/>
    <w:rsid w:val="004D4D4A"/>
    <w:rsid w:val="004D5E22"/>
    <w:rsid w:val="004D73B0"/>
    <w:rsid w:val="004D7507"/>
    <w:rsid w:val="004D7DA9"/>
    <w:rsid w:val="004E09F5"/>
    <w:rsid w:val="004E0CE8"/>
    <w:rsid w:val="004E1187"/>
    <w:rsid w:val="004E1224"/>
    <w:rsid w:val="004E1884"/>
    <w:rsid w:val="004E2075"/>
    <w:rsid w:val="004E210B"/>
    <w:rsid w:val="004E2630"/>
    <w:rsid w:val="004E2DE5"/>
    <w:rsid w:val="004E36EA"/>
    <w:rsid w:val="004E3CBE"/>
    <w:rsid w:val="004E4156"/>
    <w:rsid w:val="004E419D"/>
    <w:rsid w:val="004E42A9"/>
    <w:rsid w:val="004E5DF3"/>
    <w:rsid w:val="004E5EBF"/>
    <w:rsid w:val="004E605E"/>
    <w:rsid w:val="004E7058"/>
    <w:rsid w:val="004E72E4"/>
    <w:rsid w:val="004F0F54"/>
    <w:rsid w:val="004F12BA"/>
    <w:rsid w:val="004F1373"/>
    <w:rsid w:val="004F1AFB"/>
    <w:rsid w:val="004F1D7F"/>
    <w:rsid w:val="004F2110"/>
    <w:rsid w:val="004F2142"/>
    <w:rsid w:val="004F2DF9"/>
    <w:rsid w:val="004F427F"/>
    <w:rsid w:val="004F42C6"/>
    <w:rsid w:val="004F47CB"/>
    <w:rsid w:val="004F55FE"/>
    <w:rsid w:val="004F58AE"/>
    <w:rsid w:val="004F632F"/>
    <w:rsid w:val="004F66DC"/>
    <w:rsid w:val="004F6BFC"/>
    <w:rsid w:val="004F6CA0"/>
    <w:rsid w:val="004F6E20"/>
    <w:rsid w:val="004F77D4"/>
    <w:rsid w:val="004F7920"/>
    <w:rsid w:val="0050011D"/>
    <w:rsid w:val="00500F5E"/>
    <w:rsid w:val="00501B79"/>
    <w:rsid w:val="00502614"/>
    <w:rsid w:val="00502F90"/>
    <w:rsid w:val="005031C8"/>
    <w:rsid w:val="005040C0"/>
    <w:rsid w:val="0050496D"/>
    <w:rsid w:val="0050543B"/>
    <w:rsid w:val="00505589"/>
    <w:rsid w:val="00505659"/>
    <w:rsid w:val="00505DA7"/>
    <w:rsid w:val="00506ACB"/>
    <w:rsid w:val="00506C40"/>
    <w:rsid w:val="00506ED9"/>
    <w:rsid w:val="0050727F"/>
    <w:rsid w:val="005079AB"/>
    <w:rsid w:val="00507BAA"/>
    <w:rsid w:val="00510CEA"/>
    <w:rsid w:val="00510F62"/>
    <w:rsid w:val="0051154E"/>
    <w:rsid w:val="005116D6"/>
    <w:rsid w:val="00511840"/>
    <w:rsid w:val="00511C7B"/>
    <w:rsid w:val="00512199"/>
    <w:rsid w:val="005131E0"/>
    <w:rsid w:val="0051321F"/>
    <w:rsid w:val="00513485"/>
    <w:rsid w:val="00513D52"/>
    <w:rsid w:val="00513E02"/>
    <w:rsid w:val="005141DA"/>
    <w:rsid w:val="005143E7"/>
    <w:rsid w:val="0051482F"/>
    <w:rsid w:val="00515099"/>
    <w:rsid w:val="005160FB"/>
    <w:rsid w:val="00517561"/>
    <w:rsid w:val="00517CE0"/>
    <w:rsid w:val="00520AE1"/>
    <w:rsid w:val="0052161D"/>
    <w:rsid w:val="0052174F"/>
    <w:rsid w:val="00521DDD"/>
    <w:rsid w:val="00523F3E"/>
    <w:rsid w:val="0052478A"/>
    <w:rsid w:val="00525FFC"/>
    <w:rsid w:val="005266F9"/>
    <w:rsid w:val="00526BC5"/>
    <w:rsid w:val="00526EA0"/>
    <w:rsid w:val="005274CD"/>
    <w:rsid w:val="005276B1"/>
    <w:rsid w:val="00527FF3"/>
    <w:rsid w:val="005304C6"/>
    <w:rsid w:val="00530F35"/>
    <w:rsid w:val="0053108E"/>
    <w:rsid w:val="00531140"/>
    <w:rsid w:val="00531416"/>
    <w:rsid w:val="005319FA"/>
    <w:rsid w:val="00531E5E"/>
    <w:rsid w:val="0053338B"/>
    <w:rsid w:val="0053373C"/>
    <w:rsid w:val="00533A7F"/>
    <w:rsid w:val="00533DBD"/>
    <w:rsid w:val="005343FE"/>
    <w:rsid w:val="00534466"/>
    <w:rsid w:val="00534B4E"/>
    <w:rsid w:val="00535ADA"/>
    <w:rsid w:val="00535EE0"/>
    <w:rsid w:val="00535F63"/>
    <w:rsid w:val="005365A0"/>
    <w:rsid w:val="00536F4A"/>
    <w:rsid w:val="0053758F"/>
    <w:rsid w:val="00537B3E"/>
    <w:rsid w:val="00537FF9"/>
    <w:rsid w:val="00540045"/>
    <w:rsid w:val="005403A5"/>
    <w:rsid w:val="00540CE2"/>
    <w:rsid w:val="00541864"/>
    <w:rsid w:val="00542408"/>
    <w:rsid w:val="00543656"/>
    <w:rsid w:val="00543906"/>
    <w:rsid w:val="0054397F"/>
    <w:rsid w:val="005445C8"/>
    <w:rsid w:val="0054538B"/>
    <w:rsid w:val="0054608C"/>
    <w:rsid w:val="0054696B"/>
    <w:rsid w:val="00546CD3"/>
    <w:rsid w:val="00546EE7"/>
    <w:rsid w:val="0054755C"/>
    <w:rsid w:val="00547CA0"/>
    <w:rsid w:val="00550518"/>
    <w:rsid w:val="00550657"/>
    <w:rsid w:val="00550AF8"/>
    <w:rsid w:val="005528F6"/>
    <w:rsid w:val="00552EF0"/>
    <w:rsid w:val="00553144"/>
    <w:rsid w:val="00553FB5"/>
    <w:rsid w:val="00554120"/>
    <w:rsid w:val="00556A60"/>
    <w:rsid w:val="00556CCD"/>
    <w:rsid w:val="0055732F"/>
    <w:rsid w:val="00557CBE"/>
    <w:rsid w:val="005603DD"/>
    <w:rsid w:val="00562A0F"/>
    <w:rsid w:val="00562DEC"/>
    <w:rsid w:val="0056395F"/>
    <w:rsid w:val="00564439"/>
    <w:rsid w:val="0056452C"/>
    <w:rsid w:val="005647A0"/>
    <w:rsid w:val="00565CB5"/>
    <w:rsid w:val="00566509"/>
    <w:rsid w:val="00566CDD"/>
    <w:rsid w:val="00566E1A"/>
    <w:rsid w:val="00566EDA"/>
    <w:rsid w:val="005676B2"/>
    <w:rsid w:val="00570CA1"/>
    <w:rsid w:val="00571617"/>
    <w:rsid w:val="00571DAF"/>
    <w:rsid w:val="005723B3"/>
    <w:rsid w:val="005725CF"/>
    <w:rsid w:val="00573005"/>
    <w:rsid w:val="0057312D"/>
    <w:rsid w:val="005738EA"/>
    <w:rsid w:val="00573C51"/>
    <w:rsid w:val="00573F29"/>
    <w:rsid w:val="005742C1"/>
    <w:rsid w:val="0057460E"/>
    <w:rsid w:val="00574C7F"/>
    <w:rsid w:val="00574E08"/>
    <w:rsid w:val="00575652"/>
    <w:rsid w:val="00575F2F"/>
    <w:rsid w:val="0057637F"/>
    <w:rsid w:val="00576C86"/>
    <w:rsid w:val="00576CD5"/>
    <w:rsid w:val="00576DAE"/>
    <w:rsid w:val="00576DB1"/>
    <w:rsid w:val="00580E8A"/>
    <w:rsid w:val="00581080"/>
    <w:rsid w:val="00581A69"/>
    <w:rsid w:val="00581C7D"/>
    <w:rsid w:val="00581E74"/>
    <w:rsid w:val="00582423"/>
    <w:rsid w:val="005827EA"/>
    <w:rsid w:val="00582891"/>
    <w:rsid w:val="005837F8"/>
    <w:rsid w:val="00583A11"/>
    <w:rsid w:val="0058415F"/>
    <w:rsid w:val="005856A8"/>
    <w:rsid w:val="00585D11"/>
    <w:rsid w:val="00586200"/>
    <w:rsid w:val="00586658"/>
    <w:rsid w:val="0058715A"/>
    <w:rsid w:val="00587FDC"/>
    <w:rsid w:val="005900DF"/>
    <w:rsid w:val="0059020E"/>
    <w:rsid w:val="005906AD"/>
    <w:rsid w:val="005908D0"/>
    <w:rsid w:val="00590A0E"/>
    <w:rsid w:val="00590B08"/>
    <w:rsid w:val="0059136A"/>
    <w:rsid w:val="00591CF0"/>
    <w:rsid w:val="00592FD8"/>
    <w:rsid w:val="0059389B"/>
    <w:rsid w:val="005951B4"/>
    <w:rsid w:val="00595919"/>
    <w:rsid w:val="0059640A"/>
    <w:rsid w:val="005964AF"/>
    <w:rsid w:val="00596E56"/>
    <w:rsid w:val="00596EAD"/>
    <w:rsid w:val="005A0438"/>
    <w:rsid w:val="005A0D75"/>
    <w:rsid w:val="005A105A"/>
    <w:rsid w:val="005A17E4"/>
    <w:rsid w:val="005A2919"/>
    <w:rsid w:val="005A358F"/>
    <w:rsid w:val="005A42A4"/>
    <w:rsid w:val="005A4360"/>
    <w:rsid w:val="005A4987"/>
    <w:rsid w:val="005A4B27"/>
    <w:rsid w:val="005A4FBE"/>
    <w:rsid w:val="005A5464"/>
    <w:rsid w:val="005A6D72"/>
    <w:rsid w:val="005A6E2B"/>
    <w:rsid w:val="005A70A2"/>
    <w:rsid w:val="005A7247"/>
    <w:rsid w:val="005B0870"/>
    <w:rsid w:val="005B12B5"/>
    <w:rsid w:val="005B18AF"/>
    <w:rsid w:val="005B27F7"/>
    <w:rsid w:val="005B2984"/>
    <w:rsid w:val="005B2F55"/>
    <w:rsid w:val="005B40F7"/>
    <w:rsid w:val="005B4583"/>
    <w:rsid w:val="005B4E78"/>
    <w:rsid w:val="005B60FE"/>
    <w:rsid w:val="005B7187"/>
    <w:rsid w:val="005B7F44"/>
    <w:rsid w:val="005C0374"/>
    <w:rsid w:val="005C0951"/>
    <w:rsid w:val="005C16C4"/>
    <w:rsid w:val="005C1A88"/>
    <w:rsid w:val="005C1BDB"/>
    <w:rsid w:val="005C21BD"/>
    <w:rsid w:val="005C3189"/>
    <w:rsid w:val="005C36BF"/>
    <w:rsid w:val="005C3BA8"/>
    <w:rsid w:val="005C3BE6"/>
    <w:rsid w:val="005C3DB6"/>
    <w:rsid w:val="005C4254"/>
    <w:rsid w:val="005C48F6"/>
    <w:rsid w:val="005C50D2"/>
    <w:rsid w:val="005C5959"/>
    <w:rsid w:val="005C5CCB"/>
    <w:rsid w:val="005C5D5D"/>
    <w:rsid w:val="005C7157"/>
    <w:rsid w:val="005C7434"/>
    <w:rsid w:val="005C752C"/>
    <w:rsid w:val="005C7BA3"/>
    <w:rsid w:val="005C7E5C"/>
    <w:rsid w:val="005D073A"/>
    <w:rsid w:val="005D0E22"/>
    <w:rsid w:val="005D142E"/>
    <w:rsid w:val="005D1DBA"/>
    <w:rsid w:val="005D1F96"/>
    <w:rsid w:val="005D270C"/>
    <w:rsid w:val="005D2B20"/>
    <w:rsid w:val="005D2DBE"/>
    <w:rsid w:val="005D3683"/>
    <w:rsid w:val="005D3A97"/>
    <w:rsid w:val="005D4357"/>
    <w:rsid w:val="005D47BC"/>
    <w:rsid w:val="005D4875"/>
    <w:rsid w:val="005D49E6"/>
    <w:rsid w:val="005D51C4"/>
    <w:rsid w:val="005D55C5"/>
    <w:rsid w:val="005D5C15"/>
    <w:rsid w:val="005D5DC0"/>
    <w:rsid w:val="005D6BC9"/>
    <w:rsid w:val="005D6F9C"/>
    <w:rsid w:val="005E0E05"/>
    <w:rsid w:val="005E3505"/>
    <w:rsid w:val="005E3552"/>
    <w:rsid w:val="005E3579"/>
    <w:rsid w:val="005E3FDE"/>
    <w:rsid w:val="005E4AA0"/>
    <w:rsid w:val="005E565C"/>
    <w:rsid w:val="005E6132"/>
    <w:rsid w:val="005E681A"/>
    <w:rsid w:val="005E6A72"/>
    <w:rsid w:val="005E6FE4"/>
    <w:rsid w:val="005E728E"/>
    <w:rsid w:val="005E7C99"/>
    <w:rsid w:val="005F055E"/>
    <w:rsid w:val="005F1AC9"/>
    <w:rsid w:val="005F2581"/>
    <w:rsid w:val="005F2659"/>
    <w:rsid w:val="005F27F3"/>
    <w:rsid w:val="005F3CAC"/>
    <w:rsid w:val="005F3F22"/>
    <w:rsid w:val="005F3F63"/>
    <w:rsid w:val="005F50E5"/>
    <w:rsid w:val="005F51E1"/>
    <w:rsid w:val="005F583B"/>
    <w:rsid w:val="005F59EF"/>
    <w:rsid w:val="005F5A88"/>
    <w:rsid w:val="005F5ADF"/>
    <w:rsid w:val="005F5C4D"/>
    <w:rsid w:val="005F6299"/>
    <w:rsid w:val="005F6B1D"/>
    <w:rsid w:val="005F6E72"/>
    <w:rsid w:val="005F717E"/>
    <w:rsid w:val="005F7898"/>
    <w:rsid w:val="0060077C"/>
    <w:rsid w:val="00600BB8"/>
    <w:rsid w:val="00601EDE"/>
    <w:rsid w:val="00602043"/>
    <w:rsid w:val="006022D5"/>
    <w:rsid w:val="006025B4"/>
    <w:rsid w:val="00602A61"/>
    <w:rsid w:val="006033E7"/>
    <w:rsid w:val="0060350E"/>
    <w:rsid w:val="0060367D"/>
    <w:rsid w:val="00603F1E"/>
    <w:rsid w:val="006043D3"/>
    <w:rsid w:val="00604665"/>
    <w:rsid w:val="006048B3"/>
    <w:rsid w:val="006049CD"/>
    <w:rsid w:val="00605129"/>
    <w:rsid w:val="00606264"/>
    <w:rsid w:val="006069FF"/>
    <w:rsid w:val="006075EC"/>
    <w:rsid w:val="006077E2"/>
    <w:rsid w:val="00607833"/>
    <w:rsid w:val="006104E1"/>
    <w:rsid w:val="00610960"/>
    <w:rsid w:val="00611181"/>
    <w:rsid w:val="00611666"/>
    <w:rsid w:val="00611D18"/>
    <w:rsid w:val="006127FF"/>
    <w:rsid w:val="00612D5F"/>
    <w:rsid w:val="006130BD"/>
    <w:rsid w:val="00613741"/>
    <w:rsid w:val="00613A7D"/>
    <w:rsid w:val="006146C6"/>
    <w:rsid w:val="0061503F"/>
    <w:rsid w:val="0061614C"/>
    <w:rsid w:val="00617069"/>
    <w:rsid w:val="00620C13"/>
    <w:rsid w:val="0062183C"/>
    <w:rsid w:val="006222EF"/>
    <w:rsid w:val="006225AD"/>
    <w:rsid w:val="0062278F"/>
    <w:rsid w:val="006228CE"/>
    <w:rsid w:val="00622932"/>
    <w:rsid w:val="00622B81"/>
    <w:rsid w:val="00622C91"/>
    <w:rsid w:val="00623218"/>
    <w:rsid w:val="00623265"/>
    <w:rsid w:val="006242FC"/>
    <w:rsid w:val="00624662"/>
    <w:rsid w:val="006259EA"/>
    <w:rsid w:val="00627F3C"/>
    <w:rsid w:val="00627F7E"/>
    <w:rsid w:val="00630919"/>
    <w:rsid w:val="00630BC6"/>
    <w:rsid w:val="00631044"/>
    <w:rsid w:val="0063119A"/>
    <w:rsid w:val="00631871"/>
    <w:rsid w:val="006323C5"/>
    <w:rsid w:val="006328ED"/>
    <w:rsid w:val="006328FE"/>
    <w:rsid w:val="006329FB"/>
    <w:rsid w:val="00632AF8"/>
    <w:rsid w:val="006338D0"/>
    <w:rsid w:val="006357F1"/>
    <w:rsid w:val="006358A6"/>
    <w:rsid w:val="0063594D"/>
    <w:rsid w:val="00635BD8"/>
    <w:rsid w:val="0063609B"/>
    <w:rsid w:val="006370DF"/>
    <w:rsid w:val="00637295"/>
    <w:rsid w:val="006374B1"/>
    <w:rsid w:val="00637810"/>
    <w:rsid w:val="00637EEF"/>
    <w:rsid w:val="0064112C"/>
    <w:rsid w:val="006411A8"/>
    <w:rsid w:val="006414AE"/>
    <w:rsid w:val="0064173B"/>
    <w:rsid w:val="006418B7"/>
    <w:rsid w:val="006428C6"/>
    <w:rsid w:val="00642CDB"/>
    <w:rsid w:val="00643509"/>
    <w:rsid w:val="00643862"/>
    <w:rsid w:val="006438B3"/>
    <w:rsid w:val="006448A2"/>
    <w:rsid w:val="00644B30"/>
    <w:rsid w:val="00644FEB"/>
    <w:rsid w:val="0064536C"/>
    <w:rsid w:val="00645AF3"/>
    <w:rsid w:val="00646324"/>
    <w:rsid w:val="006466E4"/>
    <w:rsid w:val="00647DAE"/>
    <w:rsid w:val="0065059C"/>
    <w:rsid w:val="00650ED6"/>
    <w:rsid w:val="00650F37"/>
    <w:rsid w:val="00652141"/>
    <w:rsid w:val="0065224A"/>
    <w:rsid w:val="00652526"/>
    <w:rsid w:val="00652A17"/>
    <w:rsid w:val="006533B2"/>
    <w:rsid w:val="00653C09"/>
    <w:rsid w:val="00654D10"/>
    <w:rsid w:val="00655153"/>
    <w:rsid w:val="006552EB"/>
    <w:rsid w:val="00655F45"/>
    <w:rsid w:val="00656994"/>
    <w:rsid w:val="00657020"/>
    <w:rsid w:val="00657097"/>
    <w:rsid w:val="006574A5"/>
    <w:rsid w:val="00660449"/>
    <w:rsid w:val="00660A6E"/>
    <w:rsid w:val="00660CA9"/>
    <w:rsid w:val="00660FB3"/>
    <w:rsid w:val="00660FDD"/>
    <w:rsid w:val="006610AE"/>
    <w:rsid w:val="006612EE"/>
    <w:rsid w:val="0066225D"/>
    <w:rsid w:val="006623B1"/>
    <w:rsid w:val="006623F9"/>
    <w:rsid w:val="00662C49"/>
    <w:rsid w:val="006630DC"/>
    <w:rsid w:val="0066327C"/>
    <w:rsid w:val="0066369D"/>
    <w:rsid w:val="00663869"/>
    <w:rsid w:val="00663F64"/>
    <w:rsid w:val="00664487"/>
    <w:rsid w:val="00664E21"/>
    <w:rsid w:val="00665595"/>
    <w:rsid w:val="00665C79"/>
    <w:rsid w:val="00665D1A"/>
    <w:rsid w:val="006667E9"/>
    <w:rsid w:val="00666A81"/>
    <w:rsid w:val="00666D6B"/>
    <w:rsid w:val="00667C4A"/>
    <w:rsid w:val="00670258"/>
    <w:rsid w:val="00670517"/>
    <w:rsid w:val="0067080A"/>
    <w:rsid w:val="00670C5A"/>
    <w:rsid w:val="00670E2A"/>
    <w:rsid w:val="00671658"/>
    <w:rsid w:val="00671E06"/>
    <w:rsid w:val="00672C67"/>
    <w:rsid w:val="00672E01"/>
    <w:rsid w:val="0067396A"/>
    <w:rsid w:val="006745E8"/>
    <w:rsid w:val="00674932"/>
    <w:rsid w:val="00674D34"/>
    <w:rsid w:val="00675F2C"/>
    <w:rsid w:val="006769ED"/>
    <w:rsid w:val="00676C5A"/>
    <w:rsid w:val="00676FBC"/>
    <w:rsid w:val="00677361"/>
    <w:rsid w:val="00677B13"/>
    <w:rsid w:val="00677C96"/>
    <w:rsid w:val="0068107A"/>
    <w:rsid w:val="006814E9"/>
    <w:rsid w:val="006821F5"/>
    <w:rsid w:val="00682791"/>
    <w:rsid w:val="0068283A"/>
    <w:rsid w:val="00682C2D"/>
    <w:rsid w:val="00682FC6"/>
    <w:rsid w:val="00683970"/>
    <w:rsid w:val="00683D3B"/>
    <w:rsid w:val="00683F70"/>
    <w:rsid w:val="00684248"/>
    <w:rsid w:val="00684A76"/>
    <w:rsid w:val="00684EC8"/>
    <w:rsid w:val="00685049"/>
    <w:rsid w:val="00685345"/>
    <w:rsid w:val="006857C5"/>
    <w:rsid w:val="00685828"/>
    <w:rsid w:val="00686CEF"/>
    <w:rsid w:val="00687000"/>
    <w:rsid w:val="00687146"/>
    <w:rsid w:val="006872AC"/>
    <w:rsid w:val="00691DEC"/>
    <w:rsid w:val="006920B9"/>
    <w:rsid w:val="00692AB2"/>
    <w:rsid w:val="00692C4F"/>
    <w:rsid w:val="00693224"/>
    <w:rsid w:val="00694284"/>
    <w:rsid w:val="006943F4"/>
    <w:rsid w:val="0069451B"/>
    <w:rsid w:val="00694672"/>
    <w:rsid w:val="00695A1A"/>
    <w:rsid w:val="0069660F"/>
    <w:rsid w:val="00696C2B"/>
    <w:rsid w:val="00697487"/>
    <w:rsid w:val="006975CD"/>
    <w:rsid w:val="006A008D"/>
    <w:rsid w:val="006A0610"/>
    <w:rsid w:val="006A0870"/>
    <w:rsid w:val="006A11B5"/>
    <w:rsid w:val="006A15E5"/>
    <w:rsid w:val="006A174E"/>
    <w:rsid w:val="006A1AC8"/>
    <w:rsid w:val="006A25ED"/>
    <w:rsid w:val="006A2F8B"/>
    <w:rsid w:val="006A4262"/>
    <w:rsid w:val="006A44A4"/>
    <w:rsid w:val="006A499B"/>
    <w:rsid w:val="006A4C9A"/>
    <w:rsid w:val="006A53CB"/>
    <w:rsid w:val="006A5B96"/>
    <w:rsid w:val="006A666C"/>
    <w:rsid w:val="006A66DB"/>
    <w:rsid w:val="006A7237"/>
    <w:rsid w:val="006A7280"/>
    <w:rsid w:val="006A79BA"/>
    <w:rsid w:val="006B029C"/>
    <w:rsid w:val="006B078B"/>
    <w:rsid w:val="006B118E"/>
    <w:rsid w:val="006B196D"/>
    <w:rsid w:val="006B244C"/>
    <w:rsid w:val="006B2575"/>
    <w:rsid w:val="006B260D"/>
    <w:rsid w:val="006B28CA"/>
    <w:rsid w:val="006B2904"/>
    <w:rsid w:val="006B2C82"/>
    <w:rsid w:val="006B3AB5"/>
    <w:rsid w:val="006B4DC3"/>
    <w:rsid w:val="006B4E63"/>
    <w:rsid w:val="006B56EC"/>
    <w:rsid w:val="006B5F6D"/>
    <w:rsid w:val="006B60D2"/>
    <w:rsid w:val="006B625A"/>
    <w:rsid w:val="006B6BD6"/>
    <w:rsid w:val="006B7399"/>
    <w:rsid w:val="006B7EEE"/>
    <w:rsid w:val="006C08E4"/>
    <w:rsid w:val="006C0A50"/>
    <w:rsid w:val="006C0BF3"/>
    <w:rsid w:val="006C1444"/>
    <w:rsid w:val="006C15C3"/>
    <w:rsid w:val="006C19A4"/>
    <w:rsid w:val="006C1B2D"/>
    <w:rsid w:val="006C3C00"/>
    <w:rsid w:val="006C3E37"/>
    <w:rsid w:val="006C42EB"/>
    <w:rsid w:val="006C4516"/>
    <w:rsid w:val="006C4B9C"/>
    <w:rsid w:val="006C5A0E"/>
    <w:rsid w:val="006C5C8A"/>
    <w:rsid w:val="006C61B9"/>
    <w:rsid w:val="006C64D7"/>
    <w:rsid w:val="006C7807"/>
    <w:rsid w:val="006C7CC6"/>
    <w:rsid w:val="006C7D0F"/>
    <w:rsid w:val="006D0587"/>
    <w:rsid w:val="006D07F8"/>
    <w:rsid w:val="006D0934"/>
    <w:rsid w:val="006D09F8"/>
    <w:rsid w:val="006D114F"/>
    <w:rsid w:val="006D11FA"/>
    <w:rsid w:val="006D15D5"/>
    <w:rsid w:val="006D16E3"/>
    <w:rsid w:val="006D1B64"/>
    <w:rsid w:val="006D1E25"/>
    <w:rsid w:val="006D238B"/>
    <w:rsid w:val="006D263F"/>
    <w:rsid w:val="006D276E"/>
    <w:rsid w:val="006D3B23"/>
    <w:rsid w:val="006D4E9E"/>
    <w:rsid w:val="006D5B98"/>
    <w:rsid w:val="006D5CFC"/>
    <w:rsid w:val="006D603C"/>
    <w:rsid w:val="006D7086"/>
    <w:rsid w:val="006D73EC"/>
    <w:rsid w:val="006D7EEE"/>
    <w:rsid w:val="006E07CE"/>
    <w:rsid w:val="006E0C7A"/>
    <w:rsid w:val="006E1099"/>
    <w:rsid w:val="006E1435"/>
    <w:rsid w:val="006E1A88"/>
    <w:rsid w:val="006E2915"/>
    <w:rsid w:val="006E33FD"/>
    <w:rsid w:val="006E3B60"/>
    <w:rsid w:val="006E460D"/>
    <w:rsid w:val="006E4699"/>
    <w:rsid w:val="006E4AEE"/>
    <w:rsid w:val="006E4F0E"/>
    <w:rsid w:val="006E57F7"/>
    <w:rsid w:val="006E58DD"/>
    <w:rsid w:val="006E5FAA"/>
    <w:rsid w:val="006E6E86"/>
    <w:rsid w:val="006E7B1D"/>
    <w:rsid w:val="006F05D1"/>
    <w:rsid w:val="006F077E"/>
    <w:rsid w:val="006F08BB"/>
    <w:rsid w:val="006F0CBB"/>
    <w:rsid w:val="006F1332"/>
    <w:rsid w:val="006F17C1"/>
    <w:rsid w:val="006F1AF1"/>
    <w:rsid w:val="006F1F20"/>
    <w:rsid w:val="006F249D"/>
    <w:rsid w:val="006F2A5E"/>
    <w:rsid w:val="006F328C"/>
    <w:rsid w:val="006F330B"/>
    <w:rsid w:val="006F4634"/>
    <w:rsid w:val="006F48C0"/>
    <w:rsid w:val="006F5274"/>
    <w:rsid w:val="006F570D"/>
    <w:rsid w:val="006F6A2D"/>
    <w:rsid w:val="006F6BF0"/>
    <w:rsid w:val="006F6CAF"/>
    <w:rsid w:val="006F6D90"/>
    <w:rsid w:val="00700719"/>
    <w:rsid w:val="007007F1"/>
    <w:rsid w:val="00700B70"/>
    <w:rsid w:val="00700C3D"/>
    <w:rsid w:val="007012E3"/>
    <w:rsid w:val="00701685"/>
    <w:rsid w:val="007019EB"/>
    <w:rsid w:val="007024BE"/>
    <w:rsid w:val="00703061"/>
    <w:rsid w:val="00704817"/>
    <w:rsid w:val="007049CA"/>
    <w:rsid w:val="00705306"/>
    <w:rsid w:val="007058FB"/>
    <w:rsid w:val="00705B1D"/>
    <w:rsid w:val="0070795E"/>
    <w:rsid w:val="00711CDF"/>
    <w:rsid w:val="00711F93"/>
    <w:rsid w:val="00712100"/>
    <w:rsid w:val="0071240B"/>
    <w:rsid w:val="00712882"/>
    <w:rsid w:val="00713795"/>
    <w:rsid w:val="00713901"/>
    <w:rsid w:val="00713F7E"/>
    <w:rsid w:val="0071428C"/>
    <w:rsid w:val="00714D94"/>
    <w:rsid w:val="00715264"/>
    <w:rsid w:val="00715A6C"/>
    <w:rsid w:val="00715ADB"/>
    <w:rsid w:val="00715FDE"/>
    <w:rsid w:val="0071602A"/>
    <w:rsid w:val="00716EBF"/>
    <w:rsid w:val="007172A0"/>
    <w:rsid w:val="0071755B"/>
    <w:rsid w:val="00717AFE"/>
    <w:rsid w:val="007203FF"/>
    <w:rsid w:val="00720875"/>
    <w:rsid w:val="00721221"/>
    <w:rsid w:val="00721521"/>
    <w:rsid w:val="007216D4"/>
    <w:rsid w:val="00721C33"/>
    <w:rsid w:val="007225F1"/>
    <w:rsid w:val="00722D1A"/>
    <w:rsid w:val="00722E05"/>
    <w:rsid w:val="007234CC"/>
    <w:rsid w:val="00723511"/>
    <w:rsid w:val="00723C79"/>
    <w:rsid w:val="00723F61"/>
    <w:rsid w:val="007245E4"/>
    <w:rsid w:val="007253DE"/>
    <w:rsid w:val="00725494"/>
    <w:rsid w:val="007254CC"/>
    <w:rsid w:val="00725569"/>
    <w:rsid w:val="007262C7"/>
    <w:rsid w:val="0072638C"/>
    <w:rsid w:val="007276CC"/>
    <w:rsid w:val="0072771C"/>
    <w:rsid w:val="00727D66"/>
    <w:rsid w:val="00730891"/>
    <w:rsid w:val="00730FF5"/>
    <w:rsid w:val="00731137"/>
    <w:rsid w:val="00731510"/>
    <w:rsid w:val="007319EE"/>
    <w:rsid w:val="0073208E"/>
    <w:rsid w:val="00732380"/>
    <w:rsid w:val="0073330C"/>
    <w:rsid w:val="00734285"/>
    <w:rsid w:val="00735E3D"/>
    <w:rsid w:val="00737951"/>
    <w:rsid w:val="00737D88"/>
    <w:rsid w:val="00737E85"/>
    <w:rsid w:val="007406BE"/>
    <w:rsid w:val="007406C1"/>
    <w:rsid w:val="00740FDD"/>
    <w:rsid w:val="00741403"/>
    <w:rsid w:val="007417D5"/>
    <w:rsid w:val="007418D9"/>
    <w:rsid w:val="007421F5"/>
    <w:rsid w:val="007424B4"/>
    <w:rsid w:val="00742E98"/>
    <w:rsid w:val="00743484"/>
    <w:rsid w:val="0074691E"/>
    <w:rsid w:val="007470D8"/>
    <w:rsid w:val="0074725F"/>
    <w:rsid w:val="00750202"/>
    <w:rsid w:val="00750E34"/>
    <w:rsid w:val="0075171F"/>
    <w:rsid w:val="007518CD"/>
    <w:rsid w:val="00751BFA"/>
    <w:rsid w:val="0075331B"/>
    <w:rsid w:val="007544D3"/>
    <w:rsid w:val="007547C6"/>
    <w:rsid w:val="00754976"/>
    <w:rsid w:val="00755D7B"/>
    <w:rsid w:val="007565A3"/>
    <w:rsid w:val="007574EF"/>
    <w:rsid w:val="007575B2"/>
    <w:rsid w:val="007579E9"/>
    <w:rsid w:val="00757B30"/>
    <w:rsid w:val="00757DB5"/>
    <w:rsid w:val="00757F09"/>
    <w:rsid w:val="00760010"/>
    <w:rsid w:val="0076020A"/>
    <w:rsid w:val="007605F4"/>
    <w:rsid w:val="00760A8E"/>
    <w:rsid w:val="0076100D"/>
    <w:rsid w:val="0076146C"/>
    <w:rsid w:val="0076196D"/>
    <w:rsid w:val="00761A0F"/>
    <w:rsid w:val="00761BC2"/>
    <w:rsid w:val="0076370A"/>
    <w:rsid w:val="00764239"/>
    <w:rsid w:val="007652FB"/>
    <w:rsid w:val="007653F3"/>
    <w:rsid w:val="00765434"/>
    <w:rsid w:val="00765881"/>
    <w:rsid w:val="0076603F"/>
    <w:rsid w:val="007666A1"/>
    <w:rsid w:val="00766A11"/>
    <w:rsid w:val="007674BC"/>
    <w:rsid w:val="0077188A"/>
    <w:rsid w:val="00771BFA"/>
    <w:rsid w:val="00771E0D"/>
    <w:rsid w:val="0077245A"/>
    <w:rsid w:val="0077291E"/>
    <w:rsid w:val="00773F67"/>
    <w:rsid w:val="00774674"/>
    <w:rsid w:val="00775491"/>
    <w:rsid w:val="00775499"/>
    <w:rsid w:val="007754B2"/>
    <w:rsid w:val="007766F3"/>
    <w:rsid w:val="00776942"/>
    <w:rsid w:val="00780582"/>
    <w:rsid w:val="00780817"/>
    <w:rsid w:val="00780CBF"/>
    <w:rsid w:val="00780E9B"/>
    <w:rsid w:val="00780F0A"/>
    <w:rsid w:val="0078135C"/>
    <w:rsid w:val="0078194B"/>
    <w:rsid w:val="0078273B"/>
    <w:rsid w:val="00782894"/>
    <w:rsid w:val="00782DAF"/>
    <w:rsid w:val="00783319"/>
    <w:rsid w:val="00783F72"/>
    <w:rsid w:val="00784436"/>
    <w:rsid w:val="00784ABB"/>
    <w:rsid w:val="00784B67"/>
    <w:rsid w:val="00784BDE"/>
    <w:rsid w:val="00784FEF"/>
    <w:rsid w:val="007854AC"/>
    <w:rsid w:val="007869B0"/>
    <w:rsid w:val="00787286"/>
    <w:rsid w:val="00787A17"/>
    <w:rsid w:val="00787B1E"/>
    <w:rsid w:val="007911A5"/>
    <w:rsid w:val="007916A9"/>
    <w:rsid w:val="00792093"/>
    <w:rsid w:val="007924FD"/>
    <w:rsid w:val="0079254B"/>
    <w:rsid w:val="00793164"/>
    <w:rsid w:val="007932C7"/>
    <w:rsid w:val="00793450"/>
    <w:rsid w:val="007941B0"/>
    <w:rsid w:val="00794990"/>
    <w:rsid w:val="00794A65"/>
    <w:rsid w:val="00794B3D"/>
    <w:rsid w:val="00794E9E"/>
    <w:rsid w:val="00794EFF"/>
    <w:rsid w:val="00795D36"/>
    <w:rsid w:val="00796332"/>
    <w:rsid w:val="0079649D"/>
    <w:rsid w:val="007A00D7"/>
    <w:rsid w:val="007A0563"/>
    <w:rsid w:val="007A0703"/>
    <w:rsid w:val="007A147F"/>
    <w:rsid w:val="007A1597"/>
    <w:rsid w:val="007A2BEE"/>
    <w:rsid w:val="007A2D79"/>
    <w:rsid w:val="007A3633"/>
    <w:rsid w:val="007A39C3"/>
    <w:rsid w:val="007A4D0C"/>
    <w:rsid w:val="007A4E27"/>
    <w:rsid w:val="007A4EA9"/>
    <w:rsid w:val="007A53EC"/>
    <w:rsid w:val="007A5AD6"/>
    <w:rsid w:val="007A5C18"/>
    <w:rsid w:val="007A7100"/>
    <w:rsid w:val="007A74AC"/>
    <w:rsid w:val="007A7506"/>
    <w:rsid w:val="007A7E4E"/>
    <w:rsid w:val="007B0984"/>
    <w:rsid w:val="007B168B"/>
    <w:rsid w:val="007B20D4"/>
    <w:rsid w:val="007B29A2"/>
    <w:rsid w:val="007B2B56"/>
    <w:rsid w:val="007B2FBE"/>
    <w:rsid w:val="007B3EE2"/>
    <w:rsid w:val="007B4CFD"/>
    <w:rsid w:val="007B5514"/>
    <w:rsid w:val="007B579C"/>
    <w:rsid w:val="007B58BE"/>
    <w:rsid w:val="007B5D9B"/>
    <w:rsid w:val="007B66AC"/>
    <w:rsid w:val="007B6894"/>
    <w:rsid w:val="007B6E68"/>
    <w:rsid w:val="007B7883"/>
    <w:rsid w:val="007C0809"/>
    <w:rsid w:val="007C1B1E"/>
    <w:rsid w:val="007C20E8"/>
    <w:rsid w:val="007C2FAF"/>
    <w:rsid w:val="007C3428"/>
    <w:rsid w:val="007C3B56"/>
    <w:rsid w:val="007C5541"/>
    <w:rsid w:val="007C670C"/>
    <w:rsid w:val="007C68F8"/>
    <w:rsid w:val="007C77F2"/>
    <w:rsid w:val="007C7F11"/>
    <w:rsid w:val="007D000F"/>
    <w:rsid w:val="007D0B82"/>
    <w:rsid w:val="007D1182"/>
    <w:rsid w:val="007D16CE"/>
    <w:rsid w:val="007D1729"/>
    <w:rsid w:val="007D1788"/>
    <w:rsid w:val="007D1996"/>
    <w:rsid w:val="007D1D75"/>
    <w:rsid w:val="007D2489"/>
    <w:rsid w:val="007D284F"/>
    <w:rsid w:val="007D2BEA"/>
    <w:rsid w:val="007D2F40"/>
    <w:rsid w:val="007D33C5"/>
    <w:rsid w:val="007D4C34"/>
    <w:rsid w:val="007D4EB4"/>
    <w:rsid w:val="007D5037"/>
    <w:rsid w:val="007D5374"/>
    <w:rsid w:val="007D5CC2"/>
    <w:rsid w:val="007D6233"/>
    <w:rsid w:val="007D6A65"/>
    <w:rsid w:val="007D6C84"/>
    <w:rsid w:val="007D7A86"/>
    <w:rsid w:val="007E01A6"/>
    <w:rsid w:val="007E02A3"/>
    <w:rsid w:val="007E0CC7"/>
    <w:rsid w:val="007E0E48"/>
    <w:rsid w:val="007E1350"/>
    <w:rsid w:val="007E1BBE"/>
    <w:rsid w:val="007E2355"/>
    <w:rsid w:val="007E24F3"/>
    <w:rsid w:val="007E2F5C"/>
    <w:rsid w:val="007E34F1"/>
    <w:rsid w:val="007E3801"/>
    <w:rsid w:val="007E3883"/>
    <w:rsid w:val="007E42EB"/>
    <w:rsid w:val="007E4452"/>
    <w:rsid w:val="007E445D"/>
    <w:rsid w:val="007E460C"/>
    <w:rsid w:val="007E6C41"/>
    <w:rsid w:val="007E6D76"/>
    <w:rsid w:val="007F010B"/>
    <w:rsid w:val="007F1968"/>
    <w:rsid w:val="007F1B69"/>
    <w:rsid w:val="007F1E05"/>
    <w:rsid w:val="007F27F3"/>
    <w:rsid w:val="007F28A4"/>
    <w:rsid w:val="007F3497"/>
    <w:rsid w:val="007F3B5E"/>
    <w:rsid w:val="007F3EA0"/>
    <w:rsid w:val="007F41A7"/>
    <w:rsid w:val="007F5CD8"/>
    <w:rsid w:val="007F5FCE"/>
    <w:rsid w:val="007F6699"/>
    <w:rsid w:val="007F6CC9"/>
    <w:rsid w:val="007F6D42"/>
    <w:rsid w:val="007F6DC6"/>
    <w:rsid w:val="007F7227"/>
    <w:rsid w:val="007F7339"/>
    <w:rsid w:val="007F7C25"/>
    <w:rsid w:val="00800079"/>
    <w:rsid w:val="00800923"/>
    <w:rsid w:val="00800D28"/>
    <w:rsid w:val="00800F9C"/>
    <w:rsid w:val="00801740"/>
    <w:rsid w:val="00801CBB"/>
    <w:rsid w:val="0080233F"/>
    <w:rsid w:val="0080254B"/>
    <w:rsid w:val="00802BC3"/>
    <w:rsid w:val="00802BED"/>
    <w:rsid w:val="00803252"/>
    <w:rsid w:val="008038AF"/>
    <w:rsid w:val="00804178"/>
    <w:rsid w:val="00804A15"/>
    <w:rsid w:val="00804E76"/>
    <w:rsid w:val="00806458"/>
    <w:rsid w:val="0080645C"/>
    <w:rsid w:val="008066CB"/>
    <w:rsid w:val="00807741"/>
    <w:rsid w:val="00807E81"/>
    <w:rsid w:val="008102FD"/>
    <w:rsid w:val="00810D43"/>
    <w:rsid w:val="00810FE1"/>
    <w:rsid w:val="00811468"/>
    <w:rsid w:val="00811578"/>
    <w:rsid w:val="00811BC3"/>
    <w:rsid w:val="00812108"/>
    <w:rsid w:val="00812172"/>
    <w:rsid w:val="008121DD"/>
    <w:rsid w:val="00812732"/>
    <w:rsid w:val="008129D9"/>
    <w:rsid w:val="00813B39"/>
    <w:rsid w:val="00814452"/>
    <w:rsid w:val="00815FF3"/>
    <w:rsid w:val="008161A1"/>
    <w:rsid w:val="00816E12"/>
    <w:rsid w:val="00816F43"/>
    <w:rsid w:val="00817206"/>
    <w:rsid w:val="0081729C"/>
    <w:rsid w:val="008173AF"/>
    <w:rsid w:val="00817437"/>
    <w:rsid w:val="0081757A"/>
    <w:rsid w:val="00820294"/>
    <w:rsid w:val="00821027"/>
    <w:rsid w:val="00821DAC"/>
    <w:rsid w:val="00822B6E"/>
    <w:rsid w:val="00824C02"/>
    <w:rsid w:val="00825021"/>
    <w:rsid w:val="0082513A"/>
    <w:rsid w:val="00825696"/>
    <w:rsid w:val="00825C17"/>
    <w:rsid w:val="008268F8"/>
    <w:rsid w:val="00826A14"/>
    <w:rsid w:val="00827308"/>
    <w:rsid w:val="008276B0"/>
    <w:rsid w:val="00827BAD"/>
    <w:rsid w:val="0083126F"/>
    <w:rsid w:val="00831B71"/>
    <w:rsid w:val="00832914"/>
    <w:rsid w:val="00832D05"/>
    <w:rsid w:val="00833DB9"/>
    <w:rsid w:val="00834A5A"/>
    <w:rsid w:val="00834AE7"/>
    <w:rsid w:val="008359AD"/>
    <w:rsid w:val="00835C1F"/>
    <w:rsid w:val="00835F21"/>
    <w:rsid w:val="008375C1"/>
    <w:rsid w:val="00837A11"/>
    <w:rsid w:val="00837CC8"/>
    <w:rsid w:val="008402CF"/>
    <w:rsid w:val="00841912"/>
    <w:rsid w:val="00841C33"/>
    <w:rsid w:val="00842371"/>
    <w:rsid w:val="00842F63"/>
    <w:rsid w:val="0084347A"/>
    <w:rsid w:val="00843934"/>
    <w:rsid w:val="008439A2"/>
    <w:rsid w:val="008439BC"/>
    <w:rsid w:val="00843F8F"/>
    <w:rsid w:val="008448FA"/>
    <w:rsid w:val="00845679"/>
    <w:rsid w:val="00845708"/>
    <w:rsid w:val="00846022"/>
    <w:rsid w:val="0084613D"/>
    <w:rsid w:val="00846C9D"/>
    <w:rsid w:val="008474A5"/>
    <w:rsid w:val="008475A1"/>
    <w:rsid w:val="008477D9"/>
    <w:rsid w:val="00850230"/>
    <w:rsid w:val="008503D8"/>
    <w:rsid w:val="008507D7"/>
    <w:rsid w:val="00850EC4"/>
    <w:rsid w:val="008522D4"/>
    <w:rsid w:val="00852899"/>
    <w:rsid w:val="0085298B"/>
    <w:rsid w:val="00853765"/>
    <w:rsid w:val="0085394D"/>
    <w:rsid w:val="008541D2"/>
    <w:rsid w:val="0085480A"/>
    <w:rsid w:val="00854B58"/>
    <w:rsid w:val="00854DDB"/>
    <w:rsid w:val="008551DC"/>
    <w:rsid w:val="00856AF0"/>
    <w:rsid w:val="00857940"/>
    <w:rsid w:val="00860E10"/>
    <w:rsid w:val="008614DF"/>
    <w:rsid w:val="008617F6"/>
    <w:rsid w:val="00863ABC"/>
    <w:rsid w:val="00863F1E"/>
    <w:rsid w:val="0086406D"/>
    <w:rsid w:val="00864375"/>
    <w:rsid w:val="00864883"/>
    <w:rsid w:val="008648A7"/>
    <w:rsid w:val="00865265"/>
    <w:rsid w:val="0086528A"/>
    <w:rsid w:val="00865C64"/>
    <w:rsid w:val="008668BB"/>
    <w:rsid w:val="00866FBF"/>
    <w:rsid w:val="00867C05"/>
    <w:rsid w:val="00870A8D"/>
    <w:rsid w:val="00870CCE"/>
    <w:rsid w:val="00871D47"/>
    <w:rsid w:val="00871D9E"/>
    <w:rsid w:val="00871EEF"/>
    <w:rsid w:val="00872768"/>
    <w:rsid w:val="00872D57"/>
    <w:rsid w:val="008737CC"/>
    <w:rsid w:val="0087383A"/>
    <w:rsid w:val="0087393A"/>
    <w:rsid w:val="00873BFC"/>
    <w:rsid w:val="008741A8"/>
    <w:rsid w:val="008755DF"/>
    <w:rsid w:val="00875618"/>
    <w:rsid w:val="00875D39"/>
    <w:rsid w:val="008764B7"/>
    <w:rsid w:val="00876FCA"/>
    <w:rsid w:val="00877C47"/>
    <w:rsid w:val="00877FDA"/>
    <w:rsid w:val="00880BC3"/>
    <w:rsid w:val="008810FF"/>
    <w:rsid w:val="008817CC"/>
    <w:rsid w:val="00881B7F"/>
    <w:rsid w:val="00881D4E"/>
    <w:rsid w:val="00882133"/>
    <w:rsid w:val="00883067"/>
    <w:rsid w:val="00883FB1"/>
    <w:rsid w:val="00884591"/>
    <w:rsid w:val="00884CA0"/>
    <w:rsid w:val="0088506F"/>
    <w:rsid w:val="0088532C"/>
    <w:rsid w:val="00885C42"/>
    <w:rsid w:val="008865E4"/>
    <w:rsid w:val="00886955"/>
    <w:rsid w:val="00886A87"/>
    <w:rsid w:val="00886CF6"/>
    <w:rsid w:val="008870F4"/>
    <w:rsid w:val="00887161"/>
    <w:rsid w:val="00887858"/>
    <w:rsid w:val="00890289"/>
    <w:rsid w:val="00890EF4"/>
    <w:rsid w:val="00891090"/>
    <w:rsid w:val="008912DA"/>
    <w:rsid w:val="00891F9C"/>
    <w:rsid w:val="008922A7"/>
    <w:rsid w:val="00892742"/>
    <w:rsid w:val="00892A00"/>
    <w:rsid w:val="0089310B"/>
    <w:rsid w:val="00893182"/>
    <w:rsid w:val="008932F0"/>
    <w:rsid w:val="00894106"/>
    <w:rsid w:val="00894146"/>
    <w:rsid w:val="008942F1"/>
    <w:rsid w:val="00894429"/>
    <w:rsid w:val="00894868"/>
    <w:rsid w:val="00894C8E"/>
    <w:rsid w:val="00894FDE"/>
    <w:rsid w:val="00895D04"/>
    <w:rsid w:val="00896196"/>
    <w:rsid w:val="008964B6"/>
    <w:rsid w:val="00896CFF"/>
    <w:rsid w:val="00896EAC"/>
    <w:rsid w:val="008A0E8D"/>
    <w:rsid w:val="008A102C"/>
    <w:rsid w:val="008A106C"/>
    <w:rsid w:val="008A1932"/>
    <w:rsid w:val="008A1D31"/>
    <w:rsid w:val="008A1D4D"/>
    <w:rsid w:val="008A2AC5"/>
    <w:rsid w:val="008A2B32"/>
    <w:rsid w:val="008A3CEB"/>
    <w:rsid w:val="008A407F"/>
    <w:rsid w:val="008A4745"/>
    <w:rsid w:val="008A4F37"/>
    <w:rsid w:val="008A5F1E"/>
    <w:rsid w:val="008A6654"/>
    <w:rsid w:val="008A70F2"/>
    <w:rsid w:val="008A7758"/>
    <w:rsid w:val="008A7BCC"/>
    <w:rsid w:val="008B014F"/>
    <w:rsid w:val="008B0F40"/>
    <w:rsid w:val="008B0F5B"/>
    <w:rsid w:val="008B269F"/>
    <w:rsid w:val="008B26AC"/>
    <w:rsid w:val="008B3126"/>
    <w:rsid w:val="008B4A68"/>
    <w:rsid w:val="008B4BD0"/>
    <w:rsid w:val="008B50DE"/>
    <w:rsid w:val="008B6139"/>
    <w:rsid w:val="008B621F"/>
    <w:rsid w:val="008B63DD"/>
    <w:rsid w:val="008B76C9"/>
    <w:rsid w:val="008B7976"/>
    <w:rsid w:val="008C07EA"/>
    <w:rsid w:val="008C0DEF"/>
    <w:rsid w:val="008C1300"/>
    <w:rsid w:val="008C1631"/>
    <w:rsid w:val="008C17D6"/>
    <w:rsid w:val="008C20BD"/>
    <w:rsid w:val="008C2A2D"/>
    <w:rsid w:val="008C2E38"/>
    <w:rsid w:val="008C396B"/>
    <w:rsid w:val="008C5003"/>
    <w:rsid w:val="008C5652"/>
    <w:rsid w:val="008C571C"/>
    <w:rsid w:val="008C5996"/>
    <w:rsid w:val="008C723B"/>
    <w:rsid w:val="008C76AC"/>
    <w:rsid w:val="008C7CBF"/>
    <w:rsid w:val="008D0247"/>
    <w:rsid w:val="008D05A4"/>
    <w:rsid w:val="008D0792"/>
    <w:rsid w:val="008D090F"/>
    <w:rsid w:val="008D1003"/>
    <w:rsid w:val="008D12C7"/>
    <w:rsid w:val="008D1AE4"/>
    <w:rsid w:val="008D1F27"/>
    <w:rsid w:val="008D203D"/>
    <w:rsid w:val="008D2145"/>
    <w:rsid w:val="008D2203"/>
    <w:rsid w:val="008D2D37"/>
    <w:rsid w:val="008D3732"/>
    <w:rsid w:val="008D3FDB"/>
    <w:rsid w:val="008D41C9"/>
    <w:rsid w:val="008D526C"/>
    <w:rsid w:val="008D54D3"/>
    <w:rsid w:val="008D592E"/>
    <w:rsid w:val="008D6404"/>
    <w:rsid w:val="008D6C13"/>
    <w:rsid w:val="008D75CD"/>
    <w:rsid w:val="008D78DF"/>
    <w:rsid w:val="008E0047"/>
    <w:rsid w:val="008E04BC"/>
    <w:rsid w:val="008E14BB"/>
    <w:rsid w:val="008E1893"/>
    <w:rsid w:val="008E1ED9"/>
    <w:rsid w:val="008E22E7"/>
    <w:rsid w:val="008E2423"/>
    <w:rsid w:val="008E2718"/>
    <w:rsid w:val="008E2A2F"/>
    <w:rsid w:val="008E3277"/>
    <w:rsid w:val="008E3BF1"/>
    <w:rsid w:val="008E3D6E"/>
    <w:rsid w:val="008E3E4B"/>
    <w:rsid w:val="008E4B4C"/>
    <w:rsid w:val="008E50C3"/>
    <w:rsid w:val="008E5186"/>
    <w:rsid w:val="008E609D"/>
    <w:rsid w:val="008E6275"/>
    <w:rsid w:val="008E6440"/>
    <w:rsid w:val="008E6509"/>
    <w:rsid w:val="008E67B0"/>
    <w:rsid w:val="008E6DB7"/>
    <w:rsid w:val="008E78FE"/>
    <w:rsid w:val="008E7B4A"/>
    <w:rsid w:val="008F0A69"/>
    <w:rsid w:val="008F0C0B"/>
    <w:rsid w:val="008F1353"/>
    <w:rsid w:val="008F1617"/>
    <w:rsid w:val="008F2282"/>
    <w:rsid w:val="008F2BD3"/>
    <w:rsid w:val="008F2C91"/>
    <w:rsid w:val="008F352C"/>
    <w:rsid w:val="008F5248"/>
    <w:rsid w:val="008F5329"/>
    <w:rsid w:val="008F6461"/>
    <w:rsid w:val="008F6819"/>
    <w:rsid w:val="008F7AE9"/>
    <w:rsid w:val="008F7DC7"/>
    <w:rsid w:val="00900EDB"/>
    <w:rsid w:val="009017C7"/>
    <w:rsid w:val="00901C56"/>
    <w:rsid w:val="009027B1"/>
    <w:rsid w:val="009028DE"/>
    <w:rsid w:val="00903A05"/>
    <w:rsid w:val="00903AD4"/>
    <w:rsid w:val="00903E70"/>
    <w:rsid w:val="009042BD"/>
    <w:rsid w:val="009046D9"/>
    <w:rsid w:val="00904C1A"/>
    <w:rsid w:val="00904CB4"/>
    <w:rsid w:val="009067BC"/>
    <w:rsid w:val="00906807"/>
    <w:rsid w:val="00907068"/>
    <w:rsid w:val="009073BB"/>
    <w:rsid w:val="0090795A"/>
    <w:rsid w:val="0091021E"/>
    <w:rsid w:val="0091058F"/>
    <w:rsid w:val="00910751"/>
    <w:rsid w:val="00911473"/>
    <w:rsid w:val="00911731"/>
    <w:rsid w:val="00911C06"/>
    <w:rsid w:val="00911ECB"/>
    <w:rsid w:val="009127E0"/>
    <w:rsid w:val="0091317F"/>
    <w:rsid w:val="009131B8"/>
    <w:rsid w:val="009138DF"/>
    <w:rsid w:val="0091405F"/>
    <w:rsid w:val="0091407B"/>
    <w:rsid w:val="009143C9"/>
    <w:rsid w:val="00916716"/>
    <w:rsid w:val="00916DB3"/>
    <w:rsid w:val="00916F5C"/>
    <w:rsid w:val="00917555"/>
    <w:rsid w:val="00917F7D"/>
    <w:rsid w:val="009207A7"/>
    <w:rsid w:val="00920839"/>
    <w:rsid w:val="00920901"/>
    <w:rsid w:val="00920AB7"/>
    <w:rsid w:val="009212A0"/>
    <w:rsid w:val="0092134D"/>
    <w:rsid w:val="0092189F"/>
    <w:rsid w:val="00921EF3"/>
    <w:rsid w:val="00922322"/>
    <w:rsid w:val="00922AFB"/>
    <w:rsid w:val="00922DCA"/>
    <w:rsid w:val="00924512"/>
    <w:rsid w:val="009248E1"/>
    <w:rsid w:val="00924FB9"/>
    <w:rsid w:val="009253B2"/>
    <w:rsid w:val="009259A0"/>
    <w:rsid w:val="00925B8B"/>
    <w:rsid w:val="009268A3"/>
    <w:rsid w:val="009268B6"/>
    <w:rsid w:val="00926975"/>
    <w:rsid w:val="00926A56"/>
    <w:rsid w:val="00926EE8"/>
    <w:rsid w:val="009271C2"/>
    <w:rsid w:val="00927403"/>
    <w:rsid w:val="00927B46"/>
    <w:rsid w:val="00932CC6"/>
    <w:rsid w:val="00933578"/>
    <w:rsid w:val="00933965"/>
    <w:rsid w:val="00933F53"/>
    <w:rsid w:val="0093543F"/>
    <w:rsid w:val="00935AE4"/>
    <w:rsid w:val="00935CBC"/>
    <w:rsid w:val="009368D8"/>
    <w:rsid w:val="00936B5D"/>
    <w:rsid w:val="0093716E"/>
    <w:rsid w:val="00937A59"/>
    <w:rsid w:val="00937D77"/>
    <w:rsid w:val="0094057F"/>
    <w:rsid w:val="0094197B"/>
    <w:rsid w:val="00942149"/>
    <w:rsid w:val="00942232"/>
    <w:rsid w:val="0094263F"/>
    <w:rsid w:val="0094296C"/>
    <w:rsid w:val="00942B39"/>
    <w:rsid w:val="00942C2B"/>
    <w:rsid w:val="00942DE7"/>
    <w:rsid w:val="00942FC3"/>
    <w:rsid w:val="00943B2F"/>
    <w:rsid w:val="009449C3"/>
    <w:rsid w:val="00944C53"/>
    <w:rsid w:val="00945414"/>
    <w:rsid w:val="0094579C"/>
    <w:rsid w:val="009457B3"/>
    <w:rsid w:val="00946848"/>
    <w:rsid w:val="0094686B"/>
    <w:rsid w:val="00946C7F"/>
    <w:rsid w:val="00947125"/>
    <w:rsid w:val="00947562"/>
    <w:rsid w:val="009501A5"/>
    <w:rsid w:val="00950248"/>
    <w:rsid w:val="0095027C"/>
    <w:rsid w:val="009509E3"/>
    <w:rsid w:val="00951FBB"/>
    <w:rsid w:val="009526DE"/>
    <w:rsid w:val="009529E7"/>
    <w:rsid w:val="009531E3"/>
    <w:rsid w:val="0095362A"/>
    <w:rsid w:val="00953C65"/>
    <w:rsid w:val="00953CB4"/>
    <w:rsid w:val="00953D3A"/>
    <w:rsid w:val="0095417E"/>
    <w:rsid w:val="00954246"/>
    <w:rsid w:val="0095434D"/>
    <w:rsid w:val="00955B29"/>
    <w:rsid w:val="00956157"/>
    <w:rsid w:val="00956B38"/>
    <w:rsid w:val="0095730F"/>
    <w:rsid w:val="009574EE"/>
    <w:rsid w:val="009605AD"/>
    <w:rsid w:val="0096091E"/>
    <w:rsid w:val="00960FCA"/>
    <w:rsid w:val="0096117B"/>
    <w:rsid w:val="009624CB"/>
    <w:rsid w:val="009626A4"/>
    <w:rsid w:val="0096343D"/>
    <w:rsid w:val="0096360A"/>
    <w:rsid w:val="00963655"/>
    <w:rsid w:val="00963E11"/>
    <w:rsid w:val="009650AB"/>
    <w:rsid w:val="0096641E"/>
    <w:rsid w:val="00966711"/>
    <w:rsid w:val="00966F23"/>
    <w:rsid w:val="0096763B"/>
    <w:rsid w:val="00970BE3"/>
    <w:rsid w:val="009729A3"/>
    <w:rsid w:val="00972C03"/>
    <w:rsid w:val="00972F1C"/>
    <w:rsid w:val="00973E23"/>
    <w:rsid w:val="00975CA0"/>
    <w:rsid w:val="00975DF2"/>
    <w:rsid w:val="009768AF"/>
    <w:rsid w:val="0097744D"/>
    <w:rsid w:val="00977818"/>
    <w:rsid w:val="00977891"/>
    <w:rsid w:val="009779D3"/>
    <w:rsid w:val="00977AC7"/>
    <w:rsid w:val="00977F0C"/>
    <w:rsid w:val="00980441"/>
    <w:rsid w:val="009808BE"/>
    <w:rsid w:val="00980A80"/>
    <w:rsid w:val="0098195A"/>
    <w:rsid w:val="00981D41"/>
    <w:rsid w:val="0098259B"/>
    <w:rsid w:val="00982F9C"/>
    <w:rsid w:val="009835BD"/>
    <w:rsid w:val="00983769"/>
    <w:rsid w:val="00983EFD"/>
    <w:rsid w:val="0098422D"/>
    <w:rsid w:val="00984780"/>
    <w:rsid w:val="00984849"/>
    <w:rsid w:val="00984A45"/>
    <w:rsid w:val="0098500A"/>
    <w:rsid w:val="00986118"/>
    <w:rsid w:val="0098658C"/>
    <w:rsid w:val="00986A4E"/>
    <w:rsid w:val="00986DDC"/>
    <w:rsid w:val="009874BE"/>
    <w:rsid w:val="009874CE"/>
    <w:rsid w:val="00987639"/>
    <w:rsid w:val="009904DF"/>
    <w:rsid w:val="00990527"/>
    <w:rsid w:val="009905FC"/>
    <w:rsid w:val="00990666"/>
    <w:rsid w:val="009908C1"/>
    <w:rsid w:val="00990BF2"/>
    <w:rsid w:val="00990C14"/>
    <w:rsid w:val="00990EA0"/>
    <w:rsid w:val="00991260"/>
    <w:rsid w:val="009919C9"/>
    <w:rsid w:val="00992A15"/>
    <w:rsid w:val="00993863"/>
    <w:rsid w:val="009946B2"/>
    <w:rsid w:val="009949BC"/>
    <w:rsid w:val="009954CE"/>
    <w:rsid w:val="0099751A"/>
    <w:rsid w:val="00997850"/>
    <w:rsid w:val="00997CE7"/>
    <w:rsid w:val="009A0596"/>
    <w:rsid w:val="009A08F6"/>
    <w:rsid w:val="009A0C98"/>
    <w:rsid w:val="009A13E2"/>
    <w:rsid w:val="009A1EE4"/>
    <w:rsid w:val="009A1F7E"/>
    <w:rsid w:val="009A363A"/>
    <w:rsid w:val="009A4872"/>
    <w:rsid w:val="009A5160"/>
    <w:rsid w:val="009A5706"/>
    <w:rsid w:val="009A5A7F"/>
    <w:rsid w:val="009A5D1E"/>
    <w:rsid w:val="009A5F22"/>
    <w:rsid w:val="009A6537"/>
    <w:rsid w:val="009A77FF"/>
    <w:rsid w:val="009B0950"/>
    <w:rsid w:val="009B0A12"/>
    <w:rsid w:val="009B0B05"/>
    <w:rsid w:val="009B1D2C"/>
    <w:rsid w:val="009B1E84"/>
    <w:rsid w:val="009B1F9E"/>
    <w:rsid w:val="009B27C7"/>
    <w:rsid w:val="009B28A0"/>
    <w:rsid w:val="009B2E18"/>
    <w:rsid w:val="009B30D3"/>
    <w:rsid w:val="009B350B"/>
    <w:rsid w:val="009B3EB6"/>
    <w:rsid w:val="009B4880"/>
    <w:rsid w:val="009B4E82"/>
    <w:rsid w:val="009B56E2"/>
    <w:rsid w:val="009B7C77"/>
    <w:rsid w:val="009B7DF0"/>
    <w:rsid w:val="009B7EC1"/>
    <w:rsid w:val="009C07D7"/>
    <w:rsid w:val="009C07EB"/>
    <w:rsid w:val="009C0E80"/>
    <w:rsid w:val="009C1595"/>
    <w:rsid w:val="009C1BB1"/>
    <w:rsid w:val="009C1D8C"/>
    <w:rsid w:val="009C251C"/>
    <w:rsid w:val="009C2A3B"/>
    <w:rsid w:val="009C2B1F"/>
    <w:rsid w:val="009C2CEF"/>
    <w:rsid w:val="009C3A04"/>
    <w:rsid w:val="009C42A9"/>
    <w:rsid w:val="009C4A65"/>
    <w:rsid w:val="009C65FB"/>
    <w:rsid w:val="009C6DDB"/>
    <w:rsid w:val="009C775F"/>
    <w:rsid w:val="009C7A8F"/>
    <w:rsid w:val="009D04BE"/>
    <w:rsid w:val="009D0866"/>
    <w:rsid w:val="009D1CB0"/>
    <w:rsid w:val="009D2854"/>
    <w:rsid w:val="009D2ACA"/>
    <w:rsid w:val="009D34CF"/>
    <w:rsid w:val="009D3587"/>
    <w:rsid w:val="009D4B80"/>
    <w:rsid w:val="009D518C"/>
    <w:rsid w:val="009D5464"/>
    <w:rsid w:val="009D571B"/>
    <w:rsid w:val="009D59DC"/>
    <w:rsid w:val="009D652A"/>
    <w:rsid w:val="009D6F2A"/>
    <w:rsid w:val="009D7DED"/>
    <w:rsid w:val="009E0476"/>
    <w:rsid w:val="009E273A"/>
    <w:rsid w:val="009E41B2"/>
    <w:rsid w:val="009E4D2C"/>
    <w:rsid w:val="009E527A"/>
    <w:rsid w:val="009E5301"/>
    <w:rsid w:val="009E541D"/>
    <w:rsid w:val="009E571F"/>
    <w:rsid w:val="009E6BB0"/>
    <w:rsid w:val="009E7985"/>
    <w:rsid w:val="009F011D"/>
    <w:rsid w:val="009F0C55"/>
    <w:rsid w:val="009F0DB0"/>
    <w:rsid w:val="009F1E23"/>
    <w:rsid w:val="009F327C"/>
    <w:rsid w:val="009F3442"/>
    <w:rsid w:val="009F38B0"/>
    <w:rsid w:val="009F3E7F"/>
    <w:rsid w:val="009F45F3"/>
    <w:rsid w:val="009F48D2"/>
    <w:rsid w:val="009F57F8"/>
    <w:rsid w:val="009F5D86"/>
    <w:rsid w:val="009F6043"/>
    <w:rsid w:val="009F7400"/>
    <w:rsid w:val="009F79F2"/>
    <w:rsid w:val="009F7E6D"/>
    <w:rsid w:val="00A00CC3"/>
    <w:rsid w:val="00A0115B"/>
    <w:rsid w:val="00A01F94"/>
    <w:rsid w:val="00A026F0"/>
    <w:rsid w:val="00A02A12"/>
    <w:rsid w:val="00A0329C"/>
    <w:rsid w:val="00A04052"/>
    <w:rsid w:val="00A04054"/>
    <w:rsid w:val="00A041B3"/>
    <w:rsid w:val="00A0492D"/>
    <w:rsid w:val="00A04A51"/>
    <w:rsid w:val="00A061F3"/>
    <w:rsid w:val="00A0682B"/>
    <w:rsid w:val="00A07208"/>
    <w:rsid w:val="00A076B8"/>
    <w:rsid w:val="00A0789E"/>
    <w:rsid w:val="00A07C8A"/>
    <w:rsid w:val="00A07DC5"/>
    <w:rsid w:val="00A109C6"/>
    <w:rsid w:val="00A10FD4"/>
    <w:rsid w:val="00A11CB1"/>
    <w:rsid w:val="00A12527"/>
    <w:rsid w:val="00A1347D"/>
    <w:rsid w:val="00A13E32"/>
    <w:rsid w:val="00A14285"/>
    <w:rsid w:val="00A1485A"/>
    <w:rsid w:val="00A14A08"/>
    <w:rsid w:val="00A14D98"/>
    <w:rsid w:val="00A14E79"/>
    <w:rsid w:val="00A15BB9"/>
    <w:rsid w:val="00A15D0C"/>
    <w:rsid w:val="00A16759"/>
    <w:rsid w:val="00A169EF"/>
    <w:rsid w:val="00A16DDE"/>
    <w:rsid w:val="00A17826"/>
    <w:rsid w:val="00A179F1"/>
    <w:rsid w:val="00A20484"/>
    <w:rsid w:val="00A204DF"/>
    <w:rsid w:val="00A204F8"/>
    <w:rsid w:val="00A2093B"/>
    <w:rsid w:val="00A2094E"/>
    <w:rsid w:val="00A20B58"/>
    <w:rsid w:val="00A20CEA"/>
    <w:rsid w:val="00A20DB5"/>
    <w:rsid w:val="00A20F5B"/>
    <w:rsid w:val="00A2111E"/>
    <w:rsid w:val="00A212F4"/>
    <w:rsid w:val="00A21351"/>
    <w:rsid w:val="00A21EB9"/>
    <w:rsid w:val="00A22BCD"/>
    <w:rsid w:val="00A23281"/>
    <w:rsid w:val="00A23A83"/>
    <w:rsid w:val="00A23C34"/>
    <w:rsid w:val="00A23DCE"/>
    <w:rsid w:val="00A23E73"/>
    <w:rsid w:val="00A24B32"/>
    <w:rsid w:val="00A25636"/>
    <w:rsid w:val="00A257B6"/>
    <w:rsid w:val="00A2633B"/>
    <w:rsid w:val="00A26E73"/>
    <w:rsid w:val="00A30DE7"/>
    <w:rsid w:val="00A3105C"/>
    <w:rsid w:val="00A31735"/>
    <w:rsid w:val="00A31740"/>
    <w:rsid w:val="00A32206"/>
    <w:rsid w:val="00A32A53"/>
    <w:rsid w:val="00A32DB3"/>
    <w:rsid w:val="00A33233"/>
    <w:rsid w:val="00A33656"/>
    <w:rsid w:val="00A342CC"/>
    <w:rsid w:val="00A34484"/>
    <w:rsid w:val="00A3459B"/>
    <w:rsid w:val="00A351DD"/>
    <w:rsid w:val="00A3553C"/>
    <w:rsid w:val="00A36388"/>
    <w:rsid w:val="00A367C6"/>
    <w:rsid w:val="00A36A65"/>
    <w:rsid w:val="00A36B06"/>
    <w:rsid w:val="00A372F4"/>
    <w:rsid w:val="00A37D1F"/>
    <w:rsid w:val="00A4054F"/>
    <w:rsid w:val="00A40F8E"/>
    <w:rsid w:val="00A413A9"/>
    <w:rsid w:val="00A42973"/>
    <w:rsid w:val="00A42C8B"/>
    <w:rsid w:val="00A43E5C"/>
    <w:rsid w:val="00A445B0"/>
    <w:rsid w:val="00A468A6"/>
    <w:rsid w:val="00A46E1B"/>
    <w:rsid w:val="00A470AC"/>
    <w:rsid w:val="00A472F1"/>
    <w:rsid w:val="00A4782A"/>
    <w:rsid w:val="00A50242"/>
    <w:rsid w:val="00A50502"/>
    <w:rsid w:val="00A507BB"/>
    <w:rsid w:val="00A51BB8"/>
    <w:rsid w:val="00A51EE7"/>
    <w:rsid w:val="00A5227D"/>
    <w:rsid w:val="00A52579"/>
    <w:rsid w:val="00A52A39"/>
    <w:rsid w:val="00A545CB"/>
    <w:rsid w:val="00A5526B"/>
    <w:rsid w:val="00A55D15"/>
    <w:rsid w:val="00A55E2D"/>
    <w:rsid w:val="00A569CC"/>
    <w:rsid w:val="00A56B99"/>
    <w:rsid w:val="00A570E9"/>
    <w:rsid w:val="00A57A73"/>
    <w:rsid w:val="00A610CB"/>
    <w:rsid w:val="00A619F5"/>
    <w:rsid w:val="00A62073"/>
    <w:rsid w:val="00A63149"/>
    <w:rsid w:val="00A6398C"/>
    <w:rsid w:val="00A6422E"/>
    <w:rsid w:val="00A655FB"/>
    <w:rsid w:val="00A65667"/>
    <w:rsid w:val="00A663FC"/>
    <w:rsid w:val="00A66482"/>
    <w:rsid w:val="00A670EF"/>
    <w:rsid w:val="00A6765E"/>
    <w:rsid w:val="00A67AF4"/>
    <w:rsid w:val="00A67C86"/>
    <w:rsid w:val="00A70311"/>
    <w:rsid w:val="00A7041E"/>
    <w:rsid w:val="00A706BA"/>
    <w:rsid w:val="00A7293C"/>
    <w:rsid w:val="00A731FC"/>
    <w:rsid w:val="00A733F8"/>
    <w:rsid w:val="00A734E0"/>
    <w:rsid w:val="00A73619"/>
    <w:rsid w:val="00A7488E"/>
    <w:rsid w:val="00A74C10"/>
    <w:rsid w:val="00A757D5"/>
    <w:rsid w:val="00A75F6D"/>
    <w:rsid w:val="00A7791C"/>
    <w:rsid w:val="00A77D17"/>
    <w:rsid w:val="00A8031C"/>
    <w:rsid w:val="00A8064F"/>
    <w:rsid w:val="00A80950"/>
    <w:rsid w:val="00A819E5"/>
    <w:rsid w:val="00A82050"/>
    <w:rsid w:val="00A82D13"/>
    <w:rsid w:val="00A830D2"/>
    <w:rsid w:val="00A8384E"/>
    <w:rsid w:val="00A8398E"/>
    <w:rsid w:val="00A83AB9"/>
    <w:rsid w:val="00A83D2B"/>
    <w:rsid w:val="00A83F56"/>
    <w:rsid w:val="00A847EA"/>
    <w:rsid w:val="00A84AED"/>
    <w:rsid w:val="00A84C55"/>
    <w:rsid w:val="00A850C4"/>
    <w:rsid w:val="00A857AC"/>
    <w:rsid w:val="00A857E7"/>
    <w:rsid w:val="00A86C20"/>
    <w:rsid w:val="00A86C6F"/>
    <w:rsid w:val="00A86FC9"/>
    <w:rsid w:val="00A87156"/>
    <w:rsid w:val="00A87494"/>
    <w:rsid w:val="00A90273"/>
    <w:rsid w:val="00A90A65"/>
    <w:rsid w:val="00A90D2C"/>
    <w:rsid w:val="00A91369"/>
    <w:rsid w:val="00A93080"/>
    <w:rsid w:val="00A932F0"/>
    <w:rsid w:val="00A9383C"/>
    <w:rsid w:val="00A946AD"/>
    <w:rsid w:val="00A94EE0"/>
    <w:rsid w:val="00A95D6B"/>
    <w:rsid w:val="00A960E6"/>
    <w:rsid w:val="00A962B4"/>
    <w:rsid w:val="00A9665F"/>
    <w:rsid w:val="00A9667E"/>
    <w:rsid w:val="00A96D69"/>
    <w:rsid w:val="00A974B8"/>
    <w:rsid w:val="00A97A98"/>
    <w:rsid w:val="00A97EB1"/>
    <w:rsid w:val="00AA0C35"/>
    <w:rsid w:val="00AA0E61"/>
    <w:rsid w:val="00AA0EE3"/>
    <w:rsid w:val="00AA1188"/>
    <w:rsid w:val="00AA1A4A"/>
    <w:rsid w:val="00AA2190"/>
    <w:rsid w:val="00AA23BF"/>
    <w:rsid w:val="00AA25E8"/>
    <w:rsid w:val="00AA36EA"/>
    <w:rsid w:val="00AA48B4"/>
    <w:rsid w:val="00AA4C2F"/>
    <w:rsid w:val="00AA523C"/>
    <w:rsid w:val="00AA589F"/>
    <w:rsid w:val="00AA665B"/>
    <w:rsid w:val="00AA7710"/>
    <w:rsid w:val="00AB0939"/>
    <w:rsid w:val="00AB0CF5"/>
    <w:rsid w:val="00AB14A0"/>
    <w:rsid w:val="00AB199E"/>
    <w:rsid w:val="00AB2FE4"/>
    <w:rsid w:val="00AB30F9"/>
    <w:rsid w:val="00AB3601"/>
    <w:rsid w:val="00AB4198"/>
    <w:rsid w:val="00AB41C4"/>
    <w:rsid w:val="00AB44E9"/>
    <w:rsid w:val="00AB461C"/>
    <w:rsid w:val="00AB48A7"/>
    <w:rsid w:val="00AB4CB3"/>
    <w:rsid w:val="00AB4DA9"/>
    <w:rsid w:val="00AB4ECA"/>
    <w:rsid w:val="00AB4F73"/>
    <w:rsid w:val="00AB5187"/>
    <w:rsid w:val="00AB5251"/>
    <w:rsid w:val="00AB5D9A"/>
    <w:rsid w:val="00AB5F35"/>
    <w:rsid w:val="00AB5FB3"/>
    <w:rsid w:val="00AB6430"/>
    <w:rsid w:val="00AB6B1E"/>
    <w:rsid w:val="00AB6E1C"/>
    <w:rsid w:val="00AB7029"/>
    <w:rsid w:val="00AB7709"/>
    <w:rsid w:val="00AB7CAF"/>
    <w:rsid w:val="00AC013A"/>
    <w:rsid w:val="00AC109A"/>
    <w:rsid w:val="00AC13C5"/>
    <w:rsid w:val="00AC15B4"/>
    <w:rsid w:val="00AC178D"/>
    <w:rsid w:val="00AC1863"/>
    <w:rsid w:val="00AC1936"/>
    <w:rsid w:val="00AC30A0"/>
    <w:rsid w:val="00AC3303"/>
    <w:rsid w:val="00AC4D92"/>
    <w:rsid w:val="00AC5B17"/>
    <w:rsid w:val="00AC5B2B"/>
    <w:rsid w:val="00AC60B4"/>
    <w:rsid w:val="00AC759F"/>
    <w:rsid w:val="00AD025F"/>
    <w:rsid w:val="00AD12AB"/>
    <w:rsid w:val="00AD136B"/>
    <w:rsid w:val="00AD1ABD"/>
    <w:rsid w:val="00AD207D"/>
    <w:rsid w:val="00AD2305"/>
    <w:rsid w:val="00AD265F"/>
    <w:rsid w:val="00AD5043"/>
    <w:rsid w:val="00AD5A1F"/>
    <w:rsid w:val="00AD5C3B"/>
    <w:rsid w:val="00AD5ED0"/>
    <w:rsid w:val="00AD6664"/>
    <w:rsid w:val="00AD6698"/>
    <w:rsid w:val="00AD6796"/>
    <w:rsid w:val="00AD67F0"/>
    <w:rsid w:val="00AD6E41"/>
    <w:rsid w:val="00AD712A"/>
    <w:rsid w:val="00AD7503"/>
    <w:rsid w:val="00AE03A3"/>
    <w:rsid w:val="00AE05FD"/>
    <w:rsid w:val="00AE06B5"/>
    <w:rsid w:val="00AE06B8"/>
    <w:rsid w:val="00AE0FB1"/>
    <w:rsid w:val="00AE1597"/>
    <w:rsid w:val="00AE16CB"/>
    <w:rsid w:val="00AE186E"/>
    <w:rsid w:val="00AE2193"/>
    <w:rsid w:val="00AE251A"/>
    <w:rsid w:val="00AE2887"/>
    <w:rsid w:val="00AE2D7A"/>
    <w:rsid w:val="00AE3892"/>
    <w:rsid w:val="00AE3E96"/>
    <w:rsid w:val="00AE4222"/>
    <w:rsid w:val="00AE5292"/>
    <w:rsid w:val="00AE584A"/>
    <w:rsid w:val="00AE6077"/>
    <w:rsid w:val="00AE6186"/>
    <w:rsid w:val="00AE6710"/>
    <w:rsid w:val="00AE7825"/>
    <w:rsid w:val="00AE7DB6"/>
    <w:rsid w:val="00AE7FC6"/>
    <w:rsid w:val="00AF091E"/>
    <w:rsid w:val="00AF0B62"/>
    <w:rsid w:val="00AF113C"/>
    <w:rsid w:val="00AF15EE"/>
    <w:rsid w:val="00AF1A38"/>
    <w:rsid w:val="00AF1D59"/>
    <w:rsid w:val="00AF21D4"/>
    <w:rsid w:val="00AF2EE2"/>
    <w:rsid w:val="00AF4D1F"/>
    <w:rsid w:val="00AF5133"/>
    <w:rsid w:val="00AF5180"/>
    <w:rsid w:val="00AF5911"/>
    <w:rsid w:val="00AF64CD"/>
    <w:rsid w:val="00AF6A9B"/>
    <w:rsid w:val="00AF7014"/>
    <w:rsid w:val="00AF7CC5"/>
    <w:rsid w:val="00B000EF"/>
    <w:rsid w:val="00B018E5"/>
    <w:rsid w:val="00B01BA2"/>
    <w:rsid w:val="00B01CCD"/>
    <w:rsid w:val="00B02E04"/>
    <w:rsid w:val="00B03027"/>
    <w:rsid w:val="00B046F0"/>
    <w:rsid w:val="00B04760"/>
    <w:rsid w:val="00B04B6A"/>
    <w:rsid w:val="00B073EC"/>
    <w:rsid w:val="00B1027F"/>
    <w:rsid w:val="00B10B08"/>
    <w:rsid w:val="00B1192E"/>
    <w:rsid w:val="00B1197C"/>
    <w:rsid w:val="00B11C36"/>
    <w:rsid w:val="00B1297F"/>
    <w:rsid w:val="00B1374D"/>
    <w:rsid w:val="00B13FD9"/>
    <w:rsid w:val="00B14BA6"/>
    <w:rsid w:val="00B151F2"/>
    <w:rsid w:val="00B15249"/>
    <w:rsid w:val="00B152FA"/>
    <w:rsid w:val="00B1553E"/>
    <w:rsid w:val="00B155C8"/>
    <w:rsid w:val="00B1747A"/>
    <w:rsid w:val="00B17521"/>
    <w:rsid w:val="00B17FCA"/>
    <w:rsid w:val="00B20056"/>
    <w:rsid w:val="00B20197"/>
    <w:rsid w:val="00B20273"/>
    <w:rsid w:val="00B20525"/>
    <w:rsid w:val="00B20F0A"/>
    <w:rsid w:val="00B21D92"/>
    <w:rsid w:val="00B21F80"/>
    <w:rsid w:val="00B227D8"/>
    <w:rsid w:val="00B229F7"/>
    <w:rsid w:val="00B234BB"/>
    <w:rsid w:val="00B234D4"/>
    <w:rsid w:val="00B245BD"/>
    <w:rsid w:val="00B251F5"/>
    <w:rsid w:val="00B25469"/>
    <w:rsid w:val="00B26F3B"/>
    <w:rsid w:val="00B3192C"/>
    <w:rsid w:val="00B31B5F"/>
    <w:rsid w:val="00B32770"/>
    <w:rsid w:val="00B33051"/>
    <w:rsid w:val="00B3547C"/>
    <w:rsid w:val="00B3570E"/>
    <w:rsid w:val="00B3614A"/>
    <w:rsid w:val="00B366AF"/>
    <w:rsid w:val="00B36E64"/>
    <w:rsid w:val="00B3775C"/>
    <w:rsid w:val="00B3781A"/>
    <w:rsid w:val="00B37FDA"/>
    <w:rsid w:val="00B40C09"/>
    <w:rsid w:val="00B40F2C"/>
    <w:rsid w:val="00B40FAA"/>
    <w:rsid w:val="00B41279"/>
    <w:rsid w:val="00B4454D"/>
    <w:rsid w:val="00B450AE"/>
    <w:rsid w:val="00B46571"/>
    <w:rsid w:val="00B46B3A"/>
    <w:rsid w:val="00B46FDE"/>
    <w:rsid w:val="00B475E1"/>
    <w:rsid w:val="00B50041"/>
    <w:rsid w:val="00B51340"/>
    <w:rsid w:val="00B51F8D"/>
    <w:rsid w:val="00B521CD"/>
    <w:rsid w:val="00B526C8"/>
    <w:rsid w:val="00B531D1"/>
    <w:rsid w:val="00B53D69"/>
    <w:rsid w:val="00B54308"/>
    <w:rsid w:val="00B54555"/>
    <w:rsid w:val="00B56FF5"/>
    <w:rsid w:val="00B57E1E"/>
    <w:rsid w:val="00B60103"/>
    <w:rsid w:val="00B60895"/>
    <w:rsid w:val="00B60F83"/>
    <w:rsid w:val="00B62090"/>
    <w:rsid w:val="00B62BE8"/>
    <w:rsid w:val="00B630CD"/>
    <w:rsid w:val="00B63832"/>
    <w:rsid w:val="00B6422E"/>
    <w:rsid w:val="00B650B9"/>
    <w:rsid w:val="00B65DD1"/>
    <w:rsid w:val="00B66A72"/>
    <w:rsid w:val="00B66CC9"/>
    <w:rsid w:val="00B67B02"/>
    <w:rsid w:val="00B67B13"/>
    <w:rsid w:val="00B67E91"/>
    <w:rsid w:val="00B67FC0"/>
    <w:rsid w:val="00B705B8"/>
    <w:rsid w:val="00B70C40"/>
    <w:rsid w:val="00B71061"/>
    <w:rsid w:val="00B71425"/>
    <w:rsid w:val="00B72275"/>
    <w:rsid w:val="00B7233D"/>
    <w:rsid w:val="00B73A6B"/>
    <w:rsid w:val="00B73CBD"/>
    <w:rsid w:val="00B742AB"/>
    <w:rsid w:val="00B743B5"/>
    <w:rsid w:val="00B749B1"/>
    <w:rsid w:val="00B74B19"/>
    <w:rsid w:val="00B76504"/>
    <w:rsid w:val="00B76AF0"/>
    <w:rsid w:val="00B772F6"/>
    <w:rsid w:val="00B77639"/>
    <w:rsid w:val="00B8040D"/>
    <w:rsid w:val="00B8080C"/>
    <w:rsid w:val="00B80971"/>
    <w:rsid w:val="00B80E42"/>
    <w:rsid w:val="00B812AF"/>
    <w:rsid w:val="00B8256C"/>
    <w:rsid w:val="00B833D1"/>
    <w:rsid w:val="00B8378D"/>
    <w:rsid w:val="00B8495D"/>
    <w:rsid w:val="00B85006"/>
    <w:rsid w:val="00B85657"/>
    <w:rsid w:val="00B85CB8"/>
    <w:rsid w:val="00B85D6F"/>
    <w:rsid w:val="00B8758D"/>
    <w:rsid w:val="00B8790D"/>
    <w:rsid w:val="00B90C14"/>
    <w:rsid w:val="00B90D6F"/>
    <w:rsid w:val="00B930F4"/>
    <w:rsid w:val="00B93BD5"/>
    <w:rsid w:val="00B942E7"/>
    <w:rsid w:val="00B94328"/>
    <w:rsid w:val="00B94A18"/>
    <w:rsid w:val="00B94DC2"/>
    <w:rsid w:val="00B95F82"/>
    <w:rsid w:val="00B964F3"/>
    <w:rsid w:val="00B96606"/>
    <w:rsid w:val="00B96ADC"/>
    <w:rsid w:val="00B96ED8"/>
    <w:rsid w:val="00B971D0"/>
    <w:rsid w:val="00B9788E"/>
    <w:rsid w:val="00B97B6F"/>
    <w:rsid w:val="00B97E07"/>
    <w:rsid w:val="00BA049E"/>
    <w:rsid w:val="00BA04B4"/>
    <w:rsid w:val="00BA0693"/>
    <w:rsid w:val="00BA0964"/>
    <w:rsid w:val="00BA0E44"/>
    <w:rsid w:val="00BA1385"/>
    <w:rsid w:val="00BA2CEB"/>
    <w:rsid w:val="00BA30A7"/>
    <w:rsid w:val="00BA3139"/>
    <w:rsid w:val="00BA4045"/>
    <w:rsid w:val="00BA4095"/>
    <w:rsid w:val="00BA5785"/>
    <w:rsid w:val="00BA5DF6"/>
    <w:rsid w:val="00BA5EC9"/>
    <w:rsid w:val="00BA6B67"/>
    <w:rsid w:val="00BA72E5"/>
    <w:rsid w:val="00BB0196"/>
    <w:rsid w:val="00BB0A25"/>
    <w:rsid w:val="00BB0C33"/>
    <w:rsid w:val="00BB179E"/>
    <w:rsid w:val="00BB198F"/>
    <w:rsid w:val="00BB214B"/>
    <w:rsid w:val="00BB26C4"/>
    <w:rsid w:val="00BB2C64"/>
    <w:rsid w:val="00BB3B4A"/>
    <w:rsid w:val="00BB4CBE"/>
    <w:rsid w:val="00BB5734"/>
    <w:rsid w:val="00BB59D6"/>
    <w:rsid w:val="00BB5B43"/>
    <w:rsid w:val="00BB5F10"/>
    <w:rsid w:val="00BB6287"/>
    <w:rsid w:val="00BB6CA4"/>
    <w:rsid w:val="00BB6CE5"/>
    <w:rsid w:val="00BB7C83"/>
    <w:rsid w:val="00BC24DA"/>
    <w:rsid w:val="00BC2960"/>
    <w:rsid w:val="00BC2D4C"/>
    <w:rsid w:val="00BC2EAC"/>
    <w:rsid w:val="00BC39A8"/>
    <w:rsid w:val="00BC3A1B"/>
    <w:rsid w:val="00BC3A4C"/>
    <w:rsid w:val="00BC3D95"/>
    <w:rsid w:val="00BC4AAA"/>
    <w:rsid w:val="00BC4EFF"/>
    <w:rsid w:val="00BC53AA"/>
    <w:rsid w:val="00BC5CDF"/>
    <w:rsid w:val="00BC603B"/>
    <w:rsid w:val="00BC6105"/>
    <w:rsid w:val="00BC6267"/>
    <w:rsid w:val="00BC62E1"/>
    <w:rsid w:val="00BC6361"/>
    <w:rsid w:val="00BC63F6"/>
    <w:rsid w:val="00BC6430"/>
    <w:rsid w:val="00BC6733"/>
    <w:rsid w:val="00BC6E40"/>
    <w:rsid w:val="00BC6E61"/>
    <w:rsid w:val="00BC7C42"/>
    <w:rsid w:val="00BD014B"/>
    <w:rsid w:val="00BD0477"/>
    <w:rsid w:val="00BD138C"/>
    <w:rsid w:val="00BD1397"/>
    <w:rsid w:val="00BD1C13"/>
    <w:rsid w:val="00BD2ED5"/>
    <w:rsid w:val="00BD3A3E"/>
    <w:rsid w:val="00BD3B86"/>
    <w:rsid w:val="00BD4470"/>
    <w:rsid w:val="00BD451B"/>
    <w:rsid w:val="00BD4A07"/>
    <w:rsid w:val="00BD4DFA"/>
    <w:rsid w:val="00BD5184"/>
    <w:rsid w:val="00BD6253"/>
    <w:rsid w:val="00BD6A3B"/>
    <w:rsid w:val="00BD78CB"/>
    <w:rsid w:val="00BE0068"/>
    <w:rsid w:val="00BE02AE"/>
    <w:rsid w:val="00BE0B1D"/>
    <w:rsid w:val="00BE0F19"/>
    <w:rsid w:val="00BE1070"/>
    <w:rsid w:val="00BE1415"/>
    <w:rsid w:val="00BE1BC6"/>
    <w:rsid w:val="00BE23E4"/>
    <w:rsid w:val="00BE2AFB"/>
    <w:rsid w:val="00BE3A89"/>
    <w:rsid w:val="00BE4808"/>
    <w:rsid w:val="00BE52DE"/>
    <w:rsid w:val="00BE5380"/>
    <w:rsid w:val="00BE545E"/>
    <w:rsid w:val="00BE67BD"/>
    <w:rsid w:val="00BE69BF"/>
    <w:rsid w:val="00BE7291"/>
    <w:rsid w:val="00BE7AC0"/>
    <w:rsid w:val="00BE7C71"/>
    <w:rsid w:val="00BF029D"/>
    <w:rsid w:val="00BF0DCD"/>
    <w:rsid w:val="00BF0ED0"/>
    <w:rsid w:val="00BF161D"/>
    <w:rsid w:val="00BF1749"/>
    <w:rsid w:val="00BF1800"/>
    <w:rsid w:val="00BF3619"/>
    <w:rsid w:val="00BF3A57"/>
    <w:rsid w:val="00BF3D55"/>
    <w:rsid w:val="00BF5438"/>
    <w:rsid w:val="00BF5AFB"/>
    <w:rsid w:val="00BF5BCD"/>
    <w:rsid w:val="00BF5CB1"/>
    <w:rsid w:val="00BF691F"/>
    <w:rsid w:val="00BF6C0E"/>
    <w:rsid w:val="00BF7808"/>
    <w:rsid w:val="00BF7C8F"/>
    <w:rsid w:val="00BF7DA0"/>
    <w:rsid w:val="00C0054E"/>
    <w:rsid w:val="00C0085E"/>
    <w:rsid w:val="00C00F2A"/>
    <w:rsid w:val="00C0193D"/>
    <w:rsid w:val="00C01D32"/>
    <w:rsid w:val="00C0255A"/>
    <w:rsid w:val="00C02D86"/>
    <w:rsid w:val="00C02E5B"/>
    <w:rsid w:val="00C0320F"/>
    <w:rsid w:val="00C034C1"/>
    <w:rsid w:val="00C035E4"/>
    <w:rsid w:val="00C0586B"/>
    <w:rsid w:val="00C06267"/>
    <w:rsid w:val="00C06975"/>
    <w:rsid w:val="00C06B01"/>
    <w:rsid w:val="00C070E0"/>
    <w:rsid w:val="00C07D51"/>
    <w:rsid w:val="00C10466"/>
    <w:rsid w:val="00C11249"/>
    <w:rsid w:val="00C1160C"/>
    <w:rsid w:val="00C12231"/>
    <w:rsid w:val="00C129E6"/>
    <w:rsid w:val="00C12CEE"/>
    <w:rsid w:val="00C13617"/>
    <w:rsid w:val="00C13758"/>
    <w:rsid w:val="00C14768"/>
    <w:rsid w:val="00C14A18"/>
    <w:rsid w:val="00C14FC1"/>
    <w:rsid w:val="00C1594A"/>
    <w:rsid w:val="00C16209"/>
    <w:rsid w:val="00C16FAA"/>
    <w:rsid w:val="00C17376"/>
    <w:rsid w:val="00C178C0"/>
    <w:rsid w:val="00C20032"/>
    <w:rsid w:val="00C21CD0"/>
    <w:rsid w:val="00C21DAD"/>
    <w:rsid w:val="00C22650"/>
    <w:rsid w:val="00C228DA"/>
    <w:rsid w:val="00C22E6E"/>
    <w:rsid w:val="00C23275"/>
    <w:rsid w:val="00C23451"/>
    <w:rsid w:val="00C23551"/>
    <w:rsid w:val="00C23E5D"/>
    <w:rsid w:val="00C249F7"/>
    <w:rsid w:val="00C24C1D"/>
    <w:rsid w:val="00C251A6"/>
    <w:rsid w:val="00C25EF7"/>
    <w:rsid w:val="00C26092"/>
    <w:rsid w:val="00C26966"/>
    <w:rsid w:val="00C27490"/>
    <w:rsid w:val="00C27E56"/>
    <w:rsid w:val="00C30AB3"/>
    <w:rsid w:val="00C317D8"/>
    <w:rsid w:val="00C33F09"/>
    <w:rsid w:val="00C34293"/>
    <w:rsid w:val="00C34C81"/>
    <w:rsid w:val="00C35629"/>
    <w:rsid w:val="00C35CD5"/>
    <w:rsid w:val="00C35D02"/>
    <w:rsid w:val="00C35DBA"/>
    <w:rsid w:val="00C3635F"/>
    <w:rsid w:val="00C378AE"/>
    <w:rsid w:val="00C37CBB"/>
    <w:rsid w:val="00C40F17"/>
    <w:rsid w:val="00C41F03"/>
    <w:rsid w:val="00C420C6"/>
    <w:rsid w:val="00C42AC6"/>
    <w:rsid w:val="00C435A4"/>
    <w:rsid w:val="00C45318"/>
    <w:rsid w:val="00C4540A"/>
    <w:rsid w:val="00C45A54"/>
    <w:rsid w:val="00C45C0F"/>
    <w:rsid w:val="00C4654F"/>
    <w:rsid w:val="00C46E9C"/>
    <w:rsid w:val="00C47210"/>
    <w:rsid w:val="00C47351"/>
    <w:rsid w:val="00C50822"/>
    <w:rsid w:val="00C511C7"/>
    <w:rsid w:val="00C514D5"/>
    <w:rsid w:val="00C51C93"/>
    <w:rsid w:val="00C52BBC"/>
    <w:rsid w:val="00C533E3"/>
    <w:rsid w:val="00C53C47"/>
    <w:rsid w:val="00C53EC0"/>
    <w:rsid w:val="00C545D7"/>
    <w:rsid w:val="00C5503F"/>
    <w:rsid w:val="00C55D42"/>
    <w:rsid w:val="00C5645D"/>
    <w:rsid w:val="00C565E8"/>
    <w:rsid w:val="00C5768F"/>
    <w:rsid w:val="00C57D7E"/>
    <w:rsid w:val="00C57E19"/>
    <w:rsid w:val="00C600C2"/>
    <w:rsid w:val="00C604E3"/>
    <w:rsid w:val="00C619F1"/>
    <w:rsid w:val="00C621CD"/>
    <w:rsid w:val="00C632F4"/>
    <w:rsid w:val="00C63B32"/>
    <w:rsid w:val="00C643FC"/>
    <w:rsid w:val="00C64436"/>
    <w:rsid w:val="00C6512C"/>
    <w:rsid w:val="00C655B2"/>
    <w:rsid w:val="00C657DD"/>
    <w:rsid w:val="00C66582"/>
    <w:rsid w:val="00C669D6"/>
    <w:rsid w:val="00C67704"/>
    <w:rsid w:val="00C701B8"/>
    <w:rsid w:val="00C70296"/>
    <w:rsid w:val="00C70D8D"/>
    <w:rsid w:val="00C723EB"/>
    <w:rsid w:val="00C7254D"/>
    <w:rsid w:val="00C726C0"/>
    <w:rsid w:val="00C738B5"/>
    <w:rsid w:val="00C76609"/>
    <w:rsid w:val="00C7669D"/>
    <w:rsid w:val="00C76838"/>
    <w:rsid w:val="00C768AA"/>
    <w:rsid w:val="00C76A94"/>
    <w:rsid w:val="00C76BDA"/>
    <w:rsid w:val="00C76BF1"/>
    <w:rsid w:val="00C76EF8"/>
    <w:rsid w:val="00C7743D"/>
    <w:rsid w:val="00C77DF9"/>
    <w:rsid w:val="00C77E07"/>
    <w:rsid w:val="00C77EF4"/>
    <w:rsid w:val="00C80042"/>
    <w:rsid w:val="00C81535"/>
    <w:rsid w:val="00C8165E"/>
    <w:rsid w:val="00C821B6"/>
    <w:rsid w:val="00C82BDD"/>
    <w:rsid w:val="00C84545"/>
    <w:rsid w:val="00C84D36"/>
    <w:rsid w:val="00C85063"/>
    <w:rsid w:val="00C86C3D"/>
    <w:rsid w:val="00C87133"/>
    <w:rsid w:val="00C8758D"/>
    <w:rsid w:val="00C87C16"/>
    <w:rsid w:val="00C87F25"/>
    <w:rsid w:val="00C916CF"/>
    <w:rsid w:val="00C92228"/>
    <w:rsid w:val="00C92448"/>
    <w:rsid w:val="00C92EF1"/>
    <w:rsid w:val="00C93533"/>
    <w:rsid w:val="00C948E8"/>
    <w:rsid w:val="00C94FB0"/>
    <w:rsid w:val="00C963DE"/>
    <w:rsid w:val="00C96867"/>
    <w:rsid w:val="00C96B43"/>
    <w:rsid w:val="00C96D24"/>
    <w:rsid w:val="00C97446"/>
    <w:rsid w:val="00CA065C"/>
    <w:rsid w:val="00CA07DA"/>
    <w:rsid w:val="00CA11FE"/>
    <w:rsid w:val="00CA2087"/>
    <w:rsid w:val="00CA25CD"/>
    <w:rsid w:val="00CA25ED"/>
    <w:rsid w:val="00CA265C"/>
    <w:rsid w:val="00CA2787"/>
    <w:rsid w:val="00CA2E69"/>
    <w:rsid w:val="00CA36C7"/>
    <w:rsid w:val="00CA3C9A"/>
    <w:rsid w:val="00CA44AE"/>
    <w:rsid w:val="00CA49F7"/>
    <w:rsid w:val="00CA4C87"/>
    <w:rsid w:val="00CA5787"/>
    <w:rsid w:val="00CA5AA5"/>
    <w:rsid w:val="00CA5B01"/>
    <w:rsid w:val="00CA5E2F"/>
    <w:rsid w:val="00CA62D5"/>
    <w:rsid w:val="00CA7A49"/>
    <w:rsid w:val="00CB0CCE"/>
    <w:rsid w:val="00CB1087"/>
    <w:rsid w:val="00CB13C7"/>
    <w:rsid w:val="00CB189E"/>
    <w:rsid w:val="00CB216C"/>
    <w:rsid w:val="00CB2515"/>
    <w:rsid w:val="00CB2FBA"/>
    <w:rsid w:val="00CB34D4"/>
    <w:rsid w:val="00CB3BED"/>
    <w:rsid w:val="00CB3CE2"/>
    <w:rsid w:val="00CB3DD2"/>
    <w:rsid w:val="00CB3E38"/>
    <w:rsid w:val="00CB4BA5"/>
    <w:rsid w:val="00CB53FD"/>
    <w:rsid w:val="00CB55D8"/>
    <w:rsid w:val="00CB6DDF"/>
    <w:rsid w:val="00CC0842"/>
    <w:rsid w:val="00CC0E74"/>
    <w:rsid w:val="00CC1239"/>
    <w:rsid w:val="00CC1A9F"/>
    <w:rsid w:val="00CC1E7E"/>
    <w:rsid w:val="00CC35A4"/>
    <w:rsid w:val="00CC3AD1"/>
    <w:rsid w:val="00CC3BCA"/>
    <w:rsid w:val="00CC3E5D"/>
    <w:rsid w:val="00CC4521"/>
    <w:rsid w:val="00CC5325"/>
    <w:rsid w:val="00CC7B8B"/>
    <w:rsid w:val="00CC7DA6"/>
    <w:rsid w:val="00CD0850"/>
    <w:rsid w:val="00CD0976"/>
    <w:rsid w:val="00CD1739"/>
    <w:rsid w:val="00CD2751"/>
    <w:rsid w:val="00CD2C1E"/>
    <w:rsid w:val="00CD2C2B"/>
    <w:rsid w:val="00CD3518"/>
    <w:rsid w:val="00CD4126"/>
    <w:rsid w:val="00CD5A46"/>
    <w:rsid w:val="00CD65FC"/>
    <w:rsid w:val="00CD78FE"/>
    <w:rsid w:val="00CD7980"/>
    <w:rsid w:val="00CE0129"/>
    <w:rsid w:val="00CE0330"/>
    <w:rsid w:val="00CE0A38"/>
    <w:rsid w:val="00CE0B84"/>
    <w:rsid w:val="00CE1339"/>
    <w:rsid w:val="00CE2AC8"/>
    <w:rsid w:val="00CE2BE7"/>
    <w:rsid w:val="00CE46DB"/>
    <w:rsid w:val="00CE4E11"/>
    <w:rsid w:val="00CE5013"/>
    <w:rsid w:val="00CE5851"/>
    <w:rsid w:val="00CE6026"/>
    <w:rsid w:val="00CE64E6"/>
    <w:rsid w:val="00CE6D85"/>
    <w:rsid w:val="00CE78FC"/>
    <w:rsid w:val="00CE7ADF"/>
    <w:rsid w:val="00CF10AE"/>
    <w:rsid w:val="00CF1B36"/>
    <w:rsid w:val="00CF2C0B"/>
    <w:rsid w:val="00CF3358"/>
    <w:rsid w:val="00CF3BB5"/>
    <w:rsid w:val="00CF5DEA"/>
    <w:rsid w:val="00CF734E"/>
    <w:rsid w:val="00CF7802"/>
    <w:rsid w:val="00CF7847"/>
    <w:rsid w:val="00CF7931"/>
    <w:rsid w:val="00D01F97"/>
    <w:rsid w:val="00D025F1"/>
    <w:rsid w:val="00D038B3"/>
    <w:rsid w:val="00D03AC1"/>
    <w:rsid w:val="00D04434"/>
    <w:rsid w:val="00D04887"/>
    <w:rsid w:val="00D0495B"/>
    <w:rsid w:val="00D04A66"/>
    <w:rsid w:val="00D04CD8"/>
    <w:rsid w:val="00D04D3F"/>
    <w:rsid w:val="00D051D0"/>
    <w:rsid w:val="00D061C6"/>
    <w:rsid w:val="00D066A0"/>
    <w:rsid w:val="00D068B3"/>
    <w:rsid w:val="00D07885"/>
    <w:rsid w:val="00D07C27"/>
    <w:rsid w:val="00D104EF"/>
    <w:rsid w:val="00D11343"/>
    <w:rsid w:val="00D1135F"/>
    <w:rsid w:val="00D1268F"/>
    <w:rsid w:val="00D12D24"/>
    <w:rsid w:val="00D133F2"/>
    <w:rsid w:val="00D13614"/>
    <w:rsid w:val="00D13E41"/>
    <w:rsid w:val="00D140A1"/>
    <w:rsid w:val="00D14B7E"/>
    <w:rsid w:val="00D168B8"/>
    <w:rsid w:val="00D169A1"/>
    <w:rsid w:val="00D16E78"/>
    <w:rsid w:val="00D20872"/>
    <w:rsid w:val="00D21EF4"/>
    <w:rsid w:val="00D22269"/>
    <w:rsid w:val="00D2335B"/>
    <w:rsid w:val="00D24E1E"/>
    <w:rsid w:val="00D25266"/>
    <w:rsid w:val="00D25496"/>
    <w:rsid w:val="00D2577B"/>
    <w:rsid w:val="00D25B4E"/>
    <w:rsid w:val="00D26B24"/>
    <w:rsid w:val="00D27E6C"/>
    <w:rsid w:val="00D32C8B"/>
    <w:rsid w:val="00D33224"/>
    <w:rsid w:val="00D34D63"/>
    <w:rsid w:val="00D34DD4"/>
    <w:rsid w:val="00D34EA2"/>
    <w:rsid w:val="00D35124"/>
    <w:rsid w:val="00D3561B"/>
    <w:rsid w:val="00D36053"/>
    <w:rsid w:val="00D366A5"/>
    <w:rsid w:val="00D366CC"/>
    <w:rsid w:val="00D400B5"/>
    <w:rsid w:val="00D40BE0"/>
    <w:rsid w:val="00D413A5"/>
    <w:rsid w:val="00D41438"/>
    <w:rsid w:val="00D4297D"/>
    <w:rsid w:val="00D42C28"/>
    <w:rsid w:val="00D42EE4"/>
    <w:rsid w:val="00D44108"/>
    <w:rsid w:val="00D44AA9"/>
    <w:rsid w:val="00D4505B"/>
    <w:rsid w:val="00D45FFB"/>
    <w:rsid w:val="00D4660D"/>
    <w:rsid w:val="00D46975"/>
    <w:rsid w:val="00D46A60"/>
    <w:rsid w:val="00D46DA3"/>
    <w:rsid w:val="00D477FA"/>
    <w:rsid w:val="00D502E7"/>
    <w:rsid w:val="00D5030E"/>
    <w:rsid w:val="00D503FE"/>
    <w:rsid w:val="00D50D98"/>
    <w:rsid w:val="00D51436"/>
    <w:rsid w:val="00D519BB"/>
    <w:rsid w:val="00D51AFA"/>
    <w:rsid w:val="00D533BB"/>
    <w:rsid w:val="00D534D1"/>
    <w:rsid w:val="00D537F7"/>
    <w:rsid w:val="00D53F82"/>
    <w:rsid w:val="00D5482D"/>
    <w:rsid w:val="00D548D0"/>
    <w:rsid w:val="00D54AF8"/>
    <w:rsid w:val="00D5511E"/>
    <w:rsid w:val="00D555A9"/>
    <w:rsid w:val="00D557CB"/>
    <w:rsid w:val="00D55F93"/>
    <w:rsid w:val="00D56088"/>
    <w:rsid w:val="00D5650E"/>
    <w:rsid w:val="00D573BC"/>
    <w:rsid w:val="00D60803"/>
    <w:rsid w:val="00D60C3D"/>
    <w:rsid w:val="00D60FD6"/>
    <w:rsid w:val="00D61C36"/>
    <w:rsid w:val="00D6227C"/>
    <w:rsid w:val="00D629BB"/>
    <w:rsid w:val="00D631DF"/>
    <w:rsid w:val="00D63212"/>
    <w:rsid w:val="00D634E6"/>
    <w:rsid w:val="00D63821"/>
    <w:rsid w:val="00D63B22"/>
    <w:rsid w:val="00D6476F"/>
    <w:rsid w:val="00D64AC4"/>
    <w:rsid w:val="00D64DFB"/>
    <w:rsid w:val="00D65793"/>
    <w:rsid w:val="00D66FA1"/>
    <w:rsid w:val="00D67F64"/>
    <w:rsid w:val="00D7117A"/>
    <w:rsid w:val="00D71E98"/>
    <w:rsid w:val="00D71EE5"/>
    <w:rsid w:val="00D724E9"/>
    <w:rsid w:val="00D725D3"/>
    <w:rsid w:val="00D732DC"/>
    <w:rsid w:val="00D73765"/>
    <w:rsid w:val="00D73A0E"/>
    <w:rsid w:val="00D73E7E"/>
    <w:rsid w:val="00D74247"/>
    <w:rsid w:val="00D747A5"/>
    <w:rsid w:val="00D74857"/>
    <w:rsid w:val="00D74DE7"/>
    <w:rsid w:val="00D75152"/>
    <w:rsid w:val="00D75D37"/>
    <w:rsid w:val="00D75EF0"/>
    <w:rsid w:val="00D760CD"/>
    <w:rsid w:val="00D763C1"/>
    <w:rsid w:val="00D76D4B"/>
    <w:rsid w:val="00D76DFB"/>
    <w:rsid w:val="00D77985"/>
    <w:rsid w:val="00D807FC"/>
    <w:rsid w:val="00D80A24"/>
    <w:rsid w:val="00D80AFE"/>
    <w:rsid w:val="00D81924"/>
    <w:rsid w:val="00D8209E"/>
    <w:rsid w:val="00D82475"/>
    <w:rsid w:val="00D83941"/>
    <w:rsid w:val="00D83E89"/>
    <w:rsid w:val="00D84606"/>
    <w:rsid w:val="00D84619"/>
    <w:rsid w:val="00D846EE"/>
    <w:rsid w:val="00D8477A"/>
    <w:rsid w:val="00D8481B"/>
    <w:rsid w:val="00D84B80"/>
    <w:rsid w:val="00D8595E"/>
    <w:rsid w:val="00D85C15"/>
    <w:rsid w:val="00D86009"/>
    <w:rsid w:val="00D86A68"/>
    <w:rsid w:val="00D87225"/>
    <w:rsid w:val="00D876A3"/>
    <w:rsid w:val="00D87C31"/>
    <w:rsid w:val="00D90E1B"/>
    <w:rsid w:val="00D92493"/>
    <w:rsid w:val="00D938DF"/>
    <w:rsid w:val="00D93BC4"/>
    <w:rsid w:val="00D93E7A"/>
    <w:rsid w:val="00D946F3"/>
    <w:rsid w:val="00D94BF6"/>
    <w:rsid w:val="00D9503C"/>
    <w:rsid w:val="00D95057"/>
    <w:rsid w:val="00D951A2"/>
    <w:rsid w:val="00D95397"/>
    <w:rsid w:val="00D9631E"/>
    <w:rsid w:val="00D96C08"/>
    <w:rsid w:val="00D96FA5"/>
    <w:rsid w:val="00D97546"/>
    <w:rsid w:val="00DA0363"/>
    <w:rsid w:val="00DA0D04"/>
    <w:rsid w:val="00DA0FC7"/>
    <w:rsid w:val="00DA1D5C"/>
    <w:rsid w:val="00DA28C4"/>
    <w:rsid w:val="00DA29D5"/>
    <w:rsid w:val="00DA303F"/>
    <w:rsid w:val="00DA3114"/>
    <w:rsid w:val="00DA3430"/>
    <w:rsid w:val="00DA4E10"/>
    <w:rsid w:val="00DA59B3"/>
    <w:rsid w:val="00DA5EE7"/>
    <w:rsid w:val="00DA5EEB"/>
    <w:rsid w:val="00DA64A9"/>
    <w:rsid w:val="00DA6BB7"/>
    <w:rsid w:val="00DB0249"/>
    <w:rsid w:val="00DB02D0"/>
    <w:rsid w:val="00DB053F"/>
    <w:rsid w:val="00DB0DEA"/>
    <w:rsid w:val="00DB206D"/>
    <w:rsid w:val="00DB30D8"/>
    <w:rsid w:val="00DB3F62"/>
    <w:rsid w:val="00DB4AF1"/>
    <w:rsid w:val="00DB4B8B"/>
    <w:rsid w:val="00DB5348"/>
    <w:rsid w:val="00DB53B2"/>
    <w:rsid w:val="00DB577E"/>
    <w:rsid w:val="00DB5EC5"/>
    <w:rsid w:val="00DB5F9D"/>
    <w:rsid w:val="00DB67FA"/>
    <w:rsid w:val="00DB7106"/>
    <w:rsid w:val="00DB7527"/>
    <w:rsid w:val="00DB7B85"/>
    <w:rsid w:val="00DB7E52"/>
    <w:rsid w:val="00DC032D"/>
    <w:rsid w:val="00DC0538"/>
    <w:rsid w:val="00DC0AF5"/>
    <w:rsid w:val="00DC0B5B"/>
    <w:rsid w:val="00DC0F61"/>
    <w:rsid w:val="00DC15F9"/>
    <w:rsid w:val="00DC21D7"/>
    <w:rsid w:val="00DC3547"/>
    <w:rsid w:val="00DC3D6C"/>
    <w:rsid w:val="00DC4189"/>
    <w:rsid w:val="00DC4B03"/>
    <w:rsid w:val="00DC5908"/>
    <w:rsid w:val="00DC603B"/>
    <w:rsid w:val="00DC6358"/>
    <w:rsid w:val="00DC6486"/>
    <w:rsid w:val="00DC66AB"/>
    <w:rsid w:val="00DD008A"/>
    <w:rsid w:val="00DD0855"/>
    <w:rsid w:val="00DD0FD4"/>
    <w:rsid w:val="00DD14E4"/>
    <w:rsid w:val="00DD17AB"/>
    <w:rsid w:val="00DD17C7"/>
    <w:rsid w:val="00DD1EEA"/>
    <w:rsid w:val="00DD232A"/>
    <w:rsid w:val="00DD345D"/>
    <w:rsid w:val="00DD37E3"/>
    <w:rsid w:val="00DD44B4"/>
    <w:rsid w:val="00DD541B"/>
    <w:rsid w:val="00DD59FE"/>
    <w:rsid w:val="00DD7607"/>
    <w:rsid w:val="00DD7643"/>
    <w:rsid w:val="00DE00B5"/>
    <w:rsid w:val="00DE05CC"/>
    <w:rsid w:val="00DE1731"/>
    <w:rsid w:val="00DE211E"/>
    <w:rsid w:val="00DE218A"/>
    <w:rsid w:val="00DE2D4A"/>
    <w:rsid w:val="00DE3904"/>
    <w:rsid w:val="00DE5CBE"/>
    <w:rsid w:val="00DE6AB7"/>
    <w:rsid w:val="00DE6C3B"/>
    <w:rsid w:val="00DE7104"/>
    <w:rsid w:val="00DE767B"/>
    <w:rsid w:val="00DE7B37"/>
    <w:rsid w:val="00DE7D8E"/>
    <w:rsid w:val="00DF0A4A"/>
    <w:rsid w:val="00DF0D92"/>
    <w:rsid w:val="00DF1716"/>
    <w:rsid w:val="00DF1A11"/>
    <w:rsid w:val="00DF1E44"/>
    <w:rsid w:val="00DF42C2"/>
    <w:rsid w:val="00DF46C9"/>
    <w:rsid w:val="00DF5E3C"/>
    <w:rsid w:val="00DF6BF8"/>
    <w:rsid w:val="00DF74F5"/>
    <w:rsid w:val="00E00332"/>
    <w:rsid w:val="00E00A72"/>
    <w:rsid w:val="00E01C86"/>
    <w:rsid w:val="00E024D5"/>
    <w:rsid w:val="00E02D63"/>
    <w:rsid w:val="00E02F97"/>
    <w:rsid w:val="00E03AF0"/>
    <w:rsid w:val="00E043CF"/>
    <w:rsid w:val="00E04710"/>
    <w:rsid w:val="00E06024"/>
    <w:rsid w:val="00E069E9"/>
    <w:rsid w:val="00E07415"/>
    <w:rsid w:val="00E075FE"/>
    <w:rsid w:val="00E076C0"/>
    <w:rsid w:val="00E07A73"/>
    <w:rsid w:val="00E07B52"/>
    <w:rsid w:val="00E11EFD"/>
    <w:rsid w:val="00E1254E"/>
    <w:rsid w:val="00E125FD"/>
    <w:rsid w:val="00E13007"/>
    <w:rsid w:val="00E13559"/>
    <w:rsid w:val="00E13D95"/>
    <w:rsid w:val="00E1499D"/>
    <w:rsid w:val="00E15809"/>
    <w:rsid w:val="00E1585B"/>
    <w:rsid w:val="00E16389"/>
    <w:rsid w:val="00E16DAC"/>
    <w:rsid w:val="00E17333"/>
    <w:rsid w:val="00E173FE"/>
    <w:rsid w:val="00E17D74"/>
    <w:rsid w:val="00E17EDA"/>
    <w:rsid w:val="00E20210"/>
    <w:rsid w:val="00E20B16"/>
    <w:rsid w:val="00E219A0"/>
    <w:rsid w:val="00E227AA"/>
    <w:rsid w:val="00E23281"/>
    <w:rsid w:val="00E2344B"/>
    <w:rsid w:val="00E23B5D"/>
    <w:rsid w:val="00E24618"/>
    <w:rsid w:val="00E24704"/>
    <w:rsid w:val="00E24B29"/>
    <w:rsid w:val="00E25616"/>
    <w:rsid w:val="00E261EE"/>
    <w:rsid w:val="00E262B0"/>
    <w:rsid w:val="00E2646A"/>
    <w:rsid w:val="00E26C4F"/>
    <w:rsid w:val="00E30310"/>
    <w:rsid w:val="00E30746"/>
    <w:rsid w:val="00E30894"/>
    <w:rsid w:val="00E321D5"/>
    <w:rsid w:val="00E321DF"/>
    <w:rsid w:val="00E328E4"/>
    <w:rsid w:val="00E32E4C"/>
    <w:rsid w:val="00E33145"/>
    <w:rsid w:val="00E3386D"/>
    <w:rsid w:val="00E341F9"/>
    <w:rsid w:val="00E3421F"/>
    <w:rsid w:val="00E34385"/>
    <w:rsid w:val="00E34D04"/>
    <w:rsid w:val="00E34F6E"/>
    <w:rsid w:val="00E3594A"/>
    <w:rsid w:val="00E35A4F"/>
    <w:rsid w:val="00E35A73"/>
    <w:rsid w:val="00E36957"/>
    <w:rsid w:val="00E36E9A"/>
    <w:rsid w:val="00E37E75"/>
    <w:rsid w:val="00E4080C"/>
    <w:rsid w:val="00E414AA"/>
    <w:rsid w:val="00E414E1"/>
    <w:rsid w:val="00E41F23"/>
    <w:rsid w:val="00E4208A"/>
    <w:rsid w:val="00E420C5"/>
    <w:rsid w:val="00E42F05"/>
    <w:rsid w:val="00E43982"/>
    <w:rsid w:val="00E43A9C"/>
    <w:rsid w:val="00E43D67"/>
    <w:rsid w:val="00E45DC0"/>
    <w:rsid w:val="00E46272"/>
    <w:rsid w:val="00E46A05"/>
    <w:rsid w:val="00E46C3F"/>
    <w:rsid w:val="00E46C42"/>
    <w:rsid w:val="00E46C46"/>
    <w:rsid w:val="00E472FD"/>
    <w:rsid w:val="00E502F3"/>
    <w:rsid w:val="00E513B1"/>
    <w:rsid w:val="00E523A2"/>
    <w:rsid w:val="00E53A4F"/>
    <w:rsid w:val="00E5553A"/>
    <w:rsid w:val="00E55C39"/>
    <w:rsid w:val="00E56059"/>
    <w:rsid w:val="00E5627D"/>
    <w:rsid w:val="00E56361"/>
    <w:rsid w:val="00E56DD8"/>
    <w:rsid w:val="00E56FEE"/>
    <w:rsid w:val="00E57DB6"/>
    <w:rsid w:val="00E60149"/>
    <w:rsid w:val="00E6035B"/>
    <w:rsid w:val="00E60D3C"/>
    <w:rsid w:val="00E6117C"/>
    <w:rsid w:val="00E623FF"/>
    <w:rsid w:val="00E62C0C"/>
    <w:rsid w:val="00E63AB4"/>
    <w:rsid w:val="00E63DE9"/>
    <w:rsid w:val="00E6416C"/>
    <w:rsid w:val="00E64242"/>
    <w:rsid w:val="00E65B1A"/>
    <w:rsid w:val="00E65C5E"/>
    <w:rsid w:val="00E67FE4"/>
    <w:rsid w:val="00E702CE"/>
    <w:rsid w:val="00E70F77"/>
    <w:rsid w:val="00E723C7"/>
    <w:rsid w:val="00E7269E"/>
    <w:rsid w:val="00E72BAA"/>
    <w:rsid w:val="00E72DD3"/>
    <w:rsid w:val="00E73C26"/>
    <w:rsid w:val="00E75A6E"/>
    <w:rsid w:val="00E760F5"/>
    <w:rsid w:val="00E7656C"/>
    <w:rsid w:val="00E76D27"/>
    <w:rsid w:val="00E7768F"/>
    <w:rsid w:val="00E804A3"/>
    <w:rsid w:val="00E81157"/>
    <w:rsid w:val="00E812B8"/>
    <w:rsid w:val="00E813D8"/>
    <w:rsid w:val="00E81887"/>
    <w:rsid w:val="00E819CB"/>
    <w:rsid w:val="00E8224A"/>
    <w:rsid w:val="00E82A0A"/>
    <w:rsid w:val="00E82A2C"/>
    <w:rsid w:val="00E82BAE"/>
    <w:rsid w:val="00E830E2"/>
    <w:rsid w:val="00E8390B"/>
    <w:rsid w:val="00E83FC5"/>
    <w:rsid w:val="00E84351"/>
    <w:rsid w:val="00E84704"/>
    <w:rsid w:val="00E84BDB"/>
    <w:rsid w:val="00E85182"/>
    <w:rsid w:val="00E853BE"/>
    <w:rsid w:val="00E85DEE"/>
    <w:rsid w:val="00E86273"/>
    <w:rsid w:val="00E867CC"/>
    <w:rsid w:val="00E86929"/>
    <w:rsid w:val="00E90101"/>
    <w:rsid w:val="00E90440"/>
    <w:rsid w:val="00E90522"/>
    <w:rsid w:val="00E90EEE"/>
    <w:rsid w:val="00E918A0"/>
    <w:rsid w:val="00E92165"/>
    <w:rsid w:val="00E92841"/>
    <w:rsid w:val="00E92D2E"/>
    <w:rsid w:val="00E93236"/>
    <w:rsid w:val="00E944A3"/>
    <w:rsid w:val="00E94875"/>
    <w:rsid w:val="00E94E9C"/>
    <w:rsid w:val="00E950D3"/>
    <w:rsid w:val="00E95830"/>
    <w:rsid w:val="00E95CF0"/>
    <w:rsid w:val="00E96006"/>
    <w:rsid w:val="00E96256"/>
    <w:rsid w:val="00E97486"/>
    <w:rsid w:val="00E9764C"/>
    <w:rsid w:val="00E97C8B"/>
    <w:rsid w:val="00E97FDA"/>
    <w:rsid w:val="00EA0B6C"/>
    <w:rsid w:val="00EA136C"/>
    <w:rsid w:val="00EA1657"/>
    <w:rsid w:val="00EA2442"/>
    <w:rsid w:val="00EA3213"/>
    <w:rsid w:val="00EA43F3"/>
    <w:rsid w:val="00EA494D"/>
    <w:rsid w:val="00EA4E93"/>
    <w:rsid w:val="00EA50C5"/>
    <w:rsid w:val="00EA52B0"/>
    <w:rsid w:val="00EA5531"/>
    <w:rsid w:val="00EA585F"/>
    <w:rsid w:val="00EA6890"/>
    <w:rsid w:val="00EA7852"/>
    <w:rsid w:val="00EA7A8B"/>
    <w:rsid w:val="00EB07E2"/>
    <w:rsid w:val="00EB0D12"/>
    <w:rsid w:val="00EB11B3"/>
    <w:rsid w:val="00EB12ED"/>
    <w:rsid w:val="00EB1D85"/>
    <w:rsid w:val="00EB1EB7"/>
    <w:rsid w:val="00EB2833"/>
    <w:rsid w:val="00EB2CD2"/>
    <w:rsid w:val="00EB2EBE"/>
    <w:rsid w:val="00EB3BF9"/>
    <w:rsid w:val="00EB3CB8"/>
    <w:rsid w:val="00EB4200"/>
    <w:rsid w:val="00EB4D5E"/>
    <w:rsid w:val="00EB4D9F"/>
    <w:rsid w:val="00EB5B02"/>
    <w:rsid w:val="00EB5DE8"/>
    <w:rsid w:val="00EB6AB3"/>
    <w:rsid w:val="00EB7660"/>
    <w:rsid w:val="00EC02BE"/>
    <w:rsid w:val="00EC18D2"/>
    <w:rsid w:val="00EC1979"/>
    <w:rsid w:val="00EC1C47"/>
    <w:rsid w:val="00EC20C3"/>
    <w:rsid w:val="00EC2194"/>
    <w:rsid w:val="00EC281D"/>
    <w:rsid w:val="00EC2B22"/>
    <w:rsid w:val="00EC2EE2"/>
    <w:rsid w:val="00EC30AE"/>
    <w:rsid w:val="00EC41E4"/>
    <w:rsid w:val="00EC4586"/>
    <w:rsid w:val="00EC498C"/>
    <w:rsid w:val="00EC49CE"/>
    <w:rsid w:val="00EC5066"/>
    <w:rsid w:val="00EC5F31"/>
    <w:rsid w:val="00EC62B4"/>
    <w:rsid w:val="00EC63B3"/>
    <w:rsid w:val="00EC65E8"/>
    <w:rsid w:val="00EC6963"/>
    <w:rsid w:val="00ED0044"/>
    <w:rsid w:val="00ED09FC"/>
    <w:rsid w:val="00ED11A4"/>
    <w:rsid w:val="00ED1BAE"/>
    <w:rsid w:val="00ED28D1"/>
    <w:rsid w:val="00ED3AF2"/>
    <w:rsid w:val="00ED3CCB"/>
    <w:rsid w:val="00ED4D58"/>
    <w:rsid w:val="00ED59C1"/>
    <w:rsid w:val="00ED5E45"/>
    <w:rsid w:val="00ED63A7"/>
    <w:rsid w:val="00ED65E0"/>
    <w:rsid w:val="00ED681E"/>
    <w:rsid w:val="00ED7638"/>
    <w:rsid w:val="00ED76E1"/>
    <w:rsid w:val="00ED7C49"/>
    <w:rsid w:val="00ED7CC7"/>
    <w:rsid w:val="00ED7F53"/>
    <w:rsid w:val="00EE0DF1"/>
    <w:rsid w:val="00EE1CFA"/>
    <w:rsid w:val="00EE207D"/>
    <w:rsid w:val="00EE26CA"/>
    <w:rsid w:val="00EE294A"/>
    <w:rsid w:val="00EE2DE0"/>
    <w:rsid w:val="00EE3C97"/>
    <w:rsid w:val="00EE486A"/>
    <w:rsid w:val="00EE4BA5"/>
    <w:rsid w:val="00EE4DBB"/>
    <w:rsid w:val="00EE5086"/>
    <w:rsid w:val="00EE599A"/>
    <w:rsid w:val="00EE656F"/>
    <w:rsid w:val="00EE6855"/>
    <w:rsid w:val="00EE6FEF"/>
    <w:rsid w:val="00EE7647"/>
    <w:rsid w:val="00EE7C28"/>
    <w:rsid w:val="00EF03FD"/>
    <w:rsid w:val="00EF04FE"/>
    <w:rsid w:val="00EF0D7B"/>
    <w:rsid w:val="00EF151D"/>
    <w:rsid w:val="00EF1709"/>
    <w:rsid w:val="00EF1A23"/>
    <w:rsid w:val="00EF2518"/>
    <w:rsid w:val="00EF2DD0"/>
    <w:rsid w:val="00EF3193"/>
    <w:rsid w:val="00EF3494"/>
    <w:rsid w:val="00EF359E"/>
    <w:rsid w:val="00EF42BB"/>
    <w:rsid w:val="00EF4303"/>
    <w:rsid w:val="00EF43CE"/>
    <w:rsid w:val="00EF4566"/>
    <w:rsid w:val="00EF4707"/>
    <w:rsid w:val="00EF4A3B"/>
    <w:rsid w:val="00EF4DB2"/>
    <w:rsid w:val="00EF59E3"/>
    <w:rsid w:val="00EF5BF4"/>
    <w:rsid w:val="00EF62C2"/>
    <w:rsid w:val="00EF62F4"/>
    <w:rsid w:val="00EF63C5"/>
    <w:rsid w:val="00EF676B"/>
    <w:rsid w:val="00EF73EA"/>
    <w:rsid w:val="00EF7CD8"/>
    <w:rsid w:val="00EF7D31"/>
    <w:rsid w:val="00F00018"/>
    <w:rsid w:val="00F0143C"/>
    <w:rsid w:val="00F01EC1"/>
    <w:rsid w:val="00F026A3"/>
    <w:rsid w:val="00F02C45"/>
    <w:rsid w:val="00F0332D"/>
    <w:rsid w:val="00F03438"/>
    <w:rsid w:val="00F03B89"/>
    <w:rsid w:val="00F043D1"/>
    <w:rsid w:val="00F059D5"/>
    <w:rsid w:val="00F05AC9"/>
    <w:rsid w:val="00F05C41"/>
    <w:rsid w:val="00F05ED7"/>
    <w:rsid w:val="00F0623F"/>
    <w:rsid w:val="00F06A1E"/>
    <w:rsid w:val="00F079A4"/>
    <w:rsid w:val="00F07ED7"/>
    <w:rsid w:val="00F10140"/>
    <w:rsid w:val="00F10F9A"/>
    <w:rsid w:val="00F112E2"/>
    <w:rsid w:val="00F11422"/>
    <w:rsid w:val="00F11CB5"/>
    <w:rsid w:val="00F11FB7"/>
    <w:rsid w:val="00F12791"/>
    <w:rsid w:val="00F12FC9"/>
    <w:rsid w:val="00F1381E"/>
    <w:rsid w:val="00F13E5D"/>
    <w:rsid w:val="00F1403E"/>
    <w:rsid w:val="00F140D6"/>
    <w:rsid w:val="00F145A7"/>
    <w:rsid w:val="00F147FA"/>
    <w:rsid w:val="00F14AF6"/>
    <w:rsid w:val="00F14DF9"/>
    <w:rsid w:val="00F14F80"/>
    <w:rsid w:val="00F15472"/>
    <w:rsid w:val="00F15A06"/>
    <w:rsid w:val="00F15E7C"/>
    <w:rsid w:val="00F15F27"/>
    <w:rsid w:val="00F165E7"/>
    <w:rsid w:val="00F16710"/>
    <w:rsid w:val="00F16F3F"/>
    <w:rsid w:val="00F171AC"/>
    <w:rsid w:val="00F1737A"/>
    <w:rsid w:val="00F176A8"/>
    <w:rsid w:val="00F178C6"/>
    <w:rsid w:val="00F20071"/>
    <w:rsid w:val="00F201F6"/>
    <w:rsid w:val="00F207D7"/>
    <w:rsid w:val="00F20D72"/>
    <w:rsid w:val="00F21139"/>
    <w:rsid w:val="00F2128E"/>
    <w:rsid w:val="00F212B0"/>
    <w:rsid w:val="00F229F2"/>
    <w:rsid w:val="00F25606"/>
    <w:rsid w:val="00F25E66"/>
    <w:rsid w:val="00F26175"/>
    <w:rsid w:val="00F26B95"/>
    <w:rsid w:val="00F272F6"/>
    <w:rsid w:val="00F27618"/>
    <w:rsid w:val="00F279E4"/>
    <w:rsid w:val="00F27B9A"/>
    <w:rsid w:val="00F30378"/>
    <w:rsid w:val="00F30BCD"/>
    <w:rsid w:val="00F31097"/>
    <w:rsid w:val="00F31107"/>
    <w:rsid w:val="00F314C9"/>
    <w:rsid w:val="00F31A88"/>
    <w:rsid w:val="00F320C3"/>
    <w:rsid w:val="00F32890"/>
    <w:rsid w:val="00F3323F"/>
    <w:rsid w:val="00F33893"/>
    <w:rsid w:val="00F33AA6"/>
    <w:rsid w:val="00F33D44"/>
    <w:rsid w:val="00F34A5B"/>
    <w:rsid w:val="00F34E23"/>
    <w:rsid w:val="00F3525F"/>
    <w:rsid w:val="00F3529F"/>
    <w:rsid w:val="00F35308"/>
    <w:rsid w:val="00F35F73"/>
    <w:rsid w:val="00F40A82"/>
    <w:rsid w:val="00F417FC"/>
    <w:rsid w:val="00F4318A"/>
    <w:rsid w:val="00F448FD"/>
    <w:rsid w:val="00F45349"/>
    <w:rsid w:val="00F454A7"/>
    <w:rsid w:val="00F456E7"/>
    <w:rsid w:val="00F45881"/>
    <w:rsid w:val="00F479AC"/>
    <w:rsid w:val="00F479E4"/>
    <w:rsid w:val="00F5010E"/>
    <w:rsid w:val="00F52335"/>
    <w:rsid w:val="00F5275B"/>
    <w:rsid w:val="00F52ADA"/>
    <w:rsid w:val="00F53626"/>
    <w:rsid w:val="00F550DF"/>
    <w:rsid w:val="00F562E8"/>
    <w:rsid w:val="00F572BA"/>
    <w:rsid w:val="00F57478"/>
    <w:rsid w:val="00F57FFB"/>
    <w:rsid w:val="00F61C15"/>
    <w:rsid w:val="00F61DEB"/>
    <w:rsid w:val="00F62302"/>
    <w:rsid w:val="00F628DD"/>
    <w:rsid w:val="00F62A60"/>
    <w:rsid w:val="00F62EE8"/>
    <w:rsid w:val="00F646EC"/>
    <w:rsid w:val="00F651FF"/>
    <w:rsid w:val="00F653D3"/>
    <w:rsid w:val="00F656ED"/>
    <w:rsid w:val="00F661D9"/>
    <w:rsid w:val="00F66765"/>
    <w:rsid w:val="00F669B1"/>
    <w:rsid w:val="00F669B3"/>
    <w:rsid w:val="00F66FCB"/>
    <w:rsid w:val="00F67BFD"/>
    <w:rsid w:val="00F67E41"/>
    <w:rsid w:val="00F67FA4"/>
    <w:rsid w:val="00F6D385"/>
    <w:rsid w:val="00F70476"/>
    <w:rsid w:val="00F7078D"/>
    <w:rsid w:val="00F7193E"/>
    <w:rsid w:val="00F71A97"/>
    <w:rsid w:val="00F72237"/>
    <w:rsid w:val="00F72345"/>
    <w:rsid w:val="00F731EB"/>
    <w:rsid w:val="00F742F3"/>
    <w:rsid w:val="00F7542D"/>
    <w:rsid w:val="00F759C9"/>
    <w:rsid w:val="00F76147"/>
    <w:rsid w:val="00F7643D"/>
    <w:rsid w:val="00F764AC"/>
    <w:rsid w:val="00F76892"/>
    <w:rsid w:val="00F77BD7"/>
    <w:rsid w:val="00F8037D"/>
    <w:rsid w:val="00F80963"/>
    <w:rsid w:val="00F80D9F"/>
    <w:rsid w:val="00F81765"/>
    <w:rsid w:val="00F81BDF"/>
    <w:rsid w:val="00F81FA4"/>
    <w:rsid w:val="00F8238F"/>
    <w:rsid w:val="00F823C3"/>
    <w:rsid w:val="00F83AA4"/>
    <w:rsid w:val="00F849C4"/>
    <w:rsid w:val="00F84E75"/>
    <w:rsid w:val="00F8602C"/>
    <w:rsid w:val="00F86383"/>
    <w:rsid w:val="00F86F31"/>
    <w:rsid w:val="00F873DD"/>
    <w:rsid w:val="00F879AB"/>
    <w:rsid w:val="00F9064A"/>
    <w:rsid w:val="00F90ABE"/>
    <w:rsid w:val="00F9101E"/>
    <w:rsid w:val="00F9145D"/>
    <w:rsid w:val="00F91774"/>
    <w:rsid w:val="00F91B80"/>
    <w:rsid w:val="00F92104"/>
    <w:rsid w:val="00F9303F"/>
    <w:rsid w:val="00F93CA3"/>
    <w:rsid w:val="00F945D0"/>
    <w:rsid w:val="00F9478C"/>
    <w:rsid w:val="00F94819"/>
    <w:rsid w:val="00F94AEC"/>
    <w:rsid w:val="00F95A62"/>
    <w:rsid w:val="00F9762C"/>
    <w:rsid w:val="00F97EBB"/>
    <w:rsid w:val="00FA03F2"/>
    <w:rsid w:val="00FA16E0"/>
    <w:rsid w:val="00FA1909"/>
    <w:rsid w:val="00FA1EFC"/>
    <w:rsid w:val="00FA209F"/>
    <w:rsid w:val="00FA3ACF"/>
    <w:rsid w:val="00FA48D2"/>
    <w:rsid w:val="00FA4AC8"/>
    <w:rsid w:val="00FA59AB"/>
    <w:rsid w:val="00FA5E40"/>
    <w:rsid w:val="00FA5FD6"/>
    <w:rsid w:val="00FA6ACD"/>
    <w:rsid w:val="00FA7669"/>
    <w:rsid w:val="00FA7B8D"/>
    <w:rsid w:val="00FA7DFB"/>
    <w:rsid w:val="00FB0EFC"/>
    <w:rsid w:val="00FB17E9"/>
    <w:rsid w:val="00FB1F51"/>
    <w:rsid w:val="00FB2208"/>
    <w:rsid w:val="00FB2DD9"/>
    <w:rsid w:val="00FB3B29"/>
    <w:rsid w:val="00FB43C7"/>
    <w:rsid w:val="00FB4810"/>
    <w:rsid w:val="00FB6514"/>
    <w:rsid w:val="00FB790C"/>
    <w:rsid w:val="00FC0ACB"/>
    <w:rsid w:val="00FC127F"/>
    <w:rsid w:val="00FC12C7"/>
    <w:rsid w:val="00FC23F1"/>
    <w:rsid w:val="00FC3007"/>
    <w:rsid w:val="00FC4B23"/>
    <w:rsid w:val="00FC5228"/>
    <w:rsid w:val="00FC5F0F"/>
    <w:rsid w:val="00FC640B"/>
    <w:rsid w:val="00FC6750"/>
    <w:rsid w:val="00FC7FB9"/>
    <w:rsid w:val="00FD0D3F"/>
    <w:rsid w:val="00FD0EEF"/>
    <w:rsid w:val="00FD10A8"/>
    <w:rsid w:val="00FD1783"/>
    <w:rsid w:val="00FD1CB9"/>
    <w:rsid w:val="00FD271B"/>
    <w:rsid w:val="00FD3EC2"/>
    <w:rsid w:val="00FD4046"/>
    <w:rsid w:val="00FD4557"/>
    <w:rsid w:val="00FD5A0A"/>
    <w:rsid w:val="00FD6583"/>
    <w:rsid w:val="00FD65C7"/>
    <w:rsid w:val="00FD6757"/>
    <w:rsid w:val="00FD6CEC"/>
    <w:rsid w:val="00FD7049"/>
    <w:rsid w:val="00FD718B"/>
    <w:rsid w:val="00FD7AA1"/>
    <w:rsid w:val="00FE07DB"/>
    <w:rsid w:val="00FE0C2E"/>
    <w:rsid w:val="00FE0E22"/>
    <w:rsid w:val="00FE0F24"/>
    <w:rsid w:val="00FE1280"/>
    <w:rsid w:val="00FE1CBE"/>
    <w:rsid w:val="00FE2A03"/>
    <w:rsid w:val="00FE2AEC"/>
    <w:rsid w:val="00FE3028"/>
    <w:rsid w:val="00FE37D2"/>
    <w:rsid w:val="00FE43B5"/>
    <w:rsid w:val="00FE478A"/>
    <w:rsid w:val="00FE4E04"/>
    <w:rsid w:val="00FE56F8"/>
    <w:rsid w:val="00FE6B58"/>
    <w:rsid w:val="00FE6F7A"/>
    <w:rsid w:val="00FE714A"/>
    <w:rsid w:val="00FE7F75"/>
    <w:rsid w:val="00FE7FB9"/>
    <w:rsid w:val="00FF031B"/>
    <w:rsid w:val="00FF0455"/>
    <w:rsid w:val="00FF0519"/>
    <w:rsid w:val="00FF095A"/>
    <w:rsid w:val="00FF0CC8"/>
    <w:rsid w:val="00FF106A"/>
    <w:rsid w:val="00FF343A"/>
    <w:rsid w:val="00FF41E6"/>
    <w:rsid w:val="00FF4892"/>
    <w:rsid w:val="00FF4992"/>
    <w:rsid w:val="00FF4A8B"/>
    <w:rsid w:val="00FF53A0"/>
    <w:rsid w:val="00FF561B"/>
    <w:rsid w:val="00FF5770"/>
    <w:rsid w:val="00FF5B38"/>
    <w:rsid w:val="00FF69DB"/>
    <w:rsid w:val="00FF6A30"/>
    <w:rsid w:val="00FF7511"/>
    <w:rsid w:val="00FF7C85"/>
    <w:rsid w:val="00FF7E62"/>
    <w:rsid w:val="197FAF2E"/>
    <w:rsid w:val="1F37B84D"/>
    <w:rsid w:val="260CB8D9"/>
    <w:rsid w:val="26AF2806"/>
    <w:rsid w:val="2D1A4D08"/>
    <w:rsid w:val="35488E9B"/>
    <w:rsid w:val="41CC27EF"/>
    <w:rsid w:val="4CBA3B2A"/>
    <w:rsid w:val="545F3518"/>
    <w:rsid w:val="587478FF"/>
    <w:rsid w:val="77AE1EFC"/>
    <w:rsid w:val="7AA43577"/>
    <w:rsid w:val="7ECAB5D0"/>
    <w:rsid w:val="7F23A2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0C100"/>
  <w15:chartTrackingRefBased/>
  <w15:docId w15:val="{84301EBB-795A-4037-86F0-CD047E56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F9303F"/>
  </w:style>
  <w:style w:type="paragraph" w:styleId="Heading1">
    <w:name w:val="heading 1"/>
    <w:basedOn w:val="Normal"/>
    <w:next w:val="Normal"/>
    <w:link w:val="Heading1Char"/>
    <w:qFormat/>
    <w:locked/>
    <w:rsid w:val="007A5AD6"/>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nhideWhenUsed/>
    <w:qFormat/>
    <w:locked/>
    <w:rsid w:val="007A5AD6"/>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nhideWhenUsed/>
    <w:qFormat/>
    <w:locked/>
    <w:rsid w:val="00FA03F2"/>
    <w:pPr>
      <w:keepNext/>
      <w:keepLines/>
      <w:spacing w:before="40"/>
      <w:outlineLvl w:val="2"/>
    </w:pPr>
    <w:rPr>
      <w:rFonts w:asciiTheme="majorHAnsi" w:eastAsiaTheme="majorEastAsia" w:hAnsiTheme="majorHAnsi" w:cstheme="majorBidi"/>
      <w:color w:val="3A5D0F" w:themeColor="accent1" w:themeShade="7F"/>
    </w:rPr>
  </w:style>
  <w:style w:type="paragraph" w:styleId="Heading4">
    <w:name w:val="heading 4"/>
    <w:basedOn w:val="Normal"/>
    <w:next w:val="Normal"/>
    <w:link w:val="Heading4Char"/>
    <w:unhideWhenUsed/>
    <w:qFormat/>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paragraph" w:styleId="Heading6">
    <w:name w:val="heading 6"/>
    <w:basedOn w:val="Normal"/>
    <w:next w:val="Normal"/>
    <w:link w:val="Heading6Char"/>
    <w:semiHidden/>
    <w:unhideWhenUsed/>
    <w:qFormat/>
    <w:locked/>
    <w:rsid w:val="0073208E"/>
    <w:pPr>
      <w:keepNext/>
      <w:keepLines/>
      <w:spacing w:before="200" w:after="0" w:line="276" w:lineRule="auto"/>
      <w:outlineLvl w:val="5"/>
    </w:pPr>
    <w:rPr>
      <w:rFonts w:eastAsia="Times New Roman" w:cs="Times New Roman"/>
      <w:i/>
      <w:iCs/>
      <w:color w:val="7F0000"/>
      <w:sz w:val="20"/>
    </w:rPr>
  </w:style>
  <w:style w:type="paragraph" w:styleId="Heading8">
    <w:name w:val="heading 8"/>
    <w:basedOn w:val="Normal"/>
    <w:next w:val="Normal"/>
    <w:link w:val="Heading8Char"/>
    <w:semiHidden/>
    <w:unhideWhenUsed/>
    <w:qFormat/>
    <w:locked/>
    <w:rsid w:val="0073208E"/>
    <w:pPr>
      <w:keepNext/>
      <w:keepLines/>
      <w:spacing w:before="200" w:after="0" w:line="276" w:lineRule="auto"/>
      <w:outlineLvl w:val="7"/>
    </w:pPr>
    <w:rPr>
      <w:rFonts w:eastAsia="Times New Roman"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1C7ECF"/>
    <w:pPr>
      <w:pBdr>
        <w:top w:val="single" w:sz="4" w:space="1" w:color="auto"/>
      </w:pBdr>
      <w:spacing w:before="120" w:after="0"/>
      <w:ind w:left="1701"/>
    </w:pPr>
  </w:style>
  <w:style w:type="paragraph" w:customStyle="1" w:styleId="Contenttitle">
    <w:name w:val="Content title"/>
    <w:basedOn w:val="Heading1"/>
    <w:link w:val="ContenttitleChar"/>
    <w:rsid w:val="00045E97"/>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6043D3"/>
    <w:rPr>
      <w:b/>
      <w:bCs/>
      <w:iCs/>
      <w:sz w:val="32"/>
      <w:szCs w:val="32"/>
    </w:rPr>
  </w:style>
  <w:style w:type="paragraph" w:customStyle="1" w:styleId="Topictitle">
    <w:name w:val="Topic title"/>
    <w:basedOn w:val="Heading3"/>
    <w:link w:val="TopictitleChar"/>
    <w:qFormat/>
    <w:rsid w:val="006043D3"/>
    <w:pPr>
      <w:keepLines w:val="0"/>
      <w:spacing w:before="0" w:line="276" w:lineRule="auto"/>
      <w:outlineLvl w:val="1"/>
    </w:pPr>
    <w:rPr>
      <w:rFonts w:ascii="Arial" w:eastAsiaTheme="minorHAnsi" w:hAnsi="Arial" w:cstheme="minorBidi"/>
      <w:b/>
      <w:bCs/>
      <w:iCs/>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link w:val="BlockheadingChar"/>
    <w:qFormat/>
    <w:rsid w:val="005319FA"/>
    <w:pPr>
      <w:spacing w:before="0" w:line="276" w:lineRule="auto"/>
      <w:outlineLvl w:val="2"/>
    </w:pPr>
    <w:rPr>
      <w:rFonts w:ascii="Arial" w:hAnsi="Arial"/>
      <w:b/>
      <w:i w:val="0"/>
      <w:color w:val="auto"/>
      <w:sz w:val="26"/>
    </w:rPr>
  </w:style>
  <w:style w:type="character" w:customStyle="1" w:styleId="Requiredtext">
    <w:name w:val="Required text"/>
    <w:qFormat/>
    <w:rsid w:val="005C3BA8"/>
    <w:rPr>
      <w:rFonts w:ascii="Arial" w:hAnsi="Arial"/>
      <w:sz w:val="24"/>
    </w:rPr>
  </w:style>
  <w:style w:type="table" w:styleId="TableGrid">
    <w:name w:val="Table Grid"/>
    <w:aliases w:val="Header table"/>
    <w:basedOn w:val="TableNormal"/>
    <w:uiPriority w:val="39"/>
    <w:locked/>
    <w:rsid w:val="00A82050"/>
    <w:pPr>
      <w:spacing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rsid w:val="00FA03F2"/>
    <w:rPr>
      <w:rFonts w:asciiTheme="majorHAnsi" w:eastAsiaTheme="majorEastAsia" w:hAnsiTheme="majorHAnsi" w:cstheme="majorBidi"/>
      <w:color w:val="3A5D0F" w:themeColor="accent1" w:themeShade="7F"/>
      <w:sz w:val="24"/>
      <w:szCs w:val="24"/>
    </w:rPr>
  </w:style>
  <w:style w:type="character" w:customStyle="1" w:styleId="Heading4Char">
    <w:name w:val="Heading 4 Char"/>
    <w:basedOn w:val="DefaultParagraphFont"/>
    <w:link w:val="Heading4"/>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B234BB"/>
  </w:style>
  <w:style w:type="paragraph" w:customStyle="1" w:styleId="BulletText1">
    <w:name w:val="Bullet Text 1"/>
    <w:basedOn w:val="Normal"/>
    <w:link w:val="BulletText1Char"/>
    <w:qFormat/>
    <w:rsid w:val="00B234BB"/>
    <w:pPr>
      <w:numPr>
        <w:numId w:val="1"/>
      </w:numPr>
      <w:spacing w:before="60"/>
      <w:ind w:left="641" w:hanging="357"/>
    </w:pPr>
  </w:style>
  <w:style w:type="character" w:customStyle="1" w:styleId="BulletTextLevel2Char">
    <w:name w:val="Bullet Text Level 2 Char"/>
    <w:link w:val="BulletTextLevel2"/>
    <w:locked/>
    <w:rsid w:val="00B234BB"/>
  </w:style>
  <w:style w:type="paragraph" w:customStyle="1" w:styleId="BulletTextLevel2">
    <w:name w:val="Bullet Text Level 2"/>
    <w:basedOn w:val="Normal"/>
    <w:link w:val="BulletTextLevel2Char"/>
    <w:qFormat/>
    <w:rsid w:val="00B234BB"/>
    <w:pPr>
      <w:numPr>
        <w:numId w:val="2"/>
      </w:numPr>
      <w:spacing w:before="60"/>
      <w:ind w:left="1208" w:hanging="357"/>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link w:val="SectiontitleChar"/>
    <w:qFormat/>
    <w:rsid w:val="006043D3"/>
    <w:pPr>
      <w:spacing w:before="0" w:line="276" w:lineRule="auto"/>
      <w:outlineLvl w:val="0"/>
    </w:pPr>
    <w:rPr>
      <w:bCs/>
      <w:sz w:val="36"/>
      <w:szCs w:val="32"/>
    </w:rPr>
  </w:style>
  <w:style w:type="character" w:styleId="Hyperlink">
    <w:name w:val="Hyperlink"/>
    <w:aliases w:val="Hyperlink in toc"/>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aliases w:val="Numbered list"/>
    <w:basedOn w:val="Normal"/>
    <w:link w:val="ListParagraphChar"/>
    <w:uiPriority w:val="34"/>
    <w:qFormat/>
    <w:rsid w:val="00182289"/>
    <w:pPr>
      <w:numPr>
        <w:numId w:val="5"/>
      </w:numPr>
      <w:spacing w:after="0"/>
      <w:contextualSpacing/>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rsid w:val="00D555A9"/>
    <w:rPr>
      <w:b/>
      <w:bCs/>
    </w:rPr>
  </w:style>
  <w:style w:type="character" w:customStyle="1" w:styleId="CommentSubjectChar">
    <w:name w:val="Comment Subject Char"/>
    <w:basedOn w:val="CommentTextChar"/>
    <w:link w:val="CommentSubject"/>
    <w:uiPriority w:val="99"/>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rsid w:val="00D555A9"/>
    <w:rPr>
      <w:rFonts w:ascii="Segoe UI" w:eastAsia="Times New Roman" w:hAnsi="Segoe UI" w:cs="Segoe UI"/>
      <w:sz w:val="18"/>
      <w:szCs w:val="18"/>
    </w:rPr>
  </w:style>
  <w:style w:type="character" w:customStyle="1" w:styleId="Heading1Char">
    <w:name w:val="Heading 1 Char"/>
    <w:basedOn w:val="DefaultParagraphFont"/>
    <w:link w:val="Heading1"/>
    <w:rsid w:val="007A5AD6"/>
    <w:rPr>
      <w:rFonts w:eastAsiaTheme="majorEastAsia" w:cstheme="majorBidi"/>
      <w:b/>
      <w:sz w:val="36"/>
      <w:szCs w:val="32"/>
    </w:rPr>
  </w:style>
  <w:style w:type="paragraph" w:styleId="TOCHeading">
    <w:name w:val="TOC Heading"/>
    <w:basedOn w:val="Heading1"/>
    <w:next w:val="Normal"/>
    <w:uiPriority w:val="39"/>
    <w:unhideWhenUsed/>
    <w:rsid w:val="00E25616"/>
    <w:pPr>
      <w:spacing w:before="0"/>
      <w:outlineLvl w:val="9"/>
    </w:pPr>
    <w:rPr>
      <w:sz w:val="32"/>
      <w:szCs w:val="28"/>
      <w:lang w:val="en-US"/>
    </w:r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AC4D92"/>
    <w:pPr>
      <w:spacing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cPr>
        <w:shd w:val="clear" w:color="auto" w:fill="000000" w:themeFill="text1"/>
      </w:tcPr>
    </w:tblStylePr>
  </w:style>
  <w:style w:type="table" w:customStyle="1" w:styleId="Footertable">
    <w:name w:val="Footer table"/>
    <w:basedOn w:val="TableNormal"/>
    <w:uiPriority w:val="99"/>
    <w:rsid w:val="00A82050"/>
    <w:pPr>
      <w:spacing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rsid w:val="007A5AD6"/>
    <w:rPr>
      <w:rFonts w:eastAsiaTheme="majorEastAsia" w:cstheme="majorBidi"/>
      <w:b/>
      <w:sz w:val="32"/>
      <w:szCs w:val="26"/>
    </w:rPr>
  </w:style>
  <w:style w:type="paragraph" w:styleId="Title">
    <w:name w:val="Title"/>
    <w:basedOn w:val="Contenttitle"/>
    <w:next w:val="Normal"/>
    <w:link w:val="TitleChar"/>
    <w:qFormat/>
    <w:rsid w:val="00677361"/>
  </w:style>
  <w:style w:type="character" w:customStyle="1" w:styleId="TitleChar">
    <w:name w:val="Title Char"/>
    <w:basedOn w:val="DefaultParagraphFont"/>
    <w:link w:val="Title"/>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qFormat/>
    <w:rsid w:val="00E36E9A"/>
    <w:pPr>
      <w:numPr>
        <w:ilvl w:val="1"/>
      </w:numPr>
      <w:spacing w:after="160"/>
    </w:pPr>
    <w:rPr>
      <w:rFonts w:eastAsiaTheme="minorEastAsia"/>
      <w:spacing w:val="15"/>
    </w:rPr>
  </w:style>
  <w:style w:type="character" w:customStyle="1" w:styleId="SubtitleChar">
    <w:name w:val="Subtitle Char"/>
    <w:basedOn w:val="DefaultParagraphFont"/>
    <w:link w:val="Subtitle"/>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FC4B23"/>
  </w:style>
  <w:style w:type="paragraph" w:customStyle="1" w:styleId="Chaptertitle">
    <w:name w:val="Chapter title"/>
    <w:basedOn w:val="Sectiontitle"/>
    <w:link w:val="ChaptertitleChar"/>
    <w:rsid w:val="005738EA"/>
  </w:style>
  <w:style w:type="character" w:customStyle="1" w:styleId="ContenttitleChar">
    <w:name w:val="Content title Char"/>
    <w:basedOn w:val="DefaultParagraphFont"/>
    <w:link w:val="Contenttitle"/>
    <w:rsid w:val="00045E97"/>
    <w:rPr>
      <w:rFonts w:eastAsiaTheme="majorEastAsia" w:cstheme="majorBidi"/>
      <w:b/>
      <w:kern w:val="32"/>
      <w:sz w:val="40"/>
      <w:szCs w:val="32"/>
    </w:rPr>
  </w:style>
  <w:style w:type="character" w:customStyle="1" w:styleId="DocumenttitleChar">
    <w:name w:val="Document title Char"/>
    <w:basedOn w:val="ContenttitleChar"/>
    <w:link w:val="Documenttitle"/>
    <w:rsid w:val="00FC4B23"/>
    <w:rPr>
      <w:rFonts w:eastAsiaTheme="majorEastAsia" w:cstheme="majorBidi"/>
      <w:b/>
      <w:kern w:val="32"/>
      <w:sz w:val="40"/>
      <w:szCs w:val="32"/>
    </w:rPr>
  </w:style>
  <w:style w:type="character" w:customStyle="1" w:styleId="ChaptertitleChar">
    <w:name w:val="Chapter title Char"/>
    <w:basedOn w:val="SectiontitleChar"/>
    <w:link w:val="Chaptertitle"/>
    <w:rsid w:val="005738EA"/>
    <w:rPr>
      <w:rFonts w:eastAsiaTheme="majorEastAsia" w:cstheme="majorBidi"/>
      <w:b/>
      <w:bCs/>
      <w:sz w:val="36"/>
      <w:szCs w:val="32"/>
    </w:rPr>
  </w:style>
  <w:style w:type="paragraph" w:customStyle="1" w:styleId="Principleheader">
    <w:name w:val="Principle header"/>
    <w:basedOn w:val="Heading2"/>
    <w:link w:val="PrincipleheaderChar"/>
    <w:rsid w:val="00D26B24"/>
    <w:pPr>
      <w:numPr>
        <w:numId w:val="3"/>
      </w:numPr>
    </w:pPr>
    <w:rPr>
      <w:sz w:val="36"/>
      <w:szCs w:val="36"/>
    </w:rPr>
  </w:style>
  <w:style w:type="character" w:customStyle="1" w:styleId="PrincipleheaderChar">
    <w:name w:val="Principle header Char"/>
    <w:basedOn w:val="DefaultParagraphFont"/>
    <w:link w:val="Principleheader"/>
    <w:rsid w:val="00910751"/>
    <w:rPr>
      <w:rFonts w:eastAsiaTheme="majorEastAsia" w:cstheme="majorBidi"/>
      <w:b/>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headingChar">
    <w:name w:val="Numbered block heading Char"/>
    <w:basedOn w:val="DefaultParagraphFont"/>
    <w:link w:val="Numberedblockheading"/>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heading">
    <w:name w:val="Numbered block heading"/>
    <w:basedOn w:val="Heading4"/>
    <w:link w:val="NumberedblockheadingChar"/>
    <w:qFormat/>
    <w:rsid w:val="00392833"/>
    <w:pPr>
      <w:numPr>
        <w:numId w:val="4"/>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Sub-blockheading">
    <w:name w:val="Sub-block heading"/>
    <w:basedOn w:val="Blockheading"/>
    <w:link w:val="Sub-blockheadingChar"/>
    <w:qFormat/>
    <w:rsid w:val="005319FA"/>
    <w:pPr>
      <w:outlineLvl w:val="3"/>
    </w:pPr>
    <w:rPr>
      <w:sz w:val="24"/>
    </w:rPr>
  </w:style>
  <w:style w:type="paragraph" w:customStyle="1" w:styleId="Audienceheading">
    <w:name w:val="Audience heading"/>
    <w:basedOn w:val="Blockheading"/>
    <w:link w:val="AudienceheadingChar"/>
    <w:rsid w:val="005319FA"/>
    <w:pPr>
      <w:outlineLvl w:val="9"/>
    </w:pPr>
  </w:style>
  <w:style w:type="character" w:customStyle="1" w:styleId="Sub-blockheadingChar">
    <w:name w:val="Sub-block heading Char"/>
    <w:basedOn w:val="DefaultParagraphFont"/>
    <w:link w:val="Sub-blockheading"/>
    <w:rsid w:val="005319FA"/>
    <w:rPr>
      <w:rFonts w:eastAsiaTheme="majorEastAsia" w:cstheme="majorBidi"/>
      <w:b/>
      <w:iCs/>
      <w:color w:val="auto"/>
    </w:rPr>
  </w:style>
  <w:style w:type="character" w:customStyle="1" w:styleId="AudienceheadingChar">
    <w:name w:val="Audience heading Char"/>
    <w:basedOn w:val="BlockheadingChar"/>
    <w:link w:val="Audienceheading"/>
    <w:rsid w:val="005319FA"/>
    <w:rPr>
      <w:rFonts w:eastAsiaTheme="majorEastAsia" w:cstheme="majorBidi"/>
      <w:b/>
      <w:iCs/>
      <w:color w:val="auto"/>
      <w:sz w:val="26"/>
    </w:rPr>
  </w:style>
  <w:style w:type="paragraph" w:customStyle="1" w:styleId="Guidance">
    <w:name w:val="Guidance"/>
    <w:basedOn w:val="Normal"/>
    <w:qFormat/>
    <w:rsid w:val="001B3926"/>
    <w:pPr>
      <w:shd w:val="clear" w:color="auto" w:fill="E2EFD9"/>
      <w:spacing w:after="120" w:line="276" w:lineRule="auto"/>
    </w:pPr>
    <w:rPr>
      <w:color w:val="auto"/>
    </w:rPr>
  </w:style>
  <w:style w:type="paragraph" w:customStyle="1" w:styleId="Example">
    <w:name w:val="[Example]"/>
    <w:basedOn w:val="Normal"/>
    <w:link w:val="ExampleChar"/>
    <w:qFormat/>
    <w:rsid w:val="00A74C10"/>
    <w:rPr>
      <w:color w:val="006AB9"/>
    </w:rPr>
  </w:style>
  <w:style w:type="character" w:customStyle="1" w:styleId="ExampleChar">
    <w:name w:val="[Example] Char"/>
    <w:basedOn w:val="DefaultParagraphFont"/>
    <w:link w:val="Example"/>
    <w:rsid w:val="00A74C10"/>
    <w:rPr>
      <w:color w:val="006AB9"/>
    </w:rPr>
  </w:style>
  <w:style w:type="paragraph" w:customStyle="1" w:styleId="optional">
    <w:name w:val="||optional||"/>
    <w:basedOn w:val="Normal"/>
    <w:link w:val="optionalChar"/>
    <w:qFormat/>
    <w:rsid w:val="00267905"/>
    <w:rPr>
      <w:bCs/>
      <w:color w:val="B10E1E"/>
    </w:rPr>
  </w:style>
  <w:style w:type="character" w:customStyle="1" w:styleId="optionalChar">
    <w:name w:val="||optional|| Char"/>
    <w:basedOn w:val="DefaultParagraphFont"/>
    <w:link w:val="optional"/>
    <w:rsid w:val="00267905"/>
    <w:rPr>
      <w:bCs/>
      <w:color w:val="B10E1E"/>
    </w:rPr>
  </w:style>
  <w:style w:type="character" w:styleId="UnresolvedMention">
    <w:name w:val="Unresolved Mention"/>
    <w:basedOn w:val="DefaultParagraphFont"/>
    <w:uiPriority w:val="99"/>
    <w:semiHidden/>
    <w:unhideWhenUsed/>
    <w:rsid w:val="00196FAB"/>
    <w:rPr>
      <w:color w:val="605E5C"/>
      <w:shd w:val="clear" w:color="auto" w:fill="E1DFDD"/>
    </w:rPr>
  </w:style>
  <w:style w:type="paragraph" w:customStyle="1" w:styleId="NumberedList">
    <w:name w:val="Numbered List"/>
    <w:basedOn w:val="ListParagraph"/>
    <w:link w:val="NumberedListChar"/>
    <w:qFormat/>
    <w:rsid w:val="00071BAD"/>
  </w:style>
  <w:style w:type="character" w:customStyle="1" w:styleId="ListParagraphChar">
    <w:name w:val="List Paragraph Char"/>
    <w:aliases w:val="Numbered list Char"/>
    <w:basedOn w:val="DefaultParagraphFont"/>
    <w:link w:val="ListParagraph"/>
    <w:uiPriority w:val="34"/>
    <w:rsid w:val="00071BAD"/>
  </w:style>
  <w:style w:type="character" w:customStyle="1" w:styleId="NumberedListChar">
    <w:name w:val="Numbered List Char"/>
    <w:basedOn w:val="ListParagraphChar"/>
    <w:link w:val="NumberedList"/>
    <w:rsid w:val="00071BAD"/>
  </w:style>
  <w:style w:type="character" w:customStyle="1" w:styleId="Text">
    <w:name w:val="Text"/>
    <w:qFormat/>
    <w:rsid w:val="00B6422E"/>
    <w:rPr>
      <w:rFonts w:cs="Arial"/>
      <w:color w:val="auto"/>
    </w:rPr>
  </w:style>
  <w:style w:type="character" w:customStyle="1" w:styleId="Heading6Char">
    <w:name w:val="Heading 6 Char"/>
    <w:basedOn w:val="DefaultParagraphFont"/>
    <w:link w:val="Heading6"/>
    <w:semiHidden/>
    <w:rsid w:val="0073208E"/>
    <w:rPr>
      <w:rFonts w:eastAsia="Times New Roman" w:cs="Times New Roman"/>
      <w:i/>
      <w:iCs/>
      <w:color w:val="7F0000"/>
      <w:sz w:val="20"/>
    </w:rPr>
  </w:style>
  <w:style w:type="character" w:customStyle="1" w:styleId="Heading8Char">
    <w:name w:val="Heading 8 Char"/>
    <w:basedOn w:val="DefaultParagraphFont"/>
    <w:link w:val="Heading8"/>
    <w:semiHidden/>
    <w:rsid w:val="0073208E"/>
    <w:rPr>
      <w:rFonts w:eastAsia="Times New Roman" w:cs="Times New Roman"/>
      <w:color w:val="404040"/>
      <w:sz w:val="20"/>
      <w:szCs w:val="20"/>
    </w:rPr>
  </w:style>
  <w:style w:type="character" w:customStyle="1" w:styleId="BulletText2Char">
    <w:name w:val="Bullet Text 2 Char"/>
    <w:link w:val="BulletText2"/>
    <w:locked/>
    <w:rsid w:val="0073208E"/>
  </w:style>
  <w:style w:type="paragraph" w:customStyle="1" w:styleId="BulletText2">
    <w:name w:val="Bullet Text 2"/>
    <w:basedOn w:val="Normal"/>
    <w:link w:val="BulletText2Char"/>
    <w:qFormat/>
    <w:rsid w:val="0073208E"/>
    <w:pPr>
      <w:spacing w:before="60"/>
      <w:ind w:left="1208" w:hanging="357"/>
    </w:pPr>
  </w:style>
  <w:style w:type="character" w:customStyle="1" w:styleId="NumberedblockChar">
    <w:name w:val="Numbered block Char"/>
    <w:basedOn w:val="DefaultParagraphFont"/>
    <w:link w:val="Numberedblock"/>
    <w:locked/>
    <w:rsid w:val="0073208E"/>
    <w:rPr>
      <w:rFonts w:eastAsiaTheme="majorEastAsia" w:cs="Arial"/>
      <w:b/>
      <w:iCs/>
      <w:color w:val="auto"/>
      <w:sz w:val="26"/>
      <w:szCs w:val="26"/>
    </w:rPr>
  </w:style>
  <w:style w:type="paragraph" w:customStyle="1" w:styleId="Numberedblock">
    <w:name w:val="Numbered block"/>
    <w:basedOn w:val="Heading4"/>
    <w:link w:val="NumberedblockChar"/>
    <w:qFormat/>
    <w:rsid w:val="0073208E"/>
    <w:pPr>
      <w:spacing w:before="0" w:line="256" w:lineRule="auto"/>
      <w:ind w:left="360" w:hanging="360"/>
    </w:pPr>
    <w:rPr>
      <w:rFonts w:ascii="Arial" w:hAnsi="Arial" w:cs="Arial"/>
      <w:b/>
      <w:i w:val="0"/>
      <w:color w:val="auto"/>
      <w:sz w:val="26"/>
      <w:szCs w:val="26"/>
    </w:rPr>
  </w:style>
  <w:style w:type="paragraph" w:customStyle="1" w:styleId="Bullet1">
    <w:name w:val="#.#.# Bullet"/>
    <w:basedOn w:val="Bullet0"/>
    <w:qFormat/>
    <w:rsid w:val="0073208E"/>
    <w:pPr>
      <w:numPr>
        <w:ilvl w:val="2"/>
      </w:numPr>
      <w:tabs>
        <w:tab w:val="left" w:pos="1134"/>
      </w:tabs>
      <w:spacing w:before="120" w:after="120" w:line="276" w:lineRule="auto"/>
    </w:pPr>
    <w:rPr>
      <w:b w:val="0"/>
      <w:sz w:val="20"/>
    </w:rPr>
  </w:style>
  <w:style w:type="paragraph" w:customStyle="1" w:styleId="aBullet">
    <w:name w:val="#.#.# (a) Bullet"/>
    <w:basedOn w:val="Bullet1"/>
    <w:qFormat/>
    <w:rsid w:val="0073208E"/>
    <w:pPr>
      <w:numPr>
        <w:ilvl w:val="3"/>
      </w:numPr>
    </w:pPr>
  </w:style>
  <w:style w:type="paragraph" w:customStyle="1" w:styleId="aiBullet">
    <w:name w:val="#.#.# (a) (i) Bullet"/>
    <w:basedOn w:val="aBullet"/>
    <w:qFormat/>
    <w:rsid w:val="0073208E"/>
    <w:pPr>
      <w:numPr>
        <w:ilvl w:val="4"/>
      </w:numPr>
    </w:pPr>
  </w:style>
  <w:style w:type="paragraph" w:customStyle="1" w:styleId="Bullet0">
    <w:name w:val="#.# Bullet"/>
    <w:basedOn w:val="Bullet"/>
    <w:qFormat/>
    <w:rsid w:val="0073208E"/>
    <w:pPr>
      <w:numPr>
        <w:ilvl w:val="1"/>
      </w:numPr>
      <w:spacing w:before="280" w:after="200"/>
    </w:pPr>
    <w:rPr>
      <w:sz w:val="28"/>
      <w:szCs w:val="24"/>
    </w:rPr>
  </w:style>
  <w:style w:type="paragraph" w:customStyle="1" w:styleId="Bullet">
    <w:name w:val="# Bullet"/>
    <w:qFormat/>
    <w:rsid w:val="0073208E"/>
    <w:pPr>
      <w:numPr>
        <w:numId w:val="6"/>
      </w:numPr>
      <w:spacing w:before="400" w:after="280" w:line="240" w:lineRule="auto"/>
    </w:pPr>
    <w:rPr>
      <w:rFonts w:eastAsia="Times New Roman" w:cs="Times New Roman"/>
      <w:b/>
      <w:bCs/>
      <w:color w:val="auto"/>
      <w:sz w:val="32"/>
      <w:szCs w:val="26"/>
    </w:rPr>
  </w:style>
  <w:style w:type="table" w:styleId="Table3Deffects1">
    <w:name w:val="Table 3D effects 1"/>
    <w:basedOn w:val="TableNormal"/>
    <w:locked/>
    <w:rsid w:val="0073208E"/>
    <w:pPr>
      <w:spacing w:before="120" w:after="120" w:line="276" w:lineRule="auto"/>
    </w:pPr>
    <w:rPr>
      <w:rFonts w:ascii="Times New Roman" w:eastAsia="Times New Roman" w:hAnsi="Times New Roman" w:cs="Times New Roman"/>
      <w:color w:val="auto"/>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EATableBullets">
    <w:name w:val="EA Table Bullets"/>
    <w:uiPriority w:val="99"/>
    <w:rsid w:val="0073208E"/>
    <w:pPr>
      <w:numPr>
        <w:numId w:val="8"/>
      </w:numPr>
    </w:pPr>
  </w:style>
  <w:style w:type="character" w:customStyle="1" w:styleId="Blue">
    <w:name w:val="Blue"/>
    <w:uiPriority w:val="1"/>
    <w:qFormat/>
    <w:rsid w:val="0073208E"/>
    <w:rPr>
      <w:color w:val="0000FF"/>
    </w:rPr>
  </w:style>
  <w:style w:type="paragraph" w:customStyle="1" w:styleId="TableText">
    <w:name w:val="Table Text"/>
    <w:basedOn w:val="Normal"/>
    <w:qFormat/>
    <w:rsid w:val="0073208E"/>
    <w:pPr>
      <w:spacing w:before="60" w:after="60" w:line="240" w:lineRule="auto"/>
      <w:ind w:left="85" w:right="85"/>
    </w:pPr>
    <w:rPr>
      <w:rFonts w:eastAsia="Times New Roman" w:cs="Times New Roman"/>
      <w:color w:val="auto"/>
      <w:sz w:val="20"/>
    </w:rPr>
  </w:style>
  <w:style w:type="character" w:customStyle="1" w:styleId="Bold">
    <w:name w:val="Bold"/>
    <w:uiPriority w:val="1"/>
    <w:qFormat/>
    <w:rsid w:val="0073208E"/>
    <w:rPr>
      <w:b/>
    </w:rPr>
  </w:style>
  <w:style w:type="table" w:customStyle="1" w:styleId="BlankTable">
    <w:name w:val="Blank Table"/>
    <w:basedOn w:val="TableNormal"/>
    <w:uiPriority w:val="99"/>
    <w:qFormat/>
    <w:rsid w:val="0073208E"/>
    <w:pPr>
      <w:spacing w:after="0" w:line="240" w:lineRule="auto"/>
    </w:pPr>
    <w:rPr>
      <w:rFonts w:ascii="Times New Roman" w:eastAsia="Times New Roman" w:hAnsi="Times New Roman" w:cs="Times New Roman"/>
      <w:color w:val="auto"/>
      <w:sz w:val="20"/>
      <w:szCs w:val="20"/>
      <w:lang w:eastAsia="en-GB"/>
    </w:rPr>
    <w:tblPr>
      <w:tblCellMar>
        <w:left w:w="0" w:type="dxa"/>
        <w:right w:w="0" w:type="dxa"/>
      </w:tblCellMar>
    </w:tblPr>
  </w:style>
  <w:style w:type="character" w:customStyle="1" w:styleId="Pink">
    <w:name w:val="Pink"/>
    <w:uiPriority w:val="1"/>
    <w:qFormat/>
    <w:rsid w:val="0073208E"/>
    <w:rPr>
      <w:color w:val="FF00FF"/>
    </w:rPr>
  </w:style>
  <w:style w:type="character" w:customStyle="1" w:styleId="Red">
    <w:name w:val="Red"/>
    <w:uiPriority w:val="1"/>
    <w:qFormat/>
    <w:rsid w:val="0073208E"/>
    <w:rPr>
      <w:color w:val="FF0000"/>
    </w:rPr>
  </w:style>
  <w:style w:type="numbering" w:customStyle="1" w:styleId="EANumBullets">
    <w:name w:val="EA Num Bullets"/>
    <w:uiPriority w:val="99"/>
    <w:rsid w:val="0073208E"/>
    <w:pPr>
      <w:numPr>
        <w:numId w:val="6"/>
      </w:numPr>
    </w:pPr>
  </w:style>
  <w:style w:type="paragraph" w:customStyle="1" w:styleId="RoundBulletL1">
    <w:name w:val="Round Bullet L1"/>
    <w:basedOn w:val="Normal"/>
    <w:qFormat/>
    <w:rsid w:val="0073208E"/>
    <w:pPr>
      <w:numPr>
        <w:numId w:val="11"/>
      </w:numPr>
      <w:spacing w:before="120" w:after="120" w:line="276" w:lineRule="auto"/>
    </w:pPr>
    <w:rPr>
      <w:rFonts w:eastAsia="Times New Roman" w:cs="Times New Roman"/>
      <w:color w:val="auto"/>
      <w:sz w:val="20"/>
    </w:rPr>
  </w:style>
  <w:style w:type="paragraph" w:customStyle="1" w:styleId="RoundBulletL2">
    <w:name w:val="Round Bullet L2"/>
    <w:basedOn w:val="Normal"/>
    <w:qFormat/>
    <w:rsid w:val="0073208E"/>
    <w:pPr>
      <w:numPr>
        <w:ilvl w:val="1"/>
        <w:numId w:val="11"/>
      </w:numPr>
      <w:spacing w:before="120" w:after="120" w:line="276" w:lineRule="auto"/>
    </w:pPr>
    <w:rPr>
      <w:rFonts w:eastAsia="Times New Roman" w:cs="Times New Roman"/>
      <w:color w:val="auto"/>
      <w:sz w:val="20"/>
    </w:rPr>
  </w:style>
  <w:style w:type="paragraph" w:customStyle="1" w:styleId="RoundBulletL3">
    <w:name w:val="Round Bullet L3"/>
    <w:basedOn w:val="Normal"/>
    <w:qFormat/>
    <w:rsid w:val="0073208E"/>
    <w:pPr>
      <w:numPr>
        <w:ilvl w:val="2"/>
        <w:numId w:val="11"/>
      </w:numPr>
      <w:spacing w:before="120" w:after="120" w:line="276" w:lineRule="auto"/>
    </w:pPr>
    <w:rPr>
      <w:rFonts w:eastAsia="Times New Roman" w:cs="Times New Roman"/>
      <w:color w:val="auto"/>
      <w:sz w:val="20"/>
    </w:rPr>
  </w:style>
  <w:style w:type="paragraph" w:customStyle="1" w:styleId="RoundBulletL4">
    <w:name w:val="Round Bullet L4"/>
    <w:basedOn w:val="Normal"/>
    <w:qFormat/>
    <w:rsid w:val="0073208E"/>
    <w:pPr>
      <w:numPr>
        <w:ilvl w:val="3"/>
        <w:numId w:val="11"/>
      </w:numPr>
      <w:spacing w:before="120" w:after="120" w:line="276" w:lineRule="auto"/>
    </w:pPr>
    <w:rPr>
      <w:rFonts w:eastAsia="Times New Roman" w:cs="Times New Roman"/>
      <w:color w:val="auto"/>
      <w:sz w:val="20"/>
    </w:rPr>
  </w:style>
  <w:style w:type="numbering" w:customStyle="1" w:styleId="EARoundBullets">
    <w:name w:val="EA Round Bullets"/>
    <w:uiPriority w:val="99"/>
    <w:rsid w:val="0073208E"/>
    <w:pPr>
      <w:numPr>
        <w:numId w:val="7"/>
      </w:numPr>
    </w:pPr>
  </w:style>
  <w:style w:type="paragraph" w:customStyle="1" w:styleId="TableBulletL1">
    <w:name w:val="Table Bullet L1"/>
    <w:basedOn w:val="Normal"/>
    <w:qFormat/>
    <w:rsid w:val="0073208E"/>
    <w:pPr>
      <w:numPr>
        <w:numId w:val="12"/>
      </w:numPr>
      <w:spacing w:before="60" w:after="60" w:line="240" w:lineRule="auto"/>
      <w:ind w:right="85"/>
    </w:pPr>
    <w:rPr>
      <w:rFonts w:eastAsia="Times New Roman" w:cs="Times New Roman"/>
      <w:color w:val="auto"/>
      <w:sz w:val="20"/>
    </w:rPr>
  </w:style>
  <w:style w:type="paragraph" w:customStyle="1" w:styleId="TableBulletL2">
    <w:name w:val="Table Bullet L2"/>
    <w:basedOn w:val="Normal"/>
    <w:qFormat/>
    <w:rsid w:val="0073208E"/>
    <w:pPr>
      <w:numPr>
        <w:ilvl w:val="1"/>
        <w:numId w:val="12"/>
      </w:numPr>
      <w:spacing w:before="60" w:after="60" w:line="240" w:lineRule="auto"/>
      <w:ind w:right="85"/>
    </w:pPr>
    <w:rPr>
      <w:rFonts w:eastAsia="Times New Roman" w:cs="Times New Roman"/>
      <w:color w:val="auto"/>
      <w:sz w:val="20"/>
    </w:rPr>
  </w:style>
  <w:style w:type="paragraph" w:customStyle="1" w:styleId="TableBulletL3">
    <w:name w:val="Table Bullet L3"/>
    <w:basedOn w:val="Normal"/>
    <w:qFormat/>
    <w:rsid w:val="0073208E"/>
    <w:pPr>
      <w:numPr>
        <w:ilvl w:val="2"/>
        <w:numId w:val="12"/>
      </w:numPr>
      <w:spacing w:before="60" w:after="60" w:line="240" w:lineRule="auto"/>
      <w:ind w:right="85"/>
    </w:pPr>
    <w:rPr>
      <w:rFonts w:eastAsia="Times New Roman" w:cs="Times New Roman"/>
      <w:color w:val="auto"/>
      <w:sz w:val="20"/>
    </w:rPr>
  </w:style>
  <w:style w:type="paragraph" w:customStyle="1" w:styleId="AlphaBulletL1">
    <w:name w:val="Alpha Bullet L1"/>
    <w:basedOn w:val="Normal"/>
    <w:qFormat/>
    <w:rsid w:val="0073208E"/>
    <w:pPr>
      <w:numPr>
        <w:numId w:val="9"/>
      </w:numPr>
      <w:spacing w:before="120" w:after="120" w:line="276" w:lineRule="auto"/>
    </w:pPr>
    <w:rPr>
      <w:rFonts w:eastAsia="Times New Roman" w:cs="Times New Roman"/>
      <w:color w:val="auto"/>
      <w:sz w:val="20"/>
    </w:rPr>
  </w:style>
  <w:style w:type="paragraph" w:customStyle="1" w:styleId="AlphaBulletL2">
    <w:name w:val="Alpha Bullet L2"/>
    <w:basedOn w:val="Normal"/>
    <w:qFormat/>
    <w:rsid w:val="0073208E"/>
    <w:pPr>
      <w:numPr>
        <w:ilvl w:val="1"/>
        <w:numId w:val="9"/>
      </w:numPr>
      <w:spacing w:before="120" w:after="120" w:line="276" w:lineRule="auto"/>
    </w:pPr>
    <w:rPr>
      <w:rFonts w:eastAsia="Times New Roman" w:cs="Times New Roman"/>
      <w:color w:val="auto"/>
      <w:sz w:val="20"/>
    </w:rPr>
  </w:style>
  <w:style w:type="paragraph" w:customStyle="1" w:styleId="AlphaBulletL3">
    <w:name w:val="Alpha Bullet L3"/>
    <w:basedOn w:val="Normal"/>
    <w:qFormat/>
    <w:rsid w:val="0073208E"/>
    <w:pPr>
      <w:numPr>
        <w:ilvl w:val="2"/>
        <w:numId w:val="9"/>
      </w:numPr>
      <w:spacing w:before="120" w:after="120" w:line="276" w:lineRule="auto"/>
    </w:pPr>
    <w:rPr>
      <w:rFonts w:eastAsia="Times New Roman" w:cs="Times New Roman"/>
      <w:color w:val="auto"/>
      <w:sz w:val="20"/>
    </w:rPr>
  </w:style>
  <w:style w:type="paragraph" w:customStyle="1" w:styleId="AlphaBulletL4">
    <w:name w:val="Alpha Bullet L4"/>
    <w:basedOn w:val="Normal"/>
    <w:qFormat/>
    <w:rsid w:val="0073208E"/>
    <w:pPr>
      <w:numPr>
        <w:ilvl w:val="3"/>
        <w:numId w:val="9"/>
      </w:numPr>
      <w:spacing w:before="120" w:after="120" w:line="276" w:lineRule="auto"/>
    </w:pPr>
    <w:rPr>
      <w:rFonts w:eastAsia="Times New Roman" w:cs="Times New Roman"/>
      <w:color w:val="auto"/>
      <w:sz w:val="20"/>
    </w:rPr>
  </w:style>
  <w:style w:type="numbering" w:customStyle="1" w:styleId="EAAlphaBullets">
    <w:name w:val="EA Alpha Bullets"/>
    <w:uiPriority w:val="99"/>
    <w:rsid w:val="0073208E"/>
    <w:pPr>
      <w:numPr>
        <w:numId w:val="9"/>
      </w:numPr>
    </w:pPr>
  </w:style>
  <w:style w:type="paragraph" w:customStyle="1" w:styleId="RomanBulletL1">
    <w:name w:val="Roman Bullet L1"/>
    <w:basedOn w:val="Normal"/>
    <w:qFormat/>
    <w:rsid w:val="0073208E"/>
    <w:pPr>
      <w:numPr>
        <w:numId w:val="10"/>
      </w:numPr>
      <w:spacing w:before="120" w:after="120" w:line="276" w:lineRule="auto"/>
    </w:pPr>
    <w:rPr>
      <w:rFonts w:eastAsia="Times New Roman" w:cs="Times New Roman"/>
      <w:color w:val="auto"/>
      <w:sz w:val="20"/>
    </w:rPr>
  </w:style>
  <w:style w:type="paragraph" w:customStyle="1" w:styleId="RomanBulletL2">
    <w:name w:val="Roman Bullet L2"/>
    <w:basedOn w:val="Normal"/>
    <w:qFormat/>
    <w:rsid w:val="0073208E"/>
    <w:pPr>
      <w:numPr>
        <w:ilvl w:val="1"/>
        <w:numId w:val="10"/>
      </w:numPr>
      <w:spacing w:before="120" w:after="120" w:line="276" w:lineRule="auto"/>
    </w:pPr>
    <w:rPr>
      <w:rFonts w:eastAsia="Times New Roman" w:cs="Times New Roman"/>
      <w:color w:val="auto"/>
      <w:sz w:val="20"/>
    </w:rPr>
  </w:style>
  <w:style w:type="paragraph" w:customStyle="1" w:styleId="RomanBulletL3">
    <w:name w:val="Roman Bullet L3"/>
    <w:basedOn w:val="Normal"/>
    <w:qFormat/>
    <w:rsid w:val="0073208E"/>
    <w:pPr>
      <w:numPr>
        <w:ilvl w:val="2"/>
        <w:numId w:val="10"/>
      </w:numPr>
      <w:spacing w:before="120" w:after="120" w:line="276" w:lineRule="auto"/>
    </w:pPr>
    <w:rPr>
      <w:rFonts w:eastAsia="Times New Roman" w:cs="Times New Roman"/>
      <w:color w:val="auto"/>
      <w:sz w:val="20"/>
    </w:rPr>
  </w:style>
  <w:style w:type="paragraph" w:customStyle="1" w:styleId="RomanBulletL4">
    <w:name w:val="Roman Bullet L4"/>
    <w:basedOn w:val="Normal"/>
    <w:qFormat/>
    <w:rsid w:val="0073208E"/>
    <w:pPr>
      <w:numPr>
        <w:ilvl w:val="3"/>
        <w:numId w:val="10"/>
      </w:numPr>
      <w:spacing w:before="120" w:after="120" w:line="276" w:lineRule="auto"/>
    </w:pPr>
    <w:rPr>
      <w:rFonts w:eastAsia="Times New Roman" w:cs="Times New Roman"/>
      <w:color w:val="auto"/>
      <w:sz w:val="20"/>
    </w:rPr>
  </w:style>
  <w:style w:type="numbering" w:customStyle="1" w:styleId="EARomanBullets">
    <w:name w:val="EA Roman Bullets"/>
    <w:uiPriority w:val="99"/>
    <w:rsid w:val="0073208E"/>
    <w:pPr>
      <w:numPr>
        <w:numId w:val="10"/>
      </w:numPr>
    </w:pPr>
  </w:style>
  <w:style w:type="character" w:customStyle="1" w:styleId="BlueBold">
    <w:name w:val="Blue (Bold)"/>
    <w:uiPriority w:val="1"/>
    <w:qFormat/>
    <w:rsid w:val="0073208E"/>
    <w:rPr>
      <w:b/>
      <w:color w:val="0000FF"/>
    </w:rPr>
  </w:style>
  <w:style w:type="character" w:customStyle="1" w:styleId="PinkBold">
    <w:name w:val="Pink (Bold)"/>
    <w:uiPriority w:val="1"/>
    <w:qFormat/>
    <w:rsid w:val="0073208E"/>
    <w:rPr>
      <w:b/>
      <w:color w:val="FF00FF"/>
    </w:rPr>
  </w:style>
  <w:style w:type="character" w:customStyle="1" w:styleId="RedBold">
    <w:name w:val="Red (Bold)"/>
    <w:uiPriority w:val="1"/>
    <w:qFormat/>
    <w:rsid w:val="0073208E"/>
    <w:rPr>
      <w:b/>
      <w:color w:val="FF0000"/>
    </w:rPr>
  </w:style>
  <w:style w:type="paragraph" w:styleId="NoSpacing">
    <w:name w:val="No Spacing"/>
    <w:uiPriority w:val="1"/>
    <w:qFormat/>
    <w:locked/>
    <w:rsid w:val="0073208E"/>
    <w:pPr>
      <w:spacing w:after="0" w:line="276" w:lineRule="auto"/>
    </w:pPr>
    <w:rPr>
      <w:rFonts w:eastAsia="Times New Roman" w:cs="Times New Roman"/>
      <w:color w:val="auto"/>
      <w:sz w:val="20"/>
    </w:rPr>
  </w:style>
  <w:style w:type="paragraph" w:styleId="FootnoteText">
    <w:name w:val="footnote text"/>
    <w:basedOn w:val="Normal"/>
    <w:link w:val="FootnoteTextChar"/>
    <w:locked/>
    <w:rsid w:val="0073208E"/>
    <w:pPr>
      <w:spacing w:after="0" w:line="240" w:lineRule="auto"/>
    </w:pPr>
    <w:rPr>
      <w:rFonts w:eastAsia="Times New Roman" w:cs="Times New Roman"/>
      <w:color w:val="auto"/>
      <w:sz w:val="20"/>
      <w:szCs w:val="20"/>
    </w:rPr>
  </w:style>
  <w:style w:type="character" w:customStyle="1" w:styleId="FootnoteTextChar">
    <w:name w:val="Footnote Text Char"/>
    <w:basedOn w:val="DefaultParagraphFont"/>
    <w:link w:val="FootnoteText"/>
    <w:rsid w:val="0073208E"/>
    <w:rPr>
      <w:rFonts w:eastAsia="Times New Roman" w:cs="Times New Roman"/>
      <w:color w:val="auto"/>
      <w:sz w:val="20"/>
      <w:szCs w:val="20"/>
    </w:rPr>
  </w:style>
  <w:style w:type="character" w:styleId="FootnoteReference">
    <w:name w:val="footnote reference"/>
    <w:locked/>
    <w:rsid w:val="0073208E"/>
    <w:rPr>
      <w:vertAlign w:val="superscript"/>
    </w:rPr>
  </w:style>
  <w:style w:type="paragraph" w:customStyle="1" w:styleId="Default">
    <w:name w:val="Default"/>
    <w:rsid w:val="0073208E"/>
    <w:pPr>
      <w:autoSpaceDE w:val="0"/>
      <w:autoSpaceDN w:val="0"/>
      <w:adjustRightInd w:val="0"/>
      <w:spacing w:after="0" w:line="240" w:lineRule="auto"/>
    </w:pPr>
    <w:rPr>
      <w:rFonts w:eastAsia="Times New Roman" w:cs="Arial"/>
      <w:color w:val="000000"/>
      <w:lang w:eastAsia="en-GB"/>
    </w:rPr>
  </w:style>
  <w:style w:type="paragraph" w:customStyle="1" w:styleId="08BODYCOPYGREEN">
    <w:name w:val="08 BODY COPY (GREEN)"/>
    <w:rsid w:val="0073208E"/>
    <w:pPr>
      <w:spacing w:before="160" w:after="160" w:line="240" w:lineRule="auto"/>
    </w:pPr>
    <w:rPr>
      <w:rFonts w:eastAsia="Times New Roman" w:cs="Times New Roman"/>
      <w:color w:val="455A21"/>
      <w:sz w:val="22"/>
      <w:szCs w:val="22"/>
    </w:rPr>
  </w:style>
  <w:style w:type="paragraph" w:customStyle="1" w:styleId="09BULLETROUNDGREEN">
    <w:name w:val="09 BULLET ROUND (GREEN)"/>
    <w:qFormat/>
    <w:rsid w:val="0073208E"/>
    <w:pPr>
      <w:numPr>
        <w:numId w:val="13"/>
      </w:numPr>
      <w:spacing w:before="80" w:after="80" w:line="240" w:lineRule="auto"/>
      <w:ind w:left="340" w:hanging="340"/>
    </w:pPr>
    <w:rPr>
      <w:rFonts w:eastAsia="Times New Roman" w:cs="Times New Roman"/>
      <w:color w:val="455A21"/>
      <w:sz w:val="22"/>
      <w:szCs w:val="22"/>
    </w:rPr>
  </w:style>
  <w:style w:type="paragraph" w:customStyle="1" w:styleId="Heading3nonum">
    <w:name w:val="Heading 3 nonum"/>
    <w:basedOn w:val="Heading3"/>
    <w:link w:val="Heading3nonumChar"/>
    <w:uiPriority w:val="99"/>
    <w:rsid w:val="0073208E"/>
    <w:pPr>
      <w:keepNext w:val="0"/>
      <w:widowControl w:val="0"/>
      <w:spacing w:before="120" w:after="0" w:line="270" w:lineRule="exact"/>
    </w:pPr>
    <w:rPr>
      <w:rFonts w:ascii="Arial" w:eastAsia="Times New Roman" w:hAnsi="Arial" w:cs="Times New Roman"/>
      <w:color w:val="000000"/>
      <w:sz w:val="18"/>
      <w:szCs w:val="20"/>
    </w:rPr>
  </w:style>
  <w:style w:type="character" w:customStyle="1" w:styleId="Heading3nonumChar">
    <w:name w:val="Heading 3 nonum Char"/>
    <w:link w:val="Heading3nonum"/>
    <w:uiPriority w:val="99"/>
    <w:rsid w:val="0073208E"/>
    <w:rPr>
      <w:rFonts w:eastAsia="Times New Roman" w:cs="Times New Roman"/>
      <w:color w:val="000000"/>
      <w:sz w:val="18"/>
      <w:szCs w:val="20"/>
    </w:rPr>
  </w:style>
  <w:style w:type="paragraph" w:customStyle="1" w:styleId="Draftingnote">
    <w:name w:val="Drafting note"/>
    <w:basedOn w:val="Heading4"/>
    <w:link w:val="DraftingnoteChar"/>
    <w:rsid w:val="0073208E"/>
    <w:pPr>
      <w:keepNext w:val="0"/>
      <w:widowControl w:val="0"/>
      <w:tabs>
        <w:tab w:val="left" w:pos="284"/>
      </w:tabs>
      <w:spacing w:before="60" w:after="0" w:line="270" w:lineRule="exact"/>
    </w:pPr>
    <w:rPr>
      <w:rFonts w:ascii="Arial" w:eastAsia="Times New Roman" w:hAnsi="Arial" w:cs="Times New Roman"/>
      <w:iCs w:val="0"/>
      <w:color w:val="FF00FF"/>
      <w:sz w:val="18"/>
      <w:szCs w:val="20"/>
      <w:lang w:val="x-none" w:eastAsia="x-none"/>
    </w:rPr>
  </w:style>
  <w:style w:type="character" w:customStyle="1" w:styleId="DraftingnoteChar">
    <w:name w:val="Drafting note Char"/>
    <w:link w:val="Draftingnote"/>
    <w:rsid w:val="0073208E"/>
    <w:rPr>
      <w:rFonts w:eastAsia="Times New Roman" w:cs="Times New Roman"/>
      <w:i/>
      <w:color w:val="FF00FF"/>
      <w:sz w:val="18"/>
      <w:szCs w:val="20"/>
      <w:lang w:val="x-none" w:eastAsia="x-none"/>
    </w:rPr>
  </w:style>
  <w:style w:type="paragraph" w:styleId="BodyText">
    <w:name w:val="Body Text"/>
    <w:basedOn w:val="Normal"/>
    <w:link w:val="BodyTextChar"/>
    <w:locked/>
    <w:rsid w:val="0073208E"/>
    <w:pPr>
      <w:spacing w:after="0" w:line="240" w:lineRule="auto"/>
    </w:pPr>
    <w:rPr>
      <w:rFonts w:ascii="Times New Roman" w:eastAsia="Times New Roman" w:hAnsi="Times New Roman" w:cs="Times New Roman"/>
      <w:color w:val="000000"/>
      <w:szCs w:val="20"/>
      <w:lang w:eastAsia="en-GB"/>
    </w:rPr>
  </w:style>
  <w:style w:type="character" w:customStyle="1" w:styleId="BodyTextChar">
    <w:name w:val="Body Text Char"/>
    <w:basedOn w:val="DefaultParagraphFont"/>
    <w:link w:val="BodyText"/>
    <w:rsid w:val="0073208E"/>
    <w:rPr>
      <w:rFonts w:ascii="Times New Roman" w:eastAsia="Times New Roman" w:hAnsi="Times New Roman" w:cs="Times New Roman"/>
      <w:color w:val="000000"/>
      <w:szCs w:val="20"/>
      <w:lang w:eastAsia="en-GB"/>
    </w:rPr>
  </w:style>
  <w:style w:type="table" w:customStyle="1" w:styleId="TableGrid1">
    <w:name w:val="Table Grid1"/>
    <w:basedOn w:val="TableNormal"/>
    <w:next w:val="TableGrid"/>
    <w:uiPriority w:val="59"/>
    <w:rsid w:val="0073208E"/>
    <w:pPr>
      <w:spacing w:after="0" w:line="240" w:lineRule="auto"/>
    </w:pPr>
    <w:rPr>
      <w:rFonts w:ascii="Calibri" w:eastAsia="Calibri" w:hAnsi="Calibri" w:cs="Times New Roman"/>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SideHeadings">
    <w:name w:val="Agency Side Headings"/>
    <w:autoRedefine/>
    <w:rsid w:val="0073208E"/>
    <w:pPr>
      <w:spacing w:after="0" w:line="240" w:lineRule="auto"/>
    </w:pPr>
    <w:rPr>
      <w:rFonts w:eastAsia="Times New Roman" w:cs="Arial"/>
      <w:color w:val="FF0000"/>
      <w:lang w:eastAsia="en-GB"/>
    </w:rPr>
  </w:style>
  <w:style w:type="paragraph" w:styleId="TOC4">
    <w:name w:val="toc 4"/>
    <w:basedOn w:val="Normal"/>
    <w:next w:val="Normal"/>
    <w:autoRedefine/>
    <w:uiPriority w:val="39"/>
    <w:unhideWhenUsed/>
    <w:rsid w:val="0073208E"/>
    <w:pPr>
      <w:spacing w:after="0" w:line="240" w:lineRule="auto"/>
      <w:ind w:left="720"/>
    </w:pPr>
    <w:rPr>
      <w:rFonts w:ascii="Calibri" w:eastAsia="Times New Roman" w:hAnsi="Calibri" w:cs="Calibri"/>
      <w:color w:val="auto"/>
      <w:sz w:val="20"/>
      <w:szCs w:val="20"/>
      <w:lang w:eastAsia="en-GB"/>
    </w:rPr>
  </w:style>
  <w:style w:type="paragraph" w:styleId="TOC5">
    <w:name w:val="toc 5"/>
    <w:basedOn w:val="Normal"/>
    <w:next w:val="Normal"/>
    <w:autoRedefine/>
    <w:uiPriority w:val="39"/>
    <w:unhideWhenUsed/>
    <w:locked/>
    <w:rsid w:val="0073208E"/>
    <w:pPr>
      <w:spacing w:after="0" w:line="240" w:lineRule="auto"/>
      <w:ind w:left="960"/>
    </w:pPr>
    <w:rPr>
      <w:rFonts w:ascii="Calibri" w:eastAsia="Times New Roman" w:hAnsi="Calibri" w:cs="Calibri"/>
      <w:color w:val="auto"/>
      <w:sz w:val="20"/>
      <w:szCs w:val="20"/>
      <w:lang w:eastAsia="en-GB"/>
    </w:rPr>
  </w:style>
  <w:style w:type="paragraph" w:styleId="TOC6">
    <w:name w:val="toc 6"/>
    <w:basedOn w:val="Normal"/>
    <w:next w:val="Normal"/>
    <w:autoRedefine/>
    <w:uiPriority w:val="39"/>
    <w:unhideWhenUsed/>
    <w:locked/>
    <w:rsid w:val="0073208E"/>
    <w:pPr>
      <w:spacing w:after="0" w:line="240" w:lineRule="auto"/>
      <w:ind w:left="1200"/>
    </w:pPr>
    <w:rPr>
      <w:rFonts w:ascii="Calibri" w:eastAsia="Times New Roman" w:hAnsi="Calibri" w:cs="Calibri"/>
      <w:color w:val="auto"/>
      <w:sz w:val="20"/>
      <w:szCs w:val="20"/>
      <w:lang w:eastAsia="en-GB"/>
    </w:rPr>
  </w:style>
  <w:style w:type="paragraph" w:styleId="TOC7">
    <w:name w:val="toc 7"/>
    <w:basedOn w:val="Normal"/>
    <w:next w:val="Normal"/>
    <w:autoRedefine/>
    <w:uiPriority w:val="39"/>
    <w:unhideWhenUsed/>
    <w:locked/>
    <w:rsid w:val="0073208E"/>
    <w:pPr>
      <w:spacing w:after="0" w:line="240" w:lineRule="auto"/>
      <w:ind w:left="1440"/>
    </w:pPr>
    <w:rPr>
      <w:rFonts w:ascii="Calibri" w:eastAsia="Times New Roman" w:hAnsi="Calibri" w:cs="Calibri"/>
      <w:color w:val="auto"/>
      <w:sz w:val="20"/>
      <w:szCs w:val="20"/>
      <w:lang w:eastAsia="en-GB"/>
    </w:rPr>
  </w:style>
  <w:style w:type="paragraph" w:styleId="TOC8">
    <w:name w:val="toc 8"/>
    <w:basedOn w:val="Normal"/>
    <w:next w:val="Normal"/>
    <w:autoRedefine/>
    <w:uiPriority w:val="39"/>
    <w:unhideWhenUsed/>
    <w:locked/>
    <w:rsid w:val="0073208E"/>
    <w:pPr>
      <w:spacing w:after="0" w:line="240" w:lineRule="auto"/>
      <w:ind w:left="1680"/>
    </w:pPr>
    <w:rPr>
      <w:rFonts w:ascii="Calibri" w:eastAsia="Times New Roman" w:hAnsi="Calibri" w:cs="Calibri"/>
      <w:color w:val="auto"/>
      <w:sz w:val="20"/>
      <w:szCs w:val="20"/>
      <w:lang w:eastAsia="en-GB"/>
    </w:rPr>
  </w:style>
  <w:style w:type="paragraph" w:styleId="TOC9">
    <w:name w:val="toc 9"/>
    <w:basedOn w:val="Normal"/>
    <w:next w:val="Normal"/>
    <w:autoRedefine/>
    <w:uiPriority w:val="39"/>
    <w:unhideWhenUsed/>
    <w:locked/>
    <w:rsid w:val="0073208E"/>
    <w:pPr>
      <w:spacing w:after="0" w:line="240" w:lineRule="auto"/>
      <w:ind w:left="1920"/>
    </w:pPr>
    <w:rPr>
      <w:rFonts w:ascii="Calibri" w:eastAsia="Times New Roman" w:hAnsi="Calibri" w:cs="Calibri"/>
      <w:color w:val="auto"/>
      <w:sz w:val="20"/>
      <w:szCs w:val="20"/>
      <w:lang w:eastAsia="en-GB"/>
    </w:rPr>
  </w:style>
  <w:style w:type="paragraph" w:customStyle="1" w:styleId="Maintextgreen">
    <w:name w:val="Main text green"/>
    <w:basedOn w:val="Normal"/>
    <w:qFormat/>
    <w:rsid w:val="0073208E"/>
    <w:pPr>
      <w:spacing w:after="120" w:line="240" w:lineRule="auto"/>
    </w:pPr>
    <w:rPr>
      <w:rFonts w:eastAsia="Arial" w:cs="Calibri"/>
      <w:color w:val="455A21"/>
      <w:sz w:val="22"/>
      <w:szCs w:val="22"/>
    </w:rPr>
  </w:style>
  <w:style w:type="table" w:customStyle="1" w:styleId="TableGrid11">
    <w:name w:val="Table Grid11"/>
    <w:basedOn w:val="TableNormal"/>
    <w:rsid w:val="0073208E"/>
    <w:pPr>
      <w:spacing w:after="0" w:line="240" w:lineRule="auto"/>
      <w:ind w:left="85" w:right="85"/>
    </w:pPr>
    <w:rPr>
      <w:rFonts w:ascii="Times New Roman" w:eastAsia="Times New Roman" w:hAnsi="Times New Roman" w:cs="Times New Roman"/>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cs="Times New Roman"/>
        <w:b/>
      </w:rPr>
    </w:tblStylePr>
  </w:style>
  <w:style w:type="character" w:customStyle="1" w:styleId="normaltextrun">
    <w:name w:val="normaltextrun"/>
    <w:basedOn w:val="DefaultParagraphFont"/>
    <w:rsid w:val="0073208E"/>
  </w:style>
  <w:style w:type="character" w:customStyle="1" w:styleId="cf01">
    <w:name w:val="cf01"/>
    <w:basedOn w:val="DefaultParagraphFont"/>
    <w:rsid w:val="0073208E"/>
    <w:rPr>
      <w:rFonts w:ascii="Segoe UI" w:hAnsi="Segoe UI" w:cs="Segoe UI" w:hint="default"/>
      <w:sz w:val="18"/>
      <w:szCs w:val="18"/>
    </w:rPr>
  </w:style>
  <w:style w:type="paragraph" w:customStyle="1" w:styleId="pf0">
    <w:name w:val="pf0"/>
    <w:basedOn w:val="Normal"/>
    <w:rsid w:val="00056B94"/>
    <w:pPr>
      <w:spacing w:before="100" w:beforeAutospacing="1" w:after="100" w:afterAutospacing="1" w:line="240" w:lineRule="auto"/>
      <w:ind w:left="720"/>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10305653">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876309895">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082332109">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33613464">
      <w:bodyDiv w:val="1"/>
      <w:marLeft w:val="0"/>
      <w:marRight w:val="0"/>
      <w:marTop w:val="0"/>
      <w:marBottom w:val="0"/>
      <w:divBdr>
        <w:top w:val="none" w:sz="0" w:space="0" w:color="auto"/>
        <w:left w:val="none" w:sz="0" w:space="0" w:color="auto"/>
        <w:bottom w:val="none" w:sz="0" w:space="0" w:color="auto"/>
        <w:right w:val="none" w:sz="0" w:space="0" w:color="auto"/>
      </w:divBdr>
    </w:div>
    <w:div w:id="1250895276">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59848299">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government/uploads/system/uploads/attachment_data/file/297084/geho0110brsb-e-e.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eur-lex.europa.eu/legal-content/EN/TXT/PDF/?uri=CELEX:32017D0302&amp;from=EN" TargetMode="External"/><Relationship Id="rId17" Type="http://schemas.openxmlformats.org/officeDocument/2006/relationships/hyperlink" Target="bookmark://Key_issues" TargetMode="External"/><Relationship Id="rId2" Type="http://schemas.openxmlformats.org/officeDocument/2006/relationships/customXml" Target="../customXml/item2.xml"/><Relationship Id="rId16" Type="http://schemas.openxmlformats.org/officeDocument/2006/relationships/hyperlink" Target="http://www.gov.uk/guidance/intensive-farming-risk-assessment-for-your-environmental-perm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gov.uk/government/uploads/system/uploads/attachment_data/file/297084/geho0110brsb-e-e.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media/5a7bae98ed915d4147621f5a/geho0110brsc-e-e.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uao3to9_x8_c55jgg3x\Defra\National%20Permitting%20Service%20Installations%20Regime%20-%20Installations%20Regime%20team%20WIP\Harriet\LIT%2073651%20-%20Permitting%20template%20for%20controlled%20content-Defra-8Z44TL3.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0bf4bb02-d3ac-4bac-8125-227db414e5c5">Crown69589897-2828-4761-976e-717fd8e631c9</cf401361b24e474cb011be6eb76c0e76>
    <k85d23755b3a46b5a51451cf336b2e9b xmlns="0bf4bb02-d3ac-4bac-8125-227db414e5c5" xsi:nil="true"/>
    <Topic xmlns="0bf4bb02-d3ac-4bac-8125-227db414e5c5">Installations Regime team WIP</Topic>
    <HOMigrated xmlns="0bf4bb02-d3ac-4bac-8125-227db414e5c5">false</HOMigrated>
    <ddeb1fd0a9ad4436a96525d34737dc44 xmlns="0bf4bb02-d3ac-4bac-8125-227db414e5c5">Internal EAb77da37e-7166-4741-8c12-4679faab22d9</ddeb1fd0a9ad4436a96525d34737dc44>
    <lae2bfa7b6474897ab4a53f76ea236c7 xmlns="0bf4bb02-d3ac-4bac-8125-227db414e5c5">Official14c80daa-741b-422c-9722-f71693c9ede4</lae2bfa7b6474897ab4a53f76ea236c7>
    <fe59e9859d6a491389c5b03567f5dda5 xmlns="0bf4bb02-d3ac-4bac-8125-227db414e5c5">EAd5f78ddb-b1b6-4328-9877-d7e3ed06fdac</fe59e9859d6a491389c5b03567f5dda5>
    <Team xmlns="0bf4bb02-d3ac-4bac-8125-227db414e5c5">National Permitting Service Installations Regime</Team>
    <n7493b4506bf40e28c373b1e51a33445 xmlns="0bf4bb02-d3ac-4bac-8125-227db414e5c5">Teamff0485df-0575-416f-802f-e999165821b7</n7493b4506bf40e28c373b1e51a33445>
    <lcf76f155ced4ddcb4097134ff3c332f xmlns="0bf4bb02-d3ac-4bac-8125-227db414e5c5">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d1117845-93f6-4da3-abaa-fcb4fa669c78" ContentTypeId="0x010100A5BF1C78D9F64B679A5EBDE1C6598EBC01" PreviousValue="false" LastSyncTimeStamp="2024-12-09T17:56:34.99Z"/>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08F3342DBF35F478CB15A977B20E444" ma:contentTypeVersion="1" ma:contentTypeDescription="Create a new document." ma:contentTypeScope="" ma:versionID="01d00372d0cdff24188e351321f2ea44">
  <xsd:schema xmlns:xsd="http://www.w3.org/2001/XMLSchema" xmlns:xs="http://www.w3.org/2001/XMLSchema" xmlns:p="http://schemas.microsoft.com/office/2006/metadata/properties" xmlns:ns2="0bf4bb02-d3ac-4bac-8125-227db414e5c5" xmlns:ns3="662745e8-e224-48e8-a2e3-254862b8c2f5" targetNamespace="http://schemas.microsoft.com/office/2006/metadata/properties" ma:root="true" ma:fieldsID="765a7397d8dc86ea251324588895291a" ns2:_="" ns3:_="">
    <xsd:import namespace="0bf4bb02-d3ac-4bac-8125-227db414e5c5"/>
    <xsd:import namespace="662745e8-e224-48e8-a2e3-254862b8c2f5"/>
    <xsd:element name="properties">
      <xsd:complexType>
        <xsd:sequence>
          <xsd:element name="documentManagement">
            <xsd:complexType>
              <xsd:all>
                <xsd:element ref="ns2:lae2bfa7b6474897ab4a53f76ea236c7" minOccurs="0"/>
                <xsd:element ref="ns3: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SharedWithUsers" minOccurs="0"/>
                <xsd:element ref="ns2:SharedWithDetail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4bb02-d3ac-4bac-8125-227db414e5c5" elementFormDefault="qualified">
    <xsd:import namespace="http://schemas.microsoft.com/office/2006/documentManagement/types"/>
    <xsd:import namespace="http://schemas.microsoft.com/office/infopath/2007/PartnerControls"/>
    <xsd:element name="lae2bfa7b6474897ab4a53f76ea236c7" ma:index="8" nillable="true" ma:displayName="Government Security Classification_0" ma:hidden="true" ma:internalName="lae2bfa7b6474897ab4a53f76ea236c7">
      <xsd:simpleType>
        <xsd:restriction base="dms:Note"/>
      </xsd:simpleType>
    </xsd:element>
    <xsd:element name="TaxCatchAllLabel" ma:index="10" nillable="true" ma:displayName="Taxonomy Catch All Column1" ma:hidden="true" ma:list="{e314b903-0b07-4e5f-bc01-af818658ec35}"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nillable="true" ma:displayName="Copyright level_0" ma:hidden="true" ma:internalName="cf401361b24e474cb011be6eb76c0e76">
      <xsd:simpleType>
        <xsd:restriction base="dms:Note"/>
      </xsd:simpleType>
    </xsd:element>
    <xsd:element name="n7493b4506bf40e28c373b1e51a33445" ma:index="14" nillable="true" ma:displayName="Site type_0" ma:hidden="true" ma:internalName="n7493b4506bf40e28c373b1e51a33445">
      <xsd:simpleType>
        <xsd:restriction base="dms:Note"/>
      </xsd:simpleType>
    </xsd:element>
    <xsd:element name="HOMigrated" ma:index="16" nillable="true" ma:displayName="Migrated" ma:default="0" ma:internalName="HOMigrated">
      <xsd:simpleType>
        <xsd:restriction base="dms:Boolean"/>
      </xsd:simpleType>
    </xsd:element>
    <xsd:element name="k85d23755b3a46b5a51451cf336b2e9b" ma:index="17" nillable="true" ma:displayName="Information Type_0" ma:hidden="true" ma:internalName="k85d23755b3a46b5a51451cf336b2e9b">
      <xsd:simpleType>
        <xsd:restriction base="dms:Note"/>
      </xsd:simpleType>
    </xsd:element>
    <xsd:element name="Team" ma:index="19" nillable="true" ma:displayName="Team" ma:default="National Permitting Service Installations Regime" ma:internalName="Team">
      <xsd:simpleType>
        <xsd:restriction base="dms:Text"/>
      </xsd:simpleType>
    </xsd:element>
    <xsd:element name="Topic" ma:index="20" nillable="true" ma:displayName="Topic" ma:default="Intensive Farming WIP" ma:internalName="Topic">
      <xsd:simpleType>
        <xsd:restriction base="dms:Text"/>
      </xsd:simpleType>
    </xsd:element>
    <xsd:element name="ddeb1fd0a9ad4436a96525d34737dc44" ma:index="21" nillable="true" ma:displayName="Distribution_2" ma:hidden="true" ma:internalName="ddeb1fd0a9ad4436a96525d34737dc44">
      <xsd:simpleType>
        <xsd:restriction base="dms:Note"/>
      </xsd:simpleType>
    </xsd:element>
    <xsd:element name="fe59e9859d6a491389c5b03567f5dda5" ma:index="23" nillable="true" ma:displayName="Organisational Unit_0" ma:hidden="true" ma:internalName="fe59e9859d6a491389c5b03567f5dda5">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e314b903-0b07-4e5f-bc01-af818658ec3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99755C-3197-4B13-9560-1BDE3F5F2580}">
  <ds:schemaRefs>
    <ds:schemaRef ds:uri="http://schemas.microsoft.com/office/2006/metadata/properties"/>
    <ds:schemaRef ds:uri="http://schemas.microsoft.com/office/infopath/2007/PartnerControls"/>
    <ds:schemaRef ds:uri="662745e8-e224-48e8-a2e3-254862b8c2f5"/>
    <ds:schemaRef ds:uri="0bf4bb02-d3ac-4bac-8125-227db414e5c5"/>
  </ds:schemaRefs>
</ds:datastoreItem>
</file>

<file path=customXml/itemProps2.xml><?xml version="1.0" encoding="utf-8"?>
<ds:datastoreItem xmlns:ds="http://schemas.openxmlformats.org/officeDocument/2006/customXml" ds:itemID="{FBB94548-9F92-4466-AFDA-A51EB632BCA9}">
  <ds:schemaRefs>
    <ds:schemaRef ds:uri="Microsoft.SharePoint.Taxonomy.ContentTypeSync"/>
  </ds:schemaRefs>
</ds:datastoreItem>
</file>

<file path=customXml/itemProps3.xml><?xml version="1.0" encoding="utf-8"?>
<ds:datastoreItem xmlns:ds="http://schemas.openxmlformats.org/officeDocument/2006/customXml" ds:itemID="{70611A7C-6641-462B-BC5A-6A8B7AA26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4bb02-d3ac-4bac-8125-227db414e5c5"/>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97F463-2590-474D-9BE8-8070EBB5E88E}">
  <ds:schemaRefs>
    <ds:schemaRef ds:uri="http://schemas.openxmlformats.org/officeDocument/2006/bibliography"/>
  </ds:schemaRefs>
</ds:datastoreItem>
</file>

<file path=customXml/itemProps5.xml><?xml version="1.0" encoding="utf-8"?>
<ds:datastoreItem xmlns:ds="http://schemas.openxmlformats.org/officeDocument/2006/customXml" ds:itemID="{70C9275E-EBFF-433A-8B62-490484EA36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LIT 73651 - Permitting template for controlled content-Defra-8Z44TL3</Template>
  <TotalTime>64</TotalTime>
  <Pages>30</Pages>
  <Words>10100</Words>
  <Characters>55247</Characters>
  <Application>Microsoft Office Word</Application>
  <DocSecurity>0</DocSecurity>
  <Lines>1127</Lines>
  <Paragraphs>484</Paragraphs>
  <ScaleCrop>false</ScaleCrop>
  <HeadingPairs>
    <vt:vector size="2" baseType="variant">
      <vt:variant>
        <vt:lpstr>Title</vt:lpstr>
      </vt:variant>
      <vt:variant>
        <vt:i4>1</vt:i4>
      </vt:variant>
    </vt:vector>
  </HeadingPairs>
  <TitlesOfParts>
    <vt:vector size="1" baseType="lpstr">
      <vt:lpstr>Permitting template for controlled content</vt:lpstr>
    </vt:vector>
  </TitlesOfParts>
  <Company/>
  <LinksUpToDate>false</LinksUpToDate>
  <CharactersWithSpaces>64863</CharactersWithSpaces>
  <SharedDoc>false</SharedDoc>
  <HLinks>
    <vt:vector size="96" baseType="variant">
      <vt:variant>
        <vt:i4>5177453</vt:i4>
      </vt:variant>
      <vt:variant>
        <vt:i4>45</vt:i4>
      </vt:variant>
      <vt:variant>
        <vt:i4>0</vt:i4>
      </vt:variant>
      <vt:variant>
        <vt:i4>5</vt:i4>
      </vt:variant>
      <vt:variant>
        <vt:lpwstr/>
      </vt:variant>
      <vt:variant>
        <vt:lpwstr>Key_issues</vt:lpwstr>
      </vt:variant>
      <vt:variant>
        <vt:i4>5177453</vt:i4>
      </vt:variant>
      <vt:variant>
        <vt:i4>42</vt:i4>
      </vt:variant>
      <vt:variant>
        <vt:i4>0</vt:i4>
      </vt:variant>
      <vt:variant>
        <vt:i4>5</vt:i4>
      </vt:variant>
      <vt:variant>
        <vt:lpwstr/>
      </vt:variant>
      <vt:variant>
        <vt:lpwstr>Key_issues</vt:lpwstr>
      </vt:variant>
      <vt:variant>
        <vt:i4>5177453</vt:i4>
      </vt:variant>
      <vt:variant>
        <vt:i4>39</vt:i4>
      </vt:variant>
      <vt:variant>
        <vt:i4>0</vt:i4>
      </vt:variant>
      <vt:variant>
        <vt:i4>5</vt:i4>
      </vt:variant>
      <vt:variant>
        <vt:lpwstr/>
      </vt:variant>
      <vt:variant>
        <vt:lpwstr>Key_issues</vt:lpwstr>
      </vt:variant>
      <vt:variant>
        <vt:i4>5177453</vt:i4>
      </vt:variant>
      <vt:variant>
        <vt:i4>36</vt:i4>
      </vt:variant>
      <vt:variant>
        <vt:i4>0</vt:i4>
      </vt:variant>
      <vt:variant>
        <vt:i4>5</vt:i4>
      </vt:variant>
      <vt:variant>
        <vt:lpwstr/>
      </vt:variant>
      <vt:variant>
        <vt:lpwstr>Key_issues</vt:lpwstr>
      </vt:variant>
      <vt:variant>
        <vt:i4>5177453</vt:i4>
      </vt:variant>
      <vt:variant>
        <vt:i4>33</vt:i4>
      </vt:variant>
      <vt:variant>
        <vt:i4>0</vt:i4>
      </vt:variant>
      <vt:variant>
        <vt:i4>5</vt:i4>
      </vt:variant>
      <vt:variant>
        <vt:lpwstr/>
      </vt:variant>
      <vt:variant>
        <vt:lpwstr>Key_issues</vt:lpwstr>
      </vt:variant>
      <vt:variant>
        <vt:i4>6488136</vt:i4>
      </vt:variant>
      <vt:variant>
        <vt:i4>30</vt:i4>
      </vt:variant>
      <vt:variant>
        <vt:i4>0</vt:i4>
      </vt:variant>
      <vt:variant>
        <vt:i4>5</vt:i4>
      </vt:variant>
      <vt:variant>
        <vt:lpwstr>bookmark://Key_issues/</vt:lpwstr>
      </vt:variant>
      <vt:variant>
        <vt:lpwstr/>
      </vt:variant>
      <vt:variant>
        <vt:i4>5177453</vt:i4>
      </vt:variant>
      <vt:variant>
        <vt:i4>27</vt:i4>
      </vt:variant>
      <vt:variant>
        <vt:i4>0</vt:i4>
      </vt:variant>
      <vt:variant>
        <vt:i4>5</vt:i4>
      </vt:variant>
      <vt:variant>
        <vt:lpwstr/>
      </vt:variant>
      <vt:variant>
        <vt:lpwstr>Key_issues</vt:lpwstr>
      </vt:variant>
      <vt:variant>
        <vt:i4>7864406</vt:i4>
      </vt:variant>
      <vt:variant>
        <vt:i4>24</vt:i4>
      </vt:variant>
      <vt:variant>
        <vt:i4>0</vt:i4>
      </vt:variant>
      <vt:variant>
        <vt:i4>5</vt:i4>
      </vt:variant>
      <vt:variant>
        <vt:lpwstr/>
      </vt:variant>
      <vt:variant>
        <vt:lpwstr>Consultation_Responses</vt:lpwstr>
      </vt:variant>
      <vt:variant>
        <vt:i4>4587602</vt:i4>
      </vt:variant>
      <vt:variant>
        <vt:i4>21</vt:i4>
      </vt:variant>
      <vt:variant>
        <vt:i4>0</vt:i4>
      </vt:variant>
      <vt:variant>
        <vt:i4>5</vt:i4>
      </vt:variant>
      <vt:variant>
        <vt:lpwstr>http://www.gov.uk/guidance/intensive-farming-risk-assessment-for-your-environmental-permit</vt:lpwstr>
      </vt:variant>
      <vt:variant>
        <vt:lpwstr>air-emissions-dust-and-bioaerosols</vt:lpwstr>
      </vt:variant>
      <vt:variant>
        <vt:i4>4194413</vt:i4>
      </vt:variant>
      <vt:variant>
        <vt:i4>18</vt:i4>
      </vt:variant>
      <vt:variant>
        <vt:i4>0</vt:i4>
      </vt:variant>
      <vt:variant>
        <vt:i4>5</vt:i4>
      </vt:variant>
      <vt:variant>
        <vt:lpwstr>http://www.gov.uk/government/uploads/system/uploads/attachment_data/file/297084/geho0110brsb-e-e.pdf</vt:lpwstr>
      </vt:variant>
      <vt:variant>
        <vt:lpwstr/>
      </vt:variant>
      <vt:variant>
        <vt:i4>1638400</vt:i4>
      </vt:variant>
      <vt:variant>
        <vt:i4>15</vt:i4>
      </vt:variant>
      <vt:variant>
        <vt:i4>0</vt:i4>
      </vt:variant>
      <vt:variant>
        <vt:i4>5</vt:i4>
      </vt:variant>
      <vt:variant>
        <vt:lpwstr>https://assets.publishing.service.gov.uk/media/5a7bae98ed915d4147621f5a/geho0110brsc-e-e.pdf</vt:lpwstr>
      </vt:variant>
      <vt:variant>
        <vt:lpwstr/>
      </vt:variant>
      <vt:variant>
        <vt:i4>4194413</vt:i4>
      </vt:variant>
      <vt:variant>
        <vt:i4>12</vt:i4>
      </vt:variant>
      <vt:variant>
        <vt:i4>0</vt:i4>
      </vt:variant>
      <vt:variant>
        <vt:i4>5</vt:i4>
      </vt:variant>
      <vt:variant>
        <vt:lpwstr>http://www.gov.uk/government/uploads/system/uploads/attachment_data/file/297084/geho0110brsb-e-e.pdf</vt:lpwstr>
      </vt:variant>
      <vt:variant>
        <vt:lpwstr/>
      </vt:variant>
      <vt:variant>
        <vt:i4>3801144</vt:i4>
      </vt:variant>
      <vt:variant>
        <vt:i4>9</vt:i4>
      </vt:variant>
      <vt:variant>
        <vt:i4>0</vt:i4>
      </vt:variant>
      <vt:variant>
        <vt:i4>5</vt:i4>
      </vt:variant>
      <vt:variant>
        <vt:lpwstr>http://eur-lex.europa.eu/legal-content/EN/TXT/PDF/?uri=CELEX:32017D0302&amp;from=EN</vt:lpwstr>
      </vt:variant>
      <vt:variant>
        <vt:lpwstr/>
      </vt:variant>
      <vt:variant>
        <vt:i4>7864406</vt:i4>
      </vt:variant>
      <vt:variant>
        <vt:i4>6</vt:i4>
      </vt:variant>
      <vt:variant>
        <vt:i4>0</vt:i4>
      </vt:variant>
      <vt:variant>
        <vt:i4>5</vt:i4>
      </vt:variant>
      <vt:variant>
        <vt:lpwstr/>
      </vt:variant>
      <vt:variant>
        <vt:lpwstr>Consultation_Responses</vt:lpwstr>
      </vt:variant>
      <vt:variant>
        <vt:i4>7077973</vt:i4>
      </vt:variant>
      <vt:variant>
        <vt:i4>3</vt:i4>
      </vt:variant>
      <vt:variant>
        <vt:i4>0</vt:i4>
      </vt:variant>
      <vt:variant>
        <vt:i4>5</vt:i4>
      </vt:variant>
      <vt:variant>
        <vt:lpwstr/>
      </vt:variant>
      <vt:variant>
        <vt:lpwstr>Decision_considerations</vt:lpwstr>
      </vt:variant>
      <vt:variant>
        <vt:i4>5177453</vt:i4>
      </vt:variant>
      <vt:variant>
        <vt:i4>0</vt:i4>
      </vt:variant>
      <vt:variant>
        <vt:i4>0</vt:i4>
      </vt:variant>
      <vt:variant>
        <vt:i4>5</vt:i4>
      </vt:variant>
      <vt:variant>
        <vt:lpwstr/>
      </vt:variant>
      <vt:variant>
        <vt:lpwstr>Key_issues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Permitting template for controlled content</dc:title>
  <dc:subject/>
  <cp:keywords/>
  <cp:lastModifiedBy>Shannon Nicholson</cp:lastModifiedBy>
  <cp:revision>58</cp:revision>
  <dcterms:created xsi:type="dcterms:W3CDTF">2026-04-14T09:49:00Z</dcterms:created>
  <dcterms:modified xsi:type="dcterms:W3CDTF">2026-04-20T12:13:00Z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c25f93-93f9-45f1-b4d5-53e51b1fb4f3_Enabled">
    <vt:lpwstr>true</vt:lpwstr>
  </property>
  <property fmtid="{D5CDD505-2E9C-101B-9397-08002B2CF9AE}" pid="3" name="MSIP_Label_c7c25f93-93f9-45f1-b4d5-53e51b1fb4f3_SetDate">
    <vt:lpwstr>2024-09-28T20:43:56Z</vt:lpwstr>
  </property>
  <property fmtid="{D5CDD505-2E9C-101B-9397-08002B2CF9AE}" pid="4" name="MSIP_Label_c7c25f93-93f9-45f1-b4d5-53e51b1fb4f3_Method">
    <vt:lpwstr>Standard</vt:lpwstr>
  </property>
  <property fmtid="{D5CDD505-2E9C-101B-9397-08002B2CF9AE}" pid="5" name="MSIP_Label_c7c25f93-93f9-45f1-b4d5-53e51b1fb4f3_Name">
    <vt:lpwstr>- OFFICIAL -</vt:lpwstr>
  </property>
  <property fmtid="{D5CDD505-2E9C-101B-9397-08002B2CF9AE}" pid="6" name="MSIP_Label_c7c25f93-93f9-45f1-b4d5-53e51b1fb4f3_SiteId">
    <vt:lpwstr>770a2450-0227-4c62-90c7-4e38537f1102</vt:lpwstr>
  </property>
  <property fmtid="{D5CDD505-2E9C-101B-9397-08002B2CF9AE}" pid="7" name="MSIP_Label_c7c25f93-93f9-45f1-b4d5-53e51b1fb4f3_ActionId">
    <vt:lpwstr>6c3d4793-7b47-48fd-a8b1-56f84142a70d</vt:lpwstr>
  </property>
  <property fmtid="{D5CDD505-2E9C-101B-9397-08002B2CF9AE}" pid="8" name="MSIP_Label_c7c25f93-93f9-45f1-b4d5-53e51b1fb4f3_ContentBits">
    <vt:lpwstr>3</vt:lpwstr>
  </property>
  <property fmtid="{D5CDD505-2E9C-101B-9397-08002B2CF9AE}" pid="9" name="AuthorIds_UIVersion_513">
    <vt:lpwstr>9</vt:lpwstr>
  </property>
  <property fmtid="{D5CDD505-2E9C-101B-9397-08002B2CF9AE}" pid="10" name="AuthorIds_UIVersion_514">
    <vt:lpwstr>9</vt:lpwstr>
  </property>
  <property fmtid="{D5CDD505-2E9C-101B-9397-08002B2CF9AE}" pid="11" name="ClassificationContentMarkingFooterShapeIds">
    <vt:lpwstr>654832cf,7592781f,7557113</vt:lpwstr>
  </property>
  <property fmtid="{D5CDD505-2E9C-101B-9397-08002B2CF9AE}" pid="12" name="ClassificationContentMarkingHeaderShapeIds">
    <vt:lpwstr>714f10cf,60bad5b8,1d4c54d</vt:lpwstr>
  </property>
  <property fmtid="{D5CDD505-2E9C-101B-9397-08002B2CF9AE}" pid="13" name="AuthorIds_UIVersion_515">
    <vt:lpwstr>9</vt:lpwstr>
  </property>
  <property fmtid="{D5CDD505-2E9C-101B-9397-08002B2CF9AE}" pid="14" name="ClassificationContentMarkingFooterFontProps">
    <vt:lpwstr>#000000,10,Calibri</vt:lpwstr>
  </property>
  <property fmtid="{D5CDD505-2E9C-101B-9397-08002B2CF9AE}" pid="15" name="_dlc_DocIdItemGuid">
    <vt:lpwstr>f17b336c-f5c8-4e2f-b82b-7f81f6879540</vt:lpwstr>
  </property>
  <property fmtid="{D5CDD505-2E9C-101B-9397-08002B2CF9AE}" pid="16" name="ClassificationContentMarkingFooterText">
    <vt:lpwstr>OFFICIAL</vt:lpwstr>
  </property>
  <property fmtid="{D5CDD505-2E9C-101B-9397-08002B2CF9AE}" pid="17" name="ClassificationContentMarkingHeaderText">
    <vt:lpwstr>OFFICIAL</vt:lpwstr>
  </property>
  <property fmtid="{D5CDD505-2E9C-101B-9397-08002B2CF9AE}" pid="18" name="MediaServiceImageTags">
    <vt:lpwstr/>
  </property>
  <property fmtid="{D5CDD505-2E9C-101B-9397-08002B2CF9AE}" pid="19" name="ClassificationContentMarkingHeaderFontProps">
    <vt:lpwstr>#000000,10,Calibri</vt:lpwstr>
  </property>
  <property fmtid="{D5CDD505-2E9C-101B-9397-08002B2CF9AE}" pid="20" name="InformationType">
    <vt:lpwstr/>
  </property>
  <property fmtid="{D5CDD505-2E9C-101B-9397-08002B2CF9AE}" pid="21" name="Distribution">
    <vt:lpwstr>9;#Internal EA|b77da37e-7166-4741-8c12-4679faab22d9</vt:lpwstr>
  </property>
  <property fmtid="{D5CDD505-2E9C-101B-9397-08002B2CF9AE}" pid="22" name="HOCopyrightLevel">
    <vt:lpwstr>7;#Crown|69589897-2828-4761-976e-717fd8e631c9</vt:lpwstr>
  </property>
  <property fmtid="{D5CDD505-2E9C-101B-9397-08002B2CF9AE}" pid="23" name="HOGovernmentSecurityClassification">
    <vt:lpwstr>6;#Official|14c80daa-741b-422c-9722-f71693c9ede4</vt:lpwstr>
  </property>
  <property fmtid="{D5CDD505-2E9C-101B-9397-08002B2CF9AE}" pid="24" name="OrganisationalUnit">
    <vt:lpwstr>8;#EA|d5f78ddb-b1b6-4328-9877-d7e3ed06fdac</vt:lpwstr>
  </property>
  <property fmtid="{D5CDD505-2E9C-101B-9397-08002B2CF9AE}" pid="25" name="HOSiteType">
    <vt:lpwstr>10;#Team|ff0485df-0575-416f-802f-e999165821b7</vt:lpwstr>
  </property>
  <property fmtid="{D5CDD505-2E9C-101B-9397-08002B2CF9AE}" pid="26" name="docLang">
    <vt:lpwstr>en</vt:lpwstr>
  </property>
  <property fmtid="{D5CDD505-2E9C-101B-9397-08002B2CF9AE}" pid="27" name="ContentTypeId">
    <vt:lpwstr>0x010100A5BF1C78D9F64B679A5EBDE1C6598EBC0100608F3342DBF35F478CB15A977B20E444</vt:lpwstr>
  </property>
  <property fmtid="{D5CDD505-2E9C-101B-9397-08002B2CF9AE}" pid="28" name="k85d23755b3a46b5a51451cf336b2e9b0">
    <vt:lpwstr/>
  </property>
  <property fmtid="{D5CDD505-2E9C-101B-9397-08002B2CF9AE}" pid="29" name="ddeb1fd0a9ad4436a96525d34737dc440">
    <vt:lpwstr>Internal EA|b77da37e-7166-4741-8c12-4679faab22d9</vt:lpwstr>
  </property>
  <property fmtid="{D5CDD505-2E9C-101B-9397-08002B2CF9AE}" pid="30" name="n7493b4506bf40e28c373b1e51a334450">
    <vt:lpwstr>Team|ff0485df-0575-416f-802f-e999165821b7</vt:lpwstr>
  </property>
  <property fmtid="{D5CDD505-2E9C-101B-9397-08002B2CF9AE}" pid="31" name="lae2bfa7b6474897ab4a53f76ea236c70">
    <vt:lpwstr>Official|14c80daa-741b-422c-9722-f71693c9ede4</vt:lpwstr>
  </property>
  <property fmtid="{D5CDD505-2E9C-101B-9397-08002B2CF9AE}" pid="32" name="fe59e9859d6a491389c5b03567f5dda50">
    <vt:lpwstr>EA|d5f78ddb-b1b6-4328-9877-d7e3ed06fdac</vt:lpwstr>
  </property>
  <property fmtid="{D5CDD505-2E9C-101B-9397-08002B2CF9AE}" pid="33" name="cf401361b24e474cb011be6eb76c0e760">
    <vt:lpwstr>Crown|69589897-2828-4761-976e-717fd8e631c9</vt:lpwstr>
  </property>
</Properties>
</file>