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16E72" w14:textId="77777777" w:rsidR="00CE4E55" w:rsidRDefault="00CE4E55" w:rsidP="00CE4E55">
      <w:pPr>
        <w:pStyle w:val="Conditions1"/>
        <w:numPr>
          <w:ilvl w:val="0"/>
          <w:numId w:val="0"/>
        </w:numPr>
      </w:pPr>
      <w:r>
        <w:rPr>
          <w:noProof/>
        </w:rPr>
        <w:drawing>
          <wp:inline distT="0" distB="0" distL="0" distR="0" wp14:anchorId="70AA1306" wp14:editId="7F704F3F">
            <wp:extent cx="3035935" cy="359410"/>
            <wp:effectExtent l="0" t="0" r="0" b="2540"/>
            <wp:docPr id="1987044769"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044769" name="Picture 3"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5935" cy="359410"/>
                    </a:xfrm>
                    <a:prstGeom prst="rect">
                      <a:avLst/>
                    </a:prstGeom>
                    <a:noFill/>
                  </pic:spPr>
                </pic:pic>
              </a:graphicData>
            </a:graphic>
          </wp:inline>
        </w:drawing>
      </w:r>
    </w:p>
    <w:p w14:paraId="4A96C722" w14:textId="77777777" w:rsidR="00CE4E55" w:rsidRDefault="00CE4E55" w:rsidP="00CE4E55"/>
    <w:p w14:paraId="09D66851" w14:textId="77777777" w:rsidR="00D92DF3" w:rsidRDefault="00D92DF3" w:rsidP="00CE4E55"/>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CE4E55" w:rsidRPr="003C3FF8" w14:paraId="737C41DC" w14:textId="77777777" w:rsidTr="006E1CD1">
        <w:trPr>
          <w:cantSplit/>
          <w:trHeight w:val="23"/>
        </w:trPr>
        <w:tc>
          <w:tcPr>
            <w:tcW w:w="9356" w:type="dxa"/>
          </w:tcPr>
          <w:p w14:paraId="15623447" w14:textId="77777777" w:rsidR="00CE4E55" w:rsidRPr="003C3FF8" w:rsidRDefault="00CE4E55" w:rsidP="006E1CD1">
            <w:pPr>
              <w:spacing w:before="120"/>
              <w:ind w:left="-108" w:right="34"/>
              <w:rPr>
                <w:rFonts w:ascii="Arial" w:hAnsi="Arial" w:cs="Arial"/>
                <w:b/>
                <w:color w:val="000000"/>
                <w:sz w:val="40"/>
                <w:szCs w:val="40"/>
              </w:rPr>
            </w:pPr>
            <w:bookmarkStart w:id="0" w:name="bmkTable00"/>
            <w:bookmarkEnd w:id="0"/>
            <w:r>
              <w:rPr>
                <w:rFonts w:ascii="Arial" w:hAnsi="Arial" w:cs="Arial"/>
                <w:b/>
                <w:color w:val="000000"/>
                <w:sz w:val="40"/>
                <w:szCs w:val="40"/>
              </w:rPr>
              <w:t>Order</w:t>
            </w:r>
            <w:r w:rsidRPr="003C3FF8">
              <w:rPr>
                <w:rFonts w:ascii="Arial" w:hAnsi="Arial" w:cs="Arial"/>
                <w:b/>
                <w:color w:val="000000"/>
                <w:sz w:val="40"/>
                <w:szCs w:val="40"/>
              </w:rPr>
              <w:t xml:space="preserve"> Decision</w:t>
            </w:r>
          </w:p>
        </w:tc>
      </w:tr>
      <w:tr w:rsidR="00CE4E55" w:rsidRPr="003C3FF8" w14:paraId="33D06D94" w14:textId="77777777" w:rsidTr="006E1CD1">
        <w:trPr>
          <w:cantSplit/>
          <w:trHeight w:val="23"/>
        </w:trPr>
        <w:tc>
          <w:tcPr>
            <w:tcW w:w="9356" w:type="dxa"/>
            <w:vAlign w:val="center"/>
          </w:tcPr>
          <w:p w14:paraId="696C6FAB" w14:textId="10EDAF5E" w:rsidR="00CE4E55" w:rsidRPr="00630842" w:rsidRDefault="00A33E2B" w:rsidP="00A33E2B">
            <w:pPr>
              <w:spacing w:before="60"/>
              <w:ind w:left="-71" w:right="34"/>
              <w:rPr>
                <w:rFonts w:ascii="Arial" w:hAnsi="Arial" w:cs="Arial"/>
                <w:color w:val="000000"/>
                <w:sz w:val="18"/>
                <w:szCs w:val="18"/>
              </w:rPr>
            </w:pPr>
            <w:r w:rsidRPr="00630842">
              <w:rPr>
                <w:rFonts w:ascii="Arial" w:hAnsi="Arial" w:cs="Arial"/>
                <w:color w:val="000000"/>
                <w:sz w:val="18"/>
                <w:szCs w:val="18"/>
              </w:rPr>
              <w:t xml:space="preserve">Inquiry opened on </w:t>
            </w:r>
            <w:r w:rsidR="00684A92">
              <w:rPr>
                <w:rFonts w:ascii="Arial" w:hAnsi="Arial" w:cs="Arial"/>
                <w:color w:val="000000"/>
                <w:sz w:val="18"/>
                <w:szCs w:val="18"/>
              </w:rPr>
              <w:t>24 September 2025</w:t>
            </w:r>
          </w:p>
          <w:p w14:paraId="00F78C5D" w14:textId="7C3DA8EB" w:rsidR="00A33E2B" w:rsidRPr="003C3FF8" w:rsidRDefault="00A33E2B" w:rsidP="00A33E2B">
            <w:pPr>
              <w:spacing w:before="60"/>
              <w:ind w:left="-71" w:right="34"/>
              <w:rPr>
                <w:rFonts w:ascii="Arial" w:hAnsi="Arial" w:cs="Arial"/>
                <w:color w:val="000000"/>
                <w:szCs w:val="22"/>
              </w:rPr>
            </w:pPr>
            <w:r w:rsidRPr="00630842">
              <w:rPr>
                <w:rFonts w:ascii="Arial" w:hAnsi="Arial" w:cs="Arial"/>
                <w:color w:val="000000"/>
                <w:sz w:val="18"/>
                <w:szCs w:val="18"/>
              </w:rPr>
              <w:t>Site visit made on</w:t>
            </w:r>
            <w:r w:rsidR="00684A92">
              <w:rPr>
                <w:rFonts w:ascii="Arial" w:hAnsi="Arial" w:cs="Arial"/>
                <w:color w:val="000000"/>
                <w:sz w:val="18"/>
                <w:szCs w:val="18"/>
              </w:rPr>
              <w:t xml:space="preserve"> 22 January 2026</w:t>
            </w:r>
          </w:p>
        </w:tc>
      </w:tr>
      <w:tr w:rsidR="00CE4E55" w:rsidRPr="003C3FF8" w14:paraId="0B905CCA" w14:textId="77777777" w:rsidTr="006E1CD1">
        <w:trPr>
          <w:cantSplit/>
          <w:trHeight w:val="23"/>
        </w:trPr>
        <w:tc>
          <w:tcPr>
            <w:tcW w:w="9356" w:type="dxa"/>
          </w:tcPr>
          <w:p w14:paraId="5E089D88" w14:textId="77777777" w:rsidR="00CE4E55" w:rsidRPr="003C3FF8" w:rsidRDefault="00CE4E55" w:rsidP="006E1CD1">
            <w:pPr>
              <w:spacing w:before="180"/>
              <w:ind w:left="-108" w:right="34"/>
              <w:rPr>
                <w:rFonts w:ascii="Arial" w:hAnsi="Arial" w:cs="Arial"/>
                <w:b/>
                <w:color w:val="000000"/>
                <w:sz w:val="16"/>
                <w:szCs w:val="22"/>
              </w:rPr>
            </w:pPr>
            <w:r w:rsidRPr="003C3FF8">
              <w:rPr>
                <w:rFonts w:ascii="Arial" w:hAnsi="Arial" w:cs="Arial"/>
                <w:b/>
                <w:color w:val="000000"/>
                <w:szCs w:val="22"/>
              </w:rPr>
              <w:t>by Laura Renaudon LLM LARTPI Solicitor</w:t>
            </w:r>
          </w:p>
        </w:tc>
      </w:tr>
      <w:tr w:rsidR="00CE4E55" w:rsidRPr="003C3FF8" w14:paraId="25938C78" w14:textId="77777777" w:rsidTr="006E1CD1">
        <w:trPr>
          <w:cantSplit/>
          <w:trHeight w:val="23"/>
        </w:trPr>
        <w:tc>
          <w:tcPr>
            <w:tcW w:w="9356" w:type="dxa"/>
          </w:tcPr>
          <w:p w14:paraId="3C445C3E" w14:textId="77777777" w:rsidR="00CE4E55" w:rsidRPr="003C3FF8" w:rsidRDefault="00CE4E55" w:rsidP="006E1CD1">
            <w:pPr>
              <w:spacing w:before="120"/>
              <w:ind w:left="-108" w:right="34"/>
              <w:rPr>
                <w:rFonts w:ascii="Arial" w:hAnsi="Arial" w:cs="Arial"/>
                <w:b/>
                <w:color w:val="000000"/>
                <w:sz w:val="16"/>
                <w:szCs w:val="16"/>
              </w:rPr>
            </w:pPr>
            <w:r w:rsidRPr="003C3FF8">
              <w:rPr>
                <w:rFonts w:ascii="Arial" w:hAnsi="Arial" w:cs="Arial"/>
                <w:b/>
                <w:color w:val="000000"/>
                <w:sz w:val="16"/>
                <w:szCs w:val="16"/>
              </w:rPr>
              <w:t>an Inspector appointed by the Secretary of State for Environment, Food and Rural Affairs</w:t>
            </w:r>
          </w:p>
        </w:tc>
      </w:tr>
      <w:tr w:rsidR="00CE4E55" w:rsidRPr="003C3FF8" w14:paraId="685B0C94" w14:textId="77777777" w:rsidTr="006E1CD1">
        <w:trPr>
          <w:cantSplit/>
          <w:trHeight w:val="23"/>
        </w:trPr>
        <w:tc>
          <w:tcPr>
            <w:tcW w:w="9356" w:type="dxa"/>
          </w:tcPr>
          <w:p w14:paraId="2880982F" w14:textId="4BFCEB81" w:rsidR="00CE4E55" w:rsidRPr="003C3FF8" w:rsidRDefault="00CE4E55" w:rsidP="006E1CD1">
            <w:pPr>
              <w:spacing w:before="120"/>
              <w:ind w:left="-108" w:right="176"/>
              <w:rPr>
                <w:rFonts w:ascii="Arial" w:hAnsi="Arial" w:cs="Arial"/>
                <w:b/>
                <w:color w:val="000000"/>
                <w:sz w:val="16"/>
                <w:szCs w:val="16"/>
              </w:rPr>
            </w:pPr>
            <w:r w:rsidRPr="003C3FF8">
              <w:rPr>
                <w:rFonts w:ascii="Arial" w:hAnsi="Arial" w:cs="Arial"/>
                <w:b/>
                <w:color w:val="000000"/>
                <w:sz w:val="16"/>
                <w:szCs w:val="16"/>
              </w:rPr>
              <w:t>Decision date:</w:t>
            </w:r>
            <w:r w:rsidR="00562F57">
              <w:rPr>
                <w:rFonts w:ascii="Arial" w:hAnsi="Arial" w:cs="Arial"/>
                <w:b/>
                <w:color w:val="000000"/>
                <w:sz w:val="16"/>
                <w:szCs w:val="16"/>
              </w:rPr>
              <w:t xml:space="preserve"> 23 March 2026</w:t>
            </w:r>
          </w:p>
        </w:tc>
      </w:tr>
    </w:tbl>
    <w:p w14:paraId="07FE6AE0" w14:textId="77777777" w:rsidR="00CE4E55" w:rsidRPr="00A2643C" w:rsidRDefault="00CE4E55" w:rsidP="00CE4E55">
      <w:pPr>
        <w:rPr>
          <w:rFonts w:ascii="Arial" w:hAnsi="Arial" w:cs="Arial"/>
          <w:sz w:val="16"/>
          <w:szCs w:val="16"/>
        </w:rPr>
      </w:pPr>
    </w:p>
    <w:tbl>
      <w:tblPr>
        <w:tblW w:w="0" w:type="auto"/>
        <w:tblLayout w:type="fixed"/>
        <w:tblLook w:val="0000" w:firstRow="0" w:lastRow="0" w:firstColumn="0" w:lastColumn="0" w:noHBand="0" w:noVBand="0"/>
      </w:tblPr>
      <w:tblGrid>
        <w:gridCol w:w="9520"/>
      </w:tblGrid>
      <w:tr w:rsidR="00CE4E55" w:rsidRPr="003C3FF8" w14:paraId="0C6D4FF9" w14:textId="77777777" w:rsidTr="006E1CD1">
        <w:tc>
          <w:tcPr>
            <w:tcW w:w="9520" w:type="dxa"/>
          </w:tcPr>
          <w:p w14:paraId="4656D670" w14:textId="3969C70A" w:rsidR="00CE4E55" w:rsidRPr="00533F28" w:rsidRDefault="00CE4E55" w:rsidP="006E1CD1">
            <w:pPr>
              <w:spacing w:after="60"/>
              <w:rPr>
                <w:rFonts w:ascii="Arial" w:hAnsi="Arial" w:cs="Arial"/>
                <w:b/>
                <w:color w:val="000000"/>
                <w:szCs w:val="22"/>
              </w:rPr>
            </w:pPr>
            <w:r>
              <w:rPr>
                <w:rFonts w:ascii="Arial" w:hAnsi="Arial" w:cs="Arial"/>
                <w:b/>
                <w:color w:val="000000"/>
                <w:szCs w:val="22"/>
              </w:rPr>
              <w:t>Order</w:t>
            </w:r>
            <w:r w:rsidRPr="00533F28">
              <w:rPr>
                <w:rFonts w:ascii="Arial" w:hAnsi="Arial" w:cs="Arial"/>
                <w:b/>
                <w:color w:val="000000"/>
                <w:szCs w:val="22"/>
              </w:rPr>
              <w:t xml:space="preserve"> Ref: ROW/</w:t>
            </w:r>
            <w:r>
              <w:rPr>
                <w:rFonts w:ascii="Arial" w:hAnsi="Arial" w:cs="Arial"/>
                <w:b/>
                <w:color w:val="000000"/>
                <w:szCs w:val="22"/>
              </w:rPr>
              <w:t>33</w:t>
            </w:r>
            <w:r w:rsidR="00A33E2B">
              <w:rPr>
                <w:rFonts w:ascii="Arial" w:hAnsi="Arial" w:cs="Arial"/>
                <w:b/>
                <w:color w:val="000000"/>
                <w:szCs w:val="22"/>
              </w:rPr>
              <w:t>36417</w:t>
            </w:r>
          </w:p>
        </w:tc>
      </w:tr>
      <w:tr w:rsidR="00CE4E55" w:rsidRPr="003C3FF8" w14:paraId="4CE89808" w14:textId="77777777" w:rsidTr="006E1CD1">
        <w:tc>
          <w:tcPr>
            <w:tcW w:w="9520" w:type="dxa"/>
          </w:tcPr>
          <w:p w14:paraId="58A1A94B" w14:textId="77777777" w:rsidR="00CE4E55" w:rsidRPr="00A2643C" w:rsidRDefault="00CE4E55" w:rsidP="006E1CD1">
            <w:pPr>
              <w:pStyle w:val="TBullet"/>
              <w:numPr>
                <w:ilvl w:val="0"/>
                <w:numId w:val="0"/>
              </w:numPr>
              <w:ind w:left="360"/>
              <w:rPr>
                <w:rFonts w:ascii="Arial" w:hAnsi="Arial" w:cs="Arial"/>
                <w:sz w:val="16"/>
                <w:szCs w:val="16"/>
              </w:rPr>
            </w:pPr>
          </w:p>
        </w:tc>
      </w:tr>
      <w:tr w:rsidR="00CE4E55" w:rsidRPr="003C3FF8" w14:paraId="1AA7C127" w14:textId="77777777" w:rsidTr="006E1CD1">
        <w:tc>
          <w:tcPr>
            <w:tcW w:w="9520" w:type="dxa"/>
          </w:tcPr>
          <w:tbl>
            <w:tblPr>
              <w:tblW w:w="0" w:type="auto"/>
              <w:tblLayout w:type="fixed"/>
              <w:tblLook w:val="0000" w:firstRow="0" w:lastRow="0" w:firstColumn="0" w:lastColumn="0" w:noHBand="0" w:noVBand="0"/>
            </w:tblPr>
            <w:tblGrid>
              <w:gridCol w:w="9520"/>
            </w:tblGrid>
            <w:tr w:rsidR="00CE4E55" w:rsidRPr="00B054BB" w14:paraId="0AFC815E" w14:textId="77777777" w:rsidTr="006E1CD1">
              <w:tc>
                <w:tcPr>
                  <w:tcW w:w="9520" w:type="dxa"/>
                </w:tcPr>
                <w:p w14:paraId="121D596E" w14:textId="2D3A473E" w:rsidR="00CE4E55" w:rsidRPr="00630842" w:rsidRDefault="00CE4E55" w:rsidP="00F717DC">
                  <w:pPr>
                    <w:pStyle w:val="TBullet"/>
                    <w:rPr>
                      <w:rFonts w:ascii="Arial" w:hAnsi="Arial" w:cs="Arial"/>
                    </w:rPr>
                  </w:pPr>
                  <w:r w:rsidRPr="00630842">
                    <w:rPr>
                      <w:rFonts w:ascii="Arial" w:hAnsi="Arial" w:cs="Arial"/>
                    </w:rPr>
                    <w:t>Th</w:t>
                  </w:r>
                  <w:r w:rsidR="00123B54" w:rsidRPr="00630842">
                    <w:rPr>
                      <w:rFonts w:ascii="Arial" w:hAnsi="Arial" w:cs="Arial"/>
                    </w:rPr>
                    <w:t>e</w:t>
                  </w:r>
                  <w:r w:rsidRPr="00630842">
                    <w:rPr>
                      <w:rFonts w:ascii="Arial" w:hAnsi="Arial" w:cs="Arial"/>
                    </w:rPr>
                    <w:t xml:space="preserve"> Order is made under Section 53(2)(b) of the Wildlife and Countryside Act 1981 (</w:t>
                  </w:r>
                  <w:r w:rsidR="000D27C1" w:rsidRPr="00630842">
                    <w:rPr>
                      <w:rFonts w:ascii="Arial" w:hAnsi="Arial" w:cs="Arial"/>
                    </w:rPr>
                    <w:t>‘</w:t>
                  </w:r>
                  <w:r w:rsidRPr="00630842">
                    <w:rPr>
                      <w:rFonts w:ascii="Arial" w:hAnsi="Arial" w:cs="Arial"/>
                    </w:rPr>
                    <w:t>the 1981 Act</w:t>
                  </w:r>
                  <w:r w:rsidR="000D27C1" w:rsidRPr="00630842">
                    <w:rPr>
                      <w:rFonts w:ascii="Arial" w:hAnsi="Arial" w:cs="Arial"/>
                    </w:rPr>
                    <w:t>’</w:t>
                  </w:r>
                  <w:r w:rsidRPr="00630842">
                    <w:rPr>
                      <w:rFonts w:ascii="Arial" w:hAnsi="Arial" w:cs="Arial"/>
                    </w:rPr>
                    <w:t>) and is known as the</w:t>
                  </w:r>
                  <w:r w:rsidR="00B82771" w:rsidRPr="00630842">
                    <w:rPr>
                      <w:rFonts w:ascii="Arial" w:hAnsi="Arial" w:cs="Arial"/>
                    </w:rPr>
                    <w:t xml:space="preserve"> </w:t>
                  </w:r>
                  <w:r w:rsidR="00A2643C" w:rsidRPr="00630842">
                    <w:rPr>
                      <w:rFonts w:ascii="Arial" w:hAnsi="Arial" w:cs="Arial"/>
                    </w:rPr>
                    <w:t>South Gloucestershire Council (Footpath between Goldney Avenue and London Road at Warmley) Definitive Map and Statement Modification Order 2022</w:t>
                  </w:r>
                  <w:r w:rsidRPr="00630842">
                    <w:rPr>
                      <w:rFonts w:ascii="Arial" w:hAnsi="Arial" w:cs="Arial"/>
                    </w:rPr>
                    <w:t>.</w:t>
                  </w:r>
                </w:p>
              </w:tc>
            </w:tr>
            <w:tr w:rsidR="00CE4E55" w:rsidRPr="00B054BB" w14:paraId="3A28434B" w14:textId="77777777" w:rsidTr="006E1CD1">
              <w:tc>
                <w:tcPr>
                  <w:tcW w:w="9520" w:type="dxa"/>
                </w:tcPr>
                <w:p w14:paraId="13FBB3AA" w14:textId="3205E1EF" w:rsidR="00CE4E55" w:rsidRPr="00630842" w:rsidRDefault="00CE4E55" w:rsidP="006E1CD1">
                  <w:pPr>
                    <w:pStyle w:val="TBullet"/>
                    <w:rPr>
                      <w:rFonts w:ascii="Arial" w:hAnsi="Arial" w:cs="Arial"/>
                    </w:rPr>
                  </w:pPr>
                  <w:r w:rsidRPr="00630842">
                    <w:rPr>
                      <w:rFonts w:ascii="Arial" w:hAnsi="Arial" w:cs="Arial"/>
                    </w:rPr>
                    <w:t xml:space="preserve">The Order is dated </w:t>
                  </w:r>
                  <w:r w:rsidR="008D5B05" w:rsidRPr="00630842">
                    <w:rPr>
                      <w:rFonts w:ascii="Arial" w:hAnsi="Arial" w:cs="Arial"/>
                    </w:rPr>
                    <w:t>14 September 2022</w:t>
                  </w:r>
                  <w:r w:rsidRPr="00630842">
                    <w:rPr>
                      <w:rFonts w:ascii="Arial" w:hAnsi="Arial" w:cs="Arial"/>
                    </w:rPr>
                    <w:t xml:space="preserve"> and proposes to modify the Definitive Map and Statement </w:t>
                  </w:r>
                  <w:r w:rsidR="00C20352" w:rsidRPr="00630842">
                    <w:rPr>
                      <w:rFonts w:ascii="Arial" w:hAnsi="Arial" w:cs="Arial"/>
                    </w:rPr>
                    <w:t xml:space="preserve">(‘DMS’) </w:t>
                  </w:r>
                  <w:r w:rsidRPr="00630842">
                    <w:rPr>
                      <w:rFonts w:ascii="Arial" w:hAnsi="Arial" w:cs="Arial"/>
                    </w:rPr>
                    <w:t xml:space="preserve">for the area by </w:t>
                  </w:r>
                  <w:r w:rsidR="00F717DC" w:rsidRPr="00630842">
                    <w:rPr>
                      <w:rFonts w:ascii="Arial" w:hAnsi="Arial" w:cs="Arial"/>
                    </w:rPr>
                    <w:t>adding a footpath</w:t>
                  </w:r>
                  <w:r w:rsidRPr="00630842">
                    <w:rPr>
                      <w:rFonts w:ascii="Arial" w:hAnsi="Arial" w:cs="Arial"/>
                    </w:rPr>
                    <w:t>.</w:t>
                  </w:r>
                </w:p>
              </w:tc>
            </w:tr>
            <w:tr w:rsidR="00CE4E55" w:rsidRPr="00B054BB" w14:paraId="68030001" w14:textId="77777777" w:rsidTr="006E1CD1">
              <w:tc>
                <w:tcPr>
                  <w:tcW w:w="9520" w:type="dxa"/>
                </w:tcPr>
                <w:p w14:paraId="35AA797A" w14:textId="2EBB7BE0" w:rsidR="00CE4E55" w:rsidRPr="00630842" w:rsidRDefault="004A1506" w:rsidP="006E1CD1">
                  <w:pPr>
                    <w:pStyle w:val="TBullet"/>
                    <w:rPr>
                      <w:rFonts w:ascii="Arial" w:hAnsi="Arial" w:cs="Arial"/>
                    </w:rPr>
                  </w:pPr>
                  <w:r>
                    <w:rPr>
                      <w:rFonts w:ascii="Arial" w:hAnsi="Arial" w:cs="Arial"/>
                    </w:rPr>
                    <w:t>Eight</w:t>
                  </w:r>
                  <w:r w:rsidR="00583158" w:rsidRPr="00630842">
                    <w:rPr>
                      <w:rFonts w:ascii="Arial" w:hAnsi="Arial" w:cs="Arial"/>
                    </w:rPr>
                    <w:t xml:space="preserve"> representations had been made </w:t>
                  </w:r>
                  <w:r w:rsidR="00BD02C0">
                    <w:rPr>
                      <w:rFonts w:ascii="Arial" w:hAnsi="Arial" w:cs="Arial"/>
                    </w:rPr>
                    <w:t>and one principal objection</w:t>
                  </w:r>
                  <w:r w:rsidR="00CE4E55" w:rsidRPr="00630842">
                    <w:rPr>
                      <w:rFonts w:ascii="Arial" w:hAnsi="Arial" w:cs="Arial"/>
                    </w:rPr>
                    <w:t xml:space="preserve"> outstanding </w:t>
                  </w:r>
                  <w:r w:rsidR="00BD02C0">
                    <w:rPr>
                      <w:rFonts w:ascii="Arial" w:hAnsi="Arial" w:cs="Arial"/>
                    </w:rPr>
                    <w:t>at the commencement of the Inquiry.</w:t>
                  </w:r>
                </w:p>
              </w:tc>
            </w:tr>
            <w:tr w:rsidR="00CE4E55" w:rsidRPr="00B054BB" w14:paraId="41F430DA" w14:textId="77777777" w:rsidTr="006E1CD1">
              <w:tc>
                <w:tcPr>
                  <w:tcW w:w="9520" w:type="dxa"/>
                </w:tcPr>
                <w:p w14:paraId="56241987" w14:textId="77DE7D23" w:rsidR="00CE4E55" w:rsidRPr="00B054BB" w:rsidRDefault="00CE4E55" w:rsidP="006E1CD1">
                  <w:pPr>
                    <w:spacing w:before="60"/>
                    <w:rPr>
                      <w:rFonts w:ascii="Arial" w:hAnsi="Arial" w:cs="Arial"/>
                      <w:b/>
                      <w:color w:val="000000"/>
                      <w:szCs w:val="22"/>
                    </w:rPr>
                  </w:pPr>
                  <w:r w:rsidRPr="00B054BB">
                    <w:rPr>
                      <w:rFonts w:ascii="Arial" w:hAnsi="Arial" w:cs="Arial"/>
                      <w:b/>
                      <w:color w:val="000000"/>
                      <w:szCs w:val="22"/>
                    </w:rPr>
                    <w:t xml:space="preserve">Summary of Decision: </w:t>
                  </w:r>
                  <w:r w:rsidRPr="00033C5F">
                    <w:rPr>
                      <w:rFonts w:ascii="Arial" w:hAnsi="Arial" w:cs="Arial"/>
                      <w:b/>
                      <w:color w:val="000000"/>
                      <w:szCs w:val="22"/>
                    </w:rPr>
                    <w:t xml:space="preserve">The Order is </w:t>
                  </w:r>
                  <w:r w:rsidR="00B954D4">
                    <w:rPr>
                      <w:rFonts w:ascii="Arial" w:hAnsi="Arial" w:cs="Arial"/>
                      <w:b/>
                      <w:color w:val="000000"/>
                      <w:szCs w:val="22"/>
                    </w:rPr>
                    <w:t>not confirmed.</w:t>
                  </w:r>
                </w:p>
              </w:tc>
            </w:tr>
          </w:tbl>
          <w:p w14:paraId="5002E8BF" w14:textId="77777777" w:rsidR="00CE4E55" w:rsidRPr="00533F28" w:rsidRDefault="00CE4E55" w:rsidP="006E1CD1">
            <w:pPr>
              <w:pStyle w:val="TBullet"/>
              <w:numPr>
                <w:ilvl w:val="0"/>
                <w:numId w:val="0"/>
              </w:numPr>
              <w:ind w:left="360"/>
              <w:rPr>
                <w:rFonts w:ascii="Arial" w:hAnsi="Arial" w:cs="Arial"/>
                <w:sz w:val="22"/>
                <w:szCs w:val="22"/>
              </w:rPr>
            </w:pPr>
          </w:p>
        </w:tc>
      </w:tr>
      <w:tr w:rsidR="00CE4E55" w:rsidRPr="003C3FF8" w14:paraId="7B32AB85" w14:textId="77777777" w:rsidTr="006E1CD1">
        <w:tc>
          <w:tcPr>
            <w:tcW w:w="9520" w:type="dxa"/>
            <w:tcBorders>
              <w:bottom w:val="single" w:sz="6" w:space="0" w:color="000000"/>
            </w:tcBorders>
          </w:tcPr>
          <w:p w14:paraId="30A9BFDF" w14:textId="77777777" w:rsidR="00CE4E55" w:rsidRPr="00533F28" w:rsidRDefault="00CE4E55" w:rsidP="006E1CD1">
            <w:pPr>
              <w:spacing w:before="60"/>
              <w:rPr>
                <w:rFonts w:ascii="Arial" w:hAnsi="Arial" w:cs="Arial"/>
                <w:b/>
                <w:color w:val="000000"/>
                <w:szCs w:val="22"/>
              </w:rPr>
            </w:pPr>
            <w:bookmarkStart w:id="1" w:name="bmkReturn"/>
            <w:bookmarkEnd w:id="1"/>
          </w:p>
        </w:tc>
      </w:tr>
    </w:tbl>
    <w:p w14:paraId="7287BAD1" w14:textId="7C548CC6" w:rsidR="00123B54" w:rsidRPr="00123B54" w:rsidRDefault="00123B54" w:rsidP="00123B54">
      <w:pPr>
        <w:pStyle w:val="Heading6blackfont"/>
        <w:rPr>
          <w:rFonts w:ascii="Arial" w:hAnsi="Arial" w:cs="Arial"/>
        </w:rPr>
      </w:pPr>
      <w:r>
        <w:rPr>
          <w:rFonts w:ascii="Arial" w:hAnsi="Arial" w:cs="Arial"/>
        </w:rPr>
        <w:t>Preliminary Matters</w:t>
      </w:r>
    </w:p>
    <w:p w14:paraId="647FC49E" w14:textId="7C342669" w:rsidR="00BE4DC5" w:rsidRDefault="001F0595" w:rsidP="00CE4E55">
      <w:pPr>
        <w:pStyle w:val="Style1"/>
        <w:numPr>
          <w:ilvl w:val="0"/>
          <w:numId w:val="4"/>
        </w:numPr>
        <w:tabs>
          <w:tab w:val="clear" w:pos="720"/>
        </w:tabs>
        <w:rPr>
          <w:rFonts w:ascii="Arial" w:hAnsi="Arial" w:cs="Arial"/>
        </w:rPr>
      </w:pPr>
      <w:r>
        <w:rPr>
          <w:rFonts w:ascii="Arial" w:hAnsi="Arial" w:cs="Arial"/>
        </w:rPr>
        <w:t xml:space="preserve">I have been appointed by the Secretary of State to </w:t>
      </w:r>
      <w:r w:rsidR="0082545D">
        <w:rPr>
          <w:rFonts w:ascii="Arial" w:hAnsi="Arial" w:cs="Arial"/>
        </w:rPr>
        <w:t xml:space="preserve">determine whether to confirm the above Order. </w:t>
      </w:r>
      <w:r w:rsidR="00055A75">
        <w:rPr>
          <w:rFonts w:ascii="Arial" w:hAnsi="Arial" w:cs="Arial"/>
        </w:rPr>
        <w:t xml:space="preserve">I held a public local inquiry opening on </w:t>
      </w:r>
      <w:r w:rsidR="008C367D">
        <w:rPr>
          <w:rFonts w:ascii="Arial" w:hAnsi="Arial" w:cs="Arial"/>
        </w:rPr>
        <w:t>24</w:t>
      </w:r>
      <w:r w:rsidR="00055A75">
        <w:rPr>
          <w:rFonts w:ascii="Arial" w:hAnsi="Arial" w:cs="Arial"/>
        </w:rPr>
        <w:t xml:space="preserve"> September 202</w:t>
      </w:r>
      <w:r w:rsidR="00684A92">
        <w:rPr>
          <w:rFonts w:ascii="Arial" w:hAnsi="Arial" w:cs="Arial"/>
        </w:rPr>
        <w:t>5</w:t>
      </w:r>
      <w:r w:rsidR="00F82314">
        <w:rPr>
          <w:rFonts w:ascii="Arial" w:hAnsi="Arial" w:cs="Arial"/>
        </w:rPr>
        <w:t xml:space="preserve">, resuming </w:t>
      </w:r>
      <w:r w:rsidR="00055A75">
        <w:rPr>
          <w:rFonts w:ascii="Arial" w:hAnsi="Arial" w:cs="Arial"/>
        </w:rPr>
        <w:t xml:space="preserve">on </w:t>
      </w:r>
      <w:r w:rsidR="00684A92">
        <w:rPr>
          <w:rFonts w:ascii="Arial" w:hAnsi="Arial" w:cs="Arial"/>
        </w:rPr>
        <w:t>20 January 2026. Closing submissions were heard on MS Teams on 3 February 2026.</w:t>
      </w:r>
    </w:p>
    <w:p w14:paraId="5DD8B3D0" w14:textId="25281C45" w:rsidR="00BA1684" w:rsidRPr="00BA1684" w:rsidRDefault="00BA1684" w:rsidP="00BA1684">
      <w:pPr>
        <w:pStyle w:val="Style1"/>
        <w:ind w:left="0" w:firstLine="0"/>
        <w:rPr>
          <w:rFonts w:ascii="Arial" w:hAnsi="Arial" w:cs="Arial"/>
          <w:b/>
          <w:bCs/>
        </w:rPr>
      </w:pPr>
      <w:r w:rsidRPr="00BA1684">
        <w:rPr>
          <w:rFonts w:ascii="Arial" w:hAnsi="Arial" w:cs="Arial"/>
          <w:b/>
          <w:bCs/>
        </w:rPr>
        <w:t>The Main Issues</w:t>
      </w:r>
    </w:p>
    <w:p w14:paraId="70D6E8C7" w14:textId="77777777" w:rsidR="00F14F2B" w:rsidRDefault="00BA1684" w:rsidP="00CE4E55">
      <w:pPr>
        <w:pStyle w:val="Style1"/>
        <w:numPr>
          <w:ilvl w:val="0"/>
          <w:numId w:val="4"/>
        </w:numPr>
        <w:tabs>
          <w:tab w:val="clear" w:pos="720"/>
        </w:tabs>
        <w:rPr>
          <w:rFonts w:ascii="Arial" w:hAnsi="Arial" w:cs="Arial"/>
        </w:rPr>
      </w:pPr>
      <w:r>
        <w:rPr>
          <w:rFonts w:ascii="Arial" w:hAnsi="Arial" w:cs="Arial"/>
        </w:rPr>
        <w:t xml:space="preserve">Section </w:t>
      </w:r>
      <w:r w:rsidR="00A067A5">
        <w:rPr>
          <w:rFonts w:ascii="Arial" w:hAnsi="Arial" w:cs="Arial"/>
        </w:rPr>
        <w:t xml:space="preserve">31 of the Highways Act 1980 (‘the 1980 Act’) </w:t>
      </w:r>
      <w:r w:rsidR="000D27C1">
        <w:rPr>
          <w:rFonts w:ascii="Arial" w:hAnsi="Arial" w:cs="Arial"/>
        </w:rPr>
        <w:t xml:space="preserve">provides that where a way over land </w:t>
      </w:r>
      <w:r w:rsidR="00E25182">
        <w:rPr>
          <w:rFonts w:ascii="Arial" w:hAnsi="Arial" w:cs="Arial"/>
        </w:rPr>
        <w:t>has been actually e</w:t>
      </w:r>
      <w:r w:rsidR="00954106">
        <w:rPr>
          <w:rFonts w:ascii="Arial" w:hAnsi="Arial" w:cs="Arial"/>
        </w:rPr>
        <w:t>n</w:t>
      </w:r>
      <w:r w:rsidR="00E25182">
        <w:rPr>
          <w:rFonts w:ascii="Arial" w:hAnsi="Arial" w:cs="Arial"/>
        </w:rPr>
        <w:t xml:space="preserve">joyed by the public as of right and without interruption for a full period of 20 years, the way is to be deemed to have been dedicated as a highway, in the absence of sufficient evidence </w:t>
      </w:r>
      <w:r w:rsidR="00954106">
        <w:rPr>
          <w:rFonts w:ascii="Arial" w:hAnsi="Arial" w:cs="Arial"/>
        </w:rPr>
        <w:t>of there having been no intention to dedicate it during that period</w:t>
      </w:r>
      <w:r w:rsidR="00597B15">
        <w:rPr>
          <w:rFonts w:ascii="Arial" w:hAnsi="Arial" w:cs="Arial"/>
        </w:rPr>
        <w:t xml:space="preserve"> (‘the criteria’)</w:t>
      </w:r>
      <w:r w:rsidR="00954106">
        <w:rPr>
          <w:rFonts w:ascii="Arial" w:hAnsi="Arial" w:cs="Arial"/>
        </w:rPr>
        <w:t>.</w:t>
      </w:r>
      <w:r w:rsidR="00F7011E">
        <w:rPr>
          <w:rFonts w:ascii="Arial" w:hAnsi="Arial" w:cs="Arial"/>
        </w:rPr>
        <w:t xml:space="preserve"> An exception applies where the wa</w:t>
      </w:r>
      <w:r w:rsidR="002F0A18">
        <w:rPr>
          <w:rFonts w:ascii="Arial" w:hAnsi="Arial" w:cs="Arial"/>
        </w:rPr>
        <w:t>y is of such character that no presumption of dedication could arise, but it is not suggested that that is of any application</w:t>
      </w:r>
      <w:r w:rsidR="00805784">
        <w:rPr>
          <w:rFonts w:ascii="Arial" w:hAnsi="Arial" w:cs="Arial"/>
        </w:rPr>
        <w:t xml:space="preserve"> here</w:t>
      </w:r>
      <w:r w:rsidR="002F0A18">
        <w:rPr>
          <w:rFonts w:ascii="Arial" w:hAnsi="Arial" w:cs="Arial"/>
        </w:rPr>
        <w:t xml:space="preserve">. </w:t>
      </w:r>
    </w:p>
    <w:p w14:paraId="7610E37D" w14:textId="5E0FA4DE" w:rsidR="00F311F5" w:rsidRDefault="00C80A9C" w:rsidP="00CE4E55">
      <w:pPr>
        <w:pStyle w:val="Style1"/>
        <w:numPr>
          <w:ilvl w:val="0"/>
          <w:numId w:val="4"/>
        </w:numPr>
        <w:tabs>
          <w:tab w:val="clear" w:pos="720"/>
        </w:tabs>
        <w:rPr>
          <w:rFonts w:ascii="Arial" w:hAnsi="Arial" w:cs="Arial"/>
        </w:rPr>
      </w:pPr>
      <w:r>
        <w:rPr>
          <w:rFonts w:ascii="Arial" w:hAnsi="Arial" w:cs="Arial"/>
        </w:rPr>
        <w:t>The question arising on confirmation of any Order is whether the above criteria are established on the balance of probabilities. In order to make the Order, the Council needed to be satisfied only that a reasonable allegation</w:t>
      </w:r>
      <w:r w:rsidR="00794353">
        <w:rPr>
          <w:rFonts w:ascii="Arial" w:hAnsi="Arial" w:cs="Arial"/>
        </w:rPr>
        <w:t xml:space="preserve"> (that a footpath subsists) was raised. The threshold of satisfaction is now a higher one</w:t>
      </w:r>
      <w:r w:rsidR="0066187B">
        <w:rPr>
          <w:rFonts w:ascii="Arial" w:hAnsi="Arial" w:cs="Arial"/>
        </w:rPr>
        <w:t>. Upon making the Order, the Council acknowledged that there appeared to be a conflict of evidence</w:t>
      </w:r>
      <w:r w:rsidR="006561E7">
        <w:rPr>
          <w:rFonts w:ascii="Arial" w:hAnsi="Arial" w:cs="Arial"/>
        </w:rPr>
        <w:t>. I have now had the benefit of testing some of that evidence at the Inquiry</w:t>
      </w:r>
      <w:r w:rsidR="006C6874">
        <w:rPr>
          <w:rFonts w:ascii="Arial" w:hAnsi="Arial" w:cs="Arial"/>
        </w:rPr>
        <w:t>.</w:t>
      </w:r>
    </w:p>
    <w:p w14:paraId="2BCB57B2" w14:textId="738661DF" w:rsidR="00AB20CB" w:rsidRDefault="00A97DCF" w:rsidP="00CE4E55">
      <w:pPr>
        <w:pStyle w:val="Style1"/>
        <w:numPr>
          <w:ilvl w:val="0"/>
          <w:numId w:val="4"/>
        </w:numPr>
        <w:tabs>
          <w:tab w:val="clear" w:pos="720"/>
        </w:tabs>
        <w:rPr>
          <w:rFonts w:ascii="Arial" w:hAnsi="Arial" w:cs="Arial"/>
        </w:rPr>
      </w:pPr>
      <w:r>
        <w:rPr>
          <w:rFonts w:ascii="Arial" w:hAnsi="Arial" w:cs="Arial"/>
        </w:rPr>
        <w:t>The ’20 year’ test under section 31 of the 1980 Act requires the date when the use of the way was brought into question to be identified, in order that the relevant 20 year period may be retrospectively considered from that date. When that ‘bringing into question’ took place is one of the main issues in the case.</w:t>
      </w:r>
    </w:p>
    <w:p w14:paraId="4A1818C4" w14:textId="16AC0B30" w:rsidR="004B42EE" w:rsidRDefault="002D348F" w:rsidP="00CE4E55">
      <w:pPr>
        <w:pStyle w:val="Style1"/>
        <w:numPr>
          <w:ilvl w:val="0"/>
          <w:numId w:val="4"/>
        </w:numPr>
        <w:tabs>
          <w:tab w:val="clear" w:pos="720"/>
        </w:tabs>
        <w:rPr>
          <w:rFonts w:ascii="Arial" w:hAnsi="Arial" w:cs="Arial"/>
        </w:rPr>
      </w:pPr>
      <w:r>
        <w:rPr>
          <w:rFonts w:ascii="Arial" w:hAnsi="Arial" w:cs="Arial"/>
        </w:rPr>
        <w:t>As to whether any use of the way during such a 20 year period was carried out as of right, in particular without permission</w:t>
      </w:r>
      <w:r w:rsidR="00E43B01">
        <w:rPr>
          <w:rFonts w:ascii="Arial" w:hAnsi="Arial" w:cs="Arial"/>
        </w:rPr>
        <w:t xml:space="preserve">, and without interruption and without there being </w:t>
      </w:r>
      <w:r w:rsidR="002B337F">
        <w:rPr>
          <w:rFonts w:ascii="Arial" w:hAnsi="Arial" w:cs="Arial"/>
        </w:rPr>
        <w:t xml:space="preserve">sufficient </w:t>
      </w:r>
      <w:r w:rsidR="00E43B01">
        <w:rPr>
          <w:rFonts w:ascii="Arial" w:hAnsi="Arial" w:cs="Arial"/>
        </w:rPr>
        <w:t xml:space="preserve">evidence of </w:t>
      </w:r>
      <w:r w:rsidR="002B337F">
        <w:rPr>
          <w:rFonts w:ascii="Arial" w:hAnsi="Arial" w:cs="Arial"/>
        </w:rPr>
        <w:t xml:space="preserve">a lack of </w:t>
      </w:r>
      <w:r w:rsidR="00E43B01">
        <w:rPr>
          <w:rFonts w:ascii="Arial" w:hAnsi="Arial" w:cs="Arial"/>
        </w:rPr>
        <w:t>intention by the landowner</w:t>
      </w:r>
      <w:r w:rsidR="002B337F">
        <w:rPr>
          <w:rFonts w:ascii="Arial" w:hAnsi="Arial" w:cs="Arial"/>
        </w:rPr>
        <w:t xml:space="preserve"> to dedicate the way are all questions which turn on similar facts</w:t>
      </w:r>
      <w:r w:rsidR="005066F3">
        <w:rPr>
          <w:rFonts w:ascii="Arial" w:hAnsi="Arial" w:cs="Arial"/>
        </w:rPr>
        <w:t xml:space="preserve"> in this case. The land through which the contested route (‘the Order route’) runs is</w:t>
      </w:r>
      <w:r w:rsidR="00BA268E">
        <w:rPr>
          <w:rFonts w:ascii="Arial" w:hAnsi="Arial" w:cs="Arial"/>
        </w:rPr>
        <w:t xml:space="preserve"> an industrial and retail site, now gated to its boundaries. The principal </w:t>
      </w:r>
      <w:r w:rsidR="004B42EE">
        <w:rPr>
          <w:rFonts w:ascii="Arial" w:hAnsi="Arial" w:cs="Arial"/>
        </w:rPr>
        <w:t>issues for consideration</w:t>
      </w:r>
      <w:r w:rsidR="00BA268E">
        <w:rPr>
          <w:rFonts w:ascii="Arial" w:hAnsi="Arial" w:cs="Arial"/>
        </w:rPr>
        <w:t xml:space="preserve"> aris</w:t>
      </w:r>
      <w:r w:rsidR="007C3DF7">
        <w:rPr>
          <w:rFonts w:ascii="Arial" w:hAnsi="Arial" w:cs="Arial"/>
        </w:rPr>
        <w:t>e from the instalment of gates to those boundaries,</w:t>
      </w:r>
      <w:r w:rsidR="00B23CA4">
        <w:rPr>
          <w:rFonts w:ascii="Arial" w:hAnsi="Arial" w:cs="Arial"/>
        </w:rPr>
        <w:t xml:space="preserve"> when this </w:t>
      </w:r>
      <w:r w:rsidR="00B23CA4">
        <w:rPr>
          <w:rFonts w:ascii="Arial" w:hAnsi="Arial" w:cs="Arial"/>
        </w:rPr>
        <w:lastRenderedPageBreak/>
        <w:t>occurred,</w:t>
      </w:r>
      <w:r w:rsidR="007C3DF7">
        <w:rPr>
          <w:rFonts w:ascii="Arial" w:hAnsi="Arial" w:cs="Arial"/>
        </w:rPr>
        <w:t xml:space="preserve"> and when and how often they have </w:t>
      </w:r>
      <w:r w:rsidR="00B23CA4">
        <w:rPr>
          <w:rFonts w:ascii="Arial" w:hAnsi="Arial" w:cs="Arial"/>
        </w:rPr>
        <w:t xml:space="preserve">since </w:t>
      </w:r>
      <w:r w:rsidR="007C3DF7">
        <w:rPr>
          <w:rFonts w:ascii="Arial" w:hAnsi="Arial" w:cs="Arial"/>
        </w:rPr>
        <w:t>been closed or locked.</w:t>
      </w:r>
      <w:r w:rsidR="004B42EE">
        <w:rPr>
          <w:rFonts w:ascii="Arial" w:hAnsi="Arial" w:cs="Arial"/>
        </w:rPr>
        <w:t xml:space="preserve"> </w:t>
      </w:r>
      <w:r w:rsidR="001360B8">
        <w:rPr>
          <w:rFonts w:ascii="Arial" w:hAnsi="Arial" w:cs="Arial"/>
        </w:rPr>
        <w:t>Another issue is the extent to which, as a site open to the public during the daytime, any use of the site</w:t>
      </w:r>
      <w:r w:rsidR="000B770B">
        <w:rPr>
          <w:rFonts w:ascii="Arial" w:hAnsi="Arial" w:cs="Arial"/>
        </w:rPr>
        <w:t xml:space="preserve"> will have been </w:t>
      </w:r>
      <w:r w:rsidR="00110225">
        <w:rPr>
          <w:rFonts w:ascii="Arial" w:hAnsi="Arial" w:cs="Arial"/>
        </w:rPr>
        <w:t>trespassory and</w:t>
      </w:r>
      <w:r w:rsidR="000B770B">
        <w:rPr>
          <w:rFonts w:ascii="Arial" w:hAnsi="Arial" w:cs="Arial"/>
        </w:rPr>
        <w:t xml:space="preserve"> </w:t>
      </w:r>
      <w:r w:rsidR="00BB7640">
        <w:rPr>
          <w:rFonts w:ascii="Arial" w:hAnsi="Arial" w:cs="Arial"/>
        </w:rPr>
        <w:t xml:space="preserve">reasonably </w:t>
      </w:r>
      <w:r w:rsidR="000B770B">
        <w:rPr>
          <w:rFonts w:ascii="Arial" w:hAnsi="Arial" w:cs="Arial"/>
        </w:rPr>
        <w:t>capable of challenge by the landowner.</w:t>
      </w:r>
    </w:p>
    <w:p w14:paraId="4CDC6CB9" w14:textId="0EF798DF" w:rsidR="002D348F" w:rsidRDefault="004B42EE" w:rsidP="00CE4E55">
      <w:pPr>
        <w:pStyle w:val="Style1"/>
        <w:numPr>
          <w:ilvl w:val="0"/>
          <w:numId w:val="4"/>
        </w:numPr>
        <w:tabs>
          <w:tab w:val="clear" w:pos="720"/>
        </w:tabs>
        <w:rPr>
          <w:rFonts w:ascii="Arial" w:hAnsi="Arial" w:cs="Arial"/>
        </w:rPr>
      </w:pPr>
      <w:r>
        <w:rPr>
          <w:rFonts w:ascii="Arial" w:hAnsi="Arial" w:cs="Arial"/>
        </w:rPr>
        <w:t>It appears common ground that no gates were</w:t>
      </w:r>
      <w:r w:rsidR="000B770B">
        <w:rPr>
          <w:rFonts w:ascii="Arial" w:hAnsi="Arial" w:cs="Arial"/>
        </w:rPr>
        <w:t xml:space="preserve"> installed until at least the mid-1970s, and some </w:t>
      </w:r>
      <w:r w:rsidR="00A65C4B">
        <w:rPr>
          <w:rFonts w:ascii="Arial" w:hAnsi="Arial" w:cs="Arial"/>
        </w:rPr>
        <w:t xml:space="preserve">evidence of use precedes that date. </w:t>
      </w:r>
      <w:r w:rsidR="00D12E1A">
        <w:rPr>
          <w:rFonts w:ascii="Arial" w:hAnsi="Arial" w:cs="Arial"/>
        </w:rPr>
        <w:t xml:space="preserve">I am asked by the promoters of the Order (the applicant and the Council) to consider whether any dedication may be inferred or presumed </w:t>
      </w:r>
      <w:r w:rsidR="00F142E8">
        <w:rPr>
          <w:rFonts w:ascii="Arial" w:hAnsi="Arial" w:cs="Arial"/>
        </w:rPr>
        <w:t>before then, or even before the site changed hands in the mid-1960s. That will require a consideration of whether a dedication of the way under the common law may be presumed</w:t>
      </w:r>
      <w:r w:rsidR="00F738F1">
        <w:rPr>
          <w:rFonts w:ascii="Arial" w:hAnsi="Arial" w:cs="Arial"/>
        </w:rPr>
        <w:t>.</w:t>
      </w:r>
      <w:r>
        <w:rPr>
          <w:rFonts w:ascii="Arial" w:hAnsi="Arial" w:cs="Arial"/>
        </w:rPr>
        <w:t xml:space="preserve"> </w:t>
      </w:r>
      <w:r w:rsidR="00E43B01">
        <w:rPr>
          <w:rFonts w:ascii="Arial" w:hAnsi="Arial" w:cs="Arial"/>
        </w:rPr>
        <w:t xml:space="preserve"> </w:t>
      </w:r>
    </w:p>
    <w:p w14:paraId="2187B0A6" w14:textId="77777777" w:rsidR="00CE4E55" w:rsidRPr="000A6C42" w:rsidRDefault="00CE4E55" w:rsidP="00CE4E55">
      <w:pPr>
        <w:pStyle w:val="Heading6blackfont"/>
        <w:rPr>
          <w:rFonts w:ascii="Arial" w:hAnsi="Arial" w:cs="Arial"/>
        </w:rPr>
      </w:pPr>
      <w:r w:rsidRPr="000A6C42">
        <w:rPr>
          <w:rFonts w:ascii="Arial" w:hAnsi="Arial" w:cs="Arial"/>
        </w:rPr>
        <w:t>Reasons</w:t>
      </w:r>
    </w:p>
    <w:p w14:paraId="6360FF65" w14:textId="63034BE2" w:rsidR="00B5795D" w:rsidRPr="000A6C42" w:rsidRDefault="00B5795D" w:rsidP="00B5795D">
      <w:pPr>
        <w:pStyle w:val="Style1"/>
        <w:rPr>
          <w:rFonts w:ascii="Arial" w:hAnsi="Arial" w:cs="Arial"/>
          <w:i/>
          <w:iCs/>
        </w:rPr>
      </w:pPr>
      <w:r w:rsidRPr="000A6C42">
        <w:rPr>
          <w:rFonts w:ascii="Arial" w:hAnsi="Arial" w:cs="Arial"/>
          <w:i/>
          <w:iCs/>
        </w:rPr>
        <w:t>Background</w:t>
      </w:r>
    </w:p>
    <w:p w14:paraId="172F6AFE" w14:textId="5D2E298F" w:rsidR="000D1F6D" w:rsidRDefault="009D1359" w:rsidP="000D1F6D">
      <w:pPr>
        <w:pStyle w:val="Style1"/>
        <w:numPr>
          <w:ilvl w:val="0"/>
          <w:numId w:val="4"/>
        </w:numPr>
        <w:tabs>
          <w:tab w:val="clear" w:pos="720"/>
        </w:tabs>
        <w:rPr>
          <w:rFonts w:ascii="Arial" w:hAnsi="Arial" w:cs="Arial"/>
          <w:bCs/>
        </w:rPr>
      </w:pPr>
      <w:r w:rsidRPr="000A6C42">
        <w:rPr>
          <w:rFonts w:ascii="Arial" w:hAnsi="Arial" w:cs="Arial"/>
          <w:bCs/>
        </w:rPr>
        <w:t>The</w:t>
      </w:r>
      <w:r w:rsidR="008046F6" w:rsidRPr="000A6C42">
        <w:rPr>
          <w:rFonts w:ascii="Arial" w:hAnsi="Arial" w:cs="Arial"/>
          <w:bCs/>
        </w:rPr>
        <w:t xml:space="preserve"> case concerns</w:t>
      </w:r>
      <w:r w:rsidR="008046F6">
        <w:rPr>
          <w:rFonts w:ascii="Arial" w:hAnsi="Arial" w:cs="Arial"/>
          <w:bCs/>
        </w:rPr>
        <w:t xml:space="preserve"> whether a footpath providing an alternative route from Goldney Avenue to London Road</w:t>
      </w:r>
      <w:r w:rsidR="002D60A5">
        <w:rPr>
          <w:rFonts w:ascii="Arial" w:hAnsi="Arial" w:cs="Arial"/>
          <w:bCs/>
        </w:rPr>
        <w:t xml:space="preserve"> through an established industrial </w:t>
      </w:r>
      <w:r w:rsidR="00F738F1">
        <w:rPr>
          <w:rFonts w:ascii="Arial" w:hAnsi="Arial" w:cs="Arial"/>
          <w:bCs/>
        </w:rPr>
        <w:t xml:space="preserve">and retail </w:t>
      </w:r>
      <w:r w:rsidR="002D60A5">
        <w:rPr>
          <w:rFonts w:ascii="Arial" w:hAnsi="Arial" w:cs="Arial"/>
          <w:bCs/>
        </w:rPr>
        <w:t xml:space="preserve">site subsists. The route itself is around 140m in length, </w:t>
      </w:r>
      <w:r w:rsidR="00975A2F">
        <w:rPr>
          <w:rFonts w:ascii="Arial" w:hAnsi="Arial" w:cs="Arial"/>
          <w:bCs/>
        </w:rPr>
        <w:t>and is a little shorter than the alternative of traversing the paved footways of Goldney Avenue and London Road</w:t>
      </w:r>
      <w:r w:rsidR="003B485B">
        <w:rPr>
          <w:rFonts w:ascii="Arial" w:hAnsi="Arial" w:cs="Arial"/>
          <w:bCs/>
        </w:rPr>
        <w:t xml:space="preserve"> between the same termination points</w:t>
      </w:r>
      <w:r w:rsidR="00975A2F">
        <w:rPr>
          <w:rFonts w:ascii="Arial" w:hAnsi="Arial" w:cs="Arial"/>
          <w:bCs/>
        </w:rPr>
        <w:t>. London Road is the busy A</w:t>
      </w:r>
      <w:r w:rsidR="009C67C7">
        <w:rPr>
          <w:rFonts w:ascii="Arial" w:hAnsi="Arial" w:cs="Arial"/>
          <w:bCs/>
        </w:rPr>
        <w:t>420</w:t>
      </w:r>
      <w:r w:rsidR="00165495">
        <w:rPr>
          <w:rFonts w:ascii="Arial" w:hAnsi="Arial" w:cs="Arial"/>
          <w:bCs/>
        </w:rPr>
        <w:t xml:space="preserve"> to the east of Bristol and the footway alongside it </w:t>
      </w:r>
      <w:r w:rsidR="00B5795D">
        <w:rPr>
          <w:rFonts w:ascii="Arial" w:hAnsi="Arial" w:cs="Arial"/>
          <w:bCs/>
        </w:rPr>
        <w:t xml:space="preserve">on the south side </w:t>
      </w:r>
      <w:r w:rsidR="00165495">
        <w:rPr>
          <w:rFonts w:ascii="Arial" w:hAnsi="Arial" w:cs="Arial"/>
          <w:bCs/>
        </w:rPr>
        <w:t xml:space="preserve">is relatively narrow. </w:t>
      </w:r>
      <w:r w:rsidRPr="000D1F6D">
        <w:rPr>
          <w:rFonts w:ascii="Arial" w:hAnsi="Arial" w:cs="Arial"/>
          <w:bCs/>
        </w:rPr>
        <w:t xml:space="preserve"> </w:t>
      </w:r>
    </w:p>
    <w:p w14:paraId="5D432CE1" w14:textId="4541F55A" w:rsidR="00446338" w:rsidRDefault="00446338" w:rsidP="000D1F6D">
      <w:pPr>
        <w:pStyle w:val="Style1"/>
        <w:numPr>
          <w:ilvl w:val="0"/>
          <w:numId w:val="4"/>
        </w:numPr>
        <w:tabs>
          <w:tab w:val="clear" w:pos="720"/>
        </w:tabs>
        <w:rPr>
          <w:rFonts w:ascii="Arial" w:hAnsi="Arial" w:cs="Arial"/>
          <w:bCs/>
        </w:rPr>
      </w:pPr>
      <w:r>
        <w:rPr>
          <w:rFonts w:ascii="Arial" w:hAnsi="Arial" w:cs="Arial"/>
          <w:bCs/>
        </w:rPr>
        <w:t xml:space="preserve">Appearing on historic maps as a coal pit, </w:t>
      </w:r>
      <w:r w:rsidR="00360F3C">
        <w:rPr>
          <w:rFonts w:ascii="Arial" w:hAnsi="Arial" w:cs="Arial"/>
          <w:bCs/>
        </w:rPr>
        <w:t xml:space="preserve">the site appears to have been developed after the war </w:t>
      </w:r>
      <w:r w:rsidR="00420C05">
        <w:rPr>
          <w:rFonts w:ascii="Arial" w:hAnsi="Arial" w:cs="Arial"/>
          <w:bCs/>
        </w:rPr>
        <w:t xml:space="preserve">by a local co-operative </w:t>
      </w:r>
      <w:r w:rsidR="00360F3C">
        <w:rPr>
          <w:rFonts w:ascii="Arial" w:hAnsi="Arial" w:cs="Arial"/>
          <w:bCs/>
        </w:rPr>
        <w:t xml:space="preserve">as a </w:t>
      </w:r>
      <w:r w:rsidR="00A10230">
        <w:rPr>
          <w:rFonts w:ascii="Arial" w:hAnsi="Arial" w:cs="Arial"/>
          <w:bCs/>
        </w:rPr>
        <w:t xml:space="preserve">miller and supplier of livestock feed. </w:t>
      </w:r>
      <w:r w:rsidR="00635D3F">
        <w:rPr>
          <w:rFonts w:ascii="Arial" w:hAnsi="Arial" w:cs="Arial"/>
          <w:bCs/>
        </w:rPr>
        <w:t xml:space="preserve">Most of the site </w:t>
      </w:r>
      <w:r w:rsidR="00A10230">
        <w:rPr>
          <w:rFonts w:ascii="Arial" w:hAnsi="Arial" w:cs="Arial"/>
          <w:bCs/>
        </w:rPr>
        <w:t>was acquired in around 1967 by A Nichols (Cow Mills) Limited</w:t>
      </w:r>
      <w:r w:rsidR="0084222B">
        <w:rPr>
          <w:rFonts w:ascii="Arial" w:hAnsi="Arial" w:cs="Arial"/>
          <w:bCs/>
        </w:rPr>
        <w:t xml:space="preserve">, a company founded in 1948 and operating from </w:t>
      </w:r>
      <w:r w:rsidR="00D04F08">
        <w:rPr>
          <w:rFonts w:ascii="Arial" w:hAnsi="Arial" w:cs="Arial"/>
          <w:bCs/>
        </w:rPr>
        <w:t xml:space="preserve">a site in </w:t>
      </w:r>
      <w:r w:rsidR="0084222B">
        <w:rPr>
          <w:rFonts w:ascii="Arial" w:hAnsi="Arial" w:cs="Arial"/>
          <w:bCs/>
        </w:rPr>
        <w:t>Chipping Sodbur</w:t>
      </w:r>
      <w:r w:rsidR="00D04F08">
        <w:rPr>
          <w:rFonts w:ascii="Arial" w:hAnsi="Arial" w:cs="Arial"/>
          <w:bCs/>
        </w:rPr>
        <w:t xml:space="preserve">y as well as this one. </w:t>
      </w:r>
      <w:r w:rsidR="00635D3F">
        <w:rPr>
          <w:rFonts w:ascii="Arial" w:hAnsi="Arial" w:cs="Arial"/>
          <w:bCs/>
        </w:rPr>
        <w:t xml:space="preserve">An additional </w:t>
      </w:r>
      <w:r w:rsidR="00F738F1">
        <w:rPr>
          <w:rFonts w:ascii="Arial" w:hAnsi="Arial" w:cs="Arial"/>
          <w:bCs/>
        </w:rPr>
        <w:t>piece of land</w:t>
      </w:r>
      <w:r w:rsidR="00635D3F">
        <w:rPr>
          <w:rFonts w:ascii="Arial" w:hAnsi="Arial" w:cs="Arial"/>
          <w:bCs/>
        </w:rPr>
        <w:t xml:space="preserve"> on the western side </w:t>
      </w:r>
      <w:r w:rsidR="00CA79D0">
        <w:rPr>
          <w:rFonts w:ascii="Arial" w:hAnsi="Arial" w:cs="Arial"/>
          <w:bCs/>
        </w:rPr>
        <w:t xml:space="preserve">of the road frontage </w:t>
      </w:r>
      <w:r w:rsidR="00635D3F">
        <w:rPr>
          <w:rFonts w:ascii="Arial" w:hAnsi="Arial" w:cs="Arial"/>
          <w:bCs/>
        </w:rPr>
        <w:t xml:space="preserve">appears to have been acquired </w:t>
      </w:r>
      <w:r w:rsidR="00CA79D0">
        <w:rPr>
          <w:rFonts w:ascii="Arial" w:hAnsi="Arial" w:cs="Arial"/>
          <w:bCs/>
        </w:rPr>
        <w:t>at the turn of the century.</w:t>
      </w:r>
      <w:r w:rsidR="00635D3F">
        <w:rPr>
          <w:rFonts w:ascii="Arial" w:hAnsi="Arial" w:cs="Arial"/>
          <w:bCs/>
        </w:rPr>
        <w:t xml:space="preserve"> </w:t>
      </w:r>
      <w:r w:rsidR="00CA79D0">
        <w:rPr>
          <w:rFonts w:ascii="Arial" w:hAnsi="Arial" w:cs="Arial"/>
          <w:bCs/>
        </w:rPr>
        <w:t xml:space="preserve">The </w:t>
      </w:r>
      <w:r w:rsidR="00635D3F">
        <w:rPr>
          <w:rFonts w:ascii="Arial" w:hAnsi="Arial" w:cs="Arial"/>
          <w:bCs/>
        </w:rPr>
        <w:t xml:space="preserve">site has </w:t>
      </w:r>
      <w:r w:rsidR="00CA79D0">
        <w:rPr>
          <w:rFonts w:ascii="Arial" w:hAnsi="Arial" w:cs="Arial"/>
          <w:bCs/>
        </w:rPr>
        <w:t xml:space="preserve">since </w:t>
      </w:r>
      <w:r w:rsidR="00635D3F">
        <w:rPr>
          <w:rFonts w:ascii="Arial" w:hAnsi="Arial" w:cs="Arial"/>
          <w:bCs/>
        </w:rPr>
        <w:t>changed</w:t>
      </w:r>
      <w:r w:rsidR="00CA79D0">
        <w:rPr>
          <w:rFonts w:ascii="Arial" w:hAnsi="Arial" w:cs="Arial"/>
          <w:bCs/>
        </w:rPr>
        <w:t xml:space="preserve"> hands</w:t>
      </w:r>
      <w:r w:rsidR="006C0773">
        <w:rPr>
          <w:rFonts w:ascii="Arial" w:hAnsi="Arial" w:cs="Arial"/>
          <w:bCs/>
        </w:rPr>
        <w:t xml:space="preserve"> and is presently owned by the principal objector to the Order. </w:t>
      </w:r>
      <w:r w:rsidR="001E4556">
        <w:rPr>
          <w:rFonts w:ascii="Arial" w:hAnsi="Arial" w:cs="Arial"/>
          <w:bCs/>
        </w:rPr>
        <w:t>For some years the owners of the site also owned a small terrace of domestic properties to the east</w:t>
      </w:r>
      <w:r w:rsidR="000F1612">
        <w:rPr>
          <w:rFonts w:ascii="Arial" w:hAnsi="Arial" w:cs="Arial"/>
          <w:bCs/>
        </w:rPr>
        <w:t>, fronting London Road</w:t>
      </w:r>
      <w:r w:rsidR="00E82920">
        <w:rPr>
          <w:rFonts w:ascii="Arial" w:hAnsi="Arial" w:cs="Arial"/>
          <w:bCs/>
        </w:rPr>
        <w:t>.</w:t>
      </w:r>
    </w:p>
    <w:p w14:paraId="4A3959D9" w14:textId="07F56360" w:rsidR="00C70E9C" w:rsidRDefault="00910D07" w:rsidP="000D1F6D">
      <w:pPr>
        <w:pStyle w:val="Style1"/>
        <w:numPr>
          <w:ilvl w:val="0"/>
          <w:numId w:val="4"/>
        </w:numPr>
        <w:tabs>
          <w:tab w:val="clear" w:pos="720"/>
        </w:tabs>
        <w:rPr>
          <w:rFonts w:ascii="Arial" w:hAnsi="Arial" w:cs="Arial"/>
          <w:bCs/>
        </w:rPr>
      </w:pPr>
      <w:r>
        <w:rPr>
          <w:rFonts w:ascii="Arial" w:hAnsi="Arial" w:cs="Arial"/>
          <w:bCs/>
        </w:rPr>
        <w:t xml:space="preserve">The south eastern boundary of the site lies at the end of a short unnamed </w:t>
      </w:r>
      <w:r w:rsidR="00CB1402">
        <w:rPr>
          <w:rFonts w:ascii="Arial" w:hAnsi="Arial" w:cs="Arial"/>
          <w:bCs/>
        </w:rPr>
        <w:t xml:space="preserve">road </w:t>
      </w:r>
      <w:r w:rsidR="00B07B01">
        <w:rPr>
          <w:rFonts w:ascii="Arial" w:hAnsi="Arial" w:cs="Arial"/>
          <w:bCs/>
        </w:rPr>
        <w:t xml:space="preserve">leading </w:t>
      </w:r>
      <w:r w:rsidR="00CB1402">
        <w:rPr>
          <w:rFonts w:ascii="Arial" w:hAnsi="Arial" w:cs="Arial"/>
          <w:bCs/>
        </w:rPr>
        <w:t>from Goldney Avenue</w:t>
      </w:r>
      <w:r w:rsidR="000F1612">
        <w:rPr>
          <w:rFonts w:ascii="Arial" w:hAnsi="Arial" w:cs="Arial"/>
          <w:bCs/>
        </w:rPr>
        <w:t xml:space="preserve">. Some of the properties adjoining this road </w:t>
      </w:r>
      <w:r w:rsidR="00076F07">
        <w:rPr>
          <w:rFonts w:ascii="Arial" w:hAnsi="Arial" w:cs="Arial"/>
          <w:bCs/>
        </w:rPr>
        <w:t xml:space="preserve">have on their Land Registry entries evidence of a </w:t>
      </w:r>
      <w:r w:rsidR="001B397E">
        <w:rPr>
          <w:rFonts w:ascii="Arial" w:hAnsi="Arial" w:cs="Arial"/>
          <w:bCs/>
        </w:rPr>
        <w:t xml:space="preserve">private </w:t>
      </w:r>
      <w:r w:rsidR="00076F07">
        <w:rPr>
          <w:rFonts w:ascii="Arial" w:hAnsi="Arial" w:cs="Arial"/>
          <w:bCs/>
        </w:rPr>
        <w:t>right of way having been granted. The road itself is unregistered</w:t>
      </w:r>
      <w:r w:rsidR="00A44801">
        <w:rPr>
          <w:rFonts w:ascii="Arial" w:hAnsi="Arial" w:cs="Arial"/>
          <w:bCs/>
        </w:rPr>
        <w:t xml:space="preserve">, with the owner now unknown. </w:t>
      </w:r>
    </w:p>
    <w:p w14:paraId="72D67D8F" w14:textId="4A21A362" w:rsidR="00A44801" w:rsidRDefault="00A44801" w:rsidP="000D1F6D">
      <w:pPr>
        <w:pStyle w:val="Style1"/>
        <w:numPr>
          <w:ilvl w:val="0"/>
          <w:numId w:val="4"/>
        </w:numPr>
        <w:tabs>
          <w:tab w:val="clear" w:pos="720"/>
        </w:tabs>
        <w:rPr>
          <w:rFonts w:ascii="Arial" w:hAnsi="Arial" w:cs="Arial"/>
          <w:bCs/>
        </w:rPr>
      </w:pPr>
      <w:r>
        <w:rPr>
          <w:rFonts w:ascii="Arial" w:hAnsi="Arial" w:cs="Arial"/>
          <w:bCs/>
        </w:rPr>
        <w:t>Additionally, some of the properties facing London Road may also benefit from private right</w:t>
      </w:r>
      <w:r w:rsidR="00FB7D81">
        <w:rPr>
          <w:rFonts w:ascii="Arial" w:hAnsi="Arial" w:cs="Arial"/>
          <w:bCs/>
        </w:rPr>
        <w:t>s</w:t>
      </w:r>
      <w:r>
        <w:rPr>
          <w:rFonts w:ascii="Arial" w:hAnsi="Arial" w:cs="Arial"/>
          <w:bCs/>
        </w:rPr>
        <w:t xml:space="preserve"> of way, and it has recently been settled in other litigation that </w:t>
      </w:r>
      <w:r w:rsidR="00BE60DF">
        <w:rPr>
          <w:rFonts w:ascii="Arial" w:hAnsi="Arial" w:cs="Arial"/>
          <w:bCs/>
        </w:rPr>
        <w:t>at least one of those properties</w:t>
      </w:r>
      <w:r w:rsidR="00CA5C19">
        <w:rPr>
          <w:rFonts w:ascii="Arial" w:hAnsi="Arial" w:cs="Arial"/>
          <w:bCs/>
        </w:rPr>
        <w:t>, not formerly part of the terrace in common ownership with the industrial site,</w:t>
      </w:r>
      <w:r w:rsidR="00BE60DF">
        <w:rPr>
          <w:rFonts w:ascii="Arial" w:hAnsi="Arial" w:cs="Arial"/>
          <w:bCs/>
        </w:rPr>
        <w:t xml:space="preserve"> has a private (vehicular) right of way over part of the Order route</w:t>
      </w:r>
      <w:r w:rsidR="001C439D">
        <w:rPr>
          <w:rFonts w:ascii="Arial" w:hAnsi="Arial" w:cs="Arial"/>
          <w:bCs/>
        </w:rPr>
        <w:t xml:space="preserve"> starting from the eastern London Road entrance to the site. </w:t>
      </w:r>
    </w:p>
    <w:p w14:paraId="6155B9C3" w14:textId="48831F9D" w:rsidR="00A36826" w:rsidRDefault="00A36826" w:rsidP="000D1F6D">
      <w:pPr>
        <w:pStyle w:val="Style1"/>
        <w:numPr>
          <w:ilvl w:val="0"/>
          <w:numId w:val="4"/>
        </w:numPr>
        <w:tabs>
          <w:tab w:val="clear" w:pos="720"/>
        </w:tabs>
        <w:rPr>
          <w:rFonts w:ascii="Arial" w:hAnsi="Arial" w:cs="Arial"/>
          <w:bCs/>
        </w:rPr>
      </w:pPr>
      <w:r>
        <w:rPr>
          <w:rFonts w:ascii="Arial" w:hAnsi="Arial" w:cs="Arial"/>
          <w:bCs/>
        </w:rPr>
        <w:t>Goldney Avenue</w:t>
      </w:r>
      <w:r w:rsidR="00374314">
        <w:rPr>
          <w:rFonts w:ascii="Arial" w:hAnsi="Arial" w:cs="Arial"/>
          <w:bCs/>
        </w:rPr>
        <w:t xml:space="preserve"> itself appears to have been residentially developed after the war. It is a vehicular cul-de-sac</w:t>
      </w:r>
      <w:r w:rsidR="000C6124">
        <w:rPr>
          <w:rFonts w:ascii="Arial" w:hAnsi="Arial" w:cs="Arial"/>
          <w:bCs/>
        </w:rPr>
        <w:t xml:space="preserve"> but with pedestrian links to the ‘Dramway’ footpath to the west</w:t>
      </w:r>
      <w:r w:rsidR="00742E42">
        <w:rPr>
          <w:rFonts w:ascii="Arial" w:hAnsi="Arial" w:cs="Arial"/>
          <w:bCs/>
        </w:rPr>
        <w:t>, which runs behind the industrial site to meet with London Road to the north west</w:t>
      </w:r>
      <w:r w:rsidR="00132602">
        <w:rPr>
          <w:rFonts w:ascii="Arial" w:hAnsi="Arial" w:cs="Arial"/>
          <w:bCs/>
        </w:rPr>
        <w:t>, and through the church yard at St Barnabas</w:t>
      </w:r>
      <w:r w:rsidR="003823F9">
        <w:rPr>
          <w:rFonts w:ascii="Arial" w:hAnsi="Arial" w:cs="Arial"/>
          <w:bCs/>
        </w:rPr>
        <w:t xml:space="preserve"> to link with Church Avenue and other residential streets beyond. Those streets gain vehicular access </w:t>
      </w:r>
      <w:r w:rsidR="00920918">
        <w:rPr>
          <w:rFonts w:ascii="Arial" w:hAnsi="Arial" w:cs="Arial"/>
          <w:bCs/>
        </w:rPr>
        <w:t>from points further east on London Road or beyond.</w:t>
      </w:r>
    </w:p>
    <w:p w14:paraId="64EB45B2" w14:textId="6CED6202" w:rsidR="00B146FE" w:rsidRDefault="00E63D4F" w:rsidP="000D1F6D">
      <w:pPr>
        <w:pStyle w:val="Style1"/>
        <w:numPr>
          <w:ilvl w:val="0"/>
          <w:numId w:val="4"/>
        </w:numPr>
        <w:tabs>
          <w:tab w:val="clear" w:pos="720"/>
        </w:tabs>
        <w:rPr>
          <w:rFonts w:ascii="Arial" w:hAnsi="Arial" w:cs="Arial"/>
          <w:bCs/>
        </w:rPr>
      </w:pPr>
      <w:r>
        <w:rPr>
          <w:rFonts w:ascii="Arial" w:hAnsi="Arial" w:cs="Arial"/>
          <w:bCs/>
        </w:rPr>
        <w:t>The main shopping and recreational</w:t>
      </w:r>
      <w:r w:rsidR="00C7415D">
        <w:rPr>
          <w:rFonts w:ascii="Arial" w:hAnsi="Arial" w:cs="Arial"/>
          <w:bCs/>
        </w:rPr>
        <w:t xml:space="preserve"> opportunities in the area lie to the </w:t>
      </w:r>
      <w:r w:rsidR="00EC6593">
        <w:rPr>
          <w:rFonts w:ascii="Arial" w:hAnsi="Arial" w:cs="Arial"/>
          <w:bCs/>
        </w:rPr>
        <w:t>we</w:t>
      </w:r>
      <w:r w:rsidR="00C7415D">
        <w:rPr>
          <w:rFonts w:ascii="Arial" w:hAnsi="Arial" w:cs="Arial"/>
          <w:bCs/>
        </w:rPr>
        <w:t xml:space="preserve">st of the site, </w:t>
      </w:r>
      <w:r w:rsidR="00CF13EE">
        <w:rPr>
          <w:rFonts w:ascii="Arial" w:hAnsi="Arial" w:cs="Arial"/>
          <w:bCs/>
        </w:rPr>
        <w:t xml:space="preserve">on or near the High Street </w:t>
      </w:r>
      <w:r w:rsidR="00B64888">
        <w:rPr>
          <w:rFonts w:ascii="Arial" w:hAnsi="Arial" w:cs="Arial"/>
          <w:bCs/>
        </w:rPr>
        <w:t xml:space="preserve">(a continuation of London Road) </w:t>
      </w:r>
      <w:r w:rsidR="00CF13EE">
        <w:rPr>
          <w:rFonts w:ascii="Arial" w:hAnsi="Arial" w:cs="Arial"/>
          <w:bCs/>
        </w:rPr>
        <w:t>and at Walmley Forest Park</w:t>
      </w:r>
      <w:r w:rsidR="00B64888">
        <w:rPr>
          <w:rFonts w:ascii="Arial" w:hAnsi="Arial" w:cs="Arial"/>
          <w:bCs/>
        </w:rPr>
        <w:t>.</w:t>
      </w:r>
    </w:p>
    <w:p w14:paraId="69102D7B" w14:textId="2409BE99" w:rsidR="009A3B79" w:rsidRDefault="009A3B79" w:rsidP="000D1F6D">
      <w:pPr>
        <w:pStyle w:val="Style1"/>
        <w:numPr>
          <w:ilvl w:val="0"/>
          <w:numId w:val="4"/>
        </w:numPr>
        <w:tabs>
          <w:tab w:val="clear" w:pos="720"/>
        </w:tabs>
        <w:rPr>
          <w:rFonts w:ascii="Arial" w:hAnsi="Arial" w:cs="Arial"/>
          <w:bCs/>
        </w:rPr>
      </w:pPr>
      <w:r>
        <w:rPr>
          <w:rFonts w:ascii="Arial" w:hAnsi="Arial" w:cs="Arial"/>
          <w:bCs/>
        </w:rPr>
        <w:t>Residential development has taken place in recent years</w:t>
      </w:r>
      <w:r w:rsidR="00E72FFA">
        <w:rPr>
          <w:rFonts w:ascii="Arial" w:hAnsi="Arial" w:cs="Arial"/>
          <w:bCs/>
        </w:rPr>
        <w:t xml:space="preserve"> with the addition of dwellings at ‘Faye Close’ which are accessed via the unnamed road </w:t>
      </w:r>
      <w:r w:rsidR="004A1807">
        <w:rPr>
          <w:rFonts w:ascii="Arial" w:hAnsi="Arial" w:cs="Arial"/>
          <w:bCs/>
        </w:rPr>
        <w:t xml:space="preserve">linking with Goldney Avenue. This has entailed enclosing a small part of the site over which the Order route </w:t>
      </w:r>
      <w:r w:rsidR="00BC3D35">
        <w:rPr>
          <w:rFonts w:ascii="Arial" w:hAnsi="Arial" w:cs="Arial"/>
          <w:bCs/>
        </w:rPr>
        <w:t>is aligned</w:t>
      </w:r>
      <w:r w:rsidR="004A1807">
        <w:rPr>
          <w:rFonts w:ascii="Arial" w:hAnsi="Arial" w:cs="Arial"/>
          <w:bCs/>
        </w:rPr>
        <w:t xml:space="preserve">. </w:t>
      </w:r>
      <w:r w:rsidR="004514F4">
        <w:rPr>
          <w:rFonts w:ascii="Arial" w:hAnsi="Arial" w:cs="Arial"/>
          <w:bCs/>
        </w:rPr>
        <w:t xml:space="preserve">If the Order is confirmed, </w:t>
      </w:r>
      <w:r w:rsidR="00091ADE">
        <w:rPr>
          <w:rFonts w:ascii="Arial" w:hAnsi="Arial" w:cs="Arial"/>
          <w:bCs/>
        </w:rPr>
        <w:t>some resolution to this obstruction would need to be found,</w:t>
      </w:r>
      <w:r w:rsidR="00346C23">
        <w:rPr>
          <w:rFonts w:ascii="Arial" w:hAnsi="Arial" w:cs="Arial"/>
          <w:bCs/>
        </w:rPr>
        <w:t xml:space="preserve"> but </w:t>
      </w:r>
      <w:r w:rsidR="00F82314">
        <w:rPr>
          <w:rFonts w:ascii="Arial" w:hAnsi="Arial" w:cs="Arial"/>
          <w:bCs/>
        </w:rPr>
        <w:t>the alignment</w:t>
      </w:r>
      <w:r w:rsidR="00346C23">
        <w:rPr>
          <w:rFonts w:ascii="Arial" w:hAnsi="Arial" w:cs="Arial"/>
          <w:bCs/>
        </w:rPr>
        <w:t xml:space="preserve"> is not an issue arising in the present case</w:t>
      </w:r>
      <w:r w:rsidR="008E1D90">
        <w:rPr>
          <w:rFonts w:ascii="Arial" w:hAnsi="Arial" w:cs="Arial"/>
          <w:bCs/>
        </w:rPr>
        <w:t>. The enclosure appears to have taken place after the use of the route had</w:t>
      </w:r>
      <w:r w:rsidR="007D4164">
        <w:rPr>
          <w:rFonts w:ascii="Arial" w:hAnsi="Arial" w:cs="Arial"/>
          <w:bCs/>
        </w:rPr>
        <w:t xml:space="preserve"> incontrovertibly already been called into question. </w:t>
      </w:r>
    </w:p>
    <w:p w14:paraId="317A49E8" w14:textId="4C4DB20B" w:rsidR="0048786C" w:rsidRPr="0048786C" w:rsidRDefault="00203C35" w:rsidP="0048786C">
      <w:pPr>
        <w:pStyle w:val="Style1"/>
        <w:ind w:left="0" w:firstLine="0"/>
        <w:rPr>
          <w:rFonts w:ascii="Arial" w:hAnsi="Arial" w:cs="Arial"/>
          <w:bCs/>
          <w:i/>
          <w:iCs/>
        </w:rPr>
      </w:pPr>
      <w:r>
        <w:rPr>
          <w:rFonts w:ascii="Arial" w:hAnsi="Arial" w:cs="Arial"/>
          <w:bCs/>
          <w:i/>
          <w:iCs/>
        </w:rPr>
        <w:lastRenderedPageBreak/>
        <w:t>When the use of the route was called into question</w:t>
      </w:r>
    </w:p>
    <w:p w14:paraId="59EB5E06" w14:textId="1E781883" w:rsidR="00F306BD" w:rsidRDefault="00203C35" w:rsidP="000D1F6D">
      <w:pPr>
        <w:pStyle w:val="Style1"/>
        <w:numPr>
          <w:ilvl w:val="0"/>
          <w:numId w:val="4"/>
        </w:numPr>
        <w:tabs>
          <w:tab w:val="clear" w:pos="720"/>
        </w:tabs>
        <w:rPr>
          <w:rFonts w:ascii="Arial" w:hAnsi="Arial" w:cs="Arial"/>
          <w:bCs/>
        </w:rPr>
      </w:pPr>
      <w:r>
        <w:rPr>
          <w:rFonts w:ascii="Arial" w:hAnsi="Arial" w:cs="Arial"/>
          <w:bCs/>
        </w:rPr>
        <w:t xml:space="preserve">The </w:t>
      </w:r>
      <w:r w:rsidR="005657D0">
        <w:rPr>
          <w:rFonts w:ascii="Arial" w:hAnsi="Arial" w:cs="Arial"/>
          <w:bCs/>
        </w:rPr>
        <w:t>use of the route was most obviously called into question in around 2018, when the ownership of the site changed hands</w:t>
      </w:r>
      <w:r w:rsidR="00AE1DDC">
        <w:rPr>
          <w:rFonts w:ascii="Arial" w:hAnsi="Arial" w:cs="Arial"/>
          <w:bCs/>
        </w:rPr>
        <w:t xml:space="preserve"> (not to the present objector) and the new owner </w:t>
      </w:r>
      <w:r w:rsidR="00307A26">
        <w:rPr>
          <w:rFonts w:ascii="Arial" w:hAnsi="Arial" w:cs="Arial"/>
          <w:bCs/>
        </w:rPr>
        <w:t xml:space="preserve">appears to have tightened the site security. It appears to have been this change of ownership and access arrangements that prompted the </w:t>
      </w:r>
      <w:r w:rsidR="009C0D4F">
        <w:rPr>
          <w:rFonts w:ascii="Arial" w:hAnsi="Arial" w:cs="Arial"/>
          <w:bCs/>
        </w:rPr>
        <w:t xml:space="preserve">litigation about a ‘private’ right of way to one of the nearby residential properties, lived in by the present applicant. This application </w:t>
      </w:r>
      <w:r w:rsidR="00F306BD">
        <w:rPr>
          <w:rFonts w:ascii="Arial" w:hAnsi="Arial" w:cs="Arial"/>
          <w:bCs/>
        </w:rPr>
        <w:t>was made approximately contemporaneously with that</w:t>
      </w:r>
      <w:r w:rsidR="005A7330">
        <w:rPr>
          <w:rFonts w:ascii="Arial" w:hAnsi="Arial" w:cs="Arial"/>
          <w:bCs/>
        </w:rPr>
        <w:t xml:space="preserve"> claim</w:t>
      </w:r>
      <w:r w:rsidR="00F306BD">
        <w:rPr>
          <w:rFonts w:ascii="Arial" w:hAnsi="Arial" w:cs="Arial"/>
          <w:bCs/>
        </w:rPr>
        <w:t xml:space="preserve">. </w:t>
      </w:r>
    </w:p>
    <w:p w14:paraId="3A3E2C7F" w14:textId="5122DE05" w:rsidR="0014438A" w:rsidRDefault="00F306BD" w:rsidP="000D1F6D">
      <w:pPr>
        <w:pStyle w:val="Style1"/>
        <w:numPr>
          <w:ilvl w:val="0"/>
          <w:numId w:val="4"/>
        </w:numPr>
        <w:tabs>
          <w:tab w:val="clear" w:pos="720"/>
        </w:tabs>
        <w:rPr>
          <w:rFonts w:ascii="Arial" w:hAnsi="Arial" w:cs="Arial"/>
          <w:bCs/>
        </w:rPr>
      </w:pPr>
      <w:r>
        <w:rPr>
          <w:rFonts w:ascii="Arial" w:hAnsi="Arial" w:cs="Arial"/>
          <w:bCs/>
        </w:rPr>
        <w:t>The objectors counsel against considering an ‘ambulatory’ date of calling into question</w:t>
      </w:r>
      <w:r w:rsidR="004B6ED6">
        <w:rPr>
          <w:rFonts w:ascii="Arial" w:hAnsi="Arial" w:cs="Arial"/>
          <w:bCs/>
        </w:rPr>
        <w:t xml:space="preserve">. By this understand them to mean that one should not </w:t>
      </w:r>
      <w:r w:rsidR="00207D92">
        <w:rPr>
          <w:rFonts w:ascii="Arial" w:hAnsi="Arial" w:cs="Arial"/>
          <w:bCs/>
        </w:rPr>
        <w:t>root through the evidence in an attempt to find</w:t>
      </w:r>
      <w:r w:rsidR="00EE6D79">
        <w:rPr>
          <w:rFonts w:ascii="Arial" w:hAnsi="Arial" w:cs="Arial"/>
          <w:bCs/>
        </w:rPr>
        <w:t xml:space="preserve"> an unblemished 20 year period during which any use might be found to be continuous</w:t>
      </w:r>
      <w:r w:rsidR="009F0533">
        <w:rPr>
          <w:rFonts w:ascii="Arial" w:hAnsi="Arial" w:cs="Arial"/>
          <w:bCs/>
        </w:rPr>
        <w:t>. The retrospective period of 20 years must be calculated from an event that brings the use into question</w:t>
      </w:r>
      <w:r w:rsidR="00EE6D79">
        <w:rPr>
          <w:rFonts w:ascii="Arial" w:hAnsi="Arial" w:cs="Arial"/>
          <w:bCs/>
        </w:rPr>
        <w:t xml:space="preserve">. </w:t>
      </w:r>
      <w:r w:rsidR="00C55E7D">
        <w:rPr>
          <w:rFonts w:ascii="Arial" w:hAnsi="Arial" w:cs="Arial"/>
          <w:bCs/>
        </w:rPr>
        <w:t xml:space="preserve">The history of the site suggests two other potential candidate events for bringing the use into question: the first erection of gates </w:t>
      </w:r>
      <w:r w:rsidR="00B91DA8">
        <w:rPr>
          <w:rFonts w:ascii="Arial" w:hAnsi="Arial" w:cs="Arial"/>
          <w:bCs/>
        </w:rPr>
        <w:t xml:space="preserve">at either end of the site; and the subsequent </w:t>
      </w:r>
      <w:r w:rsidR="0039662E">
        <w:rPr>
          <w:rFonts w:ascii="Arial" w:hAnsi="Arial" w:cs="Arial"/>
          <w:bCs/>
        </w:rPr>
        <w:t xml:space="preserve">access alterations (including new gates) shortly after the turn of the century. </w:t>
      </w:r>
      <w:r w:rsidR="00430259">
        <w:rPr>
          <w:rFonts w:ascii="Arial" w:hAnsi="Arial" w:cs="Arial"/>
          <w:bCs/>
        </w:rPr>
        <w:t>No acts other than the installation</w:t>
      </w:r>
      <w:r w:rsidR="00466103">
        <w:rPr>
          <w:rFonts w:ascii="Arial" w:hAnsi="Arial" w:cs="Arial"/>
          <w:bCs/>
        </w:rPr>
        <w:t xml:space="preserve"> or replacement of gates (and whether they were locked) has been seriously suggested as bringing the use of the route into question.</w:t>
      </w:r>
    </w:p>
    <w:p w14:paraId="1BD1DE65" w14:textId="75876EA9" w:rsidR="005A2E8D" w:rsidRPr="005A2E8D" w:rsidRDefault="005A2E8D" w:rsidP="005A2E8D">
      <w:pPr>
        <w:pStyle w:val="Style1"/>
        <w:ind w:firstLine="0"/>
        <w:rPr>
          <w:rFonts w:ascii="Arial" w:hAnsi="Arial" w:cs="Arial"/>
          <w:bCs/>
          <w:i/>
          <w:iCs/>
        </w:rPr>
      </w:pPr>
      <w:r>
        <w:rPr>
          <w:rFonts w:ascii="Arial" w:hAnsi="Arial" w:cs="Arial"/>
          <w:bCs/>
          <w:i/>
          <w:iCs/>
        </w:rPr>
        <w:t>The evidence of gates</w:t>
      </w:r>
    </w:p>
    <w:p w14:paraId="3EEBDBEE" w14:textId="7C9C4F18" w:rsidR="00426124" w:rsidRDefault="00426124" w:rsidP="00426124">
      <w:pPr>
        <w:pStyle w:val="Style1"/>
        <w:numPr>
          <w:ilvl w:val="0"/>
          <w:numId w:val="4"/>
        </w:numPr>
        <w:rPr>
          <w:rFonts w:ascii="Arial" w:hAnsi="Arial" w:cs="Arial"/>
          <w:bCs/>
        </w:rPr>
      </w:pPr>
      <w:r>
        <w:rPr>
          <w:rFonts w:ascii="Arial" w:hAnsi="Arial" w:cs="Arial"/>
          <w:bCs/>
        </w:rPr>
        <w:t>There are presently three gates to the boundary of the property, which I shall refer to as follows: Gate 1, which is to the eastern end of the site facing London Road; Gate 2, which is to the unnamed road to Goldney Avenue; and Gate 3, which is to the western end of the site facing London Road. Gates 1 and 3 are set back some distance from carriageway and found on each side of the onsite shop. Gate 3 does not form part of the Order route. It (or a predecessor) was installed following the acquisition of the adjacent site around the turn of the century. At the Inquiry I did not hear that it was ever much used as an alternative to Gate 1.</w:t>
      </w:r>
      <w:r w:rsidR="00001307">
        <w:rPr>
          <w:rFonts w:ascii="Arial" w:hAnsi="Arial" w:cs="Arial"/>
          <w:bCs/>
        </w:rPr>
        <w:t xml:space="preserve"> The approximate position of Gates 1 and 2 are respectively marked as points X and Y on the Order map.</w:t>
      </w:r>
    </w:p>
    <w:p w14:paraId="79612056" w14:textId="38B527A9" w:rsidR="00426124" w:rsidRDefault="00426124" w:rsidP="00426124">
      <w:pPr>
        <w:pStyle w:val="Style1"/>
        <w:numPr>
          <w:ilvl w:val="0"/>
          <w:numId w:val="4"/>
        </w:numPr>
        <w:tabs>
          <w:tab w:val="clear" w:pos="720"/>
        </w:tabs>
        <w:rPr>
          <w:rFonts w:ascii="Arial" w:hAnsi="Arial" w:cs="Arial"/>
          <w:bCs/>
        </w:rPr>
      </w:pPr>
      <w:r>
        <w:rPr>
          <w:rFonts w:ascii="Arial" w:hAnsi="Arial" w:cs="Arial"/>
          <w:bCs/>
        </w:rPr>
        <w:t xml:space="preserve">Rather, the result of acquiring the additional land was that the site owners were able to introduce an alternative routing system for vehicles, including HGVs, using the site. Previously they had entered the site at Gate 1 and exited it at Gate 2 onto Goldney Avenue, resulting in some local disharmony. A planning permission for redevelopment granted in </w:t>
      </w:r>
      <w:r w:rsidR="00814AF2">
        <w:rPr>
          <w:rFonts w:ascii="Arial" w:hAnsi="Arial" w:cs="Arial"/>
          <w:bCs/>
        </w:rPr>
        <w:t>2001</w:t>
      </w:r>
      <w:r>
        <w:rPr>
          <w:rFonts w:ascii="Arial" w:hAnsi="Arial" w:cs="Arial"/>
          <w:bCs/>
        </w:rPr>
        <w:t xml:space="preserve"> was made conditional on ceasing the use of Gate 2 by HGVs. They have since continued to enter the site via Gate 1 but now loop around the back of the main site building and exit directly onto London Road via Gate 3.</w:t>
      </w:r>
    </w:p>
    <w:p w14:paraId="24DB82EF" w14:textId="6DFADAD1" w:rsidR="0048786C" w:rsidRDefault="00466103" w:rsidP="000D1F6D">
      <w:pPr>
        <w:pStyle w:val="Style1"/>
        <w:numPr>
          <w:ilvl w:val="0"/>
          <w:numId w:val="4"/>
        </w:numPr>
        <w:tabs>
          <w:tab w:val="clear" w:pos="720"/>
        </w:tabs>
        <w:rPr>
          <w:rFonts w:ascii="Arial" w:hAnsi="Arial" w:cs="Arial"/>
          <w:bCs/>
        </w:rPr>
      </w:pPr>
      <w:r>
        <w:rPr>
          <w:rFonts w:ascii="Arial" w:hAnsi="Arial" w:cs="Arial"/>
          <w:bCs/>
        </w:rPr>
        <w:t xml:space="preserve">The access </w:t>
      </w:r>
      <w:r w:rsidR="005A2E8D">
        <w:rPr>
          <w:rFonts w:ascii="Arial" w:hAnsi="Arial" w:cs="Arial"/>
          <w:bCs/>
        </w:rPr>
        <w:t>alterations, including the installation of new gates,</w:t>
      </w:r>
      <w:r w:rsidR="0039662E">
        <w:rPr>
          <w:rFonts w:ascii="Arial" w:hAnsi="Arial" w:cs="Arial"/>
          <w:bCs/>
        </w:rPr>
        <w:t xml:space="preserve"> was identified in the Council’s committee report as being in 2005 but I consider it more likely</w:t>
      </w:r>
      <w:r w:rsidR="0014438A">
        <w:rPr>
          <w:rFonts w:ascii="Arial" w:hAnsi="Arial" w:cs="Arial"/>
          <w:bCs/>
        </w:rPr>
        <w:t xml:space="preserve"> to have been a little earlier, </w:t>
      </w:r>
      <w:r w:rsidR="006851DA">
        <w:rPr>
          <w:rFonts w:ascii="Arial" w:hAnsi="Arial" w:cs="Arial"/>
          <w:bCs/>
        </w:rPr>
        <w:t xml:space="preserve">in </w:t>
      </w:r>
      <w:r w:rsidR="0014438A">
        <w:rPr>
          <w:rFonts w:ascii="Arial" w:hAnsi="Arial" w:cs="Arial"/>
          <w:bCs/>
        </w:rPr>
        <w:t xml:space="preserve">around 2003. The relevant planning permission was granted in </w:t>
      </w:r>
      <w:r w:rsidR="00162839">
        <w:rPr>
          <w:rFonts w:ascii="Arial" w:hAnsi="Arial" w:cs="Arial"/>
          <w:bCs/>
        </w:rPr>
        <w:t>2001</w:t>
      </w:r>
      <w:r w:rsidR="0014438A">
        <w:rPr>
          <w:rFonts w:ascii="Arial" w:hAnsi="Arial" w:cs="Arial"/>
          <w:bCs/>
        </w:rPr>
        <w:t xml:space="preserve"> and I heard at the Inquiry that it </w:t>
      </w:r>
      <w:r w:rsidR="00A7033C">
        <w:rPr>
          <w:rFonts w:ascii="Arial" w:hAnsi="Arial" w:cs="Arial"/>
          <w:bCs/>
        </w:rPr>
        <w:t>is</w:t>
      </w:r>
      <w:r w:rsidR="0014438A">
        <w:rPr>
          <w:rFonts w:ascii="Arial" w:hAnsi="Arial" w:cs="Arial"/>
          <w:bCs/>
        </w:rPr>
        <w:t xml:space="preserve"> likely to have taken </w:t>
      </w:r>
      <w:r w:rsidR="00803CC1">
        <w:rPr>
          <w:rFonts w:ascii="Arial" w:hAnsi="Arial" w:cs="Arial"/>
          <w:bCs/>
        </w:rPr>
        <w:t>a couple of years</w:t>
      </w:r>
      <w:r w:rsidR="0014438A">
        <w:rPr>
          <w:rFonts w:ascii="Arial" w:hAnsi="Arial" w:cs="Arial"/>
          <w:bCs/>
        </w:rPr>
        <w:t xml:space="preserve"> to </w:t>
      </w:r>
      <w:r w:rsidR="006851DA">
        <w:rPr>
          <w:rFonts w:ascii="Arial" w:hAnsi="Arial" w:cs="Arial"/>
          <w:bCs/>
        </w:rPr>
        <w:t>implement the new arrangements</w:t>
      </w:r>
      <w:r w:rsidR="00036152">
        <w:rPr>
          <w:rFonts w:ascii="Arial" w:hAnsi="Arial" w:cs="Arial"/>
          <w:bCs/>
        </w:rPr>
        <w:t xml:space="preserve"> (although with some dissent from </w:t>
      </w:r>
      <w:r w:rsidR="00803CC1">
        <w:rPr>
          <w:rFonts w:ascii="Arial" w:hAnsi="Arial" w:cs="Arial"/>
          <w:bCs/>
        </w:rPr>
        <w:t>Mr Luton</w:t>
      </w:r>
      <w:r w:rsidR="00A14291">
        <w:rPr>
          <w:rFonts w:ascii="Arial" w:hAnsi="Arial" w:cs="Arial"/>
          <w:bCs/>
        </w:rPr>
        <w:t>,</w:t>
      </w:r>
      <w:r w:rsidR="00803CC1">
        <w:rPr>
          <w:rFonts w:ascii="Arial" w:hAnsi="Arial" w:cs="Arial"/>
          <w:bCs/>
        </w:rPr>
        <w:t xml:space="preserve"> who recalled a shorter timescale for the redevelopment</w:t>
      </w:r>
      <w:r w:rsidR="00036152">
        <w:rPr>
          <w:rFonts w:ascii="Arial" w:hAnsi="Arial" w:cs="Arial"/>
          <w:bCs/>
        </w:rPr>
        <w:t>)</w:t>
      </w:r>
      <w:r w:rsidR="006851DA">
        <w:rPr>
          <w:rFonts w:ascii="Arial" w:hAnsi="Arial" w:cs="Arial"/>
          <w:bCs/>
        </w:rPr>
        <w:t>.</w:t>
      </w:r>
      <w:r w:rsidR="005E59F5">
        <w:rPr>
          <w:rFonts w:ascii="Arial" w:hAnsi="Arial" w:cs="Arial"/>
          <w:bCs/>
        </w:rPr>
        <w:t xml:space="preserve"> Several users report finding locked gates at the Goldney Avenue end </w:t>
      </w:r>
      <w:r w:rsidR="00B86BBE">
        <w:rPr>
          <w:rFonts w:ascii="Arial" w:hAnsi="Arial" w:cs="Arial"/>
          <w:bCs/>
        </w:rPr>
        <w:t xml:space="preserve">following </w:t>
      </w:r>
      <w:r w:rsidR="00685333">
        <w:rPr>
          <w:rFonts w:ascii="Arial" w:hAnsi="Arial" w:cs="Arial"/>
          <w:bCs/>
        </w:rPr>
        <w:t>the change to the access arrangements, and that is also likely to have called into question the public’s use of the route.</w:t>
      </w:r>
    </w:p>
    <w:p w14:paraId="65DEC883" w14:textId="5E3B1064" w:rsidR="0048786C" w:rsidRDefault="00685333" w:rsidP="00B71F3A">
      <w:pPr>
        <w:pStyle w:val="Style1"/>
        <w:numPr>
          <w:ilvl w:val="0"/>
          <w:numId w:val="4"/>
        </w:numPr>
        <w:tabs>
          <w:tab w:val="clear" w:pos="720"/>
        </w:tabs>
        <w:rPr>
          <w:rFonts w:ascii="Arial" w:hAnsi="Arial" w:cs="Arial"/>
          <w:bCs/>
        </w:rPr>
      </w:pPr>
      <w:r>
        <w:rPr>
          <w:rFonts w:ascii="Arial" w:hAnsi="Arial" w:cs="Arial"/>
          <w:bCs/>
        </w:rPr>
        <w:t>It appears</w:t>
      </w:r>
      <w:r w:rsidR="00575EA5">
        <w:rPr>
          <w:rFonts w:ascii="Arial" w:hAnsi="Arial" w:cs="Arial"/>
          <w:bCs/>
        </w:rPr>
        <w:t xml:space="preserve"> possible</w:t>
      </w:r>
      <w:r>
        <w:rPr>
          <w:rFonts w:ascii="Arial" w:hAnsi="Arial" w:cs="Arial"/>
          <w:bCs/>
        </w:rPr>
        <w:t xml:space="preserve"> that no gates at all were erected on site until around 1980</w:t>
      </w:r>
      <w:r w:rsidR="001565F4">
        <w:rPr>
          <w:rFonts w:ascii="Arial" w:hAnsi="Arial" w:cs="Arial"/>
          <w:bCs/>
        </w:rPr>
        <w:t xml:space="preserve">, although one local resident </w:t>
      </w:r>
      <w:r w:rsidR="002839CE">
        <w:rPr>
          <w:rFonts w:ascii="Arial" w:hAnsi="Arial" w:cs="Arial"/>
          <w:bCs/>
        </w:rPr>
        <w:t>(</w:t>
      </w:r>
      <w:r w:rsidR="002839CE" w:rsidRPr="002839CE">
        <w:rPr>
          <w:rFonts w:ascii="Arial" w:hAnsi="Arial" w:cs="Arial"/>
          <w:b/>
        </w:rPr>
        <w:t>F66</w:t>
      </w:r>
      <w:r w:rsidR="002839CE">
        <w:rPr>
          <w:rFonts w:ascii="Arial" w:hAnsi="Arial" w:cs="Arial"/>
          <w:bCs/>
        </w:rPr>
        <w:t xml:space="preserve">) </w:t>
      </w:r>
      <w:r w:rsidR="001565F4" w:rsidRPr="002839CE">
        <w:rPr>
          <w:rFonts w:ascii="Arial" w:hAnsi="Arial" w:cs="Arial"/>
          <w:bCs/>
        </w:rPr>
        <w:t>reports</w:t>
      </w:r>
      <w:r w:rsidR="001565F4">
        <w:rPr>
          <w:rFonts w:ascii="Arial" w:hAnsi="Arial" w:cs="Arial"/>
          <w:bCs/>
        </w:rPr>
        <w:t xml:space="preserve"> the appearance of gates in around 1954</w:t>
      </w:r>
      <w:r w:rsidR="00FF492C">
        <w:rPr>
          <w:rFonts w:ascii="Arial" w:hAnsi="Arial" w:cs="Arial"/>
          <w:bCs/>
        </w:rPr>
        <w:t xml:space="preserve">, </w:t>
      </w:r>
      <w:r w:rsidR="00861153">
        <w:rPr>
          <w:rFonts w:ascii="Arial" w:hAnsi="Arial" w:cs="Arial"/>
          <w:bCs/>
        </w:rPr>
        <w:t xml:space="preserve">a letter from </w:t>
      </w:r>
      <w:r w:rsidR="00867D78">
        <w:rPr>
          <w:rFonts w:ascii="Arial" w:hAnsi="Arial" w:cs="Arial"/>
          <w:bCs/>
        </w:rPr>
        <w:t>a correspondent</w:t>
      </w:r>
      <w:r w:rsidR="006E4C82">
        <w:rPr>
          <w:rFonts w:ascii="Arial" w:hAnsi="Arial" w:cs="Arial"/>
          <w:bCs/>
        </w:rPr>
        <w:t xml:space="preserve"> </w:t>
      </w:r>
      <w:r w:rsidR="002839CE">
        <w:rPr>
          <w:rFonts w:ascii="Arial" w:hAnsi="Arial" w:cs="Arial"/>
          <w:bCs/>
        </w:rPr>
        <w:t>(</w:t>
      </w:r>
      <w:r w:rsidR="00CA5F16" w:rsidRPr="00CA5F16">
        <w:rPr>
          <w:rFonts w:ascii="Arial" w:hAnsi="Arial" w:cs="Arial"/>
          <w:b/>
        </w:rPr>
        <w:t>C160</w:t>
      </w:r>
      <w:r w:rsidR="00CA5F16">
        <w:rPr>
          <w:rFonts w:ascii="Arial" w:hAnsi="Arial" w:cs="Arial"/>
          <w:bCs/>
        </w:rPr>
        <w:t xml:space="preserve">) </w:t>
      </w:r>
      <w:r w:rsidR="006E4C82" w:rsidRPr="00CA5F16">
        <w:rPr>
          <w:rFonts w:ascii="Arial" w:hAnsi="Arial" w:cs="Arial"/>
          <w:bCs/>
        </w:rPr>
        <w:t>agrees</w:t>
      </w:r>
      <w:r w:rsidR="006E4C82">
        <w:rPr>
          <w:rFonts w:ascii="Arial" w:hAnsi="Arial" w:cs="Arial"/>
          <w:bCs/>
        </w:rPr>
        <w:t xml:space="preserve"> that there have been gates from the early 1950s </w:t>
      </w:r>
      <w:r w:rsidR="00FF492C">
        <w:rPr>
          <w:rFonts w:ascii="Arial" w:hAnsi="Arial" w:cs="Arial"/>
          <w:bCs/>
        </w:rPr>
        <w:t xml:space="preserve">and </w:t>
      </w:r>
      <w:r w:rsidR="00F91716">
        <w:rPr>
          <w:rFonts w:ascii="Arial" w:hAnsi="Arial" w:cs="Arial"/>
          <w:bCs/>
        </w:rPr>
        <w:t>a senior employee of the business who gave oral evidence</w:t>
      </w:r>
      <w:r w:rsidR="0044647B">
        <w:rPr>
          <w:rFonts w:ascii="Arial" w:hAnsi="Arial" w:cs="Arial"/>
          <w:bCs/>
        </w:rPr>
        <w:t xml:space="preserve"> </w:t>
      </w:r>
      <w:r w:rsidR="00D5369D">
        <w:rPr>
          <w:rFonts w:ascii="Arial" w:hAnsi="Arial" w:cs="Arial"/>
          <w:bCs/>
        </w:rPr>
        <w:t>reports</w:t>
      </w:r>
      <w:r w:rsidR="00F91716">
        <w:rPr>
          <w:rFonts w:ascii="Arial" w:hAnsi="Arial" w:cs="Arial"/>
          <w:bCs/>
        </w:rPr>
        <w:t xml:space="preserve"> (</w:t>
      </w:r>
      <w:r w:rsidR="00F91716">
        <w:rPr>
          <w:rFonts w:ascii="Arial" w:hAnsi="Arial" w:cs="Arial"/>
          <w:b/>
        </w:rPr>
        <w:t>C143</w:t>
      </w:r>
      <w:r w:rsidR="00F91716">
        <w:rPr>
          <w:rFonts w:ascii="Arial" w:hAnsi="Arial" w:cs="Arial"/>
          <w:bCs/>
        </w:rPr>
        <w:t>)</w:t>
      </w:r>
      <w:r w:rsidR="00D5369D">
        <w:rPr>
          <w:rFonts w:ascii="Arial" w:hAnsi="Arial" w:cs="Arial"/>
          <w:bCs/>
        </w:rPr>
        <w:t xml:space="preserve"> that gates have been in situ for all of his career which is to say 47 years</w:t>
      </w:r>
      <w:r w:rsidR="001565F4">
        <w:rPr>
          <w:rFonts w:ascii="Arial" w:hAnsi="Arial" w:cs="Arial"/>
          <w:bCs/>
        </w:rPr>
        <w:t xml:space="preserve">. </w:t>
      </w:r>
      <w:r w:rsidR="00D34484">
        <w:rPr>
          <w:rFonts w:ascii="Arial" w:hAnsi="Arial" w:cs="Arial"/>
          <w:bCs/>
        </w:rPr>
        <w:t xml:space="preserve">Mr Luton recalled the erection of gates following the theft of some wheat in around 1973 or 1974. </w:t>
      </w:r>
      <w:r w:rsidR="001565F4">
        <w:rPr>
          <w:rFonts w:ascii="Arial" w:hAnsi="Arial" w:cs="Arial"/>
          <w:bCs/>
        </w:rPr>
        <w:t xml:space="preserve">The Ordnance Survey </w:t>
      </w:r>
      <w:r w:rsidR="00F52496">
        <w:rPr>
          <w:rFonts w:ascii="Arial" w:hAnsi="Arial" w:cs="Arial"/>
          <w:bCs/>
        </w:rPr>
        <w:t>maps</w:t>
      </w:r>
      <w:r w:rsidR="001565F4">
        <w:rPr>
          <w:rFonts w:ascii="Arial" w:hAnsi="Arial" w:cs="Arial"/>
          <w:bCs/>
        </w:rPr>
        <w:t xml:space="preserve"> supplied by the Council</w:t>
      </w:r>
      <w:r w:rsidR="00CA0CA0">
        <w:rPr>
          <w:rFonts w:ascii="Arial" w:hAnsi="Arial" w:cs="Arial"/>
          <w:bCs/>
        </w:rPr>
        <w:t xml:space="preserve"> (</w:t>
      </w:r>
      <w:r w:rsidR="00CA0CA0">
        <w:rPr>
          <w:rFonts w:ascii="Arial" w:hAnsi="Arial" w:cs="Arial"/>
          <w:b/>
        </w:rPr>
        <w:t>A23</w:t>
      </w:r>
      <w:r w:rsidR="00CA0CA0">
        <w:rPr>
          <w:rFonts w:ascii="Arial" w:hAnsi="Arial" w:cs="Arial"/>
          <w:bCs/>
        </w:rPr>
        <w:t xml:space="preserve">) </w:t>
      </w:r>
      <w:r w:rsidR="00C6425D">
        <w:rPr>
          <w:rFonts w:ascii="Arial" w:hAnsi="Arial" w:cs="Arial"/>
          <w:bCs/>
        </w:rPr>
        <w:t xml:space="preserve">indicate that </w:t>
      </w:r>
      <w:r w:rsidR="0021324E">
        <w:rPr>
          <w:rFonts w:ascii="Arial" w:hAnsi="Arial" w:cs="Arial"/>
          <w:bCs/>
        </w:rPr>
        <w:t>the site, and the residential plots on Goldney Avenue, were developed between 1955 and 1966</w:t>
      </w:r>
      <w:r w:rsidR="004E7E75">
        <w:rPr>
          <w:rFonts w:ascii="Arial" w:hAnsi="Arial" w:cs="Arial"/>
          <w:bCs/>
        </w:rPr>
        <w:t xml:space="preserve">. </w:t>
      </w:r>
      <w:r w:rsidR="00062C5F">
        <w:rPr>
          <w:rFonts w:ascii="Arial" w:hAnsi="Arial" w:cs="Arial"/>
          <w:bCs/>
        </w:rPr>
        <w:t xml:space="preserve">Aerial photographs </w:t>
      </w:r>
      <w:r w:rsidR="0093590D">
        <w:rPr>
          <w:rFonts w:ascii="Arial" w:hAnsi="Arial" w:cs="Arial"/>
          <w:bCs/>
        </w:rPr>
        <w:t>(</w:t>
      </w:r>
      <w:r w:rsidR="0093590D" w:rsidRPr="0093590D">
        <w:rPr>
          <w:rFonts w:ascii="Arial" w:hAnsi="Arial" w:cs="Arial"/>
          <w:b/>
        </w:rPr>
        <w:t>A26</w:t>
      </w:r>
      <w:r w:rsidR="0093590D">
        <w:rPr>
          <w:rFonts w:ascii="Arial" w:hAnsi="Arial" w:cs="Arial"/>
          <w:bCs/>
        </w:rPr>
        <w:t xml:space="preserve">) </w:t>
      </w:r>
      <w:r w:rsidR="00062C5F" w:rsidRPr="0093590D">
        <w:rPr>
          <w:rFonts w:ascii="Arial" w:hAnsi="Arial" w:cs="Arial"/>
          <w:bCs/>
        </w:rPr>
        <w:t>suggest</w:t>
      </w:r>
      <w:r w:rsidR="00062C5F">
        <w:rPr>
          <w:rFonts w:ascii="Arial" w:hAnsi="Arial" w:cs="Arial"/>
          <w:bCs/>
        </w:rPr>
        <w:t xml:space="preserve"> that a pedestrian route through on the claimed alignment was not possible in </w:t>
      </w:r>
      <w:r w:rsidR="00062C5F">
        <w:rPr>
          <w:rFonts w:ascii="Arial" w:hAnsi="Arial" w:cs="Arial"/>
          <w:bCs/>
        </w:rPr>
        <w:lastRenderedPageBreak/>
        <w:t>1955</w:t>
      </w:r>
      <w:r w:rsidR="00A60647">
        <w:rPr>
          <w:rFonts w:ascii="Arial" w:hAnsi="Arial" w:cs="Arial"/>
          <w:bCs/>
        </w:rPr>
        <w:t xml:space="preserve">, </w:t>
      </w:r>
      <w:r w:rsidR="00894C43">
        <w:rPr>
          <w:rFonts w:ascii="Arial" w:hAnsi="Arial" w:cs="Arial"/>
          <w:bCs/>
        </w:rPr>
        <w:t>and possibly not in 1960</w:t>
      </w:r>
      <w:r w:rsidR="00A96EBA">
        <w:rPr>
          <w:rFonts w:ascii="Arial" w:hAnsi="Arial" w:cs="Arial"/>
          <w:bCs/>
        </w:rPr>
        <w:t xml:space="preserve"> although the (pre-2000) vehicular arrangements appear established by 1966. </w:t>
      </w:r>
      <w:r w:rsidR="00A83392">
        <w:rPr>
          <w:rFonts w:ascii="Arial" w:hAnsi="Arial" w:cs="Arial"/>
          <w:bCs/>
        </w:rPr>
        <w:t>No gates are depicted on the OS maps before 1989</w:t>
      </w:r>
      <w:r w:rsidR="00A472C1">
        <w:rPr>
          <w:rFonts w:ascii="Arial" w:hAnsi="Arial" w:cs="Arial"/>
          <w:bCs/>
        </w:rPr>
        <w:t>.</w:t>
      </w:r>
    </w:p>
    <w:p w14:paraId="3DDF7E67" w14:textId="0E10B7FD" w:rsidR="002C0B43" w:rsidRDefault="002C0B43" w:rsidP="00B71F3A">
      <w:pPr>
        <w:pStyle w:val="Style1"/>
        <w:numPr>
          <w:ilvl w:val="0"/>
          <w:numId w:val="4"/>
        </w:numPr>
        <w:tabs>
          <w:tab w:val="clear" w:pos="720"/>
        </w:tabs>
        <w:rPr>
          <w:rFonts w:ascii="Arial" w:hAnsi="Arial" w:cs="Arial"/>
          <w:bCs/>
        </w:rPr>
      </w:pPr>
      <w:r>
        <w:rPr>
          <w:rFonts w:ascii="Arial" w:hAnsi="Arial" w:cs="Arial"/>
          <w:bCs/>
        </w:rPr>
        <w:t xml:space="preserve">What is not revealed with any </w:t>
      </w:r>
      <w:r w:rsidR="00564DFD">
        <w:rPr>
          <w:rFonts w:ascii="Arial" w:hAnsi="Arial" w:cs="Arial"/>
          <w:bCs/>
        </w:rPr>
        <w:t xml:space="preserve">degree of </w:t>
      </w:r>
      <w:r>
        <w:rPr>
          <w:rFonts w:ascii="Arial" w:hAnsi="Arial" w:cs="Arial"/>
          <w:bCs/>
        </w:rPr>
        <w:t xml:space="preserve">certainty is whether any appearance of gates before the change </w:t>
      </w:r>
      <w:r w:rsidR="002C752D">
        <w:rPr>
          <w:rFonts w:ascii="Arial" w:hAnsi="Arial" w:cs="Arial"/>
          <w:bCs/>
        </w:rPr>
        <w:t xml:space="preserve">in c. 2003 would have amounted to the calling into question of the use of the route. The evidence of witnesses is generally divided between those who say that there </w:t>
      </w:r>
      <w:r w:rsidR="00CE6F52">
        <w:rPr>
          <w:rFonts w:ascii="Arial" w:hAnsi="Arial" w:cs="Arial"/>
          <w:bCs/>
        </w:rPr>
        <w:t>have always been gates on the site</w:t>
      </w:r>
      <w:r w:rsidR="00B3555A">
        <w:rPr>
          <w:rFonts w:ascii="Arial" w:hAnsi="Arial" w:cs="Arial"/>
          <w:bCs/>
        </w:rPr>
        <w:t xml:space="preserve"> restricting use</w:t>
      </w:r>
      <w:r w:rsidR="00564DFD">
        <w:rPr>
          <w:rFonts w:ascii="Arial" w:hAnsi="Arial" w:cs="Arial"/>
          <w:bCs/>
        </w:rPr>
        <w:t xml:space="preserve">, and those who say </w:t>
      </w:r>
      <w:r w:rsidR="00EC2927">
        <w:rPr>
          <w:rFonts w:ascii="Arial" w:hAnsi="Arial" w:cs="Arial"/>
          <w:bCs/>
        </w:rPr>
        <w:t xml:space="preserve">either (or both) that </w:t>
      </w:r>
      <w:r w:rsidR="00564DFD">
        <w:rPr>
          <w:rFonts w:ascii="Arial" w:hAnsi="Arial" w:cs="Arial"/>
          <w:bCs/>
        </w:rPr>
        <w:t xml:space="preserve">the appearance of the </w:t>
      </w:r>
      <w:r w:rsidR="00B3555A">
        <w:rPr>
          <w:rFonts w:ascii="Arial" w:hAnsi="Arial" w:cs="Arial"/>
          <w:bCs/>
        </w:rPr>
        <w:t>Goldney gate in c. 2003</w:t>
      </w:r>
      <w:r w:rsidR="00CE6F52">
        <w:rPr>
          <w:rFonts w:ascii="Arial" w:hAnsi="Arial" w:cs="Arial"/>
          <w:bCs/>
        </w:rPr>
        <w:t xml:space="preserve"> </w:t>
      </w:r>
      <w:r w:rsidR="00EC2927">
        <w:rPr>
          <w:rFonts w:ascii="Arial" w:hAnsi="Arial" w:cs="Arial"/>
          <w:bCs/>
        </w:rPr>
        <w:t xml:space="preserve">or the security measures taken by the new owner </w:t>
      </w:r>
      <w:r w:rsidR="00900AC8">
        <w:rPr>
          <w:rFonts w:ascii="Arial" w:hAnsi="Arial" w:cs="Arial"/>
          <w:bCs/>
        </w:rPr>
        <w:t xml:space="preserve">in 2018 was the particular change that they took to be a challenge to any untrammelled use of the route. </w:t>
      </w:r>
    </w:p>
    <w:p w14:paraId="6C1053F5" w14:textId="34D0FE2B" w:rsidR="00E16B23" w:rsidRPr="00E16B23" w:rsidRDefault="00E16B23" w:rsidP="00E16B23">
      <w:pPr>
        <w:pStyle w:val="Style1"/>
        <w:ind w:left="0" w:firstLine="0"/>
        <w:rPr>
          <w:rFonts w:ascii="Arial" w:hAnsi="Arial" w:cs="Arial"/>
          <w:bCs/>
          <w:i/>
          <w:iCs/>
        </w:rPr>
      </w:pPr>
      <w:r>
        <w:rPr>
          <w:rFonts w:ascii="Arial" w:hAnsi="Arial" w:cs="Arial"/>
          <w:bCs/>
          <w:i/>
          <w:iCs/>
        </w:rPr>
        <w:t>Conclusion on when the use of the route was called into question</w:t>
      </w:r>
    </w:p>
    <w:p w14:paraId="20183117" w14:textId="045F3052" w:rsidR="00D9437F" w:rsidRPr="00B71F3A" w:rsidRDefault="009F0533" w:rsidP="00B71F3A">
      <w:pPr>
        <w:pStyle w:val="Style1"/>
        <w:numPr>
          <w:ilvl w:val="0"/>
          <w:numId w:val="4"/>
        </w:numPr>
        <w:tabs>
          <w:tab w:val="clear" w:pos="720"/>
        </w:tabs>
        <w:rPr>
          <w:rFonts w:ascii="Arial" w:hAnsi="Arial" w:cs="Arial"/>
          <w:bCs/>
        </w:rPr>
      </w:pPr>
      <w:r>
        <w:rPr>
          <w:rFonts w:ascii="Arial" w:hAnsi="Arial" w:cs="Arial"/>
          <w:bCs/>
        </w:rPr>
        <w:t>I</w:t>
      </w:r>
      <w:r w:rsidR="00CC1159">
        <w:rPr>
          <w:rFonts w:ascii="Arial" w:hAnsi="Arial" w:cs="Arial"/>
          <w:bCs/>
        </w:rPr>
        <w:t xml:space="preserve">t appears to me that the use of the way was clearly called into question in around 2018, prompting the application that has resulted in the present Order. </w:t>
      </w:r>
      <w:r w:rsidR="000E5B4A">
        <w:rPr>
          <w:rFonts w:ascii="Arial" w:hAnsi="Arial" w:cs="Arial"/>
          <w:bCs/>
        </w:rPr>
        <w:t>I shall however consider other periods, not least because the Council and the applicant each urge me to consider that dedication by common law</w:t>
      </w:r>
      <w:r w:rsidR="00AA5FA8">
        <w:rPr>
          <w:rFonts w:ascii="Arial" w:hAnsi="Arial" w:cs="Arial"/>
          <w:bCs/>
        </w:rPr>
        <w:t xml:space="preserve"> should be inferred from earlier periods.</w:t>
      </w:r>
    </w:p>
    <w:p w14:paraId="27F0ADF4" w14:textId="3CACE356" w:rsidR="00203C35" w:rsidRPr="00203C35" w:rsidRDefault="00203C35" w:rsidP="00203C35">
      <w:pPr>
        <w:pStyle w:val="Style1"/>
        <w:ind w:left="0" w:firstLine="0"/>
        <w:rPr>
          <w:rFonts w:ascii="Arial" w:hAnsi="Arial" w:cs="Arial"/>
          <w:bCs/>
          <w:i/>
          <w:iCs/>
        </w:rPr>
      </w:pPr>
      <w:r>
        <w:rPr>
          <w:rFonts w:ascii="Arial" w:hAnsi="Arial" w:cs="Arial"/>
          <w:bCs/>
          <w:i/>
          <w:iCs/>
        </w:rPr>
        <w:t>The evidence of use</w:t>
      </w:r>
    </w:p>
    <w:p w14:paraId="238376C7" w14:textId="389AA88D" w:rsidR="00F606BC" w:rsidRDefault="00B71F3A" w:rsidP="000D1F6D">
      <w:pPr>
        <w:pStyle w:val="Style1"/>
        <w:numPr>
          <w:ilvl w:val="0"/>
          <w:numId w:val="4"/>
        </w:numPr>
        <w:tabs>
          <w:tab w:val="clear" w:pos="720"/>
        </w:tabs>
        <w:rPr>
          <w:rFonts w:ascii="Arial" w:hAnsi="Arial" w:cs="Arial"/>
          <w:bCs/>
        </w:rPr>
      </w:pPr>
      <w:r>
        <w:rPr>
          <w:rFonts w:ascii="Arial" w:hAnsi="Arial" w:cs="Arial"/>
          <w:bCs/>
        </w:rPr>
        <w:t xml:space="preserve">Some users report </w:t>
      </w:r>
      <w:r w:rsidR="009E5805">
        <w:rPr>
          <w:rFonts w:ascii="Arial" w:hAnsi="Arial" w:cs="Arial"/>
          <w:bCs/>
        </w:rPr>
        <w:t>using the route since the 1950s, before the acquisition by A Nichols</w:t>
      </w:r>
      <w:r w:rsidR="00795BA7">
        <w:rPr>
          <w:rFonts w:ascii="Arial" w:hAnsi="Arial" w:cs="Arial"/>
          <w:bCs/>
        </w:rPr>
        <w:t xml:space="preserve"> (‘the company’)</w:t>
      </w:r>
      <w:r w:rsidR="00900AC8">
        <w:rPr>
          <w:rFonts w:ascii="Arial" w:hAnsi="Arial" w:cs="Arial"/>
          <w:bCs/>
        </w:rPr>
        <w:t>. On the basis of the aerial photographs, this is unlikely to have been before the mid-1950s</w:t>
      </w:r>
      <w:r w:rsidR="001C2A98">
        <w:rPr>
          <w:rFonts w:ascii="Arial" w:hAnsi="Arial" w:cs="Arial"/>
          <w:bCs/>
        </w:rPr>
        <w:t xml:space="preserve"> because the </w:t>
      </w:r>
      <w:r w:rsidR="005675B6">
        <w:rPr>
          <w:rFonts w:ascii="Arial" w:hAnsi="Arial" w:cs="Arial"/>
          <w:bCs/>
        </w:rPr>
        <w:t xml:space="preserve">claimed alignment was not available. </w:t>
      </w:r>
      <w:r w:rsidR="00046AC7">
        <w:rPr>
          <w:rFonts w:ascii="Arial" w:hAnsi="Arial" w:cs="Arial"/>
          <w:bCs/>
        </w:rPr>
        <w:t>Of those users, a number have had some ‘personal’ connection with the site. Mr Quilliam, who gave oral evidence</w:t>
      </w:r>
      <w:r w:rsidR="00B76B42">
        <w:rPr>
          <w:rFonts w:ascii="Arial" w:hAnsi="Arial" w:cs="Arial"/>
          <w:bCs/>
        </w:rPr>
        <w:t xml:space="preserve">, reports that he and his mother worked in the egg-packing plant on the site. </w:t>
      </w:r>
      <w:r w:rsidR="004031F2">
        <w:rPr>
          <w:rFonts w:ascii="Arial" w:hAnsi="Arial" w:cs="Arial"/>
          <w:bCs/>
        </w:rPr>
        <w:t>Some</w:t>
      </w:r>
      <w:r w:rsidR="00B76B42">
        <w:rPr>
          <w:rFonts w:ascii="Arial" w:hAnsi="Arial" w:cs="Arial"/>
          <w:bCs/>
        </w:rPr>
        <w:t xml:space="preserve"> local residents benefitted from private access rights, or at least</w:t>
      </w:r>
      <w:r w:rsidR="00A25AD0">
        <w:rPr>
          <w:rFonts w:ascii="Arial" w:hAnsi="Arial" w:cs="Arial"/>
          <w:bCs/>
        </w:rPr>
        <w:t xml:space="preserve"> from some </w:t>
      </w:r>
      <w:r w:rsidR="004031F2">
        <w:rPr>
          <w:rFonts w:ascii="Arial" w:hAnsi="Arial" w:cs="Arial"/>
          <w:bCs/>
        </w:rPr>
        <w:t xml:space="preserve">form of </w:t>
      </w:r>
      <w:r w:rsidR="00A25AD0">
        <w:rPr>
          <w:rFonts w:ascii="Arial" w:hAnsi="Arial" w:cs="Arial"/>
          <w:bCs/>
        </w:rPr>
        <w:t>private</w:t>
      </w:r>
      <w:r w:rsidR="004031F2">
        <w:rPr>
          <w:rFonts w:ascii="Arial" w:hAnsi="Arial" w:cs="Arial"/>
          <w:bCs/>
        </w:rPr>
        <w:t xml:space="preserve"> </w:t>
      </w:r>
      <w:r w:rsidR="00B76B42">
        <w:rPr>
          <w:rFonts w:ascii="Arial" w:hAnsi="Arial" w:cs="Arial"/>
          <w:bCs/>
        </w:rPr>
        <w:t>arrangement</w:t>
      </w:r>
      <w:r w:rsidR="00A25AD0">
        <w:rPr>
          <w:rFonts w:ascii="Arial" w:hAnsi="Arial" w:cs="Arial"/>
          <w:bCs/>
        </w:rPr>
        <w:t xml:space="preserve"> to use one or other of the gates</w:t>
      </w:r>
      <w:r w:rsidR="005A42F5">
        <w:rPr>
          <w:rFonts w:ascii="Arial" w:hAnsi="Arial" w:cs="Arial"/>
          <w:bCs/>
        </w:rPr>
        <w:t xml:space="preserve">, and their use of the route would not </w:t>
      </w:r>
      <w:r w:rsidR="00405343">
        <w:rPr>
          <w:rFonts w:ascii="Arial" w:hAnsi="Arial" w:cs="Arial"/>
          <w:bCs/>
        </w:rPr>
        <w:t xml:space="preserve">have </w:t>
      </w:r>
      <w:r w:rsidR="005A42F5">
        <w:rPr>
          <w:rFonts w:ascii="Arial" w:hAnsi="Arial" w:cs="Arial"/>
          <w:bCs/>
        </w:rPr>
        <w:t>amount</w:t>
      </w:r>
      <w:r w:rsidR="00405343">
        <w:rPr>
          <w:rFonts w:ascii="Arial" w:hAnsi="Arial" w:cs="Arial"/>
          <w:bCs/>
        </w:rPr>
        <w:t>ed</w:t>
      </w:r>
      <w:r w:rsidR="005A42F5">
        <w:rPr>
          <w:rFonts w:ascii="Arial" w:hAnsi="Arial" w:cs="Arial"/>
          <w:bCs/>
        </w:rPr>
        <w:t xml:space="preserve"> to the assertion of a public right</w:t>
      </w:r>
      <w:r w:rsidR="00B76B42">
        <w:rPr>
          <w:rFonts w:ascii="Arial" w:hAnsi="Arial" w:cs="Arial"/>
          <w:bCs/>
        </w:rPr>
        <w:t>.</w:t>
      </w:r>
      <w:r w:rsidR="00F606BC">
        <w:rPr>
          <w:rFonts w:ascii="Arial" w:hAnsi="Arial" w:cs="Arial"/>
          <w:bCs/>
        </w:rPr>
        <w:t xml:space="preserve"> </w:t>
      </w:r>
    </w:p>
    <w:p w14:paraId="7D4C134A" w14:textId="18EB481A" w:rsidR="00DA3C9C" w:rsidRPr="00DA3C9C" w:rsidRDefault="00DA3C9C" w:rsidP="00DA3C9C">
      <w:pPr>
        <w:pStyle w:val="Style1"/>
        <w:ind w:left="0" w:firstLine="0"/>
        <w:rPr>
          <w:rFonts w:ascii="Arial" w:hAnsi="Arial" w:cs="Arial"/>
          <w:bCs/>
          <w:i/>
          <w:iCs/>
        </w:rPr>
      </w:pPr>
      <w:r>
        <w:rPr>
          <w:rFonts w:ascii="Arial" w:hAnsi="Arial" w:cs="Arial"/>
          <w:bCs/>
          <w:i/>
          <w:iCs/>
        </w:rPr>
        <w:t xml:space="preserve">Use </w:t>
      </w:r>
      <w:r w:rsidR="00B16DB4">
        <w:rPr>
          <w:rFonts w:ascii="Arial" w:hAnsi="Arial" w:cs="Arial"/>
          <w:bCs/>
          <w:i/>
          <w:iCs/>
        </w:rPr>
        <w:t>in the 20 years to 2018</w:t>
      </w:r>
    </w:p>
    <w:p w14:paraId="43DC419A" w14:textId="4AC70850" w:rsidR="0048786C" w:rsidRDefault="005A42F5" w:rsidP="000D1F6D">
      <w:pPr>
        <w:pStyle w:val="Style1"/>
        <w:numPr>
          <w:ilvl w:val="0"/>
          <w:numId w:val="4"/>
        </w:numPr>
        <w:tabs>
          <w:tab w:val="clear" w:pos="720"/>
        </w:tabs>
        <w:rPr>
          <w:rFonts w:ascii="Arial" w:hAnsi="Arial" w:cs="Arial"/>
          <w:bCs/>
        </w:rPr>
      </w:pPr>
      <w:r>
        <w:rPr>
          <w:rFonts w:ascii="Arial" w:hAnsi="Arial" w:cs="Arial"/>
          <w:bCs/>
        </w:rPr>
        <w:t xml:space="preserve">Recollections vary considerably, but of the three dozen user evidence forms, </w:t>
      </w:r>
      <w:r w:rsidR="005B1118">
        <w:rPr>
          <w:rFonts w:ascii="Arial" w:hAnsi="Arial" w:cs="Arial"/>
          <w:bCs/>
        </w:rPr>
        <w:t>the large majority record encountering gates</w:t>
      </w:r>
      <w:r w:rsidR="00554C0D">
        <w:rPr>
          <w:rFonts w:ascii="Arial" w:hAnsi="Arial" w:cs="Arial"/>
          <w:bCs/>
        </w:rPr>
        <w:t>, with 14 of them recording locked gates, although only eight before the use was most recently called into question in 2018</w:t>
      </w:r>
      <w:r w:rsidR="00B4222C">
        <w:rPr>
          <w:rFonts w:ascii="Arial" w:hAnsi="Arial" w:cs="Arial"/>
          <w:bCs/>
        </w:rPr>
        <w:t xml:space="preserve">. Those saying they encountered locked gates did so after 2005 (although this is more likely to have been from 2003, with the closing of the vehicular HGV exit at Goldney Avenue). </w:t>
      </w:r>
      <w:r w:rsidR="00C26E5F">
        <w:rPr>
          <w:rFonts w:ascii="Arial" w:hAnsi="Arial" w:cs="Arial"/>
          <w:bCs/>
        </w:rPr>
        <w:t>The relative numbers of those encountering locked gates prior to 2018 means that the use in the 20 year period to 2018 cannot be said to have been uninterrupted</w:t>
      </w:r>
      <w:r w:rsidR="00AB60D1">
        <w:rPr>
          <w:rFonts w:ascii="Arial" w:hAnsi="Arial" w:cs="Arial"/>
          <w:bCs/>
        </w:rPr>
        <w:t>. Whether or not directly to prevent the use of the route, the purpose of locking gates will have been for site security reasons, in other words to keep people out</w:t>
      </w:r>
      <w:r w:rsidR="004610F9">
        <w:rPr>
          <w:rFonts w:ascii="Arial" w:hAnsi="Arial" w:cs="Arial"/>
          <w:bCs/>
        </w:rPr>
        <w:t>.</w:t>
      </w:r>
    </w:p>
    <w:p w14:paraId="48BF43B3" w14:textId="7A754278" w:rsidR="00B16DB4" w:rsidRDefault="00B16DB4" w:rsidP="00B16DB4">
      <w:pPr>
        <w:pStyle w:val="Style1"/>
        <w:numPr>
          <w:ilvl w:val="0"/>
          <w:numId w:val="4"/>
        </w:numPr>
        <w:tabs>
          <w:tab w:val="clear" w:pos="720"/>
        </w:tabs>
        <w:rPr>
          <w:rFonts w:ascii="Arial" w:hAnsi="Arial" w:cs="Arial"/>
          <w:bCs/>
        </w:rPr>
      </w:pPr>
      <w:r>
        <w:rPr>
          <w:rFonts w:ascii="Arial" w:hAnsi="Arial" w:cs="Arial"/>
          <w:bCs/>
        </w:rPr>
        <w:t xml:space="preserve">There is considerable dispute about the extent to which the Goldney Avenue gate was in fact locked or impassable to users after the access changes in around 2003. A number of users deny that it was impassable at all. Some users refer to a ‘gap’ in the gates although the oral testimony at the Inquiry left this matter unresolved. Upon visiting the site I did see that a small gap existed between the former metal gatepost and what appeared to be an older concrete gate post, but if that is the gap referred to then it would not be passable to most people. There was some discussion about whether the gap was in the middle of the gates, rather than to the side. Ultimately there is insufficient </w:t>
      </w:r>
      <w:r w:rsidR="00AF3E3D">
        <w:rPr>
          <w:rFonts w:ascii="Arial" w:hAnsi="Arial" w:cs="Arial"/>
          <w:bCs/>
        </w:rPr>
        <w:t xml:space="preserve">evidence of </w:t>
      </w:r>
      <w:r>
        <w:rPr>
          <w:rFonts w:ascii="Arial" w:hAnsi="Arial" w:cs="Arial"/>
          <w:bCs/>
        </w:rPr>
        <w:t xml:space="preserve">user of any ‘gap’ between or near any locked gates that would support a sufficient amount of user ‘without force’ to justify confirmation of the Order. </w:t>
      </w:r>
    </w:p>
    <w:p w14:paraId="40EAC6DD" w14:textId="40F9F463" w:rsidR="00C24844" w:rsidRDefault="00C24844" w:rsidP="00B16DB4">
      <w:pPr>
        <w:pStyle w:val="Style1"/>
        <w:numPr>
          <w:ilvl w:val="0"/>
          <w:numId w:val="4"/>
        </w:numPr>
        <w:tabs>
          <w:tab w:val="clear" w:pos="720"/>
        </w:tabs>
        <w:rPr>
          <w:rFonts w:ascii="Arial" w:hAnsi="Arial" w:cs="Arial"/>
          <w:bCs/>
        </w:rPr>
      </w:pPr>
      <w:r>
        <w:rPr>
          <w:rFonts w:ascii="Arial" w:hAnsi="Arial" w:cs="Arial"/>
          <w:bCs/>
        </w:rPr>
        <w:t xml:space="preserve">The applicant and </w:t>
      </w:r>
      <w:r w:rsidR="00554046">
        <w:rPr>
          <w:rFonts w:ascii="Arial" w:hAnsi="Arial" w:cs="Arial"/>
          <w:bCs/>
        </w:rPr>
        <w:t>his mother, who each gave oral testimony, have had personal knowledge of the site only since 2016 and so much of their evidence was hearsay. Nonetheless they were clear</w:t>
      </w:r>
      <w:r w:rsidR="00DB3A11">
        <w:rPr>
          <w:rFonts w:ascii="Arial" w:hAnsi="Arial" w:cs="Arial"/>
          <w:bCs/>
        </w:rPr>
        <w:t>ly aware that Gate 1 was supposed to be kept locked. The applicant’s parents each describe</w:t>
      </w:r>
      <w:r w:rsidR="006249F0">
        <w:rPr>
          <w:rFonts w:ascii="Arial" w:hAnsi="Arial" w:cs="Arial"/>
          <w:bCs/>
        </w:rPr>
        <w:t xml:space="preserve"> in their written testimony</w:t>
      </w:r>
      <w:r w:rsidR="00DB3A11">
        <w:rPr>
          <w:rFonts w:ascii="Arial" w:hAnsi="Arial" w:cs="Arial"/>
          <w:bCs/>
        </w:rPr>
        <w:t xml:space="preserve"> Gate 1 as requiring force to </w:t>
      </w:r>
      <w:r w:rsidR="006249F0">
        <w:rPr>
          <w:rFonts w:ascii="Arial" w:hAnsi="Arial" w:cs="Arial"/>
          <w:bCs/>
        </w:rPr>
        <w:t>open it because it catches on the ground.</w:t>
      </w:r>
    </w:p>
    <w:p w14:paraId="6C94FD6C" w14:textId="471F3662" w:rsidR="00B16DB4" w:rsidRDefault="00B16DB4" w:rsidP="00B16DB4">
      <w:pPr>
        <w:pStyle w:val="Style1"/>
        <w:numPr>
          <w:ilvl w:val="0"/>
          <w:numId w:val="4"/>
        </w:numPr>
        <w:tabs>
          <w:tab w:val="clear" w:pos="720"/>
        </w:tabs>
        <w:rPr>
          <w:rFonts w:ascii="Arial" w:hAnsi="Arial" w:cs="Arial"/>
          <w:bCs/>
        </w:rPr>
      </w:pPr>
      <w:r>
        <w:rPr>
          <w:rFonts w:ascii="Arial" w:hAnsi="Arial" w:cs="Arial"/>
          <w:bCs/>
        </w:rPr>
        <w:lastRenderedPageBreak/>
        <w:t>Those working at the site were adamant in their testimony that the Goldney Avenue gate had been locked for most of the time</w:t>
      </w:r>
      <w:r w:rsidR="00FC7F8E">
        <w:rPr>
          <w:rFonts w:ascii="Arial" w:hAnsi="Arial" w:cs="Arial"/>
          <w:bCs/>
        </w:rPr>
        <w:t xml:space="preserve"> (</w:t>
      </w:r>
      <w:r w:rsidR="00362DC9">
        <w:rPr>
          <w:rFonts w:ascii="Arial" w:hAnsi="Arial" w:cs="Arial"/>
          <w:bCs/>
        </w:rPr>
        <w:t xml:space="preserve">at least </w:t>
      </w:r>
      <w:r w:rsidR="00FC7F8E">
        <w:rPr>
          <w:rFonts w:ascii="Arial" w:hAnsi="Arial" w:cs="Arial"/>
          <w:bCs/>
        </w:rPr>
        <w:t>out of site working hours)</w:t>
      </w:r>
      <w:r>
        <w:rPr>
          <w:rFonts w:ascii="Arial" w:hAnsi="Arial" w:cs="Arial"/>
          <w:bCs/>
        </w:rPr>
        <w:t xml:space="preserve"> since around 2003. I was referred to the lock having rusted up. In the face of conflicting photographic evidence from </w:t>
      </w:r>
      <w:r w:rsidRPr="001B0513">
        <w:rPr>
          <w:rFonts w:ascii="Arial" w:hAnsi="Arial" w:cs="Arial"/>
          <w:bCs/>
        </w:rPr>
        <w:t>2008</w:t>
      </w:r>
      <w:r>
        <w:rPr>
          <w:rFonts w:ascii="Arial" w:hAnsi="Arial" w:cs="Arial"/>
          <w:bCs/>
        </w:rPr>
        <w:t>, showing the gate then open, it was said that this would be explicable by the building works then being carried on at the site.</w:t>
      </w:r>
    </w:p>
    <w:p w14:paraId="5A2DF286" w14:textId="77777777" w:rsidR="006436DA" w:rsidRDefault="00B16DB4" w:rsidP="006436DA">
      <w:pPr>
        <w:pStyle w:val="Style1"/>
        <w:numPr>
          <w:ilvl w:val="0"/>
          <w:numId w:val="4"/>
        </w:numPr>
        <w:tabs>
          <w:tab w:val="clear" w:pos="720"/>
        </w:tabs>
        <w:rPr>
          <w:rFonts w:ascii="Arial" w:hAnsi="Arial" w:cs="Arial"/>
          <w:bCs/>
        </w:rPr>
      </w:pPr>
      <w:r>
        <w:rPr>
          <w:rFonts w:ascii="Arial" w:hAnsi="Arial" w:cs="Arial"/>
          <w:bCs/>
        </w:rPr>
        <w:t xml:space="preserve">Ultimately I consider that if the Goldney Avenue gate had been locked almost permanently since 2003 then the present application, made more than 15 years later, would not have garnered such support from local residents as it did. That is not to say that the gate was never locked. Several users themselves say that it was. </w:t>
      </w:r>
    </w:p>
    <w:p w14:paraId="2D200503" w14:textId="7C82739A" w:rsidR="006436DA" w:rsidRDefault="006436DA" w:rsidP="006436DA">
      <w:pPr>
        <w:pStyle w:val="Style1"/>
        <w:numPr>
          <w:ilvl w:val="0"/>
          <w:numId w:val="4"/>
        </w:numPr>
        <w:tabs>
          <w:tab w:val="clear" w:pos="720"/>
        </w:tabs>
        <w:rPr>
          <w:rFonts w:ascii="Arial" w:hAnsi="Arial" w:cs="Arial"/>
          <w:bCs/>
        </w:rPr>
      </w:pPr>
      <w:r>
        <w:rPr>
          <w:rFonts w:ascii="Arial" w:hAnsi="Arial" w:cs="Arial"/>
          <w:bCs/>
        </w:rPr>
        <w:t>There is some additional contemporaneous evidence indicating that the landowner had no intention to dedicate a right of way</w:t>
      </w:r>
      <w:r w:rsidR="00E8265D">
        <w:rPr>
          <w:rFonts w:ascii="Arial" w:hAnsi="Arial" w:cs="Arial"/>
          <w:bCs/>
        </w:rPr>
        <w:t xml:space="preserve"> and that the use would have been regularly interrupted</w:t>
      </w:r>
      <w:r>
        <w:rPr>
          <w:rFonts w:ascii="Arial" w:hAnsi="Arial" w:cs="Arial"/>
          <w:bCs/>
        </w:rPr>
        <w:t>, in particular some correspondence on a planning application in 2014 (</w:t>
      </w:r>
      <w:r>
        <w:rPr>
          <w:rFonts w:ascii="Arial" w:hAnsi="Arial" w:cs="Arial"/>
          <w:b/>
        </w:rPr>
        <w:t>A11</w:t>
      </w:r>
      <w:r>
        <w:rPr>
          <w:rFonts w:ascii="Arial" w:hAnsi="Arial" w:cs="Arial"/>
          <w:bCs/>
        </w:rPr>
        <w:t>) stating there was no formal right of way and that the gates were locked outside of working hours for security reasons.</w:t>
      </w:r>
      <w:r w:rsidR="00C50566">
        <w:rPr>
          <w:rFonts w:ascii="Arial" w:hAnsi="Arial" w:cs="Arial"/>
          <w:bCs/>
        </w:rPr>
        <w:t xml:space="preserve"> I have no good reason to disbelieve the truth of what was then stated in correspondence</w:t>
      </w:r>
      <w:r w:rsidR="00D2169A">
        <w:rPr>
          <w:rFonts w:ascii="Arial" w:hAnsi="Arial" w:cs="Arial"/>
          <w:bCs/>
        </w:rPr>
        <w:t xml:space="preserve">, several years before the present dispute arose. </w:t>
      </w:r>
      <w:r w:rsidR="003E601A">
        <w:rPr>
          <w:rFonts w:ascii="Arial" w:hAnsi="Arial" w:cs="Arial"/>
          <w:bCs/>
        </w:rPr>
        <w:t>A letter to the former owners of no. 20 in 2015 (</w:t>
      </w:r>
      <w:r w:rsidR="003E601A">
        <w:rPr>
          <w:rFonts w:ascii="Arial" w:hAnsi="Arial" w:cs="Arial"/>
          <w:b/>
        </w:rPr>
        <w:t>C-122</w:t>
      </w:r>
      <w:r w:rsidR="003E601A">
        <w:rPr>
          <w:rFonts w:ascii="Arial" w:hAnsi="Arial" w:cs="Arial"/>
          <w:bCs/>
        </w:rPr>
        <w:t xml:space="preserve">) </w:t>
      </w:r>
      <w:r w:rsidR="00C858A6">
        <w:rPr>
          <w:rFonts w:ascii="Arial" w:hAnsi="Arial" w:cs="Arial"/>
          <w:bCs/>
        </w:rPr>
        <w:t xml:space="preserve">on behalf of the company referred to their access to the rear yard being permissive in nature, and that </w:t>
      </w:r>
      <w:r w:rsidR="006E162D">
        <w:rPr>
          <w:rFonts w:ascii="Arial" w:hAnsi="Arial" w:cs="Arial"/>
          <w:bCs/>
        </w:rPr>
        <w:t>the company reserved the right to</w:t>
      </w:r>
      <w:r w:rsidR="00795BA7">
        <w:rPr>
          <w:rFonts w:ascii="Arial" w:hAnsi="Arial" w:cs="Arial"/>
          <w:bCs/>
        </w:rPr>
        <w:t xml:space="preserve"> restrict</w:t>
      </w:r>
      <w:r w:rsidR="006E162D">
        <w:rPr>
          <w:rFonts w:ascii="Arial" w:hAnsi="Arial" w:cs="Arial"/>
          <w:bCs/>
        </w:rPr>
        <w:t xml:space="preserve"> access through the ‘padlock gate’. Whatever the correctness of the position as to </w:t>
      </w:r>
      <w:r w:rsidR="008717D9">
        <w:rPr>
          <w:rFonts w:ascii="Arial" w:hAnsi="Arial" w:cs="Arial"/>
          <w:bCs/>
        </w:rPr>
        <w:t xml:space="preserve">a permission or a right, it is not obvious why reference would have been made to a padlock if none existed. </w:t>
      </w:r>
      <w:r w:rsidR="00EA64B5">
        <w:rPr>
          <w:rFonts w:ascii="Arial" w:hAnsi="Arial" w:cs="Arial"/>
          <w:bCs/>
        </w:rPr>
        <w:t>In 2015 a planning officer visiting the site</w:t>
      </w:r>
      <w:r w:rsidR="00CB50DE">
        <w:rPr>
          <w:rFonts w:ascii="Arial" w:hAnsi="Arial" w:cs="Arial"/>
          <w:bCs/>
        </w:rPr>
        <w:t xml:space="preserve"> noted one of the two gates to have been locked </w:t>
      </w:r>
      <w:r w:rsidR="00E754CD">
        <w:rPr>
          <w:rFonts w:ascii="Arial" w:hAnsi="Arial" w:cs="Arial"/>
          <w:bCs/>
        </w:rPr>
        <w:t xml:space="preserve">during the officer’s site visit. </w:t>
      </w:r>
      <w:r w:rsidR="006A09B4">
        <w:rPr>
          <w:rFonts w:ascii="Arial" w:hAnsi="Arial" w:cs="Arial"/>
          <w:bCs/>
        </w:rPr>
        <w:t>Although there were by then three gates into the site, from the context of the report (</w:t>
      </w:r>
      <w:r w:rsidR="006A09B4">
        <w:rPr>
          <w:rFonts w:ascii="Arial" w:hAnsi="Arial" w:cs="Arial"/>
          <w:b/>
        </w:rPr>
        <w:t>C-180</w:t>
      </w:r>
      <w:r w:rsidR="006A09B4">
        <w:rPr>
          <w:rFonts w:ascii="Arial" w:hAnsi="Arial" w:cs="Arial"/>
          <w:bCs/>
        </w:rPr>
        <w:t>) I consider t</w:t>
      </w:r>
      <w:r w:rsidR="00FF7C08">
        <w:rPr>
          <w:rFonts w:ascii="Arial" w:hAnsi="Arial" w:cs="Arial"/>
          <w:bCs/>
        </w:rPr>
        <w:t xml:space="preserve">hat Gates 1 and 2 were being discussed. </w:t>
      </w:r>
    </w:p>
    <w:p w14:paraId="2ACAF872" w14:textId="1018404C" w:rsidR="00B16DB4" w:rsidRDefault="00E72152" w:rsidP="00B16DB4">
      <w:pPr>
        <w:pStyle w:val="Style1"/>
        <w:numPr>
          <w:ilvl w:val="0"/>
          <w:numId w:val="4"/>
        </w:numPr>
        <w:tabs>
          <w:tab w:val="clear" w:pos="720"/>
        </w:tabs>
        <w:rPr>
          <w:rFonts w:ascii="Arial" w:hAnsi="Arial" w:cs="Arial"/>
          <w:bCs/>
        </w:rPr>
      </w:pPr>
      <w:r>
        <w:rPr>
          <w:rFonts w:ascii="Arial" w:hAnsi="Arial" w:cs="Arial"/>
          <w:bCs/>
        </w:rPr>
        <w:t>It follows that the requirements of section 31(1) of the 1980 Act, that a 20 year period of uninterrupted use as of right</w:t>
      </w:r>
      <w:r w:rsidR="002A1B65">
        <w:rPr>
          <w:rFonts w:ascii="Arial" w:hAnsi="Arial" w:cs="Arial"/>
          <w:bCs/>
        </w:rPr>
        <w:t xml:space="preserve"> in the 20 years to 2018</w:t>
      </w:r>
      <w:r w:rsidR="00C50566">
        <w:rPr>
          <w:rFonts w:ascii="Arial" w:hAnsi="Arial" w:cs="Arial"/>
          <w:bCs/>
        </w:rPr>
        <w:t xml:space="preserve">, are not made out. </w:t>
      </w:r>
    </w:p>
    <w:p w14:paraId="704E6682" w14:textId="0165DD9C" w:rsidR="00D2169A" w:rsidRPr="00D2169A" w:rsidRDefault="00D2169A" w:rsidP="00D2169A">
      <w:pPr>
        <w:pStyle w:val="Style1"/>
        <w:ind w:left="0" w:firstLine="0"/>
        <w:rPr>
          <w:rFonts w:ascii="Arial" w:hAnsi="Arial" w:cs="Arial"/>
          <w:bCs/>
          <w:i/>
          <w:iCs/>
        </w:rPr>
      </w:pPr>
      <w:r>
        <w:rPr>
          <w:rFonts w:ascii="Arial" w:hAnsi="Arial" w:cs="Arial"/>
          <w:bCs/>
          <w:i/>
          <w:iCs/>
        </w:rPr>
        <w:t>Use in the 20 years to c. 2003</w:t>
      </w:r>
    </w:p>
    <w:p w14:paraId="42EFAC8A" w14:textId="0775902B" w:rsidR="004610F9" w:rsidRDefault="003F61D1" w:rsidP="000D1F6D">
      <w:pPr>
        <w:pStyle w:val="Style1"/>
        <w:numPr>
          <w:ilvl w:val="0"/>
          <w:numId w:val="4"/>
        </w:numPr>
        <w:tabs>
          <w:tab w:val="clear" w:pos="720"/>
        </w:tabs>
        <w:rPr>
          <w:rFonts w:ascii="Arial" w:hAnsi="Arial" w:cs="Arial"/>
          <w:bCs/>
        </w:rPr>
      </w:pPr>
      <w:r>
        <w:rPr>
          <w:rFonts w:ascii="Arial" w:hAnsi="Arial" w:cs="Arial"/>
          <w:bCs/>
        </w:rPr>
        <w:t>Mrs. Jobbins was able to speak to nearly the entirety of this period</w:t>
      </w:r>
      <w:r w:rsidR="008C548C">
        <w:rPr>
          <w:rFonts w:ascii="Arial" w:hAnsi="Arial" w:cs="Arial"/>
          <w:bCs/>
        </w:rPr>
        <w:t xml:space="preserve">, having moved to the area in 1984. She was an impressive witness. </w:t>
      </w:r>
      <w:r w:rsidR="00387BFA">
        <w:rPr>
          <w:rFonts w:ascii="Arial" w:hAnsi="Arial" w:cs="Arial"/>
          <w:bCs/>
        </w:rPr>
        <w:t>Her pattern of use was generally of taking children to school or visiting the shops, which would have coincided with the working hours of the site</w:t>
      </w:r>
      <w:r w:rsidR="00843C27">
        <w:rPr>
          <w:rFonts w:ascii="Arial" w:hAnsi="Arial" w:cs="Arial"/>
          <w:bCs/>
        </w:rPr>
        <w:t xml:space="preserve">. She may have used the route on Sundays, and on lighter summer evenings but could not be sure whether there would still have been workers at the site. She was friendly with one of the site’s adjoining residents but had not been aware that they had been given keys to one of the gates. </w:t>
      </w:r>
    </w:p>
    <w:p w14:paraId="3BAE1038" w14:textId="758CE267" w:rsidR="00E06AFE" w:rsidRDefault="00E06AFE" w:rsidP="000D1F6D">
      <w:pPr>
        <w:pStyle w:val="Style1"/>
        <w:numPr>
          <w:ilvl w:val="0"/>
          <w:numId w:val="4"/>
        </w:numPr>
        <w:tabs>
          <w:tab w:val="clear" w:pos="720"/>
        </w:tabs>
        <w:rPr>
          <w:rFonts w:ascii="Arial" w:hAnsi="Arial" w:cs="Arial"/>
          <w:bCs/>
        </w:rPr>
      </w:pPr>
      <w:r>
        <w:rPr>
          <w:rFonts w:ascii="Arial" w:hAnsi="Arial" w:cs="Arial"/>
          <w:bCs/>
        </w:rPr>
        <w:t>Mr. Quilliam has known the area for longer</w:t>
      </w:r>
      <w:r w:rsidR="004B4BC9">
        <w:rPr>
          <w:rFonts w:ascii="Arial" w:hAnsi="Arial" w:cs="Arial"/>
          <w:bCs/>
        </w:rPr>
        <w:t>, having lived in a nearby house for many years since the 1950s</w:t>
      </w:r>
      <w:r w:rsidR="00F6562C">
        <w:rPr>
          <w:rFonts w:ascii="Arial" w:hAnsi="Arial" w:cs="Arial"/>
          <w:bCs/>
        </w:rPr>
        <w:t xml:space="preserve"> although with a period of absence</w:t>
      </w:r>
      <w:r w:rsidR="00B7143C">
        <w:rPr>
          <w:rFonts w:ascii="Arial" w:hAnsi="Arial" w:cs="Arial"/>
          <w:bCs/>
        </w:rPr>
        <w:t xml:space="preserve"> during the 1980s and part of the</w:t>
      </w:r>
      <w:r w:rsidR="009E36CD">
        <w:rPr>
          <w:rFonts w:ascii="Arial" w:hAnsi="Arial" w:cs="Arial"/>
          <w:bCs/>
        </w:rPr>
        <w:t xml:space="preserve"> </w:t>
      </w:r>
      <w:r w:rsidR="00B7143C">
        <w:rPr>
          <w:rFonts w:ascii="Arial" w:hAnsi="Arial" w:cs="Arial"/>
          <w:bCs/>
        </w:rPr>
        <w:t>1990s</w:t>
      </w:r>
      <w:r w:rsidR="00CD68F4">
        <w:rPr>
          <w:rFonts w:ascii="Arial" w:hAnsi="Arial" w:cs="Arial"/>
          <w:bCs/>
        </w:rPr>
        <w:t xml:space="preserve"> (although his Proof differs from his Witness Statement on this point)</w:t>
      </w:r>
      <w:r w:rsidR="004B4BC9">
        <w:rPr>
          <w:rFonts w:ascii="Arial" w:hAnsi="Arial" w:cs="Arial"/>
          <w:bCs/>
        </w:rPr>
        <w:t xml:space="preserve">. </w:t>
      </w:r>
      <w:r w:rsidR="00AF3E3D">
        <w:rPr>
          <w:rFonts w:ascii="Arial" w:hAnsi="Arial" w:cs="Arial"/>
          <w:bCs/>
        </w:rPr>
        <w:t>H</w:t>
      </w:r>
      <w:r w:rsidR="00620223">
        <w:rPr>
          <w:rFonts w:ascii="Arial" w:hAnsi="Arial" w:cs="Arial"/>
          <w:bCs/>
        </w:rPr>
        <w:t xml:space="preserve">e was </w:t>
      </w:r>
      <w:r w:rsidR="0073747C">
        <w:rPr>
          <w:rFonts w:ascii="Arial" w:hAnsi="Arial" w:cs="Arial"/>
          <w:bCs/>
        </w:rPr>
        <w:t xml:space="preserve">quite adamant that he had never encountered the route to be shut and had used it at all hours. </w:t>
      </w:r>
      <w:r w:rsidR="00696970">
        <w:rPr>
          <w:rFonts w:ascii="Arial" w:hAnsi="Arial" w:cs="Arial"/>
          <w:bCs/>
        </w:rPr>
        <w:t>However</w:t>
      </w:r>
      <w:r w:rsidR="00B86EDE">
        <w:rPr>
          <w:rFonts w:ascii="Arial" w:hAnsi="Arial" w:cs="Arial"/>
          <w:bCs/>
        </w:rPr>
        <w:t>, according to his Proof</w:t>
      </w:r>
      <w:r w:rsidR="002A1B65">
        <w:rPr>
          <w:rFonts w:ascii="Arial" w:hAnsi="Arial" w:cs="Arial"/>
          <w:bCs/>
        </w:rPr>
        <w:t>,</w:t>
      </w:r>
      <w:r w:rsidR="00696970">
        <w:rPr>
          <w:rFonts w:ascii="Arial" w:hAnsi="Arial" w:cs="Arial"/>
          <w:bCs/>
        </w:rPr>
        <w:t xml:space="preserve"> he had little direct knowledge of the route during much of this </w:t>
      </w:r>
      <w:r w:rsidR="00BB0D96">
        <w:rPr>
          <w:rFonts w:ascii="Arial" w:hAnsi="Arial" w:cs="Arial"/>
          <w:bCs/>
        </w:rPr>
        <w:t xml:space="preserve">particular </w:t>
      </w:r>
      <w:r w:rsidR="00696970">
        <w:rPr>
          <w:rFonts w:ascii="Arial" w:hAnsi="Arial" w:cs="Arial"/>
          <w:bCs/>
        </w:rPr>
        <w:t xml:space="preserve">20 year period. He reports that his children used the route to </w:t>
      </w:r>
      <w:r w:rsidR="00F94F34">
        <w:rPr>
          <w:rFonts w:ascii="Arial" w:hAnsi="Arial" w:cs="Arial"/>
          <w:bCs/>
        </w:rPr>
        <w:t xml:space="preserve">go to school during this period, although I did not hear from them directly which must limit the weight to this evidence. In any event such trips were likely to have coincided with the opening hours of the site. </w:t>
      </w:r>
    </w:p>
    <w:p w14:paraId="16375E8E" w14:textId="06F943EF" w:rsidR="00715D02" w:rsidRDefault="00E95DA2" w:rsidP="000D1F6D">
      <w:pPr>
        <w:pStyle w:val="Style1"/>
        <w:numPr>
          <w:ilvl w:val="0"/>
          <w:numId w:val="4"/>
        </w:numPr>
        <w:tabs>
          <w:tab w:val="clear" w:pos="720"/>
        </w:tabs>
        <w:rPr>
          <w:rFonts w:ascii="Arial" w:hAnsi="Arial" w:cs="Arial"/>
          <w:bCs/>
        </w:rPr>
      </w:pPr>
      <w:r>
        <w:rPr>
          <w:rFonts w:ascii="Arial" w:hAnsi="Arial" w:cs="Arial"/>
          <w:bCs/>
        </w:rPr>
        <w:t>Similarly the first hand evidence of the objectors was somewhat limited</w:t>
      </w:r>
      <w:r w:rsidR="00CE766F">
        <w:rPr>
          <w:rFonts w:ascii="Arial" w:hAnsi="Arial" w:cs="Arial"/>
          <w:bCs/>
        </w:rPr>
        <w:t xml:space="preserve">, with their witnesses tending to be from the </w:t>
      </w:r>
      <w:r w:rsidR="00845297">
        <w:rPr>
          <w:rFonts w:ascii="Arial" w:hAnsi="Arial" w:cs="Arial"/>
          <w:bCs/>
        </w:rPr>
        <w:t>management grades</w:t>
      </w:r>
      <w:r w:rsidR="00CE766F">
        <w:rPr>
          <w:rFonts w:ascii="Arial" w:hAnsi="Arial" w:cs="Arial"/>
          <w:bCs/>
        </w:rPr>
        <w:t xml:space="preserve"> rather than those with direct responsibility for locking the gates at night</w:t>
      </w:r>
      <w:r w:rsidR="00F87C26">
        <w:rPr>
          <w:rFonts w:ascii="Arial" w:hAnsi="Arial" w:cs="Arial"/>
          <w:bCs/>
        </w:rPr>
        <w:t>. M</w:t>
      </w:r>
      <w:r w:rsidR="006702DF">
        <w:rPr>
          <w:rFonts w:ascii="Arial" w:hAnsi="Arial" w:cs="Arial"/>
          <w:bCs/>
        </w:rPr>
        <w:t xml:space="preserve">r Luton </w:t>
      </w:r>
      <w:r w:rsidR="00F87C26">
        <w:rPr>
          <w:rFonts w:ascii="Arial" w:hAnsi="Arial" w:cs="Arial"/>
          <w:bCs/>
        </w:rPr>
        <w:t xml:space="preserve">claimed to have locked the gates himself although </w:t>
      </w:r>
      <w:r w:rsidR="00C7172F">
        <w:rPr>
          <w:rFonts w:ascii="Arial" w:hAnsi="Arial" w:cs="Arial"/>
          <w:bCs/>
        </w:rPr>
        <w:t>this was not mentioned in his statutory declarations and it was not entirely clear when, during his 48 year tenure with the company, he would have had this responsi</w:t>
      </w:r>
      <w:r w:rsidR="00053363">
        <w:rPr>
          <w:rFonts w:ascii="Arial" w:hAnsi="Arial" w:cs="Arial"/>
          <w:bCs/>
        </w:rPr>
        <w:t>bility</w:t>
      </w:r>
      <w:r w:rsidR="000A6844">
        <w:rPr>
          <w:rFonts w:ascii="Arial" w:hAnsi="Arial" w:cs="Arial"/>
          <w:bCs/>
        </w:rPr>
        <w:t xml:space="preserve"> although I did understand it to overlap with </w:t>
      </w:r>
      <w:r w:rsidR="00053363">
        <w:rPr>
          <w:rFonts w:ascii="Arial" w:hAnsi="Arial" w:cs="Arial"/>
          <w:bCs/>
        </w:rPr>
        <w:t>part of this 20 year period.</w:t>
      </w:r>
      <w:r w:rsidR="00CE766F">
        <w:rPr>
          <w:rFonts w:ascii="Arial" w:hAnsi="Arial" w:cs="Arial"/>
          <w:bCs/>
        </w:rPr>
        <w:t xml:space="preserve"> </w:t>
      </w:r>
    </w:p>
    <w:p w14:paraId="2864DFBB" w14:textId="3AEAB84B" w:rsidR="006549D7" w:rsidRDefault="006568C8" w:rsidP="000D1F6D">
      <w:pPr>
        <w:pStyle w:val="Style1"/>
        <w:numPr>
          <w:ilvl w:val="0"/>
          <w:numId w:val="4"/>
        </w:numPr>
        <w:tabs>
          <w:tab w:val="clear" w:pos="720"/>
        </w:tabs>
        <w:rPr>
          <w:rFonts w:ascii="Arial" w:hAnsi="Arial" w:cs="Arial"/>
          <w:bCs/>
        </w:rPr>
      </w:pPr>
      <w:r w:rsidRPr="00D10A52">
        <w:rPr>
          <w:rFonts w:ascii="Arial" w:hAnsi="Arial" w:cs="Arial"/>
          <w:bCs/>
        </w:rPr>
        <w:t>Mr Mackie was the Managing Director of the company from 1988 and had no personal responsibility for locking the gates</w:t>
      </w:r>
      <w:r w:rsidR="00696206" w:rsidRPr="00D10A52">
        <w:rPr>
          <w:rFonts w:ascii="Arial" w:hAnsi="Arial" w:cs="Arial"/>
          <w:bCs/>
        </w:rPr>
        <w:t>. He did not have keys to the gates</w:t>
      </w:r>
      <w:r w:rsidR="00C50847" w:rsidRPr="00D10A52">
        <w:rPr>
          <w:rFonts w:ascii="Arial" w:hAnsi="Arial" w:cs="Arial"/>
          <w:bCs/>
        </w:rPr>
        <w:t xml:space="preserve">, which is somewhat </w:t>
      </w:r>
      <w:r w:rsidR="00C50847" w:rsidRPr="00D10A52">
        <w:rPr>
          <w:rFonts w:ascii="Arial" w:hAnsi="Arial" w:cs="Arial"/>
          <w:bCs/>
        </w:rPr>
        <w:lastRenderedPageBreak/>
        <w:t>surprising for someone so senior. However he did have keys to the shop from which the remainder of the site could be accessed.</w:t>
      </w:r>
      <w:r w:rsidR="00D10A52" w:rsidRPr="00D10A52">
        <w:rPr>
          <w:rFonts w:ascii="Arial" w:hAnsi="Arial" w:cs="Arial"/>
          <w:bCs/>
        </w:rPr>
        <w:t xml:space="preserve"> </w:t>
      </w:r>
      <w:r w:rsidR="007C7A31" w:rsidRPr="00D10A52">
        <w:rPr>
          <w:rFonts w:ascii="Arial" w:hAnsi="Arial" w:cs="Arial"/>
          <w:bCs/>
        </w:rPr>
        <w:t xml:space="preserve">Mr Lawrence described </w:t>
      </w:r>
      <w:r w:rsidR="005C0EEF" w:rsidRPr="00D10A52">
        <w:rPr>
          <w:rFonts w:ascii="Arial" w:hAnsi="Arial" w:cs="Arial"/>
          <w:bCs/>
        </w:rPr>
        <w:t xml:space="preserve">purchasing feed from the site from 1994 onwards, and finding the site to be locked </w:t>
      </w:r>
      <w:r w:rsidR="000461E1" w:rsidRPr="00D10A52">
        <w:rPr>
          <w:rFonts w:ascii="Arial" w:hAnsi="Arial" w:cs="Arial"/>
          <w:bCs/>
        </w:rPr>
        <w:t>out of hours, generally before around 0800</w:t>
      </w:r>
      <w:r w:rsidR="001B516B" w:rsidRPr="00D10A52">
        <w:rPr>
          <w:rFonts w:ascii="Arial" w:hAnsi="Arial" w:cs="Arial"/>
          <w:bCs/>
        </w:rPr>
        <w:t>.</w:t>
      </w:r>
    </w:p>
    <w:p w14:paraId="1A469CEC" w14:textId="56E8CC6D" w:rsidR="000D3972" w:rsidRPr="00D10A52" w:rsidRDefault="000D3972" w:rsidP="000D1F6D">
      <w:pPr>
        <w:pStyle w:val="Style1"/>
        <w:numPr>
          <w:ilvl w:val="0"/>
          <w:numId w:val="4"/>
        </w:numPr>
        <w:tabs>
          <w:tab w:val="clear" w:pos="720"/>
        </w:tabs>
        <w:rPr>
          <w:rFonts w:ascii="Arial" w:hAnsi="Arial" w:cs="Arial"/>
          <w:bCs/>
        </w:rPr>
      </w:pPr>
      <w:r>
        <w:rPr>
          <w:rFonts w:ascii="Arial" w:hAnsi="Arial" w:cs="Arial"/>
          <w:bCs/>
        </w:rPr>
        <w:t>Mr Bird</w:t>
      </w:r>
      <w:r w:rsidR="00B91F45">
        <w:rPr>
          <w:rFonts w:ascii="Arial" w:hAnsi="Arial" w:cs="Arial"/>
          <w:bCs/>
        </w:rPr>
        <w:t xml:space="preserve"> </w:t>
      </w:r>
      <w:r w:rsidR="00D61235">
        <w:rPr>
          <w:rFonts w:ascii="Arial" w:hAnsi="Arial" w:cs="Arial"/>
          <w:bCs/>
        </w:rPr>
        <w:t xml:space="preserve">gave oral evidence to the effect that </w:t>
      </w:r>
      <w:r w:rsidR="00956BF8">
        <w:rPr>
          <w:rFonts w:ascii="Arial" w:hAnsi="Arial" w:cs="Arial"/>
          <w:bCs/>
        </w:rPr>
        <w:t>he moved into 22 London Road in 1976, and that his family had requested a key to Gate 2. That request had been refused</w:t>
      </w:r>
      <w:r w:rsidR="00405CBA">
        <w:rPr>
          <w:rFonts w:ascii="Arial" w:hAnsi="Arial" w:cs="Arial"/>
          <w:bCs/>
        </w:rPr>
        <w:t>. He remembered the gate being locked by company staff</w:t>
      </w:r>
      <w:r w:rsidR="0078314B">
        <w:rPr>
          <w:rFonts w:ascii="Arial" w:hAnsi="Arial" w:cs="Arial"/>
          <w:bCs/>
        </w:rPr>
        <w:t>.</w:t>
      </w:r>
    </w:p>
    <w:p w14:paraId="791BDABB" w14:textId="20C37A99" w:rsidR="005C01F0" w:rsidRDefault="006549D7" w:rsidP="000D1F6D">
      <w:pPr>
        <w:pStyle w:val="Style1"/>
        <w:numPr>
          <w:ilvl w:val="0"/>
          <w:numId w:val="4"/>
        </w:numPr>
        <w:tabs>
          <w:tab w:val="clear" w:pos="720"/>
        </w:tabs>
        <w:rPr>
          <w:rFonts w:ascii="Arial" w:hAnsi="Arial" w:cs="Arial"/>
          <w:bCs/>
        </w:rPr>
      </w:pPr>
      <w:r>
        <w:rPr>
          <w:rFonts w:ascii="Arial" w:hAnsi="Arial" w:cs="Arial"/>
          <w:bCs/>
        </w:rPr>
        <w:t>For this period</w:t>
      </w:r>
      <w:r w:rsidR="00194FBE">
        <w:rPr>
          <w:rFonts w:ascii="Arial" w:hAnsi="Arial" w:cs="Arial"/>
          <w:bCs/>
        </w:rPr>
        <w:t xml:space="preserve"> </w:t>
      </w:r>
      <w:r w:rsidR="00591A67">
        <w:rPr>
          <w:rFonts w:ascii="Arial" w:hAnsi="Arial" w:cs="Arial"/>
          <w:bCs/>
        </w:rPr>
        <w:t xml:space="preserve">(as for the later period, to 2018) </w:t>
      </w:r>
      <w:r w:rsidR="00D10A52">
        <w:rPr>
          <w:rFonts w:ascii="Arial" w:hAnsi="Arial" w:cs="Arial"/>
          <w:bCs/>
        </w:rPr>
        <w:t xml:space="preserve">the </w:t>
      </w:r>
      <w:r w:rsidR="00813236">
        <w:rPr>
          <w:rFonts w:ascii="Arial" w:hAnsi="Arial" w:cs="Arial"/>
          <w:bCs/>
        </w:rPr>
        <w:t>evidence of live witnesses is rather conflicting</w:t>
      </w:r>
      <w:r w:rsidR="00591A67">
        <w:rPr>
          <w:rFonts w:ascii="Arial" w:hAnsi="Arial" w:cs="Arial"/>
          <w:bCs/>
        </w:rPr>
        <w:t xml:space="preserve">. It was clear that all witnesses were </w:t>
      </w:r>
      <w:r w:rsidR="00F31062">
        <w:rPr>
          <w:rFonts w:ascii="Arial" w:hAnsi="Arial" w:cs="Arial"/>
          <w:bCs/>
        </w:rPr>
        <w:t xml:space="preserve">doing their best to assist me, but I was left in no doubt that the recollections of </w:t>
      </w:r>
      <w:r w:rsidR="00EB3A12">
        <w:rPr>
          <w:rFonts w:ascii="Arial" w:hAnsi="Arial" w:cs="Arial"/>
          <w:bCs/>
        </w:rPr>
        <w:t xml:space="preserve">several </w:t>
      </w:r>
      <w:r w:rsidR="00F31062">
        <w:rPr>
          <w:rFonts w:ascii="Arial" w:hAnsi="Arial" w:cs="Arial"/>
          <w:bCs/>
        </w:rPr>
        <w:t>witnesses were likely to have been influenced</w:t>
      </w:r>
      <w:r w:rsidR="000F3993">
        <w:rPr>
          <w:rFonts w:ascii="Arial" w:hAnsi="Arial" w:cs="Arial"/>
          <w:bCs/>
        </w:rPr>
        <w:t xml:space="preserve">, perhaps not consciously, by their interest in the outcome of the proceedings. </w:t>
      </w:r>
    </w:p>
    <w:p w14:paraId="5F937468" w14:textId="77777777" w:rsidR="002604E5" w:rsidRDefault="000F3993" w:rsidP="000D1F6D">
      <w:pPr>
        <w:pStyle w:val="Style1"/>
        <w:numPr>
          <w:ilvl w:val="0"/>
          <w:numId w:val="4"/>
        </w:numPr>
        <w:tabs>
          <w:tab w:val="clear" w:pos="720"/>
        </w:tabs>
        <w:rPr>
          <w:rFonts w:ascii="Arial" w:hAnsi="Arial" w:cs="Arial"/>
          <w:bCs/>
        </w:rPr>
      </w:pPr>
      <w:r>
        <w:rPr>
          <w:rFonts w:ascii="Arial" w:hAnsi="Arial" w:cs="Arial"/>
          <w:bCs/>
        </w:rPr>
        <w:t>Contemporaneous documents exist from the period concerned</w:t>
      </w:r>
      <w:r w:rsidR="00727637">
        <w:rPr>
          <w:rFonts w:ascii="Arial" w:hAnsi="Arial" w:cs="Arial"/>
          <w:bCs/>
        </w:rPr>
        <w:t>, generally arising from planning applications, company reports</w:t>
      </w:r>
      <w:r w:rsidR="00EE784A">
        <w:rPr>
          <w:rFonts w:ascii="Arial" w:hAnsi="Arial" w:cs="Arial"/>
          <w:bCs/>
        </w:rPr>
        <w:t xml:space="preserve"> and land transactions taking place during this time.</w:t>
      </w:r>
    </w:p>
    <w:p w14:paraId="1185865D" w14:textId="7F22AD52" w:rsidR="000F3993" w:rsidRDefault="002604E5" w:rsidP="000D1F6D">
      <w:pPr>
        <w:pStyle w:val="Style1"/>
        <w:numPr>
          <w:ilvl w:val="0"/>
          <w:numId w:val="4"/>
        </w:numPr>
        <w:tabs>
          <w:tab w:val="clear" w:pos="720"/>
        </w:tabs>
        <w:rPr>
          <w:rFonts w:ascii="Arial" w:hAnsi="Arial" w:cs="Arial"/>
          <w:bCs/>
        </w:rPr>
      </w:pPr>
      <w:r>
        <w:rPr>
          <w:rFonts w:ascii="Arial" w:hAnsi="Arial" w:cs="Arial"/>
          <w:bCs/>
        </w:rPr>
        <w:t>The planning application for the extensions and alterations resulting in the changed access arrangements</w:t>
      </w:r>
      <w:r w:rsidR="00481544">
        <w:rPr>
          <w:rFonts w:ascii="Arial" w:hAnsi="Arial" w:cs="Arial"/>
          <w:bCs/>
        </w:rPr>
        <w:t xml:space="preserve"> early in the century was made in 1999. The application form stated that there was no public right of way through the site. As a matter of record</w:t>
      </w:r>
      <w:r w:rsidR="00F100F7">
        <w:rPr>
          <w:rFonts w:ascii="Arial" w:hAnsi="Arial" w:cs="Arial"/>
          <w:bCs/>
        </w:rPr>
        <w:t xml:space="preserve"> on the DMS</w:t>
      </w:r>
      <w:r w:rsidR="00481544">
        <w:rPr>
          <w:rFonts w:ascii="Arial" w:hAnsi="Arial" w:cs="Arial"/>
          <w:bCs/>
        </w:rPr>
        <w:t>, this was correct</w:t>
      </w:r>
      <w:r w:rsidR="00F100F7">
        <w:rPr>
          <w:rFonts w:ascii="Arial" w:hAnsi="Arial" w:cs="Arial"/>
          <w:bCs/>
        </w:rPr>
        <w:t xml:space="preserve"> and</w:t>
      </w:r>
      <w:r w:rsidR="006C59D6">
        <w:rPr>
          <w:rFonts w:ascii="Arial" w:hAnsi="Arial" w:cs="Arial"/>
          <w:bCs/>
        </w:rPr>
        <w:t>,</w:t>
      </w:r>
      <w:r w:rsidR="00F100F7">
        <w:rPr>
          <w:rFonts w:ascii="Arial" w:hAnsi="Arial" w:cs="Arial"/>
          <w:bCs/>
        </w:rPr>
        <w:t xml:space="preserve"> as the Council</w:t>
      </w:r>
      <w:r w:rsidR="006C59D6">
        <w:rPr>
          <w:rFonts w:ascii="Arial" w:hAnsi="Arial" w:cs="Arial"/>
          <w:bCs/>
        </w:rPr>
        <w:t>’s</w:t>
      </w:r>
      <w:r w:rsidR="00F100F7">
        <w:rPr>
          <w:rFonts w:ascii="Arial" w:hAnsi="Arial" w:cs="Arial"/>
          <w:bCs/>
        </w:rPr>
        <w:t xml:space="preserve"> witness </w:t>
      </w:r>
      <w:r w:rsidR="006C59D6">
        <w:rPr>
          <w:rFonts w:ascii="Arial" w:hAnsi="Arial" w:cs="Arial"/>
          <w:bCs/>
        </w:rPr>
        <w:t>pointed out</w:t>
      </w:r>
      <w:r w:rsidR="00F100F7">
        <w:rPr>
          <w:rFonts w:ascii="Arial" w:hAnsi="Arial" w:cs="Arial"/>
          <w:bCs/>
        </w:rPr>
        <w:t xml:space="preserve">, this is not a statement </w:t>
      </w:r>
      <w:r w:rsidR="00C55F66">
        <w:rPr>
          <w:rFonts w:ascii="Arial" w:hAnsi="Arial" w:cs="Arial"/>
          <w:bCs/>
        </w:rPr>
        <w:t xml:space="preserve">by developers that is </w:t>
      </w:r>
      <w:r w:rsidR="00F100F7">
        <w:rPr>
          <w:rFonts w:ascii="Arial" w:hAnsi="Arial" w:cs="Arial"/>
          <w:bCs/>
        </w:rPr>
        <w:t>necessarily to be relied upon</w:t>
      </w:r>
      <w:r w:rsidR="00C55F66">
        <w:rPr>
          <w:rFonts w:ascii="Arial" w:hAnsi="Arial" w:cs="Arial"/>
          <w:bCs/>
        </w:rPr>
        <w:t xml:space="preserve"> as a matter of course. </w:t>
      </w:r>
      <w:r w:rsidR="000F3993">
        <w:rPr>
          <w:rFonts w:ascii="Arial" w:hAnsi="Arial" w:cs="Arial"/>
          <w:bCs/>
        </w:rPr>
        <w:t xml:space="preserve"> </w:t>
      </w:r>
      <w:r w:rsidR="00077E2F">
        <w:rPr>
          <w:rFonts w:ascii="Arial" w:hAnsi="Arial" w:cs="Arial"/>
          <w:bCs/>
        </w:rPr>
        <w:t>I do not give it any weight.</w:t>
      </w:r>
    </w:p>
    <w:p w14:paraId="10337773" w14:textId="57CE85FA" w:rsidR="0048786C" w:rsidRDefault="00853169" w:rsidP="000D1F6D">
      <w:pPr>
        <w:pStyle w:val="Style1"/>
        <w:numPr>
          <w:ilvl w:val="0"/>
          <w:numId w:val="4"/>
        </w:numPr>
        <w:tabs>
          <w:tab w:val="clear" w:pos="720"/>
        </w:tabs>
        <w:rPr>
          <w:rFonts w:ascii="Arial" w:hAnsi="Arial" w:cs="Arial"/>
          <w:bCs/>
        </w:rPr>
      </w:pPr>
      <w:r>
        <w:rPr>
          <w:rFonts w:ascii="Arial" w:hAnsi="Arial" w:cs="Arial"/>
          <w:bCs/>
        </w:rPr>
        <w:t xml:space="preserve">A statutory declaration </w:t>
      </w:r>
      <w:r w:rsidR="0043495B">
        <w:rPr>
          <w:rFonts w:ascii="Arial" w:hAnsi="Arial" w:cs="Arial"/>
          <w:bCs/>
        </w:rPr>
        <w:t xml:space="preserve">was made by a </w:t>
      </w:r>
      <w:r w:rsidR="008E11F4">
        <w:rPr>
          <w:rFonts w:ascii="Arial" w:hAnsi="Arial" w:cs="Arial"/>
          <w:bCs/>
        </w:rPr>
        <w:t xml:space="preserve">former owner of 20 London Road </w:t>
      </w:r>
      <w:r w:rsidR="003A5F6F">
        <w:rPr>
          <w:rFonts w:ascii="Arial" w:hAnsi="Arial" w:cs="Arial"/>
          <w:bCs/>
        </w:rPr>
        <w:t>in 1995</w:t>
      </w:r>
      <w:r w:rsidR="0045404D">
        <w:rPr>
          <w:rFonts w:ascii="Arial" w:hAnsi="Arial" w:cs="Arial"/>
          <w:bCs/>
        </w:rPr>
        <w:t xml:space="preserve"> (</w:t>
      </w:r>
      <w:r w:rsidR="0045404D">
        <w:rPr>
          <w:rFonts w:ascii="Arial" w:hAnsi="Arial" w:cs="Arial"/>
          <w:b/>
        </w:rPr>
        <w:t>C-114</w:t>
      </w:r>
      <w:r w:rsidR="0045404D">
        <w:rPr>
          <w:rFonts w:ascii="Arial" w:hAnsi="Arial" w:cs="Arial"/>
          <w:bCs/>
        </w:rPr>
        <w:t>)</w:t>
      </w:r>
      <w:r w:rsidR="00531744">
        <w:rPr>
          <w:rFonts w:ascii="Arial" w:hAnsi="Arial" w:cs="Arial"/>
          <w:bCs/>
        </w:rPr>
        <w:t>, covering the period since 1983</w:t>
      </w:r>
      <w:r w:rsidR="003A5F6F">
        <w:rPr>
          <w:rFonts w:ascii="Arial" w:hAnsi="Arial" w:cs="Arial"/>
          <w:bCs/>
        </w:rPr>
        <w:t xml:space="preserve">. Both he and his wife also provided witness statements </w:t>
      </w:r>
      <w:r w:rsidR="0045404D">
        <w:rPr>
          <w:rFonts w:ascii="Arial" w:hAnsi="Arial" w:cs="Arial"/>
          <w:bCs/>
        </w:rPr>
        <w:t>in 2020 (</w:t>
      </w:r>
      <w:r w:rsidR="0045404D">
        <w:rPr>
          <w:rFonts w:ascii="Arial" w:hAnsi="Arial" w:cs="Arial"/>
          <w:b/>
        </w:rPr>
        <w:t>F-</w:t>
      </w:r>
      <w:r w:rsidR="003A40EC">
        <w:rPr>
          <w:rFonts w:ascii="Arial" w:hAnsi="Arial" w:cs="Arial"/>
          <w:b/>
        </w:rPr>
        <w:t>85 – 93</w:t>
      </w:r>
      <w:r w:rsidR="003A40EC">
        <w:rPr>
          <w:rFonts w:ascii="Arial" w:hAnsi="Arial" w:cs="Arial"/>
          <w:bCs/>
        </w:rPr>
        <w:t>)</w:t>
      </w:r>
      <w:r w:rsidR="0048786C">
        <w:rPr>
          <w:rFonts w:ascii="Arial" w:hAnsi="Arial" w:cs="Arial"/>
          <w:bCs/>
        </w:rPr>
        <w:t>.</w:t>
      </w:r>
      <w:r w:rsidR="0045404D">
        <w:rPr>
          <w:rFonts w:ascii="Arial" w:hAnsi="Arial" w:cs="Arial"/>
          <w:bCs/>
        </w:rPr>
        <w:t xml:space="preserve"> </w:t>
      </w:r>
      <w:r w:rsidR="00845297">
        <w:rPr>
          <w:rFonts w:ascii="Arial" w:hAnsi="Arial" w:cs="Arial"/>
          <w:bCs/>
        </w:rPr>
        <w:t>Those</w:t>
      </w:r>
      <w:r w:rsidR="003A40EC">
        <w:rPr>
          <w:rFonts w:ascii="Arial" w:hAnsi="Arial" w:cs="Arial"/>
          <w:bCs/>
        </w:rPr>
        <w:t xml:space="preserve"> statements are each expressed to be </w:t>
      </w:r>
      <w:r w:rsidR="00EA7665">
        <w:rPr>
          <w:rFonts w:ascii="Arial" w:hAnsi="Arial" w:cs="Arial"/>
          <w:bCs/>
        </w:rPr>
        <w:t>in support of</w:t>
      </w:r>
      <w:r w:rsidR="00A9409C">
        <w:rPr>
          <w:rFonts w:ascii="Arial" w:hAnsi="Arial" w:cs="Arial"/>
          <w:bCs/>
        </w:rPr>
        <w:t xml:space="preserve"> the use of ‘a piece of land’ as having been used ‘as of right’ for a period of over 20 years </w:t>
      </w:r>
      <w:r w:rsidR="00A23DAA">
        <w:rPr>
          <w:rFonts w:ascii="Arial" w:hAnsi="Arial" w:cs="Arial"/>
          <w:bCs/>
        </w:rPr>
        <w:t>by residents of Warmley</w:t>
      </w:r>
      <w:r w:rsidR="00845297">
        <w:rPr>
          <w:rFonts w:ascii="Arial" w:hAnsi="Arial" w:cs="Arial"/>
          <w:bCs/>
        </w:rPr>
        <w:t>. However</w:t>
      </w:r>
      <w:r w:rsidR="00A23DAA">
        <w:rPr>
          <w:rFonts w:ascii="Arial" w:hAnsi="Arial" w:cs="Arial"/>
          <w:bCs/>
        </w:rPr>
        <w:t>, the</w:t>
      </w:r>
      <w:r w:rsidR="00845297">
        <w:rPr>
          <w:rFonts w:ascii="Arial" w:hAnsi="Arial" w:cs="Arial"/>
          <w:bCs/>
        </w:rPr>
        <w:t xml:space="preserve"> statements</w:t>
      </w:r>
      <w:r w:rsidR="00A23DAA">
        <w:rPr>
          <w:rFonts w:ascii="Arial" w:hAnsi="Arial" w:cs="Arial"/>
          <w:bCs/>
        </w:rPr>
        <w:t xml:space="preserve"> do not</w:t>
      </w:r>
      <w:r w:rsidR="00845297">
        <w:rPr>
          <w:rFonts w:ascii="Arial" w:hAnsi="Arial" w:cs="Arial"/>
          <w:bCs/>
        </w:rPr>
        <w:t xml:space="preserve"> actually</w:t>
      </w:r>
      <w:r w:rsidR="00A23DAA">
        <w:rPr>
          <w:rFonts w:ascii="Arial" w:hAnsi="Arial" w:cs="Arial"/>
          <w:bCs/>
        </w:rPr>
        <w:t xml:space="preserve"> describe the land as having been used as of right. The first statement </w:t>
      </w:r>
      <w:r w:rsidR="00A46FA7">
        <w:rPr>
          <w:rFonts w:ascii="Arial" w:hAnsi="Arial" w:cs="Arial"/>
          <w:bCs/>
        </w:rPr>
        <w:t xml:space="preserve">describes being provided with a key to one of the gates; </w:t>
      </w:r>
      <w:r w:rsidR="006C59D6">
        <w:rPr>
          <w:rFonts w:ascii="Arial" w:hAnsi="Arial" w:cs="Arial"/>
          <w:bCs/>
        </w:rPr>
        <w:t xml:space="preserve">and </w:t>
      </w:r>
      <w:r w:rsidR="00A46FA7">
        <w:rPr>
          <w:rFonts w:ascii="Arial" w:hAnsi="Arial" w:cs="Arial"/>
          <w:bCs/>
        </w:rPr>
        <w:t>that if the Mill’s operating hours were close</w:t>
      </w:r>
      <w:r w:rsidR="00531744">
        <w:rPr>
          <w:rFonts w:ascii="Arial" w:hAnsi="Arial" w:cs="Arial"/>
          <w:bCs/>
        </w:rPr>
        <w:t>d then a ‘standing arrangement’ was in place</w:t>
      </w:r>
      <w:r w:rsidR="00197D36">
        <w:rPr>
          <w:rFonts w:ascii="Arial" w:hAnsi="Arial" w:cs="Arial"/>
          <w:bCs/>
        </w:rPr>
        <w:t xml:space="preserve"> allowing him to enter and exit </w:t>
      </w:r>
      <w:r w:rsidR="009B5F63">
        <w:rPr>
          <w:rFonts w:ascii="Arial" w:hAnsi="Arial" w:cs="Arial"/>
          <w:bCs/>
        </w:rPr>
        <w:t>via the ‘Route’</w:t>
      </w:r>
      <w:r w:rsidR="00876871">
        <w:rPr>
          <w:rFonts w:ascii="Arial" w:hAnsi="Arial" w:cs="Arial"/>
          <w:bCs/>
        </w:rPr>
        <w:t xml:space="preserve"> (the attached plan is not supplied to me, but I understand it to coincide with the Order route, and that the gate referred to is Gate 2)</w:t>
      </w:r>
      <w:r w:rsidR="0048786C">
        <w:rPr>
          <w:rFonts w:ascii="Arial" w:hAnsi="Arial" w:cs="Arial"/>
          <w:bCs/>
        </w:rPr>
        <w:t>.</w:t>
      </w:r>
      <w:r w:rsidR="00672F17">
        <w:rPr>
          <w:rFonts w:ascii="Arial" w:hAnsi="Arial" w:cs="Arial"/>
          <w:bCs/>
        </w:rPr>
        <w:t xml:space="preserve"> He recalled the Mill restricting access to the public once a year</w:t>
      </w:r>
      <w:r w:rsidR="007707C7">
        <w:rPr>
          <w:rFonts w:ascii="Arial" w:hAnsi="Arial" w:cs="Arial"/>
          <w:bCs/>
        </w:rPr>
        <w:t>, save for immediate</w:t>
      </w:r>
      <w:r w:rsidR="006068AC">
        <w:rPr>
          <w:rFonts w:ascii="Arial" w:hAnsi="Arial" w:cs="Arial"/>
          <w:bCs/>
        </w:rPr>
        <w:t>ly adjoining</w:t>
      </w:r>
      <w:r w:rsidR="007707C7">
        <w:rPr>
          <w:rFonts w:ascii="Arial" w:hAnsi="Arial" w:cs="Arial"/>
          <w:bCs/>
        </w:rPr>
        <w:t xml:space="preserve"> residents. </w:t>
      </w:r>
      <w:r w:rsidR="00960DA5">
        <w:rPr>
          <w:rFonts w:ascii="Arial" w:hAnsi="Arial" w:cs="Arial"/>
          <w:bCs/>
        </w:rPr>
        <w:t>The second witness statement, by his wife, was to the effect that the Mill would occasionally lock both gates after operating hours. Her husband and she had been given the keys to Gate 2</w:t>
      </w:r>
      <w:r w:rsidR="00621422">
        <w:rPr>
          <w:rFonts w:ascii="Arial" w:hAnsi="Arial" w:cs="Arial"/>
          <w:bCs/>
        </w:rPr>
        <w:t xml:space="preserve"> upon purchase of the property.</w:t>
      </w:r>
      <w:r w:rsidR="004E0C2D">
        <w:rPr>
          <w:rFonts w:ascii="Arial" w:hAnsi="Arial" w:cs="Arial"/>
          <w:bCs/>
        </w:rPr>
        <w:t xml:space="preserve"> She described using the keys to </w:t>
      </w:r>
      <w:r w:rsidR="00787F0C">
        <w:rPr>
          <w:rFonts w:ascii="Arial" w:hAnsi="Arial" w:cs="Arial"/>
          <w:bCs/>
        </w:rPr>
        <w:t xml:space="preserve">open Gate 2 in the early morning to travel to work before the Mill opened for business. </w:t>
      </w:r>
      <w:r w:rsidR="00D66E26">
        <w:rPr>
          <w:rFonts w:ascii="Arial" w:hAnsi="Arial" w:cs="Arial"/>
          <w:bCs/>
        </w:rPr>
        <w:t>This does not describe use as of right, but describes use pursuant to a personal right or permission.</w:t>
      </w:r>
    </w:p>
    <w:p w14:paraId="19D52EFA" w14:textId="238549D9" w:rsidR="00621422" w:rsidRDefault="00621422" w:rsidP="000D1F6D">
      <w:pPr>
        <w:pStyle w:val="Style1"/>
        <w:numPr>
          <w:ilvl w:val="0"/>
          <w:numId w:val="4"/>
        </w:numPr>
        <w:tabs>
          <w:tab w:val="clear" w:pos="720"/>
        </w:tabs>
        <w:rPr>
          <w:rFonts w:ascii="Arial" w:hAnsi="Arial" w:cs="Arial"/>
          <w:bCs/>
        </w:rPr>
      </w:pPr>
      <w:r>
        <w:rPr>
          <w:rFonts w:ascii="Arial" w:hAnsi="Arial" w:cs="Arial"/>
          <w:bCs/>
        </w:rPr>
        <w:t xml:space="preserve">This is largely consistent with the statutory declaration made in 1995, before </w:t>
      </w:r>
      <w:r w:rsidR="006068AC">
        <w:rPr>
          <w:rFonts w:ascii="Arial" w:hAnsi="Arial" w:cs="Arial"/>
          <w:bCs/>
        </w:rPr>
        <w:t xml:space="preserve">the </w:t>
      </w:r>
      <w:r>
        <w:rPr>
          <w:rFonts w:ascii="Arial" w:hAnsi="Arial" w:cs="Arial"/>
          <w:bCs/>
        </w:rPr>
        <w:t>present dispute arose. It describe</w:t>
      </w:r>
      <w:r w:rsidR="004F47DA">
        <w:rPr>
          <w:rFonts w:ascii="Arial" w:hAnsi="Arial" w:cs="Arial"/>
          <w:bCs/>
        </w:rPr>
        <w:t xml:space="preserve">d ‘a gate which stops access to the general public’ which ‘is often locked’. A key had always been given to </w:t>
      </w:r>
      <w:r w:rsidR="00E93EF9">
        <w:rPr>
          <w:rFonts w:ascii="Arial" w:hAnsi="Arial" w:cs="Arial"/>
          <w:bCs/>
        </w:rPr>
        <w:t xml:space="preserve">the deponent, and when a new combination lock had recently been installed, the </w:t>
      </w:r>
      <w:r w:rsidR="0021512B">
        <w:rPr>
          <w:rFonts w:ascii="Arial" w:hAnsi="Arial" w:cs="Arial"/>
          <w:bCs/>
        </w:rPr>
        <w:t>details of the combination had been given to him on the day of installation. He understood that similar arrangements had existed with the previous owners</w:t>
      </w:r>
      <w:r w:rsidR="00882E60">
        <w:rPr>
          <w:rFonts w:ascii="Arial" w:hAnsi="Arial" w:cs="Arial"/>
          <w:bCs/>
        </w:rPr>
        <w:t xml:space="preserve"> of no. 20</w:t>
      </w:r>
      <w:r w:rsidR="0021512B">
        <w:rPr>
          <w:rFonts w:ascii="Arial" w:hAnsi="Arial" w:cs="Arial"/>
          <w:bCs/>
        </w:rPr>
        <w:t xml:space="preserve">. </w:t>
      </w:r>
    </w:p>
    <w:p w14:paraId="4E0F01B3" w14:textId="4602903F" w:rsidR="00AE0F79" w:rsidRDefault="001D06C0" w:rsidP="000D1F6D">
      <w:pPr>
        <w:pStyle w:val="Style1"/>
        <w:numPr>
          <w:ilvl w:val="0"/>
          <w:numId w:val="4"/>
        </w:numPr>
        <w:tabs>
          <w:tab w:val="clear" w:pos="720"/>
        </w:tabs>
        <w:rPr>
          <w:rFonts w:ascii="Arial" w:hAnsi="Arial" w:cs="Arial"/>
          <w:bCs/>
        </w:rPr>
      </w:pPr>
      <w:r>
        <w:rPr>
          <w:rFonts w:ascii="Arial" w:hAnsi="Arial" w:cs="Arial"/>
          <w:bCs/>
        </w:rPr>
        <w:t>Whilst the vast majority of users of the route appear to have done so during daylight hours when the site was open for business</w:t>
      </w:r>
      <w:r w:rsidR="000A12EB">
        <w:rPr>
          <w:rFonts w:ascii="Arial" w:hAnsi="Arial" w:cs="Arial"/>
          <w:bCs/>
        </w:rPr>
        <w:t xml:space="preserve">, Mr Quilliam contended that he had used the </w:t>
      </w:r>
      <w:r w:rsidR="008A7C95">
        <w:rPr>
          <w:rFonts w:ascii="Arial" w:hAnsi="Arial" w:cs="Arial"/>
          <w:bCs/>
        </w:rPr>
        <w:t>rout</w:t>
      </w:r>
      <w:r w:rsidR="000A12EB">
        <w:rPr>
          <w:rFonts w:ascii="Arial" w:hAnsi="Arial" w:cs="Arial"/>
          <w:bCs/>
        </w:rPr>
        <w:t xml:space="preserve">e at all hours and </w:t>
      </w:r>
      <w:r w:rsidR="008A7C95">
        <w:rPr>
          <w:rFonts w:ascii="Arial" w:hAnsi="Arial" w:cs="Arial"/>
          <w:bCs/>
        </w:rPr>
        <w:t>Mrs Jobbins thought that she may have used the route</w:t>
      </w:r>
      <w:r w:rsidR="009D2249">
        <w:rPr>
          <w:rFonts w:ascii="Arial" w:hAnsi="Arial" w:cs="Arial"/>
          <w:bCs/>
        </w:rPr>
        <w:t xml:space="preserve"> on Sundays when the site was presumed to be closed. Although these particular witnesses did not recall any obstruction to their use of the </w:t>
      </w:r>
      <w:r w:rsidR="00F27364">
        <w:rPr>
          <w:rFonts w:ascii="Arial" w:hAnsi="Arial" w:cs="Arial"/>
          <w:bCs/>
        </w:rPr>
        <w:t>rout</w:t>
      </w:r>
      <w:r w:rsidR="009D2249">
        <w:rPr>
          <w:rFonts w:ascii="Arial" w:hAnsi="Arial" w:cs="Arial"/>
          <w:bCs/>
        </w:rPr>
        <w:t>e, the likelihood of</w:t>
      </w:r>
      <w:r w:rsidR="00EB52EA">
        <w:rPr>
          <w:rFonts w:ascii="Arial" w:hAnsi="Arial" w:cs="Arial"/>
          <w:bCs/>
        </w:rPr>
        <w:t xml:space="preserve"> other ‘out of hours’ users coupled with the clear recollections of those former owners of no. 20 that the gate was ‘often</w:t>
      </w:r>
      <w:r w:rsidR="00723B69">
        <w:rPr>
          <w:rFonts w:ascii="Arial" w:hAnsi="Arial" w:cs="Arial"/>
          <w:bCs/>
        </w:rPr>
        <w:t>’ or ‘occasionally’</w:t>
      </w:r>
      <w:r w:rsidR="00EB52EA">
        <w:rPr>
          <w:rFonts w:ascii="Arial" w:hAnsi="Arial" w:cs="Arial"/>
          <w:bCs/>
        </w:rPr>
        <w:t xml:space="preserve"> locked</w:t>
      </w:r>
      <w:r w:rsidR="00F27364">
        <w:rPr>
          <w:rFonts w:ascii="Arial" w:hAnsi="Arial" w:cs="Arial"/>
          <w:bCs/>
        </w:rPr>
        <w:t xml:space="preserve"> leads to the obvious inference that at least some users will have encountered a locked gate during this period</w:t>
      </w:r>
      <w:r w:rsidR="00963ED5">
        <w:rPr>
          <w:rFonts w:ascii="Arial" w:hAnsi="Arial" w:cs="Arial"/>
          <w:bCs/>
        </w:rPr>
        <w:t xml:space="preserve">. </w:t>
      </w:r>
      <w:r w:rsidR="00F95BD5">
        <w:rPr>
          <w:rFonts w:ascii="Arial" w:hAnsi="Arial" w:cs="Arial"/>
          <w:bCs/>
        </w:rPr>
        <w:t>At least one of the users (</w:t>
      </w:r>
      <w:r w:rsidR="00F95BD5">
        <w:rPr>
          <w:rFonts w:ascii="Arial" w:hAnsi="Arial" w:cs="Arial"/>
          <w:b/>
        </w:rPr>
        <w:t>F</w:t>
      </w:r>
      <w:r w:rsidR="002640AF">
        <w:rPr>
          <w:rFonts w:ascii="Arial" w:hAnsi="Arial" w:cs="Arial"/>
          <w:b/>
        </w:rPr>
        <w:t>-</w:t>
      </w:r>
      <w:r w:rsidR="002640AF" w:rsidRPr="002640AF">
        <w:rPr>
          <w:rFonts w:ascii="Arial" w:hAnsi="Arial" w:cs="Arial"/>
          <w:b/>
        </w:rPr>
        <w:t>53</w:t>
      </w:r>
      <w:r w:rsidR="002640AF">
        <w:rPr>
          <w:rFonts w:ascii="Arial" w:hAnsi="Arial" w:cs="Arial"/>
          <w:bCs/>
        </w:rPr>
        <w:t xml:space="preserve">) attests to having done so. </w:t>
      </w:r>
      <w:r w:rsidR="00025D30" w:rsidRPr="002640AF">
        <w:rPr>
          <w:rFonts w:ascii="Arial" w:hAnsi="Arial" w:cs="Arial"/>
          <w:bCs/>
        </w:rPr>
        <w:t>That</w:t>
      </w:r>
      <w:r w:rsidR="00025D30">
        <w:rPr>
          <w:rFonts w:ascii="Arial" w:hAnsi="Arial" w:cs="Arial"/>
          <w:bCs/>
        </w:rPr>
        <w:t xml:space="preserve"> would have brought home to them that the landowner’s right to keep them out of the site was being asserted, and would defeat the claim to this period of 20 years’ user.</w:t>
      </w:r>
    </w:p>
    <w:p w14:paraId="6031D128" w14:textId="58468BE6" w:rsidR="00025D30" w:rsidRPr="00025D30" w:rsidRDefault="00025D30" w:rsidP="00025D30">
      <w:pPr>
        <w:pStyle w:val="Style1"/>
        <w:ind w:left="0" w:firstLine="0"/>
        <w:rPr>
          <w:rFonts w:ascii="Arial" w:hAnsi="Arial" w:cs="Arial"/>
          <w:bCs/>
          <w:i/>
          <w:iCs/>
        </w:rPr>
      </w:pPr>
      <w:r>
        <w:rPr>
          <w:rFonts w:ascii="Arial" w:hAnsi="Arial" w:cs="Arial"/>
          <w:bCs/>
          <w:i/>
          <w:iCs/>
        </w:rPr>
        <w:lastRenderedPageBreak/>
        <w:t xml:space="preserve">Evidence of </w:t>
      </w:r>
      <w:r w:rsidR="0047087E">
        <w:rPr>
          <w:rFonts w:ascii="Arial" w:hAnsi="Arial" w:cs="Arial"/>
          <w:bCs/>
          <w:i/>
          <w:iCs/>
        </w:rPr>
        <w:t xml:space="preserve">20 years’ </w:t>
      </w:r>
      <w:r>
        <w:rPr>
          <w:rFonts w:ascii="Arial" w:hAnsi="Arial" w:cs="Arial"/>
          <w:bCs/>
          <w:i/>
          <w:iCs/>
        </w:rPr>
        <w:t>use</w:t>
      </w:r>
      <w:r w:rsidR="0047087E">
        <w:rPr>
          <w:rFonts w:ascii="Arial" w:hAnsi="Arial" w:cs="Arial"/>
          <w:bCs/>
          <w:i/>
          <w:iCs/>
        </w:rPr>
        <w:t xml:space="preserve"> before the gates were installed</w:t>
      </w:r>
    </w:p>
    <w:p w14:paraId="459D7F52" w14:textId="51CB966D" w:rsidR="00025D30" w:rsidRDefault="0047087E" w:rsidP="000D1F6D">
      <w:pPr>
        <w:pStyle w:val="Style1"/>
        <w:numPr>
          <w:ilvl w:val="0"/>
          <w:numId w:val="4"/>
        </w:numPr>
        <w:tabs>
          <w:tab w:val="clear" w:pos="720"/>
        </w:tabs>
        <w:rPr>
          <w:rFonts w:ascii="Arial" w:hAnsi="Arial" w:cs="Arial"/>
          <w:bCs/>
        </w:rPr>
      </w:pPr>
      <w:r>
        <w:rPr>
          <w:rFonts w:ascii="Arial" w:hAnsi="Arial" w:cs="Arial"/>
          <w:bCs/>
        </w:rPr>
        <w:t xml:space="preserve">As discussed above, there is not much clarity on when gates were installed. On balance I prefer the evidence of Mr Luton that it was in around </w:t>
      </w:r>
      <w:r w:rsidR="00F4490E">
        <w:rPr>
          <w:rFonts w:ascii="Arial" w:hAnsi="Arial" w:cs="Arial"/>
          <w:bCs/>
        </w:rPr>
        <w:t xml:space="preserve">1974, after the wheat theft incident. </w:t>
      </w:r>
    </w:p>
    <w:p w14:paraId="194572DE" w14:textId="315D9156" w:rsidR="00CF473C" w:rsidRDefault="00F4490E" w:rsidP="000D1F6D">
      <w:pPr>
        <w:pStyle w:val="Style1"/>
        <w:numPr>
          <w:ilvl w:val="0"/>
          <w:numId w:val="4"/>
        </w:numPr>
        <w:tabs>
          <w:tab w:val="clear" w:pos="720"/>
        </w:tabs>
        <w:rPr>
          <w:rFonts w:ascii="Arial" w:hAnsi="Arial" w:cs="Arial"/>
          <w:bCs/>
        </w:rPr>
      </w:pPr>
      <w:r>
        <w:rPr>
          <w:rFonts w:ascii="Arial" w:hAnsi="Arial" w:cs="Arial"/>
          <w:bCs/>
        </w:rPr>
        <w:t xml:space="preserve">The </w:t>
      </w:r>
      <w:r w:rsidR="00744E95">
        <w:rPr>
          <w:rFonts w:ascii="Arial" w:hAnsi="Arial" w:cs="Arial"/>
          <w:bCs/>
        </w:rPr>
        <w:t>evidence of the former owners of no. 20 discussed above was that they had inherited the gate key arrangements from their predecessors in title. Those predecessors also made witness statements in 2020</w:t>
      </w:r>
      <w:r w:rsidR="008A5EB2">
        <w:rPr>
          <w:rFonts w:ascii="Arial" w:hAnsi="Arial" w:cs="Arial"/>
          <w:bCs/>
        </w:rPr>
        <w:t xml:space="preserve"> </w:t>
      </w:r>
      <w:r w:rsidR="00DC6425">
        <w:rPr>
          <w:rFonts w:ascii="Arial" w:hAnsi="Arial" w:cs="Arial"/>
          <w:bCs/>
        </w:rPr>
        <w:t>(</w:t>
      </w:r>
      <w:r w:rsidR="008A5EB2">
        <w:rPr>
          <w:rFonts w:ascii="Arial" w:hAnsi="Arial" w:cs="Arial"/>
          <w:b/>
        </w:rPr>
        <w:t>F-68 – 76</w:t>
      </w:r>
      <w:r w:rsidR="008A5EB2">
        <w:rPr>
          <w:rFonts w:ascii="Arial" w:hAnsi="Arial" w:cs="Arial"/>
          <w:bCs/>
        </w:rPr>
        <w:t>)</w:t>
      </w:r>
      <w:r w:rsidR="00744E95">
        <w:rPr>
          <w:rFonts w:ascii="Arial" w:hAnsi="Arial" w:cs="Arial"/>
          <w:bCs/>
        </w:rPr>
        <w:t xml:space="preserve">. </w:t>
      </w:r>
      <w:r w:rsidR="00F20612">
        <w:rPr>
          <w:rFonts w:ascii="Arial" w:hAnsi="Arial" w:cs="Arial"/>
          <w:bCs/>
        </w:rPr>
        <w:t>It was clear from those statements that gates existed during their period of occupancy</w:t>
      </w:r>
      <w:r w:rsidR="009073BD">
        <w:rPr>
          <w:rFonts w:ascii="Arial" w:hAnsi="Arial" w:cs="Arial"/>
          <w:bCs/>
        </w:rPr>
        <w:t>, which was from 1976 so would be consistent with Mr Luton’s recollection. Neither of them recalled the gates ever having been locked</w:t>
      </w:r>
      <w:r w:rsidR="00535278">
        <w:rPr>
          <w:rFonts w:ascii="Arial" w:hAnsi="Arial" w:cs="Arial"/>
          <w:bCs/>
        </w:rPr>
        <w:t>, although this would not explain why their successors</w:t>
      </w:r>
      <w:r w:rsidR="00E37C19">
        <w:rPr>
          <w:rFonts w:ascii="Arial" w:hAnsi="Arial" w:cs="Arial"/>
          <w:bCs/>
        </w:rPr>
        <w:t xml:space="preserve"> in</w:t>
      </w:r>
      <w:r w:rsidR="00535278">
        <w:rPr>
          <w:rFonts w:ascii="Arial" w:hAnsi="Arial" w:cs="Arial"/>
          <w:bCs/>
        </w:rPr>
        <w:t xml:space="preserve"> </w:t>
      </w:r>
      <w:r w:rsidR="00CD4660">
        <w:rPr>
          <w:rFonts w:ascii="Arial" w:hAnsi="Arial" w:cs="Arial"/>
          <w:bCs/>
        </w:rPr>
        <w:t>t</w:t>
      </w:r>
      <w:r w:rsidR="00535278">
        <w:rPr>
          <w:rFonts w:ascii="Arial" w:hAnsi="Arial" w:cs="Arial"/>
          <w:bCs/>
        </w:rPr>
        <w:t>itle recalled being given a key</w:t>
      </w:r>
      <w:r w:rsidR="00ED1EEA">
        <w:rPr>
          <w:rFonts w:ascii="Arial" w:hAnsi="Arial" w:cs="Arial"/>
          <w:bCs/>
        </w:rPr>
        <w:t xml:space="preserve"> in 1983</w:t>
      </w:r>
      <w:r w:rsidR="00535278">
        <w:rPr>
          <w:rFonts w:ascii="Arial" w:hAnsi="Arial" w:cs="Arial"/>
          <w:bCs/>
        </w:rPr>
        <w:t>.</w:t>
      </w:r>
    </w:p>
    <w:p w14:paraId="484C5666" w14:textId="77777777" w:rsidR="007905F3" w:rsidRDefault="00CF473C" w:rsidP="000D1F6D">
      <w:pPr>
        <w:pStyle w:val="Style1"/>
        <w:numPr>
          <w:ilvl w:val="0"/>
          <w:numId w:val="4"/>
        </w:numPr>
        <w:tabs>
          <w:tab w:val="clear" w:pos="720"/>
        </w:tabs>
        <w:rPr>
          <w:rFonts w:ascii="Arial" w:hAnsi="Arial" w:cs="Arial"/>
          <w:bCs/>
        </w:rPr>
      </w:pPr>
      <w:r>
        <w:rPr>
          <w:rFonts w:ascii="Arial" w:hAnsi="Arial" w:cs="Arial"/>
          <w:bCs/>
        </w:rPr>
        <w:t xml:space="preserve">Those predecessors were, at the time of giving their statements, recalling events from around four decades previously. </w:t>
      </w:r>
      <w:r w:rsidR="00BB30BE">
        <w:rPr>
          <w:rFonts w:ascii="Arial" w:hAnsi="Arial" w:cs="Arial"/>
          <w:bCs/>
        </w:rPr>
        <w:t xml:space="preserve">By contrast their successor’s statutory declaration was made in 1995 and referred to </w:t>
      </w:r>
      <w:r w:rsidR="00CE1767">
        <w:rPr>
          <w:rFonts w:ascii="Arial" w:hAnsi="Arial" w:cs="Arial"/>
          <w:bCs/>
        </w:rPr>
        <w:t xml:space="preserve">the situation over the previous 12 years including having been given a key to the gate in 1983. Mr Bird was </w:t>
      </w:r>
      <w:r w:rsidR="00EF573F">
        <w:rPr>
          <w:rFonts w:ascii="Arial" w:hAnsi="Arial" w:cs="Arial"/>
          <w:bCs/>
        </w:rPr>
        <w:t>clear that access rights benefitting the occupiers of no. 22 were not available by 1976</w:t>
      </w:r>
      <w:r w:rsidR="00A73504">
        <w:rPr>
          <w:rFonts w:ascii="Arial" w:hAnsi="Arial" w:cs="Arial"/>
          <w:bCs/>
        </w:rPr>
        <w:t>. He recalled a caretaker employed by the company</w:t>
      </w:r>
      <w:r w:rsidR="00F3366B">
        <w:rPr>
          <w:rFonts w:ascii="Arial" w:hAnsi="Arial" w:cs="Arial"/>
          <w:bCs/>
        </w:rPr>
        <w:t xml:space="preserve"> who would remonstrate with him for accessing the company land without authorisation. Whilst this post-dated the installation of the gates, </w:t>
      </w:r>
      <w:r w:rsidR="007905F3">
        <w:rPr>
          <w:rFonts w:ascii="Arial" w:hAnsi="Arial" w:cs="Arial"/>
          <w:bCs/>
        </w:rPr>
        <w:t>it is evidence of the landowner’s lack of intention to dedicate any right of way after the mid-1970s.</w:t>
      </w:r>
    </w:p>
    <w:p w14:paraId="39963B61" w14:textId="7D38CE90" w:rsidR="00F4490E" w:rsidRDefault="00D62719" w:rsidP="000D1F6D">
      <w:pPr>
        <w:pStyle w:val="Style1"/>
        <w:numPr>
          <w:ilvl w:val="0"/>
          <w:numId w:val="4"/>
        </w:numPr>
        <w:tabs>
          <w:tab w:val="clear" w:pos="720"/>
        </w:tabs>
        <w:rPr>
          <w:rFonts w:ascii="Arial" w:hAnsi="Arial" w:cs="Arial"/>
          <w:bCs/>
        </w:rPr>
      </w:pPr>
      <w:r>
        <w:rPr>
          <w:rFonts w:ascii="Arial" w:hAnsi="Arial" w:cs="Arial"/>
          <w:bCs/>
        </w:rPr>
        <w:t>It does not appear possible to discern a full 20 year period of use before the gates were installed in, probably, around 1974. According to OS maps, Goldney Avenue was not residentially developed until at least the mid-1950s</w:t>
      </w:r>
      <w:r w:rsidR="00992561">
        <w:rPr>
          <w:rFonts w:ascii="Arial" w:hAnsi="Arial" w:cs="Arial"/>
          <w:bCs/>
        </w:rPr>
        <w:t xml:space="preserve">. Aerial photographs show no clear route through the site until after </w:t>
      </w:r>
      <w:r w:rsidR="00B47D65">
        <w:rPr>
          <w:rFonts w:ascii="Arial" w:hAnsi="Arial" w:cs="Arial"/>
          <w:bCs/>
        </w:rPr>
        <w:t>1955</w:t>
      </w:r>
      <w:r w:rsidR="00992561">
        <w:rPr>
          <w:rFonts w:ascii="Arial" w:hAnsi="Arial" w:cs="Arial"/>
          <w:bCs/>
        </w:rPr>
        <w:t>. The evidence of users themselves is very sparse</w:t>
      </w:r>
      <w:r w:rsidR="00D72F9D">
        <w:rPr>
          <w:rFonts w:ascii="Arial" w:hAnsi="Arial" w:cs="Arial"/>
          <w:bCs/>
        </w:rPr>
        <w:t>, and on the balance of probabilities is insufficient to raise a presumption of dedication of a right of way over the land in question</w:t>
      </w:r>
      <w:r w:rsidR="003F180A">
        <w:rPr>
          <w:rFonts w:ascii="Arial" w:hAnsi="Arial" w:cs="Arial"/>
          <w:bCs/>
        </w:rPr>
        <w:t xml:space="preserve">. </w:t>
      </w:r>
      <w:r w:rsidR="00F20612">
        <w:rPr>
          <w:rFonts w:ascii="Arial" w:hAnsi="Arial" w:cs="Arial"/>
          <w:bCs/>
        </w:rPr>
        <w:t xml:space="preserve"> </w:t>
      </w:r>
    </w:p>
    <w:p w14:paraId="6DA31737" w14:textId="1D8BCA1C" w:rsidR="0048786C" w:rsidRPr="0048786C" w:rsidRDefault="00981AD6" w:rsidP="0048786C">
      <w:pPr>
        <w:pStyle w:val="Style1"/>
        <w:ind w:left="0" w:firstLine="0"/>
        <w:rPr>
          <w:rFonts w:ascii="Arial" w:hAnsi="Arial" w:cs="Arial"/>
          <w:bCs/>
          <w:i/>
          <w:iCs/>
        </w:rPr>
      </w:pPr>
      <w:r>
        <w:rPr>
          <w:rFonts w:ascii="Arial" w:hAnsi="Arial" w:cs="Arial"/>
          <w:bCs/>
          <w:i/>
          <w:iCs/>
        </w:rPr>
        <w:t xml:space="preserve">The </w:t>
      </w:r>
      <w:r w:rsidR="00104F02">
        <w:rPr>
          <w:rFonts w:ascii="Arial" w:hAnsi="Arial" w:cs="Arial"/>
          <w:bCs/>
          <w:i/>
          <w:iCs/>
        </w:rPr>
        <w:t>position at common law</w:t>
      </w:r>
    </w:p>
    <w:p w14:paraId="2D4C13E6" w14:textId="0702BC26" w:rsidR="00350600" w:rsidRDefault="00C70147" w:rsidP="000D1F6D">
      <w:pPr>
        <w:pStyle w:val="Style1"/>
        <w:numPr>
          <w:ilvl w:val="0"/>
          <w:numId w:val="4"/>
        </w:numPr>
        <w:tabs>
          <w:tab w:val="clear" w:pos="720"/>
        </w:tabs>
        <w:rPr>
          <w:rFonts w:ascii="Arial" w:hAnsi="Arial" w:cs="Arial"/>
          <w:bCs/>
        </w:rPr>
      </w:pPr>
      <w:r>
        <w:rPr>
          <w:rFonts w:ascii="Arial" w:hAnsi="Arial" w:cs="Arial"/>
          <w:bCs/>
        </w:rPr>
        <w:t>There is no particular time period</w:t>
      </w:r>
      <w:r w:rsidR="00807B3E">
        <w:rPr>
          <w:rFonts w:ascii="Arial" w:hAnsi="Arial" w:cs="Arial"/>
          <w:bCs/>
        </w:rPr>
        <w:t xml:space="preserve"> that requires establishing for a common law claim to succeed, but the burden of proof lies on those seeking to establish a right of way</w:t>
      </w:r>
      <w:r w:rsidR="00B46320">
        <w:rPr>
          <w:rFonts w:ascii="Arial" w:hAnsi="Arial" w:cs="Arial"/>
          <w:bCs/>
        </w:rPr>
        <w:t xml:space="preserve">. They must show that qualifying use by the public was carried on for a sufficient length of time to support the conclusion that the landowner </w:t>
      </w:r>
      <w:r w:rsidR="001A5095">
        <w:rPr>
          <w:rFonts w:ascii="Arial" w:hAnsi="Arial" w:cs="Arial"/>
          <w:bCs/>
        </w:rPr>
        <w:t xml:space="preserve">intended to dedicate a </w:t>
      </w:r>
      <w:r w:rsidR="003E15B5">
        <w:rPr>
          <w:rFonts w:ascii="Arial" w:hAnsi="Arial" w:cs="Arial"/>
          <w:bCs/>
        </w:rPr>
        <w:t xml:space="preserve">public right of way. </w:t>
      </w:r>
    </w:p>
    <w:p w14:paraId="781A4446" w14:textId="02C05D21" w:rsidR="003E15B5" w:rsidRDefault="003E15B5" w:rsidP="000D1F6D">
      <w:pPr>
        <w:pStyle w:val="Style1"/>
        <w:numPr>
          <w:ilvl w:val="0"/>
          <w:numId w:val="4"/>
        </w:numPr>
        <w:tabs>
          <w:tab w:val="clear" w:pos="720"/>
        </w:tabs>
        <w:rPr>
          <w:rFonts w:ascii="Arial" w:hAnsi="Arial" w:cs="Arial"/>
          <w:bCs/>
        </w:rPr>
      </w:pPr>
      <w:r>
        <w:rPr>
          <w:rFonts w:ascii="Arial" w:hAnsi="Arial" w:cs="Arial"/>
          <w:bCs/>
        </w:rPr>
        <w:t xml:space="preserve">Overall there is sufficient evidence since the gates were installed in (probably) 1974 to refute any inference of </w:t>
      </w:r>
      <w:r w:rsidR="008B0762">
        <w:rPr>
          <w:rFonts w:ascii="Arial" w:hAnsi="Arial" w:cs="Arial"/>
          <w:bCs/>
        </w:rPr>
        <w:t>the landowner’s intention to dedicate</w:t>
      </w:r>
      <w:r w:rsidR="004205C9">
        <w:rPr>
          <w:rFonts w:ascii="Arial" w:hAnsi="Arial" w:cs="Arial"/>
          <w:bCs/>
        </w:rPr>
        <w:t xml:space="preserve"> after then</w:t>
      </w:r>
      <w:r w:rsidR="008B0762">
        <w:rPr>
          <w:rFonts w:ascii="Arial" w:hAnsi="Arial" w:cs="Arial"/>
          <w:bCs/>
        </w:rPr>
        <w:t xml:space="preserve">. The installation of gates, the locking of them at least periodically, and the employment of a caretaker </w:t>
      </w:r>
      <w:r w:rsidR="00166498">
        <w:rPr>
          <w:rFonts w:ascii="Arial" w:hAnsi="Arial" w:cs="Arial"/>
          <w:bCs/>
        </w:rPr>
        <w:t xml:space="preserve">are </w:t>
      </w:r>
      <w:r w:rsidR="00292A2C">
        <w:rPr>
          <w:rFonts w:ascii="Arial" w:hAnsi="Arial" w:cs="Arial"/>
          <w:bCs/>
        </w:rPr>
        <w:t>together</w:t>
      </w:r>
      <w:r w:rsidR="00166498">
        <w:rPr>
          <w:rFonts w:ascii="Arial" w:hAnsi="Arial" w:cs="Arial"/>
          <w:bCs/>
        </w:rPr>
        <w:t xml:space="preserve"> sufficient evidence of the lack of any such intention. </w:t>
      </w:r>
    </w:p>
    <w:p w14:paraId="3D535054" w14:textId="1EAB4A7B" w:rsidR="00B929F7" w:rsidRDefault="00B929F7" w:rsidP="000D1F6D">
      <w:pPr>
        <w:pStyle w:val="Style1"/>
        <w:numPr>
          <w:ilvl w:val="0"/>
          <w:numId w:val="4"/>
        </w:numPr>
        <w:tabs>
          <w:tab w:val="clear" w:pos="720"/>
        </w:tabs>
        <w:rPr>
          <w:rFonts w:ascii="Arial" w:hAnsi="Arial" w:cs="Arial"/>
          <w:bCs/>
        </w:rPr>
      </w:pPr>
      <w:r>
        <w:rPr>
          <w:rFonts w:ascii="Arial" w:hAnsi="Arial" w:cs="Arial"/>
          <w:bCs/>
        </w:rPr>
        <w:t>There are around a dozen user evidence forms from people saying they have used the route openly</w:t>
      </w:r>
      <w:r w:rsidR="00D22E9E">
        <w:rPr>
          <w:rFonts w:ascii="Arial" w:hAnsi="Arial" w:cs="Arial"/>
          <w:bCs/>
        </w:rPr>
        <w:t xml:space="preserve"> and without force since before 1975.</w:t>
      </w:r>
      <w:r w:rsidR="00950A12">
        <w:rPr>
          <w:rFonts w:ascii="Arial" w:hAnsi="Arial" w:cs="Arial"/>
          <w:bCs/>
        </w:rPr>
        <w:t xml:space="preserve"> This is a considerable number, given the distance of time involved here. </w:t>
      </w:r>
      <w:r w:rsidR="00190CE6">
        <w:rPr>
          <w:rFonts w:ascii="Arial" w:hAnsi="Arial" w:cs="Arial"/>
          <w:bCs/>
        </w:rPr>
        <w:t>It is also stated that such use was without permission.</w:t>
      </w:r>
      <w:r w:rsidR="00F21166">
        <w:rPr>
          <w:rFonts w:ascii="Arial" w:hAnsi="Arial" w:cs="Arial"/>
          <w:bCs/>
        </w:rPr>
        <w:t xml:space="preserve"> What is not stated is whether any use took place </w:t>
      </w:r>
      <w:r w:rsidR="00E5408B">
        <w:rPr>
          <w:rFonts w:ascii="Arial" w:hAnsi="Arial" w:cs="Arial"/>
          <w:bCs/>
        </w:rPr>
        <w:t xml:space="preserve">outside the hours that the site was open for business and therefore to customers. </w:t>
      </w:r>
    </w:p>
    <w:p w14:paraId="43BF975B" w14:textId="4C51A9C7" w:rsidR="00190CE6" w:rsidRDefault="00190CE6" w:rsidP="000D1F6D">
      <w:pPr>
        <w:pStyle w:val="Style1"/>
        <w:numPr>
          <w:ilvl w:val="0"/>
          <w:numId w:val="4"/>
        </w:numPr>
        <w:tabs>
          <w:tab w:val="clear" w:pos="720"/>
        </w:tabs>
        <w:rPr>
          <w:rFonts w:ascii="Arial" w:hAnsi="Arial" w:cs="Arial"/>
          <w:bCs/>
        </w:rPr>
      </w:pPr>
      <w:r>
        <w:rPr>
          <w:rFonts w:ascii="Arial" w:hAnsi="Arial" w:cs="Arial"/>
          <w:bCs/>
        </w:rPr>
        <w:t xml:space="preserve">Some users made witness statements in 2020 concerning their use of the route. </w:t>
      </w:r>
      <w:r w:rsidR="00F21166">
        <w:rPr>
          <w:rFonts w:ascii="Arial" w:hAnsi="Arial" w:cs="Arial"/>
          <w:bCs/>
        </w:rPr>
        <w:t>The difficult question of permission arises from what is said. Mr Quilliam himself used to help his mother at the egg packing factory that was located on the site.</w:t>
      </w:r>
      <w:r w:rsidR="00E5408B">
        <w:rPr>
          <w:rFonts w:ascii="Arial" w:hAnsi="Arial" w:cs="Arial"/>
          <w:bCs/>
        </w:rPr>
        <w:t xml:space="preserve"> </w:t>
      </w:r>
      <w:r w:rsidR="0043099F">
        <w:rPr>
          <w:rFonts w:ascii="Arial" w:hAnsi="Arial" w:cs="Arial"/>
          <w:bCs/>
        </w:rPr>
        <w:t>Another user (</w:t>
      </w:r>
      <w:r w:rsidR="0043099F">
        <w:rPr>
          <w:rFonts w:ascii="Arial" w:hAnsi="Arial" w:cs="Arial"/>
          <w:b/>
        </w:rPr>
        <w:t>F-56</w:t>
      </w:r>
      <w:r w:rsidR="0043099F">
        <w:rPr>
          <w:rFonts w:ascii="Arial" w:hAnsi="Arial" w:cs="Arial"/>
          <w:bCs/>
        </w:rPr>
        <w:t>) recalls accessing the site to buy eggs at the egg packing station (as well as</w:t>
      </w:r>
      <w:r w:rsidR="00950A12">
        <w:rPr>
          <w:rFonts w:ascii="Arial" w:hAnsi="Arial" w:cs="Arial"/>
          <w:bCs/>
        </w:rPr>
        <w:t xml:space="preserve"> using the route as a thoroughfare). </w:t>
      </w:r>
      <w:r w:rsidR="005A5B56">
        <w:rPr>
          <w:rFonts w:ascii="Arial" w:hAnsi="Arial" w:cs="Arial"/>
          <w:bCs/>
        </w:rPr>
        <w:t xml:space="preserve">That would be permissive use. </w:t>
      </w:r>
      <w:r w:rsidR="00384C9C">
        <w:rPr>
          <w:rFonts w:ascii="Arial" w:hAnsi="Arial" w:cs="Arial"/>
          <w:bCs/>
        </w:rPr>
        <w:t xml:space="preserve">Another </w:t>
      </w:r>
      <w:r w:rsidR="00380BB9">
        <w:rPr>
          <w:rFonts w:ascii="Arial" w:hAnsi="Arial" w:cs="Arial"/>
          <w:bCs/>
        </w:rPr>
        <w:t>(</w:t>
      </w:r>
      <w:r w:rsidR="00380BB9">
        <w:rPr>
          <w:rFonts w:ascii="Arial" w:hAnsi="Arial" w:cs="Arial"/>
          <w:b/>
        </w:rPr>
        <w:t>F-</w:t>
      </w:r>
      <w:r w:rsidR="006D6033">
        <w:rPr>
          <w:rFonts w:ascii="Arial" w:hAnsi="Arial" w:cs="Arial"/>
          <w:b/>
        </w:rPr>
        <w:t>64</w:t>
      </w:r>
      <w:r w:rsidR="006D6033">
        <w:rPr>
          <w:rFonts w:ascii="Arial" w:hAnsi="Arial" w:cs="Arial"/>
          <w:bCs/>
        </w:rPr>
        <w:t xml:space="preserve">) </w:t>
      </w:r>
      <w:r w:rsidR="00384C9C" w:rsidRPr="006D6033">
        <w:rPr>
          <w:rFonts w:ascii="Arial" w:hAnsi="Arial" w:cs="Arial"/>
          <w:bCs/>
        </w:rPr>
        <w:t>recalls</w:t>
      </w:r>
      <w:r w:rsidR="00384C9C">
        <w:rPr>
          <w:rFonts w:ascii="Arial" w:hAnsi="Arial" w:cs="Arial"/>
          <w:bCs/>
        </w:rPr>
        <w:t xml:space="preserve"> ‘a right of way established for occupants of the Property [no. 20] and for residents who lived on the Route’. </w:t>
      </w:r>
      <w:r w:rsidR="00B02E1E">
        <w:rPr>
          <w:rFonts w:ascii="Arial" w:hAnsi="Arial" w:cs="Arial"/>
          <w:bCs/>
        </w:rPr>
        <w:t xml:space="preserve">This does not recall a general right of way for the public, but that statement may reflect the particular purpose for which the statement was made. However </w:t>
      </w:r>
      <w:r w:rsidR="00372587">
        <w:rPr>
          <w:rFonts w:ascii="Arial" w:hAnsi="Arial" w:cs="Arial"/>
          <w:bCs/>
        </w:rPr>
        <w:t>he also recalls ‘visiting the Property as a child to play with the former occupants child’</w:t>
      </w:r>
      <w:r w:rsidR="005A5B56">
        <w:rPr>
          <w:rFonts w:ascii="Arial" w:hAnsi="Arial" w:cs="Arial"/>
          <w:bCs/>
        </w:rPr>
        <w:t xml:space="preserve">. That would imply permissive use. </w:t>
      </w:r>
      <w:r w:rsidR="006D6033">
        <w:rPr>
          <w:rFonts w:ascii="Arial" w:hAnsi="Arial" w:cs="Arial"/>
          <w:bCs/>
        </w:rPr>
        <w:t>Another (</w:t>
      </w:r>
      <w:r w:rsidR="006D6033">
        <w:rPr>
          <w:rFonts w:ascii="Arial" w:hAnsi="Arial" w:cs="Arial"/>
          <w:b/>
        </w:rPr>
        <w:t>F-79</w:t>
      </w:r>
      <w:r w:rsidR="006D6033">
        <w:rPr>
          <w:rFonts w:ascii="Arial" w:hAnsi="Arial" w:cs="Arial"/>
          <w:bCs/>
        </w:rPr>
        <w:t xml:space="preserve">) recalls use as a thoroughfare but also </w:t>
      </w:r>
      <w:r w:rsidR="00A84E2B">
        <w:rPr>
          <w:rFonts w:ascii="Arial" w:hAnsi="Arial" w:cs="Arial"/>
          <w:bCs/>
        </w:rPr>
        <w:t xml:space="preserve">to access the Mill </w:t>
      </w:r>
      <w:r w:rsidR="00A84E2B">
        <w:rPr>
          <w:rFonts w:ascii="Arial" w:hAnsi="Arial" w:cs="Arial"/>
          <w:bCs/>
        </w:rPr>
        <w:lastRenderedPageBreak/>
        <w:t xml:space="preserve">(which I understand to mean the company’s site) ‘to buy groceries such as fruit and eggs’. </w:t>
      </w:r>
      <w:r w:rsidR="00F21166">
        <w:rPr>
          <w:rFonts w:ascii="Arial" w:hAnsi="Arial" w:cs="Arial"/>
          <w:bCs/>
        </w:rPr>
        <w:t xml:space="preserve"> </w:t>
      </w:r>
      <w:r w:rsidR="005A3249">
        <w:rPr>
          <w:rFonts w:ascii="Arial" w:hAnsi="Arial" w:cs="Arial"/>
          <w:bCs/>
        </w:rPr>
        <w:t>Another (</w:t>
      </w:r>
      <w:r w:rsidR="005A3249">
        <w:rPr>
          <w:rFonts w:ascii="Arial" w:hAnsi="Arial" w:cs="Arial"/>
          <w:b/>
        </w:rPr>
        <w:t>F-95</w:t>
      </w:r>
      <w:r w:rsidR="005A3249">
        <w:rPr>
          <w:rFonts w:ascii="Arial" w:hAnsi="Arial" w:cs="Arial"/>
          <w:bCs/>
        </w:rPr>
        <w:t>) recalls</w:t>
      </w:r>
      <w:r w:rsidR="005B72BD">
        <w:rPr>
          <w:rFonts w:ascii="Arial" w:hAnsi="Arial" w:cs="Arial"/>
          <w:bCs/>
        </w:rPr>
        <w:t xml:space="preserve"> visiting ‘the allotments that was situated on the Route’.</w:t>
      </w:r>
    </w:p>
    <w:p w14:paraId="1A3CAB33" w14:textId="60FAAEBE" w:rsidR="005B72BD" w:rsidRDefault="005B72BD" w:rsidP="000D1F6D">
      <w:pPr>
        <w:pStyle w:val="Style1"/>
        <w:numPr>
          <w:ilvl w:val="0"/>
          <w:numId w:val="4"/>
        </w:numPr>
        <w:tabs>
          <w:tab w:val="clear" w:pos="720"/>
        </w:tabs>
        <w:rPr>
          <w:rFonts w:ascii="Arial" w:hAnsi="Arial" w:cs="Arial"/>
          <w:bCs/>
        </w:rPr>
      </w:pPr>
      <w:r>
        <w:rPr>
          <w:rFonts w:ascii="Arial" w:hAnsi="Arial" w:cs="Arial"/>
          <w:bCs/>
        </w:rPr>
        <w:t xml:space="preserve">All of these statements by those with long knowledge of the site attest to </w:t>
      </w:r>
      <w:r w:rsidR="002334CE">
        <w:rPr>
          <w:rFonts w:ascii="Arial" w:hAnsi="Arial" w:cs="Arial"/>
          <w:bCs/>
        </w:rPr>
        <w:t>at least some degree of permissive user. As a site that was generally open to customers in the daytime</w:t>
      </w:r>
      <w:r w:rsidR="00337C81">
        <w:rPr>
          <w:rFonts w:ascii="Arial" w:hAnsi="Arial" w:cs="Arial"/>
          <w:bCs/>
        </w:rPr>
        <w:t>, and for a long time (until around the late 1970s) the home of an egg factory</w:t>
      </w:r>
      <w:r w:rsidR="007E0B6F">
        <w:rPr>
          <w:rFonts w:ascii="Arial" w:hAnsi="Arial" w:cs="Arial"/>
          <w:bCs/>
        </w:rPr>
        <w:t xml:space="preserve"> from which purchases of this household staple could be made</w:t>
      </w:r>
      <w:r w:rsidR="001A1056">
        <w:rPr>
          <w:rFonts w:ascii="Arial" w:hAnsi="Arial" w:cs="Arial"/>
          <w:bCs/>
        </w:rPr>
        <w:t>, it is not easy to see how a</w:t>
      </w:r>
      <w:r w:rsidR="00E26287">
        <w:rPr>
          <w:rFonts w:ascii="Arial" w:hAnsi="Arial" w:cs="Arial"/>
          <w:bCs/>
        </w:rPr>
        <w:t>ny</w:t>
      </w:r>
      <w:r w:rsidR="001A1056">
        <w:rPr>
          <w:rFonts w:ascii="Arial" w:hAnsi="Arial" w:cs="Arial"/>
          <w:bCs/>
        </w:rPr>
        <w:t xml:space="preserve"> reasonable landowner (or the particular landowner in this case) would have </w:t>
      </w:r>
      <w:r w:rsidR="007E0B6F">
        <w:rPr>
          <w:rFonts w:ascii="Arial" w:hAnsi="Arial" w:cs="Arial"/>
          <w:bCs/>
        </w:rPr>
        <w:t xml:space="preserve">readily </w:t>
      </w:r>
      <w:r w:rsidR="001A1056">
        <w:rPr>
          <w:rFonts w:ascii="Arial" w:hAnsi="Arial" w:cs="Arial"/>
          <w:bCs/>
        </w:rPr>
        <w:t xml:space="preserve">discerned </w:t>
      </w:r>
      <w:r w:rsidR="007E0B6F">
        <w:rPr>
          <w:rFonts w:ascii="Arial" w:hAnsi="Arial" w:cs="Arial"/>
          <w:bCs/>
        </w:rPr>
        <w:t>any</w:t>
      </w:r>
      <w:r w:rsidR="001A1056">
        <w:rPr>
          <w:rFonts w:ascii="Arial" w:hAnsi="Arial" w:cs="Arial"/>
          <w:bCs/>
        </w:rPr>
        <w:t xml:space="preserve"> difference between paying customers and </w:t>
      </w:r>
      <w:r w:rsidR="007E0B6F">
        <w:rPr>
          <w:rFonts w:ascii="Arial" w:hAnsi="Arial" w:cs="Arial"/>
          <w:bCs/>
        </w:rPr>
        <w:t>trespassers.</w:t>
      </w:r>
      <w:r w:rsidR="00E26287">
        <w:rPr>
          <w:rFonts w:ascii="Arial" w:hAnsi="Arial" w:cs="Arial"/>
          <w:bCs/>
        </w:rPr>
        <w:t xml:space="preserve"> Against this background, the </w:t>
      </w:r>
      <w:r w:rsidR="00A8490E">
        <w:rPr>
          <w:rFonts w:ascii="Arial" w:hAnsi="Arial" w:cs="Arial"/>
          <w:bCs/>
        </w:rPr>
        <w:t xml:space="preserve">evidence of the users, although quite considerable in number given it was so long ago, does not appear to me to have been a sufficiently notorious </w:t>
      </w:r>
      <w:r w:rsidR="00550D39">
        <w:rPr>
          <w:rFonts w:ascii="Arial" w:hAnsi="Arial" w:cs="Arial"/>
          <w:bCs/>
        </w:rPr>
        <w:t>trespassory use so as to have amounted to the assertion of a right. Therefore I am unable to infer</w:t>
      </w:r>
      <w:r w:rsidR="00260E8A">
        <w:rPr>
          <w:rFonts w:ascii="Arial" w:hAnsi="Arial" w:cs="Arial"/>
          <w:bCs/>
        </w:rPr>
        <w:t>, from the evidence of use,</w:t>
      </w:r>
      <w:r w:rsidR="00550D39">
        <w:rPr>
          <w:rFonts w:ascii="Arial" w:hAnsi="Arial" w:cs="Arial"/>
          <w:bCs/>
        </w:rPr>
        <w:t xml:space="preserve"> that the landowner will have intended to dedicate </w:t>
      </w:r>
      <w:r w:rsidR="00260E8A">
        <w:rPr>
          <w:rFonts w:ascii="Arial" w:hAnsi="Arial" w:cs="Arial"/>
          <w:bCs/>
        </w:rPr>
        <w:t xml:space="preserve">such a right. </w:t>
      </w:r>
    </w:p>
    <w:p w14:paraId="47F85E5D" w14:textId="4FF0A2CA" w:rsidR="00CE4E55" w:rsidRPr="00195DD6" w:rsidRDefault="00CE4E55" w:rsidP="000D1F6D">
      <w:pPr>
        <w:pStyle w:val="Style1"/>
        <w:ind w:left="0" w:firstLine="0"/>
        <w:rPr>
          <w:rFonts w:ascii="Arial" w:hAnsi="Arial" w:cs="Arial"/>
          <w:b/>
        </w:rPr>
      </w:pPr>
      <w:r w:rsidRPr="00195DD6">
        <w:rPr>
          <w:rFonts w:ascii="Arial" w:hAnsi="Arial" w:cs="Arial"/>
          <w:b/>
        </w:rPr>
        <w:t>Conclusion</w:t>
      </w:r>
      <w:r w:rsidR="00D66012">
        <w:rPr>
          <w:rFonts w:ascii="Arial" w:hAnsi="Arial" w:cs="Arial"/>
          <w:b/>
        </w:rPr>
        <w:t>s</w:t>
      </w:r>
    </w:p>
    <w:p w14:paraId="1E48F206" w14:textId="321910A9" w:rsidR="00CE4E55" w:rsidRDefault="00D66012" w:rsidP="00CE4E55">
      <w:pPr>
        <w:pStyle w:val="Style1"/>
        <w:numPr>
          <w:ilvl w:val="0"/>
          <w:numId w:val="4"/>
        </w:numPr>
        <w:tabs>
          <w:tab w:val="clear" w:pos="720"/>
        </w:tabs>
        <w:rPr>
          <w:rFonts w:ascii="Arial" w:hAnsi="Arial" w:cs="Arial"/>
        </w:rPr>
      </w:pPr>
      <w:r>
        <w:rPr>
          <w:rFonts w:ascii="Arial" w:hAnsi="Arial" w:cs="Arial"/>
        </w:rPr>
        <w:t xml:space="preserve">I have not referred to every </w:t>
      </w:r>
      <w:r w:rsidR="002605E6">
        <w:rPr>
          <w:rFonts w:ascii="Arial" w:hAnsi="Arial" w:cs="Arial"/>
        </w:rPr>
        <w:t xml:space="preserve">witness’s oral or written testimony in this decision but I have given it all careful consideration. Notwithstanding the persuasive </w:t>
      </w:r>
      <w:r w:rsidR="0085303A">
        <w:rPr>
          <w:rFonts w:ascii="Arial" w:hAnsi="Arial" w:cs="Arial"/>
        </w:rPr>
        <w:t xml:space="preserve">arguments to the contrary I am not satisfied on the balance of probabilities that the asserted right of way subsists. </w:t>
      </w:r>
      <w:r w:rsidR="002A6791">
        <w:rPr>
          <w:rFonts w:ascii="Arial" w:hAnsi="Arial" w:cs="Arial"/>
        </w:rPr>
        <w:t xml:space="preserve">Accordingly </w:t>
      </w:r>
      <w:r w:rsidR="00CE4E55">
        <w:rPr>
          <w:rFonts w:ascii="Arial" w:hAnsi="Arial" w:cs="Arial"/>
        </w:rPr>
        <w:t xml:space="preserve">I conclude that the requirements for </w:t>
      </w:r>
      <w:r w:rsidR="00551D34">
        <w:rPr>
          <w:rFonts w:ascii="Arial" w:hAnsi="Arial" w:cs="Arial"/>
        </w:rPr>
        <w:t>confirming</w:t>
      </w:r>
      <w:r w:rsidR="00CE4E55">
        <w:rPr>
          <w:rFonts w:ascii="Arial" w:hAnsi="Arial" w:cs="Arial"/>
        </w:rPr>
        <w:t xml:space="preserve"> the Order </w:t>
      </w:r>
      <w:r w:rsidR="002A6791">
        <w:rPr>
          <w:rFonts w:ascii="Arial" w:hAnsi="Arial" w:cs="Arial"/>
        </w:rPr>
        <w:t>are not</w:t>
      </w:r>
      <w:r w:rsidR="00595603">
        <w:rPr>
          <w:rFonts w:ascii="Arial" w:hAnsi="Arial" w:cs="Arial"/>
        </w:rPr>
        <w:t xml:space="preserve"> </w:t>
      </w:r>
      <w:r w:rsidR="00CE4E55">
        <w:rPr>
          <w:rFonts w:ascii="Arial" w:hAnsi="Arial" w:cs="Arial"/>
        </w:rPr>
        <w:t xml:space="preserve">satisfied. </w:t>
      </w:r>
    </w:p>
    <w:p w14:paraId="6F799AA8" w14:textId="77777777" w:rsidR="00CE4E55" w:rsidRDefault="00CE4E55" w:rsidP="00CE4E55">
      <w:pPr>
        <w:pStyle w:val="Style1"/>
        <w:ind w:left="0" w:firstLine="0"/>
        <w:rPr>
          <w:rFonts w:ascii="Arial" w:hAnsi="Arial" w:cs="Arial"/>
          <w:b/>
          <w:bCs/>
        </w:rPr>
      </w:pPr>
      <w:r>
        <w:rPr>
          <w:rFonts w:ascii="Arial" w:hAnsi="Arial" w:cs="Arial"/>
          <w:b/>
          <w:bCs/>
        </w:rPr>
        <w:t>Formal Decision</w:t>
      </w:r>
    </w:p>
    <w:p w14:paraId="272F0E00" w14:textId="28328C3D" w:rsidR="00CE4E55" w:rsidRPr="00AA060E" w:rsidRDefault="002522E7" w:rsidP="00CE4E55">
      <w:pPr>
        <w:pStyle w:val="Style1"/>
        <w:numPr>
          <w:ilvl w:val="0"/>
          <w:numId w:val="4"/>
        </w:numPr>
        <w:tabs>
          <w:tab w:val="clear" w:pos="720"/>
        </w:tabs>
        <w:rPr>
          <w:rFonts w:ascii="Arial" w:hAnsi="Arial" w:cs="Arial"/>
        </w:rPr>
      </w:pPr>
      <w:r>
        <w:rPr>
          <w:rFonts w:ascii="Arial" w:hAnsi="Arial" w:cs="Arial"/>
        </w:rPr>
        <w:t xml:space="preserve">I </w:t>
      </w:r>
      <w:r w:rsidR="00D72F9D">
        <w:rPr>
          <w:rFonts w:ascii="Arial" w:hAnsi="Arial" w:cs="Arial"/>
        </w:rPr>
        <w:t>do not</w:t>
      </w:r>
      <w:r w:rsidR="002A6791">
        <w:rPr>
          <w:rFonts w:ascii="Arial" w:hAnsi="Arial" w:cs="Arial"/>
        </w:rPr>
        <w:t xml:space="preserve"> confirm </w:t>
      </w:r>
      <w:r>
        <w:rPr>
          <w:rFonts w:ascii="Arial" w:hAnsi="Arial" w:cs="Arial"/>
        </w:rPr>
        <w:t>the Order</w:t>
      </w:r>
      <w:r w:rsidR="00CE4E55" w:rsidRPr="00AA060E">
        <w:rPr>
          <w:rFonts w:ascii="Arial" w:hAnsi="Arial" w:cs="Arial"/>
        </w:rPr>
        <w:t>.</w:t>
      </w:r>
    </w:p>
    <w:p w14:paraId="5338F04A" w14:textId="77777777" w:rsidR="00CE4E55" w:rsidRPr="00B24C4B" w:rsidRDefault="00CE4E55" w:rsidP="00F72F24">
      <w:pPr>
        <w:pStyle w:val="Style1"/>
        <w:spacing w:before="120"/>
        <w:ind w:left="0" w:firstLine="0"/>
        <w:rPr>
          <w:rFonts w:ascii="Monotype Corsiva" w:hAnsi="Monotype Corsiva" w:cs="Arial"/>
          <w:sz w:val="36"/>
          <w:szCs w:val="36"/>
        </w:rPr>
      </w:pPr>
      <w:r>
        <w:rPr>
          <w:rFonts w:ascii="Monotype Corsiva" w:hAnsi="Monotype Corsiva" w:cs="Arial"/>
          <w:sz w:val="36"/>
          <w:szCs w:val="36"/>
        </w:rPr>
        <w:t xml:space="preserve">Laura Renaudon </w:t>
      </w:r>
    </w:p>
    <w:p w14:paraId="019D9308" w14:textId="77777777" w:rsidR="000D1F6D" w:rsidRDefault="00CE4E55" w:rsidP="00F72F24">
      <w:pPr>
        <w:pStyle w:val="Style1"/>
        <w:spacing w:before="120"/>
        <w:ind w:left="0" w:firstLine="0"/>
        <w:rPr>
          <w:rFonts w:ascii="Arial" w:hAnsi="Arial" w:cs="Arial"/>
        </w:rPr>
      </w:pPr>
      <w:r>
        <w:rPr>
          <w:rFonts w:ascii="Arial" w:hAnsi="Arial" w:cs="Arial"/>
        </w:rPr>
        <w:t>INSPECTOR</w:t>
      </w:r>
    </w:p>
    <w:p w14:paraId="447D71F1" w14:textId="77777777" w:rsidR="000D1F6D" w:rsidRDefault="000D1F6D">
      <w:pPr>
        <w:spacing w:after="160" w:line="259" w:lineRule="auto"/>
        <w:rPr>
          <w:rFonts w:ascii="Arial" w:hAnsi="Arial" w:cs="Arial"/>
          <w:color w:val="000000"/>
          <w:kern w:val="28"/>
        </w:rPr>
      </w:pPr>
      <w:r>
        <w:rPr>
          <w:rFonts w:ascii="Arial" w:hAnsi="Arial" w:cs="Arial"/>
        </w:rPr>
        <w:br w:type="page"/>
      </w:r>
    </w:p>
    <w:p w14:paraId="7624D940" w14:textId="77777777" w:rsidR="00FE1F70" w:rsidRPr="00B954D4" w:rsidRDefault="000D1F6D" w:rsidP="00F72F24">
      <w:pPr>
        <w:pStyle w:val="Style1"/>
        <w:spacing w:before="120"/>
        <w:ind w:left="0" w:firstLine="0"/>
        <w:rPr>
          <w:rFonts w:ascii="Arial" w:hAnsi="Arial" w:cs="Arial"/>
          <w:b/>
          <w:bCs/>
        </w:rPr>
      </w:pPr>
      <w:r w:rsidRPr="00B954D4">
        <w:rPr>
          <w:rFonts w:ascii="Arial" w:hAnsi="Arial" w:cs="Arial"/>
          <w:b/>
          <w:bCs/>
        </w:rPr>
        <w:lastRenderedPageBreak/>
        <w:t>APPEARANCES</w:t>
      </w:r>
    </w:p>
    <w:p w14:paraId="2881EB1A" w14:textId="77777777" w:rsidR="00FE1F70" w:rsidRPr="00B954D4" w:rsidRDefault="00FE1F70" w:rsidP="00F72F24">
      <w:pPr>
        <w:pStyle w:val="Style1"/>
        <w:spacing w:before="120"/>
        <w:ind w:left="0" w:firstLine="0"/>
        <w:rPr>
          <w:rFonts w:ascii="Arial" w:hAnsi="Arial" w:cs="Arial"/>
          <w:b/>
          <w:bCs/>
        </w:rPr>
      </w:pPr>
    </w:p>
    <w:p w14:paraId="76A94A5E" w14:textId="77777777" w:rsidR="00FE1F70" w:rsidRPr="00B954D4" w:rsidRDefault="00FE1F70" w:rsidP="00F72F24">
      <w:pPr>
        <w:pStyle w:val="Style1"/>
        <w:spacing w:before="120"/>
        <w:ind w:left="0" w:firstLine="0"/>
        <w:rPr>
          <w:rFonts w:ascii="Arial" w:hAnsi="Arial" w:cs="Arial"/>
        </w:rPr>
      </w:pPr>
      <w:r w:rsidRPr="00B954D4">
        <w:rPr>
          <w:rFonts w:ascii="Arial" w:hAnsi="Arial" w:cs="Arial"/>
        </w:rPr>
        <w:t>For the Order Making Authority:</w:t>
      </w:r>
    </w:p>
    <w:p w14:paraId="545276FF" w14:textId="77777777" w:rsidR="00FE1F70" w:rsidRPr="00B954D4" w:rsidRDefault="00FE1F70" w:rsidP="00F72F24">
      <w:pPr>
        <w:pStyle w:val="Style1"/>
        <w:spacing w:before="120"/>
        <w:ind w:left="0" w:firstLine="0"/>
        <w:rPr>
          <w:rFonts w:ascii="Arial" w:hAnsi="Arial" w:cs="Arial"/>
        </w:rPr>
      </w:pPr>
    </w:p>
    <w:p w14:paraId="5F8A5C7E" w14:textId="57174AA2" w:rsidR="00CB316A" w:rsidRPr="00B954D4" w:rsidRDefault="00FD240B" w:rsidP="00FD240B">
      <w:pPr>
        <w:pStyle w:val="Style1"/>
        <w:spacing w:before="120"/>
        <w:ind w:left="432" w:firstLine="0"/>
        <w:rPr>
          <w:rFonts w:ascii="Arial" w:hAnsi="Arial" w:cs="Arial"/>
        </w:rPr>
      </w:pPr>
      <w:r w:rsidRPr="00B954D4">
        <w:rPr>
          <w:rFonts w:ascii="Arial" w:hAnsi="Arial" w:cs="Arial"/>
        </w:rPr>
        <w:t xml:space="preserve">Counsel </w:t>
      </w:r>
      <w:r w:rsidR="00FE1F70" w:rsidRPr="00B954D4">
        <w:rPr>
          <w:rFonts w:ascii="Arial" w:hAnsi="Arial" w:cs="Arial"/>
        </w:rPr>
        <w:t>Horatio Waller (September 2025) and Merrow Golden</w:t>
      </w:r>
      <w:r w:rsidR="00CB316A" w:rsidRPr="00B954D4">
        <w:rPr>
          <w:rFonts w:ascii="Arial" w:hAnsi="Arial" w:cs="Arial"/>
        </w:rPr>
        <w:t xml:space="preserve"> (January 2026)</w:t>
      </w:r>
    </w:p>
    <w:p w14:paraId="7C513D4B" w14:textId="77777777" w:rsidR="00CB316A" w:rsidRPr="00B954D4" w:rsidRDefault="00CB316A" w:rsidP="00F72F24">
      <w:pPr>
        <w:pStyle w:val="Style1"/>
        <w:spacing w:before="120"/>
        <w:ind w:left="0" w:firstLine="0"/>
        <w:rPr>
          <w:rFonts w:ascii="Arial" w:hAnsi="Arial" w:cs="Arial"/>
        </w:rPr>
      </w:pPr>
    </w:p>
    <w:p w14:paraId="11334885" w14:textId="77777777" w:rsidR="00CB316A" w:rsidRPr="00B954D4" w:rsidRDefault="00CB316A" w:rsidP="00F72F24">
      <w:pPr>
        <w:pStyle w:val="Style1"/>
        <w:spacing w:before="120"/>
        <w:ind w:left="0" w:firstLine="0"/>
        <w:rPr>
          <w:rFonts w:ascii="Arial" w:hAnsi="Arial" w:cs="Arial"/>
        </w:rPr>
      </w:pPr>
      <w:r w:rsidRPr="00B954D4">
        <w:rPr>
          <w:rFonts w:ascii="Arial" w:hAnsi="Arial" w:cs="Arial"/>
        </w:rPr>
        <w:tab/>
        <w:t>Who called:</w:t>
      </w:r>
      <w:r w:rsidRPr="00B954D4">
        <w:rPr>
          <w:rFonts w:ascii="Arial" w:hAnsi="Arial" w:cs="Arial"/>
        </w:rPr>
        <w:tab/>
        <w:t>Lindsay Saunders</w:t>
      </w:r>
    </w:p>
    <w:p w14:paraId="6237CF59" w14:textId="77777777" w:rsidR="00CB316A" w:rsidRPr="00B954D4" w:rsidRDefault="00CB316A" w:rsidP="00F72F24">
      <w:pPr>
        <w:pStyle w:val="Style1"/>
        <w:spacing w:before="120"/>
        <w:ind w:left="0" w:firstLine="0"/>
        <w:rPr>
          <w:rFonts w:ascii="Arial" w:hAnsi="Arial" w:cs="Arial"/>
        </w:rPr>
      </w:pPr>
    </w:p>
    <w:p w14:paraId="21BC8E49" w14:textId="77777777" w:rsidR="00CB316A" w:rsidRPr="00B954D4" w:rsidRDefault="00CB316A" w:rsidP="00F72F24">
      <w:pPr>
        <w:pStyle w:val="Style1"/>
        <w:spacing w:before="120"/>
        <w:ind w:left="0" w:firstLine="0"/>
        <w:rPr>
          <w:rFonts w:ascii="Arial" w:hAnsi="Arial" w:cs="Arial"/>
        </w:rPr>
      </w:pPr>
      <w:r w:rsidRPr="00B954D4">
        <w:rPr>
          <w:rFonts w:ascii="Arial" w:hAnsi="Arial" w:cs="Arial"/>
        </w:rPr>
        <w:t>Supporting confirmation of the Order:</w:t>
      </w:r>
    </w:p>
    <w:p w14:paraId="18FF3BC2" w14:textId="77777777" w:rsidR="00CB316A" w:rsidRPr="00B954D4" w:rsidRDefault="00CB316A" w:rsidP="00F72F24">
      <w:pPr>
        <w:pStyle w:val="Style1"/>
        <w:spacing w:before="120"/>
        <w:ind w:left="0" w:firstLine="0"/>
        <w:rPr>
          <w:rFonts w:ascii="Arial" w:hAnsi="Arial" w:cs="Arial"/>
        </w:rPr>
      </w:pPr>
    </w:p>
    <w:p w14:paraId="0B91022C" w14:textId="5346DA31" w:rsidR="00CB316A" w:rsidRPr="00B954D4" w:rsidRDefault="00CB316A" w:rsidP="00F72F24">
      <w:pPr>
        <w:pStyle w:val="Style1"/>
        <w:spacing w:before="120"/>
        <w:ind w:left="0" w:firstLine="0"/>
        <w:rPr>
          <w:rFonts w:ascii="Arial" w:hAnsi="Arial" w:cs="Arial"/>
        </w:rPr>
      </w:pPr>
      <w:r w:rsidRPr="00B954D4">
        <w:rPr>
          <w:rFonts w:ascii="Arial" w:hAnsi="Arial" w:cs="Arial"/>
        </w:rPr>
        <w:tab/>
        <w:t>Dino Zelenika</w:t>
      </w:r>
      <w:r w:rsidR="006D7B17" w:rsidRPr="00B954D4">
        <w:rPr>
          <w:rFonts w:ascii="Arial" w:hAnsi="Arial" w:cs="Arial"/>
        </w:rPr>
        <w:tab/>
        <w:t>the applicant</w:t>
      </w:r>
    </w:p>
    <w:p w14:paraId="6F77B2F6" w14:textId="77777777" w:rsidR="00CB316A" w:rsidRPr="00B954D4" w:rsidRDefault="00CB316A" w:rsidP="00F72F24">
      <w:pPr>
        <w:pStyle w:val="Style1"/>
        <w:spacing w:before="120"/>
        <w:ind w:left="0" w:firstLine="0"/>
        <w:rPr>
          <w:rFonts w:ascii="Arial" w:hAnsi="Arial" w:cs="Arial"/>
        </w:rPr>
      </w:pPr>
    </w:p>
    <w:p w14:paraId="3C14935A" w14:textId="77777777" w:rsidR="0019749C" w:rsidRPr="00B954D4" w:rsidRDefault="00CB316A" w:rsidP="00F72F24">
      <w:pPr>
        <w:pStyle w:val="Style1"/>
        <w:spacing w:before="120"/>
        <w:ind w:left="0" w:firstLine="0"/>
        <w:rPr>
          <w:rFonts w:ascii="Arial" w:hAnsi="Arial" w:cs="Arial"/>
        </w:rPr>
      </w:pPr>
      <w:r w:rsidRPr="00B954D4">
        <w:rPr>
          <w:rFonts w:ascii="Arial" w:hAnsi="Arial" w:cs="Arial"/>
        </w:rPr>
        <w:tab/>
        <w:t>Who called:</w:t>
      </w:r>
      <w:r w:rsidRPr="00B954D4">
        <w:rPr>
          <w:rFonts w:ascii="Arial" w:hAnsi="Arial" w:cs="Arial"/>
        </w:rPr>
        <w:tab/>
      </w:r>
      <w:r w:rsidR="0019749C" w:rsidRPr="00B954D4">
        <w:rPr>
          <w:rFonts w:ascii="Arial" w:hAnsi="Arial" w:cs="Arial"/>
        </w:rPr>
        <w:t>Himself</w:t>
      </w:r>
    </w:p>
    <w:p w14:paraId="58C11A08" w14:textId="77777777" w:rsidR="0019749C" w:rsidRPr="00B954D4" w:rsidRDefault="0019749C" w:rsidP="00F72F24">
      <w:pPr>
        <w:pStyle w:val="Style1"/>
        <w:spacing w:before="120"/>
        <w:ind w:left="0" w:firstLine="0"/>
        <w:rPr>
          <w:rFonts w:ascii="Arial" w:hAnsi="Arial" w:cs="Arial"/>
        </w:rPr>
      </w:pPr>
      <w:r w:rsidRPr="00B954D4">
        <w:rPr>
          <w:rFonts w:ascii="Arial" w:hAnsi="Arial" w:cs="Arial"/>
        </w:rPr>
        <w:tab/>
      </w:r>
      <w:r w:rsidRPr="00B954D4">
        <w:rPr>
          <w:rFonts w:ascii="Arial" w:hAnsi="Arial" w:cs="Arial"/>
        </w:rPr>
        <w:tab/>
      </w:r>
      <w:r w:rsidRPr="00B954D4">
        <w:rPr>
          <w:rFonts w:ascii="Arial" w:hAnsi="Arial" w:cs="Arial"/>
        </w:rPr>
        <w:tab/>
      </w:r>
      <w:r w:rsidRPr="00B954D4">
        <w:rPr>
          <w:rFonts w:ascii="Arial" w:hAnsi="Arial" w:cs="Arial"/>
        </w:rPr>
        <w:tab/>
        <w:t>Paul Quilliam</w:t>
      </w:r>
    </w:p>
    <w:p w14:paraId="0EF67237" w14:textId="77777777" w:rsidR="0019749C" w:rsidRPr="00B954D4" w:rsidRDefault="0019749C" w:rsidP="00F72F24">
      <w:pPr>
        <w:pStyle w:val="Style1"/>
        <w:spacing w:before="120"/>
        <w:ind w:left="0" w:firstLine="0"/>
        <w:rPr>
          <w:rFonts w:ascii="Arial" w:hAnsi="Arial" w:cs="Arial"/>
        </w:rPr>
      </w:pPr>
      <w:r w:rsidRPr="00B954D4">
        <w:rPr>
          <w:rFonts w:ascii="Arial" w:hAnsi="Arial" w:cs="Arial"/>
        </w:rPr>
        <w:tab/>
      </w:r>
      <w:r w:rsidRPr="00B954D4">
        <w:rPr>
          <w:rFonts w:ascii="Arial" w:hAnsi="Arial" w:cs="Arial"/>
        </w:rPr>
        <w:tab/>
      </w:r>
      <w:r w:rsidRPr="00B954D4">
        <w:rPr>
          <w:rFonts w:ascii="Arial" w:hAnsi="Arial" w:cs="Arial"/>
        </w:rPr>
        <w:tab/>
      </w:r>
      <w:r w:rsidRPr="00B954D4">
        <w:rPr>
          <w:rFonts w:ascii="Arial" w:hAnsi="Arial" w:cs="Arial"/>
        </w:rPr>
        <w:tab/>
        <w:t>Lynne Jobbins</w:t>
      </w:r>
    </w:p>
    <w:p w14:paraId="6E5E8DAF" w14:textId="77777777" w:rsidR="00FD240B" w:rsidRPr="00B954D4" w:rsidRDefault="0019749C" w:rsidP="00F72F24">
      <w:pPr>
        <w:pStyle w:val="Style1"/>
        <w:spacing w:before="120"/>
        <w:ind w:left="0" w:firstLine="0"/>
        <w:rPr>
          <w:rFonts w:ascii="Arial" w:hAnsi="Arial" w:cs="Arial"/>
        </w:rPr>
      </w:pPr>
      <w:r w:rsidRPr="00B954D4">
        <w:rPr>
          <w:rFonts w:ascii="Arial" w:hAnsi="Arial" w:cs="Arial"/>
        </w:rPr>
        <w:tab/>
      </w:r>
      <w:r w:rsidRPr="00B954D4">
        <w:rPr>
          <w:rFonts w:ascii="Arial" w:hAnsi="Arial" w:cs="Arial"/>
        </w:rPr>
        <w:tab/>
      </w:r>
      <w:r w:rsidRPr="00B954D4">
        <w:rPr>
          <w:rFonts w:ascii="Arial" w:hAnsi="Arial" w:cs="Arial"/>
        </w:rPr>
        <w:tab/>
      </w:r>
      <w:r w:rsidRPr="00B954D4">
        <w:rPr>
          <w:rFonts w:ascii="Arial" w:hAnsi="Arial" w:cs="Arial"/>
        </w:rPr>
        <w:tab/>
        <w:t>Stela Holder</w:t>
      </w:r>
    </w:p>
    <w:p w14:paraId="738995CC" w14:textId="77777777" w:rsidR="00FD240B" w:rsidRPr="00B954D4" w:rsidRDefault="00FD240B" w:rsidP="00F72F24">
      <w:pPr>
        <w:pStyle w:val="Style1"/>
        <w:spacing w:before="120"/>
        <w:ind w:left="0" w:firstLine="0"/>
        <w:rPr>
          <w:rFonts w:ascii="Arial" w:hAnsi="Arial" w:cs="Arial"/>
        </w:rPr>
      </w:pPr>
    </w:p>
    <w:p w14:paraId="7D202313" w14:textId="77777777" w:rsidR="00FD240B" w:rsidRPr="00B954D4" w:rsidRDefault="00FD240B" w:rsidP="00F72F24">
      <w:pPr>
        <w:pStyle w:val="Style1"/>
        <w:spacing w:before="120"/>
        <w:ind w:left="0" w:firstLine="0"/>
        <w:rPr>
          <w:rFonts w:ascii="Arial" w:hAnsi="Arial" w:cs="Arial"/>
        </w:rPr>
      </w:pPr>
      <w:r w:rsidRPr="00B954D4">
        <w:rPr>
          <w:rFonts w:ascii="Arial" w:hAnsi="Arial" w:cs="Arial"/>
        </w:rPr>
        <w:t>Opposing confirmation of the Order:</w:t>
      </w:r>
    </w:p>
    <w:p w14:paraId="6018222C" w14:textId="77777777" w:rsidR="00FD240B" w:rsidRPr="00B954D4" w:rsidRDefault="00FD240B" w:rsidP="00F72F24">
      <w:pPr>
        <w:pStyle w:val="Style1"/>
        <w:spacing w:before="120"/>
        <w:ind w:left="0" w:firstLine="0"/>
        <w:rPr>
          <w:rFonts w:ascii="Arial" w:hAnsi="Arial" w:cs="Arial"/>
        </w:rPr>
      </w:pPr>
    </w:p>
    <w:p w14:paraId="0A3E2E08" w14:textId="45306925" w:rsidR="00FD240B" w:rsidRPr="00B954D4" w:rsidRDefault="00FD240B" w:rsidP="00F72F24">
      <w:pPr>
        <w:pStyle w:val="Style1"/>
        <w:spacing w:before="120"/>
        <w:ind w:left="0" w:firstLine="0"/>
        <w:rPr>
          <w:rFonts w:ascii="Arial" w:hAnsi="Arial" w:cs="Arial"/>
        </w:rPr>
      </w:pPr>
      <w:r w:rsidRPr="00B954D4">
        <w:rPr>
          <w:rFonts w:ascii="Arial" w:hAnsi="Arial" w:cs="Arial"/>
        </w:rPr>
        <w:tab/>
        <w:t>Counsel Jay Jagaysia</w:t>
      </w:r>
    </w:p>
    <w:p w14:paraId="458F9C34" w14:textId="77777777" w:rsidR="00FD240B" w:rsidRPr="00B954D4" w:rsidRDefault="00FD240B" w:rsidP="00F72F24">
      <w:pPr>
        <w:pStyle w:val="Style1"/>
        <w:spacing w:before="120"/>
        <w:ind w:left="0" w:firstLine="0"/>
        <w:rPr>
          <w:rFonts w:ascii="Arial" w:hAnsi="Arial" w:cs="Arial"/>
        </w:rPr>
      </w:pPr>
    </w:p>
    <w:p w14:paraId="71C2DA52" w14:textId="77777777" w:rsidR="00B54454" w:rsidRPr="00B954D4" w:rsidRDefault="00FD240B" w:rsidP="00F72F24">
      <w:pPr>
        <w:pStyle w:val="Style1"/>
        <w:spacing w:before="120"/>
        <w:ind w:left="0" w:firstLine="0"/>
        <w:rPr>
          <w:rFonts w:ascii="Arial" w:hAnsi="Arial" w:cs="Arial"/>
        </w:rPr>
      </w:pPr>
      <w:r w:rsidRPr="00B954D4">
        <w:rPr>
          <w:rFonts w:ascii="Arial" w:hAnsi="Arial" w:cs="Arial"/>
        </w:rPr>
        <w:tab/>
        <w:t>Who called:</w:t>
      </w:r>
      <w:r w:rsidR="00B54454" w:rsidRPr="00B954D4">
        <w:rPr>
          <w:rFonts w:ascii="Arial" w:hAnsi="Arial" w:cs="Arial"/>
        </w:rPr>
        <w:tab/>
        <w:t>Morgan Holmes</w:t>
      </w:r>
    </w:p>
    <w:p w14:paraId="5D29CF7A" w14:textId="77777777" w:rsidR="00B54454" w:rsidRPr="00B954D4" w:rsidRDefault="00B54454" w:rsidP="00F72F24">
      <w:pPr>
        <w:pStyle w:val="Style1"/>
        <w:spacing w:before="120"/>
        <w:ind w:left="0" w:firstLine="0"/>
        <w:rPr>
          <w:rFonts w:ascii="Arial" w:hAnsi="Arial" w:cs="Arial"/>
        </w:rPr>
      </w:pPr>
      <w:r w:rsidRPr="00B954D4">
        <w:rPr>
          <w:rFonts w:ascii="Arial" w:hAnsi="Arial" w:cs="Arial"/>
        </w:rPr>
        <w:tab/>
      </w:r>
      <w:r w:rsidRPr="00B954D4">
        <w:rPr>
          <w:rFonts w:ascii="Arial" w:hAnsi="Arial" w:cs="Arial"/>
        </w:rPr>
        <w:tab/>
      </w:r>
      <w:r w:rsidRPr="00B954D4">
        <w:rPr>
          <w:rFonts w:ascii="Arial" w:hAnsi="Arial" w:cs="Arial"/>
        </w:rPr>
        <w:tab/>
      </w:r>
      <w:r w:rsidRPr="00B954D4">
        <w:rPr>
          <w:rFonts w:ascii="Arial" w:hAnsi="Arial" w:cs="Arial"/>
        </w:rPr>
        <w:tab/>
        <w:t>Richard Adams</w:t>
      </w:r>
    </w:p>
    <w:p w14:paraId="50752D58" w14:textId="77777777" w:rsidR="00B54454" w:rsidRPr="00B954D4" w:rsidRDefault="00B54454" w:rsidP="00F72F24">
      <w:pPr>
        <w:pStyle w:val="Style1"/>
        <w:spacing w:before="120"/>
        <w:ind w:left="0" w:firstLine="0"/>
        <w:rPr>
          <w:rFonts w:ascii="Arial" w:hAnsi="Arial" w:cs="Arial"/>
        </w:rPr>
      </w:pPr>
      <w:r w:rsidRPr="00B954D4">
        <w:rPr>
          <w:rFonts w:ascii="Arial" w:hAnsi="Arial" w:cs="Arial"/>
        </w:rPr>
        <w:tab/>
      </w:r>
      <w:r w:rsidRPr="00B954D4">
        <w:rPr>
          <w:rFonts w:ascii="Arial" w:hAnsi="Arial" w:cs="Arial"/>
        </w:rPr>
        <w:tab/>
      </w:r>
      <w:r w:rsidRPr="00B954D4">
        <w:rPr>
          <w:rFonts w:ascii="Arial" w:hAnsi="Arial" w:cs="Arial"/>
        </w:rPr>
        <w:tab/>
      </w:r>
      <w:r w:rsidRPr="00B954D4">
        <w:rPr>
          <w:rFonts w:ascii="Arial" w:hAnsi="Arial" w:cs="Arial"/>
        </w:rPr>
        <w:tab/>
        <w:t>John Lawrence</w:t>
      </w:r>
    </w:p>
    <w:p w14:paraId="48E82DA4" w14:textId="77777777" w:rsidR="00B54454" w:rsidRPr="00B954D4" w:rsidRDefault="00B54454" w:rsidP="00F72F24">
      <w:pPr>
        <w:pStyle w:val="Style1"/>
        <w:spacing w:before="120"/>
        <w:ind w:left="0" w:firstLine="0"/>
        <w:rPr>
          <w:rFonts w:ascii="Arial" w:hAnsi="Arial" w:cs="Arial"/>
        </w:rPr>
      </w:pPr>
      <w:r w:rsidRPr="00B954D4">
        <w:rPr>
          <w:rFonts w:ascii="Arial" w:hAnsi="Arial" w:cs="Arial"/>
        </w:rPr>
        <w:tab/>
      </w:r>
      <w:r w:rsidRPr="00B954D4">
        <w:rPr>
          <w:rFonts w:ascii="Arial" w:hAnsi="Arial" w:cs="Arial"/>
        </w:rPr>
        <w:tab/>
      </w:r>
      <w:r w:rsidRPr="00B954D4">
        <w:rPr>
          <w:rFonts w:ascii="Arial" w:hAnsi="Arial" w:cs="Arial"/>
        </w:rPr>
        <w:tab/>
      </w:r>
      <w:r w:rsidRPr="00B954D4">
        <w:rPr>
          <w:rFonts w:ascii="Arial" w:hAnsi="Arial" w:cs="Arial"/>
        </w:rPr>
        <w:tab/>
        <w:t>Ian Mackie</w:t>
      </w:r>
    </w:p>
    <w:p w14:paraId="493CAEC5" w14:textId="77777777" w:rsidR="00B54454" w:rsidRPr="00B954D4" w:rsidRDefault="00B54454" w:rsidP="00F72F24">
      <w:pPr>
        <w:pStyle w:val="Style1"/>
        <w:spacing w:before="120"/>
        <w:ind w:left="0" w:firstLine="0"/>
        <w:rPr>
          <w:rFonts w:ascii="Arial" w:hAnsi="Arial" w:cs="Arial"/>
        </w:rPr>
      </w:pPr>
      <w:r w:rsidRPr="00B954D4">
        <w:rPr>
          <w:rFonts w:ascii="Arial" w:hAnsi="Arial" w:cs="Arial"/>
        </w:rPr>
        <w:tab/>
      </w:r>
      <w:r w:rsidRPr="00B954D4">
        <w:rPr>
          <w:rFonts w:ascii="Arial" w:hAnsi="Arial" w:cs="Arial"/>
        </w:rPr>
        <w:tab/>
      </w:r>
      <w:r w:rsidRPr="00B954D4">
        <w:rPr>
          <w:rFonts w:ascii="Arial" w:hAnsi="Arial" w:cs="Arial"/>
        </w:rPr>
        <w:tab/>
      </w:r>
      <w:r w:rsidRPr="00B954D4">
        <w:rPr>
          <w:rFonts w:ascii="Arial" w:hAnsi="Arial" w:cs="Arial"/>
        </w:rPr>
        <w:tab/>
        <w:t>Peter Bird</w:t>
      </w:r>
    </w:p>
    <w:p w14:paraId="234B1937" w14:textId="77777777" w:rsidR="00455F21" w:rsidRPr="00B954D4" w:rsidRDefault="00B54454" w:rsidP="00F72F24">
      <w:pPr>
        <w:pStyle w:val="Style1"/>
        <w:spacing w:before="120"/>
        <w:ind w:left="0" w:firstLine="0"/>
        <w:rPr>
          <w:rFonts w:ascii="Arial" w:hAnsi="Arial" w:cs="Arial"/>
        </w:rPr>
      </w:pPr>
      <w:r w:rsidRPr="00B954D4">
        <w:rPr>
          <w:rFonts w:ascii="Arial" w:hAnsi="Arial" w:cs="Arial"/>
        </w:rPr>
        <w:tab/>
      </w:r>
      <w:r w:rsidRPr="00B954D4">
        <w:rPr>
          <w:rFonts w:ascii="Arial" w:hAnsi="Arial" w:cs="Arial"/>
        </w:rPr>
        <w:tab/>
      </w:r>
      <w:r w:rsidRPr="00B954D4">
        <w:rPr>
          <w:rFonts w:ascii="Arial" w:hAnsi="Arial" w:cs="Arial"/>
        </w:rPr>
        <w:tab/>
      </w:r>
      <w:r w:rsidRPr="00B954D4">
        <w:rPr>
          <w:rFonts w:ascii="Arial" w:hAnsi="Arial" w:cs="Arial"/>
        </w:rPr>
        <w:tab/>
        <w:t>Mike Luton</w:t>
      </w:r>
    </w:p>
    <w:p w14:paraId="5DD15251" w14:textId="77777777" w:rsidR="00455F21" w:rsidRPr="00B954D4" w:rsidRDefault="00455F21" w:rsidP="00F72F24">
      <w:pPr>
        <w:pStyle w:val="Style1"/>
        <w:spacing w:before="120"/>
        <w:ind w:left="0" w:firstLine="0"/>
        <w:rPr>
          <w:rFonts w:ascii="Arial" w:hAnsi="Arial" w:cs="Arial"/>
        </w:rPr>
      </w:pPr>
    </w:p>
    <w:p w14:paraId="40454885" w14:textId="77777777" w:rsidR="00455F21" w:rsidRPr="00B954D4" w:rsidRDefault="00455F21" w:rsidP="00F72F24">
      <w:pPr>
        <w:pStyle w:val="Style1"/>
        <w:spacing w:before="120"/>
        <w:ind w:left="0" w:firstLine="0"/>
        <w:rPr>
          <w:rFonts w:ascii="Arial" w:hAnsi="Arial" w:cs="Arial"/>
        </w:rPr>
      </w:pPr>
      <w:r w:rsidRPr="00B954D4">
        <w:rPr>
          <w:rFonts w:ascii="Arial" w:hAnsi="Arial" w:cs="Arial"/>
        </w:rPr>
        <w:t>Interested Parties:</w:t>
      </w:r>
    </w:p>
    <w:p w14:paraId="2FEEC28F" w14:textId="77777777" w:rsidR="00455F21" w:rsidRPr="00B954D4" w:rsidRDefault="00455F21" w:rsidP="00F72F24">
      <w:pPr>
        <w:pStyle w:val="Style1"/>
        <w:spacing w:before="120"/>
        <w:ind w:left="0" w:firstLine="0"/>
        <w:rPr>
          <w:rFonts w:ascii="Arial" w:hAnsi="Arial" w:cs="Arial"/>
        </w:rPr>
      </w:pPr>
      <w:r w:rsidRPr="00B954D4">
        <w:rPr>
          <w:rFonts w:ascii="Arial" w:hAnsi="Arial" w:cs="Arial"/>
        </w:rPr>
        <w:tab/>
      </w:r>
    </w:p>
    <w:p w14:paraId="0EDB15CB" w14:textId="77777777" w:rsidR="005D28AB" w:rsidRPr="00B954D4" w:rsidRDefault="00455F21" w:rsidP="00F72F24">
      <w:pPr>
        <w:pStyle w:val="Style1"/>
        <w:spacing w:before="120"/>
        <w:ind w:left="0" w:firstLine="0"/>
        <w:rPr>
          <w:rFonts w:ascii="Arial" w:hAnsi="Arial" w:cs="Arial"/>
        </w:rPr>
      </w:pPr>
      <w:r w:rsidRPr="00B954D4">
        <w:rPr>
          <w:rFonts w:ascii="Arial" w:hAnsi="Arial" w:cs="Arial"/>
        </w:rPr>
        <w:tab/>
        <w:t>Steve Reade</w:t>
      </w:r>
      <w:r w:rsidR="005D28AB" w:rsidRPr="00B954D4">
        <w:rPr>
          <w:rFonts w:ascii="Arial" w:hAnsi="Arial" w:cs="Arial"/>
        </w:rPr>
        <w:t>, local resident and parish councillor</w:t>
      </w:r>
    </w:p>
    <w:p w14:paraId="738AC020" w14:textId="77777777" w:rsidR="005D28AB" w:rsidRPr="00B954D4" w:rsidRDefault="005D28AB" w:rsidP="00F72F24">
      <w:pPr>
        <w:pStyle w:val="Style1"/>
        <w:spacing w:before="120"/>
        <w:ind w:left="0" w:firstLine="0"/>
        <w:rPr>
          <w:rFonts w:ascii="Arial" w:hAnsi="Arial" w:cs="Arial"/>
        </w:rPr>
      </w:pPr>
    </w:p>
    <w:p w14:paraId="7D0E6ED4" w14:textId="77777777" w:rsidR="005D28AB" w:rsidRPr="00B954D4" w:rsidRDefault="005D28AB">
      <w:pPr>
        <w:spacing w:after="160" w:line="259" w:lineRule="auto"/>
        <w:rPr>
          <w:rFonts w:ascii="Arial" w:hAnsi="Arial" w:cs="Arial"/>
          <w:color w:val="000000"/>
          <w:kern w:val="28"/>
        </w:rPr>
      </w:pPr>
      <w:r w:rsidRPr="00B954D4">
        <w:rPr>
          <w:rFonts w:ascii="Arial" w:hAnsi="Arial" w:cs="Arial"/>
        </w:rPr>
        <w:br w:type="page"/>
      </w:r>
    </w:p>
    <w:p w14:paraId="6D36E4F7" w14:textId="77777777" w:rsidR="005D28AB" w:rsidRPr="00B954D4" w:rsidRDefault="005D28AB" w:rsidP="00F72F24">
      <w:pPr>
        <w:pStyle w:val="Style1"/>
        <w:spacing w:before="120"/>
        <w:ind w:left="0" w:firstLine="0"/>
        <w:rPr>
          <w:rFonts w:ascii="Arial" w:hAnsi="Arial" w:cs="Arial"/>
          <w:b/>
          <w:bCs/>
        </w:rPr>
      </w:pPr>
      <w:r w:rsidRPr="00B954D4">
        <w:rPr>
          <w:rFonts w:ascii="Arial" w:hAnsi="Arial" w:cs="Arial"/>
          <w:b/>
          <w:bCs/>
        </w:rPr>
        <w:lastRenderedPageBreak/>
        <w:t>INQUIRY DOCUMENTS</w:t>
      </w:r>
    </w:p>
    <w:p w14:paraId="48637E5D" w14:textId="77777777" w:rsidR="005D28AB" w:rsidRPr="00B954D4" w:rsidRDefault="005D28AB" w:rsidP="00F72F24">
      <w:pPr>
        <w:pStyle w:val="Style1"/>
        <w:spacing w:before="120"/>
        <w:ind w:left="0" w:firstLine="0"/>
        <w:rPr>
          <w:rFonts w:ascii="Arial" w:hAnsi="Arial" w:cs="Arial"/>
          <w:b/>
          <w:bCs/>
        </w:rPr>
      </w:pPr>
    </w:p>
    <w:p w14:paraId="35588DED" w14:textId="21497B4A" w:rsidR="00F40E26" w:rsidRPr="00B954D4" w:rsidRDefault="00F40E26" w:rsidP="00F40E26">
      <w:pPr>
        <w:pStyle w:val="Style1"/>
        <w:numPr>
          <w:ilvl w:val="0"/>
          <w:numId w:val="6"/>
        </w:numPr>
        <w:spacing w:before="120"/>
        <w:rPr>
          <w:rFonts w:ascii="Arial" w:hAnsi="Arial" w:cs="Arial"/>
        </w:rPr>
      </w:pPr>
      <w:r w:rsidRPr="00B954D4">
        <w:rPr>
          <w:rFonts w:ascii="Arial" w:hAnsi="Arial" w:cs="Arial"/>
        </w:rPr>
        <w:t>Opening Statement by the Order Making Authority</w:t>
      </w:r>
    </w:p>
    <w:p w14:paraId="622E9C95" w14:textId="42FCAB46" w:rsidR="00F40E26" w:rsidRPr="00B954D4" w:rsidRDefault="00F40E26" w:rsidP="00F40E26">
      <w:pPr>
        <w:pStyle w:val="Style1"/>
        <w:numPr>
          <w:ilvl w:val="0"/>
          <w:numId w:val="6"/>
        </w:numPr>
        <w:spacing w:before="120"/>
        <w:rPr>
          <w:rFonts w:ascii="Arial" w:hAnsi="Arial" w:cs="Arial"/>
        </w:rPr>
      </w:pPr>
      <w:r w:rsidRPr="00B954D4">
        <w:rPr>
          <w:rFonts w:ascii="Arial" w:hAnsi="Arial" w:cs="Arial"/>
        </w:rPr>
        <w:t xml:space="preserve">Opening Statement by </w:t>
      </w:r>
      <w:r w:rsidR="006D7B17" w:rsidRPr="00B954D4">
        <w:rPr>
          <w:rFonts w:ascii="Arial" w:hAnsi="Arial" w:cs="Arial"/>
        </w:rPr>
        <w:t>the applicant</w:t>
      </w:r>
    </w:p>
    <w:p w14:paraId="402474DA" w14:textId="054113AB" w:rsidR="006D7B17" w:rsidRPr="00B954D4" w:rsidRDefault="006D7B17" w:rsidP="00F40E26">
      <w:pPr>
        <w:pStyle w:val="Style1"/>
        <w:numPr>
          <w:ilvl w:val="0"/>
          <w:numId w:val="6"/>
        </w:numPr>
        <w:spacing w:before="120"/>
        <w:rPr>
          <w:rFonts w:ascii="Arial" w:hAnsi="Arial" w:cs="Arial"/>
        </w:rPr>
      </w:pPr>
      <w:r w:rsidRPr="00B954D4">
        <w:rPr>
          <w:rFonts w:ascii="Arial" w:hAnsi="Arial" w:cs="Arial"/>
        </w:rPr>
        <w:t>Closing Statement by the applicant</w:t>
      </w:r>
    </w:p>
    <w:p w14:paraId="1904ED77" w14:textId="7145E6A2" w:rsidR="006D7B17" w:rsidRPr="00B954D4" w:rsidRDefault="006D7B17" w:rsidP="00F40E26">
      <w:pPr>
        <w:pStyle w:val="Style1"/>
        <w:numPr>
          <w:ilvl w:val="0"/>
          <w:numId w:val="6"/>
        </w:numPr>
        <w:spacing w:before="120"/>
        <w:rPr>
          <w:rFonts w:ascii="Arial" w:hAnsi="Arial" w:cs="Arial"/>
        </w:rPr>
      </w:pPr>
      <w:r w:rsidRPr="00B954D4">
        <w:rPr>
          <w:rFonts w:ascii="Arial" w:hAnsi="Arial" w:cs="Arial"/>
        </w:rPr>
        <w:t>Closing Statement by the principal objector</w:t>
      </w:r>
    </w:p>
    <w:p w14:paraId="237D3B26" w14:textId="324FD341" w:rsidR="006D7B17" w:rsidRPr="00B954D4" w:rsidRDefault="006D7B17" w:rsidP="00F40E26">
      <w:pPr>
        <w:pStyle w:val="Style1"/>
        <w:numPr>
          <w:ilvl w:val="0"/>
          <w:numId w:val="6"/>
        </w:numPr>
        <w:spacing w:before="120"/>
        <w:rPr>
          <w:rFonts w:ascii="Arial" w:hAnsi="Arial" w:cs="Arial"/>
        </w:rPr>
      </w:pPr>
      <w:r w:rsidRPr="00B954D4">
        <w:rPr>
          <w:rFonts w:ascii="Arial" w:hAnsi="Arial" w:cs="Arial"/>
        </w:rPr>
        <w:t>Closing Statement by the Order Making Authority</w:t>
      </w:r>
    </w:p>
    <w:p w14:paraId="1804DCFB" w14:textId="37A7A458" w:rsidR="00E97B50" w:rsidRDefault="00E97B50" w:rsidP="00F40E26">
      <w:pPr>
        <w:pStyle w:val="Style1"/>
        <w:numPr>
          <w:ilvl w:val="0"/>
          <w:numId w:val="6"/>
        </w:numPr>
        <w:spacing w:before="120"/>
      </w:pPr>
      <w:r>
        <w:br w:type="page"/>
      </w:r>
    </w:p>
    <w:p w14:paraId="0E866329" w14:textId="72247731" w:rsidR="00E97B50" w:rsidRDefault="00E97B50">
      <w:pPr>
        <w:rPr>
          <w:b/>
          <w:bCs/>
        </w:rPr>
      </w:pPr>
      <w:r>
        <w:rPr>
          <w:b/>
          <w:bCs/>
        </w:rPr>
        <w:lastRenderedPageBreak/>
        <w:t xml:space="preserve">THE ORDER </w:t>
      </w:r>
      <w:r w:rsidR="006C6874">
        <w:rPr>
          <w:b/>
          <w:bCs/>
        </w:rPr>
        <w:t>MAP</w:t>
      </w:r>
    </w:p>
    <w:p w14:paraId="12CBDD07" w14:textId="77777777" w:rsidR="00D96AEF" w:rsidRDefault="00D96AEF">
      <w:pPr>
        <w:rPr>
          <w:b/>
          <w:bCs/>
        </w:rPr>
      </w:pPr>
    </w:p>
    <w:p w14:paraId="1F5E86A8" w14:textId="3612D73F" w:rsidR="00D96AEF" w:rsidRPr="00E97B50" w:rsidRDefault="000700CA">
      <w:pPr>
        <w:rPr>
          <w:b/>
          <w:bCs/>
        </w:rPr>
      </w:pPr>
      <w:r w:rsidRPr="000700CA">
        <w:rPr>
          <w:b/>
          <w:bCs/>
          <w:noProof/>
        </w:rPr>
        <w:drawing>
          <wp:inline distT="0" distB="0" distL="0" distR="0" wp14:anchorId="0BD8589E" wp14:editId="39703ED2">
            <wp:extent cx="5435879" cy="7874405"/>
            <wp:effectExtent l="0" t="0" r="0" b="0"/>
            <wp:docPr id="1064407591" name="Picture 1"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407591" name="Picture 1" descr="ORDER MAP"/>
                    <pic:cNvPicPr/>
                  </pic:nvPicPr>
                  <pic:blipFill>
                    <a:blip r:embed="rId11"/>
                    <a:stretch>
                      <a:fillRect/>
                    </a:stretch>
                  </pic:blipFill>
                  <pic:spPr>
                    <a:xfrm>
                      <a:off x="0" y="0"/>
                      <a:ext cx="5435879" cy="7874405"/>
                    </a:xfrm>
                    <a:prstGeom prst="rect">
                      <a:avLst/>
                    </a:prstGeom>
                  </pic:spPr>
                </pic:pic>
              </a:graphicData>
            </a:graphic>
          </wp:inline>
        </w:drawing>
      </w:r>
    </w:p>
    <w:sectPr w:rsidR="00D96AEF" w:rsidRPr="00E97B50" w:rsidSect="00CE4E55">
      <w:headerReference w:type="default" r:id="rId12"/>
      <w:footerReference w:type="even" r:id="rId13"/>
      <w:footerReference w:type="default" r:id="rId14"/>
      <w:headerReference w:type="first" r:id="rId15"/>
      <w:footerReference w:type="first" r:id="rId16"/>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C21677" w14:textId="77777777" w:rsidR="007B321C" w:rsidRDefault="007B321C">
      <w:r>
        <w:separator/>
      </w:r>
    </w:p>
  </w:endnote>
  <w:endnote w:type="continuationSeparator" w:id="0">
    <w:p w14:paraId="35A92415" w14:textId="77777777" w:rsidR="007B321C" w:rsidRDefault="007B3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C555F" w14:textId="77777777" w:rsidR="00CE4E55" w:rsidRDefault="00CE4E5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53C42C" w14:textId="77777777" w:rsidR="00CE4E55" w:rsidRDefault="00CE4E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8B138" w14:textId="77777777" w:rsidR="00CE4E55" w:rsidRDefault="00CE4E55">
    <w:pPr>
      <w:pStyle w:val="Noindent"/>
      <w:spacing w:before="120"/>
      <w:jc w:val="center"/>
      <w:rPr>
        <w:rStyle w:val="PageNumber"/>
      </w:rPr>
    </w:pPr>
    <w:r>
      <w:rPr>
        <w:noProof/>
        <w:sz w:val="18"/>
      </w:rPr>
      <mc:AlternateContent>
        <mc:Choice Requires="wps">
          <w:drawing>
            <wp:anchor distT="0" distB="0" distL="114300" distR="114300" simplePos="0" relativeHeight="251657728" behindDoc="0" locked="0" layoutInCell="1" allowOverlap="1" wp14:anchorId="5F158A39" wp14:editId="5864A68A">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984AC" id="Line 1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5A365DF" w14:textId="77777777" w:rsidR="00CE4E55" w:rsidRPr="00E45340" w:rsidRDefault="00CE4E55" w:rsidP="00E45340">
    <w:pPr>
      <w:pStyle w:val="Footer"/>
      <w:ind w:right="-52"/>
      <w:rPr>
        <w:sz w:val="16"/>
        <w:szCs w:val="16"/>
      </w:rPr>
    </w:pPr>
    <w:hyperlink r:id="rId1" w:history="1">
      <w:r w:rsidRPr="00026922">
        <w:rPr>
          <w:rStyle w:val="Hyperlink"/>
          <w:sz w:val="16"/>
          <w:szCs w:val="16"/>
        </w:rPr>
        <w:t>https://www.gov.uk/planning-inspectorate</w:t>
      </w:r>
    </w:hyperlink>
    <w:r>
      <w:rPr>
        <w:sz w:val="16"/>
        <w:szCs w:val="16"/>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F02EB" w14:textId="77777777" w:rsidR="00CE4E55" w:rsidRDefault="00CE4E55" w:rsidP="003C3FF8">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40C0E62C" wp14:editId="434AEC7E">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3E873" id="Line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024FB590" w14:textId="77777777" w:rsidR="00CE4E55" w:rsidRPr="00451EE4" w:rsidRDefault="00CE4E55">
    <w:pPr>
      <w:pStyle w:val="Footer"/>
      <w:ind w:right="-52"/>
      <w:rPr>
        <w:sz w:val="16"/>
        <w:szCs w:val="16"/>
      </w:rPr>
    </w:pPr>
    <w:hyperlink r:id="rId1" w:history="1">
      <w:r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E8D8FE" w14:textId="77777777" w:rsidR="007B321C" w:rsidRDefault="007B321C">
      <w:r>
        <w:separator/>
      </w:r>
    </w:p>
  </w:footnote>
  <w:footnote w:type="continuationSeparator" w:id="0">
    <w:p w14:paraId="5A9F11DC" w14:textId="77777777" w:rsidR="007B321C" w:rsidRDefault="007B32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CE4E55" w14:paraId="06C1343B" w14:textId="77777777">
      <w:tc>
        <w:tcPr>
          <w:tcW w:w="9520" w:type="dxa"/>
        </w:tcPr>
        <w:p w14:paraId="3074AA97" w14:textId="46FDCD73" w:rsidR="00C06B8C" w:rsidRDefault="004850B7">
          <w:pPr>
            <w:pStyle w:val="Footer"/>
          </w:pPr>
          <w:r>
            <w:t>Order</w:t>
          </w:r>
          <w:r w:rsidR="00CE4E55">
            <w:t xml:space="preserve"> Decision ROW/33</w:t>
          </w:r>
          <w:r w:rsidR="00A33E2B">
            <w:t>36417</w:t>
          </w:r>
        </w:p>
      </w:tc>
    </w:tr>
  </w:tbl>
  <w:p w14:paraId="3CFD78F3" w14:textId="77777777" w:rsidR="00CE4E55" w:rsidRDefault="00CE4E55" w:rsidP="00087477">
    <w:pPr>
      <w:pStyle w:val="Footer"/>
      <w:spacing w:after="180"/>
    </w:pPr>
    <w:r>
      <w:rPr>
        <w:noProof/>
      </w:rPr>
      <mc:AlternateContent>
        <mc:Choice Requires="wps">
          <w:drawing>
            <wp:anchor distT="0" distB="0" distL="114300" distR="114300" simplePos="0" relativeHeight="251658752" behindDoc="0" locked="0" layoutInCell="1" allowOverlap="1" wp14:anchorId="5965142A" wp14:editId="15C36953">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7F3B7" id="Line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5E350" w14:textId="77777777" w:rsidR="00CE4E55" w:rsidRDefault="00CE4E5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DD7A15"/>
    <w:multiLevelType w:val="multilevel"/>
    <w:tmpl w:val="98183D82"/>
    <w:styleLink w:val="StylesList"/>
    <w:lvl w:ilvl="0">
      <w:start w:val="1"/>
      <w:numFmt w:val="decimal"/>
      <w:lvlText w:val="%1."/>
      <w:lvlJc w:val="left"/>
      <w:pPr>
        <w:tabs>
          <w:tab w:val="num" w:pos="720"/>
        </w:tabs>
        <w:ind w:left="431"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1"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65B7639F"/>
    <w:multiLevelType w:val="multilevel"/>
    <w:tmpl w:val="A22611FC"/>
    <w:numStyleLink w:val="ConditionsList"/>
  </w:abstractNum>
  <w:abstractNum w:abstractNumId="3" w15:restartNumberingAfterBreak="0">
    <w:nsid w:val="68677CC7"/>
    <w:multiLevelType w:val="hybridMultilevel"/>
    <w:tmpl w:val="630884A0"/>
    <w:lvl w:ilvl="0" w:tplc="B9766F04">
      <w:start w:val="1"/>
      <w:numFmt w:val="decimal"/>
      <w:lvlText w:val="%1."/>
      <w:lvlJc w:val="left"/>
      <w:pPr>
        <w:ind w:left="790" w:hanging="360"/>
      </w:pPr>
      <w:rPr>
        <w:rFonts w:hint="default"/>
      </w:rPr>
    </w:lvl>
    <w:lvl w:ilvl="1" w:tplc="08090019" w:tentative="1">
      <w:start w:val="1"/>
      <w:numFmt w:val="lowerLetter"/>
      <w:lvlText w:val="%2."/>
      <w:lvlJc w:val="left"/>
      <w:pPr>
        <w:ind w:left="1510" w:hanging="360"/>
      </w:pPr>
    </w:lvl>
    <w:lvl w:ilvl="2" w:tplc="0809001B" w:tentative="1">
      <w:start w:val="1"/>
      <w:numFmt w:val="lowerRoman"/>
      <w:lvlText w:val="%3."/>
      <w:lvlJc w:val="right"/>
      <w:pPr>
        <w:ind w:left="2230" w:hanging="180"/>
      </w:pPr>
    </w:lvl>
    <w:lvl w:ilvl="3" w:tplc="0809000F" w:tentative="1">
      <w:start w:val="1"/>
      <w:numFmt w:val="decimal"/>
      <w:lvlText w:val="%4."/>
      <w:lvlJc w:val="left"/>
      <w:pPr>
        <w:ind w:left="2950" w:hanging="360"/>
      </w:pPr>
    </w:lvl>
    <w:lvl w:ilvl="4" w:tplc="08090019" w:tentative="1">
      <w:start w:val="1"/>
      <w:numFmt w:val="lowerLetter"/>
      <w:lvlText w:val="%5."/>
      <w:lvlJc w:val="left"/>
      <w:pPr>
        <w:ind w:left="3670" w:hanging="360"/>
      </w:pPr>
    </w:lvl>
    <w:lvl w:ilvl="5" w:tplc="0809001B" w:tentative="1">
      <w:start w:val="1"/>
      <w:numFmt w:val="lowerRoman"/>
      <w:lvlText w:val="%6."/>
      <w:lvlJc w:val="right"/>
      <w:pPr>
        <w:ind w:left="4390" w:hanging="180"/>
      </w:pPr>
    </w:lvl>
    <w:lvl w:ilvl="6" w:tplc="0809000F" w:tentative="1">
      <w:start w:val="1"/>
      <w:numFmt w:val="decimal"/>
      <w:lvlText w:val="%7."/>
      <w:lvlJc w:val="left"/>
      <w:pPr>
        <w:ind w:left="5110" w:hanging="360"/>
      </w:pPr>
    </w:lvl>
    <w:lvl w:ilvl="7" w:tplc="08090019" w:tentative="1">
      <w:start w:val="1"/>
      <w:numFmt w:val="lowerLetter"/>
      <w:lvlText w:val="%8."/>
      <w:lvlJc w:val="left"/>
      <w:pPr>
        <w:ind w:left="5830" w:hanging="360"/>
      </w:pPr>
    </w:lvl>
    <w:lvl w:ilvl="8" w:tplc="0809001B" w:tentative="1">
      <w:start w:val="1"/>
      <w:numFmt w:val="lowerRoman"/>
      <w:lvlText w:val="%9."/>
      <w:lvlJc w:val="right"/>
      <w:pPr>
        <w:ind w:left="6550" w:hanging="180"/>
      </w:pPr>
    </w:lvl>
  </w:abstractNum>
  <w:abstractNum w:abstractNumId="4"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num w:numId="1" w16cid:durableId="660504079">
    <w:abstractNumId w:val="4"/>
  </w:num>
  <w:num w:numId="2" w16cid:durableId="689457646">
    <w:abstractNumId w:val="1"/>
  </w:num>
  <w:num w:numId="3" w16cid:durableId="64308365">
    <w:abstractNumId w:val="0"/>
  </w:num>
  <w:num w:numId="4" w16cid:durableId="43918660">
    <w:abstractNumId w:val="0"/>
    <w:lvlOverride w:ilvl="0">
      <w:lvl w:ilvl="0">
        <w:start w:val="1"/>
        <w:numFmt w:val="decimal"/>
        <w:lvlText w:val="%1."/>
        <w:lvlJc w:val="left"/>
        <w:pPr>
          <w:tabs>
            <w:tab w:val="num" w:pos="720"/>
          </w:tabs>
          <w:ind w:left="431" w:hanging="431"/>
        </w:pPr>
        <w:rPr>
          <w:rFonts w:hint="default"/>
        </w:rPr>
      </w:lvl>
    </w:lvlOverride>
    <w:lvlOverride w:ilvl="1">
      <w:lvl w:ilvl="1">
        <w:start w:val="1"/>
        <w:numFmt w:val="decimal"/>
        <w:lvlText w:val="%1.%2"/>
        <w:lvlJc w:val="left"/>
        <w:pPr>
          <w:tabs>
            <w:tab w:val="num" w:pos="578"/>
          </w:tabs>
          <w:ind w:left="578" w:hanging="578"/>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2"/>
          </w:tabs>
          <w:ind w:left="862" w:hanging="862"/>
        </w:pPr>
        <w:rPr>
          <w:rFonts w:hint="default"/>
        </w:rPr>
      </w:lvl>
    </w:lvlOverride>
    <w:lvlOverride w:ilvl="4">
      <w:lvl w:ilvl="4">
        <w:start w:val="1"/>
        <w:numFmt w:val="decimal"/>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lvlText w:val="%1.%2.%3.%4.%5.%6.%7"/>
        <w:lvlJc w:val="left"/>
        <w:pPr>
          <w:tabs>
            <w:tab w:val="num" w:pos="1298"/>
          </w:tabs>
          <w:ind w:left="1298" w:hanging="1298"/>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2"/>
          </w:tabs>
          <w:ind w:left="1582" w:hanging="1582"/>
        </w:pPr>
        <w:rPr>
          <w:rFonts w:hint="default"/>
        </w:rPr>
      </w:lvl>
    </w:lvlOverride>
  </w:num>
  <w:num w:numId="5" w16cid:durableId="1377703532">
    <w:abstractNumId w:val="2"/>
  </w:num>
  <w:num w:numId="6" w16cid:durableId="2929506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914"/>
    <w:rsid w:val="00001307"/>
    <w:rsid w:val="000034DC"/>
    <w:rsid w:val="00004D2B"/>
    <w:rsid w:val="00005495"/>
    <w:rsid w:val="00006583"/>
    <w:rsid w:val="0002242A"/>
    <w:rsid w:val="00025D30"/>
    <w:rsid w:val="00036152"/>
    <w:rsid w:val="00043B49"/>
    <w:rsid w:val="000461E1"/>
    <w:rsid w:val="00046AC7"/>
    <w:rsid w:val="00051780"/>
    <w:rsid w:val="00053363"/>
    <w:rsid w:val="00055A75"/>
    <w:rsid w:val="00060386"/>
    <w:rsid w:val="00062C5F"/>
    <w:rsid w:val="000700CA"/>
    <w:rsid w:val="00076F07"/>
    <w:rsid w:val="00077E2F"/>
    <w:rsid w:val="00090F9E"/>
    <w:rsid w:val="00091ADE"/>
    <w:rsid w:val="000A12EB"/>
    <w:rsid w:val="000A6844"/>
    <w:rsid w:val="000A6C42"/>
    <w:rsid w:val="000A786F"/>
    <w:rsid w:val="000B770B"/>
    <w:rsid w:val="000C4886"/>
    <w:rsid w:val="000C52AD"/>
    <w:rsid w:val="000C6124"/>
    <w:rsid w:val="000D1F6D"/>
    <w:rsid w:val="000D27C1"/>
    <w:rsid w:val="000D3972"/>
    <w:rsid w:val="000D5E7B"/>
    <w:rsid w:val="000E35A8"/>
    <w:rsid w:val="000E5B4A"/>
    <w:rsid w:val="000E66DC"/>
    <w:rsid w:val="000E6C55"/>
    <w:rsid w:val="000F1612"/>
    <w:rsid w:val="000F3993"/>
    <w:rsid w:val="00104F02"/>
    <w:rsid w:val="00110225"/>
    <w:rsid w:val="001170E3"/>
    <w:rsid w:val="00123B54"/>
    <w:rsid w:val="00127791"/>
    <w:rsid w:val="00132602"/>
    <w:rsid w:val="00132F9E"/>
    <w:rsid w:val="001360B8"/>
    <w:rsid w:val="00140472"/>
    <w:rsid w:val="0014438A"/>
    <w:rsid w:val="0015229D"/>
    <w:rsid w:val="001565F4"/>
    <w:rsid w:val="00162839"/>
    <w:rsid w:val="00163A7B"/>
    <w:rsid w:val="00165495"/>
    <w:rsid w:val="00166498"/>
    <w:rsid w:val="00167705"/>
    <w:rsid w:val="00170F29"/>
    <w:rsid w:val="001768EF"/>
    <w:rsid w:val="00181A8B"/>
    <w:rsid w:val="001865BD"/>
    <w:rsid w:val="00190CE6"/>
    <w:rsid w:val="00194FBE"/>
    <w:rsid w:val="00195DD6"/>
    <w:rsid w:val="0019749C"/>
    <w:rsid w:val="00197D36"/>
    <w:rsid w:val="001A1056"/>
    <w:rsid w:val="001A106B"/>
    <w:rsid w:val="001A21FD"/>
    <w:rsid w:val="001A5095"/>
    <w:rsid w:val="001B0513"/>
    <w:rsid w:val="001B28AC"/>
    <w:rsid w:val="001B397E"/>
    <w:rsid w:val="001B516B"/>
    <w:rsid w:val="001C2830"/>
    <w:rsid w:val="001C2A98"/>
    <w:rsid w:val="001C439D"/>
    <w:rsid w:val="001D06C0"/>
    <w:rsid w:val="001D641F"/>
    <w:rsid w:val="001D6682"/>
    <w:rsid w:val="001E0E9C"/>
    <w:rsid w:val="001E4556"/>
    <w:rsid w:val="001E70BB"/>
    <w:rsid w:val="001F0595"/>
    <w:rsid w:val="00203C35"/>
    <w:rsid w:val="00207D92"/>
    <w:rsid w:val="0021324E"/>
    <w:rsid w:val="002145BA"/>
    <w:rsid w:val="0021512B"/>
    <w:rsid w:val="002270ED"/>
    <w:rsid w:val="0023045D"/>
    <w:rsid w:val="002334CE"/>
    <w:rsid w:val="00237519"/>
    <w:rsid w:val="00240036"/>
    <w:rsid w:val="0024096B"/>
    <w:rsid w:val="00242178"/>
    <w:rsid w:val="002522E7"/>
    <w:rsid w:val="00255525"/>
    <w:rsid w:val="002604E5"/>
    <w:rsid w:val="002605E6"/>
    <w:rsid w:val="002609B5"/>
    <w:rsid w:val="00260E8A"/>
    <w:rsid w:val="00262005"/>
    <w:rsid w:val="002640AF"/>
    <w:rsid w:val="002722F4"/>
    <w:rsid w:val="00281D47"/>
    <w:rsid w:val="002839CE"/>
    <w:rsid w:val="0028476C"/>
    <w:rsid w:val="00286ED2"/>
    <w:rsid w:val="00291E9D"/>
    <w:rsid w:val="00292A2C"/>
    <w:rsid w:val="00293363"/>
    <w:rsid w:val="002A1B65"/>
    <w:rsid w:val="002A44DC"/>
    <w:rsid w:val="002A6791"/>
    <w:rsid w:val="002A7F3C"/>
    <w:rsid w:val="002B13D9"/>
    <w:rsid w:val="002B337F"/>
    <w:rsid w:val="002C0B43"/>
    <w:rsid w:val="002C71DF"/>
    <w:rsid w:val="002C752D"/>
    <w:rsid w:val="002D26F4"/>
    <w:rsid w:val="002D348F"/>
    <w:rsid w:val="002D39BA"/>
    <w:rsid w:val="002D60A5"/>
    <w:rsid w:val="002E1872"/>
    <w:rsid w:val="002E41EC"/>
    <w:rsid w:val="002E539C"/>
    <w:rsid w:val="002E540C"/>
    <w:rsid w:val="002F0A18"/>
    <w:rsid w:val="002F1853"/>
    <w:rsid w:val="00302645"/>
    <w:rsid w:val="00307A26"/>
    <w:rsid w:val="00313B62"/>
    <w:rsid w:val="00313DA9"/>
    <w:rsid w:val="00315103"/>
    <w:rsid w:val="0032124A"/>
    <w:rsid w:val="0032782E"/>
    <w:rsid w:val="00337710"/>
    <w:rsid w:val="00337C81"/>
    <w:rsid w:val="00340A64"/>
    <w:rsid w:val="00342483"/>
    <w:rsid w:val="00342F1A"/>
    <w:rsid w:val="00346C23"/>
    <w:rsid w:val="00350600"/>
    <w:rsid w:val="00353140"/>
    <w:rsid w:val="00353DD1"/>
    <w:rsid w:val="00354600"/>
    <w:rsid w:val="00360F3C"/>
    <w:rsid w:val="0036100E"/>
    <w:rsid w:val="00362DC9"/>
    <w:rsid w:val="00370A97"/>
    <w:rsid w:val="00372587"/>
    <w:rsid w:val="00374314"/>
    <w:rsid w:val="00375D62"/>
    <w:rsid w:val="00380BB9"/>
    <w:rsid w:val="003823F9"/>
    <w:rsid w:val="00384C9C"/>
    <w:rsid w:val="0038500E"/>
    <w:rsid w:val="00387BFA"/>
    <w:rsid w:val="003906C3"/>
    <w:rsid w:val="00394858"/>
    <w:rsid w:val="00395F4A"/>
    <w:rsid w:val="0039662E"/>
    <w:rsid w:val="003A0B73"/>
    <w:rsid w:val="003A3940"/>
    <w:rsid w:val="003A40EC"/>
    <w:rsid w:val="003A5F6F"/>
    <w:rsid w:val="003B485B"/>
    <w:rsid w:val="003B5D0D"/>
    <w:rsid w:val="003C0914"/>
    <w:rsid w:val="003D100F"/>
    <w:rsid w:val="003D399D"/>
    <w:rsid w:val="003E15B5"/>
    <w:rsid w:val="003E601A"/>
    <w:rsid w:val="003F180A"/>
    <w:rsid w:val="003F2304"/>
    <w:rsid w:val="003F61D1"/>
    <w:rsid w:val="004031F2"/>
    <w:rsid w:val="00405343"/>
    <w:rsid w:val="00405CBA"/>
    <w:rsid w:val="004205C9"/>
    <w:rsid w:val="00420C05"/>
    <w:rsid w:val="00421D38"/>
    <w:rsid w:val="00426124"/>
    <w:rsid w:val="00430259"/>
    <w:rsid w:val="0043099F"/>
    <w:rsid w:val="00430D72"/>
    <w:rsid w:val="0043495B"/>
    <w:rsid w:val="00435F8E"/>
    <w:rsid w:val="00446338"/>
    <w:rsid w:val="0044647B"/>
    <w:rsid w:val="004514F4"/>
    <w:rsid w:val="0045404D"/>
    <w:rsid w:val="00455F21"/>
    <w:rsid w:val="004610F9"/>
    <w:rsid w:val="00466103"/>
    <w:rsid w:val="0047087E"/>
    <w:rsid w:val="004730F7"/>
    <w:rsid w:val="00476639"/>
    <w:rsid w:val="00481544"/>
    <w:rsid w:val="004850B7"/>
    <w:rsid w:val="0048786C"/>
    <w:rsid w:val="00487A24"/>
    <w:rsid w:val="00495003"/>
    <w:rsid w:val="004952E4"/>
    <w:rsid w:val="004A1506"/>
    <w:rsid w:val="004A1807"/>
    <w:rsid w:val="004A1AC4"/>
    <w:rsid w:val="004A4B94"/>
    <w:rsid w:val="004B1FAF"/>
    <w:rsid w:val="004B42EE"/>
    <w:rsid w:val="004B4762"/>
    <w:rsid w:val="004B4BC9"/>
    <w:rsid w:val="004B6ED6"/>
    <w:rsid w:val="004B7DDC"/>
    <w:rsid w:val="004C0065"/>
    <w:rsid w:val="004C2537"/>
    <w:rsid w:val="004C6686"/>
    <w:rsid w:val="004C751C"/>
    <w:rsid w:val="004C7849"/>
    <w:rsid w:val="004D2807"/>
    <w:rsid w:val="004D6721"/>
    <w:rsid w:val="004E0C2D"/>
    <w:rsid w:val="004E10E3"/>
    <w:rsid w:val="004E7CD9"/>
    <w:rsid w:val="004E7E75"/>
    <w:rsid w:val="004F47DA"/>
    <w:rsid w:val="005066F3"/>
    <w:rsid w:val="0051004A"/>
    <w:rsid w:val="0051375B"/>
    <w:rsid w:val="00515B6C"/>
    <w:rsid w:val="005216E5"/>
    <w:rsid w:val="005238C3"/>
    <w:rsid w:val="00524849"/>
    <w:rsid w:val="005259FC"/>
    <w:rsid w:val="00531744"/>
    <w:rsid w:val="00535278"/>
    <w:rsid w:val="00536B58"/>
    <w:rsid w:val="00550D39"/>
    <w:rsid w:val="00551D34"/>
    <w:rsid w:val="00552DC5"/>
    <w:rsid w:val="00554046"/>
    <w:rsid w:val="00554C0D"/>
    <w:rsid w:val="00562194"/>
    <w:rsid w:val="00562F57"/>
    <w:rsid w:val="00564DFD"/>
    <w:rsid w:val="005657D0"/>
    <w:rsid w:val="005675B6"/>
    <w:rsid w:val="005678CC"/>
    <w:rsid w:val="00570D9F"/>
    <w:rsid w:val="00575EA5"/>
    <w:rsid w:val="00583158"/>
    <w:rsid w:val="00586CA6"/>
    <w:rsid w:val="00590F10"/>
    <w:rsid w:val="00591A67"/>
    <w:rsid w:val="005940FB"/>
    <w:rsid w:val="00595603"/>
    <w:rsid w:val="005979F4"/>
    <w:rsid w:val="00597B15"/>
    <w:rsid w:val="005A2E8D"/>
    <w:rsid w:val="005A3249"/>
    <w:rsid w:val="005A42F5"/>
    <w:rsid w:val="005A5B56"/>
    <w:rsid w:val="005A5C57"/>
    <w:rsid w:val="005A7330"/>
    <w:rsid w:val="005A7EED"/>
    <w:rsid w:val="005B1118"/>
    <w:rsid w:val="005B174A"/>
    <w:rsid w:val="005B72BD"/>
    <w:rsid w:val="005C01F0"/>
    <w:rsid w:val="005C0EEF"/>
    <w:rsid w:val="005D1D24"/>
    <w:rsid w:val="005D28AB"/>
    <w:rsid w:val="005E1004"/>
    <w:rsid w:val="005E1622"/>
    <w:rsid w:val="005E427E"/>
    <w:rsid w:val="005E4B13"/>
    <w:rsid w:val="005E59F5"/>
    <w:rsid w:val="005F07F4"/>
    <w:rsid w:val="005F19F2"/>
    <w:rsid w:val="005F1B7E"/>
    <w:rsid w:val="005F6FD1"/>
    <w:rsid w:val="00600B30"/>
    <w:rsid w:val="006068AC"/>
    <w:rsid w:val="00615832"/>
    <w:rsid w:val="00620223"/>
    <w:rsid w:val="00621422"/>
    <w:rsid w:val="006249F0"/>
    <w:rsid w:val="00630842"/>
    <w:rsid w:val="00630ADA"/>
    <w:rsid w:val="00635D3F"/>
    <w:rsid w:val="00641384"/>
    <w:rsid w:val="006436DA"/>
    <w:rsid w:val="006446BF"/>
    <w:rsid w:val="00646488"/>
    <w:rsid w:val="0064744B"/>
    <w:rsid w:val="00651165"/>
    <w:rsid w:val="006546B4"/>
    <w:rsid w:val="006549D7"/>
    <w:rsid w:val="006561E7"/>
    <w:rsid w:val="006568C8"/>
    <w:rsid w:val="0066187B"/>
    <w:rsid w:val="00662C65"/>
    <w:rsid w:val="00667705"/>
    <w:rsid w:val="006702DF"/>
    <w:rsid w:val="00672F17"/>
    <w:rsid w:val="006742EE"/>
    <w:rsid w:val="006834C6"/>
    <w:rsid w:val="00684A92"/>
    <w:rsid w:val="006851DA"/>
    <w:rsid w:val="00685333"/>
    <w:rsid w:val="00686F01"/>
    <w:rsid w:val="00690D5B"/>
    <w:rsid w:val="00692F76"/>
    <w:rsid w:val="00696206"/>
    <w:rsid w:val="00696970"/>
    <w:rsid w:val="00697B49"/>
    <w:rsid w:val="00697D25"/>
    <w:rsid w:val="006A0199"/>
    <w:rsid w:val="006A09B4"/>
    <w:rsid w:val="006A3B2F"/>
    <w:rsid w:val="006B0D15"/>
    <w:rsid w:val="006B6BD2"/>
    <w:rsid w:val="006C0773"/>
    <w:rsid w:val="006C59D6"/>
    <w:rsid w:val="006C6874"/>
    <w:rsid w:val="006C6F3C"/>
    <w:rsid w:val="006D5312"/>
    <w:rsid w:val="006D6033"/>
    <w:rsid w:val="006D7B17"/>
    <w:rsid w:val="006E162D"/>
    <w:rsid w:val="006E2845"/>
    <w:rsid w:val="006E4C82"/>
    <w:rsid w:val="006E6A4B"/>
    <w:rsid w:val="006F01D3"/>
    <w:rsid w:val="006F4D83"/>
    <w:rsid w:val="006F61B8"/>
    <w:rsid w:val="00710AC8"/>
    <w:rsid w:val="00715D02"/>
    <w:rsid w:val="00721F8B"/>
    <w:rsid w:val="00723B69"/>
    <w:rsid w:val="0072697A"/>
    <w:rsid w:val="00727637"/>
    <w:rsid w:val="0073747C"/>
    <w:rsid w:val="00742E42"/>
    <w:rsid w:val="00743297"/>
    <w:rsid w:val="007441B5"/>
    <w:rsid w:val="00744E95"/>
    <w:rsid w:val="00746E09"/>
    <w:rsid w:val="007473AD"/>
    <w:rsid w:val="007473E3"/>
    <w:rsid w:val="00751266"/>
    <w:rsid w:val="00752F1B"/>
    <w:rsid w:val="00761687"/>
    <w:rsid w:val="007707C7"/>
    <w:rsid w:val="00775700"/>
    <w:rsid w:val="0077685A"/>
    <w:rsid w:val="0078314B"/>
    <w:rsid w:val="00783533"/>
    <w:rsid w:val="00785D90"/>
    <w:rsid w:val="00785EED"/>
    <w:rsid w:val="00787F0C"/>
    <w:rsid w:val="007905F3"/>
    <w:rsid w:val="007934AB"/>
    <w:rsid w:val="00793A60"/>
    <w:rsid w:val="00794353"/>
    <w:rsid w:val="00795BA7"/>
    <w:rsid w:val="007A38E6"/>
    <w:rsid w:val="007B0B03"/>
    <w:rsid w:val="007B321C"/>
    <w:rsid w:val="007C3DF7"/>
    <w:rsid w:val="007C4387"/>
    <w:rsid w:val="007C7A31"/>
    <w:rsid w:val="007D4164"/>
    <w:rsid w:val="007E0B6F"/>
    <w:rsid w:val="007E3D3D"/>
    <w:rsid w:val="007E4F56"/>
    <w:rsid w:val="007E5C9B"/>
    <w:rsid w:val="007F4FE6"/>
    <w:rsid w:val="007F6DD4"/>
    <w:rsid w:val="00800C09"/>
    <w:rsid w:val="0080276A"/>
    <w:rsid w:val="00803CC1"/>
    <w:rsid w:val="008046F6"/>
    <w:rsid w:val="008052E2"/>
    <w:rsid w:val="00805784"/>
    <w:rsid w:val="0080710C"/>
    <w:rsid w:val="00807B3E"/>
    <w:rsid w:val="00810F6A"/>
    <w:rsid w:val="00813236"/>
    <w:rsid w:val="00814AF2"/>
    <w:rsid w:val="008174D8"/>
    <w:rsid w:val="0082545D"/>
    <w:rsid w:val="008274A2"/>
    <w:rsid w:val="00832C5B"/>
    <w:rsid w:val="0084222B"/>
    <w:rsid w:val="00843C27"/>
    <w:rsid w:val="00845297"/>
    <w:rsid w:val="0085303A"/>
    <w:rsid w:val="00853169"/>
    <w:rsid w:val="008576BF"/>
    <w:rsid w:val="00861153"/>
    <w:rsid w:val="00867D78"/>
    <w:rsid w:val="00870DFC"/>
    <w:rsid w:val="008717D9"/>
    <w:rsid w:val="00874DF7"/>
    <w:rsid w:val="0087516E"/>
    <w:rsid w:val="00876871"/>
    <w:rsid w:val="00880C72"/>
    <w:rsid w:val="00882E60"/>
    <w:rsid w:val="00894C43"/>
    <w:rsid w:val="008A5EB2"/>
    <w:rsid w:val="008A7C95"/>
    <w:rsid w:val="008B0762"/>
    <w:rsid w:val="008C02E3"/>
    <w:rsid w:val="008C3349"/>
    <w:rsid w:val="008C367D"/>
    <w:rsid w:val="008C3ADE"/>
    <w:rsid w:val="008C548C"/>
    <w:rsid w:val="008C69F6"/>
    <w:rsid w:val="008D3987"/>
    <w:rsid w:val="008D5B05"/>
    <w:rsid w:val="008D62E6"/>
    <w:rsid w:val="008D6A17"/>
    <w:rsid w:val="008E11F4"/>
    <w:rsid w:val="008E1D90"/>
    <w:rsid w:val="008E30EA"/>
    <w:rsid w:val="008E784A"/>
    <w:rsid w:val="008F7DBE"/>
    <w:rsid w:val="00900AC8"/>
    <w:rsid w:val="00900D2E"/>
    <w:rsid w:val="009051C0"/>
    <w:rsid w:val="009073BD"/>
    <w:rsid w:val="009077C1"/>
    <w:rsid w:val="00910D07"/>
    <w:rsid w:val="0091249D"/>
    <w:rsid w:val="00916E6E"/>
    <w:rsid w:val="00920918"/>
    <w:rsid w:val="0092162B"/>
    <w:rsid w:val="00922A6F"/>
    <w:rsid w:val="00934C4B"/>
    <w:rsid w:val="0093590D"/>
    <w:rsid w:val="00950A12"/>
    <w:rsid w:val="00954106"/>
    <w:rsid w:val="00956BF8"/>
    <w:rsid w:val="00960DA5"/>
    <w:rsid w:val="00963ED5"/>
    <w:rsid w:val="00975A2F"/>
    <w:rsid w:val="00975EDA"/>
    <w:rsid w:val="00976256"/>
    <w:rsid w:val="00980492"/>
    <w:rsid w:val="00981AD6"/>
    <w:rsid w:val="00990163"/>
    <w:rsid w:val="00992561"/>
    <w:rsid w:val="009A1E46"/>
    <w:rsid w:val="009A3B79"/>
    <w:rsid w:val="009A74C3"/>
    <w:rsid w:val="009B0EFA"/>
    <w:rsid w:val="009B152F"/>
    <w:rsid w:val="009B5F63"/>
    <w:rsid w:val="009B6D7D"/>
    <w:rsid w:val="009B7E4C"/>
    <w:rsid w:val="009C0D4F"/>
    <w:rsid w:val="009C1069"/>
    <w:rsid w:val="009C5539"/>
    <w:rsid w:val="009C67C7"/>
    <w:rsid w:val="009D1359"/>
    <w:rsid w:val="009D1D8F"/>
    <w:rsid w:val="009D2249"/>
    <w:rsid w:val="009D4B88"/>
    <w:rsid w:val="009D518F"/>
    <w:rsid w:val="009E04DE"/>
    <w:rsid w:val="009E36CD"/>
    <w:rsid w:val="009E5805"/>
    <w:rsid w:val="009E7180"/>
    <w:rsid w:val="009F0533"/>
    <w:rsid w:val="00A067A5"/>
    <w:rsid w:val="00A10230"/>
    <w:rsid w:val="00A10787"/>
    <w:rsid w:val="00A14291"/>
    <w:rsid w:val="00A23DAA"/>
    <w:rsid w:val="00A25AD0"/>
    <w:rsid w:val="00A2643C"/>
    <w:rsid w:val="00A26A70"/>
    <w:rsid w:val="00A33E2B"/>
    <w:rsid w:val="00A34DF9"/>
    <w:rsid w:val="00A36826"/>
    <w:rsid w:val="00A4041A"/>
    <w:rsid w:val="00A42D57"/>
    <w:rsid w:val="00A44801"/>
    <w:rsid w:val="00A46FA7"/>
    <w:rsid w:val="00A472C1"/>
    <w:rsid w:val="00A60647"/>
    <w:rsid w:val="00A65C4B"/>
    <w:rsid w:val="00A7033C"/>
    <w:rsid w:val="00A73504"/>
    <w:rsid w:val="00A774D5"/>
    <w:rsid w:val="00A80F8F"/>
    <w:rsid w:val="00A823AA"/>
    <w:rsid w:val="00A83392"/>
    <w:rsid w:val="00A8490E"/>
    <w:rsid w:val="00A84E2B"/>
    <w:rsid w:val="00A9409C"/>
    <w:rsid w:val="00A9507E"/>
    <w:rsid w:val="00A96C7C"/>
    <w:rsid w:val="00A96EBA"/>
    <w:rsid w:val="00A97DCF"/>
    <w:rsid w:val="00AA5FA8"/>
    <w:rsid w:val="00AB20CB"/>
    <w:rsid w:val="00AB60D1"/>
    <w:rsid w:val="00AB7257"/>
    <w:rsid w:val="00AC7E00"/>
    <w:rsid w:val="00AE0338"/>
    <w:rsid w:val="00AE0DF2"/>
    <w:rsid w:val="00AE0F79"/>
    <w:rsid w:val="00AE1DDC"/>
    <w:rsid w:val="00AE2692"/>
    <w:rsid w:val="00AE506F"/>
    <w:rsid w:val="00AF358E"/>
    <w:rsid w:val="00AF3E3D"/>
    <w:rsid w:val="00AF6115"/>
    <w:rsid w:val="00B02E1E"/>
    <w:rsid w:val="00B07B01"/>
    <w:rsid w:val="00B1136A"/>
    <w:rsid w:val="00B146FE"/>
    <w:rsid w:val="00B16DB4"/>
    <w:rsid w:val="00B17C97"/>
    <w:rsid w:val="00B21F29"/>
    <w:rsid w:val="00B23CA4"/>
    <w:rsid w:val="00B30AEB"/>
    <w:rsid w:val="00B3555A"/>
    <w:rsid w:val="00B36AB1"/>
    <w:rsid w:val="00B4222C"/>
    <w:rsid w:val="00B42759"/>
    <w:rsid w:val="00B46320"/>
    <w:rsid w:val="00B47D65"/>
    <w:rsid w:val="00B54454"/>
    <w:rsid w:val="00B56DC6"/>
    <w:rsid w:val="00B56E76"/>
    <w:rsid w:val="00B57749"/>
    <w:rsid w:val="00B5795D"/>
    <w:rsid w:val="00B579ED"/>
    <w:rsid w:val="00B6199D"/>
    <w:rsid w:val="00B62233"/>
    <w:rsid w:val="00B64888"/>
    <w:rsid w:val="00B7143C"/>
    <w:rsid w:val="00B716B3"/>
    <w:rsid w:val="00B71BDD"/>
    <w:rsid w:val="00B71F3A"/>
    <w:rsid w:val="00B72DC2"/>
    <w:rsid w:val="00B73CDD"/>
    <w:rsid w:val="00B76B42"/>
    <w:rsid w:val="00B76C14"/>
    <w:rsid w:val="00B82771"/>
    <w:rsid w:val="00B86BBE"/>
    <w:rsid w:val="00B86EDE"/>
    <w:rsid w:val="00B873F0"/>
    <w:rsid w:val="00B91DA8"/>
    <w:rsid w:val="00B91F45"/>
    <w:rsid w:val="00B929F7"/>
    <w:rsid w:val="00B941FD"/>
    <w:rsid w:val="00B954D4"/>
    <w:rsid w:val="00BA1684"/>
    <w:rsid w:val="00BA268E"/>
    <w:rsid w:val="00BA4A3E"/>
    <w:rsid w:val="00BA6201"/>
    <w:rsid w:val="00BA69D1"/>
    <w:rsid w:val="00BB0052"/>
    <w:rsid w:val="00BB0981"/>
    <w:rsid w:val="00BB09E3"/>
    <w:rsid w:val="00BB0D96"/>
    <w:rsid w:val="00BB30BE"/>
    <w:rsid w:val="00BB50D9"/>
    <w:rsid w:val="00BB7640"/>
    <w:rsid w:val="00BC3D35"/>
    <w:rsid w:val="00BC4431"/>
    <w:rsid w:val="00BC6C0E"/>
    <w:rsid w:val="00BD02C0"/>
    <w:rsid w:val="00BD57ED"/>
    <w:rsid w:val="00BE4DC5"/>
    <w:rsid w:val="00BE60DF"/>
    <w:rsid w:val="00BF09D9"/>
    <w:rsid w:val="00BF0F11"/>
    <w:rsid w:val="00BF59C3"/>
    <w:rsid w:val="00C01AD6"/>
    <w:rsid w:val="00C028B0"/>
    <w:rsid w:val="00C06B8C"/>
    <w:rsid w:val="00C07363"/>
    <w:rsid w:val="00C147A9"/>
    <w:rsid w:val="00C20352"/>
    <w:rsid w:val="00C24844"/>
    <w:rsid w:val="00C26E5F"/>
    <w:rsid w:val="00C26ED1"/>
    <w:rsid w:val="00C365D4"/>
    <w:rsid w:val="00C425F1"/>
    <w:rsid w:val="00C45663"/>
    <w:rsid w:val="00C47980"/>
    <w:rsid w:val="00C50566"/>
    <w:rsid w:val="00C50847"/>
    <w:rsid w:val="00C55E7D"/>
    <w:rsid w:val="00C55F66"/>
    <w:rsid w:val="00C6106C"/>
    <w:rsid w:val="00C612C3"/>
    <w:rsid w:val="00C6425D"/>
    <w:rsid w:val="00C66F06"/>
    <w:rsid w:val="00C67FDB"/>
    <w:rsid w:val="00C70147"/>
    <w:rsid w:val="00C70E9C"/>
    <w:rsid w:val="00C7172F"/>
    <w:rsid w:val="00C7415D"/>
    <w:rsid w:val="00C80A9C"/>
    <w:rsid w:val="00C81676"/>
    <w:rsid w:val="00C858A6"/>
    <w:rsid w:val="00C93D4C"/>
    <w:rsid w:val="00CA0CA0"/>
    <w:rsid w:val="00CA5C19"/>
    <w:rsid w:val="00CA5F16"/>
    <w:rsid w:val="00CA79D0"/>
    <w:rsid w:val="00CB1402"/>
    <w:rsid w:val="00CB316A"/>
    <w:rsid w:val="00CB50DE"/>
    <w:rsid w:val="00CC1159"/>
    <w:rsid w:val="00CC64B1"/>
    <w:rsid w:val="00CC7747"/>
    <w:rsid w:val="00CC7D7C"/>
    <w:rsid w:val="00CD2616"/>
    <w:rsid w:val="00CD4660"/>
    <w:rsid w:val="00CD47FF"/>
    <w:rsid w:val="00CD5188"/>
    <w:rsid w:val="00CD68F4"/>
    <w:rsid w:val="00CE00E0"/>
    <w:rsid w:val="00CE1767"/>
    <w:rsid w:val="00CE4E55"/>
    <w:rsid w:val="00CE6F52"/>
    <w:rsid w:val="00CE7151"/>
    <w:rsid w:val="00CE766F"/>
    <w:rsid w:val="00CF13EE"/>
    <w:rsid w:val="00CF16D8"/>
    <w:rsid w:val="00CF335C"/>
    <w:rsid w:val="00CF473C"/>
    <w:rsid w:val="00CF7DBF"/>
    <w:rsid w:val="00D00A20"/>
    <w:rsid w:val="00D04F08"/>
    <w:rsid w:val="00D052A6"/>
    <w:rsid w:val="00D10A52"/>
    <w:rsid w:val="00D110F2"/>
    <w:rsid w:val="00D115C4"/>
    <w:rsid w:val="00D12E1A"/>
    <w:rsid w:val="00D152BC"/>
    <w:rsid w:val="00D164E5"/>
    <w:rsid w:val="00D2169A"/>
    <w:rsid w:val="00D22E9E"/>
    <w:rsid w:val="00D27A66"/>
    <w:rsid w:val="00D34484"/>
    <w:rsid w:val="00D3575D"/>
    <w:rsid w:val="00D438EB"/>
    <w:rsid w:val="00D47605"/>
    <w:rsid w:val="00D5369D"/>
    <w:rsid w:val="00D61235"/>
    <w:rsid w:val="00D62719"/>
    <w:rsid w:val="00D6385D"/>
    <w:rsid w:val="00D646E7"/>
    <w:rsid w:val="00D66012"/>
    <w:rsid w:val="00D66E26"/>
    <w:rsid w:val="00D72F9D"/>
    <w:rsid w:val="00D83EDD"/>
    <w:rsid w:val="00D87A48"/>
    <w:rsid w:val="00D90470"/>
    <w:rsid w:val="00D92DF3"/>
    <w:rsid w:val="00D92F02"/>
    <w:rsid w:val="00D9437F"/>
    <w:rsid w:val="00D96AEF"/>
    <w:rsid w:val="00D97862"/>
    <w:rsid w:val="00DA3C9C"/>
    <w:rsid w:val="00DB3A11"/>
    <w:rsid w:val="00DB5689"/>
    <w:rsid w:val="00DC6425"/>
    <w:rsid w:val="00DD1F3D"/>
    <w:rsid w:val="00DD33B3"/>
    <w:rsid w:val="00DD6398"/>
    <w:rsid w:val="00DD76BA"/>
    <w:rsid w:val="00E02051"/>
    <w:rsid w:val="00E068FC"/>
    <w:rsid w:val="00E06AFE"/>
    <w:rsid w:val="00E16B23"/>
    <w:rsid w:val="00E25182"/>
    <w:rsid w:val="00E26287"/>
    <w:rsid w:val="00E30DF7"/>
    <w:rsid w:val="00E31379"/>
    <w:rsid w:val="00E32208"/>
    <w:rsid w:val="00E33093"/>
    <w:rsid w:val="00E35C83"/>
    <w:rsid w:val="00E3673E"/>
    <w:rsid w:val="00E36F8C"/>
    <w:rsid w:val="00E37C19"/>
    <w:rsid w:val="00E40033"/>
    <w:rsid w:val="00E40B51"/>
    <w:rsid w:val="00E43B01"/>
    <w:rsid w:val="00E47309"/>
    <w:rsid w:val="00E5408B"/>
    <w:rsid w:val="00E57D16"/>
    <w:rsid w:val="00E63D4F"/>
    <w:rsid w:val="00E63D9A"/>
    <w:rsid w:val="00E65C4C"/>
    <w:rsid w:val="00E67DA4"/>
    <w:rsid w:val="00E72152"/>
    <w:rsid w:val="00E72FFA"/>
    <w:rsid w:val="00E735BF"/>
    <w:rsid w:val="00E754CD"/>
    <w:rsid w:val="00E76CE8"/>
    <w:rsid w:val="00E76DBF"/>
    <w:rsid w:val="00E815A1"/>
    <w:rsid w:val="00E8265D"/>
    <w:rsid w:val="00E82920"/>
    <w:rsid w:val="00E93EF9"/>
    <w:rsid w:val="00E95DA2"/>
    <w:rsid w:val="00E969B9"/>
    <w:rsid w:val="00E97B50"/>
    <w:rsid w:val="00EA56F8"/>
    <w:rsid w:val="00EA64B5"/>
    <w:rsid w:val="00EA7665"/>
    <w:rsid w:val="00EB2DDF"/>
    <w:rsid w:val="00EB3A12"/>
    <w:rsid w:val="00EB4DC3"/>
    <w:rsid w:val="00EB52EA"/>
    <w:rsid w:val="00EB555C"/>
    <w:rsid w:val="00EC2927"/>
    <w:rsid w:val="00EC3115"/>
    <w:rsid w:val="00EC4196"/>
    <w:rsid w:val="00EC55C2"/>
    <w:rsid w:val="00EC6593"/>
    <w:rsid w:val="00ED1EEA"/>
    <w:rsid w:val="00EE2638"/>
    <w:rsid w:val="00EE6D79"/>
    <w:rsid w:val="00EE784A"/>
    <w:rsid w:val="00EF1D3C"/>
    <w:rsid w:val="00EF2EEE"/>
    <w:rsid w:val="00EF4C2A"/>
    <w:rsid w:val="00EF573F"/>
    <w:rsid w:val="00F01219"/>
    <w:rsid w:val="00F032E0"/>
    <w:rsid w:val="00F100F7"/>
    <w:rsid w:val="00F140CA"/>
    <w:rsid w:val="00F142E8"/>
    <w:rsid w:val="00F14F2B"/>
    <w:rsid w:val="00F20612"/>
    <w:rsid w:val="00F21166"/>
    <w:rsid w:val="00F22802"/>
    <w:rsid w:val="00F237D8"/>
    <w:rsid w:val="00F27364"/>
    <w:rsid w:val="00F306BD"/>
    <w:rsid w:val="00F31062"/>
    <w:rsid w:val="00F311F5"/>
    <w:rsid w:val="00F3366B"/>
    <w:rsid w:val="00F35354"/>
    <w:rsid w:val="00F36378"/>
    <w:rsid w:val="00F375F0"/>
    <w:rsid w:val="00F40E26"/>
    <w:rsid w:val="00F44327"/>
    <w:rsid w:val="00F4490E"/>
    <w:rsid w:val="00F45796"/>
    <w:rsid w:val="00F47F67"/>
    <w:rsid w:val="00F52496"/>
    <w:rsid w:val="00F606BC"/>
    <w:rsid w:val="00F6562C"/>
    <w:rsid w:val="00F7011E"/>
    <w:rsid w:val="00F715C5"/>
    <w:rsid w:val="00F717DC"/>
    <w:rsid w:val="00F72F24"/>
    <w:rsid w:val="00F738F1"/>
    <w:rsid w:val="00F748B8"/>
    <w:rsid w:val="00F77260"/>
    <w:rsid w:val="00F82314"/>
    <w:rsid w:val="00F83A26"/>
    <w:rsid w:val="00F87C26"/>
    <w:rsid w:val="00F90875"/>
    <w:rsid w:val="00F91716"/>
    <w:rsid w:val="00F94B89"/>
    <w:rsid w:val="00F94F34"/>
    <w:rsid w:val="00F95BD5"/>
    <w:rsid w:val="00FA6F29"/>
    <w:rsid w:val="00FB09A2"/>
    <w:rsid w:val="00FB5A32"/>
    <w:rsid w:val="00FB7D81"/>
    <w:rsid w:val="00FC7F8E"/>
    <w:rsid w:val="00FD240B"/>
    <w:rsid w:val="00FE1F70"/>
    <w:rsid w:val="00FE2D44"/>
    <w:rsid w:val="00FE5795"/>
    <w:rsid w:val="00FE5BA7"/>
    <w:rsid w:val="00FF1363"/>
    <w:rsid w:val="00FF346F"/>
    <w:rsid w:val="00FF492C"/>
    <w:rsid w:val="00FF4CC2"/>
    <w:rsid w:val="00FF7C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7E40C"/>
  <w15:chartTrackingRefBased/>
  <w15:docId w15:val="{A1D8DF75-03ED-4E95-8A46-9DBD9F845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4E55"/>
    <w:pPr>
      <w:spacing w:after="0" w:line="240" w:lineRule="auto"/>
    </w:pPr>
    <w:rPr>
      <w:rFonts w:ascii="Verdana" w:eastAsia="Times New Roman" w:hAnsi="Verdana" w:cs="Times New Roman"/>
      <w:kern w:val="0"/>
      <w:szCs w:val="20"/>
      <w:lang w:eastAsia="en-GB"/>
      <w14:ligatures w14:val="none"/>
    </w:rPr>
  </w:style>
  <w:style w:type="paragraph" w:styleId="Heading1">
    <w:name w:val="heading 1"/>
    <w:basedOn w:val="Normal"/>
    <w:next w:val="Normal"/>
    <w:link w:val="Heading1Char"/>
    <w:uiPriority w:val="9"/>
    <w:qFormat/>
    <w:rsid w:val="003C09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3C09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3C091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3C091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3C091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C091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3C091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3C091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3C091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09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C09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C09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C09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C09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C09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09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09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0914"/>
    <w:rPr>
      <w:rFonts w:eastAsiaTheme="majorEastAsia" w:cstheme="majorBidi"/>
      <w:color w:val="272727" w:themeColor="text1" w:themeTint="D8"/>
    </w:rPr>
  </w:style>
  <w:style w:type="paragraph" w:styleId="Title">
    <w:name w:val="Title"/>
    <w:basedOn w:val="Normal"/>
    <w:next w:val="Normal"/>
    <w:link w:val="TitleChar"/>
    <w:uiPriority w:val="10"/>
    <w:qFormat/>
    <w:rsid w:val="003C091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09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09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09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0914"/>
    <w:pPr>
      <w:spacing w:before="160"/>
      <w:jc w:val="center"/>
    </w:pPr>
    <w:rPr>
      <w:i/>
      <w:iCs/>
      <w:color w:val="404040" w:themeColor="text1" w:themeTint="BF"/>
    </w:rPr>
  </w:style>
  <w:style w:type="character" w:customStyle="1" w:styleId="QuoteChar">
    <w:name w:val="Quote Char"/>
    <w:basedOn w:val="DefaultParagraphFont"/>
    <w:link w:val="Quote"/>
    <w:uiPriority w:val="29"/>
    <w:rsid w:val="003C0914"/>
    <w:rPr>
      <w:i/>
      <w:iCs/>
      <w:color w:val="404040" w:themeColor="text1" w:themeTint="BF"/>
    </w:rPr>
  </w:style>
  <w:style w:type="paragraph" w:styleId="ListParagraph">
    <w:name w:val="List Paragraph"/>
    <w:basedOn w:val="Normal"/>
    <w:uiPriority w:val="34"/>
    <w:qFormat/>
    <w:rsid w:val="003C0914"/>
    <w:pPr>
      <w:ind w:left="720"/>
      <w:contextualSpacing/>
    </w:pPr>
  </w:style>
  <w:style w:type="character" w:styleId="IntenseEmphasis">
    <w:name w:val="Intense Emphasis"/>
    <w:basedOn w:val="DefaultParagraphFont"/>
    <w:uiPriority w:val="21"/>
    <w:qFormat/>
    <w:rsid w:val="003C0914"/>
    <w:rPr>
      <w:i/>
      <w:iCs/>
      <w:color w:val="0F4761" w:themeColor="accent1" w:themeShade="BF"/>
    </w:rPr>
  </w:style>
  <w:style w:type="paragraph" w:styleId="IntenseQuote">
    <w:name w:val="Intense Quote"/>
    <w:basedOn w:val="Normal"/>
    <w:next w:val="Normal"/>
    <w:link w:val="IntenseQuoteChar"/>
    <w:uiPriority w:val="30"/>
    <w:qFormat/>
    <w:rsid w:val="003C09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C0914"/>
    <w:rPr>
      <w:i/>
      <w:iCs/>
      <w:color w:val="0F4761" w:themeColor="accent1" w:themeShade="BF"/>
    </w:rPr>
  </w:style>
  <w:style w:type="character" w:styleId="IntenseReference">
    <w:name w:val="Intense Reference"/>
    <w:basedOn w:val="DefaultParagraphFont"/>
    <w:uiPriority w:val="32"/>
    <w:qFormat/>
    <w:rsid w:val="003C0914"/>
    <w:rPr>
      <w:b/>
      <w:bCs/>
      <w:smallCaps/>
      <w:color w:val="0F4761" w:themeColor="accent1" w:themeShade="BF"/>
      <w:spacing w:val="5"/>
    </w:rPr>
  </w:style>
  <w:style w:type="paragraph" w:styleId="Header">
    <w:name w:val="header"/>
    <w:basedOn w:val="Normal"/>
    <w:link w:val="HeaderChar"/>
    <w:rsid w:val="00CE4E55"/>
    <w:pPr>
      <w:tabs>
        <w:tab w:val="center" w:pos="4153"/>
        <w:tab w:val="right" w:pos="8306"/>
      </w:tabs>
    </w:pPr>
  </w:style>
  <w:style w:type="character" w:customStyle="1" w:styleId="HeaderChar">
    <w:name w:val="Header Char"/>
    <w:basedOn w:val="DefaultParagraphFont"/>
    <w:link w:val="Header"/>
    <w:rsid w:val="00CE4E55"/>
    <w:rPr>
      <w:rFonts w:ascii="Verdana" w:eastAsia="Times New Roman" w:hAnsi="Verdana" w:cs="Times New Roman"/>
      <w:kern w:val="0"/>
      <w:szCs w:val="20"/>
      <w:lang w:eastAsia="en-GB"/>
      <w14:ligatures w14:val="none"/>
    </w:rPr>
  </w:style>
  <w:style w:type="paragraph" w:styleId="Footer">
    <w:name w:val="footer"/>
    <w:basedOn w:val="Normal"/>
    <w:link w:val="FooterChar"/>
    <w:rsid w:val="00CE4E55"/>
    <w:pPr>
      <w:tabs>
        <w:tab w:val="center" w:pos="4153"/>
        <w:tab w:val="right" w:pos="8306"/>
      </w:tabs>
    </w:pPr>
    <w:rPr>
      <w:sz w:val="18"/>
    </w:rPr>
  </w:style>
  <w:style w:type="character" w:customStyle="1" w:styleId="FooterChar">
    <w:name w:val="Footer Char"/>
    <w:basedOn w:val="DefaultParagraphFont"/>
    <w:link w:val="Footer"/>
    <w:rsid w:val="00CE4E55"/>
    <w:rPr>
      <w:rFonts w:ascii="Verdana" w:eastAsia="Times New Roman" w:hAnsi="Verdana" w:cs="Times New Roman"/>
      <w:kern w:val="0"/>
      <w:sz w:val="18"/>
      <w:szCs w:val="20"/>
      <w:lang w:eastAsia="en-GB"/>
      <w14:ligatures w14:val="none"/>
    </w:rPr>
  </w:style>
  <w:style w:type="character" w:styleId="PageNumber">
    <w:name w:val="page number"/>
    <w:basedOn w:val="DefaultParagraphFont"/>
    <w:rsid w:val="00CE4E55"/>
    <w:rPr>
      <w:rFonts w:ascii="Verdana" w:hAnsi="Verdana"/>
      <w:sz w:val="18"/>
    </w:rPr>
  </w:style>
  <w:style w:type="paragraph" w:customStyle="1" w:styleId="Noindent">
    <w:name w:val="No indent"/>
    <w:basedOn w:val="Normal"/>
    <w:rsid w:val="00CE4E55"/>
    <w:pPr>
      <w:tabs>
        <w:tab w:val="left" w:pos="426"/>
      </w:tabs>
    </w:pPr>
  </w:style>
  <w:style w:type="paragraph" w:customStyle="1" w:styleId="TBullet">
    <w:name w:val="T_Bullet"/>
    <w:basedOn w:val="Normal"/>
    <w:rsid w:val="00CE4E55"/>
    <w:pPr>
      <w:numPr>
        <w:numId w:val="1"/>
      </w:numPr>
      <w:tabs>
        <w:tab w:val="left" w:pos="851"/>
      </w:tabs>
    </w:pPr>
    <w:rPr>
      <w:color w:val="000000"/>
      <w:sz w:val="20"/>
    </w:rPr>
  </w:style>
  <w:style w:type="paragraph" w:customStyle="1" w:styleId="Style1">
    <w:name w:val="Style1"/>
    <w:basedOn w:val="Heading1"/>
    <w:rsid w:val="00CE4E55"/>
    <w:pPr>
      <w:keepNext w:val="0"/>
      <w:keepLines w:val="0"/>
      <w:tabs>
        <w:tab w:val="left" w:pos="432"/>
      </w:tabs>
      <w:spacing w:before="180" w:after="0"/>
      <w:ind w:left="431" w:hanging="431"/>
    </w:pPr>
    <w:rPr>
      <w:rFonts w:ascii="Verdana" w:eastAsia="Times New Roman" w:hAnsi="Verdana" w:cs="Times New Roman"/>
      <w:color w:val="000000"/>
      <w:kern w:val="28"/>
      <w:sz w:val="22"/>
      <w:szCs w:val="20"/>
    </w:rPr>
  </w:style>
  <w:style w:type="paragraph" w:customStyle="1" w:styleId="Conditions1">
    <w:name w:val="Conditions1"/>
    <w:rsid w:val="00CE4E55"/>
    <w:pPr>
      <w:numPr>
        <w:numId w:val="5"/>
      </w:numPr>
      <w:spacing w:before="120" w:after="0" w:line="240" w:lineRule="auto"/>
    </w:pPr>
    <w:rPr>
      <w:rFonts w:ascii="Verdana" w:eastAsia="Times New Roman" w:hAnsi="Verdana" w:cs="Times New Roman"/>
      <w:kern w:val="0"/>
      <w:szCs w:val="20"/>
      <w:lang w:eastAsia="en-GB"/>
      <w14:ligatures w14:val="none"/>
    </w:rPr>
  </w:style>
  <w:style w:type="paragraph" w:customStyle="1" w:styleId="Conditions2">
    <w:name w:val="Conditions2"/>
    <w:rsid w:val="00CE4E55"/>
    <w:pPr>
      <w:numPr>
        <w:ilvl w:val="2"/>
        <w:numId w:val="5"/>
      </w:numPr>
      <w:spacing w:before="60" w:after="0" w:line="240" w:lineRule="auto"/>
    </w:pPr>
    <w:rPr>
      <w:rFonts w:ascii="Verdana" w:eastAsia="Times New Roman" w:hAnsi="Verdana" w:cs="Times New Roman"/>
      <w:kern w:val="0"/>
      <w:szCs w:val="20"/>
      <w:lang w:eastAsia="en-GB"/>
      <w14:ligatures w14:val="none"/>
    </w:rPr>
  </w:style>
  <w:style w:type="paragraph" w:customStyle="1" w:styleId="Heading6blackfont">
    <w:name w:val="Heading 6 + black font"/>
    <w:basedOn w:val="Heading6"/>
    <w:next w:val="Style1"/>
    <w:rsid w:val="00CE4E55"/>
    <w:pPr>
      <w:keepLines w:val="0"/>
      <w:widowControl w:val="0"/>
      <w:spacing w:before="180"/>
    </w:pPr>
    <w:rPr>
      <w:rFonts w:eastAsia="Times New Roman" w:cs="Times New Roman"/>
      <w:b/>
      <w:i w:val="0"/>
      <w:iCs w:val="0"/>
      <w:color w:val="000000"/>
    </w:rPr>
  </w:style>
  <w:style w:type="character" w:styleId="Hyperlink">
    <w:name w:val="Hyperlink"/>
    <w:basedOn w:val="DefaultParagraphFont"/>
    <w:rsid w:val="00CE4E55"/>
    <w:rPr>
      <w:color w:val="0000FF"/>
      <w:u w:val="single"/>
    </w:rPr>
  </w:style>
  <w:style w:type="paragraph" w:customStyle="1" w:styleId="ConditionsBullet">
    <w:name w:val="ConditionsBullet"/>
    <w:basedOn w:val="Conditions2"/>
    <w:qFormat/>
    <w:rsid w:val="00CE4E55"/>
    <w:pPr>
      <w:numPr>
        <w:ilvl w:val="3"/>
      </w:numPr>
      <w:spacing w:before="0"/>
    </w:pPr>
  </w:style>
  <w:style w:type="numbering" w:customStyle="1" w:styleId="ConditionsList">
    <w:name w:val="ConditionsList"/>
    <w:uiPriority w:val="99"/>
    <w:rsid w:val="00CE4E55"/>
    <w:pPr>
      <w:numPr>
        <w:numId w:val="2"/>
      </w:numPr>
    </w:pPr>
  </w:style>
  <w:style w:type="paragraph" w:customStyle="1" w:styleId="ConditionsNoNumber">
    <w:name w:val="ConditionsNoNumber"/>
    <w:basedOn w:val="Normal"/>
    <w:qFormat/>
    <w:rsid w:val="00CE4E55"/>
    <w:pPr>
      <w:numPr>
        <w:ilvl w:val="1"/>
        <w:numId w:val="5"/>
      </w:numPr>
      <w:spacing w:before="120"/>
    </w:pPr>
  </w:style>
  <w:style w:type="paragraph" w:customStyle="1" w:styleId="ConditionsNoNumberNoSpaceBefore">
    <w:name w:val="ConditionsNoNumberNoSpaceBefore"/>
    <w:basedOn w:val="ConditionsNoNumber"/>
    <w:qFormat/>
    <w:rsid w:val="00CE4E55"/>
    <w:pPr>
      <w:numPr>
        <w:ilvl w:val="4"/>
      </w:numPr>
      <w:spacing w:before="0"/>
    </w:pPr>
  </w:style>
  <w:style w:type="numbering" w:customStyle="1" w:styleId="StylesList">
    <w:name w:val="StylesList"/>
    <w:uiPriority w:val="99"/>
    <w:rsid w:val="00CE4E55"/>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6038B67-452A-4E5C-BA0D-FEF68CA2F182}"/>
</file>

<file path=customXml/itemProps2.xml><?xml version="1.0" encoding="utf-8"?>
<ds:datastoreItem xmlns:ds="http://schemas.openxmlformats.org/officeDocument/2006/customXml" ds:itemID="{44B9E58C-2D77-4F5F-8F40-47DF133BE2D8}">
  <ds:schemaRefs>
    <ds:schemaRef ds:uri="http://schemas.microsoft.com/sharepoint/v3/contenttype/forms"/>
  </ds:schemaRefs>
</ds:datastoreItem>
</file>

<file path=customXml/itemProps3.xml><?xml version="1.0" encoding="utf-8"?>
<ds:datastoreItem xmlns:ds="http://schemas.openxmlformats.org/officeDocument/2006/customXml" ds:itemID="{B9A34612-C17B-4671-8976-7E19B44D3D2F}">
  <ds:schemaRefs>
    <ds:schemaRef ds:uri="http://schemas.microsoft.com/office/2006/metadata/properties"/>
    <ds:schemaRef ds:uri="http://schemas.microsoft.com/office/infopath/2007/PartnerControls"/>
    <ds:schemaRef ds:uri="c9a31704-8876-44e3-a39c-721bd2a9d2d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4376</Words>
  <Characters>24949</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Renaudon, Laura</dc:creator>
  <cp:keywords/>
  <dc:description/>
  <cp:lastModifiedBy>Clive Richards</cp:lastModifiedBy>
  <cp:revision>3</cp:revision>
  <cp:lastPrinted>2026-03-23T12:32:00Z</cp:lastPrinted>
  <dcterms:created xsi:type="dcterms:W3CDTF">2026-03-23T12:32:00Z</dcterms:created>
  <dcterms:modified xsi:type="dcterms:W3CDTF">2026-03-23T12:32:00Z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0x0101002AA54CDEF871A647AC44520C841F1B03</vt:lpwstr>
  </property>
</Properties>
</file>