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93D" w14:textId="52A5984B" w:rsidR="008973E7" w:rsidRPr="00863842" w:rsidRDefault="0003155F" w:rsidP="008973E7">
      <w:r>
        <w:rPr>
          <w:noProof/>
          <w:sz w:val="16"/>
          <w:szCs w:val="16"/>
        </w:rPr>
        <w:drawing>
          <wp:inline distT="0" distB="0" distL="0" distR="0" wp14:anchorId="3244F1A9" wp14:editId="075F0F18">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2FE4FCE3" w14:textId="624A50CA" w:rsidR="009F41B6" w:rsidRDefault="00B328CF" w:rsidP="00AF28C7">
      <w:pPr>
        <w:pStyle w:val="TitleText"/>
      </w:pPr>
      <w:proofErr w:type="spellStart"/>
      <w:r>
        <w:t>Weatherbury</w:t>
      </w:r>
      <w:proofErr w:type="spellEnd"/>
      <w:r>
        <w:t xml:space="preserve"> College</w:t>
      </w:r>
    </w:p>
    <w:p w14:paraId="7EC64C08" w14:textId="2D6C5E43" w:rsidR="009F41B6" w:rsidRDefault="004A03D3" w:rsidP="009F41B6">
      <w:pPr>
        <w:pStyle w:val="SubtitleText"/>
      </w:pPr>
      <w:r>
        <w:t xml:space="preserve">Model management accounts </w:t>
      </w:r>
    </w:p>
    <w:p w14:paraId="74272893" w14:textId="70DCC967" w:rsidR="006F4AA4" w:rsidRPr="006F4AA4" w:rsidRDefault="006F4AA4" w:rsidP="006F4AA4">
      <w:pPr>
        <w:pStyle w:val="SubtitleText"/>
        <w:rPr>
          <w:sz w:val="36"/>
          <w:szCs w:val="36"/>
        </w:rPr>
      </w:pPr>
      <w:r w:rsidRPr="006F4AA4">
        <w:rPr>
          <w:sz w:val="36"/>
          <w:szCs w:val="36"/>
        </w:rPr>
        <w:t>F</w:t>
      </w:r>
      <w:r w:rsidR="00890DE7">
        <w:rPr>
          <w:sz w:val="36"/>
          <w:szCs w:val="36"/>
        </w:rPr>
        <w:t>or the period to</w:t>
      </w:r>
      <w:r w:rsidRPr="006F4AA4">
        <w:rPr>
          <w:sz w:val="36"/>
          <w:szCs w:val="36"/>
        </w:rPr>
        <w:t xml:space="preserve"> 31 J</w:t>
      </w:r>
      <w:r w:rsidR="004B0CC7">
        <w:rPr>
          <w:sz w:val="36"/>
          <w:szCs w:val="36"/>
        </w:rPr>
        <w:t>anuary</w:t>
      </w:r>
      <w:r w:rsidRPr="006F4AA4">
        <w:rPr>
          <w:sz w:val="36"/>
          <w:szCs w:val="36"/>
        </w:rPr>
        <w:t xml:space="preserve"> 202X</w:t>
      </w:r>
    </w:p>
    <w:p w14:paraId="61243656" w14:textId="1D8BFCE9" w:rsidR="00336983" w:rsidRPr="00D93CC3" w:rsidRDefault="00336983" w:rsidP="00336983">
      <w:pPr>
        <w:pStyle w:val="TOCHeader"/>
      </w:pPr>
      <w:bookmarkStart w:id="0" w:name="_Toc154142184"/>
      <w:r w:rsidRPr="00D93CC3">
        <w:lastRenderedPageBreak/>
        <w:t>Contents</w:t>
      </w:r>
      <w:bookmarkEnd w:id="0"/>
      <w:r>
        <w:br/>
      </w:r>
    </w:p>
    <w:p w14:paraId="41A2F68A" w14:textId="1F0D4139" w:rsidR="00EF2842" w:rsidRDefault="009F41B6">
      <w:pPr>
        <w:pStyle w:val="TOC2"/>
        <w:tabs>
          <w:tab w:val="right" w:pos="9771"/>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25159995" w:history="1">
        <w:r w:rsidR="00EF2842" w:rsidRPr="00BA426D">
          <w:rPr>
            <w:rStyle w:val="Hyperlink"/>
            <w:noProof/>
          </w:rPr>
          <w:t>Instructions for using this management accounts model</w:t>
        </w:r>
        <w:r w:rsidR="00EF2842">
          <w:rPr>
            <w:noProof/>
            <w:webHidden/>
          </w:rPr>
          <w:tab/>
        </w:r>
        <w:r w:rsidR="00EF2842">
          <w:rPr>
            <w:noProof/>
            <w:webHidden/>
          </w:rPr>
          <w:fldChar w:fldCharType="begin"/>
        </w:r>
        <w:r w:rsidR="00EF2842">
          <w:rPr>
            <w:noProof/>
            <w:webHidden/>
          </w:rPr>
          <w:instrText xml:space="preserve"> PAGEREF _Toc225159995 \h </w:instrText>
        </w:r>
        <w:r w:rsidR="00EF2842">
          <w:rPr>
            <w:noProof/>
            <w:webHidden/>
          </w:rPr>
        </w:r>
        <w:r w:rsidR="00EF2842">
          <w:rPr>
            <w:noProof/>
            <w:webHidden/>
          </w:rPr>
          <w:fldChar w:fldCharType="separate"/>
        </w:r>
        <w:r w:rsidR="00EF2842">
          <w:rPr>
            <w:noProof/>
            <w:webHidden/>
          </w:rPr>
          <w:t>3</w:t>
        </w:r>
        <w:r w:rsidR="00EF2842">
          <w:rPr>
            <w:noProof/>
            <w:webHidden/>
          </w:rPr>
          <w:fldChar w:fldCharType="end"/>
        </w:r>
      </w:hyperlink>
    </w:p>
    <w:p w14:paraId="23D8D9FC" w14:textId="44F98E00" w:rsidR="00EF2842" w:rsidRDefault="00EF2842">
      <w:pPr>
        <w:pStyle w:val="TOC2"/>
        <w:tabs>
          <w:tab w:val="right" w:pos="9771"/>
        </w:tabs>
        <w:rPr>
          <w:rFonts w:asciiTheme="minorHAnsi" w:eastAsiaTheme="minorEastAsia" w:hAnsiTheme="minorHAnsi" w:cstheme="minorBidi"/>
          <w:noProof/>
          <w:color w:val="auto"/>
          <w:kern w:val="2"/>
          <w14:ligatures w14:val="standardContextual"/>
        </w:rPr>
      </w:pPr>
      <w:hyperlink w:anchor="_Toc225159996" w:history="1">
        <w:r w:rsidRPr="00BA426D">
          <w:rPr>
            <w:rStyle w:val="Hyperlink"/>
            <w:noProof/>
          </w:rPr>
          <w:t>Summary Income and Expenditure Account</w:t>
        </w:r>
        <w:r>
          <w:rPr>
            <w:noProof/>
            <w:webHidden/>
          </w:rPr>
          <w:tab/>
        </w:r>
        <w:r>
          <w:rPr>
            <w:noProof/>
            <w:webHidden/>
          </w:rPr>
          <w:fldChar w:fldCharType="begin"/>
        </w:r>
        <w:r>
          <w:rPr>
            <w:noProof/>
            <w:webHidden/>
          </w:rPr>
          <w:instrText xml:space="preserve"> PAGEREF _Toc225159996 \h </w:instrText>
        </w:r>
        <w:r>
          <w:rPr>
            <w:noProof/>
            <w:webHidden/>
          </w:rPr>
        </w:r>
        <w:r>
          <w:rPr>
            <w:noProof/>
            <w:webHidden/>
          </w:rPr>
          <w:fldChar w:fldCharType="separate"/>
        </w:r>
        <w:r>
          <w:rPr>
            <w:noProof/>
            <w:webHidden/>
          </w:rPr>
          <w:t>4</w:t>
        </w:r>
        <w:r>
          <w:rPr>
            <w:noProof/>
            <w:webHidden/>
          </w:rPr>
          <w:fldChar w:fldCharType="end"/>
        </w:r>
      </w:hyperlink>
    </w:p>
    <w:p w14:paraId="512F67D2" w14:textId="30724A28" w:rsidR="00EF2842" w:rsidRDefault="00EF2842">
      <w:pPr>
        <w:pStyle w:val="TOC2"/>
        <w:tabs>
          <w:tab w:val="right" w:pos="9771"/>
        </w:tabs>
        <w:rPr>
          <w:rFonts w:asciiTheme="minorHAnsi" w:eastAsiaTheme="minorEastAsia" w:hAnsiTheme="minorHAnsi" w:cstheme="minorBidi"/>
          <w:noProof/>
          <w:color w:val="auto"/>
          <w:kern w:val="2"/>
          <w14:ligatures w14:val="standardContextual"/>
        </w:rPr>
      </w:pPr>
      <w:hyperlink w:anchor="_Toc225159997" w:history="1">
        <w:r w:rsidRPr="00BA426D">
          <w:rPr>
            <w:rStyle w:val="Hyperlink"/>
            <w:noProof/>
          </w:rPr>
          <w:t>Summary KPIs</w:t>
        </w:r>
        <w:r>
          <w:rPr>
            <w:noProof/>
            <w:webHidden/>
          </w:rPr>
          <w:tab/>
        </w:r>
        <w:r>
          <w:rPr>
            <w:noProof/>
            <w:webHidden/>
          </w:rPr>
          <w:fldChar w:fldCharType="begin"/>
        </w:r>
        <w:r>
          <w:rPr>
            <w:noProof/>
            <w:webHidden/>
          </w:rPr>
          <w:instrText xml:space="preserve"> PAGEREF _Toc225159997 \h </w:instrText>
        </w:r>
        <w:r>
          <w:rPr>
            <w:noProof/>
            <w:webHidden/>
          </w:rPr>
        </w:r>
        <w:r>
          <w:rPr>
            <w:noProof/>
            <w:webHidden/>
          </w:rPr>
          <w:fldChar w:fldCharType="separate"/>
        </w:r>
        <w:r>
          <w:rPr>
            <w:noProof/>
            <w:webHidden/>
          </w:rPr>
          <w:t>4</w:t>
        </w:r>
        <w:r>
          <w:rPr>
            <w:noProof/>
            <w:webHidden/>
          </w:rPr>
          <w:fldChar w:fldCharType="end"/>
        </w:r>
      </w:hyperlink>
    </w:p>
    <w:p w14:paraId="22AEC3E0" w14:textId="5A9E7FFF" w:rsidR="00EF2842" w:rsidRDefault="00EF2842">
      <w:pPr>
        <w:pStyle w:val="TOC2"/>
        <w:tabs>
          <w:tab w:val="left" w:pos="720"/>
          <w:tab w:val="right" w:pos="9771"/>
        </w:tabs>
        <w:rPr>
          <w:rFonts w:asciiTheme="minorHAnsi" w:eastAsiaTheme="minorEastAsia" w:hAnsiTheme="minorHAnsi" w:cstheme="minorBidi"/>
          <w:noProof/>
          <w:color w:val="auto"/>
          <w:kern w:val="2"/>
          <w14:ligatures w14:val="standardContextual"/>
        </w:rPr>
      </w:pPr>
      <w:hyperlink w:anchor="_Toc225159998" w:history="1">
        <w:r w:rsidRPr="00BA426D">
          <w:rPr>
            <w:rStyle w:val="Hyperlink"/>
            <w:rFonts w:cs="Arial"/>
            <w:noProof/>
          </w:rPr>
          <w:t>1.</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Executive Summary</w:t>
        </w:r>
        <w:r>
          <w:rPr>
            <w:noProof/>
            <w:webHidden/>
          </w:rPr>
          <w:tab/>
        </w:r>
        <w:r>
          <w:rPr>
            <w:noProof/>
            <w:webHidden/>
          </w:rPr>
          <w:fldChar w:fldCharType="begin"/>
        </w:r>
        <w:r>
          <w:rPr>
            <w:noProof/>
            <w:webHidden/>
          </w:rPr>
          <w:instrText xml:space="preserve"> PAGEREF _Toc225159998 \h </w:instrText>
        </w:r>
        <w:r>
          <w:rPr>
            <w:noProof/>
            <w:webHidden/>
          </w:rPr>
        </w:r>
        <w:r>
          <w:rPr>
            <w:noProof/>
            <w:webHidden/>
          </w:rPr>
          <w:fldChar w:fldCharType="separate"/>
        </w:r>
        <w:r>
          <w:rPr>
            <w:noProof/>
            <w:webHidden/>
          </w:rPr>
          <w:t>5</w:t>
        </w:r>
        <w:r>
          <w:rPr>
            <w:noProof/>
            <w:webHidden/>
          </w:rPr>
          <w:fldChar w:fldCharType="end"/>
        </w:r>
      </w:hyperlink>
    </w:p>
    <w:p w14:paraId="259D2106" w14:textId="7EA20592" w:rsidR="00EF2842" w:rsidRDefault="00EF2842">
      <w:pPr>
        <w:pStyle w:val="TOC2"/>
        <w:tabs>
          <w:tab w:val="left" w:pos="720"/>
          <w:tab w:val="right" w:pos="9771"/>
        </w:tabs>
        <w:rPr>
          <w:rFonts w:asciiTheme="minorHAnsi" w:eastAsiaTheme="minorEastAsia" w:hAnsiTheme="minorHAnsi" w:cstheme="minorBidi"/>
          <w:noProof/>
          <w:color w:val="auto"/>
          <w:kern w:val="2"/>
          <w14:ligatures w14:val="standardContextual"/>
        </w:rPr>
      </w:pPr>
      <w:hyperlink w:anchor="_Toc225159999" w:history="1">
        <w:r w:rsidRPr="00BA426D">
          <w:rPr>
            <w:rStyle w:val="Hyperlink"/>
            <w:rFonts w:cs="Arial"/>
            <w:noProof/>
          </w:rPr>
          <w:t>2.</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Financial Health</w:t>
        </w:r>
        <w:r>
          <w:rPr>
            <w:noProof/>
            <w:webHidden/>
          </w:rPr>
          <w:tab/>
        </w:r>
        <w:r>
          <w:rPr>
            <w:noProof/>
            <w:webHidden/>
          </w:rPr>
          <w:fldChar w:fldCharType="begin"/>
        </w:r>
        <w:r>
          <w:rPr>
            <w:noProof/>
            <w:webHidden/>
          </w:rPr>
          <w:instrText xml:space="preserve"> PAGEREF _Toc225159999 \h </w:instrText>
        </w:r>
        <w:r>
          <w:rPr>
            <w:noProof/>
            <w:webHidden/>
          </w:rPr>
        </w:r>
        <w:r>
          <w:rPr>
            <w:noProof/>
            <w:webHidden/>
          </w:rPr>
          <w:fldChar w:fldCharType="separate"/>
        </w:r>
        <w:r>
          <w:rPr>
            <w:noProof/>
            <w:webHidden/>
          </w:rPr>
          <w:t>7</w:t>
        </w:r>
        <w:r>
          <w:rPr>
            <w:noProof/>
            <w:webHidden/>
          </w:rPr>
          <w:fldChar w:fldCharType="end"/>
        </w:r>
      </w:hyperlink>
    </w:p>
    <w:p w14:paraId="1808A2F2" w14:textId="6B4AF80B" w:rsidR="00EF2842" w:rsidRDefault="00EF2842">
      <w:pPr>
        <w:pStyle w:val="TOC2"/>
        <w:tabs>
          <w:tab w:val="left" w:pos="720"/>
          <w:tab w:val="right" w:pos="9771"/>
        </w:tabs>
        <w:rPr>
          <w:rFonts w:asciiTheme="minorHAnsi" w:eastAsiaTheme="minorEastAsia" w:hAnsiTheme="minorHAnsi" w:cstheme="minorBidi"/>
          <w:noProof/>
          <w:color w:val="auto"/>
          <w:kern w:val="2"/>
          <w14:ligatures w14:val="standardContextual"/>
        </w:rPr>
      </w:pPr>
      <w:hyperlink w:anchor="_Toc225160000" w:history="1">
        <w:r w:rsidRPr="00BA426D">
          <w:rPr>
            <w:rStyle w:val="Hyperlink"/>
            <w:rFonts w:cs="Arial"/>
            <w:noProof/>
          </w:rPr>
          <w:t>3.</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Income &amp; Expenditure</w:t>
        </w:r>
        <w:r>
          <w:rPr>
            <w:noProof/>
            <w:webHidden/>
          </w:rPr>
          <w:tab/>
        </w:r>
        <w:r>
          <w:rPr>
            <w:noProof/>
            <w:webHidden/>
          </w:rPr>
          <w:fldChar w:fldCharType="begin"/>
        </w:r>
        <w:r>
          <w:rPr>
            <w:noProof/>
            <w:webHidden/>
          </w:rPr>
          <w:instrText xml:space="preserve"> PAGEREF _Toc225160000 \h </w:instrText>
        </w:r>
        <w:r>
          <w:rPr>
            <w:noProof/>
            <w:webHidden/>
          </w:rPr>
        </w:r>
        <w:r>
          <w:rPr>
            <w:noProof/>
            <w:webHidden/>
          </w:rPr>
          <w:fldChar w:fldCharType="separate"/>
        </w:r>
        <w:r>
          <w:rPr>
            <w:noProof/>
            <w:webHidden/>
          </w:rPr>
          <w:t>8</w:t>
        </w:r>
        <w:r>
          <w:rPr>
            <w:noProof/>
            <w:webHidden/>
          </w:rPr>
          <w:fldChar w:fldCharType="end"/>
        </w:r>
      </w:hyperlink>
    </w:p>
    <w:p w14:paraId="1E5FE77F" w14:textId="37480702" w:rsidR="00EF2842" w:rsidRDefault="00EF2842">
      <w:pPr>
        <w:pStyle w:val="TOC3"/>
        <w:tabs>
          <w:tab w:val="right" w:pos="9771"/>
        </w:tabs>
        <w:rPr>
          <w:rFonts w:asciiTheme="minorHAnsi" w:eastAsiaTheme="minorEastAsia" w:hAnsiTheme="minorHAnsi" w:cstheme="minorBidi"/>
          <w:noProof/>
          <w:color w:val="auto"/>
          <w:kern w:val="2"/>
          <w14:ligatures w14:val="standardContextual"/>
        </w:rPr>
      </w:pPr>
      <w:hyperlink w:anchor="_Toc225160001" w:history="1">
        <w:r w:rsidRPr="00BA426D">
          <w:rPr>
            <w:rStyle w:val="Hyperlink"/>
            <w:rFonts w:cs="Arial"/>
            <w:noProof/>
          </w:rPr>
          <w:t>Forecast position</w:t>
        </w:r>
        <w:r>
          <w:rPr>
            <w:noProof/>
            <w:webHidden/>
          </w:rPr>
          <w:tab/>
        </w:r>
        <w:r>
          <w:rPr>
            <w:noProof/>
            <w:webHidden/>
          </w:rPr>
          <w:fldChar w:fldCharType="begin"/>
        </w:r>
        <w:r>
          <w:rPr>
            <w:noProof/>
            <w:webHidden/>
          </w:rPr>
          <w:instrText xml:space="preserve"> PAGEREF _Toc225160001 \h </w:instrText>
        </w:r>
        <w:r>
          <w:rPr>
            <w:noProof/>
            <w:webHidden/>
          </w:rPr>
        </w:r>
        <w:r>
          <w:rPr>
            <w:noProof/>
            <w:webHidden/>
          </w:rPr>
          <w:fldChar w:fldCharType="separate"/>
        </w:r>
        <w:r>
          <w:rPr>
            <w:noProof/>
            <w:webHidden/>
          </w:rPr>
          <w:t>9</w:t>
        </w:r>
        <w:r>
          <w:rPr>
            <w:noProof/>
            <w:webHidden/>
          </w:rPr>
          <w:fldChar w:fldCharType="end"/>
        </w:r>
      </w:hyperlink>
    </w:p>
    <w:p w14:paraId="6040B4D9" w14:textId="2DA8177B" w:rsidR="00EF2842" w:rsidRDefault="00EF2842">
      <w:pPr>
        <w:pStyle w:val="TOC3"/>
        <w:tabs>
          <w:tab w:val="right" w:pos="9771"/>
        </w:tabs>
        <w:rPr>
          <w:rFonts w:asciiTheme="minorHAnsi" w:eastAsiaTheme="minorEastAsia" w:hAnsiTheme="minorHAnsi" w:cstheme="minorBidi"/>
          <w:noProof/>
          <w:color w:val="auto"/>
          <w:kern w:val="2"/>
          <w14:ligatures w14:val="standardContextual"/>
        </w:rPr>
      </w:pPr>
      <w:hyperlink w:anchor="_Toc225160002" w:history="1">
        <w:r w:rsidRPr="00BA426D">
          <w:rPr>
            <w:rStyle w:val="Hyperlink"/>
            <w:rFonts w:cs="Arial"/>
            <w:noProof/>
          </w:rPr>
          <w:t>Income</w:t>
        </w:r>
        <w:r>
          <w:rPr>
            <w:noProof/>
            <w:webHidden/>
          </w:rPr>
          <w:tab/>
        </w:r>
        <w:r>
          <w:rPr>
            <w:noProof/>
            <w:webHidden/>
          </w:rPr>
          <w:fldChar w:fldCharType="begin"/>
        </w:r>
        <w:r>
          <w:rPr>
            <w:noProof/>
            <w:webHidden/>
          </w:rPr>
          <w:instrText xml:space="preserve"> PAGEREF _Toc225160002 \h </w:instrText>
        </w:r>
        <w:r>
          <w:rPr>
            <w:noProof/>
            <w:webHidden/>
          </w:rPr>
        </w:r>
        <w:r>
          <w:rPr>
            <w:noProof/>
            <w:webHidden/>
          </w:rPr>
          <w:fldChar w:fldCharType="separate"/>
        </w:r>
        <w:r>
          <w:rPr>
            <w:noProof/>
            <w:webHidden/>
          </w:rPr>
          <w:t>9</w:t>
        </w:r>
        <w:r>
          <w:rPr>
            <w:noProof/>
            <w:webHidden/>
          </w:rPr>
          <w:fldChar w:fldCharType="end"/>
        </w:r>
      </w:hyperlink>
    </w:p>
    <w:p w14:paraId="2D66CE23" w14:textId="353CFC30" w:rsidR="00EF2842" w:rsidRDefault="00EF2842">
      <w:pPr>
        <w:pStyle w:val="TOC3"/>
        <w:tabs>
          <w:tab w:val="right" w:pos="9771"/>
        </w:tabs>
        <w:rPr>
          <w:rFonts w:asciiTheme="minorHAnsi" w:eastAsiaTheme="minorEastAsia" w:hAnsiTheme="minorHAnsi" w:cstheme="minorBidi"/>
          <w:noProof/>
          <w:color w:val="auto"/>
          <w:kern w:val="2"/>
          <w14:ligatures w14:val="standardContextual"/>
        </w:rPr>
      </w:pPr>
      <w:hyperlink w:anchor="_Toc225160003" w:history="1">
        <w:r w:rsidRPr="00BA426D">
          <w:rPr>
            <w:rStyle w:val="Hyperlink"/>
            <w:rFonts w:cs="Arial"/>
            <w:noProof/>
          </w:rPr>
          <w:t>Pay Costs</w:t>
        </w:r>
        <w:r>
          <w:rPr>
            <w:noProof/>
            <w:webHidden/>
          </w:rPr>
          <w:tab/>
        </w:r>
        <w:r>
          <w:rPr>
            <w:noProof/>
            <w:webHidden/>
          </w:rPr>
          <w:fldChar w:fldCharType="begin"/>
        </w:r>
        <w:r>
          <w:rPr>
            <w:noProof/>
            <w:webHidden/>
          </w:rPr>
          <w:instrText xml:space="preserve"> PAGEREF _Toc225160003 \h </w:instrText>
        </w:r>
        <w:r>
          <w:rPr>
            <w:noProof/>
            <w:webHidden/>
          </w:rPr>
        </w:r>
        <w:r>
          <w:rPr>
            <w:noProof/>
            <w:webHidden/>
          </w:rPr>
          <w:fldChar w:fldCharType="separate"/>
        </w:r>
        <w:r>
          <w:rPr>
            <w:noProof/>
            <w:webHidden/>
          </w:rPr>
          <w:t>10</w:t>
        </w:r>
        <w:r>
          <w:rPr>
            <w:noProof/>
            <w:webHidden/>
          </w:rPr>
          <w:fldChar w:fldCharType="end"/>
        </w:r>
      </w:hyperlink>
    </w:p>
    <w:p w14:paraId="5BFEDE5E" w14:textId="420EEF0B" w:rsidR="00EF2842" w:rsidRDefault="00EF2842">
      <w:pPr>
        <w:pStyle w:val="TOC3"/>
        <w:tabs>
          <w:tab w:val="right" w:pos="9771"/>
        </w:tabs>
        <w:rPr>
          <w:rFonts w:asciiTheme="minorHAnsi" w:eastAsiaTheme="minorEastAsia" w:hAnsiTheme="minorHAnsi" w:cstheme="minorBidi"/>
          <w:noProof/>
          <w:color w:val="auto"/>
          <w:kern w:val="2"/>
          <w14:ligatures w14:val="standardContextual"/>
        </w:rPr>
      </w:pPr>
      <w:hyperlink w:anchor="_Toc225160004" w:history="1">
        <w:r w:rsidRPr="00BA426D">
          <w:rPr>
            <w:rStyle w:val="Hyperlink"/>
            <w:rFonts w:cs="Arial"/>
            <w:noProof/>
          </w:rPr>
          <w:t>Non-pay costs</w:t>
        </w:r>
        <w:r>
          <w:rPr>
            <w:noProof/>
            <w:webHidden/>
          </w:rPr>
          <w:tab/>
        </w:r>
        <w:r>
          <w:rPr>
            <w:noProof/>
            <w:webHidden/>
          </w:rPr>
          <w:fldChar w:fldCharType="begin"/>
        </w:r>
        <w:r>
          <w:rPr>
            <w:noProof/>
            <w:webHidden/>
          </w:rPr>
          <w:instrText xml:space="preserve"> PAGEREF _Toc225160004 \h </w:instrText>
        </w:r>
        <w:r>
          <w:rPr>
            <w:noProof/>
            <w:webHidden/>
          </w:rPr>
        </w:r>
        <w:r>
          <w:rPr>
            <w:noProof/>
            <w:webHidden/>
          </w:rPr>
          <w:fldChar w:fldCharType="separate"/>
        </w:r>
        <w:r>
          <w:rPr>
            <w:noProof/>
            <w:webHidden/>
          </w:rPr>
          <w:t>10</w:t>
        </w:r>
        <w:r>
          <w:rPr>
            <w:noProof/>
            <w:webHidden/>
          </w:rPr>
          <w:fldChar w:fldCharType="end"/>
        </w:r>
      </w:hyperlink>
    </w:p>
    <w:p w14:paraId="5BA5AB31" w14:textId="4A5DFA16" w:rsidR="00EF2842" w:rsidRDefault="00EF2842">
      <w:pPr>
        <w:pStyle w:val="TOC3"/>
        <w:tabs>
          <w:tab w:val="right" w:pos="9771"/>
        </w:tabs>
        <w:rPr>
          <w:rFonts w:asciiTheme="minorHAnsi" w:eastAsiaTheme="minorEastAsia" w:hAnsiTheme="minorHAnsi" w:cstheme="minorBidi"/>
          <w:noProof/>
          <w:color w:val="auto"/>
          <w:kern w:val="2"/>
          <w14:ligatures w14:val="standardContextual"/>
        </w:rPr>
      </w:pPr>
      <w:hyperlink w:anchor="_Toc225160005" w:history="1">
        <w:r w:rsidRPr="00BA426D">
          <w:rPr>
            <w:rStyle w:val="Hyperlink"/>
            <w:rFonts w:cs="Arial"/>
            <w:noProof/>
          </w:rPr>
          <w:t>EBITDA</w:t>
        </w:r>
        <w:r>
          <w:rPr>
            <w:noProof/>
            <w:webHidden/>
          </w:rPr>
          <w:tab/>
        </w:r>
        <w:r>
          <w:rPr>
            <w:noProof/>
            <w:webHidden/>
          </w:rPr>
          <w:fldChar w:fldCharType="begin"/>
        </w:r>
        <w:r>
          <w:rPr>
            <w:noProof/>
            <w:webHidden/>
          </w:rPr>
          <w:instrText xml:space="preserve"> PAGEREF _Toc225160005 \h </w:instrText>
        </w:r>
        <w:r>
          <w:rPr>
            <w:noProof/>
            <w:webHidden/>
          </w:rPr>
        </w:r>
        <w:r>
          <w:rPr>
            <w:noProof/>
            <w:webHidden/>
          </w:rPr>
          <w:fldChar w:fldCharType="separate"/>
        </w:r>
        <w:r>
          <w:rPr>
            <w:noProof/>
            <w:webHidden/>
          </w:rPr>
          <w:t>11</w:t>
        </w:r>
        <w:r>
          <w:rPr>
            <w:noProof/>
            <w:webHidden/>
          </w:rPr>
          <w:fldChar w:fldCharType="end"/>
        </w:r>
      </w:hyperlink>
    </w:p>
    <w:p w14:paraId="7DA557FB" w14:textId="23DA55E9" w:rsidR="00EF2842" w:rsidRDefault="00EF2842">
      <w:pPr>
        <w:pStyle w:val="TOC3"/>
        <w:tabs>
          <w:tab w:val="right" w:pos="9771"/>
        </w:tabs>
        <w:rPr>
          <w:rFonts w:asciiTheme="minorHAnsi" w:eastAsiaTheme="minorEastAsia" w:hAnsiTheme="minorHAnsi" w:cstheme="minorBidi"/>
          <w:noProof/>
          <w:color w:val="auto"/>
          <w:kern w:val="2"/>
          <w14:ligatures w14:val="standardContextual"/>
        </w:rPr>
      </w:pPr>
      <w:hyperlink w:anchor="_Toc225160006" w:history="1">
        <w:r w:rsidRPr="00BA426D">
          <w:rPr>
            <w:rStyle w:val="Hyperlink"/>
            <w:rFonts w:cs="Arial"/>
            <w:noProof/>
          </w:rPr>
          <w:t>Learner Numbers</w:t>
        </w:r>
        <w:r>
          <w:rPr>
            <w:noProof/>
            <w:webHidden/>
          </w:rPr>
          <w:tab/>
        </w:r>
        <w:r>
          <w:rPr>
            <w:noProof/>
            <w:webHidden/>
          </w:rPr>
          <w:fldChar w:fldCharType="begin"/>
        </w:r>
        <w:r>
          <w:rPr>
            <w:noProof/>
            <w:webHidden/>
          </w:rPr>
          <w:instrText xml:space="preserve"> PAGEREF _Toc225160006 \h </w:instrText>
        </w:r>
        <w:r>
          <w:rPr>
            <w:noProof/>
            <w:webHidden/>
          </w:rPr>
        </w:r>
        <w:r>
          <w:rPr>
            <w:noProof/>
            <w:webHidden/>
          </w:rPr>
          <w:fldChar w:fldCharType="separate"/>
        </w:r>
        <w:r>
          <w:rPr>
            <w:noProof/>
            <w:webHidden/>
          </w:rPr>
          <w:t>11</w:t>
        </w:r>
        <w:r>
          <w:rPr>
            <w:noProof/>
            <w:webHidden/>
          </w:rPr>
          <w:fldChar w:fldCharType="end"/>
        </w:r>
      </w:hyperlink>
    </w:p>
    <w:p w14:paraId="4B2D2893" w14:textId="529D304A" w:rsidR="00EF2842" w:rsidRDefault="00EF2842">
      <w:pPr>
        <w:pStyle w:val="TOC2"/>
        <w:tabs>
          <w:tab w:val="left" w:pos="720"/>
          <w:tab w:val="right" w:pos="9771"/>
        </w:tabs>
        <w:rPr>
          <w:rFonts w:asciiTheme="minorHAnsi" w:eastAsiaTheme="minorEastAsia" w:hAnsiTheme="minorHAnsi" w:cstheme="minorBidi"/>
          <w:noProof/>
          <w:color w:val="auto"/>
          <w:kern w:val="2"/>
          <w14:ligatures w14:val="standardContextual"/>
        </w:rPr>
      </w:pPr>
      <w:hyperlink w:anchor="_Toc225160007" w:history="1">
        <w:r w:rsidRPr="00BA426D">
          <w:rPr>
            <w:rStyle w:val="Hyperlink"/>
            <w:rFonts w:cs="Arial"/>
            <w:noProof/>
          </w:rPr>
          <w:t>4.</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Balance Sheet</w:t>
        </w:r>
        <w:r>
          <w:rPr>
            <w:noProof/>
            <w:webHidden/>
          </w:rPr>
          <w:tab/>
        </w:r>
        <w:r>
          <w:rPr>
            <w:noProof/>
            <w:webHidden/>
          </w:rPr>
          <w:fldChar w:fldCharType="begin"/>
        </w:r>
        <w:r>
          <w:rPr>
            <w:noProof/>
            <w:webHidden/>
          </w:rPr>
          <w:instrText xml:space="preserve"> PAGEREF _Toc225160007 \h </w:instrText>
        </w:r>
        <w:r>
          <w:rPr>
            <w:noProof/>
            <w:webHidden/>
          </w:rPr>
        </w:r>
        <w:r>
          <w:rPr>
            <w:noProof/>
            <w:webHidden/>
          </w:rPr>
          <w:fldChar w:fldCharType="separate"/>
        </w:r>
        <w:r>
          <w:rPr>
            <w:noProof/>
            <w:webHidden/>
          </w:rPr>
          <w:t>12</w:t>
        </w:r>
        <w:r>
          <w:rPr>
            <w:noProof/>
            <w:webHidden/>
          </w:rPr>
          <w:fldChar w:fldCharType="end"/>
        </w:r>
      </w:hyperlink>
    </w:p>
    <w:p w14:paraId="1E7A7AED" w14:textId="3C9FD07F" w:rsidR="00EF2842" w:rsidRDefault="00EF2842">
      <w:pPr>
        <w:pStyle w:val="TOC2"/>
        <w:tabs>
          <w:tab w:val="left" w:pos="720"/>
          <w:tab w:val="right" w:pos="9771"/>
        </w:tabs>
        <w:rPr>
          <w:rFonts w:asciiTheme="minorHAnsi" w:eastAsiaTheme="minorEastAsia" w:hAnsiTheme="minorHAnsi" w:cstheme="minorBidi"/>
          <w:noProof/>
          <w:color w:val="auto"/>
          <w:kern w:val="2"/>
          <w14:ligatures w14:val="standardContextual"/>
        </w:rPr>
      </w:pPr>
      <w:hyperlink w:anchor="_Toc225160008" w:history="1">
        <w:r w:rsidRPr="00BA426D">
          <w:rPr>
            <w:rStyle w:val="Hyperlink"/>
            <w:rFonts w:cs="Arial"/>
            <w:noProof/>
          </w:rPr>
          <w:t>5.</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Cash</w:t>
        </w:r>
        <w:r>
          <w:rPr>
            <w:noProof/>
            <w:webHidden/>
          </w:rPr>
          <w:tab/>
        </w:r>
        <w:r>
          <w:rPr>
            <w:noProof/>
            <w:webHidden/>
          </w:rPr>
          <w:fldChar w:fldCharType="begin"/>
        </w:r>
        <w:r>
          <w:rPr>
            <w:noProof/>
            <w:webHidden/>
          </w:rPr>
          <w:instrText xml:space="preserve"> PAGEREF _Toc225160008 \h </w:instrText>
        </w:r>
        <w:r>
          <w:rPr>
            <w:noProof/>
            <w:webHidden/>
          </w:rPr>
        </w:r>
        <w:r>
          <w:rPr>
            <w:noProof/>
            <w:webHidden/>
          </w:rPr>
          <w:fldChar w:fldCharType="separate"/>
        </w:r>
        <w:r>
          <w:rPr>
            <w:noProof/>
            <w:webHidden/>
          </w:rPr>
          <w:t>14</w:t>
        </w:r>
        <w:r>
          <w:rPr>
            <w:noProof/>
            <w:webHidden/>
          </w:rPr>
          <w:fldChar w:fldCharType="end"/>
        </w:r>
      </w:hyperlink>
    </w:p>
    <w:p w14:paraId="5BCAA2AC" w14:textId="77AA5051" w:rsidR="00EF2842" w:rsidRDefault="00EF2842">
      <w:pPr>
        <w:pStyle w:val="TOC2"/>
        <w:tabs>
          <w:tab w:val="left" w:pos="720"/>
          <w:tab w:val="right" w:pos="9771"/>
        </w:tabs>
        <w:rPr>
          <w:rFonts w:asciiTheme="minorHAnsi" w:eastAsiaTheme="minorEastAsia" w:hAnsiTheme="minorHAnsi" w:cstheme="minorBidi"/>
          <w:noProof/>
          <w:color w:val="auto"/>
          <w:kern w:val="2"/>
          <w14:ligatures w14:val="standardContextual"/>
        </w:rPr>
      </w:pPr>
      <w:hyperlink w:anchor="_Toc225160009" w:history="1">
        <w:r w:rsidRPr="00BA426D">
          <w:rPr>
            <w:rStyle w:val="Hyperlink"/>
            <w:rFonts w:cs="Arial"/>
            <w:noProof/>
          </w:rPr>
          <w:t>6.</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Loans</w:t>
        </w:r>
        <w:r>
          <w:rPr>
            <w:noProof/>
            <w:webHidden/>
          </w:rPr>
          <w:tab/>
        </w:r>
        <w:r>
          <w:rPr>
            <w:noProof/>
            <w:webHidden/>
          </w:rPr>
          <w:fldChar w:fldCharType="begin"/>
        </w:r>
        <w:r>
          <w:rPr>
            <w:noProof/>
            <w:webHidden/>
          </w:rPr>
          <w:instrText xml:space="preserve"> PAGEREF _Toc225160009 \h </w:instrText>
        </w:r>
        <w:r>
          <w:rPr>
            <w:noProof/>
            <w:webHidden/>
          </w:rPr>
        </w:r>
        <w:r>
          <w:rPr>
            <w:noProof/>
            <w:webHidden/>
          </w:rPr>
          <w:fldChar w:fldCharType="separate"/>
        </w:r>
        <w:r>
          <w:rPr>
            <w:noProof/>
            <w:webHidden/>
          </w:rPr>
          <w:t>16</w:t>
        </w:r>
        <w:r>
          <w:rPr>
            <w:noProof/>
            <w:webHidden/>
          </w:rPr>
          <w:fldChar w:fldCharType="end"/>
        </w:r>
      </w:hyperlink>
    </w:p>
    <w:p w14:paraId="07CF92C1" w14:textId="0E7B4DAC" w:rsidR="00EF2842" w:rsidRDefault="00EF2842">
      <w:pPr>
        <w:pStyle w:val="TOC2"/>
        <w:tabs>
          <w:tab w:val="left" w:pos="720"/>
          <w:tab w:val="right" w:pos="9771"/>
        </w:tabs>
        <w:rPr>
          <w:rFonts w:asciiTheme="minorHAnsi" w:eastAsiaTheme="minorEastAsia" w:hAnsiTheme="minorHAnsi" w:cstheme="minorBidi"/>
          <w:noProof/>
          <w:color w:val="auto"/>
          <w:kern w:val="2"/>
          <w14:ligatures w14:val="standardContextual"/>
        </w:rPr>
      </w:pPr>
      <w:hyperlink w:anchor="_Toc225160010" w:history="1">
        <w:r w:rsidRPr="00BA426D">
          <w:rPr>
            <w:rStyle w:val="Hyperlink"/>
            <w:rFonts w:cs="Arial"/>
            <w:noProof/>
          </w:rPr>
          <w:t>7.</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KPIs</w:t>
        </w:r>
        <w:r>
          <w:rPr>
            <w:noProof/>
            <w:webHidden/>
          </w:rPr>
          <w:tab/>
        </w:r>
        <w:r>
          <w:rPr>
            <w:noProof/>
            <w:webHidden/>
          </w:rPr>
          <w:fldChar w:fldCharType="begin"/>
        </w:r>
        <w:r>
          <w:rPr>
            <w:noProof/>
            <w:webHidden/>
          </w:rPr>
          <w:instrText xml:space="preserve"> PAGEREF _Toc225160010 \h </w:instrText>
        </w:r>
        <w:r>
          <w:rPr>
            <w:noProof/>
            <w:webHidden/>
          </w:rPr>
        </w:r>
        <w:r>
          <w:rPr>
            <w:noProof/>
            <w:webHidden/>
          </w:rPr>
          <w:fldChar w:fldCharType="separate"/>
        </w:r>
        <w:r>
          <w:rPr>
            <w:noProof/>
            <w:webHidden/>
          </w:rPr>
          <w:t>17</w:t>
        </w:r>
        <w:r>
          <w:rPr>
            <w:noProof/>
            <w:webHidden/>
          </w:rPr>
          <w:fldChar w:fldCharType="end"/>
        </w:r>
      </w:hyperlink>
    </w:p>
    <w:p w14:paraId="413DA9AA" w14:textId="089BEF9A" w:rsidR="00EF2842" w:rsidRDefault="00EF2842">
      <w:pPr>
        <w:pStyle w:val="TOC2"/>
        <w:tabs>
          <w:tab w:val="left" w:pos="720"/>
          <w:tab w:val="right" w:pos="9771"/>
        </w:tabs>
        <w:rPr>
          <w:rFonts w:asciiTheme="minorHAnsi" w:eastAsiaTheme="minorEastAsia" w:hAnsiTheme="minorHAnsi" w:cstheme="minorBidi"/>
          <w:noProof/>
          <w:color w:val="auto"/>
          <w:kern w:val="2"/>
          <w14:ligatures w14:val="standardContextual"/>
        </w:rPr>
      </w:pPr>
      <w:hyperlink w:anchor="_Toc225160011" w:history="1">
        <w:r w:rsidRPr="00BA426D">
          <w:rPr>
            <w:rStyle w:val="Hyperlink"/>
            <w:rFonts w:cs="Arial"/>
            <w:noProof/>
          </w:rPr>
          <w:t>8.</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Capital</w:t>
        </w:r>
        <w:r>
          <w:rPr>
            <w:noProof/>
            <w:webHidden/>
          </w:rPr>
          <w:tab/>
        </w:r>
        <w:r>
          <w:rPr>
            <w:noProof/>
            <w:webHidden/>
          </w:rPr>
          <w:fldChar w:fldCharType="begin"/>
        </w:r>
        <w:r>
          <w:rPr>
            <w:noProof/>
            <w:webHidden/>
          </w:rPr>
          <w:instrText xml:space="preserve"> PAGEREF _Toc225160011 \h </w:instrText>
        </w:r>
        <w:r>
          <w:rPr>
            <w:noProof/>
            <w:webHidden/>
          </w:rPr>
        </w:r>
        <w:r>
          <w:rPr>
            <w:noProof/>
            <w:webHidden/>
          </w:rPr>
          <w:fldChar w:fldCharType="separate"/>
        </w:r>
        <w:r>
          <w:rPr>
            <w:noProof/>
            <w:webHidden/>
          </w:rPr>
          <w:t>18</w:t>
        </w:r>
        <w:r>
          <w:rPr>
            <w:noProof/>
            <w:webHidden/>
          </w:rPr>
          <w:fldChar w:fldCharType="end"/>
        </w:r>
      </w:hyperlink>
    </w:p>
    <w:p w14:paraId="75A2B765" w14:textId="7A5F8934" w:rsidR="00EF2842" w:rsidRDefault="00EF2842">
      <w:pPr>
        <w:pStyle w:val="TOC2"/>
        <w:tabs>
          <w:tab w:val="left" w:pos="720"/>
          <w:tab w:val="right" w:pos="9771"/>
        </w:tabs>
        <w:rPr>
          <w:rFonts w:asciiTheme="minorHAnsi" w:eastAsiaTheme="minorEastAsia" w:hAnsiTheme="minorHAnsi" w:cstheme="minorBidi"/>
          <w:noProof/>
          <w:color w:val="auto"/>
          <w:kern w:val="2"/>
          <w14:ligatures w14:val="standardContextual"/>
        </w:rPr>
      </w:pPr>
      <w:hyperlink w:anchor="_Toc225160012" w:history="1">
        <w:r w:rsidRPr="00BA426D">
          <w:rPr>
            <w:rStyle w:val="Hyperlink"/>
            <w:rFonts w:cs="Arial"/>
            <w:noProof/>
          </w:rPr>
          <w:t>9.</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Risks and Sensitivities</w:t>
        </w:r>
        <w:r>
          <w:rPr>
            <w:noProof/>
            <w:webHidden/>
          </w:rPr>
          <w:tab/>
        </w:r>
        <w:r>
          <w:rPr>
            <w:noProof/>
            <w:webHidden/>
          </w:rPr>
          <w:fldChar w:fldCharType="begin"/>
        </w:r>
        <w:r>
          <w:rPr>
            <w:noProof/>
            <w:webHidden/>
          </w:rPr>
          <w:instrText xml:space="preserve"> PAGEREF _Toc225160012 \h </w:instrText>
        </w:r>
        <w:r>
          <w:rPr>
            <w:noProof/>
            <w:webHidden/>
          </w:rPr>
        </w:r>
        <w:r>
          <w:rPr>
            <w:noProof/>
            <w:webHidden/>
          </w:rPr>
          <w:fldChar w:fldCharType="separate"/>
        </w:r>
        <w:r>
          <w:rPr>
            <w:noProof/>
            <w:webHidden/>
          </w:rPr>
          <w:t>19</w:t>
        </w:r>
        <w:r>
          <w:rPr>
            <w:noProof/>
            <w:webHidden/>
          </w:rPr>
          <w:fldChar w:fldCharType="end"/>
        </w:r>
      </w:hyperlink>
    </w:p>
    <w:p w14:paraId="7E629952" w14:textId="5B831EEA" w:rsidR="00EF2842" w:rsidRDefault="00EF2842">
      <w:pPr>
        <w:pStyle w:val="TOC2"/>
        <w:tabs>
          <w:tab w:val="left" w:pos="960"/>
          <w:tab w:val="right" w:pos="9771"/>
        </w:tabs>
        <w:rPr>
          <w:rFonts w:asciiTheme="minorHAnsi" w:eastAsiaTheme="minorEastAsia" w:hAnsiTheme="minorHAnsi" w:cstheme="minorBidi"/>
          <w:noProof/>
          <w:color w:val="auto"/>
          <w:kern w:val="2"/>
          <w14:ligatures w14:val="standardContextual"/>
        </w:rPr>
      </w:pPr>
      <w:hyperlink w:anchor="_Toc225160013" w:history="1">
        <w:r w:rsidRPr="00BA426D">
          <w:rPr>
            <w:rStyle w:val="Hyperlink"/>
            <w:rFonts w:cs="Arial"/>
            <w:noProof/>
          </w:rPr>
          <w:t>10.</w:t>
        </w:r>
        <w:r>
          <w:rPr>
            <w:rFonts w:asciiTheme="minorHAnsi" w:eastAsiaTheme="minorEastAsia" w:hAnsiTheme="minorHAnsi" w:cstheme="minorBidi"/>
            <w:noProof/>
            <w:color w:val="auto"/>
            <w:kern w:val="2"/>
            <w14:ligatures w14:val="standardContextual"/>
          </w:rPr>
          <w:tab/>
        </w:r>
        <w:r w:rsidRPr="00BA426D">
          <w:rPr>
            <w:rStyle w:val="Hyperlink"/>
            <w:rFonts w:cs="Arial"/>
            <w:noProof/>
          </w:rPr>
          <w:t>Issues for further review</w:t>
        </w:r>
        <w:r>
          <w:rPr>
            <w:noProof/>
            <w:webHidden/>
          </w:rPr>
          <w:tab/>
        </w:r>
        <w:r>
          <w:rPr>
            <w:noProof/>
            <w:webHidden/>
          </w:rPr>
          <w:fldChar w:fldCharType="begin"/>
        </w:r>
        <w:r>
          <w:rPr>
            <w:noProof/>
            <w:webHidden/>
          </w:rPr>
          <w:instrText xml:space="preserve"> PAGEREF _Toc225160013 \h </w:instrText>
        </w:r>
        <w:r>
          <w:rPr>
            <w:noProof/>
            <w:webHidden/>
          </w:rPr>
        </w:r>
        <w:r>
          <w:rPr>
            <w:noProof/>
            <w:webHidden/>
          </w:rPr>
          <w:fldChar w:fldCharType="separate"/>
        </w:r>
        <w:r>
          <w:rPr>
            <w:noProof/>
            <w:webHidden/>
          </w:rPr>
          <w:t>20</w:t>
        </w:r>
        <w:r>
          <w:rPr>
            <w:noProof/>
            <w:webHidden/>
          </w:rPr>
          <w:fldChar w:fldCharType="end"/>
        </w:r>
      </w:hyperlink>
    </w:p>
    <w:p w14:paraId="5AAA62C2" w14:textId="27A0D3E7" w:rsidR="0036496F" w:rsidRDefault="009F41B6" w:rsidP="00491ED5">
      <w:pPr>
        <w:pStyle w:val="TOC1"/>
      </w:pPr>
      <w:r>
        <w:fldChar w:fldCharType="end"/>
      </w:r>
    </w:p>
    <w:p w14:paraId="22B11181" w14:textId="77777777" w:rsidR="0036496F" w:rsidRDefault="0036496F">
      <w:pPr>
        <w:spacing w:after="0" w:line="240" w:lineRule="auto"/>
        <w:rPr>
          <w:noProof/>
        </w:rPr>
      </w:pPr>
      <w:r>
        <w:br w:type="page"/>
      </w:r>
    </w:p>
    <w:p w14:paraId="52FE685D" w14:textId="0BC9EDAA" w:rsidR="0036496F" w:rsidRDefault="004958A0" w:rsidP="00361DC9">
      <w:pPr>
        <w:pStyle w:val="Heading2"/>
      </w:pPr>
      <w:bookmarkStart w:id="1" w:name="_Toc225159995"/>
      <w:r>
        <w:t>Instructions for using t</w:t>
      </w:r>
      <w:r w:rsidR="00361DC9">
        <w:t xml:space="preserve">his management accounts </w:t>
      </w:r>
      <w:r w:rsidR="00521FDD">
        <w:t>model</w:t>
      </w:r>
      <w:bookmarkEnd w:id="1"/>
    </w:p>
    <w:p w14:paraId="443C8E30" w14:textId="77777777" w:rsidR="009F41B6" w:rsidRDefault="009F41B6" w:rsidP="00491ED5">
      <w:pPr>
        <w:pStyle w:val="TOC1"/>
      </w:pPr>
    </w:p>
    <w:p w14:paraId="1D1D5775" w14:textId="32F936B8" w:rsidR="00361DC9" w:rsidRDefault="00361DC9" w:rsidP="00361DC9">
      <w:r>
        <w:t>Delete this page before producing your accounts</w:t>
      </w:r>
      <w:r w:rsidR="00821CB4">
        <w:t>.</w:t>
      </w:r>
    </w:p>
    <w:p w14:paraId="0FC5497A" w14:textId="6016933F" w:rsidR="004419FB" w:rsidRDefault="004419FB" w:rsidP="004419FB">
      <w:pPr>
        <w:pStyle w:val="ListParagraph"/>
        <w:numPr>
          <w:ilvl w:val="0"/>
          <w:numId w:val="42"/>
        </w:numPr>
      </w:pPr>
      <w:r>
        <w:t xml:space="preserve">If you want to use the example tables given in this document, these can be found in the separate excel file called </w:t>
      </w:r>
      <w:r w:rsidR="002C465B">
        <w:t>Management accounts – tables</w:t>
      </w:r>
      <w:r>
        <w:t>. These tables currently contain the exemplar data. You should link this excel file to your own management accounts to show your own data instead.</w:t>
      </w:r>
    </w:p>
    <w:p w14:paraId="198F2D8F" w14:textId="77777777" w:rsidR="00465B01" w:rsidRDefault="00465B01" w:rsidP="00465B01">
      <w:pPr>
        <w:pStyle w:val="ListParagraph"/>
        <w:numPr>
          <w:ilvl w:val="0"/>
          <w:numId w:val="0"/>
        </w:numPr>
        <w:ind w:left="720"/>
      </w:pPr>
    </w:p>
    <w:p w14:paraId="68A1B1DD" w14:textId="0C77E77C" w:rsidR="00521FDD" w:rsidRDefault="004419FB" w:rsidP="00521FDD">
      <w:pPr>
        <w:pStyle w:val="ListParagraph"/>
        <w:numPr>
          <w:ilvl w:val="0"/>
          <w:numId w:val="42"/>
        </w:numPr>
      </w:pPr>
      <w:r>
        <w:t xml:space="preserve">To insert tables into this Word document, find the relevant table in the excel file called </w:t>
      </w:r>
      <w:r w:rsidR="002C465B">
        <w:t>Management accounts – tables</w:t>
      </w:r>
      <w:r>
        <w:t>. The name of the excel worksheet where the table is located is shown above each table in this document.</w:t>
      </w:r>
    </w:p>
    <w:p w14:paraId="208D5279" w14:textId="77777777" w:rsidR="00521FDD" w:rsidRDefault="00521FDD" w:rsidP="00521FDD">
      <w:pPr>
        <w:pStyle w:val="ListParagraph"/>
        <w:numPr>
          <w:ilvl w:val="0"/>
          <w:numId w:val="0"/>
        </w:numPr>
        <w:ind w:left="720"/>
      </w:pPr>
    </w:p>
    <w:p w14:paraId="0F2EFBA3" w14:textId="77777777" w:rsidR="004419FB" w:rsidRPr="006438D3" w:rsidRDefault="004419FB" w:rsidP="004419FB">
      <w:pPr>
        <w:pStyle w:val="ListParagraph"/>
        <w:numPr>
          <w:ilvl w:val="0"/>
          <w:numId w:val="42"/>
        </w:numPr>
      </w:pPr>
      <w:r w:rsidRPr="006438D3">
        <w:t>Select the table in the excel worksheet, copy it, and in the Word document, use Paste Special ‘as picture’. You can also paste it as an embedded spreadsheet</w:t>
      </w:r>
      <w:r>
        <w:t xml:space="preserve"> instead of a picture</w:t>
      </w:r>
      <w:r w:rsidRPr="006438D3">
        <w:t>, but this will require adjustment of the size and format</w:t>
      </w:r>
      <w:r>
        <w:t xml:space="preserve"> of the embedded sheet </w:t>
      </w:r>
      <w:r w:rsidRPr="006438D3">
        <w:t>to fit</w:t>
      </w:r>
      <w:r>
        <w:t xml:space="preserve"> the document</w:t>
      </w:r>
      <w:r w:rsidRPr="006438D3">
        <w:t>.</w:t>
      </w:r>
    </w:p>
    <w:p w14:paraId="1DD92596" w14:textId="39AAF26E" w:rsidR="00FE52F0" w:rsidRPr="00361DC9" w:rsidRDefault="004419FB" w:rsidP="004419FB">
      <w:r w:rsidRPr="006438D3">
        <w:t xml:space="preserve">This </w:t>
      </w:r>
      <w:r w:rsidR="00EF2842">
        <w:t>model</w:t>
      </w:r>
      <w:r w:rsidRPr="006438D3">
        <w:t xml:space="preserve"> can be amended throughout to suit your college’s</w:t>
      </w:r>
      <w:r>
        <w:t xml:space="preserve"> particular operating characteristics.</w:t>
      </w:r>
    </w:p>
    <w:p w14:paraId="397E1C28" w14:textId="1B2C8151" w:rsidR="00465B01" w:rsidRDefault="00465B01">
      <w:pPr>
        <w:spacing w:after="0" w:line="240" w:lineRule="auto"/>
      </w:pPr>
      <w:r>
        <w:br w:type="page"/>
      </w:r>
    </w:p>
    <w:p w14:paraId="0AEACF8E" w14:textId="11B6C775" w:rsidR="008976DC" w:rsidRDefault="00214AA7" w:rsidP="000E2E2F">
      <w:pPr>
        <w:pStyle w:val="Heading2"/>
        <w:jc w:val="center"/>
      </w:pPr>
      <w:bookmarkStart w:id="2" w:name="_Toc225159996"/>
      <w:r>
        <w:t>S</w:t>
      </w:r>
      <w:r w:rsidR="008976DC" w:rsidRPr="008608E3">
        <w:t>ummary Income and Expenditure Account</w:t>
      </w:r>
      <w:bookmarkEnd w:id="2"/>
    </w:p>
    <w:p w14:paraId="3CC8DE98" w14:textId="77777777" w:rsidR="009F4CD9" w:rsidRDefault="009F4CD9" w:rsidP="00BB7F14"/>
    <w:p w14:paraId="1E4AB961" w14:textId="05A46B33" w:rsidR="00DE24B2" w:rsidRPr="009942FC" w:rsidRDefault="00126A91" w:rsidP="00BB7F14">
      <w:r w:rsidRPr="009942FC">
        <w:t>The t</w:t>
      </w:r>
      <w:r w:rsidR="003A3439" w:rsidRPr="009942FC">
        <w:t xml:space="preserve">able </w:t>
      </w:r>
      <w:r w:rsidR="00DC77B0" w:rsidRPr="009942FC">
        <w:t xml:space="preserve">below can be found in the </w:t>
      </w:r>
      <w:r w:rsidR="002C465B">
        <w:rPr>
          <w:b/>
          <w:bCs/>
        </w:rPr>
        <w:t>Management accounts – tables</w:t>
      </w:r>
      <w:r w:rsidR="00BF5B34" w:rsidRPr="009942FC">
        <w:t xml:space="preserve"> spreadsheets, </w:t>
      </w:r>
      <w:r w:rsidR="00B12F6A" w:rsidRPr="009942FC">
        <w:t xml:space="preserve">in </w:t>
      </w:r>
      <w:r w:rsidR="00156075" w:rsidRPr="009942FC">
        <w:t xml:space="preserve">the </w:t>
      </w:r>
      <w:r w:rsidR="00BF5B34" w:rsidRPr="009942FC">
        <w:t>worksheet title</w:t>
      </w:r>
      <w:r w:rsidR="00B12F6A" w:rsidRPr="009942FC">
        <w:t>d</w:t>
      </w:r>
      <w:r w:rsidR="00BF5B34" w:rsidRPr="009942FC">
        <w:t>: Summary I&amp;E</w:t>
      </w:r>
    </w:p>
    <w:p w14:paraId="242789C8" w14:textId="37B278E0" w:rsidR="008976DC" w:rsidRPr="000A68D3" w:rsidRDefault="00AF1FA6" w:rsidP="008976DC">
      <w:pPr>
        <w:rPr>
          <w:rFonts w:cs="Arial"/>
          <w:sz w:val="20"/>
          <w:szCs w:val="20"/>
        </w:rPr>
      </w:pPr>
      <w:r w:rsidRPr="00AF1FA6">
        <w:rPr>
          <w:noProof/>
        </w:rPr>
        <w:drawing>
          <wp:inline distT="0" distB="0" distL="0" distR="0" wp14:anchorId="62020A28" wp14:editId="7F7091C1">
            <wp:extent cx="6170700" cy="3096000"/>
            <wp:effectExtent l="0" t="0" r="1905" b="9525"/>
            <wp:docPr id="18586764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0700" cy="3096000"/>
                    </a:xfrm>
                    <a:prstGeom prst="rect">
                      <a:avLst/>
                    </a:prstGeom>
                    <a:noFill/>
                    <a:ln>
                      <a:noFill/>
                    </a:ln>
                  </pic:spPr>
                </pic:pic>
              </a:graphicData>
            </a:graphic>
          </wp:inline>
        </w:drawing>
      </w:r>
    </w:p>
    <w:p w14:paraId="393CAFA7" w14:textId="5689F975" w:rsidR="000E2E2F" w:rsidRPr="00DE24B2" w:rsidRDefault="000E2E2F" w:rsidP="000E2E2F">
      <w:pPr>
        <w:pStyle w:val="Heading2"/>
        <w:jc w:val="center"/>
        <w:rPr>
          <w:sz w:val="28"/>
          <w:szCs w:val="28"/>
        </w:rPr>
      </w:pPr>
      <w:bookmarkStart w:id="3" w:name="_Toc225159997"/>
      <w:r w:rsidRPr="00DE24B2">
        <w:rPr>
          <w:sz w:val="28"/>
          <w:szCs w:val="28"/>
        </w:rPr>
        <w:t>Summary KPIs</w:t>
      </w:r>
      <w:bookmarkEnd w:id="3"/>
    </w:p>
    <w:p w14:paraId="54459281" w14:textId="1F105696" w:rsidR="00B12F6A" w:rsidRPr="009942FC" w:rsidRDefault="00B12F6A" w:rsidP="00B12F6A">
      <w:pPr>
        <w:rPr>
          <w:b/>
          <w:bCs/>
        </w:rPr>
      </w:pPr>
      <w:r w:rsidRPr="009942FC">
        <w:t xml:space="preserve">The table below can be found in the </w:t>
      </w:r>
      <w:r w:rsidR="002C465B">
        <w:rPr>
          <w:b/>
          <w:bCs/>
        </w:rPr>
        <w:t>Management accounts – tables</w:t>
      </w:r>
      <w:r w:rsidRPr="009942FC">
        <w:t xml:space="preserve"> spreadsheets, in </w:t>
      </w:r>
      <w:r w:rsidR="00156075" w:rsidRPr="009942FC">
        <w:t xml:space="preserve">the </w:t>
      </w:r>
      <w:r w:rsidRPr="009942FC">
        <w:t xml:space="preserve">worksheet titled: </w:t>
      </w:r>
      <w:r w:rsidRPr="009942FC">
        <w:rPr>
          <w:b/>
          <w:bCs/>
        </w:rPr>
        <w:t xml:space="preserve">Summary </w:t>
      </w:r>
      <w:r w:rsidR="00CA0864" w:rsidRPr="009942FC">
        <w:rPr>
          <w:b/>
          <w:bCs/>
        </w:rPr>
        <w:t>KPIs</w:t>
      </w:r>
    </w:p>
    <w:p w14:paraId="19FAB72E" w14:textId="0BD3ADB7" w:rsidR="008976DC" w:rsidRPr="00B54B68" w:rsidRDefault="009F2864" w:rsidP="008976DC">
      <w:pPr>
        <w:jc w:val="center"/>
        <w:rPr>
          <w:rFonts w:cs="Arial"/>
          <w:b/>
          <w:bCs/>
        </w:rPr>
      </w:pPr>
      <w:r w:rsidRPr="009F2864">
        <w:rPr>
          <w:noProof/>
        </w:rPr>
        <w:drawing>
          <wp:inline distT="0" distB="0" distL="0" distR="0" wp14:anchorId="131F062B" wp14:editId="5EDE28E4">
            <wp:extent cx="5340350" cy="2838450"/>
            <wp:effectExtent l="0" t="0" r="0" b="0"/>
            <wp:docPr id="14423826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0350" cy="2838450"/>
                    </a:xfrm>
                    <a:prstGeom prst="rect">
                      <a:avLst/>
                    </a:prstGeom>
                    <a:noFill/>
                    <a:ln>
                      <a:noFill/>
                    </a:ln>
                  </pic:spPr>
                </pic:pic>
              </a:graphicData>
            </a:graphic>
          </wp:inline>
        </w:drawing>
      </w:r>
    </w:p>
    <w:p w14:paraId="42522C37" w14:textId="77777777" w:rsidR="008976DC" w:rsidRPr="00B54B68" w:rsidRDefault="008976DC" w:rsidP="008976DC">
      <w:pPr>
        <w:jc w:val="center"/>
        <w:rPr>
          <w:rFonts w:cs="Arial"/>
          <w:b/>
          <w:bCs/>
        </w:rPr>
      </w:pPr>
    </w:p>
    <w:p w14:paraId="397A4332" w14:textId="0F6A7ECA" w:rsidR="008976DC" w:rsidRDefault="000E2E2F" w:rsidP="007947B3">
      <w:pPr>
        <w:pStyle w:val="Heading2"/>
        <w:numPr>
          <w:ilvl w:val="0"/>
          <w:numId w:val="41"/>
        </w:numPr>
        <w:rPr>
          <w:rFonts w:cs="Arial"/>
          <w:sz w:val="24"/>
          <w:szCs w:val="24"/>
        </w:rPr>
      </w:pPr>
      <w:bookmarkStart w:id="4" w:name="_Toc225159998"/>
      <w:r w:rsidRPr="00B54B68">
        <w:rPr>
          <w:rFonts w:cs="Arial"/>
          <w:sz w:val="24"/>
          <w:szCs w:val="24"/>
        </w:rPr>
        <w:t>E</w:t>
      </w:r>
      <w:r w:rsidR="008976DC" w:rsidRPr="00B54B68">
        <w:rPr>
          <w:rFonts w:cs="Arial"/>
          <w:sz w:val="24"/>
          <w:szCs w:val="24"/>
        </w:rPr>
        <w:t>xecutive Summary</w:t>
      </w:r>
      <w:bookmarkEnd w:id="4"/>
    </w:p>
    <w:p w14:paraId="39165CF8" w14:textId="0C790FBC" w:rsidR="00C24EBD" w:rsidRPr="00C24EBD" w:rsidRDefault="00C24EBD" w:rsidP="00C24EBD">
      <w:pPr>
        <w:rPr>
          <w:b/>
          <w:bCs/>
          <w:sz w:val="28"/>
          <w:szCs w:val="28"/>
        </w:rPr>
      </w:pPr>
      <w:r w:rsidRPr="00C24EBD">
        <w:rPr>
          <w:b/>
          <w:bCs/>
          <w:sz w:val="28"/>
          <w:szCs w:val="28"/>
        </w:rPr>
        <w:t>Income and Expenditure Account</w:t>
      </w:r>
    </w:p>
    <w:tbl>
      <w:tblPr>
        <w:tblStyle w:val="TableGrid"/>
        <w:tblW w:w="9940" w:type="dxa"/>
        <w:tblInd w:w="-5" w:type="dxa"/>
        <w:tblLook w:val="04A0" w:firstRow="1" w:lastRow="0" w:firstColumn="1" w:lastColumn="0" w:noHBand="0" w:noVBand="1"/>
      </w:tblPr>
      <w:tblGrid>
        <w:gridCol w:w="1717"/>
        <w:gridCol w:w="5730"/>
        <w:gridCol w:w="1116"/>
        <w:gridCol w:w="1377"/>
      </w:tblGrid>
      <w:tr w:rsidR="00DE7F9A" w:rsidRPr="00B54B68" w14:paraId="6EBE372F" w14:textId="77777777" w:rsidTr="00315531">
        <w:trPr>
          <w:trHeight w:val="20"/>
        </w:trPr>
        <w:tc>
          <w:tcPr>
            <w:tcW w:w="1717" w:type="dxa"/>
          </w:tcPr>
          <w:p w14:paraId="4C117026" w14:textId="77777777" w:rsidR="00DE7F9A" w:rsidRPr="00B54B68" w:rsidRDefault="00DE7F9A" w:rsidP="00315531">
            <w:pPr>
              <w:rPr>
                <w:rFonts w:cs="Arial"/>
                <w:b/>
                <w:bCs/>
              </w:rPr>
            </w:pPr>
            <w:r w:rsidRPr="00B54B68">
              <w:rPr>
                <w:rFonts w:cs="Arial"/>
                <w:b/>
                <w:bCs/>
              </w:rPr>
              <w:t>Indicator</w:t>
            </w:r>
          </w:p>
        </w:tc>
        <w:tc>
          <w:tcPr>
            <w:tcW w:w="5730" w:type="dxa"/>
          </w:tcPr>
          <w:p w14:paraId="54084AEE" w14:textId="77777777" w:rsidR="00DE7F9A" w:rsidRPr="00B54B68" w:rsidRDefault="00DE7F9A" w:rsidP="00315531">
            <w:pPr>
              <w:rPr>
                <w:rFonts w:cs="Arial"/>
                <w:b/>
                <w:bCs/>
              </w:rPr>
            </w:pPr>
            <w:r w:rsidRPr="00B54B68">
              <w:rPr>
                <w:rFonts w:cs="Arial"/>
                <w:b/>
                <w:bCs/>
              </w:rPr>
              <w:t>Current Status</w:t>
            </w:r>
          </w:p>
        </w:tc>
        <w:tc>
          <w:tcPr>
            <w:tcW w:w="1116" w:type="dxa"/>
          </w:tcPr>
          <w:p w14:paraId="5D2F603B" w14:textId="77777777" w:rsidR="00DE7F9A" w:rsidRPr="00B54B68" w:rsidRDefault="00DE7F9A" w:rsidP="00315531">
            <w:pPr>
              <w:jc w:val="center"/>
              <w:rPr>
                <w:rFonts w:cs="Arial"/>
                <w:b/>
                <w:bCs/>
              </w:rPr>
            </w:pPr>
            <w:r w:rsidRPr="00B54B68">
              <w:rPr>
                <w:rFonts w:cs="Arial"/>
                <w:b/>
                <w:bCs/>
              </w:rPr>
              <w:t>RAG</w:t>
            </w:r>
          </w:p>
        </w:tc>
        <w:tc>
          <w:tcPr>
            <w:tcW w:w="1377" w:type="dxa"/>
          </w:tcPr>
          <w:p w14:paraId="7D8B941E" w14:textId="77777777" w:rsidR="00DE7F9A" w:rsidRPr="00B54B68" w:rsidRDefault="00DE7F9A" w:rsidP="00315531">
            <w:pPr>
              <w:jc w:val="center"/>
              <w:rPr>
                <w:rFonts w:cs="Arial"/>
                <w:b/>
                <w:bCs/>
              </w:rPr>
            </w:pPr>
            <w:r w:rsidRPr="00B54B68">
              <w:rPr>
                <w:rFonts w:cs="Arial"/>
                <w:b/>
                <w:bCs/>
              </w:rPr>
              <w:t>Change</w:t>
            </w:r>
          </w:p>
        </w:tc>
      </w:tr>
      <w:tr w:rsidR="00D64B22" w:rsidRPr="00B54B68" w14:paraId="0A904B2A" w14:textId="77777777" w:rsidTr="0057293F">
        <w:trPr>
          <w:trHeight w:val="20"/>
        </w:trPr>
        <w:tc>
          <w:tcPr>
            <w:tcW w:w="1717" w:type="dxa"/>
          </w:tcPr>
          <w:p w14:paraId="4F0AA15F" w14:textId="4C2756B8" w:rsidR="008976DC" w:rsidRPr="00B54B68" w:rsidRDefault="008976DC" w:rsidP="00315531">
            <w:pPr>
              <w:rPr>
                <w:rFonts w:cs="Arial"/>
                <w:b/>
                <w:bCs/>
              </w:rPr>
            </w:pPr>
            <w:r w:rsidRPr="00B54B68">
              <w:rPr>
                <w:rFonts w:cs="Arial"/>
                <w:b/>
                <w:bCs/>
              </w:rPr>
              <w:t xml:space="preserve">Operating surplus/ deficit </w:t>
            </w:r>
          </w:p>
        </w:tc>
        <w:tc>
          <w:tcPr>
            <w:tcW w:w="5730" w:type="dxa"/>
          </w:tcPr>
          <w:p w14:paraId="65DD98D2" w14:textId="77777777" w:rsidR="008976DC" w:rsidRPr="00B54B68" w:rsidRDefault="008976DC" w:rsidP="00315531">
            <w:pPr>
              <w:rPr>
                <w:rFonts w:cs="Arial"/>
              </w:rPr>
            </w:pPr>
            <w:r w:rsidRPr="00B54B68">
              <w:rPr>
                <w:rFonts w:cs="Arial"/>
              </w:rPr>
              <w:t>Forecast outturn is £242k behind budget at £262k deficit.</w:t>
            </w:r>
          </w:p>
        </w:tc>
        <w:tc>
          <w:tcPr>
            <w:tcW w:w="1116" w:type="dxa"/>
          </w:tcPr>
          <w:p w14:paraId="029B3FC5" w14:textId="77777777" w:rsidR="008976DC" w:rsidRPr="00945E40" w:rsidRDefault="008976DC" w:rsidP="00EE7E43">
            <w:pPr>
              <w:jc w:val="center"/>
              <w:rPr>
                <w:rFonts w:cs="Arial"/>
                <w:color w:val="ED0000"/>
              </w:rPr>
            </w:pPr>
            <w:r w:rsidRPr="00945E40">
              <w:rPr>
                <w:rFonts w:cs="Arial"/>
                <w:color w:val="ED0000"/>
              </w:rPr>
              <w:t>●</w:t>
            </w:r>
          </w:p>
          <w:p w14:paraId="013C8BEE" w14:textId="631AF8A7" w:rsidR="00EB6A7D" w:rsidRPr="00B54B68" w:rsidRDefault="009C713E" w:rsidP="00EE7E43">
            <w:pPr>
              <w:jc w:val="center"/>
              <w:rPr>
                <w:rFonts w:cs="Arial"/>
              </w:rPr>
            </w:pPr>
            <w:r>
              <w:t>Red</w:t>
            </w:r>
          </w:p>
        </w:tc>
        <w:tc>
          <w:tcPr>
            <w:tcW w:w="1377" w:type="dxa"/>
          </w:tcPr>
          <w:p w14:paraId="67F495CF" w14:textId="7C5D791A" w:rsidR="00C9019B" w:rsidRDefault="008976DC" w:rsidP="00E405F2">
            <w:pPr>
              <w:jc w:val="center"/>
              <w:rPr>
                <w:rFonts w:cs="Arial"/>
                <w:color w:val="FF0000"/>
              </w:rPr>
            </w:pPr>
            <w:r w:rsidRPr="00B54B68">
              <w:rPr>
                <w:rFonts w:cs="Arial"/>
                <w:noProof/>
                <w:color w:val="FF0000"/>
              </w:rPr>
              <mc:AlternateContent>
                <mc:Choice Requires="wps">
                  <w:drawing>
                    <wp:anchor distT="0" distB="0" distL="114300" distR="114300" simplePos="0" relativeHeight="251658244" behindDoc="0" locked="0" layoutInCell="1" allowOverlap="1" wp14:anchorId="04B8B0A2" wp14:editId="0F0FA4D7">
                      <wp:simplePos x="0" y="0"/>
                      <wp:positionH relativeFrom="margin">
                        <wp:posOffset>116840</wp:posOffset>
                      </wp:positionH>
                      <wp:positionV relativeFrom="margin">
                        <wp:posOffset>151765</wp:posOffset>
                      </wp:positionV>
                      <wp:extent cx="356235" cy="454395"/>
                      <wp:effectExtent l="19050" t="0" r="43815" b="41275"/>
                      <wp:wrapNone/>
                      <wp:docPr id="2062163117" name="Arrow: Down 12"/>
                      <wp:cNvGraphicFramePr/>
                      <a:graphic xmlns:a="http://schemas.openxmlformats.org/drawingml/2006/main">
                        <a:graphicData uri="http://schemas.microsoft.com/office/word/2010/wordprocessingShape">
                          <wps:wsp>
                            <wps:cNvSpPr/>
                            <wps:spPr>
                              <a:xfrm>
                                <a:off x="0" y="0"/>
                                <a:ext cx="356235" cy="45439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00B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9.2pt;margin-top:11.95pt;width:28.05pt;height:35.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" adj="13133" fillcolor="red" strokecolor="#0a121c [484]" strokeweight="2pt">
                      <w10:wrap anchorx="margin" anchory="margin"/>
                    </v:shape>
                  </w:pict>
                </mc:Fallback>
              </mc:AlternateContent>
            </w:r>
          </w:p>
          <w:p w14:paraId="05BCB27F" w14:textId="77777777" w:rsidR="00E405F2" w:rsidRPr="00AC54AF" w:rsidRDefault="00E405F2" w:rsidP="00AC54AF">
            <w:pPr>
              <w:jc w:val="center"/>
              <w:rPr>
                <w:rFonts w:cs="Arial"/>
                <w:color w:val="FF0000"/>
              </w:rPr>
            </w:pPr>
          </w:p>
          <w:p w14:paraId="0AD0E28F" w14:textId="0870BC4D" w:rsidR="00C9019B" w:rsidRPr="00AC54AF" w:rsidRDefault="00C9019B" w:rsidP="00AC54AF">
            <w:pPr>
              <w:rPr>
                <w:rFonts w:cs="Arial"/>
                <w:sz w:val="20"/>
                <w:szCs w:val="20"/>
              </w:rPr>
            </w:pPr>
            <w:r w:rsidRPr="00AC54AF">
              <w:rPr>
                <w:rFonts w:cs="Arial"/>
                <w:color w:val="000000" w:themeColor="text1"/>
                <w:sz w:val="20"/>
                <w:szCs w:val="20"/>
              </w:rPr>
              <w:t>Decreased</w:t>
            </w:r>
          </w:p>
        </w:tc>
      </w:tr>
      <w:tr w:rsidR="00D64B22" w:rsidRPr="00B54B68" w14:paraId="36143F5B" w14:textId="77777777" w:rsidTr="0057293F">
        <w:trPr>
          <w:trHeight w:val="20"/>
        </w:trPr>
        <w:tc>
          <w:tcPr>
            <w:tcW w:w="1717" w:type="dxa"/>
          </w:tcPr>
          <w:p w14:paraId="5CA0469C" w14:textId="77777777" w:rsidR="008976DC" w:rsidRPr="00B54B68" w:rsidRDefault="008976DC" w:rsidP="00315531">
            <w:pPr>
              <w:rPr>
                <w:rFonts w:cs="Arial"/>
                <w:b/>
                <w:bCs/>
              </w:rPr>
            </w:pPr>
            <w:r w:rsidRPr="00B54B68">
              <w:rPr>
                <w:rFonts w:cs="Arial"/>
                <w:b/>
                <w:bCs/>
              </w:rPr>
              <w:t>Income</w:t>
            </w:r>
          </w:p>
        </w:tc>
        <w:tc>
          <w:tcPr>
            <w:tcW w:w="5730" w:type="dxa"/>
          </w:tcPr>
          <w:p w14:paraId="0BC1C7A6" w14:textId="77777777" w:rsidR="008976DC" w:rsidRPr="00B54B68" w:rsidRDefault="008976DC" w:rsidP="00315531">
            <w:pPr>
              <w:rPr>
                <w:rFonts w:cs="Arial"/>
              </w:rPr>
            </w:pPr>
            <w:r w:rsidRPr="00B54B68">
              <w:rPr>
                <w:rFonts w:cs="Arial"/>
              </w:rPr>
              <w:t>Total income is £202k lower than budget and forecast to be £356k lower than budget by the end of the year. Main issues are ASF and HE.</w:t>
            </w:r>
          </w:p>
        </w:tc>
        <w:tc>
          <w:tcPr>
            <w:tcW w:w="1116" w:type="dxa"/>
          </w:tcPr>
          <w:p w14:paraId="17EB16C4" w14:textId="77777777" w:rsidR="008976DC" w:rsidRPr="00945E40" w:rsidRDefault="008976DC" w:rsidP="00EE7E43">
            <w:pPr>
              <w:jc w:val="center"/>
              <w:rPr>
                <w:rFonts w:cs="Arial"/>
                <w:color w:val="ED0000"/>
              </w:rPr>
            </w:pPr>
            <w:r w:rsidRPr="00945E40">
              <w:rPr>
                <w:rFonts w:cs="Arial"/>
                <w:color w:val="ED0000"/>
              </w:rPr>
              <w:t>●</w:t>
            </w:r>
          </w:p>
          <w:p w14:paraId="2414D591" w14:textId="3E0FD10E" w:rsidR="00A36C51" w:rsidRPr="00B54B68" w:rsidRDefault="00A36C51" w:rsidP="00EE7E43">
            <w:pPr>
              <w:jc w:val="center"/>
              <w:rPr>
                <w:rFonts w:cs="Arial"/>
              </w:rPr>
            </w:pPr>
            <w:r>
              <w:t>Red</w:t>
            </w:r>
          </w:p>
        </w:tc>
        <w:tc>
          <w:tcPr>
            <w:tcW w:w="1377" w:type="dxa"/>
          </w:tcPr>
          <w:p w14:paraId="793CA439" w14:textId="56743447" w:rsidR="008976DC" w:rsidRPr="00022979" w:rsidRDefault="007947B3" w:rsidP="00315531">
            <w:pPr>
              <w:rPr>
                <w:rFonts w:cs="Arial"/>
                <w:color w:val="F79646" w:themeColor="accent6"/>
              </w:rPr>
            </w:pPr>
            <w:r w:rsidRPr="00022979">
              <w:rPr>
                <w:rFonts w:cs="Arial"/>
                <w:noProof/>
                <w:color w:val="F79646" w:themeColor="accent6"/>
              </w:rPr>
              <mc:AlternateContent>
                <mc:Choice Requires="wps">
                  <w:drawing>
                    <wp:anchor distT="0" distB="0" distL="114300" distR="114300" simplePos="0" relativeHeight="251658241" behindDoc="0" locked="0" layoutInCell="1" allowOverlap="1" wp14:anchorId="228FCCBB" wp14:editId="6D0929C8">
                      <wp:simplePos x="0" y="0"/>
                      <wp:positionH relativeFrom="margin">
                        <wp:posOffset>8255</wp:posOffset>
                      </wp:positionH>
                      <wp:positionV relativeFrom="paragraph">
                        <wp:posOffset>292100</wp:posOffset>
                      </wp:positionV>
                      <wp:extent cx="502484" cy="252095"/>
                      <wp:effectExtent l="0" t="0" r="0" b="0"/>
                      <wp:wrapNone/>
                      <wp:docPr id="1254029434" name="Equals 13"/>
                      <wp:cNvGraphicFramePr/>
                      <a:graphic xmlns:a="http://schemas.openxmlformats.org/drawingml/2006/main">
                        <a:graphicData uri="http://schemas.microsoft.com/office/word/2010/wordprocessingShape">
                          <wps:wsp>
                            <wps:cNvSpPr/>
                            <wps:spPr>
                              <a:xfrm>
                                <a:off x="0" y="0"/>
                                <a:ext cx="502484" cy="252095"/>
                              </a:xfrm>
                              <a:prstGeom prst="mathEqual">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06016" id="Equals 13" o:spid="_x0000_s1026" style="position:absolute;margin-left:.65pt;margin-top:23pt;width:39.55pt;height:19.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02484,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" path="m66604,51932r369276,l435880,111224r-369276,l66604,51932xm66604,140871r369276,l435880,200163r-369276,l66604,140871xe" fillcolor="#ffc000" strokecolor="#0a121c [484]" strokeweight="2pt">
                      <v:path arrowok="t" o:connecttype="custom" o:connectlocs="66604,51932;435880,51932;435880,111224;66604,111224;66604,51932;66604,140871;435880,140871;435880,200163;66604,200163;66604,140871" o:connectangles="0,0,0,0,0,0,0,0,0,0"/>
                      <w10:wrap anchorx="margin"/>
                    </v:shape>
                  </w:pict>
                </mc:Fallback>
              </mc:AlternateContent>
            </w:r>
          </w:p>
          <w:p w14:paraId="69E147E7" w14:textId="77777777" w:rsidR="00C73470" w:rsidRDefault="00C73470" w:rsidP="00C73470">
            <w:pPr>
              <w:rPr>
                <w:rFonts w:cs="Arial"/>
              </w:rPr>
            </w:pPr>
          </w:p>
          <w:p w14:paraId="4E51E03C" w14:textId="1D9EA309" w:rsidR="00C73470" w:rsidRPr="00AC54AF" w:rsidRDefault="00C73470" w:rsidP="00C73470">
            <w:pPr>
              <w:rPr>
                <w:rFonts w:cs="Arial"/>
                <w:sz w:val="20"/>
                <w:szCs w:val="20"/>
              </w:rPr>
            </w:pPr>
            <w:r w:rsidRPr="00AC54AF">
              <w:rPr>
                <w:rFonts w:cs="Arial"/>
                <w:color w:val="000000" w:themeColor="text1"/>
                <w:sz w:val="20"/>
                <w:szCs w:val="20"/>
              </w:rPr>
              <w:t>No change</w:t>
            </w:r>
          </w:p>
        </w:tc>
      </w:tr>
      <w:tr w:rsidR="00D64B22" w:rsidRPr="00B54B68" w14:paraId="1BDE1646" w14:textId="77777777" w:rsidTr="0057293F">
        <w:trPr>
          <w:trHeight w:val="20"/>
        </w:trPr>
        <w:tc>
          <w:tcPr>
            <w:tcW w:w="1717" w:type="dxa"/>
          </w:tcPr>
          <w:p w14:paraId="41CF4C91" w14:textId="77777777" w:rsidR="008976DC" w:rsidRPr="00B54B68" w:rsidRDefault="008976DC" w:rsidP="00315531">
            <w:pPr>
              <w:rPr>
                <w:rFonts w:cs="Arial"/>
                <w:b/>
                <w:bCs/>
              </w:rPr>
            </w:pPr>
            <w:r w:rsidRPr="00B54B68">
              <w:rPr>
                <w:rFonts w:cs="Arial"/>
                <w:b/>
                <w:bCs/>
              </w:rPr>
              <w:t>Pay costs</w:t>
            </w:r>
          </w:p>
        </w:tc>
        <w:tc>
          <w:tcPr>
            <w:tcW w:w="5730" w:type="dxa"/>
          </w:tcPr>
          <w:p w14:paraId="48B92D98" w14:textId="77777777" w:rsidR="008976DC" w:rsidRPr="00B54B68" w:rsidRDefault="008976DC" w:rsidP="00315531">
            <w:pPr>
              <w:rPr>
                <w:rFonts w:cs="Arial"/>
              </w:rPr>
            </w:pPr>
            <w:r w:rsidRPr="00B54B68">
              <w:rPr>
                <w:rFonts w:cs="Arial"/>
              </w:rPr>
              <w:t>Total pay costs are £84k less than budget after 6 months and this is forecast to further improve to £216k under budget by the end of the year.</w:t>
            </w:r>
          </w:p>
        </w:tc>
        <w:tc>
          <w:tcPr>
            <w:tcW w:w="1116" w:type="dxa"/>
          </w:tcPr>
          <w:p w14:paraId="678D3D7D" w14:textId="77777777" w:rsidR="008976DC" w:rsidRPr="00022979" w:rsidRDefault="008976DC" w:rsidP="00EE7E43">
            <w:pPr>
              <w:jc w:val="center"/>
              <w:rPr>
                <w:rFonts w:cs="Arial"/>
                <w:color w:val="F79646"/>
              </w:rPr>
            </w:pPr>
            <w:r w:rsidRPr="00022979">
              <w:rPr>
                <w:rFonts w:cs="Arial"/>
                <w:color w:val="F79646"/>
              </w:rPr>
              <w:t>●</w:t>
            </w:r>
          </w:p>
          <w:p w14:paraId="0316EEAC" w14:textId="62E4F4F1" w:rsidR="00C9019B" w:rsidRPr="00B54B68" w:rsidRDefault="00C9019B" w:rsidP="00EE7E43">
            <w:pPr>
              <w:jc w:val="center"/>
              <w:rPr>
                <w:rFonts w:cs="Arial"/>
              </w:rPr>
            </w:pPr>
            <w:r w:rsidRPr="00AC54AF">
              <w:rPr>
                <w:rFonts w:cs="Arial"/>
                <w:color w:val="000000" w:themeColor="text1"/>
              </w:rPr>
              <w:t>Amber</w:t>
            </w:r>
          </w:p>
        </w:tc>
        <w:tc>
          <w:tcPr>
            <w:tcW w:w="1377" w:type="dxa"/>
          </w:tcPr>
          <w:p w14:paraId="1599CBD3" w14:textId="77777777" w:rsidR="008976DC" w:rsidRDefault="008976DC" w:rsidP="00315531">
            <w:pPr>
              <w:rPr>
                <w:rFonts w:cs="Arial"/>
              </w:rPr>
            </w:pPr>
            <w:r w:rsidRPr="00B54B68">
              <w:rPr>
                <w:rFonts w:cs="Arial"/>
                <w:noProof/>
              </w:rPr>
              <mc:AlternateContent>
                <mc:Choice Requires="wps">
                  <w:drawing>
                    <wp:anchor distT="0" distB="0" distL="114300" distR="114300" simplePos="0" relativeHeight="251658242" behindDoc="0" locked="0" layoutInCell="1" allowOverlap="1" wp14:anchorId="50AB22CE" wp14:editId="1E842079">
                      <wp:simplePos x="0" y="0"/>
                      <wp:positionH relativeFrom="margin">
                        <wp:posOffset>113665</wp:posOffset>
                      </wp:positionH>
                      <wp:positionV relativeFrom="paragraph">
                        <wp:posOffset>163195</wp:posOffset>
                      </wp:positionV>
                      <wp:extent cx="339978" cy="435345"/>
                      <wp:effectExtent l="19050" t="19050" r="41275" b="22225"/>
                      <wp:wrapNone/>
                      <wp:docPr id="1938032413" name="Arrow: Up 14"/>
                      <wp:cNvGraphicFramePr/>
                      <a:graphic xmlns:a="http://schemas.openxmlformats.org/drawingml/2006/main">
                        <a:graphicData uri="http://schemas.microsoft.com/office/word/2010/wordprocessingShape">
                          <wps:wsp>
                            <wps:cNvSpPr/>
                            <wps:spPr>
                              <a:xfrm>
                                <a:off x="0" y="0"/>
                                <a:ext cx="339978" cy="435345"/>
                              </a:xfrm>
                              <a:prstGeom prst="upArrow">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06E3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4" o:spid="_x0000_s1026" type="#_x0000_t68" style="position:absolute;margin-left:8.95pt;margin-top:12.85pt;width:26.75pt;height:3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" adj="8434" fillcolor="#92d050" strokecolor="#0a121c [484]" strokeweight="2pt">
                      <w10:wrap anchorx="margin"/>
                    </v:shape>
                  </w:pict>
                </mc:Fallback>
              </mc:AlternateContent>
            </w:r>
          </w:p>
          <w:p w14:paraId="0F036D3E" w14:textId="77777777" w:rsidR="00C73470" w:rsidRPr="00AC54AF" w:rsidRDefault="00C73470" w:rsidP="00C73470">
            <w:pPr>
              <w:tabs>
                <w:tab w:val="left" w:pos="950"/>
              </w:tabs>
              <w:rPr>
                <w:rFonts w:cs="Arial"/>
                <w:color w:val="000000" w:themeColor="text1"/>
                <w:sz w:val="20"/>
                <w:szCs w:val="20"/>
              </w:rPr>
            </w:pPr>
            <w:r w:rsidRPr="00AC54AF">
              <w:rPr>
                <w:rFonts w:cs="Arial"/>
                <w:color w:val="000000" w:themeColor="text1"/>
                <w:sz w:val="20"/>
                <w:szCs w:val="20"/>
              </w:rPr>
              <w:tab/>
            </w:r>
          </w:p>
          <w:p w14:paraId="21CEF6C8" w14:textId="3209733E" w:rsidR="00F61262" w:rsidRPr="00C73470" w:rsidRDefault="00F61262" w:rsidP="00AC54AF">
            <w:pPr>
              <w:tabs>
                <w:tab w:val="left" w:pos="950"/>
              </w:tabs>
              <w:rPr>
                <w:rFonts w:cs="Arial"/>
              </w:rPr>
            </w:pPr>
            <w:r w:rsidRPr="00AC54AF">
              <w:rPr>
                <w:rFonts w:cs="Arial"/>
                <w:color w:val="000000" w:themeColor="text1"/>
                <w:sz w:val="20"/>
                <w:szCs w:val="20"/>
              </w:rPr>
              <w:t>Increased</w:t>
            </w:r>
          </w:p>
        </w:tc>
      </w:tr>
      <w:tr w:rsidR="00D64B22" w:rsidRPr="00B54B68" w14:paraId="0210EB9C" w14:textId="77777777" w:rsidTr="0057293F">
        <w:trPr>
          <w:trHeight w:val="20"/>
        </w:trPr>
        <w:tc>
          <w:tcPr>
            <w:tcW w:w="1717" w:type="dxa"/>
          </w:tcPr>
          <w:p w14:paraId="32094E14" w14:textId="77777777" w:rsidR="008976DC" w:rsidRPr="00B54B68" w:rsidRDefault="008976DC" w:rsidP="00315531">
            <w:pPr>
              <w:rPr>
                <w:rFonts w:cs="Arial"/>
                <w:b/>
                <w:bCs/>
              </w:rPr>
            </w:pPr>
            <w:r w:rsidRPr="00B54B68">
              <w:rPr>
                <w:rFonts w:cs="Arial"/>
                <w:b/>
                <w:bCs/>
              </w:rPr>
              <w:t>Non-pay costs</w:t>
            </w:r>
          </w:p>
        </w:tc>
        <w:tc>
          <w:tcPr>
            <w:tcW w:w="5730" w:type="dxa"/>
          </w:tcPr>
          <w:p w14:paraId="2A051628" w14:textId="77777777" w:rsidR="008976DC" w:rsidRPr="00B54B68" w:rsidRDefault="008976DC" w:rsidP="00315531">
            <w:pPr>
              <w:rPr>
                <w:rFonts w:cs="Arial"/>
              </w:rPr>
            </w:pPr>
            <w:r w:rsidRPr="00B54B68">
              <w:rPr>
                <w:rFonts w:cs="Arial"/>
              </w:rPr>
              <w:t>Non-pay costs currently £28k over budget and forecast to be £110k higher than the budget by the end of the year. Small overspends forecast on several lines.</w:t>
            </w:r>
          </w:p>
        </w:tc>
        <w:tc>
          <w:tcPr>
            <w:tcW w:w="1116" w:type="dxa"/>
          </w:tcPr>
          <w:p w14:paraId="028B4097" w14:textId="77777777" w:rsidR="008976DC" w:rsidRPr="00022979" w:rsidRDefault="008976DC" w:rsidP="00EE7E43">
            <w:pPr>
              <w:jc w:val="center"/>
              <w:rPr>
                <w:rFonts w:cs="Arial"/>
                <w:color w:val="F79646"/>
              </w:rPr>
            </w:pPr>
            <w:r w:rsidRPr="00022979">
              <w:rPr>
                <w:rFonts w:cs="Arial"/>
                <w:color w:val="F79646"/>
              </w:rPr>
              <w:t>●</w:t>
            </w:r>
          </w:p>
          <w:p w14:paraId="202FBB8C" w14:textId="49E7A27D" w:rsidR="00F61262" w:rsidRPr="00B54B68" w:rsidRDefault="00F61262" w:rsidP="00EE7E43">
            <w:pPr>
              <w:jc w:val="center"/>
              <w:rPr>
                <w:rFonts w:cs="Arial"/>
                <w:color w:val="FFB91D"/>
              </w:rPr>
            </w:pPr>
            <w:r w:rsidRPr="00AC54AF">
              <w:rPr>
                <w:rFonts w:cs="Arial"/>
                <w:color w:val="000000" w:themeColor="text1"/>
              </w:rPr>
              <w:t>Amber</w:t>
            </w:r>
          </w:p>
        </w:tc>
        <w:tc>
          <w:tcPr>
            <w:tcW w:w="1377" w:type="dxa"/>
          </w:tcPr>
          <w:p w14:paraId="356EF175" w14:textId="77777777" w:rsidR="008976DC" w:rsidRDefault="008976DC" w:rsidP="00315531">
            <w:pPr>
              <w:rPr>
                <w:rFonts w:cs="Arial"/>
              </w:rPr>
            </w:pPr>
            <w:r w:rsidRPr="00B54B68">
              <w:rPr>
                <w:rFonts w:cs="Arial"/>
                <w:noProof/>
                <w:color w:val="FF0000"/>
              </w:rPr>
              <mc:AlternateContent>
                <mc:Choice Requires="wps">
                  <w:drawing>
                    <wp:anchor distT="0" distB="0" distL="114300" distR="114300" simplePos="0" relativeHeight="251658243" behindDoc="0" locked="0" layoutInCell="1" allowOverlap="1" wp14:anchorId="057115C5" wp14:editId="2EEAD401">
                      <wp:simplePos x="0" y="0"/>
                      <wp:positionH relativeFrom="margin">
                        <wp:posOffset>113030</wp:posOffset>
                      </wp:positionH>
                      <wp:positionV relativeFrom="margin">
                        <wp:posOffset>156845</wp:posOffset>
                      </wp:positionV>
                      <wp:extent cx="356235" cy="454395"/>
                      <wp:effectExtent l="19050" t="0" r="43815" b="41275"/>
                      <wp:wrapNone/>
                      <wp:docPr id="1804884935" name="Arrow: Down 12"/>
                      <wp:cNvGraphicFramePr/>
                      <a:graphic xmlns:a="http://schemas.openxmlformats.org/drawingml/2006/main">
                        <a:graphicData uri="http://schemas.microsoft.com/office/word/2010/wordprocessingShape">
                          <wps:wsp>
                            <wps:cNvSpPr/>
                            <wps:spPr>
                              <a:xfrm>
                                <a:off x="0" y="0"/>
                                <a:ext cx="356235" cy="45439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0910" id="Arrow: Down 12" o:spid="_x0000_s1026" type="#_x0000_t67" style="position:absolute;margin-left:8.9pt;margin-top:12.35pt;width:28.05pt;height:35.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" adj="13133" fillcolor="red" strokecolor="#0a121c [484]" strokeweight="2pt">
                      <w10:wrap anchorx="margin" anchory="margin"/>
                    </v:shape>
                  </w:pict>
                </mc:Fallback>
              </mc:AlternateContent>
            </w:r>
          </w:p>
          <w:p w14:paraId="617F46BD" w14:textId="77777777" w:rsidR="00E405F2" w:rsidRDefault="00E405F2" w:rsidP="00E405F2">
            <w:pPr>
              <w:rPr>
                <w:rFonts w:cs="Arial"/>
              </w:rPr>
            </w:pPr>
          </w:p>
          <w:p w14:paraId="623ABA7B" w14:textId="7777FAFA" w:rsidR="00E405F2" w:rsidRPr="00E405F2" w:rsidRDefault="00E405F2" w:rsidP="00E405F2">
            <w:pPr>
              <w:rPr>
                <w:rFonts w:cs="Arial"/>
              </w:rPr>
            </w:pPr>
            <w:r w:rsidRPr="007930DA">
              <w:rPr>
                <w:rFonts w:cs="Arial"/>
                <w:color w:val="000000" w:themeColor="text1"/>
                <w:sz w:val="20"/>
                <w:szCs w:val="20"/>
              </w:rPr>
              <w:t>Decreased</w:t>
            </w:r>
          </w:p>
        </w:tc>
      </w:tr>
      <w:tr w:rsidR="00D64B22" w:rsidRPr="00B54B68" w14:paraId="6E093E29" w14:textId="77777777" w:rsidTr="0057293F">
        <w:trPr>
          <w:trHeight w:val="20"/>
        </w:trPr>
        <w:tc>
          <w:tcPr>
            <w:tcW w:w="1717" w:type="dxa"/>
          </w:tcPr>
          <w:p w14:paraId="5E2B7ADD" w14:textId="77777777" w:rsidR="008976DC" w:rsidRPr="00B54B68" w:rsidRDefault="008976DC" w:rsidP="00315531">
            <w:pPr>
              <w:rPr>
                <w:rFonts w:cs="Arial"/>
                <w:b/>
                <w:bCs/>
              </w:rPr>
            </w:pPr>
            <w:r w:rsidRPr="00B54B68">
              <w:rPr>
                <w:rFonts w:cs="Arial"/>
                <w:b/>
                <w:bCs/>
              </w:rPr>
              <w:t>EBITDA</w:t>
            </w:r>
          </w:p>
        </w:tc>
        <w:tc>
          <w:tcPr>
            <w:tcW w:w="5730" w:type="dxa"/>
          </w:tcPr>
          <w:p w14:paraId="45155D29" w14:textId="77777777" w:rsidR="008976DC" w:rsidRPr="00B54B68" w:rsidRDefault="008976DC" w:rsidP="00315531">
            <w:pPr>
              <w:rPr>
                <w:rFonts w:cs="Arial"/>
              </w:rPr>
            </w:pPr>
            <w:r w:rsidRPr="00B54B68">
              <w:rPr>
                <w:rFonts w:cs="Arial"/>
              </w:rPr>
              <w:t xml:space="preserve">EBITDA is a £37k deficit </w:t>
            </w:r>
            <w:proofErr w:type="gramStart"/>
            <w:r w:rsidRPr="00B54B68">
              <w:rPr>
                <w:rFonts w:cs="Arial"/>
              </w:rPr>
              <w:t>at</w:t>
            </w:r>
            <w:proofErr w:type="gramEnd"/>
            <w:r w:rsidRPr="00B54B68">
              <w:rPr>
                <w:rFonts w:cs="Arial"/>
              </w:rPr>
              <w:t xml:space="preserve"> 31 January 202X. Forecast for the year is a surplus of £655k (3.2% of income) which is £250k worse than budget.</w:t>
            </w:r>
          </w:p>
        </w:tc>
        <w:tc>
          <w:tcPr>
            <w:tcW w:w="1116" w:type="dxa"/>
          </w:tcPr>
          <w:p w14:paraId="1DEE3FE2" w14:textId="77777777" w:rsidR="008976DC" w:rsidRPr="00945E40" w:rsidRDefault="008976DC" w:rsidP="00EE7E43">
            <w:pPr>
              <w:jc w:val="center"/>
              <w:rPr>
                <w:rFonts w:cs="Arial"/>
                <w:color w:val="ED0000"/>
              </w:rPr>
            </w:pPr>
            <w:r w:rsidRPr="00945E40">
              <w:rPr>
                <w:rFonts w:cs="Arial"/>
                <w:color w:val="ED0000"/>
              </w:rPr>
              <w:t>●</w:t>
            </w:r>
          </w:p>
          <w:p w14:paraId="5FA3B573" w14:textId="7B12D47F" w:rsidR="00F61262" w:rsidRPr="00B54B68" w:rsidRDefault="00F61262" w:rsidP="00EE7E43">
            <w:pPr>
              <w:jc w:val="center"/>
              <w:rPr>
                <w:rFonts w:cs="Arial"/>
              </w:rPr>
            </w:pPr>
            <w:r w:rsidRPr="00AC54AF">
              <w:rPr>
                <w:rFonts w:cs="Arial"/>
                <w:color w:val="000000" w:themeColor="text1"/>
              </w:rPr>
              <w:t>Red</w:t>
            </w:r>
          </w:p>
        </w:tc>
        <w:tc>
          <w:tcPr>
            <w:tcW w:w="1377" w:type="dxa"/>
          </w:tcPr>
          <w:p w14:paraId="45901DD4" w14:textId="77777777" w:rsidR="008976DC" w:rsidRDefault="008976DC" w:rsidP="00315531">
            <w:pPr>
              <w:rPr>
                <w:rFonts w:cs="Arial"/>
              </w:rPr>
            </w:pPr>
            <w:r w:rsidRPr="00B54B68">
              <w:rPr>
                <w:rFonts w:cs="Arial"/>
                <w:noProof/>
                <w:color w:val="FF0000"/>
              </w:rPr>
              <mc:AlternateContent>
                <mc:Choice Requires="wps">
                  <w:drawing>
                    <wp:anchor distT="0" distB="0" distL="114300" distR="114300" simplePos="0" relativeHeight="251658240" behindDoc="0" locked="0" layoutInCell="1" allowOverlap="1" wp14:anchorId="2D842E62" wp14:editId="04F918BA">
                      <wp:simplePos x="0" y="0"/>
                      <wp:positionH relativeFrom="margin">
                        <wp:posOffset>115570</wp:posOffset>
                      </wp:positionH>
                      <wp:positionV relativeFrom="margin">
                        <wp:posOffset>124460</wp:posOffset>
                      </wp:positionV>
                      <wp:extent cx="356235" cy="454395"/>
                      <wp:effectExtent l="19050" t="0" r="43815" b="41275"/>
                      <wp:wrapNone/>
                      <wp:docPr id="306108882" name="Arrow: Down 12"/>
                      <wp:cNvGraphicFramePr/>
                      <a:graphic xmlns:a="http://schemas.openxmlformats.org/drawingml/2006/main">
                        <a:graphicData uri="http://schemas.microsoft.com/office/word/2010/wordprocessingShape">
                          <wps:wsp>
                            <wps:cNvSpPr/>
                            <wps:spPr>
                              <a:xfrm>
                                <a:off x="0" y="0"/>
                                <a:ext cx="356235" cy="45439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71410" id="Arrow: Down 12" o:spid="_x0000_s1026" type="#_x0000_t67" style="position:absolute;margin-left:9.1pt;margin-top:9.8pt;width:28.05pt;height:3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" adj="13133" fillcolor="red" strokecolor="#0a121c [484]" strokeweight="2pt">
                      <w10:wrap anchorx="margin" anchory="margin"/>
                    </v:shape>
                  </w:pict>
                </mc:Fallback>
              </mc:AlternateContent>
            </w:r>
          </w:p>
          <w:p w14:paraId="2097606A" w14:textId="77777777" w:rsidR="00E405F2" w:rsidRDefault="00E405F2" w:rsidP="00E405F2">
            <w:pPr>
              <w:tabs>
                <w:tab w:val="left" w:pos="730"/>
              </w:tabs>
              <w:rPr>
                <w:rFonts w:cs="Arial"/>
              </w:rPr>
            </w:pPr>
            <w:r>
              <w:rPr>
                <w:rFonts w:cs="Arial"/>
              </w:rPr>
              <w:tab/>
            </w:r>
          </w:p>
          <w:p w14:paraId="2674E887" w14:textId="23E569F1" w:rsidR="00E405F2" w:rsidRPr="00E405F2" w:rsidRDefault="00E405F2" w:rsidP="00AC54AF">
            <w:pPr>
              <w:tabs>
                <w:tab w:val="left" w:pos="730"/>
              </w:tabs>
              <w:rPr>
                <w:rFonts w:cs="Arial"/>
              </w:rPr>
            </w:pPr>
            <w:r w:rsidRPr="007930DA">
              <w:rPr>
                <w:rFonts w:cs="Arial"/>
                <w:color w:val="000000" w:themeColor="text1"/>
                <w:sz w:val="20"/>
                <w:szCs w:val="20"/>
              </w:rPr>
              <w:t>Decreased</w:t>
            </w:r>
          </w:p>
        </w:tc>
      </w:tr>
    </w:tbl>
    <w:p w14:paraId="6AF33BA8" w14:textId="77777777" w:rsidR="004307E3" w:rsidRDefault="004307E3" w:rsidP="008976DC">
      <w:pPr>
        <w:rPr>
          <w:rFonts w:cs="Arial"/>
          <w:b/>
          <w:bCs/>
          <w:sz w:val="28"/>
          <w:szCs w:val="28"/>
        </w:rPr>
      </w:pPr>
    </w:p>
    <w:p w14:paraId="499F7B18" w14:textId="66E143CF" w:rsidR="00C24EBD" w:rsidRPr="005065C3" w:rsidRDefault="00C24EBD" w:rsidP="008976DC">
      <w:pPr>
        <w:rPr>
          <w:rFonts w:cs="Arial"/>
          <w:b/>
          <w:bCs/>
          <w:sz w:val="28"/>
          <w:szCs w:val="28"/>
        </w:rPr>
      </w:pPr>
      <w:r w:rsidRPr="005065C3">
        <w:rPr>
          <w:rFonts w:cs="Arial"/>
          <w:b/>
          <w:bCs/>
          <w:sz w:val="28"/>
          <w:szCs w:val="28"/>
        </w:rPr>
        <w:t>Balance Sheet</w:t>
      </w:r>
    </w:p>
    <w:tbl>
      <w:tblPr>
        <w:tblStyle w:val="TableGrid"/>
        <w:tblW w:w="9940" w:type="dxa"/>
        <w:tblInd w:w="-5" w:type="dxa"/>
        <w:tblLook w:val="04A0" w:firstRow="1" w:lastRow="0" w:firstColumn="1" w:lastColumn="0" w:noHBand="0" w:noVBand="1"/>
      </w:tblPr>
      <w:tblGrid>
        <w:gridCol w:w="1717"/>
        <w:gridCol w:w="5729"/>
        <w:gridCol w:w="1117"/>
        <w:gridCol w:w="1377"/>
      </w:tblGrid>
      <w:tr w:rsidR="00CD245A" w:rsidRPr="00E405F2" w14:paraId="4540CA80" w14:textId="77777777" w:rsidTr="00DE7F9A">
        <w:trPr>
          <w:trHeight w:val="20"/>
        </w:trPr>
        <w:tc>
          <w:tcPr>
            <w:tcW w:w="1717" w:type="dxa"/>
          </w:tcPr>
          <w:p w14:paraId="25577EA6" w14:textId="11CB9AB8" w:rsidR="00CD245A" w:rsidRPr="00B54B68" w:rsidRDefault="00CD245A" w:rsidP="00CD245A">
            <w:pPr>
              <w:rPr>
                <w:rFonts w:cs="Arial"/>
                <w:b/>
                <w:bCs/>
              </w:rPr>
            </w:pPr>
            <w:r w:rsidRPr="00B54B68">
              <w:rPr>
                <w:rFonts w:cs="Arial"/>
                <w:b/>
                <w:bCs/>
              </w:rPr>
              <w:t>Indicator</w:t>
            </w:r>
          </w:p>
        </w:tc>
        <w:tc>
          <w:tcPr>
            <w:tcW w:w="5729" w:type="dxa"/>
          </w:tcPr>
          <w:p w14:paraId="28A270A3" w14:textId="4AFB3AF1" w:rsidR="00CD245A" w:rsidRPr="00B54B68" w:rsidRDefault="00CD245A" w:rsidP="00CD245A">
            <w:pPr>
              <w:rPr>
                <w:rFonts w:cs="Arial"/>
              </w:rPr>
            </w:pPr>
            <w:r w:rsidRPr="00B54B68">
              <w:rPr>
                <w:rFonts w:cs="Arial"/>
                <w:b/>
                <w:bCs/>
              </w:rPr>
              <w:t>Current Status</w:t>
            </w:r>
          </w:p>
        </w:tc>
        <w:tc>
          <w:tcPr>
            <w:tcW w:w="1117" w:type="dxa"/>
          </w:tcPr>
          <w:p w14:paraId="7AC7D7E1" w14:textId="23110EF0" w:rsidR="00CD245A" w:rsidRPr="00B54B68" w:rsidRDefault="00CD245A" w:rsidP="00CD245A">
            <w:pPr>
              <w:jc w:val="center"/>
              <w:rPr>
                <w:rFonts w:cs="Arial"/>
                <w:color w:val="FFB91D"/>
              </w:rPr>
            </w:pPr>
            <w:r w:rsidRPr="00B54B68">
              <w:rPr>
                <w:rFonts w:cs="Arial"/>
                <w:b/>
                <w:bCs/>
              </w:rPr>
              <w:t>RAG</w:t>
            </w:r>
          </w:p>
        </w:tc>
        <w:tc>
          <w:tcPr>
            <w:tcW w:w="1377" w:type="dxa"/>
          </w:tcPr>
          <w:p w14:paraId="5FB1DB8E" w14:textId="6076C96E" w:rsidR="00CD245A" w:rsidRPr="00B54B68" w:rsidRDefault="00CD245A" w:rsidP="00CD245A">
            <w:pPr>
              <w:rPr>
                <w:rFonts w:cs="Arial"/>
                <w:noProof/>
                <w:color w:val="FF0000"/>
              </w:rPr>
            </w:pPr>
            <w:r w:rsidRPr="00B54B68">
              <w:rPr>
                <w:rFonts w:cs="Arial"/>
                <w:b/>
                <w:bCs/>
              </w:rPr>
              <w:t>Change</w:t>
            </w:r>
          </w:p>
        </w:tc>
      </w:tr>
      <w:tr w:rsidR="00CD245A" w:rsidRPr="00E405F2" w14:paraId="469E5417" w14:textId="77777777" w:rsidTr="00DE7F9A">
        <w:trPr>
          <w:trHeight w:val="20"/>
        </w:trPr>
        <w:tc>
          <w:tcPr>
            <w:tcW w:w="1717" w:type="dxa"/>
          </w:tcPr>
          <w:p w14:paraId="37901B71" w14:textId="77777777" w:rsidR="00CD245A" w:rsidRPr="00B54B68" w:rsidRDefault="00CD245A" w:rsidP="00CD245A">
            <w:pPr>
              <w:rPr>
                <w:rFonts w:cs="Arial"/>
                <w:b/>
                <w:bCs/>
              </w:rPr>
            </w:pPr>
            <w:r w:rsidRPr="00B54B68">
              <w:rPr>
                <w:rFonts w:cs="Arial"/>
                <w:b/>
                <w:bCs/>
              </w:rPr>
              <w:t>Cash</w:t>
            </w:r>
          </w:p>
        </w:tc>
        <w:tc>
          <w:tcPr>
            <w:tcW w:w="5729" w:type="dxa"/>
          </w:tcPr>
          <w:p w14:paraId="2E799352" w14:textId="77777777" w:rsidR="00CD245A" w:rsidRPr="00B54B68" w:rsidRDefault="00CD245A" w:rsidP="00CD245A">
            <w:pPr>
              <w:rPr>
                <w:rFonts w:cs="Arial"/>
              </w:rPr>
            </w:pPr>
            <w:r w:rsidRPr="00B54B68">
              <w:rPr>
                <w:rFonts w:cs="Arial"/>
              </w:rPr>
              <w:t>Year-end balance will reduce by £700k as insufficient cash being generated to cover debt servicing and planned capital expenditure. Cash will be £200k lower than budget.</w:t>
            </w:r>
          </w:p>
        </w:tc>
        <w:tc>
          <w:tcPr>
            <w:tcW w:w="1117" w:type="dxa"/>
          </w:tcPr>
          <w:p w14:paraId="09157F64" w14:textId="77777777" w:rsidR="00CD245A" w:rsidRPr="00022979" w:rsidRDefault="00CD245A" w:rsidP="00CD245A">
            <w:pPr>
              <w:jc w:val="center"/>
              <w:rPr>
                <w:rFonts w:cs="Arial"/>
                <w:color w:val="F79646"/>
              </w:rPr>
            </w:pPr>
            <w:r w:rsidRPr="00022979">
              <w:rPr>
                <w:rFonts w:cs="Arial"/>
                <w:color w:val="F79646"/>
              </w:rPr>
              <w:t>●</w:t>
            </w:r>
          </w:p>
          <w:p w14:paraId="18C4E790" w14:textId="77777777" w:rsidR="00CD245A" w:rsidRPr="00B54B68" w:rsidRDefault="00CD245A" w:rsidP="00CD245A">
            <w:pPr>
              <w:jc w:val="center"/>
              <w:rPr>
                <w:rFonts w:cs="Arial"/>
              </w:rPr>
            </w:pPr>
            <w:r w:rsidRPr="00AC54AF">
              <w:rPr>
                <w:rFonts w:cs="Arial"/>
                <w:color w:val="000000" w:themeColor="text1"/>
              </w:rPr>
              <w:t>Amber</w:t>
            </w:r>
          </w:p>
        </w:tc>
        <w:tc>
          <w:tcPr>
            <w:tcW w:w="1377" w:type="dxa"/>
          </w:tcPr>
          <w:p w14:paraId="54F436AF" w14:textId="77777777" w:rsidR="00CD245A" w:rsidRDefault="00CD245A" w:rsidP="00CD245A">
            <w:pPr>
              <w:rPr>
                <w:rFonts w:cs="Arial"/>
              </w:rPr>
            </w:pPr>
            <w:r w:rsidRPr="00B54B68">
              <w:rPr>
                <w:rFonts w:cs="Arial"/>
                <w:noProof/>
                <w:color w:val="FF0000"/>
              </w:rPr>
              <mc:AlternateContent>
                <mc:Choice Requires="wps">
                  <w:drawing>
                    <wp:anchor distT="0" distB="0" distL="114300" distR="114300" simplePos="0" relativeHeight="251658249" behindDoc="0" locked="0" layoutInCell="1" allowOverlap="1" wp14:anchorId="66C4487C" wp14:editId="131D9CBC">
                      <wp:simplePos x="0" y="0"/>
                      <wp:positionH relativeFrom="margin">
                        <wp:posOffset>100965</wp:posOffset>
                      </wp:positionH>
                      <wp:positionV relativeFrom="margin">
                        <wp:posOffset>153035</wp:posOffset>
                      </wp:positionV>
                      <wp:extent cx="356235" cy="454395"/>
                      <wp:effectExtent l="19050" t="0" r="43815" b="41275"/>
                      <wp:wrapNone/>
                      <wp:docPr id="204972753" name="Arrow: Down 12"/>
                      <wp:cNvGraphicFramePr/>
                      <a:graphic xmlns:a="http://schemas.openxmlformats.org/drawingml/2006/main">
                        <a:graphicData uri="http://schemas.microsoft.com/office/word/2010/wordprocessingShape">
                          <wps:wsp>
                            <wps:cNvSpPr/>
                            <wps:spPr>
                              <a:xfrm>
                                <a:off x="0" y="0"/>
                                <a:ext cx="356235" cy="45439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7669B" id="Arrow: Down 12" o:spid="_x0000_s1026" type="#_x0000_t67" style="position:absolute;margin-left:7.95pt;margin-top:12.05pt;width:28.05pt;height:35.8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" adj="13133" fillcolor="red" strokecolor="#0a121c [484]" strokeweight="2pt">
                      <w10:wrap anchorx="margin" anchory="margin"/>
                    </v:shape>
                  </w:pict>
                </mc:Fallback>
              </mc:AlternateContent>
            </w:r>
          </w:p>
          <w:p w14:paraId="37E2BA55" w14:textId="77777777" w:rsidR="00CD245A" w:rsidRDefault="00CD245A" w:rsidP="00CD245A">
            <w:pPr>
              <w:tabs>
                <w:tab w:val="left" w:pos="840"/>
              </w:tabs>
              <w:rPr>
                <w:rFonts w:cs="Arial"/>
              </w:rPr>
            </w:pPr>
            <w:r>
              <w:rPr>
                <w:rFonts w:cs="Arial"/>
              </w:rPr>
              <w:tab/>
            </w:r>
          </w:p>
          <w:p w14:paraId="101311CB" w14:textId="77777777" w:rsidR="00CD245A" w:rsidRPr="00E405F2" w:rsidRDefault="00CD245A" w:rsidP="00CD245A">
            <w:pPr>
              <w:tabs>
                <w:tab w:val="left" w:pos="840"/>
              </w:tabs>
              <w:rPr>
                <w:rFonts w:cs="Arial"/>
              </w:rPr>
            </w:pPr>
            <w:r w:rsidRPr="007930DA">
              <w:rPr>
                <w:rFonts w:cs="Arial"/>
                <w:color w:val="000000" w:themeColor="text1"/>
                <w:sz w:val="20"/>
                <w:szCs w:val="20"/>
              </w:rPr>
              <w:t>Decreased</w:t>
            </w:r>
          </w:p>
        </w:tc>
      </w:tr>
      <w:tr w:rsidR="00CD245A" w:rsidRPr="00B54B68" w14:paraId="055FF229" w14:textId="77777777" w:rsidTr="00DE7F9A">
        <w:trPr>
          <w:trHeight w:val="20"/>
        </w:trPr>
        <w:tc>
          <w:tcPr>
            <w:tcW w:w="1717" w:type="dxa"/>
          </w:tcPr>
          <w:p w14:paraId="430CCACD" w14:textId="77777777" w:rsidR="00CD245A" w:rsidRPr="00B54B68" w:rsidRDefault="00CD245A" w:rsidP="00CD245A">
            <w:pPr>
              <w:rPr>
                <w:rFonts w:cs="Arial"/>
                <w:b/>
                <w:bCs/>
              </w:rPr>
            </w:pPr>
            <w:r w:rsidRPr="00B54B68">
              <w:rPr>
                <w:rFonts w:cs="Arial"/>
                <w:b/>
                <w:bCs/>
              </w:rPr>
              <w:t>Capital Programme</w:t>
            </w:r>
          </w:p>
        </w:tc>
        <w:tc>
          <w:tcPr>
            <w:tcW w:w="5729" w:type="dxa"/>
          </w:tcPr>
          <w:p w14:paraId="5CCCE925" w14:textId="77777777" w:rsidR="00CD245A" w:rsidRPr="00B54B68" w:rsidRDefault="00CD245A" w:rsidP="00CD245A">
            <w:pPr>
              <w:rPr>
                <w:rFonts w:cs="Arial"/>
              </w:rPr>
            </w:pPr>
            <w:r w:rsidRPr="00B54B68">
              <w:rPr>
                <w:rFonts w:cs="Arial"/>
              </w:rPr>
              <w:t>All planned capital expenditure on track.</w:t>
            </w:r>
          </w:p>
        </w:tc>
        <w:tc>
          <w:tcPr>
            <w:tcW w:w="1117" w:type="dxa"/>
          </w:tcPr>
          <w:p w14:paraId="3C192601" w14:textId="77777777" w:rsidR="00CD245A" w:rsidRPr="00022979" w:rsidRDefault="00CD245A" w:rsidP="00CD245A">
            <w:pPr>
              <w:jc w:val="center"/>
              <w:rPr>
                <w:rFonts w:cs="Arial"/>
                <w:color w:val="F79646"/>
              </w:rPr>
            </w:pPr>
            <w:r w:rsidRPr="00022979">
              <w:rPr>
                <w:rFonts w:cs="Arial"/>
                <w:color w:val="F79646"/>
              </w:rPr>
              <w:t>●</w:t>
            </w:r>
          </w:p>
          <w:p w14:paraId="2BD3CDFB" w14:textId="77777777" w:rsidR="00CD245A" w:rsidRPr="00B54B68" w:rsidRDefault="00CD245A" w:rsidP="00CD245A">
            <w:pPr>
              <w:jc w:val="center"/>
              <w:rPr>
                <w:rFonts w:cs="Arial"/>
              </w:rPr>
            </w:pPr>
            <w:r w:rsidRPr="00AC54AF">
              <w:rPr>
                <w:rFonts w:cs="Arial"/>
                <w:color w:val="000000" w:themeColor="text1"/>
              </w:rPr>
              <w:t>Amber</w:t>
            </w:r>
          </w:p>
        </w:tc>
        <w:tc>
          <w:tcPr>
            <w:tcW w:w="1377" w:type="dxa"/>
          </w:tcPr>
          <w:p w14:paraId="7791D2F3" w14:textId="77777777" w:rsidR="00CD245A" w:rsidRDefault="00CD245A" w:rsidP="00CD245A">
            <w:pPr>
              <w:tabs>
                <w:tab w:val="left" w:pos="870"/>
              </w:tabs>
              <w:rPr>
                <w:rFonts w:cs="Arial"/>
              </w:rPr>
            </w:pPr>
            <w:r w:rsidRPr="00B54B68">
              <w:rPr>
                <w:rFonts w:cs="Arial"/>
                <w:noProof/>
              </w:rPr>
              <mc:AlternateContent>
                <mc:Choice Requires="wps">
                  <w:drawing>
                    <wp:anchor distT="0" distB="0" distL="114300" distR="114300" simplePos="0" relativeHeight="251658250" behindDoc="0" locked="0" layoutInCell="1" allowOverlap="1" wp14:anchorId="72128A0C" wp14:editId="4C46DF93">
                      <wp:simplePos x="0" y="0"/>
                      <wp:positionH relativeFrom="margin">
                        <wp:posOffset>55880</wp:posOffset>
                      </wp:positionH>
                      <wp:positionV relativeFrom="paragraph">
                        <wp:posOffset>78105</wp:posOffset>
                      </wp:positionV>
                      <wp:extent cx="502484" cy="252095"/>
                      <wp:effectExtent l="0" t="0" r="0" b="0"/>
                      <wp:wrapNone/>
                      <wp:docPr id="1619704572" name="Equals 13"/>
                      <wp:cNvGraphicFramePr/>
                      <a:graphic xmlns:a="http://schemas.openxmlformats.org/drawingml/2006/main">
                        <a:graphicData uri="http://schemas.microsoft.com/office/word/2010/wordprocessingShape">
                          <wps:wsp>
                            <wps:cNvSpPr/>
                            <wps:spPr>
                              <a:xfrm>
                                <a:off x="0" y="0"/>
                                <a:ext cx="502484" cy="252095"/>
                              </a:xfrm>
                              <a:prstGeom prst="mathEqual">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9D94E" id="Equals 13" o:spid="_x0000_s1026" style="position:absolute;margin-left:4.4pt;margin-top:6.15pt;width:39.55pt;height:19.8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02484,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" path="m66604,51932r369276,l435880,111224r-369276,l66604,51932xm66604,140871r369276,l435880,200163r-369276,l66604,140871xe" fillcolor="#ffc000" strokecolor="#0a121c [484]" strokeweight="2pt">
                      <v:path arrowok="t" o:connecttype="custom" o:connectlocs="66604,51932;435880,51932;435880,111224;66604,111224;66604,51932;66604,140871;435880,140871;435880,200163;66604,200163;66604,140871" o:connectangles="0,0,0,0,0,0,0,0,0,0"/>
                      <w10:wrap anchorx="margin"/>
                    </v:shape>
                  </w:pict>
                </mc:Fallback>
              </mc:AlternateContent>
            </w:r>
            <w:r>
              <w:rPr>
                <w:rFonts w:cs="Arial"/>
              </w:rPr>
              <w:tab/>
            </w:r>
          </w:p>
          <w:p w14:paraId="30569A08" w14:textId="77777777" w:rsidR="00CD245A" w:rsidRPr="00B54B68" w:rsidRDefault="00CD245A" w:rsidP="00CD245A">
            <w:pPr>
              <w:tabs>
                <w:tab w:val="left" w:pos="870"/>
              </w:tabs>
              <w:rPr>
                <w:rFonts w:cs="Arial"/>
              </w:rPr>
            </w:pPr>
            <w:r w:rsidRPr="007930DA">
              <w:rPr>
                <w:rFonts w:cs="Arial"/>
                <w:color w:val="000000" w:themeColor="text1"/>
                <w:sz w:val="20"/>
                <w:szCs w:val="20"/>
              </w:rPr>
              <w:t>No change</w:t>
            </w:r>
          </w:p>
        </w:tc>
      </w:tr>
      <w:tr w:rsidR="00CD245A" w:rsidRPr="00B54B68" w14:paraId="1EA38912" w14:textId="77777777" w:rsidTr="00DE7F9A">
        <w:trPr>
          <w:trHeight w:val="20"/>
        </w:trPr>
        <w:tc>
          <w:tcPr>
            <w:tcW w:w="1717" w:type="dxa"/>
          </w:tcPr>
          <w:p w14:paraId="4CD9CCC9" w14:textId="77777777" w:rsidR="00CD245A" w:rsidRPr="00B54B68" w:rsidRDefault="00CD245A" w:rsidP="00CD245A">
            <w:pPr>
              <w:rPr>
                <w:rFonts w:cs="Arial"/>
                <w:b/>
                <w:bCs/>
              </w:rPr>
            </w:pPr>
            <w:r w:rsidRPr="00B54B68">
              <w:rPr>
                <w:rFonts w:cs="Arial"/>
                <w:b/>
                <w:bCs/>
              </w:rPr>
              <w:t>Asset Disposals</w:t>
            </w:r>
          </w:p>
        </w:tc>
        <w:tc>
          <w:tcPr>
            <w:tcW w:w="5729" w:type="dxa"/>
          </w:tcPr>
          <w:p w14:paraId="5A921635" w14:textId="77777777" w:rsidR="00CD245A" w:rsidRPr="00B54B68" w:rsidRDefault="00CD245A" w:rsidP="00CD245A">
            <w:pPr>
              <w:rPr>
                <w:rFonts w:cs="Arial"/>
              </w:rPr>
            </w:pPr>
            <w:r w:rsidRPr="00B54B68">
              <w:rPr>
                <w:rFonts w:cs="Arial"/>
              </w:rPr>
              <w:t>No major asset disposals planned.</w:t>
            </w:r>
          </w:p>
        </w:tc>
        <w:tc>
          <w:tcPr>
            <w:tcW w:w="1117" w:type="dxa"/>
          </w:tcPr>
          <w:p w14:paraId="316ACB44" w14:textId="77777777" w:rsidR="00CD245A" w:rsidRPr="00022979" w:rsidRDefault="00CD245A" w:rsidP="00CD245A">
            <w:pPr>
              <w:jc w:val="center"/>
              <w:rPr>
                <w:rFonts w:cs="Arial"/>
                <w:color w:val="F79646"/>
              </w:rPr>
            </w:pPr>
            <w:r w:rsidRPr="00022979">
              <w:rPr>
                <w:rFonts w:cs="Arial"/>
                <w:color w:val="F79646"/>
              </w:rPr>
              <w:t>●</w:t>
            </w:r>
          </w:p>
          <w:p w14:paraId="6904CBA3" w14:textId="77777777" w:rsidR="00CD245A" w:rsidRPr="00B54B68" w:rsidRDefault="00CD245A" w:rsidP="00CD245A">
            <w:pPr>
              <w:jc w:val="center"/>
              <w:rPr>
                <w:rFonts w:cs="Arial"/>
              </w:rPr>
            </w:pPr>
            <w:r w:rsidRPr="00AC54AF">
              <w:rPr>
                <w:rFonts w:cs="Arial"/>
                <w:color w:val="000000" w:themeColor="text1"/>
              </w:rPr>
              <w:t>Amber</w:t>
            </w:r>
          </w:p>
        </w:tc>
        <w:tc>
          <w:tcPr>
            <w:tcW w:w="1377" w:type="dxa"/>
          </w:tcPr>
          <w:p w14:paraId="7805278B" w14:textId="77777777" w:rsidR="00CD245A" w:rsidRDefault="00CD245A" w:rsidP="00CD245A">
            <w:pPr>
              <w:tabs>
                <w:tab w:val="left" w:pos="890"/>
              </w:tabs>
              <w:rPr>
                <w:rFonts w:cs="Arial"/>
              </w:rPr>
            </w:pPr>
            <w:r w:rsidRPr="00B54B68">
              <w:rPr>
                <w:rFonts w:cs="Arial"/>
                <w:noProof/>
              </w:rPr>
              <mc:AlternateContent>
                <mc:Choice Requires="wps">
                  <w:drawing>
                    <wp:anchor distT="0" distB="0" distL="114300" distR="114300" simplePos="0" relativeHeight="251658251" behindDoc="0" locked="0" layoutInCell="1" allowOverlap="1" wp14:anchorId="55FBF5EC" wp14:editId="3E1651AD">
                      <wp:simplePos x="0" y="0"/>
                      <wp:positionH relativeFrom="margin">
                        <wp:posOffset>100330</wp:posOffset>
                      </wp:positionH>
                      <wp:positionV relativeFrom="paragraph">
                        <wp:posOffset>107315</wp:posOffset>
                      </wp:positionV>
                      <wp:extent cx="502484" cy="252095"/>
                      <wp:effectExtent l="0" t="0" r="0" b="0"/>
                      <wp:wrapNone/>
                      <wp:docPr id="856541316" name="Equals 13"/>
                      <wp:cNvGraphicFramePr/>
                      <a:graphic xmlns:a="http://schemas.openxmlformats.org/drawingml/2006/main">
                        <a:graphicData uri="http://schemas.microsoft.com/office/word/2010/wordprocessingShape">
                          <wps:wsp>
                            <wps:cNvSpPr/>
                            <wps:spPr>
                              <a:xfrm>
                                <a:off x="0" y="0"/>
                                <a:ext cx="502484" cy="252095"/>
                              </a:xfrm>
                              <a:prstGeom prst="mathEqual">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3668" id="Equals 13" o:spid="_x0000_s1026" style="position:absolute;margin-left:7.9pt;margin-top:8.45pt;width:39.55pt;height:19.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02484,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" path="m66604,51932r369276,l435880,111224r-369276,l66604,51932xm66604,140871r369276,l435880,200163r-369276,l66604,140871xe" fillcolor="#ffc000" strokecolor="#0a121c [484]" strokeweight="2pt">
                      <v:path arrowok="t" o:connecttype="custom" o:connectlocs="66604,51932;435880,51932;435880,111224;66604,111224;66604,51932;66604,140871;435880,140871;435880,200163;66604,200163;66604,140871" o:connectangles="0,0,0,0,0,0,0,0,0,0"/>
                      <w10:wrap anchorx="margin"/>
                    </v:shape>
                  </w:pict>
                </mc:Fallback>
              </mc:AlternateContent>
            </w:r>
            <w:r>
              <w:rPr>
                <w:rFonts w:cs="Arial"/>
              </w:rPr>
              <w:tab/>
            </w:r>
          </w:p>
          <w:p w14:paraId="78CAFEF2" w14:textId="77777777" w:rsidR="00CD245A" w:rsidRPr="00B54B68" w:rsidRDefault="00CD245A" w:rsidP="00CD245A">
            <w:pPr>
              <w:tabs>
                <w:tab w:val="left" w:pos="890"/>
              </w:tabs>
              <w:rPr>
                <w:rFonts w:cs="Arial"/>
              </w:rPr>
            </w:pPr>
            <w:r w:rsidRPr="007930DA">
              <w:rPr>
                <w:rFonts w:cs="Arial"/>
                <w:color w:val="000000" w:themeColor="text1"/>
                <w:sz w:val="20"/>
                <w:szCs w:val="20"/>
              </w:rPr>
              <w:t>No change</w:t>
            </w:r>
          </w:p>
        </w:tc>
      </w:tr>
      <w:tr w:rsidR="00CD245A" w:rsidRPr="00E405F2" w14:paraId="3EB9537A" w14:textId="77777777" w:rsidTr="00DE7F9A">
        <w:trPr>
          <w:trHeight w:val="20"/>
        </w:trPr>
        <w:tc>
          <w:tcPr>
            <w:tcW w:w="1717" w:type="dxa"/>
          </w:tcPr>
          <w:p w14:paraId="02CE3476" w14:textId="77777777" w:rsidR="00CD245A" w:rsidRPr="00B54B68" w:rsidRDefault="00CD245A" w:rsidP="00CD245A">
            <w:pPr>
              <w:rPr>
                <w:rFonts w:cs="Arial"/>
                <w:b/>
                <w:bCs/>
              </w:rPr>
            </w:pPr>
            <w:r w:rsidRPr="00B54B68">
              <w:rPr>
                <w:rFonts w:cs="Arial"/>
                <w:b/>
                <w:bCs/>
              </w:rPr>
              <w:t>Covenant compliance</w:t>
            </w:r>
          </w:p>
        </w:tc>
        <w:tc>
          <w:tcPr>
            <w:tcW w:w="5729" w:type="dxa"/>
          </w:tcPr>
          <w:p w14:paraId="3BBF39D5" w14:textId="77777777" w:rsidR="00CD245A" w:rsidRPr="00B54B68" w:rsidRDefault="00CD245A" w:rsidP="00CD245A">
            <w:pPr>
              <w:rPr>
                <w:rFonts w:cs="Arial"/>
              </w:rPr>
            </w:pPr>
            <w:r w:rsidRPr="00B54B68">
              <w:rPr>
                <w:rFonts w:cs="Arial"/>
              </w:rPr>
              <w:t>Current full year forecast indicates that the college will breach two of the three covenants. The DfE has been informed of the risk.  Discussions are on-going with the bank and external auditors.</w:t>
            </w:r>
          </w:p>
        </w:tc>
        <w:tc>
          <w:tcPr>
            <w:tcW w:w="1117" w:type="dxa"/>
          </w:tcPr>
          <w:p w14:paraId="321A653E" w14:textId="77777777" w:rsidR="00CD245A" w:rsidRPr="00F45F7A" w:rsidRDefault="00CD245A" w:rsidP="00CD245A">
            <w:pPr>
              <w:jc w:val="center"/>
              <w:rPr>
                <w:rFonts w:cs="Arial"/>
                <w:color w:val="ED0000"/>
              </w:rPr>
            </w:pPr>
            <w:r w:rsidRPr="00F45F7A">
              <w:rPr>
                <w:rFonts w:cs="Arial"/>
                <w:color w:val="ED0000"/>
              </w:rPr>
              <w:t>●</w:t>
            </w:r>
          </w:p>
          <w:p w14:paraId="39AAC33B" w14:textId="77777777" w:rsidR="00CD245A" w:rsidRPr="00B54B68" w:rsidRDefault="00CD245A" w:rsidP="00CD245A">
            <w:pPr>
              <w:jc w:val="center"/>
              <w:rPr>
                <w:rFonts w:cs="Arial"/>
              </w:rPr>
            </w:pPr>
            <w:r w:rsidRPr="00AC54AF">
              <w:rPr>
                <w:rFonts w:cs="Arial"/>
                <w:color w:val="000000" w:themeColor="text1"/>
              </w:rPr>
              <w:t>Red</w:t>
            </w:r>
          </w:p>
        </w:tc>
        <w:tc>
          <w:tcPr>
            <w:tcW w:w="1377" w:type="dxa"/>
          </w:tcPr>
          <w:p w14:paraId="671081C0" w14:textId="77777777" w:rsidR="00CD245A" w:rsidRDefault="00CD245A" w:rsidP="00CD245A">
            <w:pPr>
              <w:rPr>
                <w:rFonts w:cs="Arial"/>
              </w:rPr>
            </w:pPr>
            <w:r w:rsidRPr="00B54B68">
              <w:rPr>
                <w:rFonts w:cs="Arial"/>
                <w:noProof/>
                <w:color w:val="FF0000"/>
              </w:rPr>
              <mc:AlternateContent>
                <mc:Choice Requires="wps">
                  <w:drawing>
                    <wp:anchor distT="0" distB="0" distL="114300" distR="114300" simplePos="0" relativeHeight="251658252" behindDoc="0" locked="0" layoutInCell="1" allowOverlap="1" wp14:anchorId="794825BF" wp14:editId="5FDD10AA">
                      <wp:simplePos x="0" y="0"/>
                      <wp:positionH relativeFrom="margin">
                        <wp:posOffset>178435</wp:posOffset>
                      </wp:positionH>
                      <wp:positionV relativeFrom="margin">
                        <wp:posOffset>140335</wp:posOffset>
                      </wp:positionV>
                      <wp:extent cx="356235" cy="454395"/>
                      <wp:effectExtent l="19050" t="0" r="43815" b="41275"/>
                      <wp:wrapNone/>
                      <wp:docPr id="556153859" name="Arrow: Down 12"/>
                      <wp:cNvGraphicFramePr/>
                      <a:graphic xmlns:a="http://schemas.openxmlformats.org/drawingml/2006/main">
                        <a:graphicData uri="http://schemas.microsoft.com/office/word/2010/wordprocessingShape">
                          <wps:wsp>
                            <wps:cNvSpPr/>
                            <wps:spPr>
                              <a:xfrm>
                                <a:off x="0" y="0"/>
                                <a:ext cx="356235" cy="45439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360F1" id="Arrow: Down 12" o:spid="_x0000_s1026" type="#_x0000_t67" style="position:absolute;margin-left:14.05pt;margin-top:11.05pt;width:28.05pt;height:35.8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" adj="13133" fillcolor="red" strokecolor="#0a121c [484]" strokeweight="2pt">
                      <w10:wrap anchorx="margin" anchory="margin"/>
                    </v:shape>
                  </w:pict>
                </mc:Fallback>
              </mc:AlternateContent>
            </w:r>
          </w:p>
          <w:p w14:paraId="7F4EA259" w14:textId="77777777" w:rsidR="00CD245A" w:rsidRDefault="00CD245A" w:rsidP="00CD245A">
            <w:pPr>
              <w:tabs>
                <w:tab w:val="left" w:pos="900"/>
              </w:tabs>
              <w:rPr>
                <w:rFonts w:cs="Arial"/>
              </w:rPr>
            </w:pPr>
            <w:r>
              <w:rPr>
                <w:rFonts w:cs="Arial"/>
              </w:rPr>
              <w:tab/>
            </w:r>
          </w:p>
          <w:p w14:paraId="06B73D5A" w14:textId="77777777" w:rsidR="00CD245A" w:rsidRPr="00E405F2" w:rsidRDefault="00CD245A" w:rsidP="00CD245A">
            <w:pPr>
              <w:tabs>
                <w:tab w:val="left" w:pos="900"/>
              </w:tabs>
              <w:rPr>
                <w:rFonts w:cs="Arial"/>
              </w:rPr>
            </w:pPr>
            <w:r w:rsidRPr="00AC54AF">
              <w:rPr>
                <w:rFonts w:cs="Arial"/>
                <w:color w:val="000000" w:themeColor="text1"/>
              </w:rPr>
              <w:t>Decreased</w:t>
            </w:r>
          </w:p>
        </w:tc>
      </w:tr>
    </w:tbl>
    <w:p w14:paraId="7E6E662F" w14:textId="77777777" w:rsidR="00626C67" w:rsidRPr="005065C3" w:rsidRDefault="00626C67" w:rsidP="008976DC">
      <w:pPr>
        <w:rPr>
          <w:rFonts w:cs="Arial"/>
          <w:b/>
          <w:bCs/>
          <w:sz w:val="32"/>
          <w:szCs w:val="32"/>
        </w:rPr>
      </w:pPr>
    </w:p>
    <w:p w14:paraId="626AF9E4" w14:textId="430060B8" w:rsidR="00C24EBD" w:rsidRPr="005065C3" w:rsidRDefault="005065C3" w:rsidP="008976DC">
      <w:pPr>
        <w:rPr>
          <w:rFonts w:cs="Arial"/>
          <w:b/>
          <w:bCs/>
          <w:sz w:val="28"/>
          <w:szCs w:val="28"/>
        </w:rPr>
      </w:pPr>
      <w:r w:rsidRPr="005065C3">
        <w:rPr>
          <w:rFonts w:cs="Arial"/>
          <w:b/>
          <w:bCs/>
          <w:sz w:val="28"/>
          <w:szCs w:val="28"/>
        </w:rPr>
        <w:t>Financial Health</w:t>
      </w:r>
    </w:p>
    <w:tbl>
      <w:tblPr>
        <w:tblStyle w:val="TableGrid"/>
        <w:tblW w:w="9940" w:type="dxa"/>
        <w:tblInd w:w="-5" w:type="dxa"/>
        <w:tblLook w:val="04A0" w:firstRow="1" w:lastRow="0" w:firstColumn="1" w:lastColumn="0" w:noHBand="0" w:noVBand="1"/>
      </w:tblPr>
      <w:tblGrid>
        <w:gridCol w:w="1697"/>
        <w:gridCol w:w="20"/>
        <w:gridCol w:w="5729"/>
        <w:gridCol w:w="19"/>
        <w:gridCol w:w="1098"/>
        <w:gridCol w:w="1377"/>
      </w:tblGrid>
      <w:tr w:rsidR="00CD245A" w:rsidRPr="00B54B68" w14:paraId="42D1B32C" w14:textId="77777777" w:rsidTr="00315531">
        <w:trPr>
          <w:trHeight w:val="20"/>
        </w:trPr>
        <w:tc>
          <w:tcPr>
            <w:tcW w:w="1717" w:type="dxa"/>
            <w:gridSpan w:val="2"/>
          </w:tcPr>
          <w:p w14:paraId="1146E02D" w14:textId="77777777" w:rsidR="00CD245A" w:rsidRPr="00B54B68" w:rsidRDefault="00CD245A" w:rsidP="00315531">
            <w:pPr>
              <w:rPr>
                <w:rFonts w:cs="Arial"/>
                <w:b/>
                <w:bCs/>
              </w:rPr>
            </w:pPr>
            <w:r w:rsidRPr="00B54B68">
              <w:rPr>
                <w:rFonts w:cs="Arial"/>
                <w:b/>
                <w:bCs/>
              </w:rPr>
              <w:t>Indicator</w:t>
            </w:r>
          </w:p>
        </w:tc>
        <w:tc>
          <w:tcPr>
            <w:tcW w:w="5729" w:type="dxa"/>
          </w:tcPr>
          <w:p w14:paraId="6712C861" w14:textId="77777777" w:rsidR="00CD245A" w:rsidRPr="00B54B68" w:rsidRDefault="00CD245A" w:rsidP="00315531">
            <w:pPr>
              <w:rPr>
                <w:rFonts w:cs="Arial"/>
              </w:rPr>
            </w:pPr>
            <w:r w:rsidRPr="00B54B68">
              <w:rPr>
                <w:rFonts w:cs="Arial"/>
                <w:b/>
                <w:bCs/>
              </w:rPr>
              <w:t>Current Status</w:t>
            </w:r>
          </w:p>
        </w:tc>
        <w:tc>
          <w:tcPr>
            <w:tcW w:w="1117" w:type="dxa"/>
            <w:gridSpan w:val="2"/>
          </w:tcPr>
          <w:p w14:paraId="569E2D9E" w14:textId="77777777" w:rsidR="00CD245A" w:rsidRPr="00B54B68" w:rsidRDefault="00CD245A" w:rsidP="00315531">
            <w:pPr>
              <w:jc w:val="center"/>
              <w:rPr>
                <w:rFonts w:cs="Arial"/>
                <w:color w:val="FFB91D"/>
              </w:rPr>
            </w:pPr>
            <w:r w:rsidRPr="00B54B68">
              <w:rPr>
                <w:rFonts w:cs="Arial"/>
                <w:b/>
                <w:bCs/>
              </w:rPr>
              <w:t>RAG</w:t>
            </w:r>
          </w:p>
        </w:tc>
        <w:tc>
          <w:tcPr>
            <w:tcW w:w="1377" w:type="dxa"/>
          </w:tcPr>
          <w:p w14:paraId="0D48F452" w14:textId="77777777" w:rsidR="00CD245A" w:rsidRPr="00B54B68" w:rsidRDefault="00CD245A" w:rsidP="00315531">
            <w:pPr>
              <w:rPr>
                <w:rFonts w:cs="Arial"/>
                <w:noProof/>
                <w:color w:val="FF0000"/>
              </w:rPr>
            </w:pPr>
            <w:r w:rsidRPr="00B54B68">
              <w:rPr>
                <w:rFonts w:cs="Arial"/>
                <w:b/>
                <w:bCs/>
              </w:rPr>
              <w:t>Change</w:t>
            </w:r>
          </w:p>
        </w:tc>
      </w:tr>
      <w:tr w:rsidR="00DE7F9A" w:rsidRPr="00B54B68" w14:paraId="2A4DD234" w14:textId="77777777" w:rsidTr="00CD245A">
        <w:trPr>
          <w:trHeight w:val="20"/>
        </w:trPr>
        <w:tc>
          <w:tcPr>
            <w:tcW w:w="1697" w:type="dxa"/>
          </w:tcPr>
          <w:p w14:paraId="6E263C8E" w14:textId="77777777" w:rsidR="00DE7F9A" w:rsidRPr="00B54B68" w:rsidRDefault="00DE7F9A" w:rsidP="00315531">
            <w:pPr>
              <w:rPr>
                <w:rFonts w:cs="Arial"/>
                <w:b/>
                <w:bCs/>
              </w:rPr>
            </w:pPr>
            <w:r w:rsidRPr="00B54B68">
              <w:rPr>
                <w:rFonts w:cs="Arial"/>
                <w:b/>
                <w:bCs/>
              </w:rPr>
              <w:t>Financial Health</w:t>
            </w:r>
          </w:p>
        </w:tc>
        <w:tc>
          <w:tcPr>
            <w:tcW w:w="5768" w:type="dxa"/>
            <w:gridSpan w:val="3"/>
          </w:tcPr>
          <w:p w14:paraId="4BEE0E9E" w14:textId="77777777" w:rsidR="00DE7F9A" w:rsidRPr="00B54B68" w:rsidRDefault="00DE7F9A" w:rsidP="00315531">
            <w:pPr>
              <w:rPr>
                <w:rFonts w:cs="Arial"/>
              </w:rPr>
            </w:pPr>
            <w:r w:rsidRPr="00B54B68">
              <w:rPr>
                <w:rFonts w:cs="Arial"/>
              </w:rPr>
              <w:t>Full year forecast is for 120 points and results in a grade of ‘Requires Improvement’.  A further small worsening of the EBITDA position for the year could cause the financial health grade to slip to ‘Inadequate’.</w:t>
            </w:r>
          </w:p>
        </w:tc>
        <w:tc>
          <w:tcPr>
            <w:tcW w:w="1098" w:type="dxa"/>
          </w:tcPr>
          <w:p w14:paraId="06B3A722" w14:textId="77777777" w:rsidR="00DE7F9A" w:rsidRPr="00F45F7A" w:rsidRDefault="00DE7F9A" w:rsidP="00315531">
            <w:pPr>
              <w:jc w:val="center"/>
              <w:rPr>
                <w:rFonts w:cs="Arial"/>
                <w:color w:val="ED0000"/>
              </w:rPr>
            </w:pPr>
            <w:r w:rsidRPr="00F45F7A">
              <w:rPr>
                <w:rFonts w:cs="Arial"/>
                <w:color w:val="ED0000"/>
              </w:rPr>
              <w:t>●</w:t>
            </w:r>
          </w:p>
          <w:p w14:paraId="351F6DC3" w14:textId="77777777" w:rsidR="00DE7F9A" w:rsidRPr="00B54B68" w:rsidRDefault="00DE7F9A" w:rsidP="00315531">
            <w:pPr>
              <w:jc w:val="center"/>
              <w:rPr>
                <w:rFonts w:cs="Arial"/>
              </w:rPr>
            </w:pPr>
            <w:r w:rsidRPr="00AC54AF">
              <w:rPr>
                <w:rFonts w:cs="Arial"/>
                <w:color w:val="000000" w:themeColor="text1"/>
              </w:rPr>
              <w:t>Red</w:t>
            </w:r>
          </w:p>
        </w:tc>
        <w:tc>
          <w:tcPr>
            <w:tcW w:w="1377" w:type="dxa"/>
          </w:tcPr>
          <w:p w14:paraId="11C2A457" w14:textId="77777777" w:rsidR="00DE7F9A" w:rsidRDefault="00DE7F9A" w:rsidP="00315531">
            <w:pPr>
              <w:rPr>
                <w:rFonts w:cs="Arial"/>
              </w:rPr>
            </w:pPr>
            <w:r w:rsidRPr="00B54B68">
              <w:rPr>
                <w:rFonts w:cs="Arial"/>
                <w:noProof/>
                <w:color w:val="FF0000"/>
              </w:rPr>
              <mc:AlternateContent>
                <mc:Choice Requires="wps">
                  <w:drawing>
                    <wp:anchor distT="0" distB="0" distL="114300" distR="114300" simplePos="0" relativeHeight="251658248" behindDoc="0" locked="0" layoutInCell="1" allowOverlap="1" wp14:anchorId="5A0D7A26" wp14:editId="5213ED4E">
                      <wp:simplePos x="0" y="0"/>
                      <wp:positionH relativeFrom="margin">
                        <wp:align>center</wp:align>
                      </wp:positionH>
                      <wp:positionV relativeFrom="margin">
                        <wp:posOffset>67317</wp:posOffset>
                      </wp:positionV>
                      <wp:extent cx="356235" cy="454395"/>
                      <wp:effectExtent l="19050" t="0" r="43815" b="41275"/>
                      <wp:wrapNone/>
                      <wp:docPr id="510548429" name="Arrow: Down 12"/>
                      <wp:cNvGraphicFramePr/>
                      <a:graphic xmlns:a="http://schemas.openxmlformats.org/drawingml/2006/main">
                        <a:graphicData uri="http://schemas.microsoft.com/office/word/2010/wordprocessingShape">
                          <wps:wsp>
                            <wps:cNvSpPr/>
                            <wps:spPr>
                              <a:xfrm>
                                <a:off x="0" y="0"/>
                                <a:ext cx="356235" cy="45439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FEC20" id="Arrow: Down 12" o:spid="_x0000_s1026" type="#_x0000_t67" style="position:absolute;margin-left:0;margin-top:5.3pt;width:28.05pt;height:35.8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" adj="13133" fillcolor="red" strokecolor="#0a121c [484]" strokeweight="2pt">
                      <w10:wrap anchorx="margin" anchory="margin"/>
                    </v:shape>
                  </w:pict>
                </mc:Fallback>
              </mc:AlternateContent>
            </w:r>
          </w:p>
          <w:p w14:paraId="7327508E" w14:textId="77777777" w:rsidR="00DE7F9A" w:rsidRDefault="00DE7F9A" w:rsidP="00315531">
            <w:pPr>
              <w:tabs>
                <w:tab w:val="left" w:pos="1020"/>
              </w:tabs>
              <w:rPr>
                <w:rFonts w:cs="Arial"/>
              </w:rPr>
            </w:pPr>
            <w:r>
              <w:rPr>
                <w:rFonts w:cs="Arial"/>
              </w:rPr>
              <w:tab/>
            </w:r>
          </w:p>
          <w:p w14:paraId="464A4535" w14:textId="77777777" w:rsidR="00DE7F9A" w:rsidRPr="00E405F2" w:rsidRDefault="00DE7F9A" w:rsidP="00315531">
            <w:pPr>
              <w:tabs>
                <w:tab w:val="left" w:pos="1020"/>
              </w:tabs>
              <w:rPr>
                <w:rFonts w:cs="Arial"/>
              </w:rPr>
            </w:pPr>
            <w:r w:rsidRPr="002C59A9">
              <w:rPr>
                <w:rFonts w:cs="Arial"/>
                <w:color w:val="000000" w:themeColor="text1"/>
              </w:rPr>
              <w:t>Decreased</w:t>
            </w:r>
          </w:p>
        </w:tc>
      </w:tr>
    </w:tbl>
    <w:p w14:paraId="0685E777" w14:textId="77777777" w:rsidR="00DE7F9A" w:rsidRDefault="00DE7F9A" w:rsidP="00DE7F9A"/>
    <w:p w14:paraId="3E1E69FD" w14:textId="77777777" w:rsidR="00357714" w:rsidRPr="00B54B68" w:rsidRDefault="00357714" w:rsidP="008976DC">
      <w:pPr>
        <w:rPr>
          <w:rFonts w:cs="Arial"/>
        </w:rPr>
      </w:pPr>
    </w:p>
    <w:p w14:paraId="3BE066D7" w14:textId="0A53527D" w:rsidR="008976DC" w:rsidRPr="00B54B68" w:rsidRDefault="008976DC" w:rsidP="008976DC">
      <w:pPr>
        <w:rPr>
          <w:rFonts w:cs="Arial"/>
        </w:rPr>
      </w:pPr>
      <w:r w:rsidRPr="00B54B68">
        <w:rPr>
          <w:rFonts w:cs="Arial"/>
        </w:rPr>
        <w:t xml:space="preserve">The operating performance for the year to date is a deficit of £575,000, which is £150,000 worse than the budget. This is principally accounted for by a shortfall in income to date of £202,000. The adverse performance to date is forecast to continue to the year-end; the base case estimate is a forecast operating deficit for the year of £262,000 (£242,000 adverse to budget).  Pay costs although lower than budget </w:t>
      </w:r>
      <w:proofErr w:type="gramStart"/>
      <w:r w:rsidRPr="00B54B68">
        <w:rPr>
          <w:rFonts w:cs="Arial"/>
        </w:rPr>
        <w:t>are</w:t>
      </w:r>
      <w:proofErr w:type="gramEnd"/>
      <w:r w:rsidRPr="00B54B68">
        <w:rPr>
          <w:rFonts w:cs="Arial"/>
        </w:rPr>
        <w:t xml:space="preserve"> forecast to be c</w:t>
      </w:r>
      <w:r w:rsidR="00433C80">
        <w:rPr>
          <w:rFonts w:cs="Arial"/>
        </w:rPr>
        <w:t>.</w:t>
      </w:r>
      <w:r w:rsidRPr="00B54B68">
        <w:rPr>
          <w:rFonts w:cs="Arial"/>
        </w:rPr>
        <w:t xml:space="preserve">68% of total income which is higher than the FEC financial benchmark of 65%. </w:t>
      </w:r>
    </w:p>
    <w:p w14:paraId="2AD62604" w14:textId="77777777" w:rsidR="008976DC" w:rsidRPr="00B54B68" w:rsidRDefault="008976DC" w:rsidP="008976DC">
      <w:pPr>
        <w:rPr>
          <w:rFonts w:cs="Arial"/>
        </w:rPr>
      </w:pPr>
      <w:r w:rsidRPr="00B54B68">
        <w:rPr>
          <w:rFonts w:cs="Arial"/>
        </w:rPr>
        <w:t xml:space="preserve">The forecast deficit is projected to result in a breach of loan covenants at year-end.  The college has informed the DfE of the risk and is also actively engaged with the bank to secure a waiver, pending further dialogue to review the current covenants. If agreement cannot be reached with the bank to maintain existing terms, including the interest rate, the reclassification of colleges into the public sector means that the DfE will need to be informed.   No new interest rate agreement can be entered into without their consent.  </w:t>
      </w:r>
    </w:p>
    <w:p w14:paraId="747D2E1C" w14:textId="77777777" w:rsidR="008976DC" w:rsidRPr="00B54B68" w:rsidRDefault="008976DC" w:rsidP="008976DC">
      <w:pPr>
        <w:rPr>
          <w:rFonts w:cs="Arial"/>
        </w:rPr>
      </w:pPr>
      <w:r w:rsidRPr="00B54B68">
        <w:rPr>
          <w:rFonts w:cs="Arial"/>
        </w:rPr>
        <w:t xml:space="preserve">Financial health is forecast to remain requires improvement, though with minimal headroom above the threshold for inadequate.  Failure to secure timely agreement with the bank and external auditors regarding the loan covenant would mean that the debt is reclassified as a current liability and almost certainly result in a decline in the financial health grade to inadequate. </w:t>
      </w:r>
    </w:p>
    <w:p w14:paraId="015ECD08" w14:textId="79CE9718" w:rsidR="008976DC" w:rsidRPr="00B54B68" w:rsidRDefault="008976DC" w:rsidP="008976DC">
      <w:pPr>
        <w:rPr>
          <w:rFonts w:cs="Arial"/>
        </w:rPr>
      </w:pPr>
      <w:r w:rsidRPr="00B54B68">
        <w:rPr>
          <w:rFonts w:cs="Arial"/>
        </w:rPr>
        <w:t xml:space="preserve">Since reclassification, the college’s key income monthly streams are now received in a ‘flatter’ annual profile, which has led to a more stable cash position, although some monthly fluctuation remains.  Cash reserves are relatively healthy at £2.09 million at the end of January 202X and remain adequate to the year end. However, the weak operating performance remains a serious concern, and, despite the flatter profile, cash reserves will steadily erode over time unless the college can improve its underlying operating performance. </w:t>
      </w:r>
    </w:p>
    <w:p w14:paraId="2CEC4BE7" w14:textId="03A31812" w:rsidR="008976DC" w:rsidRPr="00B54B68" w:rsidRDefault="008976DC" w:rsidP="008976DC">
      <w:pPr>
        <w:rPr>
          <w:rFonts w:cs="Arial"/>
        </w:rPr>
      </w:pPr>
      <w:r w:rsidRPr="00B54B68">
        <w:rPr>
          <w:rFonts w:cs="Arial"/>
        </w:rPr>
        <w:t xml:space="preserve">As noted, the forecast operating deficit is £262,000. Targeted actions are being implemented aimed at reducing costs in-year by £242,000 and closing the projected £139,000 shortfall in the Adult Skills Fund (ASF) income. Taken together these could achieve a small operating surplus by year-end of £119,000 (best case). However, </w:t>
      </w:r>
      <w:proofErr w:type="gramStart"/>
      <w:r w:rsidRPr="00B54B68">
        <w:rPr>
          <w:rFonts w:cs="Arial"/>
        </w:rPr>
        <w:t>in the event that</w:t>
      </w:r>
      <w:proofErr w:type="gramEnd"/>
      <w:r w:rsidRPr="00B54B68">
        <w:rPr>
          <w:rFonts w:cs="Arial"/>
        </w:rPr>
        <w:t xml:space="preserve"> further possible shortfalls in income by year-end materialise, there is a risk (worst case) of the operating deficit increasing to £472,000</w:t>
      </w:r>
      <w:r w:rsidR="009942FC">
        <w:rPr>
          <w:rFonts w:cs="Arial"/>
        </w:rPr>
        <w:t>.</w:t>
      </w:r>
      <w:r w:rsidRPr="00B54B68">
        <w:rPr>
          <w:rFonts w:cs="Arial"/>
        </w:rPr>
        <w:t xml:space="preserve"> Please refer to section 9 to see </w:t>
      </w:r>
      <w:proofErr w:type="gramStart"/>
      <w:r w:rsidRPr="00B54B68">
        <w:rPr>
          <w:rFonts w:cs="Arial"/>
        </w:rPr>
        <w:t>these best case</w:t>
      </w:r>
      <w:proofErr w:type="gramEnd"/>
      <w:r w:rsidRPr="00B54B68">
        <w:rPr>
          <w:rFonts w:cs="Arial"/>
        </w:rPr>
        <w:t xml:space="preserve"> and </w:t>
      </w:r>
      <w:proofErr w:type="gramStart"/>
      <w:r w:rsidRPr="00B54B68">
        <w:rPr>
          <w:rFonts w:cs="Arial"/>
        </w:rPr>
        <w:t>worst case</w:t>
      </w:r>
      <w:proofErr w:type="gramEnd"/>
      <w:r w:rsidRPr="00B54B68">
        <w:rPr>
          <w:rFonts w:cs="Arial"/>
        </w:rPr>
        <w:t xml:space="preserve"> operating scenarios modelled in full.</w:t>
      </w:r>
    </w:p>
    <w:p w14:paraId="0028A5E7" w14:textId="77777777" w:rsidR="008976DC" w:rsidRDefault="008976DC" w:rsidP="007947B3">
      <w:pPr>
        <w:pStyle w:val="Heading2"/>
        <w:numPr>
          <w:ilvl w:val="0"/>
          <w:numId w:val="41"/>
        </w:numPr>
        <w:rPr>
          <w:rFonts w:cs="Arial"/>
          <w:sz w:val="24"/>
          <w:szCs w:val="24"/>
        </w:rPr>
      </w:pPr>
      <w:bookmarkStart w:id="5" w:name="_Toc225159999"/>
      <w:r w:rsidRPr="00B54B68">
        <w:rPr>
          <w:rFonts w:cs="Arial"/>
          <w:sz w:val="24"/>
          <w:szCs w:val="24"/>
        </w:rPr>
        <w:t>Financial Health</w:t>
      </w:r>
      <w:bookmarkEnd w:id="5"/>
    </w:p>
    <w:p w14:paraId="63BBC27C" w14:textId="4F04033A" w:rsidR="00CA0864" w:rsidRPr="009942FC" w:rsidRDefault="00D23DF4" w:rsidP="00CA0864">
      <w:r w:rsidRPr="009942FC">
        <w:rPr>
          <w:noProof/>
        </w:rPr>
        <w:drawing>
          <wp:anchor distT="0" distB="0" distL="114300" distR="114300" simplePos="0" relativeHeight="251658245" behindDoc="0" locked="0" layoutInCell="1" allowOverlap="1" wp14:anchorId="5BB61661" wp14:editId="027B75ED">
            <wp:simplePos x="0" y="0"/>
            <wp:positionH relativeFrom="column">
              <wp:posOffset>-180340</wp:posOffset>
            </wp:positionH>
            <wp:positionV relativeFrom="paragraph">
              <wp:posOffset>617855</wp:posOffset>
            </wp:positionV>
            <wp:extent cx="6563995" cy="2647950"/>
            <wp:effectExtent l="0" t="0" r="8255" b="0"/>
            <wp:wrapSquare wrapText="bothSides"/>
            <wp:docPr id="996261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61415" name=""/>
                    <pic:cNvPicPr/>
                  </pic:nvPicPr>
                  <pic:blipFill>
                    <a:blip r:embed="rId16"/>
                    <a:stretch>
                      <a:fillRect/>
                    </a:stretch>
                  </pic:blipFill>
                  <pic:spPr>
                    <a:xfrm>
                      <a:off x="0" y="0"/>
                      <a:ext cx="6563995" cy="2647950"/>
                    </a:xfrm>
                    <a:prstGeom prst="rect">
                      <a:avLst/>
                    </a:prstGeom>
                  </pic:spPr>
                </pic:pic>
              </a:graphicData>
            </a:graphic>
            <wp14:sizeRelH relativeFrom="margin">
              <wp14:pctWidth>0</wp14:pctWidth>
            </wp14:sizeRelH>
            <wp14:sizeRelV relativeFrom="margin">
              <wp14:pctHeight>0</wp14:pctHeight>
            </wp14:sizeRelV>
          </wp:anchor>
        </w:drawing>
      </w:r>
      <w:r w:rsidR="00CA0864" w:rsidRPr="009942FC">
        <w:t xml:space="preserve">The table below can be found in the </w:t>
      </w:r>
      <w:r w:rsidR="002C465B">
        <w:rPr>
          <w:b/>
          <w:bCs/>
        </w:rPr>
        <w:t>Management accounts – tables</w:t>
      </w:r>
      <w:r w:rsidR="00CA0864" w:rsidRPr="009942FC">
        <w:t xml:space="preserve"> spreadsheets, in </w:t>
      </w:r>
      <w:r w:rsidR="00F9751A" w:rsidRPr="009942FC">
        <w:t xml:space="preserve">the </w:t>
      </w:r>
      <w:r w:rsidR="00CA0864" w:rsidRPr="009942FC">
        <w:t xml:space="preserve">worksheet titled: </w:t>
      </w:r>
      <w:r w:rsidR="00604D4C" w:rsidRPr="009942FC">
        <w:rPr>
          <w:b/>
          <w:bCs/>
        </w:rPr>
        <w:t>Fin Health</w:t>
      </w:r>
    </w:p>
    <w:p w14:paraId="315D4F66" w14:textId="66FF4ABC" w:rsidR="00CA0864" w:rsidRPr="00CA0864" w:rsidRDefault="00CA0864" w:rsidP="00CA0864"/>
    <w:p w14:paraId="32714AC0" w14:textId="36B7FDC2" w:rsidR="008976DC" w:rsidRPr="00B54B68" w:rsidRDefault="008976DC" w:rsidP="008976DC">
      <w:pPr>
        <w:tabs>
          <w:tab w:val="left" w:pos="567"/>
        </w:tabs>
        <w:ind w:left="360"/>
        <w:jc w:val="both"/>
        <w:rPr>
          <w:rFonts w:cs="Arial"/>
          <w:b/>
          <w:bCs/>
        </w:rPr>
      </w:pPr>
    </w:p>
    <w:p w14:paraId="75664563" w14:textId="77777777" w:rsidR="008976DC" w:rsidRPr="00B54B68" w:rsidRDefault="008976DC" w:rsidP="008976DC">
      <w:pPr>
        <w:rPr>
          <w:rFonts w:cs="Arial"/>
          <w:b/>
          <w:bCs/>
        </w:rPr>
      </w:pPr>
      <w:r w:rsidRPr="00B54B68">
        <w:rPr>
          <w:rFonts w:cs="Arial"/>
        </w:rPr>
        <w:t>The full year forecast predicts a financial health score of 120 points, which is at the low end for being assessed as ‘requires improvement’.  Again, it is the adverse EBITDA performance which has reduced the autoscore from the budgeted position. The significant concern as shown in the headroom column above is the very high risk that any further slippage will cause the college to be assessed as inadequate. A further deterioration in the EBITDA performance of just £37,000 could trigger this.</w:t>
      </w:r>
      <w:r w:rsidRPr="00B54B68">
        <w:rPr>
          <w:rFonts w:cs="Arial"/>
          <w:b/>
          <w:bCs/>
        </w:rPr>
        <w:br w:type="page"/>
      </w:r>
    </w:p>
    <w:p w14:paraId="6F80CEBD" w14:textId="77777777" w:rsidR="008976DC" w:rsidRDefault="008976DC" w:rsidP="007947B3">
      <w:pPr>
        <w:pStyle w:val="Heading2"/>
        <w:numPr>
          <w:ilvl w:val="0"/>
          <w:numId w:val="41"/>
        </w:numPr>
        <w:rPr>
          <w:rFonts w:cs="Arial"/>
          <w:sz w:val="24"/>
          <w:szCs w:val="24"/>
        </w:rPr>
      </w:pPr>
      <w:bookmarkStart w:id="6" w:name="_Toc225160000"/>
      <w:r w:rsidRPr="00B54B68">
        <w:rPr>
          <w:rFonts w:cs="Arial"/>
          <w:sz w:val="24"/>
          <w:szCs w:val="24"/>
        </w:rPr>
        <w:t>Income &amp; Expenditure</w:t>
      </w:r>
      <w:bookmarkEnd w:id="6"/>
      <w:r w:rsidRPr="00B54B68">
        <w:rPr>
          <w:rFonts w:cs="Arial"/>
          <w:sz w:val="24"/>
          <w:szCs w:val="24"/>
        </w:rPr>
        <w:t xml:space="preserve"> </w:t>
      </w:r>
    </w:p>
    <w:p w14:paraId="03126857" w14:textId="64601C58" w:rsidR="00522AB4" w:rsidRPr="009942FC" w:rsidRDefault="00522AB4" w:rsidP="008D59CD">
      <w:pPr>
        <w:rPr>
          <w:b/>
          <w:bCs/>
        </w:rPr>
      </w:pPr>
      <w:r w:rsidRPr="009942FC">
        <w:t xml:space="preserve">The table below can be found in the </w:t>
      </w:r>
      <w:r w:rsidR="002C465B">
        <w:rPr>
          <w:b/>
          <w:bCs/>
        </w:rPr>
        <w:t>Management accounts – tables</w:t>
      </w:r>
      <w:r w:rsidRPr="009942FC">
        <w:t xml:space="preserve"> spreadsheets, in </w:t>
      </w:r>
      <w:r w:rsidR="008D59CD" w:rsidRPr="009942FC">
        <w:t xml:space="preserve">the </w:t>
      </w:r>
      <w:r w:rsidRPr="009942FC">
        <w:t xml:space="preserve">worksheet titled: </w:t>
      </w:r>
      <w:r w:rsidRPr="009942FC">
        <w:rPr>
          <w:b/>
          <w:bCs/>
        </w:rPr>
        <w:t>I&amp;E</w:t>
      </w:r>
    </w:p>
    <w:p w14:paraId="3B881887" w14:textId="048C5CE3" w:rsidR="008976DC" w:rsidRPr="00B54B68" w:rsidRDefault="00522AB4" w:rsidP="008976DC">
      <w:pPr>
        <w:rPr>
          <w:rFonts w:cs="Arial"/>
          <w:b/>
          <w:bCs/>
        </w:rPr>
      </w:pPr>
      <w:r w:rsidRPr="00522AB4">
        <w:rPr>
          <w:noProof/>
        </w:rPr>
        <w:drawing>
          <wp:inline distT="0" distB="0" distL="0" distR="0" wp14:anchorId="3D4024E2" wp14:editId="0536EB13">
            <wp:extent cx="6299887" cy="7645400"/>
            <wp:effectExtent l="0" t="0" r="5715" b="0"/>
            <wp:docPr id="182277710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2733" cy="7648854"/>
                    </a:xfrm>
                    <a:prstGeom prst="rect">
                      <a:avLst/>
                    </a:prstGeom>
                    <a:noFill/>
                    <a:ln>
                      <a:noFill/>
                    </a:ln>
                  </pic:spPr>
                </pic:pic>
              </a:graphicData>
            </a:graphic>
          </wp:inline>
        </w:drawing>
      </w:r>
    </w:p>
    <w:p w14:paraId="7FD77F19" w14:textId="77777777" w:rsidR="008976DC" w:rsidRPr="00B54B68" w:rsidRDefault="008976DC" w:rsidP="008976DC">
      <w:pPr>
        <w:rPr>
          <w:rFonts w:cs="Arial"/>
        </w:rPr>
      </w:pPr>
      <w:r w:rsidRPr="00B54B68">
        <w:rPr>
          <w:rFonts w:cs="Arial"/>
        </w:rPr>
        <w:t xml:space="preserve">Currently, total income is £202,000 lower than the year-to-date budget but is partially offset by an underspend on pay expenditure of £84,000. Total non-pay expenditure is slightly overspent by £28,000. This means that the year-to-date operating deficit is c.£150,000 worse than budget. </w:t>
      </w:r>
    </w:p>
    <w:p w14:paraId="0933CD9C" w14:textId="77777777" w:rsidR="008976DC" w:rsidRDefault="008976DC" w:rsidP="007947B3">
      <w:pPr>
        <w:pStyle w:val="Heading3"/>
        <w:rPr>
          <w:rFonts w:cs="Arial"/>
          <w:sz w:val="24"/>
          <w:szCs w:val="24"/>
        </w:rPr>
      </w:pPr>
      <w:bookmarkStart w:id="7" w:name="_Toc225160001"/>
      <w:r w:rsidRPr="00B54B68">
        <w:rPr>
          <w:rFonts w:cs="Arial"/>
          <w:sz w:val="24"/>
          <w:szCs w:val="24"/>
        </w:rPr>
        <w:t>Forecast position</w:t>
      </w:r>
      <w:bookmarkEnd w:id="7"/>
    </w:p>
    <w:p w14:paraId="20035C95" w14:textId="7E6B9A91" w:rsidR="00AF4194" w:rsidRPr="009942FC" w:rsidRDefault="00AF4194" w:rsidP="00AF4194">
      <w:pPr>
        <w:rPr>
          <w:b/>
          <w:bCs/>
        </w:rPr>
      </w:pPr>
      <w:r w:rsidRPr="009942FC">
        <w:t xml:space="preserve">The table below can be found in the </w:t>
      </w:r>
      <w:r w:rsidR="002C465B">
        <w:rPr>
          <w:b/>
          <w:bCs/>
        </w:rPr>
        <w:t>Management accounts – tables</w:t>
      </w:r>
      <w:r w:rsidRPr="009942FC">
        <w:t xml:space="preserve"> spreadsheets, in </w:t>
      </w:r>
      <w:r w:rsidR="005A3FB6" w:rsidRPr="009942FC">
        <w:t xml:space="preserve">the </w:t>
      </w:r>
      <w:r w:rsidRPr="009942FC">
        <w:t xml:space="preserve">worksheet titled: </w:t>
      </w:r>
      <w:r w:rsidRPr="009942FC">
        <w:rPr>
          <w:b/>
          <w:bCs/>
        </w:rPr>
        <w:t>I&amp;E Bridge</w:t>
      </w:r>
    </w:p>
    <w:p w14:paraId="23637FF6" w14:textId="04902EAE" w:rsidR="008976DC" w:rsidRPr="00B54B68" w:rsidRDefault="00EC3BC5" w:rsidP="008976DC">
      <w:pPr>
        <w:rPr>
          <w:rFonts w:cs="Arial"/>
          <w:u w:val="single"/>
        </w:rPr>
      </w:pPr>
      <w:r w:rsidRPr="00EC3BC5">
        <w:rPr>
          <w:noProof/>
        </w:rPr>
        <w:drawing>
          <wp:inline distT="0" distB="0" distL="0" distR="0" wp14:anchorId="230964F8" wp14:editId="69C6372F">
            <wp:extent cx="6210935" cy="4370705"/>
            <wp:effectExtent l="0" t="0" r="0" b="0"/>
            <wp:docPr id="19213672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935" cy="4370705"/>
                    </a:xfrm>
                    <a:prstGeom prst="rect">
                      <a:avLst/>
                    </a:prstGeom>
                    <a:noFill/>
                    <a:ln>
                      <a:noFill/>
                    </a:ln>
                  </pic:spPr>
                </pic:pic>
              </a:graphicData>
            </a:graphic>
          </wp:inline>
        </w:drawing>
      </w:r>
    </w:p>
    <w:p w14:paraId="3B30D33D" w14:textId="77777777" w:rsidR="008976DC" w:rsidRPr="00B54B68" w:rsidRDefault="008976DC" w:rsidP="007947B3">
      <w:pPr>
        <w:pStyle w:val="Heading3"/>
        <w:rPr>
          <w:rFonts w:cs="Arial"/>
          <w:sz w:val="24"/>
          <w:szCs w:val="24"/>
        </w:rPr>
      </w:pPr>
      <w:bookmarkStart w:id="8" w:name="_Toc225160002"/>
      <w:r w:rsidRPr="00B54B68">
        <w:rPr>
          <w:rFonts w:cs="Arial"/>
          <w:sz w:val="24"/>
          <w:szCs w:val="24"/>
        </w:rPr>
        <w:t>Income</w:t>
      </w:r>
      <w:bookmarkEnd w:id="8"/>
      <w:r w:rsidRPr="00B54B68">
        <w:rPr>
          <w:rFonts w:cs="Arial"/>
          <w:sz w:val="24"/>
          <w:szCs w:val="24"/>
        </w:rPr>
        <w:t xml:space="preserve"> </w:t>
      </w:r>
    </w:p>
    <w:p w14:paraId="5B24A0F4" w14:textId="77777777" w:rsidR="008976DC" w:rsidRPr="00B54B68" w:rsidRDefault="008976DC" w:rsidP="008976DC">
      <w:pPr>
        <w:rPr>
          <w:rFonts w:cs="Arial"/>
        </w:rPr>
      </w:pPr>
      <w:r w:rsidRPr="00B54B68">
        <w:rPr>
          <w:rFonts w:cs="Arial"/>
        </w:rPr>
        <w:t xml:space="preserve">Total income for the year is forecast to be £356,000 lower than budget, a shortfall of approximately 1.7% of total budgeted income.  The two main issues on income so far are in ASF and HE fee income. </w:t>
      </w:r>
    </w:p>
    <w:p w14:paraId="273F89A8" w14:textId="77777777" w:rsidR="008976DC" w:rsidRDefault="008976DC" w:rsidP="008976DC">
      <w:pPr>
        <w:rPr>
          <w:rFonts w:cs="Arial"/>
        </w:rPr>
      </w:pPr>
      <w:r w:rsidRPr="00B54B68">
        <w:rPr>
          <w:rFonts w:cs="Arial"/>
        </w:rPr>
        <w:t>A summary of the position with ASF funding is as follows (note the different reconciliation tolerances applicable to each of our contracts):</w:t>
      </w:r>
    </w:p>
    <w:p w14:paraId="352FD590" w14:textId="37FD80D5" w:rsidR="00976B77" w:rsidRPr="009942FC" w:rsidRDefault="00976B77" w:rsidP="00976B77">
      <w:pPr>
        <w:rPr>
          <w:b/>
          <w:bCs/>
        </w:rPr>
      </w:pPr>
      <w:r w:rsidRPr="009942FC">
        <w:t xml:space="preserve">The table below can be found in the </w:t>
      </w:r>
      <w:r w:rsidR="002C465B">
        <w:rPr>
          <w:b/>
          <w:bCs/>
        </w:rPr>
        <w:t>Management accounts – tables</w:t>
      </w:r>
      <w:r w:rsidRPr="009942FC">
        <w:t xml:space="preserve"> spreadsheets, in </w:t>
      </w:r>
      <w:r w:rsidR="00AA3C54" w:rsidRPr="009942FC">
        <w:t xml:space="preserve">the </w:t>
      </w:r>
      <w:r w:rsidRPr="009942FC">
        <w:t xml:space="preserve">worksheet titled: </w:t>
      </w:r>
      <w:r w:rsidRPr="009942FC">
        <w:rPr>
          <w:b/>
          <w:bCs/>
        </w:rPr>
        <w:t>ASF</w:t>
      </w:r>
    </w:p>
    <w:p w14:paraId="4B90C3C7" w14:textId="0BA19F7D" w:rsidR="008976DC" w:rsidRPr="00B54B68" w:rsidRDefault="00E94C53" w:rsidP="008976DC">
      <w:pPr>
        <w:rPr>
          <w:rFonts w:cs="Arial"/>
        </w:rPr>
      </w:pPr>
      <w:r w:rsidRPr="00E94C53">
        <w:rPr>
          <w:noProof/>
        </w:rPr>
        <w:drawing>
          <wp:inline distT="0" distB="0" distL="0" distR="0" wp14:anchorId="35A5D647" wp14:editId="64027C61">
            <wp:extent cx="6420185" cy="857250"/>
            <wp:effectExtent l="0" t="0" r="0" b="0"/>
            <wp:docPr id="9332180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30534" cy="858632"/>
                    </a:xfrm>
                    <a:prstGeom prst="rect">
                      <a:avLst/>
                    </a:prstGeom>
                    <a:noFill/>
                    <a:ln>
                      <a:noFill/>
                    </a:ln>
                  </pic:spPr>
                </pic:pic>
              </a:graphicData>
            </a:graphic>
          </wp:inline>
        </w:drawing>
      </w:r>
    </w:p>
    <w:p w14:paraId="0BB389A7" w14:textId="77777777" w:rsidR="008976DC" w:rsidRPr="00B54B68" w:rsidRDefault="008976DC" w:rsidP="008976DC">
      <w:pPr>
        <w:rPr>
          <w:rFonts w:cs="Arial"/>
        </w:rPr>
      </w:pPr>
      <w:r w:rsidRPr="00B54B68">
        <w:rPr>
          <w:rFonts w:cs="Arial"/>
        </w:rPr>
        <w:t xml:space="preserve">Despite increased marketing of the ASF offer, the competitive nature of the local market has created difficulties in recruiting learners to some of our courses, resulting in a forecast claw back of £139k. </w:t>
      </w:r>
    </w:p>
    <w:p w14:paraId="01B495C7" w14:textId="77777777" w:rsidR="008976DC" w:rsidRPr="00B54B68" w:rsidRDefault="008976DC" w:rsidP="008976DC">
      <w:pPr>
        <w:rPr>
          <w:rFonts w:cs="Arial"/>
        </w:rPr>
      </w:pPr>
      <w:r w:rsidRPr="00B54B68">
        <w:rPr>
          <w:rFonts w:cs="Arial"/>
        </w:rPr>
        <w:t>With a slight increase in forecast recruitment in the remainder of the year, it should be possible to deliver above the reconciliation tolerances on both contracts, meaning that there is then no liability to return any funding, and this will be kept under close review in future months.   Until this improvement is secured, however, the full £139k current forecast of claw back has been included in the forward cash flow forecast.</w:t>
      </w:r>
    </w:p>
    <w:p w14:paraId="07E29910" w14:textId="77777777" w:rsidR="008976DC" w:rsidRPr="00B54B68" w:rsidRDefault="008976DC" w:rsidP="008976DC">
      <w:pPr>
        <w:rPr>
          <w:rFonts w:cs="Arial"/>
        </w:rPr>
      </w:pPr>
      <w:r w:rsidRPr="00B54B68">
        <w:rPr>
          <w:rFonts w:cs="Arial"/>
        </w:rPr>
        <w:t xml:space="preserve">The HE fees income is currently £45,000 below the budget, and as there is no further in year recruitment of full-time learners, the shortfall of income is expected to increase to £92,000 by the end of the year. The full-time learners are forecast to be 10 fewer than our target. </w:t>
      </w:r>
    </w:p>
    <w:p w14:paraId="1B169CE9" w14:textId="77777777" w:rsidR="008976DC" w:rsidRPr="00B54B68" w:rsidRDefault="008976DC" w:rsidP="007947B3">
      <w:pPr>
        <w:pStyle w:val="Heading3"/>
        <w:rPr>
          <w:rFonts w:cs="Arial"/>
          <w:sz w:val="24"/>
          <w:szCs w:val="24"/>
        </w:rPr>
      </w:pPr>
      <w:bookmarkStart w:id="9" w:name="_Toc225160003"/>
      <w:r w:rsidRPr="00B54B68">
        <w:rPr>
          <w:rFonts w:cs="Arial"/>
          <w:sz w:val="24"/>
          <w:szCs w:val="24"/>
        </w:rPr>
        <w:t>Pay Costs</w:t>
      </w:r>
      <w:bookmarkEnd w:id="9"/>
      <w:r w:rsidRPr="00B54B68">
        <w:rPr>
          <w:rFonts w:cs="Arial"/>
          <w:sz w:val="24"/>
          <w:szCs w:val="24"/>
        </w:rPr>
        <w:t xml:space="preserve"> </w:t>
      </w:r>
    </w:p>
    <w:p w14:paraId="4D8E538D" w14:textId="77777777" w:rsidR="008976DC" w:rsidRPr="00B54B68" w:rsidRDefault="008976DC" w:rsidP="008976DC">
      <w:pPr>
        <w:rPr>
          <w:rFonts w:cs="Arial"/>
        </w:rPr>
      </w:pPr>
      <w:r w:rsidRPr="00B54B68">
        <w:rPr>
          <w:rFonts w:cs="Arial"/>
        </w:rPr>
        <w:t xml:space="preserve">Total teaching staff costs are forecast to be £88,000 (1%) underspent by the end of the year, due to unfilled vacancies partially offset by higher sessional staff, combined with actions planned to minimise costs on remaining ASF delivery where possible. There is also an underspend in non-teaching staff. </w:t>
      </w:r>
    </w:p>
    <w:p w14:paraId="68282CA9" w14:textId="77777777" w:rsidR="008976DC" w:rsidRPr="00B54B68" w:rsidRDefault="008976DC" w:rsidP="008976DC">
      <w:pPr>
        <w:rPr>
          <w:rFonts w:cs="Arial"/>
        </w:rPr>
      </w:pPr>
      <w:r w:rsidRPr="00B54B68">
        <w:rPr>
          <w:rFonts w:cs="Arial"/>
        </w:rPr>
        <w:t xml:space="preserve">The budget was prepared on the assumption that all establishment roles would be fully occupied during the year, but some cost savings have arisen due to vacancies. </w:t>
      </w:r>
    </w:p>
    <w:p w14:paraId="68464F38" w14:textId="77777777" w:rsidR="008976DC" w:rsidRPr="00B54B68" w:rsidRDefault="008976DC" w:rsidP="008976DC">
      <w:pPr>
        <w:rPr>
          <w:rFonts w:cs="Arial"/>
        </w:rPr>
      </w:pPr>
      <w:r w:rsidRPr="00B54B68">
        <w:rPr>
          <w:rFonts w:cs="Arial"/>
        </w:rPr>
        <w:t xml:space="preserve">Total pay costs as a percentage of turnover are forecast to </w:t>
      </w:r>
      <w:r w:rsidRPr="00B54B68">
        <w:rPr>
          <w:rFonts w:eastAsiaTheme="minorEastAsia" w:cs="Arial"/>
        </w:rPr>
        <w:t>be c68%. This is 3% over the FEC financial benchmark. We will be focusing on how we can improve this ratio as part of our budget planning for</w:t>
      </w:r>
      <w:r w:rsidRPr="00B54B68">
        <w:rPr>
          <w:rFonts w:cs="Arial"/>
        </w:rPr>
        <w:t xml:space="preserve"> next year and have targeted </w:t>
      </w:r>
      <w:proofErr w:type="gramStart"/>
      <w:r w:rsidRPr="00B54B68">
        <w:rPr>
          <w:rFonts w:cs="Arial"/>
        </w:rPr>
        <w:t>a</w:t>
      </w:r>
      <w:proofErr w:type="gramEnd"/>
      <w:r w:rsidRPr="00B54B68">
        <w:rPr>
          <w:rFonts w:cs="Arial"/>
        </w:rPr>
        <w:t xml:space="preserve"> further £82k of in year cost savings through a temporary recruitment freeze unless it is a critical post.</w:t>
      </w:r>
    </w:p>
    <w:p w14:paraId="6C5A12E6" w14:textId="77777777" w:rsidR="008976DC" w:rsidRPr="00B54B68" w:rsidRDefault="008976DC" w:rsidP="007947B3">
      <w:pPr>
        <w:pStyle w:val="Heading3"/>
        <w:rPr>
          <w:rFonts w:cs="Arial"/>
          <w:sz w:val="24"/>
          <w:szCs w:val="24"/>
        </w:rPr>
      </w:pPr>
      <w:bookmarkStart w:id="10" w:name="_Toc225160004"/>
      <w:r w:rsidRPr="00B54B68">
        <w:rPr>
          <w:rFonts w:cs="Arial"/>
          <w:sz w:val="24"/>
          <w:szCs w:val="24"/>
        </w:rPr>
        <w:t>Non-pay costs</w:t>
      </w:r>
      <w:bookmarkEnd w:id="10"/>
      <w:r w:rsidRPr="00B54B68">
        <w:rPr>
          <w:rFonts w:cs="Arial"/>
          <w:sz w:val="24"/>
          <w:szCs w:val="24"/>
        </w:rPr>
        <w:t xml:space="preserve"> </w:t>
      </w:r>
    </w:p>
    <w:p w14:paraId="5693EF8C" w14:textId="77777777" w:rsidR="008976DC" w:rsidRPr="00B54B68" w:rsidRDefault="008976DC" w:rsidP="008976DC">
      <w:pPr>
        <w:rPr>
          <w:rFonts w:cs="Arial"/>
        </w:rPr>
      </w:pPr>
      <w:r w:rsidRPr="00B54B68">
        <w:rPr>
          <w:rFonts w:cs="Arial"/>
        </w:rPr>
        <w:t xml:space="preserve">The total non-pay expenditure is expected to finish the year £110,000 worse than the budget. This is due to several different areas including: </w:t>
      </w:r>
    </w:p>
    <w:p w14:paraId="0459C094" w14:textId="77777777" w:rsidR="008976DC" w:rsidRPr="00B54B68" w:rsidRDefault="008976DC" w:rsidP="008976DC">
      <w:pPr>
        <w:pStyle w:val="ListParagraph"/>
        <w:numPr>
          <w:ilvl w:val="0"/>
          <w:numId w:val="39"/>
        </w:numPr>
        <w:spacing w:after="160" w:line="259" w:lineRule="auto"/>
        <w:rPr>
          <w:rFonts w:cs="Arial"/>
        </w:rPr>
      </w:pPr>
      <w:r w:rsidRPr="00B54B68">
        <w:rPr>
          <w:rFonts w:cs="Arial"/>
        </w:rPr>
        <w:t xml:space="preserve">Central admin - forecast £30k overspend on photocopying and </w:t>
      </w:r>
      <w:proofErr w:type="gramStart"/>
      <w:r w:rsidRPr="00B54B68">
        <w:rPr>
          <w:rFonts w:cs="Arial"/>
        </w:rPr>
        <w:t>stationery;</w:t>
      </w:r>
      <w:proofErr w:type="gramEnd"/>
      <w:r w:rsidRPr="00B54B68">
        <w:rPr>
          <w:rFonts w:cs="Arial"/>
        </w:rPr>
        <w:t xml:space="preserve"> </w:t>
      </w:r>
    </w:p>
    <w:p w14:paraId="023DA4C4" w14:textId="77777777" w:rsidR="008976DC" w:rsidRPr="00B54B68" w:rsidRDefault="008976DC" w:rsidP="008976DC">
      <w:pPr>
        <w:pStyle w:val="ListParagraph"/>
        <w:numPr>
          <w:ilvl w:val="0"/>
          <w:numId w:val="39"/>
        </w:numPr>
        <w:spacing w:after="160" w:line="259" w:lineRule="auto"/>
        <w:rPr>
          <w:rFonts w:cs="Arial"/>
        </w:rPr>
      </w:pPr>
      <w:r w:rsidRPr="00B54B68">
        <w:rPr>
          <w:rFonts w:cs="Arial"/>
        </w:rPr>
        <w:t xml:space="preserve">Marketing – forecast £15k overspend on an additional radio campaign to try and make up ASF student target </w:t>
      </w:r>
      <w:proofErr w:type="gramStart"/>
      <w:r w:rsidRPr="00B54B68">
        <w:rPr>
          <w:rFonts w:cs="Arial"/>
        </w:rPr>
        <w:t>shortfall;</w:t>
      </w:r>
      <w:proofErr w:type="gramEnd"/>
      <w:r w:rsidRPr="00B54B68">
        <w:rPr>
          <w:rFonts w:cs="Arial"/>
        </w:rPr>
        <w:t xml:space="preserve"> </w:t>
      </w:r>
    </w:p>
    <w:p w14:paraId="11E6B31F" w14:textId="77777777" w:rsidR="008976DC" w:rsidRPr="00B54B68" w:rsidRDefault="008976DC" w:rsidP="008976DC">
      <w:pPr>
        <w:pStyle w:val="ListParagraph"/>
        <w:numPr>
          <w:ilvl w:val="0"/>
          <w:numId w:val="39"/>
        </w:numPr>
        <w:spacing w:after="160" w:line="259" w:lineRule="auto"/>
        <w:rPr>
          <w:rFonts w:cs="Arial"/>
        </w:rPr>
      </w:pPr>
      <w:r w:rsidRPr="00B54B68">
        <w:rPr>
          <w:rFonts w:cs="Arial"/>
        </w:rPr>
        <w:t xml:space="preserve">Premises – forecast £33k overspend due to </w:t>
      </w:r>
      <w:proofErr w:type="gramStart"/>
      <w:r w:rsidRPr="00B54B68">
        <w:rPr>
          <w:rFonts w:cs="Arial"/>
        </w:rPr>
        <w:t>higher than expected</w:t>
      </w:r>
      <w:proofErr w:type="gramEnd"/>
      <w:r w:rsidRPr="00B54B68">
        <w:rPr>
          <w:rFonts w:cs="Arial"/>
        </w:rPr>
        <w:t xml:space="preserve"> increases in utility charges, and some urgent maintenance work on the main </w:t>
      </w:r>
      <w:proofErr w:type="gramStart"/>
      <w:r w:rsidRPr="00B54B68">
        <w:rPr>
          <w:rFonts w:cs="Arial"/>
        </w:rPr>
        <w:t>site;</w:t>
      </w:r>
      <w:proofErr w:type="gramEnd"/>
      <w:r w:rsidRPr="00B54B68">
        <w:rPr>
          <w:rFonts w:cs="Arial"/>
        </w:rPr>
        <w:t xml:space="preserve"> </w:t>
      </w:r>
    </w:p>
    <w:p w14:paraId="5A725D6A" w14:textId="77777777" w:rsidR="008976DC" w:rsidRDefault="008976DC" w:rsidP="008976DC">
      <w:pPr>
        <w:pStyle w:val="ListParagraph"/>
        <w:numPr>
          <w:ilvl w:val="0"/>
          <w:numId w:val="39"/>
        </w:numPr>
        <w:spacing w:after="160" w:line="259" w:lineRule="auto"/>
        <w:rPr>
          <w:rFonts w:cs="Arial"/>
        </w:rPr>
      </w:pPr>
      <w:r w:rsidRPr="00B54B68">
        <w:rPr>
          <w:rFonts w:cs="Arial"/>
        </w:rPr>
        <w:t>IT – forecast £31k overspend due to an increased requirement for additional student laptops. This has been offset fully by a saving on education supplies and services. We have requested all budget holders try to identify in year savings from their remaining budgets, with a college-wide target of £160k. We will report on progress with this initiative in the February management accounts.</w:t>
      </w:r>
    </w:p>
    <w:p w14:paraId="7966ACD7" w14:textId="77777777" w:rsidR="009942FC" w:rsidRDefault="009942FC">
      <w:pPr>
        <w:spacing w:after="0" w:line="240" w:lineRule="auto"/>
        <w:rPr>
          <w:rFonts w:cs="Arial"/>
        </w:rPr>
      </w:pPr>
      <w:r>
        <w:rPr>
          <w:rFonts w:cs="Arial"/>
          <w:b/>
          <w:bCs/>
        </w:rPr>
        <w:br w:type="page"/>
      </w:r>
    </w:p>
    <w:p w14:paraId="7076A257" w14:textId="497A71A5" w:rsidR="008976DC" w:rsidRPr="00B54B68" w:rsidRDefault="008976DC" w:rsidP="007947B3">
      <w:pPr>
        <w:pStyle w:val="Heading3"/>
        <w:rPr>
          <w:rFonts w:cs="Arial"/>
          <w:sz w:val="24"/>
          <w:szCs w:val="24"/>
        </w:rPr>
      </w:pPr>
      <w:bookmarkStart w:id="11" w:name="_Toc225160005"/>
      <w:r w:rsidRPr="00B54B68">
        <w:rPr>
          <w:rFonts w:cs="Arial"/>
          <w:sz w:val="24"/>
          <w:szCs w:val="24"/>
        </w:rPr>
        <w:t>EBITDA</w:t>
      </w:r>
      <w:bookmarkEnd w:id="11"/>
      <w:r w:rsidRPr="00B54B68">
        <w:rPr>
          <w:rFonts w:cs="Arial"/>
          <w:sz w:val="24"/>
          <w:szCs w:val="24"/>
        </w:rPr>
        <w:t xml:space="preserve"> </w:t>
      </w:r>
    </w:p>
    <w:p w14:paraId="123EE6F5" w14:textId="77777777" w:rsidR="008976DC" w:rsidRPr="00B54B68" w:rsidRDefault="008976DC" w:rsidP="008976DC">
      <w:pPr>
        <w:rPr>
          <w:rFonts w:cs="Arial"/>
        </w:rPr>
      </w:pPr>
      <w:r w:rsidRPr="00B54B68">
        <w:rPr>
          <w:rFonts w:cs="Arial"/>
        </w:rPr>
        <w:t>Total EBITDA is currently showing a deficit of £37,000 for the year-to-date and is forecast to be a £655,000 (3.2% of total income) surplus by the end of the year. This is against a full year budget target of £905,000 (4.3% of income), a shortfall of £250,000, and over £1m lower than last year. The additional targeted cost savings on both pay and non-pay are not included in the full year forecast as we do not yet have certainty on whether they can be delivered.</w:t>
      </w:r>
    </w:p>
    <w:p w14:paraId="3DFAB115" w14:textId="77777777" w:rsidR="008976DC" w:rsidRDefault="008976DC" w:rsidP="007947B3">
      <w:pPr>
        <w:pStyle w:val="Heading3"/>
        <w:rPr>
          <w:rFonts w:cs="Arial"/>
          <w:sz w:val="24"/>
          <w:szCs w:val="24"/>
        </w:rPr>
      </w:pPr>
      <w:bookmarkStart w:id="12" w:name="_Toc225160006"/>
      <w:r w:rsidRPr="00B54B68">
        <w:rPr>
          <w:rFonts w:cs="Arial"/>
          <w:sz w:val="24"/>
          <w:szCs w:val="24"/>
        </w:rPr>
        <w:t>Learner Numbers</w:t>
      </w:r>
      <w:bookmarkEnd w:id="12"/>
    </w:p>
    <w:p w14:paraId="418B5A15" w14:textId="391E20A6" w:rsidR="007E575B" w:rsidRPr="009942FC" w:rsidRDefault="007E575B" w:rsidP="007E575B">
      <w:pPr>
        <w:rPr>
          <w:b/>
          <w:bCs/>
        </w:rPr>
      </w:pPr>
      <w:r w:rsidRPr="009942FC">
        <w:t xml:space="preserve">The table below can be found in the </w:t>
      </w:r>
      <w:r w:rsidR="002C465B">
        <w:rPr>
          <w:b/>
          <w:bCs/>
        </w:rPr>
        <w:t>Management accounts – tables</w:t>
      </w:r>
      <w:r w:rsidRPr="009942FC">
        <w:t xml:space="preserve"> spreadsheets, in </w:t>
      </w:r>
      <w:r w:rsidR="00E745B1" w:rsidRPr="009942FC">
        <w:t xml:space="preserve">the </w:t>
      </w:r>
      <w:r w:rsidRPr="009942FC">
        <w:t xml:space="preserve">worksheet titled: </w:t>
      </w:r>
      <w:r w:rsidRPr="009942FC">
        <w:rPr>
          <w:b/>
          <w:bCs/>
        </w:rPr>
        <w:t>Learner numbers</w:t>
      </w:r>
    </w:p>
    <w:p w14:paraId="556840DA" w14:textId="1DDDA27F" w:rsidR="008976DC" w:rsidRDefault="007E575B" w:rsidP="008976DC">
      <w:pPr>
        <w:rPr>
          <w:rFonts w:cs="Arial"/>
          <w:u w:val="single"/>
        </w:rPr>
      </w:pPr>
      <w:r w:rsidRPr="007E575B">
        <w:rPr>
          <w:noProof/>
        </w:rPr>
        <w:drawing>
          <wp:inline distT="0" distB="0" distL="0" distR="0" wp14:anchorId="0E9A953B" wp14:editId="29099B01">
            <wp:extent cx="6210935" cy="2658110"/>
            <wp:effectExtent l="0" t="0" r="0" b="8890"/>
            <wp:docPr id="30354098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935" cy="2658110"/>
                    </a:xfrm>
                    <a:prstGeom prst="rect">
                      <a:avLst/>
                    </a:prstGeom>
                    <a:noFill/>
                    <a:ln>
                      <a:noFill/>
                    </a:ln>
                  </pic:spPr>
                </pic:pic>
              </a:graphicData>
            </a:graphic>
          </wp:inline>
        </w:drawing>
      </w:r>
    </w:p>
    <w:p w14:paraId="611B1579" w14:textId="52D2FD87" w:rsidR="009942FC" w:rsidRDefault="009942FC">
      <w:pPr>
        <w:spacing w:after="0" w:line="240" w:lineRule="auto"/>
        <w:rPr>
          <w:rFonts w:cs="Arial"/>
          <w:u w:val="single"/>
        </w:rPr>
      </w:pPr>
      <w:r>
        <w:rPr>
          <w:rFonts w:cs="Arial"/>
          <w:u w:val="single"/>
        </w:rPr>
        <w:br w:type="page"/>
      </w:r>
    </w:p>
    <w:p w14:paraId="1B8CDD50" w14:textId="77777777" w:rsidR="008976DC" w:rsidRDefault="008976DC" w:rsidP="00932D67">
      <w:pPr>
        <w:pStyle w:val="Heading2"/>
        <w:numPr>
          <w:ilvl w:val="0"/>
          <w:numId w:val="41"/>
        </w:numPr>
        <w:rPr>
          <w:rFonts w:cs="Arial"/>
          <w:sz w:val="24"/>
          <w:szCs w:val="24"/>
        </w:rPr>
      </w:pPr>
      <w:bookmarkStart w:id="13" w:name="_Toc225160007"/>
      <w:r w:rsidRPr="00B54B68">
        <w:rPr>
          <w:rFonts w:cs="Arial"/>
          <w:sz w:val="24"/>
          <w:szCs w:val="24"/>
        </w:rPr>
        <w:t>Balance Sheet</w:t>
      </w:r>
      <w:bookmarkEnd w:id="13"/>
    </w:p>
    <w:p w14:paraId="500437FE" w14:textId="0867C695" w:rsidR="00C647D2" w:rsidRPr="009942FC" w:rsidRDefault="00C647D2" w:rsidP="00FA21C7">
      <w:pPr>
        <w:rPr>
          <w:b/>
          <w:bCs/>
        </w:rPr>
      </w:pPr>
      <w:r w:rsidRPr="009942FC">
        <w:t xml:space="preserve">The table below can be found in the </w:t>
      </w:r>
      <w:r w:rsidR="002C465B">
        <w:rPr>
          <w:b/>
          <w:bCs/>
        </w:rPr>
        <w:t>Management accounts – tables</w:t>
      </w:r>
      <w:r w:rsidRPr="009942FC">
        <w:t xml:space="preserve"> spreadsheets, in</w:t>
      </w:r>
      <w:r w:rsidR="00C14393" w:rsidRPr="009942FC">
        <w:t xml:space="preserve"> </w:t>
      </w:r>
      <w:r w:rsidR="00FA21C7" w:rsidRPr="009942FC">
        <w:t xml:space="preserve">the </w:t>
      </w:r>
      <w:r w:rsidRPr="009942FC">
        <w:t xml:space="preserve">worksheet titled: </w:t>
      </w:r>
      <w:r w:rsidRPr="009942FC">
        <w:rPr>
          <w:b/>
          <w:bCs/>
        </w:rPr>
        <w:t>Bal Sheet</w:t>
      </w:r>
    </w:p>
    <w:p w14:paraId="0613120B" w14:textId="562CE4C9" w:rsidR="008976DC" w:rsidRPr="00B54B68" w:rsidRDefault="00C647D2" w:rsidP="008976DC">
      <w:pPr>
        <w:jc w:val="center"/>
        <w:rPr>
          <w:rFonts w:cs="Arial"/>
          <w:noProof/>
        </w:rPr>
      </w:pPr>
      <w:r w:rsidRPr="00C647D2">
        <w:rPr>
          <w:noProof/>
        </w:rPr>
        <w:drawing>
          <wp:inline distT="0" distB="0" distL="0" distR="0" wp14:anchorId="27582AF0" wp14:editId="3D4A820E">
            <wp:extent cx="6210935" cy="5891530"/>
            <wp:effectExtent l="0" t="0" r="0" b="0"/>
            <wp:docPr id="10189999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0935" cy="5891530"/>
                    </a:xfrm>
                    <a:prstGeom prst="rect">
                      <a:avLst/>
                    </a:prstGeom>
                    <a:noFill/>
                    <a:ln>
                      <a:noFill/>
                    </a:ln>
                  </pic:spPr>
                </pic:pic>
              </a:graphicData>
            </a:graphic>
          </wp:inline>
        </w:drawing>
      </w:r>
    </w:p>
    <w:p w14:paraId="58DC9E79" w14:textId="77777777" w:rsidR="008976DC" w:rsidRPr="00B54B68" w:rsidRDefault="008976DC" w:rsidP="008976DC">
      <w:pPr>
        <w:rPr>
          <w:rFonts w:cs="Arial"/>
        </w:rPr>
      </w:pPr>
      <w:r w:rsidRPr="00B54B68">
        <w:rPr>
          <w:rFonts w:cs="Arial"/>
        </w:rPr>
        <w:t xml:space="preserve">The balance sheet as of 31 January 202X has net current liabilities of £1.04m, giving an adjusted current ratio of 0.82. This is a significant movement from the opening balance sheet position, which had net current liabilities of £256,000. The main reason is a reduction in the current assets balance due to less cash, and lower debtors. </w:t>
      </w:r>
    </w:p>
    <w:p w14:paraId="22B85D9A" w14:textId="77777777" w:rsidR="008976DC" w:rsidRPr="00B54B68" w:rsidRDefault="008976DC" w:rsidP="008976DC">
      <w:pPr>
        <w:rPr>
          <w:rFonts w:cs="Arial"/>
        </w:rPr>
      </w:pPr>
      <w:r w:rsidRPr="00B54B68">
        <w:rPr>
          <w:rFonts w:cs="Arial"/>
        </w:rPr>
        <w:t>By the end of the year, we expect net current liabilities to be £992,000 against a budget of £755,000, which is £237,000 worse than expected. The primary reason for this is the expected under performance as highlighted above causing a lower than planned cash balance at the year end. The forecast current ratio is 0.83 against the budget of 0.89.  This shows a deterioration in the solvency position from the start of the year when the adjusted current ratio was just over 1.</w:t>
      </w:r>
    </w:p>
    <w:p w14:paraId="122739BA" w14:textId="19FA93B5" w:rsidR="00FB4EE5" w:rsidRPr="009942FC" w:rsidRDefault="00FB4EE5" w:rsidP="00FB4EE5">
      <w:pPr>
        <w:rPr>
          <w:b/>
          <w:bCs/>
        </w:rPr>
      </w:pPr>
      <w:r w:rsidRPr="009942FC">
        <w:t>The table</w:t>
      </w:r>
      <w:r w:rsidR="006869FA" w:rsidRPr="009942FC">
        <w:t>s</w:t>
      </w:r>
      <w:r w:rsidRPr="009942FC">
        <w:t xml:space="preserve"> below can be found in the </w:t>
      </w:r>
      <w:r w:rsidR="002C465B">
        <w:rPr>
          <w:b/>
          <w:bCs/>
        </w:rPr>
        <w:t>Management accounts – tables</w:t>
      </w:r>
      <w:r w:rsidRPr="009942FC">
        <w:t xml:space="preserve"> spreadsheets, in worksheet titled: </w:t>
      </w:r>
      <w:r w:rsidRPr="009942FC">
        <w:rPr>
          <w:b/>
          <w:bCs/>
        </w:rPr>
        <w:t xml:space="preserve">Drs &amp; </w:t>
      </w:r>
      <w:proofErr w:type="spellStart"/>
      <w:r w:rsidRPr="009942FC">
        <w:rPr>
          <w:b/>
          <w:bCs/>
        </w:rPr>
        <w:t>Crs</w:t>
      </w:r>
      <w:proofErr w:type="spellEnd"/>
    </w:p>
    <w:p w14:paraId="74861D94" w14:textId="0D1BDD8F" w:rsidR="008976DC" w:rsidRPr="009942FC" w:rsidRDefault="00FB4EE5" w:rsidP="009942FC">
      <w:pPr>
        <w:rPr>
          <w:rFonts w:cs="Arial"/>
          <w:b/>
          <w:bCs/>
        </w:rPr>
      </w:pPr>
      <w:r>
        <w:rPr>
          <w:noProof/>
        </w:rPr>
        <w:drawing>
          <wp:anchor distT="0" distB="0" distL="114300" distR="114300" simplePos="0" relativeHeight="251658246" behindDoc="0" locked="0" layoutInCell="1" allowOverlap="1" wp14:anchorId="504EE6E1" wp14:editId="1E265EF8">
            <wp:simplePos x="0" y="0"/>
            <wp:positionH relativeFrom="column">
              <wp:posOffset>0</wp:posOffset>
            </wp:positionH>
            <wp:positionV relativeFrom="paragraph">
              <wp:posOffset>285750</wp:posOffset>
            </wp:positionV>
            <wp:extent cx="5126990" cy="5547995"/>
            <wp:effectExtent l="0" t="0" r="0" b="0"/>
            <wp:wrapSquare wrapText="bothSides"/>
            <wp:docPr id="9603007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26990" cy="5547995"/>
                    </a:xfrm>
                    <a:prstGeom prst="rect">
                      <a:avLst/>
                    </a:prstGeom>
                    <a:noFill/>
                  </pic:spPr>
                </pic:pic>
              </a:graphicData>
            </a:graphic>
            <wp14:sizeRelH relativeFrom="page">
              <wp14:pctWidth>0</wp14:pctWidth>
            </wp14:sizeRelH>
            <wp14:sizeRelV relativeFrom="page">
              <wp14:pctHeight>0</wp14:pctHeight>
            </wp14:sizeRelV>
          </wp:anchor>
        </w:drawing>
      </w:r>
      <w:r w:rsidR="008976DC" w:rsidRPr="009942FC">
        <w:rPr>
          <w:rFonts w:cs="Arial"/>
          <w:b/>
          <w:bCs/>
        </w:rPr>
        <w:br w:type="page"/>
      </w:r>
    </w:p>
    <w:p w14:paraId="5829AC1B" w14:textId="77777777" w:rsidR="008976DC" w:rsidRPr="00B54B68" w:rsidRDefault="008976DC" w:rsidP="00932D67">
      <w:pPr>
        <w:pStyle w:val="Heading2"/>
        <w:numPr>
          <w:ilvl w:val="0"/>
          <w:numId w:val="41"/>
        </w:numPr>
        <w:rPr>
          <w:rFonts w:cs="Arial"/>
          <w:sz w:val="24"/>
          <w:szCs w:val="24"/>
        </w:rPr>
      </w:pPr>
      <w:bookmarkStart w:id="14" w:name="_Toc225160008"/>
      <w:r w:rsidRPr="00B54B68">
        <w:rPr>
          <w:rFonts w:cs="Arial"/>
          <w:sz w:val="24"/>
          <w:szCs w:val="24"/>
        </w:rPr>
        <w:t>Cash</w:t>
      </w:r>
      <w:bookmarkEnd w:id="14"/>
    </w:p>
    <w:p w14:paraId="51BC6398" w14:textId="77777777" w:rsidR="008976DC" w:rsidRDefault="008976DC" w:rsidP="00932D67">
      <w:pPr>
        <w:pStyle w:val="ListParagraph"/>
        <w:numPr>
          <w:ilvl w:val="0"/>
          <w:numId w:val="0"/>
        </w:numPr>
        <w:ind w:left="567"/>
        <w:rPr>
          <w:rFonts w:cs="Arial"/>
          <w:b/>
          <w:bCs/>
        </w:rPr>
      </w:pPr>
    </w:p>
    <w:p w14:paraId="3637F84D" w14:textId="7670D515" w:rsidR="003C66B5" w:rsidRPr="00612779" w:rsidRDefault="003C66B5" w:rsidP="003C66B5">
      <w:pPr>
        <w:rPr>
          <w:b/>
          <w:bCs/>
        </w:rPr>
      </w:pPr>
      <w:r w:rsidRPr="00612779">
        <w:t xml:space="preserve">The graph below can be found in the </w:t>
      </w:r>
      <w:r w:rsidR="002C465B">
        <w:rPr>
          <w:b/>
          <w:bCs/>
        </w:rPr>
        <w:t>Management accounts – tables</w:t>
      </w:r>
      <w:r w:rsidRPr="00612779">
        <w:t xml:space="preserve"> spreadsheets, in worksheet titled: </w:t>
      </w:r>
      <w:r w:rsidRPr="00612779">
        <w:rPr>
          <w:b/>
          <w:bCs/>
        </w:rPr>
        <w:t>Cash graph</w:t>
      </w:r>
    </w:p>
    <w:p w14:paraId="4F2CE64E" w14:textId="77777777" w:rsidR="00FB4EE5" w:rsidRPr="00B54B68" w:rsidRDefault="00FB4EE5" w:rsidP="00932D67">
      <w:pPr>
        <w:pStyle w:val="ListParagraph"/>
        <w:numPr>
          <w:ilvl w:val="0"/>
          <w:numId w:val="0"/>
        </w:numPr>
        <w:ind w:left="567"/>
        <w:rPr>
          <w:rFonts w:cs="Arial"/>
          <w:b/>
          <w:bCs/>
        </w:rPr>
      </w:pPr>
    </w:p>
    <w:p w14:paraId="4345AB9D" w14:textId="77777777" w:rsidR="008976DC" w:rsidRPr="00B54B68" w:rsidRDefault="008976DC" w:rsidP="00D64B22">
      <w:pPr>
        <w:pStyle w:val="ListParagraph"/>
        <w:numPr>
          <w:ilvl w:val="0"/>
          <w:numId w:val="0"/>
        </w:numPr>
        <w:ind w:left="567" w:hanging="567"/>
        <w:rPr>
          <w:rFonts w:cs="Arial"/>
          <w:b/>
          <w:bCs/>
        </w:rPr>
      </w:pPr>
      <w:r w:rsidRPr="00B54B68">
        <w:rPr>
          <w:rFonts w:cs="Arial"/>
          <w:noProof/>
        </w:rPr>
        <w:drawing>
          <wp:inline distT="0" distB="0" distL="0" distR="0" wp14:anchorId="1478CC02" wp14:editId="4757ABEC">
            <wp:extent cx="6035040" cy="3301680"/>
            <wp:effectExtent l="0" t="0" r="3810" b="0"/>
            <wp:docPr id="2005206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60009" cy="3315340"/>
                    </a:xfrm>
                    <a:prstGeom prst="rect">
                      <a:avLst/>
                    </a:prstGeom>
                    <a:noFill/>
                    <a:ln>
                      <a:noFill/>
                    </a:ln>
                  </pic:spPr>
                </pic:pic>
              </a:graphicData>
            </a:graphic>
          </wp:inline>
        </w:drawing>
      </w:r>
    </w:p>
    <w:p w14:paraId="62D5875D" w14:textId="77777777" w:rsidR="008976DC" w:rsidRPr="00B54B68" w:rsidRDefault="008976DC" w:rsidP="008976DC">
      <w:pPr>
        <w:rPr>
          <w:rFonts w:cs="Arial"/>
        </w:rPr>
      </w:pPr>
      <w:r w:rsidRPr="00B54B68">
        <w:rPr>
          <w:rFonts w:cs="Arial"/>
        </w:rPr>
        <w:t xml:space="preserve">The deterioration in solvency above is a direct impact of reducing cash balances. The current cash balance is c£2.09m, which represents 38 days cash in hand. Whilst this is still a relatively healthy level of cash, it is declining, and that is not a sustainable position for future planning. </w:t>
      </w:r>
    </w:p>
    <w:p w14:paraId="34B6F91E" w14:textId="77777777" w:rsidR="008976DC" w:rsidRPr="00B54B68" w:rsidRDefault="008976DC" w:rsidP="008976DC">
      <w:pPr>
        <w:rPr>
          <w:rFonts w:cs="Arial"/>
        </w:rPr>
      </w:pPr>
      <w:r w:rsidRPr="00B54B68">
        <w:rPr>
          <w:rFonts w:cs="Arial"/>
        </w:rPr>
        <w:t xml:space="preserve">The projected cash balance at the year-end is just under £2.1m. This will mean that overall cash balances will have reduced by c£700,000 for the full year. The low point in the cash forecast is expected to be at the end of April, with a projected balance of around £1.5m, representing 27 days cash in hand. </w:t>
      </w:r>
    </w:p>
    <w:p w14:paraId="6A7FB0D0" w14:textId="77777777" w:rsidR="008976DC" w:rsidRPr="00B54B68" w:rsidRDefault="008976DC" w:rsidP="008976DC">
      <w:pPr>
        <w:rPr>
          <w:rFonts w:cs="Arial"/>
        </w:rPr>
      </w:pPr>
      <w:r w:rsidRPr="00B54B68">
        <w:rPr>
          <w:rFonts w:cs="Arial"/>
        </w:rPr>
        <w:t xml:space="preserve">The budget plan for the year committed to utilising some of the cash reserve to provide much needed investment in capital equipment. The budget had planned to generate just over £900,000 of cash from operations during the year, with the majority of this cash (£720,000) being required to meet the loan repayments. The capital budget agreed for the year was £700,000 meaning that we would need to dip into cash reserves by around £500,000 this year. </w:t>
      </w:r>
    </w:p>
    <w:p w14:paraId="3FAF0F41" w14:textId="77777777" w:rsidR="008976DC" w:rsidRDefault="008976DC" w:rsidP="008976DC">
      <w:pPr>
        <w:rPr>
          <w:rFonts w:cs="Arial"/>
        </w:rPr>
      </w:pPr>
      <w:r w:rsidRPr="00B54B68">
        <w:rPr>
          <w:rFonts w:cs="Arial"/>
        </w:rPr>
        <w:t>The underperformance on some income lines means that we will now only generate enough cash in year to meet our debt servicing, with nothing left to go towards our planned capital expenditure. Therefore, we will require c£700,000 of our cash reserves this year to fund the capital. This underlines the need to improve EBITDA performance going forward to avoid a continuing decline in cash reserves.</w:t>
      </w:r>
    </w:p>
    <w:p w14:paraId="53F31977" w14:textId="77777777" w:rsidR="00926E4B" w:rsidRDefault="00926E4B" w:rsidP="008976DC">
      <w:pPr>
        <w:rPr>
          <w:rFonts w:cs="Arial"/>
        </w:rPr>
      </w:pPr>
    </w:p>
    <w:p w14:paraId="4E0D9491" w14:textId="08F69272" w:rsidR="008976DC" w:rsidRPr="00612779" w:rsidRDefault="00926E4B" w:rsidP="00FA21C7">
      <w:pPr>
        <w:rPr>
          <w:rFonts w:cs="Arial"/>
        </w:rPr>
      </w:pPr>
      <w:r w:rsidRPr="00612779">
        <w:t xml:space="preserve">The table below can be found in the </w:t>
      </w:r>
      <w:r w:rsidR="002C465B">
        <w:rPr>
          <w:b/>
          <w:bCs/>
        </w:rPr>
        <w:t>Management accounts – tables</w:t>
      </w:r>
      <w:r w:rsidRPr="00612779">
        <w:t xml:space="preserve"> spreadsheets, in </w:t>
      </w:r>
      <w:r w:rsidR="00FA21C7" w:rsidRPr="00612779">
        <w:t xml:space="preserve">the </w:t>
      </w:r>
      <w:r w:rsidRPr="00612779">
        <w:t xml:space="preserve">worksheet titled: </w:t>
      </w:r>
      <w:r w:rsidR="00852B26" w:rsidRPr="00612779">
        <w:rPr>
          <w:b/>
          <w:bCs/>
        </w:rPr>
        <w:t>Cash use</w:t>
      </w:r>
    </w:p>
    <w:p w14:paraId="27691C7F" w14:textId="3BA062A2" w:rsidR="008976DC" w:rsidRPr="00B54B68" w:rsidRDefault="00F44365" w:rsidP="008976DC">
      <w:pPr>
        <w:jc w:val="center"/>
        <w:rPr>
          <w:rFonts w:cs="Arial"/>
        </w:rPr>
      </w:pPr>
      <w:r w:rsidRPr="00F44365">
        <w:rPr>
          <w:noProof/>
        </w:rPr>
        <w:drawing>
          <wp:inline distT="0" distB="0" distL="0" distR="0" wp14:anchorId="1C821B83" wp14:editId="6AD97208">
            <wp:extent cx="5094415" cy="6012000"/>
            <wp:effectExtent l="0" t="0" r="0" b="8255"/>
            <wp:docPr id="5263551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94415" cy="6012000"/>
                    </a:xfrm>
                    <a:prstGeom prst="rect">
                      <a:avLst/>
                    </a:prstGeom>
                    <a:noFill/>
                    <a:ln>
                      <a:noFill/>
                    </a:ln>
                  </pic:spPr>
                </pic:pic>
              </a:graphicData>
            </a:graphic>
          </wp:inline>
        </w:drawing>
      </w:r>
    </w:p>
    <w:p w14:paraId="0676F002" w14:textId="77687ECE" w:rsidR="008976DC" w:rsidRDefault="008976DC" w:rsidP="008976DC">
      <w:pPr>
        <w:rPr>
          <w:rFonts w:cs="Arial"/>
        </w:rPr>
      </w:pPr>
    </w:p>
    <w:p w14:paraId="1BE2353A" w14:textId="74F43F8F" w:rsidR="008976DC" w:rsidRPr="00B54B68" w:rsidRDefault="008976DC" w:rsidP="008976DC">
      <w:pPr>
        <w:rPr>
          <w:rFonts w:cs="Arial"/>
        </w:rPr>
      </w:pPr>
      <w:r w:rsidRPr="00B54B68">
        <w:rPr>
          <w:rFonts w:cs="Arial"/>
        </w:rPr>
        <w:t>The cashflow reflects the forecast position in the income and expenditure schedule, including a potential total repayment of ASF funding of £139,000; this is shown in December 202X.</w:t>
      </w:r>
    </w:p>
    <w:p w14:paraId="640F6D5A" w14:textId="4857ABEF" w:rsidR="00AA1448" w:rsidRDefault="00AA1448">
      <w:pPr>
        <w:spacing w:after="0" w:line="240" w:lineRule="auto"/>
        <w:rPr>
          <w:rFonts w:cs="Arial"/>
        </w:rPr>
      </w:pPr>
      <w:r>
        <w:rPr>
          <w:rFonts w:cs="Arial"/>
        </w:rPr>
        <w:br w:type="page"/>
      </w:r>
    </w:p>
    <w:p w14:paraId="0B415CE1" w14:textId="61137202" w:rsidR="00AA1448" w:rsidRPr="00AA1448" w:rsidRDefault="00852B26" w:rsidP="008976DC">
      <w:pPr>
        <w:rPr>
          <w:b/>
          <w:bCs/>
        </w:rPr>
      </w:pPr>
      <w:r w:rsidRPr="00AA1448">
        <w:t xml:space="preserve">The table below can be found in the </w:t>
      </w:r>
      <w:r w:rsidR="002C465B">
        <w:rPr>
          <w:b/>
          <w:bCs/>
        </w:rPr>
        <w:t>Management accounts – tables</w:t>
      </w:r>
      <w:r w:rsidRPr="00AA1448">
        <w:t xml:space="preserve"> spreadsheets, in</w:t>
      </w:r>
      <w:r w:rsidR="00C82B3D" w:rsidRPr="00AA1448">
        <w:t xml:space="preserve"> the</w:t>
      </w:r>
      <w:r w:rsidRPr="00AA1448">
        <w:t xml:space="preserve"> worksheet titled: </w:t>
      </w:r>
      <w:r w:rsidRPr="00AA1448">
        <w:rPr>
          <w:b/>
          <w:bCs/>
        </w:rPr>
        <w:t xml:space="preserve">Cash </w:t>
      </w:r>
    </w:p>
    <w:p w14:paraId="1F15CA34" w14:textId="3AEF594B" w:rsidR="008976DC" w:rsidRPr="00AA1448" w:rsidRDefault="00852B26" w:rsidP="008976DC">
      <w:pPr>
        <w:rPr>
          <w:rFonts w:cs="Arial"/>
          <w:sz w:val="20"/>
          <w:szCs w:val="20"/>
        </w:rPr>
      </w:pPr>
      <w:r w:rsidRPr="00AA1448">
        <w:rPr>
          <w:rFonts w:cs="Arial"/>
          <w:noProof/>
          <w:sz w:val="20"/>
          <w:szCs w:val="20"/>
        </w:rPr>
        <w:drawing>
          <wp:anchor distT="0" distB="0" distL="114300" distR="114300" simplePos="0" relativeHeight="251658247" behindDoc="0" locked="0" layoutInCell="1" allowOverlap="1" wp14:anchorId="4538FC8F" wp14:editId="2D061B70">
            <wp:simplePos x="0" y="0"/>
            <wp:positionH relativeFrom="column">
              <wp:posOffset>0</wp:posOffset>
            </wp:positionH>
            <wp:positionV relativeFrom="paragraph">
              <wp:posOffset>361315</wp:posOffset>
            </wp:positionV>
            <wp:extent cx="6712585" cy="4883150"/>
            <wp:effectExtent l="0" t="0" r="0" b="0"/>
            <wp:wrapSquare wrapText="bothSides"/>
            <wp:docPr id="17899419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12585" cy="4883150"/>
                    </a:xfrm>
                    <a:prstGeom prst="rect">
                      <a:avLst/>
                    </a:prstGeom>
                    <a:noFill/>
                  </pic:spPr>
                </pic:pic>
              </a:graphicData>
            </a:graphic>
            <wp14:sizeRelH relativeFrom="page">
              <wp14:pctWidth>0</wp14:pctWidth>
            </wp14:sizeRelH>
            <wp14:sizeRelV relativeFrom="page">
              <wp14:pctHeight>0</wp14:pctHeight>
            </wp14:sizeRelV>
          </wp:anchor>
        </w:drawing>
      </w:r>
    </w:p>
    <w:p w14:paraId="21FAF2E0" w14:textId="77777777" w:rsidR="008976DC" w:rsidRDefault="008976DC" w:rsidP="00932D67">
      <w:pPr>
        <w:pStyle w:val="Heading2"/>
        <w:numPr>
          <w:ilvl w:val="0"/>
          <w:numId w:val="41"/>
        </w:numPr>
        <w:rPr>
          <w:rFonts w:cs="Arial"/>
          <w:sz w:val="24"/>
          <w:szCs w:val="24"/>
        </w:rPr>
      </w:pPr>
      <w:bookmarkStart w:id="15" w:name="_Toc225160009"/>
      <w:r w:rsidRPr="00B54B68">
        <w:rPr>
          <w:rFonts w:cs="Arial"/>
          <w:sz w:val="24"/>
          <w:szCs w:val="24"/>
        </w:rPr>
        <w:t>Loans</w:t>
      </w:r>
      <w:bookmarkEnd w:id="15"/>
    </w:p>
    <w:p w14:paraId="523334A8" w14:textId="072677E2" w:rsidR="00BE0A55" w:rsidRDefault="00734584" w:rsidP="00C82B3D">
      <w:pPr>
        <w:rPr>
          <w:b/>
          <w:bCs/>
        </w:rPr>
      </w:pPr>
      <w:r w:rsidRPr="00AA1448">
        <w:t xml:space="preserve">The table below can be found in the </w:t>
      </w:r>
      <w:r w:rsidR="002C465B">
        <w:rPr>
          <w:b/>
          <w:bCs/>
        </w:rPr>
        <w:t>Management accounts – tables</w:t>
      </w:r>
      <w:r w:rsidRPr="00AA1448">
        <w:t xml:space="preserve"> spreadsheets, in </w:t>
      </w:r>
      <w:r w:rsidR="00C82B3D" w:rsidRPr="00AA1448">
        <w:t xml:space="preserve">the </w:t>
      </w:r>
      <w:r w:rsidRPr="00AA1448">
        <w:t xml:space="preserve">worksheet titled: </w:t>
      </w:r>
      <w:r w:rsidRPr="00AA1448">
        <w:rPr>
          <w:b/>
          <w:bCs/>
        </w:rPr>
        <w:t>Loans</w:t>
      </w:r>
    </w:p>
    <w:p w14:paraId="5D8647AC" w14:textId="7E20FA67" w:rsidR="008976DC" w:rsidRPr="00B54B68" w:rsidRDefault="007505BB" w:rsidP="00C82B3D">
      <w:pPr>
        <w:rPr>
          <w:rFonts w:cs="Arial"/>
          <w:b/>
          <w:bCs/>
        </w:rPr>
      </w:pPr>
      <w:r w:rsidRPr="007505BB">
        <w:rPr>
          <w:noProof/>
        </w:rPr>
        <w:drawing>
          <wp:inline distT="0" distB="0" distL="0" distR="0" wp14:anchorId="04D6BFC3" wp14:editId="484C1431">
            <wp:extent cx="6615700" cy="2470150"/>
            <wp:effectExtent l="0" t="0" r="0" b="6350"/>
            <wp:docPr id="44452700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18606" cy="2471235"/>
                    </a:xfrm>
                    <a:prstGeom prst="rect">
                      <a:avLst/>
                    </a:prstGeom>
                    <a:noFill/>
                    <a:ln>
                      <a:noFill/>
                    </a:ln>
                  </pic:spPr>
                </pic:pic>
              </a:graphicData>
            </a:graphic>
          </wp:inline>
        </w:drawing>
      </w:r>
    </w:p>
    <w:p w14:paraId="03786F86" w14:textId="77777777" w:rsidR="008976DC" w:rsidRPr="00B54B68" w:rsidRDefault="008976DC" w:rsidP="008976DC">
      <w:pPr>
        <w:jc w:val="center"/>
        <w:rPr>
          <w:rFonts w:cs="Arial"/>
          <w:b/>
          <w:bCs/>
        </w:rPr>
      </w:pPr>
    </w:p>
    <w:p w14:paraId="3E5B1995" w14:textId="77777777" w:rsidR="008976DC" w:rsidRPr="00B54B68" w:rsidRDefault="008976DC" w:rsidP="008976DC">
      <w:pPr>
        <w:rPr>
          <w:rFonts w:cs="Arial"/>
        </w:rPr>
      </w:pPr>
      <w:r w:rsidRPr="00B54B68">
        <w:rPr>
          <w:rFonts w:cs="Arial"/>
        </w:rPr>
        <w:t xml:space="preserve">The long-term loan, which currently has an outstanding balance of c£8m is being repaid at a rate of £180,000 per quarter. The full year forecast is projecting that two of the three covenants will be breached. </w:t>
      </w:r>
    </w:p>
    <w:p w14:paraId="47F141EB" w14:textId="4CB22FD6" w:rsidR="008976DC" w:rsidRPr="00B54B68" w:rsidRDefault="008976DC" w:rsidP="008976DC">
      <w:pPr>
        <w:rPr>
          <w:rFonts w:cs="Arial"/>
        </w:rPr>
      </w:pPr>
      <w:r w:rsidRPr="00B54B68">
        <w:rPr>
          <w:rFonts w:cs="Arial"/>
        </w:rPr>
        <w:t xml:space="preserve">You will recall when the budget was agreed the debt service cover covenants was highlighted as a major risk, as there was virtually no headroom in the ratio. Given the adverse performance, it is now very unlikely that we will be able meet that covenant test. In addition, the forecast EBITDA means that we are also likely to breach the net borrowings to EBITDA ratio. </w:t>
      </w:r>
    </w:p>
    <w:p w14:paraId="0D7AB794" w14:textId="39D40CE8" w:rsidR="008976DC" w:rsidRPr="00B54B68" w:rsidRDefault="008976DC" w:rsidP="008976DC">
      <w:pPr>
        <w:rPr>
          <w:rFonts w:cs="Arial"/>
        </w:rPr>
      </w:pPr>
      <w:r w:rsidRPr="00B54B68">
        <w:rPr>
          <w:rFonts w:cs="Arial"/>
        </w:rPr>
        <w:t xml:space="preserve">Dialogue is ongoing with the bank to secure a waiver or agreement not to measure covenants at year-end and retain existing terms. If agreement cannot be reached, and the bank loan has to be re-classified as a current liability, this will impact adversely on the solvency ratio and almost certainly push the financial health into inadequate.  The DfE has been informed of this risk, since due to sector reclassification, the college will need to seek permission from the DfE for refinancing if the bank is unwilling to retain existing terms following the breach of covenant.  </w:t>
      </w:r>
    </w:p>
    <w:p w14:paraId="5E70E79B" w14:textId="1DA331F2" w:rsidR="008976DC" w:rsidRDefault="008976DC" w:rsidP="00932D67">
      <w:pPr>
        <w:pStyle w:val="Heading2"/>
        <w:numPr>
          <w:ilvl w:val="0"/>
          <w:numId w:val="41"/>
        </w:numPr>
        <w:rPr>
          <w:rFonts w:cs="Arial"/>
          <w:sz w:val="24"/>
          <w:szCs w:val="24"/>
        </w:rPr>
      </w:pPr>
      <w:bookmarkStart w:id="16" w:name="_Toc225160010"/>
      <w:r w:rsidRPr="00B54B68">
        <w:rPr>
          <w:rFonts w:cs="Arial"/>
          <w:sz w:val="24"/>
          <w:szCs w:val="24"/>
        </w:rPr>
        <w:t>KPIs</w:t>
      </w:r>
      <w:bookmarkEnd w:id="16"/>
    </w:p>
    <w:p w14:paraId="5098C00A" w14:textId="2EE1AF9D" w:rsidR="0030606F" w:rsidRPr="003312E4" w:rsidRDefault="0030606F" w:rsidP="0030606F">
      <w:pPr>
        <w:rPr>
          <w:rFonts w:cs="Arial"/>
          <w:b/>
          <w:bCs/>
        </w:rPr>
      </w:pPr>
      <w:r w:rsidRPr="003312E4">
        <w:t xml:space="preserve">The table below can be found in the </w:t>
      </w:r>
      <w:r w:rsidR="002C465B">
        <w:rPr>
          <w:b/>
          <w:bCs/>
        </w:rPr>
        <w:t>Management accounts – tables</w:t>
      </w:r>
      <w:r w:rsidRPr="003312E4">
        <w:t xml:space="preserve"> spreadsheets, in </w:t>
      </w:r>
      <w:r w:rsidR="00C82B3D" w:rsidRPr="003312E4">
        <w:t xml:space="preserve">the </w:t>
      </w:r>
      <w:r w:rsidRPr="003312E4">
        <w:t xml:space="preserve">worksheet titled: </w:t>
      </w:r>
      <w:r w:rsidR="0089192C" w:rsidRPr="003312E4">
        <w:rPr>
          <w:b/>
          <w:bCs/>
        </w:rPr>
        <w:t>KPIs</w:t>
      </w:r>
    </w:p>
    <w:p w14:paraId="2BDD6BE9" w14:textId="387EE423" w:rsidR="008976DC" w:rsidRPr="00B54B68" w:rsidRDefault="00C940F1" w:rsidP="00D64B22">
      <w:pPr>
        <w:pStyle w:val="ListParagraph"/>
        <w:numPr>
          <w:ilvl w:val="0"/>
          <w:numId w:val="0"/>
        </w:numPr>
        <w:ind w:left="567" w:hanging="567"/>
        <w:rPr>
          <w:rFonts w:cs="Arial"/>
          <w:b/>
          <w:bCs/>
        </w:rPr>
      </w:pPr>
      <w:r w:rsidRPr="00C940F1">
        <w:rPr>
          <w:noProof/>
        </w:rPr>
        <w:drawing>
          <wp:inline distT="0" distB="0" distL="0" distR="0" wp14:anchorId="3845E69C" wp14:editId="2D73B97A">
            <wp:extent cx="6373047" cy="3994150"/>
            <wp:effectExtent l="0" t="0" r="8890" b="0"/>
            <wp:docPr id="153331520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74955" cy="3995346"/>
                    </a:xfrm>
                    <a:prstGeom prst="rect">
                      <a:avLst/>
                    </a:prstGeom>
                    <a:noFill/>
                    <a:ln>
                      <a:noFill/>
                    </a:ln>
                  </pic:spPr>
                </pic:pic>
              </a:graphicData>
            </a:graphic>
          </wp:inline>
        </w:drawing>
      </w:r>
    </w:p>
    <w:p w14:paraId="4D89BED3" w14:textId="511C65A1" w:rsidR="008976DC" w:rsidRPr="00B54B68" w:rsidRDefault="008976DC" w:rsidP="008976DC">
      <w:pPr>
        <w:rPr>
          <w:rFonts w:cs="Arial"/>
        </w:rPr>
      </w:pPr>
      <w:r w:rsidRPr="00B54B68">
        <w:rPr>
          <w:rFonts w:cs="Arial"/>
        </w:rPr>
        <w:t xml:space="preserve">It is worth noting that the college is not expecting to meet any of the Further Education Commissioner (FEC), </w:t>
      </w:r>
      <w:r w:rsidRPr="0004130B">
        <w:rPr>
          <w:rFonts w:cs="Arial"/>
        </w:rPr>
        <w:t>financial benchmarks</w:t>
      </w:r>
      <w:r w:rsidRPr="00B54B68">
        <w:rPr>
          <w:rFonts w:cs="Arial"/>
        </w:rPr>
        <w:t xml:space="preserve"> with the exception of cash days</w:t>
      </w:r>
      <w:r w:rsidR="008D56FC">
        <w:rPr>
          <w:rFonts w:cs="Arial"/>
        </w:rPr>
        <w:t xml:space="preserve"> if </w:t>
      </w:r>
      <w:r w:rsidR="00006EE3">
        <w:rPr>
          <w:rFonts w:cs="Arial"/>
        </w:rPr>
        <w:t>we</w:t>
      </w:r>
      <w:r w:rsidR="008D56FC">
        <w:rPr>
          <w:rFonts w:cs="Arial"/>
        </w:rPr>
        <w:t xml:space="preserve"> </w:t>
      </w:r>
      <w:r w:rsidR="00773F35">
        <w:rPr>
          <w:rFonts w:cs="Arial"/>
        </w:rPr>
        <w:t>achieve budget</w:t>
      </w:r>
      <w:r w:rsidRPr="00B54B68">
        <w:rPr>
          <w:rFonts w:cs="Arial"/>
        </w:rPr>
        <w:t>.  Whilst these are issued as target financial indicators and are for guidance only, it does signal that the college has some underlying financial weaknesses that we need to address with future financial plans. The KPI schedule also highlights that we are operating average class sizes that are too small, and this must be a key priority to address in curriculum planning for 202X/2Y to help improve underlying efficiency.</w:t>
      </w:r>
    </w:p>
    <w:p w14:paraId="6B52191D" w14:textId="669BD447" w:rsidR="008976DC" w:rsidRPr="00B54B68" w:rsidRDefault="008976DC" w:rsidP="008976DC">
      <w:pPr>
        <w:rPr>
          <w:rFonts w:cs="Arial"/>
        </w:rPr>
      </w:pPr>
      <w:r w:rsidRPr="00B54B68">
        <w:rPr>
          <w:rFonts w:cs="Arial"/>
        </w:rPr>
        <w:t>An analysis of forecast contribution for the current year by curriculum area is available in the appendices.</w:t>
      </w:r>
    </w:p>
    <w:p w14:paraId="5FFF77AF" w14:textId="77777777" w:rsidR="008976DC" w:rsidRDefault="008976DC" w:rsidP="00932D67">
      <w:pPr>
        <w:pStyle w:val="Heading2"/>
        <w:numPr>
          <w:ilvl w:val="0"/>
          <w:numId w:val="41"/>
        </w:numPr>
        <w:rPr>
          <w:rFonts w:cs="Arial"/>
          <w:sz w:val="24"/>
          <w:szCs w:val="24"/>
        </w:rPr>
      </w:pPr>
      <w:bookmarkStart w:id="17" w:name="_Toc225160011"/>
      <w:r w:rsidRPr="00B54B68">
        <w:rPr>
          <w:rFonts w:cs="Arial"/>
          <w:sz w:val="24"/>
          <w:szCs w:val="24"/>
        </w:rPr>
        <w:t>Capital</w:t>
      </w:r>
      <w:bookmarkEnd w:id="17"/>
    </w:p>
    <w:p w14:paraId="1FAB2E26" w14:textId="5A94FADC" w:rsidR="008913E2" w:rsidRPr="003312E4" w:rsidRDefault="008913E2" w:rsidP="008913E2">
      <w:pPr>
        <w:rPr>
          <w:rFonts w:cs="Arial"/>
          <w:b/>
          <w:bCs/>
        </w:rPr>
      </w:pPr>
      <w:r w:rsidRPr="003312E4">
        <w:t xml:space="preserve">The table below can be found in the </w:t>
      </w:r>
      <w:r w:rsidR="002C465B">
        <w:rPr>
          <w:b/>
          <w:bCs/>
        </w:rPr>
        <w:t>Management accounts – tables</w:t>
      </w:r>
      <w:r w:rsidRPr="003312E4">
        <w:t xml:space="preserve"> spreadsheets, in </w:t>
      </w:r>
      <w:r w:rsidR="00C82B3D" w:rsidRPr="003312E4">
        <w:t xml:space="preserve">the </w:t>
      </w:r>
      <w:r w:rsidRPr="003312E4">
        <w:t xml:space="preserve">worksheet titled: </w:t>
      </w:r>
      <w:r w:rsidRPr="003312E4">
        <w:rPr>
          <w:b/>
          <w:bCs/>
        </w:rPr>
        <w:t>Capital</w:t>
      </w:r>
    </w:p>
    <w:p w14:paraId="6CBFF98D" w14:textId="52ED20D0" w:rsidR="00C517D9" w:rsidRPr="00B54B68" w:rsidRDefault="008913E2" w:rsidP="00C517D9">
      <w:pPr>
        <w:rPr>
          <w:rFonts w:cs="Arial"/>
        </w:rPr>
      </w:pPr>
      <w:r w:rsidRPr="008913E2">
        <w:rPr>
          <w:noProof/>
        </w:rPr>
        <w:drawing>
          <wp:inline distT="0" distB="0" distL="0" distR="0" wp14:anchorId="7FB577B0" wp14:editId="0CB85ED2">
            <wp:extent cx="6372000" cy="2511407"/>
            <wp:effectExtent l="0" t="0" r="0" b="0"/>
            <wp:docPr id="108627691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72000" cy="2511407"/>
                    </a:xfrm>
                    <a:prstGeom prst="rect">
                      <a:avLst/>
                    </a:prstGeom>
                    <a:noFill/>
                    <a:ln>
                      <a:noFill/>
                    </a:ln>
                  </pic:spPr>
                </pic:pic>
              </a:graphicData>
            </a:graphic>
          </wp:inline>
        </w:drawing>
      </w:r>
    </w:p>
    <w:p w14:paraId="18A525E4" w14:textId="77777777" w:rsidR="008976DC" w:rsidRDefault="008976DC" w:rsidP="008976DC">
      <w:pPr>
        <w:rPr>
          <w:rFonts w:cs="Arial"/>
        </w:rPr>
      </w:pPr>
      <w:r w:rsidRPr="00B54B68">
        <w:rPr>
          <w:rFonts w:cs="Arial"/>
        </w:rPr>
        <w:t>The capital expenditure plan for the year is largely on track, with a small projected underspend of £10k for the year. The refectory upgrade is progressing well and is expected to be ready for full operation after the February half term, as planned. There has been a delay to the relocation of electrical due to a supplier issue, and this work will now be completed during the Easter holiday period.</w:t>
      </w:r>
    </w:p>
    <w:p w14:paraId="4C630C8F" w14:textId="77777777" w:rsidR="003312E4" w:rsidRDefault="003312E4">
      <w:pPr>
        <w:spacing w:after="0" w:line="240" w:lineRule="auto"/>
        <w:rPr>
          <w:rFonts w:cs="Arial"/>
        </w:rPr>
      </w:pPr>
      <w:r>
        <w:rPr>
          <w:rFonts w:cs="Arial"/>
          <w:b/>
        </w:rPr>
        <w:br w:type="page"/>
      </w:r>
    </w:p>
    <w:p w14:paraId="50DD5735" w14:textId="34236193" w:rsidR="008976DC" w:rsidRDefault="008976DC" w:rsidP="00932D67">
      <w:pPr>
        <w:pStyle w:val="Heading2"/>
        <w:numPr>
          <w:ilvl w:val="0"/>
          <w:numId w:val="41"/>
        </w:numPr>
        <w:rPr>
          <w:rFonts w:cs="Arial"/>
          <w:sz w:val="24"/>
          <w:szCs w:val="24"/>
        </w:rPr>
      </w:pPr>
      <w:bookmarkStart w:id="18" w:name="_Toc225160012"/>
      <w:r w:rsidRPr="00B54B68">
        <w:rPr>
          <w:rFonts w:cs="Arial"/>
          <w:sz w:val="24"/>
          <w:szCs w:val="24"/>
        </w:rPr>
        <w:t>Risks and Sensitivities</w:t>
      </w:r>
      <w:bookmarkEnd w:id="18"/>
    </w:p>
    <w:p w14:paraId="6F1FDAB5" w14:textId="77777777" w:rsidR="002E7502" w:rsidRDefault="002E7502" w:rsidP="002E7502"/>
    <w:p w14:paraId="156AA125" w14:textId="691A449D" w:rsidR="002E7502" w:rsidRPr="003312E4" w:rsidRDefault="002E7502" w:rsidP="002E7502">
      <w:pPr>
        <w:rPr>
          <w:rFonts w:cs="Arial"/>
          <w:b/>
          <w:bCs/>
        </w:rPr>
      </w:pPr>
      <w:r w:rsidRPr="003312E4">
        <w:t xml:space="preserve">The table below can be found in the </w:t>
      </w:r>
      <w:r w:rsidR="002C465B">
        <w:rPr>
          <w:b/>
          <w:bCs/>
        </w:rPr>
        <w:t>Management accounts – tables</w:t>
      </w:r>
      <w:r w:rsidRPr="003312E4">
        <w:t xml:space="preserve"> spreadsheets, in </w:t>
      </w:r>
      <w:r w:rsidR="00E35A96" w:rsidRPr="003312E4">
        <w:t xml:space="preserve">the </w:t>
      </w:r>
      <w:r w:rsidRPr="003312E4">
        <w:t xml:space="preserve">worksheet titled: </w:t>
      </w:r>
      <w:r w:rsidRPr="003312E4">
        <w:rPr>
          <w:b/>
          <w:bCs/>
        </w:rPr>
        <w:t>Risks</w:t>
      </w:r>
      <w:r w:rsidR="00400B9A" w:rsidRPr="003312E4">
        <w:rPr>
          <w:b/>
          <w:bCs/>
        </w:rPr>
        <w:t xml:space="preserve"> &amp; Sensitivities</w:t>
      </w:r>
    </w:p>
    <w:p w14:paraId="18FCFE74" w14:textId="61271F2B" w:rsidR="00D64B22" w:rsidRPr="00B54B68" w:rsidRDefault="00F20F1D" w:rsidP="00AB0E2D">
      <w:pPr>
        <w:ind w:hanging="284"/>
        <w:rPr>
          <w:rFonts w:cs="Arial"/>
        </w:rPr>
      </w:pPr>
      <w:r w:rsidRPr="00F20F1D">
        <w:rPr>
          <w:noProof/>
        </w:rPr>
        <w:drawing>
          <wp:inline distT="0" distB="0" distL="0" distR="0" wp14:anchorId="5405ADD8" wp14:editId="47B9FE80">
            <wp:extent cx="6709431" cy="3744000"/>
            <wp:effectExtent l="0" t="0" r="0" b="8890"/>
            <wp:docPr id="37323725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09431" cy="3744000"/>
                    </a:xfrm>
                    <a:prstGeom prst="rect">
                      <a:avLst/>
                    </a:prstGeom>
                    <a:noFill/>
                    <a:ln>
                      <a:noFill/>
                    </a:ln>
                  </pic:spPr>
                </pic:pic>
              </a:graphicData>
            </a:graphic>
          </wp:inline>
        </w:drawing>
      </w:r>
    </w:p>
    <w:p w14:paraId="5A6B36CE" w14:textId="77777777" w:rsidR="008976DC" w:rsidRDefault="008976DC" w:rsidP="008976DC">
      <w:pPr>
        <w:rPr>
          <w:rFonts w:cs="Arial"/>
        </w:rPr>
      </w:pPr>
      <w:r w:rsidRPr="00B54B68">
        <w:rPr>
          <w:rFonts w:cs="Arial"/>
        </w:rPr>
        <w:t>The above schedule shows some scenario planning for three key variables in the full year forecast. The best case scenario assumes that we can find the additional costs savings referred to earlier and manage to deliver above respective reconciliation thresholds for both grant-funded and devolved elements of ASF.  In this scenario EBITDA would be slightly better than budget, and the college would not be in breach of its loan covenants and financial health would remain as ‘requires improvement’.  In the worst case scenario, where additional cost savings are not achieved and we suffer further income reductions, the EBITDA position would worsen, cash balances would fall below £2m, and financial health will be ‘inadequate’.</w:t>
      </w:r>
    </w:p>
    <w:p w14:paraId="2BB0D15D" w14:textId="77777777" w:rsidR="003312E4" w:rsidRDefault="003312E4">
      <w:pPr>
        <w:spacing w:after="0" w:line="240" w:lineRule="auto"/>
        <w:rPr>
          <w:rFonts w:cs="Arial"/>
        </w:rPr>
      </w:pPr>
      <w:r>
        <w:rPr>
          <w:rFonts w:cs="Arial"/>
          <w:b/>
        </w:rPr>
        <w:br w:type="page"/>
      </w:r>
    </w:p>
    <w:p w14:paraId="686C451C" w14:textId="30C90AD1" w:rsidR="008976DC" w:rsidRDefault="008976DC" w:rsidP="00932D67">
      <w:pPr>
        <w:pStyle w:val="Heading2"/>
        <w:numPr>
          <w:ilvl w:val="0"/>
          <w:numId w:val="41"/>
        </w:numPr>
        <w:rPr>
          <w:rFonts w:cs="Arial"/>
          <w:sz w:val="24"/>
          <w:szCs w:val="24"/>
        </w:rPr>
      </w:pPr>
      <w:bookmarkStart w:id="19" w:name="_Toc225160013"/>
      <w:r w:rsidRPr="0031471C">
        <w:rPr>
          <w:rFonts w:cs="Arial"/>
          <w:sz w:val="24"/>
          <w:szCs w:val="24"/>
        </w:rPr>
        <w:t xml:space="preserve">Issues </w:t>
      </w:r>
      <w:r w:rsidRPr="00B54B68">
        <w:rPr>
          <w:rFonts w:cs="Arial"/>
          <w:sz w:val="24"/>
          <w:szCs w:val="24"/>
        </w:rPr>
        <w:t>for</w:t>
      </w:r>
      <w:r w:rsidRPr="0031471C">
        <w:rPr>
          <w:rFonts w:cs="Arial"/>
          <w:sz w:val="24"/>
          <w:szCs w:val="24"/>
        </w:rPr>
        <w:t xml:space="preserve"> further </w:t>
      </w:r>
      <w:r w:rsidR="0031471C" w:rsidRPr="0031471C">
        <w:rPr>
          <w:rFonts w:cs="Arial"/>
          <w:sz w:val="24"/>
          <w:szCs w:val="24"/>
        </w:rPr>
        <w:t>review</w:t>
      </w:r>
      <w:bookmarkEnd w:id="19"/>
    </w:p>
    <w:p w14:paraId="5B8CEE9A" w14:textId="77777777" w:rsidR="0031471C" w:rsidRPr="0031471C" w:rsidRDefault="0031471C" w:rsidP="0031471C"/>
    <w:p w14:paraId="1DA922FC" w14:textId="06BA418C" w:rsidR="0031471C" w:rsidRPr="003312E4" w:rsidRDefault="0031471C" w:rsidP="0031471C">
      <w:pPr>
        <w:rPr>
          <w:rFonts w:cs="Arial"/>
          <w:b/>
          <w:bCs/>
        </w:rPr>
      </w:pPr>
      <w:r w:rsidRPr="003312E4">
        <w:t xml:space="preserve">The table below can be found in the </w:t>
      </w:r>
      <w:r w:rsidR="002C465B">
        <w:rPr>
          <w:b/>
          <w:bCs/>
        </w:rPr>
        <w:t>Management accounts – tables</w:t>
      </w:r>
      <w:r w:rsidRPr="003312E4">
        <w:t xml:space="preserve"> spreadsheets, in </w:t>
      </w:r>
      <w:r w:rsidR="00E35A96" w:rsidRPr="003312E4">
        <w:t xml:space="preserve">the </w:t>
      </w:r>
      <w:r w:rsidRPr="003312E4">
        <w:t xml:space="preserve">worksheet titled: </w:t>
      </w:r>
      <w:r w:rsidRPr="003312E4">
        <w:rPr>
          <w:b/>
          <w:bCs/>
        </w:rPr>
        <w:t>Issues for further review</w:t>
      </w:r>
    </w:p>
    <w:p w14:paraId="621BC9AE" w14:textId="79FA6F35" w:rsidR="008976DC" w:rsidRPr="00B54B68" w:rsidRDefault="002242F6" w:rsidP="00C517D9">
      <w:pPr>
        <w:pStyle w:val="ListParagraph"/>
        <w:numPr>
          <w:ilvl w:val="0"/>
          <w:numId w:val="0"/>
        </w:numPr>
        <w:ind w:left="567" w:hanging="567"/>
        <w:rPr>
          <w:rFonts w:cs="Arial"/>
          <w:b/>
          <w:bCs/>
        </w:rPr>
      </w:pPr>
      <w:r w:rsidRPr="002242F6">
        <w:rPr>
          <w:noProof/>
        </w:rPr>
        <w:drawing>
          <wp:inline distT="0" distB="0" distL="0" distR="0" wp14:anchorId="3CF89DCF" wp14:editId="3A691B37">
            <wp:extent cx="6259858" cy="3575050"/>
            <wp:effectExtent l="0" t="0" r="7620" b="6350"/>
            <wp:docPr id="6496947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59886" cy="3575066"/>
                    </a:xfrm>
                    <a:prstGeom prst="rect">
                      <a:avLst/>
                    </a:prstGeom>
                    <a:noFill/>
                    <a:ln>
                      <a:noFill/>
                    </a:ln>
                  </pic:spPr>
                </pic:pic>
              </a:graphicData>
            </a:graphic>
          </wp:inline>
        </w:drawing>
      </w:r>
    </w:p>
    <w:p w14:paraId="5F14F2B9" w14:textId="77777777" w:rsidR="008976DC" w:rsidRPr="00B54B68" w:rsidRDefault="008976DC" w:rsidP="008976DC">
      <w:pPr>
        <w:rPr>
          <w:rFonts w:cs="Arial"/>
          <w:b/>
          <w:bCs/>
          <w:i/>
          <w:iCs/>
          <w:color w:val="FF0000"/>
        </w:rPr>
      </w:pPr>
    </w:p>
    <w:p w14:paraId="41B08D3B" w14:textId="77777777" w:rsidR="008976DC" w:rsidRPr="00C84B66" w:rsidRDefault="008976DC" w:rsidP="008976DC">
      <w:pPr>
        <w:rPr>
          <w:rFonts w:cs="Arial"/>
          <w:color w:val="auto"/>
        </w:rPr>
      </w:pPr>
      <w:r w:rsidRPr="00C84B66">
        <w:rPr>
          <w:rFonts w:cs="Arial"/>
          <w:b/>
          <w:bCs/>
          <w:color w:val="auto"/>
        </w:rPr>
        <w:t>Footnote on appendices.</w:t>
      </w:r>
      <w:r w:rsidRPr="00C84B66">
        <w:rPr>
          <w:rFonts w:cs="Arial"/>
          <w:color w:val="auto"/>
        </w:rPr>
        <w:t xml:space="preserve"> </w:t>
      </w:r>
    </w:p>
    <w:p w14:paraId="2D26EB19" w14:textId="2AC8F262" w:rsidR="008976DC" w:rsidRPr="003312E4" w:rsidRDefault="008976DC" w:rsidP="008976DC">
      <w:pPr>
        <w:rPr>
          <w:rFonts w:cs="Arial"/>
          <w:color w:val="auto"/>
        </w:rPr>
      </w:pPr>
      <w:r w:rsidRPr="003312E4">
        <w:rPr>
          <w:rFonts w:cs="Arial"/>
          <w:color w:val="auto"/>
        </w:rPr>
        <w:t xml:space="preserve">There are four further </w:t>
      </w:r>
      <w:r w:rsidR="00E464D0" w:rsidRPr="003312E4">
        <w:rPr>
          <w:rFonts w:cs="Arial"/>
          <w:color w:val="auto"/>
        </w:rPr>
        <w:t>tables</w:t>
      </w:r>
      <w:r w:rsidRPr="003312E4">
        <w:rPr>
          <w:rFonts w:cs="Arial"/>
          <w:color w:val="auto"/>
        </w:rPr>
        <w:t xml:space="preserve"> that can be included to cover: </w:t>
      </w:r>
    </w:p>
    <w:p w14:paraId="4915EFAE" w14:textId="048F1BF3" w:rsidR="008976DC" w:rsidRPr="003312E4" w:rsidRDefault="008976DC" w:rsidP="008976DC">
      <w:pPr>
        <w:pStyle w:val="ListParagraph"/>
        <w:numPr>
          <w:ilvl w:val="0"/>
          <w:numId w:val="40"/>
        </w:numPr>
        <w:spacing w:after="160" w:line="259" w:lineRule="auto"/>
        <w:rPr>
          <w:rFonts w:cs="Arial"/>
          <w:color w:val="auto"/>
        </w:rPr>
      </w:pPr>
      <w:r w:rsidRPr="003312E4">
        <w:rPr>
          <w:rFonts w:cs="Arial"/>
          <w:color w:val="auto"/>
        </w:rPr>
        <w:t>Contribution analysis</w:t>
      </w:r>
      <w:r w:rsidR="0043770F" w:rsidRPr="003312E4">
        <w:rPr>
          <w:rFonts w:cs="Arial"/>
          <w:color w:val="auto"/>
        </w:rPr>
        <w:t xml:space="preserve">  </w:t>
      </w:r>
    </w:p>
    <w:p w14:paraId="6998B8A1" w14:textId="77777777" w:rsidR="008976DC" w:rsidRPr="003312E4" w:rsidRDefault="008976DC" w:rsidP="008976DC">
      <w:pPr>
        <w:pStyle w:val="ListParagraph"/>
        <w:numPr>
          <w:ilvl w:val="0"/>
          <w:numId w:val="40"/>
        </w:numPr>
        <w:spacing w:after="160" w:line="259" w:lineRule="auto"/>
        <w:rPr>
          <w:rFonts w:cs="Arial"/>
          <w:b/>
          <w:bCs/>
          <w:color w:val="auto"/>
        </w:rPr>
      </w:pPr>
      <w:r w:rsidRPr="003312E4">
        <w:rPr>
          <w:rFonts w:cs="Arial"/>
          <w:color w:val="auto"/>
        </w:rPr>
        <w:t xml:space="preserve">Staff numbers </w:t>
      </w:r>
    </w:p>
    <w:p w14:paraId="22EFF133" w14:textId="77777777" w:rsidR="008976DC" w:rsidRPr="003312E4" w:rsidRDefault="008976DC" w:rsidP="008976DC">
      <w:pPr>
        <w:pStyle w:val="ListParagraph"/>
        <w:numPr>
          <w:ilvl w:val="0"/>
          <w:numId w:val="40"/>
        </w:numPr>
        <w:spacing w:after="160" w:line="259" w:lineRule="auto"/>
        <w:rPr>
          <w:rFonts w:cs="Arial"/>
          <w:b/>
          <w:bCs/>
          <w:color w:val="auto"/>
        </w:rPr>
      </w:pPr>
      <w:r w:rsidRPr="003312E4">
        <w:rPr>
          <w:rFonts w:cs="Arial"/>
          <w:color w:val="auto"/>
        </w:rPr>
        <w:t xml:space="preserve">Sub-contracting activity </w:t>
      </w:r>
    </w:p>
    <w:p w14:paraId="6A04FCE7" w14:textId="1EBCD7F5" w:rsidR="008976DC" w:rsidRPr="003312E4" w:rsidRDefault="008976DC" w:rsidP="008976DC">
      <w:pPr>
        <w:pStyle w:val="ListParagraph"/>
        <w:numPr>
          <w:ilvl w:val="0"/>
          <w:numId w:val="40"/>
        </w:numPr>
        <w:spacing w:after="160" w:line="259" w:lineRule="auto"/>
        <w:rPr>
          <w:rFonts w:cs="Arial"/>
          <w:b/>
          <w:bCs/>
          <w:color w:val="auto"/>
        </w:rPr>
      </w:pPr>
      <w:r w:rsidRPr="003312E4">
        <w:rPr>
          <w:rFonts w:cs="Arial"/>
          <w:color w:val="auto"/>
        </w:rPr>
        <w:t xml:space="preserve">Trading activities </w:t>
      </w:r>
      <w:r w:rsidR="00434988" w:rsidRPr="003312E4">
        <w:rPr>
          <w:rFonts w:cs="Arial"/>
          <w:color w:val="auto"/>
        </w:rPr>
        <w:t>&amp;</w:t>
      </w:r>
      <w:r w:rsidRPr="003312E4">
        <w:rPr>
          <w:rFonts w:cs="Arial"/>
          <w:color w:val="auto"/>
        </w:rPr>
        <w:t xml:space="preserve"> projects </w:t>
      </w:r>
    </w:p>
    <w:p w14:paraId="307754CD" w14:textId="3E727EC7" w:rsidR="0043770F" w:rsidRPr="003312E4" w:rsidRDefault="0043770F" w:rsidP="0043770F">
      <w:pPr>
        <w:spacing w:after="160" w:line="259" w:lineRule="auto"/>
      </w:pPr>
      <w:r w:rsidRPr="003312E4">
        <w:t>The tables</w:t>
      </w:r>
      <w:r w:rsidR="00282BDA" w:rsidRPr="003312E4">
        <w:t xml:space="preserve"> for these schedules</w:t>
      </w:r>
      <w:r w:rsidRPr="003312E4">
        <w:t xml:space="preserve"> can be found in the </w:t>
      </w:r>
      <w:r w:rsidR="002C465B">
        <w:rPr>
          <w:b/>
          <w:bCs/>
        </w:rPr>
        <w:t>Management accounts – tables</w:t>
      </w:r>
      <w:r w:rsidRPr="003312E4">
        <w:t xml:space="preserve"> spreadsheets</w:t>
      </w:r>
      <w:r w:rsidR="00250395" w:rsidRPr="003312E4">
        <w:t>.</w:t>
      </w:r>
      <w:r w:rsidR="00F227E5" w:rsidRPr="003312E4">
        <w:t xml:space="preserve"> The worksheets are named </w:t>
      </w:r>
      <w:r w:rsidR="00C8094E" w:rsidRPr="003312E4">
        <w:t xml:space="preserve">to match the </w:t>
      </w:r>
      <w:r w:rsidR="00E464D0" w:rsidRPr="003312E4">
        <w:t>tables</w:t>
      </w:r>
      <w:r w:rsidR="00C8094E" w:rsidRPr="003312E4">
        <w:t>.</w:t>
      </w:r>
    </w:p>
    <w:p w14:paraId="24A343E9" w14:textId="77777777" w:rsidR="00282BDA" w:rsidRDefault="00282BDA" w:rsidP="0043770F">
      <w:pPr>
        <w:spacing w:after="160" w:line="259" w:lineRule="auto"/>
        <w:rPr>
          <w:sz w:val="20"/>
          <w:szCs w:val="20"/>
        </w:rPr>
      </w:pPr>
    </w:p>
    <w:p w14:paraId="03392FF8" w14:textId="77777777" w:rsidR="003312E4" w:rsidRDefault="003312E4">
      <w:pPr>
        <w:spacing w:after="0" w:line="240" w:lineRule="auto"/>
        <w:rPr>
          <w:rFonts w:cs="Arial"/>
          <w:b/>
          <w:bCs/>
          <w:i/>
          <w:iCs/>
          <w:color w:val="auto"/>
        </w:rPr>
      </w:pPr>
      <w:r>
        <w:rPr>
          <w:rFonts w:cs="Arial"/>
          <w:b/>
          <w:bCs/>
          <w:i/>
          <w:iCs/>
          <w:color w:val="auto"/>
        </w:rPr>
        <w:br w:type="page"/>
      </w:r>
    </w:p>
    <w:p w14:paraId="5241520F" w14:textId="4CE4DE83" w:rsidR="00B54B68" w:rsidRDefault="00B54B68" w:rsidP="00022BCE">
      <w:pPr>
        <w:pStyle w:val="LicenceIntro"/>
        <w:rPr>
          <w:szCs w:val="24"/>
        </w:rPr>
      </w:pPr>
      <w:r>
        <w:rPr>
          <w:noProof/>
        </w:rPr>
        <w:drawing>
          <wp:inline distT="0" distB="0" distL="0" distR="0" wp14:anchorId="4819F598" wp14:editId="26EFA49B">
            <wp:extent cx="1419225" cy="828675"/>
            <wp:effectExtent l="0" t="0" r="9525" b="9525"/>
            <wp:docPr id="1548586075" name="Graphic 9"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86075" name="Graphic 9"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64044F4B" w14:textId="77777777" w:rsidR="00B54B68" w:rsidRDefault="00B54B68" w:rsidP="00022BCE">
      <w:pPr>
        <w:pStyle w:val="LicenceIntro"/>
        <w:rPr>
          <w:szCs w:val="24"/>
        </w:rPr>
      </w:pPr>
    </w:p>
    <w:p w14:paraId="2B878F43" w14:textId="3CE37033" w:rsidR="00B54B68" w:rsidRDefault="00B54B68" w:rsidP="00B54B68">
      <w:pPr>
        <w:pStyle w:val="CopyrightSpacing"/>
      </w:pPr>
      <w:r>
        <w:t xml:space="preserve">© Crown copyright </w:t>
      </w:r>
      <w:r w:rsidRPr="00F87663">
        <w:t>20</w:t>
      </w:r>
      <w:r>
        <w:t>2</w:t>
      </w:r>
      <w:r w:rsidR="00921EB1">
        <w:t>6</w:t>
      </w:r>
    </w:p>
    <w:p w14:paraId="4F40EEAF" w14:textId="2EF5ECBB" w:rsidR="00022BCE" w:rsidRPr="00022BCE" w:rsidRDefault="00022BCE" w:rsidP="00022BCE">
      <w:pPr>
        <w:pStyle w:val="LicenceIntro"/>
        <w:rPr>
          <w:szCs w:val="24"/>
        </w:rPr>
      </w:pPr>
      <w:r w:rsidRPr="00022BCE">
        <w:rPr>
          <w:szCs w:val="24"/>
        </w:rPr>
        <w:t>This publication is licensed under the terms of the Open Government Licence v3.0</w:t>
      </w:r>
      <w:r w:rsidR="000B5D8E">
        <w:rPr>
          <w:szCs w:val="24"/>
        </w:rPr>
        <w:t>,</w:t>
      </w:r>
      <w:r w:rsidRPr="00022BCE">
        <w:rPr>
          <w:szCs w:val="24"/>
        </w:rPr>
        <w:t xml:space="preserve"> except where otherwise stated. To view this licence, visit </w:t>
      </w:r>
      <w:hyperlink r:id="rId31" w:history="1">
        <w:r w:rsidRPr="00B20DAB">
          <w:rPr>
            <w:rStyle w:val="Hyperlink"/>
            <w:szCs w:val="24"/>
          </w:rPr>
          <w:t>nationalarchives.gov.uk/doc/open-government-licence/version/3</w:t>
        </w:r>
      </w:hyperlink>
      <w:r w:rsidRPr="00022BCE">
        <w:rPr>
          <w:szCs w:val="24"/>
        </w:rPr>
        <w:t xml:space="preserve">. </w:t>
      </w:r>
    </w:p>
    <w:p w14:paraId="09117CD4" w14:textId="77777777" w:rsidR="00022BCE" w:rsidRPr="00022BCE" w:rsidRDefault="00022BCE" w:rsidP="00022BCE">
      <w:pPr>
        <w:pStyle w:val="LicenceIntro"/>
        <w:rPr>
          <w:szCs w:val="24"/>
        </w:rPr>
      </w:pPr>
    </w:p>
    <w:p w14:paraId="60C69526" w14:textId="520354E3" w:rsidR="00B20DAB" w:rsidRDefault="00022BCE" w:rsidP="00022BCE">
      <w:pPr>
        <w:pStyle w:val="LicenceIntro"/>
        <w:rPr>
          <w:szCs w:val="24"/>
        </w:rPr>
      </w:pPr>
      <w:r w:rsidRPr="00022BCE">
        <w:rPr>
          <w:szCs w:val="24"/>
        </w:rPr>
        <w:t>Where we have identified any third-party copyright information</w:t>
      </w:r>
      <w:r w:rsidR="00680D31">
        <w:rPr>
          <w:szCs w:val="24"/>
        </w:rPr>
        <w:t>,</w:t>
      </w:r>
      <w:r w:rsidRPr="00022BCE">
        <w:rPr>
          <w:szCs w:val="24"/>
        </w:rPr>
        <w:t xml:space="preserve"> you will need to obtain permission from the copyright holders concerned.</w:t>
      </w:r>
    </w:p>
    <w:p w14:paraId="7D0CC9CA" w14:textId="77777777" w:rsidR="00B20DAB" w:rsidRDefault="00B20DAB" w:rsidP="005A4AE2">
      <w:pPr>
        <w:pStyle w:val="LicenceIntro"/>
      </w:pPr>
    </w:p>
    <w:p w14:paraId="422692AF" w14:textId="5A9848C3" w:rsidR="005A4AE2" w:rsidRDefault="005A4AE2" w:rsidP="005A4AE2">
      <w:pPr>
        <w:pStyle w:val="LicenceIntro"/>
      </w:pPr>
      <w:r>
        <w:t>About this publication:</w:t>
      </w:r>
    </w:p>
    <w:p w14:paraId="1F2C4552" w14:textId="77777777" w:rsidR="00462ABD" w:rsidRDefault="00462ABD" w:rsidP="005A4AE2">
      <w:pPr>
        <w:pStyle w:val="LicenceIntro"/>
      </w:pPr>
    </w:p>
    <w:p w14:paraId="5CD613BF" w14:textId="68D2C12E" w:rsidR="005A4AE2" w:rsidRDefault="005A4AE2" w:rsidP="005A4AE2">
      <w:pPr>
        <w:pStyle w:val="Licence"/>
      </w:pPr>
      <w:r>
        <w:t xml:space="preserve">enquiries  </w:t>
      </w:r>
      <w:hyperlink r:id="rId32" w:history="1">
        <w:r w:rsidR="009C02F7" w:rsidRPr="003058AC">
          <w:rPr>
            <w:rStyle w:val="Hyperlink"/>
          </w:rPr>
          <w:t>https://www.gov.uk/contact-dfe</w:t>
        </w:r>
      </w:hyperlink>
      <w:r w:rsidR="009C02F7">
        <w:t xml:space="preserve"> </w:t>
      </w:r>
      <w:r>
        <w:t xml:space="preserve"> </w:t>
      </w:r>
    </w:p>
    <w:p w14:paraId="1BC06DDD" w14:textId="09ECAC9C" w:rsidR="005A4AE2" w:rsidRDefault="005A4AE2" w:rsidP="00882275">
      <w:pPr>
        <w:pStyle w:val="Licence"/>
      </w:pPr>
      <w:r>
        <w:t xml:space="preserve">download </w:t>
      </w:r>
      <w:r>
        <w:tab/>
      </w:r>
      <w:hyperlink r:id="rId33" w:tooltip="Link to GOV.UK list of publications" w:history="1">
        <w:r w:rsidR="006E22B1" w:rsidRPr="00D42B65">
          <w:rPr>
            <w:rStyle w:val="Hyperlink"/>
          </w:rPr>
          <w:t>www.gov.uk/government/publications</w:t>
        </w:r>
      </w:hyperlink>
      <w:r>
        <w:t xml:space="preserve"> </w:t>
      </w:r>
    </w:p>
    <w:p w14:paraId="100FABBD" w14:textId="4C307C03" w:rsidR="00C14860" w:rsidRPr="007D29D3" w:rsidRDefault="00C14860" w:rsidP="00C14860">
      <w:r>
        <w:t xml:space="preserve">Follow us on </w:t>
      </w:r>
      <w:r w:rsidR="00323683">
        <w:t>X</w:t>
      </w:r>
      <w:r w:rsidR="0086337A">
        <w:t>:</w:t>
      </w:r>
      <w:r>
        <w:t xml:space="preserve"> </w:t>
      </w:r>
      <w:hyperlink r:id="rId34" w:history="1">
        <w:r w:rsidRPr="00C14860">
          <w:rPr>
            <w:rStyle w:val="Hyperlink"/>
          </w:rPr>
          <w:t>@educationgovuk</w:t>
        </w:r>
      </w:hyperlink>
      <w:r w:rsidR="00AE7388">
        <w:br/>
      </w:r>
      <w:r w:rsidR="005239B8">
        <w:t xml:space="preserve">Connect with us </w:t>
      </w:r>
      <w:r w:rsidR="0086337A">
        <w:t>on Face</w:t>
      </w:r>
      <w:r w:rsidR="00AE7388">
        <w:t>b</w:t>
      </w:r>
      <w:r w:rsidR="0086337A">
        <w:t xml:space="preserve">ook: </w:t>
      </w:r>
      <w:hyperlink r:id="rId35" w:history="1">
        <w:r w:rsidR="0086337A" w:rsidRPr="0086337A">
          <w:rPr>
            <w:rStyle w:val="Hyperlink"/>
          </w:rPr>
          <w:t>facebook.com/</w:t>
        </w:r>
        <w:proofErr w:type="spellStart"/>
        <w:r w:rsidR="0086337A" w:rsidRPr="0086337A">
          <w:rPr>
            <w:rStyle w:val="Hyperlink"/>
          </w:rPr>
          <w:t>educationgovuk</w:t>
        </w:r>
        <w:proofErr w:type="spellEnd"/>
      </w:hyperlink>
      <w:r w:rsidR="0086337A">
        <w:t xml:space="preserve"> </w:t>
      </w:r>
      <w:r>
        <w:t xml:space="preserve"> </w:t>
      </w:r>
    </w:p>
    <w:sectPr w:rsidR="00C14860" w:rsidRPr="007D29D3" w:rsidSect="00F71AF7">
      <w:footerReference w:type="default" r:id="rId36"/>
      <w:pgSz w:w="11906" w:h="16838"/>
      <w:pgMar w:top="568" w:right="991"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72EC" w14:textId="77777777" w:rsidR="005A025D" w:rsidRDefault="005A025D" w:rsidP="009F41B6">
      <w:r>
        <w:separator/>
      </w:r>
    </w:p>
    <w:p w14:paraId="44FC8F4A" w14:textId="77777777" w:rsidR="005A025D" w:rsidRDefault="005A025D" w:rsidP="009F41B6"/>
  </w:endnote>
  <w:endnote w:type="continuationSeparator" w:id="0">
    <w:p w14:paraId="540902F8" w14:textId="77777777" w:rsidR="005A025D" w:rsidRDefault="005A025D" w:rsidP="009F41B6">
      <w:r>
        <w:continuationSeparator/>
      </w:r>
    </w:p>
    <w:p w14:paraId="78C3C9FE" w14:textId="77777777" w:rsidR="005A025D" w:rsidRDefault="005A025D" w:rsidP="009F41B6"/>
  </w:endnote>
  <w:endnote w:type="continuationNotice" w:id="1">
    <w:p w14:paraId="6557B8FF" w14:textId="77777777" w:rsidR="005A025D" w:rsidRDefault="005A0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51C" w14:textId="77777777" w:rsidR="005A025D" w:rsidRDefault="005A025D" w:rsidP="009F41B6">
      <w:r>
        <w:separator/>
      </w:r>
    </w:p>
  </w:footnote>
  <w:footnote w:type="continuationSeparator" w:id="0">
    <w:p w14:paraId="32845B1F" w14:textId="77777777" w:rsidR="005A025D" w:rsidRDefault="005A025D" w:rsidP="009F41B6">
      <w:r>
        <w:continuationSeparator/>
      </w:r>
    </w:p>
    <w:p w14:paraId="1AA89466" w14:textId="77777777" w:rsidR="005A025D" w:rsidRDefault="005A025D" w:rsidP="009F41B6"/>
  </w:footnote>
  <w:footnote w:type="continuationNotice" w:id="1">
    <w:p w14:paraId="6B96101A" w14:textId="77777777" w:rsidR="005A025D" w:rsidRDefault="005A02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F317C"/>
    <w:multiLevelType w:val="hybridMultilevel"/>
    <w:tmpl w:val="6184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87DEB"/>
    <w:multiLevelType w:val="hybridMultilevel"/>
    <w:tmpl w:val="CF64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E1C62"/>
    <w:multiLevelType w:val="hybridMultilevel"/>
    <w:tmpl w:val="1430C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8581834"/>
    <w:multiLevelType w:val="hybridMultilevel"/>
    <w:tmpl w:val="805E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553A1"/>
    <w:multiLevelType w:val="hybridMultilevel"/>
    <w:tmpl w:val="D9D8F57A"/>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38736B"/>
    <w:multiLevelType w:val="hybridMultilevel"/>
    <w:tmpl w:val="8C04F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61E6770"/>
    <w:multiLevelType w:val="hybridMultilevel"/>
    <w:tmpl w:val="25F8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31"/>
  </w:num>
  <w:num w:numId="2" w16cid:durableId="434134041">
    <w:abstractNumId w:val="11"/>
  </w:num>
  <w:num w:numId="3" w16cid:durableId="309019827">
    <w:abstractNumId w:val="7"/>
  </w:num>
  <w:num w:numId="4" w16cid:durableId="1706716474">
    <w:abstractNumId w:val="0"/>
  </w:num>
  <w:num w:numId="5" w16cid:durableId="71590450">
    <w:abstractNumId w:val="18"/>
  </w:num>
  <w:num w:numId="6" w16cid:durableId="1708140632">
    <w:abstractNumId w:val="6"/>
  </w:num>
  <w:num w:numId="7" w16cid:durableId="1591621218">
    <w:abstractNumId w:val="20"/>
  </w:num>
  <w:num w:numId="8" w16cid:durableId="1321957008">
    <w:abstractNumId w:val="21"/>
  </w:num>
  <w:num w:numId="9" w16cid:durableId="1109198047">
    <w:abstractNumId w:val="2"/>
  </w:num>
  <w:num w:numId="10" w16cid:durableId="1804730596">
    <w:abstractNumId w:val="1"/>
  </w:num>
  <w:num w:numId="11" w16cid:durableId="406729678">
    <w:abstractNumId w:val="13"/>
  </w:num>
  <w:num w:numId="12" w16cid:durableId="2106922382">
    <w:abstractNumId w:val="33"/>
  </w:num>
  <w:num w:numId="13" w16cid:durableId="1118600397">
    <w:abstractNumId w:val="3"/>
  </w:num>
  <w:num w:numId="14" w16cid:durableId="417287425">
    <w:abstractNumId w:val="12"/>
  </w:num>
  <w:num w:numId="15" w16cid:durableId="1941451787">
    <w:abstractNumId w:val="33"/>
  </w:num>
  <w:num w:numId="16" w16cid:durableId="795097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3"/>
  </w:num>
  <w:num w:numId="18" w16cid:durableId="712998649">
    <w:abstractNumId w:val="5"/>
  </w:num>
  <w:num w:numId="19" w16cid:durableId="743769566">
    <w:abstractNumId w:val="11"/>
  </w:num>
  <w:num w:numId="20" w16cid:durableId="346059005">
    <w:abstractNumId w:val="29"/>
  </w:num>
  <w:num w:numId="21" w16cid:durableId="1145732883">
    <w:abstractNumId w:val="21"/>
  </w:num>
  <w:num w:numId="22" w16cid:durableId="670065565">
    <w:abstractNumId w:val="28"/>
  </w:num>
  <w:num w:numId="23" w16cid:durableId="1283880834">
    <w:abstractNumId w:val="21"/>
  </w:num>
  <w:num w:numId="24" w16cid:durableId="273486202">
    <w:abstractNumId w:val="8"/>
  </w:num>
  <w:num w:numId="25" w16cid:durableId="235170620">
    <w:abstractNumId w:val="16"/>
  </w:num>
  <w:num w:numId="26" w16cid:durableId="817461293">
    <w:abstractNumId w:val="32"/>
  </w:num>
  <w:num w:numId="27" w16cid:durableId="122773033">
    <w:abstractNumId w:val="9"/>
  </w:num>
  <w:num w:numId="28" w16cid:durableId="145170646">
    <w:abstractNumId w:val="11"/>
  </w:num>
  <w:num w:numId="29" w16cid:durableId="893082516">
    <w:abstractNumId w:val="27"/>
  </w:num>
  <w:num w:numId="30" w16cid:durableId="1957709573">
    <w:abstractNumId w:val="21"/>
  </w:num>
  <w:num w:numId="31" w16cid:durableId="1795296132">
    <w:abstractNumId w:val="34"/>
  </w:num>
  <w:num w:numId="32" w16cid:durableId="1326855951">
    <w:abstractNumId w:val="19"/>
  </w:num>
  <w:num w:numId="33" w16cid:durableId="242423388">
    <w:abstractNumId w:val="10"/>
  </w:num>
  <w:num w:numId="34" w16cid:durableId="1795521260">
    <w:abstractNumId w:val="26"/>
  </w:num>
  <w:num w:numId="35" w16cid:durableId="385377962">
    <w:abstractNumId w:val="17"/>
  </w:num>
  <w:num w:numId="36" w16cid:durableId="864712115">
    <w:abstractNumId w:val="15"/>
  </w:num>
  <w:num w:numId="37" w16cid:durableId="1308120799">
    <w:abstractNumId w:val="30"/>
  </w:num>
  <w:num w:numId="38" w16cid:durableId="479812741">
    <w:abstractNumId w:val="24"/>
  </w:num>
  <w:num w:numId="39" w16cid:durableId="1201749294">
    <w:abstractNumId w:val="22"/>
  </w:num>
  <w:num w:numId="40" w16cid:durableId="630331214">
    <w:abstractNumId w:val="14"/>
  </w:num>
  <w:num w:numId="41" w16cid:durableId="653879332">
    <w:abstractNumId w:val="4"/>
  </w:num>
  <w:num w:numId="42" w16cid:durableId="96724746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17F7"/>
    <w:rsid w:val="00006EE3"/>
    <w:rsid w:val="0001191D"/>
    <w:rsid w:val="00011A88"/>
    <w:rsid w:val="00013A6E"/>
    <w:rsid w:val="00015285"/>
    <w:rsid w:val="000157F0"/>
    <w:rsid w:val="0002203B"/>
    <w:rsid w:val="000221C0"/>
    <w:rsid w:val="00022979"/>
    <w:rsid w:val="00022BCE"/>
    <w:rsid w:val="00023913"/>
    <w:rsid w:val="00030ABD"/>
    <w:rsid w:val="0003155F"/>
    <w:rsid w:val="00031F36"/>
    <w:rsid w:val="0003683C"/>
    <w:rsid w:val="0004130B"/>
    <w:rsid w:val="000418C3"/>
    <w:rsid w:val="000442BD"/>
    <w:rsid w:val="00044AFE"/>
    <w:rsid w:val="0005155E"/>
    <w:rsid w:val="00051E2E"/>
    <w:rsid w:val="0005244E"/>
    <w:rsid w:val="00053503"/>
    <w:rsid w:val="00054411"/>
    <w:rsid w:val="00055D9F"/>
    <w:rsid w:val="00055E20"/>
    <w:rsid w:val="00056A58"/>
    <w:rsid w:val="00056E30"/>
    <w:rsid w:val="00057100"/>
    <w:rsid w:val="00057F25"/>
    <w:rsid w:val="00066B1C"/>
    <w:rsid w:val="00070D8D"/>
    <w:rsid w:val="0007258F"/>
    <w:rsid w:val="00074179"/>
    <w:rsid w:val="0007523B"/>
    <w:rsid w:val="00080A1D"/>
    <w:rsid w:val="00081DB6"/>
    <w:rsid w:val="00082098"/>
    <w:rsid w:val="00083A73"/>
    <w:rsid w:val="00093C3C"/>
    <w:rsid w:val="00095901"/>
    <w:rsid w:val="00096C4B"/>
    <w:rsid w:val="00096D85"/>
    <w:rsid w:val="000A10F4"/>
    <w:rsid w:val="000A68D3"/>
    <w:rsid w:val="000B1635"/>
    <w:rsid w:val="000B3DE0"/>
    <w:rsid w:val="000B4A3E"/>
    <w:rsid w:val="000B5960"/>
    <w:rsid w:val="000B5D8E"/>
    <w:rsid w:val="000B7DFE"/>
    <w:rsid w:val="000C2C56"/>
    <w:rsid w:val="000C6C14"/>
    <w:rsid w:val="000D1D30"/>
    <w:rsid w:val="000D3C82"/>
    <w:rsid w:val="000D4433"/>
    <w:rsid w:val="000D5697"/>
    <w:rsid w:val="000D72EF"/>
    <w:rsid w:val="000E115F"/>
    <w:rsid w:val="000E2E2F"/>
    <w:rsid w:val="000E3350"/>
    <w:rsid w:val="000F080C"/>
    <w:rsid w:val="000F1A98"/>
    <w:rsid w:val="000F22D0"/>
    <w:rsid w:val="000F2D42"/>
    <w:rsid w:val="000F4209"/>
    <w:rsid w:val="000F73F3"/>
    <w:rsid w:val="00103E77"/>
    <w:rsid w:val="00104B7A"/>
    <w:rsid w:val="00106879"/>
    <w:rsid w:val="001101E8"/>
    <w:rsid w:val="00113E8C"/>
    <w:rsid w:val="0011494F"/>
    <w:rsid w:val="00116345"/>
    <w:rsid w:val="0012198C"/>
    <w:rsid w:val="00121C6C"/>
    <w:rsid w:val="00122AEA"/>
    <w:rsid w:val="00126A91"/>
    <w:rsid w:val="0013122F"/>
    <w:rsid w:val="001321D2"/>
    <w:rsid w:val="00133075"/>
    <w:rsid w:val="00134C03"/>
    <w:rsid w:val="00136DF9"/>
    <w:rsid w:val="00142478"/>
    <w:rsid w:val="001438CE"/>
    <w:rsid w:val="00146E10"/>
    <w:rsid w:val="00147214"/>
    <w:rsid w:val="00152A3A"/>
    <w:rsid w:val="001540AB"/>
    <w:rsid w:val="00154D00"/>
    <w:rsid w:val="00154D61"/>
    <w:rsid w:val="00155ECC"/>
    <w:rsid w:val="00156075"/>
    <w:rsid w:val="001602DE"/>
    <w:rsid w:val="001615DF"/>
    <w:rsid w:val="00161A13"/>
    <w:rsid w:val="00171F6B"/>
    <w:rsid w:val="00174104"/>
    <w:rsid w:val="001747E2"/>
    <w:rsid w:val="00176497"/>
    <w:rsid w:val="00176EB9"/>
    <w:rsid w:val="00177B09"/>
    <w:rsid w:val="001851A5"/>
    <w:rsid w:val="001900ED"/>
    <w:rsid w:val="00190C3A"/>
    <w:rsid w:val="00190F53"/>
    <w:rsid w:val="001932D9"/>
    <w:rsid w:val="00196306"/>
    <w:rsid w:val="001966CF"/>
    <w:rsid w:val="001A3A04"/>
    <w:rsid w:val="001A518E"/>
    <w:rsid w:val="001B190E"/>
    <w:rsid w:val="001B1CA7"/>
    <w:rsid w:val="001B250A"/>
    <w:rsid w:val="001B2AE2"/>
    <w:rsid w:val="001B4452"/>
    <w:rsid w:val="001B5C15"/>
    <w:rsid w:val="001B5EC2"/>
    <w:rsid w:val="001B6E3D"/>
    <w:rsid w:val="001B71D5"/>
    <w:rsid w:val="001B796F"/>
    <w:rsid w:val="001C103A"/>
    <w:rsid w:val="001C4E9C"/>
    <w:rsid w:val="001C55FC"/>
    <w:rsid w:val="001C5A63"/>
    <w:rsid w:val="001C5EB6"/>
    <w:rsid w:val="001D09EC"/>
    <w:rsid w:val="001D2B50"/>
    <w:rsid w:val="001D4A9D"/>
    <w:rsid w:val="001D5770"/>
    <w:rsid w:val="001D6B99"/>
    <w:rsid w:val="001E3581"/>
    <w:rsid w:val="001F3639"/>
    <w:rsid w:val="001F41DD"/>
    <w:rsid w:val="001F4D55"/>
    <w:rsid w:val="001F6464"/>
    <w:rsid w:val="00203A3E"/>
    <w:rsid w:val="00203ACA"/>
    <w:rsid w:val="00203EC9"/>
    <w:rsid w:val="00210D06"/>
    <w:rsid w:val="00210E6D"/>
    <w:rsid w:val="002113CF"/>
    <w:rsid w:val="00214378"/>
    <w:rsid w:val="00214713"/>
    <w:rsid w:val="00214AA7"/>
    <w:rsid w:val="0022255C"/>
    <w:rsid w:val="0022421C"/>
    <w:rsid w:val="002242F6"/>
    <w:rsid w:val="0022489D"/>
    <w:rsid w:val="002262F3"/>
    <w:rsid w:val="00227309"/>
    <w:rsid w:val="00230559"/>
    <w:rsid w:val="002332F8"/>
    <w:rsid w:val="00233D5F"/>
    <w:rsid w:val="0023405F"/>
    <w:rsid w:val="00234F75"/>
    <w:rsid w:val="0024022F"/>
    <w:rsid w:val="00240F4B"/>
    <w:rsid w:val="002413B3"/>
    <w:rsid w:val="00246053"/>
    <w:rsid w:val="002464D9"/>
    <w:rsid w:val="00250395"/>
    <w:rsid w:val="002563E9"/>
    <w:rsid w:val="002575C5"/>
    <w:rsid w:val="002634E2"/>
    <w:rsid w:val="0027230F"/>
    <w:rsid w:val="0027252F"/>
    <w:rsid w:val="0027315C"/>
    <w:rsid w:val="00273718"/>
    <w:rsid w:val="00282BDA"/>
    <w:rsid w:val="002839B5"/>
    <w:rsid w:val="00286EE3"/>
    <w:rsid w:val="00287788"/>
    <w:rsid w:val="0029104C"/>
    <w:rsid w:val="00292DED"/>
    <w:rsid w:val="0029557E"/>
    <w:rsid w:val="00297362"/>
    <w:rsid w:val="00297595"/>
    <w:rsid w:val="00297920"/>
    <w:rsid w:val="002A28F7"/>
    <w:rsid w:val="002A3153"/>
    <w:rsid w:val="002A4376"/>
    <w:rsid w:val="002A62F8"/>
    <w:rsid w:val="002B2775"/>
    <w:rsid w:val="002B469E"/>
    <w:rsid w:val="002B644C"/>
    <w:rsid w:val="002C14BE"/>
    <w:rsid w:val="002C1DA7"/>
    <w:rsid w:val="002C28FF"/>
    <w:rsid w:val="002C3AA4"/>
    <w:rsid w:val="002C465B"/>
    <w:rsid w:val="002C59A9"/>
    <w:rsid w:val="002D38B8"/>
    <w:rsid w:val="002D4B69"/>
    <w:rsid w:val="002E463F"/>
    <w:rsid w:val="002E4D9E"/>
    <w:rsid w:val="002E4E9A"/>
    <w:rsid w:val="002E508B"/>
    <w:rsid w:val="002E5514"/>
    <w:rsid w:val="002E5EAE"/>
    <w:rsid w:val="002E5F9F"/>
    <w:rsid w:val="002E7368"/>
    <w:rsid w:val="002E7502"/>
    <w:rsid w:val="002E7849"/>
    <w:rsid w:val="002F15EE"/>
    <w:rsid w:val="002F19A6"/>
    <w:rsid w:val="002F67E7"/>
    <w:rsid w:val="002F6A4F"/>
    <w:rsid w:val="002F7128"/>
    <w:rsid w:val="00300F99"/>
    <w:rsid w:val="00303F39"/>
    <w:rsid w:val="00304F85"/>
    <w:rsid w:val="0030606F"/>
    <w:rsid w:val="0031029E"/>
    <w:rsid w:val="00310CA0"/>
    <w:rsid w:val="0031471C"/>
    <w:rsid w:val="003154AC"/>
    <w:rsid w:val="00315531"/>
    <w:rsid w:val="00316DD9"/>
    <w:rsid w:val="00323683"/>
    <w:rsid w:val="00323776"/>
    <w:rsid w:val="00325D84"/>
    <w:rsid w:val="00327ADA"/>
    <w:rsid w:val="00330D2B"/>
    <w:rsid w:val="003312E4"/>
    <w:rsid w:val="00332BF6"/>
    <w:rsid w:val="00333E85"/>
    <w:rsid w:val="00334825"/>
    <w:rsid w:val="00336983"/>
    <w:rsid w:val="00337F6A"/>
    <w:rsid w:val="00340F5C"/>
    <w:rsid w:val="00341FE6"/>
    <w:rsid w:val="0034222D"/>
    <w:rsid w:val="0034441D"/>
    <w:rsid w:val="00353018"/>
    <w:rsid w:val="00356F88"/>
    <w:rsid w:val="00357714"/>
    <w:rsid w:val="00360A98"/>
    <w:rsid w:val="003616AD"/>
    <w:rsid w:val="00361752"/>
    <w:rsid w:val="00361DC9"/>
    <w:rsid w:val="00361DFF"/>
    <w:rsid w:val="00361FE6"/>
    <w:rsid w:val="003629E9"/>
    <w:rsid w:val="0036496F"/>
    <w:rsid w:val="0036794B"/>
    <w:rsid w:val="00367D74"/>
    <w:rsid w:val="00374000"/>
    <w:rsid w:val="00374383"/>
    <w:rsid w:val="00374981"/>
    <w:rsid w:val="00375062"/>
    <w:rsid w:val="003810D8"/>
    <w:rsid w:val="0038335D"/>
    <w:rsid w:val="003853A4"/>
    <w:rsid w:val="00390330"/>
    <w:rsid w:val="00394BB4"/>
    <w:rsid w:val="003A01C4"/>
    <w:rsid w:val="003A1CC2"/>
    <w:rsid w:val="003A3439"/>
    <w:rsid w:val="003A54CF"/>
    <w:rsid w:val="003A5C91"/>
    <w:rsid w:val="003B0C99"/>
    <w:rsid w:val="003B7FEC"/>
    <w:rsid w:val="003C1B69"/>
    <w:rsid w:val="003C1E8E"/>
    <w:rsid w:val="003C2856"/>
    <w:rsid w:val="003C60B5"/>
    <w:rsid w:val="003C66B5"/>
    <w:rsid w:val="003D1EFE"/>
    <w:rsid w:val="003D3FDB"/>
    <w:rsid w:val="003D764C"/>
    <w:rsid w:val="003E129B"/>
    <w:rsid w:val="003E1329"/>
    <w:rsid w:val="003E1B66"/>
    <w:rsid w:val="003E2F77"/>
    <w:rsid w:val="003E3567"/>
    <w:rsid w:val="003E3BD2"/>
    <w:rsid w:val="003E4359"/>
    <w:rsid w:val="003E4B03"/>
    <w:rsid w:val="003E6C3B"/>
    <w:rsid w:val="003F63E0"/>
    <w:rsid w:val="003F751E"/>
    <w:rsid w:val="00400B9A"/>
    <w:rsid w:val="004027A4"/>
    <w:rsid w:val="00407032"/>
    <w:rsid w:val="00416220"/>
    <w:rsid w:val="004176AC"/>
    <w:rsid w:val="004207AF"/>
    <w:rsid w:val="00421F3D"/>
    <w:rsid w:val="00422B63"/>
    <w:rsid w:val="004242C5"/>
    <w:rsid w:val="00424503"/>
    <w:rsid w:val="004307E3"/>
    <w:rsid w:val="0043243C"/>
    <w:rsid w:val="0043261E"/>
    <w:rsid w:val="004339FB"/>
    <w:rsid w:val="00433C80"/>
    <w:rsid w:val="00434988"/>
    <w:rsid w:val="0043770F"/>
    <w:rsid w:val="00437974"/>
    <w:rsid w:val="004419FB"/>
    <w:rsid w:val="00444870"/>
    <w:rsid w:val="004458EF"/>
    <w:rsid w:val="00445E23"/>
    <w:rsid w:val="00445E79"/>
    <w:rsid w:val="004506FA"/>
    <w:rsid w:val="004508E7"/>
    <w:rsid w:val="004509BE"/>
    <w:rsid w:val="004528D7"/>
    <w:rsid w:val="00453165"/>
    <w:rsid w:val="004540B1"/>
    <w:rsid w:val="004572EE"/>
    <w:rsid w:val="00462ABD"/>
    <w:rsid w:val="00464F40"/>
    <w:rsid w:val="00465B01"/>
    <w:rsid w:val="00467BC5"/>
    <w:rsid w:val="00470223"/>
    <w:rsid w:val="00471806"/>
    <w:rsid w:val="00471FEE"/>
    <w:rsid w:val="004726CF"/>
    <w:rsid w:val="00473B01"/>
    <w:rsid w:val="00475828"/>
    <w:rsid w:val="004866AD"/>
    <w:rsid w:val="00491ED5"/>
    <w:rsid w:val="004958A0"/>
    <w:rsid w:val="00496B30"/>
    <w:rsid w:val="004A03D3"/>
    <w:rsid w:val="004A25DF"/>
    <w:rsid w:val="004A2A54"/>
    <w:rsid w:val="004A3C6E"/>
    <w:rsid w:val="004B0CC7"/>
    <w:rsid w:val="004B1715"/>
    <w:rsid w:val="004B19E5"/>
    <w:rsid w:val="004B4394"/>
    <w:rsid w:val="004B6342"/>
    <w:rsid w:val="004B6B92"/>
    <w:rsid w:val="004C171A"/>
    <w:rsid w:val="004C2CA5"/>
    <w:rsid w:val="004C7A89"/>
    <w:rsid w:val="004D0B5A"/>
    <w:rsid w:val="004D13A3"/>
    <w:rsid w:val="004D4A02"/>
    <w:rsid w:val="004E0039"/>
    <w:rsid w:val="004E0D47"/>
    <w:rsid w:val="004E6CD9"/>
    <w:rsid w:val="004F20E3"/>
    <w:rsid w:val="004F211A"/>
    <w:rsid w:val="004F2DEC"/>
    <w:rsid w:val="004F3159"/>
    <w:rsid w:val="004F3340"/>
    <w:rsid w:val="004F4AEF"/>
    <w:rsid w:val="004F70A9"/>
    <w:rsid w:val="0050024E"/>
    <w:rsid w:val="00502A77"/>
    <w:rsid w:val="005031EA"/>
    <w:rsid w:val="00503BF5"/>
    <w:rsid w:val="005065C3"/>
    <w:rsid w:val="00513506"/>
    <w:rsid w:val="005147F8"/>
    <w:rsid w:val="0051589B"/>
    <w:rsid w:val="005179B0"/>
    <w:rsid w:val="00521FDD"/>
    <w:rsid w:val="00522AB4"/>
    <w:rsid w:val="005239B8"/>
    <w:rsid w:val="0052566B"/>
    <w:rsid w:val="00531B9D"/>
    <w:rsid w:val="00533192"/>
    <w:rsid w:val="00536E0B"/>
    <w:rsid w:val="00543B15"/>
    <w:rsid w:val="00544683"/>
    <w:rsid w:val="00550E2B"/>
    <w:rsid w:val="005535E5"/>
    <w:rsid w:val="00553E4E"/>
    <w:rsid w:val="0055445C"/>
    <w:rsid w:val="005552BF"/>
    <w:rsid w:val="00560451"/>
    <w:rsid w:val="0056194C"/>
    <w:rsid w:val="00562261"/>
    <w:rsid w:val="0056283E"/>
    <w:rsid w:val="005630D1"/>
    <w:rsid w:val="00564684"/>
    <w:rsid w:val="005661BF"/>
    <w:rsid w:val="00566C31"/>
    <w:rsid w:val="0057250B"/>
    <w:rsid w:val="0057293F"/>
    <w:rsid w:val="00574294"/>
    <w:rsid w:val="005749C5"/>
    <w:rsid w:val="0057670A"/>
    <w:rsid w:val="005811D9"/>
    <w:rsid w:val="00581D79"/>
    <w:rsid w:val="00585490"/>
    <w:rsid w:val="00586554"/>
    <w:rsid w:val="005905B1"/>
    <w:rsid w:val="005914F1"/>
    <w:rsid w:val="0059494A"/>
    <w:rsid w:val="0059519A"/>
    <w:rsid w:val="005A025D"/>
    <w:rsid w:val="005A07FF"/>
    <w:rsid w:val="005A2DDF"/>
    <w:rsid w:val="005A3FB6"/>
    <w:rsid w:val="005A4AE2"/>
    <w:rsid w:val="005A65F5"/>
    <w:rsid w:val="005A67AA"/>
    <w:rsid w:val="005A6C4D"/>
    <w:rsid w:val="005A6DE5"/>
    <w:rsid w:val="005A7D82"/>
    <w:rsid w:val="005B0CAD"/>
    <w:rsid w:val="005B1536"/>
    <w:rsid w:val="005B2FD4"/>
    <w:rsid w:val="005B4233"/>
    <w:rsid w:val="005B4242"/>
    <w:rsid w:val="005C0B41"/>
    <w:rsid w:val="005C1447"/>
    <w:rsid w:val="005C1770"/>
    <w:rsid w:val="005C2466"/>
    <w:rsid w:val="005C6416"/>
    <w:rsid w:val="005C657D"/>
    <w:rsid w:val="005D05CE"/>
    <w:rsid w:val="005D252F"/>
    <w:rsid w:val="005D380A"/>
    <w:rsid w:val="005D415A"/>
    <w:rsid w:val="005E3379"/>
    <w:rsid w:val="005F0065"/>
    <w:rsid w:val="005F107C"/>
    <w:rsid w:val="00602008"/>
    <w:rsid w:val="00604D4C"/>
    <w:rsid w:val="0060702F"/>
    <w:rsid w:val="006108B3"/>
    <w:rsid w:val="00611F91"/>
    <w:rsid w:val="00612779"/>
    <w:rsid w:val="00614101"/>
    <w:rsid w:val="00614A7E"/>
    <w:rsid w:val="006155C4"/>
    <w:rsid w:val="006175B5"/>
    <w:rsid w:val="006237FB"/>
    <w:rsid w:val="00624344"/>
    <w:rsid w:val="006248B1"/>
    <w:rsid w:val="0062527C"/>
    <w:rsid w:val="00626C67"/>
    <w:rsid w:val="00626DD2"/>
    <w:rsid w:val="00633E4E"/>
    <w:rsid w:val="00634329"/>
    <w:rsid w:val="006356D1"/>
    <w:rsid w:val="00635D57"/>
    <w:rsid w:val="006418B2"/>
    <w:rsid w:val="00642404"/>
    <w:rsid w:val="006429B3"/>
    <w:rsid w:val="006438D3"/>
    <w:rsid w:val="00647EFA"/>
    <w:rsid w:val="00650899"/>
    <w:rsid w:val="00650938"/>
    <w:rsid w:val="00652973"/>
    <w:rsid w:val="006558CA"/>
    <w:rsid w:val="00655B34"/>
    <w:rsid w:val="00657E79"/>
    <w:rsid w:val="006606F5"/>
    <w:rsid w:val="00661836"/>
    <w:rsid w:val="0066476C"/>
    <w:rsid w:val="00665582"/>
    <w:rsid w:val="0067185E"/>
    <w:rsid w:val="00671B64"/>
    <w:rsid w:val="00671D5B"/>
    <w:rsid w:val="00673150"/>
    <w:rsid w:val="00673D12"/>
    <w:rsid w:val="00674599"/>
    <w:rsid w:val="0067699B"/>
    <w:rsid w:val="00676B6A"/>
    <w:rsid w:val="006775FA"/>
    <w:rsid w:val="0068084C"/>
    <w:rsid w:val="00680C19"/>
    <w:rsid w:val="00680D31"/>
    <w:rsid w:val="006814D7"/>
    <w:rsid w:val="0068282F"/>
    <w:rsid w:val="0068544D"/>
    <w:rsid w:val="00686603"/>
    <w:rsid w:val="006869FA"/>
    <w:rsid w:val="006900D9"/>
    <w:rsid w:val="00695D08"/>
    <w:rsid w:val="006A27AA"/>
    <w:rsid w:val="006A3602"/>
    <w:rsid w:val="006A3EDE"/>
    <w:rsid w:val="006B1F9F"/>
    <w:rsid w:val="006B631A"/>
    <w:rsid w:val="006C382D"/>
    <w:rsid w:val="006C3D04"/>
    <w:rsid w:val="006C56A3"/>
    <w:rsid w:val="006D1162"/>
    <w:rsid w:val="006D67EB"/>
    <w:rsid w:val="006E229B"/>
    <w:rsid w:val="006E22B1"/>
    <w:rsid w:val="006E455D"/>
    <w:rsid w:val="006E7F39"/>
    <w:rsid w:val="006F171C"/>
    <w:rsid w:val="006F1F96"/>
    <w:rsid w:val="006F4AA4"/>
    <w:rsid w:val="006F4FAD"/>
    <w:rsid w:val="006F5C2A"/>
    <w:rsid w:val="006F61EA"/>
    <w:rsid w:val="006F6DC9"/>
    <w:rsid w:val="006F7CFA"/>
    <w:rsid w:val="00700337"/>
    <w:rsid w:val="00700B01"/>
    <w:rsid w:val="00702EBF"/>
    <w:rsid w:val="00707D9E"/>
    <w:rsid w:val="00712302"/>
    <w:rsid w:val="00713414"/>
    <w:rsid w:val="007151B3"/>
    <w:rsid w:val="00715880"/>
    <w:rsid w:val="00716F89"/>
    <w:rsid w:val="0071758E"/>
    <w:rsid w:val="007212C2"/>
    <w:rsid w:val="00723702"/>
    <w:rsid w:val="00723EFB"/>
    <w:rsid w:val="00725124"/>
    <w:rsid w:val="00726560"/>
    <w:rsid w:val="00730350"/>
    <w:rsid w:val="00730EF3"/>
    <w:rsid w:val="0073264A"/>
    <w:rsid w:val="00734584"/>
    <w:rsid w:val="0073516C"/>
    <w:rsid w:val="007403F5"/>
    <w:rsid w:val="007426B3"/>
    <w:rsid w:val="00743353"/>
    <w:rsid w:val="00745C9F"/>
    <w:rsid w:val="00747CD7"/>
    <w:rsid w:val="007505BB"/>
    <w:rsid w:val="0075096B"/>
    <w:rsid w:val="00751648"/>
    <w:rsid w:val="00753F2A"/>
    <w:rsid w:val="0075468A"/>
    <w:rsid w:val="0075587C"/>
    <w:rsid w:val="00755C90"/>
    <w:rsid w:val="00760615"/>
    <w:rsid w:val="0076231A"/>
    <w:rsid w:val="007642E2"/>
    <w:rsid w:val="00764D03"/>
    <w:rsid w:val="00765E95"/>
    <w:rsid w:val="00766306"/>
    <w:rsid w:val="00771222"/>
    <w:rsid w:val="00773F35"/>
    <w:rsid w:val="00774F55"/>
    <w:rsid w:val="00775D8A"/>
    <w:rsid w:val="0077659E"/>
    <w:rsid w:val="00776718"/>
    <w:rsid w:val="00777AD4"/>
    <w:rsid w:val="00780950"/>
    <w:rsid w:val="007809EF"/>
    <w:rsid w:val="00783D2C"/>
    <w:rsid w:val="00785C35"/>
    <w:rsid w:val="00786034"/>
    <w:rsid w:val="007947B3"/>
    <w:rsid w:val="00794F29"/>
    <w:rsid w:val="007A055E"/>
    <w:rsid w:val="007A0750"/>
    <w:rsid w:val="007A1326"/>
    <w:rsid w:val="007A222B"/>
    <w:rsid w:val="007A2250"/>
    <w:rsid w:val="007A3F3F"/>
    <w:rsid w:val="007A5759"/>
    <w:rsid w:val="007A7814"/>
    <w:rsid w:val="007B23E7"/>
    <w:rsid w:val="007B3222"/>
    <w:rsid w:val="007B3CFE"/>
    <w:rsid w:val="007C321D"/>
    <w:rsid w:val="007C41A5"/>
    <w:rsid w:val="007C58BE"/>
    <w:rsid w:val="007C7EEE"/>
    <w:rsid w:val="007D0537"/>
    <w:rsid w:val="007D080B"/>
    <w:rsid w:val="007D0834"/>
    <w:rsid w:val="007D2014"/>
    <w:rsid w:val="007D29D3"/>
    <w:rsid w:val="007D5102"/>
    <w:rsid w:val="007E06DD"/>
    <w:rsid w:val="007E35BC"/>
    <w:rsid w:val="007E575B"/>
    <w:rsid w:val="007E6F08"/>
    <w:rsid w:val="007E748E"/>
    <w:rsid w:val="007F0EA6"/>
    <w:rsid w:val="007F1ACB"/>
    <w:rsid w:val="007F5C3A"/>
    <w:rsid w:val="007F670A"/>
    <w:rsid w:val="007F7235"/>
    <w:rsid w:val="00805A41"/>
    <w:rsid w:val="00814D1A"/>
    <w:rsid w:val="008168A2"/>
    <w:rsid w:val="00816E77"/>
    <w:rsid w:val="0081799D"/>
    <w:rsid w:val="00821CB4"/>
    <w:rsid w:val="00821CD3"/>
    <w:rsid w:val="00822AB1"/>
    <w:rsid w:val="00824E92"/>
    <w:rsid w:val="00827309"/>
    <w:rsid w:val="00827FF1"/>
    <w:rsid w:val="0083010D"/>
    <w:rsid w:val="00830629"/>
    <w:rsid w:val="00831263"/>
    <w:rsid w:val="00831DB7"/>
    <w:rsid w:val="008329DA"/>
    <w:rsid w:val="00832EBF"/>
    <w:rsid w:val="008354A8"/>
    <w:rsid w:val="00835971"/>
    <w:rsid w:val="008366CB"/>
    <w:rsid w:val="00837F3A"/>
    <w:rsid w:val="008419B8"/>
    <w:rsid w:val="00841E80"/>
    <w:rsid w:val="00843CFA"/>
    <w:rsid w:val="00843D11"/>
    <w:rsid w:val="00845266"/>
    <w:rsid w:val="008452C4"/>
    <w:rsid w:val="008515CE"/>
    <w:rsid w:val="00852B26"/>
    <w:rsid w:val="00853CEC"/>
    <w:rsid w:val="008608E3"/>
    <w:rsid w:val="008620F3"/>
    <w:rsid w:val="0086337A"/>
    <w:rsid w:val="00863842"/>
    <w:rsid w:val="00863986"/>
    <w:rsid w:val="00865949"/>
    <w:rsid w:val="00866257"/>
    <w:rsid w:val="00870BC0"/>
    <w:rsid w:val="0087213E"/>
    <w:rsid w:val="00874F24"/>
    <w:rsid w:val="00876230"/>
    <w:rsid w:val="00876ACE"/>
    <w:rsid w:val="00877D5B"/>
    <w:rsid w:val="00877ECD"/>
    <w:rsid w:val="00882275"/>
    <w:rsid w:val="00884D2B"/>
    <w:rsid w:val="00885872"/>
    <w:rsid w:val="00886B1E"/>
    <w:rsid w:val="008900A6"/>
    <w:rsid w:val="0089094C"/>
    <w:rsid w:val="00890B5B"/>
    <w:rsid w:val="00890DE7"/>
    <w:rsid w:val="008913E2"/>
    <w:rsid w:val="0089192C"/>
    <w:rsid w:val="00896387"/>
    <w:rsid w:val="008973E7"/>
    <w:rsid w:val="008976DC"/>
    <w:rsid w:val="008A4179"/>
    <w:rsid w:val="008A460D"/>
    <w:rsid w:val="008A4A18"/>
    <w:rsid w:val="008A4CD5"/>
    <w:rsid w:val="008A588F"/>
    <w:rsid w:val="008A644A"/>
    <w:rsid w:val="008A7D72"/>
    <w:rsid w:val="008B05BD"/>
    <w:rsid w:val="008B0C03"/>
    <w:rsid w:val="008B0DD1"/>
    <w:rsid w:val="008B1297"/>
    <w:rsid w:val="008B2146"/>
    <w:rsid w:val="008B250D"/>
    <w:rsid w:val="008B427B"/>
    <w:rsid w:val="008B443B"/>
    <w:rsid w:val="008B6009"/>
    <w:rsid w:val="008C2B4D"/>
    <w:rsid w:val="008C3A74"/>
    <w:rsid w:val="008C46DC"/>
    <w:rsid w:val="008D15AA"/>
    <w:rsid w:val="008D56FC"/>
    <w:rsid w:val="008D59CD"/>
    <w:rsid w:val="008D6968"/>
    <w:rsid w:val="008E2D34"/>
    <w:rsid w:val="008E3B15"/>
    <w:rsid w:val="008E3F07"/>
    <w:rsid w:val="008E4B40"/>
    <w:rsid w:val="008E5F36"/>
    <w:rsid w:val="008F2757"/>
    <w:rsid w:val="008F2E4F"/>
    <w:rsid w:val="008F6825"/>
    <w:rsid w:val="008F6CA2"/>
    <w:rsid w:val="008F6F8B"/>
    <w:rsid w:val="008F7436"/>
    <w:rsid w:val="0090521B"/>
    <w:rsid w:val="009055E4"/>
    <w:rsid w:val="00905D10"/>
    <w:rsid w:val="00917E9C"/>
    <w:rsid w:val="00917EAA"/>
    <w:rsid w:val="00921EB1"/>
    <w:rsid w:val="0092379D"/>
    <w:rsid w:val="00924E3D"/>
    <w:rsid w:val="00925160"/>
    <w:rsid w:val="0092542E"/>
    <w:rsid w:val="00926E4B"/>
    <w:rsid w:val="00932D67"/>
    <w:rsid w:val="00932F2C"/>
    <w:rsid w:val="0093322E"/>
    <w:rsid w:val="00934499"/>
    <w:rsid w:val="00934AFE"/>
    <w:rsid w:val="00941C8F"/>
    <w:rsid w:val="00941CB7"/>
    <w:rsid w:val="00944904"/>
    <w:rsid w:val="00945E40"/>
    <w:rsid w:val="00951C56"/>
    <w:rsid w:val="00955907"/>
    <w:rsid w:val="0095599F"/>
    <w:rsid w:val="00956CF7"/>
    <w:rsid w:val="0096424B"/>
    <w:rsid w:val="00964587"/>
    <w:rsid w:val="009716FA"/>
    <w:rsid w:val="00976B77"/>
    <w:rsid w:val="00983CAD"/>
    <w:rsid w:val="00984AA8"/>
    <w:rsid w:val="00985088"/>
    <w:rsid w:val="0098554C"/>
    <w:rsid w:val="0098648B"/>
    <w:rsid w:val="00986A8D"/>
    <w:rsid w:val="00987241"/>
    <w:rsid w:val="00987FEF"/>
    <w:rsid w:val="0099146F"/>
    <w:rsid w:val="00992F48"/>
    <w:rsid w:val="00993318"/>
    <w:rsid w:val="00993AAB"/>
    <w:rsid w:val="009942FC"/>
    <w:rsid w:val="009A244C"/>
    <w:rsid w:val="009A4A57"/>
    <w:rsid w:val="009A602D"/>
    <w:rsid w:val="009B0DAA"/>
    <w:rsid w:val="009B10FD"/>
    <w:rsid w:val="009B3081"/>
    <w:rsid w:val="009B32FA"/>
    <w:rsid w:val="009B599A"/>
    <w:rsid w:val="009C02F7"/>
    <w:rsid w:val="009C13DC"/>
    <w:rsid w:val="009C236B"/>
    <w:rsid w:val="009C39AF"/>
    <w:rsid w:val="009C713E"/>
    <w:rsid w:val="009C73CF"/>
    <w:rsid w:val="009C7FB2"/>
    <w:rsid w:val="009D10D0"/>
    <w:rsid w:val="009D24C3"/>
    <w:rsid w:val="009D456A"/>
    <w:rsid w:val="009E00AE"/>
    <w:rsid w:val="009E09D3"/>
    <w:rsid w:val="009E620F"/>
    <w:rsid w:val="009E6E74"/>
    <w:rsid w:val="009F234D"/>
    <w:rsid w:val="009F2864"/>
    <w:rsid w:val="009F41B6"/>
    <w:rsid w:val="009F4CD9"/>
    <w:rsid w:val="009F7944"/>
    <w:rsid w:val="00A01CAC"/>
    <w:rsid w:val="00A0665A"/>
    <w:rsid w:val="00A11520"/>
    <w:rsid w:val="00A15FD8"/>
    <w:rsid w:val="00A26DA6"/>
    <w:rsid w:val="00A30BA1"/>
    <w:rsid w:val="00A31514"/>
    <w:rsid w:val="00A318BA"/>
    <w:rsid w:val="00A36C51"/>
    <w:rsid w:val="00A37DEE"/>
    <w:rsid w:val="00A433C3"/>
    <w:rsid w:val="00A44CE2"/>
    <w:rsid w:val="00A46B34"/>
    <w:rsid w:val="00A4740F"/>
    <w:rsid w:val="00A50806"/>
    <w:rsid w:val="00A51DA8"/>
    <w:rsid w:val="00A54BB7"/>
    <w:rsid w:val="00A5643A"/>
    <w:rsid w:val="00A5723C"/>
    <w:rsid w:val="00A60D43"/>
    <w:rsid w:val="00A60DC2"/>
    <w:rsid w:val="00A6239E"/>
    <w:rsid w:val="00A62CEA"/>
    <w:rsid w:val="00A6439A"/>
    <w:rsid w:val="00A66499"/>
    <w:rsid w:val="00A707A4"/>
    <w:rsid w:val="00A7274B"/>
    <w:rsid w:val="00A73FB8"/>
    <w:rsid w:val="00A747DF"/>
    <w:rsid w:val="00A763CB"/>
    <w:rsid w:val="00A772FF"/>
    <w:rsid w:val="00A801D1"/>
    <w:rsid w:val="00A81109"/>
    <w:rsid w:val="00A81F69"/>
    <w:rsid w:val="00A84533"/>
    <w:rsid w:val="00A91CB0"/>
    <w:rsid w:val="00A93FC0"/>
    <w:rsid w:val="00A95AB4"/>
    <w:rsid w:val="00A95D3F"/>
    <w:rsid w:val="00A974B7"/>
    <w:rsid w:val="00A97BC6"/>
    <w:rsid w:val="00AA000B"/>
    <w:rsid w:val="00AA1448"/>
    <w:rsid w:val="00AA20A7"/>
    <w:rsid w:val="00AA3484"/>
    <w:rsid w:val="00AA3C54"/>
    <w:rsid w:val="00AA7E7B"/>
    <w:rsid w:val="00AB0E2D"/>
    <w:rsid w:val="00AB1AF9"/>
    <w:rsid w:val="00AB6A7D"/>
    <w:rsid w:val="00AB6D0F"/>
    <w:rsid w:val="00AB7858"/>
    <w:rsid w:val="00AB7E6D"/>
    <w:rsid w:val="00AC320D"/>
    <w:rsid w:val="00AC3E55"/>
    <w:rsid w:val="00AC54AF"/>
    <w:rsid w:val="00AC61A6"/>
    <w:rsid w:val="00AC76CA"/>
    <w:rsid w:val="00AC794D"/>
    <w:rsid w:val="00AD1DD2"/>
    <w:rsid w:val="00AD2062"/>
    <w:rsid w:val="00AD2F1D"/>
    <w:rsid w:val="00AD5ABC"/>
    <w:rsid w:val="00AD6CF9"/>
    <w:rsid w:val="00AE1E46"/>
    <w:rsid w:val="00AE5177"/>
    <w:rsid w:val="00AE6F1D"/>
    <w:rsid w:val="00AE7388"/>
    <w:rsid w:val="00AE7D91"/>
    <w:rsid w:val="00AF03C2"/>
    <w:rsid w:val="00AF0989"/>
    <w:rsid w:val="00AF1FA6"/>
    <w:rsid w:val="00AF28C7"/>
    <w:rsid w:val="00AF4194"/>
    <w:rsid w:val="00AF785C"/>
    <w:rsid w:val="00B018E7"/>
    <w:rsid w:val="00B018EC"/>
    <w:rsid w:val="00B05DDC"/>
    <w:rsid w:val="00B073EA"/>
    <w:rsid w:val="00B1029F"/>
    <w:rsid w:val="00B12F6A"/>
    <w:rsid w:val="00B13445"/>
    <w:rsid w:val="00B13C65"/>
    <w:rsid w:val="00B15807"/>
    <w:rsid w:val="00B20DAB"/>
    <w:rsid w:val="00B22CE5"/>
    <w:rsid w:val="00B267DA"/>
    <w:rsid w:val="00B307C1"/>
    <w:rsid w:val="00B313B9"/>
    <w:rsid w:val="00B328CF"/>
    <w:rsid w:val="00B3498C"/>
    <w:rsid w:val="00B34F49"/>
    <w:rsid w:val="00B35EEF"/>
    <w:rsid w:val="00B43CAD"/>
    <w:rsid w:val="00B43FD2"/>
    <w:rsid w:val="00B44168"/>
    <w:rsid w:val="00B51536"/>
    <w:rsid w:val="00B54B68"/>
    <w:rsid w:val="00B556B3"/>
    <w:rsid w:val="00B55A49"/>
    <w:rsid w:val="00B55B44"/>
    <w:rsid w:val="00B63862"/>
    <w:rsid w:val="00B64265"/>
    <w:rsid w:val="00B65B79"/>
    <w:rsid w:val="00B67F76"/>
    <w:rsid w:val="00B70EFF"/>
    <w:rsid w:val="00B7267F"/>
    <w:rsid w:val="00B72F8B"/>
    <w:rsid w:val="00B7558C"/>
    <w:rsid w:val="00B77B73"/>
    <w:rsid w:val="00B8549C"/>
    <w:rsid w:val="00B85794"/>
    <w:rsid w:val="00B9194F"/>
    <w:rsid w:val="00BA003B"/>
    <w:rsid w:val="00BA2625"/>
    <w:rsid w:val="00BA3405"/>
    <w:rsid w:val="00BA3EDB"/>
    <w:rsid w:val="00BB05E2"/>
    <w:rsid w:val="00BB1E1A"/>
    <w:rsid w:val="00BB4F82"/>
    <w:rsid w:val="00BB7C04"/>
    <w:rsid w:val="00BB7F14"/>
    <w:rsid w:val="00BC0730"/>
    <w:rsid w:val="00BC0786"/>
    <w:rsid w:val="00BC5C0D"/>
    <w:rsid w:val="00BC6A4E"/>
    <w:rsid w:val="00BD1111"/>
    <w:rsid w:val="00BD1EB7"/>
    <w:rsid w:val="00BD26B6"/>
    <w:rsid w:val="00BD2793"/>
    <w:rsid w:val="00BD7DF4"/>
    <w:rsid w:val="00BE01C6"/>
    <w:rsid w:val="00BE0A55"/>
    <w:rsid w:val="00BE0AE6"/>
    <w:rsid w:val="00BE22B3"/>
    <w:rsid w:val="00BE33C4"/>
    <w:rsid w:val="00BE4DAC"/>
    <w:rsid w:val="00BF13F8"/>
    <w:rsid w:val="00BF45CF"/>
    <w:rsid w:val="00BF5B34"/>
    <w:rsid w:val="00BF68F1"/>
    <w:rsid w:val="00C01CFF"/>
    <w:rsid w:val="00C02C7D"/>
    <w:rsid w:val="00C06247"/>
    <w:rsid w:val="00C073B9"/>
    <w:rsid w:val="00C1222B"/>
    <w:rsid w:val="00C14393"/>
    <w:rsid w:val="00C14860"/>
    <w:rsid w:val="00C1494D"/>
    <w:rsid w:val="00C15B78"/>
    <w:rsid w:val="00C20BD0"/>
    <w:rsid w:val="00C211E2"/>
    <w:rsid w:val="00C21BF3"/>
    <w:rsid w:val="00C2207B"/>
    <w:rsid w:val="00C22DD7"/>
    <w:rsid w:val="00C24EBD"/>
    <w:rsid w:val="00C3720F"/>
    <w:rsid w:val="00C376D5"/>
    <w:rsid w:val="00C40D1E"/>
    <w:rsid w:val="00C41AAF"/>
    <w:rsid w:val="00C45198"/>
    <w:rsid w:val="00C46129"/>
    <w:rsid w:val="00C517D9"/>
    <w:rsid w:val="00C529E8"/>
    <w:rsid w:val="00C6013F"/>
    <w:rsid w:val="00C60DDE"/>
    <w:rsid w:val="00C6139C"/>
    <w:rsid w:val="00C62875"/>
    <w:rsid w:val="00C62D6F"/>
    <w:rsid w:val="00C63537"/>
    <w:rsid w:val="00C64057"/>
    <w:rsid w:val="00C647D2"/>
    <w:rsid w:val="00C65C16"/>
    <w:rsid w:val="00C65C3A"/>
    <w:rsid w:val="00C66273"/>
    <w:rsid w:val="00C6636B"/>
    <w:rsid w:val="00C71561"/>
    <w:rsid w:val="00C71E70"/>
    <w:rsid w:val="00C71F7D"/>
    <w:rsid w:val="00C721DA"/>
    <w:rsid w:val="00C73470"/>
    <w:rsid w:val="00C73824"/>
    <w:rsid w:val="00C75718"/>
    <w:rsid w:val="00C75A77"/>
    <w:rsid w:val="00C75C57"/>
    <w:rsid w:val="00C8094E"/>
    <w:rsid w:val="00C8124F"/>
    <w:rsid w:val="00C81513"/>
    <w:rsid w:val="00C82B3D"/>
    <w:rsid w:val="00C84637"/>
    <w:rsid w:val="00C84B66"/>
    <w:rsid w:val="00C85868"/>
    <w:rsid w:val="00C90137"/>
    <w:rsid w:val="00C9019B"/>
    <w:rsid w:val="00C9099D"/>
    <w:rsid w:val="00C90D8F"/>
    <w:rsid w:val="00C9157E"/>
    <w:rsid w:val="00C92AD3"/>
    <w:rsid w:val="00C93999"/>
    <w:rsid w:val="00C940F1"/>
    <w:rsid w:val="00C9420B"/>
    <w:rsid w:val="00C96FF2"/>
    <w:rsid w:val="00CA0864"/>
    <w:rsid w:val="00CA0B45"/>
    <w:rsid w:val="00CA1009"/>
    <w:rsid w:val="00CA30B4"/>
    <w:rsid w:val="00CA3BD1"/>
    <w:rsid w:val="00CA4180"/>
    <w:rsid w:val="00CA6C62"/>
    <w:rsid w:val="00CA72FC"/>
    <w:rsid w:val="00CB1764"/>
    <w:rsid w:val="00CB56F5"/>
    <w:rsid w:val="00CB6E04"/>
    <w:rsid w:val="00CC2512"/>
    <w:rsid w:val="00CC373D"/>
    <w:rsid w:val="00CC3FAC"/>
    <w:rsid w:val="00CC4C58"/>
    <w:rsid w:val="00CC547F"/>
    <w:rsid w:val="00CD0425"/>
    <w:rsid w:val="00CD245A"/>
    <w:rsid w:val="00CD3815"/>
    <w:rsid w:val="00CD5D21"/>
    <w:rsid w:val="00CD6117"/>
    <w:rsid w:val="00CE0E9F"/>
    <w:rsid w:val="00CE0F8A"/>
    <w:rsid w:val="00CE40D7"/>
    <w:rsid w:val="00CE5F52"/>
    <w:rsid w:val="00CE7906"/>
    <w:rsid w:val="00CF0E19"/>
    <w:rsid w:val="00CF2494"/>
    <w:rsid w:val="00D03127"/>
    <w:rsid w:val="00D05342"/>
    <w:rsid w:val="00D1218E"/>
    <w:rsid w:val="00D12E71"/>
    <w:rsid w:val="00D2106C"/>
    <w:rsid w:val="00D21B4A"/>
    <w:rsid w:val="00D239D7"/>
    <w:rsid w:val="00D23DF4"/>
    <w:rsid w:val="00D258C8"/>
    <w:rsid w:val="00D2681F"/>
    <w:rsid w:val="00D27D9B"/>
    <w:rsid w:val="00D331DC"/>
    <w:rsid w:val="00D33A3A"/>
    <w:rsid w:val="00D34026"/>
    <w:rsid w:val="00D368F9"/>
    <w:rsid w:val="00D376DB"/>
    <w:rsid w:val="00D40DE9"/>
    <w:rsid w:val="00D41212"/>
    <w:rsid w:val="00D41462"/>
    <w:rsid w:val="00D42B45"/>
    <w:rsid w:val="00D52998"/>
    <w:rsid w:val="00D535F9"/>
    <w:rsid w:val="00D542D0"/>
    <w:rsid w:val="00D55BDC"/>
    <w:rsid w:val="00D56A55"/>
    <w:rsid w:val="00D57C9E"/>
    <w:rsid w:val="00D57CFC"/>
    <w:rsid w:val="00D60EDF"/>
    <w:rsid w:val="00D64A19"/>
    <w:rsid w:val="00D64B22"/>
    <w:rsid w:val="00D64B5A"/>
    <w:rsid w:val="00D660A1"/>
    <w:rsid w:val="00D66FFC"/>
    <w:rsid w:val="00D70480"/>
    <w:rsid w:val="00D7128C"/>
    <w:rsid w:val="00D716D0"/>
    <w:rsid w:val="00D71F30"/>
    <w:rsid w:val="00D736C0"/>
    <w:rsid w:val="00D74F88"/>
    <w:rsid w:val="00D75F8E"/>
    <w:rsid w:val="00D81E6A"/>
    <w:rsid w:val="00D83423"/>
    <w:rsid w:val="00D86C5C"/>
    <w:rsid w:val="00D9038F"/>
    <w:rsid w:val="00D91881"/>
    <w:rsid w:val="00D92274"/>
    <w:rsid w:val="00D93A62"/>
    <w:rsid w:val="00D94339"/>
    <w:rsid w:val="00D9707F"/>
    <w:rsid w:val="00DA1F8E"/>
    <w:rsid w:val="00DA57A4"/>
    <w:rsid w:val="00DA59D3"/>
    <w:rsid w:val="00DA6146"/>
    <w:rsid w:val="00DB0D07"/>
    <w:rsid w:val="00DB1185"/>
    <w:rsid w:val="00DC0350"/>
    <w:rsid w:val="00DC39E8"/>
    <w:rsid w:val="00DC4922"/>
    <w:rsid w:val="00DC4950"/>
    <w:rsid w:val="00DC585C"/>
    <w:rsid w:val="00DC77B0"/>
    <w:rsid w:val="00DD3A4E"/>
    <w:rsid w:val="00DD465C"/>
    <w:rsid w:val="00DD466E"/>
    <w:rsid w:val="00DD46EE"/>
    <w:rsid w:val="00DD51B7"/>
    <w:rsid w:val="00DD699B"/>
    <w:rsid w:val="00DD6E06"/>
    <w:rsid w:val="00DD788A"/>
    <w:rsid w:val="00DE2205"/>
    <w:rsid w:val="00DE24B2"/>
    <w:rsid w:val="00DE3C15"/>
    <w:rsid w:val="00DE3CA8"/>
    <w:rsid w:val="00DE6998"/>
    <w:rsid w:val="00DE7F9A"/>
    <w:rsid w:val="00DF0054"/>
    <w:rsid w:val="00DF3309"/>
    <w:rsid w:val="00DF34AB"/>
    <w:rsid w:val="00DF4090"/>
    <w:rsid w:val="00DF4703"/>
    <w:rsid w:val="00DF5124"/>
    <w:rsid w:val="00DF554D"/>
    <w:rsid w:val="00DF55B2"/>
    <w:rsid w:val="00DF63B9"/>
    <w:rsid w:val="00DF7F39"/>
    <w:rsid w:val="00DF7FE0"/>
    <w:rsid w:val="00E004F4"/>
    <w:rsid w:val="00E030CC"/>
    <w:rsid w:val="00E057F6"/>
    <w:rsid w:val="00E065F8"/>
    <w:rsid w:val="00E06B34"/>
    <w:rsid w:val="00E076F1"/>
    <w:rsid w:val="00E125B0"/>
    <w:rsid w:val="00E1577E"/>
    <w:rsid w:val="00E1702C"/>
    <w:rsid w:val="00E2257D"/>
    <w:rsid w:val="00E229B1"/>
    <w:rsid w:val="00E22EE8"/>
    <w:rsid w:val="00E23ABB"/>
    <w:rsid w:val="00E23E99"/>
    <w:rsid w:val="00E23F38"/>
    <w:rsid w:val="00E25958"/>
    <w:rsid w:val="00E3093A"/>
    <w:rsid w:val="00E32442"/>
    <w:rsid w:val="00E32D73"/>
    <w:rsid w:val="00E33078"/>
    <w:rsid w:val="00E335AB"/>
    <w:rsid w:val="00E33AB6"/>
    <w:rsid w:val="00E35A96"/>
    <w:rsid w:val="00E35C31"/>
    <w:rsid w:val="00E36732"/>
    <w:rsid w:val="00E37E5A"/>
    <w:rsid w:val="00E4012C"/>
    <w:rsid w:val="00E405F2"/>
    <w:rsid w:val="00E41333"/>
    <w:rsid w:val="00E42A8F"/>
    <w:rsid w:val="00E464D0"/>
    <w:rsid w:val="00E506DF"/>
    <w:rsid w:val="00E50AA2"/>
    <w:rsid w:val="00E5223F"/>
    <w:rsid w:val="00E52E09"/>
    <w:rsid w:val="00E5482F"/>
    <w:rsid w:val="00E56EF8"/>
    <w:rsid w:val="00E60F93"/>
    <w:rsid w:val="00E6185D"/>
    <w:rsid w:val="00E62A45"/>
    <w:rsid w:val="00E66B4F"/>
    <w:rsid w:val="00E72475"/>
    <w:rsid w:val="00E73884"/>
    <w:rsid w:val="00E741D5"/>
    <w:rsid w:val="00E74474"/>
    <w:rsid w:val="00E745B1"/>
    <w:rsid w:val="00E74846"/>
    <w:rsid w:val="00E749F9"/>
    <w:rsid w:val="00E75F36"/>
    <w:rsid w:val="00E814F1"/>
    <w:rsid w:val="00E83C23"/>
    <w:rsid w:val="00E85DB4"/>
    <w:rsid w:val="00E87A6A"/>
    <w:rsid w:val="00E9232A"/>
    <w:rsid w:val="00E94931"/>
    <w:rsid w:val="00E94C53"/>
    <w:rsid w:val="00EA282A"/>
    <w:rsid w:val="00EA4D1B"/>
    <w:rsid w:val="00EA4D1E"/>
    <w:rsid w:val="00EA7EDB"/>
    <w:rsid w:val="00EB1D11"/>
    <w:rsid w:val="00EB267B"/>
    <w:rsid w:val="00EB281B"/>
    <w:rsid w:val="00EB30E7"/>
    <w:rsid w:val="00EB46FF"/>
    <w:rsid w:val="00EB6A7D"/>
    <w:rsid w:val="00EC1C50"/>
    <w:rsid w:val="00EC3BC5"/>
    <w:rsid w:val="00EC7B3F"/>
    <w:rsid w:val="00ED3D05"/>
    <w:rsid w:val="00ED5025"/>
    <w:rsid w:val="00ED6C67"/>
    <w:rsid w:val="00EE5713"/>
    <w:rsid w:val="00EE64AE"/>
    <w:rsid w:val="00EE6B57"/>
    <w:rsid w:val="00EE715F"/>
    <w:rsid w:val="00EE7E43"/>
    <w:rsid w:val="00EF2842"/>
    <w:rsid w:val="00EF40BA"/>
    <w:rsid w:val="00F017CA"/>
    <w:rsid w:val="00F03153"/>
    <w:rsid w:val="00F05984"/>
    <w:rsid w:val="00F05F6E"/>
    <w:rsid w:val="00F06445"/>
    <w:rsid w:val="00F07114"/>
    <w:rsid w:val="00F1445C"/>
    <w:rsid w:val="00F206A7"/>
    <w:rsid w:val="00F20F1D"/>
    <w:rsid w:val="00F227E5"/>
    <w:rsid w:val="00F3105E"/>
    <w:rsid w:val="00F31AAB"/>
    <w:rsid w:val="00F352C0"/>
    <w:rsid w:val="00F36C27"/>
    <w:rsid w:val="00F405A9"/>
    <w:rsid w:val="00F40F3A"/>
    <w:rsid w:val="00F41429"/>
    <w:rsid w:val="00F41591"/>
    <w:rsid w:val="00F41A63"/>
    <w:rsid w:val="00F44122"/>
    <w:rsid w:val="00F44365"/>
    <w:rsid w:val="00F45BEB"/>
    <w:rsid w:val="00F45F7A"/>
    <w:rsid w:val="00F518C0"/>
    <w:rsid w:val="00F52A87"/>
    <w:rsid w:val="00F54523"/>
    <w:rsid w:val="00F57AE8"/>
    <w:rsid w:val="00F57B1D"/>
    <w:rsid w:val="00F61262"/>
    <w:rsid w:val="00F65A0E"/>
    <w:rsid w:val="00F65F1A"/>
    <w:rsid w:val="00F67F6E"/>
    <w:rsid w:val="00F70793"/>
    <w:rsid w:val="00F71AF7"/>
    <w:rsid w:val="00F73091"/>
    <w:rsid w:val="00F76BE3"/>
    <w:rsid w:val="00F84544"/>
    <w:rsid w:val="00F8484C"/>
    <w:rsid w:val="00F8723A"/>
    <w:rsid w:val="00F8736C"/>
    <w:rsid w:val="00F87663"/>
    <w:rsid w:val="00F90552"/>
    <w:rsid w:val="00F908B7"/>
    <w:rsid w:val="00F926C5"/>
    <w:rsid w:val="00F954FA"/>
    <w:rsid w:val="00F95B1F"/>
    <w:rsid w:val="00F96EB7"/>
    <w:rsid w:val="00F9751A"/>
    <w:rsid w:val="00FA05B2"/>
    <w:rsid w:val="00FA0889"/>
    <w:rsid w:val="00FA1E17"/>
    <w:rsid w:val="00FA21C7"/>
    <w:rsid w:val="00FA68A7"/>
    <w:rsid w:val="00FB3E1E"/>
    <w:rsid w:val="00FB4EE5"/>
    <w:rsid w:val="00FB6BEB"/>
    <w:rsid w:val="00FB71BF"/>
    <w:rsid w:val="00FC0C51"/>
    <w:rsid w:val="00FC2896"/>
    <w:rsid w:val="00FC3903"/>
    <w:rsid w:val="00FC6848"/>
    <w:rsid w:val="00FD1615"/>
    <w:rsid w:val="00FD55AF"/>
    <w:rsid w:val="00FD69A8"/>
    <w:rsid w:val="00FE1B88"/>
    <w:rsid w:val="00FE430E"/>
    <w:rsid w:val="00FE4C64"/>
    <w:rsid w:val="00FE52F0"/>
    <w:rsid w:val="00FF4AC8"/>
    <w:rsid w:val="00FF733C"/>
    <w:rsid w:val="021330D2"/>
    <w:rsid w:val="03CABCB4"/>
    <w:rsid w:val="10570530"/>
    <w:rsid w:val="13B30374"/>
    <w:rsid w:val="30FEF021"/>
    <w:rsid w:val="33733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58B3049B-9887-4230-994D-375CA447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F7309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customStyle="1" w:styleId="DfEQuote">
    <w:name w:val="DfEQuote"/>
    <w:basedOn w:val="Normal"/>
    <w:next w:val="Normal"/>
    <w:qFormat/>
    <w:rsid w:val="001B71D5"/>
    <w:pPr>
      <w:keepLines/>
      <w:tabs>
        <w:tab w:val="left" w:pos="2765"/>
      </w:tabs>
      <w:suppressAutoHyphens/>
      <w:ind w:left="864" w:right="864"/>
    </w:pPr>
  </w:style>
  <w:style w:type="paragraph" w:styleId="TOC1">
    <w:name w:val="toc 1"/>
    <w:basedOn w:val="Normal"/>
    <w:next w:val="Normal"/>
    <w:autoRedefine/>
    <w:uiPriority w:val="39"/>
    <w:unhideWhenUsed/>
    <w:qFormat/>
    <w:rsid w:val="00491ED5"/>
    <w:pPr>
      <w:tabs>
        <w:tab w:val="right" w:pos="9498"/>
      </w:tabs>
      <w:spacing w:after="120"/>
    </w:pPr>
    <w:rPr>
      <w:noProof/>
    </w:rPr>
  </w:style>
  <w:style w:type="paragraph" w:styleId="TOC2">
    <w:name w:val="toc 2"/>
    <w:basedOn w:val="Normal"/>
    <w:next w:val="Normal"/>
    <w:autoRedefine/>
    <w:uiPriority w:val="39"/>
    <w:unhideWhenUsed/>
    <w:qFormat/>
    <w:rsid w:val="00491ED5"/>
    <w:pPr>
      <w:spacing w:after="100"/>
      <w:ind w:left="240"/>
    </w:pPr>
  </w:style>
  <w:style w:type="paragraph" w:styleId="TOC3">
    <w:name w:val="toc 3"/>
    <w:basedOn w:val="Normal"/>
    <w:next w:val="Normal"/>
    <w:autoRedefine/>
    <w:uiPriority w:val="39"/>
    <w:unhideWhenUsed/>
    <w:qFormat/>
    <w:rsid w:val="00491ED5"/>
    <w:pPr>
      <w:spacing w:after="100"/>
      <w:ind w:left="480"/>
    </w:p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375062"/>
    <w:pPr>
      <w:keepNext/>
      <w:keepLines/>
      <w:spacing w:before="120" w:after="120"/>
      <w:jc w:val="center"/>
    </w:pPr>
    <w:rPr>
      <w:b/>
      <w:bCs/>
      <w:color w:val="000000" w:themeColor="text1"/>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qFormat/>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34441D"/>
    <w:rPr>
      <w:color w:val="0D0D0D" w:themeColor="text1" w:themeTint="F2"/>
    </w:rPr>
  </w:style>
  <w:style w:type="paragraph" w:customStyle="1" w:styleId="Source">
    <w:name w:val="Source"/>
    <w:basedOn w:val="Normal"/>
    <w:next w:val="Normal"/>
    <w:link w:val="SourceChar"/>
    <w:qFormat/>
    <w:rsid w:val="0034441D"/>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336983"/>
    <w:rPr>
      <w:i/>
      <w:sz w:val="20"/>
    </w:rPr>
  </w:style>
  <w:style w:type="character" w:customStyle="1" w:styleId="BaseChar">
    <w:name w:val="Base Char"/>
    <w:basedOn w:val="DefaultParagraphFont"/>
    <w:link w:val="Base"/>
    <w:rsid w:val="00336983"/>
    <w:rPr>
      <w:i/>
      <w:color w:val="0D0D0D" w:themeColor="text1" w:themeTint="F2"/>
      <w:szCs w:val="24"/>
    </w:rPr>
  </w:style>
  <w:style w:type="paragraph" w:styleId="Revision">
    <w:name w:val="Revision"/>
    <w:hidden/>
    <w:uiPriority w:val="99"/>
    <w:semiHidden/>
    <w:rsid w:val="00323683"/>
    <w:rPr>
      <w:color w:val="0D0D0D" w:themeColor="text1" w:themeTint="F2"/>
      <w:sz w:val="24"/>
      <w:szCs w:val="24"/>
    </w:rPr>
  </w:style>
  <w:style w:type="paragraph" w:styleId="Header">
    <w:name w:val="header"/>
    <w:basedOn w:val="Normal"/>
    <w:link w:val="HeaderChar"/>
    <w:unhideWhenUsed/>
    <w:rsid w:val="00E74846"/>
    <w:pPr>
      <w:tabs>
        <w:tab w:val="center" w:pos="4513"/>
        <w:tab w:val="right" w:pos="9026"/>
      </w:tabs>
      <w:spacing w:after="0" w:line="240" w:lineRule="auto"/>
    </w:pPr>
  </w:style>
  <w:style w:type="character" w:customStyle="1" w:styleId="HeaderChar">
    <w:name w:val="Header Char"/>
    <w:basedOn w:val="DefaultParagraphFont"/>
    <w:link w:val="Header"/>
    <w:rsid w:val="00E74846"/>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emf"/><Relationship Id="rId26" Type="http://schemas.openxmlformats.org/officeDocument/2006/relationships/image" Target="media/image15.emf"/><Relationship Id="rId21" Type="http://schemas.openxmlformats.org/officeDocument/2006/relationships/image" Target="media/image10.emf"/><Relationship Id="rId34" Type="http://schemas.openxmlformats.org/officeDocument/2006/relationships/hyperlink" Target="http://twitter.com/education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png"/><Relationship Id="rId33" Type="http://schemas.openxmlformats.org/officeDocument/2006/relationships/hyperlink" Target="http://www.gov.uk/government/publication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hyperlink" Target="https://www.gov.uk/contact-df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hyperlink" Target="http://www.facebook.com/educationgovuk"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1" ma:contentTypeDescription="Create a new document." ma:contentTypeScope="" ma:versionID="75071210ffdeaf1dbeb51beab01dc08a">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b8c4554fa66a6a675ca3721051ce20f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71069-B55B-473E-9861-B03028D6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master-external-document</Template>
  <TotalTime>21</TotalTime>
  <Pages>21</Pages>
  <Words>3017</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Weatherbury College model management accounts, March 2026</vt:lpstr>
    </vt:vector>
  </TitlesOfParts>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Weatherbury College model management accounts, March 2026</dc:title>
  <dc:subject/>
  <dc:creator>Department for Education</dc:creator>
  <cp:keywords/>
  <dc:description/>
  <cp:lastModifiedBy>GOWRAN, Elaine</cp:lastModifiedBy>
  <cp:revision>22</cp:revision>
  <cp:lastPrinted>2026-03-18T02:19:00Z</cp:lastPrinted>
  <dcterms:created xsi:type="dcterms:W3CDTF">2026-03-23T09:38:00Z</dcterms:created>
  <dcterms:modified xsi:type="dcterms:W3CDTF">2026-03-23T12:11:00Z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IWPGroupOOB">
    <vt:lpwstr>Communications Directorate</vt:lpwstr>
  </property>
  <property fmtid="{D5CDD505-2E9C-101B-9397-08002B2CF9AE}" pid="5" name="_dlc_DocIdItemGuid">
    <vt:lpwstr>a3265885-858c-4865-ae48-91eeaa638693</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a1b40a5d4924c1780d26c0bad2d7e0e">
    <vt:lpwstr>DfE|cc08a6d4-dfde-4d0f-bd85-069ebcef80d5</vt:lpwstr>
  </property>
  <property fmtid="{D5CDD505-2E9C-101B-9397-08002B2CF9AE}" pid="15" name="d188126e66d0411b8b587dc7b01d59f7">
    <vt:lpwstr/>
  </property>
  <property fmtid="{D5CDD505-2E9C-101B-9397-08002B2CF9AE}" pid="16" name="fffda42bef0f41a997612022320061b1">
    <vt:lpwstr>DfE|a484111e-5b24-4ad9-9778-c536c8c88985</vt:lpwstr>
  </property>
  <property fmtid="{D5CDD505-2E9C-101B-9397-08002B2CF9AE}" pid="17" name="pf60996ca8b945d0a85e744d8e71a93e">
    <vt:lpwstr>Official|0884c477-2e62-47ea-b19c-5af6e91124c5</vt:lpwstr>
  </property>
  <property fmtid="{D5CDD505-2E9C-101B-9397-08002B2CF9AE}" pid="18" name="d7fbfd04b43d40809fd7190b2b6abe29">
    <vt:lpwstr/>
  </property>
  <property fmtid="{D5CDD505-2E9C-101B-9397-08002B2CF9AE}" pid="19" name="l9eb7c96bb994b89a55c4a3eb6f463ed">
    <vt:lpwstr/>
  </property>
  <property fmtid="{D5CDD505-2E9C-101B-9397-08002B2CF9AE}" pid="20" name="DfeOrganisationalUnit">
    <vt:lpwstr>2;#DfE|cc08a6d4-dfde-4d0f-bd85-069ebcef80d5</vt:lpwstr>
  </property>
  <property fmtid="{D5CDD505-2E9C-101B-9397-08002B2CF9AE}" pid="21" name="DfeRights:ProtectiveMarking">
    <vt:lpwstr>1;#Official|0884c477-2e62-47ea-b19c-5af6e91124c5</vt:lpwstr>
  </property>
  <property fmtid="{D5CDD505-2E9C-101B-9397-08002B2CF9AE}" pid="22" name="DfeOwner">
    <vt:lpwstr>3;#DfE|a484111e-5b24-4ad9-9778-c536c8c88985</vt:lpwstr>
  </property>
  <property fmtid="{D5CDD505-2E9C-101B-9397-08002B2CF9AE}" pid="23" name="DfeSubject">
    <vt:lpwstr/>
  </property>
  <property fmtid="{D5CDD505-2E9C-101B-9397-08002B2CF9AE}" pid="24" name="DfeRights_x003a_ProtectiveMarking">
    <vt:lpwstr>1;#Official|0884c477-2e62-47ea-b19c-5af6e91124c5</vt:lpwstr>
  </property>
</Properties>
</file>