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9EBFCA" w14:textId="77777777" w:rsidR="00EC45BC" w:rsidRPr="00EC45BC" w:rsidRDefault="00EC45BC" w:rsidP="00EC45BC">
      <w:pPr>
        <w:pStyle w:val="CoverHeader"/>
        <w:spacing w:line="216" w:lineRule="auto"/>
        <w:rPr>
          <w:sz w:val="52"/>
          <w:szCs w:val="52"/>
        </w:rPr>
      </w:pPr>
      <w:r w:rsidRPr="00EC45BC">
        <w:rPr>
          <w:sz w:val="52"/>
          <w:szCs w:val="52"/>
        </w:rPr>
        <w:t xml:space="preserve">PFI Contract </w:t>
      </w:r>
      <w:r w:rsidRPr="00EC45BC">
        <w:rPr>
          <w:sz w:val="52"/>
          <w:szCs w:val="52"/>
        </w:rPr>
        <w:br/>
        <w:t>Management Guidance</w:t>
      </w:r>
    </w:p>
    <w:p w14:paraId="183095B5" w14:textId="77777777" w:rsidR="00EC45BC" w:rsidRPr="000E3111" w:rsidRDefault="00EC45BC" w:rsidP="00EC45BC">
      <w:pPr>
        <w:rPr>
          <w:rFonts w:ascii="Poppins" w:hAnsi="Poppins" w:cs="Poppins"/>
        </w:rPr>
      </w:pPr>
      <w:r>
        <w:rPr>
          <w:noProof/>
          <w:color w:val="000000" w:themeColor="text1"/>
          <w:sz w:val="28"/>
          <w:szCs w:val="28"/>
        </w:rPr>
        <mc:AlternateContent>
          <mc:Choice Requires="wps">
            <w:drawing>
              <wp:anchor distT="0" distB="0" distL="114300" distR="114300" simplePos="0" relativeHeight="251659264" behindDoc="0" locked="0" layoutInCell="1" allowOverlap="1" wp14:anchorId="65805372" wp14:editId="01593D8B">
                <wp:simplePos x="0" y="0"/>
                <wp:positionH relativeFrom="column">
                  <wp:posOffset>-7166</wp:posOffset>
                </wp:positionH>
                <wp:positionV relativeFrom="paragraph">
                  <wp:posOffset>34199</wp:posOffset>
                </wp:positionV>
                <wp:extent cx="4024811" cy="0"/>
                <wp:effectExtent l="50800" t="38100" r="26670" b="76200"/>
                <wp:wrapNone/>
                <wp:docPr id="824846885" name="Straight Connector 6"/>
                <wp:cNvGraphicFramePr/>
                <a:graphic xmlns:a="http://schemas.openxmlformats.org/drawingml/2006/main">
                  <a:graphicData uri="http://schemas.microsoft.com/office/word/2010/wordprocessingShape">
                    <wps:wsp>
                      <wps:cNvCnPr/>
                      <wps:spPr>
                        <a:xfrm>
                          <a:off x="0" y="0"/>
                          <a:ext cx="4024811" cy="0"/>
                        </a:xfrm>
                        <a:prstGeom prst="line">
                          <a:avLst/>
                        </a:prstGeom>
                        <a:ln>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2A2C36" id="Straight Connector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2.7pt" to="316.35pt,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" strokecolor="#0a1c36 [3215]" strokeweight="2pt">
                <v:shadow on="t" color="black" opacity="24903f" origin=",.5" offset="0,.55556mm"/>
              </v:line>
            </w:pict>
          </mc:Fallback>
        </mc:AlternateContent>
      </w:r>
    </w:p>
    <w:p w14:paraId="1AEBF4C2" w14:textId="3357479E" w:rsidR="00EC45BC" w:rsidRPr="0001588D" w:rsidRDefault="00EC45BC" w:rsidP="00EC45BC">
      <w:pPr>
        <w:pStyle w:val="CoverSubHeader"/>
        <w:spacing w:line="192" w:lineRule="auto"/>
      </w:pPr>
      <w:r w:rsidRPr="00EC45BC">
        <w:t>Contract Review</w:t>
      </w:r>
    </w:p>
    <w:p w14:paraId="69196C33" w14:textId="0E2380AE" w:rsidR="00EC45BC" w:rsidRPr="00EC45BC" w:rsidRDefault="00EC45BC" w:rsidP="00EC45BC">
      <w:pPr>
        <w:spacing w:after="240" w:line="216" w:lineRule="auto"/>
        <w:ind w:right="2735"/>
        <w:rPr>
          <w:rFonts w:ascii="Poppins" w:hAnsi="Poppins" w:cs="Poppins"/>
          <w:sz w:val="36"/>
          <w:szCs w:val="36"/>
        </w:rPr>
      </w:pPr>
      <w:r w:rsidRPr="007C0540">
        <w:rPr>
          <w:rFonts w:ascii="Poppins" w:hAnsi="Poppins" w:cs="Poppins"/>
          <w:b/>
          <w:bCs/>
          <w:sz w:val="36"/>
          <w:szCs w:val="36"/>
        </w:rPr>
        <w:t xml:space="preserve">Toolkit </w:t>
      </w:r>
      <w:r w:rsidR="00E959BD">
        <w:rPr>
          <w:rFonts w:ascii="Poppins" w:hAnsi="Poppins" w:cs="Poppins"/>
          <w:b/>
          <w:bCs/>
          <w:sz w:val="36"/>
          <w:szCs w:val="36"/>
        </w:rPr>
        <w:t>3</w:t>
      </w:r>
      <w:r w:rsidRPr="007C0540">
        <w:rPr>
          <w:rFonts w:ascii="Poppins" w:hAnsi="Poppins" w:cs="Poppins"/>
          <w:b/>
          <w:bCs/>
          <w:sz w:val="36"/>
          <w:szCs w:val="36"/>
        </w:rPr>
        <w:t>:</w:t>
      </w:r>
      <w:r>
        <w:rPr>
          <w:rFonts w:ascii="Poppins" w:hAnsi="Poppins" w:cs="Poppins"/>
          <w:b/>
          <w:bCs/>
          <w:sz w:val="36"/>
          <w:szCs w:val="36"/>
        </w:rPr>
        <w:t xml:space="preserve"> </w:t>
      </w:r>
      <w:r w:rsidR="00E959BD" w:rsidRPr="00E959BD">
        <w:rPr>
          <w:rFonts w:ascii="Poppins" w:hAnsi="Poppins" w:cs="Poppins"/>
          <w:sz w:val="36"/>
          <w:szCs w:val="36"/>
        </w:rPr>
        <w:t xml:space="preserve">Contract Review Scope – </w:t>
      </w:r>
      <w:r w:rsidR="006630BB">
        <w:rPr>
          <w:rFonts w:ascii="Poppins" w:hAnsi="Poppins" w:cs="Poppins"/>
          <w:sz w:val="36"/>
          <w:szCs w:val="36"/>
        </w:rPr>
        <w:br/>
      </w:r>
      <w:r w:rsidR="00E959BD" w:rsidRPr="00E959BD">
        <w:rPr>
          <w:rFonts w:ascii="Poppins" w:hAnsi="Poppins" w:cs="Poppins"/>
          <w:sz w:val="36"/>
          <w:szCs w:val="36"/>
        </w:rPr>
        <w:t xml:space="preserve">A tool to help you define the scope </w:t>
      </w:r>
      <w:r w:rsidR="006630BB">
        <w:rPr>
          <w:rFonts w:ascii="Poppins" w:hAnsi="Poppins" w:cs="Poppins"/>
          <w:sz w:val="36"/>
          <w:szCs w:val="36"/>
        </w:rPr>
        <w:br/>
      </w:r>
      <w:r w:rsidR="00E959BD" w:rsidRPr="00E959BD">
        <w:rPr>
          <w:rFonts w:ascii="Poppins" w:hAnsi="Poppins" w:cs="Poppins"/>
          <w:sz w:val="36"/>
          <w:szCs w:val="36"/>
        </w:rPr>
        <w:t>and objectives of your contract review</w:t>
      </w:r>
    </w:p>
    <w:p w14:paraId="0F58C370" w14:textId="77777777" w:rsidR="00EC45BC" w:rsidRPr="00CF41D6" w:rsidRDefault="00EC45BC" w:rsidP="00EC45BC">
      <w:pPr>
        <w:pStyle w:val="CoverSubHeader"/>
      </w:pPr>
      <w:r w:rsidRPr="00CF41D6">
        <w:t>PFI Centre of Excellence</w:t>
      </w:r>
    </w:p>
    <w:p w14:paraId="5B4E4A2C" w14:textId="29567E21" w:rsidR="00EC45BC" w:rsidRPr="00CF41D6" w:rsidRDefault="008C6A08" w:rsidP="00EC45BC">
      <w:pPr>
        <w:pStyle w:val="CoverSubHeader"/>
      </w:pPr>
      <w:r w:rsidRPr="008C6A08">
        <w:t>Published 2026</w:t>
      </w:r>
      <w:r w:rsidR="00EC45BC">
        <w:t xml:space="preserve"> </w:t>
      </w:r>
    </w:p>
    <w:p w14:paraId="2B60D115" w14:textId="562B2106" w:rsidR="00EB2240" w:rsidRDefault="00EB2240" w:rsidP="002B6072">
      <w:pPr>
        <w:pStyle w:val="TABLEHEAD"/>
        <w:ind w:left="0"/>
      </w:pPr>
    </w:p>
    <w:p w14:paraId="21E26058" w14:textId="77777777" w:rsidR="00EB2240" w:rsidRDefault="00EB2240" w:rsidP="00A9120E">
      <w:pPr>
        <w:pStyle w:val="SubHead0"/>
        <w:sectPr w:rsidR="00EB2240" w:rsidSect="00D43A33">
          <w:headerReference w:type="first" r:id="rId8"/>
          <w:type w:val="continuous"/>
          <w:pgSz w:w="11900" w:h="16840"/>
          <w:pgMar w:top="7801" w:right="779" w:bottom="1252" w:left="873" w:header="12" w:footer="958" w:gutter="0"/>
          <w:pgNumType w:start="1"/>
          <w:cols w:space="720"/>
          <w:titlePg/>
          <w:docGrid w:linePitch="299"/>
        </w:sectPr>
      </w:pPr>
    </w:p>
    <w:p w14:paraId="5787CAC4" w14:textId="51BC2986" w:rsidR="002D17EC" w:rsidRDefault="002D17EC" w:rsidP="002D17EC">
      <w:pPr>
        <w:pStyle w:val="BODYCOPY"/>
      </w:pPr>
      <w:r>
        <w:br w:type="page"/>
      </w:r>
    </w:p>
    <w:p w14:paraId="7A0B781B" w14:textId="44B464B2" w:rsidR="00504E79" w:rsidRPr="006630BB" w:rsidRDefault="002B6072" w:rsidP="006630BB">
      <w:pPr>
        <w:pStyle w:val="SubHead0"/>
      </w:pPr>
      <w:r w:rsidRPr="006630BB">
        <w:lastRenderedPageBreak/>
        <w:t>Contract Review</w:t>
      </w:r>
    </w:p>
    <w:p w14:paraId="6A52FBC2" w14:textId="77777777" w:rsidR="00E959BD" w:rsidRPr="00E959BD" w:rsidRDefault="00E959BD" w:rsidP="00E959BD">
      <w:pPr>
        <w:pStyle w:val="SubHead0"/>
      </w:pPr>
      <w:r w:rsidRPr="00E959BD">
        <w:t>Toolkit 3: Contract Review Scope Options</w:t>
      </w:r>
    </w:p>
    <w:p w14:paraId="169FEF9D" w14:textId="77777777" w:rsidR="00E959BD" w:rsidRPr="00E959BD" w:rsidRDefault="00E959BD" w:rsidP="00E959BD">
      <w:pPr>
        <w:pStyle w:val="BODYCOPY"/>
        <w:spacing w:before="120" w:after="0"/>
      </w:pPr>
      <w:r w:rsidRPr="00E959BD">
        <w:rPr>
          <w:lang w:val="en-US"/>
        </w:rPr>
        <w:t>This template is designed to help contracting authorities define the scope of a contract review. It provides a structured format for documenting the purpose, objectives, review perspective(s), review type(s), deliverables, timescales, roles and responsibilities, and any constraints or dependencies.</w:t>
      </w:r>
    </w:p>
    <w:p w14:paraId="10B813F5" w14:textId="77777777" w:rsidR="00E959BD" w:rsidRPr="00E959BD" w:rsidRDefault="00E959BD" w:rsidP="00E959BD">
      <w:pPr>
        <w:pStyle w:val="SubHead0"/>
      </w:pPr>
      <w:r w:rsidRPr="00E959BD">
        <w:t>Contract details and initiator information</w:t>
      </w:r>
    </w:p>
    <w:p w14:paraId="00E26125" w14:textId="77777777" w:rsidR="00E959BD" w:rsidRPr="00E959BD" w:rsidRDefault="00E959BD" w:rsidP="00E959BD">
      <w:pPr>
        <w:pStyle w:val="SubHead0"/>
      </w:pPr>
      <w:r w:rsidRPr="00E959BD">
        <w:t>Contract details</w:t>
      </w:r>
    </w:p>
    <w:p w14:paraId="07B57255" w14:textId="77777777" w:rsidR="00E959BD" w:rsidRPr="00E959BD" w:rsidRDefault="00E959BD" w:rsidP="00E959BD">
      <w:pPr>
        <w:pStyle w:val="BulletPoints"/>
      </w:pPr>
      <w:r w:rsidRPr="00E959BD">
        <w:t>Project name:</w:t>
      </w:r>
    </w:p>
    <w:p w14:paraId="56EFC899" w14:textId="77777777" w:rsidR="00E959BD" w:rsidRPr="00E959BD" w:rsidRDefault="00E959BD" w:rsidP="00E959BD">
      <w:pPr>
        <w:pStyle w:val="BulletPoints"/>
      </w:pPr>
      <w:r w:rsidRPr="00E959BD">
        <w:t>Contracting authority:</w:t>
      </w:r>
    </w:p>
    <w:p w14:paraId="47EF70E2" w14:textId="77777777" w:rsidR="00E959BD" w:rsidRPr="00E959BD" w:rsidRDefault="00E959BD" w:rsidP="00E959BD">
      <w:pPr>
        <w:pStyle w:val="BulletPoints"/>
      </w:pPr>
      <w:r w:rsidRPr="00E959BD">
        <w:t>PFI Co name:</w:t>
      </w:r>
    </w:p>
    <w:p w14:paraId="47CA616C" w14:textId="77777777" w:rsidR="00E959BD" w:rsidRPr="00E959BD" w:rsidRDefault="00E959BD" w:rsidP="00E959BD">
      <w:pPr>
        <w:pStyle w:val="BulletPoints"/>
      </w:pPr>
      <w:r w:rsidRPr="00E959BD">
        <w:t>PFI Co shareholders:</w:t>
      </w:r>
    </w:p>
    <w:p w14:paraId="3A08457A" w14:textId="77777777" w:rsidR="00E959BD" w:rsidRPr="00E959BD" w:rsidRDefault="00E959BD" w:rsidP="00E959BD">
      <w:pPr>
        <w:pStyle w:val="BulletPoints"/>
      </w:pPr>
      <w:r w:rsidRPr="00E959BD">
        <w:t>Management services provider:</w:t>
      </w:r>
    </w:p>
    <w:p w14:paraId="6A5E199B" w14:textId="77777777" w:rsidR="00E959BD" w:rsidRPr="00E959BD" w:rsidRDefault="00E959BD" w:rsidP="00E959BD">
      <w:pPr>
        <w:pStyle w:val="BulletPoints"/>
      </w:pPr>
      <w:r w:rsidRPr="00E959BD">
        <w:t>Main service provider:</w:t>
      </w:r>
    </w:p>
    <w:p w14:paraId="370949AB" w14:textId="77777777" w:rsidR="00E959BD" w:rsidRPr="00E959BD" w:rsidRDefault="00E959BD" w:rsidP="00E959BD">
      <w:pPr>
        <w:pStyle w:val="BulletPoints"/>
      </w:pPr>
      <w:r w:rsidRPr="00E959BD">
        <w:t>Key subcontractors:</w:t>
      </w:r>
    </w:p>
    <w:p w14:paraId="7A5BF059" w14:textId="77777777" w:rsidR="00E959BD" w:rsidRPr="00E959BD" w:rsidRDefault="00E959BD" w:rsidP="00E959BD">
      <w:pPr>
        <w:pStyle w:val="BulletPoints"/>
      </w:pPr>
      <w:r w:rsidRPr="00E959BD">
        <w:t>Other key stakeholders:</w:t>
      </w:r>
    </w:p>
    <w:p w14:paraId="34206E42" w14:textId="77777777" w:rsidR="00E959BD" w:rsidRPr="00E959BD" w:rsidRDefault="00E959BD" w:rsidP="00E959BD">
      <w:pPr>
        <w:pStyle w:val="BulletPoints"/>
      </w:pPr>
      <w:r w:rsidRPr="00E959BD">
        <w:t>Services provided:</w:t>
      </w:r>
    </w:p>
    <w:p w14:paraId="5B32B16B" w14:textId="77777777" w:rsidR="00E959BD" w:rsidRPr="00E959BD" w:rsidRDefault="00E959BD" w:rsidP="00E959BD">
      <w:pPr>
        <w:pStyle w:val="SubHead0"/>
      </w:pPr>
      <w:r w:rsidRPr="00E959BD">
        <w:t>Key dates</w:t>
      </w:r>
    </w:p>
    <w:p w14:paraId="42CD2EBC" w14:textId="77777777" w:rsidR="00E959BD" w:rsidRPr="00E959BD" w:rsidRDefault="00E959BD" w:rsidP="00E959BD">
      <w:pPr>
        <w:pStyle w:val="BulletPoints"/>
      </w:pPr>
      <w:r w:rsidRPr="00E959BD">
        <w:t>Date of financial close</w:t>
      </w:r>
    </w:p>
    <w:p w14:paraId="5486CC78" w14:textId="77777777" w:rsidR="00E959BD" w:rsidRPr="00E959BD" w:rsidRDefault="00E959BD" w:rsidP="00E959BD">
      <w:pPr>
        <w:pStyle w:val="BulletPoints"/>
      </w:pPr>
      <w:r w:rsidRPr="00E959BD">
        <w:t>Date of construction completion</w:t>
      </w:r>
    </w:p>
    <w:p w14:paraId="525F0031" w14:textId="77777777" w:rsidR="00E959BD" w:rsidRPr="00E959BD" w:rsidRDefault="00E959BD" w:rsidP="00E959BD">
      <w:pPr>
        <w:pStyle w:val="BulletPoints"/>
      </w:pPr>
      <w:r w:rsidRPr="00E959BD">
        <w:t>First date of operation</w:t>
      </w:r>
    </w:p>
    <w:p w14:paraId="21974785" w14:textId="77777777" w:rsidR="00E959BD" w:rsidRPr="00E959BD" w:rsidRDefault="00E959BD" w:rsidP="00E959BD">
      <w:pPr>
        <w:pStyle w:val="BulletPoints"/>
      </w:pPr>
      <w:r w:rsidRPr="00E959BD">
        <w:t>Contract expiry date</w:t>
      </w:r>
    </w:p>
    <w:p w14:paraId="439F8C7D" w14:textId="77777777" w:rsidR="00E959BD" w:rsidRPr="00E959BD" w:rsidRDefault="00E959BD" w:rsidP="00E959BD">
      <w:pPr>
        <w:pStyle w:val="BulletPoints"/>
      </w:pPr>
      <w:r w:rsidRPr="00E959BD">
        <w:t>Contract duration (years)</w:t>
      </w:r>
    </w:p>
    <w:p w14:paraId="5ADD62B6" w14:textId="77777777" w:rsidR="00E959BD" w:rsidRPr="00E959BD" w:rsidRDefault="00E959BD" w:rsidP="00E959BD">
      <w:pPr>
        <w:pStyle w:val="SubHead0"/>
      </w:pPr>
      <w:r w:rsidRPr="00E959BD">
        <w:t>Initiator information</w:t>
      </w:r>
    </w:p>
    <w:p w14:paraId="7A20CF02" w14:textId="77777777" w:rsidR="00E959BD" w:rsidRPr="00E959BD" w:rsidRDefault="00E959BD" w:rsidP="00E959BD">
      <w:pPr>
        <w:pStyle w:val="BulletPoints"/>
      </w:pPr>
      <w:r w:rsidRPr="00E959BD">
        <w:t>Initiator name:</w:t>
      </w:r>
    </w:p>
    <w:p w14:paraId="57B27956" w14:textId="77777777" w:rsidR="00E959BD" w:rsidRPr="00E959BD" w:rsidRDefault="00E959BD" w:rsidP="00E959BD">
      <w:pPr>
        <w:pStyle w:val="BulletPoints"/>
      </w:pPr>
      <w:r w:rsidRPr="00E959BD">
        <w:t>Initiator role:</w:t>
      </w:r>
    </w:p>
    <w:p w14:paraId="74E5AA96" w14:textId="77777777" w:rsidR="00E959BD" w:rsidRPr="00E959BD" w:rsidRDefault="00E959BD" w:rsidP="00E959BD">
      <w:pPr>
        <w:pStyle w:val="BulletPoints"/>
      </w:pPr>
      <w:proofErr w:type="gramStart"/>
      <w:r w:rsidRPr="00E959BD">
        <w:t>Initiator</w:t>
      </w:r>
      <w:proofErr w:type="gramEnd"/>
      <w:r w:rsidRPr="00E959BD">
        <w:t xml:space="preserve"> contact information:</w:t>
      </w:r>
    </w:p>
    <w:p w14:paraId="55CCF848" w14:textId="77777777" w:rsidR="00E9782C" w:rsidRDefault="00E9782C">
      <w:pPr>
        <w:rPr>
          <w:rFonts w:ascii="Poppins" w:hAnsi="Poppins"/>
          <w:b/>
          <w:bCs/>
          <w:color w:val="0A1C36" w:themeColor="text2"/>
          <w:sz w:val="24"/>
          <w:szCs w:val="18"/>
        </w:rPr>
      </w:pPr>
      <w:r>
        <w:br w:type="page"/>
      </w:r>
    </w:p>
    <w:p w14:paraId="29CE2E3C" w14:textId="1FC7F9F5" w:rsidR="00E959BD" w:rsidRPr="00E959BD" w:rsidRDefault="00E959BD" w:rsidP="00E959BD">
      <w:pPr>
        <w:pStyle w:val="SubHead0"/>
      </w:pPr>
      <w:r w:rsidRPr="00E959BD">
        <w:lastRenderedPageBreak/>
        <w:t>Purpose</w:t>
      </w:r>
    </w:p>
    <w:p w14:paraId="65D0834B" w14:textId="77777777" w:rsidR="00E959BD" w:rsidRPr="00E959BD" w:rsidRDefault="00E959BD" w:rsidP="00E959BD">
      <w:pPr>
        <w:pStyle w:val="BODYCOPY"/>
        <w:spacing w:before="120" w:after="0"/>
        <w:rPr>
          <w:i/>
          <w:iCs/>
        </w:rPr>
      </w:pPr>
      <w:r w:rsidRPr="00E959BD">
        <w:t xml:space="preserve">State the purpose of the review. </w:t>
      </w:r>
      <w:r w:rsidRPr="00E959BD">
        <w:rPr>
          <w:i/>
          <w:iCs/>
        </w:rPr>
        <w:t>For example:</w:t>
      </w:r>
    </w:p>
    <w:p w14:paraId="0B49C9BD" w14:textId="77777777" w:rsidR="00E959BD" w:rsidRPr="00E959BD" w:rsidRDefault="00E959BD" w:rsidP="00E959BD">
      <w:pPr>
        <w:pStyle w:val="BulletPoints"/>
        <w:rPr>
          <w:i/>
          <w:iCs/>
        </w:rPr>
      </w:pPr>
      <w:r w:rsidRPr="00E959BD">
        <w:rPr>
          <w:i/>
          <w:iCs/>
        </w:rPr>
        <w:t>To review the payment mechanism provisions within the contract, including the structure of deductions and incentives, to ensure they are clearly understood, correctly implemented, and aligned with current operational practices.</w:t>
      </w:r>
    </w:p>
    <w:p w14:paraId="28CD03F2" w14:textId="77777777" w:rsidR="00E959BD" w:rsidRPr="00E959BD" w:rsidRDefault="00E959BD" w:rsidP="00E959BD">
      <w:pPr>
        <w:pStyle w:val="BulletPoints"/>
        <w:rPr>
          <w:i/>
          <w:iCs/>
        </w:rPr>
      </w:pPr>
      <w:r w:rsidRPr="00E959BD">
        <w:rPr>
          <w:i/>
          <w:iCs/>
        </w:rPr>
        <w:t xml:space="preserve">To review the contract’s expiry provisions and lifecycle obligations to inform the authority’s </w:t>
      </w:r>
      <w:proofErr w:type="spellStart"/>
      <w:r w:rsidRPr="00E959BD">
        <w:rPr>
          <w:i/>
          <w:iCs/>
        </w:rPr>
        <w:t>handback</w:t>
      </w:r>
      <w:proofErr w:type="spellEnd"/>
      <w:r w:rsidRPr="00E959BD">
        <w:rPr>
          <w:i/>
          <w:iCs/>
        </w:rPr>
        <w:t xml:space="preserve"> strategy and ensure readiness for transition within the next 24 months.</w:t>
      </w:r>
    </w:p>
    <w:p w14:paraId="5C1D1BCD" w14:textId="77777777" w:rsidR="00E959BD" w:rsidRPr="00E959BD" w:rsidRDefault="00E959BD" w:rsidP="00E959BD">
      <w:pPr>
        <w:pStyle w:val="BulletPoints"/>
        <w:rPr>
          <w:i/>
          <w:iCs/>
        </w:rPr>
      </w:pPr>
      <w:r w:rsidRPr="00E959BD">
        <w:rPr>
          <w:i/>
          <w:iCs/>
        </w:rPr>
        <w:t>To review the contract’s change control provisions and historical variations to assess whether all changes have been properly documented, priced and implemented in accordance with the contract, and to support preparation for a planned service reconfiguration.</w:t>
      </w:r>
    </w:p>
    <w:p w14:paraId="63C06CD9" w14:textId="77777777" w:rsidR="00E959BD" w:rsidRPr="00E959BD" w:rsidRDefault="00E959BD" w:rsidP="00E959BD">
      <w:pPr>
        <w:pStyle w:val="SubHead0"/>
      </w:pPr>
      <w:r w:rsidRPr="00E959BD">
        <w:t>Objectives</w:t>
      </w:r>
    </w:p>
    <w:p w14:paraId="681CB7D1" w14:textId="77777777" w:rsidR="00E959BD" w:rsidRPr="00E959BD" w:rsidRDefault="00E959BD" w:rsidP="00E959BD">
      <w:pPr>
        <w:pStyle w:val="BODYCOPY"/>
        <w:spacing w:before="120" w:after="0"/>
        <w:rPr>
          <w:i/>
          <w:iCs/>
        </w:rPr>
      </w:pPr>
      <w:r w:rsidRPr="00E959BD">
        <w:t xml:space="preserve">List the specific objectives of the review. </w:t>
      </w:r>
      <w:r w:rsidRPr="00E959BD">
        <w:rPr>
          <w:i/>
          <w:iCs/>
        </w:rPr>
        <w:t>For example (based on the first purpose above):</w:t>
      </w:r>
    </w:p>
    <w:p w14:paraId="30C4B7DA" w14:textId="77777777" w:rsidR="00E959BD" w:rsidRPr="00E959BD" w:rsidRDefault="00E959BD" w:rsidP="00E959BD">
      <w:pPr>
        <w:pStyle w:val="BulletPoints"/>
        <w:rPr>
          <w:i/>
          <w:iCs/>
        </w:rPr>
      </w:pPr>
      <w:r w:rsidRPr="00E959BD">
        <w:rPr>
          <w:i/>
          <w:iCs/>
        </w:rPr>
        <w:t>Identify and summarise the key clauses governing payment, deductions and performance adjustments.</w:t>
      </w:r>
    </w:p>
    <w:p w14:paraId="05CDE164" w14:textId="77777777" w:rsidR="00E959BD" w:rsidRPr="00E959BD" w:rsidRDefault="00E959BD" w:rsidP="00E959BD">
      <w:pPr>
        <w:pStyle w:val="BulletPoints"/>
        <w:rPr>
          <w:i/>
          <w:iCs/>
        </w:rPr>
      </w:pPr>
      <w:r w:rsidRPr="00E959BD">
        <w:rPr>
          <w:i/>
          <w:iCs/>
        </w:rPr>
        <w:t>Assess whether current operational practices align with the contract’s payment provisions.</w:t>
      </w:r>
    </w:p>
    <w:p w14:paraId="464C7FD6" w14:textId="77777777" w:rsidR="00E959BD" w:rsidRPr="00E959BD" w:rsidRDefault="00E959BD" w:rsidP="00E959BD">
      <w:pPr>
        <w:pStyle w:val="BulletPoints"/>
        <w:rPr>
          <w:i/>
          <w:iCs/>
        </w:rPr>
      </w:pPr>
      <w:r w:rsidRPr="00E959BD">
        <w:rPr>
          <w:i/>
          <w:iCs/>
        </w:rPr>
        <w:t>Highlight any ambiguities or inconsistencies that may require clarification or adjustment.</w:t>
      </w:r>
    </w:p>
    <w:p w14:paraId="7FD10BA8" w14:textId="77777777" w:rsidR="00E959BD" w:rsidRPr="00E959BD" w:rsidRDefault="00E959BD" w:rsidP="00E959BD">
      <w:pPr>
        <w:pStyle w:val="SubHead0"/>
      </w:pPr>
      <w:r w:rsidRPr="00E959BD">
        <w:t>Review perspective(s)</w:t>
      </w:r>
    </w:p>
    <w:p w14:paraId="11B920D9" w14:textId="77777777" w:rsidR="00E959BD" w:rsidRPr="00E959BD" w:rsidRDefault="00E959BD" w:rsidP="00E959BD">
      <w:pPr>
        <w:pStyle w:val="BODYCOPY"/>
        <w:spacing w:before="120" w:after="0"/>
      </w:pPr>
      <w:r w:rsidRPr="00E959BD">
        <w:t>Identify the perspective(s) from which the review will be conducted.</w:t>
      </w:r>
    </w:p>
    <w:p w14:paraId="062DDF34" w14:textId="77777777" w:rsidR="00E959BD" w:rsidRPr="00E959BD" w:rsidRDefault="00E959BD" w:rsidP="00E959BD">
      <w:pPr>
        <w:pStyle w:val="BODYCOPY"/>
        <w:spacing w:before="120" w:after="0"/>
        <w:rPr>
          <w:i/>
          <w:iCs/>
        </w:rPr>
      </w:pPr>
      <w:r w:rsidRPr="00E959BD">
        <w:rPr>
          <w:i/>
          <w:iCs/>
        </w:rPr>
        <w:t>For example: Legal, commercial, operational.</w:t>
      </w:r>
    </w:p>
    <w:p w14:paraId="28D8947A" w14:textId="77777777" w:rsidR="00E959BD" w:rsidRPr="00E959BD" w:rsidRDefault="00E959BD" w:rsidP="00E959BD">
      <w:pPr>
        <w:pStyle w:val="SubHead0"/>
      </w:pPr>
      <w:r w:rsidRPr="00E959BD">
        <w:t>Review type(s)</w:t>
      </w:r>
    </w:p>
    <w:p w14:paraId="17C4C3D8" w14:textId="77777777" w:rsidR="00E959BD" w:rsidRPr="00E959BD" w:rsidRDefault="00E959BD" w:rsidP="00E959BD">
      <w:pPr>
        <w:pStyle w:val="BODYCOPY"/>
        <w:spacing w:before="120" w:after="0"/>
      </w:pPr>
      <w:r w:rsidRPr="00E959BD">
        <w:t>Select the relevant review type(s) from the provided list.</w:t>
      </w:r>
    </w:p>
    <w:p w14:paraId="11BEDEF1" w14:textId="48162BEA" w:rsidR="00E959BD" w:rsidRDefault="00E959BD">
      <w:pPr>
        <w:rPr>
          <w:rFonts w:ascii="Poppins" w:hAnsi="Poppins"/>
          <w:sz w:val="24"/>
          <w:szCs w:val="18"/>
        </w:rPr>
      </w:pPr>
      <w:r>
        <w:br w:type="page"/>
      </w:r>
    </w:p>
    <w:tbl>
      <w:tblPr>
        <w:tblStyle w:val="TableGridLight"/>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00"/>
        <w:gridCol w:w="2385"/>
        <w:gridCol w:w="1870"/>
        <w:gridCol w:w="3402"/>
      </w:tblGrid>
      <w:tr w:rsidR="00E62AEF" w:rsidRPr="00E62AEF" w14:paraId="3A870235" w14:textId="77777777" w:rsidTr="006630BB">
        <w:trPr>
          <w:trHeight w:val="300"/>
        </w:trPr>
        <w:tc>
          <w:tcPr>
            <w:tcW w:w="2400" w:type="dxa"/>
            <w:tcBorders>
              <w:top w:val="single" w:sz="4" w:space="0" w:color="auto"/>
              <w:left w:val="single" w:sz="4" w:space="0" w:color="auto"/>
              <w:bottom w:val="single" w:sz="4" w:space="0" w:color="auto"/>
              <w:right w:val="single" w:sz="4" w:space="0" w:color="auto"/>
            </w:tcBorders>
            <w:tcMar>
              <w:left w:w="105" w:type="dxa"/>
              <w:right w:w="105" w:type="dxa"/>
            </w:tcMar>
          </w:tcPr>
          <w:p w14:paraId="12464EDE" w14:textId="77777777" w:rsidR="00E62AEF" w:rsidRPr="00E62AEF" w:rsidRDefault="00E62AEF" w:rsidP="00A82B2B">
            <w:pPr>
              <w:pStyle w:val="TABLEHEAD"/>
              <w:ind w:left="23"/>
            </w:pPr>
            <w:r w:rsidRPr="00E62AEF">
              <w:lastRenderedPageBreak/>
              <w:t>Review type</w:t>
            </w:r>
          </w:p>
        </w:tc>
        <w:tc>
          <w:tcPr>
            <w:tcW w:w="2385" w:type="dxa"/>
            <w:tcBorders>
              <w:top w:val="single" w:sz="4" w:space="0" w:color="auto"/>
              <w:left w:val="single" w:sz="4" w:space="0" w:color="auto"/>
              <w:bottom w:val="single" w:sz="4" w:space="0" w:color="auto"/>
              <w:right w:val="single" w:sz="4" w:space="0" w:color="auto"/>
            </w:tcBorders>
            <w:tcMar>
              <w:left w:w="105" w:type="dxa"/>
              <w:right w:w="105" w:type="dxa"/>
            </w:tcMar>
          </w:tcPr>
          <w:p w14:paraId="2E4C4835" w14:textId="77777777" w:rsidR="00E62AEF" w:rsidRPr="00E62AEF" w:rsidRDefault="00E62AEF" w:rsidP="00A82B2B">
            <w:pPr>
              <w:pStyle w:val="TABLEHEAD"/>
              <w:ind w:left="23"/>
            </w:pPr>
            <w:r w:rsidRPr="00E62AEF">
              <w:t>Description</w:t>
            </w:r>
          </w:p>
        </w:tc>
        <w:tc>
          <w:tcPr>
            <w:tcW w:w="1870" w:type="dxa"/>
            <w:tcBorders>
              <w:top w:val="single" w:sz="4" w:space="0" w:color="auto"/>
              <w:left w:val="single" w:sz="4" w:space="0" w:color="auto"/>
              <w:bottom w:val="single" w:sz="4" w:space="0" w:color="auto"/>
              <w:right w:val="single" w:sz="4" w:space="0" w:color="auto"/>
            </w:tcBorders>
            <w:tcMar>
              <w:left w:w="105" w:type="dxa"/>
              <w:right w:w="105" w:type="dxa"/>
            </w:tcMar>
          </w:tcPr>
          <w:p w14:paraId="3F7ADD84" w14:textId="77777777" w:rsidR="00E62AEF" w:rsidRPr="00E62AEF" w:rsidRDefault="00E62AEF" w:rsidP="00A82B2B">
            <w:pPr>
              <w:pStyle w:val="TABLEHEAD"/>
              <w:ind w:left="23"/>
            </w:pPr>
            <w:r w:rsidRPr="00E62AEF">
              <w:t>Tick (</w:t>
            </w:r>
            <w:r w:rsidRPr="00E62AEF">
              <w:rPr>
                <w:rFonts w:ascii="Segoe UI Symbol" w:hAnsi="Segoe UI Symbol" w:cs="Segoe UI Symbol"/>
              </w:rPr>
              <w:t>✓</w:t>
            </w:r>
            <w:r w:rsidRPr="00E62AEF">
              <w:t>)</w:t>
            </w:r>
          </w:p>
        </w:tc>
        <w:tc>
          <w:tcPr>
            <w:tcW w:w="3402" w:type="dxa"/>
            <w:tcBorders>
              <w:top w:val="single" w:sz="4" w:space="0" w:color="auto"/>
              <w:left w:val="single" w:sz="4" w:space="0" w:color="auto"/>
              <w:bottom w:val="single" w:sz="4" w:space="0" w:color="auto"/>
              <w:right w:val="single" w:sz="4" w:space="0" w:color="auto"/>
            </w:tcBorders>
            <w:tcMar>
              <w:left w:w="105" w:type="dxa"/>
              <w:right w:w="105" w:type="dxa"/>
            </w:tcMar>
          </w:tcPr>
          <w:p w14:paraId="6790D6A2" w14:textId="77777777" w:rsidR="00E62AEF" w:rsidRPr="00E62AEF" w:rsidRDefault="00E62AEF" w:rsidP="00A82B2B">
            <w:pPr>
              <w:pStyle w:val="TABLEHEAD"/>
              <w:ind w:left="23"/>
            </w:pPr>
            <w:r w:rsidRPr="00E62AEF">
              <w:t>Notes/rationale for inclusion</w:t>
            </w:r>
          </w:p>
        </w:tc>
      </w:tr>
      <w:tr w:rsidR="00E62AEF" w:rsidRPr="00E62AEF" w14:paraId="25912306" w14:textId="77777777" w:rsidTr="006630BB">
        <w:trPr>
          <w:trHeight w:val="454"/>
        </w:trPr>
        <w:tc>
          <w:tcPr>
            <w:tcW w:w="10057" w:type="dxa"/>
            <w:gridSpan w:val="4"/>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686C80AC" w14:textId="77777777" w:rsidR="00E62AEF" w:rsidRPr="00E62AEF" w:rsidRDefault="00E62AEF" w:rsidP="00A82B2B">
            <w:pPr>
              <w:pStyle w:val="TABLEHEAD"/>
              <w:ind w:left="23"/>
            </w:pPr>
            <w:r w:rsidRPr="00E62AEF">
              <w:t>Contract foundations</w:t>
            </w:r>
          </w:p>
        </w:tc>
      </w:tr>
      <w:tr w:rsidR="00E62AEF" w:rsidRPr="00E62AEF" w14:paraId="723F3E8C" w14:textId="77777777" w:rsidTr="008C6A08">
        <w:trPr>
          <w:trHeight w:val="1645"/>
        </w:trPr>
        <w:tc>
          <w:tcPr>
            <w:tcW w:w="2400" w:type="dxa"/>
            <w:tcBorders>
              <w:top w:val="single" w:sz="4" w:space="0" w:color="auto"/>
              <w:left w:val="single" w:sz="4" w:space="0" w:color="000000" w:themeColor="text1"/>
              <w:bottom w:val="single" w:sz="2" w:space="0" w:color="auto"/>
              <w:right w:val="single" w:sz="4" w:space="0" w:color="000000" w:themeColor="text1"/>
            </w:tcBorders>
            <w:tcMar>
              <w:left w:w="105" w:type="dxa"/>
              <w:right w:w="105" w:type="dxa"/>
            </w:tcMar>
          </w:tcPr>
          <w:p w14:paraId="4BF95D2B" w14:textId="77777777" w:rsidR="00E62AEF" w:rsidRPr="00E9782C" w:rsidRDefault="00E62AEF" w:rsidP="00A82B2B">
            <w:pPr>
              <w:pStyle w:val="TABLETEXT"/>
              <w:spacing w:line="216" w:lineRule="auto"/>
              <w:ind w:left="23"/>
            </w:pPr>
            <w:r w:rsidRPr="00E9782C">
              <w:t>Baseline review</w:t>
            </w:r>
          </w:p>
        </w:tc>
        <w:tc>
          <w:tcPr>
            <w:tcW w:w="2385" w:type="dxa"/>
            <w:tcBorders>
              <w:top w:val="single" w:sz="4" w:space="0" w:color="auto"/>
              <w:left w:val="single" w:sz="4" w:space="0" w:color="000000" w:themeColor="text1"/>
              <w:bottom w:val="single" w:sz="2" w:space="0" w:color="auto"/>
              <w:right w:val="single" w:sz="4" w:space="0" w:color="000000" w:themeColor="text1"/>
            </w:tcBorders>
            <w:tcMar>
              <w:left w:w="105" w:type="dxa"/>
              <w:right w:w="105" w:type="dxa"/>
            </w:tcMar>
          </w:tcPr>
          <w:p w14:paraId="3878191B" w14:textId="77777777" w:rsidR="00E62AEF" w:rsidRPr="008C6A08" w:rsidRDefault="00E62AEF" w:rsidP="00A82B2B">
            <w:pPr>
              <w:pStyle w:val="TABLETEXT"/>
              <w:spacing w:line="216" w:lineRule="auto"/>
              <w:ind w:left="23"/>
              <w:rPr>
                <w:rFonts w:cs="Poppins"/>
                <w:i/>
                <w:iCs/>
                <w:szCs w:val="24"/>
              </w:rPr>
            </w:pPr>
            <w:r w:rsidRPr="008C6A08">
              <w:rPr>
                <w:rFonts w:cs="Poppins"/>
                <w:i/>
                <w:iCs/>
                <w:szCs w:val="24"/>
              </w:rPr>
              <w:t>Key dates, stakeholders, values and high-level contract data</w:t>
            </w:r>
          </w:p>
        </w:tc>
        <w:tc>
          <w:tcPr>
            <w:tcW w:w="1870" w:type="dxa"/>
            <w:tcBorders>
              <w:top w:val="single" w:sz="4" w:space="0" w:color="auto"/>
              <w:left w:val="single" w:sz="4" w:space="0" w:color="000000" w:themeColor="text1"/>
              <w:bottom w:val="single" w:sz="2" w:space="0" w:color="auto"/>
              <w:right w:val="single" w:sz="4" w:space="0" w:color="000000" w:themeColor="text1"/>
            </w:tcBorders>
            <w:tcMar>
              <w:left w:w="105" w:type="dxa"/>
              <w:right w:w="105" w:type="dxa"/>
            </w:tcMar>
          </w:tcPr>
          <w:p w14:paraId="7267FC85" w14:textId="77777777" w:rsidR="00E62AEF" w:rsidRPr="008C6A08" w:rsidRDefault="00E62AEF" w:rsidP="00A82B2B">
            <w:pPr>
              <w:pStyle w:val="TABLETEXT"/>
              <w:spacing w:line="216" w:lineRule="auto"/>
              <w:ind w:left="23"/>
              <w:rPr>
                <w:rFonts w:cs="Poppins"/>
                <w:i/>
                <w:iCs/>
                <w:szCs w:val="24"/>
              </w:rPr>
            </w:pPr>
            <w:r w:rsidRPr="008C6A08">
              <w:rPr>
                <w:rFonts w:cs="Poppins"/>
                <w:i/>
                <w:iCs/>
                <w:szCs w:val="24"/>
              </w:rPr>
              <w:t>Mandatory</w:t>
            </w:r>
          </w:p>
        </w:tc>
        <w:tc>
          <w:tcPr>
            <w:tcW w:w="3402" w:type="dxa"/>
            <w:tcBorders>
              <w:top w:val="single" w:sz="4" w:space="0" w:color="auto"/>
              <w:left w:val="single" w:sz="4" w:space="0" w:color="000000" w:themeColor="text1"/>
              <w:bottom w:val="single" w:sz="2" w:space="0" w:color="auto"/>
              <w:right w:val="single" w:sz="4" w:space="0" w:color="000000" w:themeColor="text1"/>
            </w:tcBorders>
            <w:tcMar>
              <w:left w:w="105" w:type="dxa"/>
              <w:right w:w="105" w:type="dxa"/>
            </w:tcMar>
          </w:tcPr>
          <w:p w14:paraId="1A4F60BF" w14:textId="394C3425" w:rsidR="00E62AEF" w:rsidRPr="00E9782C" w:rsidRDefault="00E9782C" w:rsidP="00E9782C">
            <w:pPr>
              <w:pStyle w:val="TABLETEXT"/>
              <w:ind w:left="0"/>
              <w:rPr>
                <w:rFonts w:cs="Poppins"/>
                <w:i/>
                <w:iCs/>
                <w:szCs w:val="24"/>
              </w:rPr>
            </w:pPr>
            <w:r w:rsidRPr="00E9782C">
              <w:rPr>
                <w:i/>
                <w:iCs/>
                <w:color w:val="ADADAD" w:themeColor="background2" w:themeShade="BF"/>
              </w:rPr>
              <w:t>Minimum data to support HMT data return</w:t>
            </w:r>
          </w:p>
        </w:tc>
      </w:tr>
      <w:tr w:rsidR="00E62AEF" w:rsidRPr="00E62AEF" w14:paraId="470586E6" w14:textId="77777777" w:rsidTr="00747F1F">
        <w:trPr>
          <w:trHeight w:val="1298"/>
        </w:trPr>
        <w:tc>
          <w:tcPr>
            <w:tcW w:w="2400" w:type="dxa"/>
            <w:tcBorders>
              <w:top w:val="single" w:sz="2" w:space="0" w:color="auto"/>
              <w:left w:val="single" w:sz="2" w:space="0" w:color="auto"/>
              <w:bottom w:val="single" w:sz="2" w:space="0" w:color="auto"/>
              <w:right w:val="single" w:sz="2" w:space="0" w:color="auto"/>
            </w:tcBorders>
            <w:tcMar>
              <w:left w:w="105" w:type="dxa"/>
              <w:right w:w="105" w:type="dxa"/>
            </w:tcMar>
          </w:tcPr>
          <w:p w14:paraId="7F4F85C7" w14:textId="77777777" w:rsidR="00E62AEF" w:rsidRPr="00E9782C" w:rsidRDefault="00E62AEF" w:rsidP="00A82B2B">
            <w:pPr>
              <w:pStyle w:val="TABLETEXT"/>
              <w:spacing w:line="216" w:lineRule="auto"/>
              <w:ind w:left="23"/>
              <w:rPr>
                <w:rFonts w:cs="Poppins"/>
                <w:szCs w:val="24"/>
              </w:rPr>
            </w:pPr>
            <w:r w:rsidRPr="00E9782C">
              <w:rPr>
                <w:rFonts w:cs="Poppins"/>
                <w:szCs w:val="24"/>
              </w:rPr>
              <w:t>Contract management plan review</w:t>
            </w:r>
          </w:p>
        </w:tc>
        <w:tc>
          <w:tcPr>
            <w:tcW w:w="2385" w:type="dxa"/>
            <w:tcBorders>
              <w:top w:val="single" w:sz="2" w:space="0" w:color="auto"/>
              <w:left w:val="single" w:sz="2" w:space="0" w:color="auto"/>
              <w:bottom w:val="single" w:sz="2" w:space="0" w:color="auto"/>
              <w:right w:val="single" w:sz="2" w:space="0" w:color="auto"/>
            </w:tcBorders>
            <w:tcMar>
              <w:left w:w="105" w:type="dxa"/>
              <w:right w:w="105" w:type="dxa"/>
            </w:tcMar>
          </w:tcPr>
          <w:p w14:paraId="28CC2C57" w14:textId="77777777" w:rsidR="00E62AEF" w:rsidRPr="008C6A08" w:rsidRDefault="00E62AEF" w:rsidP="00A82B2B">
            <w:pPr>
              <w:pStyle w:val="TABLETEXT"/>
              <w:spacing w:line="216" w:lineRule="auto"/>
              <w:ind w:left="23"/>
              <w:rPr>
                <w:rFonts w:cs="Poppins"/>
                <w:i/>
                <w:iCs/>
                <w:szCs w:val="24"/>
              </w:rPr>
            </w:pPr>
            <w:r w:rsidRPr="008C6A08">
              <w:rPr>
                <w:rFonts w:cs="Poppins"/>
                <w:i/>
                <w:iCs/>
                <w:szCs w:val="24"/>
              </w:rPr>
              <w:t>Information needed to populate or update the CMP</w:t>
            </w:r>
          </w:p>
        </w:tc>
        <w:tc>
          <w:tcPr>
            <w:tcW w:w="1870" w:type="dxa"/>
            <w:tcBorders>
              <w:top w:val="single" w:sz="2" w:space="0" w:color="auto"/>
              <w:left w:val="single" w:sz="2" w:space="0" w:color="auto"/>
              <w:bottom w:val="single" w:sz="2" w:space="0" w:color="auto"/>
              <w:right w:val="single" w:sz="2" w:space="0" w:color="auto"/>
            </w:tcBorders>
            <w:tcMar>
              <w:left w:w="105" w:type="dxa"/>
              <w:right w:w="105" w:type="dxa"/>
            </w:tcMar>
          </w:tcPr>
          <w:p w14:paraId="3BCDC1A0" w14:textId="77777777" w:rsidR="00E62AEF" w:rsidRPr="008C6A08" w:rsidRDefault="00E62AEF" w:rsidP="00A82B2B">
            <w:pPr>
              <w:pStyle w:val="TABLETEXT"/>
              <w:spacing w:line="216" w:lineRule="auto"/>
              <w:ind w:left="23"/>
              <w:rPr>
                <w:rFonts w:cs="Poppins"/>
                <w:i/>
                <w:iCs/>
                <w:szCs w:val="24"/>
              </w:rPr>
            </w:pPr>
          </w:p>
        </w:tc>
        <w:tc>
          <w:tcPr>
            <w:tcW w:w="3402" w:type="dxa"/>
            <w:tcBorders>
              <w:top w:val="single" w:sz="2" w:space="0" w:color="auto"/>
              <w:left w:val="single" w:sz="2" w:space="0" w:color="auto"/>
              <w:bottom w:val="single" w:sz="2" w:space="0" w:color="auto"/>
              <w:right w:val="single" w:sz="2" w:space="0" w:color="auto"/>
            </w:tcBorders>
            <w:tcMar>
              <w:left w:w="105" w:type="dxa"/>
              <w:right w:w="105" w:type="dxa"/>
            </w:tcMar>
          </w:tcPr>
          <w:p w14:paraId="5F89DD8E" w14:textId="77777777" w:rsidR="00E62AEF" w:rsidRPr="008C6A08" w:rsidRDefault="00E62AEF" w:rsidP="00A82B2B">
            <w:pPr>
              <w:pStyle w:val="BODYCOPY"/>
              <w:spacing w:line="216" w:lineRule="auto"/>
              <w:ind w:left="23"/>
              <w:jc w:val="left"/>
              <w:rPr>
                <w:rFonts w:cs="Poppins"/>
                <w:i/>
                <w:iCs/>
                <w:szCs w:val="24"/>
              </w:rPr>
            </w:pPr>
          </w:p>
        </w:tc>
      </w:tr>
      <w:tr w:rsidR="00E62AEF" w:rsidRPr="00E62AEF" w14:paraId="5B413795" w14:textId="77777777" w:rsidTr="008C6A08">
        <w:trPr>
          <w:trHeight w:val="1935"/>
        </w:trPr>
        <w:tc>
          <w:tcPr>
            <w:tcW w:w="2400" w:type="dxa"/>
            <w:tcBorders>
              <w:top w:val="single" w:sz="2" w:space="0" w:color="auto"/>
              <w:left w:val="single" w:sz="2" w:space="0" w:color="auto"/>
              <w:bottom w:val="single" w:sz="2" w:space="0" w:color="auto"/>
              <w:right w:val="single" w:sz="2" w:space="0" w:color="auto"/>
            </w:tcBorders>
            <w:tcMar>
              <w:left w:w="105" w:type="dxa"/>
              <w:right w:w="105" w:type="dxa"/>
            </w:tcMar>
          </w:tcPr>
          <w:p w14:paraId="3A14F820" w14:textId="77777777" w:rsidR="00E62AEF" w:rsidRPr="00E9782C" w:rsidRDefault="00E62AEF" w:rsidP="00A82B2B">
            <w:pPr>
              <w:pStyle w:val="TABLETEXT"/>
              <w:spacing w:line="216" w:lineRule="auto"/>
              <w:ind w:left="23"/>
              <w:rPr>
                <w:rFonts w:cs="Poppins"/>
                <w:szCs w:val="24"/>
              </w:rPr>
            </w:pPr>
            <w:r w:rsidRPr="00E9782C">
              <w:rPr>
                <w:rFonts w:cs="Poppins"/>
                <w:szCs w:val="24"/>
              </w:rPr>
              <w:t>Governance and reporting review</w:t>
            </w:r>
          </w:p>
        </w:tc>
        <w:tc>
          <w:tcPr>
            <w:tcW w:w="2385" w:type="dxa"/>
            <w:tcBorders>
              <w:top w:val="single" w:sz="2" w:space="0" w:color="auto"/>
              <w:left w:val="single" w:sz="2" w:space="0" w:color="auto"/>
              <w:bottom w:val="single" w:sz="2" w:space="0" w:color="auto"/>
              <w:right w:val="single" w:sz="2" w:space="0" w:color="auto"/>
            </w:tcBorders>
            <w:tcMar>
              <w:left w:w="105" w:type="dxa"/>
              <w:right w:w="105" w:type="dxa"/>
            </w:tcMar>
          </w:tcPr>
          <w:p w14:paraId="2D8B84C8" w14:textId="3FE4FF35" w:rsidR="00E62AEF" w:rsidRPr="008C6A08" w:rsidRDefault="00E62AEF" w:rsidP="00A82B2B">
            <w:pPr>
              <w:pStyle w:val="TABLETEXT"/>
              <w:spacing w:line="216" w:lineRule="auto"/>
              <w:ind w:left="23"/>
              <w:rPr>
                <w:rFonts w:cs="Poppins"/>
                <w:i/>
                <w:iCs/>
                <w:szCs w:val="24"/>
              </w:rPr>
            </w:pPr>
            <w:r w:rsidRPr="008C6A08">
              <w:rPr>
                <w:rFonts w:cs="Poppins"/>
                <w:i/>
                <w:iCs/>
                <w:szCs w:val="24"/>
              </w:rPr>
              <w:t>Governance structures, reporting mechanisms, escalation routes</w:t>
            </w:r>
          </w:p>
        </w:tc>
        <w:tc>
          <w:tcPr>
            <w:tcW w:w="1870" w:type="dxa"/>
            <w:tcBorders>
              <w:top w:val="single" w:sz="2" w:space="0" w:color="auto"/>
              <w:left w:val="single" w:sz="2" w:space="0" w:color="auto"/>
              <w:bottom w:val="single" w:sz="2" w:space="0" w:color="auto"/>
              <w:right w:val="single" w:sz="2" w:space="0" w:color="auto"/>
            </w:tcBorders>
            <w:tcMar>
              <w:left w:w="105" w:type="dxa"/>
              <w:right w:w="105" w:type="dxa"/>
            </w:tcMar>
          </w:tcPr>
          <w:p w14:paraId="5C71BCE7" w14:textId="77777777" w:rsidR="00E62AEF" w:rsidRPr="008C6A08" w:rsidRDefault="00E62AEF" w:rsidP="00A82B2B">
            <w:pPr>
              <w:pStyle w:val="TABLETEXT"/>
              <w:spacing w:line="216" w:lineRule="auto"/>
              <w:ind w:left="23"/>
              <w:rPr>
                <w:rFonts w:cs="Poppins"/>
                <w:i/>
                <w:iCs/>
                <w:szCs w:val="24"/>
              </w:rPr>
            </w:pPr>
          </w:p>
        </w:tc>
        <w:tc>
          <w:tcPr>
            <w:tcW w:w="3402" w:type="dxa"/>
            <w:tcBorders>
              <w:top w:val="single" w:sz="2" w:space="0" w:color="auto"/>
              <w:left w:val="single" w:sz="2" w:space="0" w:color="auto"/>
              <w:bottom w:val="single" w:sz="2" w:space="0" w:color="auto"/>
              <w:right w:val="single" w:sz="2" w:space="0" w:color="auto"/>
            </w:tcBorders>
            <w:tcMar>
              <w:left w:w="105" w:type="dxa"/>
              <w:right w:w="105" w:type="dxa"/>
            </w:tcMar>
          </w:tcPr>
          <w:p w14:paraId="1268D85E" w14:textId="77777777" w:rsidR="00E62AEF" w:rsidRPr="008C6A08" w:rsidRDefault="00E62AEF" w:rsidP="00A82B2B">
            <w:pPr>
              <w:pStyle w:val="BODYCOPY"/>
              <w:spacing w:line="216" w:lineRule="auto"/>
              <w:ind w:left="23"/>
              <w:jc w:val="left"/>
              <w:rPr>
                <w:rFonts w:cs="Poppins"/>
                <w:i/>
                <w:iCs/>
                <w:szCs w:val="24"/>
              </w:rPr>
            </w:pPr>
          </w:p>
        </w:tc>
      </w:tr>
      <w:tr w:rsidR="00E62AEF" w:rsidRPr="00E62AEF" w14:paraId="08769A90" w14:textId="77777777" w:rsidTr="00747F1F">
        <w:trPr>
          <w:trHeight w:val="1759"/>
        </w:trPr>
        <w:tc>
          <w:tcPr>
            <w:tcW w:w="2400" w:type="dxa"/>
            <w:tcBorders>
              <w:top w:val="single" w:sz="2" w:space="0" w:color="auto"/>
              <w:left w:val="single" w:sz="4" w:space="0" w:color="000000" w:themeColor="text1"/>
              <w:bottom w:val="single" w:sz="4" w:space="0" w:color="000000" w:themeColor="text1"/>
              <w:right w:val="single" w:sz="4" w:space="0" w:color="000000" w:themeColor="text1"/>
            </w:tcBorders>
            <w:tcMar>
              <w:left w:w="105" w:type="dxa"/>
              <w:right w:w="105" w:type="dxa"/>
            </w:tcMar>
          </w:tcPr>
          <w:p w14:paraId="6FFE3A20" w14:textId="77777777" w:rsidR="00E62AEF" w:rsidRPr="00E9782C" w:rsidRDefault="00E62AEF" w:rsidP="00A82B2B">
            <w:pPr>
              <w:pStyle w:val="TABLETEXT"/>
              <w:spacing w:line="216" w:lineRule="auto"/>
              <w:ind w:left="23"/>
              <w:rPr>
                <w:rFonts w:cs="Poppins"/>
                <w:szCs w:val="24"/>
              </w:rPr>
            </w:pPr>
            <w:r w:rsidRPr="00E9782C">
              <w:rPr>
                <w:rFonts w:cs="Poppins"/>
                <w:szCs w:val="24"/>
              </w:rPr>
              <w:t>Operational process review</w:t>
            </w:r>
          </w:p>
        </w:tc>
        <w:tc>
          <w:tcPr>
            <w:tcW w:w="2385" w:type="dxa"/>
            <w:tcBorders>
              <w:top w:val="single" w:sz="2" w:space="0" w:color="auto"/>
              <w:left w:val="single" w:sz="4" w:space="0" w:color="000000" w:themeColor="text1"/>
              <w:bottom w:val="single" w:sz="4" w:space="0" w:color="000000" w:themeColor="text1"/>
              <w:right w:val="single" w:sz="4" w:space="0" w:color="000000" w:themeColor="text1"/>
            </w:tcBorders>
            <w:tcMar>
              <w:left w:w="105" w:type="dxa"/>
              <w:right w:w="105" w:type="dxa"/>
            </w:tcMar>
          </w:tcPr>
          <w:p w14:paraId="0708C627" w14:textId="77777777" w:rsidR="00E62AEF" w:rsidRPr="008C6A08" w:rsidRDefault="00E62AEF" w:rsidP="00A82B2B">
            <w:pPr>
              <w:pStyle w:val="TABLETEXT"/>
              <w:spacing w:line="216" w:lineRule="auto"/>
              <w:ind w:left="23"/>
              <w:rPr>
                <w:rFonts w:cs="Poppins"/>
                <w:i/>
                <w:iCs/>
                <w:szCs w:val="24"/>
              </w:rPr>
            </w:pPr>
            <w:r w:rsidRPr="008C6A08">
              <w:rPr>
                <w:rFonts w:cs="Poppins"/>
                <w:i/>
                <w:iCs/>
                <w:szCs w:val="24"/>
              </w:rPr>
              <w:t>Contract processes such as variations, disputes and assurance.</w:t>
            </w:r>
          </w:p>
        </w:tc>
        <w:tc>
          <w:tcPr>
            <w:tcW w:w="1870" w:type="dxa"/>
            <w:tcBorders>
              <w:top w:val="single" w:sz="2" w:space="0" w:color="auto"/>
              <w:left w:val="single" w:sz="4" w:space="0" w:color="000000" w:themeColor="text1"/>
              <w:bottom w:val="single" w:sz="4" w:space="0" w:color="000000" w:themeColor="text1"/>
              <w:right w:val="single" w:sz="4" w:space="0" w:color="000000" w:themeColor="text1"/>
            </w:tcBorders>
            <w:tcMar>
              <w:left w:w="105" w:type="dxa"/>
              <w:right w:w="105" w:type="dxa"/>
            </w:tcMar>
          </w:tcPr>
          <w:p w14:paraId="76A688A0" w14:textId="77777777" w:rsidR="00E62AEF" w:rsidRPr="008C6A08" w:rsidRDefault="00E62AEF" w:rsidP="00A82B2B">
            <w:pPr>
              <w:pStyle w:val="TABLETEXT"/>
              <w:spacing w:line="216" w:lineRule="auto"/>
              <w:ind w:left="23"/>
              <w:rPr>
                <w:rFonts w:cs="Poppins"/>
                <w:i/>
                <w:iCs/>
                <w:szCs w:val="24"/>
              </w:rPr>
            </w:pPr>
          </w:p>
        </w:tc>
        <w:tc>
          <w:tcPr>
            <w:tcW w:w="3402" w:type="dxa"/>
            <w:tcBorders>
              <w:top w:val="single" w:sz="2" w:space="0" w:color="auto"/>
              <w:left w:val="single" w:sz="4" w:space="0" w:color="000000" w:themeColor="text1"/>
              <w:bottom w:val="single" w:sz="4" w:space="0" w:color="FFFFFF" w:themeColor="background1"/>
              <w:right w:val="single" w:sz="4" w:space="0" w:color="000000" w:themeColor="text1"/>
            </w:tcBorders>
            <w:tcMar>
              <w:left w:w="105" w:type="dxa"/>
              <w:right w:w="105" w:type="dxa"/>
            </w:tcMar>
          </w:tcPr>
          <w:p w14:paraId="6DD466BF" w14:textId="77777777" w:rsidR="00E62AEF" w:rsidRPr="008C6A08" w:rsidRDefault="00E62AEF" w:rsidP="00A82B2B">
            <w:pPr>
              <w:pStyle w:val="BODYCOPY"/>
              <w:spacing w:line="216" w:lineRule="auto"/>
              <w:ind w:left="23"/>
              <w:jc w:val="left"/>
              <w:rPr>
                <w:rFonts w:cs="Poppins"/>
                <w:i/>
                <w:iCs/>
                <w:szCs w:val="24"/>
              </w:rPr>
            </w:pPr>
          </w:p>
        </w:tc>
      </w:tr>
      <w:tr w:rsidR="00E62AEF" w:rsidRPr="00E62AEF" w14:paraId="25FA2314" w14:textId="77777777" w:rsidTr="006630BB">
        <w:trPr>
          <w:trHeight w:val="454"/>
        </w:trPr>
        <w:tc>
          <w:tcPr>
            <w:tcW w:w="10057" w:type="dxa"/>
            <w:gridSpan w:val="4"/>
            <w:tcBorders>
              <w:top w:val="single" w:sz="4" w:space="0" w:color="000000" w:themeColor="text1"/>
              <w:right w:val="single" w:sz="4" w:space="0" w:color="000000" w:themeColor="text1"/>
            </w:tcBorders>
            <w:tcMar>
              <w:left w:w="105" w:type="dxa"/>
              <w:right w:w="105" w:type="dxa"/>
            </w:tcMar>
            <w:vAlign w:val="center"/>
          </w:tcPr>
          <w:p w14:paraId="49142C73" w14:textId="77777777" w:rsidR="00E62AEF" w:rsidRPr="00E62AEF" w:rsidRDefault="00E62AEF" w:rsidP="00A82B2B">
            <w:pPr>
              <w:pStyle w:val="TABLEHEAD"/>
              <w:ind w:left="23"/>
            </w:pPr>
            <w:r w:rsidRPr="00E62AEF">
              <w:t>Performance and service delivery</w:t>
            </w:r>
          </w:p>
        </w:tc>
      </w:tr>
      <w:tr w:rsidR="00E62AEF" w:rsidRPr="00E62AEF" w14:paraId="2745317B" w14:textId="77777777" w:rsidTr="00A82B2B">
        <w:trPr>
          <w:trHeight w:val="1451"/>
        </w:trPr>
        <w:tc>
          <w:tcPr>
            <w:tcW w:w="2400" w:type="dxa"/>
            <w:tcBorders>
              <w:bottom w:val="single" w:sz="4" w:space="0" w:color="000000" w:themeColor="text1"/>
              <w:right w:val="single" w:sz="4" w:space="0" w:color="000000" w:themeColor="text1"/>
            </w:tcBorders>
            <w:tcMar>
              <w:left w:w="105" w:type="dxa"/>
              <w:right w:w="105" w:type="dxa"/>
            </w:tcMar>
          </w:tcPr>
          <w:p w14:paraId="08206DF1" w14:textId="77777777" w:rsidR="00E62AEF" w:rsidRPr="00E9782C" w:rsidRDefault="00E62AEF" w:rsidP="00A82B2B">
            <w:pPr>
              <w:pStyle w:val="TABLETEXT"/>
              <w:spacing w:line="216" w:lineRule="auto"/>
              <w:ind w:left="23"/>
            </w:pPr>
            <w:r w:rsidRPr="00E9782C">
              <w:t>Contractual service review</w:t>
            </w:r>
          </w:p>
        </w:tc>
        <w:tc>
          <w:tcPr>
            <w:tcW w:w="2385" w:type="dxa"/>
            <w:tcBorders>
              <w:left w:val="single" w:sz="4" w:space="0" w:color="000000" w:themeColor="text1"/>
              <w:bottom w:val="single" w:sz="4" w:space="0" w:color="000000" w:themeColor="text1"/>
              <w:right w:val="single" w:sz="4" w:space="0" w:color="000000" w:themeColor="text1"/>
            </w:tcBorders>
            <w:tcMar>
              <w:left w:w="105" w:type="dxa"/>
              <w:right w:w="105" w:type="dxa"/>
            </w:tcMar>
          </w:tcPr>
          <w:p w14:paraId="5F266874" w14:textId="77777777" w:rsidR="00E62AEF" w:rsidRPr="008C6A08" w:rsidRDefault="00E62AEF" w:rsidP="00A82B2B">
            <w:pPr>
              <w:pStyle w:val="TABLETEXT"/>
              <w:spacing w:line="216" w:lineRule="auto"/>
              <w:ind w:left="23"/>
              <w:rPr>
                <w:i/>
                <w:iCs/>
              </w:rPr>
            </w:pPr>
            <w:r w:rsidRPr="008C6A08">
              <w:rPr>
                <w:i/>
                <w:iCs/>
              </w:rPr>
              <w:t>KPIs, SLAs, penalties and service standards</w:t>
            </w:r>
          </w:p>
        </w:tc>
        <w:tc>
          <w:tcPr>
            <w:tcW w:w="1870" w:type="dxa"/>
            <w:tcBorders>
              <w:left w:val="single" w:sz="4" w:space="0" w:color="000000" w:themeColor="text1"/>
              <w:bottom w:val="single" w:sz="4" w:space="0" w:color="000000" w:themeColor="text1"/>
              <w:right w:val="single" w:sz="4" w:space="0" w:color="000000" w:themeColor="text1"/>
            </w:tcBorders>
            <w:tcMar>
              <w:left w:w="105" w:type="dxa"/>
              <w:right w:w="105" w:type="dxa"/>
            </w:tcMar>
          </w:tcPr>
          <w:p w14:paraId="5F8202EE" w14:textId="77777777" w:rsidR="00E62AEF" w:rsidRPr="008C6A08" w:rsidRDefault="00E62AEF" w:rsidP="00A82B2B">
            <w:pPr>
              <w:pStyle w:val="TABLETEXT"/>
              <w:spacing w:line="216" w:lineRule="auto"/>
              <w:ind w:left="23"/>
              <w:rPr>
                <w:i/>
                <w:iCs/>
              </w:rPr>
            </w:pPr>
          </w:p>
        </w:tc>
        <w:tc>
          <w:tcPr>
            <w:tcW w:w="3402" w:type="dxa"/>
            <w:tcBorders>
              <w:left w:val="single" w:sz="4" w:space="0" w:color="000000" w:themeColor="text1"/>
              <w:bottom w:val="single" w:sz="4" w:space="0" w:color="000000" w:themeColor="text1"/>
              <w:right w:val="single" w:sz="4" w:space="0" w:color="000000" w:themeColor="text1"/>
            </w:tcBorders>
            <w:tcMar>
              <w:left w:w="105" w:type="dxa"/>
              <w:right w:w="105" w:type="dxa"/>
            </w:tcMar>
          </w:tcPr>
          <w:p w14:paraId="19B747AB" w14:textId="77777777" w:rsidR="00E62AEF" w:rsidRPr="008C6A08" w:rsidRDefault="00E62AEF" w:rsidP="00A82B2B">
            <w:pPr>
              <w:pStyle w:val="TABLETEXT"/>
              <w:spacing w:line="216" w:lineRule="auto"/>
              <w:ind w:left="23"/>
              <w:rPr>
                <w:i/>
                <w:iCs/>
              </w:rPr>
            </w:pPr>
          </w:p>
        </w:tc>
      </w:tr>
      <w:tr w:rsidR="00E62AEF" w:rsidRPr="00E62AEF" w14:paraId="64798112" w14:textId="77777777" w:rsidTr="008C6A08">
        <w:trPr>
          <w:trHeight w:val="1428"/>
        </w:trPr>
        <w:tc>
          <w:tcPr>
            <w:tcW w:w="2400" w:type="dxa"/>
            <w:tcBorders>
              <w:top w:val="single" w:sz="4" w:space="0" w:color="000000" w:themeColor="text1"/>
              <w:bottom w:val="single" w:sz="4" w:space="0" w:color="000000" w:themeColor="text1"/>
              <w:right w:val="single" w:sz="4" w:space="0" w:color="000000" w:themeColor="text1"/>
            </w:tcBorders>
            <w:tcMar>
              <w:left w:w="105" w:type="dxa"/>
              <w:right w:w="105" w:type="dxa"/>
            </w:tcMar>
          </w:tcPr>
          <w:p w14:paraId="248804AA" w14:textId="77777777" w:rsidR="00E62AEF" w:rsidRPr="00E9782C" w:rsidRDefault="00E62AEF" w:rsidP="00A82B2B">
            <w:pPr>
              <w:pStyle w:val="TABLETEXT"/>
              <w:spacing w:line="216" w:lineRule="auto"/>
              <w:ind w:left="23"/>
            </w:pPr>
            <w:r w:rsidRPr="00E9782C">
              <w:t>Maintenance and lifecycle review</w:t>
            </w:r>
          </w:p>
        </w:tc>
        <w:tc>
          <w:tcPr>
            <w:tcW w:w="23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tcPr>
          <w:p w14:paraId="1127C474" w14:textId="77777777" w:rsidR="00E62AEF" w:rsidRPr="008C6A08" w:rsidRDefault="00E62AEF" w:rsidP="00A82B2B">
            <w:pPr>
              <w:pStyle w:val="TABLETEXT"/>
              <w:spacing w:line="216" w:lineRule="auto"/>
              <w:ind w:left="23"/>
              <w:rPr>
                <w:i/>
                <w:iCs/>
              </w:rPr>
            </w:pPr>
            <w:r w:rsidRPr="008C6A08">
              <w:rPr>
                <w:i/>
                <w:iCs/>
              </w:rPr>
              <w:t>Maintenance standards, PPM, lifecycle replacement</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tcPr>
          <w:p w14:paraId="3DA84FB0" w14:textId="77777777" w:rsidR="00E62AEF" w:rsidRPr="008C6A08" w:rsidRDefault="00E62AEF" w:rsidP="00A82B2B">
            <w:pPr>
              <w:pStyle w:val="TABLETEXT"/>
              <w:spacing w:line="216" w:lineRule="auto"/>
              <w:ind w:left="23"/>
              <w:rPr>
                <w:i/>
                <w:iC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tcPr>
          <w:p w14:paraId="7D05D997" w14:textId="77777777" w:rsidR="00E62AEF" w:rsidRPr="008C6A08" w:rsidRDefault="00E62AEF" w:rsidP="00A82B2B">
            <w:pPr>
              <w:pStyle w:val="TABLETEXT"/>
              <w:spacing w:line="216" w:lineRule="auto"/>
              <w:ind w:left="23"/>
              <w:rPr>
                <w:i/>
                <w:iCs/>
              </w:rPr>
            </w:pPr>
          </w:p>
        </w:tc>
      </w:tr>
      <w:tr w:rsidR="00E62AEF" w:rsidRPr="00E62AEF" w14:paraId="346BB024" w14:textId="77777777" w:rsidTr="00A82B2B">
        <w:trPr>
          <w:trHeight w:val="1452"/>
        </w:trPr>
        <w:tc>
          <w:tcPr>
            <w:tcW w:w="2400" w:type="dxa"/>
            <w:tcBorders>
              <w:top w:val="single" w:sz="4" w:space="0" w:color="000000" w:themeColor="text1"/>
              <w:right w:val="single" w:sz="4" w:space="0" w:color="000000" w:themeColor="text1"/>
            </w:tcBorders>
            <w:tcMar>
              <w:left w:w="105" w:type="dxa"/>
              <w:right w:w="105" w:type="dxa"/>
            </w:tcMar>
          </w:tcPr>
          <w:p w14:paraId="24597C1D" w14:textId="77777777" w:rsidR="00E62AEF" w:rsidRPr="00E9782C" w:rsidRDefault="00E62AEF" w:rsidP="00A82B2B">
            <w:pPr>
              <w:pStyle w:val="TABLETEXT"/>
              <w:spacing w:line="216" w:lineRule="auto"/>
              <w:ind w:left="23"/>
            </w:pPr>
            <w:r w:rsidRPr="00E9782C">
              <w:t>Benchmarking/market testing review</w:t>
            </w:r>
          </w:p>
        </w:tc>
        <w:tc>
          <w:tcPr>
            <w:tcW w:w="2385" w:type="dxa"/>
            <w:tcBorders>
              <w:top w:val="single" w:sz="4" w:space="0" w:color="000000" w:themeColor="text1"/>
              <w:left w:val="single" w:sz="4" w:space="0" w:color="000000" w:themeColor="text1"/>
              <w:right w:val="single" w:sz="4" w:space="0" w:color="000000" w:themeColor="text1"/>
            </w:tcBorders>
            <w:tcMar>
              <w:left w:w="105" w:type="dxa"/>
              <w:right w:w="105" w:type="dxa"/>
            </w:tcMar>
          </w:tcPr>
          <w:p w14:paraId="17FB1F95" w14:textId="191FA8AA" w:rsidR="00E62AEF" w:rsidRPr="008C6A08" w:rsidRDefault="00E62AEF" w:rsidP="00A82B2B">
            <w:pPr>
              <w:pStyle w:val="TABLETEXT"/>
              <w:spacing w:line="216" w:lineRule="auto"/>
              <w:ind w:left="23"/>
              <w:rPr>
                <w:i/>
                <w:iCs/>
              </w:rPr>
            </w:pPr>
            <w:r w:rsidRPr="008C6A08">
              <w:rPr>
                <w:i/>
                <w:iCs/>
              </w:rPr>
              <w:t xml:space="preserve">Specification relevance and pricing </w:t>
            </w:r>
            <w:r w:rsidR="00653F6C">
              <w:rPr>
                <w:i/>
                <w:iCs/>
              </w:rPr>
              <w:t>co</w:t>
            </w:r>
            <w:r w:rsidR="00653F6C" w:rsidRPr="00653F6C">
              <w:rPr>
                <w:i/>
                <w:iCs/>
              </w:rPr>
              <w:t>mpetitiveness</w:t>
            </w:r>
          </w:p>
        </w:tc>
        <w:tc>
          <w:tcPr>
            <w:tcW w:w="1870" w:type="dxa"/>
            <w:tcBorders>
              <w:top w:val="single" w:sz="4" w:space="0" w:color="000000" w:themeColor="text1"/>
              <w:left w:val="single" w:sz="4" w:space="0" w:color="000000" w:themeColor="text1"/>
              <w:right w:val="single" w:sz="4" w:space="0" w:color="000000" w:themeColor="text1"/>
            </w:tcBorders>
            <w:tcMar>
              <w:left w:w="105" w:type="dxa"/>
              <w:right w:w="105" w:type="dxa"/>
            </w:tcMar>
          </w:tcPr>
          <w:p w14:paraId="17F74FB4" w14:textId="77777777" w:rsidR="00E62AEF" w:rsidRPr="008C6A08" w:rsidRDefault="00E62AEF" w:rsidP="00A82B2B">
            <w:pPr>
              <w:pStyle w:val="TABLETEXT"/>
              <w:spacing w:line="216" w:lineRule="auto"/>
              <w:ind w:left="23"/>
              <w:rPr>
                <w:i/>
                <w:iCs/>
              </w:rPr>
            </w:pPr>
          </w:p>
        </w:tc>
        <w:tc>
          <w:tcPr>
            <w:tcW w:w="3402" w:type="dxa"/>
            <w:tcBorders>
              <w:top w:val="single" w:sz="4" w:space="0" w:color="000000" w:themeColor="text1"/>
              <w:left w:val="single" w:sz="4" w:space="0" w:color="000000" w:themeColor="text1"/>
              <w:right w:val="single" w:sz="4" w:space="0" w:color="000000" w:themeColor="text1"/>
            </w:tcBorders>
            <w:tcMar>
              <w:left w:w="105" w:type="dxa"/>
              <w:right w:w="105" w:type="dxa"/>
            </w:tcMar>
          </w:tcPr>
          <w:p w14:paraId="05B96531" w14:textId="77777777" w:rsidR="00E62AEF" w:rsidRPr="008C6A08" w:rsidRDefault="00E62AEF" w:rsidP="00A82B2B">
            <w:pPr>
              <w:pStyle w:val="TABLETEXT"/>
              <w:spacing w:line="216" w:lineRule="auto"/>
              <w:ind w:left="23"/>
              <w:rPr>
                <w:i/>
                <w:iCs/>
              </w:rPr>
            </w:pPr>
          </w:p>
        </w:tc>
      </w:tr>
      <w:tr w:rsidR="00E62AEF" w:rsidRPr="00E62AEF" w14:paraId="1BD5C956" w14:textId="77777777" w:rsidTr="006630BB">
        <w:trPr>
          <w:trHeight w:val="454"/>
        </w:trPr>
        <w:tc>
          <w:tcPr>
            <w:tcW w:w="10057" w:type="dxa"/>
            <w:gridSpan w:val="4"/>
            <w:tcBorders>
              <w:right w:val="single" w:sz="4" w:space="0" w:color="000000" w:themeColor="text1"/>
            </w:tcBorders>
            <w:tcMar>
              <w:left w:w="105" w:type="dxa"/>
              <w:right w:w="105" w:type="dxa"/>
            </w:tcMar>
            <w:vAlign w:val="center"/>
          </w:tcPr>
          <w:p w14:paraId="2251166B" w14:textId="77777777" w:rsidR="00E62AEF" w:rsidRPr="00E62AEF" w:rsidRDefault="00E62AEF" w:rsidP="00A82B2B">
            <w:pPr>
              <w:pStyle w:val="TABLEHEAD"/>
              <w:ind w:left="23"/>
            </w:pPr>
            <w:r w:rsidRPr="00E62AEF">
              <w:t>Financial and commercial oversight</w:t>
            </w:r>
          </w:p>
        </w:tc>
      </w:tr>
      <w:tr w:rsidR="00E62AEF" w:rsidRPr="00E62AEF" w14:paraId="56BB8494" w14:textId="77777777" w:rsidTr="00A82B2B">
        <w:trPr>
          <w:trHeight w:val="1367"/>
        </w:trPr>
        <w:tc>
          <w:tcPr>
            <w:tcW w:w="2400" w:type="dxa"/>
            <w:tcBorders>
              <w:right w:val="single" w:sz="4" w:space="0" w:color="000000" w:themeColor="text1"/>
            </w:tcBorders>
            <w:tcMar>
              <w:left w:w="105" w:type="dxa"/>
              <w:right w:w="105" w:type="dxa"/>
            </w:tcMar>
          </w:tcPr>
          <w:p w14:paraId="7399A023" w14:textId="77777777" w:rsidR="00E62AEF" w:rsidRPr="00E9782C" w:rsidRDefault="00E62AEF" w:rsidP="00A82B2B">
            <w:pPr>
              <w:pStyle w:val="TABLETEXT"/>
              <w:spacing w:line="216" w:lineRule="auto"/>
              <w:ind w:left="23"/>
            </w:pPr>
            <w:r w:rsidRPr="00E9782C">
              <w:t>Financial compliance review</w:t>
            </w:r>
          </w:p>
        </w:tc>
        <w:tc>
          <w:tcPr>
            <w:tcW w:w="2385" w:type="dxa"/>
            <w:tcBorders>
              <w:left w:val="single" w:sz="4" w:space="0" w:color="000000" w:themeColor="text1"/>
              <w:right w:val="single" w:sz="4" w:space="0" w:color="000000" w:themeColor="text1"/>
            </w:tcBorders>
            <w:tcMar>
              <w:left w:w="105" w:type="dxa"/>
              <w:right w:w="105" w:type="dxa"/>
            </w:tcMar>
          </w:tcPr>
          <w:p w14:paraId="67A14BE2" w14:textId="77777777" w:rsidR="00E62AEF" w:rsidRPr="008C6A08" w:rsidRDefault="00E62AEF" w:rsidP="00A82B2B">
            <w:pPr>
              <w:pStyle w:val="TABLETEXT"/>
              <w:spacing w:line="216" w:lineRule="auto"/>
              <w:ind w:left="23"/>
              <w:rPr>
                <w:i/>
                <w:iCs/>
              </w:rPr>
            </w:pPr>
            <w:r w:rsidRPr="008C6A08">
              <w:rPr>
                <w:i/>
                <w:iCs/>
              </w:rPr>
              <w:t>Payment mechanisms, value for money, dispute history</w:t>
            </w:r>
          </w:p>
        </w:tc>
        <w:tc>
          <w:tcPr>
            <w:tcW w:w="1870" w:type="dxa"/>
            <w:tcBorders>
              <w:left w:val="single" w:sz="4" w:space="0" w:color="000000" w:themeColor="text1"/>
              <w:right w:val="single" w:sz="4" w:space="0" w:color="000000" w:themeColor="text1"/>
            </w:tcBorders>
            <w:tcMar>
              <w:left w:w="105" w:type="dxa"/>
              <w:right w:w="105" w:type="dxa"/>
            </w:tcMar>
          </w:tcPr>
          <w:p w14:paraId="31E90FF8" w14:textId="77777777" w:rsidR="00E62AEF" w:rsidRPr="008C6A08" w:rsidRDefault="00E62AEF" w:rsidP="00A82B2B">
            <w:pPr>
              <w:pStyle w:val="TABLETEXT"/>
              <w:spacing w:line="216" w:lineRule="auto"/>
              <w:ind w:left="23"/>
              <w:rPr>
                <w:rFonts w:cs="Poppins"/>
                <w:i/>
                <w:iCs/>
                <w:szCs w:val="24"/>
              </w:rPr>
            </w:pPr>
          </w:p>
        </w:tc>
        <w:tc>
          <w:tcPr>
            <w:tcW w:w="3402" w:type="dxa"/>
            <w:tcBorders>
              <w:left w:val="single" w:sz="4" w:space="0" w:color="000000" w:themeColor="text1"/>
            </w:tcBorders>
            <w:tcMar>
              <w:left w:w="105" w:type="dxa"/>
              <w:right w:w="105" w:type="dxa"/>
            </w:tcMar>
          </w:tcPr>
          <w:p w14:paraId="55166207" w14:textId="77777777" w:rsidR="00E62AEF" w:rsidRPr="008C6A08" w:rsidRDefault="00E62AEF" w:rsidP="00A82B2B">
            <w:pPr>
              <w:pStyle w:val="TABLETEXT"/>
              <w:spacing w:line="216" w:lineRule="auto"/>
              <w:ind w:left="23"/>
              <w:rPr>
                <w:rFonts w:cs="Poppins"/>
                <w:i/>
                <w:iCs/>
                <w:szCs w:val="24"/>
              </w:rPr>
            </w:pPr>
          </w:p>
        </w:tc>
      </w:tr>
      <w:tr w:rsidR="00E62AEF" w:rsidRPr="00E62AEF" w14:paraId="447AD462" w14:textId="77777777" w:rsidTr="00A82B2B">
        <w:trPr>
          <w:trHeight w:val="1437"/>
        </w:trPr>
        <w:tc>
          <w:tcPr>
            <w:tcW w:w="2400" w:type="dxa"/>
            <w:tcBorders>
              <w:top w:val="single" w:sz="4" w:space="0" w:color="000000" w:themeColor="text1"/>
              <w:bottom w:val="single" w:sz="4" w:space="0" w:color="000000" w:themeColor="text1"/>
              <w:right w:val="single" w:sz="4" w:space="0" w:color="000000" w:themeColor="text1"/>
            </w:tcBorders>
            <w:tcMar>
              <w:left w:w="105" w:type="dxa"/>
              <w:right w:w="105" w:type="dxa"/>
            </w:tcMar>
          </w:tcPr>
          <w:p w14:paraId="72D9FA07" w14:textId="77777777" w:rsidR="00E62AEF" w:rsidRPr="00E9782C" w:rsidRDefault="00E62AEF" w:rsidP="00A82B2B">
            <w:pPr>
              <w:pStyle w:val="TABLETEXT"/>
              <w:spacing w:line="216" w:lineRule="auto"/>
              <w:ind w:left="23"/>
            </w:pPr>
            <w:r w:rsidRPr="00E9782C">
              <w:lastRenderedPageBreak/>
              <w:t>Insurance sharing review</w:t>
            </w:r>
          </w:p>
        </w:tc>
        <w:tc>
          <w:tcPr>
            <w:tcW w:w="23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tcPr>
          <w:p w14:paraId="2F59DDB3" w14:textId="77777777" w:rsidR="00E62AEF" w:rsidRPr="008C6A08" w:rsidRDefault="00E62AEF" w:rsidP="00A82B2B">
            <w:pPr>
              <w:pStyle w:val="TABLETEXT"/>
              <w:spacing w:line="216" w:lineRule="auto"/>
              <w:ind w:left="23"/>
              <w:rPr>
                <w:i/>
                <w:iCs/>
              </w:rPr>
            </w:pPr>
            <w:r w:rsidRPr="008C6A08">
              <w:rPr>
                <w:i/>
                <w:iCs/>
              </w:rPr>
              <w:t>Opportunities for financial recovery or reinvestment</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tcPr>
          <w:p w14:paraId="259AD8F2" w14:textId="77777777" w:rsidR="00E62AEF" w:rsidRPr="008C6A08" w:rsidRDefault="00E62AEF" w:rsidP="00A82B2B">
            <w:pPr>
              <w:pStyle w:val="TABLETEXT"/>
              <w:spacing w:line="216" w:lineRule="auto"/>
              <w:ind w:left="23"/>
              <w:rPr>
                <w:rFonts w:cs="Poppins"/>
                <w:i/>
                <w:iCs/>
                <w:szCs w:val="24"/>
              </w:rPr>
            </w:pPr>
          </w:p>
        </w:tc>
        <w:tc>
          <w:tcPr>
            <w:tcW w:w="3402" w:type="dxa"/>
            <w:tcBorders>
              <w:top w:val="single" w:sz="4" w:space="0" w:color="000000" w:themeColor="text1"/>
              <w:left w:val="single" w:sz="4" w:space="0" w:color="000000" w:themeColor="text1"/>
              <w:bottom w:val="single" w:sz="4" w:space="0" w:color="000000" w:themeColor="text1"/>
            </w:tcBorders>
            <w:tcMar>
              <w:left w:w="105" w:type="dxa"/>
              <w:right w:w="105" w:type="dxa"/>
            </w:tcMar>
          </w:tcPr>
          <w:p w14:paraId="4081893E" w14:textId="77777777" w:rsidR="00E62AEF" w:rsidRPr="008C6A08" w:rsidRDefault="00E62AEF" w:rsidP="00A82B2B">
            <w:pPr>
              <w:pStyle w:val="TABLETEXT"/>
              <w:spacing w:line="216" w:lineRule="auto"/>
              <w:ind w:left="23"/>
              <w:rPr>
                <w:rFonts w:cs="Poppins"/>
                <w:i/>
                <w:iCs/>
                <w:szCs w:val="24"/>
              </w:rPr>
            </w:pPr>
          </w:p>
        </w:tc>
      </w:tr>
      <w:tr w:rsidR="00E62AEF" w:rsidRPr="00E62AEF" w14:paraId="10E31E4D" w14:textId="77777777" w:rsidTr="00A82B2B">
        <w:trPr>
          <w:trHeight w:val="1396"/>
        </w:trPr>
        <w:tc>
          <w:tcPr>
            <w:tcW w:w="2400" w:type="dxa"/>
            <w:tcBorders>
              <w:top w:val="single" w:sz="4" w:space="0" w:color="000000" w:themeColor="text1"/>
              <w:right w:val="single" w:sz="4" w:space="0" w:color="000000" w:themeColor="text1"/>
            </w:tcBorders>
            <w:tcMar>
              <w:left w:w="105" w:type="dxa"/>
              <w:right w:w="105" w:type="dxa"/>
            </w:tcMar>
          </w:tcPr>
          <w:p w14:paraId="37328AAB" w14:textId="77777777" w:rsidR="00E62AEF" w:rsidRPr="00E9782C" w:rsidRDefault="00E62AEF" w:rsidP="00A82B2B">
            <w:pPr>
              <w:pStyle w:val="TABLETEXT"/>
              <w:spacing w:line="216" w:lineRule="auto"/>
              <w:ind w:left="23"/>
            </w:pPr>
            <w:r w:rsidRPr="00E9782C">
              <w:t>Contract variations review</w:t>
            </w:r>
          </w:p>
        </w:tc>
        <w:tc>
          <w:tcPr>
            <w:tcW w:w="2385" w:type="dxa"/>
            <w:tcBorders>
              <w:top w:val="single" w:sz="4" w:space="0" w:color="000000" w:themeColor="text1"/>
              <w:left w:val="single" w:sz="4" w:space="0" w:color="000000" w:themeColor="text1"/>
              <w:right w:val="single" w:sz="4" w:space="0" w:color="000000" w:themeColor="text1"/>
            </w:tcBorders>
            <w:tcMar>
              <w:left w:w="105" w:type="dxa"/>
              <w:right w:w="105" w:type="dxa"/>
            </w:tcMar>
          </w:tcPr>
          <w:p w14:paraId="28FE9E82" w14:textId="77777777" w:rsidR="00E62AEF" w:rsidRPr="008C6A08" w:rsidRDefault="00E62AEF" w:rsidP="00A82B2B">
            <w:pPr>
              <w:pStyle w:val="TABLETEXT"/>
              <w:spacing w:line="216" w:lineRule="auto"/>
              <w:ind w:left="23"/>
              <w:rPr>
                <w:i/>
                <w:iCs/>
              </w:rPr>
            </w:pPr>
            <w:r w:rsidRPr="008C6A08">
              <w:rPr>
                <w:i/>
                <w:iCs/>
              </w:rPr>
              <w:t>Change control procedures and financial implications</w:t>
            </w:r>
          </w:p>
        </w:tc>
        <w:tc>
          <w:tcPr>
            <w:tcW w:w="1870" w:type="dxa"/>
            <w:tcBorders>
              <w:top w:val="single" w:sz="4" w:space="0" w:color="000000" w:themeColor="text1"/>
              <w:left w:val="single" w:sz="4" w:space="0" w:color="000000" w:themeColor="text1"/>
              <w:right w:val="single" w:sz="4" w:space="0" w:color="000000" w:themeColor="text1"/>
            </w:tcBorders>
            <w:tcMar>
              <w:left w:w="105" w:type="dxa"/>
              <w:right w:w="105" w:type="dxa"/>
            </w:tcMar>
          </w:tcPr>
          <w:p w14:paraId="4B13B9A4" w14:textId="77777777" w:rsidR="00E62AEF" w:rsidRPr="008C6A08" w:rsidRDefault="00E62AEF" w:rsidP="00A82B2B">
            <w:pPr>
              <w:pStyle w:val="TABLETEXT"/>
              <w:spacing w:line="216" w:lineRule="auto"/>
              <w:ind w:left="23"/>
              <w:rPr>
                <w:rFonts w:cs="Poppins"/>
                <w:i/>
                <w:iCs/>
                <w:szCs w:val="24"/>
              </w:rPr>
            </w:pPr>
          </w:p>
        </w:tc>
        <w:tc>
          <w:tcPr>
            <w:tcW w:w="3402" w:type="dxa"/>
            <w:tcBorders>
              <w:top w:val="single" w:sz="4" w:space="0" w:color="000000" w:themeColor="text1"/>
              <w:left w:val="single" w:sz="4" w:space="0" w:color="000000" w:themeColor="text1"/>
            </w:tcBorders>
            <w:tcMar>
              <w:left w:w="105" w:type="dxa"/>
              <w:right w:w="105" w:type="dxa"/>
            </w:tcMar>
          </w:tcPr>
          <w:p w14:paraId="4EC5AF4E" w14:textId="77777777" w:rsidR="00E62AEF" w:rsidRPr="008C6A08" w:rsidRDefault="00E62AEF" w:rsidP="00A82B2B">
            <w:pPr>
              <w:pStyle w:val="TABLETEXT"/>
              <w:spacing w:line="216" w:lineRule="auto"/>
              <w:ind w:left="23"/>
              <w:rPr>
                <w:rFonts w:cs="Poppins"/>
                <w:i/>
                <w:iCs/>
                <w:szCs w:val="24"/>
              </w:rPr>
            </w:pPr>
          </w:p>
        </w:tc>
      </w:tr>
      <w:tr w:rsidR="00E62AEF" w:rsidRPr="00E62AEF" w14:paraId="6063E290" w14:textId="77777777" w:rsidTr="006630BB">
        <w:trPr>
          <w:trHeight w:val="454"/>
        </w:trPr>
        <w:tc>
          <w:tcPr>
            <w:tcW w:w="10057" w:type="dxa"/>
            <w:gridSpan w:val="4"/>
            <w:tcMar>
              <w:left w:w="105" w:type="dxa"/>
              <w:right w:w="105" w:type="dxa"/>
            </w:tcMar>
            <w:vAlign w:val="center"/>
          </w:tcPr>
          <w:p w14:paraId="740E3714" w14:textId="77777777" w:rsidR="00E62AEF" w:rsidRPr="00E62AEF" w:rsidRDefault="00E62AEF" w:rsidP="00A82B2B">
            <w:pPr>
              <w:pStyle w:val="TABLEHEAD"/>
              <w:ind w:left="23"/>
            </w:pPr>
            <w:r w:rsidRPr="00E62AEF">
              <w:t>Risk, compliance and legal assurance</w:t>
            </w:r>
          </w:p>
        </w:tc>
      </w:tr>
      <w:tr w:rsidR="00E62AEF" w:rsidRPr="00E62AEF" w14:paraId="03FD96F3" w14:textId="77777777" w:rsidTr="00A82B2B">
        <w:trPr>
          <w:trHeight w:val="1381"/>
        </w:trPr>
        <w:tc>
          <w:tcPr>
            <w:tcW w:w="2400" w:type="dxa"/>
            <w:tcBorders>
              <w:bottom w:val="single" w:sz="4" w:space="0" w:color="000000" w:themeColor="text1"/>
              <w:right w:val="single" w:sz="4" w:space="0" w:color="000000" w:themeColor="text1"/>
            </w:tcBorders>
            <w:tcMar>
              <w:left w:w="105" w:type="dxa"/>
              <w:right w:w="105" w:type="dxa"/>
            </w:tcMar>
          </w:tcPr>
          <w:p w14:paraId="72F7A885" w14:textId="77777777" w:rsidR="00E62AEF" w:rsidRPr="00E9782C" w:rsidRDefault="00E62AEF" w:rsidP="00A82B2B">
            <w:pPr>
              <w:pStyle w:val="TABLETEXT"/>
              <w:spacing w:line="216" w:lineRule="auto"/>
              <w:ind w:left="23"/>
            </w:pPr>
            <w:r w:rsidRPr="00E9782C">
              <w:t>Risk management review</w:t>
            </w:r>
          </w:p>
        </w:tc>
        <w:tc>
          <w:tcPr>
            <w:tcW w:w="2385" w:type="dxa"/>
            <w:tcBorders>
              <w:left w:val="single" w:sz="4" w:space="0" w:color="000000" w:themeColor="text1"/>
              <w:bottom w:val="single" w:sz="4" w:space="0" w:color="000000" w:themeColor="text1"/>
              <w:right w:val="single" w:sz="4" w:space="0" w:color="000000" w:themeColor="text1"/>
            </w:tcBorders>
            <w:tcMar>
              <w:left w:w="105" w:type="dxa"/>
              <w:right w:w="105" w:type="dxa"/>
            </w:tcMar>
          </w:tcPr>
          <w:p w14:paraId="2208D9F9" w14:textId="77777777" w:rsidR="00E62AEF" w:rsidRPr="008C6A08" w:rsidRDefault="00E62AEF" w:rsidP="00A82B2B">
            <w:pPr>
              <w:pStyle w:val="TABLETEXT"/>
              <w:spacing w:line="216" w:lineRule="auto"/>
              <w:ind w:left="23"/>
              <w:rPr>
                <w:i/>
                <w:iCs/>
              </w:rPr>
            </w:pPr>
            <w:r w:rsidRPr="008C6A08">
              <w:rPr>
                <w:i/>
                <w:iCs/>
              </w:rPr>
              <w:t>Allocation of risks and risk register alignment</w:t>
            </w:r>
          </w:p>
        </w:tc>
        <w:tc>
          <w:tcPr>
            <w:tcW w:w="1870" w:type="dxa"/>
            <w:tcBorders>
              <w:left w:val="single" w:sz="4" w:space="0" w:color="000000" w:themeColor="text1"/>
              <w:bottom w:val="single" w:sz="4" w:space="0" w:color="000000" w:themeColor="text1"/>
              <w:right w:val="single" w:sz="4" w:space="0" w:color="000000" w:themeColor="text1"/>
            </w:tcBorders>
            <w:tcMar>
              <w:left w:w="105" w:type="dxa"/>
              <w:right w:w="105" w:type="dxa"/>
            </w:tcMar>
          </w:tcPr>
          <w:p w14:paraId="489EEF43" w14:textId="77777777" w:rsidR="00E62AEF" w:rsidRPr="008C6A08" w:rsidRDefault="00E62AEF" w:rsidP="00A82B2B">
            <w:pPr>
              <w:pStyle w:val="TABLETEXT"/>
              <w:spacing w:line="216" w:lineRule="auto"/>
              <w:ind w:left="23"/>
              <w:rPr>
                <w:i/>
                <w:iCs/>
              </w:rPr>
            </w:pPr>
          </w:p>
        </w:tc>
        <w:tc>
          <w:tcPr>
            <w:tcW w:w="3402" w:type="dxa"/>
            <w:tcBorders>
              <w:left w:val="single" w:sz="4" w:space="0" w:color="000000" w:themeColor="text1"/>
              <w:bottom w:val="single" w:sz="4" w:space="0" w:color="000000" w:themeColor="text1"/>
            </w:tcBorders>
            <w:tcMar>
              <w:left w:w="105" w:type="dxa"/>
              <w:right w:w="105" w:type="dxa"/>
            </w:tcMar>
          </w:tcPr>
          <w:p w14:paraId="144DB3F6" w14:textId="77777777" w:rsidR="00E62AEF" w:rsidRPr="008C6A08" w:rsidRDefault="00E62AEF" w:rsidP="00A82B2B">
            <w:pPr>
              <w:pStyle w:val="TABLETEXT"/>
              <w:spacing w:line="216" w:lineRule="auto"/>
              <w:ind w:left="23"/>
              <w:rPr>
                <w:i/>
                <w:iCs/>
              </w:rPr>
            </w:pPr>
          </w:p>
        </w:tc>
      </w:tr>
      <w:tr w:rsidR="00E62AEF" w:rsidRPr="00E62AEF" w14:paraId="72A90518" w14:textId="77777777" w:rsidTr="00A82B2B">
        <w:trPr>
          <w:trHeight w:val="1410"/>
        </w:trPr>
        <w:tc>
          <w:tcPr>
            <w:tcW w:w="2400" w:type="dxa"/>
            <w:tcBorders>
              <w:top w:val="single" w:sz="4" w:space="0" w:color="000000" w:themeColor="text1"/>
              <w:right w:val="single" w:sz="4" w:space="0" w:color="000000" w:themeColor="text1"/>
            </w:tcBorders>
            <w:tcMar>
              <w:left w:w="105" w:type="dxa"/>
              <w:right w:w="105" w:type="dxa"/>
            </w:tcMar>
          </w:tcPr>
          <w:p w14:paraId="32948CB2" w14:textId="77777777" w:rsidR="00E62AEF" w:rsidRPr="00E9782C" w:rsidRDefault="00E62AEF" w:rsidP="00A82B2B">
            <w:pPr>
              <w:pStyle w:val="TABLETEXT"/>
              <w:spacing w:line="216" w:lineRule="auto"/>
              <w:ind w:left="23"/>
            </w:pPr>
            <w:r w:rsidRPr="00E9782C">
              <w:t>Legislation and policy compliance review</w:t>
            </w:r>
          </w:p>
        </w:tc>
        <w:tc>
          <w:tcPr>
            <w:tcW w:w="2385" w:type="dxa"/>
            <w:tcBorders>
              <w:top w:val="single" w:sz="4" w:space="0" w:color="000000" w:themeColor="text1"/>
              <w:left w:val="single" w:sz="4" w:space="0" w:color="000000" w:themeColor="text1"/>
              <w:right w:val="single" w:sz="4" w:space="0" w:color="000000" w:themeColor="text1"/>
            </w:tcBorders>
            <w:tcMar>
              <w:left w:w="105" w:type="dxa"/>
              <w:right w:w="105" w:type="dxa"/>
            </w:tcMar>
          </w:tcPr>
          <w:p w14:paraId="07E646C9" w14:textId="77777777" w:rsidR="00E62AEF" w:rsidRPr="008C6A08" w:rsidRDefault="00E62AEF" w:rsidP="00A82B2B">
            <w:pPr>
              <w:pStyle w:val="TABLETEXT"/>
              <w:spacing w:line="216" w:lineRule="auto"/>
              <w:ind w:left="23"/>
              <w:rPr>
                <w:i/>
                <w:iCs/>
              </w:rPr>
            </w:pPr>
            <w:r w:rsidRPr="008C6A08">
              <w:rPr>
                <w:i/>
                <w:iCs/>
              </w:rPr>
              <w:t>Alignment with current legislation and internal policy</w:t>
            </w:r>
          </w:p>
        </w:tc>
        <w:tc>
          <w:tcPr>
            <w:tcW w:w="1870" w:type="dxa"/>
            <w:tcBorders>
              <w:top w:val="single" w:sz="4" w:space="0" w:color="000000" w:themeColor="text1"/>
              <w:left w:val="single" w:sz="4" w:space="0" w:color="000000" w:themeColor="text1"/>
              <w:right w:val="single" w:sz="4" w:space="0" w:color="000000" w:themeColor="text1"/>
            </w:tcBorders>
            <w:tcMar>
              <w:left w:w="105" w:type="dxa"/>
              <w:right w:w="105" w:type="dxa"/>
            </w:tcMar>
          </w:tcPr>
          <w:p w14:paraId="28363063" w14:textId="77777777" w:rsidR="00E62AEF" w:rsidRPr="008C6A08" w:rsidRDefault="00E62AEF" w:rsidP="00A82B2B">
            <w:pPr>
              <w:pStyle w:val="TABLETEXT"/>
              <w:spacing w:line="216" w:lineRule="auto"/>
              <w:ind w:left="23"/>
              <w:rPr>
                <w:i/>
                <w:iCs/>
              </w:rPr>
            </w:pPr>
          </w:p>
        </w:tc>
        <w:tc>
          <w:tcPr>
            <w:tcW w:w="3402" w:type="dxa"/>
            <w:tcBorders>
              <w:top w:val="single" w:sz="4" w:space="0" w:color="000000" w:themeColor="text1"/>
              <w:left w:val="single" w:sz="4" w:space="0" w:color="000000" w:themeColor="text1"/>
            </w:tcBorders>
            <w:tcMar>
              <w:left w:w="105" w:type="dxa"/>
              <w:right w:w="105" w:type="dxa"/>
            </w:tcMar>
          </w:tcPr>
          <w:p w14:paraId="41EB159D" w14:textId="77777777" w:rsidR="00E62AEF" w:rsidRPr="008C6A08" w:rsidRDefault="00E62AEF" w:rsidP="00A82B2B">
            <w:pPr>
              <w:pStyle w:val="TABLETEXT"/>
              <w:spacing w:line="216" w:lineRule="auto"/>
              <w:ind w:left="23"/>
              <w:rPr>
                <w:i/>
                <w:iCs/>
              </w:rPr>
            </w:pPr>
          </w:p>
        </w:tc>
      </w:tr>
      <w:tr w:rsidR="00E62AEF" w:rsidRPr="00E62AEF" w14:paraId="6EDD2F1F" w14:textId="77777777" w:rsidTr="006630BB">
        <w:trPr>
          <w:trHeight w:val="487"/>
        </w:trPr>
        <w:tc>
          <w:tcPr>
            <w:tcW w:w="10057" w:type="dxa"/>
            <w:gridSpan w:val="4"/>
            <w:tcMar>
              <w:left w:w="105" w:type="dxa"/>
              <w:right w:w="105" w:type="dxa"/>
            </w:tcMar>
            <w:vAlign w:val="center"/>
          </w:tcPr>
          <w:p w14:paraId="59355A7C" w14:textId="77777777" w:rsidR="00E62AEF" w:rsidRPr="00E62AEF" w:rsidRDefault="00E62AEF" w:rsidP="00A82B2B">
            <w:pPr>
              <w:pStyle w:val="TABLEHEAD"/>
              <w:ind w:left="23"/>
            </w:pPr>
            <w:r w:rsidRPr="00E62AEF">
              <w:t>People and relationships</w:t>
            </w:r>
          </w:p>
        </w:tc>
      </w:tr>
      <w:tr w:rsidR="00E62AEF" w:rsidRPr="00E62AEF" w14:paraId="1D69C375" w14:textId="77777777" w:rsidTr="00A82B2B">
        <w:trPr>
          <w:trHeight w:val="1731"/>
        </w:trPr>
        <w:tc>
          <w:tcPr>
            <w:tcW w:w="2400" w:type="dxa"/>
            <w:tcBorders>
              <w:bottom w:val="single" w:sz="4" w:space="0" w:color="000000" w:themeColor="text1"/>
              <w:right w:val="single" w:sz="4" w:space="0" w:color="000000" w:themeColor="text1"/>
            </w:tcBorders>
            <w:tcMar>
              <w:left w:w="105" w:type="dxa"/>
              <w:right w:w="105" w:type="dxa"/>
            </w:tcMar>
          </w:tcPr>
          <w:p w14:paraId="36659D91" w14:textId="77777777" w:rsidR="00E62AEF" w:rsidRPr="00E9782C" w:rsidRDefault="00E62AEF" w:rsidP="00A82B2B">
            <w:pPr>
              <w:pStyle w:val="TABLETEXT"/>
              <w:spacing w:line="216" w:lineRule="auto"/>
              <w:ind w:left="23"/>
            </w:pPr>
            <w:r w:rsidRPr="00E9782C">
              <w:t>Contract relationship review</w:t>
            </w:r>
          </w:p>
        </w:tc>
        <w:tc>
          <w:tcPr>
            <w:tcW w:w="2385" w:type="dxa"/>
            <w:tcBorders>
              <w:left w:val="single" w:sz="4" w:space="0" w:color="000000" w:themeColor="text1"/>
              <w:bottom w:val="single" w:sz="4" w:space="0" w:color="000000" w:themeColor="text1"/>
              <w:right w:val="single" w:sz="4" w:space="0" w:color="000000" w:themeColor="text1"/>
            </w:tcBorders>
            <w:tcMar>
              <w:left w:w="105" w:type="dxa"/>
              <w:right w:w="105" w:type="dxa"/>
            </w:tcMar>
          </w:tcPr>
          <w:p w14:paraId="735A8D54" w14:textId="77777777" w:rsidR="00E62AEF" w:rsidRPr="008C6A08" w:rsidRDefault="00E62AEF" w:rsidP="00A82B2B">
            <w:pPr>
              <w:pStyle w:val="TABLETEXT"/>
              <w:spacing w:line="216" w:lineRule="auto"/>
              <w:ind w:left="23"/>
              <w:rPr>
                <w:i/>
                <w:iCs/>
              </w:rPr>
            </w:pPr>
            <w:r w:rsidRPr="008C6A08">
              <w:rPr>
                <w:i/>
                <w:iCs/>
              </w:rPr>
              <w:t>Working relationships, roles, communication protocols</w:t>
            </w:r>
          </w:p>
        </w:tc>
        <w:tc>
          <w:tcPr>
            <w:tcW w:w="1870" w:type="dxa"/>
            <w:tcBorders>
              <w:left w:val="single" w:sz="4" w:space="0" w:color="000000" w:themeColor="text1"/>
              <w:bottom w:val="single" w:sz="4" w:space="0" w:color="000000" w:themeColor="text1"/>
              <w:right w:val="single" w:sz="4" w:space="0" w:color="000000" w:themeColor="text1"/>
            </w:tcBorders>
            <w:tcMar>
              <w:left w:w="105" w:type="dxa"/>
              <w:right w:w="105" w:type="dxa"/>
            </w:tcMar>
          </w:tcPr>
          <w:p w14:paraId="73ECBE8E" w14:textId="77777777" w:rsidR="00E62AEF" w:rsidRPr="008C6A08" w:rsidRDefault="00E62AEF" w:rsidP="00A82B2B">
            <w:pPr>
              <w:pStyle w:val="TABLETEXT"/>
              <w:spacing w:line="216" w:lineRule="auto"/>
              <w:ind w:left="23"/>
              <w:rPr>
                <w:i/>
                <w:iCs/>
              </w:rPr>
            </w:pPr>
          </w:p>
        </w:tc>
        <w:tc>
          <w:tcPr>
            <w:tcW w:w="3402" w:type="dxa"/>
            <w:tcBorders>
              <w:left w:val="single" w:sz="4" w:space="0" w:color="000000" w:themeColor="text1"/>
              <w:bottom w:val="single" w:sz="4" w:space="0" w:color="000000" w:themeColor="text1"/>
            </w:tcBorders>
            <w:tcMar>
              <w:left w:w="105" w:type="dxa"/>
              <w:right w:w="105" w:type="dxa"/>
            </w:tcMar>
          </w:tcPr>
          <w:p w14:paraId="5C575521" w14:textId="77777777" w:rsidR="00E62AEF" w:rsidRPr="008C6A08" w:rsidRDefault="00E62AEF" w:rsidP="00A82B2B">
            <w:pPr>
              <w:pStyle w:val="TABLETEXT"/>
              <w:spacing w:line="216" w:lineRule="auto"/>
              <w:ind w:left="23"/>
              <w:rPr>
                <w:i/>
                <w:iCs/>
              </w:rPr>
            </w:pPr>
          </w:p>
        </w:tc>
      </w:tr>
      <w:tr w:rsidR="00E62AEF" w:rsidRPr="00E62AEF" w14:paraId="561DFCE8" w14:textId="77777777" w:rsidTr="00A82B2B">
        <w:trPr>
          <w:trHeight w:val="1703"/>
        </w:trPr>
        <w:tc>
          <w:tcPr>
            <w:tcW w:w="2400" w:type="dxa"/>
            <w:tcBorders>
              <w:top w:val="single" w:sz="4" w:space="0" w:color="000000" w:themeColor="text1"/>
              <w:right w:val="single" w:sz="4" w:space="0" w:color="000000" w:themeColor="text1"/>
            </w:tcBorders>
            <w:tcMar>
              <w:left w:w="105" w:type="dxa"/>
              <w:right w:w="105" w:type="dxa"/>
            </w:tcMar>
          </w:tcPr>
          <w:p w14:paraId="7D7C2BA1" w14:textId="77777777" w:rsidR="00E62AEF" w:rsidRPr="00E9782C" w:rsidRDefault="00E62AEF" w:rsidP="00A82B2B">
            <w:pPr>
              <w:pStyle w:val="TABLETEXT"/>
              <w:spacing w:line="216" w:lineRule="auto"/>
              <w:ind w:left="23"/>
            </w:pPr>
            <w:r w:rsidRPr="00E9782C">
              <w:t>Disputes and issues resolution review</w:t>
            </w:r>
          </w:p>
        </w:tc>
        <w:tc>
          <w:tcPr>
            <w:tcW w:w="2385" w:type="dxa"/>
            <w:tcBorders>
              <w:top w:val="single" w:sz="4" w:space="0" w:color="000000" w:themeColor="text1"/>
              <w:left w:val="single" w:sz="4" w:space="0" w:color="000000" w:themeColor="text1"/>
              <w:right w:val="single" w:sz="4" w:space="0" w:color="000000" w:themeColor="text1"/>
            </w:tcBorders>
            <w:tcMar>
              <w:left w:w="105" w:type="dxa"/>
              <w:right w:w="105" w:type="dxa"/>
            </w:tcMar>
          </w:tcPr>
          <w:p w14:paraId="1FA2AE4F" w14:textId="77777777" w:rsidR="00E62AEF" w:rsidRPr="008C6A08" w:rsidRDefault="00E62AEF" w:rsidP="00A82B2B">
            <w:pPr>
              <w:pStyle w:val="TABLETEXT"/>
              <w:spacing w:line="216" w:lineRule="auto"/>
              <w:ind w:left="23"/>
              <w:rPr>
                <w:i/>
                <w:iCs/>
              </w:rPr>
            </w:pPr>
            <w:r w:rsidRPr="008C6A08">
              <w:rPr>
                <w:i/>
                <w:iCs/>
              </w:rPr>
              <w:t>Dispute resolution provisions and escalation procedures</w:t>
            </w:r>
          </w:p>
        </w:tc>
        <w:tc>
          <w:tcPr>
            <w:tcW w:w="1870" w:type="dxa"/>
            <w:tcBorders>
              <w:top w:val="single" w:sz="4" w:space="0" w:color="000000" w:themeColor="text1"/>
              <w:left w:val="single" w:sz="4" w:space="0" w:color="000000" w:themeColor="text1"/>
              <w:right w:val="single" w:sz="4" w:space="0" w:color="000000" w:themeColor="text1"/>
            </w:tcBorders>
            <w:tcMar>
              <w:left w:w="105" w:type="dxa"/>
              <w:right w:w="105" w:type="dxa"/>
            </w:tcMar>
          </w:tcPr>
          <w:p w14:paraId="3F05D90D" w14:textId="77777777" w:rsidR="00E62AEF" w:rsidRPr="008C6A08" w:rsidRDefault="00E62AEF" w:rsidP="00A82B2B">
            <w:pPr>
              <w:pStyle w:val="TABLETEXT"/>
              <w:spacing w:line="216" w:lineRule="auto"/>
              <w:ind w:left="23"/>
              <w:rPr>
                <w:i/>
                <w:iCs/>
              </w:rPr>
            </w:pPr>
          </w:p>
        </w:tc>
        <w:tc>
          <w:tcPr>
            <w:tcW w:w="3402" w:type="dxa"/>
            <w:tcBorders>
              <w:top w:val="single" w:sz="4" w:space="0" w:color="000000" w:themeColor="text1"/>
              <w:left w:val="single" w:sz="4" w:space="0" w:color="000000" w:themeColor="text1"/>
            </w:tcBorders>
            <w:tcMar>
              <w:left w:w="105" w:type="dxa"/>
              <w:right w:w="105" w:type="dxa"/>
            </w:tcMar>
          </w:tcPr>
          <w:p w14:paraId="5E64A515" w14:textId="77777777" w:rsidR="00E62AEF" w:rsidRPr="008C6A08" w:rsidRDefault="00E62AEF" w:rsidP="00A82B2B">
            <w:pPr>
              <w:pStyle w:val="TABLETEXT"/>
              <w:spacing w:line="216" w:lineRule="auto"/>
              <w:ind w:left="23"/>
              <w:rPr>
                <w:i/>
                <w:iCs/>
              </w:rPr>
            </w:pPr>
          </w:p>
        </w:tc>
      </w:tr>
      <w:tr w:rsidR="00E62AEF" w:rsidRPr="00E62AEF" w14:paraId="510F9CF1" w14:textId="77777777" w:rsidTr="006630BB">
        <w:trPr>
          <w:trHeight w:val="454"/>
        </w:trPr>
        <w:tc>
          <w:tcPr>
            <w:tcW w:w="10057" w:type="dxa"/>
            <w:gridSpan w:val="4"/>
            <w:tcMar>
              <w:left w:w="105" w:type="dxa"/>
              <w:right w:w="105" w:type="dxa"/>
            </w:tcMar>
            <w:vAlign w:val="center"/>
          </w:tcPr>
          <w:p w14:paraId="577C27CC" w14:textId="77777777" w:rsidR="00E62AEF" w:rsidRPr="00E62AEF" w:rsidRDefault="00E62AEF" w:rsidP="00A82B2B">
            <w:pPr>
              <w:pStyle w:val="TABLEHEAD"/>
              <w:ind w:left="23"/>
            </w:pPr>
            <w:r w:rsidRPr="00E62AEF">
              <w:t>Transition and expiry</w:t>
            </w:r>
          </w:p>
        </w:tc>
      </w:tr>
      <w:tr w:rsidR="00E62AEF" w:rsidRPr="00E62AEF" w14:paraId="47C4108F" w14:textId="77777777" w:rsidTr="00A82B2B">
        <w:trPr>
          <w:trHeight w:val="1046"/>
        </w:trPr>
        <w:tc>
          <w:tcPr>
            <w:tcW w:w="2400" w:type="dxa"/>
            <w:tcBorders>
              <w:bottom w:val="single" w:sz="4" w:space="0" w:color="000000" w:themeColor="text1"/>
              <w:right w:val="single" w:sz="4" w:space="0" w:color="000000" w:themeColor="text1"/>
            </w:tcBorders>
            <w:tcMar>
              <w:left w:w="105" w:type="dxa"/>
              <w:right w:w="105" w:type="dxa"/>
            </w:tcMar>
          </w:tcPr>
          <w:p w14:paraId="5F04AF9A" w14:textId="77777777" w:rsidR="00E62AEF" w:rsidRPr="00E9782C" w:rsidRDefault="00E62AEF" w:rsidP="00A82B2B">
            <w:pPr>
              <w:pStyle w:val="TABLETEXT"/>
              <w:spacing w:line="216" w:lineRule="auto"/>
              <w:ind w:left="23"/>
            </w:pPr>
            <w:r w:rsidRPr="00E9782C">
              <w:t>Termination review</w:t>
            </w:r>
          </w:p>
        </w:tc>
        <w:tc>
          <w:tcPr>
            <w:tcW w:w="2385" w:type="dxa"/>
            <w:tcBorders>
              <w:left w:val="single" w:sz="4" w:space="0" w:color="000000" w:themeColor="text1"/>
              <w:bottom w:val="single" w:sz="4" w:space="0" w:color="000000" w:themeColor="text1"/>
              <w:right w:val="single" w:sz="4" w:space="0" w:color="000000" w:themeColor="text1"/>
            </w:tcBorders>
            <w:tcMar>
              <w:left w:w="105" w:type="dxa"/>
              <w:right w:w="105" w:type="dxa"/>
            </w:tcMar>
          </w:tcPr>
          <w:p w14:paraId="51D18FEB" w14:textId="77777777" w:rsidR="00E62AEF" w:rsidRPr="008C6A08" w:rsidRDefault="00E62AEF" w:rsidP="00A82B2B">
            <w:pPr>
              <w:pStyle w:val="TABLETEXT"/>
              <w:spacing w:line="216" w:lineRule="auto"/>
              <w:ind w:left="23"/>
              <w:rPr>
                <w:i/>
                <w:iCs/>
              </w:rPr>
            </w:pPr>
            <w:r w:rsidRPr="008C6A08">
              <w:rPr>
                <w:i/>
                <w:iCs/>
              </w:rPr>
              <w:t>Termination clauses and exit rights</w:t>
            </w:r>
          </w:p>
        </w:tc>
        <w:tc>
          <w:tcPr>
            <w:tcW w:w="1870" w:type="dxa"/>
            <w:tcBorders>
              <w:left w:val="single" w:sz="4" w:space="0" w:color="000000" w:themeColor="text1"/>
              <w:bottom w:val="single" w:sz="4" w:space="0" w:color="000000" w:themeColor="text1"/>
              <w:right w:val="single" w:sz="4" w:space="0" w:color="000000" w:themeColor="text1"/>
            </w:tcBorders>
            <w:tcMar>
              <w:left w:w="105" w:type="dxa"/>
              <w:right w:w="105" w:type="dxa"/>
            </w:tcMar>
          </w:tcPr>
          <w:p w14:paraId="6F8B1691" w14:textId="77777777" w:rsidR="00E62AEF" w:rsidRPr="008C6A08" w:rsidRDefault="00E62AEF" w:rsidP="00A82B2B">
            <w:pPr>
              <w:pStyle w:val="TABLETEXT"/>
              <w:spacing w:line="216" w:lineRule="auto"/>
              <w:ind w:left="23"/>
              <w:rPr>
                <w:i/>
                <w:iCs/>
              </w:rPr>
            </w:pPr>
          </w:p>
        </w:tc>
        <w:tc>
          <w:tcPr>
            <w:tcW w:w="3402" w:type="dxa"/>
            <w:tcBorders>
              <w:left w:val="single" w:sz="4" w:space="0" w:color="000000" w:themeColor="text1"/>
              <w:bottom w:val="single" w:sz="4" w:space="0" w:color="000000" w:themeColor="text1"/>
            </w:tcBorders>
            <w:tcMar>
              <w:left w:w="105" w:type="dxa"/>
              <w:right w:w="105" w:type="dxa"/>
            </w:tcMar>
          </w:tcPr>
          <w:p w14:paraId="45ED9D9B" w14:textId="77777777" w:rsidR="00E62AEF" w:rsidRPr="008C6A08" w:rsidRDefault="00E62AEF" w:rsidP="00A82B2B">
            <w:pPr>
              <w:pStyle w:val="TABLETEXT"/>
              <w:spacing w:line="216" w:lineRule="auto"/>
              <w:ind w:left="23"/>
              <w:rPr>
                <w:i/>
                <w:iCs/>
              </w:rPr>
            </w:pPr>
          </w:p>
        </w:tc>
      </w:tr>
      <w:tr w:rsidR="00E62AEF" w:rsidRPr="00E62AEF" w14:paraId="460AF0E7" w14:textId="77777777" w:rsidTr="00A82B2B">
        <w:trPr>
          <w:trHeight w:val="1689"/>
        </w:trPr>
        <w:tc>
          <w:tcPr>
            <w:tcW w:w="2400" w:type="dxa"/>
            <w:tcBorders>
              <w:top w:val="single" w:sz="4" w:space="0" w:color="000000" w:themeColor="text1"/>
              <w:right w:val="single" w:sz="4" w:space="0" w:color="000000" w:themeColor="text1"/>
            </w:tcBorders>
            <w:tcMar>
              <w:left w:w="105" w:type="dxa"/>
              <w:right w:w="105" w:type="dxa"/>
            </w:tcMar>
          </w:tcPr>
          <w:p w14:paraId="47BC2234" w14:textId="77777777" w:rsidR="00E62AEF" w:rsidRPr="00E9782C" w:rsidRDefault="00E62AEF" w:rsidP="00A82B2B">
            <w:pPr>
              <w:pStyle w:val="TABLETEXT"/>
              <w:spacing w:line="216" w:lineRule="auto"/>
              <w:ind w:left="23"/>
            </w:pPr>
            <w:r w:rsidRPr="00E9782C">
              <w:t>Expiry review</w:t>
            </w:r>
          </w:p>
        </w:tc>
        <w:tc>
          <w:tcPr>
            <w:tcW w:w="2385" w:type="dxa"/>
            <w:tcBorders>
              <w:top w:val="single" w:sz="4" w:space="0" w:color="000000" w:themeColor="text1"/>
              <w:left w:val="single" w:sz="4" w:space="0" w:color="000000" w:themeColor="text1"/>
              <w:right w:val="single" w:sz="4" w:space="0" w:color="000000" w:themeColor="text1"/>
            </w:tcBorders>
            <w:tcMar>
              <w:left w:w="105" w:type="dxa"/>
              <w:right w:w="105" w:type="dxa"/>
            </w:tcMar>
          </w:tcPr>
          <w:p w14:paraId="17790015" w14:textId="77777777" w:rsidR="00E62AEF" w:rsidRPr="008C6A08" w:rsidRDefault="00E62AEF" w:rsidP="00A82B2B">
            <w:pPr>
              <w:pStyle w:val="TABLETEXT"/>
              <w:spacing w:line="216" w:lineRule="auto"/>
              <w:ind w:left="23"/>
              <w:rPr>
                <w:i/>
                <w:iCs/>
              </w:rPr>
            </w:pPr>
            <w:r w:rsidRPr="008C6A08">
              <w:rPr>
                <w:i/>
                <w:iCs/>
              </w:rPr>
              <w:t xml:space="preserve">Readiness for expiry, </w:t>
            </w:r>
            <w:proofErr w:type="spellStart"/>
            <w:r w:rsidRPr="008C6A08">
              <w:rPr>
                <w:i/>
                <w:iCs/>
              </w:rPr>
              <w:t>handback</w:t>
            </w:r>
            <w:proofErr w:type="spellEnd"/>
            <w:r w:rsidRPr="008C6A08">
              <w:rPr>
                <w:i/>
                <w:iCs/>
              </w:rPr>
              <w:t xml:space="preserve"> and continuity planning</w:t>
            </w:r>
          </w:p>
        </w:tc>
        <w:tc>
          <w:tcPr>
            <w:tcW w:w="1870" w:type="dxa"/>
            <w:tcBorders>
              <w:top w:val="single" w:sz="4" w:space="0" w:color="000000" w:themeColor="text1"/>
              <w:left w:val="single" w:sz="4" w:space="0" w:color="000000" w:themeColor="text1"/>
              <w:right w:val="single" w:sz="4" w:space="0" w:color="000000" w:themeColor="text1"/>
            </w:tcBorders>
            <w:tcMar>
              <w:left w:w="105" w:type="dxa"/>
              <w:right w:w="105" w:type="dxa"/>
            </w:tcMar>
          </w:tcPr>
          <w:p w14:paraId="1804DB48" w14:textId="77777777" w:rsidR="00E62AEF" w:rsidRPr="008C6A08" w:rsidRDefault="00E62AEF" w:rsidP="00A82B2B">
            <w:pPr>
              <w:pStyle w:val="TABLETEXT"/>
              <w:spacing w:line="216" w:lineRule="auto"/>
              <w:ind w:left="23"/>
              <w:rPr>
                <w:i/>
                <w:iCs/>
              </w:rPr>
            </w:pPr>
          </w:p>
        </w:tc>
        <w:tc>
          <w:tcPr>
            <w:tcW w:w="3402" w:type="dxa"/>
            <w:tcBorders>
              <w:top w:val="single" w:sz="4" w:space="0" w:color="000000" w:themeColor="text1"/>
              <w:left w:val="single" w:sz="4" w:space="0" w:color="000000" w:themeColor="text1"/>
            </w:tcBorders>
            <w:tcMar>
              <w:left w:w="105" w:type="dxa"/>
              <w:right w:w="105" w:type="dxa"/>
            </w:tcMar>
          </w:tcPr>
          <w:p w14:paraId="0D5D0EBC" w14:textId="77777777" w:rsidR="00E62AEF" w:rsidRPr="008C6A08" w:rsidRDefault="00E62AEF" w:rsidP="00A82B2B">
            <w:pPr>
              <w:pStyle w:val="TABLETEXT"/>
              <w:spacing w:line="216" w:lineRule="auto"/>
              <w:ind w:left="23"/>
              <w:rPr>
                <w:i/>
                <w:iCs/>
              </w:rPr>
            </w:pPr>
          </w:p>
        </w:tc>
      </w:tr>
    </w:tbl>
    <w:p w14:paraId="118C8A84" w14:textId="77777777" w:rsidR="00A82B2B" w:rsidRDefault="00A82B2B" w:rsidP="00E959BD">
      <w:pPr>
        <w:pStyle w:val="SubHead0"/>
      </w:pPr>
    </w:p>
    <w:p w14:paraId="4B31EAEC" w14:textId="77777777" w:rsidR="00A82B2B" w:rsidRDefault="00A82B2B">
      <w:pPr>
        <w:rPr>
          <w:rFonts w:ascii="Poppins" w:hAnsi="Poppins"/>
          <w:b/>
          <w:bCs/>
          <w:color w:val="0A1C36" w:themeColor="text2"/>
          <w:sz w:val="24"/>
          <w:szCs w:val="18"/>
        </w:rPr>
      </w:pPr>
      <w:r>
        <w:br w:type="page"/>
      </w:r>
    </w:p>
    <w:p w14:paraId="785AB0DF" w14:textId="57AAB6C1" w:rsidR="00E959BD" w:rsidRPr="00E959BD" w:rsidRDefault="00E959BD" w:rsidP="00E959BD">
      <w:pPr>
        <w:pStyle w:val="SubHead0"/>
      </w:pPr>
      <w:r w:rsidRPr="00E959BD">
        <w:lastRenderedPageBreak/>
        <w:t>Deliverables</w:t>
      </w:r>
    </w:p>
    <w:p w14:paraId="4A40566B" w14:textId="77777777" w:rsidR="00E959BD" w:rsidRPr="00E959BD" w:rsidRDefault="00E959BD" w:rsidP="00E959BD">
      <w:pPr>
        <w:pStyle w:val="BODYCOPY"/>
        <w:tabs>
          <w:tab w:val="center" w:pos="1560"/>
          <w:tab w:val="left" w:pos="2552"/>
          <w:tab w:val="left" w:pos="3686"/>
          <w:tab w:val="left" w:pos="4678"/>
        </w:tabs>
      </w:pPr>
      <w:r w:rsidRPr="00E959BD">
        <w:t>Specify the expected deliverables of the review. Typical deliverables include:</w:t>
      </w:r>
    </w:p>
    <w:p w14:paraId="21402702" w14:textId="77777777" w:rsidR="00E959BD" w:rsidRPr="00E959BD" w:rsidRDefault="00E959BD" w:rsidP="00E959BD">
      <w:pPr>
        <w:pStyle w:val="BulletPoints"/>
      </w:pPr>
      <w:r w:rsidRPr="00E959BD">
        <w:rPr>
          <w:b/>
          <w:bCs/>
        </w:rPr>
        <w:t>Completed Toolkit 1: Base Data Collection</w:t>
      </w:r>
      <w:r w:rsidRPr="00E959BD">
        <w:t xml:space="preserve"> summarising key contract facts and stakeholders.</w:t>
      </w:r>
    </w:p>
    <w:p w14:paraId="35252CED" w14:textId="77777777" w:rsidR="00E959BD" w:rsidRPr="00E959BD" w:rsidRDefault="00E959BD" w:rsidP="00E959BD">
      <w:pPr>
        <w:pStyle w:val="BulletPoints"/>
      </w:pPr>
      <w:r w:rsidRPr="00E959BD">
        <w:rPr>
          <w:b/>
          <w:bCs/>
        </w:rPr>
        <w:t xml:space="preserve">Completed Toolkit 2: Clause Tracker </w:t>
      </w:r>
      <w:r w:rsidRPr="00E959BD">
        <w:t>capturing and organising relevant contractual provisions.</w:t>
      </w:r>
    </w:p>
    <w:p w14:paraId="6E395896" w14:textId="77777777" w:rsidR="00E959BD" w:rsidRPr="00E959BD" w:rsidRDefault="00E959BD" w:rsidP="00E959BD">
      <w:pPr>
        <w:pStyle w:val="BulletPoints"/>
      </w:pPr>
      <w:r w:rsidRPr="00E959BD">
        <w:rPr>
          <w:b/>
          <w:bCs/>
        </w:rPr>
        <w:t>Gaps and Ambiguities Log</w:t>
      </w:r>
      <w:r w:rsidRPr="00E959BD">
        <w:t xml:space="preserve"> identifying areas of uncertainty or inconsistency in the contract.</w:t>
      </w:r>
    </w:p>
    <w:p w14:paraId="29086030" w14:textId="77777777" w:rsidR="00E959BD" w:rsidRPr="00E959BD" w:rsidRDefault="00E959BD" w:rsidP="00E959BD">
      <w:pPr>
        <w:pStyle w:val="BulletPoints"/>
      </w:pPr>
      <w:r w:rsidRPr="00E959BD">
        <w:rPr>
          <w:b/>
          <w:bCs/>
        </w:rPr>
        <w:t>Review Summary Report</w:t>
      </w:r>
      <w:r w:rsidRPr="00E959BD">
        <w:t xml:space="preserve"> outlining key findings, risks and recommendations</w:t>
      </w:r>
    </w:p>
    <w:p w14:paraId="415EE848" w14:textId="77777777" w:rsidR="00E959BD" w:rsidRPr="00E959BD" w:rsidRDefault="00E959BD" w:rsidP="00E959BD">
      <w:pPr>
        <w:pStyle w:val="BulletPoints"/>
      </w:pPr>
      <w:r w:rsidRPr="00E959BD">
        <w:rPr>
          <w:b/>
          <w:bCs/>
        </w:rPr>
        <w:t>Inputs to the Contract Management Plan</w:t>
      </w:r>
      <w:r w:rsidRPr="00E959BD">
        <w:t xml:space="preserve"> where applicable, to support planning and governance.</w:t>
      </w:r>
    </w:p>
    <w:p w14:paraId="7101D9A3" w14:textId="77777777" w:rsidR="00E959BD" w:rsidRPr="00E959BD" w:rsidRDefault="00E959BD" w:rsidP="00E959BD">
      <w:pPr>
        <w:pStyle w:val="BulletPoints"/>
      </w:pPr>
      <w:r w:rsidRPr="00E959BD">
        <w:rPr>
          <w:b/>
          <w:bCs/>
        </w:rPr>
        <w:t>Presentation or briefing materials</w:t>
      </w:r>
      <w:r w:rsidRPr="00E959BD">
        <w:t xml:space="preserve"> to support internal or external communication of findings.</w:t>
      </w:r>
    </w:p>
    <w:p w14:paraId="6F0726FE" w14:textId="77777777" w:rsidR="00E959BD" w:rsidRPr="00E959BD" w:rsidRDefault="00E959BD" w:rsidP="00E959BD">
      <w:pPr>
        <w:pStyle w:val="SubHead0"/>
      </w:pPr>
      <w:r w:rsidRPr="00E959BD">
        <w:t>Timescales</w:t>
      </w:r>
    </w:p>
    <w:p w14:paraId="006FC3F5" w14:textId="77777777" w:rsidR="00E959BD" w:rsidRPr="00E959BD" w:rsidRDefault="00E959BD" w:rsidP="00E959BD">
      <w:pPr>
        <w:pStyle w:val="BODYCOPY"/>
        <w:tabs>
          <w:tab w:val="center" w:pos="1560"/>
          <w:tab w:val="left" w:pos="2552"/>
          <w:tab w:val="left" w:pos="3686"/>
          <w:tab w:val="left" w:pos="4678"/>
        </w:tabs>
      </w:pPr>
      <w:r w:rsidRPr="00E959BD">
        <w:t xml:space="preserve">Outline the timescales for the review. </w:t>
      </w:r>
      <w:r w:rsidRPr="00E959BD">
        <w:rPr>
          <w:i/>
          <w:iCs/>
        </w:rPr>
        <w:t>For example: The review will be conducted over a period of four weeks, starting from [start date] to [end date].</w:t>
      </w:r>
    </w:p>
    <w:p w14:paraId="5ABD2DD9" w14:textId="77777777" w:rsidR="00E959BD" w:rsidRPr="00E959BD" w:rsidRDefault="00E959BD" w:rsidP="00E959BD">
      <w:pPr>
        <w:pStyle w:val="SubHead0"/>
      </w:pPr>
      <w:r w:rsidRPr="00E959BD">
        <w:t>Roles and responsibilities</w:t>
      </w:r>
    </w:p>
    <w:p w14:paraId="2694BF3E" w14:textId="77777777" w:rsidR="00E959BD" w:rsidRPr="00E959BD" w:rsidRDefault="00E959BD" w:rsidP="00E959BD">
      <w:pPr>
        <w:pStyle w:val="BODYCOPY"/>
        <w:tabs>
          <w:tab w:val="center" w:pos="1560"/>
          <w:tab w:val="left" w:pos="2552"/>
          <w:tab w:val="left" w:pos="3686"/>
          <w:tab w:val="left" w:pos="4678"/>
        </w:tabs>
        <w:rPr>
          <w:i/>
          <w:iCs/>
        </w:rPr>
      </w:pPr>
      <w:r w:rsidRPr="00E959BD">
        <w:t xml:space="preserve">Define the roles and responsibilities of the team members involved in the review. </w:t>
      </w:r>
      <w:r w:rsidRPr="00E959BD">
        <w:rPr>
          <w:i/>
          <w:iCs/>
        </w:rPr>
        <w:t>For example:</w:t>
      </w:r>
    </w:p>
    <w:p w14:paraId="3379718F" w14:textId="77777777" w:rsidR="00E959BD" w:rsidRPr="00E959BD" w:rsidRDefault="00E959BD" w:rsidP="00E959BD">
      <w:pPr>
        <w:pStyle w:val="BODYCOPY"/>
        <w:numPr>
          <w:ilvl w:val="0"/>
          <w:numId w:val="19"/>
        </w:numPr>
        <w:tabs>
          <w:tab w:val="center" w:pos="1560"/>
          <w:tab w:val="left" w:pos="2552"/>
          <w:tab w:val="left" w:pos="3686"/>
          <w:tab w:val="left" w:pos="4678"/>
        </w:tabs>
        <w:rPr>
          <w:i/>
          <w:iCs/>
        </w:rPr>
      </w:pPr>
      <w:r w:rsidRPr="00E959BD">
        <w:rPr>
          <w:i/>
          <w:iCs/>
        </w:rPr>
        <w:t>Contract manager: Oversees the review process.</w:t>
      </w:r>
    </w:p>
    <w:p w14:paraId="55065217" w14:textId="77777777" w:rsidR="00E959BD" w:rsidRPr="00E959BD" w:rsidRDefault="00E959BD" w:rsidP="00E959BD">
      <w:pPr>
        <w:pStyle w:val="BODYCOPY"/>
        <w:numPr>
          <w:ilvl w:val="0"/>
          <w:numId w:val="19"/>
        </w:numPr>
        <w:tabs>
          <w:tab w:val="center" w:pos="1560"/>
          <w:tab w:val="left" w:pos="2552"/>
          <w:tab w:val="left" w:pos="3686"/>
          <w:tab w:val="left" w:pos="4678"/>
        </w:tabs>
        <w:rPr>
          <w:i/>
          <w:iCs/>
        </w:rPr>
      </w:pPr>
      <w:r w:rsidRPr="00E959BD">
        <w:rPr>
          <w:i/>
          <w:iCs/>
        </w:rPr>
        <w:t>Financial analyst: Conducts the financial compliance review.'</w:t>
      </w:r>
    </w:p>
    <w:p w14:paraId="6E881FB5" w14:textId="77777777" w:rsidR="00E959BD" w:rsidRPr="00E959BD" w:rsidRDefault="00E959BD" w:rsidP="00E959BD">
      <w:pPr>
        <w:pStyle w:val="SubHead0"/>
      </w:pPr>
      <w:r w:rsidRPr="00E959BD">
        <w:t>Constraints or dependencies</w:t>
      </w:r>
    </w:p>
    <w:p w14:paraId="77355D69" w14:textId="77777777" w:rsidR="00E959BD" w:rsidRPr="00E959BD" w:rsidRDefault="00E959BD" w:rsidP="00E959BD">
      <w:pPr>
        <w:pStyle w:val="BODYCOPY"/>
        <w:tabs>
          <w:tab w:val="center" w:pos="1560"/>
          <w:tab w:val="left" w:pos="2552"/>
          <w:tab w:val="left" w:pos="3686"/>
          <w:tab w:val="left" w:pos="4678"/>
        </w:tabs>
        <w:rPr>
          <w:i/>
          <w:iCs/>
        </w:rPr>
      </w:pPr>
      <w:r w:rsidRPr="00E959BD">
        <w:t xml:space="preserve">Identify any constraints or dependencies that may impact the review. </w:t>
      </w:r>
      <w:r w:rsidRPr="00E959BD">
        <w:rPr>
          <w:i/>
          <w:iCs/>
        </w:rPr>
        <w:t>For example:</w:t>
      </w:r>
    </w:p>
    <w:p w14:paraId="554D6C52" w14:textId="77777777" w:rsidR="00E959BD" w:rsidRPr="00E959BD" w:rsidRDefault="00E959BD" w:rsidP="00E959BD">
      <w:pPr>
        <w:pStyle w:val="BulletPoints"/>
        <w:rPr>
          <w:i/>
          <w:iCs/>
        </w:rPr>
      </w:pPr>
      <w:r w:rsidRPr="00E959BD">
        <w:rPr>
          <w:i/>
          <w:iCs/>
        </w:rPr>
        <w:t>Availability of key documents.</w:t>
      </w:r>
    </w:p>
    <w:p w14:paraId="733FF9AF" w14:textId="16416447" w:rsidR="00E959BD" w:rsidRPr="00E959BD" w:rsidRDefault="00E959BD" w:rsidP="00E959BD">
      <w:pPr>
        <w:pStyle w:val="BulletPoints"/>
        <w:rPr>
          <w:i/>
          <w:iCs/>
        </w:rPr>
      </w:pPr>
      <w:r w:rsidRPr="00E959BD">
        <w:rPr>
          <w:i/>
          <w:iCs/>
        </w:rPr>
        <w:t>Coordination with external advisors.</w:t>
      </w:r>
    </w:p>
    <w:sectPr w:rsidR="00E959BD" w:rsidRPr="00E959BD" w:rsidSect="006630BB">
      <w:footerReference w:type="default" r:id="rId9"/>
      <w:headerReference w:type="first" r:id="rId10"/>
      <w:type w:val="continuous"/>
      <w:pgSz w:w="11900" w:h="16840"/>
      <w:pgMar w:top="593" w:right="779" w:bottom="1237" w:left="873" w:header="12" w:footer="356"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9BC4D" w14:textId="77777777" w:rsidR="00C12680" w:rsidRDefault="00C12680">
      <w:pPr>
        <w:spacing w:line="240" w:lineRule="auto"/>
      </w:pPr>
      <w:r>
        <w:separator/>
      </w:r>
    </w:p>
  </w:endnote>
  <w:endnote w:type="continuationSeparator" w:id="0">
    <w:p w14:paraId="4DA71907" w14:textId="77777777" w:rsidR="00C12680" w:rsidRDefault="00C126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8BD078A9-6043-514E-85B2-3CCB9F740293}"/>
  </w:font>
  <w:font w:name="Times New Roman">
    <w:panose1 w:val="02020603050405020304"/>
    <w:charset w:val="00"/>
    <w:family w:val="roman"/>
    <w:pitch w:val="variable"/>
    <w:sig w:usb0="E0002EFF" w:usb1="C000785B" w:usb2="00000009" w:usb3="00000000" w:csb0="000001FF" w:csb1="00000000"/>
    <w:embedRegular r:id="rId2" w:fontKey="{1CD24603-CC8F-1844-94DA-E69B8724D789}"/>
    <w:embedBold r:id="rId3" w:fontKey="{DE37F576-2DD2-A842-A384-7BC58D38FF22}"/>
    <w:embedItalic r:id="rId4" w:fontKey="{85A8E602-62C8-374F-9249-0273DB7EB8B5}"/>
  </w:font>
  <w:font w:name="Courier New">
    <w:panose1 w:val="02070309020205020404"/>
    <w:charset w:val="00"/>
    <w:family w:val="modern"/>
    <w:pitch w:val="fixed"/>
    <w:sig w:usb0="E0002EFF" w:usb1="C0007843" w:usb2="00000009" w:usb3="00000000" w:csb0="000001FF" w:csb1="00000000"/>
    <w:embedRegular r:id="rId5" w:fontKey="{133816A9-8E98-9F4B-8E4A-E946E7332441}"/>
  </w:font>
  <w:font w:name="Wingdings">
    <w:panose1 w:val="05000000000000000000"/>
    <w:charset w:val="4D"/>
    <w:family w:val="decorative"/>
    <w:pitch w:val="variable"/>
    <w:sig w:usb0="00000003" w:usb1="00000000" w:usb2="00000000" w:usb3="00000000" w:csb0="80000001" w:csb1="00000000"/>
    <w:embedRegular r:id="rId6" w:fontKey="{67485118-BAEA-8446-B7ED-9766B70DF646}"/>
  </w:font>
  <w:font w:name="Arial">
    <w:panose1 w:val="020B0604020202020204"/>
    <w:charset w:val="00"/>
    <w:family w:val="swiss"/>
    <w:pitch w:val="variable"/>
    <w:sig w:usb0="E0002EFF" w:usb1="C000785B" w:usb2="00000009" w:usb3="00000000" w:csb0="000001FF" w:csb1="00000000"/>
    <w:embedRegular r:id="rId7" w:fontKey="{7C9A65B7-A557-E44E-9625-2F413B611BB0}"/>
    <w:embedBold r:id="rId8" w:fontKey="{1D382DD4-3E62-D24F-904B-CFCF80F0BE36}"/>
    <w:embedItalic r:id="rId9" w:fontKey="{B5F7C831-C633-534C-A45A-3F8E7B794A79}"/>
    <w:embedBoldItalic r:id="rId10" w:fontKey="{2E9B2D8A-1320-3F46-B7FD-48B51D4F9290}"/>
  </w:font>
  <w:font w:name="Calibri">
    <w:panose1 w:val="020F0502020204030204"/>
    <w:charset w:val="00"/>
    <w:family w:val="swiss"/>
    <w:pitch w:val="variable"/>
    <w:sig w:usb0="E4002EFF" w:usb1="C200247B" w:usb2="00000009" w:usb3="00000000" w:csb0="000001FF" w:csb1="00000000"/>
    <w:embedRegular r:id="rId11" w:fontKey="{C4FAA4D9-C2DA-F745-8F42-75D8277E659E}"/>
    <w:embedBold r:id="rId12" w:fontKey="{0CCB0657-52C7-1E4D-BFD3-E92CD7781B0C}"/>
    <w:embedItalic r:id="rId13" w:fontKey="{1E6414DA-F5F4-DE42-A44C-56486D370EBB}"/>
  </w:font>
  <w:font w:name="Poppins ExtraBold">
    <w:panose1 w:val="00000900000000000000"/>
    <w:charset w:val="4D"/>
    <w:family w:val="auto"/>
    <w:pitch w:val="variable"/>
    <w:sig w:usb0="00008007" w:usb1="00000000" w:usb2="00000000" w:usb3="00000000" w:csb0="00000093" w:csb1="00000000"/>
    <w:embedBold r:id="rId14" w:fontKey="{0EF3D0BE-4818-C643-96DD-BFECD0E5B38A}"/>
  </w:font>
  <w:font w:name="Poppins">
    <w:panose1 w:val="00000500000000000000"/>
    <w:charset w:val="4D"/>
    <w:family w:val="auto"/>
    <w:pitch w:val="variable"/>
    <w:sig w:usb0="00008007" w:usb1="00000000" w:usb2="00000000" w:usb3="00000000" w:csb0="00000093" w:csb1="00000000"/>
    <w:embedRegular r:id="rId15" w:fontKey="{05C33C4C-4436-A345-A521-4D42426C3030}"/>
    <w:embedBold r:id="rId16" w:fontKey="{A9EF7496-D068-2441-81ED-5AC142CF72F5}"/>
    <w:embedItalic r:id="rId17" w:fontKey="{F2EEB927-12DD-8C4A-B849-4863D833CF15}"/>
  </w:font>
  <w:font w:name="Poppins Light">
    <w:altName w:val="Poppins Light"/>
    <w:panose1 w:val="00000400000000000000"/>
    <w:charset w:val="4D"/>
    <w:family w:val="auto"/>
    <w:notTrueType/>
    <w:pitch w:val="variable"/>
    <w:sig w:usb0="00008007" w:usb1="00000000" w:usb2="00000000" w:usb3="00000000" w:csb0="00000093" w:csb1="00000000"/>
  </w:font>
  <w:font w:name="Cambria">
    <w:panose1 w:val="02040503050406030204"/>
    <w:charset w:val="00"/>
    <w:family w:val="roman"/>
    <w:pitch w:val="variable"/>
    <w:sig w:usb0="E00002FF" w:usb1="400004FF" w:usb2="00000000" w:usb3="00000000" w:csb0="0000019F" w:csb1="00000000"/>
    <w:embedRegular r:id="rId18" w:fontKey="{197E877E-04A0-E044-A0A4-BE38068E2F33}"/>
    <w:embedBold r:id="rId19" w:fontKey="{25C60E7D-7C1B-5C4F-AB48-344265DB0AB9}"/>
  </w:font>
  <w:font w:name="Segoe UI Symbol">
    <w:panose1 w:val="020B0502040204020203"/>
    <w:charset w:val="00"/>
    <w:family w:val="swiss"/>
    <w:pitch w:val="variable"/>
    <w:sig w:usb0="800001E3" w:usb1="1200FFEF" w:usb2="00040000" w:usb3="00000000" w:csb0="00000001" w:csb1="00000000"/>
    <w:embedBold r:id="rId20" w:fontKey="{5C82E6FA-E694-6A4F-9629-40CF489273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4D1CE" w14:textId="77777777" w:rsidR="00D43A33" w:rsidRPr="00D43A33" w:rsidRDefault="00D43A33" w:rsidP="00D43A33">
    <w:pPr>
      <w:pStyle w:val="Footer"/>
      <w:jc w:val="center"/>
      <w:rPr>
        <w:rFonts w:ascii="Poppins" w:hAnsi="Poppins" w:cs="Poppins"/>
        <w:sz w:val="24"/>
        <w:szCs w:val="24"/>
      </w:rPr>
    </w:pPr>
    <w:r w:rsidRPr="00D43A33">
      <w:rPr>
        <w:rFonts w:ascii="Poppins" w:hAnsi="Poppins" w:cs="Poppins"/>
        <w:sz w:val="24"/>
        <w:szCs w:val="24"/>
      </w:rPr>
      <w:fldChar w:fldCharType="begin"/>
    </w:r>
    <w:r w:rsidRPr="00D43A33">
      <w:rPr>
        <w:rFonts w:ascii="Poppins" w:hAnsi="Poppins" w:cs="Poppins"/>
        <w:sz w:val="24"/>
        <w:szCs w:val="24"/>
      </w:rPr>
      <w:instrText>PAGE   \* MERGEFORMAT</w:instrText>
    </w:r>
    <w:r w:rsidRPr="00D43A33">
      <w:rPr>
        <w:rFonts w:ascii="Poppins" w:hAnsi="Poppins" w:cs="Poppins"/>
        <w:sz w:val="24"/>
        <w:szCs w:val="24"/>
      </w:rPr>
      <w:fldChar w:fldCharType="separate"/>
    </w:r>
    <w:r w:rsidRPr="00D43A33">
      <w:rPr>
        <w:rFonts w:ascii="Poppins" w:hAnsi="Poppins" w:cs="Poppins"/>
        <w:sz w:val="24"/>
        <w:szCs w:val="24"/>
      </w:rPr>
      <w:t>2</w:t>
    </w:r>
    <w:r w:rsidRPr="00D43A33">
      <w:rPr>
        <w:rFonts w:ascii="Poppins" w:hAnsi="Poppins" w:cs="Poppins"/>
        <w:sz w:val="24"/>
        <w:szCs w:val="24"/>
      </w:rPr>
      <w:fldChar w:fldCharType="end"/>
    </w:r>
  </w:p>
  <w:p w14:paraId="7A3FE95B" w14:textId="57622AE7" w:rsidR="00595807" w:rsidRPr="00D43A33" w:rsidRDefault="00595807" w:rsidP="00D43A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30F688" w14:textId="77777777" w:rsidR="00C12680" w:rsidRDefault="00C12680">
      <w:pPr>
        <w:spacing w:line="240" w:lineRule="auto"/>
      </w:pPr>
      <w:r>
        <w:separator/>
      </w:r>
    </w:p>
  </w:footnote>
  <w:footnote w:type="continuationSeparator" w:id="0">
    <w:p w14:paraId="0E02F9B4" w14:textId="77777777" w:rsidR="00C12680" w:rsidRDefault="00C126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ED93B" w14:textId="298BCB35" w:rsidR="00C458E3" w:rsidRDefault="00523F3F" w:rsidP="00E55F8C">
    <w:pPr>
      <w:pStyle w:val="BODYCOPY"/>
    </w:pPr>
    <w:r>
      <w:rPr>
        <w:noProof/>
      </w:rPr>
      <w:drawing>
        <wp:anchor distT="0" distB="0" distL="114300" distR="114300" simplePos="0" relativeHeight="251659264" behindDoc="1" locked="0" layoutInCell="1" allowOverlap="1" wp14:anchorId="3A61BCB0" wp14:editId="559CD4FB">
          <wp:simplePos x="0" y="0"/>
          <wp:positionH relativeFrom="column">
            <wp:posOffset>-2614526</wp:posOffset>
          </wp:positionH>
          <wp:positionV relativeFrom="paragraph">
            <wp:posOffset>6350</wp:posOffset>
          </wp:positionV>
          <wp:extent cx="12312000" cy="10655258"/>
          <wp:effectExtent l="0" t="0" r="0" b="635"/>
          <wp:wrapNone/>
          <wp:docPr id="143492692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4926928"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2312000" cy="10655258"/>
                  </a:xfrm>
                  <a:prstGeom prst="rect">
                    <a:avLst/>
                  </a:prstGeom>
                </pic:spPr>
              </pic:pic>
            </a:graphicData>
          </a:graphic>
          <wp14:sizeRelH relativeFrom="margin">
            <wp14:pctWidth>0</wp14:pctWidth>
          </wp14:sizeRelH>
          <wp14:sizeRelV relativeFrom="margin">
            <wp14:pctHeight>0</wp14:pctHeight>
          </wp14:sizeRelV>
        </wp:anchor>
      </w:drawing>
    </w:r>
    <w:r w:rsidR="00EB2240">
      <w:rPr>
        <w:noProof/>
      </w:rPr>
      <w:drawing>
        <wp:anchor distT="0" distB="0" distL="114300" distR="114300" simplePos="0" relativeHeight="251660288" behindDoc="1" locked="0" layoutInCell="1" allowOverlap="1" wp14:anchorId="0A219ABB" wp14:editId="72FF702A">
          <wp:simplePos x="0" y="0"/>
          <wp:positionH relativeFrom="column">
            <wp:posOffset>0</wp:posOffset>
          </wp:positionH>
          <wp:positionV relativeFrom="paragraph">
            <wp:posOffset>511810</wp:posOffset>
          </wp:positionV>
          <wp:extent cx="2425065" cy="1058545"/>
          <wp:effectExtent l="0" t="0" r="635" b="0"/>
          <wp:wrapNone/>
          <wp:docPr id="2293676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57929" name="Picture 2142357929"/>
                  <pic:cNvPicPr/>
                </pic:nvPicPr>
                <pic:blipFill>
                  <a:blip r:embed="rId2">
                    <a:extLst>
                      <a:ext uri="{28A0092B-C50C-407E-A947-70E740481C1C}">
                        <a14:useLocalDpi xmlns:a14="http://schemas.microsoft.com/office/drawing/2010/main" val="0"/>
                      </a:ext>
                    </a:extLst>
                  </a:blip>
                  <a:stretch>
                    <a:fillRect/>
                  </a:stretch>
                </pic:blipFill>
                <pic:spPr>
                  <a:xfrm>
                    <a:off x="0" y="0"/>
                    <a:ext cx="2425065" cy="105854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33856" w14:textId="77777777" w:rsidR="00D5717C" w:rsidRDefault="00D5717C" w:rsidP="00E55F8C">
    <w:pPr>
      <w:pStyle w:val="BODYCOPY"/>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8D234"/>
    <w:multiLevelType w:val="hybridMultilevel"/>
    <w:tmpl w:val="7FF66498"/>
    <w:lvl w:ilvl="0" w:tplc="AE50ABDE">
      <w:start w:val="1"/>
      <w:numFmt w:val="bullet"/>
      <w:lvlText w:val=""/>
      <w:lvlJc w:val="left"/>
      <w:pPr>
        <w:ind w:left="720" w:hanging="360"/>
      </w:pPr>
      <w:rPr>
        <w:rFonts w:ascii="Symbol" w:hAnsi="Symbol" w:hint="default"/>
      </w:rPr>
    </w:lvl>
    <w:lvl w:ilvl="1" w:tplc="008E8770">
      <w:start w:val="1"/>
      <w:numFmt w:val="bullet"/>
      <w:lvlText w:val="o"/>
      <w:lvlJc w:val="left"/>
      <w:pPr>
        <w:ind w:left="1440" w:hanging="360"/>
      </w:pPr>
      <w:rPr>
        <w:rFonts w:ascii="Courier New" w:hAnsi="Courier New" w:hint="default"/>
      </w:rPr>
    </w:lvl>
    <w:lvl w:ilvl="2" w:tplc="7E7A9690">
      <w:start w:val="1"/>
      <w:numFmt w:val="bullet"/>
      <w:lvlText w:val=""/>
      <w:lvlJc w:val="left"/>
      <w:pPr>
        <w:ind w:left="2160" w:hanging="360"/>
      </w:pPr>
      <w:rPr>
        <w:rFonts w:ascii="Wingdings" w:hAnsi="Wingdings" w:hint="default"/>
      </w:rPr>
    </w:lvl>
    <w:lvl w:ilvl="3" w:tplc="76D68BC6">
      <w:start w:val="1"/>
      <w:numFmt w:val="bullet"/>
      <w:lvlText w:val=""/>
      <w:lvlJc w:val="left"/>
      <w:pPr>
        <w:ind w:left="2880" w:hanging="360"/>
      </w:pPr>
      <w:rPr>
        <w:rFonts w:ascii="Symbol" w:hAnsi="Symbol" w:hint="default"/>
      </w:rPr>
    </w:lvl>
    <w:lvl w:ilvl="4" w:tplc="D0B2F27C">
      <w:start w:val="1"/>
      <w:numFmt w:val="bullet"/>
      <w:lvlText w:val="o"/>
      <w:lvlJc w:val="left"/>
      <w:pPr>
        <w:ind w:left="3600" w:hanging="360"/>
      </w:pPr>
      <w:rPr>
        <w:rFonts w:ascii="Courier New" w:hAnsi="Courier New" w:hint="default"/>
      </w:rPr>
    </w:lvl>
    <w:lvl w:ilvl="5" w:tplc="42320DA8">
      <w:start w:val="1"/>
      <w:numFmt w:val="bullet"/>
      <w:lvlText w:val=""/>
      <w:lvlJc w:val="left"/>
      <w:pPr>
        <w:ind w:left="4320" w:hanging="360"/>
      </w:pPr>
      <w:rPr>
        <w:rFonts w:ascii="Wingdings" w:hAnsi="Wingdings" w:hint="default"/>
      </w:rPr>
    </w:lvl>
    <w:lvl w:ilvl="6" w:tplc="5D2CD062">
      <w:start w:val="1"/>
      <w:numFmt w:val="bullet"/>
      <w:lvlText w:val=""/>
      <w:lvlJc w:val="left"/>
      <w:pPr>
        <w:ind w:left="5040" w:hanging="360"/>
      </w:pPr>
      <w:rPr>
        <w:rFonts w:ascii="Symbol" w:hAnsi="Symbol" w:hint="default"/>
      </w:rPr>
    </w:lvl>
    <w:lvl w:ilvl="7" w:tplc="C55266FA">
      <w:start w:val="1"/>
      <w:numFmt w:val="bullet"/>
      <w:lvlText w:val="o"/>
      <w:lvlJc w:val="left"/>
      <w:pPr>
        <w:ind w:left="5760" w:hanging="360"/>
      </w:pPr>
      <w:rPr>
        <w:rFonts w:ascii="Courier New" w:hAnsi="Courier New" w:hint="default"/>
      </w:rPr>
    </w:lvl>
    <w:lvl w:ilvl="8" w:tplc="DC22B6FC">
      <w:start w:val="1"/>
      <w:numFmt w:val="bullet"/>
      <w:lvlText w:val=""/>
      <w:lvlJc w:val="left"/>
      <w:pPr>
        <w:ind w:left="6480" w:hanging="360"/>
      </w:pPr>
      <w:rPr>
        <w:rFonts w:ascii="Wingdings" w:hAnsi="Wingdings" w:hint="default"/>
      </w:rPr>
    </w:lvl>
  </w:abstractNum>
  <w:abstractNum w:abstractNumId="1" w15:restartNumberingAfterBreak="0">
    <w:nsid w:val="03B64D8B"/>
    <w:multiLevelType w:val="hybridMultilevel"/>
    <w:tmpl w:val="C304FAA6"/>
    <w:lvl w:ilvl="0" w:tplc="3B0812BC">
      <w:start w:val="1"/>
      <w:numFmt w:val="bullet"/>
      <w:lvlText w:val=""/>
      <w:lvlJc w:val="left"/>
      <w:pPr>
        <w:ind w:left="720" w:hanging="360"/>
      </w:pPr>
      <w:rPr>
        <w:rFonts w:ascii="Symbol" w:hAnsi="Symbol" w:hint="default"/>
      </w:rPr>
    </w:lvl>
    <w:lvl w:ilvl="1" w:tplc="32A2F1D4">
      <w:start w:val="1"/>
      <w:numFmt w:val="bullet"/>
      <w:lvlText w:val="o"/>
      <w:lvlJc w:val="left"/>
      <w:pPr>
        <w:ind w:left="1440" w:hanging="360"/>
      </w:pPr>
      <w:rPr>
        <w:rFonts w:ascii="Courier New" w:hAnsi="Courier New" w:hint="default"/>
      </w:rPr>
    </w:lvl>
    <w:lvl w:ilvl="2" w:tplc="DCEC0750">
      <w:start w:val="1"/>
      <w:numFmt w:val="bullet"/>
      <w:lvlText w:val=""/>
      <w:lvlJc w:val="left"/>
      <w:pPr>
        <w:ind w:left="2160" w:hanging="360"/>
      </w:pPr>
      <w:rPr>
        <w:rFonts w:ascii="Wingdings" w:hAnsi="Wingdings" w:hint="default"/>
      </w:rPr>
    </w:lvl>
    <w:lvl w:ilvl="3" w:tplc="E56882CA">
      <w:start w:val="1"/>
      <w:numFmt w:val="bullet"/>
      <w:lvlText w:val=""/>
      <w:lvlJc w:val="left"/>
      <w:pPr>
        <w:ind w:left="2880" w:hanging="360"/>
      </w:pPr>
      <w:rPr>
        <w:rFonts w:ascii="Symbol" w:hAnsi="Symbol" w:hint="default"/>
      </w:rPr>
    </w:lvl>
    <w:lvl w:ilvl="4" w:tplc="FC8629AE">
      <w:start w:val="1"/>
      <w:numFmt w:val="bullet"/>
      <w:lvlText w:val="o"/>
      <w:lvlJc w:val="left"/>
      <w:pPr>
        <w:ind w:left="3600" w:hanging="360"/>
      </w:pPr>
      <w:rPr>
        <w:rFonts w:ascii="Courier New" w:hAnsi="Courier New" w:hint="default"/>
      </w:rPr>
    </w:lvl>
    <w:lvl w:ilvl="5" w:tplc="6994CB84">
      <w:start w:val="1"/>
      <w:numFmt w:val="bullet"/>
      <w:lvlText w:val=""/>
      <w:lvlJc w:val="left"/>
      <w:pPr>
        <w:ind w:left="4320" w:hanging="360"/>
      </w:pPr>
      <w:rPr>
        <w:rFonts w:ascii="Wingdings" w:hAnsi="Wingdings" w:hint="default"/>
      </w:rPr>
    </w:lvl>
    <w:lvl w:ilvl="6" w:tplc="4078B042">
      <w:start w:val="1"/>
      <w:numFmt w:val="bullet"/>
      <w:lvlText w:val=""/>
      <w:lvlJc w:val="left"/>
      <w:pPr>
        <w:ind w:left="5040" w:hanging="360"/>
      </w:pPr>
      <w:rPr>
        <w:rFonts w:ascii="Symbol" w:hAnsi="Symbol" w:hint="default"/>
      </w:rPr>
    </w:lvl>
    <w:lvl w:ilvl="7" w:tplc="55E46932">
      <w:start w:val="1"/>
      <w:numFmt w:val="bullet"/>
      <w:lvlText w:val="o"/>
      <w:lvlJc w:val="left"/>
      <w:pPr>
        <w:ind w:left="5760" w:hanging="360"/>
      </w:pPr>
      <w:rPr>
        <w:rFonts w:ascii="Courier New" w:hAnsi="Courier New" w:hint="default"/>
      </w:rPr>
    </w:lvl>
    <w:lvl w:ilvl="8" w:tplc="33189826">
      <w:start w:val="1"/>
      <w:numFmt w:val="bullet"/>
      <w:lvlText w:val=""/>
      <w:lvlJc w:val="left"/>
      <w:pPr>
        <w:ind w:left="6480" w:hanging="360"/>
      </w:pPr>
      <w:rPr>
        <w:rFonts w:ascii="Wingdings" w:hAnsi="Wingdings" w:hint="default"/>
      </w:rPr>
    </w:lvl>
  </w:abstractNum>
  <w:abstractNum w:abstractNumId="2" w15:restartNumberingAfterBreak="0">
    <w:nsid w:val="05AF0A99"/>
    <w:multiLevelType w:val="hybridMultilevel"/>
    <w:tmpl w:val="B67A196A"/>
    <w:lvl w:ilvl="0" w:tplc="5E264CF4">
      <w:start w:val="1"/>
      <w:numFmt w:val="bullet"/>
      <w:lvlText w:val=""/>
      <w:lvlJc w:val="left"/>
      <w:pPr>
        <w:ind w:left="720" w:hanging="360"/>
      </w:pPr>
      <w:rPr>
        <w:rFonts w:ascii="Symbol" w:hAnsi="Symbol" w:hint="default"/>
      </w:rPr>
    </w:lvl>
    <w:lvl w:ilvl="1" w:tplc="9942F09C">
      <w:start w:val="1"/>
      <w:numFmt w:val="bullet"/>
      <w:lvlText w:val="o"/>
      <w:lvlJc w:val="left"/>
      <w:pPr>
        <w:ind w:left="1440" w:hanging="360"/>
      </w:pPr>
      <w:rPr>
        <w:rFonts w:ascii="Courier New" w:hAnsi="Courier New" w:hint="default"/>
      </w:rPr>
    </w:lvl>
    <w:lvl w:ilvl="2" w:tplc="14E60182">
      <w:start w:val="1"/>
      <w:numFmt w:val="bullet"/>
      <w:lvlText w:val=""/>
      <w:lvlJc w:val="left"/>
      <w:pPr>
        <w:ind w:left="2160" w:hanging="360"/>
      </w:pPr>
      <w:rPr>
        <w:rFonts w:ascii="Wingdings" w:hAnsi="Wingdings" w:hint="default"/>
      </w:rPr>
    </w:lvl>
    <w:lvl w:ilvl="3" w:tplc="55921BDE">
      <w:start w:val="1"/>
      <w:numFmt w:val="bullet"/>
      <w:lvlText w:val=""/>
      <w:lvlJc w:val="left"/>
      <w:pPr>
        <w:ind w:left="2880" w:hanging="360"/>
      </w:pPr>
      <w:rPr>
        <w:rFonts w:ascii="Symbol" w:hAnsi="Symbol" w:hint="default"/>
      </w:rPr>
    </w:lvl>
    <w:lvl w:ilvl="4" w:tplc="767609F6">
      <w:start w:val="1"/>
      <w:numFmt w:val="bullet"/>
      <w:lvlText w:val="o"/>
      <w:lvlJc w:val="left"/>
      <w:pPr>
        <w:ind w:left="3600" w:hanging="360"/>
      </w:pPr>
      <w:rPr>
        <w:rFonts w:ascii="Courier New" w:hAnsi="Courier New" w:hint="default"/>
      </w:rPr>
    </w:lvl>
    <w:lvl w:ilvl="5" w:tplc="71F2D26A">
      <w:start w:val="1"/>
      <w:numFmt w:val="bullet"/>
      <w:lvlText w:val=""/>
      <w:lvlJc w:val="left"/>
      <w:pPr>
        <w:ind w:left="4320" w:hanging="360"/>
      </w:pPr>
      <w:rPr>
        <w:rFonts w:ascii="Wingdings" w:hAnsi="Wingdings" w:hint="default"/>
      </w:rPr>
    </w:lvl>
    <w:lvl w:ilvl="6" w:tplc="C7F0FEBC">
      <w:start w:val="1"/>
      <w:numFmt w:val="bullet"/>
      <w:lvlText w:val=""/>
      <w:lvlJc w:val="left"/>
      <w:pPr>
        <w:ind w:left="5040" w:hanging="360"/>
      </w:pPr>
      <w:rPr>
        <w:rFonts w:ascii="Symbol" w:hAnsi="Symbol" w:hint="default"/>
      </w:rPr>
    </w:lvl>
    <w:lvl w:ilvl="7" w:tplc="F942201A">
      <w:start w:val="1"/>
      <w:numFmt w:val="bullet"/>
      <w:lvlText w:val="o"/>
      <w:lvlJc w:val="left"/>
      <w:pPr>
        <w:ind w:left="5760" w:hanging="360"/>
      </w:pPr>
      <w:rPr>
        <w:rFonts w:ascii="Courier New" w:hAnsi="Courier New" w:hint="default"/>
      </w:rPr>
    </w:lvl>
    <w:lvl w:ilvl="8" w:tplc="EF3EB748">
      <w:start w:val="1"/>
      <w:numFmt w:val="bullet"/>
      <w:lvlText w:val=""/>
      <w:lvlJc w:val="left"/>
      <w:pPr>
        <w:ind w:left="6480" w:hanging="360"/>
      </w:pPr>
      <w:rPr>
        <w:rFonts w:ascii="Wingdings" w:hAnsi="Wingdings" w:hint="default"/>
      </w:rPr>
    </w:lvl>
  </w:abstractNum>
  <w:abstractNum w:abstractNumId="3" w15:restartNumberingAfterBreak="0">
    <w:nsid w:val="09D618B9"/>
    <w:multiLevelType w:val="multilevel"/>
    <w:tmpl w:val="7368D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30AAAC"/>
    <w:multiLevelType w:val="hybridMultilevel"/>
    <w:tmpl w:val="F75C1470"/>
    <w:lvl w:ilvl="0" w:tplc="6D6ADBB6">
      <w:start w:val="1"/>
      <w:numFmt w:val="bullet"/>
      <w:lvlText w:val=""/>
      <w:lvlJc w:val="left"/>
      <w:pPr>
        <w:ind w:left="720" w:hanging="360"/>
      </w:pPr>
      <w:rPr>
        <w:rFonts w:ascii="Symbol" w:hAnsi="Symbol" w:hint="default"/>
      </w:rPr>
    </w:lvl>
    <w:lvl w:ilvl="1" w:tplc="6250EB10">
      <w:start w:val="1"/>
      <w:numFmt w:val="bullet"/>
      <w:lvlText w:val="o"/>
      <w:lvlJc w:val="left"/>
      <w:pPr>
        <w:ind w:left="1440" w:hanging="360"/>
      </w:pPr>
      <w:rPr>
        <w:rFonts w:ascii="Courier New" w:hAnsi="Courier New" w:hint="default"/>
      </w:rPr>
    </w:lvl>
    <w:lvl w:ilvl="2" w:tplc="849834F4">
      <w:start w:val="1"/>
      <w:numFmt w:val="bullet"/>
      <w:lvlText w:val=""/>
      <w:lvlJc w:val="left"/>
      <w:pPr>
        <w:ind w:left="2160" w:hanging="360"/>
      </w:pPr>
      <w:rPr>
        <w:rFonts w:ascii="Wingdings" w:hAnsi="Wingdings" w:hint="default"/>
      </w:rPr>
    </w:lvl>
    <w:lvl w:ilvl="3" w:tplc="BDFC2804">
      <w:start w:val="1"/>
      <w:numFmt w:val="bullet"/>
      <w:lvlText w:val=""/>
      <w:lvlJc w:val="left"/>
      <w:pPr>
        <w:ind w:left="2880" w:hanging="360"/>
      </w:pPr>
      <w:rPr>
        <w:rFonts w:ascii="Symbol" w:hAnsi="Symbol" w:hint="default"/>
      </w:rPr>
    </w:lvl>
    <w:lvl w:ilvl="4" w:tplc="867013C0">
      <w:start w:val="1"/>
      <w:numFmt w:val="bullet"/>
      <w:lvlText w:val="o"/>
      <w:lvlJc w:val="left"/>
      <w:pPr>
        <w:ind w:left="3600" w:hanging="360"/>
      </w:pPr>
      <w:rPr>
        <w:rFonts w:ascii="Courier New" w:hAnsi="Courier New" w:hint="default"/>
      </w:rPr>
    </w:lvl>
    <w:lvl w:ilvl="5" w:tplc="07328488">
      <w:start w:val="1"/>
      <w:numFmt w:val="bullet"/>
      <w:lvlText w:val=""/>
      <w:lvlJc w:val="left"/>
      <w:pPr>
        <w:ind w:left="4320" w:hanging="360"/>
      </w:pPr>
      <w:rPr>
        <w:rFonts w:ascii="Wingdings" w:hAnsi="Wingdings" w:hint="default"/>
      </w:rPr>
    </w:lvl>
    <w:lvl w:ilvl="6" w:tplc="F306CB96">
      <w:start w:val="1"/>
      <w:numFmt w:val="bullet"/>
      <w:lvlText w:val=""/>
      <w:lvlJc w:val="left"/>
      <w:pPr>
        <w:ind w:left="5040" w:hanging="360"/>
      </w:pPr>
      <w:rPr>
        <w:rFonts w:ascii="Symbol" w:hAnsi="Symbol" w:hint="default"/>
      </w:rPr>
    </w:lvl>
    <w:lvl w:ilvl="7" w:tplc="CBEA67C0">
      <w:start w:val="1"/>
      <w:numFmt w:val="bullet"/>
      <w:lvlText w:val="o"/>
      <w:lvlJc w:val="left"/>
      <w:pPr>
        <w:ind w:left="5760" w:hanging="360"/>
      </w:pPr>
      <w:rPr>
        <w:rFonts w:ascii="Courier New" w:hAnsi="Courier New" w:hint="default"/>
      </w:rPr>
    </w:lvl>
    <w:lvl w:ilvl="8" w:tplc="CCDA6CD2">
      <w:start w:val="1"/>
      <w:numFmt w:val="bullet"/>
      <w:lvlText w:val=""/>
      <w:lvlJc w:val="left"/>
      <w:pPr>
        <w:ind w:left="6480" w:hanging="360"/>
      </w:pPr>
      <w:rPr>
        <w:rFonts w:ascii="Wingdings" w:hAnsi="Wingdings" w:hint="default"/>
      </w:rPr>
    </w:lvl>
  </w:abstractNum>
  <w:abstractNum w:abstractNumId="5" w15:restartNumberingAfterBreak="0">
    <w:nsid w:val="0CA0198D"/>
    <w:multiLevelType w:val="multilevel"/>
    <w:tmpl w:val="D1C6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AE0D3F"/>
    <w:multiLevelType w:val="hybridMultilevel"/>
    <w:tmpl w:val="90F22746"/>
    <w:lvl w:ilvl="0" w:tplc="0809000F">
      <w:start w:val="1"/>
      <w:numFmt w:val="decimal"/>
      <w:lvlText w:val="%1."/>
      <w:lvlJc w:val="left"/>
      <w:pPr>
        <w:ind w:left="833" w:hanging="360"/>
      </w:pPr>
    </w:lvl>
    <w:lvl w:ilvl="1" w:tplc="FFFFFFFF" w:tentative="1">
      <w:start w:val="1"/>
      <w:numFmt w:val="lowerLetter"/>
      <w:lvlText w:val="%2."/>
      <w:lvlJc w:val="left"/>
      <w:pPr>
        <w:ind w:left="1553" w:hanging="360"/>
      </w:pPr>
    </w:lvl>
    <w:lvl w:ilvl="2" w:tplc="FFFFFFFF" w:tentative="1">
      <w:start w:val="1"/>
      <w:numFmt w:val="lowerRoman"/>
      <w:lvlText w:val="%3."/>
      <w:lvlJc w:val="right"/>
      <w:pPr>
        <w:ind w:left="2273" w:hanging="180"/>
      </w:pPr>
    </w:lvl>
    <w:lvl w:ilvl="3" w:tplc="FFFFFFFF" w:tentative="1">
      <w:start w:val="1"/>
      <w:numFmt w:val="decimal"/>
      <w:lvlText w:val="%4."/>
      <w:lvlJc w:val="left"/>
      <w:pPr>
        <w:ind w:left="2993" w:hanging="360"/>
      </w:pPr>
    </w:lvl>
    <w:lvl w:ilvl="4" w:tplc="FFFFFFFF" w:tentative="1">
      <w:start w:val="1"/>
      <w:numFmt w:val="lowerLetter"/>
      <w:lvlText w:val="%5."/>
      <w:lvlJc w:val="left"/>
      <w:pPr>
        <w:ind w:left="3713" w:hanging="360"/>
      </w:pPr>
    </w:lvl>
    <w:lvl w:ilvl="5" w:tplc="FFFFFFFF" w:tentative="1">
      <w:start w:val="1"/>
      <w:numFmt w:val="lowerRoman"/>
      <w:lvlText w:val="%6."/>
      <w:lvlJc w:val="right"/>
      <w:pPr>
        <w:ind w:left="4433" w:hanging="180"/>
      </w:pPr>
    </w:lvl>
    <w:lvl w:ilvl="6" w:tplc="FFFFFFFF" w:tentative="1">
      <w:start w:val="1"/>
      <w:numFmt w:val="decimal"/>
      <w:lvlText w:val="%7."/>
      <w:lvlJc w:val="left"/>
      <w:pPr>
        <w:ind w:left="5153" w:hanging="360"/>
      </w:pPr>
    </w:lvl>
    <w:lvl w:ilvl="7" w:tplc="FFFFFFFF" w:tentative="1">
      <w:start w:val="1"/>
      <w:numFmt w:val="lowerLetter"/>
      <w:lvlText w:val="%8."/>
      <w:lvlJc w:val="left"/>
      <w:pPr>
        <w:ind w:left="5873" w:hanging="360"/>
      </w:pPr>
    </w:lvl>
    <w:lvl w:ilvl="8" w:tplc="FFFFFFFF" w:tentative="1">
      <w:start w:val="1"/>
      <w:numFmt w:val="lowerRoman"/>
      <w:lvlText w:val="%9."/>
      <w:lvlJc w:val="right"/>
      <w:pPr>
        <w:ind w:left="6593" w:hanging="180"/>
      </w:pPr>
    </w:lvl>
  </w:abstractNum>
  <w:abstractNum w:abstractNumId="7" w15:restartNumberingAfterBreak="0">
    <w:nsid w:val="0FCE4033"/>
    <w:multiLevelType w:val="hybridMultilevel"/>
    <w:tmpl w:val="B02E6188"/>
    <w:lvl w:ilvl="0" w:tplc="3A3461CA">
      <w:start w:val="1"/>
      <w:numFmt w:val="bullet"/>
      <w:lvlText w:val=""/>
      <w:lvlJc w:val="left"/>
      <w:pPr>
        <w:ind w:left="720" w:hanging="360"/>
      </w:pPr>
      <w:rPr>
        <w:rFonts w:ascii="Symbol" w:hAnsi="Symbol" w:hint="default"/>
      </w:rPr>
    </w:lvl>
    <w:lvl w:ilvl="1" w:tplc="D9CAC1A0">
      <w:start w:val="1"/>
      <w:numFmt w:val="bullet"/>
      <w:lvlText w:val="o"/>
      <w:lvlJc w:val="left"/>
      <w:pPr>
        <w:ind w:left="1440" w:hanging="360"/>
      </w:pPr>
      <w:rPr>
        <w:rFonts w:ascii="Courier New" w:hAnsi="Courier New" w:hint="default"/>
      </w:rPr>
    </w:lvl>
    <w:lvl w:ilvl="2" w:tplc="88A6D790">
      <w:start w:val="1"/>
      <w:numFmt w:val="bullet"/>
      <w:lvlText w:val=""/>
      <w:lvlJc w:val="left"/>
      <w:pPr>
        <w:ind w:left="2160" w:hanging="360"/>
      </w:pPr>
      <w:rPr>
        <w:rFonts w:ascii="Wingdings" w:hAnsi="Wingdings" w:hint="default"/>
      </w:rPr>
    </w:lvl>
    <w:lvl w:ilvl="3" w:tplc="2D489798">
      <w:start w:val="1"/>
      <w:numFmt w:val="bullet"/>
      <w:lvlText w:val=""/>
      <w:lvlJc w:val="left"/>
      <w:pPr>
        <w:ind w:left="2880" w:hanging="360"/>
      </w:pPr>
      <w:rPr>
        <w:rFonts w:ascii="Symbol" w:hAnsi="Symbol" w:hint="default"/>
      </w:rPr>
    </w:lvl>
    <w:lvl w:ilvl="4" w:tplc="14267C7A">
      <w:start w:val="1"/>
      <w:numFmt w:val="bullet"/>
      <w:lvlText w:val="o"/>
      <w:lvlJc w:val="left"/>
      <w:pPr>
        <w:ind w:left="3600" w:hanging="360"/>
      </w:pPr>
      <w:rPr>
        <w:rFonts w:ascii="Courier New" w:hAnsi="Courier New" w:hint="default"/>
      </w:rPr>
    </w:lvl>
    <w:lvl w:ilvl="5" w:tplc="EA8EF390">
      <w:start w:val="1"/>
      <w:numFmt w:val="bullet"/>
      <w:lvlText w:val=""/>
      <w:lvlJc w:val="left"/>
      <w:pPr>
        <w:ind w:left="4320" w:hanging="360"/>
      </w:pPr>
      <w:rPr>
        <w:rFonts w:ascii="Wingdings" w:hAnsi="Wingdings" w:hint="default"/>
      </w:rPr>
    </w:lvl>
    <w:lvl w:ilvl="6" w:tplc="8528D5F0">
      <w:start w:val="1"/>
      <w:numFmt w:val="bullet"/>
      <w:lvlText w:val=""/>
      <w:lvlJc w:val="left"/>
      <w:pPr>
        <w:ind w:left="5040" w:hanging="360"/>
      </w:pPr>
      <w:rPr>
        <w:rFonts w:ascii="Symbol" w:hAnsi="Symbol" w:hint="default"/>
      </w:rPr>
    </w:lvl>
    <w:lvl w:ilvl="7" w:tplc="0FA2FF16">
      <w:start w:val="1"/>
      <w:numFmt w:val="bullet"/>
      <w:lvlText w:val="o"/>
      <w:lvlJc w:val="left"/>
      <w:pPr>
        <w:ind w:left="5760" w:hanging="360"/>
      </w:pPr>
      <w:rPr>
        <w:rFonts w:ascii="Courier New" w:hAnsi="Courier New" w:hint="default"/>
      </w:rPr>
    </w:lvl>
    <w:lvl w:ilvl="8" w:tplc="8A52CE98">
      <w:start w:val="1"/>
      <w:numFmt w:val="bullet"/>
      <w:lvlText w:val=""/>
      <w:lvlJc w:val="left"/>
      <w:pPr>
        <w:ind w:left="6480" w:hanging="360"/>
      </w:pPr>
      <w:rPr>
        <w:rFonts w:ascii="Wingdings" w:hAnsi="Wingdings" w:hint="default"/>
      </w:rPr>
    </w:lvl>
  </w:abstractNum>
  <w:abstractNum w:abstractNumId="8" w15:restartNumberingAfterBreak="0">
    <w:nsid w:val="15440059"/>
    <w:multiLevelType w:val="hybridMultilevel"/>
    <w:tmpl w:val="2ED4EF32"/>
    <w:lvl w:ilvl="0" w:tplc="0809000F">
      <w:start w:val="1"/>
      <w:numFmt w:val="decimal"/>
      <w:lvlText w:val="%1."/>
      <w:lvlJc w:val="left"/>
      <w:pPr>
        <w:ind w:left="833" w:hanging="360"/>
      </w:p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9" w15:restartNumberingAfterBreak="0">
    <w:nsid w:val="282F4B03"/>
    <w:multiLevelType w:val="multilevel"/>
    <w:tmpl w:val="CBCAA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D366B4"/>
    <w:multiLevelType w:val="multilevel"/>
    <w:tmpl w:val="A2D0B91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A342C60"/>
    <w:multiLevelType w:val="multilevel"/>
    <w:tmpl w:val="4E767AFC"/>
    <w:lvl w:ilvl="0">
      <w:start w:val="1"/>
      <w:numFmt w:val="bullet"/>
      <w:pStyle w:val="BULETPOINTS"/>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7550D47"/>
    <w:multiLevelType w:val="hybridMultilevel"/>
    <w:tmpl w:val="393C2BA2"/>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58A86717"/>
    <w:multiLevelType w:val="multilevel"/>
    <w:tmpl w:val="73842596"/>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4"/>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4" w15:restartNumberingAfterBreak="0">
    <w:nsid w:val="6BB977C9"/>
    <w:multiLevelType w:val="multilevel"/>
    <w:tmpl w:val="6FBAA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D4A0CEC"/>
    <w:multiLevelType w:val="hybridMultilevel"/>
    <w:tmpl w:val="6E56623A"/>
    <w:lvl w:ilvl="0" w:tplc="A02057FA">
      <w:start w:val="1"/>
      <w:numFmt w:val="bullet"/>
      <w:lvlText w:val=""/>
      <w:lvlJc w:val="left"/>
      <w:pPr>
        <w:ind w:left="720" w:hanging="360"/>
      </w:pPr>
      <w:rPr>
        <w:rFonts w:ascii="Symbol" w:hAnsi="Symbol" w:hint="default"/>
      </w:rPr>
    </w:lvl>
    <w:lvl w:ilvl="1" w:tplc="948E9DEE">
      <w:start w:val="1"/>
      <w:numFmt w:val="bullet"/>
      <w:lvlText w:val="o"/>
      <w:lvlJc w:val="left"/>
      <w:pPr>
        <w:ind w:left="1440" w:hanging="360"/>
      </w:pPr>
      <w:rPr>
        <w:rFonts w:ascii="Courier New" w:hAnsi="Courier New" w:hint="default"/>
      </w:rPr>
    </w:lvl>
    <w:lvl w:ilvl="2" w:tplc="3642D982">
      <w:start w:val="1"/>
      <w:numFmt w:val="bullet"/>
      <w:lvlText w:val=""/>
      <w:lvlJc w:val="left"/>
      <w:pPr>
        <w:ind w:left="2160" w:hanging="360"/>
      </w:pPr>
      <w:rPr>
        <w:rFonts w:ascii="Wingdings" w:hAnsi="Wingdings" w:hint="default"/>
      </w:rPr>
    </w:lvl>
    <w:lvl w:ilvl="3" w:tplc="E75AEC24">
      <w:start w:val="1"/>
      <w:numFmt w:val="bullet"/>
      <w:lvlText w:val=""/>
      <w:lvlJc w:val="left"/>
      <w:pPr>
        <w:ind w:left="2880" w:hanging="360"/>
      </w:pPr>
      <w:rPr>
        <w:rFonts w:ascii="Symbol" w:hAnsi="Symbol" w:hint="default"/>
      </w:rPr>
    </w:lvl>
    <w:lvl w:ilvl="4" w:tplc="A1329DF8">
      <w:start w:val="1"/>
      <w:numFmt w:val="bullet"/>
      <w:lvlText w:val="o"/>
      <w:lvlJc w:val="left"/>
      <w:pPr>
        <w:ind w:left="3600" w:hanging="360"/>
      </w:pPr>
      <w:rPr>
        <w:rFonts w:ascii="Courier New" w:hAnsi="Courier New" w:hint="default"/>
      </w:rPr>
    </w:lvl>
    <w:lvl w:ilvl="5" w:tplc="CFD83EDA">
      <w:start w:val="1"/>
      <w:numFmt w:val="bullet"/>
      <w:lvlText w:val=""/>
      <w:lvlJc w:val="left"/>
      <w:pPr>
        <w:ind w:left="4320" w:hanging="360"/>
      </w:pPr>
      <w:rPr>
        <w:rFonts w:ascii="Wingdings" w:hAnsi="Wingdings" w:hint="default"/>
      </w:rPr>
    </w:lvl>
    <w:lvl w:ilvl="6" w:tplc="89FAB210">
      <w:start w:val="1"/>
      <w:numFmt w:val="bullet"/>
      <w:lvlText w:val=""/>
      <w:lvlJc w:val="left"/>
      <w:pPr>
        <w:ind w:left="5040" w:hanging="360"/>
      </w:pPr>
      <w:rPr>
        <w:rFonts w:ascii="Symbol" w:hAnsi="Symbol" w:hint="default"/>
      </w:rPr>
    </w:lvl>
    <w:lvl w:ilvl="7" w:tplc="C0C86F6E">
      <w:start w:val="1"/>
      <w:numFmt w:val="bullet"/>
      <w:lvlText w:val="o"/>
      <w:lvlJc w:val="left"/>
      <w:pPr>
        <w:ind w:left="5760" w:hanging="360"/>
      </w:pPr>
      <w:rPr>
        <w:rFonts w:ascii="Courier New" w:hAnsi="Courier New" w:hint="default"/>
      </w:rPr>
    </w:lvl>
    <w:lvl w:ilvl="8" w:tplc="476A2E96">
      <w:start w:val="1"/>
      <w:numFmt w:val="bullet"/>
      <w:lvlText w:val=""/>
      <w:lvlJc w:val="left"/>
      <w:pPr>
        <w:ind w:left="6480" w:hanging="360"/>
      </w:pPr>
      <w:rPr>
        <w:rFonts w:ascii="Wingdings" w:hAnsi="Wingdings" w:hint="default"/>
      </w:rPr>
    </w:lvl>
  </w:abstractNum>
  <w:abstractNum w:abstractNumId="16" w15:restartNumberingAfterBreak="0">
    <w:nsid w:val="6E20195B"/>
    <w:multiLevelType w:val="multilevel"/>
    <w:tmpl w:val="CE565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52F497"/>
    <w:multiLevelType w:val="hybridMultilevel"/>
    <w:tmpl w:val="6996FB8A"/>
    <w:lvl w:ilvl="0" w:tplc="64BE3C48">
      <w:start w:val="1"/>
      <w:numFmt w:val="bullet"/>
      <w:lvlText w:val=""/>
      <w:lvlJc w:val="left"/>
      <w:pPr>
        <w:ind w:left="720" w:hanging="360"/>
      </w:pPr>
      <w:rPr>
        <w:rFonts w:ascii="Symbol" w:hAnsi="Symbol" w:hint="default"/>
      </w:rPr>
    </w:lvl>
    <w:lvl w:ilvl="1" w:tplc="E0D4CF98">
      <w:start w:val="1"/>
      <w:numFmt w:val="bullet"/>
      <w:lvlText w:val="o"/>
      <w:lvlJc w:val="left"/>
      <w:pPr>
        <w:ind w:left="1440" w:hanging="360"/>
      </w:pPr>
      <w:rPr>
        <w:rFonts w:ascii="Courier New" w:hAnsi="Courier New" w:hint="default"/>
      </w:rPr>
    </w:lvl>
    <w:lvl w:ilvl="2" w:tplc="6F602BB0">
      <w:start w:val="1"/>
      <w:numFmt w:val="bullet"/>
      <w:lvlText w:val=""/>
      <w:lvlJc w:val="left"/>
      <w:pPr>
        <w:ind w:left="2160" w:hanging="360"/>
      </w:pPr>
      <w:rPr>
        <w:rFonts w:ascii="Wingdings" w:hAnsi="Wingdings" w:hint="default"/>
      </w:rPr>
    </w:lvl>
    <w:lvl w:ilvl="3" w:tplc="688C2604">
      <w:start w:val="1"/>
      <w:numFmt w:val="bullet"/>
      <w:lvlText w:val=""/>
      <w:lvlJc w:val="left"/>
      <w:pPr>
        <w:ind w:left="2880" w:hanging="360"/>
      </w:pPr>
      <w:rPr>
        <w:rFonts w:ascii="Symbol" w:hAnsi="Symbol" w:hint="default"/>
      </w:rPr>
    </w:lvl>
    <w:lvl w:ilvl="4" w:tplc="DFB01A50">
      <w:start w:val="1"/>
      <w:numFmt w:val="bullet"/>
      <w:lvlText w:val="o"/>
      <w:lvlJc w:val="left"/>
      <w:pPr>
        <w:ind w:left="3600" w:hanging="360"/>
      </w:pPr>
      <w:rPr>
        <w:rFonts w:ascii="Courier New" w:hAnsi="Courier New" w:hint="default"/>
      </w:rPr>
    </w:lvl>
    <w:lvl w:ilvl="5" w:tplc="D75C928E">
      <w:start w:val="1"/>
      <w:numFmt w:val="bullet"/>
      <w:lvlText w:val=""/>
      <w:lvlJc w:val="left"/>
      <w:pPr>
        <w:ind w:left="4320" w:hanging="360"/>
      </w:pPr>
      <w:rPr>
        <w:rFonts w:ascii="Wingdings" w:hAnsi="Wingdings" w:hint="default"/>
      </w:rPr>
    </w:lvl>
    <w:lvl w:ilvl="6" w:tplc="F286B2D2">
      <w:start w:val="1"/>
      <w:numFmt w:val="bullet"/>
      <w:lvlText w:val=""/>
      <w:lvlJc w:val="left"/>
      <w:pPr>
        <w:ind w:left="5040" w:hanging="360"/>
      </w:pPr>
      <w:rPr>
        <w:rFonts w:ascii="Symbol" w:hAnsi="Symbol" w:hint="default"/>
      </w:rPr>
    </w:lvl>
    <w:lvl w:ilvl="7" w:tplc="BB786F7E">
      <w:start w:val="1"/>
      <w:numFmt w:val="bullet"/>
      <w:lvlText w:val="o"/>
      <w:lvlJc w:val="left"/>
      <w:pPr>
        <w:ind w:left="5760" w:hanging="360"/>
      </w:pPr>
      <w:rPr>
        <w:rFonts w:ascii="Courier New" w:hAnsi="Courier New" w:hint="default"/>
      </w:rPr>
    </w:lvl>
    <w:lvl w:ilvl="8" w:tplc="A5C2AE86">
      <w:start w:val="1"/>
      <w:numFmt w:val="bullet"/>
      <w:lvlText w:val=""/>
      <w:lvlJc w:val="left"/>
      <w:pPr>
        <w:ind w:left="6480" w:hanging="360"/>
      </w:pPr>
      <w:rPr>
        <w:rFonts w:ascii="Wingdings" w:hAnsi="Wingdings" w:hint="default"/>
      </w:rPr>
    </w:lvl>
  </w:abstractNum>
  <w:abstractNum w:abstractNumId="18" w15:restartNumberingAfterBreak="0">
    <w:nsid w:val="746E6871"/>
    <w:multiLevelType w:val="multilevel"/>
    <w:tmpl w:val="0562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F1380F"/>
    <w:multiLevelType w:val="hybridMultilevel"/>
    <w:tmpl w:val="EC88C5C4"/>
    <w:lvl w:ilvl="0" w:tplc="84E6F27C">
      <w:start w:val="1"/>
      <w:numFmt w:val="bullet"/>
      <w:pStyle w:val="BulletPoints"/>
      <w:lvlText w:val=""/>
      <w:lvlJc w:val="left"/>
      <w:pPr>
        <w:ind w:left="720" w:hanging="360"/>
      </w:pPr>
      <w:rPr>
        <w:rFonts w:ascii="Symbol" w:hAnsi="Symbol" w:hint="default"/>
      </w:rPr>
    </w:lvl>
    <w:lvl w:ilvl="1" w:tplc="6420970E">
      <w:start w:val="1"/>
      <w:numFmt w:val="bullet"/>
      <w:lvlText w:val="o"/>
      <w:lvlJc w:val="left"/>
      <w:pPr>
        <w:ind w:left="1440" w:hanging="360"/>
      </w:pPr>
      <w:rPr>
        <w:rFonts w:ascii="Courier New" w:hAnsi="Courier New" w:hint="default"/>
      </w:rPr>
    </w:lvl>
    <w:lvl w:ilvl="2" w:tplc="85F45340">
      <w:start w:val="1"/>
      <w:numFmt w:val="bullet"/>
      <w:lvlText w:val=""/>
      <w:lvlJc w:val="left"/>
      <w:pPr>
        <w:ind w:left="2160" w:hanging="360"/>
      </w:pPr>
      <w:rPr>
        <w:rFonts w:ascii="Wingdings" w:hAnsi="Wingdings" w:hint="default"/>
      </w:rPr>
    </w:lvl>
    <w:lvl w:ilvl="3" w:tplc="0FD4AE6E">
      <w:start w:val="1"/>
      <w:numFmt w:val="bullet"/>
      <w:lvlText w:val=""/>
      <w:lvlJc w:val="left"/>
      <w:pPr>
        <w:ind w:left="2880" w:hanging="360"/>
      </w:pPr>
      <w:rPr>
        <w:rFonts w:ascii="Symbol" w:hAnsi="Symbol" w:hint="default"/>
      </w:rPr>
    </w:lvl>
    <w:lvl w:ilvl="4" w:tplc="455073DA">
      <w:start w:val="1"/>
      <w:numFmt w:val="bullet"/>
      <w:lvlText w:val="o"/>
      <w:lvlJc w:val="left"/>
      <w:pPr>
        <w:ind w:left="3600" w:hanging="360"/>
      </w:pPr>
      <w:rPr>
        <w:rFonts w:ascii="Courier New" w:hAnsi="Courier New" w:hint="default"/>
      </w:rPr>
    </w:lvl>
    <w:lvl w:ilvl="5" w:tplc="03343244">
      <w:start w:val="1"/>
      <w:numFmt w:val="bullet"/>
      <w:lvlText w:val=""/>
      <w:lvlJc w:val="left"/>
      <w:pPr>
        <w:ind w:left="4320" w:hanging="360"/>
      </w:pPr>
      <w:rPr>
        <w:rFonts w:ascii="Wingdings" w:hAnsi="Wingdings" w:hint="default"/>
      </w:rPr>
    </w:lvl>
    <w:lvl w:ilvl="6" w:tplc="A152340E">
      <w:start w:val="1"/>
      <w:numFmt w:val="bullet"/>
      <w:lvlText w:val=""/>
      <w:lvlJc w:val="left"/>
      <w:pPr>
        <w:ind w:left="5040" w:hanging="360"/>
      </w:pPr>
      <w:rPr>
        <w:rFonts w:ascii="Symbol" w:hAnsi="Symbol" w:hint="default"/>
      </w:rPr>
    </w:lvl>
    <w:lvl w:ilvl="7" w:tplc="4942E61E">
      <w:start w:val="1"/>
      <w:numFmt w:val="bullet"/>
      <w:lvlText w:val="o"/>
      <w:lvlJc w:val="left"/>
      <w:pPr>
        <w:ind w:left="5760" w:hanging="360"/>
      </w:pPr>
      <w:rPr>
        <w:rFonts w:ascii="Courier New" w:hAnsi="Courier New" w:hint="default"/>
      </w:rPr>
    </w:lvl>
    <w:lvl w:ilvl="8" w:tplc="8C1A6A14">
      <w:start w:val="1"/>
      <w:numFmt w:val="bullet"/>
      <w:lvlText w:val=""/>
      <w:lvlJc w:val="left"/>
      <w:pPr>
        <w:ind w:left="6480" w:hanging="360"/>
      </w:pPr>
      <w:rPr>
        <w:rFonts w:ascii="Wingdings" w:hAnsi="Wingdings" w:hint="default"/>
      </w:rPr>
    </w:lvl>
  </w:abstractNum>
  <w:num w:numId="1" w16cid:durableId="1723401662">
    <w:abstractNumId w:val="10"/>
  </w:num>
  <w:num w:numId="2" w16cid:durableId="2058427408">
    <w:abstractNumId w:val="11"/>
  </w:num>
  <w:num w:numId="3" w16cid:durableId="1080643447">
    <w:abstractNumId w:val="13"/>
  </w:num>
  <w:num w:numId="4" w16cid:durableId="1580745168">
    <w:abstractNumId w:val="16"/>
  </w:num>
  <w:num w:numId="5" w16cid:durableId="872620134">
    <w:abstractNumId w:val="3"/>
  </w:num>
  <w:num w:numId="6" w16cid:durableId="473640876">
    <w:abstractNumId w:val="8"/>
  </w:num>
  <w:num w:numId="7" w16cid:durableId="48578209">
    <w:abstractNumId w:val="9"/>
  </w:num>
  <w:num w:numId="8" w16cid:durableId="893586224">
    <w:abstractNumId w:val="18"/>
  </w:num>
  <w:num w:numId="9" w16cid:durableId="923875124">
    <w:abstractNumId w:val="14"/>
  </w:num>
  <w:num w:numId="10" w16cid:durableId="1721896725">
    <w:abstractNumId w:val="5"/>
  </w:num>
  <w:num w:numId="11" w16cid:durableId="1613128678">
    <w:abstractNumId w:val="6"/>
  </w:num>
  <w:num w:numId="12" w16cid:durableId="1716004674">
    <w:abstractNumId w:val="12"/>
  </w:num>
  <w:num w:numId="13" w16cid:durableId="1734238271">
    <w:abstractNumId w:val="7"/>
  </w:num>
  <w:num w:numId="14" w16cid:durableId="1855653349">
    <w:abstractNumId w:val="2"/>
  </w:num>
  <w:num w:numId="15" w16cid:durableId="2047094871">
    <w:abstractNumId w:val="1"/>
  </w:num>
  <w:num w:numId="16" w16cid:durableId="645623946">
    <w:abstractNumId w:val="4"/>
  </w:num>
  <w:num w:numId="17" w16cid:durableId="1995180357">
    <w:abstractNumId w:val="19"/>
  </w:num>
  <w:num w:numId="18" w16cid:durableId="152987844">
    <w:abstractNumId w:val="0"/>
  </w:num>
  <w:num w:numId="19" w16cid:durableId="1893148920">
    <w:abstractNumId w:val="17"/>
  </w:num>
  <w:num w:numId="20" w16cid:durableId="42395701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F63"/>
    <w:rsid w:val="000419A4"/>
    <w:rsid w:val="00042CD2"/>
    <w:rsid w:val="00057A1E"/>
    <w:rsid w:val="00063FB6"/>
    <w:rsid w:val="00077F77"/>
    <w:rsid w:val="00090803"/>
    <w:rsid w:val="00154710"/>
    <w:rsid w:val="001702AB"/>
    <w:rsid w:val="001B5E0C"/>
    <w:rsid w:val="001C1ECC"/>
    <w:rsid w:val="001D5338"/>
    <w:rsid w:val="00201BF2"/>
    <w:rsid w:val="00207685"/>
    <w:rsid w:val="00256F4A"/>
    <w:rsid w:val="00263537"/>
    <w:rsid w:val="002732BC"/>
    <w:rsid w:val="00276BF3"/>
    <w:rsid w:val="002B6072"/>
    <w:rsid w:val="002D17EC"/>
    <w:rsid w:val="003538A8"/>
    <w:rsid w:val="00374593"/>
    <w:rsid w:val="003A51C8"/>
    <w:rsid w:val="003D1C84"/>
    <w:rsid w:val="003F146C"/>
    <w:rsid w:val="0041093D"/>
    <w:rsid w:val="00467B47"/>
    <w:rsid w:val="004C12F7"/>
    <w:rsid w:val="00504E79"/>
    <w:rsid w:val="00523F3F"/>
    <w:rsid w:val="00524F6F"/>
    <w:rsid w:val="00546571"/>
    <w:rsid w:val="00595807"/>
    <w:rsid w:val="005C15DE"/>
    <w:rsid w:val="005C7507"/>
    <w:rsid w:val="005D562B"/>
    <w:rsid w:val="00632926"/>
    <w:rsid w:val="00653F6C"/>
    <w:rsid w:val="006630BB"/>
    <w:rsid w:val="00675B98"/>
    <w:rsid w:val="00683419"/>
    <w:rsid w:val="006924EE"/>
    <w:rsid w:val="00696D3D"/>
    <w:rsid w:val="006A055F"/>
    <w:rsid w:val="00712E57"/>
    <w:rsid w:val="00747F1F"/>
    <w:rsid w:val="007726EC"/>
    <w:rsid w:val="007A6AA9"/>
    <w:rsid w:val="007E56EB"/>
    <w:rsid w:val="00884A25"/>
    <w:rsid w:val="008C6A08"/>
    <w:rsid w:val="008D2E25"/>
    <w:rsid w:val="008E2B74"/>
    <w:rsid w:val="009453C2"/>
    <w:rsid w:val="00974F67"/>
    <w:rsid w:val="009A6552"/>
    <w:rsid w:val="009D29E9"/>
    <w:rsid w:val="009D2EDA"/>
    <w:rsid w:val="009D3CDD"/>
    <w:rsid w:val="00A22CAD"/>
    <w:rsid w:val="00A37756"/>
    <w:rsid w:val="00A530F3"/>
    <w:rsid w:val="00A82B2B"/>
    <w:rsid w:val="00A9120E"/>
    <w:rsid w:val="00AB416D"/>
    <w:rsid w:val="00B1201D"/>
    <w:rsid w:val="00B163CB"/>
    <w:rsid w:val="00B30BA4"/>
    <w:rsid w:val="00B35080"/>
    <w:rsid w:val="00B54BBD"/>
    <w:rsid w:val="00B74F8B"/>
    <w:rsid w:val="00B964CF"/>
    <w:rsid w:val="00BC3F63"/>
    <w:rsid w:val="00C10233"/>
    <w:rsid w:val="00C11838"/>
    <w:rsid w:val="00C12680"/>
    <w:rsid w:val="00C13880"/>
    <w:rsid w:val="00C36FE1"/>
    <w:rsid w:val="00C458E3"/>
    <w:rsid w:val="00D43A33"/>
    <w:rsid w:val="00D550BA"/>
    <w:rsid w:val="00D5717C"/>
    <w:rsid w:val="00D63412"/>
    <w:rsid w:val="00D77BB7"/>
    <w:rsid w:val="00D85CCF"/>
    <w:rsid w:val="00DB10B5"/>
    <w:rsid w:val="00DB31D0"/>
    <w:rsid w:val="00DE0389"/>
    <w:rsid w:val="00E12EE1"/>
    <w:rsid w:val="00E15B96"/>
    <w:rsid w:val="00E54ACB"/>
    <w:rsid w:val="00E55F8C"/>
    <w:rsid w:val="00E62803"/>
    <w:rsid w:val="00E62AEF"/>
    <w:rsid w:val="00E959BD"/>
    <w:rsid w:val="00E9782C"/>
    <w:rsid w:val="00EB2240"/>
    <w:rsid w:val="00EC45BC"/>
    <w:rsid w:val="00EF25D3"/>
    <w:rsid w:val="00F20920"/>
    <w:rsid w:val="00F27046"/>
    <w:rsid w:val="00F33334"/>
    <w:rsid w:val="00F3660B"/>
    <w:rsid w:val="00F70966"/>
    <w:rsid w:val="00F81B06"/>
    <w:rsid w:val="00FB57BF"/>
    <w:rsid w:val="00FC0E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F4143"/>
  <w15:docId w15:val="{D5CAF279-C0B4-254D-A85B-A511286DD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paragraph" w:styleId="Heading7">
    <w:name w:val="heading 7"/>
    <w:basedOn w:val="Normal"/>
    <w:next w:val="Normal"/>
    <w:link w:val="Heading7Char"/>
    <w:uiPriority w:val="9"/>
    <w:semiHidden/>
    <w:unhideWhenUsed/>
    <w:qFormat/>
    <w:rsid w:val="005D562B"/>
    <w:pPr>
      <w:keepNext/>
      <w:keepLines/>
      <w:spacing w:before="40" w:line="259" w:lineRule="auto"/>
      <w:ind w:left="1296" w:hanging="1296"/>
      <w:outlineLvl w:val="6"/>
    </w:pPr>
    <w:rPr>
      <w:rFonts w:asciiTheme="majorHAnsi" w:eastAsiaTheme="majorEastAsia" w:hAnsiTheme="majorHAnsi" w:cstheme="majorBidi"/>
      <w:i/>
      <w:iCs/>
      <w:color w:val="0E1B32" w:themeColor="accent1" w:themeShade="7F"/>
      <w:kern w:val="2"/>
      <w:lang w:eastAsia="en-US"/>
      <w14:ligatures w14:val="standardContextual"/>
    </w:rPr>
  </w:style>
  <w:style w:type="paragraph" w:styleId="Heading8">
    <w:name w:val="heading 8"/>
    <w:basedOn w:val="Normal"/>
    <w:next w:val="Normal"/>
    <w:link w:val="Heading8Char"/>
    <w:uiPriority w:val="9"/>
    <w:semiHidden/>
    <w:unhideWhenUsed/>
    <w:qFormat/>
    <w:rsid w:val="005D562B"/>
    <w:pPr>
      <w:keepNext/>
      <w:keepLines/>
      <w:spacing w:before="40" w:line="259" w:lineRule="auto"/>
      <w:ind w:left="1440" w:hanging="1440"/>
      <w:outlineLvl w:val="7"/>
    </w:pPr>
    <w:rPr>
      <w:rFonts w:asciiTheme="majorHAnsi" w:eastAsiaTheme="majorEastAsia" w:hAnsiTheme="majorHAnsi" w:cstheme="majorBidi"/>
      <w:color w:val="272727" w:themeColor="text1" w:themeTint="D8"/>
      <w:kern w:val="2"/>
      <w:sz w:val="21"/>
      <w:szCs w:val="21"/>
      <w:lang w:eastAsia="en-US"/>
      <w14:ligatures w14:val="standardContextual"/>
    </w:rPr>
  </w:style>
  <w:style w:type="paragraph" w:styleId="Heading9">
    <w:name w:val="heading 9"/>
    <w:basedOn w:val="Normal"/>
    <w:next w:val="Normal"/>
    <w:link w:val="Heading9Char"/>
    <w:uiPriority w:val="9"/>
    <w:semiHidden/>
    <w:unhideWhenUsed/>
    <w:qFormat/>
    <w:rsid w:val="005D562B"/>
    <w:pPr>
      <w:keepNext/>
      <w:keepLines/>
      <w:spacing w:before="40" w:line="259" w:lineRule="auto"/>
      <w:ind w:left="1584" w:hanging="1584"/>
      <w:outlineLvl w:val="8"/>
    </w:pPr>
    <w:rPr>
      <w:rFonts w:asciiTheme="majorHAnsi" w:eastAsiaTheme="majorEastAsia" w:hAnsiTheme="majorHAnsi" w:cstheme="majorBidi"/>
      <w:i/>
      <w:iCs/>
      <w:color w:val="272727" w:themeColor="text1" w:themeTint="D8"/>
      <w:kern w:val="2"/>
      <w:sz w:val="21"/>
      <w:szCs w:val="21"/>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55F8C"/>
    <w:pPr>
      <w:spacing w:before="120" w:line="240" w:lineRule="auto"/>
      <w:ind w:left="3686" w:right="494"/>
    </w:pPr>
    <w:rPr>
      <w:rFonts w:ascii="Poppins ExtraBold" w:hAnsi="Poppins ExtraBold"/>
      <w:b/>
      <w:color w:val="0A1C36" w:themeColor="text2"/>
      <w:sz w:val="72"/>
      <w:szCs w:val="36"/>
      <w:lang w:val="en-US"/>
    </w:rPr>
  </w:style>
  <w:style w:type="character" w:customStyle="1" w:styleId="HeaderChar">
    <w:name w:val="Header Char"/>
    <w:basedOn w:val="DefaultParagraphFont"/>
    <w:link w:val="Header"/>
    <w:uiPriority w:val="99"/>
    <w:rsid w:val="00E55F8C"/>
    <w:rPr>
      <w:rFonts w:ascii="Poppins ExtraBold" w:hAnsi="Poppins ExtraBold"/>
      <w:b/>
      <w:color w:val="0A1C36" w:themeColor="text2"/>
      <w:sz w:val="72"/>
      <w:szCs w:val="36"/>
      <w:lang w:val="en-US"/>
    </w:rPr>
  </w:style>
  <w:style w:type="paragraph" w:styleId="ListParagraph">
    <w:name w:val="List Paragraph"/>
    <w:basedOn w:val="Normal"/>
    <w:uiPriority w:val="34"/>
    <w:qFormat/>
    <w:rsid w:val="00D550BA"/>
    <w:pPr>
      <w:ind w:left="720"/>
      <w:contextualSpacing/>
    </w:pPr>
  </w:style>
  <w:style w:type="paragraph" w:styleId="Footer">
    <w:name w:val="footer"/>
    <w:basedOn w:val="Normal"/>
    <w:link w:val="FooterChar"/>
    <w:uiPriority w:val="99"/>
    <w:unhideWhenUsed/>
    <w:rsid w:val="00D550BA"/>
    <w:pPr>
      <w:tabs>
        <w:tab w:val="center" w:pos="4513"/>
        <w:tab w:val="right" w:pos="9026"/>
      </w:tabs>
      <w:spacing w:line="240" w:lineRule="auto"/>
    </w:pPr>
  </w:style>
  <w:style w:type="character" w:customStyle="1" w:styleId="FooterChar">
    <w:name w:val="Footer Char"/>
    <w:basedOn w:val="DefaultParagraphFont"/>
    <w:link w:val="Footer"/>
    <w:uiPriority w:val="99"/>
    <w:rsid w:val="00D550BA"/>
  </w:style>
  <w:style w:type="paragraph" w:customStyle="1" w:styleId="SUBHEAD">
    <w:name w:val="SUB HEAD"/>
    <w:qFormat/>
    <w:rsid w:val="00AB416D"/>
    <w:pPr>
      <w:spacing w:before="360" w:after="120" w:line="240" w:lineRule="auto"/>
    </w:pPr>
    <w:rPr>
      <w:rFonts w:ascii="Poppins" w:hAnsi="Poppins"/>
      <w:sz w:val="24"/>
      <w:szCs w:val="18"/>
    </w:rPr>
  </w:style>
  <w:style w:type="paragraph" w:customStyle="1" w:styleId="BULETPOINTS">
    <w:name w:val="BULET POINTS"/>
    <w:basedOn w:val="Normal"/>
    <w:qFormat/>
    <w:rsid w:val="00E55F8C"/>
    <w:pPr>
      <w:numPr>
        <w:numId w:val="2"/>
      </w:numPr>
      <w:spacing w:before="113" w:after="53" w:line="259" w:lineRule="auto"/>
      <w:ind w:left="284" w:hanging="284"/>
    </w:pPr>
    <w:rPr>
      <w:rFonts w:ascii="Poppins" w:hAnsi="Poppins"/>
      <w:sz w:val="24"/>
      <w:szCs w:val="18"/>
    </w:rPr>
  </w:style>
  <w:style w:type="paragraph" w:customStyle="1" w:styleId="BODYCOPY">
    <w:name w:val="BODY COPY"/>
    <w:basedOn w:val="Normal"/>
    <w:qFormat/>
    <w:rsid w:val="00E55F8C"/>
    <w:pPr>
      <w:spacing w:before="113" w:after="53" w:line="259" w:lineRule="auto"/>
      <w:jc w:val="both"/>
    </w:pPr>
    <w:rPr>
      <w:rFonts w:ascii="Poppins" w:hAnsi="Poppins"/>
      <w:sz w:val="24"/>
      <w:szCs w:val="18"/>
    </w:rPr>
  </w:style>
  <w:style w:type="paragraph" w:customStyle="1" w:styleId="TableParagraph">
    <w:name w:val="Table Paragraph"/>
    <w:basedOn w:val="Normal"/>
    <w:uiPriority w:val="1"/>
    <w:qFormat/>
    <w:rsid w:val="000419A4"/>
    <w:pPr>
      <w:widowControl w:val="0"/>
      <w:autoSpaceDE w:val="0"/>
      <w:autoSpaceDN w:val="0"/>
      <w:spacing w:line="240" w:lineRule="auto"/>
      <w:ind w:left="113" w:right="-17"/>
    </w:pPr>
    <w:rPr>
      <w:rFonts w:eastAsia="Poppins Light" w:cs="Poppins Light"/>
      <w:color w:val="231F20"/>
      <w:sz w:val="24"/>
      <w:lang w:val="en-US" w:eastAsia="en-US"/>
    </w:rPr>
  </w:style>
  <w:style w:type="paragraph" w:customStyle="1" w:styleId="TABLEHEAD">
    <w:name w:val="TABLE HEAD"/>
    <w:basedOn w:val="TableParagraph"/>
    <w:qFormat/>
    <w:rsid w:val="006630BB"/>
    <w:rPr>
      <w:rFonts w:ascii="Poppins" w:hAnsi="Poppins"/>
      <w:b/>
      <w:bCs/>
      <w:color w:val="000000" w:themeColor="text1"/>
      <w:szCs w:val="20"/>
      <w:lang w:val="en-GB"/>
    </w:rPr>
  </w:style>
  <w:style w:type="paragraph" w:customStyle="1" w:styleId="TABLEBOLDTEXT">
    <w:name w:val="TABLE BOLD TEXT"/>
    <w:basedOn w:val="TableParagraph"/>
    <w:qFormat/>
    <w:rsid w:val="00B54BBD"/>
    <w:rPr>
      <w:b/>
      <w:bCs/>
      <w:sz w:val="18"/>
      <w:szCs w:val="18"/>
      <w:lang w:val="en-GB"/>
    </w:rPr>
  </w:style>
  <w:style w:type="paragraph" w:customStyle="1" w:styleId="TABLETEXT">
    <w:name w:val="TABLE TEXT"/>
    <w:basedOn w:val="TableParagraph"/>
    <w:qFormat/>
    <w:rsid w:val="00AB416D"/>
    <w:pPr>
      <w:ind w:right="113"/>
    </w:pPr>
    <w:rPr>
      <w:rFonts w:ascii="Poppins" w:hAnsi="Poppins"/>
      <w:szCs w:val="18"/>
      <w:lang w:val="en-GB"/>
    </w:rPr>
  </w:style>
  <w:style w:type="character" w:styleId="Hyperlink">
    <w:name w:val="Hyperlink"/>
    <w:basedOn w:val="DefaultParagraphFont"/>
    <w:uiPriority w:val="99"/>
    <w:unhideWhenUsed/>
    <w:rsid w:val="00EF25D3"/>
    <w:rPr>
      <w:color w:val="3E5970" w:themeColor="hyperlink"/>
      <w:u w:val="single"/>
    </w:rPr>
  </w:style>
  <w:style w:type="character" w:styleId="UnresolvedMention">
    <w:name w:val="Unresolved Mention"/>
    <w:basedOn w:val="DefaultParagraphFont"/>
    <w:uiPriority w:val="99"/>
    <w:semiHidden/>
    <w:unhideWhenUsed/>
    <w:rsid w:val="00EF25D3"/>
    <w:rPr>
      <w:color w:val="605E5C"/>
      <w:shd w:val="clear" w:color="auto" w:fill="E1DFDD"/>
    </w:rPr>
  </w:style>
  <w:style w:type="paragraph" w:customStyle="1" w:styleId="Heading">
    <w:name w:val="Heading"/>
    <w:basedOn w:val="Header"/>
    <w:qFormat/>
    <w:rsid w:val="00E55F8C"/>
    <w:pPr>
      <w:ind w:left="-567"/>
    </w:pPr>
    <w:rPr>
      <w:rFonts w:ascii="Poppins" w:hAnsi="Poppins"/>
      <w:color w:val="000000" w:themeColor="text1"/>
    </w:rPr>
  </w:style>
  <w:style w:type="paragraph" w:styleId="TOCHeading">
    <w:name w:val="TOC Heading"/>
    <w:basedOn w:val="Heading1"/>
    <w:next w:val="Normal"/>
    <w:uiPriority w:val="39"/>
    <w:unhideWhenUsed/>
    <w:qFormat/>
    <w:rsid w:val="00F81B06"/>
    <w:pPr>
      <w:spacing w:before="480" w:after="0"/>
      <w:outlineLvl w:val="9"/>
    </w:pPr>
    <w:rPr>
      <w:rFonts w:asciiTheme="majorHAnsi" w:eastAsiaTheme="majorEastAsia" w:hAnsiTheme="majorHAnsi" w:cstheme="majorBidi"/>
      <w:b/>
      <w:bCs/>
      <w:color w:val="15294C" w:themeColor="accent1" w:themeShade="BF"/>
      <w:sz w:val="28"/>
      <w:szCs w:val="28"/>
      <w:lang w:val="en-US" w:eastAsia="en-US"/>
    </w:rPr>
  </w:style>
  <w:style w:type="paragraph" w:styleId="TOC1">
    <w:name w:val="toc 1"/>
    <w:basedOn w:val="Normal"/>
    <w:next w:val="Normal"/>
    <w:autoRedefine/>
    <w:uiPriority w:val="39"/>
    <w:unhideWhenUsed/>
    <w:rsid w:val="00FB57BF"/>
    <w:pPr>
      <w:tabs>
        <w:tab w:val="right" w:leader="dot" w:pos="9671"/>
      </w:tabs>
      <w:spacing w:before="120"/>
      <w:ind w:left="-560"/>
    </w:pPr>
    <w:rPr>
      <w:bCs/>
      <w:iCs/>
      <w:noProof/>
      <w:sz w:val="18"/>
      <w:szCs w:val="24"/>
    </w:rPr>
  </w:style>
  <w:style w:type="paragraph" w:styleId="TOC2">
    <w:name w:val="toc 2"/>
    <w:basedOn w:val="Normal"/>
    <w:next w:val="Normal"/>
    <w:autoRedefine/>
    <w:uiPriority w:val="39"/>
    <w:unhideWhenUsed/>
    <w:rsid w:val="00F81B06"/>
    <w:pPr>
      <w:spacing w:before="120"/>
      <w:ind w:left="220"/>
    </w:pPr>
    <w:rPr>
      <w:rFonts w:asciiTheme="minorHAnsi" w:hAnsiTheme="minorHAnsi"/>
      <w:b/>
      <w:bCs/>
    </w:rPr>
  </w:style>
  <w:style w:type="paragraph" w:styleId="TOC3">
    <w:name w:val="toc 3"/>
    <w:basedOn w:val="Normal"/>
    <w:next w:val="Normal"/>
    <w:autoRedefine/>
    <w:uiPriority w:val="39"/>
    <w:unhideWhenUsed/>
    <w:rsid w:val="00F81B06"/>
    <w:pPr>
      <w:ind w:left="440"/>
    </w:pPr>
    <w:rPr>
      <w:rFonts w:asciiTheme="minorHAnsi" w:hAnsiTheme="minorHAnsi"/>
      <w:sz w:val="20"/>
      <w:szCs w:val="20"/>
    </w:rPr>
  </w:style>
  <w:style w:type="paragraph" w:styleId="TOC4">
    <w:name w:val="toc 4"/>
    <w:basedOn w:val="Normal"/>
    <w:next w:val="Normal"/>
    <w:autoRedefine/>
    <w:uiPriority w:val="39"/>
    <w:unhideWhenUsed/>
    <w:rsid w:val="00F81B06"/>
    <w:pPr>
      <w:ind w:left="660"/>
    </w:pPr>
    <w:rPr>
      <w:rFonts w:asciiTheme="minorHAnsi" w:hAnsiTheme="minorHAnsi"/>
      <w:sz w:val="20"/>
      <w:szCs w:val="20"/>
    </w:rPr>
  </w:style>
  <w:style w:type="paragraph" w:styleId="TOC5">
    <w:name w:val="toc 5"/>
    <w:basedOn w:val="Normal"/>
    <w:next w:val="Normal"/>
    <w:autoRedefine/>
    <w:uiPriority w:val="39"/>
    <w:unhideWhenUsed/>
    <w:rsid w:val="00F81B06"/>
    <w:pPr>
      <w:ind w:left="880"/>
    </w:pPr>
    <w:rPr>
      <w:rFonts w:asciiTheme="minorHAnsi" w:hAnsiTheme="minorHAnsi"/>
      <w:sz w:val="20"/>
      <w:szCs w:val="20"/>
    </w:rPr>
  </w:style>
  <w:style w:type="paragraph" w:styleId="TOC6">
    <w:name w:val="toc 6"/>
    <w:basedOn w:val="Normal"/>
    <w:next w:val="Normal"/>
    <w:autoRedefine/>
    <w:uiPriority w:val="39"/>
    <w:unhideWhenUsed/>
    <w:rsid w:val="00F81B06"/>
    <w:pPr>
      <w:ind w:left="1100"/>
    </w:pPr>
    <w:rPr>
      <w:rFonts w:asciiTheme="minorHAnsi" w:hAnsiTheme="minorHAnsi"/>
      <w:sz w:val="20"/>
      <w:szCs w:val="20"/>
    </w:rPr>
  </w:style>
  <w:style w:type="paragraph" w:styleId="TOC7">
    <w:name w:val="toc 7"/>
    <w:basedOn w:val="Normal"/>
    <w:next w:val="Normal"/>
    <w:autoRedefine/>
    <w:uiPriority w:val="39"/>
    <w:unhideWhenUsed/>
    <w:rsid w:val="00F81B06"/>
    <w:pPr>
      <w:ind w:left="1320"/>
    </w:pPr>
    <w:rPr>
      <w:rFonts w:asciiTheme="minorHAnsi" w:hAnsiTheme="minorHAnsi"/>
      <w:sz w:val="20"/>
      <w:szCs w:val="20"/>
    </w:rPr>
  </w:style>
  <w:style w:type="paragraph" w:styleId="TOC8">
    <w:name w:val="toc 8"/>
    <w:basedOn w:val="Normal"/>
    <w:next w:val="Normal"/>
    <w:autoRedefine/>
    <w:uiPriority w:val="39"/>
    <w:unhideWhenUsed/>
    <w:rsid w:val="00F81B06"/>
    <w:pPr>
      <w:ind w:left="1540"/>
    </w:pPr>
    <w:rPr>
      <w:rFonts w:asciiTheme="minorHAnsi" w:hAnsiTheme="minorHAnsi"/>
      <w:sz w:val="20"/>
      <w:szCs w:val="20"/>
    </w:rPr>
  </w:style>
  <w:style w:type="paragraph" w:styleId="TOC9">
    <w:name w:val="toc 9"/>
    <w:basedOn w:val="Normal"/>
    <w:next w:val="Normal"/>
    <w:autoRedefine/>
    <w:uiPriority w:val="39"/>
    <w:unhideWhenUsed/>
    <w:rsid w:val="00F81B06"/>
    <w:pPr>
      <w:ind w:left="1760"/>
    </w:pPr>
    <w:rPr>
      <w:rFonts w:asciiTheme="minorHAnsi" w:hAnsiTheme="minorHAnsi"/>
      <w:sz w:val="20"/>
      <w:szCs w:val="20"/>
    </w:rPr>
  </w:style>
  <w:style w:type="paragraph" w:customStyle="1" w:styleId="ContentHeading">
    <w:name w:val="Content Heading"/>
    <w:basedOn w:val="Heading"/>
    <w:qFormat/>
    <w:rsid w:val="00F27046"/>
  </w:style>
  <w:style w:type="character" w:styleId="PageNumber">
    <w:name w:val="page number"/>
    <w:basedOn w:val="DefaultParagraphFont"/>
    <w:uiPriority w:val="99"/>
    <w:semiHidden/>
    <w:unhideWhenUsed/>
    <w:rsid w:val="00C458E3"/>
  </w:style>
  <w:style w:type="paragraph" w:customStyle="1" w:styleId="SubHead0">
    <w:name w:val="Sub Head"/>
    <w:basedOn w:val="BODYCOPY"/>
    <w:qFormat/>
    <w:rsid w:val="00A9120E"/>
    <w:rPr>
      <w:b/>
      <w:bCs/>
      <w:color w:val="0A1C36" w:themeColor="text2"/>
    </w:rPr>
  </w:style>
  <w:style w:type="table" w:styleId="TableGrid">
    <w:name w:val="Table Grid"/>
    <w:basedOn w:val="TableNormal"/>
    <w:uiPriority w:val="39"/>
    <w:rsid w:val="006924E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5D562B"/>
    <w:rPr>
      <w:rFonts w:asciiTheme="majorHAnsi" w:eastAsiaTheme="majorEastAsia" w:hAnsiTheme="majorHAnsi" w:cstheme="majorBidi"/>
      <w:i/>
      <w:iCs/>
      <w:color w:val="0E1B32" w:themeColor="accent1" w:themeShade="7F"/>
      <w:kern w:val="2"/>
      <w:lang w:eastAsia="en-US"/>
      <w14:ligatures w14:val="standardContextual"/>
    </w:rPr>
  </w:style>
  <w:style w:type="character" w:customStyle="1" w:styleId="Heading8Char">
    <w:name w:val="Heading 8 Char"/>
    <w:basedOn w:val="DefaultParagraphFont"/>
    <w:link w:val="Heading8"/>
    <w:uiPriority w:val="9"/>
    <w:semiHidden/>
    <w:rsid w:val="005D562B"/>
    <w:rPr>
      <w:rFonts w:asciiTheme="majorHAnsi" w:eastAsiaTheme="majorEastAsia" w:hAnsiTheme="majorHAnsi" w:cstheme="majorBidi"/>
      <w:color w:val="272727" w:themeColor="text1" w:themeTint="D8"/>
      <w:kern w:val="2"/>
      <w:sz w:val="21"/>
      <w:szCs w:val="21"/>
      <w:lang w:eastAsia="en-US"/>
      <w14:ligatures w14:val="standardContextual"/>
    </w:rPr>
  </w:style>
  <w:style w:type="character" w:customStyle="1" w:styleId="Heading9Char">
    <w:name w:val="Heading 9 Char"/>
    <w:basedOn w:val="DefaultParagraphFont"/>
    <w:link w:val="Heading9"/>
    <w:uiPriority w:val="9"/>
    <w:semiHidden/>
    <w:rsid w:val="005D562B"/>
    <w:rPr>
      <w:rFonts w:asciiTheme="majorHAnsi" w:eastAsiaTheme="majorEastAsia" w:hAnsiTheme="majorHAnsi" w:cstheme="majorBidi"/>
      <w:i/>
      <w:iCs/>
      <w:color w:val="272727" w:themeColor="text1" w:themeTint="D8"/>
      <w:kern w:val="2"/>
      <w:sz w:val="21"/>
      <w:szCs w:val="21"/>
      <w:lang w:eastAsia="en-US"/>
      <w14:ligatures w14:val="standardContextual"/>
    </w:rPr>
  </w:style>
  <w:style w:type="character" w:customStyle="1" w:styleId="Heading5Char">
    <w:name w:val="Heading 5 Char"/>
    <w:basedOn w:val="DefaultParagraphFont"/>
    <w:link w:val="Heading5"/>
    <w:uiPriority w:val="9"/>
    <w:semiHidden/>
    <w:rsid w:val="005D562B"/>
    <w:rPr>
      <w:color w:val="666666"/>
    </w:rPr>
  </w:style>
  <w:style w:type="character" w:styleId="FollowedHyperlink">
    <w:name w:val="FollowedHyperlink"/>
    <w:basedOn w:val="DefaultParagraphFont"/>
    <w:uiPriority w:val="99"/>
    <w:semiHidden/>
    <w:unhideWhenUsed/>
    <w:rsid w:val="002D17EC"/>
    <w:rPr>
      <w:color w:val="9B2744" w:themeColor="followedHyperlink"/>
      <w:u w:val="single"/>
    </w:rPr>
  </w:style>
  <w:style w:type="paragraph" w:customStyle="1" w:styleId="CoverHeader">
    <w:name w:val="Cover Header"/>
    <w:basedOn w:val="Normal"/>
    <w:qFormat/>
    <w:rsid w:val="00EC45BC"/>
    <w:pPr>
      <w:spacing w:after="120" w:line="240" w:lineRule="auto"/>
    </w:pPr>
    <w:rPr>
      <w:rFonts w:ascii="Poppins ExtraBold" w:eastAsiaTheme="minorHAnsi" w:hAnsi="Poppins ExtraBold" w:cs="Poppins ExtraBold"/>
      <w:b/>
      <w:bCs/>
      <w:color w:val="0A1C36" w:themeColor="text2"/>
      <w:kern w:val="2"/>
      <w:sz w:val="72"/>
      <w:szCs w:val="72"/>
      <w:lang w:eastAsia="en-US"/>
      <w14:ligatures w14:val="standardContextual"/>
    </w:rPr>
  </w:style>
  <w:style w:type="paragraph" w:customStyle="1" w:styleId="CoverSubHeader">
    <w:name w:val="Cover Sub Header"/>
    <w:basedOn w:val="Normal"/>
    <w:qFormat/>
    <w:rsid w:val="00EC45BC"/>
    <w:pPr>
      <w:spacing w:after="240" w:line="259" w:lineRule="auto"/>
    </w:pPr>
    <w:rPr>
      <w:rFonts w:ascii="Poppins ExtraBold" w:eastAsiaTheme="minorHAnsi" w:hAnsi="Poppins ExtraBold" w:cs="Poppins ExtraBold"/>
      <w:b/>
      <w:bCs/>
      <w:kern w:val="2"/>
      <w:sz w:val="40"/>
      <w:szCs w:val="40"/>
      <w:lang w:eastAsia="en-US"/>
      <w14:ligatures w14:val="standardContextual"/>
    </w:rPr>
  </w:style>
  <w:style w:type="paragraph" w:customStyle="1" w:styleId="BulletPoints">
    <w:name w:val="Bullet Points"/>
    <w:basedOn w:val="BODYCOPY"/>
    <w:qFormat/>
    <w:rsid w:val="00E959BD"/>
    <w:pPr>
      <w:numPr>
        <w:numId w:val="17"/>
      </w:numPr>
      <w:spacing w:before="120" w:after="0"/>
      <w:jc w:val="left"/>
    </w:pPr>
  </w:style>
  <w:style w:type="table" w:styleId="TableGridLight">
    <w:name w:val="Grid Table Light"/>
    <w:basedOn w:val="TableNormal"/>
    <w:uiPriority w:val="40"/>
    <w:rsid w:val="00E62AE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E9782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ISTA">
      <a:dk1>
        <a:srgbClr val="000000"/>
      </a:dk1>
      <a:lt1>
        <a:srgbClr val="FFFFFF"/>
      </a:lt1>
      <a:dk2>
        <a:srgbClr val="0A1C36"/>
      </a:dk2>
      <a:lt2>
        <a:srgbClr val="E8E8E8"/>
      </a:lt2>
      <a:accent1>
        <a:srgbClr val="1C3866"/>
      </a:accent1>
      <a:accent2>
        <a:srgbClr val="B2282E"/>
      </a:accent2>
      <a:accent3>
        <a:srgbClr val="5CA6F2"/>
      </a:accent3>
      <a:accent4>
        <a:srgbClr val="7DE8EB"/>
      </a:accent4>
      <a:accent5>
        <a:srgbClr val="FF96BF"/>
      </a:accent5>
      <a:accent6>
        <a:srgbClr val="6B1F7D"/>
      </a:accent6>
      <a:hlink>
        <a:srgbClr val="3E5970"/>
      </a:hlink>
      <a:folHlink>
        <a:srgbClr val="9B2744"/>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HMT Document" ma:contentTypeID="0x010100F3DA492754083E45834DB37B66A759800041AF21422BFE7342A97824AA6348C6D0" ma:contentTypeVersion="13" ma:contentTypeDescription="Create an InfoStore Document" ma:contentTypeScope="" ma:versionID="7ec52dedbd667a0e76214ac3e886d742">
  <xsd:schema xmlns:xsd="http://www.w3.org/2001/XMLSchema" xmlns:xs="http://www.w3.org/2001/XMLSchema" xmlns:p="http://schemas.microsoft.com/office/2006/metadata/properties" xmlns:ns1="http://schemas.microsoft.com/sharepoint/v3" xmlns:ns2="f9632af1-d92f-4e4b-b1b1-372ce0b263e8" xmlns:ns3="18bfdf7c-4ca0-4d52-bff0-be53b55d3e89" targetNamespace="http://schemas.microsoft.com/office/2006/metadata/properties" ma:root="true" ma:fieldsID="afdc26b90ec87944692f08a6fa0a471e" ns1:_="" ns2:_="" ns3:_="">
    <xsd:import namespace="http://schemas.microsoft.com/sharepoint/v3"/>
    <xsd:import namespace="f9632af1-d92f-4e4b-b1b1-372ce0b263e8"/>
    <xsd:import namespace="18bfdf7c-4ca0-4d52-bff0-be53b55d3e89"/>
    <xsd:element name="properties">
      <xsd:complexType>
        <xsd:sequence>
          <xsd:element name="documentManagement">
            <xsd:complexType>
              <xsd:all>
                <xsd:element ref="ns1:dlc_EmailSubject" minOccurs="0"/>
                <xsd:element ref="ns1:dlc_EmailMailbox" minOccurs="0"/>
                <xsd:element ref="ns1:dlc_EmailTo" minOccurs="0"/>
                <xsd:element ref="ns1:dlc_EmailFrom" minOccurs="0"/>
                <xsd:element ref="ns1:dlc_EmailCC" minOccurs="0"/>
                <xsd:element ref="ns1:dlc_EmailBCC" minOccurs="0"/>
                <xsd:element ref="ns1:dlc_EmailSentUTC" minOccurs="0"/>
                <xsd:element ref="ns1:dlc_EmailReceivedUTC" minOccurs="0"/>
                <xsd:element ref="ns2:HMT_DocumentTypeHTField0" minOccurs="0"/>
                <xsd:element ref="ns2:HMT_Record" minOccurs="0"/>
                <xsd:element ref="ns2:HMT_GroupHTField0" minOccurs="0"/>
                <xsd:element ref="ns2:HMT_TeamHTField0" minOccurs="0"/>
                <xsd:element ref="ns2:HMT_SubTeamHTField0" minOccurs="0"/>
                <xsd:element ref="ns2:HMT_Theme" minOccurs="0"/>
                <xsd:element ref="ns2:HMT_Topic" minOccurs="0"/>
                <xsd:element ref="ns2:HMT_SubTopic" minOccurs="0"/>
                <xsd:element ref="ns2:HMT_CategoryHTField0" minOccurs="0"/>
                <xsd:element ref="ns2:HMT_ClosedOn" minOccurs="0"/>
                <xsd:element ref="ns2:HMT_DeletedOn" minOccurs="0"/>
                <xsd:element ref="ns2:HMT_ArchivedOn" minOccurs="0"/>
                <xsd:element ref="ns2:HMT_LegacyItemID" minOccurs="0"/>
                <xsd:element ref="ns2:HMT_LegacyCreatedBy" minOccurs="0"/>
                <xsd:element ref="ns2:HMT_LegacyModifiedBy" minOccurs="0"/>
                <xsd:element ref="ns2:HMT_LegacyOrigSource" minOccurs="0"/>
                <xsd:element ref="ns2:HMT_LegacyExtRef" minOccurs="0"/>
                <xsd:element ref="ns2:HMT_LegacySensitive" minOccurs="0"/>
                <xsd:element ref="ns2:HMT_LegacyRecord" minOccurs="0"/>
                <xsd:element ref="ns2:HMT_Audit" minOccurs="0"/>
                <xsd:element ref="ns2:HMT_ClosedBy" minOccurs="0"/>
                <xsd:element ref="ns2:HMT_ArchivedBy" minOccurs="0"/>
                <xsd:element ref="ns2:HMT_ClosedArchive" minOccurs="0"/>
                <xsd:element ref="ns2:HMT_ClosedOnOrig" minOccurs="0"/>
                <xsd:element ref="ns2:HMT_ClosedbyOrig" minOccurs="0"/>
                <xsd:element ref="ns2:_dlc_DocIdUrl" minOccurs="0"/>
                <xsd:element ref="ns2:TaxCatchAllLabel" minOccurs="0"/>
                <xsd:element ref="ns2:TaxCatchAll" minOccurs="0"/>
                <xsd:element ref="ns2:b9c42a306c8b47fcbaf8a41a71352f3a" minOccurs="0"/>
                <xsd:element ref="ns2:_dlc_DocId" minOccurs="0"/>
                <xsd:element ref="ns2:_dlc_DocIdPersistId" minOccurs="0"/>
                <xsd:element ref="ns3:MediaServiceMetadata" minOccurs="0"/>
                <xsd:element ref="ns3:MediaServiceFastMetadata" minOccurs="0"/>
                <xsd:element ref="ns3:MediaServiceSearchProperties" minOccurs="0"/>
                <xsd:element ref="ns3:lcf76f155ced4ddcb4097134ff3c332f" minOccurs="0"/>
                <xsd:element ref="ns3:MediaServiceDateTaken" minOccurs="0"/>
                <xsd:element ref="ns3:MediaServiceGenerationTime" minOccurs="0"/>
                <xsd:element ref="ns3:MediaServiceEventHashCode" minOccurs="0"/>
                <xsd:element ref="ns3:MediaServiceLocation"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lc_EmailSubject" ma:index="0" nillable="true" ma:displayName="Subject" ma:internalName="dlc_EmailSubject">
      <xsd:simpleType>
        <xsd:restriction base="dms:Text">
          <xsd:maxLength value="255"/>
        </xsd:restriction>
      </xsd:simpleType>
    </xsd:element>
    <xsd:element name="dlc_EmailMailbox" ma:index="1" nillable="true" ma:displayName="Submitter" ma:internalName="dlc_EmailMailbox">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lc_EmailTo" ma:index="2" nillable="true" ma:displayName="To" ma:internalName="dlc_EmailTo">
      <xsd:simpleType>
        <xsd:restriction base="dms:Text">
          <xsd:maxLength value="255"/>
        </xsd:restriction>
      </xsd:simpleType>
    </xsd:element>
    <xsd:element name="dlc_EmailFrom" ma:index="3" nillable="true" ma:displayName="From" ma:internalName="dlc_EmailFrom">
      <xsd:simpleType>
        <xsd:restriction base="dms:Text">
          <xsd:maxLength value="255"/>
        </xsd:restriction>
      </xsd:simpleType>
    </xsd:element>
    <xsd:element name="dlc_EmailCC" ma:index="4" nillable="true" ma:displayName="CC" ma:internalName="dlc_EmailCC">
      <xsd:simpleType>
        <xsd:restriction base="dms:Note">
          <xsd:maxLength value="1024"/>
        </xsd:restriction>
      </xsd:simpleType>
    </xsd:element>
    <xsd:element name="dlc_EmailBCC" ma:index="5" nillable="true" ma:displayName="BCC" ma:internalName="dlc_EmailBCC">
      <xsd:simpleType>
        <xsd:restriction base="dms:Note">
          <xsd:maxLength value="1024"/>
        </xsd:restriction>
      </xsd:simpleType>
    </xsd:element>
    <xsd:element name="dlc_EmailSentUTC" ma:index="6" nillable="true" ma:displayName="Date Sent" ma:internalName="dlc_EmailSentUTC">
      <xsd:simpleType>
        <xsd:restriction base="dms:DateTime"/>
      </xsd:simpleType>
    </xsd:element>
    <xsd:element name="dlc_EmailReceivedUTC" ma:index="7" nillable="true" ma:displayName="Date Received" ma:internalName="dlc_EmailReceivedUTC">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9632af1-d92f-4e4b-b1b1-372ce0b263e8" elementFormDefault="qualified">
    <xsd:import namespace="http://schemas.microsoft.com/office/2006/documentManagement/types"/>
    <xsd:import namespace="http://schemas.microsoft.com/office/infopath/2007/PartnerControls"/>
    <xsd:element name="HMT_DocumentTypeHTField0" ma:index="9" nillable="true" ma:taxonomy="true" ma:internalName="HMT_DocumentTypeHTField0" ma:taxonomyFieldName="HMT_DocumentType" ma:displayName="Document Type" ma:default="11;#Other|c871d64c-a333-451d-b49a-28a9a74c0368" ma:fieldId="{64e205a0-0872-4e26-9aef-64ca7bdb5848}" ma:sspId="9002b6cd-6bc3-456d-8dd0-19fe32dddaf9" ma:termSetId="b6f1e53f-947f-4b4b-98bb-41ceeb10f910" ma:anchorId="9cae1664-647a-4060-a444-c5420aa89dfd" ma:open="false" ma:isKeyword="false">
      <xsd:complexType>
        <xsd:sequence>
          <xsd:element ref="pc:Terms" minOccurs="0" maxOccurs="1"/>
        </xsd:sequence>
      </xsd:complexType>
    </xsd:element>
    <xsd:element name="HMT_Record" ma:index="10" nillable="true" ma:displayName="Record" ma:description="Is this document a record?" ma:hidden="true" ma:internalName="HMT_Record" ma:readOnly="true">
      <xsd:simpleType>
        <xsd:restriction base="dms:Boolean"/>
      </xsd:simpleType>
    </xsd:element>
    <xsd:element name="HMT_GroupHTField0" ma:index="12" nillable="true" ma:taxonomy="true" ma:internalName="HMT_GroupHTField0" ma:taxonomyFieldName="HMT_Group" ma:displayName="Organisation unit" ma:readOnly="true" ma:default="" ma:fieldId="{0727aac2-e220-4289-aa2b-5b6dcdadae03}" ma:sspId="9002b6cd-6bc3-456d-8dd0-19fe32dddaf9" ma:termSetId="bfb00256-4f71-4b34-808b-e2a5e274e13b" ma:anchorId="00000000-0000-0000-0000-000000000000" ma:open="false" ma:isKeyword="false">
      <xsd:complexType>
        <xsd:sequence>
          <xsd:element ref="pc:Terms" minOccurs="0" maxOccurs="1"/>
        </xsd:sequence>
      </xsd:complexType>
    </xsd:element>
    <xsd:element name="HMT_TeamHTField0" ma:index="14" nillable="true" ma:taxonomy="true" ma:internalName="HMT_TeamHTField0" ma:taxonomyFieldName="HMT_Team" ma:displayName="Team" ma:readOnly="true" ma:default="" ma:fieldId="{2eefa5c6-211a-4a5e-9a50-7e1c1c1599ef}" ma:sspId="9002b6cd-6bc3-456d-8dd0-19fe32dddaf9" ma:termSetId="bfb00256-4f71-4b34-808b-e2a5e274e13b" ma:anchorId="00000000-0000-0000-0000-000000000000" ma:open="false" ma:isKeyword="false">
      <xsd:complexType>
        <xsd:sequence>
          <xsd:element ref="pc:Terms" minOccurs="0" maxOccurs="1"/>
        </xsd:sequence>
      </xsd:complexType>
    </xsd:element>
    <xsd:element name="HMT_SubTeamHTField0" ma:index="16" nillable="true" ma:taxonomy="true" ma:internalName="HMT_SubTeamHTField0" ma:taxonomyFieldName="HMT_SubTeam" ma:displayName="Sub Team" ma:readOnly="true" ma:default="" ma:fieldId="{1b8bc039-1a2e-4089-a24d-47de9e4a6672}" ma:sspId="9002b6cd-6bc3-456d-8dd0-19fe32dddaf9" ma:termSetId="bfb00256-4f71-4b34-808b-e2a5e274e13b" ma:anchorId="00000000-0000-0000-0000-000000000000" ma:open="false" ma:isKeyword="false">
      <xsd:complexType>
        <xsd:sequence>
          <xsd:element ref="pc:Terms" minOccurs="0" maxOccurs="1"/>
        </xsd:sequence>
      </xsd:complexType>
    </xsd:element>
    <xsd:element name="HMT_Theme" ma:index="17" nillable="true" ma:displayName="Library" ma:description="Document library theme" ma:hidden="true" ma:internalName="HMT_Theme" ma:readOnly="true">
      <xsd:simpleType>
        <xsd:restriction base="dms:Text"/>
      </xsd:simpleType>
    </xsd:element>
    <xsd:element name="HMT_Topic" ma:index="18" nillable="true" ma:displayName="Topic" ma:description="Topic" ma:hidden="true" ma:internalName="HMT_Topic" ma:readOnly="true">
      <xsd:simpleType>
        <xsd:restriction base="dms:Text"/>
      </xsd:simpleType>
    </xsd:element>
    <xsd:element name="HMT_SubTopic" ma:index="19" nillable="true" ma:displayName="Sub Topic" ma:description="Sub topic" ma:hidden="true" ma:internalName="HMT_SubTopic" ma:readOnly="true">
      <xsd:simpleType>
        <xsd:restriction base="dms:Text"/>
      </xsd:simpleType>
    </xsd:element>
    <xsd:element name="HMT_CategoryHTField0" ma:index="21" nillable="true" ma:taxonomy="true" ma:internalName="HMT_CategoryHTField0" ma:taxonomyFieldName="HMT_Category" ma:displayName="Category" ma:readOnly="true" ma:default="" ma:fieldId="{03bf77b0-a02d-47ea-8bec-4fb357d1f3ee}" ma:sspId="9002b6cd-6bc3-456d-8dd0-19fe32dddaf9" ma:termSetId="b6f1e53f-947f-4b4b-98bb-41ceeb10f910" ma:anchorId="00000000-0000-0000-0000-000000000000" ma:open="false" ma:isKeyword="false">
      <xsd:complexType>
        <xsd:sequence>
          <xsd:element ref="pc:Terms" minOccurs="0" maxOccurs="1"/>
        </xsd:sequence>
      </xsd:complexType>
    </xsd:element>
    <xsd:element name="HMT_ClosedOn" ma:index="23" nillable="true" ma:displayName="Closed On" ma:description="The date this item was closed on" ma:format="DateTime" ma:hidden="true" ma:internalName="HMT_ClosedOn" ma:readOnly="true">
      <xsd:simpleType>
        <xsd:restriction base="dms:DateTime"/>
      </xsd:simpleType>
    </xsd:element>
    <xsd:element name="HMT_DeletedOn" ma:index="24" nillable="true" ma:displayName="Deleted On" ma:description="The date this item was deleted on" ma:format="DateTime" ma:hidden="true" ma:internalName="HMT_DeletedOn" ma:readOnly="true">
      <xsd:simpleType>
        <xsd:restriction base="dms:DateTime"/>
      </xsd:simpleType>
    </xsd:element>
    <xsd:element name="HMT_ArchivedOn" ma:index="25" nillable="true" ma:displayName="Archived On" ma:description="The date this item was archived on" ma:format="DateTime" ma:hidden="true" ma:internalName="HMT_ArchivedOn" ma:readOnly="true">
      <xsd:simpleType>
        <xsd:restriction base="dms:DateTime"/>
      </xsd:simpleType>
    </xsd:element>
    <xsd:element name="HMT_LegacyItemID" ma:index="26" nillable="true" ma:displayName="Legacy Item ID" ma:hidden="true" ma:internalName="HMT_LegacyItemID" ma:readOnly="true">
      <xsd:simpleType>
        <xsd:restriction base="dms:Text"/>
      </xsd:simpleType>
    </xsd:element>
    <xsd:element name="HMT_LegacyCreatedBy" ma:index="27" nillable="true" ma:displayName="Legacy Created By" ma:hidden="true" ma:internalName="HMT_LegacyCreatedBy" ma:readOnly="true">
      <xsd:simpleType>
        <xsd:restriction base="dms:Text"/>
      </xsd:simpleType>
    </xsd:element>
    <xsd:element name="HMT_LegacyModifiedBy" ma:index="28" nillable="true" ma:displayName="Legacy Modified By" ma:hidden="true" ma:internalName="HMT_LegacyModifiedBy" ma:readOnly="true">
      <xsd:simpleType>
        <xsd:restriction base="dms:Text"/>
      </xsd:simpleType>
    </xsd:element>
    <xsd:element name="HMT_LegacyOrigSource" ma:index="29" nillable="true" ma:displayName="Original Source" ma:hidden="true" ma:internalName="HMT_LegacyOrigSource" ma:readOnly="true">
      <xsd:simpleType>
        <xsd:restriction base="dms:Text"/>
      </xsd:simpleType>
    </xsd:element>
    <xsd:element name="HMT_LegacyExtRef" ma:index="30" nillable="true" ma:displayName="External Reference" ma:hidden="true" ma:internalName="HMT_LegacyExtRef" ma:readOnly="true">
      <xsd:simpleType>
        <xsd:restriction base="dms:Text"/>
      </xsd:simpleType>
    </xsd:element>
    <xsd:element name="HMT_LegacySensitive" ma:index="31" nillable="true" ma:displayName="Sensitive Item" ma:default="0" ma:hidden="true" ma:internalName="HMT_LegacySensitive" ma:readOnly="true">
      <xsd:simpleType>
        <xsd:restriction base="dms:Boolean"/>
      </xsd:simpleType>
    </xsd:element>
    <xsd:element name="HMT_LegacyRecord" ma:index="32" nillable="true" ma:displayName="Legacy Record" ma:default="0" ma:hidden="true" ma:internalName="HMT_LegacyRecord" ma:readOnly="true">
      <xsd:simpleType>
        <xsd:restriction base="dms:Boolean"/>
      </xsd:simpleType>
    </xsd:element>
    <xsd:element name="HMT_Audit" ma:index="33" nillable="true" ma:displayName="Audit Log" ma:description="Audit Log" ma:internalName="HMT_Audit" ma:readOnly="true">
      <xsd:simpleType>
        <xsd:restriction base="dms:Note">
          <xsd:maxLength value="255"/>
        </xsd:restriction>
      </xsd:simpleType>
    </xsd:element>
    <xsd:element name="HMT_ClosedBy" ma:index="34" nillable="true" ma:displayName="Closed By" ma:description="Who closed this item" ma:hidden="true" ma:list="UserInfo" ma:internalName="HMT_Closed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MT_ArchivedBy" ma:index="35" nillable="true" ma:displayName="Archived By" ma:description="Who archived this item" ma:hidden="true" ma:list="UserInfo" ma:internalName="HMT_Archived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MT_ClosedArchive" ma:index="36" nillable="true" ma:displayName="Closed Archive" ma:default="0" ma:description="Item sent to closed archive" ma:hidden="true" ma:internalName="HMT_ClosedArchive" ma:readOnly="true">
      <xsd:simpleType>
        <xsd:restriction base="dms:Boolean"/>
      </xsd:simpleType>
    </xsd:element>
    <xsd:element name="HMT_ClosedOnOrig" ma:index="37" nillable="true" ma:displayName="Original Closed On" ma:description="The date this item was originally closed on" ma:format="DateTime" ma:hidden="true" ma:internalName="HMT_ClosedOnOrig" ma:readOnly="true">
      <xsd:simpleType>
        <xsd:restriction base="dms:DateTime"/>
      </xsd:simpleType>
    </xsd:element>
    <xsd:element name="HMT_ClosedbyOrig" ma:index="38" nillable="true" ma:displayName="Original Closed By" ma:description="Who originally closed this item" ma:hidden="true" ma:list="UserInfo" ma:internalName="HMT_ClosedbyOrig">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Url" ma:index="4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Label" ma:index="47" nillable="true" ma:displayName="Taxonomy Catch All Column1" ma:hidden="true" ma:list="{7c34afa1-5e84-42b8-bbed-78912bb5a4f4}" ma:internalName="TaxCatchAllLabel" ma:readOnly="true" ma:showField="CatchAllDataLabel" ma:web="f9632af1-d92f-4e4b-b1b1-372ce0b263e8">
      <xsd:complexType>
        <xsd:complexContent>
          <xsd:extension base="dms:MultiChoiceLookup">
            <xsd:sequence>
              <xsd:element name="Value" type="dms:Lookup" maxOccurs="unbounded" minOccurs="0" nillable="true"/>
            </xsd:sequence>
          </xsd:extension>
        </xsd:complexContent>
      </xsd:complexType>
    </xsd:element>
    <xsd:element name="TaxCatchAll" ma:index="48" nillable="true" ma:displayName="Taxonomy Catch All Column" ma:hidden="true" ma:list="{7c34afa1-5e84-42b8-bbed-78912bb5a4f4}" ma:internalName="TaxCatchAll" ma:showField="CatchAllData" ma:web="f9632af1-d92f-4e4b-b1b1-372ce0b263e8">
      <xsd:complexType>
        <xsd:complexContent>
          <xsd:extension base="dms:MultiChoiceLookup">
            <xsd:sequence>
              <xsd:element name="Value" type="dms:Lookup" maxOccurs="unbounded" minOccurs="0" nillable="true"/>
            </xsd:sequence>
          </xsd:extension>
        </xsd:complexContent>
      </xsd:complexType>
    </xsd:element>
    <xsd:element name="b9c42a306c8b47fcbaf8a41a71352f3a" ma:index="49" nillable="true" ma:taxonomy="true" ma:internalName="b9c42a306c8b47fcbaf8a41a71352f3a" ma:taxonomyFieldName="HMT_Classification" ma:displayName="Classification" ma:readOnly="true" ma:default="" ma:fieldId="{b9c42a30-6c8b-47fc-baf8-a41a71352f3a}" ma:sspId="9002b6cd-6bc3-456d-8dd0-19fe32dddaf9" ma:termSetId="7a69d7dc-39ad-4ce6-95e5-a2714f1574de" ma:anchorId="00000000-0000-0000-0000-000000000000" ma:open="false" ma:isKeyword="false">
      <xsd:complexType>
        <xsd:sequence>
          <xsd:element ref="pc:Terms" minOccurs="0" maxOccurs="1"/>
        </xsd:sequence>
      </xsd:complexType>
    </xsd:element>
    <xsd:element name="_dlc_DocId" ma:index="50" nillable="true" ma:displayName="Document ID Value" ma:description="The value of the document ID assigned to this item." ma:indexed="true" ma:internalName="_dlc_DocId" ma:readOnly="true">
      <xsd:simpleType>
        <xsd:restriction base="dms:Text"/>
      </xsd:simpleType>
    </xsd:element>
    <xsd:element name="_dlc_DocIdPersistId" ma:index="5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8bfdf7c-4ca0-4d52-bff0-be53b55d3e89" elementFormDefault="qualified">
    <xsd:import namespace="http://schemas.microsoft.com/office/2006/documentManagement/types"/>
    <xsd:import namespace="http://schemas.microsoft.com/office/infopath/2007/PartnerControls"/>
    <xsd:element name="MediaServiceMetadata" ma:index="54" nillable="true" ma:displayName="MediaServiceMetadata" ma:hidden="true" ma:internalName="MediaServiceMetadata" ma:readOnly="true">
      <xsd:simpleType>
        <xsd:restriction base="dms:Note"/>
      </xsd:simpleType>
    </xsd:element>
    <xsd:element name="MediaServiceFastMetadata" ma:index="55" nillable="true" ma:displayName="MediaServiceFastMetadata" ma:hidden="true" ma:internalName="MediaServiceFastMetadata" ma:readOnly="true">
      <xsd:simpleType>
        <xsd:restriction base="dms:Note"/>
      </xsd:simpleType>
    </xsd:element>
    <xsd:element name="MediaServiceSearchProperties" ma:index="56" nillable="true" ma:displayName="MediaServiceSearchProperties" ma:hidden="true" ma:internalName="MediaServiceSearchProperties" ma:readOnly="true">
      <xsd:simpleType>
        <xsd:restriction base="dms:Note"/>
      </xsd:simpleType>
    </xsd:element>
    <xsd:element name="lcf76f155ced4ddcb4097134ff3c332f" ma:index="58" nillable="true" ma:taxonomy="true" ma:internalName="lcf76f155ced4ddcb4097134ff3c332f" ma:taxonomyFieldName="MediaServiceImageTags" ma:displayName="Image Tags" ma:readOnly="false" ma:fieldId="{5cf76f15-5ced-4ddc-b409-7134ff3c332f}" ma:taxonomyMulti="true" ma:sspId="9002b6cd-6bc3-456d-8dd0-19fe32dddaf9" ma:termSetId="09814cd3-568e-fe90-9814-8d621ff8fb84" ma:anchorId="fba54fb3-c3e1-fe81-a776-ca4b69148c4d" ma:open="true" ma:isKeyword="false">
      <xsd:complexType>
        <xsd:sequence>
          <xsd:element ref="pc:Terms" minOccurs="0" maxOccurs="1"/>
        </xsd:sequence>
      </xsd:complexType>
    </xsd:element>
    <xsd:element name="MediaServiceDateTaken" ma:index="59" nillable="true" ma:displayName="MediaServiceDateTaken" ma:hidden="true" ma:indexed="true" ma:internalName="MediaServiceDateTaken" ma:readOnly="true">
      <xsd:simpleType>
        <xsd:restriction base="dms:Text"/>
      </xsd:simpleType>
    </xsd:element>
    <xsd:element name="MediaServiceGenerationTime" ma:index="60" nillable="true" ma:displayName="MediaServiceGenerationTime" ma:hidden="true" ma:internalName="MediaServiceGenerationTime" ma:readOnly="true">
      <xsd:simpleType>
        <xsd:restriction base="dms:Text"/>
      </xsd:simpleType>
    </xsd:element>
    <xsd:element name="MediaServiceEventHashCode" ma:index="61" nillable="true" ma:displayName="MediaServiceEventHashCode" ma:hidden="true" ma:internalName="MediaServiceEventHashCode" ma:readOnly="true">
      <xsd:simpleType>
        <xsd:restriction base="dms:Text"/>
      </xsd:simpleType>
    </xsd:element>
    <xsd:element name="MediaServiceLocation" ma:index="62" nillable="true" ma:displayName="Location" ma:indexed="true" ma:internalName="MediaServiceLocation" ma:readOnly="true">
      <xsd:simpleType>
        <xsd:restriction base="dms:Text"/>
      </xsd:simpleType>
    </xsd:element>
    <xsd:element name="MediaServiceOCR" ma:index="63" nillable="true" ma:displayName="Extracted Text" ma:internalName="MediaServiceOCR" ma:readOnly="true">
      <xsd:simpleType>
        <xsd:restriction base="dms:Note">
          <xsd:maxLength value="255"/>
        </xsd:restriction>
      </xsd:simpleType>
    </xsd:element>
    <xsd:element name="MediaLengthInSeconds" ma:index="6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lc_EmailBCC xmlns="http://schemas.microsoft.com/sharepoint/v3" xsi:nil="true"/>
    <lcf76f155ced4ddcb4097134ff3c332f xmlns="18bfdf7c-4ca0-4d52-bff0-be53b55d3e89">
      <Terms xmlns="http://schemas.microsoft.com/office/infopath/2007/PartnerControls"/>
    </lcf76f155ced4ddcb4097134ff3c332f>
    <dlc_EmailReceivedUTC xmlns="http://schemas.microsoft.com/sharepoint/v3" xsi:nil="true"/>
    <HMT_DocumentTypeHTField0 xmlns="f9632af1-d92f-4e4b-b1b1-372ce0b263e8">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c871d64c-a333-451d-b49a-28a9a74c0368</TermId>
        </TermInfo>
      </Terms>
    </HMT_DocumentTypeHTField0>
    <dlc_EmailSentUTC xmlns="http://schemas.microsoft.com/sharepoint/v3" xsi:nil="true"/>
    <dlc_EmailSubject xmlns="http://schemas.microsoft.com/sharepoint/v3" xsi:nil="true"/>
    <HMT_ClosedbyOrig xmlns="f9632af1-d92f-4e4b-b1b1-372ce0b263e8">
      <UserInfo>
        <DisplayName/>
        <AccountId xsi:nil="true"/>
        <AccountType/>
      </UserInfo>
    </HMT_ClosedbyOrig>
    <dlc_EmailTo xmlns="http://schemas.microsoft.com/sharepoint/v3" xsi:nil="true"/>
    <dlc_EmailFrom xmlns="http://schemas.microsoft.com/sharepoint/v3" xsi:nil="true"/>
    <dlc_EmailCC xmlns="http://schemas.microsoft.com/sharepoint/v3" xsi:nil="true"/>
    <dlc_EmailMailbox xmlns="http://schemas.microsoft.com/sharepoint/v3">
      <UserInfo>
        <DisplayName/>
        <AccountId xsi:nil="true"/>
        <AccountType/>
      </UserInfo>
    </dlc_EmailMailbox>
    <TaxCatchAll xmlns="f9632af1-d92f-4e4b-b1b1-372ce0b263e8">
      <Value>11</Value>
    </TaxCatchAll>
    <_dlc_DocId xmlns="f9632af1-d92f-4e4b-b1b1-372ce0b263e8">HMTWRKGRPNISTA-1727649049-8561</_dlc_DocId>
    <HMT_LegacySensitive xmlns="f9632af1-d92f-4e4b-b1b1-372ce0b263e8">false</HMT_LegacySensitive>
    <_dlc_DocIdUrl xmlns="f9632af1-d92f-4e4b-b1b1-372ce0b263e8">
      <Url>https://tris42.sharepoint.com/sites/hmt_wrkgrp_nista/_layouts/15/DocIdRedir.aspx?ID=HMTWRKGRPNISTA-1727649049-8561</Url>
      <Description>HMTWRKGRPNISTA-1727649049-8561</Description>
    </_dlc_DocIdUrl>
    <HMT_ClosedArchive xmlns="f9632af1-d92f-4e4b-b1b1-372ce0b263e8">false</HMT_ClosedArchive>
    <HMT_LegacyRecord xmlns="f9632af1-d92f-4e4b-b1b1-372ce0b263e8">false</HMT_LegacyRecord>
  </documentManagement>
</p:properties>
</file>

<file path=customXml/itemProps1.xml><?xml version="1.0" encoding="utf-8"?>
<ds:datastoreItem xmlns:ds="http://schemas.openxmlformats.org/officeDocument/2006/customXml" ds:itemID="{7CC2EDA8-C676-F64C-BB4B-368EC9B4277B}">
  <ds:schemaRefs>
    <ds:schemaRef ds:uri="http://schemas.openxmlformats.org/officeDocument/2006/bibliography"/>
  </ds:schemaRefs>
</ds:datastoreItem>
</file>

<file path=customXml/itemProps2.xml><?xml version="1.0" encoding="utf-8"?>
<ds:datastoreItem xmlns:ds="http://schemas.openxmlformats.org/officeDocument/2006/customXml" ds:itemID="{09D87908-0E82-430D-A5A8-E885E7EDBBCA}"/>
</file>

<file path=customXml/itemProps3.xml><?xml version="1.0" encoding="utf-8"?>
<ds:datastoreItem xmlns:ds="http://schemas.openxmlformats.org/officeDocument/2006/customXml" ds:itemID="{1CE5E920-00CB-4CF2-A0EE-1A07D70BBF48}"/>
</file>

<file path=customXml/itemProps4.xml><?xml version="1.0" encoding="utf-8"?>
<ds:datastoreItem xmlns:ds="http://schemas.openxmlformats.org/officeDocument/2006/customXml" ds:itemID="{6AE1E7B5-4B04-431A-8A4F-A55028A407BA}"/>
</file>

<file path=customXml/itemProps5.xml><?xml version="1.0" encoding="utf-8"?>
<ds:datastoreItem xmlns:ds="http://schemas.openxmlformats.org/officeDocument/2006/customXml" ds:itemID="{C43FFB13-23A4-4374-A812-3BF97DA7465B}"/>
</file>

<file path=docProps/app.xml><?xml version="1.0" encoding="utf-8"?>
<Properties xmlns="http://schemas.openxmlformats.org/officeDocument/2006/extended-properties" xmlns:vt="http://schemas.openxmlformats.org/officeDocument/2006/docPropsVTypes">
  <Template>Normal.dotm</Template>
  <TotalTime>455</TotalTime>
  <Pages>6</Pages>
  <Words>773</Words>
  <Characters>4410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Mustapha Elmaslouhi</cp:lastModifiedBy>
  <cp:revision>33</cp:revision>
  <dcterms:created xsi:type="dcterms:W3CDTF">2025-12-18T13:08:00Z</dcterms:created>
  <dcterms:modified xsi:type="dcterms:W3CDTF">2026-02-23T11:15:00Z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0x010100F3DA492754083E45834DB37B66A759800041AF21422BFE7342A97824AA6348C6D0</vt:lpwstr>
  </property>
  <property fmtid="{D5CDD505-2E9C-101B-9397-08002B2CF9AE}" pid="3" name="_dlc_DocIdItemGuid">
    <vt:lpwstr>de189e16-9d18-4ff1-8913-04ee9da6f3b8</vt:lpwstr>
  </property>
  <property fmtid="{D5CDD505-2E9C-101B-9397-08002B2CF9AE}" pid="4" name="HMT_DocumentType">
    <vt:i4>11</vt:i4>
  </property>
</Properties>
</file>