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D3BC" w14:textId="33F164BC" w:rsidR="0047707E" w:rsidRDefault="0047707E" w:rsidP="0047707E"/>
    <w:p w14:paraId="2E07C1D3" w14:textId="77777777" w:rsidR="0047707E" w:rsidRDefault="0047707E" w:rsidP="0047707E"/>
    <w:p w14:paraId="70B3740E" w14:textId="77777777" w:rsidR="0047707E" w:rsidRDefault="0047707E" w:rsidP="0047707E"/>
    <w:p w14:paraId="30EB679E" w14:textId="77777777" w:rsidR="0047707E" w:rsidRDefault="0047707E" w:rsidP="00657BFF">
      <w:pPr>
        <w:spacing w:line="216" w:lineRule="auto"/>
      </w:pPr>
    </w:p>
    <w:p w14:paraId="1B701DB9" w14:textId="77777777" w:rsidR="00657BFF" w:rsidRDefault="00657BFF" w:rsidP="00657BFF">
      <w:pPr>
        <w:spacing w:line="216" w:lineRule="auto"/>
      </w:pPr>
    </w:p>
    <w:p w14:paraId="11145D0E" w14:textId="5AFE7721" w:rsidR="00950667" w:rsidRPr="00B2659F" w:rsidRDefault="00950667" w:rsidP="00657BFF">
      <w:pPr>
        <w:pStyle w:val="CoverHeader"/>
        <w:spacing w:line="216" w:lineRule="auto"/>
      </w:pPr>
      <w:r w:rsidRPr="00B2659F">
        <w:t xml:space="preserve">PFI Contract </w:t>
      </w:r>
      <w:r w:rsidR="00CF41D6">
        <w:br/>
      </w:r>
      <w:r w:rsidRPr="00B2659F">
        <w:t>Management Guidance</w:t>
      </w:r>
    </w:p>
    <w:p w14:paraId="4432D1CD" w14:textId="206A0C8B" w:rsidR="001B2E66" w:rsidRPr="000E3111" w:rsidRDefault="00CF41D6" w:rsidP="0047707E">
      <w:pPr>
        <w:rPr>
          <w:rFonts w:ascii="Poppins" w:hAnsi="Poppins" w:cs="Poppins"/>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8012E2D" wp14:editId="5DB07A91">
                <wp:simplePos x="0" y="0"/>
                <wp:positionH relativeFrom="column">
                  <wp:posOffset>-2540</wp:posOffset>
                </wp:positionH>
                <wp:positionV relativeFrom="paragraph">
                  <wp:posOffset>36830</wp:posOffset>
                </wp:positionV>
                <wp:extent cx="6084000" cy="0"/>
                <wp:effectExtent l="0" t="0" r="12065" b="12700"/>
                <wp:wrapNone/>
                <wp:docPr id="824846885" name="Straight Connector 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231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9pt" to="478.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" strokecolor="#0a1c36 [3215]" strokeweight="1pt">
                <v:stroke joinstyle="miter"/>
              </v:line>
            </w:pict>
          </mc:Fallback>
        </mc:AlternateContent>
      </w:r>
    </w:p>
    <w:p w14:paraId="711C6E1C" w14:textId="1BF620FB" w:rsidR="001B2E66" w:rsidRPr="0001588D" w:rsidRDefault="004D421A" w:rsidP="00810ED7">
      <w:pPr>
        <w:pStyle w:val="CoverSubHeader"/>
        <w:spacing w:after="120" w:line="192" w:lineRule="auto"/>
      </w:pPr>
      <w:r w:rsidRPr="0001588D">
        <w:t>Operational Document</w:t>
      </w:r>
      <w:r w:rsidR="4AD928B9" w:rsidRPr="0001588D">
        <w:t xml:space="preserve"> Stocktake </w:t>
      </w:r>
    </w:p>
    <w:p w14:paraId="36ED4F6D" w14:textId="6F65C42B" w:rsidR="00565C83" w:rsidRPr="00CF41D6" w:rsidRDefault="00295424" w:rsidP="00657BFF">
      <w:pPr>
        <w:spacing w:after="240" w:line="216" w:lineRule="auto"/>
        <w:ind w:right="7439"/>
        <w:rPr>
          <w:rFonts w:ascii="Poppins" w:hAnsi="Poppins" w:cs="Poppins"/>
          <w:sz w:val="36"/>
          <w:szCs w:val="36"/>
        </w:rPr>
      </w:pPr>
      <w:r w:rsidRPr="007C0540">
        <w:rPr>
          <w:rFonts w:ascii="Poppins" w:hAnsi="Poppins" w:cs="Poppins"/>
          <w:b/>
          <w:bCs/>
          <w:sz w:val="36"/>
          <w:szCs w:val="36"/>
        </w:rPr>
        <w:t xml:space="preserve">Toolkit </w:t>
      </w:r>
      <w:r w:rsidR="0089783D" w:rsidRPr="007C0540">
        <w:rPr>
          <w:rFonts w:ascii="Poppins" w:hAnsi="Poppins" w:cs="Poppins"/>
          <w:b/>
          <w:bCs/>
          <w:sz w:val="36"/>
          <w:szCs w:val="36"/>
        </w:rPr>
        <w:t>2</w:t>
      </w:r>
      <w:r w:rsidRPr="007C0540">
        <w:rPr>
          <w:rFonts w:ascii="Poppins" w:hAnsi="Poppins" w:cs="Poppins"/>
          <w:b/>
          <w:bCs/>
          <w:sz w:val="36"/>
          <w:szCs w:val="36"/>
        </w:rPr>
        <w:t>:</w:t>
      </w:r>
      <w:r w:rsidRPr="00CF41D6">
        <w:rPr>
          <w:rFonts w:ascii="Poppins" w:hAnsi="Poppins" w:cs="Poppins"/>
          <w:sz w:val="36"/>
          <w:szCs w:val="36"/>
        </w:rPr>
        <w:t xml:space="preserve"> </w:t>
      </w:r>
      <w:r w:rsidR="6B440B35" w:rsidRPr="00CF41D6">
        <w:rPr>
          <w:rFonts w:ascii="Poppins" w:hAnsi="Poppins" w:cs="Poppins"/>
          <w:sz w:val="36"/>
          <w:szCs w:val="36"/>
        </w:rPr>
        <w:t xml:space="preserve">Operational </w:t>
      </w:r>
      <w:r w:rsidR="6D6E69DE" w:rsidRPr="00CF41D6">
        <w:rPr>
          <w:rFonts w:ascii="Poppins" w:hAnsi="Poppins" w:cs="Poppins"/>
          <w:sz w:val="36"/>
          <w:szCs w:val="36"/>
        </w:rPr>
        <w:t>Document Checklist</w:t>
      </w:r>
      <w:r w:rsidR="0089783D" w:rsidRPr="00CF41D6">
        <w:rPr>
          <w:rFonts w:ascii="Poppins" w:hAnsi="Poppins" w:cs="Poppins"/>
          <w:sz w:val="36"/>
          <w:szCs w:val="36"/>
        </w:rPr>
        <w:t xml:space="preserve"> </w:t>
      </w:r>
      <w:r w:rsidR="004963F1" w:rsidRPr="00CF41D6">
        <w:rPr>
          <w:rFonts w:ascii="Poppins" w:hAnsi="Poppins" w:cs="Poppins"/>
          <w:sz w:val="36"/>
          <w:szCs w:val="36"/>
        </w:rPr>
        <w:t>–</w:t>
      </w:r>
      <w:r w:rsidR="0089783D" w:rsidRPr="00CF41D6">
        <w:rPr>
          <w:rFonts w:ascii="Poppins" w:hAnsi="Poppins" w:cs="Poppins"/>
          <w:sz w:val="36"/>
          <w:szCs w:val="36"/>
        </w:rPr>
        <w:t xml:space="preserve"> </w:t>
      </w:r>
      <w:r w:rsidR="6D6E69DE" w:rsidRPr="00CF41D6">
        <w:rPr>
          <w:rFonts w:ascii="Poppins" w:hAnsi="Poppins" w:cs="Poppins"/>
          <w:sz w:val="36"/>
          <w:szCs w:val="36"/>
        </w:rPr>
        <w:t xml:space="preserve">A checklist to help to identify </w:t>
      </w:r>
      <w:r w:rsidR="09F3A6FD" w:rsidRPr="00CF41D6">
        <w:rPr>
          <w:rFonts w:ascii="Poppins" w:hAnsi="Poppins" w:cs="Poppins"/>
          <w:sz w:val="36"/>
          <w:szCs w:val="36"/>
        </w:rPr>
        <w:t>operational</w:t>
      </w:r>
      <w:r w:rsidR="6D6E69DE" w:rsidRPr="00CF41D6">
        <w:rPr>
          <w:rFonts w:ascii="Poppins" w:hAnsi="Poppins" w:cs="Poppins"/>
          <w:sz w:val="36"/>
          <w:szCs w:val="36"/>
        </w:rPr>
        <w:t xml:space="preserve"> documents </w:t>
      </w:r>
    </w:p>
    <w:p w14:paraId="71FFEA0C" w14:textId="07729A5B" w:rsidR="001B2E66" w:rsidRPr="00CF41D6" w:rsidRDefault="001B2E66" w:rsidP="000E3111">
      <w:pPr>
        <w:pStyle w:val="CoverSubHeader"/>
      </w:pPr>
      <w:r w:rsidRPr="00CF41D6">
        <w:t>PFI Centre of Excellence</w:t>
      </w:r>
    </w:p>
    <w:p w14:paraId="37D1A3BD" w14:textId="6DFB0A02" w:rsidR="001B2E66" w:rsidRPr="00CF41D6" w:rsidRDefault="00FC56F7" w:rsidP="000E3111">
      <w:pPr>
        <w:pStyle w:val="CoverSubHeader"/>
      </w:pPr>
      <w:r w:rsidRPr="00FC56F7">
        <w:t>Published 2026</w:t>
      </w:r>
      <w:r w:rsidR="00810ED7">
        <w:t xml:space="preserve"> </w:t>
      </w:r>
    </w:p>
    <w:p w14:paraId="4B423A89" w14:textId="77777777" w:rsidR="00550BBA" w:rsidRDefault="00550BBA" w:rsidP="0047707E"/>
    <w:p w14:paraId="2C11DFDE" w14:textId="6D089302" w:rsidR="00550BBA" w:rsidRDefault="00550BBA" w:rsidP="0047707E">
      <w:pPr>
        <w:sectPr w:rsidR="00550BBA" w:rsidSect="00CF41D6">
          <w:footerReference w:type="default" r:id="rId11"/>
          <w:headerReference w:type="first" r:id="rId12"/>
          <w:footerReference w:type="first" r:id="rId13"/>
          <w:pgSz w:w="16838" w:h="11906" w:orient="landscape"/>
          <w:pgMar w:top="1440" w:right="1440" w:bottom="976" w:left="1440" w:header="709" w:footer="709" w:gutter="0"/>
          <w:cols w:space="708"/>
          <w:titlePg/>
          <w:docGrid w:linePitch="360"/>
        </w:sectPr>
      </w:pPr>
    </w:p>
    <w:p w14:paraId="5CF550A1" w14:textId="28649863" w:rsidR="00565C83" w:rsidRPr="007C0540" w:rsidRDefault="0089783D" w:rsidP="00280313">
      <w:pPr>
        <w:pStyle w:val="SubHeading"/>
      </w:pPr>
      <w:bookmarkStart w:id="0" w:name="_Toc204770461"/>
      <w:r w:rsidRPr="007C0540">
        <w:lastRenderedPageBreak/>
        <w:t>Document</w:t>
      </w:r>
      <w:r w:rsidR="108A8019" w:rsidRPr="007C0540">
        <w:t xml:space="preserve"> Stocktake </w:t>
      </w:r>
    </w:p>
    <w:p w14:paraId="296D1E8E" w14:textId="286F6378" w:rsidR="006E5184" w:rsidRPr="007C0540" w:rsidRDefault="001E31C6" w:rsidP="007C0540">
      <w:pPr>
        <w:pStyle w:val="SubHeading"/>
      </w:pPr>
      <w:r w:rsidRPr="007C0540">
        <w:t xml:space="preserve">Toolkit </w:t>
      </w:r>
      <w:r w:rsidR="78C1FA0E" w:rsidRPr="007C0540">
        <w:t>2</w:t>
      </w:r>
      <w:r w:rsidRPr="007C0540">
        <w:t xml:space="preserve">: </w:t>
      </w:r>
      <w:r w:rsidR="6C43DC53" w:rsidRPr="007C0540">
        <w:t xml:space="preserve">Operational </w:t>
      </w:r>
      <w:r w:rsidR="00666269" w:rsidRPr="007C0540">
        <w:t>D</w:t>
      </w:r>
      <w:r w:rsidR="00047FD9" w:rsidRPr="007C0540">
        <w:t xml:space="preserve">ocument </w:t>
      </w:r>
      <w:r w:rsidR="00666269" w:rsidRPr="007C0540">
        <w:t>C</w:t>
      </w:r>
      <w:r w:rsidR="00047FD9" w:rsidRPr="007C0540">
        <w:t>hecklist</w:t>
      </w:r>
      <w:bookmarkEnd w:id="0"/>
    </w:p>
    <w:p w14:paraId="1F24B2B8" w14:textId="0052394A" w:rsidR="00C65888" w:rsidRPr="007C0540" w:rsidRDefault="72588E2D" w:rsidP="007C0540">
      <w:pPr>
        <w:pStyle w:val="BodyCopy"/>
      </w:pPr>
      <w:r w:rsidRPr="007C0540">
        <w:t xml:space="preserve">The </w:t>
      </w:r>
      <w:r w:rsidR="00A75BB6" w:rsidRPr="007C0540">
        <w:t>checklist</w:t>
      </w:r>
      <w:r w:rsidRPr="007C0540">
        <w:t xml:space="preserve"> </w:t>
      </w:r>
      <w:r w:rsidR="00C34AFD" w:rsidRPr="007C0540">
        <w:t>overleaf</w:t>
      </w:r>
      <w:r w:rsidRPr="007C0540">
        <w:t xml:space="preserve"> sets out operational documentation that you typically should receive or have access to during the contract. </w:t>
      </w:r>
      <w:r w:rsidR="00F96D00" w:rsidRPr="007C0540">
        <w:t xml:space="preserve">You may find that the </w:t>
      </w:r>
      <w:r w:rsidR="00D45900" w:rsidRPr="007C0540">
        <w:t>names and contents of the documents on your PFI vary</w:t>
      </w:r>
      <w:r w:rsidR="004963F1" w:rsidRPr="007C0540">
        <w:t>,</w:t>
      </w:r>
      <w:r w:rsidR="00D45900" w:rsidRPr="007C0540">
        <w:t xml:space="preserve"> so you may need to restructure this list, however it provides a useful reference point to ensure you are receiving the information required to manage the project</w:t>
      </w:r>
      <w:r w:rsidR="004963F1" w:rsidRPr="007C0540">
        <w:t>,</w:t>
      </w:r>
      <w:r w:rsidR="00D45900" w:rsidRPr="007C0540">
        <w:t xml:space="preserve"> e.g. your monthly report is likely to cover several of the items below</w:t>
      </w:r>
      <w:r w:rsidR="00A15A3A" w:rsidRPr="007C0540">
        <w:t>.</w:t>
      </w:r>
    </w:p>
    <w:p w14:paraId="4BB741B7" w14:textId="73C71705" w:rsidR="00BC3CD6" w:rsidRPr="007C0540" w:rsidRDefault="00BC3CD6" w:rsidP="007C0540">
      <w:pPr>
        <w:pStyle w:val="BodyCopy"/>
      </w:pPr>
      <w:r w:rsidRPr="007C0540">
        <w:t xml:space="preserve">There is also some duplication with Toolkit </w:t>
      </w:r>
      <w:r w:rsidR="00056519">
        <w:t>1</w:t>
      </w:r>
      <w:r w:rsidR="004963F1" w:rsidRPr="007C0540">
        <w:t>,</w:t>
      </w:r>
      <w:r w:rsidRPr="007C0540">
        <w:t xml:space="preserve"> as the delineation between contract and operational is not always clear cut</w:t>
      </w:r>
      <w:r w:rsidR="001C155C">
        <w:t>.</w:t>
      </w:r>
    </w:p>
    <w:p w14:paraId="5B0B73F7" w14:textId="6AB7D5E3" w:rsidR="005C4F59" w:rsidRPr="007C0540" w:rsidRDefault="72588E2D" w:rsidP="007C0540">
      <w:pPr>
        <w:pStyle w:val="BodyCopy"/>
      </w:pPr>
      <w:r w:rsidRPr="007C0540">
        <w:t xml:space="preserve">If you do not have a copy or access to this information you will need to check whether you have a right to access it. </w:t>
      </w:r>
    </w:p>
    <w:p w14:paraId="1F483399" w14:textId="2B2BC139" w:rsidR="00C34AFD" w:rsidRDefault="00C34AFD" w:rsidP="007C0540">
      <w:pPr>
        <w:pStyle w:val="BodyCopy"/>
      </w:pPr>
      <w:r w:rsidRPr="007C0540">
        <w:t>As a reminder the key questions to ask for each document are repeated below</w:t>
      </w:r>
      <w:r w:rsidR="00A15A3A" w:rsidRPr="007C0540">
        <w:t>, noting that the ‘latest/conformed’ question is</w:t>
      </w:r>
      <w:r w:rsidR="001C4881" w:rsidRPr="007C0540">
        <w:t xml:space="preserve"> not included in the checklist as it is unlikely to be relevant here.</w:t>
      </w:r>
    </w:p>
    <w:p w14:paraId="7E1FD7C0" w14:textId="77777777" w:rsidR="005F5B51" w:rsidRPr="007C0540" w:rsidRDefault="005F5B51" w:rsidP="005F5B51">
      <w:pPr>
        <w:pStyle w:val="BodyCopy"/>
        <w:spacing w:after="0"/>
      </w:pPr>
    </w:p>
    <w:tbl>
      <w:tblPr>
        <w:tblStyle w:val="TableGrid"/>
        <w:tblW w:w="14312" w:type="dxa"/>
        <w:tblLook w:val="0620" w:firstRow="1" w:lastRow="0" w:firstColumn="0" w:lastColumn="0" w:noHBand="1" w:noVBand="1"/>
      </w:tblPr>
      <w:tblGrid>
        <w:gridCol w:w="5524"/>
        <w:gridCol w:w="8788"/>
      </w:tblGrid>
      <w:tr w:rsidR="00FC4022" w:rsidRPr="007377DD" w14:paraId="36F62BD5" w14:textId="77777777" w:rsidTr="00826275">
        <w:trPr>
          <w:trHeight w:val="397"/>
        </w:trPr>
        <w:tc>
          <w:tcPr>
            <w:tcW w:w="5524" w:type="dxa"/>
            <w:tcBorders>
              <w:right w:val="single" w:sz="4" w:space="0" w:color="auto"/>
            </w:tcBorders>
            <w:vAlign w:val="center"/>
          </w:tcPr>
          <w:p w14:paraId="11257E7A" w14:textId="7EFC6647" w:rsidR="00FC4022" w:rsidRPr="0016255C" w:rsidRDefault="00FC4022" w:rsidP="0016255C">
            <w:pPr>
              <w:pStyle w:val="TableHeading"/>
            </w:pPr>
            <w:r w:rsidRPr="0016255C">
              <w:t xml:space="preserve">Checklist </w:t>
            </w:r>
            <w:r w:rsidR="004963F1" w:rsidRPr="0016255C">
              <w:t>q</w:t>
            </w:r>
            <w:r w:rsidRPr="0016255C">
              <w:t>uestion</w:t>
            </w:r>
          </w:p>
        </w:tc>
        <w:tc>
          <w:tcPr>
            <w:tcW w:w="8788" w:type="dxa"/>
            <w:tcBorders>
              <w:left w:val="single" w:sz="4" w:space="0" w:color="auto"/>
            </w:tcBorders>
            <w:vAlign w:val="center"/>
          </w:tcPr>
          <w:p w14:paraId="6671CDEF" w14:textId="77777777" w:rsidR="00FC4022" w:rsidRPr="005F5B51" w:rsidRDefault="00FC4022" w:rsidP="005F5B51">
            <w:pPr>
              <w:pStyle w:val="TableHeading"/>
            </w:pPr>
            <w:r w:rsidRPr="005F5B51">
              <w:t>Explanation</w:t>
            </w:r>
          </w:p>
        </w:tc>
      </w:tr>
      <w:tr w:rsidR="00FC4022" w:rsidRPr="00757BC2" w14:paraId="7974E405" w14:textId="77777777" w:rsidTr="00826275">
        <w:trPr>
          <w:trHeight w:val="397"/>
        </w:trPr>
        <w:tc>
          <w:tcPr>
            <w:tcW w:w="5524" w:type="dxa"/>
            <w:hideMark/>
          </w:tcPr>
          <w:p w14:paraId="1CFC5456" w14:textId="77777777" w:rsidR="00FC4022" w:rsidRPr="005F5B51" w:rsidRDefault="00FC4022" w:rsidP="005F5B51">
            <w:pPr>
              <w:pStyle w:val="TableBodyCopy"/>
              <w:rPr>
                <w:rFonts w:eastAsia="Times New Roman"/>
                <w:kern w:val="0"/>
                <w:lang w:eastAsia="en-GB"/>
                <w14:ligatures w14:val="none"/>
              </w:rPr>
            </w:pPr>
            <w:r w:rsidRPr="005F5B51">
              <w:t>Do you have the document?</w:t>
            </w:r>
          </w:p>
        </w:tc>
        <w:tc>
          <w:tcPr>
            <w:tcW w:w="8788" w:type="dxa"/>
            <w:hideMark/>
          </w:tcPr>
          <w:p w14:paraId="173C256F" w14:textId="77777777" w:rsidR="00FC4022" w:rsidRPr="00F973D8" w:rsidRDefault="00FC4022" w:rsidP="0001588D">
            <w:pPr>
              <w:pStyle w:val="TableBodyCopy"/>
              <w:rPr>
                <w:i w:val="0"/>
                <w:iCs/>
              </w:rPr>
            </w:pPr>
            <w:r w:rsidRPr="00F973D8">
              <w:rPr>
                <w:iCs/>
              </w:rPr>
              <w:t>Is it held in your records?</w:t>
            </w:r>
          </w:p>
        </w:tc>
      </w:tr>
      <w:tr w:rsidR="00FC4022" w:rsidRPr="0001588D" w14:paraId="6DFE74AE" w14:textId="77777777" w:rsidTr="00826275">
        <w:trPr>
          <w:trHeight w:val="863"/>
        </w:trPr>
        <w:tc>
          <w:tcPr>
            <w:tcW w:w="5524" w:type="dxa"/>
            <w:hideMark/>
          </w:tcPr>
          <w:p w14:paraId="145C85B6" w14:textId="77777777" w:rsidR="00FC4022" w:rsidRPr="005F5B51" w:rsidRDefault="00FC4022" w:rsidP="005F5B51">
            <w:pPr>
              <w:pStyle w:val="TableBodyCopy"/>
              <w:rPr>
                <w:rFonts w:eastAsia="Times New Roman"/>
                <w:kern w:val="0"/>
                <w:lang w:eastAsia="en-GB"/>
                <w14:ligatures w14:val="none"/>
              </w:rPr>
            </w:pPr>
            <w:r w:rsidRPr="005F5B51">
              <w:t>Is it signed and dated?</w:t>
            </w:r>
          </w:p>
        </w:tc>
        <w:tc>
          <w:tcPr>
            <w:tcW w:w="8788" w:type="dxa"/>
            <w:hideMark/>
          </w:tcPr>
          <w:p w14:paraId="3C824E31" w14:textId="77777777" w:rsidR="00FC4022" w:rsidRPr="00F973D8" w:rsidRDefault="00FC4022" w:rsidP="0001588D">
            <w:pPr>
              <w:pStyle w:val="TableBodyCopy"/>
              <w:rPr>
                <w:i w:val="0"/>
                <w:iCs/>
              </w:rPr>
            </w:pPr>
            <w:r w:rsidRPr="00F973D8">
              <w:rPr>
                <w:iCs/>
              </w:rPr>
              <w:t>Does it have the necessary signatures and dates to confirm its legal validity?</w:t>
            </w:r>
          </w:p>
        </w:tc>
      </w:tr>
      <w:tr w:rsidR="00FC4022" w:rsidRPr="00757BC2" w14:paraId="0FE19E61" w14:textId="77777777" w:rsidTr="00826275">
        <w:trPr>
          <w:trHeight w:val="397"/>
        </w:trPr>
        <w:tc>
          <w:tcPr>
            <w:tcW w:w="5524" w:type="dxa"/>
            <w:hideMark/>
          </w:tcPr>
          <w:p w14:paraId="55CF30F8" w14:textId="77777777" w:rsidR="00FC4022" w:rsidRPr="005F5B51" w:rsidRDefault="00FC4022" w:rsidP="005F5B51">
            <w:pPr>
              <w:pStyle w:val="TableBodyCopy"/>
              <w:rPr>
                <w:rFonts w:eastAsia="Times New Roman"/>
                <w:kern w:val="0"/>
                <w:lang w:eastAsia="en-GB"/>
                <w14:ligatures w14:val="none"/>
              </w:rPr>
            </w:pPr>
            <w:r w:rsidRPr="005F5B51">
              <w:t>Is it complete (all parts/</w:t>
            </w:r>
            <w:proofErr w:type="gramStart"/>
            <w:r w:rsidRPr="005F5B51">
              <w:t>pages</w:t>
            </w:r>
            <w:proofErr w:type="gramEnd"/>
            <w:r w:rsidRPr="005F5B51">
              <w:t xml:space="preserve"> present)?</w:t>
            </w:r>
          </w:p>
        </w:tc>
        <w:tc>
          <w:tcPr>
            <w:tcW w:w="8788" w:type="dxa"/>
            <w:hideMark/>
          </w:tcPr>
          <w:p w14:paraId="08967A61" w14:textId="33ECB2E5" w:rsidR="00FC4022" w:rsidRPr="00F973D8" w:rsidRDefault="00FC4022" w:rsidP="0001588D">
            <w:pPr>
              <w:pStyle w:val="TableBodyCopy"/>
              <w:rPr>
                <w:i w:val="0"/>
                <w:iCs/>
              </w:rPr>
            </w:pPr>
            <w:r w:rsidRPr="00F973D8">
              <w:rPr>
                <w:iCs/>
              </w:rPr>
              <w:t>Are all pages, schedules and annexes present?</w:t>
            </w:r>
          </w:p>
        </w:tc>
      </w:tr>
      <w:tr w:rsidR="00FC4022" w:rsidRPr="00757BC2" w14:paraId="4336778D" w14:textId="77777777" w:rsidTr="00826275">
        <w:trPr>
          <w:trHeight w:val="724"/>
        </w:trPr>
        <w:tc>
          <w:tcPr>
            <w:tcW w:w="5524" w:type="dxa"/>
            <w:hideMark/>
          </w:tcPr>
          <w:p w14:paraId="5D85991F" w14:textId="77777777" w:rsidR="00FC4022" w:rsidRPr="005F5B51" w:rsidRDefault="00FC4022" w:rsidP="005F5B51">
            <w:pPr>
              <w:pStyle w:val="TableBodyCopy"/>
              <w:rPr>
                <w:rFonts w:eastAsia="Times New Roman"/>
                <w:kern w:val="0"/>
                <w:lang w:eastAsia="en-GB"/>
                <w14:ligatures w14:val="none"/>
              </w:rPr>
            </w:pPr>
            <w:r w:rsidRPr="005F5B51">
              <w:t>Is it the latest/conformed version?</w:t>
            </w:r>
          </w:p>
        </w:tc>
        <w:tc>
          <w:tcPr>
            <w:tcW w:w="8788" w:type="dxa"/>
            <w:hideMark/>
          </w:tcPr>
          <w:p w14:paraId="695028B4" w14:textId="027390F6" w:rsidR="00FC4022" w:rsidRPr="00F973D8" w:rsidRDefault="00FC4022" w:rsidP="0001588D">
            <w:pPr>
              <w:pStyle w:val="TableBodyCopy"/>
              <w:spacing w:line="192" w:lineRule="auto"/>
              <w:rPr>
                <w:i w:val="0"/>
                <w:iCs/>
              </w:rPr>
            </w:pPr>
            <w:r w:rsidRPr="00F973D8">
              <w:rPr>
                <w:iCs/>
              </w:rPr>
              <w:t xml:space="preserve">Does it incorporate all agreed changes and variations up to the </w:t>
            </w:r>
            <w:r w:rsidR="0001588D" w:rsidRPr="00F973D8">
              <w:rPr>
                <w:iCs/>
              </w:rPr>
              <w:br/>
            </w:r>
            <w:r w:rsidRPr="00F973D8">
              <w:rPr>
                <w:iCs/>
              </w:rPr>
              <w:t>present date?</w:t>
            </w:r>
          </w:p>
        </w:tc>
      </w:tr>
      <w:tr w:rsidR="00FC4022" w:rsidRPr="00757BC2" w14:paraId="71D28865" w14:textId="77777777" w:rsidTr="00826275">
        <w:trPr>
          <w:trHeight w:val="397"/>
        </w:trPr>
        <w:tc>
          <w:tcPr>
            <w:tcW w:w="5524" w:type="dxa"/>
            <w:hideMark/>
          </w:tcPr>
          <w:p w14:paraId="1B954739" w14:textId="77777777" w:rsidR="00FC4022" w:rsidRPr="005F5B51" w:rsidRDefault="00FC4022" w:rsidP="005F5B51">
            <w:pPr>
              <w:pStyle w:val="TableBodyCopy"/>
              <w:rPr>
                <w:rFonts w:eastAsia="Times New Roman"/>
                <w:kern w:val="0"/>
                <w:lang w:eastAsia="en-GB"/>
                <w14:ligatures w14:val="none"/>
              </w:rPr>
            </w:pPr>
            <w:r w:rsidRPr="005F5B51">
              <w:t>Is it up to date (reflects all recent changes)?</w:t>
            </w:r>
          </w:p>
        </w:tc>
        <w:tc>
          <w:tcPr>
            <w:tcW w:w="8788" w:type="dxa"/>
            <w:hideMark/>
          </w:tcPr>
          <w:p w14:paraId="48DA17DE" w14:textId="4DA667A6" w:rsidR="00FC4022" w:rsidRPr="00F973D8" w:rsidRDefault="00FC4022" w:rsidP="005F5B51">
            <w:pPr>
              <w:pStyle w:val="TableBodyCopy"/>
              <w:rPr>
                <w:i w:val="0"/>
                <w:iCs/>
              </w:rPr>
            </w:pPr>
            <w:r w:rsidRPr="00F973D8">
              <w:rPr>
                <w:iCs/>
              </w:rPr>
              <w:t>Does it reflect all recent changes, amendment</w:t>
            </w:r>
            <w:r w:rsidR="00F05FA5" w:rsidRPr="00F973D8">
              <w:rPr>
                <w:iCs/>
              </w:rPr>
              <w:t>s</w:t>
            </w:r>
            <w:r w:rsidRPr="00F973D8">
              <w:rPr>
                <w:iCs/>
              </w:rPr>
              <w:t xml:space="preserve"> </w:t>
            </w:r>
            <w:r w:rsidR="00F05FA5" w:rsidRPr="00F973D8">
              <w:rPr>
                <w:iCs/>
              </w:rPr>
              <w:t>and</w:t>
            </w:r>
            <w:r w:rsidRPr="00F973D8">
              <w:rPr>
                <w:iCs/>
              </w:rPr>
              <w:t xml:space="preserve"> variations?</w:t>
            </w:r>
          </w:p>
        </w:tc>
      </w:tr>
      <w:tr w:rsidR="00FC4022" w:rsidRPr="00757BC2" w14:paraId="0C8F7B44" w14:textId="77777777" w:rsidTr="00826275">
        <w:trPr>
          <w:trHeight w:val="397"/>
        </w:trPr>
        <w:tc>
          <w:tcPr>
            <w:tcW w:w="5524" w:type="dxa"/>
            <w:hideMark/>
          </w:tcPr>
          <w:p w14:paraId="34C78859" w14:textId="5A856D23" w:rsidR="00FC4022" w:rsidRPr="005F5B51" w:rsidRDefault="00FC4022" w:rsidP="005F5B51">
            <w:pPr>
              <w:pStyle w:val="TableBodyCopy"/>
              <w:rPr>
                <w:rFonts w:eastAsia="Times New Roman"/>
                <w:kern w:val="0"/>
                <w:lang w:eastAsia="en-GB"/>
                <w14:ligatures w14:val="none"/>
              </w:rPr>
            </w:pPr>
            <w:r w:rsidRPr="005F5B51">
              <w:t>Is it accessible and readable?</w:t>
            </w:r>
          </w:p>
        </w:tc>
        <w:tc>
          <w:tcPr>
            <w:tcW w:w="8788" w:type="dxa"/>
            <w:hideMark/>
          </w:tcPr>
          <w:p w14:paraId="65C68955" w14:textId="03E319E9" w:rsidR="00FC4022" w:rsidRPr="00F973D8" w:rsidRDefault="00FC4022" w:rsidP="005F5B51">
            <w:pPr>
              <w:pStyle w:val="TableBodyCopy"/>
              <w:rPr>
                <w:i w:val="0"/>
                <w:iCs/>
              </w:rPr>
            </w:pPr>
            <w:r w:rsidRPr="00F973D8">
              <w:rPr>
                <w:iCs/>
              </w:rPr>
              <w:t>Can you open, view and use the document when needed?</w:t>
            </w:r>
          </w:p>
        </w:tc>
      </w:tr>
      <w:tr w:rsidR="00FC4022" w:rsidRPr="00757BC2" w14:paraId="39C9ABB6" w14:textId="77777777" w:rsidTr="00826275">
        <w:trPr>
          <w:trHeight w:val="692"/>
        </w:trPr>
        <w:tc>
          <w:tcPr>
            <w:tcW w:w="5524" w:type="dxa"/>
            <w:hideMark/>
          </w:tcPr>
          <w:p w14:paraId="77789D11" w14:textId="3A65A183" w:rsidR="00FC4022" w:rsidRPr="005F5B51" w:rsidRDefault="00FC4022" w:rsidP="005F5B51">
            <w:pPr>
              <w:pStyle w:val="TableBodyCopy"/>
              <w:rPr>
                <w:rFonts w:eastAsia="Times New Roman"/>
                <w:kern w:val="0"/>
                <w:lang w:eastAsia="en-GB"/>
                <w14:ligatures w14:val="none"/>
              </w:rPr>
            </w:pPr>
            <w:r w:rsidRPr="005F5B51">
              <w:t xml:space="preserve">Is it </w:t>
            </w:r>
            <w:r w:rsidR="004963F1" w:rsidRPr="005F5B51">
              <w:t xml:space="preserve">named and </w:t>
            </w:r>
            <w:r w:rsidRPr="005F5B51">
              <w:t>catalogued clearly?</w:t>
            </w:r>
          </w:p>
        </w:tc>
        <w:tc>
          <w:tcPr>
            <w:tcW w:w="8788" w:type="dxa"/>
            <w:hideMark/>
          </w:tcPr>
          <w:p w14:paraId="692E8C4F" w14:textId="77777777" w:rsidR="00FC4022" w:rsidRPr="00F973D8" w:rsidRDefault="00FC4022" w:rsidP="005F5B51">
            <w:pPr>
              <w:pStyle w:val="TableBodyCopy"/>
              <w:spacing w:line="192" w:lineRule="auto"/>
            </w:pPr>
            <w:r w:rsidRPr="00F973D8">
              <w:rPr>
                <w:rStyle w:val="Emphasis"/>
              </w:rPr>
              <w:t xml:space="preserve">Is it listed in your document register and named </w:t>
            </w:r>
            <w:proofErr w:type="gramStart"/>
            <w:r w:rsidRPr="00F973D8">
              <w:rPr>
                <w:rStyle w:val="Emphasis"/>
              </w:rPr>
              <w:t>in a way that is clear</w:t>
            </w:r>
            <w:proofErr w:type="gramEnd"/>
            <w:r w:rsidRPr="00F973D8">
              <w:rPr>
                <w:rStyle w:val="Emphasis"/>
              </w:rPr>
              <w:t xml:space="preserve"> and consistent?</w:t>
            </w:r>
          </w:p>
        </w:tc>
      </w:tr>
      <w:tr w:rsidR="00FC4022" w:rsidRPr="00757BC2" w14:paraId="16A91EA6" w14:textId="77777777" w:rsidTr="00826275">
        <w:trPr>
          <w:trHeight w:val="685"/>
        </w:trPr>
        <w:tc>
          <w:tcPr>
            <w:tcW w:w="5524" w:type="dxa"/>
            <w:hideMark/>
          </w:tcPr>
          <w:p w14:paraId="08CD2602" w14:textId="77777777" w:rsidR="00FC4022" w:rsidRPr="005F5B51" w:rsidRDefault="00FC4022" w:rsidP="005F5B51">
            <w:pPr>
              <w:pStyle w:val="TableBodyCopy"/>
              <w:rPr>
                <w:rFonts w:eastAsia="Times New Roman"/>
                <w:kern w:val="0"/>
                <w:lang w:eastAsia="en-GB"/>
                <w14:ligatures w14:val="none"/>
              </w:rPr>
            </w:pPr>
            <w:r w:rsidRPr="005F5B51">
              <w:t>What format is it in and where is it stored?</w:t>
            </w:r>
          </w:p>
        </w:tc>
        <w:tc>
          <w:tcPr>
            <w:tcW w:w="8788" w:type="dxa"/>
            <w:hideMark/>
          </w:tcPr>
          <w:p w14:paraId="4137D9BE" w14:textId="77777777" w:rsidR="00FC4022" w:rsidRPr="00F973D8" w:rsidRDefault="00FC4022" w:rsidP="005F5B51">
            <w:pPr>
              <w:pStyle w:val="TableBodyCopy"/>
              <w:spacing w:line="192" w:lineRule="auto"/>
            </w:pPr>
            <w:r w:rsidRPr="00F973D8">
              <w:rPr>
                <w:rStyle w:val="Emphasis"/>
              </w:rPr>
              <w:t>Is the document in paper or electronic format, and where is it currently stored (e.g. shared drive, archive, contract management system)?</w:t>
            </w:r>
          </w:p>
        </w:tc>
      </w:tr>
    </w:tbl>
    <w:p w14:paraId="4ECFA841" w14:textId="7FB70196" w:rsidR="00C34AFD" w:rsidRDefault="00C34AFD">
      <w:pPr>
        <w:spacing w:after="160"/>
        <w:rPr>
          <w:rFonts w:eastAsia="Arial" w:cs="Arial"/>
          <w:color w:val="000000" w:themeColor="text1"/>
        </w:rPr>
      </w:pPr>
      <w:r>
        <w:rPr>
          <w:rFonts w:eastAsia="Arial" w:cs="Arial"/>
          <w:color w:val="000000" w:themeColor="text1"/>
        </w:rPr>
        <w:br w:type="page"/>
      </w:r>
    </w:p>
    <w:tbl>
      <w:tblPr>
        <w:tblStyle w:val="TableGrid"/>
        <w:tblW w:w="4946" w:type="pct"/>
        <w:tblLayout w:type="fixed"/>
        <w:tblCellMar>
          <w:top w:w="28" w:type="dxa"/>
        </w:tblCellMar>
        <w:tblLook w:val="0620" w:firstRow="1" w:lastRow="0" w:firstColumn="0" w:lastColumn="0" w:noHBand="1" w:noVBand="1"/>
      </w:tblPr>
      <w:tblGrid>
        <w:gridCol w:w="704"/>
        <w:gridCol w:w="1960"/>
        <w:gridCol w:w="5196"/>
        <w:gridCol w:w="652"/>
        <w:gridCol w:w="649"/>
        <w:gridCol w:w="647"/>
        <w:gridCol w:w="14"/>
        <w:gridCol w:w="765"/>
        <w:gridCol w:w="852"/>
        <w:gridCol w:w="1204"/>
        <w:gridCol w:w="1790"/>
      </w:tblGrid>
      <w:tr w:rsidR="00451E92" w14:paraId="57AE3151" w14:textId="77777777" w:rsidTr="00451E92">
        <w:trPr>
          <w:cantSplit/>
          <w:trHeight w:val="1814"/>
          <w:tblHeader/>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7FECA" w14:textId="3E1132FA" w:rsidR="005036E7" w:rsidRPr="0016255C" w:rsidRDefault="005036E7" w:rsidP="00FC56F7">
            <w:pPr>
              <w:pStyle w:val="TableHeading"/>
              <w:jc w:val="center"/>
            </w:pPr>
            <w:r w:rsidRPr="0016255C">
              <w:lastRenderedPageBreak/>
              <w:t>Ref</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93BE8" w14:textId="29F15B78" w:rsidR="005036E7" w:rsidRPr="0016255C" w:rsidRDefault="005036E7" w:rsidP="00FC56F7">
            <w:pPr>
              <w:pStyle w:val="TableHeading"/>
              <w:jc w:val="center"/>
            </w:pPr>
            <w:r w:rsidRPr="0016255C">
              <w:t>Title</w:t>
            </w:r>
          </w:p>
        </w:tc>
        <w:tc>
          <w:tcPr>
            <w:tcW w:w="1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73AB" w14:textId="3C31CE1A" w:rsidR="005036E7" w:rsidRPr="0016255C" w:rsidRDefault="005036E7" w:rsidP="00FC56F7">
            <w:pPr>
              <w:pStyle w:val="TableHeading"/>
              <w:jc w:val="center"/>
            </w:pPr>
            <w:r w:rsidRPr="0016255C">
              <w:t>Description</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7C9FDED" w14:textId="4BFC99CA" w:rsidR="005036E7" w:rsidRPr="0016255C" w:rsidRDefault="005036E7" w:rsidP="00FC56F7">
            <w:pPr>
              <w:pStyle w:val="TableHeading"/>
              <w:jc w:val="center"/>
            </w:pPr>
            <w:r w:rsidRPr="0016255C">
              <w:t>Held</w:t>
            </w:r>
          </w:p>
        </w:tc>
        <w:tc>
          <w:tcPr>
            <w:tcW w:w="225"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FC0BC3D" w14:textId="37D47201" w:rsidR="005036E7" w:rsidRPr="0016255C" w:rsidRDefault="005036E7" w:rsidP="00FC56F7">
            <w:pPr>
              <w:pStyle w:val="TableHeading"/>
              <w:jc w:val="center"/>
            </w:pPr>
            <w:r w:rsidRPr="0016255C">
              <w:t>Complete</w:t>
            </w:r>
          </w:p>
        </w:tc>
        <w:tc>
          <w:tcPr>
            <w:tcW w:w="2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051DC70" w14:textId="36509590" w:rsidR="005036E7" w:rsidRPr="0016255C" w:rsidRDefault="005036E7" w:rsidP="00FC56F7">
            <w:pPr>
              <w:pStyle w:val="TableHeading"/>
              <w:jc w:val="center"/>
            </w:pPr>
            <w:r w:rsidRPr="0016255C">
              <w:t>Up to date</w:t>
            </w:r>
          </w:p>
        </w:tc>
        <w:tc>
          <w:tcPr>
            <w:tcW w:w="265"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A360F1B" w14:textId="67F1FC53" w:rsidR="005036E7" w:rsidRPr="0016255C" w:rsidRDefault="005036E7" w:rsidP="00FC56F7">
            <w:pPr>
              <w:pStyle w:val="TableHeading"/>
              <w:spacing w:line="192" w:lineRule="auto"/>
              <w:jc w:val="center"/>
            </w:pPr>
            <w:r w:rsidRPr="0016255C">
              <w:t xml:space="preserve">Accessible &amp; </w:t>
            </w:r>
            <w:r w:rsidR="004963F1" w:rsidRPr="0016255C">
              <w:t>r</w:t>
            </w:r>
            <w:r w:rsidRPr="0016255C">
              <w:t>eadable</w:t>
            </w:r>
          </w:p>
        </w:tc>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51F7EB9" w14:textId="7E27504A" w:rsidR="005036E7" w:rsidRPr="0016255C" w:rsidRDefault="005036E7" w:rsidP="00FC56F7">
            <w:pPr>
              <w:pStyle w:val="TableHeading"/>
              <w:spacing w:line="192" w:lineRule="auto"/>
              <w:jc w:val="center"/>
            </w:pPr>
            <w:r w:rsidRPr="0016255C">
              <w:t>Catalogue</w:t>
            </w:r>
            <w:r w:rsidR="004963F1" w:rsidRPr="0016255C">
              <w:t>d</w:t>
            </w:r>
            <w:r w:rsidRPr="0016255C">
              <w:t xml:space="preserve"> &amp; </w:t>
            </w:r>
            <w:r w:rsidR="004963F1" w:rsidRPr="0016255C">
              <w:t>n</w:t>
            </w:r>
            <w:r w:rsidRPr="0016255C">
              <w:t xml:space="preserve">amed </w:t>
            </w:r>
            <w:r w:rsidR="004963F1" w:rsidRPr="0016255C">
              <w:t>c</w:t>
            </w:r>
            <w:r w:rsidRPr="0016255C">
              <w:t>learly</w:t>
            </w:r>
          </w:p>
        </w:tc>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EE010" w14:textId="4859520D" w:rsidR="005036E7" w:rsidRPr="0016255C" w:rsidRDefault="005036E7" w:rsidP="00FC56F7">
            <w:pPr>
              <w:pStyle w:val="TableHeading"/>
              <w:spacing w:line="192" w:lineRule="auto"/>
              <w:jc w:val="center"/>
            </w:pPr>
            <w:r w:rsidRPr="0016255C">
              <w:t xml:space="preserve">Format &amp; </w:t>
            </w:r>
            <w:r w:rsidR="004963F1" w:rsidRPr="0016255C">
              <w:t>s</w:t>
            </w:r>
            <w:r w:rsidRPr="0016255C">
              <w:t xml:space="preserve">torage </w:t>
            </w:r>
            <w:r w:rsidR="004963F1" w:rsidRPr="0016255C">
              <w:t>o</w:t>
            </w:r>
            <w:r w:rsidRPr="0016255C">
              <w:t>ption</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790" w14:textId="51692A5C" w:rsidR="005036E7" w:rsidRPr="0016255C" w:rsidRDefault="005036E7" w:rsidP="00FC56F7">
            <w:pPr>
              <w:pStyle w:val="TableHeading"/>
              <w:spacing w:line="192" w:lineRule="auto"/>
              <w:jc w:val="center"/>
            </w:pPr>
            <w:r w:rsidRPr="0016255C">
              <w:t>Comments (including quality)</w:t>
            </w:r>
          </w:p>
        </w:tc>
      </w:tr>
      <w:tr w:rsidR="00451E92" w14:paraId="6CA1A3F1" w14:textId="77777777" w:rsidTr="00451E92">
        <w:trPr>
          <w:trHeight w:val="454"/>
        </w:trPr>
        <w:tc>
          <w:tcPr>
            <w:tcW w:w="5000" w:type="pct"/>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CE50" w14:textId="4712EE17" w:rsidR="005036E7" w:rsidRPr="0016255C" w:rsidRDefault="005036E7" w:rsidP="00280313">
            <w:pPr>
              <w:pStyle w:val="TableHeading"/>
              <w:jc w:val="center"/>
            </w:pPr>
            <w:r w:rsidRPr="0016255C">
              <w:t>Management</w:t>
            </w:r>
          </w:p>
        </w:tc>
      </w:tr>
      <w:tr w:rsidR="00451E92" w14:paraId="18430447" w14:textId="77777777" w:rsidTr="00451E92">
        <w:trPr>
          <w:trHeight w:val="2618"/>
        </w:trPr>
        <w:tc>
          <w:tcPr>
            <w:tcW w:w="244" w:type="pct"/>
            <w:tcBorders>
              <w:top w:val="single" w:sz="4" w:space="0" w:color="000000" w:themeColor="text1"/>
            </w:tcBorders>
          </w:tcPr>
          <w:p w14:paraId="5F59DDBC" w14:textId="178142B1" w:rsidR="00FC56F7" w:rsidRDefault="00FC56F7" w:rsidP="00FC56F7">
            <w:pPr>
              <w:pStyle w:val="TableBodyCopy"/>
              <w:jc w:val="center"/>
            </w:pPr>
            <w:r w:rsidRPr="2B1154F6">
              <w:t>1</w:t>
            </w:r>
          </w:p>
        </w:tc>
        <w:tc>
          <w:tcPr>
            <w:tcW w:w="679" w:type="pct"/>
            <w:tcBorders>
              <w:top w:val="single" w:sz="4" w:space="0" w:color="000000" w:themeColor="text1"/>
            </w:tcBorders>
          </w:tcPr>
          <w:p w14:paraId="5BCDCD85" w14:textId="1D3DCF4C" w:rsidR="00FC56F7" w:rsidRDefault="00FC56F7" w:rsidP="00FC56F7">
            <w:pPr>
              <w:pStyle w:val="TableBodyCopy"/>
            </w:pPr>
            <w:r w:rsidRPr="2B1154F6">
              <w:t xml:space="preserve">Operational </w:t>
            </w:r>
            <w:r>
              <w:t>M</w:t>
            </w:r>
            <w:r w:rsidRPr="2B1154F6">
              <w:t xml:space="preserve">eeting </w:t>
            </w:r>
            <w:r>
              <w:t>M</w:t>
            </w:r>
            <w:r w:rsidRPr="2B1154F6">
              <w:t xml:space="preserve">inutes and </w:t>
            </w:r>
            <w:r>
              <w:t>A</w:t>
            </w:r>
            <w:r w:rsidRPr="2B1154F6">
              <w:t>ctions</w:t>
            </w:r>
          </w:p>
        </w:tc>
        <w:tc>
          <w:tcPr>
            <w:tcW w:w="1800" w:type="pct"/>
            <w:tcBorders>
              <w:top w:val="single" w:sz="4" w:space="0" w:color="000000" w:themeColor="text1"/>
            </w:tcBorders>
          </w:tcPr>
          <w:p w14:paraId="3341B3FE" w14:textId="79331EB7" w:rsidR="00FC56F7" w:rsidRDefault="00FC56F7" w:rsidP="00FC56F7">
            <w:pPr>
              <w:pStyle w:val="TableBodyCopy"/>
            </w:pPr>
            <w:r w:rsidRPr="2B1154F6">
              <w:t>Issued following meetings held on the project such as:</w:t>
            </w:r>
          </w:p>
          <w:p w14:paraId="6FBA37ED" w14:textId="688D1597" w:rsidR="00FC56F7" w:rsidRDefault="00FC56F7" w:rsidP="00FC56F7">
            <w:pPr>
              <w:pStyle w:val="TableBodyCopy"/>
            </w:pPr>
            <w:r w:rsidRPr="2B1154F6">
              <w:t>1. Liaison committee</w:t>
            </w:r>
          </w:p>
          <w:p w14:paraId="141609F6" w14:textId="0463DC64" w:rsidR="00FC56F7" w:rsidRDefault="00FC56F7" w:rsidP="00FC56F7">
            <w:pPr>
              <w:pStyle w:val="TableBodyCopy"/>
            </w:pPr>
            <w:r w:rsidRPr="2B1154F6">
              <w:t>2. Performance meetings</w:t>
            </w:r>
          </w:p>
          <w:p w14:paraId="340A0356" w14:textId="3B802A08" w:rsidR="00FC56F7" w:rsidRDefault="00FC56F7" w:rsidP="00FC56F7">
            <w:pPr>
              <w:pStyle w:val="TableBodyCopy"/>
            </w:pPr>
            <w:r w:rsidRPr="2B1154F6">
              <w:t>These serve as a key record of activity on the project and should have actions clearly identified with responsible owners.</w:t>
            </w:r>
          </w:p>
        </w:tc>
        <w:tc>
          <w:tcPr>
            <w:tcW w:w="226" w:type="pct"/>
            <w:tcBorders>
              <w:top w:val="single" w:sz="4" w:space="0" w:color="000000" w:themeColor="text1"/>
            </w:tcBorders>
          </w:tcPr>
          <w:p w14:paraId="369B1DE5" w14:textId="0715D70B" w:rsidR="00FC56F7" w:rsidRPr="00FC56F7" w:rsidRDefault="00FC56F7" w:rsidP="00FC56F7">
            <w:pPr>
              <w:pStyle w:val="TableBodyCopy"/>
              <w:jc w:val="center"/>
              <w:rPr>
                <w:i w:val="0"/>
                <w:iCs/>
              </w:rPr>
            </w:pPr>
            <w:r w:rsidRPr="00FC56F7">
              <w:rPr>
                <w:i w:val="0"/>
                <w:iCs/>
              </w:rPr>
              <w:t>Y/N</w:t>
            </w:r>
          </w:p>
        </w:tc>
        <w:tc>
          <w:tcPr>
            <w:tcW w:w="225" w:type="pct"/>
            <w:tcBorders>
              <w:top w:val="single" w:sz="4" w:space="0" w:color="000000" w:themeColor="text1"/>
            </w:tcBorders>
          </w:tcPr>
          <w:p w14:paraId="4AC2B9F0" w14:textId="25AC4DD2" w:rsidR="00FC56F7" w:rsidRDefault="00FC56F7" w:rsidP="00FC56F7">
            <w:pPr>
              <w:pStyle w:val="TableBodyCopy"/>
            </w:pPr>
            <w:r w:rsidRPr="00FC56F7">
              <w:rPr>
                <w:i w:val="0"/>
                <w:iCs/>
              </w:rPr>
              <w:t>Y/N</w:t>
            </w:r>
          </w:p>
        </w:tc>
        <w:tc>
          <w:tcPr>
            <w:tcW w:w="224" w:type="pct"/>
            <w:tcBorders>
              <w:top w:val="single" w:sz="4" w:space="0" w:color="000000" w:themeColor="text1"/>
            </w:tcBorders>
          </w:tcPr>
          <w:p w14:paraId="3D30E8B5" w14:textId="10B600E9" w:rsidR="00FC56F7" w:rsidRDefault="00FC56F7" w:rsidP="00FC56F7">
            <w:pPr>
              <w:pStyle w:val="TableBodyCopy"/>
            </w:pPr>
            <w:r w:rsidRPr="00FC56F7">
              <w:rPr>
                <w:i w:val="0"/>
                <w:iCs/>
              </w:rPr>
              <w:t>Y/N</w:t>
            </w:r>
          </w:p>
        </w:tc>
        <w:tc>
          <w:tcPr>
            <w:tcW w:w="270" w:type="pct"/>
            <w:gridSpan w:val="2"/>
            <w:tcBorders>
              <w:top w:val="single" w:sz="4" w:space="0" w:color="000000" w:themeColor="text1"/>
            </w:tcBorders>
          </w:tcPr>
          <w:p w14:paraId="646418EE" w14:textId="6868AA0A" w:rsidR="00FC56F7" w:rsidRDefault="00FC56F7" w:rsidP="00FC56F7">
            <w:pPr>
              <w:pStyle w:val="TableBodyCopy"/>
            </w:pPr>
            <w:r w:rsidRPr="00FC56F7">
              <w:rPr>
                <w:i w:val="0"/>
                <w:iCs/>
              </w:rPr>
              <w:t>Y/N</w:t>
            </w:r>
          </w:p>
        </w:tc>
        <w:tc>
          <w:tcPr>
            <w:tcW w:w="295" w:type="pct"/>
            <w:tcBorders>
              <w:top w:val="single" w:sz="4" w:space="0" w:color="000000" w:themeColor="text1"/>
            </w:tcBorders>
          </w:tcPr>
          <w:p w14:paraId="26992764" w14:textId="54891A59" w:rsidR="00FC56F7" w:rsidRDefault="00FC56F7" w:rsidP="00FC56F7">
            <w:pPr>
              <w:pStyle w:val="TableBodyCopy"/>
              <w:ind w:left="-37" w:right="-400"/>
            </w:pPr>
            <w:r w:rsidRPr="00FC56F7">
              <w:rPr>
                <w:i w:val="0"/>
                <w:iCs/>
              </w:rPr>
              <w:t>Y/N</w:t>
            </w:r>
          </w:p>
        </w:tc>
        <w:tc>
          <w:tcPr>
            <w:tcW w:w="417" w:type="pct"/>
            <w:tcBorders>
              <w:top w:val="single" w:sz="4" w:space="0" w:color="000000" w:themeColor="text1"/>
            </w:tcBorders>
          </w:tcPr>
          <w:p w14:paraId="52B693BE" w14:textId="6F37988B" w:rsidR="00FC56F7" w:rsidRPr="00FC56F7" w:rsidRDefault="00FC56F7" w:rsidP="00FC56F7">
            <w:pPr>
              <w:pStyle w:val="TableBodyCopy"/>
              <w:rPr>
                <w:i w:val="0"/>
                <w:iCs/>
              </w:rPr>
            </w:pPr>
            <w:r w:rsidRPr="00FC56F7">
              <w:rPr>
                <w:i w:val="0"/>
                <w:iCs/>
              </w:rPr>
              <w:t>Paper Format</w:t>
            </w:r>
          </w:p>
        </w:tc>
        <w:tc>
          <w:tcPr>
            <w:tcW w:w="620" w:type="pct"/>
            <w:tcBorders>
              <w:top w:val="single" w:sz="4" w:space="0" w:color="000000" w:themeColor="text1"/>
            </w:tcBorders>
          </w:tcPr>
          <w:p w14:paraId="026437E0" w14:textId="4BD06847" w:rsidR="00FC56F7" w:rsidRDefault="00FC56F7" w:rsidP="00FC56F7">
            <w:pPr>
              <w:pStyle w:val="TableBodyCopy"/>
            </w:pPr>
            <w:r>
              <w:rPr>
                <w:i w:val="0"/>
                <w:iCs/>
              </w:rPr>
              <w:t>Original and in poor condition</w:t>
            </w:r>
          </w:p>
        </w:tc>
      </w:tr>
      <w:tr w:rsidR="00451E92" w14:paraId="299045BB" w14:textId="77777777" w:rsidTr="00451E92">
        <w:trPr>
          <w:trHeight w:val="4715"/>
        </w:trPr>
        <w:tc>
          <w:tcPr>
            <w:tcW w:w="244" w:type="pct"/>
          </w:tcPr>
          <w:p w14:paraId="5B2047A5" w14:textId="54E82D68" w:rsidR="00FC56F7" w:rsidRDefault="00FC56F7" w:rsidP="00FC56F7">
            <w:pPr>
              <w:pStyle w:val="TableBodyCopy"/>
              <w:jc w:val="center"/>
            </w:pPr>
            <w:r w:rsidRPr="2B1154F6">
              <w:t>2</w:t>
            </w:r>
          </w:p>
        </w:tc>
        <w:tc>
          <w:tcPr>
            <w:tcW w:w="679" w:type="pct"/>
          </w:tcPr>
          <w:p w14:paraId="10C91CE9" w14:textId="5C0D015A" w:rsidR="00FC56F7" w:rsidRDefault="00FC56F7" w:rsidP="00FC56F7">
            <w:pPr>
              <w:pStyle w:val="TableBodyCopy"/>
              <w:spacing w:line="216" w:lineRule="auto"/>
            </w:pPr>
            <w:r w:rsidRPr="2B1154F6">
              <w:t>Change Tracker</w:t>
            </w:r>
          </w:p>
        </w:tc>
        <w:tc>
          <w:tcPr>
            <w:tcW w:w="1800" w:type="pct"/>
          </w:tcPr>
          <w:p w14:paraId="2E197475" w14:textId="4DF2F4BD" w:rsidR="00FC56F7" w:rsidRDefault="00FC56F7" w:rsidP="00FC56F7">
            <w:pPr>
              <w:pStyle w:val="TableBodyCopy"/>
              <w:keepNext/>
              <w:spacing w:line="216" w:lineRule="auto"/>
            </w:pPr>
            <w:r w:rsidRPr="2B1154F6">
              <w:t xml:space="preserve">A full list of all changes to the project agreement confirming the status of each change, the dates requested and approved, </w:t>
            </w:r>
            <w:r>
              <w:t>and</w:t>
            </w:r>
            <w:r w:rsidRPr="2B1154F6">
              <w:t xml:space="preserve"> links to all supporting documentation. For example, deeds of variations, contract amendments, updates to plans, drawings, specifications, costings (as set out in the updated financial model) and other key schedules. It should also specify the type of change, </w:t>
            </w:r>
            <w:r>
              <w:t xml:space="preserve">the </w:t>
            </w:r>
            <w:r w:rsidRPr="2B1154F6">
              <w:t>impact of the change, the value of the change</w:t>
            </w:r>
            <w:r>
              <w:t>,</w:t>
            </w:r>
            <w:r w:rsidRPr="2B1154F6">
              <w:t xml:space="preserve"> and its </w:t>
            </w:r>
            <w:r w:rsidRPr="71C63A54">
              <w:t>status.</w:t>
            </w:r>
            <w:r w:rsidRPr="2B1154F6">
              <w:t xml:space="preserve"> Sometimes known as a </w:t>
            </w:r>
            <w:r>
              <w:t>C</w:t>
            </w:r>
            <w:r w:rsidRPr="2B1154F6">
              <w:t xml:space="preserve">hange </w:t>
            </w:r>
            <w:r>
              <w:t>C</w:t>
            </w:r>
            <w:r w:rsidRPr="2B1154F6">
              <w:t xml:space="preserve">ontrol </w:t>
            </w:r>
            <w:r>
              <w:t>L</w:t>
            </w:r>
            <w:r w:rsidRPr="2B1154F6">
              <w:t>og.</w:t>
            </w:r>
          </w:p>
        </w:tc>
        <w:tc>
          <w:tcPr>
            <w:tcW w:w="226" w:type="pct"/>
          </w:tcPr>
          <w:p w14:paraId="17C1AF9E" w14:textId="535A65B8" w:rsidR="00FC56F7" w:rsidRDefault="00FC56F7" w:rsidP="00FC56F7">
            <w:pPr>
              <w:pStyle w:val="TableBodyCopy"/>
            </w:pPr>
          </w:p>
        </w:tc>
        <w:tc>
          <w:tcPr>
            <w:tcW w:w="225" w:type="pct"/>
          </w:tcPr>
          <w:p w14:paraId="1BAF49A1" w14:textId="77777777" w:rsidR="00FC56F7" w:rsidRDefault="00FC56F7" w:rsidP="00FC56F7">
            <w:pPr>
              <w:pStyle w:val="TableBodyCopy"/>
            </w:pPr>
          </w:p>
        </w:tc>
        <w:tc>
          <w:tcPr>
            <w:tcW w:w="224" w:type="pct"/>
          </w:tcPr>
          <w:p w14:paraId="791EC1F2" w14:textId="77777777" w:rsidR="00FC56F7" w:rsidRDefault="00FC56F7" w:rsidP="00FC56F7">
            <w:pPr>
              <w:pStyle w:val="TableBodyCopy"/>
            </w:pPr>
          </w:p>
        </w:tc>
        <w:tc>
          <w:tcPr>
            <w:tcW w:w="270" w:type="pct"/>
            <w:gridSpan w:val="2"/>
          </w:tcPr>
          <w:p w14:paraId="4FFBCCB7" w14:textId="77777777" w:rsidR="00FC56F7" w:rsidRDefault="00FC56F7" w:rsidP="00FC56F7">
            <w:pPr>
              <w:pStyle w:val="TableBodyCopy"/>
            </w:pPr>
          </w:p>
        </w:tc>
        <w:tc>
          <w:tcPr>
            <w:tcW w:w="295" w:type="pct"/>
          </w:tcPr>
          <w:p w14:paraId="37C86BF7" w14:textId="77777777" w:rsidR="00FC56F7" w:rsidRDefault="00FC56F7" w:rsidP="00FC56F7">
            <w:pPr>
              <w:pStyle w:val="TableBodyCopy"/>
            </w:pPr>
          </w:p>
        </w:tc>
        <w:tc>
          <w:tcPr>
            <w:tcW w:w="417" w:type="pct"/>
          </w:tcPr>
          <w:p w14:paraId="4F0E30BE" w14:textId="448B870A" w:rsidR="00FC56F7" w:rsidRDefault="00FC56F7" w:rsidP="00FC56F7">
            <w:pPr>
              <w:pStyle w:val="TableBodyCopy"/>
            </w:pPr>
          </w:p>
        </w:tc>
        <w:tc>
          <w:tcPr>
            <w:tcW w:w="620" w:type="pct"/>
          </w:tcPr>
          <w:p w14:paraId="02D36235" w14:textId="67CE37F5" w:rsidR="00FC56F7" w:rsidRDefault="00FC56F7" w:rsidP="00FC56F7">
            <w:pPr>
              <w:pStyle w:val="TableBodyCopy"/>
            </w:pPr>
          </w:p>
        </w:tc>
      </w:tr>
      <w:tr w:rsidR="00451E92" w14:paraId="13202546" w14:textId="77777777" w:rsidTr="00451E92">
        <w:trPr>
          <w:trHeight w:val="2912"/>
        </w:trPr>
        <w:tc>
          <w:tcPr>
            <w:tcW w:w="244" w:type="pct"/>
          </w:tcPr>
          <w:p w14:paraId="6DB90583" w14:textId="6A22D5F5" w:rsidR="00FC56F7" w:rsidRDefault="00FC56F7" w:rsidP="00FC56F7">
            <w:pPr>
              <w:pStyle w:val="TableBodyCopy"/>
              <w:jc w:val="center"/>
            </w:pPr>
            <w:r w:rsidRPr="2B1154F6">
              <w:lastRenderedPageBreak/>
              <w:t>3</w:t>
            </w:r>
          </w:p>
        </w:tc>
        <w:tc>
          <w:tcPr>
            <w:tcW w:w="679" w:type="pct"/>
          </w:tcPr>
          <w:p w14:paraId="40A9B41E" w14:textId="7D7ADCB8" w:rsidR="00FC56F7" w:rsidRDefault="00FC56F7" w:rsidP="00FC56F7">
            <w:pPr>
              <w:pStyle w:val="TableBodyCopy"/>
              <w:spacing w:line="192" w:lineRule="auto"/>
            </w:pPr>
            <w:r w:rsidRPr="2B1154F6">
              <w:t xml:space="preserve">Insurance Report </w:t>
            </w:r>
          </w:p>
        </w:tc>
        <w:tc>
          <w:tcPr>
            <w:tcW w:w="1800" w:type="pct"/>
          </w:tcPr>
          <w:p w14:paraId="18C0317E" w14:textId="3587F8E5" w:rsidR="00FC56F7" w:rsidRDefault="00FC56F7" w:rsidP="00FC56F7">
            <w:pPr>
              <w:pStyle w:val="TableBodyCopy"/>
              <w:spacing w:line="235" w:lineRule="auto"/>
            </w:pPr>
            <w:r w:rsidRPr="2B1154F6">
              <w:t>Reports issued to enable the contracting authority to review project insurance costs and terms prior to agreement. It is usually provided annually (or whenever there is a change in the insurance prices or terms). These may also include a report on the results of the insurance premium risk</w:t>
            </w:r>
            <w:r>
              <w:t>-</w:t>
            </w:r>
            <w:r w:rsidRPr="2B1154F6">
              <w:t>sharing mechanisms.</w:t>
            </w:r>
          </w:p>
        </w:tc>
        <w:tc>
          <w:tcPr>
            <w:tcW w:w="226" w:type="pct"/>
          </w:tcPr>
          <w:p w14:paraId="0C5BCC22" w14:textId="40C8E3A2" w:rsidR="00FC56F7" w:rsidRDefault="00FC56F7" w:rsidP="00FC56F7">
            <w:pPr>
              <w:pStyle w:val="TableBodyCopy"/>
              <w:spacing w:line="216" w:lineRule="auto"/>
            </w:pPr>
          </w:p>
        </w:tc>
        <w:tc>
          <w:tcPr>
            <w:tcW w:w="225" w:type="pct"/>
          </w:tcPr>
          <w:p w14:paraId="2F0DD00F" w14:textId="77777777" w:rsidR="00FC56F7" w:rsidRDefault="00FC56F7" w:rsidP="00FC56F7">
            <w:pPr>
              <w:pStyle w:val="TableBodyCopy"/>
              <w:spacing w:line="216" w:lineRule="auto"/>
            </w:pPr>
          </w:p>
        </w:tc>
        <w:tc>
          <w:tcPr>
            <w:tcW w:w="224" w:type="pct"/>
          </w:tcPr>
          <w:p w14:paraId="0B887962" w14:textId="77777777" w:rsidR="00FC56F7" w:rsidRDefault="00FC56F7" w:rsidP="00FC56F7">
            <w:pPr>
              <w:pStyle w:val="TableBodyCopy"/>
              <w:spacing w:line="216" w:lineRule="auto"/>
            </w:pPr>
          </w:p>
        </w:tc>
        <w:tc>
          <w:tcPr>
            <w:tcW w:w="270" w:type="pct"/>
            <w:gridSpan w:val="2"/>
          </w:tcPr>
          <w:p w14:paraId="3C8B560F" w14:textId="77777777" w:rsidR="00FC56F7" w:rsidRDefault="00FC56F7" w:rsidP="00FC56F7">
            <w:pPr>
              <w:pStyle w:val="TableBodyCopy"/>
              <w:spacing w:line="216" w:lineRule="auto"/>
            </w:pPr>
          </w:p>
        </w:tc>
        <w:tc>
          <w:tcPr>
            <w:tcW w:w="295" w:type="pct"/>
          </w:tcPr>
          <w:p w14:paraId="05CF2563" w14:textId="77777777" w:rsidR="00FC56F7" w:rsidRDefault="00FC56F7" w:rsidP="00FC56F7">
            <w:pPr>
              <w:pStyle w:val="TableBodyCopy"/>
              <w:spacing w:line="216" w:lineRule="auto"/>
            </w:pPr>
          </w:p>
        </w:tc>
        <w:tc>
          <w:tcPr>
            <w:tcW w:w="417" w:type="pct"/>
          </w:tcPr>
          <w:p w14:paraId="0FA22949" w14:textId="41200E3E" w:rsidR="00FC56F7" w:rsidRDefault="00FC56F7" w:rsidP="00FC56F7">
            <w:pPr>
              <w:pStyle w:val="TableBodyCopy"/>
              <w:spacing w:line="216" w:lineRule="auto"/>
            </w:pPr>
          </w:p>
        </w:tc>
        <w:tc>
          <w:tcPr>
            <w:tcW w:w="620" w:type="pct"/>
          </w:tcPr>
          <w:p w14:paraId="7630490A" w14:textId="634E52CC" w:rsidR="00FC56F7" w:rsidRDefault="00FC56F7" w:rsidP="00FC56F7">
            <w:pPr>
              <w:pStyle w:val="TableBodyCopy"/>
              <w:spacing w:line="216" w:lineRule="auto"/>
            </w:pPr>
          </w:p>
        </w:tc>
      </w:tr>
      <w:tr w:rsidR="00451E92" w14:paraId="51D7B5D7" w14:textId="77777777" w:rsidTr="00451E92">
        <w:trPr>
          <w:trHeight w:val="2660"/>
        </w:trPr>
        <w:tc>
          <w:tcPr>
            <w:tcW w:w="244" w:type="pct"/>
          </w:tcPr>
          <w:p w14:paraId="19A546C9" w14:textId="5576F66A" w:rsidR="00FC56F7" w:rsidRDefault="00FC56F7" w:rsidP="00FC56F7">
            <w:pPr>
              <w:pStyle w:val="TableBodyCopy"/>
              <w:jc w:val="center"/>
            </w:pPr>
            <w:r w:rsidRPr="2B1154F6">
              <w:t>4</w:t>
            </w:r>
          </w:p>
        </w:tc>
        <w:tc>
          <w:tcPr>
            <w:tcW w:w="679" w:type="pct"/>
          </w:tcPr>
          <w:p w14:paraId="37E4F293" w14:textId="3C6435D8" w:rsidR="00FC56F7" w:rsidRDefault="00FC56F7" w:rsidP="00FC56F7">
            <w:pPr>
              <w:pStyle w:val="TableBodyCopy"/>
              <w:spacing w:line="192" w:lineRule="auto"/>
            </w:pPr>
            <w:r w:rsidRPr="2B1154F6">
              <w:t>Insurance Premium Risk</w:t>
            </w:r>
            <w:r>
              <w:t>-</w:t>
            </w:r>
            <w:r w:rsidRPr="2B1154F6">
              <w:t>Sharing Mechanism</w:t>
            </w:r>
          </w:p>
        </w:tc>
        <w:tc>
          <w:tcPr>
            <w:tcW w:w="1800" w:type="pct"/>
          </w:tcPr>
          <w:p w14:paraId="6E9EC827" w14:textId="5D8CBC16" w:rsidR="00FC56F7" w:rsidRDefault="00FC56F7" w:rsidP="00FC56F7">
            <w:pPr>
              <w:pStyle w:val="TableBodyCopy"/>
              <w:spacing w:line="235" w:lineRule="auto"/>
            </w:pPr>
            <w:r w:rsidRPr="2B1154F6">
              <w:t>A mechanism which sets out how the parties have agreed to share the risk in the price of insurance premia over the contract period. The parties will usually share the risk of increases in premia and the benefit of decreases in premia over a certain threshold.</w:t>
            </w:r>
          </w:p>
        </w:tc>
        <w:tc>
          <w:tcPr>
            <w:tcW w:w="226" w:type="pct"/>
          </w:tcPr>
          <w:p w14:paraId="2D8FCC0E" w14:textId="26A583BA" w:rsidR="00FC56F7" w:rsidRDefault="00FC56F7" w:rsidP="00FC56F7">
            <w:pPr>
              <w:pStyle w:val="TableBodyCopy"/>
              <w:spacing w:line="216" w:lineRule="auto"/>
            </w:pPr>
          </w:p>
        </w:tc>
        <w:tc>
          <w:tcPr>
            <w:tcW w:w="225" w:type="pct"/>
          </w:tcPr>
          <w:p w14:paraId="694112BF" w14:textId="77777777" w:rsidR="00FC56F7" w:rsidRDefault="00FC56F7" w:rsidP="00FC56F7">
            <w:pPr>
              <w:pStyle w:val="TableBodyCopy"/>
              <w:spacing w:line="216" w:lineRule="auto"/>
            </w:pPr>
          </w:p>
        </w:tc>
        <w:tc>
          <w:tcPr>
            <w:tcW w:w="224" w:type="pct"/>
          </w:tcPr>
          <w:p w14:paraId="596D4BEF" w14:textId="77777777" w:rsidR="00FC56F7" w:rsidRDefault="00FC56F7" w:rsidP="00FC56F7">
            <w:pPr>
              <w:pStyle w:val="TableBodyCopy"/>
              <w:spacing w:line="216" w:lineRule="auto"/>
            </w:pPr>
          </w:p>
        </w:tc>
        <w:tc>
          <w:tcPr>
            <w:tcW w:w="270" w:type="pct"/>
            <w:gridSpan w:val="2"/>
          </w:tcPr>
          <w:p w14:paraId="5F67F24B" w14:textId="77777777" w:rsidR="00FC56F7" w:rsidRDefault="00FC56F7" w:rsidP="00FC56F7">
            <w:pPr>
              <w:pStyle w:val="TableBodyCopy"/>
              <w:spacing w:line="216" w:lineRule="auto"/>
            </w:pPr>
          </w:p>
        </w:tc>
        <w:tc>
          <w:tcPr>
            <w:tcW w:w="295" w:type="pct"/>
          </w:tcPr>
          <w:p w14:paraId="3135B02D" w14:textId="77777777" w:rsidR="00FC56F7" w:rsidRDefault="00FC56F7" w:rsidP="00FC56F7">
            <w:pPr>
              <w:pStyle w:val="TableBodyCopy"/>
              <w:spacing w:line="216" w:lineRule="auto"/>
            </w:pPr>
          </w:p>
        </w:tc>
        <w:tc>
          <w:tcPr>
            <w:tcW w:w="417" w:type="pct"/>
          </w:tcPr>
          <w:p w14:paraId="4D215724" w14:textId="34014EB8" w:rsidR="00FC56F7" w:rsidRDefault="00FC56F7" w:rsidP="00FC56F7">
            <w:pPr>
              <w:pStyle w:val="TableBodyCopy"/>
              <w:spacing w:line="216" w:lineRule="auto"/>
            </w:pPr>
          </w:p>
        </w:tc>
        <w:tc>
          <w:tcPr>
            <w:tcW w:w="620" w:type="pct"/>
          </w:tcPr>
          <w:p w14:paraId="6641A23E" w14:textId="5E4393C6" w:rsidR="00FC56F7" w:rsidRDefault="00FC56F7" w:rsidP="00FC56F7">
            <w:pPr>
              <w:pStyle w:val="TableBodyCopy"/>
              <w:spacing w:line="216" w:lineRule="auto"/>
            </w:pPr>
          </w:p>
        </w:tc>
      </w:tr>
      <w:tr w:rsidR="00451E92" w14:paraId="66E26C48" w14:textId="77777777" w:rsidTr="00451E92">
        <w:trPr>
          <w:trHeight w:val="1207"/>
        </w:trPr>
        <w:tc>
          <w:tcPr>
            <w:tcW w:w="244" w:type="pct"/>
          </w:tcPr>
          <w:p w14:paraId="713AC8A0" w14:textId="4FD81540" w:rsidR="00FC56F7" w:rsidRDefault="00FC56F7" w:rsidP="00FC56F7">
            <w:pPr>
              <w:pStyle w:val="TableBodyCopy"/>
              <w:jc w:val="center"/>
            </w:pPr>
            <w:r w:rsidRPr="2B1154F6">
              <w:t>5</w:t>
            </w:r>
          </w:p>
        </w:tc>
        <w:tc>
          <w:tcPr>
            <w:tcW w:w="679" w:type="pct"/>
          </w:tcPr>
          <w:p w14:paraId="5E1B49F5" w14:textId="1D5A3866" w:rsidR="00FC56F7" w:rsidRDefault="00FC56F7" w:rsidP="00FC56F7">
            <w:pPr>
              <w:pStyle w:val="TableBodyCopy"/>
              <w:spacing w:line="192" w:lineRule="auto"/>
            </w:pPr>
            <w:r w:rsidRPr="2B1154F6">
              <w:t>Benchmarking and Market Testing Reports</w:t>
            </w:r>
          </w:p>
        </w:tc>
        <w:tc>
          <w:tcPr>
            <w:tcW w:w="1800" w:type="pct"/>
          </w:tcPr>
          <w:p w14:paraId="4E7A3E78" w14:textId="786C0CB5" w:rsidR="00FC56F7" w:rsidRDefault="00FC56F7" w:rsidP="00FC56F7">
            <w:pPr>
              <w:pStyle w:val="TableBodyCopy"/>
              <w:spacing w:line="235" w:lineRule="auto"/>
            </w:pPr>
            <w:r w:rsidRPr="2B1154F6">
              <w:t xml:space="preserve">Where your project provides for benchmarking and/or market testing, a complete set of reports should be maintained, </w:t>
            </w:r>
            <w:r>
              <w:t>b</w:t>
            </w:r>
            <w:r w:rsidRPr="2B1154F6">
              <w:t xml:space="preserve">enchmarking reports demonstrate, usually, soft FM services pricing in comparison to industry benchmarks. Market testing reports provide the results of any market test </w:t>
            </w:r>
            <w:r w:rsidRPr="2B1154F6">
              <w:lastRenderedPageBreak/>
              <w:t>competition, where provided for in your contract.</w:t>
            </w:r>
          </w:p>
          <w:p w14:paraId="4C337694" w14:textId="2126F855" w:rsidR="00FC56F7" w:rsidRDefault="00FC56F7" w:rsidP="00FC56F7">
            <w:pPr>
              <w:pStyle w:val="TableBodyCopy"/>
              <w:spacing w:line="235" w:lineRule="auto"/>
            </w:pPr>
            <w:r w:rsidRPr="2B1154F6">
              <w:t>Benchmarking and/or market testing often only applies to Soft FM services and is typically every five years.</w:t>
            </w:r>
          </w:p>
        </w:tc>
        <w:tc>
          <w:tcPr>
            <w:tcW w:w="226" w:type="pct"/>
          </w:tcPr>
          <w:p w14:paraId="09E14FA8" w14:textId="4E2E9C61" w:rsidR="00FC56F7" w:rsidRDefault="00FC56F7" w:rsidP="00FC56F7">
            <w:pPr>
              <w:pStyle w:val="TableBodyCopy"/>
              <w:spacing w:line="216" w:lineRule="auto"/>
            </w:pPr>
          </w:p>
        </w:tc>
        <w:tc>
          <w:tcPr>
            <w:tcW w:w="225" w:type="pct"/>
          </w:tcPr>
          <w:p w14:paraId="1A3E0461" w14:textId="77777777" w:rsidR="00FC56F7" w:rsidRDefault="00FC56F7" w:rsidP="00FC56F7">
            <w:pPr>
              <w:pStyle w:val="TableBodyCopy"/>
              <w:spacing w:line="216" w:lineRule="auto"/>
            </w:pPr>
          </w:p>
        </w:tc>
        <w:tc>
          <w:tcPr>
            <w:tcW w:w="224" w:type="pct"/>
          </w:tcPr>
          <w:p w14:paraId="7FBEA4E5" w14:textId="77777777" w:rsidR="00FC56F7" w:rsidRDefault="00FC56F7" w:rsidP="00FC56F7">
            <w:pPr>
              <w:pStyle w:val="TableBodyCopy"/>
              <w:spacing w:line="216" w:lineRule="auto"/>
            </w:pPr>
          </w:p>
        </w:tc>
        <w:tc>
          <w:tcPr>
            <w:tcW w:w="270" w:type="pct"/>
            <w:gridSpan w:val="2"/>
          </w:tcPr>
          <w:p w14:paraId="27AEF78F" w14:textId="77777777" w:rsidR="00FC56F7" w:rsidRDefault="00FC56F7" w:rsidP="00FC56F7">
            <w:pPr>
              <w:pStyle w:val="TableBodyCopy"/>
              <w:spacing w:line="216" w:lineRule="auto"/>
            </w:pPr>
          </w:p>
        </w:tc>
        <w:tc>
          <w:tcPr>
            <w:tcW w:w="295" w:type="pct"/>
          </w:tcPr>
          <w:p w14:paraId="1EC29C3F" w14:textId="77777777" w:rsidR="00FC56F7" w:rsidRDefault="00FC56F7" w:rsidP="00FC56F7">
            <w:pPr>
              <w:pStyle w:val="TableBodyCopy"/>
              <w:spacing w:line="216" w:lineRule="auto"/>
            </w:pPr>
          </w:p>
        </w:tc>
        <w:tc>
          <w:tcPr>
            <w:tcW w:w="417" w:type="pct"/>
          </w:tcPr>
          <w:p w14:paraId="09C4A10E" w14:textId="47EE5F16" w:rsidR="00FC56F7" w:rsidRDefault="00FC56F7" w:rsidP="00FC56F7">
            <w:pPr>
              <w:pStyle w:val="TableBodyCopy"/>
              <w:spacing w:line="216" w:lineRule="auto"/>
            </w:pPr>
          </w:p>
        </w:tc>
        <w:tc>
          <w:tcPr>
            <w:tcW w:w="620" w:type="pct"/>
          </w:tcPr>
          <w:p w14:paraId="5ECD5F7F" w14:textId="2F4C7553" w:rsidR="00FC56F7" w:rsidRDefault="00FC56F7" w:rsidP="00FC56F7">
            <w:pPr>
              <w:pStyle w:val="TableBodyCopy"/>
              <w:spacing w:line="216" w:lineRule="auto"/>
            </w:pPr>
          </w:p>
        </w:tc>
      </w:tr>
      <w:tr w:rsidR="00451E92" w14:paraId="2A149D3A" w14:textId="77777777" w:rsidTr="00451E92">
        <w:trPr>
          <w:trHeight w:val="4128"/>
        </w:trPr>
        <w:tc>
          <w:tcPr>
            <w:tcW w:w="244" w:type="pct"/>
          </w:tcPr>
          <w:p w14:paraId="4CF80B93" w14:textId="2FB422CD" w:rsidR="00FC56F7" w:rsidRDefault="00FC56F7" w:rsidP="00FC56F7">
            <w:pPr>
              <w:pStyle w:val="TableBodyCopy"/>
              <w:jc w:val="center"/>
            </w:pPr>
            <w:r w:rsidRPr="2B1154F6">
              <w:t>6</w:t>
            </w:r>
          </w:p>
        </w:tc>
        <w:tc>
          <w:tcPr>
            <w:tcW w:w="679" w:type="pct"/>
          </w:tcPr>
          <w:p w14:paraId="03E78DD4" w14:textId="11B824CF" w:rsidR="00FC56F7" w:rsidRDefault="00FC56F7" w:rsidP="00FC56F7">
            <w:pPr>
              <w:pStyle w:val="TableBodyCopy"/>
              <w:spacing w:line="192" w:lineRule="auto"/>
            </w:pPr>
            <w:r w:rsidRPr="2B1154F6">
              <w:t>Utility Reports (annual and monthly)</w:t>
            </w:r>
          </w:p>
          <w:p w14:paraId="3FF205F0" w14:textId="487465CC" w:rsidR="00FC56F7" w:rsidRDefault="00FC56F7" w:rsidP="00FC56F7">
            <w:pPr>
              <w:pStyle w:val="TableBodyCopy"/>
              <w:spacing w:line="192" w:lineRule="auto"/>
            </w:pPr>
          </w:p>
        </w:tc>
        <w:tc>
          <w:tcPr>
            <w:tcW w:w="1800" w:type="pct"/>
          </w:tcPr>
          <w:p w14:paraId="7ED7F76B" w14:textId="73589856" w:rsidR="00FC56F7" w:rsidRDefault="00FC56F7" w:rsidP="00FC56F7">
            <w:pPr>
              <w:pStyle w:val="TableBodyCopy"/>
              <w:spacing w:line="216" w:lineRule="auto"/>
            </w:pPr>
            <w:r w:rsidRPr="2B1154F6">
              <w:t xml:space="preserve">These reports set out the detail of the energy performance of the project. These reports often include performance reports, including issues and opportunities for improvement in energy efficiency of the facilities. Where the project has an energy risk-sharing mechanism, the report should include the annual statement of overall usage </w:t>
            </w:r>
            <w:r>
              <w:t>and</w:t>
            </w:r>
            <w:r w:rsidRPr="2B1154F6">
              <w:t xml:space="preserve"> the allocated financial share between the parties in accordance with the agreed mechanism.</w:t>
            </w:r>
          </w:p>
        </w:tc>
        <w:tc>
          <w:tcPr>
            <w:tcW w:w="226" w:type="pct"/>
          </w:tcPr>
          <w:p w14:paraId="2EB7BD23" w14:textId="262ADA0D" w:rsidR="00FC56F7" w:rsidRDefault="00FC56F7" w:rsidP="00FC56F7">
            <w:pPr>
              <w:pStyle w:val="TableBodyCopy"/>
              <w:spacing w:line="216" w:lineRule="auto"/>
            </w:pPr>
          </w:p>
        </w:tc>
        <w:tc>
          <w:tcPr>
            <w:tcW w:w="225" w:type="pct"/>
          </w:tcPr>
          <w:p w14:paraId="27F7F6A0" w14:textId="77777777" w:rsidR="00FC56F7" w:rsidRDefault="00FC56F7" w:rsidP="00FC56F7">
            <w:pPr>
              <w:pStyle w:val="TableBodyCopy"/>
              <w:spacing w:line="216" w:lineRule="auto"/>
            </w:pPr>
          </w:p>
        </w:tc>
        <w:tc>
          <w:tcPr>
            <w:tcW w:w="224" w:type="pct"/>
          </w:tcPr>
          <w:p w14:paraId="14D19DBF" w14:textId="77777777" w:rsidR="00FC56F7" w:rsidRDefault="00FC56F7" w:rsidP="00FC56F7">
            <w:pPr>
              <w:pStyle w:val="TableBodyCopy"/>
              <w:spacing w:line="216" w:lineRule="auto"/>
            </w:pPr>
          </w:p>
        </w:tc>
        <w:tc>
          <w:tcPr>
            <w:tcW w:w="270" w:type="pct"/>
            <w:gridSpan w:val="2"/>
          </w:tcPr>
          <w:p w14:paraId="25D9C5C0" w14:textId="77777777" w:rsidR="00FC56F7" w:rsidRDefault="00FC56F7" w:rsidP="00FC56F7">
            <w:pPr>
              <w:pStyle w:val="TableBodyCopy"/>
              <w:spacing w:line="216" w:lineRule="auto"/>
            </w:pPr>
          </w:p>
        </w:tc>
        <w:tc>
          <w:tcPr>
            <w:tcW w:w="295" w:type="pct"/>
          </w:tcPr>
          <w:p w14:paraId="32C0819A" w14:textId="77777777" w:rsidR="00FC56F7" w:rsidRDefault="00FC56F7" w:rsidP="00FC56F7">
            <w:pPr>
              <w:pStyle w:val="TableBodyCopy"/>
              <w:spacing w:line="216" w:lineRule="auto"/>
            </w:pPr>
          </w:p>
        </w:tc>
        <w:tc>
          <w:tcPr>
            <w:tcW w:w="417" w:type="pct"/>
          </w:tcPr>
          <w:p w14:paraId="0080F73E" w14:textId="7D5B4DB1" w:rsidR="00FC56F7" w:rsidRDefault="00FC56F7" w:rsidP="00FC56F7">
            <w:pPr>
              <w:pStyle w:val="TableBodyCopy"/>
              <w:spacing w:line="216" w:lineRule="auto"/>
            </w:pPr>
          </w:p>
        </w:tc>
        <w:tc>
          <w:tcPr>
            <w:tcW w:w="620" w:type="pct"/>
          </w:tcPr>
          <w:p w14:paraId="3E894E8D" w14:textId="6EE1AF2E" w:rsidR="00FC56F7" w:rsidRDefault="00FC56F7" w:rsidP="00FC56F7">
            <w:pPr>
              <w:pStyle w:val="TableBodyCopy"/>
              <w:spacing w:line="216" w:lineRule="auto"/>
            </w:pPr>
          </w:p>
        </w:tc>
      </w:tr>
      <w:tr w:rsidR="00451E92" w14:paraId="27CD26D7" w14:textId="77777777" w:rsidTr="00451E92">
        <w:trPr>
          <w:trHeight w:val="2408"/>
        </w:trPr>
        <w:tc>
          <w:tcPr>
            <w:tcW w:w="244" w:type="pct"/>
          </w:tcPr>
          <w:p w14:paraId="28E3259A" w14:textId="6279B177" w:rsidR="00FC56F7" w:rsidRDefault="00FC56F7" w:rsidP="00FC56F7">
            <w:pPr>
              <w:pStyle w:val="TableBodyCopy"/>
              <w:jc w:val="center"/>
            </w:pPr>
            <w:r w:rsidRPr="2B1154F6">
              <w:t>7</w:t>
            </w:r>
          </w:p>
        </w:tc>
        <w:tc>
          <w:tcPr>
            <w:tcW w:w="679" w:type="pct"/>
          </w:tcPr>
          <w:p w14:paraId="034A4179" w14:textId="2B09484C" w:rsidR="00FC56F7" w:rsidRDefault="00FC56F7" w:rsidP="00FC56F7">
            <w:pPr>
              <w:pStyle w:val="TableBodyCopy"/>
              <w:spacing w:line="216" w:lineRule="auto"/>
            </w:pPr>
            <w:r w:rsidRPr="2B1154F6">
              <w:t xml:space="preserve">Business Continuity Plan </w:t>
            </w:r>
          </w:p>
          <w:p w14:paraId="02D9B182" w14:textId="4D20C7CA" w:rsidR="00FC56F7" w:rsidRDefault="00FC56F7" w:rsidP="00FC56F7">
            <w:pPr>
              <w:pStyle w:val="TableBodyCopy"/>
              <w:spacing w:line="216" w:lineRule="auto"/>
            </w:pPr>
          </w:p>
        </w:tc>
        <w:tc>
          <w:tcPr>
            <w:tcW w:w="1800" w:type="pct"/>
          </w:tcPr>
          <w:p w14:paraId="66B2044A" w14:textId="28D906FE" w:rsidR="00FC56F7" w:rsidRDefault="00FC56F7" w:rsidP="00FC56F7">
            <w:pPr>
              <w:pStyle w:val="TableBodyCopy"/>
              <w:spacing w:line="216" w:lineRule="auto"/>
            </w:pPr>
            <w:r w:rsidRPr="2B1154F6">
              <w:t>A document that outlines how the project will continue to operate during and after a disruption (e.g</w:t>
            </w:r>
            <w:r>
              <w:t>.</w:t>
            </w:r>
            <w:r w:rsidRPr="2B1154F6">
              <w:t xml:space="preserve"> change of a service provider or a supply chain issue). It focuses on maintaining essential functions and minimising downtime.</w:t>
            </w:r>
          </w:p>
        </w:tc>
        <w:tc>
          <w:tcPr>
            <w:tcW w:w="226" w:type="pct"/>
          </w:tcPr>
          <w:p w14:paraId="6B2BC618" w14:textId="03F40158" w:rsidR="00FC56F7" w:rsidRDefault="00FC56F7" w:rsidP="00FC56F7">
            <w:pPr>
              <w:pStyle w:val="TableBodyCopy"/>
            </w:pPr>
          </w:p>
        </w:tc>
        <w:tc>
          <w:tcPr>
            <w:tcW w:w="225" w:type="pct"/>
          </w:tcPr>
          <w:p w14:paraId="7A1D356C" w14:textId="77777777" w:rsidR="00FC56F7" w:rsidRDefault="00FC56F7" w:rsidP="00FC56F7">
            <w:pPr>
              <w:pStyle w:val="TableBodyCopy"/>
            </w:pPr>
          </w:p>
        </w:tc>
        <w:tc>
          <w:tcPr>
            <w:tcW w:w="224" w:type="pct"/>
          </w:tcPr>
          <w:p w14:paraId="6DA01912" w14:textId="77777777" w:rsidR="00FC56F7" w:rsidRDefault="00FC56F7" w:rsidP="00FC56F7">
            <w:pPr>
              <w:pStyle w:val="TableBodyCopy"/>
            </w:pPr>
          </w:p>
        </w:tc>
        <w:tc>
          <w:tcPr>
            <w:tcW w:w="270" w:type="pct"/>
            <w:gridSpan w:val="2"/>
          </w:tcPr>
          <w:p w14:paraId="1EEAF779" w14:textId="77777777" w:rsidR="00FC56F7" w:rsidRDefault="00FC56F7" w:rsidP="00FC56F7">
            <w:pPr>
              <w:pStyle w:val="TableBodyCopy"/>
            </w:pPr>
          </w:p>
        </w:tc>
        <w:tc>
          <w:tcPr>
            <w:tcW w:w="295" w:type="pct"/>
          </w:tcPr>
          <w:p w14:paraId="084D2C8E" w14:textId="77777777" w:rsidR="00FC56F7" w:rsidRDefault="00FC56F7" w:rsidP="00FC56F7">
            <w:pPr>
              <w:pStyle w:val="TableBodyCopy"/>
            </w:pPr>
          </w:p>
        </w:tc>
        <w:tc>
          <w:tcPr>
            <w:tcW w:w="417" w:type="pct"/>
          </w:tcPr>
          <w:p w14:paraId="1158D559" w14:textId="257EB0B1" w:rsidR="00FC56F7" w:rsidRDefault="00FC56F7" w:rsidP="00FC56F7">
            <w:pPr>
              <w:pStyle w:val="TableBodyCopy"/>
            </w:pPr>
          </w:p>
        </w:tc>
        <w:tc>
          <w:tcPr>
            <w:tcW w:w="620" w:type="pct"/>
          </w:tcPr>
          <w:p w14:paraId="4EE5D443" w14:textId="5C19B1E8" w:rsidR="00FC56F7" w:rsidRDefault="00FC56F7" w:rsidP="00FC56F7">
            <w:pPr>
              <w:pStyle w:val="TableBodyCopy"/>
            </w:pPr>
          </w:p>
        </w:tc>
      </w:tr>
      <w:tr w:rsidR="00451E92" w14:paraId="3E273568" w14:textId="77777777" w:rsidTr="00451E92">
        <w:trPr>
          <w:trHeight w:val="3471"/>
        </w:trPr>
        <w:tc>
          <w:tcPr>
            <w:tcW w:w="244" w:type="pct"/>
          </w:tcPr>
          <w:p w14:paraId="56225E98" w14:textId="719A12EB" w:rsidR="00FC56F7" w:rsidRDefault="00FC56F7" w:rsidP="00FC56F7">
            <w:pPr>
              <w:pStyle w:val="TableBodyCopy"/>
              <w:jc w:val="center"/>
            </w:pPr>
            <w:r w:rsidRPr="2B1154F6">
              <w:lastRenderedPageBreak/>
              <w:t>8</w:t>
            </w:r>
          </w:p>
        </w:tc>
        <w:tc>
          <w:tcPr>
            <w:tcW w:w="679" w:type="pct"/>
          </w:tcPr>
          <w:p w14:paraId="4F2C9D0E" w14:textId="36DB2962" w:rsidR="00FC56F7" w:rsidRDefault="00FC56F7" w:rsidP="00FC56F7">
            <w:pPr>
              <w:pStyle w:val="TableBodyCopy"/>
              <w:spacing w:line="216" w:lineRule="auto"/>
            </w:pPr>
            <w:r w:rsidRPr="2B1154F6">
              <w:t>Emergency Response Plan (or Disaster Plan)</w:t>
            </w:r>
          </w:p>
        </w:tc>
        <w:tc>
          <w:tcPr>
            <w:tcW w:w="1800" w:type="pct"/>
          </w:tcPr>
          <w:p w14:paraId="57470A5E" w14:textId="4C8B16F9" w:rsidR="00FC56F7" w:rsidRDefault="00FC56F7" w:rsidP="00FC56F7">
            <w:pPr>
              <w:pStyle w:val="TableBodyCopy"/>
              <w:spacing w:line="216" w:lineRule="auto"/>
            </w:pPr>
            <w:r w:rsidRPr="2B1154F6">
              <w:t>A document agreed between the parties that sets out the planned course of action or preventative measures in relation to an emergency. This should cover an immediate, tactical response plan that addresses how to respond to specific emergencies to protect life, property and the environment. This will often involve multiple project parties, including end users.</w:t>
            </w:r>
          </w:p>
        </w:tc>
        <w:tc>
          <w:tcPr>
            <w:tcW w:w="226" w:type="pct"/>
          </w:tcPr>
          <w:p w14:paraId="0E7913F4" w14:textId="05AF3072" w:rsidR="00FC56F7" w:rsidRDefault="00FC56F7" w:rsidP="00FC56F7">
            <w:pPr>
              <w:pStyle w:val="TableBodyCopy"/>
            </w:pPr>
          </w:p>
        </w:tc>
        <w:tc>
          <w:tcPr>
            <w:tcW w:w="225" w:type="pct"/>
          </w:tcPr>
          <w:p w14:paraId="0A13C0EF" w14:textId="77777777" w:rsidR="00FC56F7" w:rsidRDefault="00FC56F7" w:rsidP="00FC56F7">
            <w:pPr>
              <w:pStyle w:val="TableBodyCopy"/>
            </w:pPr>
          </w:p>
        </w:tc>
        <w:tc>
          <w:tcPr>
            <w:tcW w:w="224" w:type="pct"/>
          </w:tcPr>
          <w:p w14:paraId="762AC6B5" w14:textId="77777777" w:rsidR="00FC56F7" w:rsidRDefault="00FC56F7" w:rsidP="00FC56F7">
            <w:pPr>
              <w:pStyle w:val="TableBodyCopy"/>
            </w:pPr>
          </w:p>
        </w:tc>
        <w:tc>
          <w:tcPr>
            <w:tcW w:w="270" w:type="pct"/>
            <w:gridSpan w:val="2"/>
          </w:tcPr>
          <w:p w14:paraId="166552C9" w14:textId="77777777" w:rsidR="00FC56F7" w:rsidRDefault="00FC56F7" w:rsidP="00FC56F7">
            <w:pPr>
              <w:pStyle w:val="TableBodyCopy"/>
            </w:pPr>
          </w:p>
        </w:tc>
        <w:tc>
          <w:tcPr>
            <w:tcW w:w="295" w:type="pct"/>
          </w:tcPr>
          <w:p w14:paraId="2145CA11" w14:textId="77777777" w:rsidR="00FC56F7" w:rsidRDefault="00FC56F7" w:rsidP="00FC56F7">
            <w:pPr>
              <w:pStyle w:val="TableBodyCopy"/>
            </w:pPr>
          </w:p>
        </w:tc>
        <w:tc>
          <w:tcPr>
            <w:tcW w:w="417" w:type="pct"/>
          </w:tcPr>
          <w:p w14:paraId="76CE583A" w14:textId="43D0186C" w:rsidR="00FC56F7" w:rsidRDefault="00FC56F7" w:rsidP="00FC56F7">
            <w:pPr>
              <w:pStyle w:val="TableBodyCopy"/>
            </w:pPr>
          </w:p>
        </w:tc>
        <w:tc>
          <w:tcPr>
            <w:tcW w:w="620" w:type="pct"/>
          </w:tcPr>
          <w:p w14:paraId="429ADF4C" w14:textId="0C537552" w:rsidR="00FC56F7" w:rsidRDefault="00FC56F7" w:rsidP="00FC56F7">
            <w:pPr>
              <w:pStyle w:val="TableBodyCopy"/>
            </w:pPr>
          </w:p>
        </w:tc>
      </w:tr>
      <w:tr w:rsidR="00451E92" w14:paraId="560A12A0" w14:textId="77777777" w:rsidTr="00451E92">
        <w:trPr>
          <w:trHeight w:val="454"/>
        </w:trPr>
        <w:tc>
          <w:tcPr>
            <w:tcW w:w="5000" w:type="pct"/>
            <w:gridSpan w:val="11"/>
          </w:tcPr>
          <w:p w14:paraId="15D94F12" w14:textId="0DCF714E" w:rsidR="00FC56F7" w:rsidRPr="0016255C" w:rsidRDefault="00FC56F7" w:rsidP="00FC56F7">
            <w:pPr>
              <w:pStyle w:val="TableHeading"/>
              <w:jc w:val="center"/>
            </w:pPr>
            <w:r w:rsidRPr="0016255C">
              <w:t>Finance</w:t>
            </w:r>
          </w:p>
        </w:tc>
      </w:tr>
      <w:tr w:rsidR="00451E92" w14:paraId="0790EAE0" w14:textId="77777777" w:rsidTr="00451E92">
        <w:trPr>
          <w:trHeight w:val="1948"/>
        </w:trPr>
        <w:tc>
          <w:tcPr>
            <w:tcW w:w="244" w:type="pct"/>
          </w:tcPr>
          <w:p w14:paraId="07AD97F8" w14:textId="0426E9BD" w:rsidR="00FC56F7" w:rsidRDefault="00FC56F7" w:rsidP="00FC56F7">
            <w:pPr>
              <w:pStyle w:val="TableBodyCopy"/>
              <w:jc w:val="center"/>
            </w:pPr>
            <w:r w:rsidRPr="2B1154F6">
              <w:t>9</w:t>
            </w:r>
          </w:p>
        </w:tc>
        <w:tc>
          <w:tcPr>
            <w:tcW w:w="679" w:type="pct"/>
          </w:tcPr>
          <w:p w14:paraId="62AB6C7A" w14:textId="20994967" w:rsidR="00FC56F7" w:rsidRDefault="00FC56F7" w:rsidP="00FC56F7">
            <w:pPr>
              <w:pStyle w:val="TableBodyCopy"/>
              <w:rPr>
                <w:color w:val="000000" w:themeColor="text1"/>
              </w:rPr>
            </w:pPr>
            <w:r w:rsidRPr="2B1154F6">
              <w:rPr>
                <w:color w:val="000000" w:themeColor="text1"/>
              </w:rPr>
              <w:t xml:space="preserve">Unitary Charge Indexation </w:t>
            </w:r>
            <w:r>
              <w:rPr>
                <w:color w:val="000000" w:themeColor="text1"/>
              </w:rPr>
              <w:t>N</w:t>
            </w:r>
            <w:r w:rsidRPr="2B1154F6">
              <w:rPr>
                <w:color w:val="000000" w:themeColor="text1"/>
              </w:rPr>
              <w:t xml:space="preserve">otices </w:t>
            </w:r>
            <w:r>
              <w:rPr>
                <w:color w:val="000000" w:themeColor="text1"/>
              </w:rPr>
              <w:t>and</w:t>
            </w:r>
            <w:r w:rsidRPr="2B1154F6">
              <w:rPr>
                <w:color w:val="000000" w:themeColor="text1"/>
              </w:rPr>
              <w:t xml:space="preserve"> </w:t>
            </w:r>
            <w:r>
              <w:rPr>
                <w:color w:val="000000" w:themeColor="text1"/>
              </w:rPr>
              <w:t>A</w:t>
            </w:r>
            <w:r w:rsidRPr="2B1154F6">
              <w:rPr>
                <w:color w:val="000000" w:themeColor="text1"/>
              </w:rPr>
              <w:t>greements</w:t>
            </w:r>
          </w:p>
        </w:tc>
        <w:tc>
          <w:tcPr>
            <w:tcW w:w="1800" w:type="pct"/>
          </w:tcPr>
          <w:p w14:paraId="701CCC5C" w14:textId="797C5E5C" w:rsidR="00FC56F7" w:rsidRDefault="00FC56F7" w:rsidP="00FC56F7">
            <w:pPr>
              <w:pStyle w:val="TableBodyCopy"/>
              <w:rPr>
                <w:color w:val="000000" w:themeColor="text1"/>
              </w:rPr>
            </w:pPr>
            <w:r w:rsidRPr="2B1154F6">
              <w:rPr>
                <w:color w:val="000000" w:themeColor="text1"/>
              </w:rPr>
              <w:t>Indexation notices and agreements refer to how the unitary charge is adjusted over time</w:t>
            </w:r>
            <w:r>
              <w:rPr>
                <w:color w:val="000000" w:themeColor="text1"/>
              </w:rPr>
              <w:t>,</w:t>
            </w:r>
            <w:r w:rsidRPr="2B1154F6">
              <w:rPr>
                <w:color w:val="000000" w:themeColor="text1"/>
              </w:rPr>
              <w:t xml:space="preserve"> based on inflation indices or other predetermined factors. </w:t>
            </w:r>
          </w:p>
        </w:tc>
        <w:tc>
          <w:tcPr>
            <w:tcW w:w="226" w:type="pct"/>
          </w:tcPr>
          <w:p w14:paraId="766E0D29" w14:textId="4A730FA8" w:rsidR="00FC56F7" w:rsidRDefault="00FC56F7" w:rsidP="00FC56F7">
            <w:pPr>
              <w:pStyle w:val="TableBodyCopy"/>
            </w:pPr>
          </w:p>
        </w:tc>
        <w:tc>
          <w:tcPr>
            <w:tcW w:w="225" w:type="pct"/>
          </w:tcPr>
          <w:p w14:paraId="71A632F9" w14:textId="77777777" w:rsidR="00FC56F7" w:rsidRDefault="00FC56F7" w:rsidP="00FC56F7">
            <w:pPr>
              <w:pStyle w:val="TableBodyCopy"/>
            </w:pPr>
          </w:p>
        </w:tc>
        <w:tc>
          <w:tcPr>
            <w:tcW w:w="224" w:type="pct"/>
          </w:tcPr>
          <w:p w14:paraId="5054281B" w14:textId="77777777" w:rsidR="00FC56F7" w:rsidRDefault="00FC56F7" w:rsidP="00FC56F7">
            <w:pPr>
              <w:pStyle w:val="TableBodyCopy"/>
            </w:pPr>
          </w:p>
        </w:tc>
        <w:tc>
          <w:tcPr>
            <w:tcW w:w="270" w:type="pct"/>
            <w:gridSpan w:val="2"/>
          </w:tcPr>
          <w:p w14:paraId="1B5FA53C" w14:textId="77777777" w:rsidR="00FC56F7" w:rsidRDefault="00FC56F7" w:rsidP="00FC56F7">
            <w:pPr>
              <w:pStyle w:val="TableBodyCopy"/>
            </w:pPr>
          </w:p>
        </w:tc>
        <w:tc>
          <w:tcPr>
            <w:tcW w:w="295" w:type="pct"/>
          </w:tcPr>
          <w:p w14:paraId="0DF7F11E" w14:textId="77777777" w:rsidR="00FC56F7" w:rsidRDefault="00FC56F7" w:rsidP="00FC56F7">
            <w:pPr>
              <w:pStyle w:val="TableBodyCopy"/>
            </w:pPr>
          </w:p>
        </w:tc>
        <w:tc>
          <w:tcPr>
            <w:tcW w:w="417" w:type="pct"/>
          </w:tcPr>
          <w:p w14:paraId="03D5A0FD" w14:textId="5F16EFBC" w:rsidR="00FC56F7" w:rsidRDefault="00FC56F7" w:rsidP="00FC56F7">
            <w:pPr>
              <w:pStyle w:val="TableBodyCopy"/>
            </w:pPr>
          </w:p>
        </w:tc>
        <w:tc>
          <w:tcPr>
            <w:tcW w:w="620" w:type="pct"/>
          </w:tcPr>
          <w:p w14:paraId="5D848DBC" w14:textId="5BC32A72" w:rsidR="00FC56F7" w:rsidRDefault="00FC56F7" w:rsidP="00FC56F7">
            <w:pPr>
              <w:pStyle w:val="TableBodyCopy"/>
            </w:pPr>
          </w:p>
        </w:tc>
      </w:tr>
      <w:tr w:rsidR="00451E92" w14:paraId="44C49A2B" w14:textId="77777777" w:rsidTr="00451E92">
        <w:trPr>
          <w:trHeight w:val="2353"/>
        </w:trPr>
        <w:tc>
          <w:tcPr>
            <w:tcW w:w="244" w:type="pct"/>
          </w:tcPr>
          <w:p w14:paraId="72F06194" w14:textId="63E1A5AA" w:rsidR="00FC56F7" w:rsidRDefault="00FC56F7" w:rsidP="00FC56F7">
            <w:pPr>
              <w:pStyle w:val="TableBodyCopy"/>
              <w:jc w:val="center"/>
            </w:pPr>
            <w:r w:rsidRPr="2B1154F6">
              <w:t>10</w:t>
            </w:r>
          </w:p>
        </w:tc>
        <w:tc>
          <w:tcPr>
            <w:tcW w:w="679" w:type="pct"/>
          </w:tcPr>
          <w:p w14:paraId="718D119E" w14:textId="3534371D" w:rsidR="00FC56F7" w:rsidRDefault="00FC56F7" w:rsidP="00FC56F7">
            <w:pPr>
              <w:pStyle w:val="TableBodyCopy"/>
              <w:rPr>
                <w:color w:val="000000" w:themeColor="text1"/>
              </w:rPr>
            </w:pPr>
            <w:r w:rsidRPr="2B1154F6">
              <w:rPr>
                <w:color w:val="000000" w:themeColor="text1"/>
              </w:rPr>
              <w:t>Financial Statements (or Company Accounts)</w:t>
            </w:r>
          </w:p>
        </w:tc>
        <w:tc>
          <w:tcPr>
            <w:tcW w:w="1800" w:type="pct"/>
          </w:tcPr>
          <w:p w14:paraId="04A8CECC" w14:textId="33A1A725" w:rsidR="00FC56F7" w:rsidRDefault="00FC56F7" w:rsidP="00FC56F7">
            <w:pPr>
              <w:pStyle w:val="TableBodyCopy"/>
              <w:rPr>
                <w:color w:val="000000" w:themeColor="text1"/>
              </w:rPr>
            </w:pPr>
            <w:r w:rsidRPr="2B1154F6">
              <w:rPr>
                <w:color w:val="000000" w:themeColor="text1"/>
              </w:rPr>
              <w:t xml:space="preserve">These are statements which summarise the cashflows of an organisation over </w:t>
            </w:r>
            <w:proofErr w:type="gramStart"/>
            <w:r w:rsidRPr="2B1154F6">
              <w:rPr>
                <w:color w:val="000000" w:themeColor="text1"/>
              </w:rPr>
              <w:t>a period of time</w:t>
            </w:r>
            <w:proofErr w:type="gramEnd"/>
            <w:r>
              <w:rPr>
                <w:color w:val="000000" w:themeColor="text1"/>
              </w:rPr>
              <w:t>,</w:t>
            </w:r>
            <w:r w:rsidRPr="2B1154F6">
              <w:rPr>
                <w:color w:val="000000" w:themeColor="text1"/>
              </w:rPr>
              <w:t xml:space="preserve"> and the annual accounts must be filed with Companies House e</w:t>
            </w:r>
            <w:r>
              <w:rPr>
                <w:color w:val="000000" w:themeColor="text1"/>
              </w:rPr>
              <w:t>very</w:t>
            </w:r>
            <w:r w:rsidRPr="2B1154F6">
              <w:rPr>
                <w:color w:val="000000" w:themeColor="text1"/>
              </w:rPr>
              <w:t xml:space="preserve"> year by UK companies.  They are usually publicly available.</w:t>
            </w:r>
          </w:p>
        </w:tc>
        <w:tc>
          <w:tcPr>
            <w:tcW w:w="226" w:type="pct"/>
          </w:tcPr>
          <w:p w14:paraId="63942302" w14:textId="7348DCD9" w:rsidR="00FC56F7" w:rsidRDefault="00FC56F7" w:rsidP="00FC56F7">
            <w:pPr>
              <w:pStyle w:val="TableBodyCopy"/>
            </w:pPr>
          </w:p>
        </w:tc>
        <w:tc>
          <w:tcPr>
            <w:tcW w:w="225" w:type="pct"/>
          </w:tcPr>
          <w:p w14:paraId="460F1122" w14:textId="77777777" w:rsidR="00FC56F7" w:rsidRDefault="00FC56F7" w:rsidP="00FC56F7">
            <w:pPr>
              <w:pStyle w:val="TableBodyCopy"/>
            </w:pPr>
          </w:p>
        </w:tc>
        <w:tc>
          <w:tcPr>
            <w:tcW w:w="224" w:type="pct"/>
          </w:tcPr>
          <w:p w14:paraId="16E24083" w14:textId="77777777" w:rsidR="00FC56F7" w:rsidRDefault="00FC56F7" w:rsidP="00FC56F7">
            <w:pPr>
              <w:pStyle w:val="TableBodyCopy"/>
            </w:pPr>
          </w:p>
        </w:tc>
        <w:tc>
          <w:tcPr>
            <w:tcW w:w="270" w:type="pct"/>
            <w:gridSpan w:val="2"/>
          </w:tcPr>
          <w:p w14:paraId="06B113CD" w14:textId="77777777" w:rsidR="00FC56F7" w:rsidRDefault="00FC56F7" w:rsidP="00FC56F7">
            <w:pPr>
              <w:pStyle w:val="TableBodyCopy"/>
            </w:pPr>
          </w:p>
        </w:tc>
        <w:tc>
          <w:tcPr>
            <w:tcW w:w="295" w:type="pct"/>
          </w:tcPr>
          <w:p w14:paraId="06F9BF3A" w14:textId="77777777" w:rsidR="00FC56F7" w:rsidRDefault="00FC56F7" w:rsidP="00FC56F7">
            <w:pPr>
              <w:pStyle w:val="TableBodyCopy"/>
            </w:pPr>
          </w:p>
        </w:tc>
        <w:tc>
          <w:tcPr>
            <w:tcW w:w="417" w:type="pct"/>
          </w:tcPr>
          <w:p w14:paraId="36602633" w14:textId="78E5123E" w:rsidR="00FC56F7" w:rsidRDefault="00FC56F7" w:rsidP="00FC56F7">
            <w:pPr>
              <w:pStyle w:val="TableBodyCopy"/>
            </w:pPr>
          </w:p>
        </w:tc>
        <w:tc>
          <w:tcPr>
            <w:tcW w:w="620" w:type="pct"/>
          </w:tcPr>
          <w:p w14:paraId="2848CD6F" w14:textId="3B365905" w:rsidR="00FC56F7" w:rsidRDefault="00FC56F7" w:rsidP="00FC56F7">
            <w:pPr>
              <w:pStyle w:val="TableBodyCopy"/>
            </w:pPr>
          </w:p>
        </w:tc>
      </w:tr>
      <w:tr w:rsidR="00451E92" w14:paraId="41B0DC42" w14:textId="77777777" w:rsidTr="00451E92">
        <w:trPr>
          <w:trHeight w:val="3647"/>
        </w:trPr>
        <w:tc>
          <w:tcPr>
            <w:tcW w:w="244" w:type="pct"/>
          </w:tcPr>
          <w:p w14:paraId="0C42BD17" w14:textId="4F0EEE0E" w:rsidR="00FC56F7" w:rsidRDefault="00FC56F7" w:rsidP="00FC56F7">
            <w:pPr>
              <w:pStyle w:val="TableBodyCopy"/>
              <w:jc w:val="center"/>
            </w:pPr>
            <w:r w:rsidRPr="2B1154F6">
              <w:lastRenderedPageBreak/>
              <w:t>11</w:t>
            </w:r>
          </w:p>
        </w:tc>
        <w:tc>
          <w:tcPr>
            <w:tcW w:w="679" w:type="pct"/>
          </w:tcPr>
          <w:p w14:paraId="015B9A14" w14:textId="5B960F28" w:rsidR="00FC56F7" w:rsidRDefault="00FC56F7" w:rsidP="00FC56F7">
            <w:pPr>
              <w:pStyle w:val="TableBodyCopy"/>
              <w:rPr>
                <w:color w:val="000000" w:themeColor="text1"/>
              </w:rPr>
            </w:pPr>
            <w:r w:rsidRPr="2B1154F6">
              <w:rPr>
                <w:color w:val="000000" w:themeColor="text1"/>
              </w:rPr>
              <w:t xml:space="preserve">Records of Finance Reconciliation </w:t>
            </w:r>
            <w:r>
              <w:rPr>
                <w:color w:val="000000" w:themeColor="text1"/>
              </w:rPr>
              <w:t>A</w:t>
            </w:r>
            <w:r w:rsidRPr="2B1154F6">
              <w:rPr>
                <w:color w:val="000000" w:themeColor="text1"/>
              </w:rPr>
              <w:t>greements</w:t>
            </w:r>
          </w:p>
        </w:tc>
        <w:tc>
          <w:tcPr>
            <w:tcW w:w="1800" w:type="pct"/>
          </w:tcPr>
          <w:p w14:paraId="199A8D1E" w14:textId="14364F08" w:rsidR="00FC56F7" w:rsidRDefault="00FC56F7" w:rsidP="00FC56F7">
            <w:pPr>
              <w:pStyle w:val="TableBodyCopy"/>
              <w:rPr>
                <w:color w:val="000000" w:themeColor="text1"/>
              </w:rPr>
            </w:pPr>
            <w:r w:rsidRPr="2B1154F6">
              <w:rPr>
                <w:color w:val="000000" w:themeColor="text1"/>
              </w:rPr>
              <w:t>These are documents that provide a summary and confirmation of financial transactions and agreements between parties involved in a PFI contract. They outline how finances, such as payments and costs, have been reconciled over time to ensure accuracy and transparency. These records are vital for maintaining proper financial oversight and accountability within the project.</w:t>
            </w:r>
          </w:p>
        </w:tc>
        <w:tc>
          <w:tcPr>
            <w:tcW w:w="226" w:type="pct"/>
          </w:tcPr>
          <w:p w14:paraId="4EC449C2" w14:textId="60E9F7B8" w:rsidR="00FC56F7" w:rsidRDefault="00FC56F7" w:rsidP="00FC56F7">
            <w:pPr>
              <w:pStyle w:val="TableBodyCopy"/>
            </w:pPr>
          </w:p>
        </w:tc>
        <w:tc>
          <w:tcPr>
            <w:tcW w:w="225" w:type="pct"/>
          </w:tcPr>
          <w:p w14:paraId="66150330" w14:textId="77777777" w:rsidR="00FC56F7" w:rsidRDefault="00FC56F7" w:rsidP="00FC56F7">
            <w:pPr>
              <w:pStyle w:val="TableBodyCopy"/>
            </w:pPr>
          </w:p>
        </w:tc>
        <w:tc>
          <w:tcPr>
            <w:tcW w:w="224" w:type="pct"/>
          </w:tcPr>
          <w:p w14:paraId="5ED7F2BC" w14:textId="77777777" w:rsidR="00FC56F7" w:rsidRDefault="00FC56F7" w:rsidP="00FC56F7">
            <w:pPr>
              <w:pStyle w:val="TableBodyCopy"/>
            </w:pPr>
          </w:p>
        </w:tc>
        <w:tc>
          <w:tcPr>
            <w:tcW w:w="270" w:type="pct"/>
            <w:gridSpan w:val="2"/>
          </w:tcPr>
          <w:p w14:paraId="5B29BC14" w14:textId="77777777" w:rsidR="00FC56F7" w:rsidRDefault="00FC56F7" w:rsidP="00FC56F7">
            <w:pPr>
              <w:pStyle w:val="TableBodyCopy"/>
            </w:pPr>
          </w:p>
        </w:tc>
        <w:tc>
          <w:tcPr>
            <w:tcW w:w="295" w:type="pct"/>
          </w:tcPr>
          <w:p w14:paraId="4CD05DB9" w14:textId="77777777" w:rsidR="00FC56F7" w:rsidRDefault="00FC56F7" w:rsidP="00FC56F7">
            <w:pPr>
              <w:pStyle w:val="TableBodyCopy"/>
            </w:pPr>
          </w:p>
        </w:tc>
        <w:tc>
          <w:tcPr>
            <w:tcW w:w="417" w:type="pct"/>
          </w:tcPr>
          <w:p w14:paraId="6F5EBE8F" w14:textId="01FFC90B" w:rsidR="00FC56F7" w:rsidRDefault="00FC56F7" w:rsidP="00FC56F7">
            <w:pPr>
              <w:pStyle w:val="TableBodyCopy"/>
            </w:pPr>
          </w:p>
        </w:tc>
        <w:tc>
          <w:tcPr>
            <w:tcW w:w="620" w:type="pct"/>
          </w:tcPr>
          <w:p w14:paraId="322BC8E9" w14:textId="3221ED7E" w:rsidR="00FC56F7" w:rsidRDefault="00FC56F7" w:rsidP="00FC56F7">
            <w:pPr>
              <w:pStyle w:val="TableBodyCopy"/>
            </w:pPr>
          </w:p>
        </w:tc>
      </w:tr>
      <w:tr w:rsidR="00451E92" w14:paraId="457404C1" w14:textId="77777777" w:rsidTr="00451E92">
        <w:trPr>
          <w:trHeight w:val="538"/>
        </w:trPr>
        <w:tc>
          <w:tcPr>
            <w:tcW w:w="244" w:type="pct"/>
          </w:tcPr>
          <w:p w14:paraId="5C41B069" w14:textId="77777777" w:rsidR="002926D7" w:rsidRPr="2B1154F6" w:rsidRDefault="002926D7" w:rsidP="00FC56F7">
            <w:pPr>
              <w:pStyle w:val="TableBodyCopy"/>
              <w:jc w:val="center"/>
            </w:pPr>
          </w:p>
        </w:tc>
        <w:tc>
          <w:tcPr>
            <w:tcW w:w="4756" w:type="pct"/>
            <w:gridSpan w:val="10"/>
            <w:vAlign w:val="center"/>
          </w:tcPr>
          <w:p w14:paraId="554B511F" w14:textId="3BF4A145" w:rsidR="002926D7" w:rsidRPr="002926D7" w:rsidRDefault="002926D7" w:rsidP="002926D7">
            <w:pPr>
              <w:pStyle w:val="TableBodyCopy"/>
              <w:jc w:val="center"/>
              <w:rPr>
                <w:b/>
                <w:bCs/>
                <w:i w:val="0"/>
                <w:iCs/>
              </w:rPr>
            </w:pPr>
            <w:r w:rsidRPr="002926D7">
              <w:rPr>
                <w:b/>
                <w:bCs/>
                <w:i w:val="0"/>
                <w:iCs/>
              </w:rPr>
              <w:t>Performance</w:t>
            </w:r>
          </w:p>
        </w:tc>
      </w:tr>
      <w:tr w:rsidR="00451E92" w14:paraId="2B41436B" w14:textId="77777777" w:rsidTr="00451E92">
        <w:trPr>
          <w:trHeight w:val="112"/>
        </w:trPr>
        <w:tc>
          <w:tcPr>
            <w:tcW w:w="244" w:type="pct"/>
          </w:tcPr>
          <w:p w14:paraId="2B189EDD" w14:textId="6F2FCA28" w:rsidR="002926D7" w:rsidRPr="2B1154F6" w:rsidRDefault="002926D7" w:rsidP="002926D7">
            <w:pPr>
              <w:pStyle w:val="TableBodyCopy"/>
              <w:jc w:val="center"/>
            </w:pPr>
            <w:r w:rsidRPr="2B1154F6">
              <w:t>12</w:t>
            </w:r>
          </w:p>
        </w:tc>
        <w:tc>
          <w:tcPr>
            <w:tcW w:w="679" w:type="pct"/>
          </w:tcPr>
          <w:p w14:paraId="6A933C41" w14:textId="176B610A" w:rsidR="002926D7" w:rsidRPr="2B1154F6" w:rsidRDefault="002926D7" w:rsidP="002926D7">
            <w:pPr>
              <w:pStyle w:val="TableBodyCopy"/>
              <w:rPr>
                <w:color w:val="000000" w:themeColor="text1"/>
              </w:rPr>
            </w:pPr>
            <w:r w:rsidRPr="2B1154F6">
              <w:t xml:space="preserve">Performance, </w:t>
            </w:r>
            <w:r>
              <w:t>A</w:t>
            </w:r>
            <w:r w:rsidRPr="2B1154F6">
              <w:t xml:space="preserve">vailability </w:t>
            </w:r>
            <w:r>
              <w:t>and</w:t>
            </w:r>
            <w:r w:rsidRPr="2B1154F6">
              <w:t xml:space="preserve"> </w:t>
            </w:r>
            <w:r>
              <w:t>D</w:t>
            </w:r>
            <w:r w:rsidRPr="2B1154F6">
              <w:t xml:space="preserve">eductions </w:t>
            </w:r>
            <w:r>
              <w:t>R</w:t>
            </w:r>
            <w:r w:rsidRPr="2B1154F6">
              <w:t>eports</w:t>
            </w:r>
          </w:p>
        </w:tc>
        <w:tc>
          <w:tcPr>
            <w:tcW w:w="1800" w:type="pct"/>
          </w:tcPr>
          <w:p w14:paraId="2D7B7DC1" w14:textId="0D767475" w:rsidR="002926D7" w:rsidRPr="2B1154F6" w:rsidRDefault="002926D7" w:rsidP="002926D7">
            <w:pPr>
              <w:pStyle w:val="TableBodyCopy"/>
              <w:rPr>
                <w:color w:val="000000" w:themeColor="text1"/>
              </w:rPr>
            </w:pPr>
            <w:r w:rsidRPr="2B1154F6">
              <w:t>Reports recording performance against the required standards, including deductions applied to the unitary charge for failure to meet contractual performance or availability obligations as defined in the output specification and other terms of the contract, service points accrued</w:t>
            </w:r>
            <w:r>
              <w:t>,</w:t>
            </w:r>
            <w:r w:rsidRPr="2B1154F6">
              <w:t xml:space="preserve"> and any mitigations agreed.</w:t>
            </w:r>
          </w:p>
        </w:tc>
        <w:tc>
          <w:tcPr>
            <w:tcW w:w="226" w:type="pct"/>
          </w:tcPr>
          <w:p w14:paraId="75941D6B" w14:textId="77777777" w:rsidR="002926D7" w:rsidRDefault="002926D7" w:rsidP="002926D7">
            <w:pPr>
              <w:pStyle w:val="TableBodyCopy"/>
            </w:pPr>
          </w:p>
        </w:tc>
        <w:tc>
          <w:tcPr>
            <w:tcW w:w="225" w:type="pct"/>
          </w:tcPr>
          <w:p w14:paraId="4E397693" w14:textId="77777777" w:rsidR="002926D7" w:rsidRDefault="002926D7" w:rsidP="002926D7">
            <w:pPr>
              <w:pStyle w:val="TableBodyCopy"/>
            </w:pPr>
          </w:p>
        </w:tc>
        <w:tc>
          <w:tcPr>
            <w:tcW w:w="224" w:type="pct"/>
          </w:tcPr>
          <w:p w14:paraId="0D86C40A" w14:textId="77777777" w:rsidR="002926D7" w:rsidRDefault="002926D7" w:rsidP="002926D7">
            <w:pPr>
              <w:pStyle w:val="TableBodyCopy"/>
            </w:pPr>
          </w:p>
        </w:tc>
        <w:tc>
          <w:tcPr>
            <w:tcW w:w="270" w:type="pct"/>
            <w:gridSpan w:val="2"/>
          </w:tcPr>
          <w:p w14:paraId="061B76EC" w14:textId="77777777" w:rsidR="002926D7" w:rsidRDefault="002926D7" w:rsidP="002926D7">
            <w:pPr>
              <w:pStyle w:val="TableBodyCopy"/>
            </w:pPr>
          </w:p>
        </w:tc>
        <w:tc>
          <w:tcPr>
            <w:tcW w:w="295" w:type="pct"/>
          </w:tcPr>
          <w:p w14:paraId="66ADF38E" w14:textId="77777777" w:rsidR="002926D7" w:rsidRDefault="002926D7" w:rsidP="002926D7">
            <w:pPr>
              <w:pStyle w:val="TableBodyCopy"/>
            </w:pPr>
          </w:p>
        </w:tc>
        <w:tc>
          <w:tcPr>
            <w:tcW w:w="417" w:type="pct"/>
          </w:tcPr>
          <w:p w14:paraId="3A6574CA" w14:textId="77777777" w:rsidR="002926D7" w:rsidRDefault="002926D7" w:rsidP="002926D7">
            <w:pPr>
              <w:pStyle w:val="TableBodyCopy"/>
            </w:pPr>
          </w:p>
        </w:tc>
        <w:tc>
          <w:tcPr>
            <w:tcW w:w="620" w:type="pct"/>
          </w:tcPr>
          <w:p w14:paraId="613E39EE" w14:textId="77777777" w:rsidR="002926D7" w:rsidRDefault="002926D7" w:rsidP="002926D7">
            <w:pPr>
              <w:pStyle w:val="TableBodyCopy"/>
            </w:pPr>
          </w:p>
        </w:tc>
      </w:tr>
      <w:tr w:rsidR="00451E92" w14:paraId="3F40B962" w14:textId="77777777" w:rsidTr="00451E92">
        <w:trPr>
          <w:trHeight w:val="112"/>
        </w:trPr>
        <w:tc>
          <w:tcPr>
            <w:tcW w:w="244" w:type="pct"/>
          </w:tcPr>
          <w:p w14:paraId="0C62DB13" w14:textId="145E6C59" w:rsidR="002926D7" w:rsidRPr="2B1154F6" w:rsidRDefault="002926D7" w:rsidP="002926D7">
            <w:pPr>
              <w:pStyle w:val="TableBodyCopy"/>
              <w:jc w:val="center"/>
            </w:pPr>
            <w:r w:rsidRPr="2B1154F6">
              <w:t>13</w:t>
            </w:r>
          </w:p>
        </w:tc>
        <w:tc>
          <w:tcPr>
            <w:tcW w:w="679" w:type="pct"/>
          </w:tcPr>
          <w:p w14:paraId="477B312F" w14:textId="056F3C85" w:rsidR="002926D7" w:rsidRPr="2B1154F6" w:rsidRDefault="002926D7" w:rsidP="002926D7">
            <w:pPr>
              <w:pStyle w:val="TableBodyCopy"/>
              <w:rPr>
                <w:color w:val="000000" w:themeColor="text1"/>
              </w:rPr>
            </w:pPr>
            <w:r w:rsidRPr="2B1154F6">
              <w:t>Annual Service Reports</w:t>
            </w:r>
          </w:p>
        </w:tc>
        <w:tc>
          <w:tcPr>
            <w:tcW w:w="1800" w:type="pct"/>
          </w:tcPr>
          <w:p w14:paraId="5C1AA446" w14:textId="177177E9" w:rsidR="002926D7" w:rsidRPr="2B1154F6" w:rsidRDefault="002926D7" w:rsidP="002926D7">
            <w:pPr>
              <w:pStyle w:val="TableBodyCopy"/>
              <w:rPr>
                <w:color w:val="000000" w:themeColor="text1"/>
              </w:rPr>
            </w:pPr>
            <w:r w:rsidRPr="2B1154F6">
              <w:t xml:space="preserve">Annual report overview of the previous </w:t>
            </w:r>
            <w:proofErr w:type="spellStart"/>
            <w:r w:rsidRPr="2B1154F6">
              <w:t>year’s service</w:t>
            </w:r>
            <w:proofErr w:type="spellEnd"/>
            <w:r w:rsidRPr="2B1154F6">
              <w:t xml:space="preserve"> performance. These reports may also include, where relevant, </w:t>
            </w:r>
            <w:r w:rsidRPr="2B1154F6">
              <w:lastRenderedPageBreak/>
              <w:t>any third-party use and annual service improvements (which may assist a contracting authority in demonstrating compliance with its best</w:t>
            </w:r>
            <w:r>
              <w:t>-</w:t>
            </w:r>
            <w:r w:rsidRPr="2B1154F6">
              <w:t>value obligations).</w:t>
            </w:r>
          </w:p>
        </w:tc>
        <w:tc>
          <w:tcPr>
            <w:tcW w:w="226" w:type="pct"/>
          </w:tcPr>
          <w:p w14:paraId="051D0739" w14:textId="77777777" w:rsidR="002926D7" w:rsidRDefault="002926D7" w:rsidP="002926D7">
            <w:pPr>
              <w:pStyle w:val="TableBodyCopy"/>
            </w:pPr>
          </w:p>
        </w:tc>
        <w:tc>
          <w:tcPr>
            <w:tcW w:w="225" w:type="pct"/>
          </w:tcPr>
          <w:p w14:paraId="45AAB780" w14:textId="77777777" w:rsidR="002926D7" w:rsidRDefault="002926D7" w:rsidP="002926D7">
            <w:pPr>
              <w:pStyle w:val="TableBodyCopy"/>
            </w:pPr>
          </w:p>
        </w:tc>
        <w:tc>
          <w:tcPr>
            <w:tcW w:w="224" w:type="pct"/>
          </w:tcPr>
          <w:p w14:paraId="414E8044" w14:textId="77777777" w:rsidR="002926D7" w:rsidRDefault="002926D7" w:rsidP="002926D7">
            <w:pPr>
              <w:pStyle w:val="TableBodyCopy"/>
            </w:pPr>
          </w:p>
        </w:tc>
        <w:tc>
          <w:tcPr>
            <w:tcW w:w="270" w:type="pct"/>
            <w:gridSpan w:val="2"/>
          </w:tcPr>
          <w:p w14:paraId="7B9B9794" w14:textId="77777777" w:rsidR="002926D7" w:rsidRDefault="002926D7" w:rsidP="002926D7">
            <w:pPr>
              <w:pStyle w:val="TableBodyCopy"/>
            </w:pPr>
          </w:p>
        </w:tc>
        <w:tc>
          <w:tcPr>
            <w:tcW w:w="295" w:type="pct"/>
          </w:tcPr>
          <w:p w14:paraId="1B12F1AB" w14:textId="77777777" w:rsidR="002926D7" w:rsidRDefault="002926D7" w:rsidP="002926D7">
            <w:pPr>
              <w:pStyle w:val="TableBodyCopy"/>
            </w:pPr>
          </w:p>
        </w:tc>
        <w:tc>
          <w:tcPr>
            <w:tcW w:w="417" w:type="pct"/>
          </w:tcPr>
          <w:p w14:paraId="40CDEBFC" w14:textId="77777777" w:rsidR="002926D7" w:rsidRDefault="002926D7" w:rsidP="002926D7">
            <w:pPr>
              <w:pStyle w:val="TableBodyCopy"/>
            </w:pPr>
          </w:p>
        </w:tc>
        <w:tc>
          <w:tcPr>
            <w:tcW w:w="620" w:type="pct"/>
          </w:tcPr>
          <w:p w14:paraId="36E30B99" w14:textId="77777777" w:rsidR="002926D7" w:rsidRDefault="002926D7" w:rsidP="002926D7">
            <w:pPr>
              <w:pStyle w:val="TableBodyCopy"/>
            </w:pPr>
          </w:p>
        </w:tc>
      </w:tr>
      <w:tr w:rsidR="00451E92" w14:paraId="77D7D3CF" w14:textId="77777777" w:rsidTr="008E51F4">
        <w:trPr>
          <w:trHeight w:val="4673"/>
        </w:trPr>
        <w:tc>
          <w:tcPr>
            <w:tcW w:w="244" w:type="pct"/>
          </w:tcPr>
          <w:p w14:paraId="46A9FFC1" w14:textId="7711E4F5" w:rsidR="002926D7" w:rsidRPr="2B1154F6" w:rsidRDefault="002926D7" w:rsidP="002926D7">
            <w:pPr>
              <w:pStyle w:val="TableBodyCopy"/>
              <w:jc w:val="center"/>
            </w:pPr>
            <w:r w:rsidRPr="2B1154F6">
              <w:t>14</w:t>
            </w:r>
          </w:p>
        </w:tc>
        <w:tc>
          <w:tcPr>
            <w:tcW w:w="679" w:type="pct"/>
          </w:tcPr>
          <w:p w14:paraId="02C57731" w14:textId="04897781" w:rsidR="002926D7" w:rsidRPr="2B1154F6" w:rsidRDefault="002926D7" w:rsidP="002926D7">
            <w:pPr>
              <w:pStyle w:val="TableBodyCopy"/>
              <w:rPr>
                <w:color w:val="000000" w:themeColor="text1"/>
              </w:rPr>
            </w:pPr>
            <w:r w:rsidRPr="2B1154F6">
              <w:t xml:space="preserve">Monthly Performance Report </w:t>
            </w:r>
            <w:r>
              <w:t>and S</w:t>
            </w:r>
            <w:r w:rsidRPr="2B1154F6">
              <w:t xml:space="preserve">upporting </w:t>
            </w:r>
            <w:r>
              <w:t>E</w:t>
            </w:r>
            <w:r w:rsidRPr="2B1154F6">
              <w:t>viden</w:t>
            </w:r>
            <w:r>
              <w:t>ce.</w:t>
            </w:r>
          </w:p>
        </w:tc>
        <w:tc>
          <w:tcPr>
            <w:tcW w:w="1800" w:type="pct"/>
          </w:tcPr>
          <w:p w14:paraId="28BA43F1" w14:textId="77777777" w:rsidR="002926D7" w:rsidRDefault="002926D7" w:rsidP="002926D7">
            <w:pPr>
              <w:pStyle w:val="TableBodyCopy"/>
              <w:spacing w:line="192" w:lineRule="auto"/>
            </w:pPr>
            <w:r w:rsidRPr="2B1154F6">
              <w:t>The report required to be provided e</w:t>
            </w:r>
            <w:r>
              <w:t>very</w:t>
            </w:r>
            <w:r w:rsidRPr="2B1154F6">
              <w:t xml:space="preserve"> month during the service period of a contract to demonstrate how the PFI Co is performing the services under the contract.  It is usually required to report key activities and contract compliance; the extent to which performance standards are being met in the preceding contract month across all services</w:t>
            </w:r>
            <w:r>
              <w:t>,</w:t>
            </w:r>
            <w:r w:rsidRPr="2B1154F6">
              <w:t xml:space="preserve"> and forecasts activities for the forthcoming month.</w:t>
            </w:r>
          </w:p>
          <w:p w14:paraId="6C7A51BD" w14:textId="0CCD313F" w:rsidR="002926D7" w:rsidRPr="2B1154F6" w:rsidRDefault="002926D7" w:rsidP="002926D7">
            <w:pPr>
              <w:pStyle w:val="TableBodyCopy"/>
              <w:rPr>
                <w:color w:val="000000" w:themeColor="text1"/>
              </w:rPr>
            </w:pPr>
            <w:r>
              <w:t>This may include supporting evidence such as helpdesk, health and safety, damage and vandalism, incidents and staffing reports.</w:t>
            </w:r>
          </w:p>
        </w:tc>
        <w:tc>
          <w:tcPr>
            <w:tcW w:w="226" w:type="pct"/>
          </w:tcPr>
          <w:p w14:paraId="2B9EAFAF" w14:textId="77777777" w:rsidR="002926D7" w:rsidRDefault="002926D7" w:rsidP="002926D7">
            <w:pPr>
              <w:pStyle w:val="TableBodyCopy"/>
            </w:pPr>
          </w:p>
        </w:tc>
        <w:tc>
          <w:tcPr>
            <w:tcW w:w="225" w:type="pct"/>
          </w:tcPr>
          <w:p w14:paraId="01C685E6" w14:textId="77777777" w:rsidR="002926D7" w:rsidRDefault="002926D7" w:rsidP="002926D7">
            <w:pPr>
              <w:pStyle w:val="TableBodyCopy"/>
            </w:pPr>
          </w:p>
        </w:tc>
        <w:tc>
          <w:tcPr>
            <w:tcW w:w="224" w:type="pct"/>
          </w:tcPr>
          <w:p w14:paraId="380B7A4F" w14:textId="77777777" w:rsidR="002926D7" w:rsidRDefault="002926D7" w:rsidP="002926D7">
            <w:pPr>
              <w:pStyle w:val="TableBodyCopy"/>
            </w:pPr>
          </w:p>
        </w:tc>
        <w:tc>
          <w:tcPr>
            <w:tcW w:w="270" w:type="pct"/>
            <w:gridSpan w:val="2"/>
          </w:tcPr>
          <w:p w14:paraId="2B5FF38E" w14:textId="77777777" w:rsidR="002926D7" w:rsidRDefault="002926D7" w:rsidP="002926D7">
            <w:pPr>
              <w:pStyle w:val="TableBodyCopy"/>
            </w:pPr>
          </w:p>
        </w:tc>
        <w:tc>
          <w:tcPr>
            <w:tcW w:w="295" w:type="pct"/>
          </w:tcPr>
          <w:p w14:paraId="1B0F6AAD" w14:textId="77777777" w:rsidR="002926D7" w:rsidRDefault="002926D7" w:rsidP="002926D7">
            <w:pPr>
              <w:pStyle w:val="TableBodyCopy"/>
            </w:pPr>
          </w:p>
        </w:tc>
        <w:tc>
          <w:tcPr>
            <w:tcW w:w="417" w:type="pct"/>
          </w:tcPr>
          <w:p w14:paraId="397C2B64" w14:textId="77777777" w:rsidR="002926D7" w:rsidRDefault="002926D7" w:rsidP="002926D7">
            <w:pPr>
              <w:pStyle w:val="TableBodyCopy"/>
            </w:pPr>
          </w:p>
        </w:tc>
        <w:tc>
          <w:tcPr>
            <w:tcW w:w="620" w:type="pct"/>
          </w:tcPr>
          <w:p w14:paraId="6B996C2C" w14:textId="77777777" w:rsidR="002926D7" w:rsidRDefault="002926D7" w:rsidP="002926D7">
            <w:pPr>
              <w:pStyle w:val="TableBodyCopy"/>
            </w:pPr>
          </w:p>
        </w:tc>
      </w:tr>
      <w:tr w:rsidR="00451E92" w14:paraId="1AD0E38D" w14:textId="77777777" w:rsidTr="00451E92">
        <w:trPr>
          <w:trHeight w:val="112"/>
        </w:trPr>
        <w:tc>
          <w:tcPr>
            <w:tcW w:w="244" w:type="pct"/>
          </w:tcPr>
          <w:p w14:paraId="5611042D" w14:textId="36E6F64F" w:rsidR="002926D7" w:rsidRPr="2B1154F6" w:rsidRDefault="002926D7" w:rsidP="002926D7">
            <w:pPr>
              <w:pStyle w:val="TableBodyCopy"/>
              <w:jc w:val="center"/>
            </w:pPr>
            <w:r w:rsidRPr="2B1154F6">
              <w:t>15</w:t>
            </w:r>
          </w:p>
        </w:tc>
        <w:tc>
          <w:tcPr>
            <w:tcW w:w="679" w:type="pct"/>
          </w:tcPr>
          <w:p w14:paraId="65DA1A92" w14:textId="558405EC" w:rsidR="002926D7" w:rsidRPr="2B1154F6" w:rsidRDefault="002926D7" w:rsidP="002926D7">
            <w:pPr>
              <w:pStyle w:val="TableBodyCopy"/>
              <w:rPr>
                <w:color w:val="000000" w:themeColor="text1"/>
              </w:rPr>
            </w:pPr>
            <w:r w:rsidRPr="2B1154F6">
              <w:t>Mitigation Requests Log</w:t>
            </w:r>
          </w:p>
        </w:tc>
        <w:tc>
          <w:tcPr>
            <w:tcW w:w="1800" w:type="pct"/>
          </w:tcPr>
          <w:p w14:paraId="7B3A4647" w14:textId="44E404AD" w:rsidR="002926D7" w:rsidRPr="2B1154F6" w:rsidRDefault="002926D7" w:rsidP="002926D7">
            <w:pPr>
              <w:pStyle w:val="TableBodyCopy"/>
              <w:rPr>
                <w:color w:val="000000" w:themeColor="text1"/>
              </w:rPr>
            </w:pPr>
            <w:r w:rsidRPr="2B1154F6">
              <w:t xml:space="preserve">A log of all the mitigation requests received from PFI Co for relief from payment mechanism consequences. This log should set out the date the request was received, the evidence to </w:t>
            </w:r>
            <w:r w:rsidRPr="2B1154F6">
              <w:lastRenderedPageBreak/>
              <w:t>support the request</w:t>
            </w:r>
            <w:r>
              <w:t>,</w:t>
            </w:r>
            <w:r w:rsidRPr="2B1154F6">
              <w:t xml:space="preserve"> the outcome and the deadline for relief. </w:t>
            </w:r>
          </w:p>
        </w:tc>
        <w:tc>
          <w:tcPr>
            <w:tcW w:w="226" w:type="pct"/>
          </w:tcPr>
          <w:p w14:paraId="05A6F993" w14:textId="77777777" w:rsidR="002926D7" w:rsidRDefault="002926D7" w:rsidP="002926D7">
            <w:pPr>
              <w:pStyle w:val="TableBodyCopy"/>
            </w:pPr>
          </w:p>
        </w:tc>
        <w:tc>
          <w:tcPr>
            <w:tcW w:w="225" w:type="pct"/>
          </w:tcPr>
          <w:p w14:paraId="71C11F8A" w14:textId="77777777" w:rsidR="002926D7" w:rsidRDefault="002926D7" w:rsidP="002926D7">
            <w:pPr>
              <w:pStyle w:val="TableBodyCopy"/>
            </w:pPr>
          </w:p>
        </w:tc>
        <w:tc>
          <w:tcPr>
            <w:tcW w:w="224" w:type="pct"/>
          </w:tcPr>
          <w:p w14:paraId="18E3F89B" w14:textId="77777777" w:rsidR="002926D7" w:rsidRDefault="002926D7" w:rsidP="002926D7">
            <w:pPr>
              <w:pStyle w:val="TableBodyCopy"/>
            </w:pPr>
          </w:p>
        </w:tc>
        <w:tc>
          <w:tcPr>
            <w:tcW w:w="270" w:type="pct"/>
            <w:gridSpan w:val="2"/>
          </w:tcPr>
          <w:p w14:paraId="7CC5155E" w14:textId="77777777" w:rsidR="002926D7" w:rsidRDefault="002926D7" w:rsidP="002926D7">
            <w:pPr>
              <w:pStyle w:val="TableBodyCopy"/>
            </w:pPr>
          </w:p>
        </w:tc>
        <w:tc>
          <w:tcPr>
            <w:tcW w:w="295" w:type="pct"/>
          </w:tcPr>
          <w:p w14:paraId="2FD1A6CB" w14:textId="77777777" w:rsidR="002926D7" w:rsidRDefault="002926D7" w:rsidP="002926D7">
            <w:pPr>
              <w:pStyle w:val="TableBodyCopy"/>
            </w:pPr>
          </w:p>
        </w:tc>
        <w:tc>
          <w:tcPr>
            <w:tcW w:w="417" w:type="pct"/>
          </w:tcPr>
          <w:p w14:paraId="18F885F3" w14:textId="77777777" w:rsidR="002926D7" w:rsidRDefault="002926D7" w:rsidP="002926D7">
            <w:pPr>
              <w:pStyle w:val="TableBodyCopy"/>
            </w:pPr>
          </w:p>
        </w:tc>
        <w:tc>
          <w:tcPr>
            <w:tcW w:w="620" w:type="pct"/>
          </w:tcPr>
          <w:p w14:paraId="11378AB4" w14:textId="77777777" w:rsidR="002926D7" w:rsidRDefault="002926D7" w:rsidP="002926D7">
            <w:pPr>
              <w:pStyle w:val="TableBodyCopy"/>
            </w:pPr>
          </w:p>
        </w:tc>
      </w:tr>
      <w:tr w:rsidR="00451E92" w14:paraId="3C6B7098" w14:textId="77777777" w:rsidTr="00451E92">
        <w:trPr>
          <w:trHeight w:val="112"/>
        </w:trPr>
        <w:tc>
          <w:tcPr>
            <w:tcW w:w="244" w:type="pct"/>
          </w:tcPr>
          <w:p w14:paraId="3666BF28" w14:textId="7A9447CC" w:rsidR="002926D7" w:rsidRPr="2B1154F6" w:rsidRDefault="002926D7" w:rsidP="002926D7">
            <w:pPr>
              <w:pStyle w:val="TableBodyCopy"/>
              <w:jc w:val="center"/>
            </w:pPr>
            <w:r w:rsidRPr="2B1154F6">
              <w:t>16</w:t>
            </w:r>
          </w:p>
        </w:tc>
        <w:tc>
          <w:tcPr>
            <w:tcW w:w="679" w:type="pct"/>
          </w:tcPr>
          <w:p w14:paraId="1EC04424" w14:textId="25934CFB" w:rsidR="002926D7" w:rsidRPr="2B1154F6" w:rsidRDefault="002926D7" w:rsidP="002926D7">
            <w:pPr>
              <w:pStyle w:val="TableBodyCopy"/>
              <w:rPr>
                <w:color w:val="000000" w:themeColor="text1"/>
              </w:rPr>
            </w:pPr>
            <w:r w:rsidRPr="2B1154F6">
              <w:t>Helpdesk Report</w:t>
            </w:r>
          </w:p>
        </w:tc>
        <w:tc>
          <w:tcPr>
            <w:tcW w:w="1800" w:type="pct"/>
          </w:tcPr>
          <w:p w14:paraId="5102CE0D" w14:textId="1EFCF401" w:rsidR="002926D7" w:rsidRPr="2B1154F6" w:rsidRDefault="002926D7" w:rsidP="002926D7">
            <w:pPr>
              <w:pStyle w:val="TableBodyCopy"/>
              <w:rPr>
                <w:color w:val="000000" w:themeColor="text1"/>
              </w:rPr>
            </w:pPr>
            <w:r w:rsidRPr="2B1154F6">
              <w:t xml:space="preserve">The core data from the helpdesk to evidence performance against KPIs, providing a status update on all open and ongoing tasks and all the tasks closed within a particular monitoring period (usually a contract month). This should evidence if a KPI has passed or failed and should enable a </w:t>
            </w:r>
            <w:r>
              <w:t>contract manager</w:t>
            </w:r>
            <w:r w:rsidRPr="2B1154F6">
              <w:t xml:space="preserve"> to validate the monthly service performance and availability of facilities. Often delivered as an integral part of the monthly performance report.</w:t>
            </w:r>
          </w:p>
        </w:tc>
        <w:tc>
          <w:tcPr>
            <w:tcW w:w="226" w:type="pct"/>
          </w:tcPr>
          <w:p w14:paraId="73A7B2AB" w14:textId="77777777" w:rsidR="002926D7" w:rsidRDefault="002926D7" w:rsidP="002926D7">
            <w:pPr>
              <w:pStyle w:val="TableBodyCopy"/>
            </w:pPr>
          </w:p>
        </w:tc>
        <w:tc>
          <w:tcPr>
            <w:tcW w:w="225" w:type="pct"/>
          </w:tcPr>
          <w:p w14:paraId="037E442F" w14:textId="77777777" w:rsidR="002926D7" w:rsidRDefault="002926D7" w:rsidP="002926D7">
            <w:pPr>
              <w:pStyle w:val="TableBodyCopy"/>
            </w:pPr>
          </w:p>
        </w:tc>
        <w:tc>
          <w:tcPr>
            <w:tcW w:w="224" w:type="pct"/>
          </w:tcPr>
          <w:p w14:paraId="1E0A6E82" w14:textId="77777777" w:rsidR="002926D7" w:rsidRDefault="002926D7" w:rsidP="002926D7">
            <w:pPr>
              <w:pStyle w:val="TableBodyCopy"/>
            </w:pPr>
          </w:p>
        </w:tc>
        <w:tc>
          <w:tcPr>
            <w:tcW w:w="270" w:type="pct"/>
            <w:gridSpan w:val="2"/>
          </w:tcPr>
          <w:p w14:paraId="113E23E2" w14:textId="77777777" w:rsidR="002926D7" w:rsidRDefault="002926D7" w:rsidP="002926D7">
            <w:pPr>
              <w:pStyle w:val="TableBodyCopy"/>
            </w:pPr>
          </w:p>
        </w:tc>
        <w:tc>
          <w:tcPr>
            <w:tcW w:w="295" w:type="pct"/>
          </w:tcPr>
          <w:p w14:paraId="17F3407D" w14:textId="77777777" w:rsidR="002926D7" w:rsidRDefault="002926D7" w:rsidP="002926D7">
            <w:pPr>
              <w:pStyle w:val="TableBodyCopy"/>
            </w:pPr>
          </w:p>
        </w:tc>
        <w:tc>
          <w:tcPr>
            <w:tcW w:w="417" w:type="pct"/>
          </w:tcPr>
          <w:p w14:paraId="69FDB567" w14:textId="77777777" w:rsidR="002926D7" w:rsidRDefault="002926D7" w:rsidP="002926D7">
            <w:pPr>
              <w:pStyle w:val="TableBodyCopy"/>
            </w:pPr>
          </w:p>
        </w:tc>
        <w:tc>
          <w:tcPr>
            <w:tcW w:w="620" w:type="pct"/>
          </w:tcPr>
          <w:p w14:paraId="452520E3" w14:textId="77777777" w:rsidR="002926D7" w:rsidRDefault="002926D7" w:rsidP="002926D7">
            <w:pPr>
              <w:pStyle w:val="TableBodyCopy"/>
            </w:pPr>
          </w:p>
        </w:tc>
      </w:tr>
      <w:tr w:rsidR="00451E92" w14:paraId="3A5F844F" w14:textId="77777777" w:rsidTr="00451E92">
        <w:trPr>
          <w:trHeight w:val="112"/>
        </w:trPr>
        <w:tc>
          <w:tcPr>
            <w:tcW w:w="5000" w:type="pct"/>
            <w:gridSpan w:val="11"/>
          </w:tcPr>
          <w:p w14:paraId="0616F91D" w14:textId="3298D3C4" w:rsidR="002926D7" w:rsidRPr="002926D7" w:rsidRDefault="002926D7" w:rsidP="002926D7">
            <w:pPr>
              <w:pStyle w:val="TableBodyCopy"/>
              <w:jc w:val="center"/>
              <w:rPr>
                <w:b/>
                <w:bCs/>
                <w:i w:val="0"/>
                <w:iCs/>
              </w:rPr>
            </w:pPr>
            <w:r w:rsidRPr="002926D7">
              <w:rPr>
                <w:b/>
                <w:bCs/>
                <w:i w:val="0"/>
                <w:iCs/>
              </w:rPr>
              <w:t>Health and safety</w:t>
            </w:r>
          </w:p>
        </w:tc>
      </w:tr>
      <w:tr w:rsidR="00451E92" w14:paraId="100A0325" w14:textId="77777777" w:rsidTr="008E51F4">
        <w:trPr>
          <w:trHeight w:val="2562"/>
        </w:trPr>
        <w:tc>
          <w:tcPr>
            <w:tcW w:w="244" w:type="pct"/>
          </w:tcPr>
          <w:p w14:paraId="124D27CA" w14:textId="61B9AF4A" w:rsidR="002926D7" w:rsidRPr="2B1154F6" w:rsidRDefault="002926D7" w:rsidP="002926D7">
            <w:pPr>
              <w:pStyle w:val="TableBodyCopy"/>
              <w:jc w:val="center"/>
            </w:pPr>
            <w:r w:rsidRPr="0001588D">
              <w:rPr>
                <w:color w:val="000000" w:themeColor="text1"/>
              </w:rPr>
              <w:t>18</w:t>
            </w:r>
          </w:p>
        </w:tc>
        <w:tc>
          <w:tcPr>
            <w:tcW w:w="679" w:type="pct"/>
          </w:tcPr>
          <w:p w14:paraId="34FC2702" w14:textId="2B86A4D1" w:rsidR="002926D7" w:rsidRPr="2B1154F6" w:rsidRDefault="002926D7" w:rsidP="002926D7">
            <w:pPr>
              <w:pStyle w:val="TableBodyCopy"/>
            </w:pPr>
            <w:r w:rsidRPr="0001588D">
              <w:rPr>
                <w:color w:val="000000" w:themeColor="text1"/>
              </w:rPr>
              <w:t>Health and Safety Compliance Report</w:t>
            </w:r>
          </w:p>
        </w:tc>
        <w:tc>
          <w:tcPr>
            <w:tcW w:w="1800" w:type="pct"/>
          </w:tcPr>
          <w:p w14:paraId="48713B29" w14:textId="676DA04B" w:rsidR="002926D7" w:rsidRPr="2B1154F6" w:rsidRDefault="002926D7" w:rsidP="002926D7">
            <w:pPr>
              <w:pStyle w:val="TableBodyCopy"/>
            </w:pPr>
            <w:r w:rsidRPr="0001588D">
              <w:rPr>
                <w:color w:val="000000" w:themeColor="text1"/>
              </w:rPr>
              <w:t>Commonly procured annually by PFI Co from an independent expert and shared with the contracting authority to demonstrate the level of health and safety compliance on the project, with respect to the services.</w:t>
            </w:r>
          </w:p>
        </w:tc>
        <w:tc>
          <w:tcPr>
            <w:tcW w:w="226" w:type="pct"/>
          </w:tcPr>
          <w:p w14:paraId="3AF78004" w14:textId="77777777" w:rsidR="002926D7" w:rsidRDefault="002926D7" w:rsidP="002926D7">
            <w:pPr>
              <w:pStyle w:val="TableBodyCopy"/>
            </w:pPr>
          </w:p>
        </w:tc>
        <w:tc>
          <w:tcPr>
            <w:tcW w:w="225" w:type="pct"/>
          </w:tcPr>
          <w:p w14:paraId="43F6F76A" w14:textId="77777777" w:rsidR="002926D7" w:rsidRDefault="002926D7" w:rsidP="002926D7">
            <w:pPr>
              <w:pStyle w:val="TableBodyCopy"/>
            </w:pPr>
          </w:p>
        </w:tc>
        <w:tc>
          <w:tcPr>
            <w:tcW w:w="224" w:type="pct"/>
          </w:tcPr>
          <w:p w14:paraId="747E6ECD" w14:textId="77777777" w:rsidR="002926D7" w:rsidRDefault="002926D7" w:rsidP="002926D7">
            <w:pPr>
              <w:pStyle w:val="TableBodyCopy"/>
            </w:pPr>
          </w:p>
        </w:tc>
        <w:tc>
          <w:tcPr>
            <w:tcW w:w="270" w:type="pct"/>
            <w:gridSpan w:val="2"/>
          </w:tcPr>
          <w:p w14:paraId="316DB1C0" w14:textId="77777777" w:rsidR="002926D7" w:rsidRDefault="002926D7" w:rsidP="002926D7">
            <w:pPr>
              <w:pStyle w:val="TableBodyCopy"/>
            </w:pPr>
          </w:p>
        </w:tc>
        <w:tc>
          <w:tcPr>
            <w:tcW w:w="295" w:type="pct"/>
          </w:tcPr>
          <w:p w14:paraId="5848CF37" w14:textId="77777777" w:rsidR="002926D7" w:rsidRDefault="002926D7" w:rsidP="002926D7">
            <w:pPr>
              <w:pStyle w:val="TableBodyCopy"/>
            </w:pPr>
          </w:p>
        </w:tc>
        <w:tc>
          <w:tcPr>
            <w:tcW w:w="417" w:type="pct"/>
          </w:tcPr>
          <w:p w14:paraId="7C426138" w14:textId="77777777" w:rsidR="002926D7" w:rsidRDefault="002926D7" w:rsidP="002926D7">
            <w:pPr>
              <w:pStyle w:val="TableBodyCopy"/>
            </w:pPr>
          </w:p>
        </w:tc>
        <w:tc>
          <w:tcPr>
            <w:tcW w:w="620" w:type="pct"/>
          </w:tcPr>
          <w:p w14:paraId="1998A54C" w14:textId="77777777" w:rsidR="002926D7" w:rsidRDefault="002926D7" w:rsidP="002926D7">
            <w:pPr>
              <w:pStyle w:val="TableBodyCopy"/>
            </w:pPr>
          </w:p>
        </w:tc>
      </w:tr>
      <w:tr w:rsidR="00451E92" w14:paraId="0C1C81F4" w14:textId="77777777" w:rsidTr="00451E92">
        <w:trPr>
          <w:trHeight w:val="112"/>
        </w:trPr>
        <w:tc>
          <w:tcPr>
            <w:tcW w:w="244" w:type="pct"/>
          </w:tcPr>
          <w:p w14:paraId="7B477B99" w14:textId="0263CE3C" w:rsidR="002926D7" w:rsidRPr="2B1154F6" w:rsidRDefault="002926D7" w:rsidP="002926D7">
            <w:pPr>
              <w:pStyle w:val="TableBodyCopy"/>
              <w:jc w:val="center"/>
            </w:pPr>
            <w:r w:rsidRPr="5B386C92">
              <w:lastRenderedPageBreak/>
              <w:t>19</w:t>
            </w:r>
          </w:p>
        </w:tc>
        <w:tc>
          <w:tcPr>
            <w:tcW w:w="679" w:type="pct"/>
          </w:tcPr>
          <w:p w14:paraId="005D9D63" w14:textId="49EB7DFB" w:rsidR="002926D7" w:rsidRPr="2B1154F6" w:rsidRDefault="002926D7" w:rsidP="002926D7">
            <w:pPr>
              <w:pStyle w:val="TableBodyCopy"/>
            </w:pPr>
            <w:r w:rsidRPr="2B1154F6">
              <w:rPr>
                <w:color w:val="000000" w:themeColor="text1"/>
              </w:rPr>
              <w:t>Duty Holder Matrices</w:t>
            </w:r>
          </w:p>
        </w:tc>
        <w:tc>
          <w:tcPr>
            <w:tcW w:w="1800" w:type="pct"/>
          </w:tcPr>
          <w:p w14:paraId="226B9BBC" w14:textId="6A4CEA23" w:rsidR="002926D7" w:rsidRPr="2B1154F6" w:rsidRDefault="002926D7" w:rsidP="002926D7">
            <w:pPr>
              <w:pStyle w:val="TableBodyCopy"/>
            </w:pPr>
            <w:r w:rsidRPr="00F05FA5">
              <w:rPr>
                <w:color w:val="000000" w:themeColor="text1"/>
              </w:rPr>
              <w:t>T</w:t>
            </w:r>
            <w:r w:rsidRPr="00835D46">
              <w:rPr>
                <w:color w:val="000000" w:themeColor="text1"/>
              </w:rPr>
              <w:t>his</w:t>
            </w:r>
            <w:r w:rsidRPr="00F05FA5">
              <w:rPr>
                <w:color w:val="000000" w:themeColor="text1"/>
              </w:rPr>
              <w:t xml:space="preserve"> is a structured document or tool used to</w:t>
            </w:r>
            <w:r w:rsidRPr="2B1154F6">
              <w:rPr>
                <w:color w:val="000000" w:themeColor="text1"/>
              </w:rPr>
              <w:t xml:space="preserve"> assign and clarify responsibilities for health and safety and statutory compliance within an organisation. It identifies who (the duty holder) is legally accountable for specific compliance areas</w:t>
            </w:r>
            <w:r>
              <w:rPr>
                <w:color w:val="000000" w:themeColor="text1"/>
              </w:rPr>
              <w:t xml:space="preserve">, </w:t>
            </w:r>
            <w:r w:rsidRPr="2B1154F6">
              <w:rPr>
                <w:color w:val="000000" w:themeColor="text1"/>
              </w:rPr>
              <w:t>such as fire safety, asbestos management, water hygiene and accident reporting</w:t>
            </w:r>
            <w:r>
              <w:rPr>
                <w:color w:val="000000" w:themeColor="text1"/>
              </w:rPr>
              <w:t xml:space="preserve">, </w:t>
            </w:r>
            <w:r w:rsidRPr="2B1154F6">
              <w:rPr>
                <w:color w:val="000000" w:themeColor="text1"/>
              </w:rPr>
              <w:t>based on relevant legislation.</w:t>
            </w:r>
          </w:p>
        </w:tc>
        <w:tc>
          <w:tcPr>
            <w:tcW w:w="226" w:type="pct"/>
          </w:tcPr>
          <w:p w14:paraId="15423AB1" w14:textId="77777777" w:rsidR="002926D7" w:rsidRDefault="002926D7" w:rsidP="002926D7">
            <w:pPr>
              <w:pStyle w:val="TableBodyCopy"/>
            </w:pPr>
          </w:p>
        </w:tc>
        <w:tc>
          <w:tcPr>
            <w:tcW w:w="225" w:type="pct"/>
          </w:tcPr>
          <w:p w14:paraId="28D24D6D" w14:textId="77777777" w:rsidR="002926D7" w:rsidRDefault="002926D7" w:rsidP="002926D7">
            <w:pPr>
              <w:pStyle w:val="TableBodyCopy"/>
            </w:pPr>
          </w:p>
        </w:tc>
        <w:tc>
          <w:tcPr>
            <w:tcW w:w="224" w:type="pct"/>
          </w:tcPr>
          <w:p w14:paraId="26F1201F" w14:textId="77777777" w:rsidR="002926D7" w:rsidRDefault="002926D7" w:rsidP="002926D7">
            <w:pPr>
              <w:pStyle w:val="TableBodyCopy"/>
            </w:pPr>
          </w:p>
        </w:tc>
        <w:tc>
          <w:tcPr>
            <w:tcW w:w="270" w:type="pct"/>
            <w:gridSpan w:val="2"/>
          </w:tcPr>
          <w:p w14:paraId="0B6A10B8" w14:textId="77777777" w:rsidR="002926D7" w:rsidRDefault="002926D7" w:rsidP="002926D7">
            <w:pPr>
              <w:pStyle w:val="TableBodyCopy"/>
            </w:pPr>
          </w:p>
        </w:tc>
        <w:tc>
          <w:tcPr>
            <w:tcW w:w="295" w:type="pct"/>
          </w:tcPr>
          <w:p w14:paraId="7F1012F2" w14:textId="77777777" w:rsidR="002926D7" w:rsidRDefault="002926D7" w:rsidP="002926D7">
            <w:pPr>
              <w:pStyle w:val="TableBodyCopy"/>
            </w:pPr>
          </w:p>
        </w:tc>
        <w:tc>
          <w:tcPr>
            <w:tcW w:w="417" w:type="pct"/>
          </w:tcPr>
          <w:p w14:paraId="26B3BF48" w14:textId="77777777" w:rsidR="002926D7" w:rsidRDefault="002926D7" w:rsidP="002926D7">
            <w:pPr>
              <w:pStyle w:val="TableBodyCopy"/>
            </w:pPr>
          </w:p>
        </w:tc>
        <w:tc>
          <w:tcPr>
            <w:tcW w:w="620" w:type="pct"/>
          </w:tcPr>
          <w:p w14:paraId="58BE0040" w14:textId="77777777" w:rsidR="002926D7" w:rsidRDefault="002926D7" w:rsidP="002926D7">
            <w:pPr>
              <w:pStyle w:val="TableBodyCopy"/>
            </w:pPr>
          </w:p>
        </w:tc>
      </w:tr>
      <w:tr w:rsidR="00451E92" w14:paraId="16BF40D3" w14:textId="77777777" w:rsidTr="00451E92">
        <w:trPr>
          <w:trHeight w:val="112"/>
        </w:trPr>
        <w:tc>
          <w:tcPr>
            <w:tcW w:w="244" w:type="pct"/>
          </w:tcPr>
          <w:p w14:paraId="7FA5290F" w14:textId="4412F6F9" w:rsidR="002926D7" w:rsidRPr="2B1154F6" w:rsidRDefault="002926D7" w:rsidP="002926D7">
            <w:pPr>
              <w:pStyle w:val="TableBodyCopy"/>
              <w:jc w:val="center"/>
            </w:pPr>
            <w:r w:rsidRPr="5B386C92">
              <w:t>20</w:t>
            </w:r>
          </w:p>
        </w:tc>
        <w:tc>
          <w:tcPr>
            <w:tcW w:w="679" w:type="pct"/>
          </w:tcPr>
          <w:p w14:paraId="7E250ED8" w14:textId="26997AA9" w:rsidR="002926D7" w:rsidRPr="2B1154F6" w:rsidRDefault="002926D7" w:rsidP="002926D7">
            <w:pPr>
              <w:pStyle w:val="TableBodyCopy"/>
            </w:pPr>
            <w:r w:rsidRPr="2B1154F6">
              <w:rPr>
                <w:color w:val="000000" w:themeColor="text1"/>
              </w:rPr>
              <w:t>CDM Plan (Current Works)</w:t>
            </w:r>
          </w:p>
        </w:tc>
        <w:tc>
          <w:tcPr>
            <w:tcW w:w="1800" w:type="pct"/>
          </w:tcPr>
          <w:p w14:paraId="6EB771F9" w14:textId="690374D1" w:rsidR="002926D7" w:rsidRPr="2B1154F6" w:rsidRDefault="002926D7" w:rsidP="002926D7">
            <w:pPr>
              <w:pStyle w:val="TableBodyCopy"/>
            </w:pPr>
            <w:r w:rsidRPr="2B1154F6">
              <w:rPr>
                <w:color w:val="000000" w:themeColor="text1"/>
              </w:rPr>
              <w:t xml:space="preserve">This plan is a document that outlines how health </w:t>
            </w:r>
            <w:r>
              <w:rPr>
                <w:color w:val="000000" w:themeColor="text1"/>
              </w:rPr>
              <w:t>and</w:t>
            </w:r>
            <w:r w:rsidRPr="2B1154F6">
              <w:rPr>
                <w:color w:val="000000" w:themeColor="text1"/>
              </w:rPr>
              <w:t xml:space="preserve"> safety will be managed during any works undertaken during the services period. It includes risk assessments, consultation processes, and organisational arrangements for planning and managing maintenance and works activities.</w:t>
            </w:r>
          </w:p>
        </w:tc>
        <w:tc>
          <w:tcPr>
            <w:tcW w:w="226" w:type="pct"/>
          </w:tcPr>
          <w:p w14:paraId="0E9C40E4" w14:textId="77777777" w:rsidR="002926D7" w:rsidRDefault="002926D7" w:rsidP="002926D7">
            <w:pPr>
              <w:pStyle w:val="TableBodyCopy"/>
            </w:pPr>
          </w:p>
        </w:tc>
        <w:tc>
          <w:tcPr>
            <w:tcW w:w="225" w:type="pct"/>
          </w:tcPr>
          <w:p w14:paraId="1B721FCE" w14:textId="77777777" w:rsidR="002926D7" w:rsidRDefault="002926D7" w:rsidP="002926D7">
            <w:pPr>
              <w:pStyle w:val="TableBodyCopy"/>
            </w:pPr>
          </w:p>
        </w:tc>
        <w:tc>
          <w:tcPr>
            <w:tcW w:w="224" w:type="pct"/>
          </w:tcPr>
          <w:p w14:paraId="043AE56D" w14:textId="77777777" w:rsidR="002926D7" w:rsidRDefault="002926D7" w:rsidP="002926D7">
            <w:pPr>
              <w:pStyle w:val="TableBodyCopy"/>
            </w:pPr>
          </w:p>
        </w:tc>
        <w:tc>
          <w:tcPr>
            <w:tcW w:w="270" w:type="pct"/>
            <w:gridSpan w:val="2"/>
          </w:tcPr>
          <w:p w14:paraId="628033ED" w14:textId="77777777" w:rsidR="002926D7" w:rsidRDefault="002926D7" w:rsidP="002926D7">
            <w:pPr>
              <w:pStyle w:val="TableBodyCopy"/>
            </w:pPr>
          </w:p>
        </w:tc>
        <w:tc>
          <w:tcPr>
            <w:tcW w:w="295" w:type="pct"/>
          </w:tcPr>
          <w:p w14:paraId="6B55072D" w14:textId="77777777" w:rsidR="002926D7" w:rsidRDefault="002926D7" w:rsidP="002926D7">
            <w:pPr>
              <w:pStyle w:val="TableBodyCopy"/>
            </w:pPr>
          </w:p>
        </w:tc>
        <w:tc>
          <w:tcPr>
            <w:tcW w:w="417" w:type="pct"/>
          </w:tcPr>
          <w:p w14:paraId="380141C2" w14:textId="77777777" w:rsidR="002926D7" w:rsidRDefault="002926D7" w:rsidP="002926D7">
            <w:pPr>
              <w:pStyle w:val="TableBodyCopy"/>
            </w:pPr>
          </w:p>
        </w:tc>
        <w:tc>
          <w:tcPr>
            <w:tcW w:w="620" w:type="pct"/>
          </w:tcPr>
          <w:p w14:paraId="2344856C" w14:textId="77777777" w:rsidR="002926D7" w:rsidRDefault="002926D7" w:rsidP="002926D7">
            <w:pPr>
              <w:pStyle w:val="TableBodyCopy"/>
            </w:pPr>
          </w:p>
        </w:tc>
      </w:tr>
      <w:tr w:rsidR="00451E92" w14:paraId="6E01159F" w14:textId="77777777" w:rsidTr="00451E92">
        <w:trPr>
          <w:trHeight w:val="112"/>
        </w:trPr>
        <w:tc>
          <w:tcPr>
            <w:tcW w:w="244" w:type="pct"/>
          </w:tcPr>
          <w:p w14:paraId="7ABAC52D" w14:textId="6C3250ED" w:rsidR="002926D7" w:rsidRPr="2B1154F6" w:rsidRDefault="002926D7" w:rsidP="002926D7">
            <w:pPr>
              <w:pStyle w:val="TableBodyCopy"/>
              <w:jc w:val="center"/>
            </w:pPr>
            <w:r w:rsidRPr="0001588D">
              <w:rPr>
                <w:color w:val="000000" w:themeColor="text1"/>
              </w:rPr>
              <w:t>21</w:t>
            </w:r>
          </w:p>
        </w:tc>
        <w:tc>
          <w:tcPr>
            <w:tcW w:w="679" w:type="pct"/>
          </w:tcPr>
          <w:p w14:paraId="6A2B3865" w14:textId="61579665" w:rsidR="002926D7" w:rsidRPr="2B1154F6" w:rsidRDefault="002926D7" w:rsidP="002926D7">
            <w:pPr>
              <w:pStyle w:val="TableBodyCopy"/>
            </w:pPr>
            <w:r w:rsidRPr="2B1154F6">
              <w:rPr>
                <w:color w:val="000000" w:themeColor="text1"/>
              </w:rPr>
              <w:t>Joint Project Risk Assessment</w:t>
            </w:r>
          </w:p>
        </w:tc>
        <w:tc>
          <w:tcPr>
            <w:tcW w:w="1800" w:type="pct"/>
          </w:tcPr>
          <w:p w14:paraId="171F6DDC" w14:textId="5237A964" w:rsidR="002926D7" w:rsidRPr="00451E92" w:rsidRDefault="002926D7" w:rsidP="00451E92">
            <w:pPr>
              <w:pStyle w:val="TableBodyCopy"/>
              <w:spacing w:line="216" w:lineRule="auto"/>
              <w:rPr>
                <w:color w:val="000000" w:themeColor="text1"/>
              </w:rPr>
            </w:pPr>
            <w:r w:rsidRPr="2B1154F6">
              <w:rPr>
                <w:color w:val="000000" w:themeColor="text1"/>
              </w:rPr>
              <w:t>A collective assessment conducted by various stakeholders to identify and evaluate risks associated with specific hazards, such as fire safety, water management or the presence of asbestos. The joint</w:t>
            </w:r>
            <w:r>
              <w:rPr>
                <w:color w:val="000000" w:themeColor="text1"/>
              </w:rPr>
              <w:t>-</w:t>
            </w:r>
            <w:r w:rsidRPr="2B1154F6">
              <w:rPr>
                <w:color w:val="000000" w:themeColor="text1"/>
              </w:rPr>
              <w:t xml:space="preserve">party nature of the </w:t>
            </w:r>
            <w:r w:rsidRPr="2B1154F6">
              <w:rPr>
                <w:color w:val="000000" w:themeColor="text1"/>
              </w:rPr>
              <w:lastRenderedPageBreak/>
              <w:t>assessment means that all relevant parties collaborate to ensure a comprehensive understanding of risks and agree appropriate mitigation strategies.</w:t>
            </w:r>
          </w:p>
        </w:tc>
        <w:tc>
          <w:tcPr>
            <w:tcW w:w="226" w:type="pct"/>
          </w:tcPr>
          <w:p w14:paraId="2BC64B5E" w14:textId="77777777" w:rsidR="002926D7" w:rsidRDefault="002926D7" w:rsidP="002926D7">
            <w:pPr>
              <w:pStyle w:val="TableBodyCopy"/>
            </w:pPr>
          </w:p>
        </w:tc>
        <w:tc>
          <w:tcPr>
            <w:tcW w:w="225" w:type="pct"/>
          </w:tcPr>
          <w:p w14:paraId="714622B2" w14:textId="77777777" w:rsidR="002926D7" w:rsidRDefault="002926D7" w:rsidP="002926D7">
            <w:pPr>
              <w:pStyle w:val="TableBodyCopy"/>
            </w:pPr>
          </w:p>
        </w:tc>
        <w:tc>
          <w:tcPr>
            <w:tcW w:w="224" w:type="pct"/>
          </w:tcPr>
          <w:p w14:paraId="2AAE06CB" w14:textId="77777777" w:rsidR="002926D7" w:rsidRDefault="002926D7" w:rsidP="002926D7">
            <w:pPr>
              <w:pStyle w:val="TableBodyCopy"/>
            </w:pPr>
          </w:p>
        </w:tc>
        <w:tc>
          <w:tcPr>
            <w:tcW w:w="270" w:type="pct"/>
            <w:gridSpan w:val="2"/>
          </w:tcPr>
          <w:p w14:paraId="71476472" w14:textId="77777777" w:rsidR="002926D7" w:rsidRDefault="002926D7" w:rsidP="002926D7">
            <w:pPr>
              <w:pStyle w:val="TableBodyCopy"/>
            </w:pPr>
          </w:p>
        </w:tc>
        <w:tc>
          <w:tcPr>
            <w:tcW w:w="295" w:type="pct"/>
          </w:tcPr>
          <w:p w14:paraId="5AE56D49" w14:textId="77777777" w:rsidR="002926D7" w:rsidRDefault="002926D7" w:rsidP="002926D7">
            <w:pPr>
              <w:pStyle w:val="TableBodyCopy"/>
            </w:pPr>
          </w:p>
        </w:tc>
        <w:tc>
          <w:tcPr>
            <w:tcW w:w="417" w:type="pct"/>
          </w:tcPr>
          <w:p w14:paraId="2E9E7DBC" w14:textId="77777777" w:rsidR="002926D7" w:rsidRDefault="002926D7" w:rsidP="002926D7">
            <w:pPr>
              <w:pStyle w:val="TableBodyCopy"/>
            </w:pPr>
          </w:p>
        </w:tc>
        <w:tc>
          <w:tcPr>
            <w:tcW w:w="620" w:type="pct"/>
          </w:tcPr>
          <w:p w14:paraId="114A6493" w14:textId="77777777" w:rsidR="002926D7" w:rsidRDefault="002926D7" w:rsidP="002926D7">
            <w:pPr>
              <w:pStyle w:val="TableBodyCopy"/>
            </w:pPr>
          </w:p>
        </w:tc>
      </w:tr>
      <w:tr w:rsidR="00451E92" w14:paraId="6345EF68" w14:textId="77777777" w:rsidTr="00451E92">
        <w:trPr>
          <w:trHeight w:val="112"/>
        </w:trPr>
        <w:tc>
          <w:tcPr>
            <w:tcW w:w="5000" w:type="pct"/>
            <w:gridSpan w:val="11"/>
          </w:tcPr>
          <w:p w14:paraId="39FABD88" w14:textId="0AA73247" w:rsidR="002926D7" w:rsidRPr="002926D7" w:rsidRDefault="002926D7" w:rsidP="002926D7">
            <w:pPr>
              <w:pStyle w:val="TableBodyCopy"/>
              <w:jc w:val="center"/>
              <w:rPr>
                <w:b/>
                <w:bCs/>
                <w:i w:val="0"/>
                <w:iCs/>
              </w:rPr>
            </w:pPr>
            <w:r w:rsidRPr="002926D7">
              <w:rPr>
                <w:b/>
                <w:bCs/>
                <w:i w:val="0"/>
                <w:iCs/>
              </w:rPr>
              <w:t>Statutory compliance and assets</w:t>
            </w:r>
          </w:p>
        </w:tc>
      </w:tr>
      <w:tr w:rsidR="00451E92" w14:paraId="301A9918" w14:textId="77777777" w:rsidTr="00451E92">
        <w:trPr>
          <w:trHeight w:val="112"/>
        </w:trPr>
        <w:tc>
          <w:tcPr>
            <w:tcW w:w="244" w:type="pct"/>
          </w:tcPr>
          <w:p w14:paraId="0D25B36E" w14:textId="549B9773" w:rsidR="002926D7" w:rsidRPr="2B1154F6" w:rsidRDefault="002926D7" w:rsidP="002926D7">
            <w:pPr>
              <w:pStyle w:val="TableBodyCopy"/>
              <w:jc w:val="center"/>
            </w:pPr>
            <w:r w:rsidRPr="5B386C92">
              <w:t>22</w:t>
            </w:r>
          </w:p>
        </w:tc>
        <w:tc>
          <w:tcPr>
            <w:tcW w:w="679" w:type="pct"/>
          </w:tcPr>
          <w:p w14:paraId="7A61287F" w14:textId="700DF75B" w:rsidR="002926D7" w:rsidRPr="2B1154F6" w:rsidRDefault="002926D7" w:rsidP="002926D7">
            <w:pPr>
              <w:pStyle w:val="TableBodyCopy"/>
            </w:pPr>
            <w:r w:rsidRPr="2B1154F6">
              <w:rPr>
                <w:color w:val="000000" w:themeColor="text1"/>
              </w:rPr>
              <w:t xml:space="preserve">Statutory </w:t>
            </w:r>
            <w:r>
              <w:rPr>
                <w:color w:val="000000" w:themeColor="text1"/>
              </w:rPr>
              <w:t>C</w:t>
            </w:r>
            <w:r w:rsidRPr="2B1154F6">
              <w:rPr>
                <w:color w:val="000000" w:themeColor="text1"/>
              </w:rPr>
              <w:t xml:space="preserve">ompliance </w:t>
            </w:r>
            <w:r>
              <w:rPr>
                <w:color w:val="000000" w:themeColor="text1"/>
              </w:rPr>
              <w:t>R</w:t>
            </w:r>
            <w:r w:rsidRPr="2B1154F6">
              <w:rPr>
                <w:color w:val="000000" w:themeColor="text1"/>
              </w:rPr>
              <w:t>ecords</w:t>
            </w:r>
          </w:p>
        </w:tc>
        <w:tc>
          <w:tcPr>
            <w:tcW w:w="1800" w:type="pct"/>
          </w:tcPr>
          <w:p w14:paraId="7C5B9069" w14:textId="62D7636E" w:rsidR="002926D7" w:rsidRPr="2B1154F6" w:rsidRDefault="002926D7" w:rsidP="002926D7">
            <w:pPr>
              <w:pStyle w:val="TableBodyCopy"/>
            </w:pPr>
            <w:r w:rsidRPr="2B1154F6">
              <w:rPr>
                <w:color w:val="000000" w:themeColor="text1"/>
              </w:rPr>
              <w:t>Documentation that verifies that all necessary statutory tests and compliance checks have been conducted to meet legal and regulatory requirements, ensuring safety and functionality.</w:t>
            </w:r>
          </w:p>
        </w:tc>
        <w:tc>
          <w:tcPr>
            <w:tcW w:w="226" w:type="pct"/>
          </w:tcPr>
          <w:p w14:paraId="5FC00B25" w14:textId="77777777" w:rsidR="002926D7" w:rsidRDefault="002926D7" w:rsidP="002926D7">
            <w:pPr>
              <w:pStyle w:val="TableBodyCopy"/>
            </w:pPr>
          </w:p>
        </w:tc>
        <w:tc>
          <w:tcPr>
            <w:tcW w:w="225" w:type="pct"/>
          </w:tcPr>
          <w:p w14:paraId="65788625" w14:textId="77777777" w:rsidR="002926D7" w:rsidRDefault="002926D7" w:rsidP="002926D7">
            <w:pPr>
              <w:pStyle w:val="TableBodyCopy"/>
            </w:pPr>
          </w:p>
        </w:tc>
        <w:tc>
          <w:tcPr>
            <w:tcW w:w="224" w:type="pct"/>
          </w:tcPr>
          <w:p w14:paraId="5BBF355F" w14:textId="77777777" w:rsidR="002926D7" w:rsidRDefault="002926D7" w:rsidP="002926D7">
            <w:pPr>
              <w:pStyle w:val="TableBodyCopy"/>
            </w:pPr>
          </w:p>
        </w:tc>
        <w:tc>
          <w:tcPr>
            <w:tcW w:w="270" w:type="pct"/>
            <w:gridSpan w:val="2"/>
          </w:tcPr>
          <w:p w14:paraId="516F67FC" w14:textId="77777777" w:rsidR="002926D7" w:rsidRDefault="002926D7" w:rsidP="002926D7">
            <w:pPr>
              <w:pStyle w:val="TableBodyCopy"/>
            </w:pPr>
          </w:p>
        </w:tc>
        <w:tc>
          <w:tcPr>
            <w:tcW w:w="295" w:type="pct"/>
          </w:tcPr>
          <w:p w14:paraId="39F50CA8" w14:textId="77777777" w:rsidR="002926D7" w:rsidRDefault="002926D7" w:rsidP="002926D7">
            <w:pPr>
              <w:pStyle w:val="TableBodyCopy"/>
            </w:pPr>
          </w:p>
        </w:tc>
        <w:tc>
          <w:tcPr>
            <w:tcW w:w="417" w:type="pct"/>
          </w:tcPr>
          <w:p w14:paraId="08F36845" w14:textId="77777777" w:rsidR="002926D7" w:rsidRDefault="002926D7" w:rsidP="002926D7">
            <w:pPr>
              <w:pStyle w:val="TableBodyCopy"/>
            </w:pPr>
          </w:p>
        </w:tc>
        <w:tc>
          <w:tcPr>
            <w:tcW w:w="620" w:type="pct"/>
          </w:tcPr>
          <w:p w14:paraId="7CF3CD5E" w14:textId="77777777" w:rsidR="002926D7" w:rsidRDefault="002926D7" w:rsidP="002926D7">
            <w:pPr>
              <w:pStyle w:val="TableBodyCopy"/>
            </w:pPr>
          </w:p>
        </w:tc>
      </w:tr>
      <w:tr w:rsidR="00451E92" w14:paraId="5011A6A1" w14:textId="77777777" w:rsidTr="00451E92">
        <w:trPr>
          <w:trHeight w:val="112"/>
        </w:trPr>
        <w:tc>
          <w:tcPr>
            <w:tcW w:w="244" w:type="pct"/>
          </w:tcPr>
          <w:p w14:paraId="7A7F817E" w14:textId="5B1ADF61" w:rsidR="002926D7" w:rsidRPr="2B1154F6" w:rsidRDefault="002926D7" w:rsidP="002926D7">
            <w:pPr>
              <w:pStyle w:val="TableBodyCopy"/>
              <w:jc w:val="center"/>
            </w:pPr>
            <w:r w:rsidRPr="5B386C92">
              <w:t>23</w:t>
            </w:r>
          </w:p>
        </w:tc>
        <w:tc>
          <w:tcPr>
            <w:tcW w:w="679" w:type="pct"/>
          </w:tcPr>
          <w:p w14:paraId="0897A56E" w14:textId="30F86674" w:rsidR="002926D7" w:rsidRPr="2B1154F6" w:rsidRDefault="002926D7" w:rsidP="002926D7">
            <w:pPr>
              <w:pStyle w:val="TableBodyCopy"/>
            </w:pPr>
            <w:r w:rsidRPr="2B1154F6">
              <w:rPr>
                <w:color w:val="000000" w:themeColor="text1"/>
              </w:rPr>
              <w:t>Planned Preventative Maintenance (PPM) Schedule</w:t>
            </w:r>
          </w:p>
        </w:tc>
        <w:tc>
          <w:tcPr>
            <w:tcW w:w="1800" w:type="pct"/>
          </w:tcPr>
          <w:p w14:paraId="3CB21A98" w14:textId="447F3E4A" w:rsidR="002926D7" w:rsidRPr="2B1154F6" w:rsidRDefault="002926D7" w:rsidP="002926D7">
            <w:pPr>
              <w:pStyle w:val="TableBodyCopy"/>
            </w:pPr>
            <w:r w:rsidRPr="2B1154F6">
              <w:rPr>
                <w:color w:val="000000" w:themeColor="text1"/>
              </w:rPr>
              <w:t>The schedule developed by PFI Co (and updated annually) for undertaking statutory and other planned preventative maintenance to ensure the assets are maintained to the contract standard.</w:t>
            </w:r>
          </w:p>
        </w:tc>
        <w:tc>
          <w:tcPr>
            <w:tcW w:w="226" w:type="pct"/>
          </w:tcPr>
          <w:p w14:paraId="17B30473" w14:textId="77777777" w:rsidR="002926D7" w:rsidRDefault="002926D7" w:rsidP="002926D7">
            <w:pPr>
              <w:pStyle w:val="TableBodyCopy"/>
            </w:pPr>
          </w:p>
        </w:tc>
        <w:tc>
          <w:tcPr>
            <w:tcW w:w="225" w:type="pct"/>
          </w:tcPr>
          <w:p w14:paraId="49BE7157" w14:textId="77777777" w:rsidR="002926D7" w:rsidRDefault="002926D7" w:rsidP="002926D7">
            <w:pPr>
              <w:pStyle w:val="TableBodyCopy"/>
            </w:pPr>
          </w:p>
        </w:tc>
        <w:tc>
          <w:tcPr>
            <w:tcW w:w="224" w:type="pct"/>
          </w:tcPr>
          <w:p w14:paraId="2A0EEDF9" w14:textId="77777777" w:rsidR="002926D7" w:rsidRDefault="002926D7" w:rsidP="002926D7">
            <w:pPr>
              <w:pStyle w:val="TableBodyCopy"/>
            </w:pPr>
          </w:p>
        </w:tc>
        <w:tc>
          <w:tcPr>
            <w:tcW w:w="270" w:type="pct"/>
            <w:gridSpan w:val="2"/>
          </w:tcPr>
          <w:p w14:paraId="19CC3B5B" w14:textId="77777777" w:rsidR="002926D7" w:rsidRDefault="002926D7" w:rsidP="002926D7">
            <w:pPr>
              <w:pStyle w:val="TableBodyCopy"/>
            </w:pPr>
          </w:p>
        </w:tc>
        <w:tc>
          <w:tcPr>
            <w:tcW w:w="295" w:type="pct"/>
          </w:tcPr>
          <w:p w14:paraId="4B0DD9FD" w14:textId="77777777" w:rsidR="002926D7" w:rsidRDefault="002926D7" w:rsidP="002926D7">
            <w:pPr>
              <w:pStyle w:val="TableBodyCopy"/>
            </w:pPr>
          </w:p>
        </w:tc>
        <w:tc>
          <w:tcPr>
            <w:tcW w:w="417" w:type="pct"/>
          </w:tcPr>
          <w:p w14:paraId="6D70A722" w14:textId="77777777" w:rsidR="002926D7" w:rsidRDefault="002926D7" w:rsidP="002926D7">
            <w:pPr>
              <w:pStyle w:val="TableBodyCopy"/>
            </w:pPr>
          </w:p>
        </w:tc>
        <w:tc>
          <w:tcPr>
            <w:tcW w:w="620" w:type="pct"/>
          </w:tcPr>
          <w:p w14:paraId="15C8B698" w14:textId="77777777" w:rsidR="002926D7" w:rsidRDefault="002926D7" w:rsidP="002926D7">
            <w:pPr>
              <w:pStyle w:val="TableBodyCopy"/>
            </w:pPr>
          </w:p>
        </w:tc>
      </w:tr>
      <w:tr w:rsidR="00451E92" w14:paraId="5F9F114C" w14:textId="77777777" w:rsidTr="00451E92">
        <w:trPr>
          <w:trHeight w:val="112"/>
        </w:trPr>
        <w:tc>
          <w:tcPr>
            <w:tcW w:w="244" w:type="pct"/>
          </w:tcPr>
          <w:p w14:paraId="4A74B63E" w14:textId="60858807" w:rsidR="002926D7" w:rsidRPr="2B1154F6" w:rsidRDefault="002926D7" w:rsidP="002926D7">
            <w:pPr>
              <w:pStyle w:val="TableBodyCopy"/>
              <w:jc w:val="center"/>
            </w:pPr>
            <w:r w:rsidRPr="5B386C92">
              <w:t>24</w:t>
            </w:r>
          </w:p>
        </w:tc>
        <w:tc>
          <w:tcPr>
            <w:tcW w:w="679" w:type="pct"/>
          </w:tcPr>
          <w:p w14:paraId="7A803B9E" w14:textId="7DC06B00" w:rsidR="002926D7" w:rsidRPr="2B1154F6" w:rsidRDefault="002926D7" w:rsidP="002926D7">
            <w:pPr>
              <w:pStyle w:val="TableBodyCopy"/>
            </w:pPr>
            <w:r w:rsidRPr="2B1154F6">
              <w:rPr>
                <w:color w:val="000000" w:themeColor="text1"/>
              </w:rPr>
              <w:t xml:space="preserve">Maintenance </w:t>
            </w:r>
            <w:r>
              <w:rPr>
                <w:color w:val="000000" w:themeColor="text1"/>
              </w:rPr>
              <w:t>R</w:t>
            </w:r>
            <w:r w:rsidRPr="2B1154F6">
              <w:rPr>
                <w:color w:val="000000" w:themeColor="text1"/>
              </w:rPr>
              <w:t>ecords</w:t>
            </w:r>
          </w:p>
        </w:tc>
        <w:tc>
          <w:tcPr>
            <w:tcW w:w="1800" w:type="pct"/>
          </w:tcPr>
          <w:p w14:paraId="247C0719" w14:textId="59D5E5DF" w:rsidR="002926D7" w:rsidRPr="2B1154F6" w:rsidRDefault="002926D7" w:rsidP="002926D7">
            <w:pPr>
              <w:pStyle w:val="TableBodyCopy"/>
            </w:pPr>
            <w:r w:rsidRPr="2B1154F6">
              <w:rPr>
                <w:color w:val="000000" w:themeColor="text1"/>
              </w:rPr>
              <w:t>Logs detailing all maintenance activities performed on assets, including dates, types of work completed and any associated costs.</w:t>
            </w:r>
          </w:p>
        </w:tc>
        <w:tc>
          <w:tcPr>
            <w:tcW w:w="226" w:type="pct"/>
          </w:tcPr>
          <w:p w14:paraId="452916BC" w14:textId="77777777" w:rsidR="002926D7" w:rsidRDefault="002926D7" w:rsidP="002926D7">
            <w:pPr>
              <w:pStyle w:val="TableBodyCopy"/>
            </w:pPr>
          </w:p>
        </w:tc>
        <w:tc>
          <w:tcPr>
            <w:tcW w:w="225" w:type="pct"/>
          </w:tcPr>
          <w:p w14:paraId="5459FD2B" w14:textId="77777777" w:rsidR="002926D7" w:rsidRDefault="002926D7" w:rsidP="002926D7">
            <w:pPr>
              <w:pStyle w:val="TableBodyCopy"/>
            </w:pPr>
          </w:p>
        </w:tc>
        <w:tc>
          <w:tcPr>
            <w:tcW w:w="224" w:type="pct"/>
          </w:tcPr>
          <w:p w14:paraId="1B52306B" w14:textId="77777777" w:rsidR="002926D7" w:rsidRDefault="002926D7" w:rsidP="002926D7">
            <w:pPr>
              <w:pStyle w:val="TableBodyCopy"/>
            </w:pPr>
          </w:p>
        </w:tc>
        <w:tc>
          <w:tcPr>
            <w:tcW w:w="270" w:type="pct"/>
            <w:gridSpan w:val="2"/>
          </w:tcPr>
          <w:p w14:paraId="3B182B86" w14:textId="77777777" w:rsidR="002926D7" w:rsidRDefault="002926D7" w:rsidP="002926D7">
            <w:pPr>
              <w:pStyle w:val="TableBodyCopy"/>
            </w:pPr>
          </w:p>
        </w:tc>
        <w:tc>
          <w:tcPr>
            <w:tcW w:w="295" w:type="pct"/>
          </w:tcPr>
          <w:p w14:paraId="294A856E" w14:textId="77777777" w:rsidR="002926D7" w:rsidRDefault="002926D7" w:rsidP="002926D7">
            <w:pPr>
              <w:pStyle w:val="TableBodyCopy"/>
            </w:pPr>
          </w:p>
        </w:tc>
        <w:tc>
          <w:tcPr>
            <w:tcW w:w="417" w:type="pct"/>
          </w:tcPr>
          <w:p w14:paraId="2AED86F5" w14:textId="77777777" w:rsidR="002926D7" w:rsidRDefault="002926D7" w:rsidP="002926D7">
            <w:pPr>
              <w:pStyle w:val="TableBodyCopy"/>
            </w:pPr>
          </w:p>
        </w:tc>
        <w:tc>
          <w:tcPr>
            <w:tcW w:w="620" w:type="pct"/>
          </w:tcPr>
          <w:p w14:paraId="755F2F1B" w14:textId="77777777" w:rsidR="002926D7" w:rsidRDefault="002926D7" w:rsidP="002926D7">
            <w:pPr>
              <w:pStyle w:val="TableBodyCopy"/>
            </w:pPr>
          </w:p>
        </w:tc>
      </w:tr>
      <w:tr w:rsidR="00451E92" w14:paraId="26C1AE1E" w14:textId="77777777" w:rsidTr="00451E92">
        <w:trPr>
          <w:trHeight w:val="112"/>
        </w:trPr>
        <w:tc>
          <w:tcPr>
            <w:tcW w:w="244" w:type="pct"/>
          </w:tcPr>
          <w:p w14:paraId="0E8A76BA" w14:textId="24A0E066" w:rsidR="002926D7" w:rsidRPr="2B1154F6" w:rsidRDefault="002926D7" w:rsidP="002926D7">
            <w:pPr>
              <w:pStyle w:val="TableBodyCopy"/>
              <w:jc w:val="center"/>
            </w:pPr>
            <w:r w:rsidRPr="5B386C92">
              <w:lastRenderedPageBreak/>
              <w:t>25</w:t>
            </w:r>
          </w:p>
        </w:tc>
        <w:tc>
          <w:tcPr>
            <w:tcW w:w="679" w:type="pct"/>
          </w:tcPr>
          <w:p w14:paraId="70F97FCE" w14:textId="4ACD66A5" w:rsidR="002926D7" w:rsidRPr="2B1154F6" w:rsidRDefault="002926D7" w:rsidP="002926D7">
            <w:pPr>
              <w:pStyle w:val="TableBodyCopy"/>
            </w:pPr>
            <w:r w:rsidRPr="2B1154F6">
              <w:rPr>
                <w:color w:val="000000" w:themeColor="text1"/>
              </w:rPr>
              <w:t xml:space="preserve">Backlog </w:t>
            </w:r>
            <w:r>
              <w:rPr>
                <w:color w:val="000000" w:themeColor="text1"/>
              </w:rPr>
              <w:t>M</w:t>
            </w:r>
            <w:r w:rsidRPr="2B1154F6">
              <w:rPr>
                <w:color w:val="000000" w:themeColor="text1"/>
              </w:rPr>
              <w:t xml:space="preserve">aintenance </w:t>
            </w:r>
            <w:r>
              <w:rPr>
                <w:color w:val="000000" w:themeColor="text1"/>
              </w:rPr>
              <w:t>R</w:t>
            </w:r>
            <w:r w:rsidRPr="2B1154F6">
              <w:rPr>
                <w:color w:val="000000" w:themeColor="text1"/>
              </w:rPr>
              <w:t>eports</w:t>
            </w:r>
          </w:p>
        </w:tc>
        <w:tc>
          <w:tcPr>
            <w:tcW w:w="1800" w:type="pct"/>
          </w:tcPr>
          <w:p w14:paraId="2EA8F18E" w14:textId="44E7AD9E" w:rsidR="002926D7" w:rsidRPr="2B1154F6" w:rsidRDefault="002926D7" w:rsidP="002926D7">
            <w:pPr>
              <w:pStyle w:val="TableBodyCopy"/>
            </w:pPr>
            <w:r w:rsidRPr="2B1154F6">
              <w:rPr>
                <w:color w:val="000000" w:themeColor="text1"/>
              </w:rPr>
              <w:t>A tool used to monitor and manage all outstanding maintenance activities that have not yet been completed, presenting an overview of deferred or overdue maintenance tasks.</w:t>
            </w:r>
          </w:p>
        </w:tc>
        <w:tc>
          <w:tcPr>
            <w:tcW w:w="226" w:type="pct"/>
          </w:tcPr>
          <w:p w14:paraId="2247A7D5" w14:textId="77777777" w:rsidR="002926D7" w:rsidRDefault="002926D7" w:rsidP="002926D7">
            <w:pPr>
              <w:pStyle w:val="TableBodyCopy"/>
            </w:pPr>
          </w:p>
        </w:tc>
        <w:tc>
          <w:tcPr>
            <w:tcW w:w="225" w:type="pct"/>
          </w:tcPr>
          <w:p w14:paraId="31FE68A7" w14:textId="77777777" w:rsidR="002926D7" w:rsidRDefault="002926D7" w:rsidP="002926D7">
            <w:pPr>
              <w:pStyle w:val="TableBodyCopy"/>
            </w:pPr>
          </w:p>
        </w:tc>
        <w:tc>
          <w:tcPr>
            <w:tcW w:w="224" w:type="pct"/>
          </w:tcPr>
          <w:p w14:paraId="08019315" w14:textId="77777777" w:rsidR="002926D7" w:rsidRDefault="002926D7" w:rsidP="002926D7">
            <w:pPr>
              <w:pStyle w:val="TableBodyCopy"/>
            </w:pPr>
          </w:p>
        </w:tc>
        <w:tc>
          <w:tcPr>
            <w:tcW w:w="270" w:type="pct"/>
            <w:gridSpan w:val="2"/>
          </w:tcPr>
          <w:p w14:paraId="3F7439E3" w14:textId="77777777" w:rsidR="002926D7" w:rsidRDefault="002926D7" w:rsidP="002926D7">
            <w:pPr>
              <w:pStyle w:val="TableBodyCopy"/>
            </w:pPr>
          </w:p>
        </w:tc>
        <w:tc>
          <w:tcPr>
            <w:tcW w:w="295" w:type="pct"/>
          </w:tcPr>
          <w:p w14:paraId="68DD8836" w14:textId="77777777" w:rsidR="002926D7" w:rsidRDefault="002926D7" w:rsidP="002926D7">
            <w:pPr>
              <w:pStyle w:val="TableBodyCopy"/>
            </w:pPr>
          </w:p>
        </w:tc>
        <w:tc>
          <w:tcPr>
            <w:tcW w:w="417" w:type="pct"/>
          </w:tcPr>
          <w:p w14:paraId="15BF7C27" w14:textId="77777777" w:rsidR="002926D7" w:rsidRDefault="002926D7" w:rsidP="002926D7">
            <w:pPr>
              <w:pStyle w:val="TableBodyCopy"/>
            </w:pPr>
          </w:p>
        </w:tc>
        <w:tc>
          <w:tcPr>
            <w:tcW w:w="620" w:type="pct"/>
          </w:tcPr>
          <w:p w14:paraId="6E0A934C" w14:textId="77777777" w:rsidR="002926D7" w:rsidRDefault="002926D7" w:rsidP="002926D7">
            <w:pPr>
              <w:pStyle w:val="TableBodyCopy"/>
            </w:pPr>
          </w:p>
        </w:tc>
      </w:tr>
      <w:tr w:rsidR="00451E92" w14:paraId="164F1C6C" w14:textId="77777777" w:rsidTr="00451E92">
        <w:trPr>
          <w:trHeight w:val="112"/>
        </w:trPr>
        <w:tc>
          <w:tcPr>
            <w:tcW w:w="244" w:type="pct"/>
          </w:tcPr>
          <w:p w14:paraId="54012AE6" w14:textId="06FC72E6" w:rsidR="002926D7" w:rsidRPr="2B1154F6" w:rsidRDefault="002926D7" w:rsidP="002926D7">
            <w:pPr>
              <w:pStyle w:val="TableBodyCopy"/>
              <w:jc w:val="center"/>
            </w:pPr>
            <w:r w:rsidRPr="5B386C92">
              <w:t>26</w:t>
            </w:r>
          </w:p>
        </w:tc>
        <w:tc>
          <w:tcPr>
            <w:tcW w:w="679" w:type="pct"/>
          </w:tcPr>
          <w:p w14:paraId="4BD79CC2" w14:textId="1DD095A2" w:rsidR="002926D7" w:rsidRPr="2B1154F6" w:rsidRDefault="002926D7" w:rsidP="002926D7">
            <w:pPr>
              <w:pStyle w:val="TableBodyCopy"/>
            </w:pPr>
            <w:r w:rsidRPr="2B1154F6">
              <w:rPr>
                <w:color w:val="000000" w:themeColor="text1"/>
              </w:rPr>
              <w:t xml:space="preserve">Defects </w:t>
            </w:r>
            <w:r>
              <w:rPr>
                <w:color w:val="000000" w:themeColor="text1"/>
              </w:rPr>
              <w:t>S</w:t>
            </w:r>
            <w:r w:rsidRPr="2B1154F6">
              <w:rPr>
                <w:color w:val="000000" w:themeColor="text1"/>
              </w:rPr>
              <w:t xml:space="preserve">chedules and </w:t>
            </w:r>
            <w:r>
              <w:rPr>
                <w:color w:val="000000" w:themeColor="text1"/>
              </w:rPr>
              <w:t>R</w:t>
            </w:r>
            <w:r w:rsidRPr="2B1154F6">
              <w:rPr>
                <w:color w:val="000000" w:themeColor="text1"/>
              </w:rPr>
              <w:t>eports</w:t>
            </w:r>
          </w:p>
        </w:tc>
        <w:tc>
          <w:tcPr>
            <w:tcW w:w="1800" w:type="pct"/>
          </w:tcPr>
          <w:p w14:paraId="29A5AB33" w14:textId="6609248B" w:rsidR="002926D7" w:rsidRPr="2B1154F6" w:rsidRDefault="002926D7" w:rsidP="002926D7">
            <w:pPr>
              <w:pStyle w:val="TableBodyCopy"/>
            </w:pPr>
            <w:r w:rsidRPr="2B1154F6">
              <w:rPr>
                <w:color w:val="000000" w:themeColor="text1"/>
              </w:rPr>
              <w:t xml:space="preserve">Lists and documentation of defects identified in the assets from the initial construction or refurbishment period identified during a </w:t>
            </w:r>
            <w:proofErr w:type="gramStart"/>
            <w:r w:rsidRPr="2B1154F6">
              <w:rPr>
                <w:color w:val="000000" w:themeColor="text1"/>
              </w:rPr>
              <w:t>defects</w:t>
            </w:r>
            <w:proofErr w:type="gramEnd"/>
            <w:r w:rsidRPr="2B1154F6">
              <w:rPr>
                <w:color w:val="000000" w:themeColor="text1"/>
              </w:rPr>
              <w:t xml:space="preserve"> liability period on your contract, including those that have been remedied. These records serve to highlight ongoing issues and track the history of repairs.</w:t>
            </w:r>
          </w:p>
        </w:tc>
        <w:tc>
          <w:tcPr>
            <w:tcW w:w="226" w:type="pct"/>
          </w:tcPr>
          <w:p w14:paraId="53A58C82" w14:textId="77777777" w:rsidR="002926D7" w:rsidRDefault="002926D7" w:rsidP="002926D7">
            <w:pPr>
              <w:pStyle w:val="TableBodyCopy"/>
            </w:pPr>
          </w:p>
        </w:tc>
        <w:tc>
          <w:tcPr>
            <w:tcW w:w="225" w:type="pct"/>
          </w:tcPr>
          <w:p w14:paraId="110C2DEC" w14:textId="77777777" w:rsidR="002926D7" w:rsidRDefault="002926D7" w:rsidP="002926D7">
            <w:pPr>
              <w:pStyle w:val="TableBodyCopy"/>
            </w:pPr>
          </w:p>
        </w:tc>
        <w:tc>
          <w:tcPr>
            <w:tcW w:w="224" w:type="pct"/>
          </w:tcPr>
          <w:p w14:paraId="1B4A7048" w14:textId="77777777" w:rsidR="002926D7" w:rsidRDefault="002926D7" w:rsidP="002926D7">
            <w:pPr>
              <w:pStyle w:val="TableBodyCopy"/>
            </w:pPr>
          </w:p>
        </w:tc>
        <w:tc>
          <w:tcPr>
            <w:tcW w:w="270" w:type="pct"/>
            <w:gridSpan w:val="2"/>
          </w:tcPr>
          <w:p w14:paraId="11C240D1" w14:textId="77777777" w:rsidR="002926D7" w:rsidRDefault="002926D7" w:rsidP="002926D7">
            <w:pPr>
              <w:pStyle w:val="TableBodyCopy"/>
            </w:pPr>
          </w:p>
        </w:tc>
        <w:tc>
          <w:tcPr>
            <w:tcW w:w="295" w:type="pct"/>
          </w:tcPr>
          <w:p w14:paraId="643D506A" w14:textId="77777777" w:rsidR="002926D7" w:rsidRDefault="002926D7" w:rsidP="002926D7">
            <w:pPr>
              <w:pStyle w:val="TableBodyCopy"/>
            </w:pPr>
          </w:p>
        </w:tc>
        <w:tc>
          <w:tcPr>
            <w:tcW w:w="417" w:type="pct"/>
          </w:tcPr>
          <w:p w14:paraId="1F42DF15" w14:textId="77777777" w:rsidR="002926D7" w:rsidRDefault="002926D7" w:rsidP="002926D7">
            <w:pPr>
              <w:pStyle w:val="TableBodyCopy"/>
            </w:pPr>
          </w:p>
        </w:tc>
        <w:tc>
          <w:tcPr>
            <w:tcW w:w="620" w:type="pct"/>
          </w:tcPr>
          <w:p w14:paraId="6374E3AC" w14:textId="77777777" w:rsidR="002926D7" w:rsidRDefault="002926D7" w:rsidP="002926D7">
            <w:pPr>
              <w:pStyle w:val="TableBodyCopy"/>
            </w:pPr>
          </w:p>
        </w:tc>
      </w:tr>
      <w:tr w:rsidR="00451E92" w14:paraId="6326AEB4" w14:textId="77777777" w:rsidTr="00451E92">
        <w:trPr>
          <w:trHeight w:val="798"/>
        </w:trPr>
        <w:tc>
          <w:tcPr>
            <w:tcW w:w="244" w:type="pct"/>
          </w:tcPr>
          <w:p w14:paraId="368F2304" w14:textId="23B689B9" w:rsidR="002926D7" w:rsidRPr="2B1154F6" w:rsidRDefault="002926D7" w:rsidP="002926D7">
            <w:pPr>
              <w:pStyle w:val="TableBodyCopy"/>
              <w:jc w:val="center"/>
            </w:pPr>
            <w:r w:rsidRPr="5B386C92">
              <w:t>27</w:t>
            </w:r>
          </w:p>
        </w:tc>
        <w:tc>
          <w:tcPr>
            <w:tcW w:w="679" w:type="pct"/>
          </w:tcPr>
          <w:p w14:paraId="2C3F2C18" w14:textId="2CCE3A57" w:rsidR="002926D7" w:rsidRPr="2B1154F6" w:rsidRDefault="002926D7" w:rsidP="002926D7">
            <w:pPr>
              <w:pStyle w:val="TableBodyCopy"/>
            </w:pPr>
            <w:r w:rsidRPr="2B1154F6">
              <w:rPr>
                <w:color w:val="000000" w:themeColor="text1"/>
              </w:rPr>
              <w:t xml:space="preserve">Condition </w:t>
            </w:r>
            <w:r>
              <w:rPr>
                <w:color w:val="000000" w:themeColor="text1"/>
              </w:rPr>
              <w:t>S</w:t>
            </w:r>
            <w:r w:rsidRPr="2B1154F6">
              <w:rPr>
                <w:color w:val="000000" w:themeColor="text1"/>
              </w:rPr>
              <w:t xml:space="preserve">urvey(s) </w:t>
            </w:r>
          </w:p>
        </w:tc>
        <w:tc>
          <w:tcPr>
            <w:tcW w:w="1800" w:type="pct"/>
          </w:tcPr>
          <w:p w14:paraId="0E8B4DD1" w14:textId="7EA0D94E" w:rsidR="002926D7" w:rsidRPr="2B1154F6" w:rsidRDefault="002926D7" w:rsidP="002926D7">
            <w:pPr>
              <w:pStyle w:val="TableBodyCopy"/>
            </w:pPr>
            <w:r w:rsidRPr="2B1154F6">
              <w:rPr>
                <w:color w:val="000000" w:themeColor="text1"/>
              </w:rPr>
              <w:t xml:space="preserve">Detailed evaluations conducted (often by an independent surveyor) to assess the physical state of assets and their compliance with industry and contractual standards. In PFI </w:t>
            </w:r>
            <w:r>
              <w:rPr>
                <w:color w:val="000000" w:themeColor="text1"/>
              </w:rPr>
              <w:t>p</w:t>
            </w:r>
            <w:r w:rsidRPr="2B1154F6">
              <w:rPr>
                <w:color w:val="000000" w:themeColor="text1"/>
              </w:rPr>
              <w:t>rojects, these are often undertaken regularly throughout the service period</w:t>
            </w:r>
            <w:r>
              <w:rPr>
                <w:color w:val="000000" w:themeColor="text1"/>
              </w:rPr>
              <w:t>,</w:t>
            </w:r>
            <w:r w:rsidRPr="2B1154F6">
              <w:rPr>
                <w:color w:val="000000" w:themeColor="text1"/>
              </w:rPr>
              <w:t xml:space="preserve"> and the results of these surveys will identify any deficiencies or required remedial works and will inform lifecycle and expiry planning. Whichever organisation </w:t>
            </w:r>
            <w:r w:rsidRPr="2B1154F6">
              <w:rPr>
                <w:color w:val="000000" w:themeColor="text1"/>
              </w:rPr>
              <w:lastRenderedPageBreak/>
              <w:t>commissions a survey throughout the contract period, the results of the survey should be available to the contracting authority.</w:t>
            </w:r>
          </w:p>
        </w:tc>
        <w:tc>
          <w:tcPr>
            <w:tcW w:w="226" w:type="pct"/>
          </w:tcPr>
          <w:p w14:paraId="11350E24" w14:textId="77777777" w:rsidR="002926D7" w:rsidRDefault="002926D7" w:rsidP="002926D7">
            <w:pPr>
              <w:pStyle w:val="TableBodyCopy"/>
            </w:pPr>
          </w:p>
        </w:tc>
        <w:tc>
          <w:tcPr>
            <w:tcW w:w="225" w:type="pct"/>
          </w:tcPr>
          <w:p w14:paraId="3B6C2BEF" w14:textId="77777777" w:rsidR="002926D7" w:rsidRDefault="002926D7" w:rsidP="002926D7">
            <w:pPr>
              <w:pStyle w:val="TableBodyCopy"/>
            </w:pPr>
          </w:p>
        </w:tc>
        <w:tc>
          <w:tcPr>
            <w:tcW w:w="224" w:type="pct"/>
          </w:tcPr>
          <w:p w14:paraId="3FDE33C9" w14:textId="77777777" w:rsidR="002926D7" w:rsidRDefault="002926D7" w:rsidP="002926D7">
            <w:pPr>
              <w:pStyle w:val="TableBodyCopy"/>
            </w:pPr>
          </w:p>
        </w:tc>
        <w:tc>
          <w:tcPr>
            <w:tcW w:w="270" w:type="pct"/>
            <w:gridSpan w:val="2"/>
          </w:tcPr>
          <w:p w14:paraId="4A757631" w14:textId="77777777" w:rsidR="002926D7" w:rsidRDefault="002926D7" w:rsidP="002926D7">
            <w:pPr>
              <w:pStyle w:val="TableBodyCopy"/>
            </w:pPr>
          </w:p>
        </w:tc>
        <w:tc>
          <w:tcPr>
            <w:tcW w:w="295" w:type="pct"/>
          </w:tcPr>
          <w:p w14:paraId="17441D48" w14:textId="77777777" w:rsidR="002926D7" w:rsidRDefault="002926D7" w:rsidP="002926D7">
            <w:pPr>
              <w:pStyle w:val="TableBodyCopy"/>
            </w:pPr>
          </w:p>
        </w:tc>
        <w:tc>
          <w:tcPr>
            <w:tcW w:w="417" w:type="pct"/>
          </w:tcPr>
          <w:p w14:paraId="2B2400B7" w14:textId="77777777" w:rsidR="002926D7" w:rsidRDefault="002926D7" w:rsidP="002926D7">
            <w:pPr>
              <w:pStyle w:val="TableBodyCopy"/>
            </w:pPr>
          </w:p>
        </w:tc>
        <w:tc>
          <w:tcPr>
            <w:tcW w:w="620" w:type="pct"/>
          </w:tcPr>
          <w:p w14:paraId="1F3C30BE" w14:textId="77777777" w:rsidR="002926D7" w:rsidRDefault="002926D7" w:rsidP="002926D7">
            <w:pPr>
              <w:pStyle w:val="TableBodyCopy"/>
            </w:pPr>
          </w:p>
        </w:tc>
      </w:tr>
      <w:tr w:rsidR="00451E92" w14:paraId="183EC6E8" w14:textId="77777777" w:rsidTr="00451E92">
        <w:trPr>
          <w:trHeight w:val="112"/>
        </w:trPr>
        <w:tc>
          <w:tcPr>
            <w:tcW w:w="244" w:type="pct"/>
          </w:tcPr>
          <w:p w14:paraId="0B63598A" w14:textId="362A322C" w:rsidR="002926D7" w:rsidRPr="2B1154F6" w:rsidRDefault="002926D7" w:rsidP="002926D7">
            <w:pPr>
              <w:pStyle w:val="TableBodyCopy"/>
              <w:jc w:val="center"/>
            </w:pPr>
            <w:r w:rsidRPr="5B386C92">
              <w:t>28</w:t>
            </w:r>
          </w:p>
        </w:tc>
        <w:tc>
          <w:tcPr>
            <w:tcW w:w="679" w:type="pct"/>
          </w:tcPr>
          <w:p w14:paraId="7D6EB7BB" w14:textId="0BD37F81" w:rsidR="002926D7" w:rsidRPr="2B1154F6" w:rsidRDefault="002926D7" w:rsidP="002926D7">
            <w:pPr>
              <w:pStyle w:val="TableBodyCopy"/>
            </w:pPr>
            <w:r w:rsidRPr="2B1154F6">
              <w:rPr>
                <w:color w:val="000000" w:themeColor="text1"/>
              </w:rPr>
              <w:t>Lifecycle Models</w:t>
            </w:r>
          </w:p>
        </w:tc>
        <w:tc>
          <w:tcPr>
            <w:tcW w:w="1800" w:type="pct"/>
          </w:tcPr>
          <w:p w14:paraId="1B8B6E68" w14:textId="4BCF3035" w:rsidR="002926D7" w:rsidRPr="2B1154F6" w:rsidRDefault="002926D7" w:rsidP="002926D7">
            <w:pPr>
              <w:pStyle w:val="TableBodyCopy"/>
            </w:pPr>
            <w:r w:rsidRPr="2B1154F6">
              <w:rPr>
                <w:color w:val="000000" w:themeColor="text1"/>
              </w:rPr>
              <w:t>A financial tool (updated regularly) used to project the costs and timelines associated with the maintenance, upgrades, and replacement of assets over their useful life.</w:t>
            </w:r>
          </w:p>
        </w:tc>
        <w:tc>
          <w:tcPr>
            <w:tcW w:w="226" w:type="pct"/>
          </w:tcPr>
          <w:p w14:paraId="4F174DCB" w14:textId="77777777" w:rsidR="002926D7" w:rsidRDefault="002926D7" w:rsidP="002926D7">
            <w:pPr>
              <w:pStyle w:val="TableBodyCopy"/>
            </w:pPr>
          </w:p>
        </w:tc>
        <w:tc>
          <w:tcPr>
            <w:tcW w:w="225" w:type="pct"/>
          </w:tcPr>
          <w:p w14:paraId="4C103F8F" w14:textId="77777777" w:rsidR="002926D7" w:rsidRDefault="002926D7" w:rsidP="002926D7">
            <w:pPr>
              <w:pStyle w:val="TableBodyCopy"/>
            </w:pPr>
          </w:p>
        </w:tc>
        <w:tc>
          <w:tcPr>
            <w:tcW w:w="224" w:type="pct"/>
          </w:tcPr>
          <w:p w14:paraId="2663307C" w14:textId="77777777" w:rsidR="002926D7" w:rsidRDefault="002926D7" w:rsidP="002926D7">
            <w:pPr>
              <w:pStyle w:val="TableBodyCopy"/>
            </w:pPr>
          </w:p>
        </w:tc>
        <w:tc>
          <w:tcPr>
            <w:tcW w:w="270" w:type="pct"/>
            <w:gridSpan w:val="2"/>
          </w:tcPr>
          <w:p w14:paraId="4647CF3A" w14:textId="77777777" w:rsidR="002926D7" w:rsidRDefault="002926D7" w:rsidP="002926D7">
            <w:pPr>
              <w:pStyle w:val="TableBodyCopy"/>
            </w:pPr>
          </w:p>
        </w:tc>
        <w:tc>
          <w:tcPr>
            <w:tcW w:w="295" w:type="pct"/>
          </w:tcPr>
          <w:p w14:paraId="4BE5B72A" w14:textId="77777777" w:rsidR="002926D7" w:rsidRDefault="002926D7" w:rsidP="002926D7">
            <w:pPr>
              <w:pStyle w:val="TableBodyCopy"/>
            </w:pPr>
          </w:p>
        </w:tc>
        <w:tc>
          <w:tcPr>
            <w:tcW w:w="417" w:type="pct"/>
          </w:tcPr>
          <w:p w14:paraId="46B0B0F5" w14:textId="77777777" w:rsidR="002926D7" w:rsidRDefault="002926D7" w:rsidP="002926D7">
            <w:pPr>
              <w:pStyle w:val="TableBodyCopy"/>
            </w:pPr>
          </w:p>
        </w:tc>
        <w:tc>
          <w:tcPr>
            <w:tcW w:w="620" w:type="pct"/>
          </w:tcPr>
          <w:p w14:paraId="038173A9" w14:textId="77777777" w:rsidR="002926D7" w:rsidRDefault="002926D7" w:rsidP="002926D7">
            <w:pPr>
              <w:pStyle w:val="TableBodyCopy"/>
            </w:pPr>
          </w:p>
        </w:tc>
      </w:tr>
      <w:tr w:rsidR="00451E92" w14:paraId="56AC7E27" w14:textId="77777777" w:rsidTr="00451E92">
        <w:trPr>
          <w:trHeight w:val="112"/>
        </w:trPr>
        <w:tc>
          <w:tcPr>
            <w:tcW w:w="244" w:type="pct"/>
          </w:tcPr>
          <w:p w14:paraId="099B9C6D" w14:textId="0DC84222" w:rsidR="002926D7" w:rsidRPr="5B386C92" w:rsidRDefault="002926D7" w:rsidP="002926D7">
            <w:pPr>
              <w:pStyle w:val="TableBodyCopy"/>
              <w:jc w:val="center"/>
            </w:pPr>
            <w:r w:rsidRPr="5B386C92">
              <w:t>29</w:t>
            </w:r>
          </w:p>
        </w:tc>
        <w:tc>
          <w:tcPr>
            <w:tcW w:w="679" w:type="pct"/>
          </w:tcPr>
          <w:p w14:paraId="31CCB599" w14:textId="569DC4ED" w:rsidR="002926D7" w:rsidRPr="2B1154F6" w:rsidRDefault="002926D7" w:rsidP="002926D7">
            <w:pPr>
              <w:pStyle w:val="TableBodyCopy"/>
              <w:rPr>
                <w:color w:val="000000" w:themeColor="text1"/>
              </w:rPr>
            </w:pPr>
            <w:r w:rsidRPr="2B1154F6">
              <w:rPr>
                <w:color w:val="000000" w:themeColor="text1"/>
              </w:rPr>
              <w:t>Lifecycle Plans</w:t>
            </w:r>
          </w:p>
        </w:tc>
        <w:tc>
          <w:tcPr>
            <w:tcW w:w="1800" w:type="pct"/>
          </w:tcPr>
          <w:p w14:paraId="155F8AAC" w14:textId="7D98A93C" w:rsidR="002926D7" w:rsidRPr="2B1154F6" w:rsidRDefault="002926D7" w:rsidP="002926D7">
            <w:pPr>
              <w:pStyle w:val="TableBodyCopy"/>
              <w:rPr>
                <w:color w:val="000000" w:themeColor="text1"/>
              </w:rPr>
            </w:pPr>
            <w:r w:rsidRPr="2B1154F6">
              <w:rPr>
                <w:color w:val="000000" w:themeColor="text1"/>
              </w:rPr>
              <w:t xml:space="preserve">Plans (annual and </w:t>
            </w:r>
            <w:r>
              <w:rPr>
                <w:color w:val="000000" w:themeColor="text1"/>
              </w:rPr>
              <w:t>five</w:t>
            </w:r>
            <w:r w:rsidRPr="2B1154F6">
              <w:rPr>
                <w:color w:val="000000" w:themeColor="text1"/>
              </w:rPr>
              <w:t xml:space="preserve">-yearly projections) usually prepared by the </w:t>
            </w:r>
            <w:r>
              <w:rPr>
                <w:color w:val="000000" w:themeColor="text1"/>
              </w:rPr>
              <w:t>h</w:t>
            </w:r>
            <w:r w:rsidRPr="2B1154F6">
              <w:rPr>
                <w:color w:val="000000" w:themeColor="text1"/>
              </w:rPr>
              <w:t xml:space="preserve">ard FM </w:t>
            </w:r>
            <w:r>
              <w:rPr>
                <w:color w:val="000000" w:themeColor="text1"/>
              </w:rPr>
              <w:t>c</w:t>
            </w:r>
            <w:r w:rsidRPr="2B1154F6">
              <w:rPr>
                <w:color w:val="000000" w:themeColor="text1"/>
              </w:rPr>
              <w:t xml:space="preserve">ontractor (in conjunction with PFI Co) detailing the proposed asset and equipment replacements to take place over the period to which the plan relates. Often this details the next year and forecasts over the following </w:t>
            </w:r>
            <w:r>
              <w:rPr>
                <w:color w:val="000000" w:themeColor="text1"/>
              </w:rPr>
              <w:t>five</w:t>
            </w:r>
            <w:r w:rsidRPr="2B1154F6">
              <w:rPr>
                <w:color w:val="000000" w:themeColor="text1"/>
              </w:rPr>
              <w:t xml:space="preserve"> years (on a rolling </w:t>
            </w:r>
            <w:r>
              <w:rPr>
                <w:color w:val="000000" w:themeColor="text1"/>
              </w:rPr>
              <w:t>five</w:t>
            </w:r>
            <w:r w:rsidRPr="2B1154F6">
              <w:rPr>
                <w:color w:val="000000" w:themeColor="text1"/>
              </w:rPr>
              <w:t xml:space="preserve">-year basis).  The term </w:t>
            </w:r>
            <w:r>
              <w:rPr>
                <w:color w:val="000000" w:themeColor="text1"/>
              </w:rPr>
              <w:t>‘</w:t>
            </w:r>
            <w:r w:rsidRPr="2B1154F6">
              <w:rPr>
                <w:color w:val="000000" w:themeColor="text1"/>
              </w:rPr>
              <w:t>lifecycle plan</w:t>
            </w:r>
            <w:r>
              <w:rPr>
                <w:color w:val="000000" w:themeColor="text1"/>
              </w:rPr>
              <w:t>’</w:t>
            </w:r>
            <w:r w:rsidRPr="2B1154F6">
              <w:rPr>
                <w:color w:val="000000" w:themeColor="text1"/>
              </w:rPr>
              <w:t xml:space="preserve"> incorporates both the annual lifecycle plan and</w:t>
            </w:r>
            <w:r>
              <w:rPr>
                <w:color w:val="000000" w:themeColor="text1"/>
              </w:rPr>
              <w:t xml:space="preserve"> the</w:t>
            </w:r>
            <w:r w:rsidRPr="2B1154F6">
              <w:rPr>
                <w:color w:val="000000" w:themeColor="text1"/>
              </w:rPr>
              <w:t xml:space="preserve"> </w:t>
            </w:r>
            <w:r>
              <w:rPr>
                <w:color w:val="000000" w:themeColor="text1"/>
              </w:rPr>
              <w:t>five</w:t>
            </w:r>
            <w:r w:rsidRPr="2B1154F6">
              <w:rPr>
                <w:color w:val="000000" w:themeColor="text1"/>
              </w:rPr>
              <w:t>-yearly lifecycle plan.</w:t>
            </w:r>
          </w:p>
        </w:tc>
        <w:tc>
          <w:tcPr>
            <w:tcW w:w="226" w:type="pct"/>
          </w:tcPr>
          <w:p w14:paraId="0D57A508" w14:textId="77777777" w:rsidR="002926D7" w:rsidRDefault="002926D7" w:rsidP="002926D7">
            <w:pPr>
              <w:pStyle w:val="TableBodyCopy"/>
            </w:pPr>
          </w:p>
        </w:tc>
        <w:tc>
          <w:tcPr>
            <w:tcW w:w="225" w:type="pct"/>
          </w:tcPr>
          <w:p w14:paraId="7662CE63" w14:textId="77777777" w:rsidR="002926D7" w:rsidRDefault="002926D7" w:rsidP="002926D7">
            <w:pPr>
              <w:pStyle w:val="TableBodyCopy"/>
            </w:pPr>
          </w:p>
        </w:tc>
        <w:tc>
          <w:tcPr>
            <w:tcW w:w="224" w:type="pct"/>
          </w:tcPr>
          <w:p w14:paraId="4794ABCB" w14:textId="77777777" w:rsidR="002926D7" w:rsidRDefault="002926D7" w:rsidP="002926D7">
            <w:pPr>
              <w:pStyle w:val="TableBodyCopy"/>
            </w:pPr>
          </w:p>
        </w:tc>
        <w:tc>
          <w:tcPr>
            <w:tcW w:w="270" w:type="pct"/>
            <w:gridSpan w:val="2"/>
          </w:tcPr>
          <w:p w14:paraId="2D8F5FF1" w14:textId="77777777" w:rsidR="002926D7" w:rsidRDefault="002926D7" w:rsidP="002926D7">
            <w:pPr>
              <w:pStyle w:val="TableBodyCopy"/>
            </w:pPr>
          </w:p>
        </w:tc>
        <w:tc>
          <w:tcPr>
            <w:tcW w:w="295" w:type="pct"/>
          </w:tcPr>
          <w:p w14:paraId="7060682E" w14:textId="77777777" w:rsidR="002926D7" w:rsidRDefault="002926D7" w:rsidP="002926D7">
            <w:pPr>
              <w:pStyle w:val="TableBodyCopy"/>
            </w:pPr>
          </w:p>
        </w:tc>
        <w:tc>
          <w:tcPr>
            <w:tcW w:w="417" w:type="pct"/>
          </w:tcPr>
          <w:p w14:paraId="3D899F6D" w14:textId="77777777" w:rsidR="002926D7" w:rsidRDefault="002926D7" w:rsidP="002926D7">
            <w:pPr>
              <w:pStyle w:val="TableBodyCopy"/>
            </w:pPr>
          </w:p>
        </w:tc>
        <w:tc>
          <w:tcPr>
            <w:tcW w:w="620" w:type="pct"/>
          </w:tcPr>
          <w:p w14:paraId="63B5F608" w14:textId="77777777" w:rsidR="002926D7" w:rsidRDefault="002926D7" w:rsidP="002926D7">
            <w:pPr>
              <w:pStyle w:val="TableBodyCopy"/>
            </w:pPr>
          </w:p>
        </w:tc>
      </w:tr>
    </w:tbl>
    <w:p w14:paraId="7407CC3A" w14:textId="7B883D90" w:rsidR="005C4F59" w:rsidRDefault="005C4F59" w:rsidP="0016255C"/>
    <w:sectPr w:rsidR="005C4F59" w:rsidSect="0044287A">
      <w:footerReference w:type="first" r:id="rId14"/>
      <w:pgSz w:w="16838" w:h="11906" w:orient="landscape"/>
      <w:pgMar w:top="656" w:right="797" w:bottom="516" w:left="1440"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C455" w14:textId="77777777" w:rsidR="009E2327" w:rsidRDefault="009E2327" w:rsidP="0047707E">
      <w:pPr>
        <w:spacing w:after="0" w:line="240" w:lineRule="auto"/>
      </w:pPr>
      <w:r>
        <w:separator/>
      </w:r>
    </w:p>
  </w:endnote>
  <w:endnote w:type="continuationSeparator" w:id="0">
    <w:p w14:paraId="314CBC5C" w14:textId="77777777" w:rsidR="009E2327" w:rsidRDefault="009E2327" w:rsidP="0047707E">
      <w:pPr>
        <w:spacing w:after="0" w:line="240" w:lineRule="auto"/>
      </w:pPr>
      <w:r>
        <w:continuationSeparator/>
      </w:r>
    </w:p>
  </w:endnote>
  <w:endnote w:type="continuationNotice" w:id="1">
    <w:p w14:paraId="05302F7A" w14:textId="77777777" w:rsidR="009E2327" w:rsidRDefault="009E2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notTrueType/>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63E" w14:textId="670368D1" w:rsidR="006E5184" w:rsidRPr="00AB5452" w:rsidRDefault="006E5184" w:rsidP="006E5184">
    <w:pPr>
      <w:pStyle w:val="Footer"/>
      <w:jc w:val="center"/>
      <w:rPr>
        <w:rFonts w:ascii="Poppins" w:hAnsi="Poppins" w:cs="Poppins"/>
        <w:sz w:val="24"/>
        <w:szCs w:val="24"/>
      </w:rPr>
    </w:pPr>
    <w:r w:rsidRPr="00AB5452">
      <w:rPr>
        <w:rFonts w:ascii="Poppins" w:hAnsi="Poppins" w:cs="Poppins"/>
        <w:sz w:val="24"/>
        <w:szCs w:val="24"/>
      </w:rPr>
      <w:fldChar w:fldCharType="begin"/>
    </w:r>
    <w:r w:rsidRPr="00AB5452">
      <w:rPr>
        <w:rFonts w:ascii="Poppins" w:hAnsi="Poppins" w:cs="Poppins"/>
        <w:sz w:val="24"/>
        <w:szCs w:val="24"/>
      </w:rPr>
      <w:instrText>PAGE   \* MERGEFORMAT</w:instrText>
    </w:r>
    <w:r w:rsidRPr="00AB5452">
      <w:rPr>
        <w:rFonts w:ascii="Poppins" w:hAnsi="Poppins" w:cs="Poppins"/>
        <w:sz w:val="24"/>
        <w:szCs w:val="24"/>
      </w:rPr>
      <w:fldChar w:fldCharType="separate"/>
    </w:r>
    <w:r w:rsidRPr="00AB5452">
      <w:rPr>
        <w:rFonts w:ascii="Poppins" w:hAnsi="Poppins" w:cs="Poppins"/>
        <w:sz w:val="24"/>
        <w:szCs w:val="24"/>
      </w:rPr>
      <w:t>1</w:t>
    </w:r>
    <w:r w:rsidRPr="00AB5452">
      <w:rPr>
        <w:rFonts w:ascii="Poppins" w:hAnsi="Poppins" w:cs="Poppin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6E078D18" w14:textId="77777777" w:rsidTr="5B386C92">
      <w:trPr>
        <w:trHeight w:val="300"/>
      </w:trPr>
      <w:tc>
        <w:tcPr>
          <w:tcW w:w="3005" w:type="dxa"/>
        </w:tcPr>
        <w:p w14:paraId="193E6DBE" w14:textId="1BACB2D9" w:rsidR="5B386C92" w:rsidRDefault="5B386C92" w:rsidP="5B386C92">
          <w:pPr>
            <w:pStyle w:val="Header"/>
            <w:ind w:left="-115"/>
          </w:pPr>
        </w:p>
      </w:tc>
      <w:tc>
        <w:tcPr>
          <w:tcW w:w="3005" w:type="dxa"/>
        </w:tcPr>
        <w:p w14:paraId="35C45B90" w14:textId="1370359F" w:rsidR="5B386C92" w:rsidRDefault="5B386C92" w:rsidP="5B386C92">
          <w:pPr>
            <w:pStyle w:val="Header"/>
            <w:jc w:val="center"/>
          </w:pPr>
        </w:p>
      </w:tc>
      <w:tc>
        <w:tcPr>
          <w:tcW w:w="3005" w:type="dxa"/>
        </w:tcPr>
        <w:p w14:paraId="1E571F1A" w14:textId="2B39F86A" w:rsidR="5B386C92" w:rsidRDefault="5B386C92" w:rsidP="5B386C92">
          <w:pPr>
            <w:pStyle w:val="Header"/>
            <w:ind w:right="-115"/>
            <w:jc w:val="right"/>
          </w:pPr>
        </w:p>
      </w:tc>
    </w:tr>
  </w:tbl>
  <w:p w14:paraId="44EAF25E" w14:textId="52C4DCAE" w:rsidR="5B386C92" w:rsidRDefault="5B386C92" w:rsidP="5B38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7798F739" w14:textId="77777777" w:rsidTr="5B386C92">
      <w:trPr>
        <w:trHeight w:val="300"/>
      </w:trPr>
      <w:tc>
        <w:tcPr>
          <w:tcW w:w="3005" w:type="dxa"/>
        </w:tcPr>
        <w:p w14:paraId="224CB9D9" w14:textId="5BFBA41C" w:rsidR="5B386C92" w:rsidRDefault="5B386C92" w:rsidP="5B386C92">
          <w:pPr>
            <w:pStyle w:val="Header"/>
            <w:ind w:left="-115"/>
          </w:pPr>
        </w:p>
      </w:tc>
      <w:tc>
        <w:tcPr>
          <w:tcW w:w="3005" w:type="dxa"/>
        </w:tcPr>
        <w:p w14:paraId="162D4535" w14:textId="4A052B17" w:rsidR="5B386C92" w:rsidRDefault="5B386C92" w:rsidP="5B386C92">
          <w:pPr>
            <w:pStyle w:val="Header"/>
            <w:jc w:val="center"/>
          </w:pPr>
        </w:p>
      </w:tc>
      <w:tc>
        <w:tcPr>
          <w:tcW w:w="3005" w:type="dxa"/>
        </w:tcPr>
        <w:p w14:paraId="41C4894F" w14:textId="323A22BF" w:rsidR="5B386C92" w:rsidRDefault="5B386C92" w:rsidP="5B386C92">
          <w:pPr>
            <w:pStyle w:val="Header"/>
            <w:ind w:right="-115"/>
            <w:jc w:val="right"/>
          </w:pPr>
        </w:p>
      </w:tc>
    </w:tr>
  </w:tbl>
  <w:p w14:paraId="3E101C16" w14:textId="457192F9" w:rsidR="5B386C92" w:rsidRDefault="5B386C92" w:rsidP="5B38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5217" w14:textId="77777777" w:rsidR="009E2327" w:rsidRDefault="009E2327" w:rsidP="0047707E">
      <w:pPr>
        <w:spacing w:after="0" w:line="240" w:lineRule="auto"/>
      </w:pPr>
      <w:r>
        <w:separator/>
      </w:r>
    </w:p>
  </w:footnote>
  <w:footnote w:type="continuationSeparator" w:id="0">
    <w:p w14:paraId="583E30DE" w14:textId="77777777" w:rsidR="009E2327" w:rsidRDefault="009E2327" w:rsidP="0047707E">
      <w:pPr>
        <w:spacing w:after="0" w:line="240" w:lineRule="auto"/>
      </w:pPr>
      <w:r>
        <w:continuationSeparator/>
      </w:r>
    </w:p>
  </w:footnote>
  <w:footnote w:type="continuationNotice" w:id="1">
    <w:p w14:paraId="552AE7FF" w14:textId="77777777" w:rsidR="009E2327" w:rsidRDefault="009E2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31DE" w14:textId="1F34C3A1" w:rsidR="0047707E" w:rsidRDefault="00B2659F">
    <w:pPr>
      <w:pStyle w:val="Header"/>
    </w:pPr>
    <w:r>
      <w:rPr>
        <w:noProof/>
      </w:rPr>
      <w:drawing>
        <wp:anchor distT="0" distB="0" distL="114300" distR="114300" simplePos="0" relativeHeight="251659264" behindDoc="1" locked="0" layoutInCell="1" allowOverlap="1" wp14:anchorId="76773E47" wp14:editId="5D47437B">
          <wp:simplePos x="0" y="0"/>
          <wp:positionH relativeFrom="column">
            <wp:posOffset>-668132</wp:posOffset>
          </wp:positionH>
          <wp:positionV relativeFrom="paragraph">
            <wp:posOffset>-443230</wp:posOffset>
          </wp:positionV>
          <wp:extent cx="10754723" cy="7611035"/>
          <wp:effectExtent l="0" t="0" r="0" b="0"/>
          <wp:wrapNone/>
          <wp:docPr id="119116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9153" name="Picture 1191169153"/>
                  <pic:cNvPicPr/>
                </pic:nvPicPr>
                <pic:blipFill>
                  <a:blip r:embed="rId1">
                    <a:extLst>
                      <a:ext uri="{28A0092B-C50C-407E-A947-70E740481C1C}">
                        <a14:useLocalDpi xmlns:a14="http://schemas.microsoft.com/office/drawing/2010/main" val="0"/>
                      </a:ext>
                    </a:extLst>
                  </a:blip>
                  <a:stretch>
                    <a:fillRect/>
                  </a:stretch>
                </pic:blipFill>
                <pic:spPr>
                  <a:xfrm>
                    <a:off x="0" y="0"/>
                    <a:ext cx="10754723" cy="7611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66474" wp14:editId="052B8A2F">
          <wp:simplePos x="0" y="0"/>
          <wp:positionH relativeFrom="column">
            <wp:posOffset>0</wp:posOffset>
          </wp:positionH>
          <wp:positionV relativeFrom="paragraph">
            <wp:posOffset>-635</wp:posOffset>
          </wp:positionV>
          <wp:extent cx="2425065" cy="1058545"/>
          <wp:effectExtent l="0" t="0" r="635" b="0"/>
          <wp:wrapNone/>
          <wp:docPr id="553279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7929" name="Picture 2142357929"/>
                  <pic:cNvPicPr/>
                </pic:nvPicPr>
                <pic:blipFill>
                  <a:blip r:embed="rId2">
                    <a:extLst>
                      <a:ext uri="{28A0092B-C50C-407E-A947-70E740481C1C}">
                        <a14:useLocalDpi xmlns:a14="http://schemas.microsoft.com/office/drawing/2010/main" val="0"/>
                      </a:ext>
                    </a:extLst>
                  </a:blip>
                  <a:stretch>
                    <a:fillRect/>
                  </a:stretch>
                </pic:blipFill>
                <pic:spPr>
                  <a:xfrm>
                    <a:off x="0" y="0"/>
                    <a:ext cx="2425065" cy="10585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SOjrnYdZJjld" int2:id="thGx7T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8B"/>
    <w:multiLevelType w:val="hybridMultilevel"/>
    <w:tmpl w:val="B9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C9D"/>
    <w:multiLevelType w:val="hybridMultilevel"/>
    <w:tmpl w:val="B32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91D11"/>
    <w:multiLevelType w:val="hybridMultilevel"/>
    <w:tmpl w:val="B2C6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B38"/>
    <w:multiLevelType w:val="hybridMultilevel"/>
    <w:tmpl w:val="5A9A1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3975"/>
    <w:multiLevelType w:val="hybridMultilevel"/>
    <w:tmpl w:val="DD3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41F"/>
    <w:multiLevelType w:val="hybridMultilevel"/>
    <w:tmpl w:val="FDAE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A1963"/>
    <w:multiLevelType w:val="hybridMultilevel"/>
    <w:tmpl w:val="661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64E0"/>
    <w:multiLevelType w:val="hybridMultilevel"/>
    <w:tmpl w:val="54A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A6A3D"/>
    <w:multiLevelType w:val="hybridMultilevel"/>
    <w:tmpl w:val="DB8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541E5"/>
    <w:multiLevelType w:val="multilevel"/>
    <w:tmpl w:val="7C32E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F6694"/>
    <w:multiLevelType w:val="hybridMultilevel"/>
    <w:tmpl w:val="14F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736F0"/>
    <w:multiLevelType w:val="multilevel"/>
    <w:tmpl w:val="8BA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847806"/>
    <w:multiLevelType w:val="multilevel"/>
    <w:tmpl w:val="B82E74A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FF644C"/>
    <w:multiLevelType w:val="hybridMultilevel"/>
    <w:tmpl w:val="26D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16AFF"/>
    <w:multiLevelType w:val="hybridMultilevel"/>
    <w:tmpl w:val="088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31607"/>
    <w:multiLevelType w:val="hybridMultilevel"/>
    <w:tmpl w:val="A1C0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F4CE6"/>
    <w:multiLevelType w:val="multilevel"/>
    <w:tmpl w:val="AD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422798"/>
    <w:multiLevelType w:val="hybridMultilevel"/>
    <w:tmpl w:val="55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5654C"/>
    <w:multiLevelType w:val="hybridMultilevel"/>
    <w:tmpl w:val="B09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60D97"/>
    <w:multiLevelType w:val="hybridMultilevel"/>
    <w:tmpl w:val="F66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D1983"/>
    <w:multiLevelType w:val="hybridMultilevel"/>
    <w:tmpl w:val="F91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A4C0E"/>
    <w:multiLevelType w:val="hybridMultilevel"/>
    <w:tmpl w:val="15AA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D47517"/>
    <w:multiLevelType w:val="hybridMultilevel"/>
    <w:tmpl w:val="72F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E4F4D"/>
    <w:multiLevelType w:val="multilevel"/>
    <w:tmpl w:val="E59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0F6593"/>
    <w:multiLevelType w:val="hybridMultilevel"/>
    <w:tmpl w:val="1D2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D52D24"/>
    <w:multiLevelType w:val="hybridMultilevel"/>
    <w:tmpl w:val="08B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039ED"/>
    <w:multiLevelType w:val="hybridMultilevel"/>
    <w:tmpl w:val="E08E5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D376BD"/>
    <w:multiLevelType w:val="multilevel"/>
    <w:tmpl w:val="FB2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044749"/>
    <w:multiLevelType w:val="hybridMultilevel"/>
    <w:tmpl w:val="0A8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7D7BB7"/>
    <w:multiLevelType w:val="hybridMultilevel"/>
    <w:tmpl w:val="C0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7E71BF"/>
    <w:multiLevelType w:val="multilevel"/>
    <w:tmpl w:val="D74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BE7C16"/>
    <w:multiLevelType w:val="multilevel"/>
    <w:tmpl w:val="5542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C342AC"/>
    <w:multiLevelType w:val="multilevel"/>
    <w:tmpl w:val="19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8271AE"/>
    <w:multiLevelType w:val="multilevel"/>
    <w:tmpl w:val="BE8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C211B3"/>
    <w:multiLevelType w:val="multilevel"/>
    <w:tmpl w:val="4E2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254643"/>
    <w:multiLevelType w:val="multilevel"/>
    <w:tmpl w:val="92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5A39E0"/>
    <w:multiLevelType w:val="hybridMultilevel"/>
    <w:tmpl w:val="19F6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3D1619A"/>
    <w:multiLevelType w:val="hybridMultilevel"/>
    <w:tmpl w:val="5CCA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4E66A95"/>
    <w:multiLevelType w:val="hybridMultilevel"/>
    <w:tmpl w:val="3BB87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EB7A17"/>
    <w:multiLevelType w:val="multilevel"/>
    <w:tmpl w:val="19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0D1F3F"/>
    <w:multiLevelType w:val="hybridMultilevel"/>
    <w:tmpl w:val="BA8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8424C0"/>
    <w:multiLevelType w:val="multilevel"/>
    <w:tmpl w:val="216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A316E9"/>
    <w:multiLevelType w:val="hybridMultilevel"/>
    <w:tmpl w:val="184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265C2B"/>
    <w:multiLevelType w:val="hybridMultilevel"/>
    <w:tmpl w:val="436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450E0F"/>
    <w:multiLevelType w:val="hybridMultilevel"/>
    <w:tmpl w:val="FE56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6B3D72"/>
    <w:multiLevelType w:val="hybridMultilevel"/>
    <w:tmpl w:val="EA3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051227"/>
    <w:multiLevelType w:val="hybridMultilevel"/>
    <w:tmpl w:val="866E92A2"/>
    <w:lvl w:ilvl="0" w:tplc="F0C09E2A">
      <w:start w:val="1"/>
      <w:numFmt w:val="bullet"/>
      <w:lvlText w:val=""/>
      <w:lvlJc w:val="left"/>
      <w:pPr>
        <w:ind w:left="720" w:hanging="360"/>
      </w:pPr>
      <w:rPr>
        <w:rFonts w:ascii="Symbol" w:hAnsi="Symbol" w:hint="default"/>
      </w:rPr>
    </w:lvl>
    <w:lvl w:ilvl="1" w:tplc="4FE6A39A">
      <w:start w:val="1"/>
      <w:numFmt w:val="bullet"/>
      <w:lvlText w:val="o"/>
      <w:lvlJc w:val="left"/>
      <w:pPr>
        <w:ind w:left="1440" w:hanging="360"/>
      </w:pPr>
      <w:rPr>
        <w:rFonts w:ascii="Courier New" w:hAnsi="Courier New" w:hint="default"/>
      </w:rPr>
    </w:lvl>
    <w:lvl w:ilvl="2" w:tplc="D2A2080E">
      <w:start w:val="1"/>
      <w:numFmt w:val="bullet"/>
      <w:lvlText w:val=""/>
      <w:lvlJc w:val="left"/>
      <w:pPr>
        <w:ind w:left="2160" w:hanging="360"/>
      </w:pPr>
      <w:rPr>
        <w:rFonts w:ascii="Wingdings" w:hAnsi="Wingdings" w:hint="default"/>
      </w:rPr>
    </w:lvl>
    <w:lvl w:ilvl="3" w:tplc="76CC0CDA">
      <w:start w:val="1"/>
      <w:numFmt w:val="bullet"/>
      <w:lvlText w:val=""/>
      <w:lvlJc w:val="left"/>
      <w:pPr>
        <w:ind w:left="2880" w:hanging="360"/>
      </w:pPr>
      <w:rPr>
        <w:rFonts w:ascii="Symbol" w:hAnsi="Symbol" w:hint="default"/>
      </w:rPr>
    </w:lvl>
    <w:lvl w:ilvl="4" w:tplc="507AC294">
      <w:start w:val="1"/>
      <w:numFmt w:val="bullet"/>
      <w:lvlText w:val="o"/>
      <w:lvlJc w:val="left"/>
      <w:pPr>
        <w:ind w:left="3600" w:hanging="360"/>
      </w:pPr>
      <w:rPr>
        <w:rFonts w:ascii="Courier New" w:hAnsi="Courier New" w:hint="default"/>
      </w:rPr>
    </w:lvl>
    <w:lvl w:ilvl="5" w:tplc="20B06ECC">
      <w:start w:val="1"/>
      <w:numFmt w:val="bullet"/>
      <w:lvlText w:val=""/>
      <w:lvlJc w:val="left"/>
      <w:pPr>
        <w:ind w:left="4320" w:hanging="360"/>
      </w:pPr>
      <w:rPr>
        <w:rFonts w:ascii="Wingdings" w:hAnsi="Wingdings" w:hint="default"/>
      </w:rPr>
    </w:lvl>
    <w:lvl w:ilvl="6" w:tplc="29761452">
      <w:start w:val="1"/>
      <w:numFmt w:val="bullet"/>
      <w:lvlText w:val=""/>
      <w:lvlJc w:val="left"/>
      <w:pPr>
        <w:ind w:left="5040" w:hanging="360"/>
      </w:pPr>
      <w:rPr>
        <w:rFonts w:ascii="Symbol" w:hAnsi="Symbol" w:hint="default"/>
      </w:rPr>
    </w:lvl>
    <w:lvl w:ilvl="7" w:tplc="FB9EA714">
      <w:start w:val="1"/>
      <w:numFmt w:val="bullet"/>
      <w:lvlText w:val="o"/>
      <w:lvlJc w:val="left"/>
      <w:pPr>
        <w:ind w:left="5760" w:hanging="360"/>
      </w:pPr>
      <w:rPr>
        <w:rFonts w:ascii="Courier New" w:hAnsi="Courier New" w:hint="default"/>
      </w:rPr>
    </w:lvl>
    <w:lvl w:ilvl="8" w:tplc="19961030">
      <w:start w:val="1"/>
      <w:numFmt w:val="bullet"/>
      <w:lvlText w:val=""/>
      <w:lvlJc w:val="left"/>
      <w:pPr>
        <w:ind w:left="6480" w:hanging="360"/>
      </w:pPr>
      <w:rPr>
        <w:rFonts w:ascii="Wingdings" w:hAnsi="Wingdings" w:hint="default"/>
      </w:rPr>
    </w:lvl>
  </w:abstractNum>
  <w:abstractNum w:abstractNumId="47" w15:restartNumberingAfterBreak="0">
    <w:nsid w:val="628A1813"/>
    <w:multiLevelType w:val="hybridMultilevel"/>
    <w:tmpl w:val="96D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767EFC"/>
    <w:multiLevelType w:val="hybridMultilevel"/>
    <w:tmpl w:val="B34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953BB3"/>
    <w:multiLevelType w:val="multilevel"/>
    <w:tmpl w:val="12F2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970E88"/>
    <w:multiLevelType w:val="hybridMultilevel"/>
    <w:tmpl w:val="71F4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3E61E4"/>
    <w:multiLevelType w:val="hybridMultilevel"/>
    <w:tmpl w:val="5B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C550F5"/>
    <w:multiLevelType w:val="hybridMultilevel"/>
    <w:tmpl w:val="15E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9264C6"/>
    <w:multiLevelType w:val="hybridMultilevel"/>
    <w:tmpl w:val="98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C93374"/>
    <w:multiLevelType w:val="hybridMultilevel"/>
    <w:tmpl w:val="47806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3E2F0B"/>
    <w:multiLevelType w:val="hybridMultilevel"/>
    <w:tmpl w:val="DAB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F151CA"/>
    <w:multiLevelType w:val="hybridMultilevel"/>
    <w:tmpl w:val="0C32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1C502C"/>
    <w:multiLevelType w:val="hybridMultilevel"/>
    <w:tmpl w:val="ED36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E313C3"/>
    <w:multiLevelType w:val="hybridMultilevel"/>
    <w:tmpl w:val="CE4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1879A0"/>
    <w:multiLevelType w:val="multilevel"/>
    <w:tmpl w:val="5F8CD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1BE6003"/>
    <w:multiLevelType w:val="hybridMultilevel"/>
    <w:tmpl w:val="5F8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056F91"/>
    <w:multiLevelType w:val="hybridMultilevel"/>
    <w:tmpl w:val="953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84015D"/>
    <w:multiLevelType w:val="hybridMultilevel"/>
    <w:tmpl w:val="D5C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A56F5A"/>
    <w:multiLevelType w:val="multilevel"/>
    <w:tmpl w:val="38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714D13"/>
    <w:multiLevelType w:val="hybridMultilevel"/>
    <w:tmpl w:val="19D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D34570"/>
    <w:multiLevelType w:val="hybridMultilevel"/>
    <w:tmpl w:val="31D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286D75"/>
    <w:multiLevelType w:val="hybridMultilevel"/>
    <w:tmpl w:val="F73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9D6125"/>
    <w:multiLevelType w:val="hybridMultilevel"/>
    <w:tmpl w:val="32EC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977D82"/>
    <w:multiLevelType w:val="hybridMultilevel"/>
    <w:tmpl w:val="5100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4841">
    <w:abstractNumId w:val="46"/>
  </w:num>
  <w:num w:numId="2" w16cid:durableId="619840576">
    <w:abstractNumId w:val="26"/>
  </w:num>
  <w:num w:numId="3" w16cid:durableId="524707323">
    <w:abstractNumId w:val="12"/>
  </w:num>
  <w:num w:numId="4" w16cid:durableId="294679061">
    <w:abstractNumId w:val="57"/>
  </w:num>
  <w:num w:numId="5" w16cid:durableId="384377041">
    <w:abstractNumId w:val="25"/>
  </w:num>
  <w:num w:numId="6" w16cid:durableId="1918201073">
    <w:abstractNumId w:val="14"/>
  </w:num>
  <w:num w:numId="7" w16cid:durableId="1104307482">
    <w:abstractNumId w:val="60"/>
  </w:num>
  <w:num w:numId="8" w16cid:durableId="666790223">
    <w:abstractNumId w:val="42"/>
  </w:num>
  <w:num w:numId="9" w16cid:durableId="327486789">
    <w:abstractNumId w:val="43"/>
  </w:num>
  <w:num w:numId="10" w16cid:durableId="679162703">
    <w:abstractNumId w:val="5"/>
  </w:num>
  <w:num w:numId="11" w16cid:durableId="2125418704">
    <w:abstractNumId w:val="68"/>
  </w:num>
  <w:num w:numId="12" w16cid:durableId="1376387325">
    <w:abstractNumId w:val="3"/>
  </w:num>
  <w:num w:numId="13" w16cid:durableId="1364332396">
    <w:abstractNumId w:val="51"/>
  </w:num>
  <w:num w:numId="14" w16cid:durableId="1235773409">
    <w:abstractNumId w:val="50"/>
  </w:num>
  <w:num w:numId="15" w16cid:durableId="1123814515">
    <w:abstractNumId w:val="38"/>
  </w:num>
  <w:num w:numId="16" w16cid:durableId="664092296">
    <w:abstractNumId w:val="24"/>
  </w:num>
  <w:num w:numId="17" w16cid:durableId="1947733933">
    <w:abstractNumId w:val="15"/>
  </w:num>
  <w:num w:numId="18" w16cid:durableId="1464884839">
    <w:abstractNumId w:val="58"/>
  </w:num>
  <w:num w:numId="19" w16cid:durableId="1367870867">
    <w:abstractNumId w:val="53"/>
  </w:num>
  <w:num w:numId="20" w16cid:durableId="1303844955">
    <w:abstractNumId w:val="0"/>
  </w:num>
  <w:num w:numId="21" w16cid:durableId="1775586240">
    <w:abstractNumId w:val="44"/>
  </w:num>
  <w:num w:numId="22" w16cid:durableId="827937918">
    <w:abstractNumId w:val="19"/>
  </w:num>
  <w:num w:numId="23" w16cid:durableId="1951737931">
    <w:abstractNumId w:val="4"/>
  </w:num>
  <w:num w:numId="24" w16cid:durableId="367342887">
    <w:abstractNumId w:val="48"/>
  </w:num>
  <w:num w:numId="25" w16cid:durableId="710618142">
    <w:abstractNumId w:val="22"/>
  </w:num>
  <w:num w:numId="26" w16cid:durableId="877350712">
    <w:abstractNumId w:val="56"/>
  </w:num>
  <w:num w:numId="27" w16cid:durableId="326521681">
    <w:abstractNumId w:val="6"/>
  </w:num>
  <w:num w:numId="28" w16cid:durableId="1638949383">
    <w:abstractNumId w:val="67"/>
  </w:num>
  <w:num w:numId="29" w16cid:durableId="1810634884">
    <w:abstractNumId w:val="35"/>
  </w:num>
  <w:num w:numId="30" w16cid:durableId="1204293852">
    <w:abstractNumId w:val="52"/>
  </w:num>
  <w:num w:numId="31" w16cid:durableId="1274361959">
    <w:abstractNumId w:val="7"/>
  </w:num>
  <w:num w:numId="32" w16cid:durableId="1378118061">
    <w:abstractNumId w:val="54"/>
  </w:num>
  <w:num w:numId="33" w16cid:durableId="1281835323">
    <w:abstractNumId w:val="23"/>
  </w:num>
  <w:num w:numId="34" w16cid:durableId="1381133586">
    <w:abstractNumId w:val="32"/>
  </w:num>
  <w:num w:numId="35" w16cid:durableId="912424669">
    <w:abstractNumId w:val="37"/>
  </w:num>
  <w:num w:numId="36" w16cid:durableId="101266295">
    <w:abstractNumId w:val="10"/>
  </w:num>
  <w:num w:numId="37" w16cid:durableId="356661536">
    <w:abstractNumId w:val="28"/>
  </w:num>
  <w:num w:numId="38" w16cid:durableId="1323315192">
    <w:abstractNumId w:val="34"/>
  </w:num>
  <w:num w:numId="39" w16cid:durableId="1837958888">
    <w:abstractNumId w:val="21"/>
  </w:num>
  <w:num w:numId="40" w16cid:durableId="1433893509">
    <w:abstractNumId w:val="17"/>
  </w:num>
  <w:num w:numId="41" w16cid:durableId="762529496">
    <w:abstractNumId w:val="13"/>
  </w:num>
  <w:num w:numId="42" w16cid:durableId="1586955174">
    <w:abstractNumId w:val="20"/>
  </w:num>
  <w:num w:numId="43" w16cid:durableId="1068843634">
    <w:abstractNumId w:val="47"/>
  </w:num>
  <w:num w:numId="44" w16cid:durableId="1461723187">
    <w:abstractNumId w:val="8"/>
  </w:num>
  <w:num w:numId="45" w16cid:durableId="210577993">
    <w:abstractNumId w:val="65"/>
  </w:num>
  <w:num w:numId="46" w16cid:durableId="1802574280">
    <w:abstractNumId w:val="29"/>
  </w:num>
  <w:num w:numId="47" w16cid:durableId="1904870339">
    <w:abstractNumId w:val="11"/>
  </w:num>
  <w:num w:numId="48" w16cid:durableId="1894540057">
    <w:abstractNumId w:val="63"/>
  </w:num>
  <w:num w:numId="49" w16cid:durableId="1938710821">
    <w:abstractNumId w:val="31"/>
  </w:num>
  <w:num w:numId="50" w16cid:durableId="1239900832">
    <w:abstractNumId w:val="16"/>
  </w:num>
  <w:num w:numId="51" w16cid:durableId="682706568">
    <w:abstractNumId w:val="49"/>
  </w:num>
  <w:num w:numId="52" w16cid:durableId="1667441914">
    <w:abstractNumId w:val="9"/>
  </w:num>
  <w:num w:numId="53" w16cid:durableId="1021055880">
    <w:abstractNumId w:val="41"/>
  </w:num>
  <w:num w:numId="54" w16cid:durableId="1308128378">
    <w:abstractNumId w:val="59"/>
  </w:num>
  <w:num w:numId="55" w16cid:durableId="497967850">
    <w:abstractNumId w:val="62"/>
  </w:num>
  <w:num w:numId="56" w16cid:durableId="74867612">
    <w:abstractNumId w:val="39"/>
  </w:num>
  <w:num w:numId="57" w16cid:durableId="1707021652">
    <w:abstractNumId w:val="64"/>
  </w:num>
  <w:num w:numId="58" w16cid:durableId="46881253">
    <w:abstractNumId w:val="61"/>
  </w:num>
  <w:num w:numId="59" w16cid:durableId="1779981790">
    <w:abstractNumId w:val="45"/>
  </w:num>
  <w:num w:numId="60" w16cid:durableId="1570192511">
    <w:abstractNumId w:val="2"/>
  </w:num>
  <w:num w:numId="61" w16cid:durableId="192807115">
    <w:abstractNumId w:val="18"/>
  </w:num>
  <w:num w:numId="62" w16cid:durableId="724450617">
    <w:abstractNumId w:val="1"/>
  </w:num>
  <w:num w:numId="63" w16cid:durableId="14229707">
    <w:abstractNumId w:val="40"/>
  </w:num>
  <w:num w:numId="64" w16cid:durableId="691221074">
    <w:abstractNumId w:val="27"/>
  </w:num>
  <w:num w:numId="65" w16cid:durableId="1347555449">
    <w:abstractNumId w:val="33"/>
  </w:num>
  <w:num w:numId="66" w16cid:durableId="422344064">
    <w:abstractNumId w:val="30"/>
  </w:num>
  <w:num w:numId="67" w16cid:durableId="1301378697">
    <w:abstractNumId w:val="36"/>
  </w:num>
  <w:num w:numId="68" w16cid:durableId="513572378">
    <w:abstractNumId w:val="55"/>
  </w:num>
  <w:num w:numId="69" w16cid:durableId="1375350332">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E"/>
    <w:rsid w:val="00003D30"/>
    <w:rsid w:val="00014241"/>
    <w:rsid w:val="0001588D"/>
    <w:rsid w:val="000209F5"/>
    <w:rsid w:val="00021AB6"/>
    <w:rsid w:val="00023900"/>
    <w:rsid w:val="0002563E"/>
    <w:rsid w:val="00025FCC"/>
    <w:rsid w:val="00030B83"/>
    <w:rsid w:val="000432DC"/>
    <w:rsid w:val="00045D3B"/>
    <w:rsid w:val="00047FD9"/>
    <w:rsid w:val="00051E18"/>
    <w:rsid w:val="00056519"/>
    <w:rsid w:val="000634A6"/>
    <w:rsid w:val="00066727"/>
    <w:rsid w:val="000720E5"/>
    <w:rsid w:val="0007295A"/>
    <w:rsid w:val="00073B72"/>
    <w:rsid w:val="00077D37"/>
    <w:rsid w:val="00084FCA"/>
    <w:rsid w:val="000868A7"/>
    <w:rsid w:val="00090018"/>
    <w:rsid w:val="00090803"/>
    <w:rsid w:val="000C428D"/>
    <w:rsid w:val="000C5B48"/>
    <w:rsid w:val="000D0EDC"/>
    <w:rsid w:val="000E1106"/>
    <w:rsid w:val="000E3111"/>
    <w:rsid w:val="000E7412"/>
    <w:rsid w:val="000F4055"/>
    <w:rsid w:val="0010783C"/>
    <w:rsid w:val="00110A7E"/>
    <w:rsid w:val="00116CCA"/>
    <w:rsid w:val="00134756"/>
    <w:rsid w:val="00134D0A"/>
    <w:rsid w:val="00143BC0"/>
    <w:rsid w:val="001469E2"/>
    <w:rsid w:val="00160DA6"/>
    <w:rsid w:val="00161923"/>
    <w:rsid w:val="0016255C"/>
    <w:rsid w:val="00164371"/>
    <w:rsid w:val="001868E6"/>
    <w:rsid w:val="00193F9C"/>
    <w:rsid w:val="00197396"/>
    <w:rsid w:val="001A50AB"/>
    <w:rsid w:val="001A7F57"/>
    <w:rsid w:val="001B2E66"/>
    <w:rsid w:val="001B34A1"/>
    <w:rsid w:val="001C155C"/>
    <w:rsid w:val="001C17CC"/>
    <w:rsid w:val="001C4881"/>
    <w:rsid w:val="001E2FF8"/>
    <w:rsid w:val="001E31C6"/>
    <w:rsid w:val="001E329B"/>
    <w:rsid w:val="001E4553"/>
    <w:rsid w:val="001F105F"/>
    <w:rsid w:val="001F60DD"/>
    <w:rsid w:val="001F6F70"/>
    <w:rsid w:val="00200D16"/>
    <w:rsid w:val="00204511"/>
    <w:rsid w:val="00210A72"/>
    <w:rsid w:val="002123B6"/>
    <w:rsid w:val="00216655"/>
    <w:rsid w:val="0022120F"/>
    <w:rsid w:val="00225D40"/>
    <w:rsid w:val="002328B0"/>
    <w:rsid w:val="002442D2"/>
    <w:rsid w:val="00252C39"/>
    <w:rsid w:val="00254741"/>
    <w:rsid w:val="00262108"/>
    <w:rsid w:val="0026776D"/>
    <w:rsid w:val="00277D7C"/>
    <w:rsid w:val="00280313"/>
    <w:rsid w:val="00283152"/>
    <w:rsid w:val="00287762"/>
    <w:rsid w:val="002926D7"/>
    <w:rsid w:val="0029387F"/>
    <w:rsid w:val="00295424"/>
    <w:rsid w:val="0029751F"/>
    <w:rsid w:val="002A0FD5"/>
    <w:rsid w:val="002B5BAA"/>
    <w:rsid w:val="002B6DB1"/>
    <w:rsid w:val="002C08B1"/>
    <w:rsid w:val="002C4605"/>
    <w:rsid w:val="002D0ADF"/>
    <w:rsid w:val="002D24CC"/>
    <w:rsid w:val="002D3694"/>
    <w:rsid w:val="002D69F1"/>
    <w:rsid w:val="002E2397"/>
    <w:rsid w:val="002E7D5F"/>
    <w:rsid w:val="002F7252"/>
    <w:rsid w:val="00312EB4"/>
    <w:rsid w:val="00313B8F"/>
    <w:rsid w:val="00314580"/>
    <w:rsid w:val="0031768D"/>
    <w:rsid w:val="003209A8"/>
    <w:rsid w:val="0032642D"/>
    <w:rsid w:val="003326DC"/>
    <w:rsid w:val="00334F51"/>
    <w:rsid w:val="00337C17"/>
    <w:rsid w:val="00342D10"/>
    <w:rsid w:val="00344D27"/>
    <w:rsid w:val="00352915"/>
    <w:rsid w:val="003540BF"/>
    <w:rsid w:val="00354B69"/>
    <w:rsid w:val="003701A8"/>
    <w:rsid w:val="00377584"/>
    <w:rsid w:val="00392A02"/>
    <w:rsid w:val="00396657"/>
    <w:rsid w:val="003A0C12"/>
    <w:rsid w:val="003A1DDD"/>
    <w:rsid w:val="003A281C"/>
    <w:rsid w:val="003A51C8"/>
    <w:rsid w:val="003A5354"/>
    <w:rsid w:val="003B0D8A"/>
    <w:rsid w:val="003B2235"/>
    <w:rsid w:val="003D16AC"/>
    <w:rsid w:val="003E2BD0"/>
    <w:rsid w:val="003E513E"/>
    <w:rsid w:val="003E59DF"/>
    <w:rsid w:val="003E7102"/>
    <w:rsid w:val="003E749D"/>
    <w:rsid w:val="003F3510"/>
    <w:rsid w:val="003F4BA1"/>
    <w:rsid w:val="003F615A"/>
    <w:rsid w:val="003F6EEB"/>
    <w:rsid w:val="0042549C"/>
    <w:rsid w:val="00425505"/>
    <w:rsid w:val="00426007"/>
    <w:rsid w:val="004266C7"/>
    <w:rsid w:val="00435084"/>
    <w:rsid w:val="00435377"/>
    <w:rsid w:val="0044287A"/>
    <w:rsid w:val="004433D2"/>
    <w:rsid w:val="00444D9A"/>
    <w:rsid w:val="00447AFE"/>
    <w:rsid w:val="0045045D"/>
    <w:rsid w:val="00450E44"/>
    <w:rsid w:val="004519E3"/>
    <w:rsid w:val="00451E92"/>
    <w:rsid w:val="00460D18"/>
    <w:rsid w:val="00475736"/>
    <w:rsid w:val="0047707E"/>
    <w:rsid w:val="004777D8"/>
    <w:rsid w:val="00477C7F"/>
    <w:rsid w:val="004806DF"/>
    <w:rsid w:val="00490FEA"/>
    <w:rsid w:val="0049228E"/>
    <w:rsid w:val="00495DA7"/>
    <w:rsid w:val="004963F1"/>
    <w:rsid w:val="004967CF"/>
    <w:rsid w:val="004A05F2"/>
    <w:rsid w:val="004A1372"/>
    <w:rsid w:val="004B2342"/>
    <w:rsid w:val="004C1152"/>
    <w:rsid w:val="004C2784"/>
    <w:rsid w:val="004C5ED1"/>
    <w:rsid w:val="004D421A"/>
    <w:rsid w:val="004E3B72"/>
    <w:rsid w:val="004E54B3"/>
    <w:rsid w:val="004E6092"/>
    <w:rsid w:val="004F6457"/>
    <w:rsid w:val="00502CF6"/>
    <w:rsid w:val="005036E7"/>
    <w:rsid w:val="0050479A"/>
    <w:rsid w:val="00514AE6"/>
    <w:rsid w:val="00514B96"/>
    <w:rsid w:val="00515235"/>
    <w:rsid w:val="00516659"/>
    <w:rsid w:val="0053085F"/>
    <w:rsid w:val="00532E4A"/>
    <w:rsid w:val="00534028"/>
    <w:rsid w:val="005367A3"/>
    <w:rsid w:val="005372C5"/>
    <w:rsid w:val="005400E8"/>
    <w:rsid w:val="005428E2"/>
    <w:rsid w:val="00546C1D"/>
    <w:rsid w:val="00550BBA"/>
    <w:rsid w:val="00552640"/>
    <w:rsid w:val="00556A53"/>
    <w:rsid w:val="005614AF"/>
    <w:rsid w:val="00562FD2"/>
    <w:rsid w:val="00563BE7"/>
    <w:rsid w:val="00565C83"/>
    <w:rsid w:val="005660FF"/>
    <w:rsid w:val="00574539"/>
    <w:rsid w:val="00584735"/>
    <w:rsid w:val="005869E7"/>
    <w:rsid w:val="005917B6"/>
    <w:rsid w:val="00594990"/>
    <w:rsid w:val="00597D2A"/>
    <w:rsid w:val="005B0AA2"/>
    <w:rsid w:val="005B7256"/>
    <w:rsid w:val="005C4F59"/>
    <w:rsid w:val="005C6C8C"/>
    <w:rsid w:val="005D1BF7"/>
    <w:rsid w:val="005D334F"/>
    <w:rsid w:val="005D39B4"/>
    <w:rsid w:val="005D502D"/>
    <w:rsid w:val="005F5B51"/>
    <w:rsid w:val="00621AB6"/>
    <w:rsid w:val="00622654"/>
    <w:rsid w:val="00622FC5"/>
    <w:rsid w:val="00624576"/>
    <w:rsid w:val="006251A5"/>
    <w:rsid w:val="0062593A"/>
    <w:rsid w:val="0062614F"/>
    <w:rsid w:val="00631A60"/>
    <w:rsid w:val="00631BC7"/>
    <w:rsid w:val="00632754"/>
    <w:rsid w:val="00632D3C"/>
    <w:rsid w:val="00640C1E"/>
    <w:rsid w:val="0064456E"/>
    <w:rsid w:val="00644CF7"/>
    <w:rsid w:val="00651D3D"/>
    <w:rsid w:val="0065383D"/>
    <w:rsid w:val="00654A18"/>
    <w:rsid w:val="00657BFF"/>
    <w:rsid w:val="00662069"/>
    <w:rsid w:val="00666269"/>
    <w:rsid w:val="006675BF"/>
    <w:rsid w:val="006833A2"/>
    <w:rsid w:val="0068343E"/>
    <w:rsid w:val="0069156F"/>
    <w:rsid w:val="00692AF0"/>
    <w:rsid w:val="006971AD"/>
    <w:rsid w:val="006A0DB4"/>
    <w:rsid w:val="006B30AF"/>
    <w:rsid w:val="006B3D86"/>
    <w:rsid w:val="006C2374"/>
    <w:rsid w:val="006D1785"/>
    <w:rsid w:val="006D4DA9"/>
    <w:rsid w:val="006E11BA"/>
    <w:rsid w:val="006E5184"/>
    <w:rsid w:val="0070122E"/>
    <w:rsid w:val="00703EE1"/>
    <w:rsid w:val="00713296"/>
    <w:rsid w:val="00714F5D"/>
    <w:rsid w:val="00715648"/>
    <w:rsid w:val="007204BD"/>
    <w:rsid w:val="00723DFC"/>
    <w:rsid w:val="00737860"/>
    <w:rsid w:val="00754648"/>
    <w:rsid w:val="00783125"/>
    <w:rsid w:val="00784A59"/>
    <w:rsid w:val="00793BF8"/>
    <w:rsid w:val="00794470"/>
    <w:rsid w:val="00794D79"/>
    <w:rsid w:val="00795582"/>
    <w:rsid w:val="007A49FB"/>
    <w:rsid w:val="007A4E03"/>
    <w:rsid w:val="007A5095"/>
    <w:rsid w:val="007A57D5"/>
    <w:rsid w:val="007B0DAC"/>
    <w:rsid w:val="007B5335"/>
    <w:rsid w:val="007B5F7C"/>
    <w:rsid w:val="007C0540"/>
    <w:rsid w:val="007D0164"/>
    <w:rsid w:val="007D5927"/>
    <w:rsid w:val="007D5E20"/>
    <w:rsid w:val="007E177A"/>
    <w:rsid w:val="007E2C0B"/>
    <w:rsid w:val="007E5987"/>
    <w:rsid w:val="007F02E6"/>
    <w:rsid w:val="007F62BE"/>
    <w:rsid w:val="008017E4"/>
    <w:rsid w:val="00806E01"/>
    <w:rsid w:val="00810ED7"/>
    <w:rsid w:val="00826275"/>
    <w:rsid w:val="008320A6"/>
    <w:rsid w:val="00835D46"/>
    <w:rsid w:val="008364EF"/>
    <w:rsid w:val="008462DE"/>
    <w:rsid w:val="00855B35"/>
    <w:rsid w:val="0086369B"/>
    <w:rsid w:val="00886ABF"/>
    <w:rsid w:val="008945BD"/>
    <w:rsid w:val="008965F3"/>
    <w:rsid w:val="0089783D"/>
    <w:rsid w:val="008A517D"/>
    <w:rsid w:val="008B282D"/>
    <w:rsid w:val="008C3952"/>
    <w:rsid w:val="008C5D7F"/>
    <w:rsid w:val="008C6B1C"/>
    <w:rsid w:val="008D1894"/>
    <w:rsid w:val="008D1C3A"/>
    <w:rsid w:val="008D7051"/>
    <w:rsid w:val="008D7362"/>
    <w:rsid w:val="008E51F4"/>
    <w:rsid w:val="008F0138"/>
    <w:rsid w:val="008F233C"/>
    <w:rsid w:val="009030B5"/>
    <w:rsid w:val="00916790"/>
    <w:rsid w:val="00922EEA"/>
    <w:rsid w:val="009261E1"/>
    <w:rsid w:val="0092688B"/>
    <w:rsid w:val="00927829"/>
    <w:rsid w:val="009479A8"/>
    <w:rsid w:val="00950667"/>
    <w:rsid w:val="00953E97"/>
    <w:rsid w:val="00961AFB"/>
    <w:rsid w:val="00964AFB"/>
    <w:rsid w:val="009A0F0C"/>
    <w:rsid w:val="009A1A3C"/>
    <w:rsid w:val="009A3469"/>
    <w:rsid w:val="009A3859"/>
    <w:rsid w:val="009A71D3"/>
    <w:rsid w:val="009B09C0"/>
    <w:rsid w:val="009C1E5E"/>
    <w:rsid w:val="009D48DB"/>
    <w:rsid w:val="009D506A"/>
    <w:rsid w:val="009D5FCF"/>
    <w:rsid w:val="009D7219"/>
    <w:rsid w:val="009D791D"/>
    <w:rsid w:val="009D7C79"/>
    <w:rsid w:val="009D7CAF"/>
    <w:rsid w:val="009E2327"/>
    <w:rsid w:val="009E29D5"/>
    <w:rsid w:val="009F6576"/>
    <w:rsid w:val="00A04C12"/>
    <w:rsid w:val="00A11A1F"/>
    <w:rsid w:val="00A11A73"/>
    <w:rsid w:val="00A12A32"/>
    <w:rsid w:val="00A13AE0"/>
    <w:rsid w:val="00A15A3A"/>
    <w:rsid w:val="00A22C89"/>
    <w:rsid w:val="00A27698"/>
    <w:rsid w:val="00A30983"/>
    <w:rsid w:val="00A40A61"/>
    <w:rsid w:val="00A45F65"/>
    <w:rsid w:val="00A54DB8"/>
    <w:rsid w:val="00A569FF"/>
    <w:rsid w:val="00A73D75"/>
    <w:rsid w:val="00A755D2"/>
    <w:rsid w:val="00A75BB6"/>
    <w:rsid w:val="00A76B05"/>
    <w:rsid w:val="00A8363D"/>
    <w:rsid w:val="00A871E4"/>
    <w:rsid w:val="00A91E0A"/>
    <w:rsid w:val="00AA0B9F"/>
    <w:rsid w:val="00AA1016"/>
    <w:rsid w:val="00AA7BF2"/>
    <w:rsid w:val="00AB5452"/>
    <w:rsid w:val="00AC0DEF"/>
    <w:rsid w:val="00AC21EB"/>
    <w:rsid w:val="00AC2657"/>
    <w:rsid w:val="00AD2CB9"/>
    <w:rsid w:val="00AD30EB"/>
    <w:rsid w:val="00AD730E"/>
    <w:rsid w:val="00AE2AC2"/>
    <w:rsid w:val="00AE7FAA"/>
    <w:rsid w:val="00AF06BC"/>
    <w:rsid w:val="00AF17B2"/>
    <w:rsid w:val="00AF76CB"/>
    <w:rsid w:val="00B02F26"/>
    <w:rsid w:val="00B157BB"/>
    <w:rsid w:val="00B2659F"/>
    <w:rsid w:val="00B27207"/>
    <w:rsid w:val="00B311BF"/>
    <w:rsid w:val="00B3199B"/>
    <w:rsid w:val="00B32484"/>
    <w:rsid w:val="00B3781C"/>
    <w:rsid w:val="00B40022"/>
    <w:rsid w:val="00B40C5D"/>
    <w:rsid w:val="00B4471F"/>
    <w:rsid w:val="00B47248"/>
    <w:rsid w:val="00B509F2"/>
    <w:rsid w:val="00B51D71"/>
    <w:rsid w:val="00B52C55"/>
    <w:rsid w:val="00B609F3"/>
    <w:rsid w:val="00B66545"/>
    <w:rsid w:val="00B72E98"/>
    <w:rsid w:val="00B73722"/>
    <w:rsid w:val="00B87E78"/>
    <w:rsid w:val="00B93682"/>
    <w:rsid w:val="00BA3C50"/>
    <w:rsid w:val="00BB3130"/>
    <w:rsid w:val="00BC0444"/>
    <w:rsid w:val="00BC3CD6"/>
    <w:rsid w:val="00BE3220"/>
    <w:rsid w:val="00BE564B"/>
    <w:rsid w:val="00BE5747"/>
    <w:rsid w:val="00BE656E"/>
    <w:rsid w:val="00BF353A"/>
    <w:rsid w:val="00BF7C43"/>
    <w:rsid w:val="00C010B7"/>
    <w:rsid w:val="00C010D1"/>
    <w:rsid w:val="00C04350"/>
    <w:rsid w:val="00C047A4"/>
    <w:rsid w:val="00C04B2B"/>
    <w:rsid w:val="00C128D8"/>
    <w:rsid w:val="00C21A39"/>
    <w:rsid w:val="00C259D7"/>
    <w:rsid w:val="00C27E72"/>
    <w:rsid w:val="00C34A02"/>
    <w:rsid w:val="00C34AFD"/>
    <w:rsid w:val="00C34FD2"/>
    <w:rsid w:val="00C36291"/>
    <w:rsid w:val="00C42B09"/>
    <w:rsid w:val="00C50CF6"/>
    <w:rsid w:val="00C52224"/>
    <w:rsid w:val="00C5408D"/>
    <w:rsid w:val="00C54A79"/>
    <w:rsid w:val="00C65888"/>
    <w:rsid w:val="00C71EFD"/>
    <w:rsid w:val="00C74A32"/>
    <w:rsid w:val="00C756AF"/>
    <w:rsid w:val="00C767D3"/>
    <w:rsid w:val="00C807F9"/>
    <w:rsid w:val="00C83CD2"/>
    <w:rsid w:val="00C95313"/>
    <w:rsid w:val="00C97779"/>
    <w:rsid w:val="00CA0AD6"/>
    <w:rsid w:val="00CB28D9"/>
    <w:rsid w:val="00CC3E1E"/>
    <w:rsid w:val="00CD3CC3"/>
    <w:rsid w:val="00CD5231"/>
    <w:rsid w:val="00CD6324"/>
    <w:rsid w:val="00CD7E72"/>
    <w:rsid w:val="00CE2AA9"/>
    <w:rsid w:val="00CE4B96"/>
    <w:rsid w:val="00CE62DE"/>
    <w:rsid w:val="00CE6DF3"/>
    <w:rsid w:val="00CF1E30"/>
    <w:rsid w:val="00CF41D6"/>
    <w:rsid w:val="00CF7C7D"/>
    <w:rsid w:val="00D24ECD"/>
    <w:rsid w:val="00D45900"/>
    <w:rsid w:val="00D47CB4"/>
    <w:rsid w:val="00D51122"/>
    <w:rsid w:val="00D52927"/>
    <w:rsid w:val="00D55CD0"/>
    <w:rsid w:val="00D64C94"/>
    <w:rsid w:val="00D71DDB"/>
    <w:rsid w:val="00D73290"/>
    <w:rsid w:val="00D74056"/>
    <w:rsid w:val="00D772A2"/>
    <w:rsid w:val="00D80256"/>
    <w:rsid w:val="00D8391C"/>
    <w:rsid w:val="00D855FD"/>
    <w:rsid w:val="00D87D24"/>
    <w:rsid w:val="00D94F89"/>
    <w:rsid w:val="00DB3DEE"/>
    <w:rsid w:val="00DB750A"/>
    <w:rsid w:val="00DC0970"/>
    <w:rsid w:val="00DC3E58"/>
    <w:rsid w:val="00DD20A0"/>
    <w:rsid w:val="00DD25D2"/>
    <w:rsid w:val="00DD2B1C"/>
    <w:rsid w:val="00DE140F"/>
    <w:rsid w:val="00DE1CD2"/>
    <w:rsid w:val="00E00A53"/>
    <w:rsid w:val="00E05CE2"/>
    <w:rsid w:val="00E0690C"/>
    <w:rsid w:val="00E06BDE"/>
    <w:rsid w:val="00E06C70"/>
    <w:rsid w:val="00E06F39"/>
    <w:rsid w:val="00E10B4C"/>
    <w:rsid w:val="00E1119B"/>
    <w:rsid w:val="00E113C0"/>
    <w:rsid w:val="00E16913"/>
    <w:rsid w:val="00E20BA2"/>
    <w:rsid w:val="00E23B9C"/>
    <w:rsid w:val="00E262D5"/>
    <w:rsid w:val="00E2763E"/>
    <w:rsid w:val="00E27B83"/>
    <w:rsid w:val="00E31619"/>
    <w:rsid w:val="00E40595"/>
    <w:rsid w:val="00E454D8"/>
    <w:rsid w:val="00E464D0"/>
    <w:rsid w:val="00E472C3"/>
    <w:rsid w:val="00E62BDB"/>
    <w:rsid w:val="00E7161F"/>
    <w:rsid w:val="00E72C5B"/>
    <w:rsid w:val="00E83C3B"/>
    <w:rsid w:val="00E85F20"/>
    <w:rsid w:val="00E944A4"/>
    <w:rsid w:val="00E9541B"/>
    <w:rsid w:val="00EA10F6"/>
    <w:rsid w:val="00EA4F15"/>
    <w:rsid w:val="00EF219B"/>
    <w:rsid w:val="00EF5CFF"/>
    <w:rsid w:val="00F05FA5"/>
    <w:rsid w:val="00F14088"/>
    <w:rsid w:val="00F20920"/>
    <w:rsid w:val="00F279C5"/>
    <w:rsid w:val="00F33B42"/>
    <w:rsid w:val="00F3490B"/>
    <w:rsid w:val="00F36F29"/>
    <w:rsid w:val="00F37350"/>
    <w:rsid w:val="00F3782B"/>
    <w:rsid w:val="00F37931"/>
    <w:rsid w:val="00F4523F"/>
    <w:rsid w:val="00F46423"/>
    <w:rsid w:val="00F50FFD"/>
    <w:rsid w:val="00F56989"/>
    <w:rsid w:val="00F57E45"/>
    <w:rsid w:val="00F608AA"/>
    <w:rsid w:val="00F64916"/>
    <w:rsid w:val="00F64C16"/>
    <w:rsid w:val="00F713BE"/>
    <w:rsid w:val="00F838CC"/>
    <w:rsid w:val="00F83FCD"/>
    <w:rsid w:val="00F909DC"/>
    <w:rsid w:val="00F911FF"/>
    <w:rsid w:val="00F941DF"/>
    <w:rsid w:val="00F96919"/>
    <w:rsid w:val="00F96D00"/>
    <w:rsid w:val="00F973D8"/>
    <w:rsid w:val="00F97F1E"/>
    <w:rsid w:val="00FB15E0"/>
    <w:rsid w:val="00FB220A"/>
    <w:rsid w:val="00FC4022"/>
    <w:rsid w:val="00FC56F7"/>
    <w:rsid w:val="00FC6F7F"/>
    <w:rsid w:val="00FD3EA0"/>
    <w:rsid w:val="00FD4402"/>
    <w:rsid w:val="00FD7632"/>
    <w:rsid w:val="00FE355F"/>
    <w:rsid w:val="00FE3EF6"/>
    <w:rsid w:val="00FF073B"/>
    <w:rsid w:val="02D442B5"/>
    <w:rsid w:val="03345534"/>
    <w:rsid w:val="0345FF0A"/>
    <w:rsid w:val="037CD447"/>
    <w:rsid w:val="03A0A116"/>
    <w:rsid w:val="0530587C"/>
    <w:rsid w:val="07903FC5"/>
    <w:rsid w:val="08CED472"/>
    <w:rsid w:val="09F3A6FD"/>
    <w:rsid w:val="0C4D9A14"/>
    <w:rsid w:val="0CB3DABF"/>
    <w:rsid w:val="0D8BB4CF"/>
    <w:rsid w:val="0EF689D1"/>
    <w:rsid w:val="10861888"/>
    <w:rsid w:val="108A8019"/>
    <w:rsid w:val="11AF9B48"/>
    <w:rsid w:val="12A78367"/>
    <w:rsid w:val="15020C08"/>
    <w:rsid w:val="1589DA22"/>
    <w:rsid w:val="16ECF06E"/>
    <w:rsid w:val="1CEACA19"/>
    <w:rsid w:val="1D8A3AAC"/>
    <w:rsid w:val="1F78E152"/>
    <w:rsid w:val="1F93CF67"/>
    <w:rsid w:val="20E4AC69"/>
    <w:rsid w:val="2280BDEC"/>
    <w:rsid w:val="24917BE0"/>
    <w:rsid w:val="25F1C98C"/>
    <w:rsid w:val="26C86540"/>
    <w:rsid w:val="2B1154F6"/>
    <w:rsid w:val="2C47FCC6"/>
    <w:rsid w:val="2C54D461"/>
    <w:rsid w:val="2CB0D1D7"/>
    <w:rsid w:val="2DAAFDBD"/>
    <w:rsid w:val="2ECFF99B"/>
    <w:rsid w:val="303ECC53"/>
    <w:rsid w:val="3059FAFA"/>
    <w:rsid w:val="306B5B2E"/>
    <w:rsid w:val="30EBD8AB"/>
    <w:rsid w:val="31BD3904"/>
    <w:rsid w:val="328DCA2D"/>
    <w:rsid w:val="331FC45B"/>
    <w:rsid w:val="352DC2E8"/>
    <w:rsid w:val="3533F0FC"/>
    <w:rsid w:val="357BC6F2"/>
    <w:rsid w:val="36813710"/>
    <w:rsid w:val="3711C345"/>
    <w:rsid w:val="3962E341"/>
    <w:rsid w:val="3A67FB88"/>
    <w:rsid w:val="3AFBE2A6"/>
    <w:rsid w:val="3B27C6B1"/>
    <w:rsid w:val="3BBE6348"/>
    <w:rsid w:val="3E6A8D96"/>
    <w:rsid w:val="3EB8DCC7"/>
    <w:rsid w:val="3F39AA8F"/>
    <w:rsid w:val="419D837A"/>
    <w:rsid w:val="41DBBC74"/>
    <w:rsid w:val="42A7EB36"/>
    <w:rsid w:val="44206388"/>
    <w:rsid w:val="44F74B3F"/>
    <w:rsid w:val="472D7085"/>
    <w:rsid w:val="49129DBA"/>
    <w:rsid w:val="496769D1"/>
    <w:rsid w:val="4AD928B9"/>
    <w:rsid w:val="4D3633BA"/>
    <w:rsid w:val="4E2EBBCF"/>
    <w:rsid w:val="4EB627FE"/>
    <w:rsid w:val="4ECAED95"/>
    <w:rsid w:val="4F2FF9A4"/>
    <w:rsid w:val="51B6B42E"/>
    <w:rsid w:val="52F42055"/>
    <w:rsid w:val="536546F5"/>
    <w:rsid w:val="53FDD21C"/>
    <w:rsid w:val="57DED041"/>
    <w:rsid w:val="5810AB64"/>
    <w:rsid w:val="581E50CE"/>
    <w:rsid w:val="58459E1E"/>
    <w:rsid w:val="58AD6EF2"/>
    <w:rsid w:val="5B386C92"/>
    <w:rsid w:val="5C3604C4"/>
    <w:rsid w:val="5D967E47"/>
    <w:rsid w:val="5E15CFC9"/>
    <w:rsid w:val="5E9E037D"/>
    <w:rsid w:val="5ED772D9"/>
    <w:rsid w:val="6026C1D3"/>
    <w:rsid w:val="60324BF0"/>
    <w:rsid w:val="6253900C"/>
    <w:rsid w:val="62F1B100"/>
    <w:rsid w:val="66704EEA"/>
    <w:rsid w:val="6877C77E"/>
    <w:rsid w:val="68B4B78D"/>
    <w:rsid w:val="6A4367C6"/>
    <w:rsid w:val="6ABCC06A"/>
    <w:rsid w:val="6B440B35"/>
    <w:rsid w:val="6B6DC2E0"/>
    <w:rsid w:val="6BBAC92A"/>
    <w:rsid w:val="6C3395CF"/>
    <w:rsid w:val="6C43DC53"/>
    <w:rsid w:val="6CA5180C"/>
    <w:rsid w:val="6CF73BAD"/>
    <w:rsid w:val="6D6E69DE"/>
    <w:rsid w:val="6EF84D3B"/>
    <w:rsid w:val="6F068FE8"/>
    <w:rsid w:val="70032FB5"/>
    <w:rsid w:val="714E66F6"/>
    <w:rsid w:val="71C63A54"/>
    <w:rsid w:val="72588E2D"/>
    <w:rsid w:val="74596DBF"/>
    <w:rsid w:val="75C4575A"/>
    <w:rsid w:val="787FD349"/>
    <w:rsid w:val="78C1FA0E"/>
    <w:rsid w:val="7A5E31CF"/>
    <w:rsid w:val="7AA30393"/>
    <w:rsid w:val="7D2853BA"/>
    <w:rsid w:val="7EE226C9"/>
    <w:rsid w:val="7F3E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38E6"/>
  <w15:chartTrackingRefBased/>
  <w15:docId w15:val="{505ED3AA-6ED0-48B2-964C-B0415BB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7E"/>
    <w:pPr>
      <w:spacing w:after="120"/>
    </w:pPr>
    <w:rPr>
      <w:rFonts w:ascii="Arial" w:hAnsi="Arial"/>
    </w:rPr>
  </w:style>
  <w:style w:type="paragraph" w:styleId="Heading1">
    <w:name w:val="heading 1"/>
    <w:basedOn w:val="Normal"/>
    <w:next w:val="Normal"/>
    <w:link w:val="Heading1Char"/>
    <w:uiPriority w:val="9"/>
    <w:qFormat/>
    <w:rsid w:val="007C0540"/>
    <w:pPr>
      <w:keepNext/>
      <w:keepLines/>
      <w:numPr>
        <w:numId w:val="3"/>
      </w:numPr>
      <w:spacing w:before="240" w:after="0"/>
      <w:outlineLvl w:val="0"/>
    </w:pPr>
    <w:rPr>
      <w:rFonts w:ascii="Poppins" w:eastAsiaTheme="majorEastAsia" w:hAnsi="Poppins" w:cstheme="majorBidi"/>
      <w:b/>
      <w:color w:val="0A1C36" w:themeColor="text2"/>
      <w:sz w:val="72"/>
      <w:szCs w:val="32"/>
    </w:rPr>
  </w:style>
  <w:style w:type="paragraph" w:styleId="Heading2">
    <w:name w:val="heading 2"/>
    <w:basedOn w:val="Normal"/>
    <w:next w:val="Normal"/>
    <w:link w:val="Heading2Char"/>
    <w:uiPriority w:val="9"/>
    <w:unhideWhenUsed/>
    <w:qFormat/>
    <w:rsid w:val="00F46423"/>
    <w:pPr>
      <w:keepNext/>
      <w:keepLines/>
      <w:numPr>
        <w:ilvl w:val="1"/>
        <w:numId w:val="3"/>
      </w:numPr>
      <w:spacing w:before="40" w:after="0"/>
      <w:ind w:left="426" w:hanging="426"/>
      <w:outlineLvl w:val="1"/>
    </w:pPr>
    <w:rPr>
      <w:rFonts w:eastAsiaTheme="majorEastAsia" w:cstheme="majorBidi"/>
      <w:b/>
      <w:i/>
      <w:color w:val="15294C" w:themeColor="accent1" w:themeShade="BF"/>
      <w:szCs w:val="26"/>
    </w:rPr>
  </w:style>
  <w:style w:type="paragraph" w:styleId="Heading3">
    <w:name w:val="heading 3"/>
    <w:basedOn w:val="Normal"/>
    <w:next w:val="Normal"/>
    <w:link w:val="Heading3Char"/>
    <w:uiPriority w:val="9"/>
    <w:unhideWhenUsed/>
    <w:qFormat/>
    <w:rsid w:val="006E5184"/>
    <w:pPr>
      <w:keepNext/>
      <w:keepLines/>
      <w:numPr>
        <w:ilvl w:val="2"/>
        <w:numId w:val="3"/>
      </w:numPr>
      <w:spacing w:before="40" w:after="0"/>
      <w:outlineLvl w:val="2"/>
    </w:pPr>
    <w:rPr>
      <w:rFonts w:eastAsiaTheme="majorEastAsia" w:cstheme="majorBidi"/>
      <w:color w:val="0E1B32" w:themeColor="accent1" w:themeShade="7F"/>
      <w:szCs w:val="24"/>
    </w:rPr>
  </w:style>
  <w:style w:type="paragraph" w:styleId="Heading4">
    <w:name w:val="heading 4"/>
    <w:basedOn w:val="Normal"/>
    <w:next w:val="Normal"/>
    <w:link w:val="Heading4Char"/>
    <w:uiPriority w:val="9"/>
    <w:semiHidden/>
    <w:unhideWhenUsed/>
    <w:qFormat/>
    <w:rsid w:val="006E5184"/>
    <w:pPr>
      <w:keepNext/>
      <w:keepLines/>
      <w:numPr>
        <w:ilvl w:val="3"/>
        <w:numId w:val="3"/>
      </w:numPr>
      <w:spacing w:before="40" w:after="0"/>
      <w:outlineLvl w:val="3"/>
    </w:pPr>
    <w:rPr>
      <w:rFonts w:asciiTheme="majorHAnsi" w:eastAsiaTheme="majorEastAsia" w:hAnsiTheme="majorHAnsi" w:cstheme="majorBidi"/>
      <w:i/>
      <w:iCs/>
      <w:color w:val="15294C" w:themeColor="accent1" w:themeShade="BF"/>
    </w:rPr>
  </w:style>
  <w:style w:type="paragraph" w:styleId="Heading5">
    <w:name w:val="heading 5"/>
    <w:basedOn w:val="Normal"/>
    <w:next w:val="Normal"/>
    <w:link w:val="Heading5Char"/>
    <w:uiPriority w:val="9"/>
    <w:semiHidden/>
    <w:unhideWhenUsed/>
    <w:qFormat/>
    <w:rsid w:val="006E5184"/>
    <w:pPr>
      <w:keepNext/>
      <w:keepLines/>
      <w:numPr>
        <w:ilvl w:val="4"/>
        <w:numId w:val="3"/>
      </w:numPr>
      <w:spacing w:before="40" w:after="0"/>
      <w:outlineLvl w:val="4"/>
    </w:pPr>
    <w:rPr>
      <w:rFonts w:asciiTheme="majorHAnsi" w:eastAsiaTheme="majorEastAsia" w:hAnsiTheme="majorHAnsi" w:cstheme="majorBidi"/>
      <w:color w:val="15294C" w:themeColor="accent1" w:themeShade="BF"/>
    </w:rPr>
  </w:style>
  <w:style w:type="paragraph" w:styleId="Heading6">
    <w:name w:val="heading 6"/>
    <w:basedOn w:val="Normal"/>
    <w:next w:val="Normal"/>
    <w:link w:val="Heading6Char"/>
    <w:uiPriority w:val="9"/>
    <w:semiHidden/>
    <w:unhideWhenUsed/>
    <w:qFormat/>
    <w:rsid w:val="006E5184"/>
    <w:pPr>
      <w:keepNext/>
      <w:keepLines/>
      <w:numPr>
        <w:ilvl w:val="5"/>
        <w:numId w:val="3"/>
      </w:numPr>
      <w:spacing w:before="40" w:after="0"/>
      <w:outlineLvl w:val="5"/>
    </w:pPr>
    <w:rPr>
      <w:rFonts w:asciiTheme="majorHAnsi" w:eastAsiaTheme="majorEastAsia" w:hAnsiTheme="majorHAnsi" w:cstheme="majorBidi"/>
      <w:color w:val="0E1B32" w:themeColor="accent1" w:themeShade="7F"/>
    </w:rPr>
  </w:style>
  <w:style w:type="paragraph" w:styleId="Heading7">
    <w:name w:val="heading 7"/>
    <w:basedOn w:val="Normal"/>
    <w:next w:val="Normal"/>
    <w:link w:val="Heading7Char"/>
    <w:uiPriority w:val="9"/>
    <w:semiHidden/>
    <w:unhideWhenUsed/>
    <w:qFormat/>
    <w:rsid w:val="006E5184"/>
    <w:pPr>
      <w:keepNext/>
      <w:keepLines/>
      <w:numPr>
        <w:ilvl w:val="6"/>
        <w:numId w:val="3"/>
      </w:numPr>
      <w:spacing w:before="40" w:after="0"/>
      <w:outlineLvl w:val="6"/>
    </w:pPr>
    <w:rPr>
      <w:rFonts w:asciiTheme="majorHAnsi" w:eastAsiaTheme="majorEastAsia" w:hAnsiTheme="majorHAnsi" w:cstheme="majorBidi"/>
      <w:i/>
      <w:iCs/>
      <w:color w:val="0E1B32" w:themeColor="accent1" w:themeShade="7F"/>
    </w:rPr>
  </w:style>
  <w:style w:type="paragraph" w:styleId="Heading8">
    <w:name w:val="heading 8"/>
    <w:basedOn w:val="Normal"/>
    <w:next w:val="Normal"/>
    <w:link w:val="Heading8Char"/>
    <w:uiPriority w:val="9"/>
    <w:semiHidden/>
    <w:unhideWhenUsed/>
    <w:qFormat/>
    <w:rsid w:val="006E51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51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07E"/>
    <w:pPr>
      <w:spacing w:after="0" w:line="240" w:lineRule="auto"/>
    </w:pPr>
    <w:rPr>
      <w:rFonts w:ascii="Arial" w:hAnsi="Arial"/>
    </w:rPr>
  </w:style>
  <w:style w:type="paragraph" w:styleId="Header">
    <w:name w:val="header"/>
    <w:basedOn w:val="Normal"/>
    <w:link w:val="HeaderChar"/>
    <w:uiPriority w:val="99"/>
    <w:unhideWhenUsed/>
    <w:rsid w:val="0047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7E"/>
    <w:rPr>
      <w:rFonts w:ascii="Arial" w:hAnsi="Arial"/>
    </w:rPr>
  </w:style>
  <w:style w:type="paragraph" w:styleId="Footer">
    <w:name w:val="footer"/>
    <w:basedOn w:val="Normal"/>
    <w:link w:val="FooterChar"/>
    <w:uiPriority w:val="99"/>
    <w:unhideWhenUsed/>
    <w:rsid w:val="0047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7E"/>
    <w:rPr>
      <w:rFonts w:ascii="Arial" w:hAnsi="Arial"/>
    </w:rPr>
  </w:style>
  <w:style w:type="character" w:styleId="CommentReference">
    <w:name w:val="annotation reference"/>
    <w:basedOn w:val="DefaultParagraphFont"/>
    <w:uiPriority w:val="99"/>
    <w:semiHidden/>
    <w:unhideWhenUsed/>
    <w:rsid w:val="001B2E66"/>
    <w:rPr>
      <w:sz w:val="16"/>
      <w:szCs w:val="16"/>
    </w:rPr>
  </w:style>
  <w:style w:type="paragraph" w:styleId="CommentText">
    <w:name w:val="annotation text"/>
    <w:basedOn w:val="Normal"/>
    <w:link w:val="CommentTextChar"/>
    <w:uiPriority w:val="99"/>
    <w:unhideWhenUsed/>
    <w:rsid w:val="001B2E66"/>
    <w:pPr>
      <w:widowControl w:val="0"/>
      <w:autoSpaceDE w:val="0"/>
      <w:autoSpaceDN w:val="0"/>
      <w:spacing w:line="240" w:lineRule="auto"/>
    </w:pPr>
    <w:rPr>
      <w:rFonts w:eastAsia="Arial" w:cs="Arial"/>
      <w:kern w:val="0"/>
      <w:sz w:val="20"/>
      <w:szCs w:val="20"/>
      <w:lang w:val="en-US"/>
      <w14:ligatures w14:val="none"/>
    </w:rPr>
  </w:style>
  <w:style w:type="character" w:customStyle="1" w:styleId="CommentTextChar">
    <w:name w:val="Comment Text Char"/>
    <w:basedOn w:val="DefaultParagraphFont"/>
    <w:link w:val="CommentText"/>
    <w:uiPriority w:val="99"/>
    <w:rsid w:val="001B2E66"/>
    <w:rPr>
      <w:rFonts w:ascii="Arial" w:eastAsia="Arial" w:hAnsi="Arial" w:cs="Arial"/>
      <w:kern w:val="0"/>
      <w:sz w:val="20"/>
      <w:szCs w:val="20"/>
      <w:lang w:val="en-US"/>
      <w14:ligatures w14:val="none"/>
    </w:rPr>
  </w:style>
  <w:style w:type="paragraph" w:styleId="ListParagraph">
    <w:name w:val="List Paragraph"/>
    <w:basedOn w:val="Normal"/>
    <w:uiPriority w:val="34"/>
    <w:qFormat/>
    <w:rsid w:val="001B2E66"/>
    <w:pPr>
      <w:ind w:left="720"/>
      <w:contextualSpacing/>
    </w:pPr>
  </w:style>
  <w:style w:type="character" w:customStyle="1" w:styleId="Heading1Char">
    <w:name w:val="Heading 1 Char"/>
    <w:basedOn w:val="DefaultParagraphFont"/>
    <w:link w:val="Heading1"/>
    <w:uiPriority w:val="9"/>
    <w:rsid w:val="007C0540"/>
    <w:rPr>
      <w:rFonts w:ascii="Poppins" w:eastAsiaTheme="majorEastAsia" w:hAnsi="Poppins" w:cstheme="majorBidi"/>
      <w:b/>
      <w:color w:val="0A1C36" w:themeColor="text2"/>
      <w:sz w:val="72"/>
      <w:szCs w:val="32"/>
    </w:rPr>
  </w:style>
  <w:style w:type="paragraph" w:styleId="TOCHeading">
    <w:name w:val="TOC Heading"/>
    <w:basedOn w:val="Heading1"/>
    <w:next w:val="Normal"/>
    <w:uiPriority w:val="39"/>
    <w:unhideWhenUsed/>
    <w:qFormat/>
    <w:rsid w:val="006E5184"/>
    <w:pPr>
      <w:outlineLvl w:val="9"/>
    </w:pPr>
    <w:rPr>
      <w:b w:val="0"/>
      <w:kern w:val="0"/>
      <w:lang w:eastAsia="en-GB"/>
      <w14:ligatures w14:val="none"/>
    </w:rPr>
  </w:style>
  <w:style w:type="character" w:customStyle="1" w:styleId="Heading2Char">
    <w:name w:val="Heading 2 Char"/>
    <w:basedOn w:val="DefaultParagraphFont"/>
    <w:link w:val="Heading2"/>
    <w:uiPriority w:val="9"/>
    <w:rsid w:val="00F46423"/>
    <w:rPr>
      <w:rFonts w:ascii="Arial" w:eastAsiaTheme="majorEastAsia" w:hAnsi="Arial" w:cstheme="majorBidi"/>
      <w:b/>
      <w:i/>
      <w:color w:val="15294C" w:themeColor="accent1" w:themeShade="BF"/>
      <w:szCs w:val="26"/>
    </w:rPr>
  </w:style>
  <w:style w:type="character" w:customStyle="1" w:styleId="Heading3Char">
    <w:name w:val="Heading 3 Char"/>
    <w:basedOn w:val="DefaultParagraphFont"/>
    <w:link w:val="Heading3"/>
    <w:uiPriority w:val="9"/>
    <w:rsid w:val="006E5184"/>
    <w:rPr>
      <w:rFonts w:ascii="Arial" w:eastAsiaTheme="majorEastAsia" w:hAnsi="Arial" w:cstheme="majorBidi"/>
      <w:color w:val="0E1B32" w:themeColor="accent1" w:themeShade="7F"/>
      <w:szCs w:val="24"/>
    </w:rPr>
  </w:style>
  <w:style w:type="character" w:customStyle="1" w:styleId="Heading4Char">
    <w:name w:val="Heading 4 Char"/>
    <w:basedOn w:val="DefaultParagraphFont"/>
    <w:link w:val="Heading4"/>
    <w:uiPriority w:val="9"/>
    <w:semiHidden/>
    <w:rsid w:val="006E5184"/>
    <w:rPr>
      <w:rFonts w:asciiTheme="majorHAnsi" w:eastAsiaTheme="majorEastAsia" w:hAnsiTheme="majorHAnsi" w:cstheme="majorBidi"/>
      <w:i/>
      <w:iCs/>
      <w:color w:val="15294C" w:themeColor="accent1" w:themeShade="BF"/>
    </w:rPr>
  </w:style>
  <w:style w:type="character" w:customStyle="1" w:styleId="Heading5Char">
    <w:name w:val="Heading 5 Char"/>
    <w:basedOn w:val="DefaultParagraphFont"/>
    <w:link w:val="Heading5"/>
    <w:uiPriority w:val="9"/>
    <w:semiHidden/>
    <w:rsid w:val="006E5184"/>
    <w:rPr>
      <w:rFonts w:asciiTheme="majorHAnsi" w:eastAsiaTheme="majorEastAsia" w:hAnsiTheme="majorHAnsi" w:cstheme="majorBidi"/>
      <w:color w:val="15294C" w:themeColor="accent1" w:themeShade="BF"/>
    </w:rPr>
  </w:style>
  <w:style w:type="character" w:customStyle="1" w:styleId="Heading6Char">
    <w:name w:val="Heading 6 Char"/>
    <w:basedOn w:val="DefaultParagraphFont"/>
    <w:link w:val="Heading6"/>
    <w:uiPriority w:val="9"/>
    <w:semiHidden/>
    <w:rsid w:val="006E5184"/>
    <w:rPr>
      <w:rFonts w:asciiTheme="majorHAnsi" w:eastAsiaTheme="majorEastAsia" w:hAnsiTheme="majorHAnsi" w:cstheme="majorBidi"/>
      <w:color w:val="0E1B32" w:themeColor="accent1" w:themeShade="7F"/>
    </w:rPr>
  </w:style>
  <w:style w:type="character" w:customStyle="1" w:styleId="Heading7Char">
    <w:name w:val="Heading 7 Char"/>
    <w:basedOn w:val="DefaultParagraphFont"/>
    <w:link w:val="Heading7"/>
    <w:uiPriority w:val="9"/>
    <w:semiHidden/>
    <w:rsid w:val="006E5184"/>
    <w:rPr>
      <w:rFonts w:asciiTheme="majorHAnsi" w:eastAsiaTheme="majorEastAsia" w:hAnsiTheme="majorHAnsi" w:cstheme="majorBidi"/>
      <w:i/>
      <w:iCs/>
      <w:color w:val="0E1B32" w:themeColor="accent1" w:themeShade="7F"/>
    </w:rPr>
  </w:style>
  <w:style w:type="character" w:customStyle="1" w:styleId="Heading8Char">
    <w:name w:val="Heading 8 Char"/>
    <w:basedOn w:val="DefaultParagraphFont"/>
    <w:link w:val="Heading8"/>
    <w:uiPriority w:val="9"/>
    <w:semiHidden/>
    <w:rsid w:val="006E51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518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E5184"/>
    <w:pPr>
      <w:spacing w:after="100"/>
    </w:pPr>
  </w:style>
  <w:style w:type="character" w:styleId="Hyperlink">
    <w:name w:val="Hyperlink"/>
    <w:basedOn w:val="DefaultParagraphFont"/>
    <w:uiPriority w:val="99"/>
    <w:unhideWhenUsed/>
    <w:rsid w:val="006E5184"/>
    <w:rPr>
      <w:color w:val="3E5970" w:themeColor="hyperlink"/>
      <w:u w:val="single"/>
    </w:rPr>
  </w:style>
  <w:style w:type="paragraph" w:styleId="TOC2">
    <w:name w:val="toc 2"/>
    <w:basedOn w:val="Normal"/>
    <w:next w:val="Normal"/>
    <w:autoRedefine/>
    <w:uiPriority w:val="39"/>
    <w:unhideWhenUsed/>
    <w:rsid w:val="006E5184"/>
    <w:pPr>
      <w:spacing w:after="100"/>
      <w:ind w:left="220"/>
    </w:pPr>
  </w:style>
  <w:style w:type="paragraph" w:styleId="TOC3">
    <w:name w:val="toc 3"/>
    <w:basedOn w:val="Normal"/>
    <w:next w:val="Normal"/>
    <w:autoRedefine/>
    <w:uiPriority w:val="39"/>
    <w:unhideWhenUsed/>
    <w:rsid w:val="006E5184"/>
    <w:pPr>
      <w:spacing w:after="100"/>
      <w:ind w:left="440"/>
    </w:pPr>
  </w:style>
  <w:style w:type="table" w:styleId="TableGrid">
    <w:name w:val="Table Grid"/>
    <w:basedOn w:val="TableNormal"/>
    <w:uiPriority w:val="39"/>
    <w:rsid w:val="0043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0F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Heading">
    <w:name w:val="Table Heading"/>
    <w:basedOn w:val="Normal"/>
    <w:qFormat/>
    <w:rsid w:val="00280313"/>
    <w:pPr>
      <w:spacing w:after="0" w:line="240" w:lineRule="auto"/>
    </w:pPr>
    <w:rPr>
      <w:rFonts w:ascii="Poppins" w:hAnsi="Poppins" w:cs="Poppins"/>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0BA2"/>
    <w:pPr>
      <w:widowControl/>
      <w:autoSpaceDE/>
      <w:autoSpaceDN/>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E20BA2"/>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E20BA2"/>
    <w:rPr>
      <w:color w:val="2B579A"/>
      <w:shd w:val="clear" w:color="auto" w:fill="E1DFDD"/>
    </w:rPr>
  </w:style>
  <w:style w:type="paragraph" w:styleId="Revision">
    <w:name w:val="Revision"/>
    <w:hidden/>
    <w:uiPriority w:val="99"/>
    <w:semiHidden/>
    <w:rsid w:val="009D7CAF"/>
    <w:pPr>
      <w:spacing w:after="0" w:line="240" w:lineRule="auto"/>
    </w:pPr>
    <w:rPr>
      <w:rFonts w:ascii="Arial" w:hAnsi="Arial"/>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C7CCD" w:themeColor="accent1" w:themeTint="99"/>
        <w:left w:val="single" w:sz="4" w:space="0" w:color="4C7CCD" w:themeColor="accent1" w:themeTint="99"/>
        <w:bottom w:val="single" w:sz="4" w:space="0" w:color="4C7CCD" w:themeColor="accent1" w:themeTint="99"/>
        <w:right w:val="single" w:sz="4" w:space="0" w:color="4C7CCD" w:themeColor="accent1" w:themeTint="99"/>
        <w:insideH w:val="single" w:sz="4" w:space="0" w:color="4C7CCD" w:themeColor="accent1" w:themeTint="99"/>
        <w:insideV w:val="single" w:sz="4" w:space="0" w:color="4C7CCD" w:themeColor="accent1" w:themeTint="99"/>
      </w:tblBorders>
    </w:tblPr>
    <w:tblStylePr w:type="firstRow">
      <w:rPr>
        <w:b/>
        <w:bCs/>
        <w:color w:val="FFFFFF" w:themeColor="background1"/>
      </w:rPr>
      <w:tblPr/>
      <w:tcPr>
        <w:tcBorders>
          <w:top w:val="single" w:sz="4" w:space="0" w:color="1C3866" w:themeColor="accent1"/>
          <w:left w:val="single" w:sz="4" w:space="0" w:color="1C3866" w:themeColor="accent1"/>
          <w:bottom w:val="single" w:sz="4" w:space="0" w:color="1C3866" w:themeColor="accent1"/>
          <w:right w:val="single" w:sz="4" w:space="0" w:color="1C3866" w:themeColor="accent1"/>
          <w:insideH w:val="nil"/>
          <w:insideV w:val="nil"/>
        </w:tcBorders>
        <w:shd w:val="clear" w:color="auto" w:fill="1C3866" w:themeFill="accent1"/>
      </w:tcPr>
    </w:tblStylePr>
    <w:tblStylePr w:type="lastRow">
      <w:rPr>
        <w:b/>
        <w:bCs/>
      </w:rPr>
      <w:tblPr/>
      <w:tcPr>
        <w:tcBorders>
          <w:top w:val="double" w:sz="4" w:space="0" w:color="1C3866" w:themeColor="accent1"/>
        </w:tcBorders>
      </w:tcPr>
    </w:tblStylePr>
    <w:tblStylePr w:type="firstCol">
      <w:rPr>
        <w:b/>
        <w:bCs/>
      </w:rPr>
    </w:tblStylePr>
    <w:tblStylePr w:type="lastCol">
      <w:rPr>
        <w:b/>
        <w:bCs/>
      </w:rPr>
    </w:tblStylePr>
    <w:tblStylePr w:type="band1Vert">
      <w:tblPr/>
      <w:tcPr>
        <w:shd w:val="clear" w:color="auto" w:fill="C3D3EE" w:themeFill="accent1" w:themeFillTint="33"/>
      </w:tcPr>
    </w:tblStylePr>
    <w:tblStylePr w:type="band1Horz">
      <w:tblPr/>
      <w:tcPr>
        <w:shd w:val="clear" w:color="auto" w:fill="C3D3EE" w:themeFill="accent1" w:themeFillTint="33"/>
      </w:tcPr>
    </w:tblStylePr>
  </w:style>
  <w:style w:type="character" w:styleId="Emphasis">
    <w:name w:val="Emphasis"/>
    <w:basedOn w:val="DefaultParagraphFont"/>
    <w:uiPriority w:val="20"/>
    <w:qFormat/>
    <w:rsid w:val="00FC4022"/>
    <w:rPr>
      <w:i/>
      <w:iCs/>
    </w:rPr>
  </w:style>
  <w:style w:type="paragraph" w:customStyle="1" w:styleId="CoverHeader">
    <w:name w:val="Cover Header"/>
    <w:basedOn w:val="Normal"/>
    <w:qFormat/>
    <w:rsid w:val="000E3111"/>
    <w:pPr>
      <w:spacing w:line="240" w:lineRule="auto"/>
    </w:pPr>
    <w:rPr>
      <w:rFonts w:ascii="Poppins ExtraBold" w:hAnsi="Poppins ExtraBold" w:cs="Poppins ExtraBold"/>
      <w:b/>
      <w:bCs/>
      <w:color w:val="0A1C36" w:themeColor="text2"/>
      <w:sz w:val="72"/>
      <w:szCs w:val="72"/>
    </w:rPr>
  </w:style>
  <w:style w:type="paragraph" w:customStyle="1" w:styleId="CoverSubHeader">
    <w:name w:val="Cover Sub Header"/>
    <w:basedOn w:val="Normal"/>
    <w:qFormat/>
    <w:rsid w:val="000E3111"/>
    <w:pPr>
      <w:spacing w:after="240"/>
    </w:pPr>
    <w:rPr>
      <w:rFonts w:ascii="Poppins ExtraBold" w:hAnsi="Poppins ExtraBold" w:cs="Poppins ExtraBold"/>
      <w:b/>
      <w:bCs/>
      <w:sz w:val="40"/>
      <w:szCs w:val="40"/>
    </w:rPr>
  </w:style>
  <w:style w:type="paragraph" w:customStyle="1" w:styleId="SubHeading">
    <w:name w:val="Sub Heading"/>
    <w:qFormat/>
    <w:rsid w:val="007C0540"/>
    <w:pPr>
      <w:spacing w:after="120" w:line="240" w:lineRule="auto"/>
    </w:pPr>
    <w:rPr>
      <w:rFonts w:ascii="Poppins" w:eastAsiaTheme="majorEastAsia" w:hAnsi="Poppins" w:cstheme="majorBidi"/>
      <w:b/>
      <w:color w:val="0A1C36" w:themeColor="text2"/>
      <w:sz w:val="24"/>
      <w:szCs w:val="24"/>
    </w:rPr>
  </w:style>
  <w:style w:type="paragraph" w:customStyle="1" w:styleId="BodyCopy">
    <w:name w:val="Body Copy"/>
    <w:basedOn w:val="Normal"/>
    <w:qFormat/>
    <w:rsid w:val="007C0540"/>
    <w:pPr>
      <w:spacing w:line="240" w:lineRule="auto"/>
    </w:pPr>
    <w:rPr>
      <w:rFonts w:ascii="Poppins" w:eastAsia="Arial" w:hAnsi="Poppins" w:cs="Poppins"/>
      <w:color w:val="000000" w:themeColor="text1"/>
      <w:sz w:val="24"/>
      <w:szCs w:val="24"/>
    </w:rPr>
  </w:style>
  <w:style w:type="paragraph" w:customStyle="1" w:styleId="TableBodyCopy">
    <w:name w:val="Table Body Copy"/>
    <w:basedOn w:val="Normal"/>
    <w:qFormat/>
    <w:rsid w:val="00FC56F7"/>
    <w:pPr>
      <w:spacing w:after="0" w:line="240" w:lineRule="auto"/>
    </w:pPr>
    <w:rPr>
      <w:rFonts w:ascii="Poppins" w:hAnsi="Poppins"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90587411">
      <w:bodyDiv w:val="1"/>
      <w:marLeft w:val="0"/>
      <w:marRight w:val="0"/>
      <w:marTop w:val="0"/>
      <w:marBottom w:val="0"/>
      <w:divBdr>
        <w:top w:val="none" w:sz="0" w:space="0" w:color="auto"/>
        <w:left w:val="none" w:sz="0" w:space="0" w:color="auto"/>
        <w:bottom w:val="none" w:sz="0" w:space="0" w:color="auto"/>
        <w:right w:val="none" w:sz="0" w:space="0" w:color="auto"/>
      </w:divBdr>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166484355">
      <w:bodyDiv w:val="1"/>
      <w:marLeft w:val="0"/>
      <w:marRight w:val="0"/>
      <w:marTop w:val="0"/>
      <w:marBottom w:val="0"/>
      <w:divBdr>
        <w:top w:val="none" w:sz="0" w:space="0" w:color="auto"/>
        <w:left w:val="none" w:sz="0" w:space="0" w:color="auto"/>
        <w:bottom w:val="none" w:sz="0" w:space="0" w:color="auto"/>
        <w:right w:val="none" w:sz="0" w:space="0" w:color="auto"/>
      </w:divBdr>
    </w:div>
    <w:div w:id="189806434">
      <w:bodyDiv w:val="1"/>
      <w:marLeft w:val="0"/>
      <w:marRight w:val="0"/>
      <w:marTop w:val="0"/>
      <w:marBottom w:val="0"/>
      <w:divBdr>
        <w:top w:val="none" w:sz="0" w:space="0" w:color="auto"/>
        <w:left w:val="none" w:sz="0" w:space="0" w:color="auto"/>
        <w:bottom w:val="none" w:sz="0" w:space="0" w:color="auto"/>
        <w:right w:val="none" w:sz="0" w:space="0" w:color="auto"/>
      </w:divBdr>
    </w:div>
    <w:div w:id="240483062">
      <w:bodyDiv w:val="1"/>
      <w:marLeft w:val="0"/>
      <w:marRight w:val="0"/>
      <w:marTop w:val="0"/>
      <w:marBottom w:val="0"/>
      <w:divBdr>
        <w:top w:val="none" w:sz="0" w:space="0" w:color="auto"/>
        <w:left w:val="none" w:sz="0" w:space="0" w:color="auto"/>
        <w:bottom w:val="none" w:sz="0" w:space="0" w:color="auto"/>
        <w:right w:val="none" w:sz="0" w:space="0" w:color="auto"/>
      </w:divBdr>
    </w:div>
    <w:div w:id="261230403">
      <w:bodyDiv w:val="1"/>
      <w:marLeft w:val="0"/>
      <w:marRight w:val="0"/>
      <w:marTop w:val="0"/>
      <w:marBottom w:val="0"/>
      <w:divBdr>
        <w:top w:val="none" w:sz="0" w:space="0" w:color="auto"/>
        <w:left w:val="none" w:sz="0" w:space="0" w:color="auto"/>
        <w:bottom w:val="none" w:sz="0" w:space="0" w:color="auto"/>
        <w:right w:val="none" w:sz="0" w:space="0" w:color="auto"/>
      </w:divBdr>
    </w:div>
    <w:div w:id="274948533">
      <w:bodyDiv w:val="1"/>
      <w:marLeft w:val="0"/>
      <w:marRight w:val="0"/>
      <w:marTop w:val="0"/>
      <w:marBottom w:val="0"/>
      <w:divBdr>
        <w:top w:val="none" w:sz="0" w:space="0" w:color="auto"/>
        <w:left w:val="none" w:sz="0" w:space="0" w:color="auto"/>
        <w:bottom w:val="none" w:sz="0" w:space="0" w:color="auto"/>
        <w:right w:val="none" w:sz="0" w:space="0" w:color="auto"/>
      </w:divBdr>
    </w:div>
    <w:div w:id="290407744">
      <w:bodyDiv w:val="1"/>
      <w:marLeft w:val="0"/>
      <w:marRight w:val="0"/>
      <w:marTop w:val="0"/>
      <w:marBottom w:val="0"/>
      <w:divBdr>
        <w:top w:val="none" w:sz="0" w:space="0" w:color="auto"/>
        <w:left w:val="none" w:sz="0" w:space="0" w:color="auto"/>
        <w:bottom w:val="none" w:sz="0" w:space="0" w:color="auto"/>
        <w:right w:val="none" w:sz="0" w:space="0" w:color="auto"/>
      </w:divBdr>
    </w:div>
    <w:div w:id="298800093">
      <w:bodyDiv w:val="1"/>
      <w:marLeft w:val="0"/>
      <w:marRight w:val="0"/>
      <w:marTop w:val="0"/>
      <w:marBottom w:val="0"/>
      <w:divBdr>
        <w:top w:val="none" w:sz="0" w:space="0" w:color="auto"/>
        <w:left w:val="none" w:sz="0" w:space="0" w:color="auto"/>
        <w:bottom w:val="none" w:sz="0" w:space="0" w:color="auto"/>
        <w:right w:val="none" w:sz="0" w:space="0" w:color="auto"/>
      </w:divBdr>
    </w:div>
    <w:div w:id="366485855">
      <w:bodyDiv w:val="1"/>
      <w:marLeft w:val="0"/>
      <w:marRight w:val="0"/>
      <w:marTop w:val="0"/>
      <w:marBottom w:val="0"/>
      <w:divBdr>
        <w:top w:val="none" w:sz="0" w:space="0" w:color="auto"/>
        <w:left w:val="none" w:sz="0" w:space="0" w:color="auto"/>
        <w:bottom w:val="none" w:sz="0" w:space="0" w:color="auto"/>
        <w:right w:val="none" w:sz="0" w:space="0" w:color="auto"/>
      </w:divBdr>
    </w:div>
    <w:div w:id="428938818">
      <w:bodyDiv w:val="1"/>
      <w:marLeft w:val="0"/>
      <w:marRight w:val="0"/>
      <w:marTop w:val="0"/>
      <w:marBottom w:val="0"/>
      <w:divBdr>
        <w:top w:val="none" w:sz="0" w:space="0" w:color="auto"/>
        <w:left w:val="none" w:sz="0" w:space="0" w:color="auto"/>
        <w:bottom w:val="none" w:sz="0" w:space="0" w:color="auto"/>
        <w:right w:val="none" w:sz="0" w:space="0" w:color="auto"/>
      </w:divBdr>
    </w:div>
    <w:div w:id="605885997">
      <w:bodyDiv w:val="1"/>
      <w:marLeft w:val="0"/>
      <w:marRight w:val="0"/>
      <w:marTop w:val="0"/>
      <w:marBottom w:val="0"/>
      <w:divBdr>
        <w:top w:val="none" w:sz="0" w:space="0" w:color="auto"/>
        <w:left w:val="none" w:sz="0" w:space="0" w:color="auto"/>
        <w:bottom w:val="none" w:sz="0" w:space="0" w:color="auto"/>
        <w:right w:val="none" w:sz="0" w:space="0" w:color="auto"/>
      </w:divBdr>
    </w:div>
    <w:div w:id="621762757">
      <w:bodyDiv w:val="1"/>
      <w:marLeft w:val="0"/>
      <w:marRight w:val="0"/>
      <w:marTop w:val="0"/>
      <w:marBottom w:val="0"/>
      <w:divBdr>
        <w:top w:val="none" w:sz="0" w:space="0" w:color="auto"/>
        <w:left w:val="none" w:sz="0" w:space="0" w:color="auto"/>
        <w:bottom w:val="none" w:sz="0" w:space="0" w:color="auto"/>
        <w:right w:val="none" w:sz="0" w:space="0" w:color="auto"/>
      </w:divBdr>
    </w:div>
    <w:div w:id="736393867">
      <w:bodyDiv w:val="1"/>
      <w:marLeft w:val="0"/>
      <w:marRight w:val="0"/>
      <w:marTop w:val="0"/>
      <w:marBottom w:val="0"/>
      <w:divBdr>
        <w:top w:val="none" w:sz="0" w:space="0" w:color="auto"/>
        <w:left w:val="none" w:sz="0" w:space="0" w:color="auto"/>
        <w:bottom w:val="none" w:sz="0" w:space="0" w:color="auto"/>
        <w:right w:val="none" w:sz="0" w:space="0" w:color="auto"/>
      </w:divBdr>
    </w:div>
    <w:div w:id="764689534">
      <w:bodyDiv w:val="1"/>
      <w:marLeft w:val="0"/>
      <w:marRight w:val="0"/>
      <w:marTop w:val="0"/>
      <w:marBottom w:val="0"/>
      <w:divBdr>
        <w:top w:val="none" w:sz="0" w:space="0" w:color="auto"/>
        <w:left w:val="none" w:sz="0" w:space="0" w:color="auto"/>
        <w:bottom w:val="none" w:sz="0" w:space="0" w:color="auto"/>
        <w:right w:val="none" w:sz="0" w:space="0" w:color="auto"/>
      </w:divBdr>
    </w:div>
    <w:div w:id="769932640">
      <w:bodyDiv w:val="1"/>
      <w:marLeft w:val="0"/>
      <w:marRight w:val="0"/>
      <w:marTop w:val="0"/>
      <w:marBottom w:val="0"/>
      <w:divBdr>
        <w:top w:val="none" w:sz="0" w:space="0" w:color="auto"/>
        <w:left w:val="none" w:sz="0" w:space="0" w:color="auto"/>
        <w:bottom w:val="none" w:sz="0" w:space="0" w:color="auto"/>
        <w:right w:val="none" w:sz="0" w:space="0" w:color="auto"/>
      </w:divBdr>
    </w:div>
    <w:div w:id="770321956">
      <w:bodyDiv w:val="1"/>
      <w:marLeft w:val="0"/>
      <w:marRight w:val="0"/>
      <w:marTop w:val="0"/>
      <w:marBottom w:val="0"/>
      <w:divBdr>
        <w:top w:val="none" w:sz="0" w:space="0" w:color="auto"/>
        <w:left w:val="none" w:sz="0" w:space="0" w:color="auto"/>
        <w:bottom w:val="none" w:sz="0" w:space="0" w:color="auto"/>
        <w:right w:val="none" w:sz="0" w:space="0" w:color="auto"/>
      </w:divBdr>
    </w:div>
    <w:div w:id="794251193">
      <w:bodyDiv w:val="1"/>
      <w:marLeft w:val="0"/>
      <w:marRight w:val="0"/>
      <w:marTop w:val="0"/>
      <w:marBottom w:val="0"/>
      <w:divBdr>
        <w:top w:val="none" w:sz="0" w:space="0" w:color="auto"/>
        <w:left w:val="none" w:sz="0" w:space="0" w:color="auto"/>
        <w:bottom w:val="none" w:sz="0" w:space="0" w:color="auto"/>
        <w:right w:val="none" w:sz="0" w:space="0" w:color="auto"/>
      </w:divBdr>
    </w:div>
    <w:div w:id="836966164">
      <w:bodyDiv w:val="1"/>
      <w:marLeft w:val="0"/>
      <w:marRight w:val="0"/>
      <w:marTop w:val="0"/>
      <w:marBottom w:val="0"/>
      <w:divBdr>
        <w:top w:val="none" w:sz="0" w:space="0" w:color="auto"/>
        <w:left w:val="none" w:sz="0" w:space="0" w:color="auto"/>
        <w:bottom w:val="none" w:sz="0" w:space="0" w:color="auto"/>
        <w:right w:val="none" w:sz="0" w:space="0" w:color="auto"/>
      </w:divBdr>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1015115733">
      <w:bodyDiv w:val="1"/>
      <w:marLeft w:val="0"/>
      <w:marRight w:val="0"/>
      <w:marTop w:val="0"/>
      <w:marBottom w:val="0"/>
      <w:divBdr>
        <w:top w:val="none" w:sz="0" w:space="0" w:color="auto"/>
        <w:left w:val="none" w:sz="0" w:space="0" w:color="auto"/>
        <w:bottom w:val="none" w:sz="0" w:space="0" w:color="auto"/>
        <w:right w:val="none" w:sz="0" w:space="0" w:color="auto"/>
      </w:divBdr>
    </w:div>
    <w:div w:id="1113407096">
      <w:bodyDiv w:val="1"/>
      <w:marLeft w:val="0"/>
      <w:marRight w:val="0"/>
      <w:marTop w:val="0"/>
      <w:marBottom w:val="0"/>
      <w:divBdr>
        <w:top w:val="none" w:sz="0" w:space="0" w:color="auto"/>
        <w:left w:val="none" w:sz="0" w:space="0" w:color="auto"/>
        <w:bottom w:val="none" w:sz="0" w:space="0" w:color="auto"/>
        <w:right w:val="none" w:sz="0" w:space="0" w:color="auto"/>
      </w:divBdr>
    </w:div>
    <w:div w:id="1126508001">
      <w:bodyDiv w:val="1"/>
      <w:marLeft w:val="0"/>
      <w:marRight w:val="0"/>
      <w:marTop w:val="0"/>
      <w:marBottom w:val="0"/>
      <w:divBdr>
        <w:top w:val="none" w:sz="0" w:space="0" w:color="auto"/>
        <w:left w:val="none" w:sz="0" w:space="0" w:color="auto"/>
        <w:bottom w:val="none" w:sz="0" w:space="0" w:color="auto"/>
        <w:right w:val="none" w:sz="0" w:space="0" w:color="auto"/>
      </w:divBdr>
    </w:div>
    <w:div w:id="1137917799">
      <w:bodyDiv w:val="1"/>
      <w:marLeft w:val="0"/>
      <w:marRight w:val="0"/>
      <w:marTop w:val="0"/>
      <w:marBottom w:val="0"/>
      <w:divBdr>
        <w:top w:val="none" w:sz="0" w:space="0" w:color="auto"/>
        <w:left w:val="none" w:sz="0" w:space="0" w:color="auto"/>
        <w:bottom w:val="none" w:sz="0" w:space="0" w:color="auto"/>
        <w:right w:val="none" w:sz="0" w:space="0" w:color="auto"/>
      </w:divBdr>
    </w:div>
    <w:div w:id="1151947236">
      <w:bodyDiv w:val="1"/>
      <w:marLeft w:val="0"/>
      <w:marRight w:val="0"/>
      <w:marTop w:val="0"/>
      <w:marBottom w:val="0"/>
      <w:divBdr>
        <w:top w:val="none" w:sz="0" w:space="0" w:color="auto"/>
        <w:left w:val="none" w:sz="0" w:space="0" w:color="auto"/>
        <w:bottom w:val="none" w:sz="0" w:space="0" w:color="auto"/>
        <w:right w:val="none" w:sz="0" w:space="0" w:color="auto"/>
      </w:divBdr>
    </w:div>
    <w:div w:id="1211190059">
      <w:bodyDiv w:val="1"/>
      <w:marLeft w:val="0"/>
      <w:marRight w:val="0"/>
      <w:marTop w:val="0"/>
      <w:marBottom w:val="0"/>
      <w:divBdr>
        <w:top w:val="none" w:sz="0" w:space="0" w:color="auto"/>
        <w:left w:val="none" w:sz="0" w:space="0" w:color="auto"/>
        <w:bottom w:val="none" w:sz="0" w:space="0" w:color="auto"/>
        <w:right w:val="none" w:sz="0" w:space="0" w:color="auto"/>
      </w:divBdr>
    </w:div>
    <w:div w:id="1219362962">
      <w:bodyDiv w:val="1"/>
      <w:marLeft w:val="0"/>
      <w:marRight w:val="0"/>
      <w:marTop w:val="0"/>
      <w:marBottom w:val="0"/>
      <w:divBdr>
        <w:top w:val="none" w:sz="0" w:space="0" w:color="auto"/>
        <w:left w:val="none" w:sz="0" w:space="0" w:color="auto"/>
        <w:bottom w:val="none" w:sz="0" w:space="0" w:color="auto"/>
        <w:right w:val="none" w:sz="0" w:space="0" w:color="auto"/>
      </w:divBdr>
    </w:div>
    <w:div w:id="1221359442">
      <w:bodyDiv w:val="1"/>
      <w:marLeft w:val="0"/>
      <w:marRight w:val="0"/>
      <w:marTop w:val="0"/>
      <w:marBottom w:val="0"/>
      <w:divBdr>
        <w:top w:val="none" w:sz="0" w:space="0" w:color="auto"/>
        <w:left w:val="none" w:sz="0" w:space="0" w:color="auto"/>
        <w:bottom w:val="none" w:sz="0" w:space="0" w:color="auto"/>
        <w:right w:val="none" w:sz="0" w:space="0" w:color="auto"/>
      </w:divBdr>
    </w:div>
    <w:div w:id="1293289958">
      <w:bodyDiv w:val="1"/>
      <w:marLeft w:val="0"/>
      <w:marRight w:val="0"/>
      <w:marTop w:val="0"/>
      <w:marBottom w:val="0"/>
      <w:divBdr>
        <w:top w:val="none" w:sz="0" w:space="0" w:color="auto"/>
        <w:left w:val="none" w:sz="0" w:space="0" w:color="auto"/>
        <w:bottom w:val="none" w:sz="0" w:space="0" w:color="auto"/>
        <w:right w:val="none" w:sz="0" w:space="0" w:color="auto"/>
      </w:divBdr>
    </w:div>
    <w:div w:id="1362316246">
      <w:bodyDiv w:val="1"/>
      <w:marLeft w:val="0"/>
      <w:marRight w:val="0"/>
      <w:marTop w:val="0"/>
      <w:marBottom w:val="0"/>
      <w:divBdr>
        <w:top w:val="none" w:sz="0" w:space="0" w:color="auto"/>
        <w:left w:val="none" w:sz="0" w:space="0" w:color="auto"/>
        <w:bottom w:val="none" w:sz="0" w:space="0" w:color="auto"/>
        <w:right w:val="none" w:sz="0" w:space="0" w:color="auto"/>
      </w:divBdr>
    </w:div>
    <w:div w:id="1483543572">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74192473">
      <w:bodyDiv w:val="1"/>
      <w:marLeft w:val="0"/>
      <w:marRight w:val="0"/>
      <w:marTop w:val="0"/>
      <w:marBottom w:val="0"/>
      <w:divBdr>
        <w:top w:val="none" w:sz="0" w:space="0" w:color="auto"/>
        <w:left w:val="none" w:sz="0" w:space="0" w:color="auto"/>
        <w:bottom w:val="none" w:sz="0" w:space="0" w:color="auto"/>
        <w:right w:val="none" w:sz="0" w:space="0" w:color="auto"/>
      </w:divBdr>
      <w:divsChild>
        <w:div w:id="31614486">
          <w:blockQuote w:val="1"/>
          <w:marLeft w:val="0"/>
          <w:marRight w:val="0"/>
          <w:marTop w:val="0"/>
          <w:marBottom w:val="0"/>
          <w:divBdr>
            <w:top w:val="none" w:sz="0" w:space="0" w:color="auto"/>
            <w:left w:val="single" w:sz="6" w:space="18" w:color="999999"/>
            <w:bottom w:val="none" w:sz="0" w:space="0" w:color="auto"/>
            <w:right w:val="none" w:sz="0" w:space="0" w:color="auto"/>
          </w:divBdr>
        </w:div>
        <w:div w:id="9544566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19337642">
      <w:bodyDiv w:val="1"/>
      <w:marLeft w:val="0"/>
      <w:marRight w:val="0"/>
      <w:marTop w:val="0"/>
      <w:marBottom w:val="0"/>
      <w:divBdr>
        <w:top w:val="none" w:sz="0" w:space="0" w:color="auto"/>
        <w:left w:val="none" w:sz="0" w:space="0" w:color="auto"/>
        <w:bottom w:val="none" w:sz="0" w:space="0" w:color="auto"/>
        <w:right w:val="none" w:sz="0" w:space="0" w:color="auto"/>
      </w:divBdr>
      <w:divsChild>
        <w:div w:id="722993844">
          <w:blockQuote w:val="1"/>
          <w:marLeft w:val="0"/>
          <w:marRight w:val="0"/>
          <w:marTop w:val="0"/>
          <w:marBottom w:val="0"/>
          <w:divBdr>
            <w:top w:val="none" w:sz="0" w:space="0" w:color="auto"/>
            <w:left w:val="single" w:sz="6" w:space="18" w:color="999999"/>
            <w:bottom w:val="none" w:sz="0" w:space="0" w:color="auto"/>
            <w:right w:val="none" w:sz="0" w:space="0" w:color="auto"/>
          </w:divBdr>
        </w:div>
        <w:div w:id="10968255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847284956">
      <w:bodyDiv w:val="1"/>
      <w:marLeft w:val="0"/>
      <w:marRight w:val="0"/>
      <w:marTop w:val="0"/>
      <w:marBottom w:val="0"/>
      <w:divBdr>
        <w:top w:val="none" w:sz="0" w:space="0" w:color="auto"/>
        <w:left w:val="none" w:sz="0" w:space="0" w:color="auto"/>
        <w:bottom w:val="none" w:sz="0" w:space="0" w:color="auto"/>
        <w:right w:val="none" w:sz="0" w:space="0" w:color="auto"/>
      </w:divBdr>
    </w:div>
    <w:div w:id="1887832982">
      <w:bodyDiv w:val="1"/>
      <w:marLeft w:val="0"/>
      <w:marRight w:val="0"/>
      <w:marTop w:val="0"/>
      <w:marBottom w:val="0"/>
      <w:divBdr>
        <w:top w:val="none" w:sz="0" w:space="0" w:color="auto"/>
        <w:left w:val="none" w:sz="0" w:space="0" w:color="auto"/>
        <w:bottom w:val="none" w:sz="0" w:space="0" w:color="auto"/>
        <w:right w:val="none" w:sz="0" w:space="0" w:color="auto"/>
      </w:divBdr>
    </w:div>
    <w:div w:id="2047168939">
      <w:bodyDiv w:val="1"/>
      <w:marLeft w:val="0"/>
      <w:marRight w:val="0"/>
      <w:marTop w:val="0"/>
      <w:marBottom w:val="0"/>
      <w:divBdr>
        <w:top w:val="none" w:sz="0" w:space="0" w:color="auto"/>
        <w:left w:val="none" w:sz="0" w:space="0" w:color="auto"/>
        <w:bottom w:val="none" w:sz="0" w:space="0" w:color="auto"/>
        <w:right w:val="none" w:sz="0" w:space="0" w:color="auto"/>
      </w:divBdr>
    </w:div>
    <w:div w:id="2138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STA">
      <a:dk1>
        <a:srgbClr val="000000"/>
      </a:dk1>
      <a:lt1>
        <a:srgbClr val="FFFFFF"/>
      </a:lt1>
      <a:dk2>
        <a:srgbClr val="0A1C36"/>
      </a:dk2>
      <a:lt2>
        <a:srgbClr val="E8E8E8"/>
      </a:lt2>
      <a:accent1>
        <a:srgbClr val="1C3866"/>
      </a:accent1>
      <a:accent2>
        <a:srgbClr val="B2282E"/>
      </a:accent2>
      <a:accent3>
        <a:srgbClr val="5CA6F2"/>
      </a:accent3>
      <a:accent4>
        <a:srgbClr val="7DE8EB"/>
      </a:accent4>
      <a:accent5>
        <a:srgbClr val="FF96BF"/>
      </a:accent5>
      <a:accent6>
        <a:srgbClr val="6B1F7D"/>
      </a:accent6>
      <a:hlink>
        <a:srgbClr val="3E5970"/>
      </a:hlink>
      <a:folHlink>
        <a:srgbClr val="9B27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41AF21422BFE7342A97824AA6348C6D0" ma:contentTypeVersion="13" ma:contentTypeDescription="Create an InfoStore Document" ma:contentTypeScope="" ma:versionID="7ec52dedbd667a0e76214ac3e886d742">
  <xsd:schema xmlns:xsd="http://www.w3.org/2001/XMLSchema" xmlns:xs="http://www.w3.org/2001/XMLSchema" xmlns:p="http://schemas.microsoft.com/office/2006/metadata/properties" xmlns:ns1="http://schemas.microsoft.com/sharepoint/v3" xmlns:ns2="f9632af1-d92f-4e4b-b1b1-372ce0b263e8" xmlns:ns3="18bfdf7c-4ca0-4d52-bff0-be53b55d3e89" targetNamespace="http://schemas.microsoft.com/office/2006/metadata/properties" ma:root="true" ma:fieldsID="afdc26b90ec87944692f08a6fa0a471e" ns1:_="" ns2:_="" ns3:_="">
    <xsd:import namespace="http://schemas.microsoft.com/sharepoint/v3"/>
    <xsd:import namespace="f9632af1-d92f-4e4b-b1b1-372ce0b263e8"/>
    <xsd:import namespace="18bfdf7c-4ca0-4d52-bff0-be53b55d3e8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bfdf7c-4ca0-4d52-bff0-be53b55d3e8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18bfdf7c-4ca0-4d52-bff0-be53b55d3e89">
      <Terms xmlns="http://schemas.microsoft.com/office/infopath/2007/PartnerControls"/>
    </lcf76f155ced4ddcb4097134ff3c332f>
    <dlc_EmailReceivedUTC xmlns="http://schemas.microsoft.com/sharepoint/v3" xsi:nil="true"/>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entUTC xmlns="http://schemas.microsoft.com/sharepoint/v3" xsi:nil="true"/>
    <dlc_EmailSubject xmlns="http://schemas.microsoft.com/sharepoint/v3" xsi:nil="true"/>
    <HMT_ClosedbyOrig xmlns="f9632af1-d92f-4e4b-b1b1-372ce0b263e8">
      <UserInfo>
        <DisplayName/>
        <AccountId xsi:nil="true"/>
        <AccountType/>
      </UserInfo>
    </HMT_ClosedbyOrig>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f9632af1-d92f-4e4b-b1b1-372ce0b263e8">
      <Value>11</Value>
    </TaxCatchAll>
    <_dlc_DocId xmlns="f9632af1-d92f-4e4b-b1b1-372ce0b263e8">HMTWRKGRPNISTA-1727649049-8551</_dlc_DocId>
    <HMT_LegacySensitive xmlns="f9632af1-d92f-4e4b-b1b1-372ce0b263e8">false</HMT_LegacySensitive>
    <_dlc_DocIdUrl xmlns="f9632af1-d92f-4e4b-b1b1-372ce0b263e8">
      <Url>https://tris42.sharepoint.com/sites/hmt_wrkgrp_nista/_layouts/15/DocIdRedir.aspx?ID=HMTWRKGRPNISTA-1727649049-8551</Url>
      <Description>HMTWRKGRPNISTA-1727649049-8551</Description>
    </_dlc_DocIdUrl>
    <HMT_ClosedArchive xmlns="f9632af1-d92f-4e4b-b1b1-372ce0b263e8">false</HMT_ClosedArchive>
    <HMT_LegacyRecord xmlns="f9632af1-d92f-4e4b-b1b1-372ce0b263e8">false</HMT_LegacyRecor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564C63-93CA-4F26-BD83-AE2073F4EA68}"/>
</file>

<file path=customXml/itemProps2.xml><?xml version="1.0" encoding="utf-8"?>
<ds:datastoreItem xmlns:ds="http://schemas.openxmlformats.org/officeDocument/2006/customXml" ds:itemID="{ECCDCCB4-A604-4E23-9E2A-7C0A86B30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9D643-F36D-4D25-80FA-6A87B652F40B}">
  <ds:schemaRefs>
    <ds:schemaRef ds:uri="http://schemas.openxmlformats.org/officeDocument/2006/bibliography"/>
  </ds:schemaRefs>
</ds:datastoreItem>
</file>

<file path=customXml/itemProps4.xml><?xml version="1.0" encoding="utf-8"?>
<ds:datastoreItem xmlns:ds="http://schemas.openxmlformats.org/officeDocument/2006/customXml" ds:itemID="{F59FCD3E-90F7-442F-B32B-462926163548}">
  <ds:schemaRefs>
    <ds:schemaRef ds:uri="http://schemas.microsoft.com/sharepoint/v3/contenttype/forms"/>
  </ds:schemaRefs>
</ds:datastoreItem>
</file>

<file path=customXml/itemProps5.xml><?xml version="1.0" encoding="utf-8"?>
<ds:datastoreItem xmlns:ds="http://schemas.openxmlformats.org/officeDocument/2006/customXml" ds:itemID="{B6BD45A6-C553-4723-A218-4D15527B8A33}"/>
</file>

<file path=docProps/app.xml><?xml version="1.0" encoding="utf-8"?>
<Properties xmlns="http://schemas.openxmlformats.org/officeDocument/2006/extended-properties" xmlns:vt="http://schemas.openxmlformats.org/officeDocument/2006/docPropsVTypes">
  <Template>Normal.dotm</Template>
  <TotalTime>207</TotalTime>
  <Pages>13</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 NISTA</dc:creator>
  <cp:keywords/>
  <dc:description/>
  <cp:lastModifiedBy>Mustapha Elmaslouhi</cp:lastModifiedBy>
  <cp:revision>19</cp:revision>
  <dcterms:created xsi:type="dcterms:W3CDTF">2025-10-13T16:00:00Z</dcterms:created>
  <dcterms:modified xsi:type="dcterms:W3CDTF">2026-02-18T13:24:00Z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0x010100F3DA492754083E45834DB37B66A759800041AF21422BFE7342A97824AA6348C6D0</vt:lpwstr>
  </property>
  <property fmtid="{D5CDD505-2E9C-101B-9397-08002B2CF9AE}" pid="3" name="_dlc_DocIdItemGuid">
    <vt:lpwstr>29860436-8acc-4612-b871-47938fe79b7a</vt:lpwstr>
  </property>
  <property fmtid="{D5CDD505-2E9C-101B-9397-08002B2CF9AE}" pid="4" name="HMT_DocumentType">
    <vt:i4>11</vt:i4>
  </property>
</Properties>
</file>